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ind w:firstLine="562"/>
        <w:rPr>
          <w:b/>
          <w:bCs/>
          <w:sz w:val="28"/>
          <w:szCs w:val="28"/>
        </w:rPr>
      </w:pPr>
      <w:r>
        <w:rPr>
          <w:rFonts w:hint="eastAsia"/>
          <w:b/>
          <w:bCs/>
          <w:sz w:val="28"/>
          <w:szCs w:val="28"/>
        </w:rPr>
        <w:t>采购编号：SCZS-HW-2024-004</w:t>
      </w:r>
    </w:p>
    <w:p>
      <w:pPr>
        <w:spacing w:line="620" w:lineRule="exact"/>
        <w:rPr>
          <w:rFonts w:ascii="宋体" w:hAnsi="宋体" w:cs="宋体"/>
          <w:b/>
          <w:sz w:val="30"/>
          <w:szCs w:val="30"/>
        </w:rPr>
      </w:pPr>
    </w:p>
    <w:p>
      <w:pPr>
        <w:spacing w:line="620" w:lineRule="exact"/>
        <w:jc w:val="center"/>
        <w:rPr>
          <w:rFonts w:ascii="宋体" w:hAnsi="宋体" w:cs="宋体"/>
          <w:b/>
          <w:sz w:val="48"/>
          <w:szCs w:val="48"/>
        </w:rPr>
      </w:pPr>
      <w:r>
        <w:rPr>
          <w:rFonts w:hint="eastAsia" w:ascii="宋体" w:hAnsi="宋体" w:cs="宋体"/>
          <w:b/>
          <w:sz w:val="48"/>
          <w:szCs w:val="48"/>
        </w:rPr>
        <w:t>四川省消防救援总队“自然灾害应急能力提升工程”德阳支队消防装备建设项目-第四批</w:t>
      </w:r>
    </w:p>
    <w:p>
      <w:pPr>
        <w:pStyle w:val="9"/>
        <w:rPr>
          <w:color w:val="auto"/>
        </w:rPr>
      </w:pPr>
    </w:p>
    <w:p>
      <w:pPr>
        <w:tabs>
          <w:tab w:val="left" w:pos="2505"/>
          <w:tab w:val="center" w:pos="4204"/>
        </w:tabs>
        <w:spacing w:line="900" w:lineRule="exact"/>
        <w:jc w:val="left"/>
        <w:rPr>
          <w:rFonts w:ascii="宋体" w:hAnsi="宋体" w:cs="宋体"/>
          <w:b/>
          <w:sz w:val="84"/>
          <w:szCs w:val="84"/>
        </w:rPr>
      </w:pPr>
      <w:r>
        <w:rPr>
          <w:rFonts w:hint="eastAsia" w:ascii="宋体" w:hAnsi="宋体" w:cs="宋体"/>
          <w:b/>
          <w:sz w:val="52"/>
          <w:szCs w:val="52"/>
        </w:rPr>
        <w:tab/>
      </w:r>
      <w:r>
        <w:rPr>
          <w:rFonts w:hint="eastAsia" w:ascii="宋体" w:hAnsi="宋体" w:cs="宋体"/>
          <w:b/>
          <w:sz w:val="52"/>
          <w:szCs w:val="52"/>
        </w:rPr>
        <w:tab/>
      </w:r>
      <w:r>
        <w:rPr>
          <w:rFonts w:hint="eastAsia" w:ascii="宋体" w:hAnsi="宋体" w:cs="宋体"/>
          <w:b/>
          <w:sz w:val="52"/>
          <w:szCs w:val="52"/>
        </w:rPr>
        <w:t xml:space="preserve">    </w:t>
      </w:r>
      <w:r>
        <w:rPr>
          <w:rFonts w:hint="eastAsia" w:ascii="宋体" w:hAnsi="宋体" w:cs="宋体"/>
          <w:b/>
          <w:sz w:val="84"/>
          <w:szCs w:val="84"/>
        </w:rPr>
        <w:t>招</w:t>
      </w:r>
    </w:p>
    <w:p>
      <w:pPr>
        <w:tabs>
          <w:tab w:val="left" w:pos="2505"/>
          <w:tab w:val="center" w:pos="4204"/>
        </w:tabs>
        <w:spacing w:line="900" w:lineRule="exact"/>
        <w:jc w:val="left"/>
        <w:rPr>
          <w:rFonts w:ascii="宋体" w:hAnsi="宋体" w:cs="宋体"/>
          <w:b/>
          <w:sz w:val="84"/>
          <w:szCs w:val="84"/>
        </w:rPr>
      </w:pPr>
    </w:p>
    <w:p>
      <w:pPr>
        <w:spacing w:line="900" w:lineRule="exact"/>
        <w:jc w:val="center"/>
        <w:rPr>
          <w:rFonts w:ascii="宋体" w:hAnsi="宋体" w:cs="宋体"/>
          <w:b/>
          <w:sz w:val="84"/>
          <w:szCs w:val="84"/>
        </w:rPr>
      </w:pPr>
      <w:r>
        <w:rPr>
          <w:rFonts w:hint="eastAsia" w:ascii="宋体" w:hAnsi="宋体" w:cs="宋体"/>
          <w:b/>
          <w:sz w:val="84"/>
          <w:szCs w:val="84"/>
        </w:rPr>
        <w:t>标</w:t>
      </w:r>
    </w:p>
    <w:p>
      <w:pPr>
        <w:spacing w:line="900" w:lineRule="exact"/>
        <w:jc w:val="center"/>
        <w:rPr>
          <w:rFonts w:ascii="宋体" w:hAnsi="宋体" w:cs="宋体"/>
          <w:b/>
          <w:sz w:val="84"/>
          <w:szCs w:val="84"/>
        </w:rPr>
      </w:pPr>
    </w:p>
    <w:p>
      <w:pPr>
        <w:spacing w:line="900" w:lineRule="exact"/>
        <w:jc w:val="center"/>
        <w:rPr>
          <w:rFonts w:ascii="宋体" w:hAnsi="宋体" w:cs="宋体"/>
          <w:b/>
          <w:sz w:val="84"/>
          <w:szCs w:val="84"/>
        </w:rPr>
      </w:pPr>
      <w:r>
        <w:rPr>
          <w:rFonts w:hint="eastAsia" w:ascii="宋体" w:hAnsi="宋体" w:cs="宋体"/>
          <w:b/>
          <w:sz w:val="84"/>
          <w:szCs w:val="84"/>
        </w:rPr>
        <w:t>文</w:t>
      </w:r>
    </w:p>
    <w:p>
      <w:pPr>
        <w:spacing w:line="900" w:lineRule="exact"/>
        <w:rPr>
          <w:rFonts w:ascii="宋体" w:hAnsi="宋体" w:cs="宋体"/>
          <w:b/>
          <w:sz w:val="84"/>
          <w:szCs w:val="84"/>
        </w:rPr>
      </w:pPr>
    </w:p>
    <w:p>
      <w:pPr>
        <w:spacing w:line="900" w:lineRule="exact"/>
        <w:jc w:val="center"/>
        <w:rPr>
          <w:rFonts w:ascii="宋体" w:hAnsi="宋体" w:cs="宋体"/>
          <w:b/>
          <w:sz w:val="84"/>
          <w:szCs w:val="84"/>
        </w:rPr>
      </w:pPr>
      <w:r>
        <w:rPr>
          <w:rFonts w:hint="eastAsia" w:ascii="宋体" w:hAnsi="宋体" w:cs="宋体"/>
          <w:b/>
          <w:sz w:val="84"/>
          <w:szCs w:val="84"/>
        </w:rPr>
        <w:t>件</w:t>
      </w:r>
    </w:p>
    <w:p>
      <w:pPr>
        <w:spacing w:line="620" w:lineRule="exact"/>
        <w:jc w:val="center"/>
        <w:rPr>
          <w:rFonts w:ascii="宋体" w:hAnsi="宋体" w:cs="宋体"/>
          <w:b/>
          <w:sz w:val="52"/>
          <w:szCs w:val="52"/>
        </w:rPr>
      </w:pPr>
    </w:p>
    <w:p>
      <w:pPr>
        <w:spacing w:line="620" w:lineRule="exact"/>
        <w:jc w:val="center"/>
        <w:rPr>
          <w:rFonts w:ascii="宋体" w:hAnsi="宋体" w:cs="宋体"/>
          <w:b/>
          <w:sz w:val="32"/>
          <w:szCs w:val="32"/>
        </w:rPr>
      </w:pPr>
    </w:p>
    <w:p>
      <w:pPr>
        <w:spacing w:line="620" w:lineRule="exact"/>
        <w:jc w:val="center"/>
        <w:rPr>
          <w:rFonts w:ascii="宋体" w:hAnsi="宋体" w:cs="宋体"/>
          <w:b/>
          <w:sz w:val="32"/>
          <w:szCs w:val="32"/>
        </w:rPr>
      </w:pPr>
      <w:r>
        <w:rPr>
          <w:rFonts w:hint="eastAsia" w:ascii="宋体" w:hAnsi="宋体" w:cs="宋体"/>
          <w:b/>
          <w:sz w:val="32"/>
          <w:szCs w:val="32"/>
        </w:rPr>
        <w:t>中国·四川（</w:t>
      </w:r>
      <w:r>
        <w:rPr>
          <w:rFonts w:hint="eastAsia" w:ascii="宋体" w:hAnsi="宋体" w:cs="宋体"/>
          <w:b/>
          <w:sz w:val="30"/>
          <w:szCs w:val="30"/>
        </w:rPr>
        <w:t>成都</w:t>
      </w:r>
      <w:r>
        <w:rPr>
          <w:rFonts w:hint="eastAsia" w:ascii="宋体" w:hAnsi="宋体" w:cs="宋体"/>
          <w:b/>
          <w:sz w:val="32"/>
          <w:szCs w:val="32"/>
        </w:rPr>
        <w:t>）</w:t>
      </w:r>
    </w:p>
    <w:p>
      <w:pPr>
        <w:spacing w:line="620" w:lineRule="exact"/>
        <w:jc w:val="center"/>
        <w:rPr>
          <w:rFonts w:ascii="宋体" w:hAnsi="宋体" w:cs="宋体"/>
          <w:b/>
          <w:sz w:val="32"/>
          <w:szCs w:val="32"/>
        </w:rPr>
      </w:pPr>
      <w:r>
        <w:rPr>
          <w:rFonts w:hint="eastAsia" w:ascii="宋体" w:hAnsi="宋体" w:cs="宋体"/>
          <w:b/>
          <w:bCs/>
          <w:sz w:val="32"/>
          <w:szCs w:val="32"/>
        </w:rPr>
        <w:t>四川中舜招标代理有限公司</w:t>
      </w:r>
      <w:r>
        <w:rPr>
          <w:rFonts w:hint="eastAsia" w:ascii="宋体" w:hAnsi="宋体" w:cs="宋体"/>
          <w:b/>
          <w:sz w:val="32"/>
          <w:szCs w:val="32"/>
        </w:rPr>
        <w:t>/德阳市消防救援支队</w:t>
      </w:r>
    </w:p>
    <w:p>
      <w:pPr>
        <w:spacing w:line="620" w:lineRule="exact"/>
        <w:jc w:val="center"/>
        <w:rPr>
          <w:rFonts w:ascii="宋体" w:hAnsi="宋体" w:cs="宋体"/>
          <w:b/>
          <w:sz w:val="32"/>
          <w:szCs w:val="32"/>
        </w:rPr>
      </w:pPr>
      <w:r>
        <w:rPr>
          <w:rFonts w:hint="eastAsia" w:ascii="宋体" w:hAnsi="宋体" w:cs="宋体"/>
          <w:b/>
          <w:sz w:val="32"/>
          <w:szCs w:val="32"/>
        </w:rPr>
        <w:t>共同编制</w:t>
      </w:r>
    </w:p>
    <w:p>
      <w:pPr>
        <w:spacing w:line="620" w:lineRule="exact"/>
        <w:jc w:val="center"/>
        <w:rPr>
          <w:rFonts w:ascii="宋体" w:hAnsi="宋体" w:cs="宋体"/>
          <w:b/>
          <w:bCs/>
          <w:sz w:val="32"/>
          <w:szCs w:val="32"/>
          <w:lang w:val="zh-CN"/>
        </w:rPr>
      </w:pPr>
      <w:bookmarkStart w:id="0" w:name="_Hlt101233737"/>
      <w:bookmarkEnd w:id="0"/>
      <w:bookmarkStart w:id="1" w:name="_Hlt101843627"/>
      <w:bookmarkEnd w:id="1"/>
      <w:bookmarkStart w:id="2" w:name="_Toc31003_WPSOffice_Type1"/>
      <w:r>
        <w:rPr>
          <w:rFonts w:hint="eastAsia" w:ascii="宋体" w:hAnsi="宋体" w:cs="宋体"/>
          <w:b/>
          <w:sz w:val="30"/>
          <w:szCs w:val="30"/>
        </w:rPr>
        <w:t>2024年4月</w:t>
      </w:r>
    </w:p>
    <w:p>
      <w:pPr>
        <w:pStyle w:val="57"/>
        <w:numPr>
          <w:ilvl w:val="0"/>
          <w:numId w:val="0"/>
        </w:numPr>
        <w:rPr>
          <w:lang w:val="zh-CN"/>
        </w:rPr>
      </w:pPr>
    </w:p>
    <w:p>
      <w:pPr>
        <w:spacing w:line="620" w:lineRule="exact"/>
        <w:jc w:val="center"/>
        <w:rPr>
          <w:rFonts w:ascii="宋体" w:hAnsi="宋体" w:cs="宋体"/>
          <w:b/>
          <w:bCs/>
          <w:sz w:val="28"/>
          <w:szCs w:val="28"/>
        </w:rPr>
      </w:pPr>
      <w:r>
        <w:rPr>
          <w:rFonts w:ascii="宋体" w:hAnsi="宋体" w:cs="宋体"/>
          <w:b/>
          <w:bCs/>
          <w:sz w:val="32"/>
          <w:szCs w:val="32"/>
          <w:lang w:val="zh-CN"/>
        </w:rPr>
        <w:br w:type="page"/>
      </w:r>
      <w:r>
        <w:rPr>
          <w:rFonts w:hint="eastAsia" w:ascii="宋体" w:hAnsi="宋体" w:cs="宋体"/>
          <w:b/>
          <w:bCs/>
          <w:sz w:val="28"/>
          <w:szCs w:val="28"/>
        </w:rPr>
        <w:t>目  录</w:t>
      </w:r>
    </w:p>
    <w:p>
      <w:pPr>
        <w:pStyle w:val="78"/>
        <w:tabs>
          <w:tab w:val="right" w:leader="dot" w:pos="9525"/>
        </w:tabs>
        <w:spacing w:line="480" w:lineRule="auto"/>
        <w:rPr>
          <w:rFonts w:ascii="宋体" w:hAnsi="宋体" w:cs="宋体"/>
          <w:sz w:val="28"/>
          <w:szCs w:val="28"/>
        </w:rPr>
      </w:pPr>
      <w:r>
        <w:fldChar w:fldCharType="begin"/>
      </w:r>
      <w:r>
        <w:instrText xml:space="preserve"> HYPERLINK \l "_Toc26904_WPSOffice_Level1" </w:instrText>
      </w:r>
      <w:r>
        <w:fldChar w:fldCharType="separate"/>
      </w:r>
      <w:r>
        <w:rPr>
          <w:rFonts w:hint="eastAsia" w:ascii="宋体" w:hAnsi="宋体" w:cs="宋体"/>
          <w:sz w:val="28"/>
          <w:szCs w:val="28"/>
        </w:rPr>
        <w:t>第一章  投标邀请</w:t>
      </w:r>
      <w:r>
        <w:rPr>
          <w:rFonts w:hint="eastAsia" w:ascii="宋体" w:hAnsi="宋体" w:cs="宋体"/>
          <w:sz w:val="28"/>
          <w:szCs w:val="28"/>
        </w:rPr>
        <w:tab/>
      </w:r>
      <w:bookmarkStart w:id="3" w:name="_Toc26904_WPSOffice_Level1Page"/>
      <w:r>
        <w:rPr>
          <w:rFonts w:hint="eastAsia" w:ascii="宋体" w:hAnsi="宋体" w:cs="宋体"/>
          <w:sz w:val="28"/>
          <w:szCs w:val="28"/>
        </w:rPr>
        <w:t>3</w:t>
      </w:r>
      <w:bookmarkEnd w:id="3"/>
      <w:r>
        <w:rPr>
          <w:rFonts w:hint="eastAsia" w:ascii="宋体" w:hAnsi="宋体" w:cs="宋体"/>
          <w:sz w:val="28"/>
          <w:szCs w:val="28"/>
        </w:rPr>
        <w:fldChar w:fldCharType="end"/>
      </w:r>
    </w:p>
    <w:p>
      <w:pPr>
        <w:pStyle w:val="78"/>
        <w:tabs>
          <w:tab w:val="right" w:leader="dot" w:pos="9525"/>
        </w:tabs>
        <w:spacing w:line="480" w:lineRule="auto"/>
        <w:rPr>
          <w:rFonts w:ascii="宋体" w:hAnsi="宋体" w:cs="宋体"/>
          <w:sz w:val="28"/>
          <w:szCs w:val="28"/>
        </w:rPr>
      </w:pPr>
      <w:r>
        <w:fldChar w:fldCharType="begin"/>
      </w:r>
      <w:r>
        <w:instrText xml:space="preserve"> HYPERLINK \l "_Toc8148_WPSOffice_Level1" </w:instrText>
      </w:r>
      <w:r>
        <w:fldChar w:fldCharType="separate"/>
      </w:r>
      <w:r>
        <w:rPr>
          <w:rFonts w:hint="eastAsia" w:ascii="宋体" w:hAnsi="宋体" w:cs="宋体"/>
          <w:sz w:val="28"/>
          <w:szCs w:val="28"/>
        </w:rPr>
        <w:t>第二章  投标人须知</w:t>
      </w:r>
      <w:r>
        <w:rPr>
          <w:rFonts w:hint="eastAsia" w:ascii="宋体" w:hAnsi="宋体" w:cs="宋体"/>
          <w:sz w:val="28"/>
          <w:szCs w:val="28"/>
        </w:rPr>
        <w:tab/>
      </w:r>
      <w:bookmarkStart w:id="4" w:name="_Toc8148_WPSOffice_Level1Page"/>
      <w:r>
        <w:rPr>
          <w:rFonts w:hint="eastAsia" w:ascii="宋体" w:hAnsi="宋体" w:cs="宋体"/>
          <w:sz w:val="28"/>
          <w:szCs w:val="28"/>
        </w:rPr>
        <w:t>6</w:t>
      </w:r>
      <w:bookmarkEnd w:id="4"/>
      <w:r>
        <w:rPr>
          <w:rFonts w:hint="eastAsia" w:ascii="宋体" w:hAnsi="宋体" w:cs="宋体"/>
          <w:sz w:val="28"/>
          <w:szCs w:val="28"/>
        </w:rPr>
        <w:fldChar w:fldCharType="end"/>
      </w:r>
    </w:p>
    <w:p>
      <w:pPr>
        <w:pStyle w:val="78"/>
        <w:tabs>
          <w:tab w:val="right" w:leader="dot" w:pos="9525"/>
        </w:tabs>
        <w:spacing w:line="480" w:lineRule="auto"/>
        <w:rPr>
          <w:rFonts w:ascii="宋体" w:hAnsi="宋体" w:cs="宋体"/>
          <w:sz w:val="28"/>
          <w:szCs w:val="28"/>
        </w:rPr>
      </w:pPr>
      <w:r>
        <w:fldChar w:fldCharType="begin"/>
      </w:r>
      <w:r>
        <w:instrText xml:space="preserve"> HYPERLINK \l "_Toc26360_WPSOffice_Level1" </w:instrText>
      </w:r>
      <w:r>
        <w:fldChar w:fldCharType="separate"/>
      </w:r>
      <w:r>
        <w:rPr>
          <w:rFonts w:hint="eastAsia" w:ascii="宋体" w:hAnsi="宋体" w:cs="宋体"/>
          <w:sz w:val="28"/>
          <w:szCs w:val="28"/>
        </w:rPr>
        <w:t>第三章 投标文件格式</w:t>
      </w:r>
      <w:r>
        <w:rPr>
          <w:rFonts w:hint="eastAsia" w:ascii="宋体" w:hAnsi="宋体" w:cs="宋体"/>
          <w:sz w:val="28"/>
          <w:szCs w:val="28"/>
        </w:rPr>
        <w:tab/>
      </w:r>
      <w:bookmarkStart w:id="5" w:name="_Toc26360_WPSOffice_Level1Page"/>
      <w:r>
        <w:rPr>
          <w:rFonts w:hint="eastAsia" w:ascii="宋体" w:hAnsi="宋体" w:cs="宋体"/>
          <w:sz w:val="28"/>
          <w:szCs w:val="28"/>
        </w:rPr>
        <w:t>23</w:t>
      </w:r>
      <w:bookmarkEnd w:id="5"/>
      <w:r>
        <w:rPr>
          <w:rFonts w:hint="eastAsia" w:ascii="宋体" w:hAnsi="宋体" w:cs="宋体"/>
          <w:sz w:val="28"/>
          <w:szCs w:val="28"/>
        </w:rPr>
        <w:fldChar w:fldCharType="end"/>
      </w:r>
    </w:p>
    <w:p>
      <w:pPr>
        <w:pStyle w:val="78"/>
        <w:tabs>
          <w:tab w:val="right" w:leader="dot" w:pos="9525"/>
        </w:tabs>
        <w:spacing w:line="480" w:lineRule="auto"/>
        <w:rPr>
          <w:rFonts w:ascii="宋体" w:hAnsi="宋体" w:cs="宋体"/>
          <w:sz w:val="28"/>
          <w:szCs w:val="28"/>
        </w:rPr>
      </w:pPr>
      <w:r>
        <w:fldChar w:fldCharType="begin"/>
      </w:r>
      <w:r>
        <w:instrText xml:space="preserve"> HYPERLINK \l "_Toc22196_WPSOffice_Level1" </w:instrText>
      </w:r>
      <w:r>
        <w:fldChar w:fldCharType="separate"/>
      </w:r>
      <w:r>
        <w:rPr>
          <w:rFonts w:hint="eastAsia" w:ascii="宋体" w:hAnsi="宋体" w:cs="宋体"/>
          <w:sz w:val="28"/>
          <w:szCs w:val="28"/>
        </w:rPr>
        <w:t>第四章  投标人和投标产品的资格、资质性及其他类似效力要求</w:t>
      </w:r>
      <w:r>
        <w:rPr>
          <w:rFonts w:hint="eastAsia" w:ascii="宋体" w:hAnsi="宋体" w:cs="宋体"/>
          <w:sz w:val="28"/>
          <w:szCs w:val="28"/>
        </w:rPr>
        <w:tab/>
      </w:r>
      <w:bookmarkStart w:id="6" w:name="_Toc22196_WPSOffice_Level1Page"/>
      <w:r>
        <w:rPr>
          <w:rFonts w:hint="eastAsia" w:ascii="宋体" w:hAnsi="宋体" w:cs="宋体"/>
          <w:sz w:val="28"/>
          <w:szCs w:val="28"/>
        </w:rPr>
        <w:t>45</w:t>
      </w:r>
      <w:bookmarkEnd w:id="6"/>
      <w:r>
        <w:rPr>
          <w:rFonts w:hint="eastAsia" w:ascii="宋体" w:hAnsi="宋体" w:cs="宋体"/>
          <w:sz w:val="28"/>
          <w:szCs w:val="28"/>
        </w:rPr>
        <w:fldChar w:fldCharType="end"/>
      </w:r>
    </w:p>
    <w:p>
      <w:pPr>
        <w:pStyle w:val="78"/>
        <w:tabs>
          <w:tab w:val="right" w:leader="dot" w:pos="9525"/>
        </w:tabs>
        <w:spacing w:line="480" w:lineRule="auto"/>
        <w:rPr>
          <w:rFonts w:ascii="宋体" w:hAnsi="宋体" w:cs="宋体"/>
          <w:sz w:val="28"/>
          <w:szCs w:val="28"/>
        </w:rPr>
      </w:pPr>
      <w:r>
        <w:fldChar w:fldCharType="begin"/>
      </w:r>
      <w:r>
        <w:instrText xml:space="preserve"> HYPERLINK \l "_Toc25209_WPSOffice_Level1" </w:instrText>
      </w:r>
      <w:r>
        <w:fldChar w:fldCharType="separate"/>
      </w:r>
      <w:r>
        <w:rPr>
          <w:rFonts w:hint="eastAsia" w:ascii="宋体" w:hAnsi="宋体" w:cs="宋体"/>
          <w:sz w:val="28"/>
          <w:szCs w:val="28"/>
        </w:rPr>
        <w:t>第五章  投标人应当提供的资格、资质性及其他类似效力要求的相关证明材料</w:t>
      </w:r>
      <w:r>
        <w:rPr>
          <w:rFonts w:hint="eastAsia" w:ascii="宋体" w:hAnsi="宋体" w:cs="宋体"/>
          <w:sz w:val="28"/>
          <w:szCs w:val="28"/>
        </w:rPr>
        <w:tab/>
      </w:r>
      <w:bookmarkStart w:id="7" w:name="_Toc25209_WPSOffice_Level1Page"/>
      <w:r>
        <w:rPr>
          <w:rFonts w:hint="eastAsia" w:ascii="宋体" w:hAnsi="宋体" w:cs="宋体"/>
          <w:sz w:val="28"/>
          <w:szCs w:val="28"/>
        </w:rPr>
        <w:t>46</w:t>
      </w:r>
      <w:bookmarkEnd w:id="7"/>
      <w:r>
        <w:rPr>
          <w:rFonts w:hint="eastAsia" w:ascii="宋体" w:hAnsi="宋体" w:cs="宋体"/>
          <w:sz w:val="28"/>
          <w:szCs w:val="28"/>
        </w:rPr>
        <w:fldChar w:fldCharType="end"/>
      </w:r>
    </w:p>
    <w:p>
      <w:pPr>
        <w:pStyle w:val="78"/>
        <w:tabs>
          <w:tab w:val="right" w:leader="dot" w:pos="9525"/>
        </w:tabs>
        <w:spacing w:line="480" w:lineRule="auto"/>
        <w:rPr>
          <w:rFonts w:ascii="宋体" w:hAnsi="宋体" w:cs="宋体"/>
          <w:sz w:val="28"/>
          <w:szCs w:val="28"/>
        </w:rPr>
      </w:pPr>
      <w:r>
        <w:fldChar w:fldCharType="begin"/>
      </w:r>
      <w:r>
        <w:instrText xml:space="preserve"> HYPERLINK \l "_Toc28400_WPSOffice_Level1" </w:instrText>
      </w:r>
      <w:r>
        <w:fldChar w:fldCharType="separate"/>
      </w:r>
      <w:r>
        <w:rPr>
          <w:rFonts w:hint="eastAsia" w:ascii="宋体" w:hAnsi="宋体" w:cs="宋体"/>
          <w:sz w:val="28"/>
          <w:szCs w:val="28"/>
        </w:rPr>
        <w:t>第六章  招标项目技术、服务、政府采购合同内容条款及其他商务要求</w:t>
      </w:r>
      <w:r>
        <w:rPr>
          <w:rFonts w:hint="eastAsia" w:ascii="宋体" w:hAnsi="宋体" w:cs="宋体"/>
          <w:sz w:val="28"/>
          <w:szCs w:val="28"/>
        </w:rPr>
        <w:tab/>
      </w:r>
      <w:bookmarkStart w:id="8" w:name="_Toc28400_WPSOffice_Level1Page"/>
      <w:r>
        <w:rPr>
          <w:rFonts w:hint="eastAsia" w:ascii="宋体" w:hAnsi="宋体" w:cs="宋体"/>
          <w:sz w:val="28"/>
          <w:szCs w:val="28"/>
        </w:rPr>
        <w:t>48</w:t>
      </w:r>
      <w:bookmarkEnd w:id="8"/>
      <w:r>
        <w:rPr>
          <w:rFonts w:hint="eastAsia" w:ascii="宋体" w:hAnsi="宋体" w:cs="宋体"/>
          <w:sz w:val="28"/>
          <w:szCs w:val="28"/>
        </w:rPr>
        <w:fldChar w:fldCharType="end"/>
      </w:r>
    </w:p>
    <w:p>
      <w:pPr>
        <w:pStyle w:val="78"/>
        <w:tabs>
          <w:tab w:val="right" w:leader="dot" w:pos="9525"/>
        </w:tabs>
        <w:spacing w:line="480" w:lineRule="auto"/>
        <w:rPr>
          <w:rFonts w:ascii="宋体" w:hAnsi="宋体" w:cs="宋体"/>
          <w:sz w:val="28"/>
          <w:szCs w:val="28"/>
        </w:rPr>
      </w:pPr>
      <w:r>
        <w:fldChar w:fldCharType="begin"/>
      </w:r>
      <w:r>
        <w:instrText xml:space="preserve"> HYPERLINK \l "_Toc14376_WPSOffice_Level1" </w:instrText>
      </w:r>
      <w:r>
        <w:fldChar w:fldCharType="separate"/>
      </w:r>
      <w:r>
        <w:rPr>
          <w:rFonts w:hint="eastAsia" w:ascii="宋体" w:hAnsi="宋体" w:cs="宋体"/>
          <w:sz w:val="28"/>
          <w:szCs w:val="28"/>
        </w:rPr>
        <w:t>第七章  评标办法</w:t>
      </w:r>
      <w:r>
        <w:rPr>
          <w:rFonts w:hint="eastAsia" w:ascii="宋体" w:hAnsi="宋体" w:cs="宋体"/>
          <w:sz w:val="28"/>
          <w:szCs w:val="28"/>
        </w:rPr>
        <w:tab/>
      </w:r>
      <w:bookmarkStart w:id="9" w:name="_Toc14376_WPSOffice_Level1Page"/>
      <w:r>
        <w:rPr>
          <w:rFonts w:hint="eastAsia" w:ascii="宋体" w:hAnsi="宋体" w:cs="宋体"/>
          <w:sz w:val="28"/>
          <w:szCs w:val="28"/>
        </w:rPr>
        <w:t>55</w:t>
      </w:r>
      <w:bookmarkEnd w:id="9"/>
      <w:r>
        <w:rPr>
          <w:rFonts w:hint="eastAsia" w:ascii="宋体" w:hAnsi="宋体" w:cs="宋体"/>
          <w:sz w:val="28"/>
          <w:szCs w:val="28"/>
        </w:rPr>
        <w:fldChar w:fldCharType="end"/>
      </w:r>
    </w:p>
    <w:p>
      <w:pPr>
        <w:pStyle w:val="78"/>
        <w:tabs>
          <w:tab w:val="right" w:leader="dot" w:pos="9525"/>
        </w:tabs>
        <w:spacing w:line="480" w:lineRule="auto"/>
        <w:rPr>
          <w:rFonts w:ascii="宋体" w:hAnsi="宋体" w:cs="宋体"/>
          <w:sz w:val="28"/>
          <w:szCs w:val="28"/>
        </w:rPr>
      </w:pPr>
      <w:r>
        <w:fldChar w:fldCharType="begin"/>
      </w:r>
      <w:r>
        <w:instrText xml:space="preserve"> HYPERLINK \l "_Toc22236_WPSOffice_Level1" </w:instrText>
      </w:r>
      <w:r>
        <w:fldChar w:fldCharType="separate"/>
      </w:r>
      <w:r>
        <w:rPr>
          <w:rFonts w:hint="eastAsia" w:ascii="宋体" w:hAnsi="宋体" w:cs="宋体"/>
          <w:sz w:val="28"/>
          <w:szCs w:val="28"/>
        </w:rPr>
        <w:t>第八章  采购合同</w:t>
      </w:r>
      <w:r>
        <w:rPr>
          <w:rFonts w:hint="eastAsia" w:ascii="宋体" w:hAnsi="宋体" w:cs="宋体"/>
          <w:sz w:val="28"/>
          <w:szCs w:val="28"/>
        </w:rPr>
        <w:tab/>
      </w:r>
      <w:bookmarkStart w:id="10" w:name="_Toc22236_WPSOffice_Level1Page"/>
      <w:r>
        <w:rPr>
          <w:rFonts w:hint="eastAsia" w:ascii="宋体" w:hAnsi="宋体" w:cs="宋体"/>
          <w:sz w:val="28"/>
          <w:szCs w:val="28"/>
        </w:rPr>
        <w:t>65</w:t>
      </w:r>
      <w:bookmarkEnd w:id="10"/>
      <w:r>
        <w:rPr>
          <w:rFonts w:hint="eastAsia" w:ascii="宋体" w:hAnsi="宋体" w:cs="宋体"/>
          <w:sz w:val="28"/>
          <w:szCs w:val="28"/>
        </w:rPr>
        <w:fldChar w:fldCharType="end"/>
      </w:r>
      <w:bookmarkEnd w:id="2"/>
    </w:p>
    <w:p>
      <w:pPr>
        <w:pStyle w:val="3"/>
        <w:rPr>
          <w:rFonts w:ascii="宋体" w:hAnsi="宋体" w:cs="宋体"/>
        </w:rPr>
      </w:pPr>
      <w:r>
        <w:rPr>
          <w:rFonts w:hint="eastAsia" w:ascii="宋体" w:hAnsi="宋体" w:cs="宋体"/>
        </w:rPr>
        <w:br w:type="page"/>
      </w:r>
      <w:bookmarkStart w:id="11" w:name="_Toc26904_WPSOffice_Level1"/>
      <w:r>
        <w:rPr>
          <w:rFonts w:hint="eastAsia" w:ascii="宋体" w:hAnsi="宋体" w:cs="宋体"/>
        </w:rPr>
        <w:t>第一章  投标邀请</w:t>
      </w:r>
      <w:bookmarkEnd w:id="11"/>
    </w:p>
    <w:p>
      <w:pPr>
        <w:spacing w:line="560" w:lineRule="exact"/>
        <w:ind w:firstLine="480" w:firstLineChars="200"/>
        <w:jc w:val="left"/>
        <w:rPr>
          <w:rFonts w:ascii="宋体" w:hAnsi="宋体" w:cs="宋体"/>
          <w:b/>
          <w:bCs/>
          <w:sz w:val="24"/>
          <w:szCs w:val="32"/>
        </w:rPr>
      </w:pPr>
      <w:r>
        <w:rPr>
          <w:rFonts w:hint="eastAsia" w:ascii="宋体" w:hAnsi="宋体" w:cs="宋体"/>
          <w:sz w:val="24"/>
          <w:u w:val="single"/>
        </w:rPr>
        <w:t>四川中舜招标代理有限公司</w:t>
      </w:r>
      <w:r>
        <w:rPr>
          <w:rFonts w:hint="eastAsia" w:ascii="宋体" w:hAnsi="宋体" w:cs="宋体"/>
          <w:sz w:val="24"/>
        </w:rPr>
        <w:t>受</w:t>
      </w:r>
      <w:r>
        <w:rPr>
          <w:rFonts w:hint="eastAsia" w:ascii="宋体" w:hAnsi="宋体" w:cs="宋体"/>
          <w:bCs/>
          <w:sz w:val="24"/>
          <w:u w:val="single"/>
        </w:rPr>
        <w:t>德阳市消防救援支队</w:t>
      </w:r>
      <w:r>
        <w:rPr>
          <w:rFonts w:hint="eastAsia" w:ascii="宋体" w:hAnsi="宋体" w:cs="宋体"/>
          <w:sz w:val="24"/>
        </w:rPr>
        <w:t>委托，拟对</w:t>
      </w:r>
      <w:r>
        <w:rPr>
          <w:rFonts w:hint="eastAsia" w:ascii="宋体" w:hAnsi="宋体" w:cs="宋体"/>
          <w:sz w:val="24"/>
          <w:u w:val="single"/>
        </w:rPr>
        <w:t>四川省消防救援总队“自然灾害应急能力提升工程”德阳支队消防装备建设项目-第四批</w:t>
      </w:r>
      <w:r>
        <w:rPr>
          <w:rFonts w:hint="eastAsia" w:ascii="宋体" w:hAnsi="宋体" w:cs="宋体"/>
          <w:sz w:val="24"/>
        </w:rPr>
        <w:t>进行国内</w:t>
      </w:r>
      <w:r>
        <w:rPr>
          <w:rFonts w:hint="eastAsia" w:ascii="宋体" w:hAnsi="宋体" w:cs="宋体"/>
          <w:bCs/>
          <w:sz w:val="24"/>
        </w:rPr>
        <w:t>公开</w:t>
      </w:r>
      <w:r>
        <w:rPr>
          <w:rFonts w:hint="eastAsia" w:ascii="宋体" w:hAnsi="宋体" w:cs="宋体"/>
          <w:sz w:val="24"/>
        </w:rPr>
        <w:t>招标，</w:t>
      </w:r>
      <w:r>
        <w:rPr>
          <w:rFonts w:hint="eastAsia" w:ascii="宋体" w:hAnsi="宋体" w:cs="宋体"/>
          <w:sz w:val="24"/>
          <w:szCs w:val="28"/>
        </w:rPr>
        <w:t>兹邀请符合本次招标要求的供应商参加</w:t>
      </w:r>
      <w:r>
        <w:rPr>
          <w:rFonts w:hint="eastAsia" w:ascii="宋体" w:hAnsi="宋体" w:cs="宋体"/>
          <w:sz w:val="24"/>
        </w:rPr>
        <w:t>投标</w:t>
      </w:r>
      <w:r>
        <w:rPr>
          <w:rFonts w:hint="eastAsia" w:ascii="宋体" w:hAnsi="宋体" w:cs="宋体"/>
          <w:sz w:val="24"/>
          <w:szCs w:val="28"/>
        </w:rPr>
        <w:t>。</w:t>
      </w:r>
    </w:p>
    <w:p>
      <w:pPr>
        <w:pStyle w:val="5"/>
        <w:numPr>
          <w:ilvl w:val="0"/>
          <w:numId w:val="4"/>
        </w:numPr>
        <w:spacing w:line="560" w:lineRule="exact"/>
        <w:ind w:leftChars="0"/>
        <w:rPr>
          <w:rFonts w:ascii="宋体" w:hAnsi="宋体" w:cs="宋体"/>
        </w:rPr>
      </w:pPr>
      <w:r>
        <w:rPr>
          <w:rFonts w:hint="eastAsia" w:ascii="宋体" w:hAnsi="宋体" w:cs="宋体"/>
        </w:rPr>
        <w:t>采购编号：</w:t>
      </w:r>
      <w:r>
        <w:rPr>
          <w:rFonts w:hint="eastAsia" w:ascii="微软雅黑" w:hAnsi="微软雅黑" w:eastAsia="微软雅黑" w:cs="微软雅黑"/>
          <w:color w:val="000000" w:themeColor="text1"/>
          <w:sz w:val="22"/>
          <w:szCs w:val="22"/>
          <w:shd w:val="clear" w:color="auto" w:fill="FFFFFF"/>
          <w14:textFill>
            <w14:solidFill>
              <w14:schemeClr w14:val="tx1"/>
            </w14:solidFill>
          </w14:textFill>
        </w:rPr>
        <w:t>SCZS-HW-2024-004</w:t>
      </w:r>
    </w:p>
    <w:p>
      <w:pPr>
        <w:pStyle w:val="5"/>
        <w:numPr>
          <w:ilvl w:val="0"/>
          <w:numId w:val="4"/>
        </w:numPr>
        <w:spacing w:line="560" w:lineRule="exact"/>
        <w:ind w:leftChars="0"/>
        <w:rPr>
          <w:rFonts w:ascii="宋体" w:hAnsi="宋体" w:cs="宋体"/>
        </w:rPr>
      </w:pPr>
      <w:r>
        <w:rPr>
          <w:rFonts w:hint="eastAsia" w:ascii="宋体" w:hAnsi="宋体" w:cs="宋体"/>
        </w:rPr>
        <w:t>招标项目：四川省消防救援总队“自然灾害应急能力提升工程”德阳支队消防装备建设项目-第四批</w:t>
      </w:r>
    </w:p>
    <w:p>
      <w:pPr>
        <w:pStyle w:val="5"/>
        <w:numPr>
          <w:ilvl w:val="0"/>
          <w:numId w:val="4"/>
        </w:numPr>
        <w:spacing w:line="560" w:lineRule="exact"/>
        <w:ind w:leftChars="0"/>
        <w:rPr>
          <w:rFonts w:ascii="宋体" w:hAnsi="宋体" w:cs="宋体"/>
        </w:rPr>
      </w:pPr>
      <w:r>
        <w:rPr>
          <w:rFonts w:hint="eastAsia" w:ascii="宋体" w:hAnsi="宋体" w:cs="宋体"/>
        </w:rPr>
        <w:t>资金来源：财政性资金；比例：100%；已落实</w:t>
      </w:r>
    </w:p>
    <w:p>
      <w:pPr>
        <w:pStyle w:val="5"/>
        <w:numPr>
          <w:ilvl w:val="0"/>
          <w:numId w:val="4"/>
        </w:numPr>
        <w:spacing w:line="560" w:lineRule="exact"/>
        <w:ind w:leftChars="0"/>
        <w:rPr>
          <w:rFonts w:ascii="宋体" w:hAnsi="宋体" w:cs="宋体"/>
        </w:rPr>
      </w:pPr>
      <w:r>
        <w:rPr>
          <w:rFonts w:hint="eastAsia" w:ascii="宋体" w:hAnsi="宋体" w:cs="宋体"/>
        </w:rPr>
        <w:t>招标项目简介：</w:t>
      </w:r>
    </w:p>
    <w:tbl>
      <w:tblPr>
        <w:tblStyle w:val="21"/>
        <w:tblpPr w:leftFromText="180" w:rightFromText="180" w:vertAnchor="text" w:horzAnchor="page" w:tblpX="1003" w:tblpY="551"/>
        <w:tblOverlap w:val="never"/>
        <w:tblW w:w="10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679"/>
        <w:gridCol w:w="2000"/>
        <w:gridCol w:w="472"/>
        <w:gridCol w:w="410"/>
        <w:gridCol w:w="1100"/>
        <w:gridCol w:w="1000"/>
        <w:gridCol w:w="1353"/>
        <w:gridCol w:w="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1221"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项目名称</w:t>
            </w:r>
          </w:p>
        </w:tc>
        <w:tc>
          <w:tcPr>
            <w:tcW w:w="679"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分包</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装备名称</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数量</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单位</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预算（万元）</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最高限价（万元）</w:t>
            </w:r>
          </w:p>
        </w:tc>
        <w:tc>
          <w:tcPr>
            <w:tcW w:w="1353"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交货期</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是否允许进口产品</w:t>
            </w:r>
          </w:p>
        </w:tc>
        <w:tc>
          <w:tcPr>
            <w:tcW w:w="99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是否专门面向中小企业采购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restart"/>
            <w:shd w:val="clear" w:color="auto" w:fill="auto"/>
            <w:vAlign w:val="center"/>
          </w:tcPr>
          <w:p>
            <w:pPr>
              <w:widowControl/>
              <w:jc w:val="center"/>
              <w:textAlignment w:val="center"/>
              <w:rPr>
                <w:rFonts w:ascii="宋体" w:hAnsi="宋体" w:cs="宋体"/>
                <w:color w:val="000000"/>
                <w:kern w:val="0"/>
                <w:szCs w:val="21"/>
                <w:lang w:bidi="ar"/>
              </w:rPr>
            </w:pPr>
          </w:p>
          <w:p>
            <w:pPr>
              <w:widowControl/>
              <w:jc w:val="center"/>
              <w:textAlignment w:val="center"/>
              <w:rPr>
                <w:rFonts w:ascii="宋体" w:hAnsi="宋体" w:cs="宋体"/>
                <w:color w:val="000000"/>
                <w:kern w:val="0"/>
                <w:szCs w:val="21"/>
                <w:lang w:bidi="ar"/>
              </w:rPr>
            </w:pPr>
          </w:p>
          <w:p>
            <w:pPr>
              <w:widowControl/>
              <w:jc w:val="center"/>
              <w:textAlignment w:val="center"/>
              <w:rPr>
                <w:rFonts w:ascii="宋体" w:hAnsi="宋体" w:cs="宋体"/>
                <w:color w:val="000000"/>
                <w:kern w:val="0"/>
                <w:szCs w:val="21"/>
                <w:lang w:bidi="ar"/>
              </w:rPr>
            </w:pPr>
          </w:p>
          <w:p>
            <w:pPr>
              <w:widowControl/>
              <w:jc w:val="center"/>
              <w:textAlignment w:val="center"/>
              <w:rPr>
                <w:rFonts w:ascii="宋体" w:hAnsi="宋体" w:cs="宋体"/>
                <w:color w:val="000000"/>
                <w:kern w:val="0"/>
                <w:szCs w:val="21"/>
                <w:lang w:bidi="ar"/>
              </w:rPr>
            </w:pPr>
          </w:p>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四川省消防救援总队“自然灾害应急能力提升工程”德阳支队消防装备建设项目-第四批</w:t>
            </w:r>
          </w:p>
        </w:tc>
        <w:tc>
          <w:tcPr>
            <w:tcW w:w="679"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充气帐篷（40m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顶</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3.6</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3.6</w:t>
            </w:r>
          </w:p>
        </w:tc>
        <w:tc>
          <w:tcPr>
            <w:tcW w:w="1353"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合同签订后60天内</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restart"/>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充气帐篷（60m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顶</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充气帐篷（100m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顶</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10</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10</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宿营方舱</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216</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216</w:t>
            </w:r>
          </w:p>
        </w:tc>
        <w:tc>
          <w:tcPr>
            <w:tcW w:w="1353" w:type="dxa"/>
            <w:vMerge w:val="continue"/>
            <w:shd w:val="clear" w:color="auto" w:fill="auto"/>
            <w:vAlign w:val="center"/>
          </w:tcPr>
          <w:p>
            <w:pPr>
              <w:widowControl/>
              <w:jc w:val="center"/>
              <w:textAlignment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空气充填泵</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7</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7</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摩托艇</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艘</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35.2</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35.2</w:t>
            </w:r>
          </w:p>
        </w:tc>
        <w:tc>
          <w:tcPr>
            <w:tcW w:w="1353"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合同签订后60天内</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restart"/>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硬质救援艇（冲锋舟）</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艘</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48</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48</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水下侧扫声呐</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70</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70</w:t>
            </w:r>
          </w:p>
        </w:tc>
        <w:tc>
          <w:tcPr>
            <w:tcW w:w="1353"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合同签订后60天内</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restart"/>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水下前视声呐</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89.6</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89.6</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水下推进器</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8.4</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8.4</w:t>
            </w:r>
          </w:p>
        </w:tc>
        <w:tc>
          <w:tcPr>
            <w:tcW w:w="1353"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合同签订后60天内</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restart"/>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水下破拆工具组</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14</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14</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充气式上浮系统</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8</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8</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无电切割刀</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2.4</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2.4</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金属弧水陆切割器</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4</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4</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水下电焊切割机</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2.5</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2.5</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水下摄像机</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40</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24</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24</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水下起吊工具组</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5.5</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5.5</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电动卷扬机</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4</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4</w:t>
            </w:r>
          </w:p>
        </w:tc>
        <w:tc>
          <w:tcPr>
            <w:tcW w:w="1353" w:type="dxa"/>
            <w:vMerge w:val="continue"/>
            <w:shd w:val="clear" w:color="auto" w:fill="auto"/>
            <w:vAlign w:val="center"/>
          </w:tcPr>
          <w:p>
            <w:pPr>
              <w:widowControl/>
              <w:jc w:val="center"/>
              <w:textAlignment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救援三角架</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3</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3</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kern w:val="0"/>
                <w:szCs w:val="21"/>
                <w:lang w:bidi="ar"/>
              </w:rPr>
              <w:t>水下无线通信系统</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13</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13</w:t>
            </w:r>
          </w:p>
        </w:tc>
        <w:tc>
          <w:tcPr>
            <w:tcW w:w="1353"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合同签订后60天内</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restart"/>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潜水全面罩</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37</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53.65</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53.65</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干式潜水衣</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16</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14.24</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14.24</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湿式潜水衣</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16</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8</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8</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潜水浮力装置</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16</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4.8</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4.8</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潜水气瓶</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48</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7.2</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7.2</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潜水调节器（含附件）</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18</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7.2</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7.2</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潜水电脑表</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32</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12.8</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12.8</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潜水装备套装</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32</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16</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16</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冰域呼吸器组件</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21</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组</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25.2</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25.2</w:t>
            </w:r>
          </w:p>
        </w:tc>
        <w:tc>
          <w:tcPr>
            <w:tcW w:w="1353"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合同签订后60天内</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restart"/>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冰面救援滑板</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5.6</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5.6</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冰面行动辅助套装</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9</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2.25</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2.25</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w:t>
            </w: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绳索救援套装</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29.4</w:t>
            </w:r>
          </w:p>
        </w:tc>
        <w:tc>
          <w:tcPr>
            <w:tcW w:w="1000" w:type="dxa"/>
            <w:shd w:val="clear" w:color="auto" w:fill="auto"/>
            <w:vAlign w:val="center"/>
          </w:tcPr>
          <w:p>
            <w:pPr>
              <w:widowControl/>
              <w:jc w:val="center"/>
              <w:textAlignment w:val="center"/>
              <w:rPr>
                <w:rFonts w:ascii="宋体" w:hAnsi="宋体" w:cs="宋体"/>
                <w:color w:val="000000"/>
                <w:kern w:val="0"/>
                <w:szCs w:val="21"/>
                <w:lang w:bidi="ar"/>
              </w:rPr>
            </w:pPr>
            <w:r>
              <w:rPr>
                <w:rFonts w:hint="eastAsia" w:ascii="仿宋" w:hAnsi="仿宋" w:eastAsia="仿宋" w:cs="仿宋"/>
                <w:color w:val="000000"/>
                <w:kern w:val="0"/>
                <w:sz w:val="22"/>
                <w:szCs w:val="22"/>
                <w:lang w:bidi="ar"/>
              </w:rPr>
              <w:t>29.4</w:t>
            </w:r>
          </w:p>
        </w:tc>
        <w:tc>
          <w:tcPr>
            <w:tcW w:w="1353" w:type="dxa"/>
            <w:vMerge w:val="restart"/>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合同签订后60天内</w:t>
            </w: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restart"/>
            <w:shd w:val="clear" w:color="auto" w:fill="auto"/>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锚固装备套装</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10</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10</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多功能省力系统</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3.1</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3.1</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全身吊带</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68</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13.6</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13.6</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滑轮套装</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70</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14</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14</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挂钩套装</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80</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套</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12</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12</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自动止坠器</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68</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18.36</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18.36</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自动锁定下降器</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52</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13</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13</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221" w:type="dxa"/>
            <w:vMerge w:val="continue"/>
            <w:shd w:val="clear" w:color="auto" w:fill="auto"/>
            <w:vAlign w:val="center"/>
          </w:tcPr>
          <w:p>
            <w:pPr>
              <w:jc w:val="center"/>
              <w:rPr>
                <w:rFonts w:ascii="宋体" w:hAnsi="宋体" w:cs="宋体"/>
                <w:color w:val="000000"/>
                <w:szCs w:val="21"/>
              </w:rPr>
            </w:pPr>
          </w:p>
        </w:tc>
        <w:tc>
          <w:tcPr>
            <w:tcW w:w="679" w:type="dxa"/>
            <w:vMerge w:val="continue"/>
            <w:shd w:val="clear" w:color="auto" w:fill="auto"/>
            <w:vAlign w:val="center"/>
          </w:tcPr>
          <w:p>
            <w:pPr>
              <w:jc w:val="center"/>
              <w:rPr>
                <w:rFonts w:ascii="宋体" w:hAnsi="宋体" w:cs="宋体"/>
                <w:color w:val="000000"/>
                <w:szCs w:val="21"/>
              </w:rPr>
            </w:pPr>
          </w:p>
        </w:tc>
        <w:tc>
          <w:tcPr>
            <w:tcW w:w="200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下降器</w:t>
            </w:r>
          </w:p>
        </w:tc>
        <w:tc>
          <w:tcPr>
            <w:tcW w:w="472"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50</w:t>
            </w:r>
          </w:p>
        </w:tc>
        <w:tc>
          <w:tcPr>
            <w:tcW w:w="41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个</w:t>
            </w:r>
          </w:p>
        </w:tc>
        <w:tc>
          <w:tcPr>
            <w:tcW w:w="11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10</w:t>
            </w:r>
          </w:p>
        </w:tc>
        <w:tc>
          <w:tcPr>
            <w:tcW w:w="1000" w:type="dxa"/>
            <w:shd w:val="clear" w:color="auto" w:fill="auto"/>
            <w:vAlign w:val="center"/>
          </w:tcPr>
          <w:p>
            <w:pPr>
              <w:widowControl/>
              <w:jc w:val="center"/>
              <w:textAlignment w:val="center"/>
              <w:rPr>
                <w:rFonts w:ascii="宋体" w:hAnsi="宋体" w:cs="宋体"/>
                <w:color w:val="000000"/>
                <w:szCs w:val="21"/>
              </w:rPr>
            </w:pPr>
            <w:r>
              <w:rPr>
                <w:rFonts w:hint="eastAsia" w:ascii="仿宋" w:hAnsi="仿宋" w:eastAsia="仿宋" w:cs="仿宋"/>
                <w:color w:val="000000"/>
                <w:kern w:val="0"/>
                <w:sz w:val="22"/>
                <w:szCs w:val="22"/>
                <w:lang w:bidi="ar"/>
              </w:rPr>
              <w:t>10</w:t>
            </w:r>
          </w:p>
        </w:tc>
        <w:tc>
          <w:tcPr>
            <w:tcW w:w="1353" w:type="dxa"/>
            <w:vMerge w:val="continue"/>
            <w:shd w:val="clear" w:color="auto" w:fill="auto"/>
            <w:vAlign w:val="center"/>
          </w:tcPr>
          <w:p>
            <w:pPr>
              <w:jc w:val="center"/>
              <w:rPr>
                <w:rFonts w:ascii="宋体" w:hAnsi="宋体" w:cs="宋体"/>
                <w:color w:val="000000"/>
                <w:szCs w:val="21"/>
              </w:rPr>
            </w:pPr>
          </w:p>
        </w:tc>
        <w:tc>
          <w:tcPr>
            <w:tcW w:w="890" w:type="dxa"/>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否</w:t>
            </w:r>
          </w:p>
        </w:tc>
        <w:tc>
          <w:tcPr>
            <w:tcW w:w="990" w:type="dxa"/>
            <w:vMerge w:val="continue"/>
            <w:shd w:val="clear" w:color="auto" w:fill="auto"/>
            <w:vAlign w:val="center"/>
          </w:tcPr>
          <w:p>
            <w:pPr>
              <w:widowControl/>
              <w:jc w:val="center"/>
              <w:textAlignment w:val="center"/>
              <w:rPr>
                <w:rFonts w:ascii="宋体" w:hAnsi="宋体" w:cs="宋体"/>
                <w:color w:val="000000"/>
                <w:kern w:val="0"/>
                <w:szCs w:val="21"/>
                <w:lang w:bidi="ar"/>
              </w:rPr>
            </w:pPr>
          </w:p>
        </w:tc>
      </w:tr>
    </w:tbl>
    <w:p>
      <w:pPr>
        <w:spacing w:line="560" w:lineRule="exact"/>
        <w:ind w:firstLine="480" w:firstLineChars="200"/>
        <w:jc w:val="left"/>
        <w:rPr>
          <w:rFonts w:ascii="宋体" w:hAnsi="宋体" w:cs="宋体"/>
          <w:sz w:val="24"/>
        </w:rPr>
      </w:pPr>
      <w:r>
        <w:rPr>
          <w:rFonts w:hint="eastAsia" w:ascii="宋体" w:hAnsi="宋体" w:cs="宋体"/>
          <w:sz w:val="24"/>
        </w:rPr>
        <w:t>1、采购清单</w:t>
      </w:r>
    </w:p>
    <w:p>
      <w:pPr>
        <w:spacing w:line="560" w:lineRule="exact"/>
        <w:ind w:firstLine="480" w:firstLineChars="200"/>
        <w:jc w:val="left"/>
        <w:rPr>
          <w:rFonts w:ascii="宋体" w:hAnsi="宋体" w:cs="宋体"/>
          <w:sz w:val="24"/>
        </w:rPr>
      </w:pPr>
      <w:r>
        <w:rPr>
          <w:rFonts w:hint="eastAsia" w:ascii="宋体" w:hAnsi="宋体" w:cs="宋体"/>
          <w:sz w:val="24"/>
        </w:rPr>
        <w:t>2、本项目落实的政府采购政策：政府采购促进中小企业发展政策、政府采购支持监狱企业发展政策、促进残疾人就业政府采购政策、扶持不发达地区和少数民族地区、政府采购强制购买节能产品政策、政府采购优先购买节能产品政策、政府采购优先购买环境标志产品政</w:t>
      </w:r>
      <w:r>
        <w:rPr>
          <w:rFonts w:hint="eastAsia" w:ascii="宋体" w:hAnsi="宋体" w:cs="宋体"/>
          <w:sz w:val="24"/>
          <w:lang w:val="en-US" w:eastAsia="zh-CN"/>
        </w:rPr>
        <w:t>策</w:t>
      </w:r>
      <w:r>
        <w:rPr>
          <w:rFonts w:hint="eastAsia" w:ascii="宋体" w:hAnsi="宋体" w:cs="宋体"/>
          <w:sz w:val="24"/>
        </w:rPr>
        <w:t>。</w:t>
      </w:r>
    </w:p>
    <w:p>
      <w:pPr>
        <w:spacing w:line="560" w:lineRule="exact"/>
        <w:ind w:firstLine="480" w:firstLineChars="200"/>
        <w:jc w:val="left"/>
        <w:rPr>
          <w:rFonts w:ascii="宋体" w:hAnsi="宋体" w:cs="宋体"/>
          <w:sz w:val="24"/>
        </w:rPr>
      </w:pPr>
      <w:r>
        <w:rPr>
          <w:rFonts w:hint="eastAsia" w:ascii="宋体" w:hAnsi="宋体" w:cs="宋体"/>
          <w:sz w:val="24"/>
        </w:rPr>
        <w:t>3、采购项目品目编码：</w:t>
      </w:r>
      <w:r>
        <w:rPr>
          <w:rFonts w:ascii="宋体" w:hAnsi="宋体" w:cs="宋体"/>
          <w:sz w:val="24"/>
        </w:rPr>
        <w:t>A</w:t>
      </w:r>
      <w:r>
        <w:rPr>
          <w:rFonts w:hint="eastAsia" w:ascii="宋体" w:hAnsi="宋体" w:cs="宋体"/>
          <w:sz w:val="24"/>
        </w:rPr>
        <w:t>02370100</w:t>
      </w:r>
    </w:p>
    <w:p>
      <w:pPr>
        <w:spacing w:line="560" w:lineRule="exact"/>
        <w:ind w:firstLine="480" w:firstLineChars="200"/>
        <w:jc w:val="left"/>
        <w:rPr>
          <w:rFonts w:ascii="宋体" w:hAnsi="宋体" w:cs="宋体"/>
          <w:sz w:val="24"/>
        </w:rPr>
      </w:pPr>
      <w:r>
        <w:rPr>
          <w:rFonts w:hint="eastAsia" w:ascii="宋体" w:hAnsi="宋体" w:cs="宋体"/>
          <w:sz w:val="24"/>
        </w:rPr>
        <w:t>4、本项目对应的中小企业划分标准所属行业：</w:t>
      </w:r>
      <w:r>
        <w:rPr>
          <w:rFonts w:hint="eastAsia" w:ascii="宋体" w:hAnsi="宋体" w:cs="宋体"/>
          <w:kern w:val="0"/>
          <w:sz w:val="24"/>
        </w:rPr>
        <w:t>工业。</w:t>
      </w:r>
    </w:p>
    <w:p>
      <w:pPr>
        <w:spacing w:line="560" w:lineRule="exact"/>
        <w:ind w:firstLine="480" w:firstLineChars="200"/>
        <w:jc w:val="left"/>
        <w:rPr>
          <w:rFonts w:ascii="宋体" w:hAnsi="宋体" w:cs="宋体"/>
          <w:kern w:val="0"/>
          <w:sz w:val="24"/>
        </w:rPr>
      </w:pPr>
      <w:r>
        <w:rPr>
          <w:rFonts w:hint="eastAsia" w:ascii="宋体" w:hAnsi="宋体" w:cs="宋体"/>
          <w:sz w:val="24"/>
        </w:rPr>
        <w:t>5、具体需求及要求详见招标文件第六章。</w:t>
      </w:r>
    </w:p>
    <w:p>
      <w:pPr>
        <w:spacing w:line="560" w:lineRule="exact"/>
        <w:ind w:firstLine="480" w:firstLineChars="200"/>
        <w:jc w:val="left"/>
        <w:rPr>
          <w:rFonts w:ascii="宋体" w:hAnsi="宋体" w:cs="宋体"/>
          <w:sz w:val="24"/>
        </w:rPr>
      </w:pPr>
      <w:r>
        <w:rPr>
          <w:rFonts w:hint="eastAsia" w:ascii="宋体" w:hAnsi="宋体" w:cs="宋体"/>
          <w:sz w:val="24"/>
        </w:rPr>
        <w:t>6、本项目不接受进口产品参与投标。</w:t>
      </w:r>
    </w:p>
    <w:p>
      <w:pPr>
        <w:pStyle w:val="5"/>
        <w:numPr>
          <w:ilvl w:val="0"/>
          <w:numId w:val="4"/>
        </w:numPr>
        <w:spacing w:line="560" w:lineRule="exact"/>
        <w:ind w:leftChars="0"/>
        <w:rPr>
          <w:rFonts w:ascii="宋体" w:hAnsi="宋体" w:cs="宋体"/>
        </w:rPr>
      </w:pPr>
      <w:r>
        <w:rPr>
          <w:rFonts w:hint="eastAsia" w:ascii="宋体" w:hAnsi="宋体" w:cs="宋体"/>
        </w:rPr>
        <w:t>供应商参加本次采购活动，应当在提交投标文件前具备下列条件：</w:t>
      </w:r>
    </w:p>
    <w:p>
      <w:pPr>
        <w:spacing w:line="560" w:lineRule="exact"/>
        <w:ind w:firstLine="480" w:firstLineChars="200"/>
        <w:jc w:val="left"/>
        <w:rPr>
          <w:rFonts w:ascii="宋体" w:hAnsi="宋体" w:cs="宋体"/>
          <w:sz w:val="24"/>
        </w:rPr>
      </w:pPr>
      <w:r>
        <w:rPr>
          <w:rFonts w:hint="eastAsia" w:ascii="宋体" w:hAnsi="宋体" w:cs="宋体"/>
          <w:sz w:val="24"/>
        </w:rPr>
        <w:t>1、具有独立承担民事责任的能力；</w:t>
      </w:r>
    </w:p>
    <w:p>
      <w:pPr>
        <w:spacing w:line="560" w:lineRule="exact"/>
        <w:ind w:firstLine="480" w:firstLineChars="200"/>
        <w:jc w:val="left"/>
        <w:rPr>
          <w:rFonts w:ascii="宋体" w:hAnsi="宋体" w:cs="宋体"/>
          <w:sz w:val="24"/>
        </w:rPr>
      </w:pPr>
      <w:r>
        <w:rPr>
          <w:rFonts w:hint="eastAsia" w:ascii="宋体" w:hAnsi="宋体" w:cs="宋体"/>
          <w:sz w:val="24"/>
        </w:rPr>
        <w:t>2、具有良好的商业信誉和健全的财务会计制度；</w:t>
      </w:r>
    </w:p>
    <w:p>
      <w:pPr>
        <w:spacing w:line="560" w:lineRule="exact"/>
        <w:ind w:firstLine="480" w:firstLineChars="200"/>
        <w:jc w:val="left"/>
        <w:rPr>
          <w:rFonts w:ascii="宋体" w:hAnsi="宋体" w:cs="宋体"/>
          <w:sz w:val="24"/>
        </w:rPr>
      </w:pPr>
      <w:r>
        <w:rPr>
          <w:rFonts w:hint="eastAsia" w:ascii="宋体" w:hAnsi="宋体" w:cs="宋体"/>
          <w:sz w:val="24"/>
        </w:rPr>
        <w:t>3、具有履行合同所必须的设备和专业技术能力；</w:t>
      </w:r>
    </w:p>
    <w:p>
      <w:pPr>
        <w:spacing w:line="560" w:lineRule="exact"/>
        <w:ind w:firstLine="480" w:firstLineChars="200"/>
        <w:jc w:val="left"/>
        <w:rPr>
          <w:rFonts w:ascii="宋体" w:hAnsi="宋体" w:cs="宋体"/>
          <w:sz w:val="24"/>
        </w:rPr>
      </w:pPr>
      <w:r>
        <w:rPr>
          <w:rFonts w:hint="eastAsia" w:ascii="宋体" w:hAnsi="宋体" w:cs="宋体"/>
          <w:sz w:val="24"/>
        </w:rPr>
        <w:t>4、具有依法缴纳税收和社会保障资金的良好记录；</w:t>
      </w:r>
    </w:p>
    <w:p>
      <w:pPr>
        <w:spacing w:line="560" w:lineRule="exact"/>
        <w:ind w:firstLine="480" w:firstLineChars="200"/>
        <w:jc w:val="left"/>
        <w:rPr>
          <w:rFonts w:ascii="宋体" w:hAnsi="宋体" w:cs="宋体"/>
          <w:sz w:val="24"/>
        </w:rPr>
      </w:pPr>
      <w:r>
        <w:rPr>
          <w:rFonts w:hint="eastAsia" w:ascii="宋体" w:hAnsi="宋体" w:cs="宋体"/>
          <w:sz w:val="24"/>
        </w:rPr>
        <w:t>5、参加本次政府采购活动前三年内，在经营活动中没有重大违法记录；</w:t>
      </w:r>
    </w:p>
    <w:p>
      <w:pPr>
        <w:spacing w:line="560" w:lineRule="exact"/>
        <w:ind w:firstLine="480" w:firstLineChars="200"/>
        <w:jc w:val="left"/>
        <w:rPr>
          <w:rFonts w:ascii="宋体" w:hAnsi="宋体" w:cs="宋体"/>
          <w:sz w:val="24"/>
        </w:rPr>
      </w:pPr>
      <w:r>
        <w:rPr>
          <w:rFonts w:hint="eastAsia" w:ascii="宋体" w:hAnsi="宋体" w:cs="宋体"/>
          <w:sz w:val="24"/>
        </w:rPr>
        <w:t>6、法律、行政法规规定的其他条件；</w:t>
      </w:r>
    </w:p>
    <w:p>
      <w:pPr>
        <w:spacing w:line="560" w:lineRule="exact"/>
        <w:ind w:firstLine="480" w:firstLineChars="200"/>
        <w:jc w:val="left"/>
        <w:rPr>
          <w:rFonts w:ascii="宋体" w:hAnsi="宋体" w:cs="宋体"/>
          <w:sz w:val="24"/>
        </w:rPr>
      </w:pPr>
      <w:r>
        <w:rPr>
          <w:rFonts w:hint="eastAsia" w:ascii="宋体" w:hAnsi="宋体" w:cs="宋体"/>
          <w:sz w:val="24"/>
        </w:rPr>
        <w:t>7、根据采购项目提出的特殊条件：</w:t>
      </w:r>
    </w:p>
    <w:p>
      <w:pPr>
        <w:spacing w:line="560" w:lineRule="exact"/>
        <w:ind w:left="420"/>
        <w:jc w:val="left"/>
        <w:rPr>
          <w:rFonts w:ascii="宋体" w:hAnsi="宋体"/>
          <w:sz w:val="24"/>
        </w:rPr>
      </w:pPr>
      <w:r>
        <w:rPr>
          <w:rFonts w:hint="eastAsia" w:ascii="宋体" w:hAnsi="宋体" w:cs="宋体"/>
          <w:sz w:val="24"/>
          <w:szCs w:val="28"/>
        </w:rPr>
        <w:t>7.1投标人及其现任法定代表人（非法人机构则为主要负责人）不得具有行贿犯罪记录；</w:t>
      </w:r>
    </w:p>
    <w:p>
      <w:pPr>
        <w:spacing w:line="560" w:lineRule="exact"/>
        <w:ind w:left="420"/>
        <w:jc w:val="left"/>
        <w:rPr>
          <w:rFonts w:ascii="宋体" w:hAnsi="宋体" w:cs="宋体"/>
          <w:sz w:val="24"/>
          <w:szCs w:val="28"/>
        </w:rPr>
      </w:pPr>
      <w:r>
        <w:rPr>
          <w:rFonts w:hint="eastAsia" w:ascii="宋体" w:hAnsi="宋体"/>
          <w:sz w:val="24"/>
        </w:rPr>
        <w:t>7.2</w:t>
      </w:r>
      <w:r>
        <w:rPr>
          <w:rFonts w:hint="eastAsia" w:ascii="宋体" w:hAnsi="宋体" w:cs="宋体"/>
          <w:sz w:val="24"/>
          <w:szCs w:val="28"/>
        </w:rPr>
        <w:t>投标人截止至本项目投标截止时间未被列入“信用中国”网站(www.creditchina.gov.cn)、“中国政府采购网”网站(www.ccgp.gov.cn) 中任一网站的失信被执行人名单或税收违法黑名单或政府采购严重违法失信行为记录名单；</w:t>
      </w:r>
    </w:p>
    <w:p>
      <w:pPr>
        <w:spacing w:line="560" w:lineRule="exact"/>
        <w:ind w:left="420"/>
        <w:jc w:val="left"/>
        <w:rPr>
          <w:rFonts w:ascii="宋体" w:hAnsi="宋体" w:cs="宋体"/>
          <w:sz w:val="24"/>
          <w:szCs w:val="28"/>
        </w:rPr>
      </w:pPr>
      <w:r>
        <w:rPr>
          <w:rFonts w:hint="eastAsia" w:ascii="宋体" w:hAnsi="宋体" w:cs="宋体"/>
          <w:sz w:val="24"/>
          <w:szCs w:val="28"/>
        </w:rPr>
        <w:t>7.3本项目第2、3、4、6、7包段为专门面向中小企业采购，投标人所投产品制造厂商须为《政府采购促进中小企业发展管理办法》 （ 财库 [2020]46 号）中所述中小企业或《关于政府采购支持监狱企业发展有关问 题的通知》 （财库 [2014]68 号） 中所述监狱企业或《关于促进残疾人就业政府采 购政策的通知》 （财库 〔 2017 〕 141 号） 中所述残疾人福利性单位。</w:t>
      </w:r>
    </w:p>
    <w:p>
      <w:pPr>
        <w:spacing w:line="560" w:lineRule="exact"/>
        <w:ind w:left="420"/>
        <w:jc w:val="left"/>
        <w:rPr>
          <w:rFonts w:ascii="宋体" w:hAnsi="宋体" w:cs="宋体"/>
          <w:sz w:val="24"/>
          <w:szCs w:val="28"/>
        </w:rPr>
      </w:pPr>
      <w:r>
        <w:rPr>
          <w:rFonts w:hint="eastAsia" w:ascii="宋体" w:hAnsi="宋体" w:cs="宋体"/>
          <w:sz w:val="24"/>
          <w:szCs w:val="28"/>
        </w:rPr>
        <w:t>7.4本项目不接受联合体投标。</w:t>
      </w:r>
    </w:p>
    <w:p>
      <w:pPr>
        <w:pStyle w:val="5"/>
        <w:numPr>
          <w:ilvl w:val="0"/>
          <w:numId w:val="4"/>
        </w:numPr>
        <w:spacing w:line="560" w:lineRule="exact"/>
        <w:ind w:leftChars="0"/>
        <w:rPr>
          <w:rFonts w:ascii="宋体" w:hAnsi="宋体" w:cs="宋体"/>
        </w:rPr>
      </w:pPr>
      <w:r>
        <w:rPr>
          <w:rFonts w:hint="eastAsia" w:ascii="宋体" w:hAnsi="宋体" w:cs="宋体"/>
        </w:rPr>
        <w:t>招标文件获取时间、地点：</w:t>
      </w:r>
    </w:p>
    <w:p>
      <w:pPr>
        <w:spacing w:line="560" w:lineRule="exact"/>
        <w:ind w:firstLine="480" w:firstLineChars="200"/>
        <w:rPr>
          <w:rFonts w:ascii="宋体" w:hAnsi="宋体" w:cs="宋体"/>
          <w:sz w:val="24"/>
        </w:rPr>
      </w:pPr>
      <w:r>
        <w:rPr>
          <w:rFonts w:hint="eastAsia" w:ascii="宋体" w:hAnsi="宋体" w:cs="宋体"/>
          <w:sz w:val="24"/>
        </w:rPr>
        <w:t>6.1供应商应自2024年</w:t>
      </w:r>
      <w:r>
        <w:rPr>
          <w:rFonts w:hint="eastAsia" w:ascii="宋体" w:hAnsi="宋体" w:cs="宋体"/>
          <w:sz w:val="24"/>
          <w:lang w:val="en-US" w:eastAsia="zh-CN"/>
        </w:rPr>
        <w:t>5</w:t>
      </w:r>
      <w:r>
        <w:rPr>
          <w:rFonts w:hint="eastAsia" w:ascii="宋体" w:hAnsi="宋体" w:cs="宋体"/>
          <w:sz w:val="24"/>
        </w:rPr>
        <w:t>月</w:t>
      </w:r>
      <w:r>
        <w:rPr>
          <w:rFonts w:hint="eastAsia" w:ascii="宋体" w:hAnsi="宋体" w:cs="宋体"/>
          <w:sz w:val="24"/>
          <w:lang w:val="en-US" w:eastAsia="zh-CN"/>
        </w:rPr>
        <w:t>6</w:t>
      </w:r>
      <w:r>
        <w:rPr>
          <w:rFonts w:hint="eastAsia" w:ascii="宋体" w:hAnsi="宋体" w:cs="宋体"/>
          <w:sz w:val="24"/>
        </w:rPr>
        <w:t>日至2024年5月</w:t>
      </w:r>
      <w:r>
        <w:rPr>
          <w:rFonts w:hint="eastAsia" w:ascii="宋体" w:hAnsi="宋体" w:cs="宋体"/>
          <w:sz w:val="24"/>
          <w:lang w:val="en-US" w:eastAsia="zh-CN"/>
        </w:rPr>
        <w:t>10</w:t>
      </w:r>
      <w:r>
        <w:rPr>
          <w:rFonts w:hint="eastAsia" w:ascii="宋体" w:hAnsi="宋体" w:cs="宋体"/>
          <w:sz w:val="24"/>
        </w:rPr>
        <w:t>日每日上午09:00-12:00，下午14:00-17:00（北京时间，法定节假日除外）通过网络方式进行报名，凡有意参加本次招标的供应商，请自行在本采购项目采购公告网页附件中下载投标报名登记表，在投标报名登记表中录入单位信息后，与经办人介绍信及身份扫描件发送至3810246085@qq.com邮箱。</w:t>
      </w:r>
    </w:p>
    <w:p>
      <w:pPr>
        <w:spacing w:line="560" w:lineRule="exact"/>
        <w:ind w:firstLine="480" w:firstLineChars="200"/>
        <w:rPr>
          <w:rFonts w:ascii="宋体" w:hAnsi="宋体" w:cs="宋体"/>
          <w:sz w:val="24"/>
        </w:rPr>
      </w:pPr>
      <w:r>
        <w:rPr>
          <w:rFonts w:hint="eastAsia" w:ascii="宋体" w:hAnsi="宋体" w:cs="宋体"/>
          <w:sz w:val="24"/>
        </w:rPr>
        <w:t>6.2本项目招标文件有偿获取，招标文件售价：人民币300元/</w:t>
      </w:r>
      <w:r>
        <w:rPr>
          <w:rFonts w:hint="eastAsia" w:ascii="宋体" w:hAnsi="宋体" w:cs="宋体"/>
          <w:sz w:val="24"/>
          <w:lang w:val="en-US" w:eastAsia="zh-CN"/>
        </w:rPr>
        <w:t>包</w:t>
      </w:r>
      <w:r>
        <w:rPr>
          <w:rFonts w:hint="eastAsia" w:ascii="宋体" w:hAnsi="宋体" w:cs="宋体"/>
          <w:sz w:val="24"/>
        </w:rPr>
        <w:t>（招标文件售后不退, 投标资格不能转让），网上报名的联系人袁先生，联系电话028-85217987、17311344113。</w:t>
      </w:r>
    </w:p>
    <w:p>
      <w:pPr>
        <w:spacing w:line="560" w:lineRule="exact"/>
        <w:ind w:firstLine="480" w:firstLineChars="200"/>
        <w:rPr>
          <w:rFonts w:ascii="宋体" w:hAnsi="宋体" w:cs="宋体"/>
          <w:sz w:val="24"/>
        </w:rPr>
      </w:pPr>
      <w:r>
        <w:rPr>
          <w:rFonts w:hint="eastAsia" w:ascii="宋体" w:hAnsi="宋体" w:cs="宋体"/>
          <w:sz w:val="24"/>
        </w:rPr>
        <w:t>6.3标书款收取方式：1.现金（含微信、支付宝转账方式）；2.银行转账或电汇，收款单位：四川中舜招标代理有限公司；账号：117125000000109；开户行：大连银行股份有限公司成都天府支行。以银行转账或电汇方式缴纳标书款的，交款时间以银行下账时间为准，下账截止时间同招标文件发售截止时间。</w:t>
      </w:r>
    </w:p>
    <w:p>
      <w:pPr>
        <w:spacing w:line="560" w:lineRule="exact"/>
        <w:ind w:firstLine="480" w:firstLineChars="200"/>
        <w:rPr>
          <w:rFonts w:ascii="宋体" w:hAnsi="宋体" w:cs="宋体"/>
          <w:sz w:val="24"/>
        </w:rPr>
      </w:pPr>
      <w:r>
        <w:rPr>
          <w:rFonts w:hint="eastAsia" w:ascii="宋体" w:hAnsi="宋体" w:cs="宋体"/>
          <w:sz w:val="24"/>
        </w:rPr>
        <w:t>6.4未购买招标文件并登记备案的供应商不得参加本项目投标。</w:t>
      </w:r>
    </w:p>
    <w:p>
      <w:pPr>
        <w:pStyle w:val="5"/>
        <w:numPr>
          <w:ilvl w:val="0"/>
          <w:numId w:val="4"/>
        </w:numPr>
        <w:spacing w:line="560" w:lineRule="exact"/>
        <w:ind w:leftChars="0"/>
        <w:rPr>
          <w:rFonts w:ascii="宋体" w:hAnsi="宋体" w:cs="宋体"/>
        </w:rPr>
      </w:pPr>
      <w:r>
        <w:rPr>
          <w:rFonts w:hint="eastAsia" w:ascii="宋体" w:hAnsi="宋体" w:cs="宋体"/>
        </w:rPr>
        <w:t>投标截止时间及开标时间：2024年5月</w:t>
      </w:r>
      <w:r>
        <w:rPr>
          <w:rFonts w:hint="eastAsia" w:ascii="宋体" w:hAnsi="宋体" w:cs="宋体"/>
          <w:lang w:val="en-US" w:eastAsia="zh-CN"/>
        </w:rPr>
        <w:t>29</w:t>
      </w:r>
      <w:r>
        <w:rPr>
          <w:rFonts w:hint="eastAsia" w:ascii="宋体" w:hAnsi="宋体" w:cs="宋体"/>
        </w:rPr>
        <w:t>日09:30（北京时间）。</w:t>
      </w:r>
    </w:p>
    <w:p>
      <w:pPr>
        <w:pStyle w:val="13"/>
        <w:spacing w:line="560" w:lineRule="exact"/>
        <w:ind w:firstLine="480"/>
        <w:rPr>
          <w:rFonts w:ascii="宋体" w:hAnsi="宋体" w:cs="宋体"/>
          <w:sz w:val="24"/>
          <w:szCs w:val="28"/>
        </w:rPr>
      </w:pPr>
      <w:r>
        <w:rPr>
          <w:rFonts w:hint="eastAsia" w:ascii="宋体" w:hAnsi="宋体" w:cs="宋体"/>
          <w:sz w:val="24"/>
          <w:szCs w:val="28"/>
        </w:rPr>
        <w:t>投标文件必须在投标截止时间前送达开标地点。逾期送达的或未按照招标文件要求密封的投标文件不予接收。本次招标不接受邮寄的投标文件。</w:t>
      </w:r>
    </w:p>
    <w:p>
      <w:pPr>
        <w:pStyle w:val="5"/>
        <w:numPr>
          <w:ilvl w:val="0"/>
          <w:numId w:val="4"/>
        </w:numPr>
        <w:spacing w:line="560" w:lineRule="exact"/>
        <w:ind w:leftChars="0"/>
        <w:rPr>
          <w:rFonts w:ascii="宋体" w:hAnsi="宋体" w:cs="宋体"/>
        </w:rPr>
      </w:pPr>
      <w:r>
        <w:rPr>
          <w:rFonts w:hint="eastAsia" w:ascii="宋体" w:hAnsi="宋体" w:cs="宋体"/>
        </w:rPr>
        <w:t>开标地点：</w:t>
      </w:r>
      <w:r>
        <w:rPr>
          <w:rFonts w:hint="eastAsia" w:ascii="宋体" w:hAnsi="宋体" w:cs="宋体"/>
          <w:b w:val="0"/>
        </w:rPr>
        <w:t>四川中舜招标代理有限公司本项目开标室（地址：成都市武侯区武青南路86号兆信中心4栋1楼企业服务中心会议室08号）。</w:t>
      </w:r>
    </w:p>
    <w:p>
      <w:pPr>
        <w:pStyle w:val="5"/>
        <w:numPr>
          <w:ilvl w:val="0"/>
          <w:numId w:val="4"/>
        </w:numPr>
        <w:spacing w:line="560" w:lineRule="exact"/>
        <w:ind w:leftChars="0"/>
        <w:rPr>
          <w:rFonts w:ascii="宋体" w:hAnsi="宋体" w:cs="宋体"/>
        </w:rPr>
      </w:pPr>
      <w:r>
        <w:rPr>
          <w:rFonts w:hint="eastAsia" w:ascii="宋体" w:hAnsi="宋体" w:cs="宋体"/>
        </w:rPr>
        <w:t>本投标邀请在中国政府采购网上以公告形式发布，公告期限为发布之日起5个工作日。</w:t>
      </w:r>
    </w:p>
    <w:p>
      <w:pPr>
        <w:pStyle w:val="5"/>
        <w:numPr>
          <w:ilvl w:val="0"/>
          <w:numId w:val="4"/>
        </w:numPr>
        <w:spacing w:line="560" w:lineRule="exact"/>
        <w:ind w:leftChars="0"/>
        <w:rPr>
          <w:rFonts w:ascii="宋体" w:hAnsi="宋体" w:cs="宋体"/>
        </w:rPr>
      </w:pPr>
      <w:r>
        <w:rPr>
          <w:rFonts w:hint="eastAsia" w:ascii="宋体" w:hAnsi="宋体" w:cs="宋体"/>
        </w:rPr>
        <w:t>联系方式</w:t>
      </w:r>
    </w:p>
    <w:p>
      <w:pPr>
        <w:pStyle w:val="13"/>
        <w:spacing w:line="560" w:lineRule="exact"/>
        <w:ind w:firstLine="480"/>
        <w:rPr>
          <w:rFonts w:ascii="宋体" w:hAnsi="宋体" w:cs="宋体"/>
          <w:sz w:val="24"/>
          <w:szCs w:val="28"/>
        </w:rPr>
      </w:pPr>
      <w:r>
        <w:rPr>
          <w:rFonts w:hint="eastAsia" w:ascii="宋体" w:hAnsi="宋体" w:cs="宋体"/>
          <w:sz w:val="24"/>
          <w:szCs w:val="28"/>
        </w:rPr>
        <w:t>采购人：德阳市消防救援支队</w:t>
      </w:r>
    </w:p>
    <w:p>
      <w:pPr>
        <w:pStyle w:val="13"/>
        <w:spacing w:line="560" w:lineRule="exact"/>
        <w:ind w:firstLine="480"/>
        <w:rPr>
          <w:rFonts w:ascii="宋体" w:hAnsi="宋体" w:cs="宋体"/>
          <w:sz w:val="24"/>
          <w:szCs w:val="28"/>
        </w:rPr>
      </w:pPr>
      <w:r>
        <w:rPr>
          <w:rFonts w:hint="eastAsia" w:ascii="宋体" w:hAnsi="宋体" w:cs="宋体"/>
          <w:sz w:val="24"/>
          <w:szCs w:val="28"/>
        </w:rPr>
        <w:t>地  址：</w:t>
      </w:r>
      <w:r>
        <w:rPr>
          <w:rFonts w:hint="eastAsia" w:ascii="宋体"/>
          <w:sz w:val="24"/>
          <w:lang w:val="zh-TW"/>
        </w:rPr>
        <w:t>德阳市旌阳区岷山路二段</w:t>
      </w:r>
    </w:p>
    <w:p>
      <w:pPr>
        <w:pStyle w:val="13"/>
        <w:spacing w:line="560" w:lineRule="exact"/>
        <w:ind w:firstLine="480"/>
        <w:rPr>
          <w:rFonts w:ascii="宋体" w:hAnsi="宋体" w:cs="宋体"/>
          <w:sz w:val="24"/>
          <w:szCs w:val="28"/>
        </w:rPr>
      </w:pPr>
      <w:r>
        <w:rPr>
          <w:rFonts w:hint="eastAsia" w:ascii="宋体" w:hAnsi="宋体" w:cs="宋体"/>
          <w:sz w:val="24"/>
          <w:szCs w:val="28"/>
        </w:rPr>
        <w:t>联系人：</w:t>
      </w:r>
      <w:r>
        <w:rPr>
          <w:rFonts w:hint="eastAsia" w:cs="宋体"/>
          <w:sz w:val="24"/>
        </w:rPr>
        <w:t>马老师</w:t>
      </w:r>
    </w:p>
    <w:p>
      <w:pPr>
        <w:pStyle w:val="13"/>
        <w:spacing w:line="560" w:lineRule="exact"/>
        <w:ind w:firstLine="480"/>
        <w:rPr>
          <w:rFonts w:ascii="宋体" w:hAnsi="宋体" w:cs="宋体"/>
          <w:sz w:val="24"/>
          <w:szCs w:val="28"/>
        </w:rPr>
      </w:pPr>
      <w:r>
        <w:rPr>
          <w:rFonts w:hint="eastAsia" w:ascii="宋体" w:hAnsi="宋体" w:cs="宋体"/>
          <w:sz w:val="24"/>
          <w:szCs w:val="28"/>
        </w:rPr>
        <w:t>联系电话：</w:t>
      </w:r>
      <w:r>
        <w:rPr>
          <w:rFonts w:hint="eastAsia" w:ascii="宋体"/>
          <w:sz w:val="24"/>
          <w:szCs w:val="21"/>
        </w:rPr>
        <w:t>0838-2657931</w:t>
      </w:r>
    </w:p>
    <w:p>
      <w:pPr>
        <w:pStyle w:val="13"/>
        <w:spacing w:line="560" w:lineRule="exact"/>
        <w:ind w:firstLine="480"/>
        <w:rPr>
          <w:rFonts w:ascii="宋体" w:hAnsi="宋体" w:cs="宋体"/>
          <w:sz w:val="24"/>
          <w:szCs w:val="28"/>
        </w:rPr>
      </w:pPr>
      <w:r>
        <w:rPr>
          <w:rFonts w:hint="eastAsia" w:ascii="宋体" w:hAnsi="宋体" w:cs="宋体"/>
          <w:sz w:val="24"/>
          <w:szCs w:val="28"/>
        </w:rPr>
        <w:t>采购代理机构：四川中舜招标代理有限公司</w:t>
      </w:r>
    </w:p>
    <w:p>
      <w:pPr>
        <w:pStyle w:val="13"/>
        <w:spacing w:line="560" w:lineRule="exact"/>
        <w:ind w:firstLine="480"/>
        <w:rPr>
          <w:rFonts w:ascii="宋体" w:hAnsi="宋体" w:cs="宋体"/>
          <w:sz w:val="24"/>
          <w:szCs w:val="28"/>
        </w:rPr>
      </w:pPr>
      <w:r>
        <w:rPr>
          <w:rFonts w:hint="eastAsia" w:ascii="宋体" w:hAnsi="宋体" w:cs="宋体"/>
          <w:sz w:val="24"/>
          <w:szCs w:val="28"/>
        </w:rPr>
        <w:t>地  址：成都市武侯区兆信中心4栋11楼1116号</w:t>
      </w:r>
    </w:p>
    <w:p>
      <w:pPr>
        <w:pStyle w:val="13"/>
        <w:spacing w:line="560" w:lineRule="exact"/>
        <w:ind w:firstLine="480"/>
        <w:rPr>
          <w:rFonts w:ascii="宋体" w:hAnsi="宋体" w:cs="宋体"/>
          <w:sz w:val="24"/>
          <w:szCs w:val="28"/>
        </w:rPr>
      </w:pPr>
      <w:r>
        <w:rPr>
          <w:rFonts w:hint="eastAsia" w:ascii="宋体" w:hAnsi="宋体" w:cs="宋体"/>
          <w:sz w:val="24"/>
          <w:szCs w:val="28"/>
        </w:rPr>
        <w:t>邮    编：610000</w:t>
      </w:r>
    </w:p>
    <w:p>
      <w:pPr>
        <w:pStyle w:val="13"/>
        <w:spacing w:line="560" w:lineRule="exact"/>
        <w:ind w:firstLine="480"/>
        <w:rPr>
          <w:rFonts w:ascii="宋体" w:hAnsi="宋体" w:cs="宋体"/>
          <w:sz w:val="24"/>
          <w:szCs w:val="28"/>
        </w:rPr>
      </w:pPr>
      <w:r>
        <w:rPr>
          <w:rFonts w:hint="eastAsia" w:ascii="宋体" w:hAnsi="宋体" w:cs="宋体"/>
          <w:sz w:val="24"/>
          <w:szCs w:val="28"/>
        </w:rPr>
        <w:t>联 系 人：袁先生</w:t>
      </w:r>
    </w:p>
    <w:p>
      <w:pPr>
        <w:pStyle w:val="13"/>
        <w:spacing w:line="560" w:lineRule="exact"/>
        <w:ind w:firstLine="480"/>
        <w:rPr>
          <w:rFonts w:ascii="宋体" w:hAnsi="宋体" w:cs="宋体"/>
          <w:sz w:val="24"/>
          <w:szCs w:val="28"/>
        </w:rPr>
      </w:pPr>
      <w:r>
        <w:rPr>
          <w:rFonts w:hint="eastAsia" w:ascii="宋体" w:hAnsi="宋体" w:cs="宋体"/>
          <w:sz w:val="24"/>
          <w:szCs w:val="28"/>
        </w:rPr>
        <w:t>联系电话：028-85217987、17311344113</w:t>
      </w:r>
    </w:p>
    <w:p>
      <w:pPr>
        <w:pStyle w:val="13"/>
        <w:spacing w:line="560" w:lineRule="exact"/>
        <w:ind w:firstLine="480"/>
        <w:rPr>
          <w:sz w:val="24"/>
        </w:rPr>
      </w:pPr>
      <w:r>
        <w:rPr>
          <w:rFonts w:hint="eastAsia" w:ascii="宋体" w:hAnsi="宋体" w:cs="宋体"/>
          <w:sz w:val="24"/>
          <w:szCs w:val="28"/>
        </w:rPr>
        <w:t>传    真：028-85217987</w:t>
      </w:r>
    </w:p>
    <w:p>
      <w:pPr>
        <w:pStyle w:val="3"/>
        <w:rPr>
          <w:rFonts w:ascii="宋体" w:hAnsi="宋体" w:cs="宋体"/>
        </w:rPr>
      </w:pPr>
      <w:bookmarkStart w:id="12" w:name="_Toc217446031"/>
      <w:bookmarkStart w:id="13" w:name="_Toc213396759"/>
      <w:bookmarkStart w:id="14" w:name="_Toc213397009"/>
      <w:bookmarkStart w:id="15" w:name="_Toc213496267"/>
      <w:bookmarkStart w:id="16" w:name="_Toc213396945"/>
      <w:r>
        <w:rPr>
          <w:rFonts w:hint="eastAsia" w:ascii="宋体" w:hAnsi="宋体" w:cs="宋体"/>
        </w:rPr>
        <w:br w:type="page"/>
      </w:r>
      <w:bookmarkStart w:id="17" w:name="_Toc8148_WPSOffice_Level1"/>
      <w:r>
        <w:rPr>
          <w:rFonts w:hint="eastAsia" w:ascii="宋体" w:hAnsi="宋体" w:cs="宋体"/>
        </w:rPr>
        <w:t>第二章  投标人须知</w:t>
      </w:r>
      <w:bookmarkEnd w:id="17"/>
    </w:p>
    <w:p>
      <w:pPr>
        <w:pStyle w:val="4"/>
        <w:spacing w:before="120" w:after="120"/>
        <w:rPr>
          <w:rFonts w:ascii="宋体" w:hAnsi="宋体" w:cs="宋体"/>
        </w:rPr>
      </w:pPr>
      <w:r>
        <w:rPr>
          <w:rFonts w:hint="eastAsia" w:ascii="宋体" w:hAnsi="宋体" w:cs="宋体"/>
        </w:rPr>
        <w:t>一、投标人须知附表</w:t>
      </w:r>
    </w:p>
    <w:bookmarkEnd w:id="12"/>
    <w:bookmarkEnd w:id="13"/>
    <w:bookmarkEnd w:id="14"/>
    <w:bookmarkEnd w:id="15"/>
    <w:bookmarkEnd w:id="16"/>
    <w:tbl>
      <w:tblPr>
        <w:tblStyle w:val="21"/>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8"/>
        <w:gridCol w:w="2552"/>
        <w:gridCol w:w="6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38" w:type="dxa"/>
            <w:vAlign w:val="center"/>
          </w:tcPr>
          <w:p>
            <w:pPr>
              <w:pStyle w:val="67"/>
              <w:spacing w:line="420" w:lineRule="exact"/>
              <w:ind w:left="9"/>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序号 </w:t>
            </w:r>
          </w:p>
        </w:tc>
        <w:tc>
          <w:tcPr>
            <w:tcW w:w="2552" w:type="dxa"/>
            <w:vAlign w:val="center"/>
          </w:tcPr>
          <w:p>
            <w:pPr>
              <w:pStyle w:val="67"/>
              <w:spacing w:line="420" w:lineRule="exact"/>
              <w:ind w:left="38"/>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条款名称</w:t>
            </w:r>
          </w:p>
        </w:tc>
        <w:tc>
          <w:tcPr>
            <w:tcW w:w="6111"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Merge w:val="restart"/>
            <w:vAlign w:val="center"/>
          </w:tcPr>
          <w:p>
            <w:pPr>
              <w:pStyle w:val="67"/>
              <w:spacing w:line="420" w:lineRule="exact"/>
              <w:ind w:right="23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552" w:type="dxa"/>
            <w:vAlign w:val="center"/>
          </w:tcPr>
          <w:p>
            <w:pPr>
              <w:pStyle w:val="67"/>
              <w:spacing w:line="420" w:lineRule="exact"/>
              <w:ind w:left="4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采购预算</w:t>
            </w:r>
          </w:p>
          <w:p>
            <w:pPr>
              <w:pStyle w:val="67"/>
              <w:spacing w:line="420" w:lineRule="exact"/>
              <w:ind w:left="4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（实质性要求）</w:t>
            </w:r>
          </w:p>
        </w:tc>
        <w:tc>
          <w:tcPr>
            <w:tcW w:w="6111" w:type="dxa"/>
            <w:vAlign w:val="center"/>
          </w:tcPr>
          <w:tbl>
            <w:tblPr>
              <w:tblStyle w:val="21"/>
              <w:tblW w:w="5309" w:type="dxa"/>
              <w:jc w:val="center"/>
              <w:tblLayout w:type="fixed"/>
              <w:tblCellMar>
                <w:top w:w="0" w:type="dxa"/>
                <w:left w:w="108" w:type="dxa"/>
                <w:bottom w:w="0" w:type="dxa"/>
                <w:right w:w="108" w:type="dxa"/>
              </w:tblCellMar>
            </w:tblPr>
            <w:tblGrid>
              <w:gridCol w:w="679"/>
              <w:gridCol w:w="2783"/>
              <w:gridCol w:w="1847"/>
            </w:tblGrid>
            <w:tr>
              <w:tblPrEx>
                <w:tblCellMar>
                  <w:top w:w="0" w:type="dxa"/>
                  <w:left w:w="108" w:type="dxa"/>
                  <w:bottom w:w="0" w:type="dxa"/>
                  <w:right w:w="108" w:type="dxa"/>
                </w:tblCellMar>
              </w:tblPrEx>
              <w:trPr>
                <w:trHeight w:val="23" w:hRule="atLeast"/>
                <w:jc w:val="center"/>
              </w:trPr>
              <w:tc>
                <w:tcPr>
                  <w:tcW w:w="6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包号</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产品名称</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采购预算（万元）</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充气帐篷（40m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3.6</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充气帐篷（60m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充气帐篷（100m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宿营方舱</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216</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空气充填泵</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摩托艇</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35.2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硬质救援艇（冲锋舟）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48</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水下侧扫声呐</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70</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水下前视声呐</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89.6</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水下推进器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8.4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水下破拆工具组</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充气式上浮系统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无电切割刀</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金属弧水陆切割器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水下电焊切割机</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2.5</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水下摄像机</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水下起吊工具组</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5.5</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电动卷扬机</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救援三角架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水下无线通信系统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13</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潜水全面罩</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53.65</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干式潜水衣</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14.24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湿式潜水衣</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潜水浮力装置</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潜水气瓶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潜水调节器（含附件）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潜水电脑表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潜水装备套装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16</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冰域呼吸器组件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25.2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冰面救援滑板</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5.6</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冰面行动辅助套装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2.25</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7</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绳索救援套装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29.4</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锚固装备套装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多功能省力系统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3.1</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全身吊带</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13.6</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滑轮套装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挂钩套装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自动止坠器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18.36</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自动锁定下降器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13</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下降器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r>
          </w:tbl>
          <w:p>
            <w:pPr>
              <w:pStyle w:val="67"/>
              <w:spacing w:line="4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超过</w:t>
            </w:r>
            <w:r>
              <w:rPr>
                <w:rFonts w:asciiTheme="minorEastAsia" w:hAnsiTheme="minorEastAsia" w:eastAsiaTheme="minorEastAsia"/>
                <w:sz w:val="24"/>
                <w:szCs w:val="24"/>
              </w:rPr>
              <w:t>预算</w:t>
            </w:r>
            <w:r>
              <w:rPr>
                <w:rFonts w:hint="eastAsia" w:asciiTheme="minorEastAsia" w:hAnsiTheme="minorEastAsia" w:eastAsiaTheme="minorEastAsia"/>
                <w:sz w:val="24"/>
                <w:szCs w:val="24"/>
              </w:rPr>
              <w:t>的投标为无效投标。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Merge w:val="continue"/>
            <w:vAlign w:val="center"/>
          </w:tcPr>
          <w:p>
            <w:pPr>
              <w:spacing w:line="420" w:lineRule="exact"/>
              <w:rPr>
                <w:rFonts w:cs="宋体" w:asciiTheme="minorEastAsia" w:hAnsiTheme="minorEastAsia" w:eastAsiaTheme="minorEastAsia"/>
                <w:sz w:val="24"/>
              </w:rPr>
            </w:pPr>
          </w:p>
        </w:tc>
        <w:tc>
          <w:tcPr>
            <w:tcW w:w="2552"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最高限价</w:t>
            </w:r>
          </w:p>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（实质性要求）</w:t>
            </w:r>
          </w:p>
        </w:tc>
        <w:tc>
          <w:tcPr>
            <w:tcW w:w="6111" w:type="dxa"/>
            <w:vAlign w:val="center"/>
          </w:tcPr>
          <w:tbl>
            <w:tblPr>
              <w:tblStyle w:val="21"/>
              <w:tblW w:w="5309" w:type="dxa"/>
              <w:jc w:val="center"/>
              <w:tblLayout w:type="fixed"/>
              <w:tblCellMar>
                <w:top w:w="0" w:type="dxa"/>
                <w:left w:w="108" w:type="dxa"/>
                <w:bottom w:w="0" w:type="dxa"/>
                <w:right w:w="108" w:type="dxa"/>
              </w:tblCellMar>
            </w:tblPr>
            <w:tblGrid>
              <w:gridCol w:w="679"/>
              <w:gridCol w:w="2783"/>
              <w:gridCol w:w="1847"/>
            </w:tblGrid>
            <w:tr>
              <w:tblPrEx>
                <w:tblCellMar>
                  <w:top w:w="0" w:type="dxa"/>
                  <w:left w:w="108" w:type="dxa"/>
                  <w:bottom w:w="0" w:type="dxa"/>
                  <w:right w:w="108" w:type="dxa"/>
                </w:tblCellMar>
              </w:tblPrEx>
              <w:trPr>
                <w:trHeight w:val="23" w:hRule="atLeast"/>
                <w:jc w:val="center"/>
              </w:trPr>
              <w:tc>
                <w:tcPr>
                  <w:tcW w:w="6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包号</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产品名称</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最高限价（万元）</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充气帐篷（40m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3.6</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充气帐篷（60m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充气帐篷（100m</w:t>
                  </w:r>
                  <w:r>
                    <w:rPr>
                      <w:rFonts w:hint="eastAsia" w:ascii="宋体" w:hAnsi="宋体" w:cs="宋体"/>
                      <w:color w:val="000000"/>
                      <w:kern w:val="0"/>
                      <w:szCs w:val="21"/>
                      <w:vertAlign w:val="superscript"/>
                      <w:lang w:bidi="ar"/>
                    </w:rPr>
                    <w:t>2</w:t>
                  </w:r>
                  <w:r>
                    <w:rPr>
                      <w:rFonts w:hint="eastAsia" w:ascii="宋体" w:hAnsi="宋体" w:cs="宋体"/>
                      <w:color w:val="000000"/>
                      <w:kern w:val="0"/>
                      <w:szCs w:val="21"/>
                      <w:lang w:bidi="ar"/>
                    </w:rPr>
                    <w:t>）</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宿营方舱</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216</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空气充填泵</w:t>
                  </w:r>
                </w:p>
              </w:tc>
              <w:tc>
                <w:tcPr>
                  <w:tcW w:w="18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摩托艇</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35.2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硬质救援艇（冲锋舟）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48</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水下侧扫声呐</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70</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水下前视声呐</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89.6</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水下推进器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8.4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水下破拆工具组</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充气式上浮系统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无电切割刀</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金属弧水陆切割器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水下电焊切割机</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2.5</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水下摄像机</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水下起吊工具组</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5.5</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电动卷扬机</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救援三角架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水下无线通信系统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13</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潜水全面罩</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53.65</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干式潜水衣</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14.24</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湿式潜水衣</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潜水浮力装置</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潜水气瓶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潜水调节器（含附件）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7.2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潜水电脑表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12.8</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潜水装备套装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16</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6</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冰域呼吸器组件</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25.2</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冰面救援滑板</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5.6</w:t>
                  </w:r>
                </w:p>
              </w:tc>
            </w:tr>
            <w:tr>
              <w:tblPrEx>
                <w:tblCellMar>
                  <w:top w:w="0" w:type="dxa"/>
                  <w:left w:w="108" w:type="dxa"/>
                  <w:bottom w:w="0" w:type="dxa"/>
                  <w:right w:w="108" w:type="dxa"/>
                </w:tblCellMar>
              </w:tblPrEx>
              <w:trPr>
                <w:trHeight w:val="23" w:hRule="atLeast"/>
                <w:jc w:val="center"/>
              </w:trPr>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冰面行动辅助套装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2.25</w:t>
                  </w:r>
                </w:p>
              </w:tc>
            </w:tr>
            <w:tr>
              <w:tblPrEx>
                <w:tblCellMar>
                  <w:top w:w="0" w:type="dxa"/>
                  <w:left w:w="108" w:type="dxa"/>
                  <w:bottom w:w="0" w:type="dxa"/>
                  <w:right w:w="108" w:type="dxa"/>
                </w:tblCellMar>
              </w:tblPrEx>
              <w:trPr>
                <w:trHeight w:val="23" w:hRule="atLeast"/>
                <w:jc w:val="center"/>
              </w:trPr>
              <w:tc>
                <w:tcPr>
                  <w:tcW w:w="679" w:type="dxa"/>
                  <w:vMerge w:val="restart"/>
                  <w:tcBorders>
                    <w:top w:val="single" w:color="000000" w:sz="4" w:space="0"/>
                    <w:left w:val="single" w:color="000000" w:sz="4" w:space="0"/>
                    <w:right w:val="single" w:color="000000" w:sz="4" w:space="0"/>
                  </w:tcBorders>
                  <w:vAlign w:val="center"/>
                </w:tcPr>
                <w:p>
                  <w:pPr>
                    <w:jc w:val="center"/>
                    <w:rPr>
                      <w:rFonts w:ascii="宋体" w:hAnsi="宋体" w:cs="宋体"/>
                      <w:color w:val="000000"/>
                      <w:szCs w:val="21"/>
                    </w:rPr>
                  </w:pPr>
                  <w:r>
                    <w:rPr>
                      <w:rFonts w:hint="eastAsia" w:ascii="宋体" w:hAnsi="宋体" w:cs="宋体"/>
                      <w:color w:val="000000"/>
                      <w:szCs w:val="21"/>
                    </w:rPr>
                    <w:t>7</w:t>
                  </w: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绳索救援套装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29.4</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锚固装备套装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多功能省力系统</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3.1</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全身吊带</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13.6</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滑轮套装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14</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挂钩套装</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12</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自动止坠器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18.36</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自动锁定下降器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13</w:t>
                  </w:r>
                </w:p>
              </w:tc>
            </w:tr>
            <w:tr>
              <w:tblPrEx>
                <w:tblCellMar>
                  <w:top w:w="0" w:type="dxa"/>
                  <w:left w:w="108" w:type="dxa"/>
                  <w:bottom w:w="0" w:type="dxa"/>
                  <w:right w:w="108" w:type="dxa"/>
                </w:tblCellMar>
              </w:tblPrEx>
              <w:trPr>
                <w:trHeight w:val="23" w:hRule="atLeast"/>
                <w:jc w:val="center"/>
              </w:trPr>
              <w:tc>
                <w:tcPr>
                  <w:tcW w:w="679"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Cs w:val="21"/>
                    </w:rPr>
                  </w:pPr>
                </w:p>
              </w:tc>
              <w:tc>
                <w:tcPr>
                  <w:tcW w:w="27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下降器</w:t>
                  </w:r>
                </w:p>
              </w:tc>
              <w:tc>
                <w:tcPr>
                  <w:tcW w:w="1847" w:type="dxa"/>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10</w:t>
                  </w:r>
                </w:p>
              </w:tc>
            </w:tr>
          </w:tbl>
          <w:p>
            <w:pPr>
              <w:pStyle w:val="67"/>
              <w:spacing w:line="4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超过最高限价</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单个产品总价</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的投标为无效投标。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6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552"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采购文件咨询</w:t>
            </w:r>
          </w:p>
        </w:tc>
        <w:tc>
          <w:tcPr>
            <w:tcW w:w="6111" w:type="dxa"/>
            <w:vAlign w:val="center"/>
          </w:tcPr>
          <w:p>
            <w:pPr>
              <w:spacing w:line="420" w:lineRule="exact"/>
              <w:ind w:right="105" w:rightChars="50"/>
              <w:rPr>
                <w:rFonts w:cs="宋体" w:asciiTheme="minorEastAsia" w:hAnsiTheme="minorEastAsia" w:eastAsiaTheme="minorEastAsia"/>
                <w:sz w:val="24"/>
              </w:rPr>
            </w:pPr>
            <w:r>
              <w:rPr>
                <w:rFonts w:hint="eastAsia" w:cs="宋体" w:asciiTheme="minorEastAsia" w:hAnsiTheme="minorEastAsia" w:eastAsiaTheme="minorEastAsia"/>
                <w:sz w:val="24"/>
              </w:rPr>
              <w:t>联系人：</w:t>
            </w:r>
            <w:r>
              <w:rPr>
                <w:rFonts w:hint="eastAsia" w:cs="宋体" w:asciiTheme="minorEastAsia" w:hAnsiTheme="minorEastAsia" w:eastAsiaTheme="minorEastAsia"/>
                <w:sz w:val="24"/>
                <w:lang w:val="zh-CN"/>
              </w:rPr>
              <w:t>袁先生</w:t>
            </w:r>
          </w:p>
          <w:p>
            <w:pPr>
              <w:spacing w:line="420" w:lineRule="exact"/>
              <w:ind w:right="105" w:rightChars="50"/>
              <w:rPr>
                <w:rFonts w:cs="宋体" w:asciiTheme="minorEastAsia" w:hAnsiTheme="minorEastAsia" w:eastAsiaTheme="minorEastAsia"/>
                <w:sz w:val="24"/>
              </w:rPr>
            </w:pPr>
            <w:r>
              <w:rPr>
                <w:rFonts w:hint="eastAsia" w:cs="宋体" w:asciiTheme="minorEastAsia" w:hAnsiTheme="minorEastAsia" w:eastAsiaTheme="minorEastAsia"/>
                <w:sz w:val="24"/>
              </w:rPr>
              <w:t>联系电话：</w:t>
            </w:r>
            <w:r>
              <w:rPr>
                <w:rFonts w:hint="eastAsia" w:cs="宋体" w:asciiTheme="minorEastAsia" w:hAnsiTheme="minorEastAsia" w:eastAsiaTheme="minorEastAsia"/>
                <w:sz w:val="24"/>
                <w:lang w:val="zh-CN"/>
              </w:rPr>
              <w:t>028-85217987、17311344113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6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552"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答疑会</w:t>
            </w:r>
          </w:p>
        </w:tc>
        <w:tc>
          <w:tcPr>
            <w:tcW w:w="6111" w:type="dxa"/>
            <w:vAlign w:val="center"/>
          </w:tcPr>
          <w:p>
            <w:pPr>
              <w:spacing w:line="420" w:lineRule="exact"/>
              <w:ind w:right="105" w:rightChars="50"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本项目不组织开标前答疑会。投标人认为需要对招标文件进行澄清或者修改的，可以以书面形式向招标采购单位提出申请，但招标采购单位可以决定是否采纳投标人的申请事项。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6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552"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现场考察</w:t>
            </w:r>
          </w:p>
        </w:tc>
        <w:tc>
          <w:tcPr>
            <w:tcW w:w="6111" w:type="dxa"/>
            <w:vAlign w:val="center"/>
          </w:tcPr>
          <w:p>
            <w:pPr>
              <w:spacing w:line="420" w:lineRule="exact"/>
              <w:ind w:right="105" w:rightChars="50"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本项目不组织现场考察。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3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552" w:type="dxa"/>
            <w:vAlign w:val="center"/>
          </w:tcPr>
          <w:p>
            <w:pPr>
              <w:pStyle w:val="67"/>
              <w:spacing w:line="420" w:lineRule="exact"/>
              <w:ind w:left="96"/>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投标保证金</w:t>
            </w:r>
          </w:p>
        </w:tc>
        <w:tc>
          <w:tcPr>
            <w:tcW w:w="6111" w:type="dxa"/>
            <w:vAlign w:val="center"/>
          </w:tcPr>
          <w:tbl>
            <w:tblPr>
              <w:tblStyle w:val="22"/>
              <w:tblW w:w="61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4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包号</w:t>
                  </w:r>
                </w:p>
              </w:tc>
              <w:tc>
                <w:tcPr>
                  <w:tcW w:w="4732" w:type="dxa"/>
                </w:tcPr>
                <w:p>
                  <w:pPr>
                    <w:pStyle w:val="67"/>
                    <w:jc w:val="center"/>
                    <w:rPr>
                      <w:rFonts w:ascii="宋体" w:hAnsi="宋体"/>
                      <w:sz w:val="24"/>
                    </w:rPr>
                  </w:pPr>
                  <w:r>
                    <w:rPr>
                      <w:rFonts w:hint="eastAsia" w:ascii="宋体" w:hAnsi="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1</w:t>
                  </w:r>
                </w:p>
              </w:tc>
              <w:tc>
                <w:tcPr>
                  <w:tcW w:w="4732" w:type="dxa"/>
                </w:tcPr>
                <w:p>
                  <w:pPr>
                    <w:pStyle w:val="67"/>
                    <w:jc w:val="center"/>
                    <w:rPr>
                      <w:rFonts w:ascii="宋体" w:hAnsi="宋体"/>
                      <w:sz w:val="24"/>
                    </w:rPr>
                  </w:pPr>
                  <w:r>
                    <w:rPr>
                      <w:rFonts w:hint="eastAsia" w:ascii="宋体" w:hAnsi="宋体"/>
                      <w:sz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2</w:t>
                  </w:r>
                </w:p>
              </w:tc>
              <w:tc>
                <w:tcPr>
                  <w:tcW w:w="4732" w:type="dxa"/>
                </w:tcPr>
                <w:p>
                  <w:pPr>
                    <w:pStyle w:val="67"/>
                    <w:jc w:val="center"/>
                    <w:rPr>
                      <w:rFonts w:ascii="宋体" w:hAnsi="宋体"/>
                      <w:sz w:val="24"/>
                    </w:rPr>
                  </w:pPr>
                  <w:r>
                    <w:rPr>
                      <w:rFonts w:hint="eastAsia" w:ascii="宋体" w:hAnsi="宋体"/>
                      <w:sz w:val="24"/>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3</w:t>
                  </w:r>
                </w:p>
              </w:tc>
              <w:tc>
                <w:tcPr>
                  <w:tcW w:w="4732" w:type="dxa"/>
                </w:tcPr>
                <w:p>
                  <w:pPr>
                    <w:pStyle w:val="67"/>
                    <w:jc w:val="center"/>
                    <w:rPr>
                      <w:rFonts w:ascii="宋体" w:hAnsi="宋体"/>
                      <w:sz w:val="24"/>
                    </w:rPr>
                  </w:pPr>
                  <w:r>
                    <w:rPr>
                      <w:rFonts w:hint="eastAsia" w:ascii="宋体" w:hAnsi="宋体"/>
                      <w:sz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4</w:t>
                  </w:r>
                </w:p>
              </w:tc>
              <w:tc>
                <w:tcPr>
                  <w:tcW w:w="4732" w:type="dxa"/>
                </w:tcPr>
                <w:p>
                  <w:pPr>
                    <w:pStyle w:val="67"/>
                    <w:jc w:val="center"/>
                    <w:rPr>
                      <w:rFonts w:ascii="宋体" w:hAnsi="宋体"/>
                      <w:sz w:val="24"/>
                    </w:rPr>
                  </w:pPr>
                  <w:r>
                    <w:rPr>
                      <w:rFonts w:hint="eastAsia" w:ascii="宋体" w:hAnsi="宋体"/>
                      <w:sz w:val="24"/>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5</w:t>
                  </w:r>
                </w:p>
              </w:tc>
              <w:tc>
                <w:tcPr>
                  <w:tcW w:w="4732" w:type="dxa"/>
                </w:tcPr>
                <w:p>
                  <w:pPr>
                    <w:pStyle w:val="67"/>
                    <w:jc w:val="center"/>
                    <w:rPr>
                      <w:rFonts w:ascii="宋体" w:hAnsi="宋体"/>
                      <w:sz w:val="24"/>
                    </w:rPr>
                  </w:pPr>
                  <w:r>
                    <w:rPr>
                      <w:rFonts w:hint="eastAsia" w:ascii="宋体" w:hAnsi="宋体"/>
                      <w:sz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6</w:t>
                  </w:r>
                </w:p>
              </w:tc>
              <w:tc>
                <w:tcPr>
                  <w:tcW w:w="4732" w:type="dxa"/>
                </w:tcPr>
                <w:p>
                  <w:pPr>
                    <w:pStyle w:val="67"/>
                    <w:jc w:val="center"/>
                    <w:rPr>
                      <w:rFonts w:ascii="宋体" w:hAnsi="宋体"/>
                      <w:sz w:val="24"/>
                    </w:rPr>
                  </w:pPr>
                  <w:r>
                    <w:rPr>
                      <w:rFonts w:hint="eastAsia" w:ascii="宋体" w:hAnsi="宋体"/>
                      <w:sz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pStyle w:val="67"/>
                    <w:jc w:val="center"/>
                    <w:rPr>
                      <w:rFonts w:ascii="宋体" w:hAnsi="宋体"/>
                      <w:sz w:val="24"/>
                    </w:rPr>
                  </w:pPr>
                  <w:r>
                    <w:rPr>
                      <w:rFonts w:hint="eastAsia" w:ascii="宋体" w:hAnsi="宋体"/>
                      <w:sz w:val="24"/>
                    </w:rPr>
                    <w:t>7</w:t>
                  </w:r>
                </w:p>
              </w:tc>
              <w:tc>
                <w:tcPr>
                  <w:tcW w:w="4732" w:type="dxa"/>
                </w:tcPr>
                <w:p>
                  <w:pPr>
                    <w:pStyle w:val="67"/>
                    <w:jc w:val="center"/>
                    <w:rPr>
                      <w:rFonts w:ascii="宋体" w:hAnsi="宋体"/>
                      <w:sz w:val="24"/>
                    </w:rPr>
                  </w:pPr>
                  <w:r>
                    <w:rPr>
                      <w:rFonts w:hint="eastAsia" w:ascii="宋体" w:hAnsi="宋体"/>
                      <w:sz w:val="24"/>
                    </w:rPr>
                    <w:t>10000</w:t>
                  </w:r>
                </w:p>
              </w:tc>
            </w:tr>
          </w:tbl>
          <w:p>
            <w:pPr>
              <w:pStyle w:val="66"/>
              <w:spacing w:line="360" w:lineRule="auto"/>
              <w:ind w:firstLine="480" w:firstLineChars="200"/>
              <w:jc w:val="both"/>
            </w:pPr>
            <w:r>
              <w:rPr>
                <w:rFonts w:hint="eastAsia"/>
              </w:rPr>
              <w:t>交纳方式：支票、汇票、本票或者银行出具的保函等非现金形式提交。（包括转账、汇款）</w:t>
            </w:r>
          </w:p>
          <w:p>
            <w:pPr>
              <w:pStyle w:val="66"/>
              <w:spacing w:line="360" w:lineRule="auto"/>
              <w:ind w:firstLine="480" w:firstLineChars="200"/>
              <w:jc w:val="both"/>
            </w:pPr>
            <w:r>
              <w:rPr>
                <w:rFonts w:hint="eastAsia"/>
              </w:rPr>
              <w:t>①采用除保函外的支票、汇票、本票等非现金方式提交投标保证金的，投标保证金应通过供应商帐户交纳，投标保证金交款回单（或电子对账底联）应按要求附入投标文件中，交款时间以银行下账时间为准。</w:t>
            </w:r>
          </w:p>
          <w:p>
            <w:pPr>
              <w:pStyle w:val="66"/>
              <w:spacing w:line="360" w:lineRule="auto"/>
              <w:ind w:firstLine="480" w:firstLineChars="200"/>
              <w:jc w:val="both"/>
            </w:pPr>
            <w:r>
              <w:rPr>
                <w:rFonts w:hint="eastAsia"/>
              </w:rPr>
              <w:t>收款单位：四川中舜招标代理有限公司</w:t>
            </w:r>
          </w:p>
          <w:p>
            <w:pPr>
              <w:pStyle w:val="66"/>
              <w:spacing w:line="360" w:lineRule="auto"/>
              <w:ind w:firstLine="480" w:firstLineChars="200"/>
              <w:jc w:val="both"/>
            </w:pPr>
            <w:r>
              <w:rPr>
                <w:rFonts w:hint="eastAsia"/>
              </w:rPr>
              <w:t>账   号：117125000000109</w:t>
            </w:r>
          </w:p>
          <w:p>
            <w:pPr>
              <w:pStyle w:val="66"/>
              <w:spacing w:line="360" w:lineRule="auto"/>
              <w:ind w:firstLine="480" w:firstLineChars="200"/>
              <w:jc w:val="both"/>
            </w:pPr>
            <w:r>
              <w:rPr>
                <w:rFonts w:hint="eastAsia"/>
              </w:rPr>
              <w:t>开 户 行：大连银行股份有限公司成都天府支行</w:t>
            </w:r>
            <w:r>
              <w:rPr>
                <w:rFonts w:hint="eastAsia"/>
              </w:rPr>
              <w:br w:type="textWrapping"/>
            </w:r>
            <w:r>
              <w:rPr>
                <w:rFonts w:hint="eastAsia"/>
              </w:rPr>
              <w:t xml:space="preserve">    ②采用金融机构出具的保函方式提交投标保证金的，保函必须符合以下规定：</w:t>
            </w:r>
          </w:p>
          <w:p>
            <w:pPr>
              <w:pStyle w:val="66"/>
              <w:spacing w:line="360" w:lineRule="auto"/>
              <w:ind w:firstLine="480" w:firstLineChars="200"/>
              <w:jc w:val="both"/>
            </w:pPr>
            <w:r>
              <w:rPr>
                <w:rFonts w:hint="eastAsia"/>
              </w:rPr>
              <w:t>a.</w:t>
            </w:r>
            <w:r>
              <w:rPr>
                <w:rFonts w:hint="eastAsia"/>
                <w:bCs/>
                <w:kern w:val="2"/>
              </w:rPr>
              <w:t>提供保函的金融机构必须是依法成立的具有相关资质和偿付能力的担保机构</w:t>
            </w:r>
            <w:r>
              <w:rPr>
                <w:rFonts w:hint="eastAsia"/>
              </w:rPr>
              <w:t>，且应为无条件保函，并有详细明显的验证方法；</w:t>
            </w:r>
          </w:p>
          <w:p>
            <w:pPr>
              <w:pStyle w:val="66"/>
              <w:spacing w:line="360" w:lineRule="auto"/>
              <w:ind w:firstLine="480" w:firstLineChars="200"/>
              <w:jc w:val="both"/>
            </w:pPr>
            <w:r>
              <w:rPr>
                <w:rFonts w:hint="eastAsia"/>
              </w:rPr>
              <w:t>b.保函的受益人为四川中舜招标代理有限公司；</w:t>
            </w:r>
          </w:p>
          <w:p>
            <w:pPr>
              <w:pStyle w:val="66"/>
              <w:spacing w:line="360" w:lineRule="auto"/>
              <w:ind w:firstLine="480" w:firstLineChars="200"/>
              <w:jc w:val="both"/>
            </w:pPr>
            <w:r>
              <w:rPr>
                <w:rFonts w:hint="eastAsia"/>
              </w:rPr>
              <w:t>c.保函的内容包括但不限于供应商名称、项目名称（如有分包，载明分包号）、项目编号、投标保证金金额、保函的有效期、履约担保的内容（即：如因供应商原因发生法律法规或招标文件规定的投标保证金不予退还的情况，由担保机构向受益人足额支付投标保证金）；</w:t>
            </w:r>
          </w:p>
          <w:p>
            <w:pPr>
              <w:pStyle w:val="66"/>
              <w:spacing w:line="360" w:lineRule="auto"/>
              <w:ind w:firstLine="480" w:firstLineChars="200"/>
              <w:jc w:val="both"/>
            </w:pPr>
            <w:r>
              <w:rPr>
                <w:rFonts w:hint="eastAsia"/>
              </w:rPr>
              <w:t>d.保函中的投标保证金金额不少于本项目规定的投标保证金金额；</w:t>
            </w:r>
          </w:p>
          <w:p>
            <w:pPr>
              <w:pStyle w:val="67"/>
              <w:spacing w:line="420" w:lineRule="exact"/>
              <w:ind w:firstLine="480" w:firstLineChars="200"/>
              <w:rPr>
                <w:rFonts w:asciiTheme="minorEastAsia" w:hAnsiTheme="minorEastAsia" w:eastAsiaTheme="minorEastAsia"/>
                <w:sz w:val="24"/>
                <w:szCs w:val="24"/>
                <w:lang w:val="zh-CN"/>
              </w:rPr>
            </w:pPr>
            <w:r>
              <w:rPr>
                <w:rFonts w:hint="eastAsia" w:ascii="宋体" w:hAnsi="宋体"/>
                <w:kern w:val="0"/>
                <w:sz w:val="24"/>
              </w:rPr>
              <w:t>e.保函有效期应不短于投标有效期，保函原件随投标文件一起递交，保函复印件应附入投标文件。</w:t>
            </w:r>
            <w:r>
              <w:rPr>
                <w:rFonts w:hint="eastAsia" w:ascii="宋体" w:hAnsi="宋体"/>
                <w:kern w:val="0"/>
                <w:sz w:val="24"/>
              </w:rPr>
              <w:br w:type="textWrapping"/>
            </w:r>
            <w:r>
              <w:rPr>
                <w:rFonts w:hint="eastAsia" w:ascii="宋体" w:hAnsi="宋体"/>
                <w:kern w:val="0"/>
                <w:sz w:val="24"/>
              </w:rPr>
              <w:t xml:space="preserve">    3、投标保证金递交截止时间同投标文件递交截止时间。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3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552"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低于成本价不正当</w:t>
            </w:r>
          </w:p>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竞争预防措施</w:t>
            </w:r>
          </w:p>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（实质性要求）</w:t>
            </w:r>
          </w:p>
        </w:tc>
        <w:tc>
          <w:tcPr>
            <w:tcW w:w="6111" w:type="dxa"/>
            <w:vAlign w:val="center"/>
          </w:tcPr>
          <w:p>
            <w:pPr>
              <w:pStyle w:val="67"/>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在评标过程中，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应当将其作为无效响应处理。</w:t>
            </w:r>
          </w:p>
          <w:p>
            <w:pPr>
              <w:pStyle w:val="67"/>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供应商书面说明应当按照国家财务会计制度的规定要求，逐项就供应商提供的服务的主营业务成本、税金及附加、销售费用、管理费用、财务费用等成本构成事项详细陈述。</w:t>
            </w:r>
          </w:p>
          <w:p>
            <w:pPr>
              <w:pStyle w:val="67"/>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67"/>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30"/>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7</w:t>
            </w:r>
          </w:p>
        </w:tc>
        <w:tc>
          <w:tcPr>
            <w:tcW w:w="2552"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小微企业（监狱企业、残疾人福利性单位视同小微企业）价格扣除和扶持不发达地区和少数名族地区政策</w:t>
            </w:r>
          </w:p>
          <w:p>
            <w:pPr>
              <w:pStyle w:val="67"/>
              <w:spacing w:line="420" w:lineRule="exact"/>
              <w:jc w:val="center"/>
              <w:rPr>
                <w:rFonts w:asciiTheme="minorEastAsia" w:hAnsiTheme="minorEastAsia" w:eastAsiaTheme="minorEastAsia"/>
                <w:sz w:val="24"/>
                <w:szCs w:val="24"/>
              </w:rPr>
            </w:pPr>
          </w:p>
        </w:tc>
        <w:tc>
          <w:tcPr>
            <w:tcW w:w="6111" w:type="dxa"/>
            <w:vAlign w:val="center"/>
          </w:tcPr>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一、小微企业（监狱企业、残疾人福利性单位视同小微企业）价格扣除</w:t>
            </w:r>
          </w:p>
          <w:p>
            <w:pPr>
              <w:spacing w:line="400" w:lineRule="exact"/>
              <w:ind w:right="105" w:rightChars="50" w:firstLine="240" w:firstLineChars="100"/>
              <w:rPr>
                <w:rFonts w:ascii="宋体" w:hAnsi="宋体" w:cs="宋体"/>
                <w:sz w:val="24"/>
              </w:rPr>
            </w:pPr>
            <w:r>
              <w:rPr>
                <w:rFonts w:hint="eastAsia" w:ascii="宋体" w:hAnsi="宋体" w:cs="宋体"/>
                <w:kern w:val="0"/>
                <w:sz w:val="24"/>
              </w:rPr>
              <w:t>根据《政府采购促进中小企业发展管理办法》（财库[2020]46号）、《关于政府采购支持监狱企业发展有关问题的通知》（财库[2014]68号）、《三部门联合发布关于促进残疾人就业政府采购政策的通知》（财库[2017]141号）《关于进一步加大政府采购支持中小企业力度的通知》（财库〔2022〕19号）的规定，</w:t>
            </w:r>
            <w:r>
              <w:rPr>
                <w:rFonts w:hint="eastAsia" w:ascii="宋体" w:hAnsi="宋体" w:cs="宋体"/>
                <w:sz w:val="24"/>
                <w:szCs w:val="28"/>
              </w:rPr>
              <w:t>本项目第2、3、4、6、7包专门面向中小企业采购，上述包段不再对中小企业进行价格扣除。第1、5包非专门面向中小企业采购，</w:t>
            </w:r>
            <w:r>
              <w:rPr>
                <w:rFonts w:hint="eastAsia" w:ascii="宋体" w:hAnsi="宋体" w:cs="宋体"/>
                <w:b/>
                <w:bCs/>
                <w:kern w:val="0"/>
                <w:sz w:val="24"/>
              </w:rPr>
              <w:t>对小型和微型企业、监狱企业及残疾人福利性单位的价格给予10%扣除，用扣除后的价格参与评标。</w:t>
            </w:r>
          </w:p>
          <w:p>
            <w:pPr>
              <w:spacing w:line="400" w:lineRule="exact"/>
              <w:ind w:right="105" w:rightChars="50" w:firstLine="240" w:firstLineChars="100"/>
              <w:rPr>
                <w:rFonts w:ascii="宋体" w:hAnsi="宋体" w:cs="宋体"/>
                <w:sz w:val="24"/>
              </w:rPr>
            </w:pPr>
            <w:r>
              <w:rPr>
                <w:rFonts w:hint="eastAsia" w:ascii="宋体" w:hAnsi="宋体" w:cs="宋体"/>
                <w:sz w:val="24"/>
              </w:rPr>
              <w:t>二、扶持不发达地区和少数名族地区（如涉及）</w:t>
            </w:r>
          </w:p>
          <w:p>
            <w:pPr>
              <w:spacing w:line="400" w:lineRule="exact"/>
              <w:ind w:right="105" w:rightChars="50" w:firstLine="240" w:firstLineChars="100"/>
              <w:rPr>
                <w:rFonts w:asciiTheme="minorEastAsia" w:hAnsiTheme="minorEastAsia" w:eastAsiaTheme="minorEastAsia"/>
                <w:sz w:val="24"/>
              </w:rPr>
            </w:pPr>
            <w:r>
              <w:rPr>
                <w:rFonts w:hint="eastAsia" w:ascii="宋体" w:hAnsi="宋体" w:cs="宋体"/>
                <w:sz w:val="24"/>
              </w:rPr>
              <w:t>扶持不发达地区和少数民族地区政策，按现行有效政策执行。供应商符合扶持不发达地区和少数民族地区政策条件的，在同等条件下享有优先中标的机会。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30"/>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8</w:t>
            </w:r>
          </w:p>
        </w:tc>
        <w:tc>
          <w:tcPr>
            <w:tcW w:w="2552"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推荐的中标候选人数量</w:t>
            </w:r>
          </w:p>
        </w:tc>
        <w:tc>
          <w:tcPr>
            <w:tcW w:w="6111"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6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2552" w:type="dxa"/>
            <w:vAlign w:val="center"/>
          </w:tcPr>
          <w:p>
            <w:pPr>
              <w:pStyle w:val="67"/>
              <w:spacing w:line="4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开标、评标工作咨询</w:t>
            </w:r>
          </w:p>
        </w:tc>
        <w:tc>
          <w:tcPr>
            <w:tcW w:w="6111" w:type="dxa"/>
            <w:vAlign w:val="center"/>
          </w:tcPr>
          <w:p>
            <w:pPr>
              <w:spacing w:line="420" w:lineRule="exact"/>
              <w:ind w:right="105" w:rightChars="50"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联系人：</w:t>
            </w:r>
            <w:r>
              <w:rPr>
                <w:rFonts w:hint="eastAsia" w:cs="宋体" w:asciiTheme="minorEastAsia" w:hAnsiTheme="minorEastAsia" w:eastAsiaTheme="minorEastAsia"/>
                <w:sz w:val="24"/>
                <w:lang w:val="zh-CN"/>
              </w:rPr>
              <w:t>袁先生</w:t>
            </w:r>
          </w:p>
          <w:p>
            <w:pPr>
              <w:spacing w:line="420" w:lineRule="exact"/>
              <w:ind w:right="105" w:rightChars="50"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联系电话：</w:t>
            </w:r>
            <w:r>
              <w:rPr>
                <w:rFonts w:hint="eastAsia" w:cs="宋体" w:asciiTheme="minorEastAsia" w:hAnsiTheme="minorEastAsia" w:eastAsiaTheme="minorEastAsia"/>
                <w:sz w:val="24"/>
                <w:lang w:val="zh-CN"/>
              </w:rPr>
              <w:t>028-85217987、17311344113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before="72" w:after="72" w:line="420" w:lineRule="exact"/>
              <w:ind w:right="26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c>
          <w:tcPr>
            <w:tcW w:w="2552" w:type="dxa"/>
            <w:vAlign w:val="center"/>
          </w:tcPr>
          <w:p>
            <w:pPr>
              <w:spacing w:line="420" w:lineRule="exact"/>
              <w:ind w:left="105" w:leftChars="50" w:right="105" w:rightChars="50"/>
              <w:jc w:val="center"/>
              <w:rPr>
                <w:rFonts w:cs="宋体" w:asciiTheme="minorEastAsia" w:hAnsiTheme="minorEastAsia" w:eastAsiaTheme="minorEastAsia"/>
                <w:sz w:val="24"/>
              </w:rPr>
            </w:pPr>
            <w:r>
              <w:rPr>
                <w:rFonts w:hint="eastAsia" w:cs="宋体" w:asciiTheme="minorEastAsia" w:hAnsiTheme="minorEastAsia" w:eastAsiaTheme="minorEastAsia"/>
                <w:kern w:val="0"/>
                <w:sz w:val="24"/>
              </w:rPr>
              <w:t>评标情况公告</w:t>
            </w:r>
          </w:p>
        </w:tc>
        <w:tc>
          <w:tcPr>
            <w:tcW w:w="6111" w:type="dxa"/>
            <w:vAlign w:val="center"/>
          </w:tcPr>
          <w:p>
            <w:pPr>
              <w:widowControl/>
              <w:spacing w:line="420" w:lineRule="exact"/>
              <w:ind w:firstLine="480" w:firstLineChars="200"/>
              <w:jc w:val="left"/>
              <w:rPr>
                <w:rFonts w:cs="宋体" w:asciiTheme="minorEastAsia" w:hAnsiTheme="minorEastAsia" w:eastAsiaTheme="minorEastAsia"/>
                <w:sz w:val="24"/>
              </w:rPr>
            </w:pPr>
            <w:r>
              <w:rPr>
                <w:rFonts w:hint="eastAsia" w:ascii="宋体" w:hAnsi="宋体" w:cs="宋体"/>
                <w:kern w:val="0"/>
                <w:sz w:val="24"/>
              </w:rPr>
              <w:t>评标结果将在中国政府采购网上予以公告。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before="72" w:after="72" w:line="420" w:lineRule="exact"/>
              <w:ind w:right="26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11</w:t>
            </w:r>
          </w:p>
        </w:tc>
        <w:tc>
          <w:tcPr>
            <w:tcW w:w="2552" w:type="dxa"/>
            <w:vAlign w:val="center"/>
          </w:tcPr>
          <w:p>
            <w:pPr>
              <w:spacing w:line="420" w:lineRule="exact"/>
              <w:ind w:left="105" w:leftChars="50" w:right="105" w:rightChars="50"/>
              <w:jc w:val="center"/>
              <w:rPr>
                <w:rFonts w:cs="宋体" w:asciiTheme="minorEastAsia" w:hAnsiTheme="minorEastAsia" w:eastAsiaTheme="minorEastAsia"/>
                <w:sz w:val="24"/>
              </w:rPr>
            </w:pPr>
            <w:r>
              <w:rPr>
                <w:rFonts w:hint="eastAsia" w:cs="宋体" w:asciiTheme="minorEastAsia" w:hAnsiTheme="minorEastAsia" w:eastAsiaTheme="minorEastAsia"/>
                <w:sz w:val="24"/>
              </w:rPr>
              <w:t>中标通知书领取</w:t>
            </w:r>
          </w:p>
        </w:tc>
        <w:tc>
          <w:tcPr>
            <w:tcW w:w="6111"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采购结果在中国政府采购网上公告后，请中标供应商凭有效身份证明证件到</w:t>
            </w:r>
            <w:r>
              <w:rPr>
                <w:rFonts w:hint="eastAsia" w:cs="宋体" w:asciiTheme="minorEastAsia" w:hAnsiTheme="minorEastAsia" w:eastAsiaTheme="minorEastAsia"/>
                <w:sz w:val="24"/>
                <w:lang w:val="zh-CN"/>
              </w:rPr>
              <w:t>四川中舜招标代理有限公司</w:t>
            </w:r>
            <w:r>
              <w:rPr>
                <w:rFonts w:hint="eastAsia" w:cs="宋体" w:asciiTheme="minorEastAsia" w:hAnsiTheme="minorEastAsia" w:eastAsiaTheme="minorEastAsia"/>
                <w:sz w:val="24"/>
              </w:rPr>
              <w:t>领取中标通知书。</w:t>
            </w:r>
          </w:p>
          <w:p>
            <w:pPr>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联系人：袁先生</w:t>
            </w:r>
          </w:p>
          <w:p>
            <w:pPr>
              <w:spacing w:line="420" w:lineRule="exact"/>
              <w:ind w:firstLine="480" w:firstLineChars="200"/>
              <w:rPr>
                <w:rFonts w:cs="宋体" w:asciiTheme="minorEastAsia" w:hAnsiTheme="minorEastAsia" w:eastAsiaTheme="minorEastAsia"/>
                <w:sz w:val="24"/>
                <w:lang w:val="zh-CN"/>
              </w:rPr>
            </w:pPr>
            <w:r>
              <w:rPr>
                <w:rFonts w:hint="eastAsia" w:cs="宋体" w:asciiTheme="minorEastAsia" w:hAnsiTheme="minorEastAsia" w:eastAsiaTheme="minorEastAsia"/>
                <w:sz w:val="24"/>
              </w:rPr>
              <w:t>联系电话：</w:t>
            </w:r>
            <w:r>
              <w:rPr>
                <w:rFonts w:hint="eastAsia" w:cs="宋体" w:asciiTheme="minorEastAsia" w:hAnsiTheme="minorEastAsia" w:eastAsiaTheme="minorEastAsia"/>
                <w:sz w:val="24"/>
                <w:lang w:val="zh-CN"/>
              </w:rPr>
              <w:t>028-85217987、17311344113</w:t>
            </w:r>
          </w:p>
          <w:p>
            <w:pPr>
              <w:spacing w:line="420" w:lineRule="exact"/>
              <w:ind w:firstLine="480" w:firstLineChars="200"/>
              <w:rPr>
                <w:rFonts w:cs="宋体" w:asciiTheme="minorEastAsia" w:hAnsiTheme="minorEastAsia" w:eastAsiaTheme="minorEastAsia"/>
                <w:sz w:val="24"/>
                <w:lang w:val="zh-CN"/>
              </w:rPr>
            </w:pPr>
            <w:r>
              <w:rPr>
                <w:rFonts w:hint="eastAsia" w:cs="宋体" w:asciiTheme="minorEastAsia" w:hAnsiTheme="minorEastAsia" w:eastAsiaTheme="minorEastAsia"/>
                <w:sz w:val="24"/>
                <w:lang w:val="zh-CN"/>
              </w:rPr>
              <w:t>地址：</w:t>
            </w:r>
            <w:r>
              <w:rPr>
                <w:rFonts w:hint="eastAsia" w:cs="宋体" w:asciiTheme="minorEastAsia" w:hAnsiTheme="minorEastAsia" w:eastAsiaTheme="minorEastAsia"/>
                <w:bCs/>
                <w:sz w:val="24"/>
              </w:rPr>
              <w:t>成都市武侯区兆信中心4栋11楼1116号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3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w:t>
            </w:r>
          </w:p>
        </w:tc>
        <w:tc>
          <w:tcPr>
            <w:tcW w:w="2552" w:type="dxa"/>
            <w:vAlign w:val="center"/>
          </w:tcPr>
          <w:p>
            <w:pPr>
              <w:pStyle w:val="67"/>
              <w:spacing w:line="420" w:lineRule="exact"/>
              <w:ind w:left="96"/>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履约保证金</w:t>
            </w:r>
          </w:p>
        </w:tc>
        <w:tc>
          <w:tcPr>
            <w:tcW w:w="6111" w:type="dxa"/>
            <w:vAlign w:val="center"/>
          </w:tcPr>
          <w:p>
            <w:pPr>
              <w:pStyle w:val="66"/>
              <w:spacing w:line="360" w:lineRule="auto"/>
              <w:ind w:firstLine="480" w:firstLineChars="200"/>
              <w:jc w:val="both"/>
              <w:rPr>
                <w:bCs/>
                <w:kern w:val="2"/>
              </w:rPr>
            </w:pPr>
            <w:bookmarkStart w:id="18" w:name="PO_默认文件内容_17"/>
            <w:r>
              <w:rPr>
                <w:rFonts w:hint="eastAsia"/>
                <w:bCs/>
                <w:kern w:val="2"/>
              </w:rPr>
              <w:t>1.金额：采购合同总金额的3%。</w:t>
            </w:r>
          </w:p>
          <w:p>
            <w:pPr>
              <w:pStyle w:val="66"/>
              <w:spacing w:line="360" w:lineRule="auto"/>
              <w:ind w:firstLine="480" w:firstLineChars="200"/>
              <w:jc w:val="both"/>
              <w:rPr>
                <w:bCs/>
                <w:kern w:val="2"/>
              </w:rPr>
            </w:pPr>
            <w:r>
              <w:rPr>
                <w:rFonts w:hint="eastAsia"/>
                <w:bCs/>
                <w:kern w:val="2"/>
              </w:rPr>
              <w:t>2.交款方式：履约保证金可以以支票、汇票、本票或者金融机构出具的保函等非现金形式提交（包括网银转账，电汇等方式）。</w:t>
            </w:r>
          </w:p>
          <w:p>
            <w:pPr>
              <w:pStyle w:val="66"/>
              <w:spacing w:line="360" w:lineRule="auto"/>
              <w:ind w:firstLine="480" w:firstLineChars="200"/>
              <w:jc w:val="both"/>
              <w:rPr>
                <w:bCs/>
                <w:kern w:val="2"/>
              </w:rPr>
            </w:pPr>
            <w:r>
              <w:rPr>
                <w:rFonts w:hint="eastAsia"/>
                <w:bCs/>
                <w:kern w:val="2"/>
              </w:rPr>
              <w:t>3.收款单位：德阳市消防救援支队</w:t>
            </w:r>
          </w:p>
          <w:p>
            <w:pPr>
              <w:pStyle w:val="66"/>
              <w:spacing w:line="360" w:lineRule="auto"/>
              <w:ind w:firstLine="480" w:firstLineChars="200"/>
              <w:jc w:val="both"/>
              <w:rPr>
                <w:bCs/>
                <w:kern w:val="2"/>
              </w:rPr>
            </w:pPr>
            <w:r>
              <w:rPr>
                <w:rFonts w:hint="eastAsia"/>
                <w:bCs/>
                <w:kern w:val="2"/>
              </w:rPr>
              <w:t>4.交款时间：中标通知书发放后，合同签订前。</w:t>
            </w:r>
          </w:p>
          <w:p>
            <w:pPr>
              <w:pStyle w:val="66"/>
              <w:spacing w:line="360" w:lineRule="auto"/>
              <w:ind w:firstLine="480" w:firstLineChars="200"/>
              <w:jc w:val="both"/>
              <w:rPr>
                <w:bCs/>
                <w:kern w:val="2"/>
              </w:rPr>
            </w:pPr>
            <w:r>
              <w:rPr>
                <w:rFonts w:hint="eastAsia"/>
                <w:bCs/>
                <w:kern w:val="2"/>
              </w:rPr>
              <w:t>5.采用金融机构出具的保函方式提交履约保证金的，保函必须符合以下规定：</w:t>
            </w:r>
          </w:p>
          <w:p>
            <w:pPr>
              <w:pStyle w:val="66"/>
              <w:spacing w:line="360" w:lineRule="auto"/>
              <w:ind w:firstLine="480" w:firstLineChars="200"/>
              <w:jc w:val="both"/>
              <w:rPr>
                <w:bCs/>
                <w:kern w:val="2"/>
              </w:rPr>
            </w:pPr>
            <w:r>
              <w:rPr>
                <w:rFonts w:hint="eastAsia"/>
                <w:bCs/>
                <w:kern w:val="2"/>
              </w:rPr>
              <w:t>a.提供保函的金融机构必须是依法成立的具有相关资质和偿付能力的担保机构，且应为无条件保函，并有详细明显的验证方法；</w:t>
            </w:r>
          </w:p>
          <w:p>
            <w:pPr>
              <w:pStyle w:val="66"/>
              <w:spacing w:line="360" w:lineRule="auto"/>
              <w:ind w:firstLine="480" w:firstLineChars="200"/>
              <w:jc w:val="both"/>
              <w:rPr>
                <w:bCs/>
                <w:kern w:val="2"/>
              </w:rPr>
            </w:pPr>
            <w:r>
              <w:rPr>
                <w:rFonts w:hint="eastAsia"/>
                <w:bCs/>
                <w:kern w:val="2"/>
              </w:rPr>
              <w:t>b.保函的受益人为德阳市消防救援支队；</w:t>
            </w:r>
          </w:p>
          <w:p>
            <w:pPr>
              <w:pStyle w:val="66"/>
              <w:spacing w:line="360" w:lineRule="auto"/>
              <w:ind w:firstLine="480" w:firstLineChars="200"/>
              <w:jc w:val="both"/>
              <w:rPr>
                <w:bCs/>
                <w:kern w:val="2"/>
              </w:rPr>
            </w:pPr>
            <w:r>
              <w:rPr>
                <w:rFonts w:hint="eastAsia"/>
                <w:bCs/>
                <w:kern w:val="2"/>
              </w:rPr>
              <w:t>c.保函的内容包括但不限于供应商名称、项目名称（如有分包，载明分包号）、项目编号、履约金额、保函的有效期（考虑到交货、验收等不确定因素，采用保函形式提交履约保证金的，保函有效期应不短于2年）、履约担保的内容（即：如因供应商原因发生法律法规或合同规定的履约保证金不予退还或扣除的情况，由担保机构向受益人足额支付履约保证金）；</w:t>
            </w:r>
          </w:p>
          <w:p>
            <w:pPr>
              <w:pStyle w:val="66"/>
              <w:spacing w:line="360" w:lineRule="auto"/>
              <w:ind w:firstLine="480" w:firstLineChars="200"/>
              <w:jc w:val="both"/>
              <w:rPr>
                <w:bCs/>
                <w:kern w:val="2"/>
              </w:rPr>
            </w:pPr>
            <w:r>
              <w:rPr>
                <w:rFonts w:hint="eastAsia"/>
                <w:bCs/>
                <w:kern w:val="2"/>
              </w:rPr>
              <w:t>6.履约保证金退还方式：a.以网银转账、电汇等方式提交的，履约保证金以网银转账、电汇等方式退至转款账户；b.以保函方式提交的，退还保函原件。</w:t>
            </w:r>
          </w:p>
          <w:p>
            <w:pPr>
              <w:pStyle w:val="66"/>
              <w:spacing w:line="360" w:lineRule="auto"/>
              <w:ind w:firstLine="480" w:firstLineChars="200"/>
              <w:jc w:val="both"/>
              <w:rPr>
                <w:bCs/>
                <w:kern w:val="2"/>
              </w:rPr>
            </w:pPr>
            <w:r>
              <w:rPr>
                <w:rFonts w:hint="eastAsia"/>
                <w:bCs/>
                <w:kern w:val="2"/>
              </w:rPr>
              <w:t>7.履约保证金退还时间：验收合格后，乙方提出退款申请之日起，15个工作日内无息退还。采购人逾期退还的，将承担应退还金额万分之一每天的违约金。若遇项目单位因财务结算等原因封账而导致无法支付相应价款的，顺延至具备支付条件之日起15个工作日内，且不视为采购人违约。</w:t>
            </w:r>
          </w:p>
          <w:p>
            <w:pPr>
              <w:pStyle w:val="66"/>
              <w:spacing w:line="360" w:lineRule="auto"/>
              <w:ind w:firstLine="480" w:firstLineChars="200"/>
              <w:jc w:val="both"/>
              <w:rPr>
                <w:bCs/>
                <w:kern w:val="2"/>
              </w:rPr>
            </w:pPr>
            <w:r>
              <w:rPr>
                <w:rFonts w:hint="eastAsia"/>
                <w:bCs/>
                <w:kern w:val="2"/>
              </w:rPr>
              <w:t>8.履约保证金不予退还情形：出现合同约定的不予退还情形。</w:t>
            </w:r>
          </w:p>
          <w:p>
            <w:pPr>
              <w:pStyle w:val="67"/>
              <w:spacing w:line="420" w:lineRule="exact"/>
              <w:ind w:firstLine="480" w:firstLineChars="200"/>
              <w:rPr>
                <w:rFonts w:asciiTheme="minorEastAsia" w:hAnsiTheme="minorEastAsia" w:eastAsiaTheme="minorEastAsia"/>
                <w:sz w:val="24"/>
                <w:szCs w:val="24"/>
                <w:lang w:val="zh-CN"/>
              </w:rPr>
            </w:pPr>
            <w:r>
              <w:rPr>
                <w:rFonts w:hint="eastAsia" w:ascii="宋体" w:hAnsi="宋体"/>
                <w:bCs/>
                <w:sz w:val="24"/>
                <w:szCs w:val="24"/>
              </w:rPr>
              <w:t>9.履约保证金不予退还的，将按照有关规定上缴国库。逾期退还履约保证金的，将依法承担法律责任，并赔偿供应商损失。</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pStyle w:val="67"/>
              <w:spacing w:line="420" w:lineRule="exact"/>
              <w:ind w:right="264"/>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13</w:t>
            </w:r>
          </w:p>
        </w:tc>
        <w:tc>
          <w:tcPr>
            <w:tcW w:w="2552"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供应商询问</w:t>
            </w:r>
          </w:p>
        </w:tc>
        <w:tc>
          <w:tcPr>
            <w:tcW w:w="6111"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根据委托代理协议约定，供应商询问由四川中舜招标代理有限公司负责答复。</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联系人：袁先生</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联系电话：028-85217987、17311344113</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地址：成都市武侯区兆信中心4栋11楼1116号</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邮编：610000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14</w:t>
            </w:r>
          </w:p>
        </w:tc>
        <w:tc>
          <w:tcPr>
            <w:tcW w:w="2552"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供应商质疑</w:t>
            </w:r>
          </w:p>
        </w:tc>
        <w:tc>
          <w:tcPr>
            <w:tcW w:w="6111" w:type="dxa"/>
            <w:vAlign w:val="center"/>
          </w:tcPr>
          <w:p>
            <w:pPr>
              <w:tabs>
                <w:tab w:val="left" w:pos="7665"/>
              </w:tabs>
              <w:spacing w:line="420" w:lineRule="exact"/>
              <w:ind w:firstLine="480" w:firstLineChars="200"/>
              <w:rPr>
                <w:rFonts w:asciiTheme="minorEastAsia" w:hAnsiTheme="minorEastAsia" w:eastAsiaTheme="minorEastAsia"/>
                <w:sz w:val="24"/>
              </w:rPr>
            </w:pPr>
            <w:r>
              <w:rPr>
                <w:rFonts w:hint="eastAsia" w:cs="宋体" w:asciiTheme="minorEastAsia" w:hAnsiTheme="minorEastAsia" w:eastAsiaTheme="minorEastAsia"/>
                <w:sz w:val="24"/>
              </w:rPr>
              <w:t>根据委托代理协议约定，对招标文件的质疑由四川中舜招标代理有限公司负责答复；对招标过程的质疑由四川中舜招标代理有限公司负责答复；对招标结果的质疑由四川中舜招标代理有限公司负责答复。</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供应商对采购活动事项有疑问的，可以提出询问；</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供应商认为采购文件、采购过程、成交结果使自己的权益受到损害的，可以在知道或者应知权益受到损害之日起7个工作日内，提出质疑。且供应商应当在法定质疑期内一次性提出针对同一采购程序环节的质疑。</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1、受理质疑方式：书面方式</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2、供应商提出质疑应当提交质疑函和必要的证明材料。质疑函应当包括下列内容：</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2.1供应商的姓名或者名称、地址、邮编、联系人及联系电话；</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2.2质疑项目的名称、编号；</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2.3具体、明确的质疑事项和与质疑事项相关的请求；</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2.4事实依据；</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2.5必要的法律依据；</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2.6提出质疑的日期。</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供应商为自然人的，质疑函应当由本人签字；供应商为法人或者其他组织的，质疑函应当由法定代表人、主要负责人，或者其授权代表签字或者盖章，并加盖公章。</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供应商委托代理人递交质疑函的，应提供法定代表人授权委托书和代理人身份证复印件。授权委托书应当载明代理人的姓名、授权事项、具体权限、期限和相关事项。供应商为自然人的，授权委托书应当由本人签字；供应商为法人或者其他组织的，授权委托书应当由法定代表人、主要负责人签字或者盖章，并加盖公章。</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3、受理部门：四川中舜招标代理有限公司</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4、联系人：袁先生</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5、联系电话：028-85217987、17311344113</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6、地址：成都市武侯区兆信中心4栋11楼1116号。</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7、邮编：610000</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zh-CN"/>
              </w:rPr>
              <w:t>注：根据《中华人民共和国政府采购法》的规定，供应商质疑不得超出采购文件、采购过程、采购结果的范围。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15</w:t>
            </w:r>
          </w:p>
        </w:tc>
        <w:tc>
          <w:tcPr>
            <w:tcW w:w="2552"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供应商投诉</w:t>
            </w:r>
          </w:p>
        </w:tc>
        <w:tc>
          <w:tcPr>
            <w:tcW w:w="6111" w:type="dxa"/>
          </w:tcPr>
          <w:p>
            <w:pPr>
              <w:tabs>
                <w:tab w:val="left" w:pos="7665"/>
              </w:tabs>
              <w:spacing w:line="360" w:lineRule="auto"/>
              <w:ind w:firstLine="480" w:firstLineChars="200"/>
              <w:rPr>
                <w:rFonts w:ascii="宋体" w:hAnsi="宋体" w:cs="宋体"/>
                <w:sz w:val="24"/>
              </w:rPr>
            </w:pPr>
            <w:r>
              <w:rPr>
                <w:rFonts w:hint="eastAsia" w:ascii="宋体" w:hAnsi="宋体" w:cs="宋体"/>
                <w:sz w:val="24"/>
              </w:rPr>
              <w:t>投诉受理单位：中华人民共和国财政部。</w:t>
            </w:r>
          </w:p>
          <w:p>
            <w:pPr>
              <w:tabs>
                <w:tab w:val="left" w:pos="7665"/>
              </w:tabs>
              <w:spacing w:line="360" w:lineRule="auto"/>
              <w:ind w:firstLine="480" w:firstLineChars="200"/>
              <w:rPr>
                <w:rFonts w:ascii="宋体" w:hAnsi="宋体" w:cs="宋体"/>
                <w:sz w:val="24"/>
              </w:rPr>
            </w:pPr>
            <w:r>
              <w:rPr>
                <w:rFonts w:hint="eastAsia" w:ascii="宋体" w:hAnsi="宋体" w:cs="宋体"/>
                <w:sz w:val="24"/>
              </w:rPr>
              <w:t>联系电话：010-68513070、010-68519967。</w:t>
            </w:r>
          </w:p>
          <w:p>
            <w:pPr>
              <w:tabs>
                <w:tab w:val="left" w:pos="7665"/>
              </w:tabs>
              <w:spacing w:line="420" w:lineRule="exact"/>
              <w:ind w:firstLine="480" w:firstLineChars="200"/>
              <w:rPr>
                <w:rFonts w:cs="宋体" w:asciiTheme="minorEastAsia" w:hAnsiTheme="minorEastAsia" w:eastAsiaTheme="minorEastAsia"/>
                <w:sz w:val="24"/>
              </w:rPr>
            </w:pPr>
            <w:r>
              <w:rPr>
                <w:rFonts w:hint="eastAsia" w:ascii="宋体" w:hAnsi="宋体" w:cs="宋体"/>
                <w:sz w:val="24"/>
              </w:rPr>
              <w:t>地址：北京市西城区月坛北小街13号中船宾馆北楼四层8401室、8403室。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16</w:t>
            </w:r>
          </w:p>
        </w:tc>
        <w:tc>
          <w:tcPr>
            <w:tcW w:w="2552"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信用信息查询</w:t>
            </w:r>
          </w:p>
        </w:tc>
        <w:tc>
          <w:tcPr>
            <w:tcW w:w="6111"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投标人信用信息查询渠道：“信用中国”网站(www.creditchina.gov.cn)、“中国政府采购网”网站(www.ccgp.gov.cn)</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截止时点：截止至本项目投标截止时间</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使用规则：列入以上网站的失信被执行人名单、税收违法黑名单、政府采购严重违法失信行为记录名单的投标人为无效投标人。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17</w:t>
            </w:r>
          </w:p>
        </w:tc>
        <w:tc>
          <w:tcPr>
            <w:tcW w:w="2552" w:type="dxa"/>
            <w:vAlign w:val="center"/>
          </w:tcPr>
          <w:p>
            <w:pPr>
              <w:pStyle w:val="67"/>
              <w:spacing w:before="120" w:beforeLines="50" w:after="120" w:afterLines="50" w:line="360" w:lineRule="auto"/>
              <w:ind w:left="9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代理服务费</w:t>
            </w:r>
          </w:p>
          <w:p>
            <w:pPr>
              <w:pStyle w:val="67"/>
              <w:spacing w:before="120" w:beforeLines="50" w:after="120" w:afterLines="50" w:line="360" w:lineRule="auto"/>
              <w:ind w:left="96"/>
              <w:jc w:val="center"/>
              <w:rPr>
                <w:rFonts w:asciiTheme="minorEastAsia" w:hAnsiTheme="minorEastAsia" w:eastAsiaTheme="minorEastAsia"/>
                <w:sz w:val="24"/>
                <w:szCs w:val="24"/>
              </w:rPr>
            </w:pPr>
            <w:r>
              <w:rPr>
                <w:rFonts w:hint="eastAsia" w:asciiTheme="minorEastAsia" w:hAnsiTheme="minorEastAsia" w:eastAsiaTheme="minorEastAsia"/>
                <w:sz w:val="24"/>
                <w:szCs w:val="24"/>
                <w:lang w:val="zh-CN"/>
              </w:rPr>
              <w:t>（实质性要求）</w:t>
            </w:r>
          </w:p>
        </w:tc>
        <w:tc>
          <w:tcPr>
            <w:tcW w:w="6111"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中标人支付。参照《国家发展改革委关于进一步放开建设项目专业服务价格的通知》发改价格〔</w:t>
            </w:r>
            <w:r>
              <w:rPr>
                <w:rFonts w:cs="宋体" w:asciiTheme="minorEastAsia" w:hAnsiTheme="minorEastAsia" w:eastAsiaTheme="minorEastAsia"/>
                <w:sz w:val="24"/>
              </w:rPr>
              <w:t>2015〕299号、国家计委计价格[2002]1980号及发改办价格[2003]857号通知规定标准</w:t>
            </w:r>
            <w:r>
              <w:rPr>
                <w:rFonts w:hint="eastAsia" w:cs="宋体" w:asciiTheme="minorEastAsia" w:hAnsiTheme="minorEastAsia" w:eastAsiaTheme="minorEastAsia"/>
                <w:sz w:val="24"/>
              </w:rPr>
              <w:t>下浮30%</w:t>
            </w:r>
            <w:r>
              <w:rPr>
                <w:rFonts w:cs="宋体" w:asciiTheme="minorEastAsia" w:hAnsiTheme="minorEastAsia" w:eastAsiaTheme="minorEastAsia"/>
                <w:sz w:val="24"/>
              </w:rPr>
              <w:t>计取。</w:t>
            </w:r>
            <w:r>
              <w:rPr>
                <w:rFonts w:hint="eastAsia" w:cs="宋体" w:asciiTheme="minorEastAsia" w:hAnsiTheme="minorEastAsia" w:eastAsiaTheme="minorEastAsia"/>
                <w:sz w:val="24"/>
              </w:rPr>
              <w:t>各包中标人</w:t>
            </w:r>
            <w:r>
              <w:rPr>
                <w:rFonts w:cs="宋体" w:asciiTheme="minorEastAsia" w:hAnsiTheme="minorEastAsia" w:eastAsiaTheme="minorEastAsia"/>
                <w:sz w:val="24"/>
              </w:rPr>
              <w:t>在领取成交通知书前支付给招标代理机构。</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方式：以银行转账或电汇方式交纳</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收款单位：四川中舜招标代理有限公司</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账</w:t>
            </w:r>
            <w:r>
              <w:rPr>
                <w:rFonts w:cs="宋体" w:asciiTheme="minorEastAsia" w:hAnsiTheme="minorEastAsia" w:eastAsiaTheme="minorEastAsia"/>
                <w:sz w:val="24"/>
              </w:rPr>
              <w:t xml:space="preserve">    号：</w:t>
            </w:r>
            <w:r>
              <w:rPr>
                <w:rFonts w:hint="eastAsia" w:cs="宋体" w:asciiTheme="minorEastAsia" w:hAnsiTheme="minorEastAsia" w:eastAsiaTheme="minorEastAsia"/>
                <w:sz w:val="24"/>
              </w:rPr>
              <w:t>117125000000109</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开</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户</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行：大连银行股份有限公司成都天府支行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18</w:t>
            </w:r>
          </w:p>
        </w:tc>
        <w:tc>
          <w:tcPr>
            <w:tcW w:w="2552" w:type="dxa"/>
            <w:vAlign w:val="center"/>
          </w:tcPr>
          <w:p>
            <w:pPr>
              <w:pStyle w:val="67"/>
              <w:spacing w:before="120" w:beforeLines="50" w:after="120" w:afterLines="50" w:line="360" w:lineRule="auto"/>
              <w:ind w:left="96"/>
              <w:jc w:val="center"/>
              <w:rPr>
                <w:rFonts w:asciiTheme="minorEastAsia" w:hAnsiTheme="minorEastAsia" w:eastAsiaTheme="minorEastAsia"/>
                <w:sz w:val="24"/>
                <w:szCs w:val="24"/>
              </w:rPr>
            </w:pPr>
            <w:r>
              <w:rPr>
                <w:rFonts w:hint="eastAsia" w:ascii="宋体" w:hAnsi="宋体"/>
                <w:kern w:val="0"/>
                <w:sz w:val="24"/>
              </w:rPr>
              <w:t>节能、环保产品政府采购政策</w:t>
            </w:r>
          </w:p>
        </w:tc>
        <w:tc>
          <w:tcPr>
            <w:tcW w:w="6111" w:type="dxa"/>
            <w:vAlign w:val="center"/>
          </w:tcPr>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一、按照《财政部</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发展改革委</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生态环境部</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市场监管总局关于调整优化节能产品、环境标志产品政府采购执行机制的通知》（财库〔</w:t>
            </w:r>
            <w:r>
              <w:rPr>
                <w:rFonts w:cs="宋体" w:asciiTheme="minorEastAsia" w:hAnsiTheme="minorEastAsia" w:eastAsiaTheme="minorEastAsia"/>
                <w:sz w:val="24"/>
              </w:rPr>
              <w:t>2019〕9号）相关要求，依据品目清单和认证证书实施政府优先采购和强制采购。本项目采购的产品属于品目清单范围的，依据国家确定的认证机构出具的、处于有效期之内的节能产品、环境标志产品认证证书，对获得证书的产品实施政府优先采购或强制采购。</w:t>
            </w:r>
          </w:p>
          <w:p>
            <w:pPr>
              <w:tabs>
                <w:tab w:val="left" w:pos="7665"/>
              </w:tabs>
              <w:spacing w:line="42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本项目采购的产品属于品目清单强制采购范围的，供应商应按上述要求提供产品认证证书复印件并加盖供应商单位公章（鲜章），否则投标无效。（实质性要求）</w:t>
            </w:r>
          </w:p>
          <w:p>
            <w:pPr>
              <w:pStyle w:val="2"/>
              <w:ind w:firstLine="482"/>
              <w:rPr>
                <w:rFonts w:eastAsiaTheme="minorEastAsia"/>
              </w:rPr>
            </w:pPr>
            <w:r>
              <w:rPr>
                <w:rFonts w:hint="eastAsia" w:cs="宋体" w:asciiTheme="minorEastAsia" w:hAnsiTheme="minorEastAsia" w:eastAsiaTheme="minorEastAsia"/>
                <w:b/>
                <w:sz w:val="24"/>
              </w:rPr>
              <w:t>强制节能产品：第20包宿营方舱：液晶电视</w:t>
            </w:r>
          </w:p>
          <w:p>
            <w:pPr>
              <w:tabs>
                <w:tab w:val="left" w:pos="7665"/>
              </w:tabs>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本项目采购的产品中，属于品目清单优先采购范围的，按照本项目综合评分法的规定进行加分。</w:t>
            </w:r>
          </w:p>
          <w:p>
            <w:pPr>
              <w:tabs>
                <w:tab w:val="left" w:pos="7665"/>
              </w:tabs>
              <w:spacing w:line="420" w:lineRule="exact"/>
              <w:ind w:firstLine="480" w:firstLineChars="200"/>
              <w:rPr>
                <w:rFonts w:cs="宋体" w:asciiTheme="minorEastAsia" w:hAnsiTheme="minorEastAsia" w:eastAsiaTheme="minorEastAsia"/>
                <w:sz w:val="24"/>
                <w:lang w:val="zh-CN"/>
              </w:rPr>
            </w:pPr>
            <w:r>
              <w:rPr>
                <w:rFonts w:cs="宋体" w:asciiTheme="minorEastAsia" w:hAnsiTheme="minorEastAsia" w:eastAsiaTheme="minorEastAsia"/>
                <w:sz w:val="24"/>
                <w:lang w:val="zh-CN"/>
              </w:rPr>
              <w:t>本项目采购标的属于品目清单强制采购范围的产品：</w:t>
            </w:r>
            <w:r>
              <w:rPr>
                <w:rFonts w:cs="宋体" w:asciiTheme="minorEastAsia" w:hAnsiTheme="minorEastAsia" w:eastAsiaTheme="minorEastAsia"/>
                <w:sz w:val="24"/>
              </w:rPr>
              <w:t>无</w:t>
            </w:r>
            <w:r>
              <w:rPr>
                <w:rFonts w:cs="宋体" w:asciiTheme="minorEastAsia" w:hAnsiTheme="minorEastAsia" w:eastAsiaTheme="minorEastAsia"/>
                <w:sz w:val="24"/>
                <w:lang w:val="zh-CN"/>
              </w:rPr>
              <w:t>。</w:t>
            </w:r>
          </w:p>
          <w:p>
            <w:pPr>
              <w:tabs>
                <w:tab w:val="left" w:pos="7665"/>
              </w:tabs>
              <w:spacing w:line="420" w:lineRule="exact"/>
              <w:ind w:firstLine="480" w:firstLineChars="200"/>
              <w:rPr>
                <w:rFonts w:cs="宋体" w:asciiTheme="minorEastAsia" w:hAnsiTheme="minorEastAsia" w:eastAsiaTheme="minorEastAsia"/>
                <w:sz w:val="24"/>
                <w:lang w:val="zh-CN"/>
              </w:rPr>
            </w:pPr>
            <w:r>
              <w:rPr>
                <w:rFonts w:cs="宋体" w:asciiTheme="minorEastAsia" w:hAnsiTheme="minorEastAsia" w:eastAsiaTheme="minorEastAsia"/>
                <w:sz w:val="24"/>
                <w:lang w:val="zh-CN"/>
              </w:rPr>
              <w:t>本项目采购标的属于品目清单优先采购范围的节能产品：</w:t>
            </w:r>
            <w:r>
              <w:rPr>
                <w:rFonts w:cs="宋体" w:asciiTheme="minorEastAsia" w:hAnsiTheme="minorEastAsia" w:eastAsiaTheme="minorEastAsia"/>
                <w:sz w:val="24"/>
              </w:rPr>
              <w:t>无</w:t>
            </w:r>
            <w:r>
              <w:rPr>
                <w:rFonts w:cs="宋体" w:asciiTheme="minorEastAsia" w:hAnsiTheme="minorEastAsia" w:eastAsiaTheme="minorEastAsia"/>
                <w:sz w:val="24"/>
                <w:lang w:val="zh-CN"/>
              </w:rPr>
              <w:t>。</w:t>
            </w:r>
          </w:p>
          <w:p>
            <w:pPr>
              <w:tabs>
                <w:tab w:val="left" w:pos="7665"/>
              </w:tabs>
              <w:spacing w:line="420" w:lineRule="exact"/>
              <w:ind w:firstLine="480" w:firstLineChars="200"/>
              <w:rPr>
                <w:rFonts w:cs="宋体" w:asciiTheme="minorEastAsia" w:hAnsiTheme="minorEastAsia" w:eastAsiaTheme="minorEastAsia"/>
                <w:sz w:val="24"/>
              </w:rPr>
            </w:pPr>
            <w:r>
              <w:rPr>
                <w:rFonts w:cs="宋体" w:asciiTheme="minorEastAsia" w:hAnsiTheme="minorEastAsia" w:eastAsiaTheme="minorEastAsia"/>
                <w:sz w:val="24"/>
                <w:lang w:val="zh-CN"/>
              </w:rPr>
              <w:t>本项目采购标的属于品目清单优先采购范围的环境标志产品：</w:t>
            </w:r>
            <w:r>
              <w:rPr>
                <w:rFonts w:cs="宋体" w:asciiTheme="minorEastAsia" w:hAnsiTheme="minorEastAsia" w:eastAsiaTheme="minorEastAsia"/>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38" w:type="dxa"/>
            <w:vAlign w:val="center"/>
          </w:tcPr>
          <w:p>
            <w:pPr>
              <w:tabs>
                <w:tab w:val="left" w:pos="7665"/>
              </w:tabs>
              <w:spacing w:line="42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19</w:t>
            </w:r>
          </w:p>
        </w:tc>
        <w:tc>
          <w:tcPr>
            <w:tcW w:w="2552" w:type="dxa"/>
            <w:vAlign w:val="center"/>
          </w:tcPr>
          <w:p>
            <w:pPr>
              <w:pStyle w:val="66"/>
              <w:spacing w:before="120" w:beforeLines="50" w:after="120" w:afterLines="50" w:line="360" w:lineRule="auto"/>
              <w:ind w:left="96"/>
              <w:jc w:val="center"/>
              <w:rPr>
                <w:lang w:val="zh-CN"/>
              </w:rPr>
            </w:pPr>
            <w:r>
              <w:rPr>
                <w:rFonts w:hint="eastAsia"/>
                <w:b/>
                <w:bCs/>
                <w:lang w:val="zh-CN"/>
              </w:rPr>
              <w:t>投标文件的数量</w:t>
            </w:r>
          </w:p>
        </w:tc>
        <w:tc>
          <w:tcPr>
            <w:tcW w:w="6111" w:type="dxa"/>
            <w:vAlign w:val="center"/>
          </w:tcPr>
          <w:p>
            <w:pPr>
              <w:widowControl/>
              <w:tabs>
                <w:tab w:val="left" w:pos="7665"/>
              </w:tabs>
              <w:adjustRightInd w:val="0"/>
              <w:snapToGrid w:val="0"/>
              <w:spacing w:line="360" w:lineRule="auto"/>
              <w:jc w:val="left"/>
              <w:rPr>
                <w:rFonts w:ascii="宋体" w:hAnsi="宋体" w:cs="宋体"/>
                <w:b/>
                <w:bCs/>
                <w:spacing w:val="-4"/>
                <w:sz w:val="24"/>
                <w:lang w:val="zh-CN"/>
              </w:rPr>
            </w:pPr>
            <w:r>
              <w:rPr>
                <w:rFonts w:hint="eastAsia" w:ascii="宋体" w:hAnsi="宋体" w:cs="宋体"/>
                <w:b/>
                <w:bCs/>
                <w:spacing w:val="-4"/>
                <w:sz w:val="24"/>
                <w:lang w:val="zh-CN"/>
              </w:rPr>
              <w:t>1、投标文件正本一份，副本一份，用于开标唱标单独提交的“开标一览表”，电子文档（U盘）1份。（实质性要求）</w:t>
            </w:r>
          </w:p>
          <w:p>
            <w:pPr>
              <w:spacing w:before="120" w:beforeLines="50" w:after="120" w:afterLines="50" w:line="360" w:lineRule="auto"/>
              <w:rPr>
                <w:rFonts w:ascii="宋体" w:hAnsi="宋体" w:cs="宋体"/>
                <w:sz w:val="24"/>
              </w:rPr>
            </w:pPr>
            <w:r>
              <w:rPr>
                <w:rFonts w:hint="eastAsia" w:ascii="宋体" w:hAnsi="宋体" w:cs="宋体"/>
                <w:b/>
                <w:bCs/>
                <w:spacing w:val="-4"/>
                <w:sz w:val="24"/>
                <w:lang w:val="zh-CN"/>
              </w:rPr>
              <w:t>2、电子文档须为正本的扫描件，扫描件存储格式为PDF。投标人须保证电子文档能正常打开，若电子文档无法打开，投标人自行承担不利后果。</w:t>
            </w:r>
          </w:p>
        </w:tc>
      </w:tr>
    </w:tbl>
    <w:p>
      <w:pPr>
        <w:spacing w:line="420" w:lineRule="exact"/>
        <w:rPr>
          <w:rFonts w:ascii="宋体" w:hAnsi="宋体" w:cs="宋体"/>
        </w:rPr>
      </w:pPr>
    </w:p>
    <w:p>
      <w:pPr>
        <w:pStyle w:val="4"/>
        <w:spacing w:before="120" w:after="120"/>
        <w:rPr>
          <w:rFonts w:ascii="宋体" w:hAnsi="宋体" w:cs="宋体"/>
        </w:rPr>
      </w:pPr>
      <w:r>
        <w:rPr>
          <w:rFonts w:hint="eastAsia" w:ascii="宋体" w:hAnsi="宋体" w:cs="宋体"/>
        </w:rPr>
        <w:t>二、总  则</w:t>
      </w:r>
    </w:p>
    <w:p>
      <w:pPr>
        <w:pStyle w:val="5"/>
        <w:numPr>
          <w:ilvl w:val="1"/>
          <w:numId w:val="5"/>
        </w:numPr>
        <w:ind w:left="155" w:leftChars="74" w:firstLine="178" w:firstLineChars="74"/>
        <w:rPr>
          <w:rFonts w:ascii="宋体" w:hAnsi="宋体" w:cs="宋体"/>
        </w:rPr>
      </w:pPr>
      <w:bookmarkStart w:id="19" w:name="_Toc217446034"/>
      <w:r>
        <w:rPr>
          <w:rFonts w:hint="eastAsia" w:ascii="宋体" w:hAnsi="宋体" w:cs="宋体"/>
        </w:rPr>
        <w:t>适用范围</w:t>
      </w:r>
      <w:bookmarkEnd w:id="19"/>
    </w:p>
    <w:p>
      <w:pPr>
        <w:numPr>
          <w:ilvl w:val="1"/>
          <w:numId w:val="6"/>
        </w:numPr>
        <w:tabs>
          <w:tab w:val="left" w:pos="7665"/>
        </w:tabs>
        <w:spacing w:line="420" w:lineRule="exact"/>
        <w:rPr>
          <w:rFonts w:ascii="宋体" w:hAnsi="宋体" w:cs="宋体"/>
          <w:sz w:val="24"/>
        </w:rPr>
      </w:pPr>
      <w:r>
        <w:rPr>
          <w:rFonts w:hint="eastAsia" w:ascii="宋体" w:hAnsi="宋体" w:cs="宋体"/>
          <w:sz w:val="24"/>
        </w:rPr>
        <w:t>本招标文件仅适用于本次招标采购项目。</w:t>
      </w:r>
    </w:p>
    <w:p>
      <w:pPr>
        <w:pStyle w:val="5"/>
        <w:numPr>
          <w:ilvl w:val="1"/>
          <w:numId w:val="5"/>
        </w:numPr>
        <w:ind w:left="155" w:leftChars="74" w:firstLine="178" w:firstLineChars="74"/>
        <w:rPr>
          <w:rFonts w:ascii="宋体" w:hAnsi="宋体" w:cs="宋体"/>
        </w:rPr>
      </w:pPr>
      <w:bookmarkStart w:id="20" w:name="_Toc217446035"/>
      <w:r>
        <w:rPr>
          <w:rFonts w:hint="eastAsia" w:ascii="宋体" w:hAnsi="宋体" w:cs="宋体"/>
        </w:rPr>
        <w:t>有关定义</w:t>
      </w:r>
      <w:bookmarkEnd w:id="20"/>
    </w:p>
    <w:p>
      <w:pPr>
        <w:numPr>
          <w:ilvl w:val="1"/>
          <w:numId w:val="7"/>
        </w:numPr>
        <w:tabs>
          <w:tab w:val="left" w:pos="7665"/>
        </w:tabs>
        <w:spacing w:line="420" w:lineRule="exact"/>
        <w:ind w:firstLine="480" w:firstLineChars="200"/>
        <w:jc w:val="left"/>
        <w:rPr>
          <w:rFonts w:ascii="宋体" w:hAnsi="宋体" w:cs="宋体"/>
          <w:sz w:val="24"/>
        </w:rPr>
      </w:pPr>
      <w:r>
        <w:rPr>
          <w:rFonts w:hint="eastAsia" w:ascii="宋体" w:hAnsi="宋体" w:cs="宋体"/>
          <w:sz w:val="24"/>
        </w:rPr>
        <w:t>“采购人”系指依法进行政府采购的国家机关、事业单位、团体组织。本次招标的采购人是</w:t>
      </w:r>
      <w:r>
        <w:rPr>
          <w:rFonts w:hint="eastAsia" w:ascii="宋体" w:hAnsi="宋体" w:cs="宋体"/>
          <w:sz w:val="24"/>
          <w:u w:val="single"/>
        </w:rPr>
        <w:t>德阳市消防救援支队</w:t>
      </w:r>
      <w:r>
        <w:rPr>
          <w:rFonts w:hint="eastAsia" w:ascii="宋体" w:hAnsi="宋体" w:cs="宋体"/>
          <w:sz w:val="24"/>
        </w:rPr>
        <w:t>。</w:t>
      </w:r>
    </w:p>
    <w:p>
      <w:pPr>
        <w:numPr>
          <w:ilvl w:val="1"/>
          <w:numId w:val="7"/>
        </w:numPr>
        <w:tabs>
          <w:tab w:val="left" w:pos="7665"/>
        </w:tabs>
        <w:spacing w:line="420" w:lineRule="exact"/>
        <w:ind w:firstLine="480" w:firstLineChars="200"/>
        <w:rPr>
          <w:rFonts w:ascii="宋体" w:hAnsi="宋体" w:cs="宋体"/>
          <w:sz w:val="24"/>
        </w:rPr>
      </w:pPr>
      <w:r>
        <w:rPr>
          <w:rFonts w:hint="eastAsia" w:ascii="宋体" w:hAnsi="宋体" w:cs="宋体"/>
          <w:sz w:val="24"/>
        </w:rPr>
        <w:t>“采购代理机构” 系指根据采购人的委托依法办理招标事宜的采购机构。本次招标的采购代理机构是</w:t>
      </w:r>
      <w:r>
        <w:rPr>
          <w:rFonts w:hint="eastAsia" w:ascii="宋体" w:hAnsi="宋体" w:cs="宋体"/>
          <w:sz w:val="24"/>
          <w:u w:val="single"/>
        </w:rPr>
        <w:t>四川中舜招标代理有限公司</w:t>
      </w:r>
      <w:r>
        <w:rPr>
          <w:rFonts w:hint="eastAsia" w:ascii="宋体" w:hAnsi="宋体" w:cs="宋体"/>
          <w:sz w:val="24"/>
        </w:rPr>
        <w:t>。</w:t>
      </w:r>
    </w:p>
    <w:p>
      <w:pPr>
        <w:numPr>
          <w:ilvl w:val="1"/>
          <w:numId w:val="7"/>
        </w:numPr>
        <w:tabs>
          <w:tab w:val="left" w:pos="7665"/>
        </w:tabs>
        <w:spacing w:line="420" w:lineRule="exact"/>
        <w:ind w:firstLine="480" w:firstLineChars="200"/>
        <w:rPr>
          <w:rFonts w:ascii="宋体" w:hAnsi="宋体" w:cs="宋体"/>
          <w:sz w:val="24"/>
        </w:rPr>
      </w:pPr>
      <w:r>
        <w:rPr>
          <w:rFonts w:hint="eastAsia" w:ascii="宋体" w:hAnsi="宋体" w:cs="宋体"/>
          <w:sz w:val="24"/>
        </w:rPr>
        <w:t>“招标采购单位”系指“采购人”和“采购代理机构”的统称。</w:t>
      </w:r>
    </w:p>
    <w:p>
      <w:pPr>
        <w:numPr>
          <w:ilvl w:val="1"/>
          <w:numId w:val="7"/>
        </w:numPr>
        <w:tabs>
          <w:tab w:val="left" w:pos="7665"/>
        </w:tabs>
        <w:spacing w:line="420" w:lineRule="exact"/>
        <w:ind w:firstLine="480" w:firstLineChars="200"/>
        <w:rPr>
          <w:rFonts w:ascii="宋体" w:hAnsi="宋体" w:cs="宋体"/>
          <w:sz w:val="24"/>
        </w:rPr>
      </w:pPr>
      <w:r>
        <w:rPr>
          <w:rFonts w:hint="eastAsia" w:ascii="宋体" w:hAnsi="宋体" w:cs="宋体"/>
          <w:sz w:val="24"/>
        </w:rPr>
        <w:t>“投标人”系指购买了招标文件拟参加投标和向采购人提供货物及相应服务的供应商。</w:t>
      </w:r>
    </w:p>
    <w:p>
      <w:pPr>
        <w:pStyle w:val="5"/>
        <w:numPr>
          <w:ilvl w:val="1"/>
          <w:numId w:val="5"/>
        </w:numPr>
        <w:ind w:left="155" w:leftChars="74" w:firstLine="178" w:firstLineChars="74"/>
        <w:rPr>
          <w:rFonts w:ascii="宋体" w:hAnsi="宋体" w:cs="宋体"/>
        </w:rPr>
      </w:pPr>
      <w:bookmarkStart w:id="21" w:name="_Toc183682344"/>
      <w:bookmarkStart w:id="22" w:name="_Toc217446036"/>
      <w:bookmarkStart w:id="23" w:name="_Toc183582207"/>
      <w:bookmarkStart w:id="24" w:name="_Toc217390843"/>
      <w:r>
        <w:rPr>
          <w:rFonts w:hint="eastAsia" w:ascii="宋体" w:hAnsi="宋体" w:cs="宋体"/>
        </w:rPr>
        <w:t>合格的投标人</w:t>
      </w:r>
      <w:bookmarkEnd w:id="21"/>
      <w:bookmarkEnd w:id="22"/>
      <w:bookmarkEnd w:id="23"/>
      <w:bookmarkEnd w:id="24"/>
      <w:r>
        <w:rPr>
          <w:rFonts w:hint="eastAsia" w:ascii="宋体" w:hAnsi="宋体" w:cs="宋体"/>
        </w:rPr>
        <w:t>（实质性要求）</w:t>
      </w:r>
    </w:p>
    <w:p>
      <w:pPr>
        <w:tabs>
          <w:tab w:val="left" w:pos="7665"/>
        </w:tabs>
        <w:spacing w:line="420" w:lineRule="exact"/>
        <w:rPr>
          <w:rFonts w:ascii="宋体" w:hAnsi="宋体" w:cs="宋体"/>
          <w:sz w:val="24"/>
        </w:rPr>
      </w:pPr>
      <w:r>
        <w:rPr>
          <w:rFonts w:hint="eastAsia" w:ascii="宋体" w:hAnsi="宋体" w:cs="宋体"/>
          <w:b/>
          <w:sz w:val="24"/>
        </w:rPr>
        <w:t xml:space="preserve">    </w:t>
      </w:r>
      <w:r>
        <w:rPr>
          <w:rFonts w:hint="eastAsia" w:ascii="宋体" w:hAnsi="宋体" w:cs="宋体"/>
          <w:sz w:val="24"/>
        </w:rPr>
        <w:t>合格的投标人应具备以下条件：</w:t>
      </w:r>
    </w:p>
    <w:p>
      <w:pPr>
        <w:numPr>
          <w:ilvl w:val="0"/>
          <w:numId w:val="8"/>
        </w:numPr>
        <w:tabs>
          <w:tab w:val="left" w:pos="7665"/>
        </w:tabs>
        <w:spacing w:line="420" w:lineRule="exact"/>
        <w:ind w:left="0" w:firstLine="480" w:firstLineChars="200"/>
        <w:rPr>
          <w:rFonts w:ascii="宋体" w:hAnsi="宋体" w:cs="宋体"/>
          <w:spacing w:val="-4"/>
          <w:sz w:val="24"/>
        </w:rPr>
      </w:pPr>
      <w:r>
        <w:rPr>
          <w:rFonts w:hint="eastAsia" w:ascii="宋体" w:hAnsi="宋体" w:cs="宋体"/>
          <w:sz w:val="24"/>
        </w:rPr>
        <w:t>本招标文件规定的供应商资格条件</w:t>
      </w:r>
      <w:r>
        <w:rPr>
          <w:rFonts w:hint="eastAsia" w:ascii="宋体" w:hAnsi="宋体" w:cs="宋体"/>
          <w:spacing w:val="-4"/>
          <w:sz w:val="24"/>
        </w:rPr>
        <w:t>；</w:t>
      </w:r>
    </w:p>
    <w:p>
      <w:pPr>
        <w:numPr>
          <w:ilvl w:val="0"/>
          <w:numId w:val="8"/>
        </w:numPr>
        <w:tabs>
          <w:tab w:val="left" w:pos="7665"/>
        </w:tabs>
        <w:spacing w:line="420" w:lineRule="exact"/>
        <w:ind w:left="0" w:firstLine="480" w:firstLineChars="200"/>
        <w:rPr>
          <w:rFonts w:ascii="宋体" w:hAnsi="宋体" w:cs="宋体"/>
          <w:sz w:val="24"/>
        </w:rPr>
      </w:pPr>
      <w:r>
        <w:rPr>
          <w:rFonts w:hint="eastAsia" w:ascii="宋体" w:hAnsi="宋体" w:cs="宋体"/>
          <w:sz w:val="24"/>
        </w:rPr>
        <w:t>遵守国家有关的法律、法规、规章和其他政策制度；</w:t>
      </w:r>
    </w:p>
    <w:p>
      <w:pPr>
        <w:numPr>
          <w:ilvl w:val="0"/>
          <w:numId w:val="8"/>
        </w:numPr>
        <w:tabs>
          <w:tab w:val="left" w:pos="7665"/>
        </w:tabs>
        <w:spacing w:line="420" w:lineRule="exact"/>
        <w:ind w:left="0" w:firstLine="480" w:firstLineChars="200"/>
        <w:rPr>
          <w:rFonts w:ascii="宋体" w:hAnsi="宋体" w:cs="宋体"/>
          <w:sz w:val="24"/>
        </w:rPr>
      </w:pPr>
      <w:r>
        <w:rPr>
          <w:rFonts w:hint="eastAsia" w:ascii="宋体" w:hAnsi="宋体" w:cs="宋体"/>
          <w:sz w:val="24"/>
        </w:rPr>
        <w:t>向采购代理机构购买了招标文件并登记备案。</w:t>
      </w:r>
    </w:p>
    <w:p>
      <w:pPr>
        <w:pStyle w:val="5"/>
        <w:numPr>
          <w:ilvl w:val="1"/>
          <w:numId w:val="5"/>
        </w:numPr>
        <w:ind w:left="155" w:leftChars="74" w:firstLine="178" w:firstLineChars="74"/>
        <w:rPr>
          <w:rFonts w:ascii="宋体" w:hAnsi="宋体" w:cs="宋体"/>
        </w:rPr>
      </w:pPr>
      <w:bookmarkStart w:id="25" w:name="_Toc217446037"/>
      <w:bookmarkStart w:id="26" w:name="_Toc183582208"/>
      <w:bookmarkStart w:id="27" w:name="_Toc183682345"/>
      <w:r>
        <w:rPr>
          <w:rFonts w:hint="eastAsia" w:ascii="宋体" w:hAnsi="宋体" w:cs="宋体"/>
        </w:rPr>
        <w:t>投标费用</w:t>
      </w:r>
      <w:bookmarkEnd w:id="25"/>
      <w:bookmarkEnd w:id="26"/>
      <w:bookmarkEnd w:id="27"/>
      <w:r>
        <w:rPr>
          <w:rFonts w:hint="eastAsia" w:ascii="宋体" w:hAnsi="宋体" w:cs="宋体"/>
        </w:rPr>
        <w:t>（实质性要求）</w:t>
      </w:r>
    </w:p>
    <w:p>
      <w:pPr>
        <w:tabs>
          <w:tab w:val="left" w:pos="7665"/>
        </w:tabs>
        <w:spacing w:line="420" w:lineRule="exact"/>
        <w:ind w:firstLine="480"/>
        <w:rPr>
          <w:rFonts w:ascii="宋体" w:hAnsi="宋体" w:cs="宋体"/>
          <w:sz w:val="24"/>
        </w:rPr>
      </w:pPr>
      <w:r>
        <w:rPr>
          <w:rFonts w:hint="eastAsia" w:ascii="宋体" w:hAnsi="宋体" w:cs="宋体"/>
          <w:sz w:val="24"/>
        </w:rPr>
        <w:t>投标人参加投标的有关费用由投标人自行承担。</w:t>
      </w:r>
    </w:p>
    <w:p>
      <w:pPr>
        <w:pStyle w:val="5"/>
        <w:numPr>
          <w:ilvl w:val="1"/>
          <w:numId w:val="5"/>
        </w:numPr>
        <w:ind w:left="155" w:leftChars="74" w:firstLine="178" w:firstLineChars="74"/>
        <w:rPr>
          <w:rFonts w:ascii="宋体" w:hAnsi="宋体" w:cs="宋体"/>
        </w:rPr>
      </w:pPr>
      <w:r>
        <w:rPr>
          <w:rFonts w:hint="eastAsia" w:ascii="宋体" w:hAnsi="宋体" w:cs="宋体"/>
        </w:rPr>
        <w:t>投标风险</w:t>
      </w:r>
    </w:p>
    <w:p>
      <w:pPr>
        <w:tabs>
          <w:tab w:val="left" w:pos="7665"/>
        </w:tabs>
        <w:spacing w:line="420" w:lineRule="exact"/>
        <w:ind w:firstLine="480"/>
        <w:rPr>
          <w:rFonts w:ascii="宋体" w:hAnsi="宋体" w:cs="宋体"/>
          <w:sz w:val="24"/>
        </w:rPr>
      </w:pPr>
      <w:r>
        <w:rPr>
          <w:rFonts w:hint="eastAsia" w:ascii="宋体" w:hAnsi="宋体" w:cs="宋体"/>
          <w:sz w:val="24"/>
        </w:rPr>
        <w:t>投标人参加投标的所有风险，由投标人自行承担。</w:t>
      </w:r>
    </w:p>
    <w:p>
      <w:pPr>
        <w:pStyle w:val="5"/>
        <w:numPr>
          <w:ilvl w:val="1"/>
          <w:numId w:val="5"/>
        </w:numPr>
        <w:ind w:left="155" w:leftChars="74" w:firstLine="178" w:firstLineChars="74"/>
        <w:rPr>
          <w:rFonts w:ascii="宋体" w:hAnsi="宋体" w:cs="宋体"/>
        </w:rPr>
      </w:pPr>
      <w:r>
        <w:rPr>
          <w:rFonts w:hint="eastAsia" w:ascii="宋体" w:hAnsi="宋体" w:cs="宋体"/>
        </w:rPr>
        <w:t>充分、公平竞争保障措施</w:t>
      </w:r>
      <w:r>
        <w:rPr>
          <w:rFonts w:hint="eastAsia" w:ascii="宋体" w:hAnsi="宋体" w:cs="宋体"/>
          <w:szCs w:val="24"/>
        </w:rPr>
        <w:t>（实质性要求）</w:t>
      </w:r>
    </w:p>
    <w:p>
      <w:pPr>
        <w:numPr>
          <w:ilvl w:val="1"/>
          <w:numId w:val="9"/>
        </w:numPr>
        <w:tabs>
          <w:tab w:val="left" w:pos="7665"/>
        </w:tabs>
        <w:spacing w:line="360" w:lineRule="auto"/>
        <w:ind w:left="0" w:firstLine="482" w:firstLineChars="200"/>
        <w:rPr>
          <w:rFonts w:ascii="宋体"/>
          <w:sz w:val="24"/>
        </w:rPr>
      </w:pPr>
      <w:r>
        <w:rPr>
          <w:rFonts w:hint="eastAsia" w:ascii="宋体"/>
          <w:b/>
          <w:sz w:val="24"/>
        </w:rPr>
        <w:t>提供相同品牌产品处理。</w:t>
      </w:r>
      <w:r>
        <w:rPr>
          <w:rFonts w:hint="eastAsia" w:ascii="宋体"/>
          <w:sz w:val="24"/>
        </w:rPr>
        <w:t>提供相同品牌产品且通过资格审查、符合性审查的不同投标人参加同一合同项下投标的，按一家投标人计算，评审后得分最高的同品牌投标人获得中标人推荐资格；评审得分相同的，以其中投标报价最低的同品牌投标人获得中标人推荐资格；评审得分相同且投标报价相同的，以其中按照评审因素的量化指标评审得分最高的同品牌投标人获得中标人推荐资格；评审得分相同、投标报价相同且按照评审因素的量化指标评审得分也相同的，以现场抽签方式确定同品牌投标人获得中标人推荐资格。</w:t>
      </w:r>
    </w:p>
    <w:p>
      <w:pPr>
        <w:tabs>
          <w:tab w:val="left" w:pos="7665"/>
        </w:tabs>
        <w:spacing w:line="420" w:lineRule="exact"/>
        <w:ind w:firstLine="480" w:firstLineChars="200"/>
        <w:rPr>
          <w:b/>
          <w:sz w:val="24"/>
        </w:rPr>
      </w:pPr>
      <w:r>
        <w:rPr>
          <w:rFonts w:hint="eastAsia"/>
          <w:sz w:val="24"/>
        </w:rPr>
        <w:t>非单一产品采购项目中，多家投标人提供的部分或所有核心产品品牌相同的，视为提供相同品牌产品。</w:t>
      </w:r>
      <w:r>
        <w:rPr>
          <w:rFonts w:hint="eastAsia"/>
          <w:b/>
          <w:sz w:val="24"/>
        </w:rPr>
        <w:t>本采购项目核心产品为：</w:t>
      </w:r>
    </w:p>
    <w:tbl>
      <w:tblPr>
        <w:tblStyle w:val="22"/>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9"/>
        <w:gridCol w:w="6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包号</w:t>
            </w:r>
          </w:p>
        </w:tc>
        <w:tc>
          <w:tcPr>
            <w:tcW w:w="6747" w:type="dxa"/>
          </w:tcPr>
          <w:p>
            <w:pPr>
              <w:pStyle w:val="67"/>
              <w:jc w:val="center"/>
              <w:rPr>
                <w:rFonts w:ascii="宋体" w:hAnsi="宋体"/>
                <w:sz w:val="24"/>
              </w:rPr>
            </w:pPr>
            <w:r>
              <w:rPr>
                <w:rFonts w:hint="eastAsia" w:ascii="宋体" w:hAnsi="宋体"/>
                <w:sz w:val="24"/>
              </w:rPr>
              <w:t>核心产品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1</w:t>
            </w:r>
          </w:p>
        </w:tc>
        <w:tc>
          <w:tcPr>
            <w:tcW w:w="6747" w:type="dxa"/>
          </w:tcPr>
          <w:p>
            <w:pPr>
              <w:pStyle w:val="67"/>
              <w:jc w:val="center"/>
              <w:rPr>
                <w:rFonts w:ascii="宋体" w:hAnsi="宋体"/>
                <w:sz w:val="24"/>
              </w:rPr>
            </w:pPr>
            <w:r>
              <w:rPr>
                <w:rFonts w:hint="eastAsia" w:ascii="宋体" w:hAnsi="宋体"/>
                <w:sz w:val="24"/>
              </w:rPr>
              <w:t>宿营方舱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2</w:t>
            </w:r>
          </w:p>
        </w:tc>
        <w:tc>
          <w:tcPr>
            <w:tcW w:w="6747" w:type="dxa"/>
          </w:tcPr>
          <w:p>
            <w:pPr>
              <w:pStyle w:val="67"/>
              <w:jc w:val="center"/>
              <w:rPr>
                <w:rFonts w:ascii="宋体" w:hAnsi="宋体"/>
                <w:sz w:val="24"/>
              </w:rPr>
            </w:pPr>
            <w:r>
              <w:rPr>
                <w:rFonts w:hint="eastAsia" w:ascii="宋体" w:hAnsi="宋体"/>
                <w:sz w:val="24"/>
                <w:lang w:bidi="ar"/>
              </w:rPr>
              <w:t>摩托艇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3</w:t>
            </w:r>
          </w:p>
        </w:tc>
        <w:tc>
          <w:tcPr>
            <w:tcW w:w="6747" w:type="dxa"/>
          </w:tcPr>
          <w:p>
            <w:pPr>
              <w:pStyle w:val="67"/>
              <w:jc w:val="center"/>
              <w:rPr>
                <w:rFonts w:ascii="宋体" w:hAnsi="宋体"/>
                <w:sz w:val="24"/>
              </w:rPr>
            </w:pPr>
            <w:r>
              <w:rPr>
                <w:rFonts w:hint="eastAsia" w:ascii="宋体" w:hAnsi="宋体"/>
                <w:sz w:val="24"/>
              </w:rPr>
              <w:t>水下前视声呐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4</w:t>
            </w:r>
          </w:p>
        </w:tc>
        <w:tc>
          <w:tcPr>
            <w:tcW w:w="6747" w:type="dxa"/>
          </w:tcPr>
          <w:p>
            <w:pPr>
              <w:pStyle w:val="67"/>
              <w:jc w:val="center"/>
              <w:rPr>
                <w:rFonts w:ascii="宋体" w:hAnsi="宋体"/>
                <w:sz w:val="24"/>
              </w:rPr>
            </w:pPr>
            <w:r>
              <w:rPr>
                <w:rFonts w:hint="eastAsia" w:ascii="宋体" w:hAnsi="宋体"/>
                <w:sz w:val="24"/>
                <w:lang w:bidi="ar"/>
              </w:rPr>
              <w:t>水下推进器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5</w:t>
            </w:r>
          </w:p>
        </w:tc>
        <w:tc>
          <w:tcPr>
            <w:tcW w:w="6747" w:type="dxa"/>
          </w:tcPr>
          <w:p>
            <w:pPr>
              <w:pStyle w:val="67"/>
              <w:jc w:val="center"/>
              <w:rPr>
                <w:rFonts w:ascii="宋体" w:hAnsi="宋体"/>
                <w:sz w:val="24"/>
              </w:rPr>
            </w:pPr>
            <w:r>
              <w:rPr>
                <w:rFonts w:hint="eastAsia" w:ascii="宋体" w:hAnsi="宋体"/>
                <w:sz w:val="24"/>
                <w:lang w:bidi="ar"/>
              </w:rPr>
              <w:t>水下无线通信系统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6</w:t>
            </w:r>
          </w:p>
        </w:tc>
        <w:tc>
          <w:tcPr>
            <w:tcW w:w="6747" w:type="dxa"/>
          </w:tcPr>
          <w:p>
            <w:pPr>
              <w:pStyle w:val="67"/>
              <w:jc w:val="center"/>
              <w:rPr>
                <w:rFonts w:ascii="宋体" w:hAnsi="宋体"/>
                <w:sz w:val="24"/>
              </w:rPr>
            </w:pPr>
            <w:r>
              <w:rPr>
                <w:rFonts w:hint="eastAsia" w:ascii="宋体" w:hAnsi="宋体"/>
                <w:sz w:val="24"/>
              </w:rPr>
              <w:t>冰域呼吸器组件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9" w:type="dxa"/>
          </w:tcPr>
          <w:p>
            <w:pPr>
              <w:pStyle w:val="67"/>
              <w:jc w:val="center"/>
              <w:rPr>
                <w:rFonts w:ascii="宋体" w:hAnsi="宋体"/>
                <w:sz w:val="24"/>
              </w:rPr>
            </w:pPr>
            <w:r>
              <w:rPr>
                <w:rFonts w:hint="eastAsia" w:ascii="宋体" w:hAnsi="宋体"/>
                <w:sz w:val="24"/>
              </w:rPr>
              <w:t>7</w:t>
            </w:r>
          </w:p>
        </w:tc>
        <w:tc>
          <w:tcPr>
            <w:tcW w:w="6747" w:type="dxa"/>
          </w:tcPr>
          <w:p>
            <w:pPr>
              <w:pStyle w:val="67"/>
              <w:jc w:val="center"/>
              <w:rPr>
                <w:rFonts w:ascii="宋体" w:hAnsi="宋体"/>
                <w:sz w:val="24"/>
              </w:rPr>
            </w:pPr>
            <w:r>
              <w:rPr>
                <w:rFonts w:hint="eastAsia" w:ascii="宋体" w:hAnsi="宋体"/>
                <w:sz w:val="24"/>
              </w:rPr>
              <w:t>绳索救援套装</w:t>
            </w:r>
          </w:p>
        </w:tc>
      </w:tr>
    </w:tbl>
    <w:p>
      <w:pPr>
        <w:pStyle w:val="2"/>
        <w:ind w:firstLine="420"/>
      </w:pPr>
    </w:p>
    <w:p>
      <w:pPr>
        <w:numPr>
          <w:ilvl w:val="1"/>
          <w:numId w:val="9"/>
        </w:numPr>
        <w:tabs>
          <w:tab w:val="left" w:pos="7665"/>
        </w:tabs>
        <w:spacing w:line="420" w:lineRule="exact"/>
        <w:ind w:left="0" w:firstLine="482" w:firstLineChars="200"/>
        <w:rPr>
          <w:rFonts w:ascii="宋体" w:hAnsi="宋体" w:cs="宋体"/>
          <w:sz w:val="24"/>
        </w:rPr>
      </w:pPr>
      <w:r>
        <w:rPr>
          <w:rFonts w:hint="eastAsia"/>
          <w:b/>
          <w:sz w:val="24"/>
        </w:rPr>
        <w:t>利害关系供应商处理。</w:t>
      </w:r>
      <w:r>
        <w:rPr>
          <w:rFonts w:hint="eastAsia"/>
          <w:bCs/>
          <w:sz w:val="24"/>
        </w:rPr>
        <w:t>单位负责人为同一人或者存在直接控股、管理关系的不同供应商不得参加同一合同项下的政府采购活动。供应商必须在其投标文件中对此进行承诺，否则，其投标文件作为无效处理。</w:t>
      </w:r>
    </w:p>
    <w:p>
      <w:pPr>
        <w:numPr>
          <w:ilvl w:val="1"/>
          <w:numId w:val="9"/>
        </w:numPr>
        <w:tabs>
          <w:tab w:val="left" w:pos="7665"/>
        </w:tabs>
        <w:spacing w:line="420" w:lineRule="exact"/>
        <w:ind w:left="0" w:firstLine="482" w:firstLineChars="200"/>
        <w:rPr>
          <w:rFonts w:ascii="宋体" w:hAnsi="宋体" w:cs="宋体"/>
          <w:sz w:val="24"/>
        </w:rPr>
      </w:pPr>
      <w:r>
        <w:rPr>
          <w:rFonts w:hint="eastAsia" w:ascii="宋体" w:hAnsi="宋体" w:cs="宋体"/>
          <w:b/>
          <w:sz w:val="24"/>
        </w:rPr>
        <w:t>前期参与供应商处理。</w:t>
      </w:r>
      <w:r>
        <w:rPr>
          <w:rFonts w:hint="eastAsia" w:ascii="宋体" w:hAnsi="宋体" w:cs="宋体"/>
          <w:sz w:val="24"/>
        </w:rPr>
        <w:t>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pPr>
        <w:numPr>
          <w:ilvl w:val="1"/>
          <w:numId w:val="9"/>
        </w:numPr>
        <w:tabs>
          <w:tab w:val="left" w:pos="7665"/>
        </w:tabs>
        <w:spacing w:line="420" w:lineRule="exact"/>
        <w:ind w:left="0" w:firstLine="482" w:firstLineChars="200"/>
        <w:rPr>
          <w:rFonts w:ascii="宋体" w:hAnsi="宋体" w:cs="宋体"/>
          <w:sz w:val="24"/>
        </w:rPr>
      </w:pPr>
      <w:r>
        <w:rPr>
          <w:rFonts w:hint="eastAsia" w:ascii="宋体" w:hAnsi="宋体" w:cs="宋体"/>
          <w:b/>
          <w:sz w:val="24"/>
        </w:rPr>
        <w:t>利害关系代理人处理。</w:t>
      </w:r>
      <w:r>
        <w:rPr>
          <w:rFonts w:hint="eastAsia" w:ascii="宋体" w:hAnsi="宋体" w:cs="宋体"/>
          <w:sz w:val="24"/>
        </w:rPr>
        <w:t>2家以上的供应商不得在同一合同项下的采购项目中，同时委托同一个自然人、同一家庭的人员、同一单位的人员作为其代理人，否则，其投标文件作为无效处理。</w:t>
      </w:r>
    </w:p>
    <w:p>
      <w:pPr>
        <w:pStyle w:val="4"/>
        <w:spacing w:before="120" w:after="120"/>
        <w:rPr>
          <w:rFonts w:ascii="宋体" w:hAnsi="宋体" w:cs="宋体"/>
        </w:rPr>
      </w:pPr>
      <w:bookmarkStart w:id="28" w:name="_Toc217446038"/>
      <w:bookmarkStart w:id="29" w:name="_Toc183682346"/>
      <w:bookmarkStart w:id="30" w:name="_Toc183582209"/>
      <w:bookmarkStart w:id="31" w:name="_Toc89075875"/>
      <w:bookmarkStart w:id="32" w:name="_Toc77400779"/>
      <w:r>
        <w:rPr>
          <w:rFonts w:hint="eastAsia" w:ascii="宋体" w:hAnsi="宋体" w:cs="宋体"/>
        </w:rPr>
        <w:t>三、招标文件</w:t>
      </w:r>
      <w:bookmarkEnd w:id="28"/>
      <w:bookmarkEnd w:id="29"/>
      <w:bookmarkEnd w:id="30"/>
      <w:bookmarkEnd w:id="31"/>
      <w:bookmarkEnd w:id="32"/>
    </w:p>
    <w:p>
      <w:pPr>
        <w:pStyle w:val="5"/>
        <w:numPr>
          <w:ilvl w:val="1"/>
          <w:numId w:val="5"/>
        </w:numPr>
        <w:ind w:left="155" w:leftChars="74" w:firstLine="178" w:firstLineChars="74"/>
        <w:rPr>
          <w:rFonts w:ascii="宋体" w:hAnsi="宋体" w:cs="宋体"/>
        </w:rPr>
      </w:pPr>
      <w:bookmarkStart w:id="33" w:name="_Toc217446039"/>
      <w:bookmarkStart w:id="34" w:name="_Toc183682347"/>
      <w:bookmarkStart w:id="35" w:name="_Toc183582210"/>
      <w:r>
        <w:rPr>
          <w:rFonts w:hint="eastAsia" w:ascii="宋体" w:hAnsi="宋体" w:cs="宋体"/>
        </w:rPr>
        <w:t>招标文件的构成</w:t>
      </w:r>
      <w:bookmarkEnd w:id="33"/>
      <w:bookmarkEnd w:id="34"/>
      <w:bookmarkEnd w:id="35"/>
    </w:p>
    <w:p>
      <w:pPr>
        <w:tabs>
          <w:tab w:val="left" w:pos="7665"/>
        </w:tabs>
        <w:spacing w:line="420" w:lineRule="exact"/>
        <w:ind w:firstLine="480" w:firstLineChars="200"/>
        <w:rPr>
          <w:rFonts w:ascii="宋体" w:hAnsi="宋体" w:cs="宋体"/>
          <w:sz w:val="24"/>
        </w:rPr>
      </w:pPr>
      <w:r>
        <w:rPr>
          <w:rFonts w:hint="eastAsia" w:ascii="宋体" w:hAnsi="宋体" w:cs="宋体"/>
          <w:sz w:val="24"/>
        </w:rPr>
        <w:t>招标文件是供应商准备投标文件和参加投标的依据，同时也是评标的重要依据，具有准法律文件性质。招标文件用以阐明招标项目所需的资质、技术、服务及报价等要求、招标投标程序、有关规定和注意事项以及合同主要条款等。本招标文件包括以下内容：</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投标邀请；</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投标人须知；</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投标文件格式；</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投标人和投标产品的资格、资质性及其他类似效力要求；</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投标人应当提供的资格、资质性及其他类似效力要求的相关证明材料；</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招标项目技术、商务及其他要求；</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评标办法；</w:t>
      </w:r>
    </w:p>
    <w:p>
      <w:pPr>
        <w:numPr>
          <w:ilvl w:val="0"/>
          <w:numId w:val="10"/>
        </w:numPr>
        <w:tabs>
          <w:tab w:val="left" w:pos="720"/>
        </w:tabs>
        <w:spacing w:line="420" w:lineRule="exact"/>
        <w:ind w:left="0" w:firstLine="480" w:firstLineChars="200"/>
        <w:rPr>
          <w:rFonts w:ascii="宋体" w:hAnsi="宋体" w:cs="宋体"/>
          <w:sz w:val="24"/>
        </w:rPr>
      </w:pPr>
      <w:r>
        <w:rPr>
          <w:rFonts w:hint="eastAsia" w:ascii="宋体" w:hAnsi="宋体" w:cs="宋体"/>
          <w:sz w:val="24"/>
        </w:rPr>
        <w:t>合同主要条款。</w:t>
      </w:r>
    </w:p>
    <w:p>
      <w:pPr>
        <w:pStyle w:val="5"/>
        <w:numPr>
          <w:ilvl w:val="1"/>
          <w:numId w:val="5"/>
        </w:numPr>
        <w:ind w:left="155" w:leftChars="74" w:firstLine="178" w:firstLineChars="74"/>
        <w:rPr>
          <w:rFonts w:ascii="宋体" w:hAnsi="宋体" w:cs="宋体"/>
        </w:rPr>
      </w:pPr>
      <w:bookmarkStart w:id="36" w:name="_Toc183682348"/>
      <w:bookmarkStart w:id="37" w:name="_Toc183582211"/>
      <w:bookmarkStart w:id="38" w:name="_Toc217446040"/>
      <w:r>
        <w:rPr>
          <w:rFonts w:hint="eastAsia" w:ascii="宋体" w:hAnsi="宋体" w:cs="宋体"/>
        </w:rPr>
        <w:t>招标文件的澄清</w:t>
      </w:r>
      <w:bookmarkEnd w:id="36"/>
      <w:bookmarkEnd w:id="37"/>
      <w:r>
        <w:rPr>
          <w:rFonts w:hint="eastAsia" w:ascii="宋体" w:hAnsi="宋体" w:cs="宋体"/>
        </w:rPr>
        <w:t>和修改</w:t>
      </w:r>
      <w:bookmarkEnd w:id="38"/>
    </w:p>
    <w:p>
      <w:pPr>
        <w:numPr>
          <w:ilvl w:val="1"/>
          <w:numId w:val="11"/>
        </w:numPr>
        <w:tabs>
          <w:tab w:val="left" w:pos="7665"/>
        </w:tabs>
        <w:spacing w:line="420" w:lineRule="exact"/>
        <w:ind w:firstLine="480" w:firstLineChars="200"/>
        <w:rPr>
          <w:rFonts w:ascii="宋体" w:hAnsi="宋体" w:cs="宋体"/>
          <w:sz w:val="24"/>
        </w:rPr>
      </w:pPr>
      <w:r>
        <w:rPr>
          <w:rFonts w:hint="eastAsia" w:ascii="宋体" w:hAnsi="宋体" w:cs="宋体"/>
          <w:sz w:val="24"/>
        </w:rPr>
        <w:t>招标采购单位可以依法对招标文件进行澄清或者修改。</w:t>
      </w:r>
    </w:p>
    <w:p>
      <w:pPr>
        <w:numPr>
          <w:ilvl w:val="1"/>
          <w:numId w:val="11"/>
        </w:numPr>
        <w:tabs>
          <w:tab w:val="left" w:pos="7665"/>
        </w:tabs>
        <w:spacing w:line="420" w:lineRule="exact"/>
        <w:ind w:firstLine="480" w:firstLineChars="200"/>
        <w:rPr>
          <w:rFonts w:ascii="宋体" w:hAnsi="宋体" w:cs="宋体"/>
          <w:sz w:val="24"/>
        </w:rPr>
      </w:pPr>
      <w:r>
        <w:rPr>
          <w:rFonts w:hint="eastAsia" w:ascii="宋体" w:hAnsi="宋体" w:cs="宋体"/>
          <w:sz w:val="24"/>
        </w:rPr>
        <w:t>招标采购单位对已发出的招标文件进行澄清或者修改，应当以书面形式将澄清或者修改的内容通知所有购买了招标文件的供应商，同时在中国政府采购网上发布更正公告。该澄清或者修改的内容为招标文件的组成部分，澄清或者修改的内容可能影响投标文件、资格预审申请文件编制的，采购人或者采购代理机构发布公告并书面通知供应商的时间，应当在投标截止时间至少15日前、提交资格预审申请文件截止时间至少3日前；不足上述时间的，应当顺延提交投标文件、资格预审申请文件的截止时间。</w:t>
      </w:r>
    </w:p>
    <w:p>
      <w:pPr>
        <w:numPr>
          <w:ilvl w:val="1"/>
          <w:numId w:val="11"/>
        </w:numPr>
        <w:tabs>
          <w:tab w:val="left" w:pos="7665"/>
        </w:tabs>
        <w:spacing w:line="420" w:lineRule="exact"/>
        <w:ind w:firstLine="480" w:firstLineChars="200"/>
        <w:rPr>
          <w:rFonts w:ascii="宋体" w:hAnsi="宋体" w:cs="宋体"/>
          <w:sz w:val="24"/>
        </w:rPr>
      </w:pPr>
      <w:r>
        <w:rPr>
          <w:rFonts w:hint="eastAsia" w:ascii="宋体" w:hAnsi="宋体" w:cs="宋体"/>
          <w:sz w:val="24"/>
        </w:rPr>
        <w:t>投标人认为需要对招标文件进行澄清或者修改的，可以以书面形式向招标采购单位构提出申请，但招标采购单位可以决定是否采纳投标人的申请事项。</w:t>
      </w:r>
    </w:p>
    <w:p>
      <w:pPr>
        <w:pStyle w:val="5"/>
        <w:numPr>
          <w:ilvl w:val="1"/>
          <w:numId w:val="5"/>
        </w:numPr>
        <w:ind w:left="155" w:leftChars="74" w:firstLine="178" w:firstLineChars="74"/>
        <w:rPr>
          <w:rFonts w:ascii="宋体" w:hAnsi="宋体" w:cs="宋体"/>
        </w:rPr>
      </w:pPr>
      <w:bookmarkStart w:id="39" w:name="_Toc217446041"/>
      <w:bookmarkStart w:id="40" w:name="_Toc208848971"/>
      <w:r>
        <w:rPr>
          <w:rFonts w:hint="eastAsia" w:ascii="宋体" w:hAnsi="宋体" w:cs="宋体"/>
        </w:rPr>
        <w:t>答疑会和现场考察</w:t>
      </w:r>
      <w:bookmarkEnd w:id="39"/>
      <w:bookmarkEnd w:id="40"/>
    </w:p>
    <w:p>
      <w:pPr>
        <w:tabs>
          <w:tab w:val="left" w:pos="7665"/>
        </w:tabs>
        <w:spacing w:line="420" w:lineRule="exact"/>
        <w:ind w:firstLine="480" w:firstLineChars="200"/>
        <w:rPr>
          <w:rFonts w:ascii="宋体" w:hAnsi="宋体" w:cs="宋体"/>
          <w:sz w:val="24"/>
        </w:rPr>
      </w:pPr>
      <w:r>
        <w:rPr>
          <w:rFonts w:hint="eastAsia" w:ascii="宋体" w:hAnsi="宋体" w:cs="宋体"/>
          <w:sz w:val="24"/>
        </w:rPr>
        <w:t>9.1根据采购项目和具体情况，招标采购单位认为有必要，可以在招标文件提供期限截止后，组织已获取招标文件的潜在投标人现场考察或者召开开标前答疑会。本项目是否组织潜在投标人现场考察以及是否召开开标前答疑会，详见“投标人须知前附表”。</w:t>
      </w:r>
    </w:p>
    <w:p>
      <w:pPr>
        <w:tabs>
          <w:tab w:val="left" w:pos="7665"/>
        </w:tabs>
        <w:spacing w:line="420" w:lineRule="exact"/>
        <w:ind w:firstLine="480" w:firstLineChars="200"/>
        <w:rPr>
          <w:rFonts w:ascii="宋体" w:hAnsi="宋体" w:cs="宋体"/>
          <w:sz w:val="24"/>
        </w:rPr>
      </w:pPr>
      <w:r>
        <w:rPr>
          <w:rFonts w:hint="eastAsia" w:ascii="宋体" w:hAnsi="宋体" w:cs="宋体"/>
          <w:sz w:val="24"/>
        </w:rPr>
        <w:t>9.2供应商考察现场所发生的一切费用由供应商自己承担。</w:t>
      </w:r>
    </w:p>
    <w:p>
      <w:pPr>
        <w:pStyle w:val="4"/>
        <w:spacing w:before="120" w:after="120"/>
        <w:rPr>
          <w:rFonts w:ascii="宋体" w:hAnsi="宋体" w:cs="宋体"/>
        </w:rPr>
      </w:pPr>
      <w:bookmarkStart w:id="41" w:name="_Toc217446042"/>
      <w:bookmarkStart w:id="42" w:name="_Toc183682351"/>
      <w:bookmarkStart w:id="43" w:name="_Toc77400780"/>
      <w:bookmarkStart w:id="44" w:name="_Toc183582214"/>
      <w:bookmarkStart w:id="45" w:name="_Toc89075876"/>
      <w:r>
        <w:rPr>
          <w:rFonts w:hint="eastAsia" w:ascii="宋体" w:hAnsi="宋体" w:cs="宋体"/>
        </w:rPr>
        <w:t>四、投标文件</w:t>
      </w:r>
      <w:bookmarkEnd w:id="41"/>
      <w:bookmarkEnd w:id="42"/>
      <w:bookmarkEnd w:id="43"/>
      <w:bookmarkEnd w:id="44"/>
      <w:bookmarkEnd w:id="45"/>
    </w:p>
    <w:p>
      <w:pPr>
        <w:pStyle w:val="5"/>
        <w:numPr>
          <w:ilvl w:val="1"/>
          <w:numId w:val="5"/>
        </w:numPr>
        <w:ind w:left="155" w:leftChars="74" w:firstLine="178" w:firstLineChars="74"/>
        <w:rPr>
          <w:rFonts w:ascii="宋体" w:hAnsi="宋体" w:cs="宋体"/>
        </w:rPr>
      </w:pPr>
      <w:bookmarkStart w:id="46" w:name="_Toc183582215"/>
      <w:bookmarkStart w:id="47" w:name="_Toc217446043"/>
      <w:bookmarkStart w:id="48" w:name="_Toc183682352"/>
      <w:r>
        <w:rPr>
          <w:rFonts w:hint="eastAsia" w:ascii="宋体" w:hAnsi="宋体" w:cs="宋体"/>
        </w:rPr>
        <w:t>投标文件的语言</w:t>
      </w:r>
      <w:bookmarkEnd w:id="46"/>
      <w:bookmarkEnd w:id="47"/>
      <w:bookmarkEnd w:id="48"/>
      <w:r>
        <w:rPr>
          <w:rFonts w:hint="eastAsia" w:ascii="宋体" w:hAnsi="宋体" w:cs="宋体"/>
          <w:szCs w:val="24"/>
        </w:rPr>
        <w:t>（实质性要求）</w:t>
      </w:r>
    </w:p>
    <w:p>
      <w:pPr>
        <w:numPr>
          <w:ilvl w:val="1"/>
          <w:numId w:val="12"/>
        </w:numPr>
        <w:tabs>
          <w:tab w:val="left" w:pos="7665"/>
        </w:tabs>
        <w:spacing w:line="420" w:lineRule="exact"/>
        <w:ind w:firstLine="480" w:firstLineChars="200"/>
        <w:rPr>
          <w:rFonts w:ascii="宋体" w:hAnsi="宋体" w:cs="宋体"/>
          <w:sz w:val="24"/>
        </w:rPr>
      </w:pPr>
      <w:bookmarkStart w:id="49" w:name="_Toc217446044"/>
      <w:bookmarkStart w:id="50" w:name="_Toc183582216"/>
      <w:bookmarkStart w:id="51" w:name="_Toc183682353"/>
      <w:r>
        <w:rPr>
          <w:rFonts w:hint="eastAsia" w:ascii="宋体" w:hAnsi="宋体" w:cs="宋体"/>
          <w:sz w:val="24"/>
        </w:rPr>
        <w:t>投标人提交的投标文件以及投标人与招标采购单位就有关投标的所有来往书面文件除专用术语外均须使用中文。投标文件中如附有外文资料，除专用术语外应逐一对应翻译成中文并加盖投标人公章后附在相关外文资料后面，否则，所提供的外文资料将可能被视为无效材料。（说明：供应商的法定代表人为外籍人士的，法定代表人的签字和护照除外。）</w:t>
      </w:r>
    </w:p>
    <w:p>
      <w:pPr>
        <w:numPr>
          <w:ilvl w:val="1"/>
          <w:numId w:val="12"/>
        </w:numPr>
        <w:tabs>
          <w:tab w:val="left" w:pos="7665"/>
        </w:tabs>
        <w:spacing w:line="420" w:lineRule="exact"/>
        <w:ind w:firstLine="480" w:firstLineChars="200"/>
        <w:rPr>
          <w:rFonts w:ascii="宋体" w:hAnsi="宋体" w:cs="宋体"/>
          <w:sz w:val="24"/>
        </w:rPr>
      </w:pPr>
      <w:r>
        <w:rPr>
          <w:rFonts w:hint="eastAsia" w:ascii="宋体" w:hAnsi="宋体" w:cs="宋体"/>
          <w:sz w:val="24"/>
        </w:rPr>
        <w:t>翻译的中文资料与外文资料如果出现差异和矛盾时，以中文为准。涉嫌虚假响应的按照相关法律法规处理。</w:t>
      </w:r>
    </w:p>
    <w:p>
      <w:pPr>
        <w:pStyle w:val="5"/>
        <w:numPr>
          <w:ilvl w:val="1"/>
          <w:numId w:val="5"/>
        </w:numPr>
        <w:ind w:left="155" w:leftChars="74" w:firstLine="178" w:firstLineChars="74"/>
        <w:rPr>
          <w:rFonts w:ascii="宋体" w:hAnsi="宋体" w:cs="宋体"/>
        </w:rPr>
      </w:pPr>
      <w:r>
        <w:rPr>
          <w:rFonts w:hint="eastAsia" w:ascii="宋体" w:hAnsi="宋体" w:cs="宋体"/>
        </w:rPr>
        <w:t>计量单位</w:t>
      </w:r>
      <w:bookmarkEnd w:id="49"/>
      <w:bookmarkEnd w:id="50"/>
      <w:bookmarkEnd w:id="51"/>
      <w:r>
        <w:rPr>
          <w:rFonts w:hint="eastAsia" w:ascii="宋体" w:hAnsi="宋体" w:cs="宋体"/>
          <w:szCs w:val="24"/>
        </w:rPr>
        <w:t>（实质性要求）</w:t>
      </w:r>
    </w:p>
    <w:p>
      <w:pPr>
        <w:spacing w:line="420" w:lineRule="exact"/>
        <w:ind w:firstLine="470" w:firstLineChars="196"/>
        <w:rPr>
          <w:rFonts w:ascii="宋体" w:hAnsi="宋体" w:cs="宋体"/>
          <w:sz w:val="24"/>
        </w:rPr>
      </w:pPr>
      <w:r>
        <w:rPr>
          <w:rFonts w:hint="eastAsia" w:ascii="宋体" w:hAnsi="宋体" w:cs="宋体"/>
          <w:sz w:val="24"/>
        </w:rPr>
        <w:t>除招标文件中另有规定外，本次采购项目所有合同项下的投标均采用国家法定的计量单位。</w:t>
      </w:r>
    </w:p>
    <w:p>
      <w:pPr>
        <w:pStyle w:val="5"/>
        <w:numPr>
          <w:ilvl w:val="1"/>
          <w:numId w:val="5"/>
        </w:numPr>
        <w:ind w:left="155" w:leftChars="74" w:firstLine="178" w:firstLineChars="74"/>
        <w:rPr>
          <w:rFonts w:ascii="宋体" w:hAnsi="宋体" w:cs="宋体"/>
        </w:rPr>
      </w:pPr>
      <w:bookmarkStart w:id="52" w:name="_Toc217446045"/>
      <w:r>
        <w:rPr>
          <w:rFonts w:hint="eastAsia" w:ascii="宋体" w:hAnsi="宋体" w:cs="宋体"/>
        </w:rPr>
        <w:t>投标报价</w:t>
      </w:r>
      <w:bookmarkEnd w:id="52"/>
      <w:r>
        <w:rPr>
          <w:rFonts w:hint="eastAsia" w:ascii="宋体" w:hAnsi="宋体" w:cs="宋体"/>
        </w:rPr>
        <w:t>（实质性要求）</w:t>
      </w:r>
    </w:p>
    <w:p>
      <w:pPr>
        <w:tabs>
          <w:tab w:val="left" w:pos="7665"/>
        </w:tabs>
        <w:spacing w:line="420" w:lineRule="exact"/>
        <w:ind w:left="13" w:hanging="118"/>
        <w:rPr>
          <w:rFonts w:ascii="宋体" w:hAnsi="宋体" w:cs="宋体"/>
          <w:sz w:val="24"/>
        </w:rPr>
      </w:pPr>
      <w:r>
        <w:rPr>
          <w:rFonts w:hint="eastAsia" w:ascii="宋体" w:hAnsi="宋体" w:cs="宋体"/>
          <w:b/>
          <w:sz w:val="24"/>
        </w:rPr>
        <w:t xml:space="preserve">    </w:t>
      </w:r>
      <w:r>
        <w:rPr>
          <w:rFonts w:hint="eastAsia" w:ascii="宋体" w:hAnsi="宋体" w:cs="宋体"/>
          <w:sz w:val="24"/>
        </w:rPr>
        <w:t xml:space="preserve"> 本次招标项目的投标均以人民币报价。</w:t>
      </w:r>
    </w:p>
    <w:p>
      <w:pPr>
        <w:pStyle w:val="5"/>
        <w:numPr>
          <w:ilvl w:val="1"/>
          <w:numId w:val="5"/>
        </w:numPr>
        <w:ind w:left="155" w:leftChars="74" w:firstLine="178" w:firstLineChars="74"/>
        <w:rPr>
          <w:rFonts w:ascii="宋体" w:hAnsi="宋体" w:cs="宋体"/>
        </w:rPr>
      </w:pPr>
      <w:bookmarkStart w:id="53" w:name="_Toc217446046"/>
      <w:r>
        <w:rPr>
          <w:rFonts w:hint="eastAsia" w:ascii="宋体" w:hAnsi="宋体" w:cs="宋体"/>
        </w:rPr>
        <w:t>联合体投标</w:t>
      </w:r>
      <w:bookmarkEnd w:id="53"/>
    </w:p>
    <w:p>
      <w:pPr>
        <w:rPr>
          <w:rFonts w:ascii="宋体" w:hAnsi="宋体" w:cs="宋体"/>
          <w:sz w:val="24"/>
        </w:rPr>
      </w:pPr>
      <w:r>
        <w:rPr>
          <w:rFonts w:hint="eastAsia" w:ascii="宋体" w:hAnsi="宋体" w:cs="宋体"/>
          <w:sz w:val="24"/>
        </w:rPr>
        <w:t xml:space="preserve">    本项目不接受联合体投标</w:t>
      </w:r>
    </w:p>
    <w:p>
      <w:pPr>
        <w:pStyle w:val="5"/>
        <w:numPr>
          <w:ilvl w:val="1"/>
          <w:numId w:val="5"/>
        </w:numPr>
        <w:ind w:left="155" w:leftChars="74" w:firstLine="178" w:firstLineChars="74"/>
        <w:rPr>
          <w:rFonts w:ascii="宋体" w:hAnsi="宋体" w:cs="宋体"/>
          <w:bCs w:val="0"/>
        </w:rPr>
      </w:pPr>
      <w:bookmarkStart w:id="54" w:name="_Toc217446047"/>
      <w:bookmarkStart w:id="55" w:name="_Toc308164797"/>
      <w:r>
        <w:rPr>
          <w:rFonts w:hint="eastAsia" w:ascii="宋体" w:hAnsi="宋体" w:cs="宋体"/>
        </w:rPr>
        <w:t>知识产权</w:t>
      </w:r>
      <w:bookmarkEnd w:id="54"/>
      <w:bookmarkEnd w:id="55"/>
    </w:p>
    <w:p>
      <w:pPr>
        <w:numPr>
          <w:ilvl w:val="1"/>
          <w:numId w:val="13"/>
        </w:numPr>
        <w:tabs>
          <w:tab w:val="left" w:pos="7665"/>
        </w:tabs>
        <w:spacing w:line="420" w:lineRule="exact"/>
        <w:ind w:firstLine="480" w:firstLineChars="200"/>
        <w:rPr>
          <w:rFonts w:ascii="宋体" w:hAnsi="宋体" w:cs="宋体"/>
          <w:sz w:val="24"/>
        </w:rPr>
      </w:pPr>
      <w:r>
        <w:rPr>
          <w:rFonts w:hint="eastAsia" w:ascii="宋体" w:hAnsi="宋体" w:cs="宋体"/>
          <w:sz w:val="24"/>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pStyle w:val="5"/>
        <w:numPr>
          <w:ilvl w:val="1"/>
          <w:numId w:val="5"/>
        </w:numPr>
        <w:ind w:left="155" w:leftChars="74" w:firstLine="178" w:firstLineChars="74"/>
        <w:rPr>
          <w:rFonts w:ascii="宋体" w:hAnsi="宋体" w:cs="宋体"/>
        </w:rPr>
      </w:pPr>
      <w:bookmarkStart w:id="56" w:name="_Toc308164798"/>
      <w:bookmarkStart w:id="57" w:name="_Toc183582217"/>
      <w:bookmarkStart w:id="58" w:name="_Toc183682354"/>
      <w:bookmarkStart w:id="59" w:name="_Toc217446048"/>
      <w:r>
        <w:rPr>
          <w:rFonts w:hint="eastAsia" w:ascii="宋体" w:hAnsi="宋体" w:cs="宋体"/>
        </w:rPr>
        <w:t>投标文件的组成</w:t>
      </w:r>
      <w:bookmarkEnd w:id="56"/>
      <w:bookmarkEnd w:id="57"/>
      <w:bookmarkEnd w:id="58"/>
      <w:bookmarkEnd w:id="59"/>
    </w:p>
    <w:p>
      <w:pPr>
        <w:spacing w:line="420" w:lineRule="exact"/>
        <w:ind w:firstLine="411" w:firstLineChars="196"/>
        <w:rPr>
          <w:rFonts w:ascii="宋体" w:hAnsi="宋体" w:cs="宋体"/>
          <w:sz w:val="24"/>
        </w:rPr>
      </w:pPr>
      <w:r>
        <w:rPr>
          <w:rFonts w:hint="eastAsia" w:ascii="宋体" w:hAnsi="宋体" w:cs="宋体"/>
        </w:rPr>
        <w:t xml:space="preserve"> </w:t>
      </w:r>
      <w:r>
        <w:rPr>
          <w:rFonts w:hint="eastAsia" w:ascii="宋体" w:hAnsi="宋体" w:cs="宋体"/>
          <w:sz w:val="24"/>
        </w:rPr>
        <w:t>投标人应按照招标文件的规定和要求编制投标文件。投标人编写的投标文件应包括下列部分：</w:t>
      </w:r>
    </w:p>
    <w:p>
      <w:pPr>
        <w:numPr>
          <w:ilvl w:val="1"/>
          <w:numId w:val="14"/>
        </w:numPr>
        <w:tabs>
          <w:tab w:val="left" w:pos="7665"/>
        </w:tabs>
        <w:spacing w:line="420" w:lineRule="exact"/>
        <w:rPr>
          <w:rFonts w:ascii="宋体" w:hAnsi="宋体" w:cs="宋体"/>
          <w:sz w:val="24"/>
        </w:rPr>
      </w:pPr>
      <w:r>
        <w:rPr>
          <w:rFonts w:hint="eastAsia" w:ascii="宋体" w:hAnsi="宋体" w:cs="宋体"/>
          <w:b/>
          <w:sz w:val="24"/>
        </w:rPr>
        <w:t>资格性审查材料。投标人应按照招标文件第五章要求集中在此部分提供资格证明材料，未在此部分提供的资格性证明材料在进行资格性审查时不予认可。（实质性要求）</w:t>
      </w:r>
    </w:p>
    <w:p>
      <w:pPr>
        <w:numPr>
          <w:ilvl w:val="1"/>
          <w:numId w:val="14"/>
        </w:numPr>
        <w:tabs>
          <w:tab w:val="left" w:pos="7665"/>
        </w:tabs>
        <w:spacing w:line="420" w:lineRule="exact"/>
        <w:rPr>
          <w:rFonts w:ascii="宋体" w:hAnsi="宋体" w:cs="宋体"/>
          <w:b/>
          <w:sz w:val="24"/>
        </w:rPr>
      </w:pPr>
      <w:r>
        <w:rPr>
          <w:rFonts w:hint="eastAsia" w:ascii="宋体" w:hAnsi="宋体" w:cs="宋体"/>
          <w:b/>
          <w:sz w:val="24"/>
        </w:rPr>
        <w:t>其他材料。投标人根据招标文件要求提供的除资格性审查材料以外的其他一切材料。</w:t>
      </w:r>
    </w:p>
    <w:p>
      <w:pPr>
        <w:numPr>
          <w:ilvl w:val="2"/>
          <w:numId w:val="15"/>
        </w:numPr>
        <w:tabs>
          <w:tab w:val="left" w:pos="7665"/>
        </w:tabs>
        <w:spacing w:line="420" w:lineRule="exact"/>
        <w:ind w:left="0" w:firstLine="482" w:firstLineChars="200"/>
        <w:rPr>
          <w:rFonts w:ascii="宋体" w:hAnsi="宋体" w:cs="宋体"/>
          <w:sz w:val="24"/>
        </w:rPr>
      </w:pPr>
      <w:r>
        <w:rPr>
          <w:rFonts w:hint="eastAsia" w:ascii="宋体" w:hAnsi="宋体" w:cs="宋体"/>
          <w:b/>
          <w:sz w:val="24"/>
        </w:rPr>
        <w:t>报价部分。</w:t>
      </w:r>
      <w:r>
        <w:rPr>
          <w:rFonts w:hint="eastAsia" w:ascii="宋体" w:hAnsi="宋体" w:cs="宋体"/>
          <w:sz w:val="24"/>
        </w:rPr>
        <w:t>投标人按照招标文件要求填写的“开标一览表”。 本次招标报价要求：</w:t>
      </w:r>
    </w:p>
    <w:p>
      <w:pPr>
        <w:numPr>
          <w:ilvl w:val="0"/>
          <w:numId w:val="16"/>
        </w:numPr>
        <w:spacing w:line="420" w:lineRule="exact"/>
        <w:ind w:firstLine="480" w:firstLineChars="200"/>
        <w:rPr>
          <w:rFonts w:ascii="宋体" w:hAnsi="宋体" w:cs="宋体"/>
          <w:sz w:val="24"/>
        </w:rPr>
      </w:pPr>
      <w:r>
        <w:rPr>
          <w:rFonts w:hint="eastAsia" w:ascii="宋体" w:hAnsi="宋体" w:cs="宋体"/>
          <w:sz w:val="24"/>
        </w:rPr>
        <w:t>投标人的报价是投标人响应招标项目要求的全部工作内容的价格体现，包括投标人完成本项目所需的一切费用。</w:t>
      </w:r>
    </w:p>
    <w:p>
      <w:pPr>
        <w:numPr>
          <w:ilvl w:val="0"/>
          <w:numId w:val="16"/>
        </w:numPr>
        <w:spacing w:line="420" w:lineRule="exact"/>
        <w:ind w:firstLine="480" w:firstLineChars="200"/>
        <w:rPr>
          <w:rFonts w:ascii="宋体" w:hAnsi="宋体" w:cs="宋体"/>
          <w:sz w:val="24"/>
        </w:rPr>
      </w:pPr>
      <w:r>
        <w:rPr>
          <w:rFonts w:hint="eastAsia" w:ascii="宋体" w:hAnsi="宋体" w:cs="宋体"/>
          <w:sz w:val="24"/>
        </w:rPr>
        <w:t>投标人只允许有一个报价，并且在合同履行过程中是固定不变的，任何有选择或可调整的报价将不予接受，并按无效投标处理。</w:t>
      </w:r>
    </w:p>
    <w:p>
      <w:pPr>
        <w:numPr>
          <w:ilvl w:val="2"/>
          <w:numId w:val="15"/>
        </w:numPr>
        <w:tabs>
          <w:tab w:val="left" w:pos="7665"/>
        </w:tabs>
        <w:spacing w:line="420" w:lineRule="exact"/>
        <w:ind w:left="0" w:firstLine="482" w:firstLineChars="200"/>
        <w:rPr>
          <w:rFonts w:ascii="宋体" w:hAnsi="宋体" w:cs="宋体"/>
          <w:sz w:val="24"/>
        </w:rPr>
      </w:pPr>
      <w:r>
        <w:rPr>
          <w:rFonts w:hint="eastAsia" w:ascii="宋体" w:hAnsi="宋体" w:cs="宋体"/>
          <w:b/>
          <w:sz w:val="24"/>
        </w:rPr>
        <w:t>商务部分。</w:t>
      </w:r>
      <w:r>
        <w:rPr>
          <w:rFonts w:hint="eastAsia" w:ascii="宋体" w:hAnsi="宋体" w:cs="宋体"/>
          <w:sz w:val="24"/>
        </w:rPr>
        <w:t>投标人按照招标文件要求提供的有关文件及优惠承诺。投标人的商务应答应当包括本招标文件第三章“二、商务部分”所列内容，并按照本招标文件第三章“投标文件格式”中的规范性要求进行编制。</w:t>
      </w:r>
    </w:p>
    <w:p>
      <w:pPr>
        <w:numPr>
          <w:ilvl w:val="2"/>
          <w:numId w:val="15"/>
        </w:numPr>
        <w:tabs>
          <w:tab w:val="left" w:pos="7665"/>
        </w:tabs>
        <w:spacing w:line="420" w:lineRule="exact"/>
        <w:ind w:left="0" w:firstLine="482" w:firstLineChars="200"/>
        <w:rPr>
          <w:rFonts w:ascii="宋体" w:hAnsi="宋体" w:cs="宋体"/>
          <w:sz w:val="24"/>
        </w:rPr>
      </w:pPr>
      <w:r>
        <w:rPr>
          <w:rFonts w:hint="eastAsia" w:ascii="宋体" w:hAnsi="宋体" w:cs="宋体"/>
          <w:b/>
          <w:sz w:val="24"/>
        </w:rPr>
        <w:t>技术部分。</w:t>
      </w:r>
      <w:r>
        <w:rPr>
          <w:rFonts w:hint="eastAsia" w:ascii="宋体" w:hAnsi="宋体" w:cs="宋体"/>
          <w:sz w:val="24"/>
        </w:rPr>
        <w:t>投标人按照招标文件要求做出的技术应答，主要是针对招标项目的技术需求和技术要求做出的实质性响应和满足。投标人的技术应答应当包括本招标文件第三章“三、技术部分”所列内容，并按照本招标文件第三章“投标文件格式”中的规范性要求进行编制。</w:t>
      </w:r>
    </w:p>
    <w:p>
      <w:pPr>
        <w:numPr>
          <w:ilvl w:val="2"/>
          <w:numId w:val="15"/>
        </w:numPr>
        <w:tabs>
          <w:tab w:val="left" w:pos="7665"/>
        </w:tabs>
        <w:spacing w:line="420" w:lineRule="exact"/>
        <w:ind w:left="0" w:firstLine="482" w:firstLineChars="200"/>
        <w:rPr>
          <w:rFonts w:ascii="宋体" w:hAnsi="宋体" w:cs="宋体"/>
          <w:sz w:val="24"/>
        </w:rPr>
      </w:pPr>
      <w:r>
        <w:rPr>
          <w:rFonts w:hint="eastAsia" w:ascii="宋体" w:hAnsi="宋体" w:cs="宋体"/>
          <w:b/>
          <w:sz w:val="24"/>
        </w:rPr>
        <w:t>其他部分。</w:t>
      </w:r>
      <w:r>
        <w:rPr>
          <w:rFonts w:hint="eastAsia" w:ascii="宋体" w:hAnsi="宋体" w:cs="宋体"/>
          <w:sz w:val="24"/>
        </w:rPr>
        <w:t>投标人按照招标文件要求作出的其他应答和承诺。本部分内容本招标文件无强制性要求，由投标人根据自身情况自行提供。</w:t>
      </w:r>
    </w:p>
    <w:p>
      <w:pPr>
        <w:pStyle w:val="5"/>
        <w:numPr>
          <w:ilvl w:val="1"/>
          <w:numId w:val="5"/>
        </w:numPr>
        <w:ind w:left="155" w:leftChars="74" w:firstLine="178" w:firstLineChars="74"/>
        <w:rPr>
          <w:rFonts w:ascii="宋体" w:hAnsi="宋体" w:cs="宋体"/>
        </w:rPr>
      </w:pPr>
      <w:bookmarkStart w:id="60" w:name="_Toc183682355"/>
      <w:bookmarkStart w:id="61" w:name="_Toc217446049"/>
      <w:bookmarkStart w:id="62" w:name="_Toc183582218"/>
      <w:bookmarkStart w:id="63" w:name="_Toc308164799"/>
      <w:r>
        <w:rPr>
          <w:rFonts w:hint="eastAsia" w:ascii="宋体" w:hAnsi="宋体" w:cs="宋体"/>
        </w:rPr>
        <w:t>投标文件格式</w:t>
      </w:r>
      <w:bookmarkEnd w:id="60"/>
      <w:bookmarkEnd w:id="61"/>
      <w:bookmarkEnd w:id="62"/>
      <w:bookmarkEnd w:id="63"/>
    </w:p>
    <w:p>
      <w:pPr>
        <w:numPr>
          <w:ilvl w:val="1"/>
          <w:numId w:val="17"/>
        </w:numPr>
        <w:tabs>
          <w:tab w:val="left" w:pos="7665"/>
        </w:tabs>
        <w:spacing w:line="420" w:lineRule="exact"/>
        <w:ind w:firstLine="480" w:firstLineChars="200"/>
        <w:rPr>
          <w:rFonts w:ascii="宋体" w:hAnsi="宋体" w:cs="宋体"/>
          <w:sz w:val="24"/>
        </w:rPr>
      </w:pPr>
      <w:r>
        <w:rPr>
          <w:rFonts w:hint="eastAsia" w:ascii="宋体" w:hAnsi="宋体" w:cs="宋体"/>
          <w:sz w:val="24"/>
        </w:rPr>
        <w:t>投标人应执行招标文件第三章的规定要求。</w:t>
      </w:r>
    </w:p>
    <w:p>
      <w:pPr>
        <w:numPr>
          <w:ilvl w:val="1"/>
          <w:numId w:val="17"/>
        </w:numPr>
        <w:tabs>
          <w:tab w:val="left" w:pos="7665"/>
        </w:tabs>
        <w:spacing w:line="420" w:lineRule="exact"/>
        <w:ind w:firstLine="480" w:firstLineChars="200"/>
        <w:rPr>
          <w:rFonts w:ascii="宋体" w:hAnsi="宋体" w:cs="宋体"/>
          <w:sz w:val="24"/>
        </w:rPr>
      </w:pPr>
      <w:r>
        <w:rPr>
          <w:rFonts w:hint="eastAsia" w:ascii="宋体" w:hAnsi="宋体" w:cs="宋体"/>
          <w:sz w:val="24"/>
        </w:rPr>
        <w:t>对于没有格式要求的投标文件由投标人自行编写。</w:t>
      </w:r>
    </w:p>
    <w:p>
      <w:pPr>
        <w:pStyle w:val="5"/>
        <w:numPr>
          <w:ilvl w:val="1"/>
          <w:numId w:val="5"/>
        </w:numPr>
        <w:ind w:left="155" w:leftChars="74" w:firstLine="178" w:firstLineChars="74"/>
        <w:rPr>
          <w:rFonts w:ascii="宋体" w:hAnsi="宋体" w:cs="宋体"/>
        </w:rPr>
      </w:pPr>
      <w:bookmarkStart w:id="64" w:name="_Toc217446050"/>
      <w:bookmarkStart w:id="65" w:name="_Toc308164800"/>
      <w:bookmarkStart w:id="66" w:name="_Toc183682360"/>
      <w:bookmarkStart w:id="67" w:name="_Toc183582223"/>
      <w:r>
        <w:rPr>
          <w:rFonts w:hint="eastAsia" w:ascii="宋体" w:hAnsi="宋体" w:cs="宋体"/>
          <w:bCs w:val="0"/>
        </w:rPr>
        <w:t>投标保证金</w:t>
      </w:r>
      <w:bookmarkEnd w:id="64"/>
      <w:bookmarkEnd w:id="65"/>
      <w:bookmarkEnd w:id="66"/>
      <w:bookmarkEnd w:id="67"/>
    </w:p>
    <w:p>
      <w:pPr>
        <w:numPr>
          <w:ilvl w:val="1"/>
          <w:numId w:val="18"/>
        </w:numPr>
        <w:tabs>
          <w:tab w:val="left" w:pos="7665"/>
        </w:tabs>
        <w:spacing w:line="420" w:lineRule="exact"/>
        <w:ind w:firstLine="480" w:firstLineChars="200"/>
        <w:rPr>
          <w:rFonts w:ascii="宋体" w:hAnsi="宋体" w:cs="宋体"/>
          <w:sz w:val="24"/>
        </w:rPr>
      </w:pPr>
      <w:r>
        <w:rPr>
          <w:rFonts w:hint="eastAsia" w:ascii="宋体" w:hAnsi="宋体" w:cs="宋体"/>
          <w:sz w:val="24"/>
        </w:rPr>
        <w:t>投标人投标时，应按招标文件规定的数额及方式提交投标保证金，并作为其投标的一部分。</w:t>
      </w:r>
    </w:p>
    <w:p>
      <w:pPr>
        <w:numPr>
          <w:ilvl w:val="1"/>
          <w:numId w:val="18"/>
        </w:numPr>
        <w:tabs>
          <w:tab w:val="left" w:pos="7665"/>
        </w:tabs>
        <w:spacing w:line="420" w:lineRule="exact"/>
        <w:ind w:firstLine="480" w:firstLineChars="200"/>
        <w:rPr>
          <w:rFonts w:ascii="宋体" w:hAnsi="宋体" w:cs="宋体"/>
          <w:sz w:val="24"/>
        </w:rPr>
      </w:pPr>
      <w:r>
        <w:rPr>
          <w:rFonts w:hint="eastAsia" w:ascii="宋体" w:hAnsi="宋体" w:cs="宋体"/>
          <w:sz w:val="24"/>
        </w:rPr>
        <w:t>投标保证金交款方式：详见投标人须知前附表。</w:t>
      </w:r>
    </w:p>
    <w:p>
      <w:pPr>
        <w:numPr>
          <w:ilvl w:val="1"/>
          <w:numId w:val="18"/>
        </w:numPr>
        <w:tabs>
          <w:tab w:val="left" w:pos="7665"/>
        </w:tabs>
        <w:spacing w:line="420" w:lineRule="exact"/>
        <w:ind w:firstLine="480" w:firstLineChars="200"/>
        <w:rPr>
          <w:rFonts w:ascii="宋体" w:hAnsi="宋体" w:cs="宋体"/>
          <w:sz w:val="24"/>
        </w:rPr>
      </w:pPr>
      <w:r>
        <w:rPr>
          <w:rFonts w:hint="eastAsia" w:ascii="宋体" w:hAnsi="宋体" w:cs="宋体"/>
          <w:sz w:val="24"/>
        </w:rPr>
        <w:t>未中标人的投标保证金，将在中标通知书发出后5个工作日内退还。中标人的投标保证金，在合同签订生效后5个工作日内退还（注：</w:t>
      </w:r>
      <w:r>
        <w:rPr>
          <w:rFonts w:hint="eastAsia" w:ascii="宋体" w:hAnsi="宋体" w:cs="宋体"/>
          <w:sz w:val="24"/>
        </w:rPr>
        <w:fldChar w:fldCharType="begin"/>
      </w:r>
      <w:r>
        <w:rPr>
          <w:rFonts w:hint="eastAsia" w:ascii="宋体" w:hAnsi="宋体" w:cs="宋体"/>
          <w:sz w:val="24"/>
        </w:rPr>
        <w:instrText xml:space="preserve"> = 1 \* GB3 \* MERGEFORMAT </w:instrText>
      </w:r>
      <w:r>
        <w:rPr>
          <w:rFonts w:hint="eastAsia" w:ascii="宋体" w:hAnsi="宋体" w:cs="宋体"/>
          <w:sz w:val="24"/>
        </w:rPr>
        <w:fldChar w:fldCharType="separate"/>
      </w:r>
      <w:r>
        <w:rPr>
          <w:rFonts w:hint="eastAsia" w:ascii="宋体" w:hAnsi="宋体" w:cs="宋体"/>
          <w:sz w:val="24"/>
        </w:rPr>
        <w:t>①</w:t>
      </w:r>
      <w:r>
        <w:rPr>
          <w:rFonts w:hint="eastAsia" w:ascii="宋体" w:hAnsi="宋体" w:cs="宋体"/>
          <w:sz w:val="24"/>
        </w:rPr>
        <w:fldChar w:fldCharType="end"/>
      </w:r>
      <w:r>
        <w:rPr>
          <w:rFonts w:hint="eastAsia" w:ascii="宋体" w:hAnsi="宋体" w:cs="宋体"/>
          <w:sz w:val="24"/>
        </w:rPr>
        <w:t>因投标人自身原因造成的保证金延迟退还或者投标人和采购代理机构书面协商可以延迟退还的，采购代理机构不承担相应责任；</w:t>
      </w:r>
      <w:r>
        <w:rPr>
          <w:rFonts w:hint="eastAsia" w:ascii="宋体" w:hAnsi="宋体" w:cs="宋体"/>
          <w:sz w:val="24"/>
        </w:rPr>
        <w:fldChar w:fldCharType="begin"/>
      </w:r>
      <w:r>
        <w:rPr>
          <w:rFonts w:hint="eastAsia" w:ascii="宋体" w:hAnsi="宋体" w:cs="宋体"/>
          <w:sz w:val="24"/>
        </w:rPr>
        <w:instrText xml:space="preserve"> = 2 \* GB3 \* MERGEFORMAT </w:instrText>
      </w:r>
      <w:r>
        <w:rPr>
          <w:rFonts w:hint="eastAsia" w:ascii="宋体" w:hAnsi="宋体" w:cs="宋体"/>
          <w:sz w:val="24"/>
        </w:rPr>
        <w:fldChar w:fldCharType="separate"/>
      </w:r>
      <w:r>
        <w:rPr>
          <w:rFonts w:hint="eastAsia" w:ascii="宋体" w:hAnsi="宋体" w:cs="宋体"/>
          <w:sz w:val="24"/>
        </w:rPr>
        <w:t>②</w:t>
      </w:r>
      <w:r>
        <w:rPr>
          <w:rFonts w:hint="eastAsia" w:ascii="宋体" w:hAnsi="宋体" w:cs="宋体"/>
          <w:sz w:val="24"/>
        </w:rPr>
        <w:fldChar w:fldCharType="end"/>
      </w:r>
      <w:r>
        <w:rPr>
          <w:rFonts w:hint="eastAsia" w:ascii="宋体" w:hAnsi="宋体" w:cs="宋体"/>
          <w:sz w:val="24"/>
        </w:rPr>
        <w:t>供应商因涉嫌违法违规，按照规定应当不予退还保证金的，有关部门处理认定违法违规行为期间不计入退还保证金时限之内。）；</w:t>
      </w:r>
    </w:p>
    <w:p>
      <w:pPr>
        <w:numPr>
          <w:ilvl w:val="1"/>
          <w:numId w:val="18"/>
        </w:numPr>
        <w:tabs>
          <w:tab w:val="left" w:pos="7665"/>
        </w:tabs>
        <w:spacing w:line="420" w:lineRule="exact"/>
        <w:ind w:firstLine="480" w:firstLineChars="200"/>
        <w:rPr>
          <w:rFonts w:ascii="宋体" w:hAnsi="宋体" w:cs="宋体"/>
          <w:sz w:val="24"/>
        </w:rPr>
      </w:pPr>
      <w:r>
        <w:rPr>
          <w:rFonts w:hint="eastAsia" w:ascii="宋体" w:hAnsi="宋体" w:cs="宋体"/>
          <w:sz w:val="24"/>
        </w:rPr>
        <w:t>发生下列情形之一的，采购代理机构将不予退还投标保证金：</w:t>
      </w:r>
    </w:p>
    <w:p>
      <w:pPr>
        <w:numPr>
          <w:ilvl w:val="0"/>
          <w:numId w:val="19"/>
        </w:numPr>
        <w:spacing w:line="420" w:lineRule="exact"/>
        <w:ind w:left="0" w:firstLine="480" w:firstLineChars="200"/>
        <w:rPr>
          <w:rFonts w:ascii="宋体" w:hAnsi="宋体" w:cs="宋体"/>
          <w:sz w:val="24"/>
        </w:rPr>
      </w:pPr>
      <w:r>
        <w:rPr>
          <w:rFonts w:hint="eastAsia" w:ascii="宋体" w:hAnsi="宋体" w:cs="宋体"/>
          <w:sz w:val="24"/>
        </w:rPr>
        <w:t>在招标文件规定的投标截止时间后撤回投标的；</w:t>
      </w:r>
    </w:p>
    <w:p>
      <w:pPr>
        <w:numPr>
          <w:ilvl w:val="0"/>
          <w:numId w:val="19"/>
        </w:numPr>
        <w:spacing w:line="420" w:lineRule="exact"/>
        <w:ind w:left="0" w:firstLine="480" w:firstLineChars="200"/>
        <w:rPr>
          <w:rFonts w:ascii="宋体" w:hAnsi="宋体" w:cs="宋体"/>
          <w:sz w:val="24"/>
        </w:rPr>
      </w:pPr>
      <w:r>
        <w:rPr>
          <w:rFonts w:hint="eastAsia" w:ascii="宋体" w:hAnsi="宋体" w:cs="宋体"/>
          <w:sz w:val="24"/>
        </w:rPr>
        <w:t>在采购人确定中标人以前放弃中标候选资格的；</w:t>
      </w:r>
    </w:p>
    <w:p>
      <w:pPr>
        <w:numPr>
          <w:ilvl w:val="0"/>
          <w:numId w:val="19"/>
        </w:numPr>
        <w:spacing w:line="420" w:lineRule="exact"/>
        <w:ind w:left="0" w:firstLine="480" w:firstLineChars="200"/>
        <w:rPr>
          <w:rFonts w:ascii="宋体" w:hAnsi="宋体" w:cs="宋体"/>
          <w:sz w:val="24"/>
        </w:rPr>
      </w:pPr>
      <w:r>
        <w:rPr>
          <w:rFonts w:hint="eastAsia" w:ascii="宋体" w:hAnsi="宋体" w:cs="宋体"/>
          <w:sz w:val="24"/>
        </w:rPr>
        <w:t>中标后放弃中标、不领取或者不接收中标通知书的；</w:t>
      </w:r>
    </w:p>
    <w:p>
      <w:pPr>
        <w:numPr>
          <w:ilvl w:val="0"/>
          <w:numId w:val="19"/>
        </w:numPr>
        <w:spacing w:line="420" w:lineRule="exact"/>
        <w:ind w:left="0" w:firstLine="480" w:firstLineChars="200"/>
        <w:rPr>
          <w:rFonts w:ascii="宋体" w:hAnsi="宋体" w:cs="宋体"/>
          <w:sz w:val="24"/>
        </w:rPr>
      </w:pPr>
      <w:r>
        <w:rPr>
          <w:rFonts w:hint="eastAsia" w:ascii="宋体" w:hAnsi="宋体" w:cs="宋体"/>
          <w:sz w:val="24"/>
        </w:rPr>
        <w:t>由于中标人的原因未能按照招标文件的规定与采购人签订合同的；</w:t>
      </w:r>
    </w:p>
    <w:p>
      <w:pPr>
        <w:numPr>
          <w:ilvl w:val="0"/>
          <w:numId w:val="19"/>
        </w:numPr>
        <w:spacing w:line="420" w:lineRule="exact"/>
        <w:ind w:left="0" w:firstLine="480" w:firstLineChars="200"/>
        <w:rPr>
          <w:rFonts w:ascii="宋体" w:hAnsi="宋体" w:cs="宋体"/>
          <w:sz w:val="24"/>
        </w:rPr>
      </w:pPr>
      <w:r>
        <w:rPr>
          <w:rFonts w:hint="eastAsia" w:ascii="宋体" w:hAnsi="宋体" w:cs="宋体"/>
          <w:sz w:val="24"/>
        </w:rPr>
        <w:t>由于中标人的原因未能按照招标文件的规定交纳履约保证金的；</w:t>
      </w:r>
    </w:p>
    <w:p>
      <w:pPr>
        <w:numPr>
          <w:ilvl w:val="0"/>
          <w:numId w:val="19"/>
        </w:numPr>
        <w:spacing w:line="420" w:lineRule="exact"/>
        <w:ind w:left="0" w:firstLine="480" w:firstLineChars="200"/>
        <w:rPr>
          <w:rFonts w:ascii="宋体" w:hAnsi="宋体" w:cs="宋体"/>
          <w:sz w:val="24"/>
        </w:rPr>
      </w:pPr>
      <w:r>
        <w:rPr>
          <w:rFonts w:hint="eastAsia" w:ascii="宋体" w:hAnsi="宋体" w:cs="宋体"/>
          <w:sz w:val="24"/>
        </w:rPr>
        <w:t>投标人提供虚假资料的；</w:t>
      </w:r>
    </w:p>
    <w:p>
      <w:pPr>
        <w:spacing w:line="420" w:lineRule="exact"/>
        <w:ind w:left="420" w:leftChars="200"/>
        <w:rPr>
          <w:rFonts w:ascii="宋体" w:hAnsi="宋体" w:cs="宋体"/>
          <w:sz w:val="24"/>
        </w:rPr>
      </w:pPr>
      <w:r>
        <w:rPr>
          <w:rFonts w:hint="eastAsia" w:ascii="宋体" w:hAnsi="宋体" w:cs="宋体"/>
          <w:sz w:val="24"/>
        </w:rPr>
        <w:t>投标有效期内，投标人在政府采购活动中有违法、违规、违纪行为。</w:t>
      </w:r>
    </w:p>
    <w:p>
      <w:pPr>
        <w:pStyle w:val="5"/>
        <w:numPr>
          <w:ilvl w:val="1"/>
          <w:numId w:val="5"/>
        </w:numPr>
        <w:ind w:left="155" w:leftChars="74" w:firstLine="178" w:firstLineChars="74"/>
        <w:rPr>
          <w:rFonts w:ascii="宋体" w:hAnsi="宋体" w:cs="宋体"/>
        </w:rPr>
      </w:pPr>
      <w:bookmarkStart w:id="68" w:name="_Toc308164801"/>
      <w:bookmarkStart w:id="69" w:name="_Toc183682361"/>
      <w:bookmarkStart w:id="70" w:name="_Toc217446051"/>
      <w:bookmarkStart w:id="71" w:name="_Toc183582224"/>
      <w:r>
        <w:rPr>
          <w:rFonts w:hint="eastAsia" w:ascii="宋体" w:hAnsi="宋体" w:cs="宋体"/>
        </w:rPr>
        <w:t>投标有效期</w:t>
      </w:r>
      <w:bookmarkEnd w:id="68"/>
      <w:bookmarkEnd w:id="69"/>
      <w:bookmarkEnd w:id="70"/>
      <w:bookmarkEnd w:id="71"/>
      <w:r>
        <w:rPr>
          <w:rFonts w:hint="eastAsia" w:ascii="宋体" w:hAnsi="宋体" w:cs="宋体"/>
          <w:szCs w:val="24"/>
        </w:rPr>
        <w:t>（实质性要求）</w:t>
      </w:r>
    </w:p>
    <w:p>
      <w:pPr>
        <w:numPr>
          <w:ilvl w:val="1"/>
          <w:numId w:val="20"/>
        </w:numPr>
        <w:tabs>
          <w:tab w:val="left" w:pos="7665"/>
        </w:tabs>
        <w:spacing w:line="420" w:lineRule="exact"/>
        <w:rPr>
          <w:rFonts w:ascii="宋体" w:hAnsi="宋体" w:cs="宋体"/>
          <w:sz w:val="24"/>
        </w:rPr>
      </w:pPr>
      <w:r>
        <w:rPr>
          <w:rFonts w:hint="eastAsia" w:ascii="宋体" w:hAnsi="宋体" w:cs="宋体"/>
          <w:sz w:val="24"/>
        </w:rPr>
        <w:t>本项目投标有效期为投标截止之日起90天。投标人投标文件中必须载明投标有效期，投标文件中载明的投标有效期可以长于招标文件规定的期限，但不得短于招标文件规定的期限。否则，其投标文件将作为无效投标处理。</w:t>
      </w:r>
    </w:p>
    <w:p>
      <w:pPr>
        <w:numPr>
          <w:ilvl w:val="1"/>
          <w:numId w:val="20"/>
        </w:numPr>
        <w:tabs>
          <w:tab w:val="left" w:pos="7665"/>
        </w:tabs>
        <w:spacing w:line="420" w:lineRule="exact"/>
        <w:rPr>
          <w:rFonts w:ascii="宋体" w:hAnsi="宋体" w:cs="宋体"/>
          <w:sz w:val="24"/>
        </w:rPr>
      </w:pPr>
      <w:r>
        <w:rPr>
          <w:rFonts w:hint="eastAsia" w:ascii="宋体" w:hAnsi="宋体" w:cs="宋体"/>
          <w:sz w:val="24"/>
        </w:rPr>
        <w:t xml:space="preserve"> 因不可抗力事件，采购人可于投标有效期届满之前与投标人协商延长投标有效期。投标人拒绝延长投标有效期的，不得再参与该项目后续采购活动，但由此给投标人造成的损失，采购人可以自主决定是否可以给予适当补偿。投标人同意延长投标有效期的，不能修改投标文件。 </w:t>
      </w:r>
    </w:p>
    <w:p>
      <w:pPr>
        <w:numPr>
          <w:ilvl w:val="1"/>
          <w:numId w:val="20"/>
        </w:numPr>
        <w:tabs>
          <w:tab w:val="left" w:pos="7665"/>
        </w:tabs>
        <w:spacing w:line="420" w:lineRule="exact"/>
        <w:rPr>
          <w:rFonts w:ascii="宋体" w:hAnsi="宋体" w:cs="宋体"/>
          <w:sz w:val="24"/>
        </w:rPr>
      </w:pPr>
      <w:r>
        <w:rPr>
          <w:rFonts w:hint="eastAsia" w:ascii="宋体" w:hAnsi="宋体" w:cs="宋体"/>
          <w:sz w:val="24"/>
        </w:rPr>
        <w:t>因采购人采购需求作出必要调整，采购人可于投标有效期届满之前与投标人协商延长投标有效期。投标人拒绝延长投标有效期的，不得再参与该项目后续采购活动，但由此给投标人造成的损失，采购人应当予以赔偿或者合理补偿。投标人同意延长投标有效期的，不能修改投标文件。</w:t>
      </w:r>
    </w:p>
    <w:p>
      <w:pPr>
        <w:pStyle w:val="5"/>
        <w:numPr>
          <w:ilvl w:val="1"/>
          <w:numId w:val="5"/>
        </w:numPr>
        <w:ind w:left="155" w:leftChars="74" w:firstLine="178" w:firstLineChars="74"/>
        <w:rPr>
          <w:rFonts w:ascii="宋体" w:hAnsi="宋体" w:cs="宋体"/>
        </w:rPr>
      </w:pPr>
      <w:bookmarkStart w:id="72" w:name="_Toc183682362"/>
      <w:bookmarkStart w:id="73" w:name="_Toc183582225"/>
      <w:bookmarkStart w:id="74" w:name="_Toc217446052"/>
      <w:bookmarkStart w:id="75" w:name="_Toc308164802"/>
      <w:r>
        <w:rPr>
          <w:rFonts w:hint="eastAsia" w:ascii="宋体" w:hAnsi="宋体" w:cs="宋体"/>
        </w:rPr>
        <w:t>投标文件的印制和签署</w:t>
      </w:r>
      <w:bookmarkEnd w:id="72"/>
      <w:bookmarkEnd w:id="73"/>
      <w:bookmarkEnd w:id="74"/>
      <w:bookmarkEnd w:id="75"/>
    </w:p>
    <w:p>
      <w:pPr>
        <w:numPr>
          <w:ilvl w:val="1"/>
          <w:numId w:val="21"/>
        </w:numPr>
        <w:tabs>
          <w:tab w:val="left" w:pos="7665"/>
        </w:tabs>
        <w:spacing w:line="420" w:lineRule="exact"/>
        <w:ind w:firstLine="482" w:firstLineChars="200"/>
        <w:rPr>
          <w:rFonts w:ascii="宋体" w:hAnsi="宋体" w:cs="宋体"/>
          <w:b/>
          <w:sz w:val="24"/>
        </w:rPr>
      </w:pPr>
      <w:r>
        <w:rPr>
          <w:rFonts w:hint="eastAsia" w:ascii="宋体" w:hAnsi="宋体" w:cs="宋体"/>
          <w:b/>
          <w:sz w:val="24"/>
        </w:rPr>
        <w:t>投标人应按规定准备投标文件正本壹份、副本壹份、电子文档壹份以及用于开标唱标单独递交的“开标一览表”壹份。</w:t>
      </w:r>
    </w:p>
    <w:p>
      <w:pPr>
        <w:numPr>
          <w:ilvl w:val="1"/>
          <w:numId w:val="21"/>
        </w:numPr>
        <w:tabs>
          <w:tab w:val="left" w:pos="7665"/>
        </w:tabs>
        <w:spacing w:line="420" w:lineRule="exact"/>
        <w:ind w:firstLine="482" w:firstLineChars="200"/>
        <w:rPr>
          <w:rFonts w:ascii="宋体" w:hAnsi="宋体" w:cs="宋体"/>
          <w:b/>
          <w:sz w:val="24"/>
        </w:rPr>
      </w:pPr>
      <w:r>
        <w:rPr>
          <w:rFonts w:hint="eastAsia" w:ascii="宋体" w:hAnsi="宋体" w:cs="宋体"/>
          <w:b/>
          <w:sz w:val="24"/>
        </w:rPr>
        <w:t>投标文件的正本和副本均需打印或用不褪色、不变质的墨水书写，并由投标人的法定代表人或其授权代表在规定签章处签字或盖章。投标文件副本可采用正本的复印件，用于开标唱标单独提交的“开标一览表”应为原件。（实质性要求）</w:t>
      </w:r>
    </w:p>
    <w:p>
      <w:pPr>
        <w:numPr>
          <w:ilvl w:val="1"/>
          <w:numId w:val="21"/>
        </w:numPr>
        <w:tabs>
          <w:tab w:val="left" w:pos="7665"/>
        </w:tabs>
        <w:spacing w:line="420" w:lineRule="exact"/>
        <w:ind w:firstLine="482" w:firstLineChars="200"/>
        <w:rPr>
          <w:rFonts w:ascii="宋体" w:hAnsi="宋体" w:cs="宋体"/>
          <w:b/>
          <w:bCs/>
          <w:sz w:val="24"/>
        </w:rPr>
      </w:pPr>
      <w:r>
        <w:rPr>
          <w:rFonts w:hint="eastAsia" w:ascii="宋体" w:hAnsi="宋体" w:cs="宋体"/>
          <w:b/>
          <w:bCs/>
          <w:sz w:val="24"/>
        </w:rPr>
        <w:t>投标文件的打印和书写应清楚工整，任何行间插字、涂改或增删，必须由投标人的法定代表人或其授权代表签字或盖个人印鉴。（实质性要求）</w:t>
      </w:r>
    </w:p>
    <w:p>
      <w:pPr>
        <w:numPr>
          <w:ilvl w:val="1"/>
          <w:numId w:val="21"/>
        </w:numPr>
        <w:tabs>
          <w:tab w:val="left" w:pos="7665"/>
        </w:tabs>
        <w:spacing w:line="420" w:lineRule="exact"/>
        <w:ind w:firstLine="480" w:firstLineChars="200"/>
        <w:rPr>
          <w:rFonts w:ascii="宋体" w:hAnsi="宋体" w:cs="宋体"/>
          <w:bCs/>
          <w:sz w:val="24"/>
        </w:rPr>
      </w:pPr>
      <w:r>
        <w:rPr>
          <w:rFonts w:hint="eastAsia" w:ascii="宋体" w:hAnsi="宋体" w:cs="宋体"/>
          <w:bCs/>
          <w:sz w:val="24"/>
        </w:rPr>
        <w:t>投标文件资格审查材料和其他材料应当分开采取胶装方式装订成册，不得散装或者合页装订。</w:t>
      </w:r>
    </w:p>
    <w:p>
      <w:pPr>
        <w:numPr>
          <w:ilvl w:val="1"/>
          <w:numId w:val="21"/>
        </w:numPr>
        <w:tabs>
          <w:tab w:val="left" w:pos="7665"/>
        </w:tabs>
        <w:spacing w:line="420" w:lineRule="exact"/>
        <w:ind w:firstLine="480" w:firstLineChars="200"/>
        <w:rPr>
          <w:rFonts w:ascii="宋体" w:hAnsi="宋体" w:cs="宋体"/>
          <w:bCs/>
          <w:sz w:val="24"/>
        </w:rPr>
      </w:pPr>
      <w:r>
        <w:rPr>
          <w:rFonts w:hint="eastAsia" w:ascii="宋体" w:hAnsi="宋体" w:cs="宋体"/>
          <w:sz w:val="24"/>
        </w:rPr>
        <w:t>投标文件的正本和副本应在其封面右上角清楚地标明“正本”或“副本”字样。若正本和副本有不一致的内容，以正本书面投标文件为准。</w:t>
      </w:r>
    </w:p>
    <w:p>
      <w:pPr>
        <w:numPr>
          <w:ilvl w:val="1"/>
          <w:numId w:val="21"/>
        </w:numPr>
        <w:tabs>
          <w:tab w:val="left" w:pos="7665"/>
        </w:tabs>
        <w:spacing w:line="420" w:lineRule="exact"/>
        <w:ind w:firstLine="480" w:firstLineChars="200"/>
        <w:rPr>
          <w:rFonts w:ascii="宋体" w:hAnsi="宋体" w:cs="宋体"/>
          <w:sz w:val="24"/>
        </w:rPr>
      </w:pPr>
      <w:r>
        <w:rPr>
          <w:rFonts w:hint="eastAsia" w:ascii="宋体" w:hAnsi="宋体" w:cs="宋体"/>
          <w:sz w:val="24"/>
        </w:rPr>
        <w:t>投标文件应根据招标文件的要求制作，签署、盖章和内容应完整。</w:t>
      </w:r>
    </w:p>
    <w:p>
      <w:pPr>
        <w:numPr>
          <w:ilvl w:val="1"/>
          <w:numId w:val="21"/>
        </w:numPr>
        <w:tabs>
          <w:tab w:val="left" w:pos="7665"/>
        </w:tabs>
        <w:spacing w:line="420" w:lineRule="exact"/>
        <w:ind w:firstLine="480" w:firstLineChars="200"/>
        <w:rPr>
          <w:rFonts w:ascii="宋体" w:hAnsi="宋体" w:cs="宋体"/>
          <w:sz w:val="24"/>
        </w:rPr>
      </w:pPr>
      <w:r>
        <w:rPr>
          <w:rFonts w:hint="eastAsia" w:ascii="宋体" w:hAnsi="宋体" w:cs="宋体"/>
          <w:sz w:val="24"/>
        </w:rPr>
        <w:t>投标文件统一用A4幅面纸印制，逐页编码。</w:t>
      </w:r>
    </w:p>
    <w:p>
      <w:pPr>
        <w:pStyle w:val="5"/>
        <w:numPr>
          <w:ilvl w:val="1"/>
          <w:numId w:val="5"/>
        </w:numPr>
        <w:ind w:left="155" w:leftChars="74" w:firstLine="178" w:firstLineChars="74"/>
        <w:rPr>
          <w:rFonts w:ascii="宋体" w:hAnsi="宋体" w:cs="宋体"/>
        </w:rPr>
      </w:pPr>
      <w:bookmarkStart w:id="76" w:name="_Toc183682363"/>
      <w:bookmarkStart w:id="77" w:name="_Toc89075877"/>
      <w:bookmarkStart w:id="78" w:name="_Toc183582226"/>
      <w:bookmarkStart w:id="79" w:name="_Toc77400781"/>
      <w:bookmarkStart w:id="80" w:name="_Toc308164803"/>
      <w:bookmarkStart w:id="81" w:name="_Toc217446053"/>
      <w:r>
        <w:rPr>
          <w:rFonts w:hint="eastAsia" w:ascii="宋体" w:hAnsi="宋体" w:cs="宋体"/>
        </w:rPr>
        <w:t>投标文件的密封和标</w:t>
      </w:r>
      <w:bookmarkEnd w:id="76"/>
      <w:bookmarkEnd w:id="77"/>
      <w:bookmarkEnd w:id="78"/>
      <w:bookmarkEnd w:id="79"/>
      <w:r>
        <w:rPr>
          <w:rFonts w:hint="eastAsia" w:ascii="宋体" w:hAnsi="宋体" w:cs="宋体"/>
        </w:rPr>
        <w:t>注</w:t>
      </w:r>
      <w:bookmarkEnd w:id="80"/>
      <w:bookmarkEnd w:id="81"/>
      <w:r>
        <w:rPr>
          <w:rFonts w:hint="eastAsia" w:ascii="宋体" w:hAnsi="宋体" w:cs="宋体"/>
        </w:rPr>
        <w:t>（实质性要求）</w:t>
      </w:r>
    </w:p>
    <w:p>
      <w:pPr>
        <w:numPr>
          <w:ilvl w:val="1"/>
          <w:numId w:val="22"/>
        </w:numPr>
        <w:tabs>
          <w:tab w:val="left" w:pos="7665"/>
        </w:tabs>
        <w:spacing w:line="420" w:lineRule="exact"/>
        <w:ind w:firstLine="480" w:firstLineChars="200"/>
        <w:rPr>
          <w:rFonts w:ascii="宋体" w:hAnsi="宋体" w:cs="宋体"/>
          <w:sz w:val="24"/>
        </w:rPr>
      </w:pPr>
      <w:r>
        <w:rPr>
          <w:rFonts w:hint="eastAsia" w:ascii="宋体" w:hAnsi="宋体" w:cs="宋体"/>
          <w:sz w:val="24"/>
        </w:rPr>
        <w:t>投标人应在投标文件正本和所有副本的封面上注明投标人名称、资格性审查材料（或其它材料）、招标编号、项目名称及分包号（如有分包）。</w:t>
      </w:r>
    </w:p>
    <w:p>
      <w:pPr>
        <w:numPr>
          <w:ilvl w:val="1"/>
          <w:numId w:val="22"/>
        </w:numPr>
        <w:tabs>
          <w:tab w:val="left" w:pos="7665"/>
        </w:tabs>
        <w:spacing w:line="420" w:lineRule="exact"/>
        <w:ind w:firstLine="480" w:firstLineChars="200"/>
        <w:rPr>
          <w:rFonts w:ascii="宋体" w:hAnsi="宋体" w:cs="宋体"/>
          <w:b/>
          <w:bCs/>
          <w:sz w:val="24"/>
        </w:rPr>
      </w:pPr>
      <w:r>
        <w:rPr>
          <w:rFonts w:hint="eastAsia" w:ascii="宋体" w:hAnsi="宋体" w:cs="宋体"/>
          <w:sz w:val="24"/>
        </w:rPr>
        <w:t>投标文件包括正本、副本和用于开标唱标单独提交的“开标一览表”。投标文件应当分开密封，</w:t>
      </w:r>
      <w:r>
        <w:rPr>
          <w:rFonts w:hint="eastAsia" w:ascii="宋体" w:hAnsi="宋体" w:cs="宋体"/>
          <w:b/>
          <w:bCs/>
          <w:sz w:val="24"/>
        </w:rPr>
        <w:t>分为4个密封袋</w:t>
      </w:r>
      <w:r>
        <w:rPr>
          <w:rFonts w:hint="eastAsia" w:ascii="宋体" w:hAnsi="宋体" w:cs="宋体"/>
          <w:sz w:val="24"/>
        </w:rPr>
        <w:t>，其中，投标文件（资格性审查材料）正本、副本一个封装、投标文件（其他材料）正本、副本一个封装、用于开标唱标单独递交的“开标一览表”一个封装、</w:t>
      </w:r>
      <w:r>
        <w:rPr>
          <w:sz w:val="24"/>
        </w:rPr>
        <w:t>投标文件电子文档（包含资格性审查材料和其他材料）一个封装</w:t>
      </w:r>
      <w:r>
        <w:rPr>
          <w:rFonts w:hint="eastAsia" w:ascii="宋体" w:hAnsi="宋体" w:cs="宋体"/>
          <w:sz w:val="24"/>
        </w:rPr>
        <w:t>。投标文件的密封袋上应当注明投标人名称、投标文件资格性审查材料（或投标文件其它材料）、招标编号、项目名称及分包号（如有分包）。</w:t>
      </w:r>
    </w:p>
    <w:p>
      <w:pPr>
        <w:pStyle w:val="5"/>
        <w:numPr>
          <w:ilvl w:val="1"/>
          <w:numId w:val="5"/>
        </w:numPr>
        <w:ind w:left="155" w:leftChars="74" w:firstLine="178" w:firstLineChars="74"/>
        <w:rPr>
          <w:rFonts w:ascii="宋体" w:hAnsi="宋体" w:cs="宋体"/>
        </w:rPr>
      </w:pPr>
      <w:bookmarkStart w:id="82" w:name="_Toc183582227"/>
      <w:bookmarkStart w:id="83" w:name="_Toc183682364"/>
      <w:bookmarkStart w:id="84" w:name="_Toc217446054"/>
      <w:bookmarkStart w:id="85" w:name="_Toc308164804"/>
      <w:r>
        <w:rPr>
          <w:rFonts w:hint="eastAsia" w:ascii="宋体" w:hAnsi="宋体" w:cs="宋体"/>
        </w:rPr>
        <w:t>投标文件的</w:t>
      </w:r>
      <w:bookmarkEnd w:id="82"/>
      <w:bookmarkEnd w:id="83"/>
      <w:r>
        <w:rPr>
          <w:rFonts w:hint="eastAsia" w:ascii="宋体" w:hAnsi="宋体" w:cs="宋体"/>
        </w:rPr>
        <w:t>递交</w:t>
      </w:r>
      <w:bookmarkEnd w:id="84"/>
      <w:bookmarkEnd w:id="85"/>
      <w:r>
        <w:rPr>
          <w:rFonts w:hint="eastAsia" w:ascii="宋体" w:hAnsi="宋体" w:cs="宋体"/>
        </w:rPr>
        <w:t>（实质性要求）</w:t>
      </w:r>
    </w:p>
    <w:p>
      <w:pPr>
        <w:numPr>
          <w:ilvl w:val="1"/>
          <w:numId w:val="23"/>
        </w:numPr>
        <w:tabs>
          <w:tab w:val="left" w:pos="7665"/>
        </w:tabs>
        <w:spacing w:line="420" w:lineRule="exact"/>
        <w:ind w:firstLine="480" w:firstLineChars="200"/>
        <w:rPr>
          <w:rFonts w:ascii="宋体" w:hAnsi="宋体" w:cs="宋体"/>
          <w:sz w:val="24"/>
        </w:rPr>
      </w:pPr>
      <w:r>
        <w:rPr>
          <w:rFonts w:hint="eastAsia" w:ascii="宋体" w:hAnsi="宋体" w:cs="宋体"/>
          <w:sz w:val="24"/>
        </w:rPr>
        <w:t>投标人应在招标文件规定的投标截止时间前，将投标文件按招标文件的规定密封后送达开标地点。投标截止时间以后送达的投标文件或未按招标文件要求密封的投标文件将不予接收，招标采购单位将告知投标人不予接收的原因。</w:t>
      </w:r>
    </w:p>
    <w:p>
      <w:pPr>
        <w:numPr>
          <w:ilvl w:val="1"/>
          <w:numId w:val="23"/>
        </w:numPr>
        <w:tabs>
          <w:tab w:val="left" w:pos="7665"/>
        </w:tabs>
        <w:spacing w:line="420" w:lineRule="exact"/>
        <w:ind w:firstLine="480" w:firstLineChars="200"/>
        <w:rPr>
          <w:rFonts w:ascii="宋体" w:hAnsi="宋体" w:cs="宋体"/>
          <w:sz w:val="24"/>
        </w:rPr>
      </w:pPr>
      <w:r>
        <w:rPr>
          <w:rFonts w:hint="eastAsia" w:ascii="宋体" w:hAnsi="宋体" w:cs="宋体"/>
          <w:sz w:val="24"/>
        </w:rPr>
        <w:t>递交投标文件时，报名供应商名称和招标文件的文号、分包号应当与投标供应商名称和招标文件的文号、分包号一致。但是，投标文件实质内容报名供应商名称和招标文件的文号、分包号一致，只是封面文字错误的，可以在评标过程中当面予以澄清，以有效的澄清材料作为认定投标文件是否有效的依据。</w:t>
      </w:r>
    </w:p>
    <w:p>
      <w:pPr>
        <w:numPr>
          <w:ilvl w:val="1"/>
          <w:numId w:val="23"/>
        </w:numPr>
        <w:tabs>
          <w:tab w:val="left" w:pos="7665"/>
        </w:tabs>
        <w:spacing w:line="420" w:lineRule="exact"/>
        <w:ind w:firstLine="480" w:firstLineChars="200"/>
        <w:rPr>
          <w:rFonts w:ascii="宋体" w:hAnsi="宋体" w:cs="宋体"/>
          <w:sz w:val="24"/>
        </w:rPr>
      </w:pPr>
      <w:r>
        <w:rPr>
          <w:rFonts w:hint="eastAsia" w:ascii="宋体" w:hAnsi="宋体" w:cs="宋体"/>
          <w:sz w:val="24"/>
        </w:rPr>
        <w:t>本次招标不接收邮寄的投标文件。</w:t>
      </w:r>
    </w:p>
    <w:p>
      <w:pPr>
        <w:pStyle w:val="5"/>
        <w:numPr>
          <w:ilvl w:val="1"/>
          <w:numId w:val="5"/>
        </w:numPr>
        <w:ind w:left="155" w:leftChars="74" w:firstLine="178" w:firstLineChars="74"/>
        <w:rPr>
          <w:rFonts w:ascii="宋体" w:hAnsi="宋体" w:cs="宋体"/>
        </w:rPr>
      </w:pPr>
      <w:bookmarkStart w:id="86" w:name="_Toc183582228"/>
      <w:bookmarkStart w:id="87" w:name="_Toc183682365"/>
      <w:bookmarkStart w:id="88" w:name="_Toc217446055"/>
      <w:r>
        <w:rPr>
          <w:rFonts w:hint="eastAsia" w:ascii="宋体" w:hAnsi="宋体" w:cs="宋体"/>
        </w:rPr>
        <w:t>投标文件的修改和撤</w:t>
      </w:r>
      <w:bookmarkEnd w:id="86"/>
      <w:bookmarkEnd w:id="87"/>
      <w:r>
        <w:rPr>
          <w:rFonts w:hint="eastAsia" w:ascii="宋体" w:hAnsi="宋体" w:cs="宋体"/>
        </w:rPr>
        <w:t>回</w:t>
      </w:r>
      <w:bookmarkEnd w:id="88"/>
      <w:r>
        <w:rPr>
          <w:rFonts w:hint="eastAsia" w:ascii="宋体" w:hAnsi="宋体" w:cs="宋体"/>
        </w:rPr>
        <w:t>（实质性要求）</w:t>
      </w:r>
    </w:p>
    <w:p>
      <w:pPr>
        <w:numPr>
          <w:ilvl w:val="1"/>
          <w:numId w:val="24"/>
        </w:numPr>
        <w:tabs>
          <w:tab w:val="left" w:pos="7665"/>
        </w:tabs>
        <w:spacing w:line="420" w:lineRule="exact"/>
        <w:rPr>
          <w:rFonts w:ascii="宋体" w:hAnsi="宋体" w:cs="宋体"/>
          <w:sz w:val="24"/>
        </w:rPr>
      </w:pPr>
      <w:r>
        <w:rPr>
          <w:rFonts w:hint="eastAsia" w:ascii="宋体" w:hAnsi="宋体" w:cs="宋体"/>
          <w:sz w:val="24"/>
        </w:rPr>
        <w:t>投标人在递交了投标文件后，可以修改或撤回其投标文件，但必须在规定的投标截止时间前，以书面形式通知采购代理机构。</w:t>
      </w:r>
    </w:p>
    <w:p>
      <w:pPr>
        <w:numPr>
          <w:ilvl w:val="1"/>
          <w:numId w:val="24"/>
        </w:numPr>
        <w:tabs>
          <w:tab w:val="left" w:pos="7665"/>
        </w:tabs>
        <w:spacing w:line="420" w:lineRule="exact"/>
        <w:rPr>
          <w:rFonts w:ascii="宋体" w:hAnsi="宋体" w:cs="宋体"/>
          <w:sz w:val="24"/>
        </w:rPr>
      </w:pPr>
      <w:r>
        <w:rPr>
          <w:rFonts w:hint="eastAsia" w:ascii="宋体" w:hAnsi="宋体" w:cs="宋体"/>
          <w:sz w:val="24"/>
        </w:rPr>
        <w:t>投标人的修改书或撤回通知书，应由其法定代表人或授权代表签署并盖单位印章。修改书应按投标须知第19条规定进行密封和标注，并在密封袋上标注“修改”字样。</w:t>
      </w:r>
    </w:p>
    <w:p>
      <w:pPr>
        <w:numPr>
          <w:ilvl w:val="1"/>
          <w:numId w:val="24"/>
        </w:numPr>
        <w:tabs>
          <w:tab w:val="left" w:pos="7665"/>
        </w:tabs>
        <w:spacing w:line="420" w:lineRule="exact"/>
        <w:rPr>
          <w:rFonts w:ascii="宋体" w:hAnsi="宋体" w:cs="宋体"/>
          <w:sz w:val="24"/>
        </w:rPr>
      </w:pPr>
      <w:r>
        <w:rPr>
          <w:rFonts w:hint="eastAsia" w:ascii="宋体" w:hAnsi="宋体" w:cs="宋体"/>
          <w:sz w:val="24"/>
        </w:rPr>
        <w:t>在投标截止时间之后，投标人不得对其递交的投标文件做任何修改，撤回投标的，将按照有关规定进行相应处理。</w:t>
      </w:r>
    </w:p>
    <w:p>
      <w:pPr>
        <w:pStyle w:val="4"/>
        <w:spacing w:before="120" w:after="120"/>
        <w:rPr>
          <w:rFonts w:ascii="宋体" w:hAnsi="宋体" w:cs="宋体"/>
        </w:rPr>
      </w:pPr>
      <w:bookmarkStart w:id="89" w:name="_Toc183682368"/>
      <w:bookmarkStart w:id="90" w:name="_Toc89075878"/>
      <w:bookmarkStart w:id="91" w:name="_Toc183582231"/>
      <w:bookmarkStart w:id="92" w:name="_Toc308164805"/>
      <w:bookmarkStart w:id="93" w:name="_Toc217446056"/>
      <w:bookmarkStart w:id="94" w:name="_Toc77400782"/>
      <w:r>
        <w:rPr>
          <w:rFonts w:hint="eastAsia" w:ascii="宋体" w:hAnsi="宋体" w:cs="宋体"/>
        </w:rPr>
        <w:t>五、开标和中标</w:t>
      </w:r>
      <w:bookmarkEnd w:id="89"/>
      <w:bookmarkEnd w:id="90"/>
      <w:bookmarkEnd w:id="91"/>
      <w:bookmarkEnd w:id="92"/>
      <w:bookmarkEnd w:id="93"/>
      <w:bookmarkEnd w:id="94"/>
    </w:p>
    <w:p>
      <w:pPr>
        <w:pStyle w:val="5"/>
        <w:numPr>
          <w:ilvl w:val="1"/>
          <w:numId w:val="5"/>
        </w:numPr>
        <w:ind w:left="155" w:leftChars="74" w:firstLine="178" w:firstLineChars="74"/>
        <w:rPr>
          <w:rFonts w:ascii="宋体" w:hAnsi="宋体" w:cs="宋体"/>
        </w:rPr>
      </w:pPr>
      <w:bookmarkStart w:id="95" w:name="_Toc183682369"/>
      <w:bookmarkStart w:id="96" w:name="_Toc217446057"/>
      <w:bookmarkStart w:id="97" w:name="_Toc308164806"/>
      <w:bookmarkStart w:id="98" w:name="_Toc183582232"/>
      <w:r>
        <w:rPr>
          <w:rFonts w:hint="eastAsia" w:ascii="宋体" w:hAnsi="宋体" w:cs="宋体"/>
        </w:rPr>
        <w:t>开标</w:t>
      </w:r>
      <w:bookmarkEnd w:id="95"/>
      <w:bookmarkEnd w:id="96"/>
      <w:bookmarkEnd w:id="97"/>
      <w:bookmarkEnd w:id="98"/>
    </w:p>
    <w:p>
      <w:pPr>
        <w:numPr>
          <w:ilvl w:val="1"/>
          <w:numId w:val="25"/>
        </w:numPr>
        <w:tabs>
          <w:tab w:val="left" w:pos="7665"/>
        </w:tabs>
        <w:spacing w:line="420" w:lineRule="exact"/>
        <w:ind w:firstLine="480" w:firstLineChars="200"/>
        <w:rPr>
          <w:rFonts w:ascii="宋体" w:hAnsi="宋体" w:cs="宋体"/>
          <w:sz w:val="24"/>
        </w:rPr>
      </w:pPr>
      <w:r>
        <w:rPr>
          <w:rFonts w:hint="eastAsia" w:ascii="宋体" w:hAnsi="宋体" w:cs="宋体"/>
          <w:sz w:val="24"/>
        </w:rPr>
        <w:t>开标在招标文件规定的时间和地点公开进行，采购人、投标人须派代表参加并签到以证明其出席。开标由采购代理机构主持，采购人、投标人代表参加。评标专家不参加开标活动。</w:t>
      </w:r>
    </w:p>
    <w:p>
      <w:pPr>
        <w:numPr>
          <w:ilvl w:val="1"/>
          <w:numId w:val="25"/>
        </w:numPr>
        <w:tabs>
          <w:tab w:val="left" w:pos="7665"/>
        </w:tabs>
        <w:spacing w:line="420" w:lineRule="exact"/>
        <w:ind w:firstLine="480" w:firstLineChars="200"/>
        <w:rPr>
          <w:rFonts w:ascii="宋体" w:hAnsi="宋体" w:cs="宋体"/>
          <w:sz w:val="24"/>
        </w:rPr>
      </w:pPr>
      <w:r>
        <w:rPr>
          <w:rFonts w:hint="eastAsia" w:ascii="宋体" w:hAnsi="宋体" w:cs="宋体"/>
          <w:sz w:val="24"/>
        </w:rPr>
        <w:t>开标时，可能根据具体情况邀请有关监督管理部门对开标活动进行现场监督。</w:t>
      </w:r>
    </w:p>
    <w:p>
      <w:pPr>
        <w:numPr>
          <w:ilvl w:val="1"/>
          <w:numId w:val="25"/>
        </w:numPr>
        <w:tabs>
          <w:tab w:val="left" w:pos="7665"/>
        </w:tabs>
        <w:spacing w:line="420" w:lineRule="exact"/>
        <w:ind w:firstLine="480" w:firstLineChars="200"/>
        <w:rPr>
          <w:rFonts w:ascii="宋体" w:hAnsi="宋体" w:cs="宋体"/>
          <w:sz w:val="24"/>
        </w:rPr>
      </w:pPr>
      <w:r>
        <w:rPr>
          <w:rFonts w:hint="eastAsia" w:ascii="宋体" w:hAnsi="宋体" w:cs="宋体"/>
          <w:sz w:val="24"/>
        </w:rPr>
        <w:t>开标时，由投标人或者其推选的代表先检查其自己递交的投标文件的密封情况，经确认无误后，由招标工作人员将投标人单独递交的“开标一览表”当众拆封，并由唱标人员按照招标文件规定的内容进行宣读。</w:t>
      </w:r>
    </w:p>
    <w:p>
      <w:pPr>
        <w:tabs>
          <w:tab w:val="left" w:pos="7665"/>
        </w:tabs>
        <w:spacing w:line="420" w:lineRule="exact"/>
        <w:ind w:firstLine="480" w:firstLineChars="200"/>
        <w:rPr>
          <w:rFonts w:ascii="宋体" w:hAnsi="宋体" w:cs="宋体"/>
          <w:sz w:val="24"/>
        </w:rPr>
      </w:pPr>
      <w:r>
        <w:rPr>
          <w:rFonts w:hint="eastAsia" w:ascii="宋体" w:hAnsi="宋体" w:cs="宋体"/>
          <w:sz w:val="24"/>
        </w:rPr>
        <w:t>投标人或者其推选的代表确认投标文件情况，仅限于确认其自己递交的投标文件的密封情况，不代表对其他投标人的投标文件的密封情况确认。投标人或者其推选的代表对其他投标人的投标文件密封情况有异议的，可以当场反映开标主持人或者现场监督人员，要求开标现场记录人员予以记录，并在评标时予以认定处理，但不得干扰、阻挠开标工作的正常进行。</w:t>
      </w:r>
    </w:p>
    <w:p>
      <w:pPr>
        <w:numPr>
          <w:ilvl w:val="1"/>
          <w:numId w:val="25"/>
        </w:numPr>
        <w:tabs>
          <w:tab w:val="left" w:pos="7665"/>
        </w:tabs>
        <w:spacing w:line="420" w:lineRule="exact"/>
        <w:ind w:firstLine="480" w:firstLineChars="200"/>
        <w:rPr>
          <w:rFonts w:ascii="宋体" w:hAnsi="宋体" w:cs="宋体"/>
          <w:sz w:val="24"/>
        </w:rPr>
      </w:pPr>
      <w:r>
        <w:rPr>
          <w:rFonts w:hint="eastAsia" w:ascii="宋体" w:hAnsi="宋体" w:cs="宋体"/>
          <w:sz w:val="24"/>
        </w:rPr>
        <w:t>开标时，“开标一览表”中的大写金额与小写金额不一致的，以大写金额为准；总价金额与按单价计算的汇总金额不一致的，以单价计算的汇总金额为准；单价金额有明显小数点错误的，以总价为准，并修改单价。</w:t>
      </w:r>
    </w:p>
    <w:p>
      <w:pPr>
        <w:numPr>
          <w:ilvl w:val="1"/>
          <w:numId w:val="25"/>
        </w:numPr>
        <w:tabs>
          <w:tab w:val="left" w:pos="7665"/>
        </w:tabs>
        <w:spacing w:line="420" w:lineRule="exact"/>
        <w:ind w:firstLine="480" w:firstLineChars="200"/>
        <w:rPr>
          <w:rFonts w:ascii="宋体" w:hAnsi="宋体" w:cs="宋体"/>
          <w:sz w:val="24"/>
        </w:rPr>
      </w:pPr>
      <w:r>
        <w:rPr>
          <w:rFonts w:hint="eastAsia" w:ascii="宋体" w:hAnsi="宋体" w:cs="宋体"/>
          <w:sz w:val="24"/>
        </w:rPr>
        <w:t>投标文件中相关内容与“开标一览表”不一致的，以“开标一览表”为准。对不同文字文本投标文件的解释发生异议的，以中文文本为准。</w:t>
      </w:r>
    </w:p>
    <w:p>
      <w:pPr>
        <w:numPr>
          <w:ilvl w:val="1"/>
          <w:numId w:val="25"/>
        </w:numPr>
        <w:tabs>
          <w:tab w:val="left" w:pos="7665"/>
        </w:tabs>
        <w:spacing w:line="420" w:lineRule="exact"/>
        <w:ind w:firstLine="480" w:firstLineChars="200"/>
        <w:rPr>
          <w:rFonts w:ascii="宋体" w:hAnsi="宋体" w:cs="宋体"/>
          <w:sz w:val="24"/>
        </w:rPr>
      </w:pPr>
      <w:r>
        <w:rPr>
          <w:rFonts w:hint="eastAsia" w:ascii="宋体" w:hAnsi="宋体" w:cs="宋体"/>
          <w:sz w:val="24"/>
        </w:rPr>
        <w:t>所有投标唱标完毕，如投标人代表对宣读的“开标一览表”上的内容有异议的，应在获得开标会主持人同意后当场提出。如确实属于唱标人员宣读错了的，经现场监督人员核实后，当场予以更正。</w:t>
      </w:r>
    </w:p>
    <w:p>
      <w:pPr>
        <w:pStyle w:val="5"/>
        <w:numPr>
          <w:ilvl w:val="1"/>
          <w:numId w:val="5"/>
        </w:numPr>
        <w:ind w:left="155" w:leftChars="74" w:firstLine="178" w:firstLineChars="74"/>
        <w:rPr>
          <w:rFonts w:ascii="宋体" w:hAnsi="宋体" w:cs="宋体"/>
        </w:rPr>
      </w:pPr>
      <w:bookmarkStart w:id="99" w:name="_Toc217446058"/>
      <w:bookmarkStart w:id="100" w:name="_Toc308164807"/>
      <w:r>
        <w:rPr>
          <w:rFonts w:hint="eastAsia" w:ascii="宋体" w:hAnsi="宋体" w:cs="宋体"/>
        </w:rPr>
        <w:t>开标程序</w:t>
      </w:r>
      <w:bookmarkEnd w:id="99"/>
      <w:bookmarkEnd w:id="100"/>
    </w:p>
    <w:p>
      <w:pPr>
        <w:numPr>
          <w:ilvl w:val="1"/>
          <w:numId w:val="26"/>
        </w:numPr>
        <w:tabs>
          <w:tab w:val="left" w:pos="7665"/>
        </w:tabs>
        <w:spacing w:line="420" w:lineRule="exact"/>
        <w:ind w:firstLine="480" w:firstLineChars="200"/>
        <w:rPr>
          <w:rFonts w:ascii="宋体" w:hAnsi="宋体" w:cs="宋体"/>
          <w:sz w:val="24"/>
        </w:rPr>
      </w:pPr>
      <w:r>
        <w:rPr>
          <w:rFonts w:hint="eastAsia" w:ascii="宋体" w:hAnsi="宋体" w:cs="宋体"/>
          <w:sz w:val="24"/>
        </w:rPr>
        <w:t>开标会主持人按照招标文件规定的开标时间宣布开标，按照规定要求主持开标会。开标将按以下程序进行：</w:t>
      </w:r>
    </w:p>
    <w:p>
      <w:pPr>
        <w:numPr>
          <w:ilvl w:val="0"/>
          <w:numId w:val="27"/>
        </w:numPr>
        <w:spacing w:line="420" w:lineRule="exact"/>
        <w:ind w:left="0" w:firstLine="480" w:firstLineChars="200"/>
        <w:rPr>
          <w:rFonts w:ascii="宋体" w:hAnsi="宋体" w:cs="宋体"/>
          <w:sz w:val="24"/>
        </w:rPr>
      </w:pPr>
      <w:r>
        <w:rPr>
          <w:rFonts w:hint="eastAsia" w:ascii="宋体" w:hAnsi="宋体" w:cs="宋体"/>
          <w:sz w:val="24"/>
        </w:rPr>
        <w:t>宣布开标会开始。当众宣布参加开标会主持人、唱标人、会议记录人以及根据情况邀请的现场监督人等工作人员，根据“供应商签到表”宣布参加投标的供应商名单。</w:t>
      </w:r>
    </w:p>
    <w:p>
      <w:pPr>
        <w:numPr>
          <w:ilvl w:val="0"/>
          <w:numId w:val="27"/>
        </w:numPr>
        <w:spacing w:line="420" w:lineRule="exact"/>
        <w:ind w:left="0" w:firstLine="480" w:firstLineChars="200"/>
        <w:rPr>
          <w:rFonts w:ascii="宋体" w:hAnsi="宋体" w:cs="宋体"/>
          <w:sz w:val="24"/>
        </w:rPr>
      </w:pPr>
      <w:r>
        <w:rPr>
          <w:rFonts w:hint="eastAsia" w:ascii="宋体" w:hAnsi="宋体" w:cs="宋体"/>
          <w:sz w:val="24"/>
        </w:rPr>
        <w:t>根据投标人或者其推选的代表对投标文件密封的检查结果，当众宣布投标文件的密封情况。</w:t>
      </w:r>
    </w:p>
    <w:p>
      <w:pPr>
        <w:numPr>
          <w:ilvl w:val="0"/>
          <w:numId w:val="27"/>
        </w:numPr>
        <w:spacing w:line="420" w:lineRule="exact"/>
        <w:ind w:left="0" w:firstLine="480" w:firstLineChars="200"/>
        <w:rPr>
          <w:rFonts w:ascii="宋体" w:hAnsi="宋体" w:cs="宋体"/>
          <w:sz w:val="24"/>
        </w:rPr>
      </w:pPr>
      <w:r>
        <w:rPr>
          <w:rFonts w:hint="eastAsia" w:ascii="宋体" w:hAnsi="宋体" w:cs="宋体"/>
          <w:sz w:val="24"/>
        </w:rPr>
        <w:t>开标唱标。主持人宣布开标后，由现场工作人员按任意顺序对投标人的“开标一览表”当众进行拆封，由唱标人员宣读投标人名称、投标价格（价格折扣）、或招标文件允许提供的备选投标方案和投标文件的其他主要内容。未宣读的投标价格（价格折扣）或招标文件允许提供的备选投标方案等实质内容，评标时不予承认。同时，做好开标记录。唱标人员在唱标过程中，如遇有字迹不清楚或有明显错误的，应即刻报告主持人，经现场核实后，主持人立即请投标人代表现场进行澄清或确认。唱标完毕后投标人或者其推选的代表需现场对开标记录进行签字确认，投标人或者其推选的代表对唱标内容有异议的，可以当场提出，并要求会议记录人在开标记录中予以记录，或者另行提供书面异议资料，不签字又不提出异议的，视同认可唱标内容和结果，且不得干扰、阻挠开（唱）标、评标工作。</w:t>
      </w:r>
    </w:p>
    <w:p>
      <w:pPr>
        <w:numPr>
          <w:ilvl w:val="0"/>
          <w:numId w:val="27"/>
        </w:numPr>
        <w:spacing w:line="420" w:lineRule="exact"/>
        <w:ind w:left="0" w:firstLine="480" w:firstLineChars="200"/>
        <w:rPr>
          <w:rFonts w:ascii="宋体" w:hAnsi="宋体" w:cs="宋体"/>
          <w:sz w:val="24"/>
        </w:rPr>
      </w:pPr>
      <w:r>
        <w:rPr>
          <w:rFonts w:hint="eastAsia" w:ascii="宋体" w:hAnsi="宋体" w:cs="宋体"/>
          <w:sz w:val="24"/>
        </w:rPr>
        <w:t>宣布开标会结束。主持人宣布开标会结束。所有投标人代表应立即退场（招标文件要求有演示、介绍等的除外）。同时所有投标人应保持通讯设备的畅通，以方便在评标过程中评标委员会要求投标人对投标文件的必要澄清、说明和纠正。评标结果投标人在中国政府采购网上查询。</w:t>
      </w:r>
    </w:p>
    <w:p>
      <w:pPr>
        <w:pStyle w:val="5"/>
        <w:numPr>
          <w:ilvl w:val="1"/>
          <w:numId w:val="5"/>
        </w:numPr>
        <w:ind w:left="155" w:leftChars="74" w:firstLine="178" w:firstLineChars="74"/>
        <w:rPr>
          <w:rFonts w:ascii="宋体" w:hAnsi="宋体" w:cs="宋体"/>
        </w:rPr>
      </w:pPr>
      <w:r>
        <w:rPr>
          <w:rFonts w:hint="eastAsia" w:ascii="宋体" w:hAnsi="宋体" w:cs="宋体"/>
        </w:rPr>
        <w:t>评标</w:t>
      </w:r>
    </w:p>
    <w:p>
      <w:pPr>
        <w:numPr>
          <w:ilvl w:val="1"/>
          <w:numId w:val="28"/>
        </w:numPr>
        <w:tabs>
          <w:tab w:val="left" w:pos="7665"/>
        </w:tabs>
        <w:spacing w:line="420" w:lineRule="exact"/>
        <w:ind w:firstLine="397"/>
        <w:rPr>
          <w:rFonts w:ascii="宋体" w:hAnsi="宋体" w:cs="宋体"/>
          <w:sz w:val="24"/>
        </w:rPr>
      </w:pPr>
      <w:r>
        <w:rPr>
          <w:rFonts w:hint="eastAsia" w:ascii="宋体" w:hAnsi="宋体" w:cs="宋体"/>
          <w:sz w:val="24"/>
        </w:rPr>
        <w:t>评标原则：评标活动遵循公平、公正、科学和择优的原则。</w:t>
      </w:r>
    </w:p>
    <w:p>
      <w:pPr>
        <w:numPr>
          <w:ilvl w:val="1"/>
          <w:numId w:val="28"/>
        </w:numPr>
        <w:tabs>
          <w:tab w:val="left" w:pos="7665"/>
        </w:tabs>
        <w:spacing w:line="420" w:lineRule="exact"/>
        <w:ind w:firstLine="397"/>
        <w:rPr>
          <w:rFonts w:ascii="宋体" w:hAnsi="宋体" w:cs="宋体"/>
          <w:sz w:val="24"/>
        </w:rPr>
      </w:pPr>
      <w:r>
        <w:rPr>
          <w:rFonts w:hint="eastAsia" w:ascii="宋体" w:hAnsi="宋体" w:cs="宋体"/>
          <w:sz w:val="24"/>
        </w:rPr>
        <w:t>评标委员会按照“评标办法”规定的方法、评审因素、标准和程序对投标文件进行评审。“评标办法”没有规定的方法、评审因素和标准，不作为评标依据。</w:t>
      </w:r>
    </w:p>
    <w:p>
      <w:pPr>
        <w:pStyle w:val="5"/>
        <w:numPr>
          <w:ilvl w:val="1"/>
          <w:numId w:val="5"/>
        </w:numPr>
        <w:ind w:left="155" w:leftChars="74" w:firstLine="178" w:firstLineChars="74"/>
        <w:rPr>
          <w:rFonts w:ascii="宋体" w:hAnsi="宋体" w:cs="宋体"/>
        </w:rPr>
      </w:pPr>
      <w:bookmarkStart w:id="101" w:name="_Toc183682375"/>
      <w:bookmarkStart w:id="102" w:name="_Toc183582238"/>
      <w:bookmarkStart w:id="103" w:name="_Toc308164809"/>
      <w:bookmarkStart w:id="104" w:name="_Toc217446063"/>
      <w:r>
        <w:rPr>
          <w:rFonts w:hint="eastAsia" w:ascii="宋体" w:hAnsi="宋体" w:cs="宋体"/>
        </w:rPr>
        <w:t>开评标过程存档</w:t>
      </w:r>
    </w:p>
    <w:p>
      <w:pPr>
        <w:spacing w:line="420" w:lineRule="exact"/>
        <w:ind w:firstLine="480" w:firstLineChars="200"/>
        <w:rPr>
          <w:rFonts w:ascii="宋体" w:hAnsi="宋体" w:cs="宋体"/>
          <w:sz w:val="24"/>
        </w:rPr>
      </w:pPr>
      <w:r>
        <w:rPr>
          <w:rFonts w:hint="eastAsia" w:ascii="宋体" w:hAnsi="宋体" w:cs="宋体"/>
          <w:sz w:val="24"/>
        </w:rPr>
        <w:t>开标和评标过程进行全过程电子监控，并将电子监控资料存储介质留存归档。</w:t>
      </w:r>
    </w:p>
    <w:p>
      <w:pPr>
        <w:pStyle w:val="5"/>
        <w:numPr>
          <w:ilvl w:val="1"/>
          <w:numId w:val="5"/>
        </w:numPr>
        <w:ind w:left="155" w:leftChars="74" w:firstLine="178" w:firstLineChars="74"/>
        <w:rPr>
          <w:rFonts w:ascii="宋体" w:hAnsi="宋体" w:cs="宋体"/>
        </w:rPr>
      </w:pPr>
      <w:r>
        <w:rPr>
          <w:rFonts w:hint="eastAsia" w:ascii="宋体" w:hAnsi="宋体" w:cs="宋体"/>
        </w:rPr>
        <w:t>定标</w:t>
      </w:r>
    </w:p>
    <w:p>
      <w:pPr>
        <w:spacing w:line="420" w:lineRule="exact"/>
        <w:ind w:firstLine="480" w:firstLineChars="200"/>
        <w:rPr>
          <w:rFonts w:ascii="宋体" w:hAnsi="宋体" w:cs="宋体"/>
        </w:rPr>
      </w:pPr>
      <w:r>
        <w:rPr>
          <w:rFonts w:hint="eastAsia" w:ascii="宋体" w:hAnsi="宋体" w:cs="宋体"/>
          <w:sz w:val="24"/>
        </w:rPr>
        <w:t>招标人依据评标委员会推荐的中标候选人确定中标人，评标委员会推荐中标候选人的人数见“投标人须知前附表”。</w:t>
      </w:r>
    </w:p>
    <w:p>
      <w:pPr>
        <w:pStyle w:val="5"/>
        <w:numPr>
          <w:ilvl w:val="1"/>
          <w:numId w:val="5"/>
        </w:numPr>
        <w:ind w:left="155" w:leftChars="74" w:firstLine="178" w:firstLineChars="74"/>
        <w:rPr>
          <w:rFonts w:ascii="宋体" w:hAnsi="宋体" w:cs="宋体"/>
        </w:rPr>
      </w:pPr>
      <w:r>
        <w:rPr>
          <w:rFonts w:hint="eastAsia" w:ascii="宋体" w:hAnsi="宋体" w:cs="宋体"/>
        </w:rPr>
        <w:t>评标情况公告</w:t>
      </w:r>
    </w:p>
    <w:p>
      <w:pPr>
        <w:spacing w:line="420" w:lineRule="exact"/>
        <w:ind w:firstLine="480" w:firstLineChars="200"/>
        <w:rPr>
          <w:rFonts w:ascii="宋体" w:hAnsi="宋体" w:cs="宋体"/>
          <w:sz w:val="24"/>
        </w:rPr>
      </w:pPr>
      <w:r>
        <w:rPr>
          <w:rFonts w:hint="eastAsia" w:ascii="宋体" w:hAnsi="宋体" w:cs="宋体"/>
          <w:kern w:val="0"/>
          <w:sz w:val="24"/>
        </w:rPr>
        <w:t>评标结果将在中国政府采购网上予以公告。</w:t>
      </w:r>
    </w:p>
    <w:p>
      <w:pPr>
        <w:pStyle w:val="5"/>
        <w:numPr>
          <w:ilvl w:val="1"/>
          <w:numId w:val="5"/>
        </w:numPr>
        <w:ind w:left="155" w:leftChars="74" w:firstLine="178" w:firstLineChars="74"/>
        <w:rPr>
          <w:rFonts w:ascii="宋体" w:hAnsi="宋体" w:cs="宋体"/>
        </w:rPr>
      </w:pPr>
      <w:r>
        <w:rPr>
          <w:rFonts w:hint="eastAsia" w:ascii="宋体" w:hAnsi="宋体" w:cs="宋体"/>
        </w:rPr>
        <w:t>中标通知</w:t>
      </w:r>
      <w:bookmarkEnd w:id="101"/>
      <w:bookmarkEnd w:id="102"/>
      <w:r>
        <w:rPr>
          <w:rFonts w:hint="eastAsia" w:ascii="宋体" w:hAnsi="宋体" w:cs="宋体"/>
        </w:rPr>
        <w:t>书</w:t>
      </w:r>
      <w:bookmarkEnd w:id="103"/>
      <w:bookmarkEnd w:id="104"/>
    </w:p>
    <w:p>
      <w:pPr>
        <w:numPr>
          <w:ilvl w:val="1"/>
          <w:numId w:val="29"/>
        </w:numPr>
        <w:tabs>
          <w:tab w:val="left" w:pos="7665"/>
        </w:tabs>
        <w:spacing w:line="420" w:lineRule="exact"/>
        <w:ind w:firstLine="480" w:firstLineChars="200"/>
        <w:rPr>
          <w:rFonts w:ascii="宋体" w:hAnsi="宋体" w:cs="宋体"/>
          <w:sz w:val="24"/>
        </w:rPr>
      </w:pPr>
      <w:r>
        <w:rPr>
          <w:rFonts w:hint="eastAsia" w:ascii="宋体" w:hAnsi="宋体" w:cs="宋体"/>
          <w:sz w:val="24"/>
        </w:rPr>
        <w:t>中标通知书为签订政府采购合同的依据之一，是合同的有效组成部分。</w:t>
      </w:r>
    </w:p>
    <w:p>
      <w:pPr>
        <w:numPr>
          <w:ilvl w:val="1"/>
          <w:numId w:val="29"/>
        </w:numPr>
        <w:tabs>
          <w:tab w:val="left" w:pos="7665"/>
        </w:tabs>
        <w:spacing w:line="420" w:lineRule="exact"/>
        <w:ind w:firstLine="480" w:firstLineChars="200"/>
        <w:rPr>
          <w:rFonts w:ascii="宋体" w:hAnsi="宋体" w:cs="宋体"/>
          <w:sz w:val="24"/>
        </w:rPr>
      </w:pPr>
      <w:r>
        <w:rPr>
          <w:rFonts w:hint="eastAsia" w:ascii="宋体" w:hAnsi="宋体" w:cs="宋体"/>
          <w:sz w:val="24"/>
        </w:rPr>
        <w:t>投标人中标后，拒绝领取中标通知书的，招标采购单位将于中标供应商确定之日起两个工作日内采取邮寄、快递方式按照投标人投标文件中的地址发出中标通知书。</w:t>
      </w:r>
    </w:p>
    <w:p>
      <w:pPr>
        <w:numPr>
          <w:ilvl w:val="1"/>
          <w:numId w:val="29"/>
        </w:numPr>
        <w:tabs>
          <w:tab w:val="left" w:pos="7665"/>
        </w:tabs>
        <w:spacing w:line="420" w:lineRule="exact"/>
        <w:ind w:firstLine="480" w:firstLineChars="200"/>
        <w:rPr>
          <w:rFonts w:ascii="宋体" w:hAnsi="宋体" w:cs="宋体"/>
          <w:sz w:val="24"/>
        </w:rPr>
      </w:pPr>
      <w:r>
        <w:rPr>
          <w:rFonts w:hint="eastAsia" w:ascii="宋体" w:hAnsi="宋体" w:cs="宋体"/>
          <w:sz w:val="24"/>
        </w:rPr>
        <w:t>中标通知书对采购人和中标人均具有法律效力。中标通知书发出后，采购人改变中标结果，或者中标人无正当理由放弃中标的，应当承担相应的法律责任。</w:t>
      </w:r>
    </w:p>
    <w:p>
      <w:pPr>
        <w:numPr>
          <w:ilvl w:val="1"/>
          <w:numId w:val="29"/>
        </w:numPr>
        <w:tabs>
          <w:tab w:val="left" w:pos="7665"/>
        </w:tabs>
        <w:spacing w:line="420" w:lineRule="exact"/>
        <w:ind w:firstLine="480" w:firstLineChars="200"/>
        <w:rPr>
          <w:rFonts w:ascii="宋体" w:hAnsi="宋体" w:cs="宋体"/>
          <w:sz w:val="24"/>
        </w:rPr>
      </w:pPr>
      <w:r>
        <w:rPr>
          <w:rFonts w:hint="eastAsia" w:ascii="宋体" w:hAnsi="宋体" w:cs="宋体"/>
          <w:sz w:val="24"/>
        </w:rPr>
        <w:t>中标人的投标文件本应作为无效投标处理或者有政府采购法律法规规章制度规定的中标无效情形的，招标采购单位在取得有权主体的认定以后，将宣布发出的中标通知书无效，并收回发出的中标通知书（中标人也应当缴回），依法重新确定中标人或者重新开展采购活动。</w:t>
      </w:r>
    </w:p>
    <w:p>
      <w:pPr>
        <w:numPr>
          <w:ilvl w:val="1"/>
          <w:numId w:val="29"/>
        </w:numPr>
        <w:tabs>
          <w:tab w:val="left" w:pos="7665"/>
        </w:tabs>
        <w:spacing w:line="420" w:lineRule="exact"/>
        <w:ind w:firstLine="480" w:firstLineChars="200"/>
        <w:rPr>
          <w:rFonts w:ascii="宋体" w:hAnsi="宋体" w:cs="宋体"/>
          <w:sz w:val="24"/>
        </w:rPr>
      </w:pPr>
      <w:r>
        <w:rPr>
          <w:rFonts w:hint="eastAsia" w:ascii="宋体" w:hAnsi="宋体" w:cs="宋体"/>
          <w:sz w:val="24"/>
        </w:rPr>
        <w:t>中标公告发出后，中标供应商自行领取中标通知书的，可凭有效身份证明证件到四川中舜招标代理有限公司领取中标通知书。联系人：袁先生，联系电话：028-85217987。</w:t>
      </w:r>
    </w:p>
    <w:p>
      <w:pPr>
        <w:pStyle w:val="4"/>
        <w:spacing w:before="120" w:after="120"/>
        <w:rPr>
          <w:rFonts w:ascii="宋体" w:hAnsi="宋体" w:cs="宋体"/>
        </w:rPr>
      </w:pPr>
      <w:bookmarkStart w:id="105" w:name="_Toc217446064"/>
      <w:bookmarkStart w:id="106" w:name="_Toc308164810"/>
      <w:bookmarkStart w:id="107" w:name="_Toc183582240"/>
      <w:bookmarkStart w:id="108" w:name="_Toc183682377"/>
      <w:r>
        <w:rPr>
          <w:rFonts w:hint="eastAsia" w:ascii="宋体" w:hAnsi="宋体" w:cs="宋体"/>
        </w:rPr>
        <w:t>六、签订及履行合同和验收</w:t>
      </w:r>
      <w:bookmarkEnd w:id="105"/>
      <w:bookmarkEnd w:id="106"/>
    </w:p>
    <w:p>
      <w:pPr>
        <w:pStyle w:val="5"/>
        <w:numPr>
          <w:ilvl w:val="1"/>
          <w:numId w:val="5"/>
        </w:numPr>
        <w:ind w:left="155" w:leftChars="74" w:firstLine="178" w:firstLineChars="74"/>
        <w:rPr>
          <w:rFonts w:ascii="宋体" w:hAnsi="宋体" w:cs="宋体"/>
          <w:b w:val="0"/>
        </w:rPr>
      </w:pPr>
      <w:bookmarkStart w:id="109" w:name="_Toc217446065"/>
      <w:bookmarkStart w:id="110" w:name="_Toc308164811"/>
      <w:r>
        <w:rPr>
          <w:rFonts w:hint="eastAsia" w:ascii="宋体" w:hAnsi="宋体" w:cs="宋体"/>
        </w:rPr>
        <w:t>签订合同</w:t>
      </w:r>
      <w:bookmarkEnd w:id="109"/>
      <w:bookmarkEnd w:id="110"/>
    </w:p>
    <w:p>
      <w:pPr>
        <w:numPr>
          <w:ilvl w:val="1"/>
          <w:numId w:val="30"/>
        </w:numPr>
        <w:tabs>
          <w:tab w:val="left" w:pos="7665"/>
        </w:tabs>
        <w:spacing w:line="420" w:lineRule="exact"/>
        <w:ind w:firstLine="480" w:firstLineChars="200"/>
        <w:rPr>
          <w:rFonts w:ascii="宋体" w:hAnsi="宋体" w:cs="宋体"/>
          <w:sz w:val="24"/>
        </w:rPr>
      </w:pPr>
      <w:r>
        <w:rPr>
          <w:rFonts w:hint="eastAsia" w:ascii="宋体" w:hAnsi="宋体" w:cs="宋体"/>
          <w:sz w:val="24"/>
        </w:rPr>
        <w:t>中标人应在中标通知书发出之日起三十日内与采购人签订采购合同。由于中标人的原因逾期未与采购人签订采购合同的，将视为放弃中标，取消其中标资格并将按相关规定进行处理。</w:t>
      </w:r>
    </w:p>
    <w:p>
      <w:pPr>
        <w:numPr>
          <w:ilvl w:val="1"/>
          <w:numId w:val="30"/>
        </w:numPr>
        <w:tabs>
          <w:tab w:val="left" w:pos="7665"/>
        </w:tabs>
        <w:spacing w:line="420" w:lineRule="exact"/>
        <w:ind w:firstLine="480" w:firstLineChars="200"/>
        <w:rPr>
          <w:rFonts w:ascii="宋体" w:hAnsi="宋体" w:cs="宋体"/>
          <w:sz w:val="24"/>
        </w:rPr>
      </w:pPr>
      <w:r>
        <w:rPr>
          <w:rFonts w:hint="eastAsia" w:ascii="宋体" w:hAnsi="宋体" w:cs="宋体"/>
          <w:sz w:val="24"/>
        </w:rPr>
        <w:t>采购人不得向中标人提出任何不合理的要求，作为签订合同的条件，不得与中标人私下订立背离合同实质性内容的任何协议，所签订的合同不得对招标文件和中标人投标文件确定的事项进行修改。</w:t>
      </w:r>
    </w:p>
    <w:p>
      <w:pPr>
        <w:numPr>
          <w:ilvl w:val="1"/>
          <w:numId w:val="30"/>
        </w:numPr>
        <w:tabs>
          <w:tab w:val="left" w:pos="7665"/>
        </w:tabs>
        <w:spacing w:line="420" w:lineRule="exact"/>
        <w:ind w:firstLine="480" w:firstLineChars="200"/>
        <w:rPr>
          <w:rFonts w:ascii="宋体" w:hAnsi="宋体" w:cs="宋体"/>
          <w:sz w:val="24"/>
        </w:rPr>
      </w:pPr>
      <w:r>
        <w:rPr>
          <w:rFonts w:hint="eastAsia" w:ascii="宋体" w:hAnsi="宋体" w:cs="宋体"/>
          <w:sz w:val="24"/>
        </w:rPr>
        <w:t>中标人因不可抗力原因不能履行采购合同或放弃中标的，采购人可以与排在中标人之后第一位的中标候选人签订采购合同，以此类推。</w:t>
      </w:r>
    </w:p>
    <w:p>
      <w:pPr>
        <w:numPr>
          <w:ilvl w:val="1"/>
          <w:numId w:val="30"/>
        </w:numPr>
        <w:tabs>
          <w:tab w:val="left" w:pos="7665"/>
        </w:tabs>
        <w:spacing w:line="420" w:lineRule="exact"/>
        <w:ind w:firstLine="480" w:firstLineChars="200"/>
        <w:rPr>
          <w:rFonts w:ascii="宋体" w:hAnsi="宋体" w:cs="宋体"/>
          <w:sz w:val="24"/>
        </w:rPr>
      </w:pPr>
      <w:r>
        <w:rPr>
          <w:rFonts w:hint="eastAsia" w:ascii="宋体" w:hAnsi="宋体" w:cs="宋体"/>
          <w:sz w:val="24"/>
        </w:rPr>
        <w:t>中标人在合同签订之后3个工作日内，将签订的合同（一份）送四川中舜招标代理有限公司。联系人：袁先生，联系电话：028-85217987、17311344113。</w:t>
      </w:r>
    </w:p>
    <w:p>
      <w:pPr>
        <w:pStyle w:val="5"/>
        <w:numPr>
          <w:ilvl w:val="1"/>
          <w:numId w:val="5"/>
        </w:numPr>
        <w:ind w:left="155" w:leftChars="74" w:firstLine="178" w:firstLineChars="74"/>
        <w:rPr>
          <w:rFonts w:ascii="宋体" w:hAnsi="宋体" w:cs="宋体"/>
        </w:rPr>
      </w:pPr>
      <w:r>
        <w:rPr>
          <w:rFonts w:hint="eastAsia" w:ascii="宋体" w:hAnsi="宋体" w:cs="宋体"/>
        </w:rPr>
        <w:t>合同分包（实质性要求）</w:t>
      </w:r>
    </w:p>
    <w:p>
      <w:pPr>
        <w:tabs>
          <w:tab w:val="left" w:pos="7665"/>
        </w:tabs>
        <w:spacing w:line="420" w:lineRule="exact"/>
        <w:ind w:left="420" w:leftChars="200"/>
        <w:rPr>
          <w:rFonts w:ascii="宋体" w:hAnsi="宋体" w:cs="宋体"/>
          <w:sz w:val="24"/>
        </w:rPr>
      </w:pPr>
      <w:r>
        <w:rPr>
          <w:rFonts w:hint="eastAsia" w:ascii="宋体" w:hAnsi="宋体" w:cs="宋体"/>
          <w:sz w:val="24"/>
        </w:rPr>
        <w:t>本采购项目严禁中标人将任何政府采购合同进行分包。</w:t>
      </w:r>
    </w:p>
    <w:p>
      <w:pPr>
        <w:pStyle w:val="5"/>
        <w:numPr>
          <w:ilvl w:val="1"/>
          <w:numId w:val="5"/>
        </w:numPr>
        <w:ind w:left="155" w:leftChars="74" w:firstLine="178" w:firstLineChars="74"/>
        <w:rPr>
          <w:rFonts w:ascii="宋体" w:hAnsi="宋体" w:cs="宋体"/>
        </w:rPr>
      </w:pPr>
      <w:r>
        <w:rPr>
          <w:rFonts w:hint="eastAsia" w:ascii="宋体" w:hAnsi="宋体" w:cs="宋体"/>
        </w:rPr>
        <w:t>合同转包（实质性要求）</w:t>
      </w:r>
    </w:p>
    <w:p>
      <w:pPr>
        <w:spacing w:line="420" w:lineRule="exact"/>
        <w:ind w:firstLine="540" w:firstLineChars="225"/>
        <w:rPr>
          <w:rFonts w:ascii="宋体" w:hAnsi="宋体" w:cs="宋体"/>
          <w:sz w:val="24"/>
        </w:rPr>
      </w:pPr>
      <w:r>
        <w:rPr>
          <w:rFonts w:hint="eastAsia" w:ascii="宋体" w:hAnsi="宋体" w:cs="宋体"/>
          <w:sz w:val="24"/>
        </w:rPr>
        <w:t>本采购项目严禁中标人将任何政府采购合同义务转包。本项目所称转包，是指中标人将政府采购合同义务转让给第三人，并退出现有政府采购合同当事人双方的权利义务关系，受让人（即第三人）成为政府采购合同的另一方当事人的行为。</w:t>
      </w:r>
    </w:p>
    <w:p>
      <w:pPr>
        <w:spacing w:line="420" w:lineRule="exact"/>
        <w:ind w:firstLine="540" w:firstLineChars="225"/>
        <w:rPr>
          <w:rFonts w:ascii="宋体" w:hAnsi="宋体" w:cs="宋体"/>
          <w:sz w:val="24"/>
        </w:rPr>
      </w:pPr>
      <w:r>
        <w:rPr>
          <w:rFonts w:hint="eastAsia" w:ascii="宋体" w:hAnsi="宋体" w:cs="宋体"/>
          <w:sz w:val="24"/>
        </w:rPr>
        <w:t>中标人转包的，视同拒绝履行采购合同义务，将依法追究法律责任。</w:t>
      </w:r>
    </w:p>
    <w:p>
      <w:pPr>
        <w:pStyle w:val="5"/>
        <w:numPr>
          <w:ilvl w:val="1"/>
          <w:numId w:val="5"/>
        </w:numPr>
        <w:ind w:left="155" w:leftChars="74" w:firstLine="178" w:firstLineChars="74"/>
        <w:rPr>
          <w:rFonts w:ascii="宋体" w:hAnsi="宋体" w:cs="宋体"/>
        </w:rPr>
      </w:pPr>
      <w:r>
        <w:rPr>
          <w:rFonts w:hint="eastAsia" w:ascii="宋体" w:hAnsi="宋体" w:cs="宋体"/>
        </w:rPr>
        <w:t>补充合同</w:t>
      </w:r>
    </w:p>
    <w:p>
      <w:pPr>
        <w:spacing w:line="420" w:lineRule="exact"/>
        <w:ind w:firstLine="480" w:firstLineChars="200"/>
        <w:rPr>
          <w:rFonts w:ascii="宋体" w:hAnsi="宋体" w:cs="宋体"/>
          <w:sz w:val="24"/>
        </w:rPr>
      </w:pPr>
      <w:r>
        <w:rPr>
          <w:rFonts w:hint="eastAsia" w:ascii="宋体" w:hAnsi="宋体" w:cs="宋体"/>
          <w:sz w:val="24"/>
        </w:rPr>
        <w:t xml:space="preserve">采购合同履行过程中，采购人需要追加与合同标的相同的货物或者服务的，在不改变合同其他条款的前提下，可以与中标供应商协商签订补充合同，但所有补充合同的采购金额不得超过原合同采购金额的百分之十，该补充合同应当在原政府采购合同履行过程中，不得在原政府采购合同履行结束后，且采购货物、工程和服务的名称、价格、履约方式、验收标准等必须与原政府采购合同一致。 </w:t>
      </w:r>
    </w:p>
    <w:p>
      <w:pPr>
        <w:pStyle w:val="5"/>
        <w:numPr>
          <w:ilvl w:val="1"/>
          <w:numId w:val="5"/>
        </w:numPr>
        <w:ind w:left="155" w:leftChars="74" w:firstLine="178" w:firstLineChars="74"/>
        <w:rPr>
          <w:rFonts w:ascii="宋体" w:hAnsi="宋体" w:cs="宋体"/>
          <w:b w:val="0"/>
        </w:rPr>
      </w:pPr>
      <w:bookmarkStart w:id="111" w:name="_Toc308164812"/>
      <w:bookmarkStart w:id="112" w:name="_Toc217446068"/>
      <w:r>
        <w:rPr>
          <w:rFonts w:hint="eastAsia" w:ascii="宋体" w:hAnsi="宋体" w:cs="宋体"/>
        </w:rPr>
        <w:t>履约保证金</w:t>
      </w:r>
      <w:bookmarkEnd w:id="111"/>
      <w:bookmarkEnd w:id="112"/>
    </w:p>
    <w:p>
      <w:pPr>
        <w:tabs>
          <w:tab w:val="left" w:pos="7665"/>
        </w:tabs>
        <w:spacing w:line="420" w:lineRule="exact"/>
        <w:ind w:left="420" w:leftChars="200"/>
        <w:rPr>
          <w:rFonts w:ascii="宋体" w:hAnsi="宋体" w:cs="宋体"/>
          <w:sz w:val="24"/>
        </w:rPr>
      </w:pPr>
      <w:r>
        <w:rPr>
          <w:rFonts w:hint="eastAsia" w:ascii="宋体" w:hAnsi="宋体" w:cs="宋体"/>
          <w:sz w:val="24"/>
        </w:rPr>
        <w:t>34.1 中标人应按照须知前附表规定交纳招标文件规定数额的履约保证。</w:t>
      </w:r>
    </w:p>
    <w:p>
      <w:pPr>
        <w:numPr>
          <w:ilvl w:val="255"/>
          <w:numId w:val="0"/>
        </w:numPr>
        <w:tabs>
          <w:tab w:val="left" w:pos="7665"/>
        </w:tabs>
        <w:spacing w:line="420" w:lineRule="exact"/>
        <w:ind w:firstLine="480" w:firstLineChars="200"/>
        <w:rPr>
          <w:rFonts w:ascii="宋体" w:hAnsi="宋体" w:cs="宋体"/>
          <w:sz w:val="24"/>
        </w:rPr>
      </w:pPr>
      <w:r>
        <w:rPr>
          <w:rFonts w:hint="eastAsia" w:ascii="宋体" w:hAnsi="宋体" w:cs="宋体"/>
          <w:sz w:val="24"/>
        </w:rPr>
        <w:t>34.2 如果中标人在规定的合同签订时间内，没有按照招标文件的规定交纳履约保证金，且又无正当理由的，将视为放弃中标。</w:t>
      </w:r>
    </w:p>
    <w:p>
      <w:pPr>
        <w:pStyle w:val="5"/>
        <w:numPr>
          <w:ilvl w:val="1"/>
          <w:numId w:val="5"/>
        </w:numPr>
        <w:ind w:left="155" w:leftChars="74" w:firstLine="178" w:firstLineChars="74"/>
        <w:rPr>
          <w:rFonts w:ascii="宋体" w:hAnsi="宋体" w:cs="宋体"/>
        </w:rPr>
      </w:pPr>
      <w:bookmarkStart w:id="113" w:name="_Toc217446069"/>
      <w:bookmarkStart w:id="114" w:name="_Toc308164813"/>
      <w:r>
        <w:rPr>
          <w:rFonts w:hint="eastAsia" w:ascii="宋体" w:hAnsi="宋体" w:cs="宋体"/>
        </w:rPr>
        <w:t>履行合同</w:t>
      </w:r>
      <w:bookmarkEnd w:id="113"/>
      <w:bookmarkEnd w:id="114"/>
    </w:p>
    <w:p>
      <w:pPr>
        <w:spacing w:line="420" w:lineRule="exact"/>
        <w:ind w:firstLine="480" w:firstLineChars="200"/>
        <w:rPr>
          <w:rFonts w:ascii="宋体" w:hAnsi="宋体" w:cs="宋体"/>
          <w:sz w:val="24"/>
        </w:rPr>
      </w:pPr>
      <w:r>
        <w:rPr>
          <w:rFonts w:hint="eastAsia" w:ascii="宋体" w:hAnsi="宋体" w:cs="宋体"/>
          <w:sz w:val="24"/>
        </w:rPr>
        <w:t>35.1中标人与采购人签订合同后，合同双方应严格执行合同条款，履行合同规定的义务，保证合同的顺利完成。</w:t>
      </w:r>
    </w:p>
    <w:p>
      <w:pPr>
        <w:spacing w:line="420" w:lineRule="exact"/>
        <w:ind w:firstLine="480" w:firstLineChars="200"/>
        <w:rPr>
          <w:rFonts w:ascii="宋体" w:hAnsi="宋体" w:cs="宋体"/>
          <w:sz w:val="24"/>
        </w:rPr>
      </w:pPr>
      <w:r>
        <w:rPr>
          <w:rFonts w:hint="eastAsia" w:ascii="宋体" w:hAnsi="宋体" w:cs="宋体"/>
          <w:sz w:val="24"/>
        </w:rPr>
        <w:t>35.1在合同履行过程中，如发生合同纠纷，合同双方应按照《民法典》的有关规定进行处理。</w:t>
      </w:r>
    </w:p>
    <w:p>
      <w:pPr>
        <w:pStyle w:val="5"/>
        <w:numPr>
          <w:ilvl w:val="1"/>
          <w:numId w:val="5"/>
        </w:numPr>
        <w:ind w:left="155" w:leftChars="74" w:firstLine="178" w:firstLineChars="74"/>
        <w:rPr>
          <w:rFonts w:ascii="宋体" w:hAnsi="宋体" w:cs="宋体"/>
        </w:rPr>
      </w:pPr>
      <w:bookmarkStart w:id="115" w:name="_Toc308164814"/>
      <w:bookmarkStart w:id="116" w:name="_Toc217446070"/>
      <w:r>
        <w:rPr>
          <w:rFonts w:hint="eastAsia" w:ascii="宋体" w:hAnsi="宋体" w:cs="宋体"/>
        </w:rPr>
        <w:t>验收</w:t>
      </w:r>
      <w:bookmarkEnd w:id="115"/>
      <w:bookmarkEnd w:id="116"/>
    </w:p>
    <w:p>
      <w:pPr>
        <w:tabs>
          <w:tab w:val="left" w:pos="7665"/>
        </w:tabs>
        <w:spacing w:line="420" w:lineRule="exact"/>
        <w:ind w:firstLine="480" w:firstLineChars="200"/>
        <w:rPr>
          <w:rFonts w:ascii="宋体" w:hAnsi="宋体" w:cs="宋体"/>
          <w:sz w:val="24"/>
        </w:rPr>
      </w:pPr>
      <w:bookmarkStart w:id="117" w:name="_Toc217446071"/>
      <w:r>
        <w:rPr>
          <w:rFonts w:hint="eastAsia" w:ascii="宋体" w:hAnsi="宋体" w:cs="宋体"/>
          <w:sz w:val="24"/>
        </w:rPr>
        <w:t>本项目采购人及其委托的采购代理机构将严格按照本项目招标文件、中标人投标文件的要求进行验收。</w:t>
      </w:r>
    </w:p>
    <w:p>
      <w:pPr>
        <w:pStyle w:val="5"/>
        <w:numPr>
          <w:ilvl w:val="1"/>
          <w:numId w:val="5"/>
        </w:numPr>
        <w:ind w:left="155" w:leftChars="74" w:firstLine="178" w:firstLineChars="74"/>
        <w:rPr>
          <w:rFonts w:ascii="宋体" w:hAnsi="宋体" w:cs="宋体"/>
        </w:rPr>
      </w:pPr>
      <w:bookmarkStart w:id="118" w:name="_Toc308164818"/>
      <w:bookmarkStart w:id="119" w:name="_Toc217446077"/>
      <w:r>
        <w:rPr>
          <w:rFonts w:hint="eastAsia" w:ascii="宋体" w:hAnsi="宋体" w:cs="宋体"/>
        </w:rPr>
        <w:t>资金支付</w:t>
      </w:r>
      <w:bookmarkEnd w:id="118"/>
      <w:bookmarkEnd w:id="119"/>
    </w:p>
    <w:p>
      <w:pPr>
        <w:spacing w:line="420" w:lineRule="exact"/>
        <w:ind w:firstLine="480" w:firstLineChars="200"/>
        <w:rPr>
          <w:rFonts w:ascii="宋体" w:hAnsi="宋体" w:cs="宋体"/>
          <w:bCs/>
          <w:sz w:val="24"/>
        </w:rPr>
      </w:pPr>
      <w:r>
        <w:rPr>
          <w:rFonts w:hint="eastAsia" w:ascii="宋体" w:hAnsi="宋体" w:cs="宋体"/>
          <w:bCs/>
          <w:sz w:val="24"/>
        </w:rPr>
        <w:t>采购人将按照采购合同规定，及时向中标供应商支付采购资金。本项目采购资金支付程序：</w:t>
      </w:r>
      <w:r>
        <w:rPr>
          <w:rFonts w:ascii="宋体" w:hAnsi="宋体" w:cs="宋体"/>
          <w:bCs/>
          <w:sz w:val="24"/>
        </w:rPr>
        <w:t>详见第六章</w:t>
      </w:r>
      <w:r>
        <w:rPr>
          <w:rFonts w:hint="eastAsia" w:ascii="宋体" w:hAnsi="宋体" w:cs="宋体"/>
          <w:bCs/>
          <w:sz w:val="24"/>
        </w:rPr>
        <w:t>。</w:t>
      </w:r>
    </w:p>
    <w:bookmarkEnd w:id="107"/>
    <w:bookmarkEnd w:id="108"/>
    <w:bookmarkEnd w:id="117"/>
    <w:p>
      <w:pPr>
        <w:pStyle w:val="4"/>
        <w:spacing w:before="120" w:after="120"/>
        <w:rPr>
          <w:rFonts w:ascii="宋体" w:hAnsi="宋体" w:cs="宋体"/>
        </w:rPr>
      </w:pPr>
      <w:bookmarkStart w:id="120" w:name="_Toc308164815"/>
      <w:bookmarkStart w:id="121" w:name="_Toc217446074"/>
      <w:bookmarkStart w:id="122" w:name="_Toc183582243"/>
      <w:bookmarkStart w:id="123" w:name="_Toc183682380"/>
    </w:p>
    <w:p>
      <w:pPr>
        <w:pStyle w:val="4"/>
        <w:spacing w:before="120" w:after="120"/>
        <w:rPr>
          <w:rFonts w:ascii="宋体" w:hAnsi="宋体" w:cs="宋体"/>
        </w:rPr>
      </w:pPr>
      <w:r>
        <w:rPr>
          <w:rFonts w:hint="eastAsia" w:ascii="宋体" w:hAnsi="宋体" w:cs="宋体"/>
        </w:rPr>
        <w:t>七、投标纪律要求</w:t>
      </w:r>
      <w:bookmarkEnd w:id="120"/>
      <w:bookmarkEnd w:id="121"/>
    </w:p>
    <w:p>
      <w:pPr>
        <w:pStyle w:val="5"/>
        <w:numPr>
          <w:ilvl w:val="1"/>
          <w:numId w:val="5"/>
        </w:numPr>
        <w:ind w:left="155" w:leftChars="74" w:firstLine="178" w:firstLineChars="74"/>
        <w:rPr>
          <w:rFonts w:ascii="宋体" w:hAnsi="宋体" w:cs="宋体"/>
        </w:rPr>
      </w:pPr>
      <w:bookmarkStart w:id="124" w:name="_Toc308164816"/>
      <w:bookmarkStart w:id="125" w:name="_Toc217446075"/>
      <w:r>
        <w:rPr>
          <w:rFonts w:hint="eastAsia" w:ascii="宋体" w:hAnsi="宋体" w:cs="宋体"/>
        </w:rPr>
        <w:t>投标人不得具有的情形</w:t>
      </w:r>
      <w:bookmarkEnd w:id="124"/>
      <w:bookmarkEnd w:id="125"/>
      <w:r>
        <w:rPr>
          <w:rFonts w:hint="eastAsia" w:ascii="宋体" w:hAnsi="宋体" w:cs="宋体"/>
        </w:rPr>
        <w:t>（实质性要求）</w:t>
      </w:r>
    </w:p>
    <w:p>
      <w:pPr>
        <w:ind w:firstLine="480" w:firstLineChars="200"/>
        <w:rPr>
          <w:sz w:val="24"/>
        </w:rPr>
      </w:pPr>
      <w:r>
        <w:rPr>
          <w:rFonts w:hint="eastAsia"/>
          <w:sz w:val="24"/>
        </w:rPr>
        <w:t>投标人参加本项目投标不得有下列情形：</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提供虚假材料谋取中标；</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采取不正当手段诋毁、排挤其他投标人；</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与招标采购单位、其他投标人恶意串通；</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向招标采购单位、评标委员会成员行贿或者提供其他不正当利益；</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在招标过程中与招标采购单位进行协商谈判；</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中标或者成交后无正当理由拒不与采购人签订政府采购合同；</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未按照采购文件确定的事项签订政府采购合同；</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将政府采购合同转包或者违规分包；</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提供假冒伪劣产品；</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擅自变更、中止或者终止政府采购合同；</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拒绝有关部门的监督检查或者向监督检查部门提供虚假情况；</w:t>
      </w:r>
    </w:p>
    <w:p>
      <w:pPr>
        <w:numPr>
          <w:ilvl w:val="0"/>
          <w:numId w:val="31"/>
        </w:numPr>
        <w:spacing w:line="420" w:lineRule="exact"/>
        <w:ind w:left="0" w:firstLine="480" w:firstLineChars="200"/>
        <w:rPr>
          <w:rFonts w:ascii="宋体" w:hAnsi="宋体" w:cs="宋体"/>
          <w:sz w:val="24"/>
        </w:rPr>
      </w:pPr>
      <w:r>
        <w:rPr>
          <w:rFonts w:hint="eastAsia" w:ascii="宋体" w:hAnsi="宋体" w:cs="宋体"/>
          <w:sz w:val="24"/>
        </w:rPr>
        <w:t>法律法规规定的其他情形。</w:t>
      </w:r>
    </w:p>
    <w:p>
      <w:pPr>
        <w:spacing w:line="420" w:lineRule="exact"/>
        <w:ind w:firstLine="480" w:firstLineChars="200"/>
        <w:rPr>
          <w:rFonts w:ascii="宋体" w:hAnsi="宋体" w:cs="宋体"/>
          <w:sz w:val="24"/>
        </w:rPr>
      </w:pPr>
      <w:r>
        <w:rPr>
          <w:rFonts w:hint="eastAsia" w:ascii="宋体" w:hAnsi="宋体" w:cs="宋体"/>
          <w:sz w:val="24"/>
        </w:rPr>
        <w:t>投标人有上述情形的，按照规定追究法律责任，具备（1）-（10）条情形之一的，同时将取消中标资格或者认定中标无效。</w:t>
      </w:r>
    </w:p>
    <w:p>
      <w:pPr>
        <w:pStyle w:val="4"/>
        <w:spacing w:before="120" w:after="120"/>
        <w:rPr>
          <w:rFonts w:ascii="宋体" w:hAnsi="宋体" w:cs="宋体"/>
        </w:rPr>
      </w:pPr>
      <w:bookmarkStart w:id="126" w:name="_Toc308164819"/>
      <w:bookmarkStart w:id="127" w:name="_Toc217446078"/>
      <w:r>
        <w:rPr>
          <w:rFonts w:hint="eastAsia" w:ascii="宋体" w:hAnsi="宋体" w:cs="宋体"/>
        </w:rPr>
        <w:t>八、询问、质疑和投诉</w:t>
      </w:r>
      <w:bookmarkEnd w:id="126"/>
      <w:bookmarkEnd w:id="127"/>
      <w:bookmarkStart w:id="128" w:name="_Toc217446079"/>
    </w:p>
    <w:bookmarkEnd w:id="122"/>
    <w:bookmarkEnd w:id="123"/>
    <w:bookmarkEnd w:id="128"/>
    <w:p>
      <w:pPr>
        <w:pStyle w:val="5"/>
        <w:numPr>
          <w:ilvl w:val="1"/>
          <w:numId w:val="5"/>
        </w:numPr>
        <w:ind w:left="155" w:leftChars="74" w:firstLine="178" w:firstLineChars="74"/>
        <w:rPr>
          <w:rFonts w:ascii="宋体" w:hAnsi="宋体" w:cs="宋体"/>
        </w:rPr>
      </w:pPr>
      <w:r>
        <w:rPr>
          <w:rFonts w:hint="eastAsia" w:ascii="宋体" w:hAnsi="宋体" w:cs="宋体"/>
        </w:rPr>
        <w:t>询问、质疑、投诉的接收和处理严格按照《中华人民共和国政府采购法》、《中华人民共和国政府采购法实施条例》、《政府采购货物和服务招标投标管理办法》、《政府采购质疑和投诉办法》、《财政部关于加强政府采购供应商投诉受理审查工作的通知》的规定办理。</w:t>
      </w:r>
    </w:p>
    <w:p>
      <w:pPr>
        <w:pStyle w:val="4"/>
        <w:spacing w:before="120" w:after="120"/>
        <w:rPr>
          <w:rFonts w:ascii="宋体" w:hAnsi="宋体" w:cs="宋体"/>
        </w:rPr>
      </w:pPr>
      <w:r>
        <w:rPr>
          <w:rFonts w:hint="eastAsia" w:ascii="宋体" w:hAnsi="宋体" w:cs="宋体"/>
        </w:rPr>
        <w:t>九、其他</w:t>
      </w:r>
    </w:p>
    <w:p>
      <w:pPr>
        <w:pStyle w:val="5"/>
        <w:numPr>
          <w:ilvl w:val="1"/>
          <w:numId w:val="5"/>
        </w:numPr>
        <w:ind w:left="155" w:leftChars="74" w:firstLine="178" w:firstLineChars="74"/>
        <w:rPr>
          <w:rFonts w:ascii="宋体" w:hAnsi="宋体" w:cs="宋体"/>
        </w:rPr>
      </w:pPr>
      <w:r>
        <w:rPr>
          <w:rFonts w:hint="eastAsia" w:ascii="宋体" w:hAnsi="宋体" w:cs="宋体"/>
        </w:rPr>
        <w:t>本招标文件中所引相关法律制度规定，在采购中有变化的，按照变化后的相关法律制度规定执行。本章和第七章中“1.总则、2.评标方法、3.评标程序”规定的内容条款，在本项目投标截止时间届满后，因相关法律制度规定的变化导致不符合相关法律制度规定的，直接按照变化后的相关法律制度规定执行，本招标文件不再做调整。</w:t>
      </w:r>
    </w:p>
    <w:p>
      <w:pPr>
        <w:widowControl/>
        <w:spacing w:line="420" w:lineRule="exact"/>
        <w:jc w:val="center"/>
        <w:outlineLvl w:val="1"/>
        <w:rPr>
          <w:rFonts w:ascii="宋体" w:hAnsi="宋体" w:cs="宋体"/>
          <w:b/>
          <w:sz w:val="24"/>
        </w:rPr>
      </w:pPr>
      <w:bookmarkStart w:id="129" w:name="_Toc217446083"/>
    </w:p>
    <w:p>
      <w:pPr>
        <w:pStyle w:val="3"/>
        <w:rPr>
          <w:rFonts w:ascii="宋体" w:hAnsi="宋体" w:cs="宋体"/>
        </w:rPr>
      </w:pPr>
      <w:r>
        <w:rPr>
          <w:rFonts w:hint="eastAsia" w:ascii="宋体" w:hAnsi="宋体" w:cs="宋体"/>
        </w:rPr>
        <w:br w:type="page"/>
      </w:r>
      <w:bookmarkEnd w:id="129"/>
      <w:bookmarkStart w:id="130" w:name="_Toc496105995"/>
      <w:bookmarkStart w:id="131" w:name="_Toc26360_WPSOffice_Level1"/>
      <w:r>
        <w:rPr>
          <w:rFonts w:hint="eastAsia" w:ascii="宋体" w:hAnsi="宋体" w:cs="宋体"/>
        </w:rPr>
        <w:t>第三章 投标文件格式</w:t>
      </w:r>
      <w:bookmarkEnd w:id="130"/>
      <w:bookmarkEnd w:id="131"/>
      <w:bookmarkStart w:id="132" w:name="_Toc217446082"/>
      <w:bookmarkStart w:id="133" w:name="_Toc308164821"/>
    </w:p>
    <w:p>
      <w:pPr>
        <w:widowControl/>
        <w:spacing w:line="420" w:lineRule="exact"/>
        <w:jc w:val="center"/>
        <w:outlineLvl w:val="1"/>
        <w:rPr>
          <w:rFonts w:ascii="宋体" w:hAnsi="宋体" w:cs="宋体"/>
          <w:b/>
          <w:sz w:val="24"/>
        </w:rPr>
      </w:pPr>
    </w:p>
    <w:p>
      <w:pPr>
        <w:widowControl/>
        <w:numPr>
          <w:ilvl w:val="2"/>
          <w:numId w:val="32"/>
        </w:numPr>
        <w:spacing w:line="420" w:lineRule="exact"/>
        <w:ind w:left="0" w:firstLine="482" w:firstLineChars="200"/>
        <w:outlineLvl w:val="1"/>
        <w:rPr>
          <w:rFonts w:ascii="宋体" w:hAnsi="宋体" w:cs="宋体"/>
          <w:b/>
          <w:sz w:val="24"/>
        </w:rPr>
      </w:pPr>
      <w:r>
        <w:rPr>
          <w:rFonts w:hint="eastAsia" w:ascii="宋体" w:hAnsi="宋体" w:cs="宋体"/>
          <w:b/>
          <w:sz w:val="24"/>
        </w:rPr>
        <w:t>投标文件的资格性审查材料和其他材料应分册装订。投标人须将用于资格性审查的材料集中编制入投标文件（资格性审查材料）册，否则在进行资格性审查时不予认可。</w:t>
      </w:r>
    </w:p>
    <w:p>
      <w:pPr>
        <w:widowControl/>
        <w:numPr>
          <w:ilvl w:val="2"/>
          <w:numId w:val="32"/>
        </w:numPr>
        <w:spacing w:line="420" w:lineRule="exact"/>
        <w:ind w:left="0" w:firstLine="480" w:firstLineChars="200"/>
        <w:outlineLvl w:val="1"/>
        <w:rPr>
          <w:rFonts w:ascii="宋体" w:hAnsi="宋体" w:cs="宋体"/>
          <w:sz w:val="24"/>
        </w:rPr>
      </w:pPr>
      <w:r>
        <w:rPr>
          <w:rFonts w:hint="eastAsia" w:ascii="宋体" w:hAnsi="宋体" w:cs="宋体"/>
          <w:sz w:val="24"/>
        </w:rPr>
        <w:t>本章所制投标文件格式，除格式中明确将该格式作为实质性要求的，一律不具有强制性。</w:t>
      </w:r>
    </w:p>
    <w:p>
      <w:pPr>
        <w:widowControl/>
        <w:numPr>
          <w:ilvl w:val="2"/>
          <w:numId w:val="32"/>
        </w:numPr>
        <w:spacing w:line="420" w:lineRule="exact"/>
        <w:ind w:left="0" w:firstLine="480" w:firstLineChars="200"/>
        <w:outlineLvl w:val="1"/>
        <w:rPr>
          <w:rFonts w:ascii="宋体" w:hAnsi="宋体" w:cs="宋体"/>
          <w:sz w:val="24"/>
        </w:rPr>
      </w:pPr>
      <w:r>
        <w:rPr>
          <w:rFonts w:hint="eastAsia" w:ascii="宋体" w:hAnsi="宋体" w:cs="宋体"/>
          <w:sz w:val="24"/>
        </w:rPr>
        <w:t>本章所制投标文件格式有关表格中的备注栏，由投标人根据自身投标情况作解释性说明，不作为必填项。</w:t>
      </w:r>
    </w:p>
    <w:p>
      <w:pPr>
        <w:widowControl/>
        <w:numPr>
          <w:ilvl w:val="2"/>
          <w:numId w:val="32"/>
        </w:numPr>
        <w:spacing w:line="420" w:lineRule="exact"/>
        <w:ind w:left="0" w:firstLine="480" w:firstLineChars="200"/>
        <w:outlineLvl w:val="1"/>
        <w:rPr>
          <w:rFonts w:ascii="宋体" w:hAnsi="宋体" w:cs="宋体"/>
          <w:sz w:val="24"/>
        </w:rPr>
      </w:pPr>
      <w:r>
        <w:rPr>
          <w:rFonts w:hint="eastAsia" w:ascii="宋体" w:hAnsi="宋体" w:cs="宋体"/>
          <w:sz w:val="24"/>
        </w:rPr>
        <w:t>本章所制投标文件格式中需要填写的相关内容事项，可能会与本采购项目无关，在不改变投标文件原义、不影响本项目采购需求的情况下，投标人可以不予填写。</w:t>
      </w:r>
    </w:p>
    <w:p>
      <w:pPr>
        <w:widowControl/>
        <w:numPr>
          <w:ilvl w:val="2"/>
          <w:numId w:val="32"/>
        </w:numPr>
        <w:spacing w:line="420" w:lineRule="exact"/>
        <w:ind w:left="0" w:firstLine="480" w:firstLineChars="200"/>
        <w:outlineLvl w:val="1"/>
        <w:rPr>
          <w:rFonts w:ascii="宋体" w:hAnsi="宋体" w:cs="宋体"/>
          <w:sz w:val="24"/>
        </w:rPr>
      </w:pPr>
      <w:r>
        <w:rPr>
          <w:rFonts w:hint="eastAsia" w:ascii="宋体" w:hAnsi="宋体" w:cs="宋体"/>
          <w:sz w:val="24"/>
        </w:rPr>
        <w:t>本章所制投标文件格式中“注”的部分，投标人在编制投标文件时可以删除，也可以保留。</w:t>
      </w:r>
    </w:p>
    <w:p>
      <w:pPr>
        <w:widowControl/>
        <w:numPr>
          <w:ilvl w:val="2"/>
          <w:numId w:val="32"/>
        </w:numPr>
        <w:spacing w:line="420" w:lineRule="exact"/>
        <w:ind w:left="0" w:firstLine="480" w:firstLineChars="200"/>
        <w:outlineLvl w:val="1"/>
        <w:rPr>
          <w:rFonts w:ascii="宋体" w:hAnsi="宋体" w:cs="宋体"/>
          <w:sz w:val="24"/>
        </w:rPr>
      </w:pPr>
      <w:r>
        <w:rPr>
          <w:rFonts w:hint="eastAsia" w:ascii="宋体" w:hAnsi="宋体" w:cs="宋体"/>
          <w:sz w:val="24"/>
        </w:rPr>
        <w:t>本章所制投标文件格式中涉及“法定代表人”的描述，在非法人机构参与投标情况下可修改为“负责人”，在自然人参与投标情况下可修改为“本人”。</w:t>
      </w:r>
    </w:p>
    <w:p>
      <w:pPr>
        <w:jc w:val="right"/>
        <w:rPr>
          <w:rFonts w:ascii="宋体" w:hAnsi="宋体" w:cs="宋体"/>
          <w:sz w:val="32"/>
          <w:szCs w:val="32"/>
        </w:rPr>
      </w:pPr>
      <w:r>
        <w:rPr>
          <w:rFonts w:hint="eastAsia" w:ascii="宋体" w:hAnsi="宋体" w:cs="宋体"/>
        </w:rPr>
        <w:br w:type="page"/>
      </w:r>
      <w:r>
        <w:rPr>
          <w:rFonts w:hint="eastAsia" w:ascii="宋体" w:hAnsi="宋体" w:cs="宋体"/>
          <w:sz w:val="32"/>
          <w:szCs w:val="32"/>
        </w:rPr>
        <w:t>正本/副本</w:t>
      </w:r>
    </w:p>
    <w:p>
      <w:pPr>
        <w:rPr>
          <w:rFonts w:ascii="宋体" w:hAnsi="宋体" w:cs="宋体"/>
          <w:sz w:val="32"/>
          <w:szCs w:val="32"/>
        </w:rPr>
      </w:pPr>
    </w:p>
    <w:p>
      <w:pPr>
        <w:spacing w:line="360" w:lineRule="auto"/>
        <w:jc w:val="center"/>
        <w:rPr>
          <w:rFonts w:ascii="宋体" w:hAnsi="宋体" w:cs="宋体"/>
          <w:sz w:val="32"/>
          <w:szCs w:val="32"/>
        </w:rPr>
      </w:pPr>
      <w:r>
        <w:rPr>
          <w:rFonts w:hint="eastAsia" w:ascii="宋体" w:hAnsi="宋体" w:cs="宋体"/>
          <w:sz w:val="32"/>
          <w:szCs w:val="32"/>
        </w:rPr>
        <w:t>（项目名称）</w:t>
      </w:r>
    </w:p>
    <w:p>
      <w:pPr>
        <w:spacing w:line="360" w:lineRule="auto"/>
        <w:jc w:val="center"/>
        <w:rPr>
          <w:rFonts w:ascii="宋体" w:hAnsi="宋体" w:cs="宋体"/>
          <w:sz w:val="32"/>
          <w:szCs w:val="32"/>
        </w:rPr>
      </w:pPr>
      <w:r>
        <w:rPr>
          <w:rFonts w:hint="eastAsia" w:ascii="宋体" w:hAnsi="宋体" w:cs="宋体"/>
          <w:sz w:val="32"/>
          <w:szCs w:val="32"/>
        </w:rPr>
        <w:t>（招标编号：</w:t>
      </w:r>
      <w:r>
        <w:rPr>
          <w:rFonts w:hint="eastAsia" w:ascii="宋体" w:hAnsi="宋体" w:cs="宋体"/>
          <w:sz w:val="32"/>
          <w:szCs w:val="32"/>
          <w:u w:val="single"/>
        </w:rPr>
        <w:t xml:space="preserve">                 </w:t>
      </w:r>
      <w:r>
        <w:rPr>
          <w:rFonts w:hint="eastAsia" w:ascii="宋体" w:hAnsi="宋体" w:cs="宋体"/>
          <w:sz w:val="32"/>
          <w:szCs w:val="32"/>
        </w:rPr>
        <w:t>）</w:t>
      </w:r>
    </w:p>
    <w:p>
      <w:pPr>
        <w:jc w:val="center"/>
        <w:rPr>
          <w:rFonts w:ascii="宋体" w:hAnsi="宋体" w:cs="宋体"/>
          <w:b/>
          <w:bCs/>
          <w:sz w:val="32"/>
          <w:szCs w:val="32"/>
        </w:rPr>
      </w:pPr>
      <w:r>
        <w:rPr>
          <w:rFonts w:hint="eastAsia" w:ascii="宋体" w:hAnsi="宋体" w:cs="宋体"/>
          <w:b/>
          <w:bCs/>
          <w:sz w:val="32"/>
          <w:szCs w:val="32"/>
        </w:rPr>
        <w:t>第</w:t>
      </w:r>
      <w:r>
        <w:rPr>
          <w:rFonts w:hint="eastAsia" w:ascii="宋体" w:hAnsi="宋体" w:cs="宋体"/>
          <w:b/>
          <w:bCs/>
          <w:sz w:val="32"/>
          <w:szCs w:val="32"/>
          <w:u w:val="single"/>
        </w:rPr>
        <w:t xml:space="preserve">    </w:t>
      </w:r>
      <w:r>
        <w:rPr>
          <w:rFonts w:hint="eastAsia" w:ascii="宋体" w:hAnsi="宋体" w:cs="宋体"/>
          <w:b/>
          <w:bCs/>
          <w:sz w:val="32"/>
          <w:szCs w:val="32"/>
        </w:rPr>
        <w:t>包</w:t>
      </w:r>
    </w:p>
    <w:p>
      <w:pPr>
        <w:pStyle w:val="9"/>
      </w:pPr>
    </w:p>
    <w:p>
      <w:pPr>
        <w:spacing w:line="360" w:lineRule="auto"/>
        <w:jc w:val="center"/>
        <w:rPr>
          <w:rFonts w:ascii="宋体" w:hAnsi="宋体" w:cs="宋体"/>
          <w:sz w:val="84"/>
          <w:szCs w:val="84"/>
        </w:rPr>
      </w:pPr>
      <w:r>
        <w:rPr>
          <w:rFonts w:hint="eastAsia" w:ascii="宋体" w:hAnsi="宋体" w:cs="宋体"/>
          <w:sz w:val="84"/>
          <w:szCs w:val="84"/>
        </w:rPr>
        <w:t>投</w:t>
      </w:r>
    </w:p>
    <w:p>
      <w:pPr>
        <w:spacing w:line="360" w:lineRule="auto"/>
        <w:jc w:val="center"/>
        <w:rPr>
          <w:rFonts w:ascii="宋体" w:hAnsi="宋体" w:cs="宋体"/>
          <w:sz w:val="84"/>
          <w:szCs w:val="84"/>
        </w:rPr>
      </w:pPr>
      <w:r>
        <w:rPr>
          <w:rFonts w:hint="eastAsia" w:ascii="宋体" w:hAnsi="宋体" w:cs="宋体"/>
          <w:sz w:val="84"/>
          <w:szCs w:val="84"/>
        </w:rPr>
        <w:t>标</w:t>
      </w:r>
    </w:p>
    <w:p>
      <w:pPr>
        <w:spacing w:line="360" w:lineRule="auto"/>
        <w:jc w:val="center"/>
        <w:rPr>
          <w:rFonts w:ascii="宋体" w:hAnsi="宋体" w:cs="宋体"/>
          <w:sz w:val="84"/>
          <w:szCs w:val="84"/>
        </w:rPr>
      </w:pPr>
      <w:r>
        <w:rPr>
          <w:rFonts w:hint="eastAsia" w:ascii="宋体" w:hAnsi="宋体" w:cs="宋体"/>
          <w:sz w:val="84"/>
          <w:szCs w:val="84"/>
        </w:rPr>
        <w:t>文</w:t>
      </w:r>
    </w:p>
    <w:p>
      <w:pPr>
        <w:spacing w:line="360" w:lineRule="auto"/>
        <w:jc w:val="center"/>
        <w:rPr>
          <w:rFonts w:ascii="宋体" w:hAnsi="宋体" w:cs="宋体"/>
          <w:sz w:val="84"/>
          <w:szCs w:val="84"/>
        </w:rPr>
      </w:pPr>
      <w:r>
        <w:rPr>
          <w:rFonts w:hint="eastAsia" w:ascii="宋体" w:hAnsi="宋体" w:cs="宋体"/>
          <w:sz w:val="84"/>
          <w:szCs w:val="84"/>
        </w:rPr>
        <w:t>件</w:t>
      </w:r>
    </w:p>
    <w:p>
      <w:pPr>
        <w:spacing w:line="360" w:lineRule="auto"/>
        <w:jc w:val="center"/>
        <w:rPr>
          <w:rFonts w:ascii="宋体" w:hAnsi="宋体" w:cs="宋体"/>
          <w:sz w:val="44"/>
          <w:szCs w:val="44"/>
        </w:rPr>
      </w:pPr>
      <w:r>
        <w:rPr>
          <w:rFonts w:hint="eastAsia" w:ascii="宋体" w:hAnsi="宋体" w:cs="宋体"/>
          <w:sz w:val="44"/>
          <w:szCs w:val="44"/>
        </w:rPr>
        <w:t>（资格性审查材料）</w:t>
      </w:r>
    </w:p>
    <w:p>
      <w:pPr>
        <w:spacing w:line="360" w:lineRule="auto"/>
        <w:jc w:val="center"/>
        <w:rPr>
          <w:rFonts w:ascii="宋体" w:hAnsi="宋体" w:cs="宋体"/>
          <w:sz w:val="32"/>
          <w:szCs w:val="32"/>
        </w:rPr>
      </w:pPr>
    </w:p>
    <w:p>
      <w:pPr>
        <w:spacing w:line="360" w:lineRule="auto"/>
        <w:jc w:val="center"/>
        <w:rPr>
          <w:rFonts w:ascii="宋体" w:hAnsi="宋体" w:cs="宋体"/>
          <w:sz w:val="32"/>
          <w:szCs w:val="32"/>
        </w:rPr>
      </w:pPr>
      <w:r>
        <w:rPr>
          <w:rFonts w:hint="eastAsia" w:ascii="宋体" w:hAnsi="宋体" w:cs="宋体"/>
          <w:sz w:val="32"/>
          <w:szCs w:val="32"/>
        </w:rPr>
        <w:t>投标人名称：</w:t>
      </w:r>
    </w:p>
    <w:p>
      <w:pPr>
        <w:spacing w:line="360" w:lineRule="auto"/>
        <w:jc w:val="center"/>
        <w:rPr>
          <w:rFonts w:ascii="宋体" w:hAnsi="宋体" w:cs="宋体"/>
          <w:sz w:val="32"/>
          <w:szCs w:val="32"/>
        </w:rPr>
      </w:pPr>
      <w:r>
        <w:rPr>
          <w:rFonts w:hint="eastAsia" w:ascii="宋体" w:hAnsi="宋体" w:cs="宋体"/>
          <w:sz w:val="32"/>
          <w:szCs w:val="32"/>
        </w:rPr>
        <w:t>投标日期：</w:t>
      </w:r>
    </w:p>
    <w:p>
      <w:pPr>
        <w:spacing w:line="360" w:lineRule="auto"/>
        <w:jc w:val="center"/>
        <w:rPr>
          <w:rFonts w:ascii="宋体" w:hAnsi="宋体" w:cs="宋体"/>
          <w:sz w:val="32"/>
          <w:szCs w:val="32"/>
        </w:rPr>
      </w:pPr>
      <w:r>
        <w:rPr>
          <w:rFonts w:hint="eastAsia" w:ascii="宋体" w:hAnsi="宋体" w:cs="宋体"/>
          <w:sz w:val="32"/>
          <w:szCs w:val="32"/>
        </w:rPr>
        <w:br w:type="page"/>
      </w:r>
      <w:r>
        <w:rPr>
          <w:rFonts w:hint="eastAsia" w:ascii="宋体" w:hAnsi="宋体" w:cs="宋体"/>
          <w:sz w:val="32"/>
          <w:szCs w:val="32"/>
        </w:rPr>
        <w:t>目录</w:t>
      </w:r>
    </w:p>
    <w:p>
      <w:pPr>
        <w:spacing w:line="360" w:lineRule="auto"/>
        <w:jc w:val="center"/>
        <w:rPr>
          <w:rFonts w:ascii="宋体" w:hAnsi="宋体" w:cs="宋体"/>
          <w:sz w:val="32"/>
          <w:szCs w:val="32"/>
        </w:rPr>
      </w:pPr>
      <w:r>
        <w:rPr>
          <w:rFonts w:hint="eastAsia" w:ascii="宋体" w:hAnsi="宋体" w:cs="宋体"/>
          <w:sz w:val="32"/>
          <w:szCs w:val="32"/>
        </w:rPr>
        <w:t>（自拟）</w:t>
      </w:r>
    </w:p>
    <w:p>
      <w:pPr>
        <w:spacing w:line="360" w:lineRule="auto"/>
        <w:jc w:val="center"/>
        <w:rPr>
          <w:rFonts w:ascii="宋体" w:hAnsi="宋体" w:cs="宋体"/>
          <w:b/>
          <w:sz w:val="24"/>
        </w:rPr>
      </w:pPr>
      <w:r>
        <w:rPr>
          <w:rFonts w:hint="eastAsia" w:ascii="宋体" w:hAnsi="宋体" w:cs="宋体"/>
          <w:b/>
          <w:sz w:val="24"/>
        </w:rPr>
        <w:br w:type="page"/>
      </w:r>
      <w:r>
        <w:rPr>
          <w:rFonts w:hint="eastAsia" w:ascii="宋体" w:hAnsi="宋体" w:cs="宋体"/>
          <w:b/>
          <w:sz w:val="24"/>
        </w:rPr>
        <w:t>一、声明函</w:t>
      </w:r>
    </w:p>
    <w:p>
      <w:pPr>
        <w:spacing w:line="360" w:lineRule="auto"/>
        <w:rPr>
          <w:rFonts w:ascii="宋体" w:hAnsi="宋体" w:cs="宋体"/>
          <w:sz w:val="24"/>
        </w:rPr>
      </w:pPr>
      <w:r>
        <w:rPr>
          <w:rFonts w:hint="eastAsia" w:ascii="宋体" w:hAnsi="宋体" w:cs="宋体"/>
          <w:sz w:val="24"/>
        </w:rPr>
        <w:t>致：四川中舜招标代理有限公司</w:t>
      </w:r>
    </w:p>
    <w:p>
      <w:pPr>
        <w:spacing w:line="360" w:lineRule="auto"/>
        <w:ind w:firstLine="480"/>
        <w:rPr>
          <w:rFonts w:ascii="宋体" w:hAnsi="宋体" w:cs="宋体"/>
          <w:sz w:val="24"/>
        </w:rPr>
      </w:pPr>
      <w:r>
        <w:rPr>
          <w:rFonts w:hint="eastAsia" w:ascii="宋体" w:hAnsi="宋体" w:cs="宋体"/>
          <w:sz w:val="24"/>
        </w:rPr>
        <w:t>我公司参加</w:t>
      </w:r>
      <w:r>
        <w:rPr>
          <w:rFonts w:hint="eastAsia" w:ascii="宋体" w:hAnsi="宋体" w:cs="宋体"/>
          <w:sz w:val="24"/>
          <w:u w:val="single"/>
        </w:rPr>
        <w:t xml:space="preserve">                 </w:t>
      </w:r>
      <w:r>
        <w:rPr>
          <w:rFonts w:hint="eastAsia" w:ascii="宋体" w:hAnsi="宋体" w:cs="宋体"/>
          <w:sz w:val="24"/>
        </w:rPr>
        <w:t>项目第</w:t>
      </w:r>
      <w:r>
        <w:rPr>
          <w:rFonts w:hint="eastAsia" w:ascii="宋体" w:hAnsi="宋体" w:cs="宋体"/>
          <w:sz w:val="24"/>
          <w:u w:val="single"/>
        </w:rPr>
        <w:t xml:space="preserve">    </w:t>
      </w:r>
      <w:r>
        <w:rPr>
          <w:rFonts w:hint="eastAsia" w:ascii="宋体" w:hAnsi="宋体" w:cs="宋体"/>
          <w:sz w:val="24"/>
        </w:rPr>
        <w:t>包（招标编号：</w:t>
      </w:r>
      <w:r>
        <w:rPr>
          <w:rFonts w:hint="eastAsia" w:ascii="宋体" w:hAnsi="宋体" w:cs="宋体"/>
          <w:sz w:val="24"/>
          <w:u w:val="single"/>
        </w:rPr>
        <w:t xml:space="preserve">             </w:t>
      </w:r>
      <w:r>
        <w:rPr>
          <w:rFonts w:hint="eastAsia" w:ascii="宋体" w:hAnsi="宋体" w:cs="宋体"/>
          <w:sz w:val="24"/>
        </w:rPr>
        <w:t>）投标，现按照招标文件第五章要求提交以下资格性证明材料，并保证所提供材料为真实的、合法的、有效的。</w:t>
      </w:r>
    </w:p>
    <w:p>
      <w:pPr>
        <w:spacing w:line="360" w:lineRule="auto"/>
        <w:ind w:firstLine="480"/>
        <w:rPr>
          <w:rFonts w:ascii="宋体" w:hAnsi="宋体" w:cs="宋体"/>
          <w:sz w:val="24"/>
        </w:rPr>
      </w:pPr>
      <w:r>
        <w:rPr>
          <w:rFonts w:hint="eastAsia" w:ascii="宋体" w:hAnsi="宋体" w:cs="宋体"/>
          <w:sz w:val="24"/>
        </w:rPr>
        <w:t>1、……</w:t>
      </w:r>
    </w:p>
    <w:p>
      <w:pPr>
        <w:spacing w:line="360" w:lineRule="auto"/>
        <w:ind w:firstLine="480"/>
        <w:rPr>
          <w:rFonts w:ascii="宋体" w:hAnsi="宋体" w:cs="宋体"/>
          <w:sz w:val="24"/>
        </w:rPr>
      </w:pPr>
      <w:r>
        <w:rPr>
          <w:rFonts w:hint="eastAsia" w:ascii="宋体" w:hAnsi="宋体" w:cs="宋体"/>
          <w:sz w:val="24"/>
        </w:rPr>
        <w:t>2、……</w:t>
      </w:r>
    </w:p>
    <w:p>
      <w:pPr>
        <w:spacing w:line="360" w:lineRule="auto"/>
        <w:ind w:firstLine="480"/>
        <w:rPr>
          <w:rFonts w:ascii="宋体" w:hAnsi="宋体" w:cs="宋体"/>
          <w:sz w:val="24"/>
        </w:rPr>
      </w:pPr>
      <w:r>
        <w:rPr>
          <w:rFonts w:hint="eastAsia" w:ascii="宋体" w:hAnsi="宋体" w:cs="宋体"/>
          <w:sz w:val="24"/>
        </w:rPr>
        <w:t>3、……</w:t>
      </w:r>
    </w:p>
    <w:p>
      <w:pPr>
        <w:spacing w:line="360" w:lineRule="auto"/>
        <w:ind w:firstLine="480"/>
        <w:rPr>
          <w:rFonts w:ascii="宋体" w:hAnsi="宋体" w:cs="宋体"/>
          <w:sz w:val="24"/>
        </w:rPr>
      </w:pP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sz w:val="24"/>
        </w:rPr>
        <w:t>特此声明！</w:t>
      </w:r>
    </w:p>
    <w:p>
      <w:pPr>
        <w:spacing w:line="360" w:lineRule="auto"/>
        <w:ind w:firstLine="480"/>
        <w:rPr>
          <w:rFonts w:ascii="宋体" w:hAnsi="宋体" w:cs="宋体"/>
          <w:sz w:val="24"/>
        </w:rPr>
      </w:pP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spacing w:line="360" w:lineRule="auto"/>
        <w:ind w:firstLine="480"/>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p>
    <w:p>
      <w:pPr>
        <w:pStyle w:val="5"/>
        <w:ind w:left="420"/>
        <w:jc w:val="center"/>
        <w:rPr>
          <w:rFonts w:ascii="宋体" w:hAnsi="宋体" w:cs="宋体"/>
        </w:rPr>
      </w:pPr>
      <w:r>
        <w:rPr>
          <w:rFonts w:hint="eastAsia" w:ascii="宋体" w:hAnsi="宋体" w:cs="宋体"/>
        </w:rPr>
        <w:br w:type="page"/>
      </w:r>
      <w:r>
        <w:rPr>
          <w:rFonts w:hint="eastAsia" w:ascii="宋体" w:hAnsi="宋体" w:cs="宋体"/>
        </w:rPr>
        <w:t>二、承诺函</w:t>
      </w:r>
    </w:p>
    <w:p>
      <w:pPr>
        <w:widowControl/>
        <w:spacing w:line="420" w:lineRule="exact"/>
        <w:jc w:val="left"/>
        <w:outlineLvl w:val="1"/>
        <w:rPr>
          <w:rFonts w:ascii="宋体" w:hAnsi="宋体" w:cs="宋体"/>
          <w:sz w:val="24"/>
          <w:u w:val="single"/>
        </w:rPr>
      </w:pPr>
    </w:p>
    <w:p>
      <w:pPr>
        <w:widowControl/>
        <w:spacing w:line="420" w:lineRule="exact"/>
        <w:jc w:val="left"/>
        <w:outlineLvl w:val="1"/>
        <w:rPr>
          <w:rFonts w:ascii="宋体" w:hAnsi="宋体" w:cs="宋体"/>
          <w:sz w:val="24"/>
        </w:rPr>
      </w:pPr>
      <w:r>
        <w:rPr>
          <w:rFonts w:hint="eastAsia" w:ascii="宋体" w:hAnsi="宋体" w:cs="宋体"/>
          <w:sz w:val="24"/>
          <w:u w:val="single"/>
        </w:rPr>
        <w:t xml:space="preserve">                      </w:t>
      </w:r>
      <w:r>
        <w:rPr>
          <w:rFonts w:hint="eastAsia" w:ascii="宋体" w:hAnsi="宋体" w:cs="宋体"/>
          <w:sz w:val="24"/>
        </w:rPr>
        <w:t>（采购代理机构名称）：</w:t>
      </w:r>
    </w:p>
    <w:p>
      <w:pPr>
        <w:widowControl/>
        <w:spacing w:line="420" w:lineRule="exact"/>
        <w:ind w:firstLine="480" w:firstLineChars="200"/>
        <w:jc w:val="left"/>
        <w:outlineLvl w:val="1"/>
        <w:rPr>
          <w:rFonts w:ascii="宋体" w:hAnsi="宋体" w:cs="宋体"/>
          <w:sz w:val="24"/>
        </w:rPr>
      </w:pPr>
      <w:r>
        <w:rPr>
          <w:rFonts w:hint="eastAsia" w:ascii="宋体" w:hAnsi="宋体" w:cs="宋体"/>
          <w:sz w:val="24"/>
        </w:rPr>
        <w:t>我公司作为本次采购项目的投标人，根据招标文件要求，现郑重承诺如下：</w:t>
      </w:r>
    </w:p>
    <w:p>
      <w:pPr>
        <w:widowControl/>
        <w:spacing w:line="420" w:lineRule="exact"/>
        <w:ind w:firstLine="480" w:firstLineChars="200"/>
        <w:jc w:val="left"/>
        <w:rPr>
          <w:rFonts w:ascii="宋体" w:hAnsi="宋体" w:cs="宋体"/>
          <w:sz w:val="24"/>
        </w:rPr>
      </w:pPr>
      <w:r>
        <w:rPr>
          <w:rFonts w:hint="eastAsia" w:ascii="宋体" w:hAnsi="宋体" w:cs="宋体"/>
          <w:sz w:val="24"/>
        </w:rPr>
        <w:t>一、具备《中华人民共和国政府采购法》第二十二条第一款规定的条件：</w:t>
      </w:r>
    </w:p>
    <w:p>
      <w:pPr>
        <w:widowControl/>
        <w:spacing w:line="420" w:lineRule="exact"/>
        <w:ind w:firstLine="480" w:firstLineChars="200"/>
        <w:jc w:val="left"/>
        <w:rPr>
          <w:rFonts w:ascii="宋体" w:hAnsi="宋体" w:cs="宋体"/>
          <w:sz w:val="24"/>
        </w:rPr>
      </w:pPr>
      <w:r>
        <w:rPr>
          <w:rFonts w:hint="eastAsia" w:ascii="宋体" w:hAnsi="宋体" w:cs="宋体"/>
          <w:sz w:val="24"/>
        </w:rPr>
        <w:t xml:space="preserve">（一）具有独立承担民事责任的能力； </w:t>
      </w:r>
    </w:p>
    <w:p>
      <w:pPr>
        <w:widowControl/>
        <w:spacing w:line="420" w:lineRule="exact"/>
        <w:ind w:firstLine="480" w:firstLineChars="200"/>
        <w:jc w:val="left"/>
        <w:rPr>
          <w:rFonts w:ascii="宋体" w:hAnsi="宋体" w:cs="宋体"/>
          <w:sz w:val="24"/>
        </w:rPr>
      </w:pPr>
      <w:r>
        <w:rPr>
          <w:rFonts w:hint="eastAsia" w:ascii="宋体" w:hAnsi="宋体" w:cs="宋体"/>
          <w:sz w:val="24"/>
        </w:rPr>
        <w:t xml:space="preserve">（二）具有良好的商业信誉和健全的财务会计制度； </w:t>
      </w:r>
    </w:p>
    <w:p>
      <w:pPr>
        <w:widowControl/>
        <w:spacing w:line="420" w:lineRule="exact"/>
        <w:ind w:firstLine="480" w:firstLineChars="200"/>
        <w:jc w:val="left"/>
        <w:rPr>
          <w:rFonts w:ascii="宋体" w:hAnsi="宋体" w:cs="宋体"/>
          <w:sz w:val="24"/>
        </w:rPr>
      </w:pPr>
      <w:r>
        <w:rPr>
          <w:rFonts w:hint="eastAsia" w:ascii="宋体" w:hAnsi="宋体" w:cs="宋体"/>
          <w:sz w:val="24"/>
        </w:rPr>
        <w:t xml:space="preserve">（三）具有履行合同所必需的设备和专业技术能力； </w:t>
      </w:r>
    </w:p>
    <w:p>
      <w:pPr>
        <w:widowControl/>
        <w:spacing w:line="420" w:lineRule="exact"/>
        <w:ind w:firstLine="480" w:firstLineChars="200"/>
        <w:jc w:val="left"/>
        <w:rPr>
          <w:rFonts w:ascii="宋体" w:hAnsi="宋体" w:cs="宋体"/>
          <w:sz w:val="24"/>
        </w:rPr>
      </w:pPr>
      <w:r>
        <w:rPr>
          <w:rFonts w:hint="eastAsia" w:ascii="宋体" w:hAnsi="宋体" w:cs="宋体"/>
          <w:sz w:val="24"/>
        </w:rPr>
        <w:t xml:space="preserve">（四）有依法缴纳税收和社会保障资金的良好记录； </w:t>
      </w:r>
    </w:p>
    <w:p>
      <w:pPr>
        <w:widowControl/>
        <w:spacing w:line="420" w:lineRule="exact"/>
        <w:ind w:firstLine="480" w:firstLineChars="200"/>
        <w:jc w:val="left"/>
        <w:rPr>
          <w:rFonts w:ascii="宋体" w:hAnsi="宋体" w:cs="宋体"/>
          <w:sz w:val="24"/>
        </w:rPr>
      </w:pPr>
      <w:r>
        <w:rPr>
          <w:rFonts w:hint="eastAsia" w:ascii="宋体" w:hAnsi="宋体" w:cs="宋体"/>
          <w:sz w:val="24"/>
        </w:rPr>
        <w:t>（五）参加政府采购活动前三年内，在经营活动中没有重大违法记录；</w:t>
      </w:r>
    </w:p>
    <w:p>
      <w:pPr>
        <w:widowControl/>
        <w:spacing w:line="420" w:lineRule="exact"/>
        <w:ind w:firstLine="480" w:firstLineChars="200"/>
        <w:jc w:val="left"/>
        <w:rPr>
          <w:rFonts w:ascii="宋体" w:hAnsi="宋体" w:cs="宋体"/>
          <w:sz w:val="24"/>
        </w:rPr>
      </w:pPr>
      <w:r>
        <w:rPr>
          <w:rFonts w:hint="eastAsia" w:ascii="宋体" w:hAnsi="宋体" w:cs="宋体"/>
          <w:sz w:val="24"/>
        </w:rPr>
        <w:t>（六）法律、行政法规规定的其他条件；</w:t>
      </w:r>
    </w:p>
    <w:p>
      <w:pPr>
        <w:widowControl/>
        <w:spacing w:line="420" w:lineRule="exact"/>
        <w:ind w:firstLine="480" w:firstLineChars="200"/>
        <w:jc w:val="left"/>
        <w:rPr>
          <w:rFonts w:ascii="宋体" w:hAnsi="宋体" w:cs="宋体"/>
          <w:sz w:val="24"/>
        </w:rPr>
      </w:pPr>
      <w:r>
        <w:rPr>
          <w:rFonts w:hint="eastAsia" w:ascii="宋体" w:hAnsi="宋体" w:cs="宋体"/>
          <w:sz w:val="24"/>
        </w:rPr>
        <w:t>二、完全接受和满足本项目招标文件中规定的实质性要求，如对招标文件有异议，已经在投标截止时间届满前依法进行维权救济，不存在对招标文件有异议的同时又参加投标以求侥幸中标或者为实现其他非法目的的行为。</w:t>
      </w:r>
    </w:p>
    <w:p>
      <w:pPr>
        <w:widowControl/>
        <w:spacing w:line="420" w:lineRule="exact"/>
        <w:ind w:firstLine="480" w:firstLineChars="200"/>
        <w:jc w:val="left"/>
        <w:rPr>
          <w:rFonts w:ascii="宋体" w:hAnsi="宋体" w:cs="宋体"/>
          <w:sz w:val="24"/>
        </w:rPr>
      </w:pPr>
      <w:r>
        <w:rPr>
          <w:rFonts w:hint="eastAsia" w:ascii="宋体" w:hAnsi="宋体" w:cs="宋体"/>
          <w:sz w:val="24"/>
        </w:rPr>
        <w:t>三、参加本次招标采购活动，不存在与单位负责人为同一人或者存在直接控股、管理关系的其他供应商参与同一合同项下的政府采购活动的行为。</w:t>
      </w:r>
    </w:p>
    <w:p>
      <w:pPr>
        <w:widowControl/>
        <w:spacing w:line="420" w:lineRule="exact"/>
        <w:ind w:firstLine="480" w:firstLineChars="200"/>
        <w:jc w:val="left"/>
        <w:rPr>
          <w:rFonts w:ascii="宋体" w:hAnsi="宋体" w:cs="宋体"/>
          <w:sz w:val="24"/>
        </w:rPr>
      </w:pPr>
      <w:r>
        <w:rPr>
          <w:rFonts w:hint="eastAsia" w:ascii="宋体" w:hAnsi="宋体" w:cs="宋体"/>
          <w:sz w:val="24"/>
        </w:rPr>
        <w:t>四、参加本次招标采购活动，不存在和其他供应商在同一合同项下的采购项目中，同时委托同一个自然人、同一家庭的人员、同一单位的人员作为代理人的行为。本单位未对本次采购项目提供过整体设计、规范编制或者项目管理、监理、检测等服务。未为采购人、采购代理机构在确定采购需求、编制采购文件过程中提供咨询论证。</w:t>
      </w:r>
    </w:p>
    <w:p>
      <w:pPr>
        <w:widowControl/>
        <w:wordWrap w:val="0"/>
        <w:spacing w:line="420" w:lineRule="exact"/>
        <w:ind w:firstLine="480" w:firstLineChars="200"/>
        <w:jc w:val="left"/>
        <w:rPr>
          <w:rFonts w:ascii="宋体" w:hAnsi="宋体" w:cs="宋体"/>
          <w:sz w:val="24"/>
          <w:szCs w:val="28"/>
        </w:rPr>
      </w:pPr>
      <w:r>
        <w:rPr>
          <w:rFonts w:hint="eastAsia" w:ascii="宋体" w:hAnsi="宋体" w:cs="宋体"/>
          <w:sz w:val="24"/>
        </w:rPr>
        <w:t>五、</w:t>
      </w:r>
      <w:r>
        <w:rPr>
          <w:rFonts w:hint="eastAsia" w:ascii="宋体" w:hAnsi="宋体" w:cs="宋体"/>
          <w:sz w:val="24"/>
          <w:szCs w:val="28"/>
        </w:rPr>
        <w:t>截止至本项目投标截止时间，我公司未被列入“信用中国”网站(www.creditchina.gov.cn)、“中国政府采购网”网站(www.ccgp.gov.cn)中任一网站的失信被执行人名单或税收违法黑名单或政府采购严重违法失信行为记录名单。</w:t>
      </w:r>
    </w:p>
    <w:p>
      <w:pPr>
        <w:widowControl/>
        <w:wordWrap w:val="0"/>
        <w:spacing w:line="420" w:lineRule="exact"/>
        <w:ind w:firstLine="480" w:firstLineChars="200"/>
        <w:jc w:val="left"/>
        <w:rPr>
          <w:rFonts w:ascii="宋体" w:hAnsi="宋体" w:cs="宋体"/>
          <w:sz w:val="24"/>
          <w:szCs w:val="28"/>
        </w:rPr>
      </w:pPr>
      <w:r>
        <w:rPr>
          <w:rFonts w:hint="eastAsia" w:ascii="宋体" w:hAnsi="宋体" w:cs="宋体"/>
          <w:sz w:val="24"/>
          <w:szCs w:val="28"/>
        </w:rPr>
        <w:t>六、我公司</w:t>
      </w:r>
      <w:r>
        <w:rPr>
          <w:rFonts w:hint="eastAsia" w:ascii="宋体" w:hAnsi="宋体" w:cs="宋体"/>
          <w:bCs/>
          <w:sz w:val="24"/>
        </w:rPr>
        <w:t>非公益一类事业单位、使用事业编制且由财政拨款保障的群团组织。</w:t>
      </w:r>
    </w:p>
    <w:p>
      <w:pPr>
        <w:widowControl/>
        <w:wordWrap w:val="0"/>
        <w:spacing w:line="420" w:lineRule="exact"/>
        <w:ind w:firstLine="480" w:firstLineChars="200"/>
        <w:jc w:val="left"/>
        <w:rPr>
          <w:rFonts w:ascii="宋体" w:hAnsi="宋体" w:cs="宋体"/>
          <w:sz w:val="24"/>
          <w:szCs w:val="28"/>
        </w:rPr>
      </w:pPr>
      <w:r>
        <w:rPr>
          <w:rFonts w:hint="eastAsia" w:ascii="宋体" w:hAnsi="宋体" w:cs="宋体"/>
          <w:sz w:val="24"/>
          <w:szCs w:val="28"/>
        </w:rPr>
        <w:t>七、本单位及</w:t>
      </w:r>
      <w:r>
        <w:rPr>
          <w:rFonts w:hint="eastAsia" w:ascii="宋体" w:hAnsi="宋体" w:cs="宋体"/>
          <w:sz w:val="24"/>
        </w:rPr>
        <w:t>现任法定代表人不具有行贿犯罪纪录。</w:t>
      </w:r>
    </w:p>
    <w:p>
      <w:pPr>
        <w:widowControl/>
        <w:spacing w:line="420" w:lineRule="exact"/>
        <w:ind w:firstLine="480" w:firstLineChars="200"/>
        <w:jc w:val="left"/>
        <w:outlineLvl w:val="1"/>
        <w:rPr>
          <w:rFonts w:ascii="宋体" w:hAnsi="宋体" w:cs="宋体"/>
          <w:sz w:val="24"/>
        </w:rPr>
      </w:pPr>
      <w:r>
        <w:rPr>
          <w:rFonts w:hint="eastAsia" w:ascii="宋体" w:hAnsi="宋体" w:cs="宋体"/>
          <w:sz w:val="24"/>
        </w:rPr>
        <w:t>本公司对上述承诺的内容事项真实性负责。如经查实上述承诺的内容事项存在虚假，我公司愿意接受以提供虚假材料谋取中标追究法律责任。</w:t>
      </w:r>
    </w:p>
    <w:p>
      <w:pPr>
        <w:widowControl/>
        <w:spacing w:line="420" w:lineRule="exact"/>
        <w:jc w:val="left"/>
        <w:outlineLvl w:val="1"/>
        <w:rPr>
          <w:rFonts w:ascii="宋体" w:hAnsi="宋体" w:cs="宋体"/>
          <w:sz w:val="24"/>
        </w:rPr>
      </w:pPr>
      <w:r>
        <w:rPr>
          <w:rFonts w:hint="eastAsia" w:ascii="宋体" w:hAnsi="宋体" w:cs="宋体"/>
          <w:sz w:val="24"/>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u w:val="single"/>
        </w:rPr>
      </w:pPr>
      <w:r>
        <w:rPr>
          <w:rFonts w:hint="eastAsia" w:ascii="宋体" w:hAnsi="宋体" w:cs="宋体"/>
          <w:sz w:val="24"/>
        </w:rPr>
        <w:t>日    期：</w:t>
      </w:r>
      <w:r>
        <w:rPr>
          <w:rFonts w:hint="eastAsia" w:ascii="宋体" w:hAnsi="宋体" w:cs="宋体"/>
          <w:sz w:val="24"/>
          <w:u w:val="single"/>
        </w:rPr>
        <w:t xml:space="preserve">                                          </w:t>
      </w:r>
    </w:p>
    <w:p>
      <w:pPr>
        <w:widowControl/>
        <w:spacing w:line="420" w:lineRule="exact"/>
        <w:ind w:firstLine="413" w:firstLineChars="196"/>
        <w:jc w:val="left"/>
        <w:outlineLvl w:val="1"/>
        <w:rPr>
          <w:rFonts w:ascii="宋体" w:hAnsi="宋体" w:cs="宋体"/>
          <w:b/>
          <w:szCs w:val="21"/>
        </w:rPr>
      </w:pPr>
    </w:p>
    <w:p>
      <w:pPr>
        <w:widowControl/>
        <w:spacing w:line="420" w:lineRule="exact"/>
        <w:ind w:firstLine="413" w:firstLineChars="196"/>
        <w:jc w:val="left"/>
        <w:outlineLvl w:val="1"/>
        <w:rPr>
          <w:rFonts w:ascii="宋体" w:hAnsi="宋体" w:cs="宋体"/>
          <w:b/>
          <w:szCs w:val="21"/>
        </w:rPr>
      </w:pPr>
      <w:r>
        <w:rPr>
          <w:rFonts w:hint="eastAsia" w:ascii="宋体" w:hAnsi="宋体" w:cs="宋体"/>
          <w:b/>
          <w:szCs w:val="21"/>
        </w:rPr>
        <w:t>注：1、本承诺函为参考格式，投标人可提供自有格式的承诺函。</w:t>
      </w:r>
    </w:p>
    <w:p>
      <w:pPr>
        <w:pStyle w:val="9"/>
        <w:rPr>
          <w:color w:val="auto"/>
        </w:rPr>
      </w:pPr>
    </w:p>
    <w:p>
      <w:pPr>
        <w:spacing w:line="360" w:lineRule="auto"/>
        <w:ind w:firstLine="632" w:firstLineChars="300"/>
        <w:rPr>
          <w:rFonts w:ascii="宋体" w:hAnsi="宋体" w:cs="宋体"/>
          <w:sz w:val="24"/>
        </w:rPr>
      </w:pPr>
      <w:r>
        <w:rPr>
          <w:rFonts w:hint="eastAsia" w:ascii="宋体" w:hAnsi="宋体" w:cs="宋体"/>
          <w:b/>
          <w:szCs w:val="21"/>
        </w:rPr>
        <w:t>2、本项目确定供应商重大违法记录中较大数额罚款的金额标准：重大违法记录中的较大数额罚款的具体金额标准为200万元以上的罚款，法律、行政法规以及国务院有关部门明确规定相关领域“较大数额罚款”标准高于200万元的，从其规定。</w:t>
      </w:r>
    </w:p>
    <w:p>
      <w:pPr>
        <w:spacing w:line="360" w:lineRule="auto"/>
        <w:rPr>
          <w:rFonts w:ascii="宋体" w:hAnsi="宋体" w:cs="宋体"/>
          <w:sz w:val="24"/>
        </w:rPr>
      </w:pPr>
    </w:p>
    <w:p>
      <w:pPr>
        <w:rPr>
          <w:rFonts w:ascii="宋体" w:hAnsi="宋体" w:cs="宋体"/>
          <w:sz w:val="24"/>
        </w:rPr>
      </w:pPr>
    </w:p>
    <w:p>
      <w:pPr>
        <w:rPr>
          <w:rFonts w:ascii="宋体" w:hAnsi="宋体" w:cs="宋体"/>
          <w:sz w:val="24"/>
        </w:rPr>
      </w:pPr>
    </w:p>
    <w:p>
      <w:pPr>
        <w:pStyle w:val="5"/>
        <w:ind w:left="0" w:leftChars="0"/>
        <w:rPr>
          <w:rFonts w:ascii="宋体" w:hAnsi="宋体" w:cs="宋体"/>
        </w:rPr>
      </w:pPr>
    </w:p>
    <w:p>
      <w:pPr>
        <w:pStyle w:val="5"/>
        <w:ind w:left="420"/>
        <w:jc w:val="center"/>
        <w:rPr>
          <w:rFonts w:ascii="宋体" w:hAnsi="宋体" w:cs="宋体"/>
        </w:rPr>
      </w:pPr>
      <w:r>
        <w:rPr>
          <w:rFonts w:hint="eastAsia" w:ascii="宋体" w:hAnsi="宋体" w:cs="宋体"/>
        </w:rPr>
        <w:br w:type="page"/>
      </w:r>
      <w:r>
        <w:rPr>
          <w:rFonts w:hint="eastAsia" w:ascii="宋体" w:hAnsi="宋体" w:cs="宋体"/>
        </w:rPr>
        <w:t>三、法定代表人授权书</w:t>
      </w:r>
    </w:p>
    <w:p>
      <w:pPr>
        <w:widowControl/>
        <w:spacing w:line="420" w:lineRule="exact"/>
        <w:jc w:val="left"/>
        <w:outlineLvl w:val="1"/>
        <w:rPr>
          <w:rFonts w:ascii="宋体" w:hAnsi="宋体" w:cs="宋体"/>
          <w:sz w:val="24"/>
          <w:u w:val="single"/>
        </w:rPr>
      </w:pPr>
    </w:p>
    <w:p>
      <w:pPr>
        <w:widowControl/>
        <w:spacing w:line="420" w:lineRule="exact"/>
        <w:jc w:val="left"/>
        <w:outlineLvl w:val="1"/>
        <w:rPr>
          <w:rFonts w:ascii="宋体" w:hAnsi="宋体" w:cs="宋体"/>
          <w:sz w:val="24"/>
        </w:rPr>
      </w:pPr>
      <w:r>
        <w:rPr>
          <w:rFonts w:hint="eastAsia" w:ascii="宋体" w:hAnsi="宋体" w:cs="宋体"/>
          <w:sz w:val="24"/>
          <w:u w:val="single"/>
        </w:rPr>
        <w:t xml:space="preserve">                       </w:t>
      </w:r>
      <w:r>
        <w:rPr>
          <w:rFonts w:hint="eastAsia" w:ascii="宋体" w:hAnsi="宋体" w:cs="宋体"/>
          <w:sz w:val="24"/>
        </w:rPr>
        <w:t>（采购代理机构名称）：</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本授权声明：</w:t>
      </w:r>
      <w:r>
        <w:rPr>
          <w:rFonts w:hint="eastAsia" w:ascii="宋体" w:hAnsi="宋体" w:cs="宋体"/>
          <w:sz w:val="24"/>
          <w:u w:val="single"/>
        </w:rPr>
        <w:t xml:space="preserve">          </w:t>
      </w: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（法定代表人姓名、职务）授权</w:t>
      </w:r>
      <w:r>
        <w:rPr>
          <w:rFonts w:hint="eastAsia" w:ascii="宋体" w:hAnsi="宋体" w:cs="宋体"/>
          <w:sz w:val="24"/>
          <w:u w:val="single"/>
        </w:rPr>
        <w:t xml:space="preserve">    </w:t>
      </w:r>
      <w:r>
        <w:rPr>
          <w:rFonts w:hint="eastAsia" w:ascii="宋体" w:hAnsi="宋体" w:cs="宋体"/>
          <w:sz w:val="24"/>
        </w:rPr>
        <w:t>（被授权人姓名、职务）为我方 “</w:t>
      </w:r>
      <w:r>
        <w:rPr>
          <w:rFonts w:hint="eastAsia" w:ascii="宋体" w:hAnsi="宋体" w:cs="宋体"/>
          <w:sz w:val="24"/>
          <w:u w:val="single"/>
        </w:rPr>
        <w:t xml:space="preserve">             </w:t>
      </w:r>
      <w:r>
        <w:rPr>
          <w:rFonts w:hint="eastAsia" w:ascii="宋体" w:hAnsi="宋体" w:cs="宋体"/>
          <w:sz w:val="24"/>
        </w:rPr>
        <w:t>” 项目第</w:t>
      </w:r>
      <w:r>
        <w:rPr>
          <w:rFonts w:hint="eastAsia" w:ascii="宋体" w:hAnsi="宋体" w:cs="宋体"/>
          <w:sz w:val="24"/>
          <w:u w:val="single"/>
        </w:rPr>
        <w:t xml:space="preserve">    </w:t>
      </w:r>
      <w:r>
        <w:rPr>
          <w:rFonts w:hint="eastAsia" w:ascii="宋体" w:hAnsi="宋体" w:cs="宋体"/>
          <w:sz w:val="24"/>
        </w:rPr>
        <w:t>包（招标编号：</w:t>
      </w:r>
      <w:r>
        <w:rPr>
          <w:rFonts w:hint="eastAsia" w:ascii="宋体" w:hAnsi="宋体" w:cs="宋体"/>
          <w:sz w:val="24"/>
          <w:u w:val="single"/>
        </w:rPr>
        <w:t xml:space="preserve">            </w:t>
      </w:r>
      <w:r>
        <w:rPr>
          <w:rFonts w:hint="eastAsia" w:ascii="宋体" w:hAnsi="宋体" w:cs="宋体"/>
          <w:sz w:val="24"/>
        </w:rPr>
        <w:t>）投标活动的合法代表，以我方名义全权处理该项目有关投标、签订合同以及执行合同等一切事宜。</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特此声明。</w:t>
      </w:r>
    </w:p>
    <w:p>
      <w:pPr>
        <w:widowControl/>
        <w:spacing w:line="420" w:lineRule="exact"/>
        <w:ind w:firstLine="470" w:firstLineChars="196"/>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附：（1）法定代表人有效身份证明（身份证或护照）复印件</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 xml:space="preserve">    （2）授权代表有效身份证明（身份证或护照）复印件</w:t>
      </w:r>
    </w:p>
    <w:p>
      <w:pPr>
        <w:widowControl/>
        <w:spacing w:line="420" w:lineRule="exact"/>
        <w:ind w:firstLine="470" w:firstLineChars="196"/>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法定代表人（签字或者加盖个人名章）：</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授权代表（签字或者加盖个人名章）：</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（单位盖章）</w:t>
      </w:r>
    </w:p>
    <w:p>
      <w:pPr>
        <w:widowControl/>
        <w:spacing w:line="420" w:lineRule="exact"/>
        <w:ind w:firstLine="470" w:firstLineChars="196"/>
        <w:jc w:val="left"/>
        <w:outlineLvl w:val="1"/>
        <w:rPr>
          <w:rFonts w:ascii="宋体" w:hAnsi="宋体" w:cs="宋体"/>
          <w:sz w:val="24"/>
          <w:u w:val="single"/>
        </w:rPr>
      </w:pPr>
      <w:r>
        <w:rPr>
          <w:rFonts w:hint="eastAsia" w:ascii="宋体" w:hAnsi="宋体" w:cs="宋体"/>
          <w:sz w:val="24"/>
        </w:rPr>
        <w:t>日    期：</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u w:val="single"/>
        </w:rPr>
      </w:pPr>
    </w:p>
    <w:p>
      <w:pPr>
        <w:pStyle w:val="5"/>
        <w:ind w:left="420"/>
        <w:jc w:val="center"/>
        <w:rPr>
          <w:rFonts w:ascii="宋体" w:hAnsi="宋体" w:cs="宋体"/>
        </w:rPr>
      </w:pPr>
      <w:r>
        <w:rPr>
          <w:rFonts w:hint="eastAsia" w:ascii="宋体" w:hAnsi="宋体" w:cs="宋体"/>
        </w:rPr>
        <w:t>注：法定代表人亲自参加投标的，只须提供法定代表人有效身份证明复印件。</w:t>
      </w:r>
    </w:p>
    <w:p>
      <w:pPr>
        <w:rPr>
          <w:rFonts w:ascii="宋体" w:hAnsi="宋体" w:cs="宋体"/>
        </w:rPr>
      </w:pPr>
      <w:r>
        <w:rPr>
          <w:rFonts w:hint="eastAsia" w:ascii="宋体" w:hAnsi="宋体" w:cs="宋体"/>
        </w:rPr>
        <w:br w:type="page"/>
      </w:r>
    </w:p>
    <w:p>
      <w:pPr>
        <w:pStyle w:val="5"/>
        <w:ind w:left="0" w:leftChars="0"/>
        <w:jc w:val="center"/>
        <w:rPr>
          <w:rFonts w:ascii="宋体" w:hAnsi="宋体" w:cs="宋体"/>
          <w:b w:val="0"/>
          <w:bCs w:val="0"/>
        </w:rPr>
      </w:pPr>
      <w:r>
        <w:rPr>
          <w:rFonts w:hint="eastAsia" w:ascii="宋体" w:hAnsi="宋体" w:cs="宋体"/>
        </w:rPr>
        <w:t>四、其他资料</w:t>
      </w:r>
    </w:p>
    <w:p>
      <w:pPr>
        <w:rPr>
          <w:rFonts w:ascii="宋体" w:hAnsi="宋体" w:cs="宋体"/>
          <w:b/>
          <w:bCs/>
          <w:sz w:val="24"/>
          <w:szCs w:val="32"/>
        </w:rPr>
      </w:pPr>
    </w:p>
    <w:p>
      <w:pPr>
        <w:jc w:val="center"/>
        <w:rPr>
          <w:rFonts w:ascii="宋体" w:hAnsi="宋体" w:cs="宋体"/>
          <w:b/>
          <w:bCs/>
          <w:sz w:val="24"/>
          <w:szCs w:val="32"/>
        </w:rPr>
      </w:pPr>
      <w:r>
        <w:rPr>
          <w:rFonts w:hint="eastAsia" w:ascii="宋体" w:hAnsi="宋体" w:cs="宋体"/>
          <w:b/>
          <w:bCs/>
          <w:sz w:val="24"/>
          <w:szCs w:val="32"/>
        </w:rPr>
        <w:t>（格式自拟）</w:t>
      </w:r>
    </w:p>
    <w:p>
      <w:pPr>
        <w:rPr>
          <w:rFonts w:ascii="宋体" w:hAnsi="宋体" w:cs="宋体"/>
          <w:sz w:val="24"/>
        </w:rPr>
      </w:pPr>
    </w:p>
    <w:p>
      <w:pPr>
        <w:pStyle w:val="2"/>
        <w:ind w:firstLine="480"/>
        <w:rPr>
          <w:rFonts w:ascii="宋体" w:hAnsi="宋体" w:cs="宋体"/>
          <w:sz w:val="24"/>
        </w:rPr>
      </w:pPr>
    </w:p>
    <w:p>
      <w:pPr>
        <w:rPr>
          <w:rFonts w:ascii="宋体" w:hAnsi="宋体" w:cs="宋体"/>
          <w:sz w:val="24"/>
        </w:rPr>
      </w:pPr>
      <w:r>
        <w:rPr>
          <w:rFonts w:ascii="宋体" w:hAnsi="宋体" w:cs="宋体"/>
          <w:sz w:val="24"/>
        </w:rPr>
        <w:br w:type="page"/>
      </w:r>
    </w:p>
    <w:p>
      <w:pPr>
        <w:jc w:val="center"/>
        <w:rPr>
          <w:rFonts w:ascii="宋体" w:hAnsi="宋体" w:cs="宋体"/>
          <w:b/>
          <w:bCs/>
          <w:sz w:val="24"/>
        </w:rPr>
      </w:pPr>
      <w:r>
        <w:rPr>
          <w:rFonts w:hint="eastAsia" w:ascii="宋体" w:hAnsi="宋体" w:cs="宋体"/>
          <w:b/>
          <w:bCs/>
          <w:sz w:val="24"/>
        </w:rPr>
        <w:t>中小企业声明函</w:t>
      </w:r>
    </w:p>
    <w:p>
      <w:pPr>
        <w:jc w:val="center"/>
        <w:rPr>
          <w:rFonts w:ascii="宋体" w:hAnsi="宋体" w:cs="宋体"/>
          <w:sz w:val="24"/>
        </w:rPr>
      </w:pPr>
    </w:p>
    <w:p>
      <w:pPr>
        <w:widowControl/>
        <w:spacing w:line="360" w:lineRule="auto"/>
        <w:ind w:firstLine="480" w:firstLineChars="200"/>
        <w:rPr>
          <w:rFonts w:ascii="宋体" w:hAnsi="宋体" w:cs="宋体"/>
          <w:kern w:val="0"/>
          <w:sz w:val="24"/>
        </w:rPr>
      </w:pPr>
      <w:r>
        <w:rPr>
          <w:rFonts w:hint="eastAsia" w:ascii="宋体" w:hAnsi="宋体" w:cs="宋体"/>
          <w:kern w:val="0"/>
          <w:sz w:val="24"/>
        </w:rPr>
        <w:t>本公司（联合体）郑重声明，根据《政府采购促进中小企业发展管理办法》（财库﹝2020﹞46 号）的规定，本公司（联合体）参加</w:t>
      </w:r>
      <w:r>
        <w:rPr>
          <w:rFonts w:hint="eastAsia" w:ascii="宋体" w:hAnsi="宋体" w:cs="宋体"/>
          <w:kern w:val="0"/>
          <w:sz w:val="24"/>
          <w:u w:val="single"/>
        </w:rPr>
        <w:t xml:space="preserve">             </w:t>
      </w:r>
      <w:r>
        <w:rPr>
          <w:rFonts w:hint="eastAsia" w:ascii="宋体" w:hAnsi="宋体" w:cs="宋体"/>
          <w:kern w:val="0"/>
          <w:sz w:val="24"/>
        </w:rPr>
        <w:t>（单位名称）的</w:t>
      </w:r>
      <w:r>
        <w:rPr>
          <w:rFonts w:hint="eastAsia" w:ascii="宋体" w:hAnsi="宋体" w:cs="宋体"/>
          <w:kern w:val="0"/>
          <w:sz w:val="24"/>
          <w:u w:val="single"/>
        </w:rPr>
        <w:t xml:space="preserve">                          </w:t>
      </w:r>
      <w:r>
        <w:rPr>
          <w:rFonts w:hint="eastAsia" w:ascii="宋体" w:hAnsi="宋体" w:cs="宋体"/>
          <w:kern w:val="0"/>
          <w:sz w:val="24"/>
        </w:rPr>
        <w:t>（项目名称）</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包</w:t>
      </w:r>
      <w:r>
        <w:rPr>
          <w:rFonts w:hint="eastAsia" w:ascii="宋体" w:hAnsi="宋体" w:cs="宋体"/>
          <w:kern w:val="0"/>
          <w:sz w:val="24"/>
        </w:rPr>
        <w:t>采购活动，提供的货物全部由符合政策要求的中小企业制造。相关企业（含联合体中的中小企业、签订分包意向协议的中小企业）的具体情况如下：</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1. </w:t>
      </w:r>
      <w:r>
        <w:rPr>
          <w:rFonts w:hint="eastAsia" w:ascii="宋体" w:hAnsi="宋体" w:cs="宋体"/>
          <w:kern w:val="0"/>
          <w:sz w:val="24"/>
          <w:u w:val="single"/>
        </w:rPr>
        <w:t xml:space="preserve">          </w:t>
      </w:r>
      <w:r>
        <w:rPr>
          <w:rFonts w:hint="eastAsia" w:ascii="宋体" w:hAnsi="宋体" w:cs="宋体"/>
          <w:kern w:val="0"/>
          <w:sz w:val="24"/>
        </w:rPr>
        <w:t>（标的名称） ，属于</w:t>
      </w:r>
      <w:r>
        <w:rPr>
          <w:rFonts w:hint="eastAsia" w:ascii="宋体" w:hAnsi="宋体" w:cs="宋体"/>
          <w:kern w:val="0"/>
          <w:sz w:val="24"/>
          <w:u w:val="single"/>
        </w:rPr>
        <w:t xml:space="preserve">          </w:t>
      </w:r>
      <w:r>
        <w:rPr>
          <w:rFonts w:hint="eastAsia" w:ascii="宋体" w:hAnsi="宋体" w:cs="宋体"/>
          <w:kern w:val="0"/>
          <w:sz w:val="24"/>
        </w:rPr>
        <w:t>（采购文件中明确的所属行业）行业；制造商为</w:t>
      </w:r>
      <w:r>
        <w:rPr>
          <w:rFonts w:hint="eastAsia" w:ascii="宋体" w:hAnsi="宋体" w:cs="宋体"/>
          <w:kern w:val="0"/>
          <w:sz w:val="24"/>
          <w:u w:val="single"/>
        </w:rPr>
        <w:t xml:space="preserve">          </w:t>
      </w:r>
      <w:r>
        <w:rPr>
          <w:rFonts w:hint="eastAsia" w:ascii="宋体" w:hAnsi="宋体" w:cs="宋体"/>
          <w:kern w:val="0"/>
          <w:sz w:val="24"/>
        </w:rPr>
        <w:t>（企业名称），从业人员</w:t>
      </w:r>
      <w:r>
        <w:rPr>
          <w:rFonts w:hint="eastAsia" w:ascii="宋体" w:hAnsi="宋体" w:cs="宋体"/>
          <w:kern w:val="0"/>
          <w:sz w:val="24"/>
          <w:u w:val="single"/>
        </w:rPr>
        <w:t xml:space="preserve">          </w:t>
      </w:r>
      <w:r>
        <w:rPr>
          <w:rFonts w:hint="eastAsia" w:ascii="宋体" w:hAnsi="宋体" w:cs="宋体"/>
          <w:kern w:val="0"/>
          <w:sz w:val="24"/>
        </w:rPr>
        <w:t>人，营业收入为</w:t>
      </w:r>
      <w:r>
        <w:rPr>
          <w:rFonts w:hint="eastAsia" w:ascii="宋体" w:hAnsi="宋体" w:cs="宋体"/>
          <w:kern w:val="0"/>
          <w:sz w:val="24"/>
          <w:u w:val="single"/>
        </w:rPr>
        <w:t xml:space="preserve">          </w:t>
      </w:r>
      <w:r>
        <w:rPr>
          <w:rFonts w:hint="eastAsia" w:ascii="宋体" w:hAnsi="宋体" w:cs="宋体"/>
          <w:kern w:val="0"/>
          <w:sz w:val="24"/>
        </w:rPr>
        <w:t>万元，资产总额为</w:t>
      </w:r>
      <w:r>
        <w:rPr>
          <w:rFonts w:hint="eastAsia" w:ascii="宋体" w:hAnsi="宋体" w:cs="宋体"/>
          <w:kern w:val="0"/>
          <w:sz w:val="24"/>
          <w:u w:val="single"/>
        </w:rPr>
        <w:t xml:space="preserve">          </w:t>
      </w:r>
      <w:r>
        <w:rPr>
          <w:rFonts w:hint="eastAsia" w:ascii="宋体" w:hAnsi="宋体" w:cs="宋体"/>
          <w:kern w:val="0"/>
          <w:sz w:val="24"/>
        </w:rPr>
        <w:t>万元，属于</w:t>
      </w:r>
      <w:r>
        <w:rPr>
          <w:rFonts w:hint="eastAsia" w:ascii="宋体" w:hAnsi="宋体" w:cs="宋体"/>
          <w:kern w:val="0"/>
          <w:sz w:val="24"/>
          <w:u w:val="single"/>
        </w:rPr>
        <w:t xml:space="preserve">          </w:t>
      </w:r>
      <w:r>
        <w:rPr>
          <w:rFonts w:hint="eastAsia" w:ascii="宋体" w:hAnsi="宋体" w:cs="宋体"/>
          <w:kern w:val="0"/>
          <w:sz w:val="24"/>
        </w:rPr>
        <w:t>（中型企业、小型企业、微型企业）；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w:t>
      </w:r>
      <w:r>
        <w:rPr>
          <w:rFonts w:hint="eastAsia" w:ascii="宋体" w:hAnsi="宋体" w:cs="宋体"/>
          <w:kern w:val="0"/>
          <w:sz w:val="24"/>
          <w:u w:val="single"/>
        </w:rPr>
        <w:t xml:space="preserve">          </w:t>
      </w:r>
      <w:r>
        <w:rPr>
          <w:rFonts w:hint="eastAsia" w:ascii="宋体" w:hAnsi="宋体" w:cs="宋体"/>
          <w:kern w:val="0"/>
          <w:sz w:val="24"/>
        </w:rPr>
        <w:t>（标的名称） ，属于</w:t>
      </w:r>
      <w:r>
        <w:rPr>
          <w:rFonts w:hint="eastAsia" w:ascii="宋体" w:hAnsi="宋体" w:cs="宋体"/>
          <w:kern w:val="0"/>
          <w:sz w:val="24"/>
          <w:u w:val="single"/>
        </w:rPr>
        <w:t xml:space="preserve">          </w:t>
      </w:r>
      <w:r>
        <w:rPr>
          <w:rFonts w:hint="eastAsia" w:ascii="宋体" w:hAnsi="宋体" w:cs="宋体"/>
          <w:kern w:val="0"/>
          <w:sz w:val="24"/>
        </w:rPr>
        <w:t>（采购文件中明确的所属行业）行业；制造商为</w:t>
      </w:r>
      <w:r>
        <w:rPr>
          <w:rFonts w:hint="eastAsia" w:ascii="宋体" w:hAnsi="宋体" w:cs="宋体"/>
          <w:kern w:val="0"/>
          <w:sz w:val="24"/>
          <w:u w:val="single"/>
        </w:rPr>
        <w:t xml:space="preserve">          </w:t>
      </w:r>
      <w:r>
        <w:rPr>
          <w:rFonts w:hint="eastAsia" w:ascii="宋体" w:hAnsi="宋体" w:cs="宋体"/>
          <w:kern w:val="0"/>
          <w:sz w:val="24"/>
        </w:rPr>
        <w:t>（企业名称），从业人员</w:t>
      </w:r>
      <w:r>
        <w:rPr>
          <w:rFonts w:hint="eastAsia" w:ascii="宋体" w:hAnsi="宋体" w:cs="宋体"/>
          <w:kern w:val="0"/>
          <w:sz w:val="24"/>
          <w:u w:val="single"/>
        </w:rPr>
        <w:t xml:space="preserve">          </w:t>
      </w:r>
      <w:r>
        <w:rPr>
          <w:rFonts w:hint="eastAsia" w:ascii="宋体" w:hAnsi="宋体" w:cs="宋体"/>
          <w:kern w:val="0"/>
          <w:sz w:val="24"/>
        </w:rPr>
        <w:t>人，营业收入为</w:t>
      </w:r>
      <w:r>
        <w:rPr>
          <w:rFonts w:hint="eastAsia" w:ascii="宋体" w:hAnsi="宋体" w:cs="宋体"/>
          <w:kern w:val="0"/>
          <w:sz w:val="24"/>
          <w:u w:val="single"/>
        </w:rPr>
        <w:t xml:space="preserve">          </w:t>
      </w:r>
      <w:r>
        <w:rPr>
          <w:rFonts w:hint="eastAsia" w:ascii="宋体" w:hAnsi="宋体" w:cs="宋体"/>
          <w:kern w:val="0"/>
          <w:sz w:val="24"/>
        </w:rPr>
        <w:t>万元，资产总额为</w:t>
      </w:r>
      <w:r>
        <w:rPr>
          <w:rFonts w:hint="eastAsia" w:ascii="宋体" w:hAnsi="宋体" w:cs="宋体"/>
          <w:kern w:val="0"/>
          <w:sz w:val="24"/>
          <w:u w:val="single"/>
        </w:rPr>
        <w:t xml:space="preserve">          </w:t>
      </w:r>
      <w:r>
        <w:rPr>
          <w:rFonts w:hint="eastAsia" w:ascii="宋体" w:hAnsi="宋体" w:cs="宋体"/>
          <w:kern w:val="0"/>
          <w:sz w:val="24"/>
        </w:rPr>
        <w:t>万元，属于</w:t>
      </w:r>
      <w:r>
        <w:rPr>
          <w:rFonts w:hint="eastAsia" w:ascii="宋体" w:hAnsi="宋体" w:cs="宋体"/>
          <w:kern w:val="0"/>
          <w:sz w:val="24"/>
          <w:u w:val="single"/>
        </w:rPr>
        <w:t xml:space="preserve">          </w:t>
      </w:r>
      <w:r>
        <w:rPr>
          <w:rFonts w:hint="eastAsia" w:ascii="宋体" w:hAnsi="宋体" w:cs="宋体"/>
          <w:kern w:val="0"/>
          <w:sz w:val="24"/>
        </w:rPr>
        <w:t>（中型企业、小型企业、微型企业）；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hint="eastAsia" w:ascii="宋体" w:hAnsi="宋体" w:cs="宋体"/>
          <w:kern w:val="0"/>
          <w:sz w:val="24"/>
        </w:rPr>
        <w:t>以上企业，不属于大企业的分支机构，不存在控股股东为大企业的情形，也不存在与大企业的负责人为同一人的情形。</w:t>
      </w:r>
    </w:p>
    <w:p>
      <w:pPr>
        <w:widowControl/>
        <w:spacing w:line="360" w:lineRule="auto"/>
        <w:ind w:firstLine="480" w:firstLineChars="200"/>
        <w:rPr>
          <w:rFonts w:ascii="宋体" w:hAnsi="宋体" w:cs="宋体"/>
          <w:kern w:val="0"/>
          <w:sz w:val="24"/>
        </w:rPr>
      </w:pPr>
      <w:r>
        <w:rPr>
          <w:rFonts w:hint="eastAsia" w:ascii="宋体" w:hAnsi="宋体" w:cs="宋体"/>
          <w:kern w:val="0"/>
          <w:sz w:val="24"/>
        </w:rPr>
        <w:t>本企业对上述声明内容的真实性负责。如有虚假，将依法承担相应责任。</w:t>
      </w:r>
    </w:p>
    <w:p>
      <w:pPr>
        <w:widowControl/>
        <w:spacing w:line="360" w:lineRule="auto"/>
        <w:jc w:val="left"/>
        <w:rPr>
          <w:rFonts w:ascii="宋体" w:hAnsi="宋体" w:cs="宋体"/>
          <w:kern w:val="0"/>
          <w:sz w:val="24"/>
        </w:rPr>
      </w:pPr>
    </w:p>
    <w:p>
      <w:pPr>
        <w:widowControl/>
        <w:spacing w:line="400" w:lineRule="exact"/>
        <w:jc w:val="left"/>
        <w:rPr>
          <w:rFonts w:ascii="宋体" w:hAnsi="宋体" w:cs="宋体"/>
          <w:kern w:val="0"/>
          <w:sz w:val="24"/>
        </w:rPr>
      </w:pPr>
      <w:r>
        <w:rPr>
          <w:rFonts w:hint="eastAsia" w:ascii="宋体" w:hAnsi="宋体" w:cs="宋体"/>
          <w:kern w:val="0"/>
          <w:sz w:val="24"/>
        </w:rPr>
        <w:t> </w:t>
      </w:r>
    </w:p>
    <w:p>
      <w:pPr>
        <w:widowControl/>
        <w:spacing w:line="400" w:lineRule="exact"/>
        <w:jc w:val="left"/>
        <w:rPr>
          <w:rFonts w:ascii="宋体" w:hAnsi="宋体" w:cs="宋体"/>
          <w:kern w:val="0"/>
          <w:sz w:val="24"/>
        </w:rPr>
      </w:pPr>
      <w:r>
        <w:rPr>
          <w:rFonts w:hint="eastAsia" w:ascii="宋体" w:hAnsi="宋体" w:cs="宋体"/>
          <w:kern w:val="0"/>
          <w:sz w:val="24"/>
        </w:rPr>
        <w:t>　　</w:t>
      </w:r>
    </w:p>
    <w:p>
      <w:pPr>
        <w:spacing w:line="360" w:lineRule="auto"/>
        <w:ind w:firstLine="480" w:firstLineChars="200"/>
        <w:rPr>
          <w:rFonts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p>
    <w:p>
      <w:pPr>
        <w:spacing w:line="360" w:lineRule="auto"/>
        <w:ind w:firstLine="480" w:firstLineChars="200"/>
        <w:rPr>
          <w:rFonts w:ascii="宋体" w:hAnsi="宋体" w:cs="宋体"/>
          <w:sz w:val="24"/>
          <w:u w:val="single"/>
        </w:rPr>
      </w:pPr>
      <w:r>
        <w:rPr>
          <w:rFonts w:hint="eastAsia" w:ascii="宋体" w:hAnsi="宋体" w:cs="宋体"/>
          <w:sz w:val="24"/>
        </w:rPr>
        <w:t>日     期：</w:t>
      </w:r>
      <w:r>
        <w:rPr>
          <w:rFonts w:hint="eastAsia" w:ascii="宋体" w:hAnsi="宋体" w:cs="宋体"/>
          <w:sz w:val="24"/>
          <w:u w:val="single"/>
        </w:rPr>
        <w:t xml:space="preserve">                                               </w:t>
      </w:r>
    </w:p>
    <w:p>
      <w:pPr>
        <w:spacing w:line="360" w:lineRule="auto"/>
        <w:ind w:firstLine="480" w:firstLineChars="200"/>
        <w:rPr>
          <w:rFonts w:hAnsi="宋体"/>
          <w:sz w:val="24"/>
          <w:u w:val="single"/>
        </w:rPr>
      </w:pPr>
    </w:p>
    <w:p>
      <w:pPr>
        <w:pStyle w:val="2"/>
        <w:ind w:firstLine="480"/>
      </w:pPr>
      <w:r>
        <w:rPr>
          <w:rFonts w:hint="eastAsia" w:hAnsi="宋体"/>
          <w:sz w:val="24"/>
        </w:rPr>
        <w:t>注：从业人员、营业收入、资产总额填报上一年度数据，无上一年度数据的新成立企业可不填报。</w:t>
      </w:r>
    </w:p>
    <w:p>
      <w:pPr>
        <w:pStyle w:val="2"/>
        <w:ind w:firstLine="420"/>
      </w:pPr>
    </w:p>
    <w:p>
      <w:pPr>
        <w:rPr>
          <w:rFonts w:ascii="宋体" w:hAnsi="宋体" w:cs="宋体"/>
          <w:sz w:val="24"/>
        </w:rPr>
      </w:pPr>
      <w:r>
        <w:rPr>
          <w:rFonts w:ascii="宋体" w:hAnsi="宋体" w:cs="宋体"/>
          <w:sz w:val="24"/>
        </w:rPr>
        <w:br w:type="page"/>
      </w:r>
    </w:p>
    <w:p>
      <w:pPr>
        <w:pStyle w:val="4"/>
        <w:spacing w:before="120" w:after="120"/>
        <w:rPr>
          <w:rFonts w:ascii="宋体" w:hAnsi="宋体" w:cs="宋体"/>
        </w:rPr>
      </w:pPr>
      <w:r>
        <w:rPr>
          <w:rFonts w:hint="eastAsia" w:ascii="宋体" w:hAnsi="宋体" w:cs="宋体"/>
        </w:rPr>
        <w:t>残疾人福利性单位声明函</w:t>
      </w:r>
    </w:p>
    <w:p>
      <w:pPr>
        <w:spacing w:line="360" w:lineRule="auto"/>
        <w:ind w:firstLine="504" w:firstLineChars="200"/>
        <w:rPr>
          <w:rFonts w:ascii="宋体" w:hAnsi="宋体" w:cs="宋体"/>
          <w:spacing w:val="6"/>
          <w:sz w:val="24"/>
        </w:rPr>
      </w:pPr>
    </w:p>
    <w:p>
      <w:pPr>
        <w:spacing w:line="360" w:lineRule="auto"/>
        <w:ind w:firstLine="504" w:firstLineChars="200"/>
        <w:rPr>
          <w:rFonts w:ascii="宋体" w:hAnsi="宋体" w:cs="宋体"/>
          <w:spacing w:val="6"/>
          <w:sz w:val="24"/>
        </w:rPr>
      </w:pPr>
      <w:r>
        <w:rPr>
          <w:rFonts w:hint="eastAsia" w:ascii="宋体" w:hAnsi="宋体" w:cs="宋体"/>
          <w:spacing w:val="6"/>
          <w:sz w:val="24"/>
        </w:rPr>
        <w:t>本单位郑重声明，根据《财政部 民政部 中国残疾人联合会关于促进残疾人就业政府采购政策的通知》（财库</w:t>
      </w:r>
      <w:r>
        <w:rPr>
          <w:rFonts w:hint="eastAsia" w:ascii="宋体" w:hAnsi="宋体" w:cs="宋体"/>
          <w:sz w:val="24"/>
        </w:rPr>
        <w:t>〔2017〕 141</w:t>
      </w:r>
      <w:r>
        <w:rPr>
          <w:rFonts w:hint="eastAsia" w:ascii="宋体" w:hAnsi="宋体" w:cs="宋体"/>
          <w:spacing w:val="6"/>
          <w:sz w:val="24"/>
        </w:rPr>
        <w:t>号）的规定，本单位为符合条件的残疾人福利性单位，且本单位参加______单位的______项目</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包</w:t>
      </w:r>
      <w:r>
        <w:rPr>
          <w:rFonts w:hint="eastAsia" w:ascii="宋体" w:hAnsi="宋体" w:cs="宋体"/>
          <w:spacing w:val="6"/>
          <w:sz w:val="24"/>
        </w:rPr>
        <w:t>采购活动提供本单位制造的货物（由本单位承担工程/提供服务），或者提供其他残疾人福利性单位制造的货物（不包括使用非残疾人福利性单位注册商标的货物）。</w:t>
      </w:r>
    </w:p>
    <w:p>
      <w:pPr>
        <w:spacing w:line="360" w:lineRule="auto"/>
        <w:ind w:firstLine="504" w:firstLineChars="200"/>
        <w:rPr>
          <w:rFonts w:ascii="宋体" w:hAnsi="宋体" w:cs="宋体"/>
          <w:spacing w:val="6"/>
          <w:sz w:val="24"/>
        </w:rPr>
      </w:pPr>
      <w:r>
        <w:rPr>
          <w:rFonts w:hint="eastAsia" w:ascii="宋体" w:hAnsi="宋体" w:cs="宋体"/>
          <w:spacing w:val="6"/>
          <w:sz w:val="24"/>
        </w:rPr>
        <w:t>本单位对上述声明的真实性负责。如有虚假，将依法承担相应责任。</w:t>
      </w:r>
    </w:p>
    <w:p>
      <w:pPr>
        <w:spacing w:line="588" w:lineRule="exact"/>
        <w:ind w:firstLine="624" w:firstLineChars="200"/>
        <w:rPr>
          <w:rFonts w:ascii="宋体" w:hAnsi="宋体" w:cs="宋体"/>
          <w:spacing w:val="6"/>
          <w:sz w:val="30"/>
          <w:szCs w:val="30"/>
        </w:rPr>
      </w:pPr>
    </w:p>
    <w:p>
      <w:pPr>
        <w:spacing w:line="588" w:lineRule="exact"/>
        <w:ind w:firstLine="624" w:firstLineChars="200"/>
        <w:rPr>
          <w:rFonts w:ascii="宋体" w:hAnsi="宋体" w:cs="宋体"/>
          <w:spacing w:val="6"/>
          <w:sz w:val="30"/>
          <w:szCs w:val="30"/>
        </w:rPr>
      </w:pPr>
    </w:p>
    <w:p>
      <w:pPr>
        <w:widowControl/>
        <w:spacing w:line="400" w:lineRule="exact"/>
        <w:jc w:val="left"/>
        <w:rPr>
          <w:rFonts w:ascii="宋体" w:hAnsi="宋体" w:cs="宋体"/>
          <w:kern w:val="0"/>
          <w:sz w:val="24"/>
        </w:rPr>
      </w:pPr>
      <w:r>
        <w:rPr>
          <w:rFonts w:hint="eastAsia" w:ascii="宋体" w:hAnsi="宋体" w:cs="宋体"/>
          <w:spacing w:val="6"/>
          <w:sz w:val="30"/>
          <w:szCs w:val="30"/>
        </w:rPr>
        <w:t xml:space="preserve">             </w:t>
      </w:r>
    </w:p>
    <w:p>
      <w:pPr>
        <w:spacing w:line="360" w:lineRule="auto"/>
        <w:ind w:firstLine="480" w:firstLineChars="200"/>
        <w:rPr>
          <w:rFonts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p>
    <w:p>
      <w:pPr>
        <w:pStyle w:val="2"/>
        <w:ind w:firstLine="480"/>
      </w:pPr>
      <w:r>
        <w:rPr>
          <w:rFonts w:hint="eastAsia" w:ascii="宋体" w:hAnsi="宋体" w:cs="宋体"/>
          <w:sz w:val="24"/>
        </w:rPr>
        <w:t>日     期：</w:t>
      </w:r>
      <w:r>
        <w:rPr>
          <w:rFonts w:hint="eastAsia" w:ascii="宋体" w:hAnsi="宋体" w:cs="宋体"/>
          <w:sz w:val="24"/>
          <w:u w:val="single"/>
        </w:rPr>
        <w:t xml:space="preserve">                                            </w:t>
      </w:r>
    </w:p>
    <w:p>
      <w:pPr>
        <w:pStyle w:val="2"/>
        <w:ind w:firstLine="420"/>
      </w:pPr>
    </w:p>
    <w:p>
      <w:pPr>
        <w:rPr>
          <w:rFonts w:ascii="宋体" w:hAnsi="宋体" w:cs="宋体"/>
          <w:sz w:val="24"/>
        </w:rPr>
      </w:pPr>
    </w:p>
    <w:p>
      <w:pPr>
        <w:widowControl/>
        <w:spacing w:line="420" w:lineRule="exact"/>
        <w:jc w:val="left"/>
        <w:outlineLvl w:val="1"/>
        <w:rPr>
          <w:rFonts w:ascii="宋体" w:hAnsi="宋体" w:cs="宋体"/>
          <w:sz w:val="24"/>
        </w:rPr>
      </w:pPr>
    </w:p>
    <w:p>
      <w:pPr>
        <w:rPr>
          <w:rFonts w:ascii="宋体" w:hAnsi="宋体" w:cs="宋体"/>
          <w:sz w:val="24"/>
        </w:rPr>
      </w:pPr>
    </w:p>
    <w:p>
      <w:pPr>
        <w:rPr>
          <w:rFonts w:ascii="宋体" w:hAnsi="宋体" w:cs="宋体"/>
          <w:sz w:val="24"/>
        </w:rPr>
      </w:pPr>
    </w:p>
    <w:p>
      <w:pPr>
        <w:jc w:val="right"/>
        <w:rPr>
          <w:rFonts w:ascii="宋体" w:hAnsi="宋体" w:cs="宋体"/>
          <w:sz w:val="32"/>
          <w:szCs w:val="32"/>
        </w:rPr>
      </w:pPr>
      <w:r>
        <w:rPr>
          <w:rFonts w:hint="eastAsia" w:ascii="宋体" w:hAnsi="宋体" w:cs="宋体"/>
          <w:sz w:val="24"/>
        </w:rPr>
        <w:br w:type="page"/>
      </w:r>
      <w:r>
        <w:rPr>
          <w:rFonts w:hint="eastAsia" w:ascii="宋体" w:hAnsi="宋体" w:cs="宋体"/>
          <w:sz w:val="32"/>
          <w:szCs w:val="32"/>
        </w:rPr>
        <w:t>正本/副本</w:t>
      </w:r>
    </w:p>
    <w:p>
      <w:pPr>
        <w:rPr>
          <w:rFonts w:ascii="宋体" w:hAnsi="宋体" w:cs="宋体"/>
          <w:sz w:val="32"/>
          <w:szCs w:val="32"/>
        </w:rPr>
      </w:pPr>
    </w:p>
    <w:p>
      <w:pPr>
        <w:spacing w:line="360" w:lineRule="auto"/>
        <w:jc w:val="center"/>
        <w:rPr>
          <w:rFonts w:ascii="宋体" w:hAnsi="宋体" w:cs="宋体"/>
          <w:sz w:val="32"/>
          <w:szCs w:val="32"/>
        </w:rPr>
      </w:pPr>
      <w:r>
        <w:rPr>
          <w:rFonts w:hint="eastAsia" w:ascii="宋体" w:hAnsi="宋体" w:cs="宋体"/>
          <w:sz w:val="32"/>
          <w:szCs w:val="32"/>
        </w:rPr>
        <w:t>（项目名称）</w:t>
      </w:r>
    </w:p>
    <w:p>
      <w:pPr>
        <w:spacing w:line="360" w:lineRule="auto"/>
        <w:jc w:val="center"/>
        <w:rPr>
          <w:rFonts w:ascii="宋体" w:hAnsi="宋体" w:cs="宋体"/>
          <w:sz w:val="32"/>
          <w:szCs w:val="32"/>
        </w:rPr>
      </w:pPr>
      <w:r>
        <w:rPr>
          <w:rFonts w:hint="eastAsia" w:ascii="宋体" w:hAnsi="宋体" w:cs="宋体"/>
          <w:sz w:val="32"/>
          <w:szCs w:val="32"/>
        </w:rPr>
        <w:t>（招标编号：</w:t>
      </w:r>
      <w:r>
        <w:rPr>
          <w:rFonts w:hint="eastAsia" w:ascii="宋体" w:hAnsi="宋体" w:cs="宋体"/>
          <w:sz w:val="32"/>
          <w:szCs w:val="32"/>
          <w:u w:val="single"/>
        </w:rPr>
        <w:t xml:space="preserve">                 </w:t>
      </w:r>
      <w:r>
        <w:rPr>
          <w:rFonts w:hint="eastAsia" w:ascii="宋体" w:hAnsi="宋体" w:cs="宋体"/>
          <w:sz w:val="32"/>
          <w:szCs w:val="32"/>
        </w:rPr>
        <w:t>）</w:t>
      </w:r>
    </w:p>
    <w:p>
      <w:pPr>
        <w:jc w:val="center"/>
        <w:rPr>
          <w:rFonts w:ascii="宋体" w:hAnsi="宋体" w:cs="宋体"/>
          <w:b/>
          <w:bCs/>
          <w:sz w:val="32"/>
          <w:szCs w:val="32"/>
        </w:rPr>
      </w:pPr>
      <w:r>
        <w:rPr>
          <w:rFonts w:hint="eastAsia" w:ascii="宋体" w:hAnsi="宋体" w:cs="宋体"/>
          <w:b/>
          <w:bCs/>
          <w:sz w:val="32"/>
          <w:szCs w:val="32"/>
        </w:rPr>
        <w:t>第</w:t>
      </w:r>
      <w:r>
        <w:rPr>
          <w:rFonts w:hint="eastAsia" w:ascii="宋体" w:hAnsi="宋体" w:cs="宋体"/>
          <w:b/>
          <w:bCs/>
          <w:sz w:val="32"/>
          <w:szCs w:val="32"/>
          <w:u w:val="single"/>
        </w:rPr>
        <w:t xml:space="preserve">    </w:t>
      </w:r>
      <w:r>
        <w:rPr>
          <w:rFonts w:hint="eastAsia" w:ascii="宋体" w:hAnsi="宋体" w:cs="宋体"/>
          <w:b/>
          <w:bCs/>
          <w:sz w:val="32"/>
          <w:szCs w:val="32"/>
        </w:rPr>
        <w:t>包</w:t>
      </w:r>
    </w:p>
    <w:p>
      <w:pPr>
        <w:pStyle w:val="9"/>
      </w:pPr>
    </w:p>
    <w:p>
      <w:pPr>
        <w:spacing w:line="360" w:lineRule="auto"/>
        <w:jc w:val="center"/>
        <w:rPr>
          <w:rFonts w:ascii="宋体" w:hAnsi="宋体" w:cs="宋体"/>
          <w:sz w:val="84"/>
          <w:szCs w:val="84"/>
        </w:rPr>
      </w:pPr>
      <w:r>
        <w:rPr>
          <w:rFonts w:hint="eastAsia" w:ascii="宋体" w:hAnsi="宋体" w:cs="宋体"/>
          <w:sz w:val="84"/>
          <w:szCs w:val="84"/>
        </w:rPr>
        <w:t>投</w:t>
      </w:r>
    </w:p>
    <w:p>
      <w:pPr>
        <w:spacing w:line="360" w:lineRule="auto"/>
        <w:jc w:val="center"/>
        <w:rPr>
          <w:rFonts w:ascii="宋体" w:hAnsi="宋体" w:cs="宋体"/>
          <w:sz w:val="84"/>
          <w:szCs w:val="84"/>
        </w:rPr>
      </w:pPr>
      <w:r>
        <w:rPr>
          <w:rFonts w:hint="eastAsia" w:ascii="宋体" w:hAnsi="宋体" w:cs="宋体"/>
          <w:sz w:val="84"/>
          <w:szCs w:val="84"/>
        </w:rPr>
        <w:t>标</w:t>
      </w:r>
    </w:p>
    <w:p>
      <w:pPr>
        <w:spacing w:line="360" w:lineRule="auto"/>
        <w:jc w:val="center"/>
        <w:rPr>
          <w:rFonts w:ascii="宋体" w:hAnsi="宋体" w:cs="宋体"/>
          <w:sz w:val="84"/>
          <w:szCs w:val="84"/>
        </w:rPr>
      </w:pPr>
      <w:r>
        <w:rPr>
          <w:rFonts w:hint="eastAsia" w:ascii="宋体" w:hAnsi="宋体" w:cs="宋体"/>
          <w:sz w:val="84"/>
          <w:szCs w:val="84"/>
        </w:rPr>
        <w:t>文</w:t>
      </w:r>
    </w:p>
    <w:p>
      <w:pPr>
        <w:spacing w:line="360" w:lineRule="auto"/>
        <w:jc w:val="center"/>
        <w:rPr>
          <w:rFonts w:ascii="宋体" w:hAnsi="宋体" w:cs="宋体"/>
          <w:sz w:val="84"/>
          <w:szCs w:val="84"/>
        </w:rPr>
      </w:pPr>
      <w:r>
        <w:rPr>
          <w:rFonts w:hint="eastAsia" w:ascii="宋体" w:hAnsi="宋体" w:cs="宋体"/>
          <w:sz w:val="84"/>
          <w:szCs w:val="84"/>
        </w:rPr>
        <w:t>件</w:t>
      </w:r>
    </w:p>
    <w:p>
      <w:pPr>
        <w:spacing w:line="360" w:lineRule="auto"/>
        <w:jc w:val="center"/>
        <w:rPr>
          <w:rFonts w:ascii="宋体" w:hAnsi="宋体" w:cs="宋体"/>
          <w:sz w:val="44"/>
          <w:szCs w:val="44"/>
        </w:rPr>
      </w:pPr>
      <w:r>
        <w:rPr>
          <w:rFonts w:hint="eastAsia" w:ascii="宋体" w:hAnsi="宋体" w:cs="宋体"/>
          <w:sz w:val="44"/>
          <w:szCs w:val="44"/>
        </w:rPr>
        <w:t>（其他材料）</w:t>
      </w:r>
    </w:p>
    <w:p>
      <w:pPr>
        <w:spacing w:line="360" w:lineRule="auto"/>
        <w:jc w:val="center"/>
        <w:rPr>
          <w:rFonts w:ascii="宋体" w:hAnsi="宋体" w:cs="宋体"/>
          <w:sz w:val="32"/>
          <w:szCs w:val="32"/>
        </w:rPr>
      </w:pPr>
    </w:p>
    <w:p>
      <w:pPr>
        <w:spacing w:line="360" w:lineRule="auto"/>
        <w:jc w:val="center"/>
        <w:rPr>
          <w:rFonts w:ascii="宋体" w:hAnsi="宋体" w:cs="宋体"/>
          <w:sz w:val="32"/>
          <w:szCs w:val="32"/>
        </w:rPr>
      </w:pPr>
      <w:r>
        <w:rPr>
          <w:rFonts w:hint="eastAsia" w:ascii="宋体" w:hAnsi="宋体" w:cs="宋体"/>
          <w:sz w:val="32"/>
          <w:szCs w:val="32"/>
        </w:rPr>
        <w:t>投标人名称：</w:t>
      </w:r>
    </w:p>
    <w:p>
      <w:pPr>
        <w:spacing w:line="360" w:lineRule="auto"/>
        <w:jc w:val="center"/>
        <w:rPr>
          <w:rFonts w:ascii="宋体" w:hAnsi="宋体" w:cs="宋体"/>
          <w:sz w:val="32"/>
          <w:szCs w:val="32"/>
        </w:rPr>
      </w:pPr>
      <w:r>
        <w:rPr>
          <w:rFonts w:hint="eastAsia" w:ascii="宋体" w:hAnsi="宋体" w:cs="宋体"/>
          <w:sz w:val="32"/>
          <w:szCs w:val="32"/>
        </w:rPr>
        <w:t>投标日期：</w:t>
      </w:r>
    </w:p>
    <w:p>
      <w:pPr>
        <w:jc w:val="center"/>
        <w:rPr>
          <w:rFonts w:ascii="宋体" w:hAnsi="宋体" w:cs="宋体"/>
          <w:sz w:val="28"/>
          <w:szCs w:val="28"/>
        </w:rPr>
      </w:pPr>
      <w:r>
        <w:rPr>
          <w:rFonts w:hint="eastAsia" w:ascii="宋体" w:hAnsi="宋体" w:cs="宋体"/>
          <w:sz w:val="24"/>
        </w:rPr>
        <w:br w:type="page"/>
      </w:r>
      <w:r>
        <w:rPr>
          <w:rFonts w:hint="eastAsia" w:ascii="宋体" w:hAnsi="宋体" w:cs="宋体"/>
          <w:sz w:val="28"/>
          <w:szCs w:val="28"/>
        </w:rPr>
        <w:t>目录</w:t>
      </w:r>
    </w:p>
    <w:p>
      <w:pPr>
        <w:jc w:val="center"/>
        <w:rPr>
          <w:rFonts w:ascii="宋体" w:hAnsi="宋体" w:cs="宋体"/>
          <w:sz w:val="28"/>
          <w:szCs w:val="28"/>
        </w:rPr>
      </w:pPr>
      <w:r>
        <w:rPr>
          <w:rFonts w:hint="eastAsia" w:ascii="宋体" w:hAnsi="宋体" w:cs="宋体"/>
          <w:sz w:val="28"/>
          <w:szCs w:val="28"/>
        </w:rPr>
        <w:t>（自拟）</w:t>
      </w:r>
    </w:p>
    <w:p>
      <w:pPr>
        <w:pStyle w:val="4"/>
        <w:spacing w:before="120" w:after="120"/>
        <w:rPr>
          <w:rFonts w:ascii="宋体" w:hAnsi="宋体" w:cs="宋体"/>
        </w:rPr>
      </w:pPr>
      <w:r>
        <w:rPr>
          <w:rFonts w:hint="eastAsia" w:ascii="宋体" w:hAnsi="宋体" w:cs="宋体"/>
        </w:rPr>
        <w:br w:type="page"/>
      </w:r>
      <w:r>
        <w:rPr>
          <w:rFonts w:hint="eastAsia" w:ascii="宋体" w:hAnsi="宋体" w:cs="宋体"/>
        </w:rPr>
        <w:t>第一部分 报价部分</w:t>
      </w:r>
    </w:p>
    <w:p>
      <w:pPr>
        <w:pStyle w:val="5"/>
        <w:ind w:left="420"/>
        <w:jc w:val="center"/>
        <w:rPr>
          <w:rFonts w:ascii="宋体" w:hAnsi="宋体" w:cs="宋体"/>
        </w:rPr>
      </w:pPr>
      <w:r>
        <w:rPr>
          <w:rFonts w:hint="eastAsia" w:ascii="宋体" w:hAnsi="宋体" w:cs="宋体"/>
        </w:rPr>
        <w:t>一、开标一览表（实质性要求）</w:t>
      </w:r>
    </w:p>
    <w:p>
      <w:pPr>
        <w:rPr>
          <w:rFonts w:ascii="宋体" w:hAnsi="宋体" w:cs="宋体"/>
        </w:rPr>
      </w:pPr>
    </w:p>
    <w:tbl>
      <w:tblPr>
        <w:tblStyle w:val="21"/>
        <w:tblW w:w="10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1256"/>
        <w:gridCol w:w="992"/>
        <w:gridCol w:w="1252"/>
        <w:gridCol w:w="1252"/>
        <w:gridCol w:w="1252"/>
        <w:gridCol w:w="1276"/>
        <w:gridCol w:w="1783"/>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723" w:type="dxa"/>
            <w:gridSpan w:val="2"/>
            <w:vAlign w:val="center"/>
          </w:tcPr>
          <w:p>
            <w:pPr>
              <w:widowControl/>
              <w:spacing w:line="360" w:lineRule="auto"/>
              <w:jc w:val="center"/>
              <w:rPr>
                <w:rFonts w:ascii="宋体" w:hAnsi="宋体" w:cs="宋体"/>
                <w:kern w:val="0"/>
                <w:sz w:val="24"/>
              </w:rPr>
            </w:pPr>
            <w:r>
              <w:rPr>
                <w:rFonts w:hint="eastAsia" w:ascii="宋体" w:hAnsi="宋体" w:cs="宋体"/>
                <w:kern w:val="0"/>
                <w:sz w:val="24"/>
              </w:rPr>
              <w:t>项目名称</w:t>
            </w:r>
          </w:p>
        </w:tc>
        <w:tc>
          <w:tcPr>
            <w:tcW w:w="9000" w:type="dxa"/>
            <w:gridSpan w:val="7"/>
          </w:tcPr>
          <w:p>
            <w:pPr>
              <w:widowControl/>
              <w:spacing w:line="360" w:lineRule="auto"/>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23" w:type="dxa"/>
            <w:gridSpan w:val="2"/>
            <w:vAlign w:val="center"/>
          </w:tcPr>
          <w:p>
            <w:pPr>
              <w:widowControl/>
              <w:spacing w:line="360" w:lineRule="auto"/>
              <w:jc w:val="center"/>
              <w:rPr>
                <w:rFonts w:ascii="宋体" w:hAnsi="宋体" w:cs="宋体"/>
                <w:kern w:val="0"/>
                <w:sz w:val="24"/>
              </w:rPr>
            </w:pPr>
            <w:r>
              <w:rPr>
                <w:rFonts w:hint="eastAsia" w:ascii="宋体" w:hAnsi="宋体" w:cs="宋体"/>
                <w:kern w:val="0"/>
                <w:sz w:val="24"/>
              </w:rPr>
              <w:t>采购编号</w:t>
            </w:r>
          </w:p>
        </w:tc>
        <w:tc>
          <w:tcPr>
            <w:tcW w:w="9000" w:type="dxa"/>
            <w:gridSpan w:val="7"/>
          </w:tcPr>
          <w:p>
            <w:pPr>
              <w:widowControl/>
              <w:spacing w:line="360" w:lineRule="auto"/>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23" w:type="dxa"/>
            <w:gridSpan w:val="2"/>
            <w:vAlign w:val="center"/>
          </w:tcPr>
          <w:p>
            <w:pPr>
              <w:widowControl/>
              <w:spacing w:line="360" w:lineRule="auto"/>
              <w:jc w:val="center"/>
              <w:rPr>
                <w:rFonts w:ascii="宋体" w:hAnsi="宋体" w:cs="宋体"/>
                <w:kern w:val="0"/>
                <w:sz w:val="24"/>
              </w:rPr>
            </w:pPr>
            <w:r>
              <w:rPr>
                <w:rFonts w:hint="eastAsia" w:ascii="宋体" w:hAnsi="宋体" w:cs="宋体"/>
                <w:kern w:val="0"/>
                <w:sz w:val="24"/>
              </w:rPr>
              <w:t>包    号</w:t>
            </w:r>
          </w:p>
        </w:tc>
        <w:tc>
          <w:tcPr>
            <w:tcW w:w="9000" w:type="dxa"/>
            <w:gridSpan w:val="7"/>
          </w:tcPr>
          <w:p>
            <w:pPr>
              <w:widowControl/>
              <w:spacing w:line="360" w:lineRule="auto"/>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467" w:type="dxa"/>
            <w:vAlign w:val="center"/>
          </w:tcPr>
          <w:p>
            <w:pPr>
              <w:widowControl/>
              <w:spacing w:line="360" w:lineRule="auto"/>
              <w:jc w:val="center"/>
              <w:rPr>
                <w:rFonts w:ascii="宋体" w:hAnsi="宋体" w:cs="宋体"/>
                <w:bCs/>
                <w:kern w:val="0"/>
                <w:sz w:val="24"/>
              </w:rPr>
            </w:pPr>
            <w:r>
              <w:rPr>
                <w:rFonts w:hint="eastAsia" w:ascii="宋体" w:hAnsi="宋体" w:cs="宋体"/>
                <w:bCs/>
                <w:kern w:val="0"/>
                <w:sz w:val="24"/>
              </w:rPr>
              <w:t>序号</w:t>
            </w:r>
          </w:p>
        </w:tc>
        <w:tc>
          <w:tcPr>
            <w:tcW w:w="1256" w:type="dxa"/>
            <w:vAlign w:val="center"/>
          </w:tcPr>
          <w:p>
            <w:pPr>
              <w:widowControl/>
              <w:spacing w:line="360" w:lineRule="auto"/>
              <w:jc w:val="center"/>
              <w:rPr>
                <w:rFonts w:ascii="宋体" w:hAnsi="宋体" w:cs="宋体"/>
                <w:bCs/>
                <w:kern w:val="0"/>
                <w:sz w:val="24"/>
              </w:rPr>
            </w:pPr>
            <w:r>
              <w:rPr>
                <w:rFonts w:hint="eastAsia" w:ascii="宋体" w:hAnsi="宋体" w:cs="宋体"/>
                <w:bCs/>
                <w:kern w:val="0"/>
                <w:sz w:val="24"/>
              </w:rPr>
              <w:t>产品名称</w:t>
            </w:r>
          </w:p>
        </w:tc>
        <w:tc>
          <w:tcPr>
            <w:tcW w:w="992" w:type="dxa"/>
            <w:vAlign w:val="center"/>
          </w:tcPr>
          <w:p>
            <w:pPr>
              <w:spacing w:line="400" w:lineRule="exact"/>
              <w:jc w:val="center"/>
              <w:rPr>
                <w:rFonts w:ascii="宋体" w:hAnsi="宋体" w:cs="宋体"/>
                <w:bCs/>
                <w:kern w:val="0"/>
                <w:sz w:val="24"/>
              </w:rPr>
            </w:pPr>
            <w:r>
              <w:rPr>
                <w:rFonts w:hint="eastAsia" w:ascii="宋体" w:hAnsi="宋体" w:cs="宋体"/>
                <w:sz w:val="24"/>
                <w:szCs w:val="28"/>
              </w:rPr>
              <w:t>单位</w:t>
            </w:r>
          </w:p>
        </w:tc>
        <w:tc>
          <w:tcPr>
            <w:tcW w:w="1252" w:type="dxa"/>
            <w:vAlign w:val="center"/>
          </w:tcPr>
          <w:p>
            <w:pPr>
              <w:spacing w:line="400" w:lineRule="exact"/>
              <w:jc w:val="center"/>
              <w:rPr>
                <w:rFonts w:ascii="宋体" w:hAnsi="宋体" w:cs="宋体"/>
                <w:sz w:val="24"/>
                <w:szCs w:val="28"/>
              </w:rPr>
            </w:pPr>
            <w:r>
              <w:rPr>
                <w:rFonts w:hint="eastAsia" w:ascii="宋体" w:hAnsi="宋体" w:cs="宋体"/>
                <w:sz w:val="24"/>
                <w:szCs w:val="28"/>
              </w:rPr>
              <w:t>数量</w:t>
            </w:r>
          </w:p>
        </w:tc>
        <w:tc>
          <w:tcPr>
            <w:tcW w:w="1252" w:type="dxa"/>
            <w:vAlign w:val="center"/>
          </w:tcPr>
          <w:p>
            <w:pPr>
              <w:spacing w:line="400" w:lineRule="exact"/>
              <w:jc w:val="center"/>
              <w:rPr>
                <w:rFonts w:ascii="宋体" w:hAnsi="宋体" w:cs="宋体"/>
                <w:sz w:val="24"/>
                <w:szCs w:val="28"/>
              </w:rPr>
            </w:pPr>
            <w:r>
              <w:rPr>
                <w:rFonts w:hint="eastAsia" w:ascii="宋体" w:hAnsi="宋体" w:cs="宋体"/>
                <w:sz w:val="24"/>
                <w:szCs w:val="28"/>
              </w:rPr>
              <w:t>单价（元）</w:t>
            </w:r>
          </w:p>
        </w:tc>
        <w:tc>
          <w:tcPr>
            <w:tcW w:w="1252" w:type="dxa"/>
            <w:vAlign w:val="center"/>
          </w:tcPr>
          <w:p>
            <w:pPr>
              <w:spacing w:line="400" w:lineRule="exact"/>
              <w:jc w:val="center"/>
              <w:rPr>
                <w:rFonts w:ascii="宋体" w:hAnsi="宋体" w:cs="宋体"/>
                <w:sz w:val="24"/>
              </w:rPr>
            </w:pPr>
            <w:r>
              <w:rPr>
                <w:rFonts w:hint="eastAsia" w:ascii="宋体" w:hAnsi="宋体" w:cs="宋体"/>
                <w:sz w:val="24"/>
                <w:szCs w:val="28"/>
              </w:rPr>
              <w:t>合价（元）</w:t>
            </w:r>
          </w:p>
        </w:tc>
        <w:tc>
          <w:tcPr>
            <w:tcW w:w="1276" w:type="dxa"/>
            <w:vAlign w:val="center"/>
          </w:tcPr>
          <w:p>
            <w:pPr>
              <w:spacing w:line="400" w:lineRule="exact"/>
              <w:jc w:val="center"/>
              <w:rPr>
                <w:rFonts w:ascii="宋体" w:hAnsi="宋体" w:cs="宋体"/>
                <w:bCs/>
                <w:kern w:val="0"/>
                <w:sz w:val="24"/>
              </w:rPr>
            </w:pPr>
            <w:r>
              <w:rPr>
                <w:rFonts w:hint="eastAsia" w:ascii="宋体" w:hAnsi="宋体" w:cs="宋体"/>
                <w:sz w:val="24"/>
                <w:szCs w:val="28"/>
              </w:rPr>
              <w:t>交货地点</w:t>
            </w:r>
          </w:p>
        </w:tc>
        <w:tc>
          <w:tcPr>
            <w:tcW w:w="1783" w:type="dxa"/>
            <w:vAlign w:val="center"/>
          </w:tcPr>
          <w:p>
            <w:pPr>
              <w:widowControl/>
              <w:spacing w:line="360" w:lineRule="auto"/>
              <w:jc w:val="center"/>
              <w:rPr>
                <w:rFonts w:ascii="宋体" w:hAnsi="宋体" w:cs="宋体"/>
                <w:sz w:val="24"/>
              </w:rPr>
            </w:pPr>
            <w:r>
              <w:rPr>
                <w:rFonts w:hint="eastAsia" w:ascii="宋体" w:hAnsi="宋体" w:cs="宋体"/>
                <w:sz w:val="24"/>
                <w:szCs w:val="28"/>
              </w:rPr>
              <w:t>交货时间</w:t>
            </w:r>
          </w:p>
        </w:tc>
        <w:tc>
          <w:tcPr>
            <w:tcW w:w="1193" w:type="dxa"/>
            <w:vAlign w:val="center"/>
          </w:tcPr>
          <w:p>
            <w:pPr>
              <w:widowControl/>
              <w:spacing w:line="360" w:lineRule="auto"/>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67" w:type="dxa"/>
            <w:vAlign w:val="center"/>
          </w:tcPr>
          <w:p>
            <w:pPr>
              <w:widowControl/>
              <w:spacing w:line="360" w:lineRule="auto"/>
              <w:jc w:val="center"/>
              <w:rPr>
                <w:rFonts w:ascii="宋体" w:hAnsi="宋体" w:cs="宋体"/>
                <w:bCs/>
                <w:kern w:val="0"/>
                <w:sz w:val="24"/>
              </w:rPr>
            </w:pPr>
            <w:r>
              <w:rPr>
                <w:rFonts w:hint="eastAsia" w:ascii="宋体" w:hAnsi="宋体" w:cs="宋体"/>
                <w:bCs/>
                <w:kern w:val="0"/>
                <w:sz w:val="24"/>
              </w:rPr>
              <w:t>1</w:t>
            </w:r>
          </w:p>
        </w:tc>
        <w:tc>
          <w:tcPr>
            <w:tcW w:w="1256" w:type="dxa"/>
            <w:vAlign w:val="center"/>
          </w:tcPr>
          <w:p>
            <w:pPr>
              <w:widowControl/>
              <w:spacing w:line="360" w:lineRule="auto"/>
              <w:jc w:val="center"/>
              <w:rPr>
                <w:rFonts w:ascii="宋体" w:hAnsi="宋体" w:cs="宋体"/>
                <w:bCs/>
                <w:kern w:val="0"/>
                <w:sz w:val="24"/>
              </w:rPr>
            </w:pPr>
          </w:p>
        </w:tc>
        <w:tc>
          <w:tcPr>
            <w:tcW w:w="992" w:type="dxa"/>
            <w:vAlign w:val="center"/>
          </w:tcPr>
          <w:p>
            <w:pPr>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76" w:type="dxa"/>
            <w:vMerge w:val="restart"/>
            <w:vAlign w:val="center"/>
          </w:tcPr>
          <w:p>
            <w:pPr>
              <w:widowControl/>
              <w:spacing w:line="360" w:lineRule="auto"/>
              <w:jc w:val="center"/>
              <w:rPr>
                <w:rFonts w:ascii="宋体" w:hAnsi="宋体" w:cs="宋体"/>
                <w:b/>
                <w:bCs/>
                <w:kern w:val="0"/>
                <w:sz w:val="24"/>
              </w:rPr>
            </w:pPr>
          </w:p>
        </w:tc>
        <w:tc>
          <w:tcPr>
            <w:tcW w:w="1783" w:type="dxa"/>
            <w:vMerge w:val="restart"/>
            <w:vAlign w:val="center"/>
          </w:tcPr>
          <w:p>
            <w:pPr>
              <w:widowControl/>
              <w:spacing w:line="360" w:lineRule="auto"/>
              <w:jc w:val="center"/>
              <w:rPr>
                <w:rFonts w:ascii="宋体" w:hAnsi="宋体" w:cs="宋体"/>
                <w:sz w:val="24"/>
              </w:rPr>
            </w:pPr>
          </w:p>
        </w:tc>
        <w:tc>
          <w:tcPr>
            <w:tcW w:w="1193" w:type="dxa"/>
            <w:vAlign w:val="center"/>
          </w:tcPr>
          <w:p>
            <w:pPr>
              <w:widowControl/>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467" w:type="dxa"/>
            <w:vAlign w:val="center"/>
          </w:tcPr>
          <w:p>
            <w:pPr>
              <w:widowControl/>
              <w:spacing w:line="360" w:lineRule="auto"/>
              <w:jc w:val="center"/>
              <w:rPr>
                <w:rFonts w:ascii="宋体" w:hAnsi="宋体" w:cs="宋体"/>
                <w:bCs/>
                <w:kern w:val="0"/>
                <w:sz w:val="24"/>
              </w:rPr>
            </w:pPr>
            <w:r>
              <w:rPr>
                <w:rFonts w:hint="eastAsia" w:ascii="宋体" w:hAnsi="宋体" w:cs="宋体"/>
                <w:bCs/>
                <w:kern w:val="0"/>
                <w:sz w:val="24"/>
              </w:rPr>
              <w:t>2</w:t>
            </w:r>
          </w:p>
        </w:tc>
        <w:tc>
          <w:tcPr>
            <w:tcW w:w="1256" w:type="dxa"/>
            <w:vAlign w:val="center"/>
          </w:tcPr>
          <w:p>
            <w:pPr>
              <w:widowControl/>
              <w:spacing w:line="360" w:lineRule="auto"/>
              <w:jc w:val="center"/>
              <w:rPr>
                <w:rFonts w:ascii="宋体" w:hAnsi="宋体" w:cs="宋体"/>
                <w:bCs/>
                <w:kern w:val="0"/>
                <w:sz w:val="24"/>
              </w:rPr>
            </w:pPr>
          </w:p>
        </w:tc>
        <w:tc>
          <w:tcPr>
            <w:tcW w:w="992" w:type="dxa"/>
            <w:vAlign w:val="center"/>
          </w:tcPr>
          <w:p>
            <w:pPr>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76" w:type="dxa"/>
            <w:vMerge w:val="continue"/>
            <w:vAlign w:val="center"/>
          </w:tcPr>
          <w:p>
            <w:pPr>
              <w:widowControl/>
              <w:spacing w:line="360" w:lineRule="auto"/>
              <w:jc w:val="center"/>
              <w:rPr>
                <w:rFonts w:ascii="宋体" w:hAnsi="宋体" w:cs="宋体"/>
                <w:b/>
                <w:bCs/>
                <w:kern w:val="0"/>
                <w:sz w:val="24"/>
              </w:rPr>
            </w:pPr>
          </w:p>
        </w:tc>
        <w:tc>
          <w:tcPr>
            <w:tcW w:w="1783" w:type="dxa"/>
            <w:vMerge w:val="continue"/>
            <w:vAlign w:val="center"/>
          </w:tcPr>
          <w:p>
            <w:pPr>
              <w:widowControl/>
              <w:spacing w:line="360" w:lineRule="auto"/>
              <w:jc w:val="center"/>
              <w:rPr>
                <w:rFonts w:ascii="宋体" w:hAnsi="宋体" w:cs="宋体"/>
                <w:sz w:val="24"/>
              </w:rPr>
            </w:pPr>
          </w:p>
        </w:tc>
        <w:tc>
          <w:tcPr>
            <w:tcW w:w="1193" w:type="dxa"/>
            <w:vAlign w:val="center"/>
          </w:tcPr>
          <w:p>
            <w:pPr>
              <w:widowControl/>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467" w:type="dxa"/>
            <w:vAlign w:val="center"/>
          </w:tcPr>
          <w:p>
            <w:pPr>
              <w:widowControl/>
              <w:spacing w:line="360" w:lineRule="auto"/>
              <w:jc w:val="center"/>
              <w:rPr>
                <w:rFonts w:ascii="宋体" w:hAnsi="宋体" w:cs="宋体"/>
                <w:bCs/>
                <w:kern w:val="0"/>
                <w:sz w:val="24"/>
              </w:rPr>
            </w:pPr>
            <w:r>
              <w:rPr>
                <w:rFonts w:hint="eastAsia" w:ascii="宋体" w:hAnsi="宋体" w:cs="宋体"/>
                <w:bCs/>
                <w:kern w:val="0"/>
                <w:sz w:val="24"/>
              </w:rPr>
              <w:t>3</w:t>
            </w:r>
          </w:p>
        </w:tc>
        <w:tc>
          <w:tcPr>
            <w:tcW w:w="1256" w:type="dxa"/>
            <w:vAlign w:val="center"/>
          </w:tcPr>
          <w:p>
            <w:pPr>
              <w:widowControl/>
              <w:spacing w:line="360" w:lineRule="auto"/>
              <w:jc w:val="center"/>
              <w:rPr>
                <w:rFonts w:ascii="宋体" w:hAnsi="宋体" w:cs="宋体"/>
                <w:bCs/>
                <w:kern w:val="0"/>
                <w:sz w:val="24"/>
              </w:rPr>
            </w:pPr>
          </w:p>
        </w:tc>
        <w:tc>
          <w:tcPr>
            <w:tcW w:w="992" w:type="dxa"/>
            <w:vAlign w:val="center"/>
          </w:tcPr>
          <w:p>
            <w:pPr>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76" w:type="dxa"/>
            <w:vMerge w:val="continue"/>
            <w:vAlign w:val="center"/>
          </w:tcPr>
          <w:p>
            <w:pPr>
              <w:widowControl/>
              <w:spacing w:line="360" w:lineRule="auto"/>
              <w:jc w:val="center"/>
              <w:rPr>
                <w:rFonts w:ascii="宋体" w:hAnsi="宋体" w:cs="宋体"/>
                <w:b/>
                <w:bCs/>
                <w:kern w:val="0"/>
                <w:sz w:val="24"/>
              </w:rPr>
            </w:pPr>
          </w:p>
        </w:tc>
        <w:tc>
          <w:tcPr>
            <w:tcW w:w="1783" w:type="dxa"/>
            <w:vMerge w:val="continue"/>
            <w:vAlign w:val="center"/>
          </w:tcPr>
          <w:p>
            <w:pPr>
              <w:widowControl/>
              <w:spacing w:line="360" w:lineRule="auto"/>
              <w:jc w:val="center"/>
              <w:rPr>
                <w:rFonts w:ascii="宋体" w:hAnsi="宋体" w:cs="宋体"/>
                <w:sz w:val="24"/>
              </w:rPr>
            </w:pPr>
          </w:p>
        </w:tc>
        <w:tc>
          <w:tcPr>
            <w:tcW w:w="1193" w:type="dxa"/>
            <w:vAlign w:val="center"/>
          </w:tcPr>
          <w:p>
            <w:pPr>
              <w:widowControl/>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67" w:type="dxa"/>
            <w:vAlign w:val="center"/>
          </w:tcPr>
          <w:p>
            <w:pPr>
              <w:widowControl/>
              <w:spacing w:line="360" w:lineRule="auto"/>
              <w:jc w:val="center"/>
              <w:rPr>
                <w:rFonts w:ascii="宋体" w:hAnsi="宋体" w:cs="宋体"/>
                <w:bCs/>
                <w:kern w:val="0"/>
                <w:sz w:val="24"/>
              </w:rPr>
            </w:pPr>
            <w:r>
              <w:rPr>
                <w:rFonts w:ascii="宋体" w:hAnsi="宋体" w:cs="宋体"/>
                <w:bCs/>
                <w:kern w:val="0"/>
                <w:sz w:val="24"/>
              </w:rPr>
              <w:t>…</w:t>
            </w:r>
          </w:p>
        </w:tc>
        <w:tc>
          <w:tcPr>
            <w:tcW w:w="1256" w:type="dxa"/>
            <w:vAlign w:val="center"/>
          </w:tcPr>
          <w:p>
            <w:pPr>
              <w:widowControl/>
              <w:spacing w:line="360" w:lineRule="auto"/>
              <w:jc w:val="center"/>
              <w:rPr>
                <w:rFonts w:ascii="宋体" w:hAnsi="宋体" w:cs="宋体"/>
                <w:bCs/>
                <w:kern w:val="0"/>
                <w:sz w:val="24"/>
              </w:rPr>
            </w:pPr>
          </w:p>
        </w:tc>
        <w:tc>
          <w:tcPr>
            <w:tcW w:w="992" w:type="dxa"/>
            <w:vAlign w:val="center"/>
          </w:tcPr>
          <w:p>
            <w:pPr>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52" w:type="dxa"/>
            <w:vAlign w:val="center"/>
          </w:tcPr>
          <w:p>
            <w:pPr>
              <w:widowControl/>
              <w:spacing w:line="360" w:lineRule="auto"/>
              <w:jc w:val="center"/>
              <w:rPr>
                <w:rFonts w:ascii="宋体" w:hAnsi="宋体" w:cs="宋体"/>
                <w:bCs/>
                <w:kern w:val="0"/>
                <w:sz w:val="24"/>
              </w:rPr>
            </w:pPr>
          </w:p>
        </w:tc>
        <w:tc>
          <w:tcPr>
            <w:tcW w:w="1276" w:type="dxa"/>
            <w:vMerge w:val="continue"/>
            <w:vAlign w:val="center"/>
          </w:tcPr>
          <w:p>
            <w:pPr>
              <w:widowControl/>
              <w:spacing w:line="360" w:lineRule="auto"/>
              <w:jc w:val="center"/>
              <w:rPr>
                <w:rFonts w:ascii="宋体" w:hAnsi="宋体" w:cs="宋体"/>
                <w:b/>
                <w:bCs/>
                <w:kern w:val="0"/>
                <w:sz w:val="24"/>
              </w:rPr>
            </w:pPr>
          </w:p>
        </w:tc>
        <w:tc>
          <w:tcPr>
            <w:tcW w:w="1783" w:type="dxa"/>
            <w:vMerge w:val="continue"/>
            <w:vAlign w:val="center"/>
          </w:tcPr>
          <w:p>
            <w:pPr>
              <w:widowControl/>
              <w:spacing w:line="360" w:lineRule="auto"/>
              <w:jc w:val="center"/>
              <w:rPr>
                <w:rFonts w:ascii="宋体" w:hAnsi="宋体" w:cs="宋体"/>
                <w:sz w:val="24"/>
              </w:rPr>
            </w:pPr>
          </w:p>
        </w:tc>
        <w:tc>
          <w:tcPr>
            <w:tcW w:w="1193" w:type="dxa"/>
            <w:vAlign w:val="center"/>
          </w:tcPr>
          <w:p>
            <w:pPr>
              <w:widowControl/>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3" w:type="dxa"/>
            <w:gridSpan w:val="2"/>
            <w:vAlign w:val="center"/>
          </w:tcPr>
          <w:p>
            <w:pPr>
              <w:widowControl/>
              <w:spacing w:line="360" w:lineRule="auto"/>
              <w:jc w:val="center"/>
              <w:rPr>
                <w:rFonts w:ascii="宋体" w:hAnsi="宋体" w:cs="宋体"/>
                <w:bCs/>
                <w:kern w:val="0"/>
                <w:sz w:val="24"/>
              </w:rPr>
            </w:pPr>
            <w:r>
              <w:rPr>
                <w:rFonts w:hint="eastAsia" w:ascii="宋体" w:hAnsi="宋体" w:cs="宋体"/>
                <w:bCs/>
                <w:kern w:val="0"/>
                <w:sz w:val="24"/>
              </w:rPr>
              <w:t>投标总价（元）</w:t>
            </w:r>
          </w:p>
        </w:tc>
        <w:tc>
          <w:tcPr>
            <w:tcW w:w="9000" w:type="dxa"/>
            <w:gridSpan w:val="7"/>
            <w:vAlign w:val="center"/>
          </w:tcPr>
          <w:p>
            <w:pPr>
              <w:widowControl/>
              <w:spacing w:line="360" w:lineRule="auto"/>
              <w:jc w:val="center"/>
              <w:rPr>
                <w:rFonts w:ascii="宋体" w:hAnsi="宋体" w:cs="宋体"/>
                <w:sz w:val="24"/>
              </w:rPr>
            </w:pPr>
            <w:r>
              <w:rPr>
                <w:rFonts w:hint="eastAsia" w:ascii="宋体" w:hAnsi="宋体" w:cs="宋体"/>
                <w:sz w:val="24"/>
              </w:rPr>
              <w:t xml:space="preserve">小写： </w:t>
            </w:r>
            <w:r>
              <w:rPr>
                <w:rFonts w:ascii="宋体" w:hAnsi="宋体" w:cs="宋体"/>
                <w:sz w:val="24"/>
              </w:rPr>
              <w:t xml:space="preserve">        </w:t>
            </w:r>
            <w:r>
              <w:rPr>
                <w:rFonts w:hint="eastAsia" w:ascii="宋体" w:hAnsi="宋体" w:cs="宋体"/>
                <w:sz w:val="24"/>
              </w:rPr>
              <w:t xml:space="preserve">（大写： </w:t>
            </w:r>
            <w:r>
              <w:rPr>
                <w:rFonts w:ascii="宋体" w:hAnsi="宋体" w:cs="宋体"/>
                <w:sz w:val="24"/>
              </w:rPr>
              <w:t xml:space="preserve">               </w:t>
            </w:r>
            <w:r>
              <w:rPr>
                <w:rFonts w:hint="eastAsia" w:ascii="宋体" w:hAnsi="宋体" w:cs="宋体"/>
                <w:sz w:val="24"/>
              </w:rPr>
              <w:t>）</w:t>
            </w:r>
          </w:p>
        </w:tc>
      </w:tr>
    </w:tbl>
    <w:p>
      <w:pPr>
        <w:spacing w:line="360" w:lineRule="auto"/>
        <w:rPr>
          <w:rFonts w:ascii="宋体" w:hAnsi="宋体" w:cs="宋体"/>
          <w:sz w:val="24"/>
        </w:rPr>
      </w:pPr>
    </w:p>
    <w:p>
      <w:pPr>
        <w:widowControl/>
        <w:spacing w:line="360" w:lineRule="auto"/>
        <w:ind w:firstLine="470" w:firstLineChars="196"/>
        <w:jc w:val="left"/>
        <w:outlineLvl w:val="1"/>
        <w:rPr>
          <w:rFonts w:ascii="宋体"/>
          <w:sz w:val="24"/>
        </w:rPr>
      </w:pPr>
      <w:r>
        <w:rPr>
          <w:rFonts w:hint="eastAsia" w:ascii="宋体" w:hAnsi="宋体"/>
          <w:sz w:val="24"/>
        </w:rPr>
        <w:t>注：1.</w:t>
      </w:r>
      <w:r>
        <w:rPr>
          <w:rFonts w:hint="eastAsia" w:ascii="宋体"/>
          <w:sz w:val="24"/>
        </w:rPr>
        <w:t>报价应是完成本项目全部工作内容的价格体现，包括但不限于投标产品、辅助材料、备品备件、包装、运输、安装、调试、检测、验收合格交付使用之前及保修期内保修服务与备用物件、人工、搬运、责任风险费用、管理费、税金等一切费用。</w:t>
      </w:r>
    </w:p>
    <w:p>
      <w:pPr>
        <w:widowControl/>
        <w:spacing w:line="360" w:lineRule="auto"/>
        <w:ind w:firstLine="470" w:firstLineChars="196"/>
        <w:jc w:val="left"/>
        <w:outlineLvl w:val="1"/>
        <w:rPr>
          <w:rFonts w:ascii="宋体" w:hAnsi="宋体"/>
          <w:sz w:val="24"/>
        </w:rPr>
      </w:pPr>
      <w:r>
        <w:rPr>
          <w:rFonts w:hint="eastAsia" w:ascii="宋体" w:hAnsi="宋体"/>
          <w:sz w:val="24"/>
        </w:rPr>
        <w:t>2.开标一览表为多页的，每页均须由法定代表人或授权代表签字或加盖个人名章，每页均须加盖投标人单位公章。</w:t>
      </w:r>
    </w:p>
    <w:p>
      <w:pPr>
        <w:widowControl/>
        <w:spacing w:line="360" w:lineRule="atLeast"/>
        <w:ind w:firstLine="470" w:firstLineChars="196"/>
        <w:jc w:val="left"/>
        <w:outlineLvl w:val="1"/>
        <w:rPr>
          <w:rFonts w:ascii="宋体" w:hAnsi="宋体" w:cs="宋体"/>
          <w:sz w:val="24"/>
        </w:rPr>
      </w:pPr>
    </w:p>
    <w:p>
      <w:pPr>
        <w:widowControl/>
        <w:spacing w:line="360" w:lineRule="atLeast"/>
        <w:ind w:firstLine="470" w:firstLineChars="196"/>
        <w:jc w:val="left"/>
        <w:outlineLvl w:val="1"/>
        <w:rPr>
          <w:rFonts w:ascii="宋体" w:hAnsi="宋体" w:cs="宋体"/>
          <w:sz w:val="24"/>
        </w:rPr>
      </w:pP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360" w:lineRule="atLeast"/>
        <w:ind w:firstLine="470" w:firstLineChars="196"/>
        <w:jc w:val="left"/>
        <w:outlineLvl w:val="1"/>
        <w:rPr>
          <w:rFonts w:ascii="宋体" w:hAnsi="宋体" w:cs="宋体"/>
          <w:sz w:val="24"/>
          <w:u w:val="single"/>
        </w:rPr>
      </w:pPr>
      <w:r>
        <w:rPr>
          <w:rFonts w:hint="eastAsia" w:ascii="宋体" w:hAnsi="宋体" w:cs="宋体"/>
          <w:sz w:val="24"/>
        </w:rPr>
        <w:t>投标日期：</w:t>
      </w:r>
      <w:r>
        <w:rPr>
          <w:rFonts w:hint="eastAsia" w:ascii="宋体" w:hAnsi="宋体" w:cs="宋体"/>
          <w:sz w:val="24"/>
          <w:u w:val="single"/>
        </w:rPr>
        <w:t xml:space="preserve">                                            </w:t>
      </w:r>
    </w:p>
    <w:p>
      <w:pPr>
        <w:widowControl/>
        <w:spacing w:line="360" w:lineRule="atLeast"/>
        <w:jc w:val="left"/>
        <w:outlineLvl w:val="1"/>
        <w:rPr>
          <w:rFonts w:ascii="宋体" w:hAnsi="宋体" w:cs="宋体"/>
          <w:sz w:val="24"/>
        </w:rPr>
      </w:pPr>
    </w:p>
    <w:p>
      <w:pPr>
        <w:widowControl/>
        <w:overflowPunct/>
        <w:autoSpaceDE/>
        <w:autoSpaceDN/>
        <w:jc w:val="left"/>
      </w:pPr>
      <w:r>
        <w:br w:type="page"/>
      </w:r>
    </w:p>
    <w:p>
      <w:pPr>
        <w:pStyle w:val="5"/>
        <w:ind w:left="420"/>
        <w:jc w:val="center"/>
      </w:pPr>
      <w:r>
        <w:rPr>
          <w:rFonts w:hint="eastAsia"/>
        </w:rPr>
        <w:t>二、分项报价明细表（实质性要求）</w:t>
      </w:r>
    </w:p>
    <w:p>
      <w:pPr>
        <w:spacing w:line="360" w:lineRule="auto"/>
        <w:rPr>
          <w:sz w:val="24"/>
        </w:rPr>
      </w:pPr>
    </w:p>
    <w:p>
      <w:pPr>
        <w:spacing w:line="360" w:lineRule="auto"/>
        <w:rPr>
          <w:sz w:val="24"/>
        </w:rPr>
      </w:pPr>
      <w:r>
        <w:rPr>
          <w:rFonts w:hint="eastAsia"/>
          <w:sz w:val="24"/>
        </w:rPr>
        <w:t>项目名称：</w:t>
      </w:r>
    </w:p>
    <w:p>
      <w:pPr>
        <w:spacing w:line="360" w:lineRule="auto"/>
        <w:rPr>
          <w:sz w:val="24"/>
        </w:rPr>
      </w:pPr>
      <w:r>
        <w:rPr>
          <w:rFonts w:hint="eastAsia"/>
          <w:sz w:val="24"/>
        </w:rPr>
        <w:t>采购编号：</w:t>
      </w:r>
    </w:p>
    <w:p>
      <w:pPr>
        <w:pStyle w:val="2"/>
        <w:ind w:firstLine="0" w:firstLineChars="0"/>
      </w:pPr>
      <w:r>
        <w:rPr>
          <w:rFonts w:hint="eastAsia"/>
          <w:sz w:val="24"/>
        </w:rPr>
        <w:t>包    号：</w:t>
      </w:r>
    </w:p>
    <w:tbl>
      <w:tblPr>
        <w:tblStyle w:val="21"/>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270"/>
        <w:gridCol w:w="1424"/>
        <w:gridCol w:w="829"/>
        <w:gridCol w:w="1723"/>
        <w:gridCol w:w="567"/>
        <w:gridCol w:w="567"/>
        <w:gridCol w:w="1134"/>
        <w:gridCol w:w="1134"/>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3" w:hRule="exact"/>
          <w:jc w:val="center"/>
        </w:trPr>
        <w:tc>
          <w:tcPr>
            <w:tcW w:w="567" w:type="dxa"/>
            <w:vAlign w:val="center"/>
          </w:tcPr>
          <w:p>
            <w:pPr>
              <w:widowControl/>
              <w:spacing w:line="360" w:lineRule="atLeast"/>
              <w:jc w:val="center"/>
              <w:outlineLvl w:val="1"/>
              <w:rPr>
                <w:rFonts w:ascii="宋体"/>
                <w:sz w:val="24"/>
              </w:rPr>
            </w:pPr>
            <w:r>
              <w:rPr>
                <w:rFonts w:hint="eastAsia" w:ascii="宋体"/>
                <w:sz w:val="24"/>
              </w:rPr>
              <w:t>序号</w:t>
            </w:r>
          </w:p>
        </w:tc>
        <w:tc>
          <w:tcPr>
            <w:tcW w:w="1270" w:type="dxa"/>
            <w:vAlign w:val="center"/>
          </w:tcPr>
          <w:p>
            <w:pPr>
              <w:widowControl/>
              <w:spacing w:line="360" w:lineRule="atLeast"/>
              <w:jc w:val="center"/>
              <w:outlineLvl w:val="1"/>
              <w:rPr>
                <w:rFonts w:ascii="宋体"/>
                <w:sz w:val="24"/>
              </w:rPr>
            </w:pPr>
            <w:r>
              <w:rPr>
                <w:rFonts w:hint="eastAsia" w:ascii="宋体"/>
                <w:sz w:val="24"/>
              </w:rPr>
              <w:t>产品名称</w:t>
            </w:r>
          </w:p>
        </w:tc>
        <w:tc>
          <w:tcPr>
            <w:tcW w:w="1424" w:type="dxa"/>
            <w:vAlign w:val="center"/>
          </w:tcPr>
          <w:p>
            <w:pPr>
              <w:widowControl/>
              <w:spacing w:line="360" w:lineRule="atLeast"/>
              <w:jc w:val="center"/>
              <w:outlineLvl w:val="1"/>
              <w:rPr>
                <w:rFonts w:ascii="宋体"/>
                <w:sz w:val="24"/>
              </w:rPr>
            </w:pPr>
            <w:r>
              <w:rPr>
                <w:rFonts w:hint="eastAsia" w:ascii="宋体"/>
                <w:sz w:val="24"/>
              </w:rPr>
              <w:t>制造厂商、品牌及规格型号</w:t>
            </w:r>
          </w:p>
        </w:tc>
        <w:tc>
          <w:tcPr>
            <w:tcW w:w="829" w:type="dxa"/>
            <w:vAlign w:val="center"/>
          </w:tcPr>
          <w:p>
            <w:pPr>
              <w:widowControl/>
              <w:spacing w:line="360" w:lineRule="atLeast"/>
              <w:jc w:val="center"/>
              <w:outlineLvl w:val="1"/>
              <w:rPr>
                <w:rFonts w:ascii="宋体"/>
                <w:sz w:val="24"/>
              </w:rPr>
            </w:pPr>
            <w:r>
              <w:rPr>
                <w:rFonts w:hint="eastAsia" w:ascii="宋体"/>
                <w:sz w:val="24"/>
              </w:rPr>
              <w:t>产地</w:t>
            </w:r>
          </w:p>
        </w:tc>
        <w:tc>
          <w:tcPr>
            <w:tcW w:w="1723" w:type="dxa"/>
            <w:vAlign w:val="center"/>
          </w:tcPr>
          <w:p>
            <w:pPr>
              <w:widowControl/>
              <w:spacing w:line="360" w:lineRule="atLeast"/>
              <w:jc w:val="center"/>
              <w:outlineLvl w:val="1"/>
              <w:rPr>
                <w:rFonts w:ascii="宋体"/>
                <w:sz w:val="24"/>
              </w:rPr>
            </w:pPr>
            <w:r>
              <w:rPr>
                <w:rFonts w:hint="eastAsia" w:ascii="宋体"/>
                <w:sz w:val="24"/>
              </w:rPr>
              <w:t>简要技术参数</w:t>
            </w:r>
          </w:p>
        </w:tc>
        <w:tc>
          <w:tcPr>
            <w:tcW w:w="567" w:type="dxa"/>
            <w:vAlign w:val="center"/>
          </w:tcPr>
          <w:p>
            <w:pPr>
              <w:widowControl/>
              <w:spacing w:line="360" w:lineRule="atLeast"/>
              <w:jc w:val="center"/>
              <w:outlineLvl w:val="1"/>
              <w:rPr>
                <w:rFonts w:ascii="宋体"/>
                <w:sz w:val="24"/>
              </w:rPr>
            </w:pPr>
            <w:r>
              <w:rPr>
                <w:rFonts w:hint="eastAsia" w:ascii="宋体"/>
                <w:sz w:val="24"/>
              </w:rPr>
              <w:t>单位</w:t>
            </w:r>
          </w:p>
        </w:tc>
        <w:tc>
          <w:tcPr>
            <w:tcW w:w="567" w:type="dxa"/>
            <w:vAlign w:val="center"/>
          </w:tcPr>
          <w:p>
            <w:pPr>
              <w:widowControl/>
              <w:spacing w:line="360" w:lineRule="atLeast"/>
              <w:jc w:val="center"/>
              <w:outlineLvl w:val="1"/>
              <w:rPr>
                <w:rFonts w:ascii="宋体"/>
                <w:sz w:val="24"/>
              </w:rPr>
            </w:pPr>
            <w:r>
              <w:rPr>
                <w:rFonts w:hint="eastAsia" w:ascii="宋体"/>
                <w:sz w:val="24"/>
              </w:rPr>
              <w:t>数量</w:t>
            </w:r>
          </w:p>
        </w:tc>
        <w:tc>
          <w:tcPr>
            <w:tcW w:w="1134" w:type="dxa"/>
            <w:vAlign w:val="center"/>
          </w:tcPr>
          <w:p>
            <w:pPr>
              <w:widowControl/>
              <w:spacing w:line="360" w:lineRule="atLeast"/>
              <w:jc w:val="center"/>
              <w:outlineLvl w:val="1"/>
              <w:rPr>
                <w:rFonts w:ascii="宋体"/>
                <w:sz w:val="24"/>
              </w:rPr>
            </w:pPr>
            <w:r>
              <w:rPr>
                <w:rFonts w:hint="eastAsia" w:ascii="宋体"/>
                <w:sz w:val="24"/>
              </w:rPr>
              <w:t>单价</w:t>
            </w:r>
          </w:p>
          <w:p>
            <w:pPr>
              <w:widowControl/>
              <w:spacing w:line="360" w:lineRule="atLeast"/>
              <w:jc w:val="center"/>
              <w:outlineLvl w:val="1"/>
              <w:rPr>
                <w:rFonts w:ascii="宋体"/>
                <w:sz w:val="24"/>
              </w:rPr>
            </w:pPr>
            <w:r>
              <w:rPr>
                <w:rFonts w:hint="eastAsia" w:ascii="宋体"/>
                <w:sz w:val="24"/>
              </w:rPr>
              <w:t>（元）</w:t>
            </w:r>
          </w:p>
        </w:tc>
        <w:tc>
          <w:tcPr>
            <w:tcW w:w="1134" w:type="dxa"/>
            <w:vAlign w:val="center"/>
          </w:tcPr>
          <w:p>
            <w:pPr>
              <w:widowControl/>
              <w:spacing w:line="360" w:lineRule="atLeast"/>
              <w:jc w:val="center"/>
              <w:outlineLvl w:val="1"/>
              <w:rPr>
                <w:rFonts w:ascii="宋体"/>
                <w:sz w:val="24"/>
              </w:rPr>
            </w:pPr>
            <w:r>
              <w:rPr>
                <w:rFonts w:hint="eastAsia" w:ascii="宋体"/>
                <w:sz w:val="24"/>
              </w:rPr>
              <w:t>合价</w:t>
            </w:r>
          </w:p>
          <w:p>
            <w:pPr>
              <w:widowControl/>
              <w:spacing w:line="360" w:lineRule="atLeast"/>
              <w:jc w:val="center"/>
              <w:outlineLvl w:val="1"/>
              <w:rPr>
                <w:rFonts w:ascii="宋体"/>
                <w:sz w:val="24"/>
              </w:rPr>
            </w:pPr>
            <w:r>
              <w:rPr>
                <w:rFonts w:hint="eastAsia" w:ascii="宋体"/>
                <w:sz w:val="24"/>
              </w:rPr>
              <w:t>（元）</w:t>
            </w:r>
          </w:p>
        </w:tc>
        <w:tc>
          <w:tcPr>
            <w:tcW w:w="1147" w:type="dxa"/>
            <w:vAlign w:val="center"/>
          </w:tcPr>
          <w:p>
            <w:pPr>
              <w:widowControl/>
              <w:outlineLvl w:val="1"/>
              <w:rPr>
                <w:rFonts w:ascii="宋体"/>
                <w:sz w:val="24"/>
              </w:rPr>
            </w:pPr>
            <w:r>
              <w:rPr>
                <w:rFonts w:hint="eastAsia" w:ascii="宋体"/>
                <w:sz w:val="24"/>
              </w:rPr>
              <w:t>是否为进口产品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67" w:type="dxa"/>
            <w:vAlign w:val="center"/>
          </w:tcPr>
          <w:p>
            <w:pPr>
              <w:widowControl/>
              <w:spacing w:line="360" w:lineRule="atLeast"/>
              <w:ind w:firstLine="470" w:firstLineChars="196"/>
              <w:jc w:val="left"/>
              <w:outlineLvl w:val="1"/>
              <w:rPr>
                <w:rFonts w:ascii="宋体"/>
                <w:sz w:val="24"/>
              </w:rPr>
            </w:pPr>
          </w:p>
        </w:tc>
        <w:tc>
          <w:tcPr>
            <w:tcW w:w="1270" w:type="dxa"/>
            <w:vAlign w:val="center"/>
          </w:tcPr>
          <w:p>
            <w:pPr>
              <w:widowControl/>
              <w:spacing w:line="360" w:lineRule="atLeast"/>
              <w:ind w:firstLine="470" w:firstLineChars="196"/>
              <w:jc w:val="left"/>
              <w:outlineLvl w:val="1"/>
              <w:rPr>
                <w:rFonts w:ascii="宋体"/>
                <w:sz w:val="24"/>
              </w:rPr>
            </w:pPr>
          </w:p>
        </w:tc>
        <w:tc>
          <w:tcPr>
            <w:tcW w:w="1424" w:type="dxa"/>
            <w:vAlign w:val="center"/>
          </w:tcPr>
          <w:p>
            <w:pPr>
              <w:widowControl/>
              <w:spacing w:line="360" w:lineRule="atLeast"/>
              <w:ind w:firstLine="470" w:firstLineChars="196"/>
              <w:jc w:val="left"/>
              <w:outlineLvl w:val="1"/>
              <w:rPr>
                <w:rFonts w:ascii="宋体"/>
                <w:sz w:val="24"/>
              </w:rPr>
            </w:pPr>
          </w:p>
        </w:tc>
        <w:tc>
          <w:tcPr>
            <w:tcW w:w="829" w:type="dxa"/>
            <w:vAlign w:val="center"/>
          </w:tcPr>
          <w:p>
            <w:pPr>
              <w:widowControl/>
              <w:spacing w:line="360" w:lineRule="atLeast"/>
              <w:ind w:firstLine="470" w:firstLineChars="196"/>
              <w:jc w:val="left"/>
              <w:outlineLvl w:val="1"/>
              <w:rPr>
                <w:rFonts w:ascii="宋体"/>
                <w:sz w:val="24"/>
              </w:rPr>
            </w:pPr>
          </w:p>
        </w:tc>
        <w:tc>
          <w:tcPr>
            <w:tcW w:w="1723"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47" w:type="dxa"/>
            <w:vAlign w:val="center"/>
          </w:tcPr>
          <w:p>
            <w:pPr>
              <w:widowControl/>
              <w:spacing w:line="360" w:lineRule="atLeast"/>
              <w:ind w:firstLine="470" w:firstLineChars="196"/>
              <w:jc w:val="left"/>
              <w:outlineLvl w:val="1"/>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67" w:type="dxa"/>
            <w:vAlign w:val="center"/>
          </w:tcPr>
          <w:p>
            <w:pPr>
              <w:widowControl/>
              <w:spacing w:line="360" w:lineRule="atLeast"/>
              <w:ind w:firstLine="470" w:firstLineChars="196"/>
              <w:jc w:val="left"/>
              <w:outlineLvl w:val="1"/>
              <w:rPr>
                <w:rFonts w:ascii="宋体"/>
                <w:sz w:val="24"/>
              </w:rPr>
            </w:pPr>
          </w:p>
        </w:tc>
        <w:tc>
          <w:tcPr>
            <w:tcW w:w="1270" w:type="dxa"/>
            <w:vAlign w:val="center"/>
          </w:tcPr>
          <w:p>
            <w:pPr>
              <w:widowControl/>
              <w:spacing w:line="360" w:lineRule="atLeast"/>
              <w:ind w:firstLine="470" w:firstLineChars="196"/>
              <w:jc w:val="left"/>
              <w:outlineLvl w:val="1"/>
              <w:rPr>
                <w:rFonts w:ascii="宋体"/>
                <w:sz w:val="24"/>
              </w:rPr>
            </w:pPr>
          </w:p>
        </w:tc>
        <w:tc>
          <w:tcPr>
            <w:tcW w:w="1424" w:type="dxa"/>
            <w:vAlign w:val="center"/>
          </w:tcPr>
          <w:p>
            <w:pPr>
              <w:widowControl/>
              <w:spacing w:line="360" w:lineRule="atLeast"/>
              <w:ind w:firstLine="470" w:firstLineChars="196"/>
              <w:jc w:val="left"/>
              <w:outlineLvl w:val="1"/>
              <w:rPr>
                <w:rFonts w:ascii="宋体"/>
                <w:sz w:val="24"/>
              </w:rPr>
            </w:pPr>
          </w:p>
        </w:tc>
        <w:tc>
          <w:tcPr>
            <w:tcW w:w="829" w:type="dxa"/>
            <w:vAlign w:val="center"/>
          </w:tcPr>
          <w:p>
            <w:pPr>
              <w:widowControl/>
              <w:spacing w:line="360" w:lineRule="atLeast"/>
              <w:ind w:firstLine="470" w:firstLineChars="196"/>
              <w:jc w:val="left"/>
              <w:outlineLvl w:val="1"/>
              <w:rPr>
                <w:rFonts w:ascii="宋体"/>
                <w:sz w:val="24"/>
              </w:rPr>
            </w:pPr>
          </w:p>
        </w:tc>
        <w:tc>
          <w:tcPr>
            <w:tcW w:w="1723"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47" w:type="dxa"/>
            <w:vAlign w:val="center"/>
          </w:tcPr>
          <w:p>
            <w:pPr>
              <w:widowControl/>
              <w:spacing w:line="360" w:lineRule="atLeast"/>
              <w:ind w:firstLine="470" w:firstLineChars="196"/>
              <w:jc w:val="left"/>
              <w:outlineLvl w:val="1"/>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67" w:type="dxa"/>
            <w:vAlign w:val="center"/>
          </w:tcPr>
          <w:p>
            <w:pPr>
              <w:widowControl/>
              <w:spacing w:line="360" w:lineRule="atLeast"/>
              <w:ind w:firstLine="470" w:firstLineChars="196"/>
              <w:jc w:val="left"/>
              <w:outlineLvl w:val="1"/>
              <w:rPr>
                <w:rFonts w:ascii="宋体"/>
                <w:sz w:val="24"/>
              </w:rPr>
            </w:pPr>
          </w:p>
        </w:tc>
        <w:tc>
          <w:tcPr>
            <w:tcW w:w="1270" w:type="dxa"/>
            <w:vAlign w:val="center"/>
          </w:tcPr>
          <w:p>
            <w:pPr>
              <w:widowControl/>
              <w:spacing w:line="360" w:lineRule="atLeast"/>
              <w:ind w:firstLine="470" w:firstLineChars="196"/>
              <w:jc w:val="left"/>
              <w:outlineLvl w:val="1"/>
              <w:rPr>
                <w:rFonts w:ascii="宋体"/>
                <w:sz w:val="24"/>
              </w:rPr>
            </w:pPr>
          </w:p>
        </w:tc>
        <w:tc>
          <w:tcPr>
            <w:tcW w:w="1424" w:type="dxa"/>
            <w:vAlign w:val="center"/>
          </w:tcPr>
          <w:p>
            <w:pPr>
              <w:widowControl/>
              <w:spacing w:line="360" w:lineRule="atLeast"/>
              <w:ind w:firstLine="470" w:firstLineChars="196"/>
              <w:jc w:val="left"/>
              <w:outlineLvl w:val="1"/>
              <w:rPr>
                <w:rFonts w:ascii="宋体"/>
                <w:sz w:val="24"/>
              </w:rPr>
            </w:pPr>
          </w:p>
        </w:tc>
        <w:tc>
          <w:tcPr>
            <w:tcW w:w="829" w:type="dxa"/>
            <w:vAlign w:val="center"/>
          </w:tcPr>
          <w:p>
            <w:pPr>
              <w:widowControl/>
              <w:spacing w:line="360" w:lineRule="atLeast"/>
              <w:ind w:firstLine="470" w:firstLineChars="196"/>
              <w:jc w:val="left"/>
              <w:outlineLvl w:val="1"/>
              <w:rPr>
                <w:rFonts w:ascii="宋体"/>
                <w:sz w:val="24"/>
              </w:rPr>
            </w:pPr>
          </w:p>
        </w:tc>
        <w:tc>
          <w:tcPr>
            <w:tcW w:w="1723"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47" w:type="dxa"/>
            <w:vAlign w:val="center"/>
          </w:tcPr>
          <w:p>
            <w:pPr>
              <w:widowControl/>
              <w:spacing w:line="360" w:lineRule="atLeast"/>
              <w:ind w:firstLine="470" w:firstLineChars="196"/>
              <w:jc w:val="left"/>
              <w:outlineLvl w:val="1"/>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67" w:type="dxa"/>
            <w:tcBorders>
              <w:left w:val="single" w:color="auto" w:sz="4" w:space="0"/>
            </w:tcBorders>
            <w:vAlign w:val="center"/>
          </w:tcPr>
          <w:p>
            <w:pPr>
              <w:widowControl/>
              <w:spacing w:line="360" w:lineRule="atLeast"/>
              <w:ind w:firstLine="470" w:firstLineChars="196"/>
              <w:jc w:val="left"/>
              <w:outlineLvl w:val="1"/>
              <w:rPr>
                <w:rFonts w:ascii="宋体"/>
                <w:sz w:val="24"/>
              </w:rPr>
            </w:pPr>
          </w:p>
        </w:tc>
        <w:tc>
          <w:tcPr>
            <w:tcW w:w="1270" w:type="dxa"/>
            <w:vAlign w:val="center"/>
          </w:tcPr>
          <w:p>
            <w:pPr>
              <w:widowControl/>
              <w:spacing w:line="360" w:lineRule="atLeast"/>
              <w:ind w:firstLine="470" w:firstLineChars="196"/>
              <w:jc w:val="left"/>
              <w:outlineLvl w:val="1"/>
              <w:rPr>
                <w:rFonts w:ascii="宋体"/>
                <w:sz w:val="24"/>
              </w:rPr>
            </w:pPr>
          </w:p>
        </w:tc>
        <w:tc>
          <w:tcPr>
            <w:tcW w:w="1424" w:type="dxa"/>
            <w:vAlign w:val="center"/>
          </w:tcPr>
          <w:p>
            <w:pPr>
              <w:widowControl/>
              <w:spacing w:line="360" w:lineRule="atLeast"/>
              <w:ind w:firstLine="470" w:firstLineChars="196"/>
              <w:jc w:val="left"/>
              <w:outlineLvl w:val="1"/>
              <w:rPr>
                <w:rFonts w:ascii="宋体"/>
                <w:sz w:val="24"/>
              </w:rPr>
            </w:pPr>
          </w:p>
        </w:tc>
        <w:tc>
          <w:tcPr>
            <w:tcW w:w="829" w:type="dxa"/>
            <w:vAlign w:val="center"/>
          </w:tcPr>
          <w:p>
            <w:pPr>
              <w:widowControl/>
              <w:spacing w:line="360" w:lineRule="atLeast"/>
              <w:ind w:firstLine="470" w:firstLineChars="196"/>
              <w:jc w:val="left"/>
              <w:outlineLvl w:val="1"/>
              <w:rPr>
                <w:rFonts w:ascii="宋体"/>
                <w:sz w:val="24"/>
              </w:rPr>
            </w:pPr>
          </w:p>
        </w:tc>
        <w:tc>
          <w:tcPr>
            <w:tcW w:w="1723"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47" w:type="dxa"/>
            <w:vAlign w:val="center"/>
          </w:tcPr>
          <w:p>
            <w:pPr>
              <w:widowControl/>
              <w:spacing w:line="360" w:lineRule="atLeast"/>
              <w:ind w:firstLine="470" w:firstLineChars="196"/>
              <w:jc w:val="left"/>
              <w:outlineLvl w:val="1"/>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67" w:type="dxa"/>
            <w:vAlign w:val="center"/>
          </w:tcPr>
          <w:p>
            <w:pPr>
              <w:widowControl/>
              <w:spacing w:line="360" w:lineRule="atLeast"/>
              <w:ind w:firstLine="470" w:firstLineChars="196"/>
              <w:jc w:val="left"/>
              <w:outlineLvl w:val="1"/>
              <w:rPr>
                <w:rFonts w:ascii="宋体"/>
                <w:sz w:val="24"/>
              </w:rPr>
            </w:pPr>
          </w:p>
        </w:tc>
        <w:tc>
          <w:tcPr>
            <w:tcW w:w="1270" w:type="dxa"/>
            <w:vAlign w:val="center"/>
          </w:tcPr>
          <w:p>
            <w:pPr>
              <w:widowControl/>
              <w:spacing w:line="360" w:lineRule="atLeast"/>
              <w:ind w:firstLine="470" w:firstLineChars="196"/>
              <w:jc w:val="left"/>
              <w:outlineLvl w:val="1"/>
              <w:rPr>
                <w:rFonts w:ascii="宋体"/>
                <w:sz w:val="24"/>
              </w:rPr>
            </w:pPr>
          </w:p>
        </w:tc>
        <w:tc>
          <w:tcPr>
            <w:tcW w:w="1424" w:type="dxa"/>
            <w:vAlign w:val="center"/>
          </w:tcPr>
          <w:p>
            <w:pPr>
              <w:widowControl/>
              <w:spacing w:line="360" w:lineRule="atLeast"/>
              <w:ind w:firstLine="470" w:firstLineChars="196"/>
              <w:jc w:val="left"/>
              <w:outlineLvl w:val="1"/>
              <w:rPr>
                <w:rFonts w:ascii="宋体"/>
                <w:sz w:val="24"/>
              </w:rPr>
            </w:pPr>
          </w:p>
        </w:tc>
        <w:tc>
          <w:tcPr>
            <w:tcW w:w="829" w:type="dxa"/>
            <w:vAlign w:val="center"/>
          </w:tcPr>
          <w:p>
            <w:pPr>
              <w:widowControl/>
              <w:spacing w:line="360" w:lineRule="atLeast"/>
              <w:ind w:firstLine="470" w:firstLineChars="196"/>
              <w:jc w:val="left"/>
              <w:outlineLvl w:val="1"/>
              <w:rPr>
                <w:rFonts w:ascii="宋体"/>
                <w:sz w:val="24"/>
              </w:rPr>
            </w:pPr>
          </w:p>
        </w:tc>
        <w:tc>
          <w:tcPr>
            <w:tcW w:w="1723"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47" w:type="dxa"/>
            <w:vAlign w:val="center"/>
          </w:tcPr>
          <w:p>
            <w:pPr>
              <w:widowControl/>
              <w:spacing w:line="360" w:lineRule="atLeast"/>
              <w:ind w:firstLine="470" w:firstLineChars="196"/>
              <w:jc w:val="left"/>
              <w:outlineLvl w:val="1"/>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67" w:type="dxa"/>
            <w:vAlign w:val="center"/>
          </w:tcPr>
          <w:p>
            <w:pPr>
              <w:widowControl/>
              <w:spacing w:line="360" w:lineRule="atLeast"/>
              <w:ind w:firstLine="470" w:firstLineChars="196"/>
              <w:jc w:val="left"/>
              <w:outlineLvl w:val="1"/>
              <w:rPr>
                <w:rFonts w:ascii="宋体"/>
                <w:sz w:val="24"/>
              </w:rPr>
            </w:pPr>
          </w:p>
        </w:tc>
        <w:tc>
          <w:tcPr>
            <w:tcW w:w="1270" w:type="dxa"/>
            <w:vAlign w:val="center"/>
          </w:tcPr>
          <w:p>
            <w:pPr>
              <w:widowControl/>
              <w:spacing w:line="360" w:lineRule="atLeast"/>
              <w:ind w:firstLine="470" w:firstLineChars="196"/>
              <w:jc w:val="left"/>
              <w:outlineLvl w:val="1"/>
              <w:rPr>
                <w:rFonts w:ascii="宋体"/>
                <w:sz w:val="24"/>
              </w:rPr>
            </w:pPr>
          </w:p>
        </w:tc>
        <w:tc>
          <w:tcPr>
            <w:tcW w:w="1424" w:type="dxa"/>
            <w:vAlign w:val="center"/>
          </w:tcPr>
          <w:p>
            <w:pPr>
              <w:widowControl/>
              <w:spacing w:line="360" w:lineRule="atLeast"/>
              <w:ind w:firstLine="470" w:firstLineChars="196"/>
              <w:jc w:val="left"/>
              <w:outlineLvl w:val="1"/>
              <w:rPr>
                <w:rFonts w:ascii="宋体"/>
                <w:sz w:val="24"/>
              </w:rPr>
            </w:pPr>
          </w:p>
        </w:tc>
        <w:tc>
          <w:tcPr>
            <w:tcW w:w="829" w:type="dxa"/>
            <w:vAlign w:val="center"/>
          </w:tcPr>
          <w:p>
            <w:pPr>
              <w:widowControl/>
              <w:spacing w:line="360" w:lineRule="atLeast"/>
              <w:ind w:firstLine="470" w:firstLineChars="196"/>
              <w:jc w:val="left"/>
              <w:outlineLvl w:val="1"/>
              <w:rPr>
                <w:rFonts w:ascii="宋体"/>
                <w:sz w:val="24"/>
              </w:rPr>
            </w:pPr>
          </w:p>
        </w:tc>
        <w:tc>
          <w:tcPr>
            <w:tcW w:w="1723"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567"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34" w:type="dxa"/>
            <w:vAlign w:val="center"/>
          </w:tcPr>
          <w:p>
            <w:pPr>
              <w:widowControl/>
              <w:spacing w:line="360" w:lineRule="atLeast"/>
              <w:ind w:firstLine="470" w:firstLineChars="196"/>
              <w:jc w:val="left"/>
              <w:outlineLvl w:val="1"/>
              <w:rPr>
                <w:rFonts w:ascii="宋体"/>
                <w:sz w:val="24"/>
              </w:rPr>
            </w:pPr>
          </w:p>
        </w:tc>
        <w:tc>
          <w:tcPr>
            <w:tcW w:w="1147" w:type="dxa"/>
            <w:vAlign w:val="center"/>
          </w:tcPr>
          <w:p>
            <w:pPr>
              <w:widowControl/>
              <w:spacing w:line="360" w:lineRule="atLeast"/>
              <w:ind w:firstLine="470" w:firstLineChars="196"/>
              <w:jc w:val="left"/>
              <w:outlineLvl w:val="1"/>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0362" w:type="dxa"/>
            <w:gridSpan w:val="10"/>
            <w:vAlign w:val="center"/>
          </w:tcPr>
          <w:p>
            <w:pPr>
              <w:widowControl/>
              <w:spacing w:line="360" w:lineRule="atLeast"/>
              <w:ind w:firstLine="470" w:firstLineChars="196"/>
              <w:jc w:val="left"/>
              <w:outlineLvl w:val="1"/>
              <w:rPr>
                <w:rFonts w:ascii="宋体"/>
                <w:sz w:val="24"/>
              </w:rPr>
            </w:pPr>
            <w:r>
              <w:rPr>
                <w:rFonts w:hint="eastAsia" w:ascii="宋体"/>
                <w:sz w:val="24"/>
              </w:rPr>
              <w:t>投标总价（元）：</w:t>
            </w:r>
            <w:r>
              <w:rPr>
                <w:rFonts w:hint="eastAsia" w:ascii="宋体" w:hAnsi="宋体"/>
                <w:sz w:val="24"/>
              </w:rPr>
              <w:t>¥</w:t>
            </w:r>
            <w:r>
              <w:rPr>
                <w:rFonts w:hint="eastAsia" w:ascii="宋体"/>
                <w:sz w:val="24"/>
                <w:u w:val="single"/>
              </w:rPr>
              <w:t xml:space="preserve">          </w:t>
            </w:r>
            <w:r>
              <w:rPr>
                <w:rFonts w:hint="eastAsia" w:ascii="宋体"/>
                <w:sz w:val="24"/>
              </w:rPr>
              <w:t>（大写：人民币</w:t>
            </w:r>
            <w:r>
              <w:rPr>
                <w:rFonts w:hint="eastAsia" w:ascii="宋体"/>
                <w:sz w:val="24"/>
                <w:u w:val="single"/>
              </w:rPr>
              <w:t xml:space="preserve">                       </w:t>
            </w:r>
            <w:r>
              <w:rPr>
                <w:rFonts w:hint="eastAsia" w:ascii="宋体"/>
                <w:sz w:val="24"/>
              </w:rPr>
              <w:t>）</w:t>
            </w:r>
          </w:p>
        </w:tc>
      </w:tr>
    </w:tbl>
    <w:p>
      <w:pPr>
        <w:widowControl/>
        <w:spacing w:line="360" w:lineRule="atLeast"/>
        <w:jc w:val="left"/>
        <w:outlineLvl w:val="1"/>
        <w:rPr>
          <w:rFonts w:ascii="宋体"/>
          <w:sz w:val="24"/>
        </w:rPr>
      </w:pPr>
    </w:p>
    <w:p>
      <w:pPr>
        <w:widowControl/>
        <w:spacing w:line="360" w:lineRule="atLeast"/>
        <w:ind w:firstLine="470" w:firstLineChars="196"/>
        <w:jc w:val="left"/>
        <w:outlineLvl w:val="1"/>
        <w:rPr>
          <w:rFonts w:ascii="宋体"/>
          <w:sz w:val="24"/>
        </w:rPr>
      </w:pPr>
      <w:r>
        <w:rPr>
          <w:rFonts w:hint="eastAsia" w:ascii="宋体"/>
          <w:sz w:val="24"/>
        </w:rPr>
        <w:t>注：1、投标人应按“分项报价明细表”的格式详细报出投标总价的各个组成部分的报价。</w:t>
      </w:r>
    </w:p>
    <w:p>
      <w:pPr>
        <w:widowControl/>
        <w:spacing w:line="360" w:lineRule="atLeast"/>
        <w:ind w:firstLine="470" w:firstLineChars="196"/>
        <w:jc w:val="left"/>
        <w:outlineLvl w:val="1"/>
        <w:rPr>
          <w:rFonts w:ascii="宋体"/>
          <w:sz w:val="24"/>
        </w:rPr>
      </w:pPr>
      <w:r>
        <w:rPr>
          <w:rFonts w:hint="eastAsia" w:ascii="宋体"/>
          <w:sz w:val="24"/>
        </w:rPr>
        <w:t xml:space="preserve">    2、“分项报价明细表”各分项报价合计应当与“开标一览表”报价合计相等，若“分项报价明细表”各分项报价合计与“开标一览表”报价合计不一致，以“开标一览表”为准，并修正“分项报价明细表”。</w:t>
      </w:r>
    </w:p>
    <w:p>
      <w:pPr>
        <w:widowControl/>
        <w:spacing w:line="360" w:lineRule="atLeast"/>
        <w:ind w:firstLine="472" w:firstLineChars="196"/>
        <w:jc w:val="left"/>
        <w:outlineLvl w:val="1"/>
        <w:rPr>
          <w:rFonts w:ascii="宋体"/>
          <w:b/>
          <w:sz w:val="24"/>
        </w:rPr>
      </w:pPr>
    </w:p>
    <w:p>
      <w:pPr>
        <w:widowControl/>
        <w:spacing w:line="360" w:lineRule="atLeast"/>
        <w:ind w:firstLine="472" w:firstLineChars="196"/>
        <w:jc w:val="left"/>
        <w:outlineLvl w:val="1"/>
        <w:rPr>
          <w:rFonts w:ascii="宋体"/>
          <w:b/>
          <w:sz w:val="24"/>
        </w:rPr>
      </w:pPr>
    </w:p>
    <w:p>
      <w:pPr>
        <w:widowControl/>
        <w:spacing w:line="360" w:lineRule="atLeast"/>
        <w:ind w:firstLine="470" w:firstLineChars="196"/>
        <w:jc w:val="left"/>
        <w:outlineLvl w:val="1"/>
        <w:rPr>
          <w:rFonts w:ascii="宋体"/>
          <w:sz w:val="24"/>
        </w:rPr>
      </w:pPr>
      <w:r>
        <w:rPr>
          <w:rFonts w:hint="eastAsia" w:ascii="宋体"/>
          <w:sz w:val="24"/>
        </w:rPr>
        <w:t>投标人名称：</w:t>
      </w:r>
      <w:r>
        <w:rPr>
          <w:rFonts w:hint="eastAsia" w:ascii="宋体"/>
          <w:sz w:val="24"/>
          <w:u w:val="single"/>
        </w:rPr>
        <w:t xml:space="preserve">                  </w:t>
      </w:r>
      <w:r>
        <w:rPr>
          <w:rFonts w:ascii="宋体"/>
          <w:sz w:val="24"/>
          <w:u w:val="single"/>
        </w:rPr>
        <w:t xml:space="preserve">           </w:t>
      </w:r>
      <w:r>
        <w:rPr>
          <w:rFonts w:hint="eastAsia" w:ascii="宋体"/>
          <w:sz w:val="24"/>
        </w:rPr>
        <w:t>（单位公章）。</w:t>
      </w:r>
    </w:p>
    <w:p>
      <w:pPr>
        <w:widowControl/>
        <w:spacing w:line="360" w:lineRule="atLeast"/>
        <w:ind w:firstLine="470" w:firstLineChars="196"/>
        <w:jc w:val="left"/>
        <w:outlineLvl w:val="1"/>
        <w:rPr>
          <w:rFonts w:ascii="宋体"/>
          <w:sz w:val="24"/>
        </w:rPr>
      </w:pPr>
      <w:r>
        <w:rPr>
          <w:rFonts w:hint="eastAsia" w:ascii="宋体"/>
          <w:sz w:val="24"/>
        </w:rPr>
        <w:t>法定代表人或授权代表（签字或加盖个人名章）：</w:t>
      </w:r>
      <w:r>
        <w:rPr>
          <w:rFonts w:hint="eastAsia" w:ascii="宋体"/>
          <w:sz w:val="24"/>
          <w:u w:val="single"/>
        </w:rPr>
        <w:t xml:space="preserve"> </w:t>
      </w:r>
      <w:r>
        <w:rPr>
          <w:rFonts w:ascii="宋体"/>
          <w:sz w:val="24"/>
          <w:u w:val="single"/>
        </w:rPr>
        <w:t xml:space="preserve">          </w:t>
      </w:r>
    </w:p>
    <w:p>
      <w:pPr>
        <w:widowControl/>
        <w:spacing w:line="360" w:lineRule="atLeast"/>
        <w:ind w:firstLine="470" w:firstLineChars="196"/>
        <w:jc w:val="left"/>
        <w:outlineLvl w:val="1"/>
        <w:rPr>
          <w:rFonts w:ascii="宋体" w:hAnsi="宋体" w:cs="宋体"/>
          <w:sz w:val="24"/>
        </w:rPr>
      </w:pPr>
      <w:r>
        <w:rPr>
          <w:rFonts w:hint="eastAsia" w:ascii="宋体"/>
          <w:sz w:val="24"/>
        </w:rPr>
        <w:t>投标日期：</w:t>
      </w:r>
      <w:r>
        <w:rPr>
          <w:rFonts w:hint="eastAsia" w:ascii="宋体"/>
          <w:sz w:val="24"/>
          <w:u w:val="single"/>
        </w:rPr>
        <w:t xml:space="preserve">                                            </w:t>
      </w:r>
      <w:r>
        <w:rPr>
          <w:rFonts w:hint="eastAsia" w:ascii="宋体" w:hAnsi="宋体" w:cs="宋体"/>
          <w:sz w:val="24"/>
        </w:rPr>
        <w:t xml:space="preserve">                                            </w:t>
      </w:r>
    </w:p>
    <w:p/>
    <w:p>
      <w:pPr>
        <w:pStyle w:val="4"/>
        <w:spacing w:before="120" w:after="120"/>
        <w:rPr>
          <w:rFonts w:ascii="宋体" w:hAnsi="宋体" w:cs="宋体"/>
        </w:rPr>
      </w:pPr>
      <w:r>
        <w:rPr>
          <w:rFonts w:hint="eastAsia" w:ascii="宋体" w:hAnsi="宋体" w:cs="宋体"/>
        </w:rPr>
        <w:br w:type="page"/>
      </w:r>
      <w:r>
        <w:rPr>
          <w:rFonts w:hint="eastAsia" w:ascii="宋体" w:hAnsi="宋体" w:cs="宋体"/>
        </w:rPr>
        <w:t>第二部分 商务部分</w:t>
      </w:r>
    </w:p>
    <w:p>
      <w:pPr>
        <w:pStyle w:val="5"/>
        <w:ind w:left="420"/>
        <w:jc w:val="center"/>
        <w:rPr>
          <w:rFonts w:ascii="宋体" w:hAnsi="宋体" w:cs="宋体"/>
        </w:rPr>
      </w:pPr>
      <w:r>
        <w:rPr>
          <w:rFonts w:hint="eastAsia" w:ascii="宋体" w:hAnsi="宋体" w:cs="宋体"/>
        </w:rPr>
        <w:t>一、投 标 函</w:t>
      </w:r>
      <w:bookmarkEnd w:id="132"/>
      <w:bookmarkEnd w:id="133"/>
      <w:r>
        <w:rPr>
          <w:rFonts w:hint="eastAsia" w:ascii="宋体" w:hAnsi="宋体" w:cs="宋体"/>
        </w:rPr>
        <w:t>（实质性要求）</w:t>
      </w:r>
    </w:p>
    <w:p>
      <w:pPr>
        <w:widowControl/>
        <w:spacing w:line="420" w:lineRule="exact"/>
        <w:jc w:val="left"/>
        <w:outlineLvl w:val="1"/>
        <w:rPr>
          <w:rFonts w:ascii="宋体" w:hAnsi="宋体" w:cs="宋体"/>
          <w:sz w:val="24"/>
          <w:u w:val="single"/>
        </w:rPr>
      </w:pPr>
    </w:p>
    <w:p>
      <w:pPr>
        <w:widowControl/>
        <w:spacing w:line="420" w:lineRule="exact"/>
        <w:jc w:val="left"/>
        <w:outlineLvl w:val="1"/>
        <w:rPr>
          <w:rFonts w:ascii="宋体" w:hAnsi="宋体" w:cs="宋体"/>
          <w:sz w:val="24"/>
        </w:rPr>
      </w:pPr>
      <w:r>
        <w:rPr>
          <w:rFonts w:hint="eastAsia" w:ascii="宋体" w:hAnsi="宋体" w:cs="宋体"/>
          <w:sz w:val="24"/>
          <w:u w:val="single"/>
        </w:rPr>
        <w:t xml:space="preserve">                         </w:t>
      </w:r>
      <w:r>
        <w:rPr>
          <w:rFonts w:hint="eastAsia" w:ascii="宋体" w:hAnsi="宋体" w:cs="宋体"/>
          <w:sz w:val="24"/>
        </w:rPr>
        <w:t>（采购代理机构名称）：</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我方全面研究了“</w:t>
      </w:r>
      <w:r>
        <w:rPr>
          <w:rFonts w:hint="eastAsia" w:ascii="宋体" w:hAnsi="宋体" w:cs="宋体"/>
          <w:sz w:val="24"/>
          <w:u w:val="single"/>
        </w:rPr>
        <w:t xml:space="preserve">                  </w:t>
      </w:r>
      <w:r>
        <w:rPr>
          <w:rFonts w:hint="eastAsia" w:ascii="宋体" w:hAnsi="宋体" w:cs="宋体"/>
          <w:sz w:val="24"/>
        </w:rPr>
        <w:t>”项目第</w:t>
      </w:r>
      <w:r>
        <w:rPr>
          <w:rFonts w:hint="eastAsia" w:ascii="宋体" w:hAnsi="宋体" w:cs="宋体"/>
          <w:sz w:val="24"/>
          <w:u w:val="single"/>
        </w:rPr>
        <w:t xml:space="preserve">    </w:t>
      </w:r>
      <w:r>
        <w:rPr>
          <w:rFonts w:hint="eastAsia" w:ascii="宋体" w:hAnsi="宋体" w:cs="宋体"/>
          <w:sz w:val="24"/>
        </w:rPr>
        <w:t>包（招标编号：</w:t>
      </w:r>
      <w:r>
        <w:rPr>
          <w:rFonts w:hint="eastAsia" w:ascii="宋体" w:hAnsi="宋体" w:cs="宋体"/>
          <w:sz w:val="24"/>
          <w:u w:val="single"/>
        </w:rPr>
        <w:t xml:space="preserve">         </w:t>
      </w:r>
      <w:r>
        <w:rPr>
          <w:rFonts w:hint="eastAsia" w:ascii="宋体" w:hAnsi="宋体" w:cs="宋体"/>
          <w:sz w:val="24"/>
        </w:rPr>
        <w:t>）招标文件，决定参加贵单位组织的本项目投标。我方授权</w:t>
      </w:r>
      <w:r>
        <w:rPr>
          <w:rFonts w:hint="eastAsia" w:ascii="宋体" w:hAnsi="宋体" w:cs="宋体"/>
          <w:sz w:val="24"/>
          <w:u w:val="single"/>
        </w:rPr>
        <w:t xml:space="preserve">    </w:t>
      </w:r>
      <w:r>
        <w:rPr>
          <w:rFonts w:hint="eastAsia" w:ascii="宋体" w:hAnsi="宋体" w:cs="宋体"/>
          <w:sz w:val="24"/>
        </w:rPr>
        <w:t>（姓名）代表我方</w:t>
      </w:r>
      <w:r>
        <w:rPr>
          <w:rFonts w:hint="eastAsia" w:ascii="宋体" w:hAnsi="宋体" w:cs="宋体"/>
          <w:sz w:val="24"/>
          <w:u w:val="single"/>
        </w:rPr>
        <w:t xml:space="preserve">           </w:t>
      </w:r>
      <w:r>
        <w:rPr>
          <w:rFonts w:hint="eastAsia" w:ascii="宋体" w:hAnsi="宋体" w:cs="宋体"/>
          <w:sz w:val="24"/>
        </w:rPr>
        <w:t>（投标单位的名称）全权处理本项目投标的有关事宜。</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一、我方自愿按照招标文件规定的各项要求向采购人提供所需货物，总投标价为“开标一览表”中所述价格。</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二、一旦我方中标，我方将严格履行政府采购合同规定的责任和义务。</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三、我方为本项目提交的投标文件正本1份，副本1份，电子文档1份，用于开标唱标单独递交的“开标一览表”1份。</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四、我方同意本次招标的投标有效期为投标截止之日起</w:t>
      </w:r>
      <w:r>
        <w:rPr>
          <w:rFonts w:hint="eastAsia" w:ascii="宋体" w:hAnsi="宋体" w:cs="宋体"/>
          <w:sz w:val="24"/>
          <w:u w:val="single"/>
        </w:rPr>
        <w:t xml:space="preserve">    </w:t>
      </w:r>
      <w:r>
        <w:rPr>
          <w:rFonts w:hint="eastAsia" w:ascii="宋体" w:hAnsi="宋体" w:cs="宋体"/>
          <w:sz w:val="24"/>
        </w:rPr>
        <w:t>天。</w:t>
      </w:r>
    </w:p>
    <w:p>
      <w:pPr>
        <w:widowControl/>
        <w:spacing w:line="420" w:lineRule="exact"/>
        <w:ind w:firstLine="480" w:firstLineChars="200"/>
        <w:jc w:val="left"/>
        <w:outlineLvl w:val="1"/>
        <w:rPr>
          <w:rFonts w:ascii="宋体" w:hAnsi="宋体" w:cs="宋体"/>
          <w:sz w:val="24"/>
        </w:rPr>
      </w:pPr>
      <w:r>
        <w:rPr>
          <w:rFonts w:hint="eastAsia" w:ascii="宋体" w:hAnsi="宋体" w:cs="宋体"/>
          <w:sz w:val="24"/>
        </w:rPr>
        <w:t>五、投标文件中提供的能够给予我公司带来优惠、好处的任何材料资料和技术、服务、商务等响应承诺情况都是真实的、有效的、合法的。</w:t>
      </w:r>
    </w:p>
    <w:p>
      <w:pPr>
        <w:widowControl/>
        <w:spacing w:line="420" w:lineRule="exact"/>
        <w:ind w:firstLine="480" w:firstLineChars="200"/>
        <w:jc w:val="left"/>
        <w:outlineLvl w:val="1"/>
        <w:rPr>
          <w:rFonts w:ascii="宋体" w:hAnsi="宋体" w:cs="宋体"/>
          <w:sz w:val="24"/>
        </w:rPr>
      </w:pPr>
      <w:r>
        <w:rPr>
          <w:rFonts w:hint="eastAsia" w:ascii="宋体" w:hAnsi="宋体" w:cs="宋体"/>
          <w:sz w:val="24"/>
        </w:rPr>
        <w:t>六、完全接受和满足本项目招标文件中规定的实质性要求，如对招标文件有异议，已经在投标截止时间届满前依法进行维权救济，不存在对招标文件有异议的同时又参加投标以求侥幸中标或者为实现其他非法目的的行为。</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七、我方愿意提供贵司可能另外要求的，与投标有关的文件资料，并保证我方已提供和将要提供的文件资料是真实、准确的。</w:t>
      </w:r>
    </w:p>
    <w:p>
      <w:pPr>
        <w:widowControl/>
        <w:spacing w:line="420" w:lineRule="exact"/>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通讯地址：</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widowControl/>
        <w:ind w:firstLine="411" w:firstLineChars="196"/>
        <w:outlineLvl w:val="1"/>
        <w:rPr>
          <w:rFonts w:ascii="宋体" w:hAnsi="宋体" w:cs="宋体"/>
        </w:rPr>
      </w:pPr>
    </w:p>
    <w:p>
      <w:pPr>
        <w:widowControl/>
        <w:spacing w:line="420" w:lineRule="exact"/>
        <w:ind w:firstLine="411" w:firstLineChars="196"/>
        <w:jc w:val="left"/>
        <w:outlineLvl w:val="1"/>
        <w:rPr>
          <w:rFonts w:ascii="宋体" w:hAnsi="宋体" w:cs="宋体"/>
          <w:sz w:val="24"/>
        </w:rPr>
        <w:sectPr>
          <w:footerReference r:id="rId3" w:type="default"/>
          <w:type w:val="nextColumn"/>
          <w:pgSz w:w="11907" w:h="16840"/>
          <w:pgMar w:top="1440" w:right="1191" w:bottom="1440" w:left="1191" w:header="851" w:footer="992" w:gutter="0"/>
          <w:cols w:space="720" w:num="1"/>
          <w:docGrid w:linePitch="312" w:charSpace="0"/>
        </w:sectPr>
      </w:pPr>
      <w:r>
        <w:rPr>
          <w:rFonts w:hint="eastAsia" w:ascii="宋体" w:hAnsi="宋体" w:cs="宋体"/>
        </w:rPr>
        <w:br w:type="page"/>
      </w:r>
    </w:p>
    <w:p>
      <w:pPr>
        <w:pStyle w:val="5"/>
        <w:ind w:left="420"/>
        <w:jc w:val="center"/>
        <w:rPr>
          <w:rFonts w:ascii="宋体" w:hAnsi="宋体" w:cs="宋体"/>
        </w:rPr>
      </w:pPr>
      <w:bookmarkStart w:id="134" w:name="_Toc217446087"/>
      <w:r>
        <w:rPr>
          <w:rFonts w:hint="eastAsia" w:ascii="宋体" w:hAnsi="宋体" w:cs="宋体"/>
        </w:rPr>
        <w:t>二、商务应答表</w:t>
      </w:r>
      <w:bookmarkEnd w:id="134"/>
    </w:p>
    <w:p>
      <w:pPr>
        <w:widowControl/>
        <w:spacing w:line="420" w:lineRule="exact"/>
        <w:jc w:val="left"/>
        <w:outlineLvl w:val="1"/>
        <w:rPr>
          <w:rFonts w:ascii="宋体" w:hAnsi="宋体" w:cs="宋体"/>
          <w:sz w:val="24"/>
        </w:rPr>
      </w:pPr>
      <w:r>
        <w:rPr>
          <w:rFonts w:hint="eastAsia" w:ascii="宋体" w:hAnsi="宋体" w:cs="宋体"/>
          <w:sz w:val="24"/>
        </w:rPr>
        <w:t>项目名称：</w:t>
      </w:r>
    </w:p>
    <w:p>
      <w:pPr>
        <w:widowControl/>
        <w:spacing w:line="420" w:lineRule="exact"/>
        <w:jc w:val="left"/>
        <w:outlineLvl w:val="1"/>
        <w:rPr>
          <w:rFonts w:ascii="宋体" w:hAnsi="宋体" w:cs="宋体"/>
          <w:sz w:val="24"/>
        </w:rPr>
      </w:pPr>
      <w:r>
        <w:rPr>
          <w:rFonts w:hint="eastAsia" w:ascii="宋体" w:hAnsi="宋体" w:cs="宋体"/>
          <w:sz w:val="24"/>
        </w:rPr>
        <w:t>招标编号：</w:t>
      </w:r>
    </w:p>
    <w:p>
      <w:pPr>
        <w:pStyle w:val="2"/>
        <w:ind w:firstLine="0" w:firstLineChars="0"/>
      </w:pPr>
      <w:r>
        <w:rPr>
          <w:rFonts w:hint="eastAsia" w:ascii="宋体" w:hAnsi="宋体" w:cs="宋体"/>
          <w:sz w:val="24"/>
        </w:rPr>
        <w:t>包    号：</w:t>
      </w:r>
    </w:p>
    <w:tbl>
      <w:tblPr>
        <w:tblStyle w:val="21"/>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363"/>
        <w:gridCol w:w="1953"/>
        <w:gridCol w:w="2274"/>
        <w:gridCol w:w="2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658" w:type="dxa"/>
            <w:vAlign w:val="center"/>
          </w:tcPr>
          <w:p>
            <w:pPr>
              <w:widowControl/>
              <w:spacing w:line="420" w:lineRule="exact"/>
              <w:jc w:val="left"/>
              <w:outlineLvl w:val="1"/>
              <w:rPr>
                <w:rFonts w:ascii="宋体" w:hAnsi="宋体" w:cs="宋体"/>
                <w:sz w:val="24"/>
              </w:rPr>
            </w:pPr>
            <w:r>
              <w:rPr>
                <w:rFonts w:hint="eastAsia" w:ascii="宋体" w:hAnsi="宋体" w:cs="宋体"/>
                <w:sz w:val="24"/>
              </w:rPr>
              <w:t>序号</w:t>
            </w:r>
          </w:p>
        </w:tc>
        <w:tc>
          <w:tcPr>
            <w:tcW w:w="1363" w:type="dxa"/>
            <w:vAlign w:val="center"/>
          </w:tcPr>
          <w:p>
            <w:pPr>
              <w:widowControl/>
              <w:spacing w:line="420" w:lineRule="exact"/>
              <w:jc w:val="left"/>
              <w:outlineLvl w:val="1"/>
              <w:rPr>
                <w:rFonts w:ascii="宋体" w:hAnsi="宋体" w:cs="宋体"/>
                <w:sz w:val="24"/>
              </w:rPr>
            </w:pPr>
            <w:r>
              <w:rPr>
                <w:rFonts w:hint="eastAsia" w:ascii="宋体" w:hAnsi="宋体" w:cs="宋体"/>
                <w:sz w:val="24"/>
              </w:rPr>
              <w:t>招标文件条目号</w:t>
            </w:r>
          </w:p>
        </w:tc>
        <w:tc>
          <w:tcPr>
            <w:tcW w:w="1953" w:type="dxa"/>
            <w:vAlign w:val="center"/>
          </w:tcPr>
          <w:p>
            <w:pPr>
              <w:widowControl/>
              <w:spacing w:line="420" w:lineRule="exact"/>
              <w:jc w:val="left"/>
              <w:outlineLvl w:val="1"/>
              <w:rPr>
                <w:rFonts w:ascii="宋体" w:hAnsi="宋体" w:cs="宋体"/>
                <w:sz w:val="24"/>
              </w:rPr>
            </w:pPr>
            <w:r>
              <w:rPr>
                <w:rFonts w:hint="eastAsia" w:ascii="宋体" w:hAnsi="宋体" w:cs="宋体"/>
                <w:sz w:val="24"/>
              </w:rPr>
              <w:t>招标要求</w:t>
            </w:r>
          </w:p>
        </w:tc>
        <w:tc>
          <w:tcPr>
            <w:tcW w:w="2274" w:type="dxa"/>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投标应答</w:t>
            </w:r>
          </w:p>
        </w:tc>
        <w:tc>
          <w:tcPr>
            <w:tcW w:w="2273" w:type="dxa"/>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响应/偏离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658" w:type="dxa"/>
          </w:tcPr>
          <w:p>
            <w:pPr>
              <w:widowControl/>
              <w:spacing w:line="420" w:lineRule="exact"/>
              <w:ind w:firstLine="470" w:firstLineChars="196"/>
              <w:jc w:val="left"/>
              <w:outlineLvl w:val="1"/>
              <w:rPr>
                <w:rFonts w:ascii="宋体" w:hAnsi="宋体" w:cs="宋体"/>
                <w:sz w:val="24"/>
              </w:rPr>
            </w:pPr>
          </w:p>
        </w:tc>
        <w:tc>
          <w:tcPr>
            <w:tcW w:w="1363" w:type="dxa"/>
          </w:tcPr>
          <w:p>
            <w:pPr>
              <w:widowControl/>
              <w:spacing w:line="420" w:lineRule="exact"/>
              <w:ind w:firstLine="470" w:firstLineChars="196"/>
              <w:jc w:val="left"/>
              <w:outlineLvl w:val="1"/>
              <w:rPr>
                <w:rFonts w:ascii="宋体" w:hAnsi="宋体" w:cs="宋体"/>
                <w:sz w:val="24"/>
              </w:rPr>
            </w:pPr>
          </w:p>
        </w:tc>
        <w:tc>
          <w:tcPr>
            <w:tcW w:w="1953" w:type="dxa"/>
          </w:tcPr>
          <w:p>
            <w:pPr>
              <w:widowControl/>
              <w:spacing w:line="420" w:lineRule="exact"/>
              <w:ind w:firstLine="470" w:firstLineChars="196"/>
              <w:jc w:val="left"/>
              <w:outlineLvl w:val="1"/>
              <w:rPr>
                <w:rFonts w:ascii="宋体" w:hAnsi="宋体" w:cs="宋体"/>
                <w:sz w:val="24"/>
              </w:rPr>
            </w:pPr>
          </w:p>
        </w:tc>
        <w:tc>
          <w:tcPr>
            <w:tcW w:w="2274" w:type="dxa"/>
          </w:tcPr>
          <w:p>
            <w:pPr>
              <w:widowControl/>
              <w:spacing w:line="420" w:lineRule="exact"/>
              <w:ind w:firstLine="470" w:firstLineChars="196"/>
              <w:jc w:val="left"/>
              <w:outlineLvl w:val="1"/>
              <w:rPr>
                <w:rFonts w:ascii="宋体" w:hAnsi="宋体" w:cs="宋体"/>
                <w:sz w:val="24"/>
              </w:rPr>
            </w:pPr>
          </w:p>
        </w:tc>
        <w:tc>
          <w:tcPr>
            <w:tcW w:w="2273"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658" w:type="dxa"/>
          </w:tcPr>
          <w:p>
            <w:pPr>
              <w:widowControl/>
              <w:spacing w:line="420" w:lineRule="exact"/>
              <w:ind w:firstLine="470" w:firstLineChars="196"/>
              <w:jc w:val="left"/>
              <w:outlineLvl w:val="1"/>
              <w:rPr>
                <w:rFonts w:ascii="宋体" w:hAnsi="宋体" w:cs="宋体"/>
                <w:sz w:val="24"/>
              </w:rPr>
            </w:pPr>
          </w:p>
        </w:tc>
        <w:tc>
          <w:tcPr>
            <w:tcW w:w="1363" w:type="dxa"/>
          </w:tcPr>
          <w:p>
            <w:pPr>
              <w:widowControl/>
              <w:spacing w:line="420" w:lineRule="exact"/>
              <w:ind w:firstLine="470" w:firstLineChars="196"/>
              <w:jc w:val="left"/>
              <w:outlineLvl w:val="1"/>
              <w:rPr>
                <w:rFonts w:ascii="宋体" w:hAnsi="宋体" w:cs="宋体"/>
                <w:sz w:val="24"/>
              </w:rPr>
            </w:pPr>
          </w:p>
        </w:tc>
        <w:tc>
          <w:tcPr>
            <w:tcW w:w="1953" w:type="dxa"/>
          </w:tcPr>
          <w:p>
            <w:pPr>
              <w:widowControl/>
              <w:spacing w:line="420" w:lineRule="exact"/>
              <w:ind w:firstLine="470" w:firstLineChars="196"/>
              <w:jc w:val="left"/>
              <w:outlineLvl w:val="1"/>
              <w:rPr>
                <w:rFonts w:ascii="宋体" w:hAnsi="宋体" w:cs="宋体"/>
                <w:sz w:val="24"/>
              </w:rPr>
            </w:pPr>
          </w:p>
        </w:tc>
        <w:tc>
          <w:tcPr>
            <w:tcW w:w="2274" w:type="dxa"/>
          </w:tcPr>
          <w:p>
            <w:pPr>
              <w:widowControl/>
              <w:spacing w:line="420" w:lineRule="exact"/>
              <w:ind w:firstLine="470" w:firstLineChars="196"/>
              <w:jc w:val="left"/>
              <w:outlineLvl w:val="1"/>
              <w:rPr>
                <w:rFonts w:ascii="宋体" w:hAnsi="宋体" w:cs="宋体"/>
                <w:sz w:val="24"/>
              </w:rPr>
            </w:pPr>
          </w:p>
        </w:tc>
        <w:tc>
          <w:tcPr>
            <w:tcW w:w="2273"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658" w:type="dxa"/>
          </w:tcPr>
          <w:p>
            <w:pPr>
              <w:widowControl/>
              <w:spacing w:line="420" w:lineRule="exact"/>
              <w:ind w:firstLine="470" w:firstLineChars="196"/>
              <w:jc w:val="left"/>
              <w:outlineLvl w:val="1"/>
              <w:rPr>
                <w:rFonts w:ascii="宋体" w:hAnsi="宋体" w:cs="宋体"/>
                <w:sz w:val="24"/>
              </w:rPr>
            </w:pPr>
          </w:p>
        </w:tc>
        <w:tc>
          <w:tcPr>
            <w:tcW w:w="1363" w:type="dxa"/>
          </w:tcPr>
          <w:p>
            <w:pPr>
              <w:widowControl/>
              <w:spacing w:line="420" w:lineRule="exact"/>
              <w:ind w:firstLine="470" w:firstLineChars="196"/>
              <w:jc w:val="left"/>
              <w:outlineLvl w:val="1"/>
              <w:rPr>
                <w:rFonts w:ascii="宋体" w:hAnsi="宋体" w:cs="宋体"/>
                <w:sz w:val="24"/>
              </w:rPr>
            </w:pPr>
          </w:p>
        </w:tc>
        <w:tc>
          <w:tcPr>
            <w:tcW w:w="1953" w:type="dxa"/>
          </w:tcPr>
          <w:p>
            <w:pPr>
              <w:widowControl/>
              <w:spacing w:line="420" w:lineRule="exact"/>
              <w:ind w:firstLine="470" w:firstLineChars="196"/>
              <w:jc w:val="left"/>
              <w:outlineLvl w:val="1"/>
              <w:rPr>
                <w:rFonts w:ascii="宋体" w:hAnsi="宋体" w:cs="宋体"/>
                <w:sz w:val="24"/>
              </w:rPr>
            </w:pPr>
          </w:p>
        </w:tc>
        <w:tc>
          <w:tcPr>
            <w:tcW w:w="2274" w:type="dxa"/>
          </w:tcPr>
          <w:p>
            <w:pPr>
              <w:widowControl/>
              <w:spacing w:line="420" w:lineRule="exact"/>
              <w:ind w:firstLine="470" w:firstLineChars="196"/>
              <w:jc w:val="left"/>
              <w:outlineLvl w:val="1"/>
              <w:rPr>
                <w:rFonts w:ascii="宋体" w:hAnsi="宋体" w:cs="宋体"/>
                <w:sz w:val="24"/>
              </w:rPr>
            </w:pPr>
          </w:p>
        </w:tc>
        <w:tc>
          <w:tcPr>
            <w:tcW w:w="2273"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658" w:type="dxa"/>
          </w:tcPr>
          <w:p>
            <w:pPr>
              <w:widowControl/>
              <w:spacing w:line="420" w:lineRule="exact"/>
              <w:ind w:firstLine="470" w:firstLineChars="196"/>
              <w:jc w:val="left"/>
              <w:outlineLvl w:val="1"/>
              <w:rPr>
                <w:rFonts w:ascii="宋体" w:hAnsi="宋体" w:cs="宋体"/>
                <w:sz w:val="24"/>
              </w:rPr>
            </w:pPr>
          </w:p>
        </w:tc>
        <w:tc>
          <w:tcPr>
            <w:tcW w:w="1363" w:type="dxa"/>
          </w:tcPr>
          <w:p>
            <w:pPr>
              <w:widowControl/>
              <w:spacing w:line="420" w:lineRule="exact"/>
              <w:ind w:firstLine="470" w:firstLineChars="196"/>
              <w:jc w:val="left"/>
              <w:outlineLvl w:val="1"/>
              <w:rPr>
                <w:rFonts w:ascii="宋体" w:hAnsi="宋体" w:cs="宋体"/>
                <w:sz w:val="24"/>
              </w:rPr>
            </w:pPr>
          </w:p>
        </w:tc>
        <w:tc>
          <w:tcPr>
            <w:tcW w:w="1953" w:type="dxa"/>
          </w:tcPr>
          <w:p>
            <w:pPr>
              <w:widowControl/>
              <w:spacing w:line="420" w:lineRule="exact"/>
              <w:ind w:firstLine="470" w:firstLineChars="196"/>
              <w:jc w:val="left"/>
              <w:outlineLvl w:val="1"/>
              <w:rPr>
                <w:rFonts w:ascii="宋体" w:hAnsi="宋体" w:cs="宋体"/>
                <w:sz w:val="24"/>
              </w:rPr>
            </w:pPr>
          </w:p>
        </w:tc>
        <w:tc>
          <w:tcPr>
            <w:tcW w:w="2274" w:type="dxa"/>
          </w:tcPr>
          <w:p>
            <w:pPr>
              <w:widowControl/>
              <w:spacing w:line="420" w:lineRule="exact"/>
              <w:ind w:firstLine="470" w:firstLineChars="196"/>
              <w:jc w:val="left"/>
              <w:outlineLvl w:val="1"/>
              <w:rPr>
                <w:rFonts w:ascii="宋体" w:hAnsi="宋体" w:cs="宋体"/>
                <w:sz w:val="24"/>
              </w:rPr>
            </w:pPr>
          </w:p>
        </w:tc>
        <w:tc>
          <w:tcPr>
            <w:tcW w:w="2273" w:type="dxa"/>
          </w:tcPr>
          <w:p>
            <w:pPr>
              <w:widowControl/>
              <w:spacing w:line="420" w:lineRule="exact"/>
              <w:ind w:firstLine="470" w:firstLineChars="196"/>
              <w:jc w:val="left"/>
              <w:outlineLvl w:val="1"/>
              <w:rPr>
                <w:rFonts w:ascii="宋体" w:hAnsi="宋体" w:cs="宋体"/>
                <w:sz w:val="24"/>
              </w:rPr>
            </w:pPr>
          </w:p>
        </w:tc>
      </w:tr>
    </w:tbl>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注：</w:t>
      </w:r>
      <w:r>
        <w:rPr>
          <w:rFonts w:hint="eastAsia" w:ascii="宋体" w:hAnsi="宋体" w:cs="宋体"/>
          <w:sz w:val="24"/>
          <w:lang w:val="zh-TW" w:eastAsia="zh-TW"/>
        </w:rPr>
        <w:t>只填写投标文件中与招标文件有偏离（包括正偏离和负偏离）的内容，投标文件中商务响应与招标文件要求完全一致的，不用在此表中列出。</w:t>
      </w:r>
    </w:p>
    <w:p>
      <w:pPr>
        <w:adjustRightInd w:val="0"/>
        <w:spacing w:line="400" w:lineRule="exact"/>
        <w:ind w:firstLine="420" w:firstLineChars="175"/>
        <w:jc w:val="left"/>
        <w:rPr>
          <w:rFonts w:ascii="宋体" w:hAnsi="宋体" w:cs="宋体"/>
          <w:sz w:val="24"/>
        </w:rPr>
      </w:pPr>
    </w:p>
    <w:p>
      <w:pPr>
        <w:widowControl/>
        <w:spacing w:line="420" w:lineRule="exact"/>
        <w:jc w:val="left"/>
        <w:outlineLvl w:val="1"/>
        <w:rPr>
          <w:rFonts w:ascii="宋体" w:hAnsi="宋体" w:cs="宋体"/>
          <w:sz w:val="24"/>
        </w:rPr>
      </w:pPr>
    </w:p>
    <w:p>
      <w:pPr>
        <w:widowControl/>
        <w:spacing w:line="360" w:lineRule="atLeast"/>
        <w:ind w:firstLine="470" w:firstLineChars="196"/>
        <w:jc w:val="left"/>
        <w:outlineLvl w:val="1"/>
        <w:rPr>
          <w:rFonts w:ascii="宋体" w:hAnsi="宋体" w:cs="宋体"/>
          <w:sz w:val="24"/>
        </w:rPr>
      </w:pPr>
      <w:bookmarkStart w:id="135" w:name="_Toc217446088"/>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投标日期：</w:t>
      </w:r>
      <w:r>
        <w:rPr>
          <w:rFonts w:hint="eastAsia" w:ascii="宋体" w:hAnsi="宋体" w:cs="宋体"/>
          <w:sz w:val="24"/>
          <w:u w:val="single"/>
        </w:rPr>
        <w:t xml:space="preserve">                                            </w:t>
      </w:r>
    </w:p>
    <w:p>
      <w:pPr>
        <w:pStyle w:val="5"/>
        <w:ind w:left="199" w:leftChars="95"/>
        <w:jc w:val="center"/>
        <w:rPr>
          <w:rFonts w:ascii="宋体" w:hAnsi="宋体" w:cs="宋体"/>
        </w:rPr>
      </w:pPr>
      <w:r>
        <w:rPr>
          <w:rFonts w:hint="eastAsia" w:ascii="宋体" w:hAnsi="宋体" w:cs="宋体"/>
        </w:rPr>
        <w:br w:type="page"/>
      </w:r>
      <w:r>
        <w:rPr>
          <w:rFonts w:hint="eastAsia" w:ascii="宋体" w:hAnsi="宋体" w:cs="宋体"/>
        </w:rPr>
        <w:t>三、投标人基本情况表</w:t>
      </w:r>
      <w:bookmarkEnd w:id="135"/>
    </w:p>
    <w:p>
      <w:pPr>
        <w:rPr>
          <w:rFonts w:ascii="宋体" w:hAnsi="宋体" w:cs="宋体"/>
        </w:rPr>
      </w:pPr>
    </w:p>
    <w:tbl>
      <w:tblPr>
        <w:tblStyle w:val="21"/>
        <w:tblW w:w="8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投标人名称</w:t>
            </w:r>
          </w:p>
        </w:tc>
        <w:tc>
          <w:tcPr>
            <w:tcW w:w="6693" w:type="dxa"/>
            <w:gridSpan w:val="7"/>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注册地址</w:t>
            </w:r>
          </w:p>
        </w:tc>
        <w:tc>
          <w:tcPr>
            <w:tcW w:w="3443" w:type="dxa"/>
            <w:gridSpan w:val="3"/>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jc w:val="left"/>
              <w:outlineLvl w:val="1"/>
              <w:rPr>
                <w:rFonts w:ascii="宋体" w:hAnsi="宋体" w:cs="宋体"/>
                <w:sz w:val="24"/>
              </w:rPr>
            </w:pPr>
            <w:r>
              <w:rPr>
                <w:rFonts w:hint="eastAsia" w:ascii="宋体" w:hAnsi="宋体" w:cs="宋体"/>
                <w:sz w:val="24"/>
              </w:rPr>
              <w:t>邮政编码</w:t>
            </w:r>
          </w:p>
        </w:tc>
        <w:tc>
          <w:tcPr>
            <w:tcW w:w="1930" w:type="dxa"/>
            <w:gridSpan w:val="3"/>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1522" w:type="dxa"/>
            <w:vMerge w:val="restart"/>
            <w:vAlign w:val="center"/>
          </w:tcPr>
          <w:p>
            <w:pPr>
              <w:widowControl/>
              <w:spacing w:line="420" w:lineRule="exact"/>
              <w:jc w:val="left"/>
              <w:outlineLvl w:val="1"/>
              <w:rPr>
                <w:rFonts w:ascii="宋体" w:hAnsi="宋体" w:cs="宋体"/>
                <w:sz w:val="24"/>
              </w:rPr>
            </w:pPr>
            <w:r>
              <w:rPr>
                <w:rFonts w:hint="eastAsia" w:ascii="宋体" w:hAnsi="宋体" w:cs="宋体"/>
                <w:sz w:val="24"/>
              </w:rPr>
              <w:t>联系方式</w:t>
            </w:r>
          </w:p>
        </w:tc>
        <w:tc>
          <w:tcPr>
            <w:tcW w:w="957" w:type="dxa"/>
            <w:vAlign w:val="center"/>
          </w:tcPr>
          <w:p>
            <w:pPr>
              <w:widowControl/>
              <w:spacing w:line="420" w:lineRule="exact"/>
              <w:jc w:val="left"/>
              <w:outlineLvl w:val="1"/>
              <w:rPr>
                <w:rFonts w:ascii="宋体" w:hAnsi="宋体" w:cs="宋体"/>
                <w:sz w:val="24"/>
              </w:rPr>
            </w:pPr>
            <w:r>
              <w:rPr>
                <w:rFonts w:hint="eastAsia" w:ascii="宋体" w:hAnsi="宋体" w:cs="宋体"/>
                <w:sz w:val="24"/>
              </w:rPr>
              <w:t>联系人</w:t>
            </w:r>
          </w:p>
        </w:tc>
        <w:tc>
          <w:tcPr>
            <w:tcW w:w="2486" w:type="dxa"/>
            <w:gridSpan w:val="2"/>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电话</w:t>
            </w:r>
          </w:p>
        </w:tc>
        <w:tc>
          <w:tcPr>
            <w:tcW w:w="1930" w:type="dxa"/>
            <w:gridSpan w:val="3"/>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1522" w:type="dxa"/>
            <w:vMerge w:val="continue"/>
            <w:vAlign w:val="center"/>
          </w:tcPr>
          <w:p>
            <w:pPr>
              <w:spacing w:line="420" w:lineRule="exact"/>
              <w:rPr>
                <w:rFonts w:ascii="宋体" w:hAnsi="宋体" w:cs="宋体"/>
              </w:rPr>
            </w:pPr>
          </w:p>
        </w:tc>
        <w:tc>
          <w:tcPr>
            <w:tcW w:w="957" w:type="dxa"/>
            <w:vAlign w:val="center"/>
          </w:tcPr>
          <w:p>
            <w:pPr>
              <w:widowControl/>
              <w:spacing w:line="420" w:lineRule="exact"/>
              <w:jc w:val="left"/>
              <w:outlineLvl w:val="1"/>
              <w:rPr>
                <w:rFonts w:ascii="宋体" w:hAnsi="宋体" w:cs="宋体"/>
                <w:sz w:val="24"/>
              </w:rPr>
            </w:pPr>
            <w:r>
              <w:rPr>
                <w:rFonts w:hint="eastAsia" w:ascii="宋体" w:hAnsi="宋体" w:cs="宋体"/>
                <w:sz w:val="24"/>
              </w:rPr>
              <w:t>传真</w:t>
            </w:r>
          </w:p>
        </w:tc>
        <w:tc>
          <w:tcPr>
            <w:tcW w:w="2486" w:type="dxa"/>
            <w:gridSpan w:val="2"/>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网址</w:t>
            </w:r>
          </w:p>
        </w:tc>
        <w:tc>
          <w:tcPr>
            <w:tcW w:w="1930" w:type="dxa"/>
            <w:gridSpan w:val="3"/>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组织结构</w:t>
            </w:r>
          </w:p>
        </w:tc>
        <w:tc>
          <w:tcPr>
            <w:tcW w:w="6693" w:type="dxa"/>
            <w:gridSpan w:val="7"/>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法定代表人</w:t>
            </w:r>
          </w:p>
        </w:tc>
        <w:tc>
          <w:tcPr>
            <w:tcW w:w="957" w:type="dxa"/>
            <w:vAlign w:val="center"/>
          </w:tcPr>
          <w:p>
            <w:pPr>
              <w:widowControl/>
              <w:spacing w:line="420" w:lineRule="exact"/>
              <w:jc w:val="left"/>
              <w:outlineLvl w:val="1"/>
              <w:rPr>
                <w:rFonts w:ascii="宋体" w:hAnsi="宋体" w:cs="宋体"/>
                <w:sz w:val="24"/>
              </w:rPr>
            </w:pPr>
            <w:r>
              <w:rPr>
                <w:rFonts w:hint="eastAsia" w:ascii="宋体" w:hAnsi="宋体" w:cs="宋体"/>
                <w:sz w:val="24"/>
              </w:rPr>
              <w:t>姓名</w:t>
            </w:r>
          </w:p>
        </w:tc>
        <w:tc>
          <w:tcPr>
            <w:tcW w:w="1239" w:type="dxa"/>
            <w:vAlign w:val="center"/>
          </w:tcPr>
          <w:p>
            <w:pPr>
              <w:widowControl/>
              <w:spacing w:line="420" w:lineRule="exact"/>
              <w:ind w:firstLine="470" w:firstLineChars="196"/>
              <w:jc w:val="left"/>
              <w:outlineLvl w:val="1"/>
              <w:rPr>
                <w:rFonts w:ascii="宋体" w:hAnsi="宋体" w:cs="宋体"/>
                <w:sz w:val="24"/>
              </w:rPr>
            </w:pPr>
          </w:p>
        </w:tc>
        <w:tc>
          <w:tcPr>
            <w:tcW w:w="1247" w:type="dxa"/>
            <w:vAlign w:val="center"/>
          </w:tcPr>
          <w:p>
            <w:pPr>
              <w:widowControl/>
              <w:spacing w:line="420" w:lineRule="exact"/>
              <w:jc w:val="left"/>
              <w:outlineLvl w:val="1"/>
              <w:rPr>
                <w:rFonts w:ascii="宋体" w:hAnsi="宋体" w:cs="宋体"/>
                <w:sz w:val="24"/>
              </w:rPr>
            </w:pPr>
            <w:r>
              <w:rPr>
                <w:rFonts w:hint="eastAsia" w:ascii="宋体" w:hAnsi="宋体" w:cs="宋体"/>
                <w:sz w:val="24"/>
              </w:rPr>
              <w:t>技术职称</w:t>
            </w: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850" w:type="dxa"/>
            <w:gridSpan w:val="2"/>
            <w:vAlign w:val="center"/>
          </w:tcPr>
          <w:p>
            <w:pPr>
              <w:widowControl/>
              <w:spacing w:line="420" w:lineRule="exact"/>
              <w:jc w:val="left"/>
              <w:outlineLvl w:val="1"/>
              <w:rPr>
                <w:rFonts w:ascii="宋体" w:hAnsi="宋体" w:cs="宋体"/>
                <w:sz w:val="24"/>
              </w:rPr>
            </w:pPr>
            <w:r>
              <w:rPr>
                <w:rFonts w:hint="eastAsia" w:ascii="宋体" w:hAnsi="宋体" w:cs="宋体"/>
                <w:sz w:val="24"/>
              </w:rPr>
              <w:t>电话</w:t>
            </w:r>
          </w:p>
        </w:tc>
        <w:tc>
          <w:tcPr>
            <w:tcW w:w="1080" w:type="dxa"/>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技术负责人</w:t>
            </w:r>
          </w:p>
        </w:tc>
        <w:tc>
          <w:tcPr>
            <w:tcW w:w="957" w:type="dxa"/>
            <w:vAlign w:val="center"/>
          </w:tcPr>
          <w:p>
            <w:pPr>
              <w:widowControl/>
              <w:spacing w:line="420" w:lineRule="exact"/>
              <w:jc w:val="left"/>
              <w:outlineLvl w:val="1"/>
              <w:rPr>
                <w:rFonts w:ascii="宋体" w:hAnsi="宋体" w:cs="宋体"/>
                <w:sz w:val="24"/>
              </w:rPr>
            </w:pPr>
            <w:r>
              <w:rPr>
                <w:rFonts w:hint="eastAsia" w:ascii="宋体" w:hAnsi="宋体" w:cs="宋体"/>
                <w:sz w:val="24"/>
              </w:rPr>
              <w:t>姓名</w:t>
            </w:r>
          </w:p>
        </w:tc>
        <w:tc>
          <w:tcPr>
            <w:tcW w:w="1239" w:type="dxa"/>
            <w:vAlign w:val="center"/>
          </w:tcPr>
          <w:p>
            <w:pPr>
              <w:widowControl/>
              <w:spacing w:line="420" w:lineRule="exact"/>
              <w:ind w:firstLine="470" w:firstLineChars="196"/>
              <w:jc w:val="left"/>
              <w:outlineLvl w:val="1"/>
              <w:rPr>
                <w:rFonts w:ascii="宋体" w:hAnsi="宋体" w:cs="宋体"/>
                <w:sz w:val="24"/>
              </w:rPr>
            </w:pPr>
          </w:p>
        </w:tc>
        <w:tc>
          <w:tcPr>
            <w:tcW w:w="1247" w:type="dxa"/>
            <w:vAlign w:val="center"/>
          </w:tcPr>
          <w:p>
            <w:pPr>
              <w:widowControl/>
              <w:spacing w:line="420" w:lineRule="exact"/>
              <w:jc w:val="left"/>
              <w:outlineLvl w:val="1"/>
              <w:rPr>
                <w:rFonts w:ascii="宋体" w:hAnsi="宋体" w:cs="宋体"/>
                <w:sz w:val="24"/>
              </w:rPr>
            </w:pPr>
            <w:r>
              <w:rPr>
                <w:rFonts w:hint="eastAsia" w:ascii="宋体" w:hAnsi="宋体" w:cs="宋体"/>
                <w:sz w:val="24"/>
              </w:rPr>
              <w:t>技术职称</w:t>
            </w: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850" w:type="dxa"/>
            <w:gridSpan w:val="2"/>
            <w:vAlign w:val="center"/>
          </w:tcPr>
          <w:p>
            <w:pPr>
              <w:widowControl/>
              <w:spacing w:line="420" w:lineRule="exact"/>
              <w:jc w:val="left"/>
              <w:outlineLvl w:val="1"/>
              <w:rPr>
                <w:rFonts w:ascii="宋体" w:hAnsi="宋体" w:cs="宋体"/>
                <w:sz w:val="24"/>
              </w:rPr>
            </w:pPr>
            <w:r>
              <w:rPr>
                <w:rFonts w:hint="eastAsia" w:ascii="宋体" w:hAnsi="宋体" w:cs="宋体"/>
                <w:sz w:val="24"/>
              </w:rPr>
              <w:t>电话</w:t>
            </w:r>
          </w:p>
        </w:tc>
        <w:tc>
          <w:tcPr>
            <w:tcW w:w="1080" w:type="dxa"/>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成立时间</w:t>
            </w:r>
          </w:p>
        </w:tc>
        <w:tc>
          <w:tcPr>
            <w:tcW w:w="2196" w:type="dxa"/>
            <w:gridSpan w:val="2"/>
            <w:vAlign w:val="center"/>
          </w:tcPr>
          <w:p>
            <w:pPr>
              <w:widowControl/>
              <w:spacing w:line="420" w:lineRule="exact"/>
              <w:ind w:firstLine="470" w:firstLineChars="196"/>
              <w:jc w:val="left"/>
              <w:outlineLvl w:val="1"/>
              <w:rPr>
                <w:rFonts w:ascii="宋体" w:hAnsi="宋体" w:cs="宋体"/>
                <w:sz w:val="24"/>
              </w:rPr>
            </w:pPr>
          </w:p>
        </w:tc>
        <w:tc>
          <w:tcPr>
            <w:tcW w:w="4497" w:type="dxa"/>
            <w:gridSpan w:val="5"/>
            <w:vAlign w:val="center"/>
          </w:tcPr>
          <w:p>
            <w:pPr>
              <w:widowControl/>
              <w:spacing w:line="420" w:lineRule="exact"/>
              <w:jc w:val="left"/>
              <w:outlineLvl w:val="1"/>
              <w:rPr>
                <w:rFonts w:ascii="宋体" w:hAnsi="宋体" w:cs="宋体"/>
                <w:sz w:val="24"/>
              </w:rPr>
            </w:pPr>
            <w:r>
              <w:rPr>
                <w:rFonts w:hint="eastAsia" w:ascii="宋体" w:hAnsi="宋体" w:cs="宋体"/>
                <w:sz w:val="24"/>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企业资质等级</w:t>
            </w:r>
          </w:p>
        </w:tc>
        <w:tc>
          <w:tcPr>
            <w:tcW w:w="2196" w:type="dxa"/>
            <w:gridSpan w:val="2"/>
            <w:vAlign w:val="center"/>
          </w:tcPr>
          <w:p>
            <w:pPr>
              <w:widowControl/>
              <w:spacing w:line="420" w:lineRule="exact"/>
              <w:ind w:firstLine="470" w:firstLineChars="196"/>
              <w:jc w:val="left"/>
              <w:outlineLvl w:val="1"/>
              <w:rPr>
                <w:rFonts w:ascii="宋体" w:hAnsi="宋体" w:cs="宋体"/>
                <w:sz w:val="24"/>
              </w:rPr>
            </w:pPr>
          </w:p>
        </w:tc>
        <w:tc>
          <w:tcPr>
            <w:tcW w:w="1247" w:type="dxa"/>
            <w:vMerge w:val="restart"/>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其中</w:t>
            </w:r>
          </w:p>
        </w:tc>
        <w:tc>
          <w:tcPr>
            <w:tcW w:w="1478" w:type="dxa"/>
            <w:gridSpan w:val="2"/>
            <w:vAlign w:val="center"/>
          </w:tcPr>
          <w:p>
            <w:pPr>
              <w:widowControl/>
              <w:spacing w:line="420" w:lineRule="exact"/>
              <w:jc w:val="left"/>
              <w:outlineLvl w:val="1"/>
              <w:rPr>
                <w:rFonts w:ascii="宋体" w:hAnsi="宋体" w:cs="宋体"/>
                <w:sz w:val="24"/>
              </w:rPr>
            </w:pPr>
            <w:r>
              <w:rPr>
                <w:rFonts w:hint="eastAsia" w:ascii="宋体" w:hAnsi="宋体" w:cs="宋体"/>
                <w:sz w:val="24"/>
              </w:rPr>
              <w:t>项目经理</w:t>
            </w:r>
          </w:p>
        </w:tc>
        <w:tc>
          <w:tcPr>
            <w:tcW w:w="1772" w:type="dxa"/>
            <w:gridSpan w:val="2"/>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营业执照号</w:t>
            </w:r>
          </w:p>
        </w:tc>
        <w:tc>
          <w:tcPr>
            <w:tcW w:w="2196" w:type="dxa"/>
            <w:gridSpan w:val="2"/>
            <w:vAlign w:val="center"/>
          </w:tcPr>
          <w:p>
            <w:pPr>
              <w:widowControl/>
              <w:spacing w:line="420" w:lineRule="exact"/>
              <w:ind w:firstLine="470" w:firstLineChars="196"/>
              <w:jc w:val="left"/>
              <w:outlineLvl w:val="1"/>
              <w:rPr>
                <w:rFonts w:ascii="宋体" w:hAnsi="宋体" w:cs="宋体"/>
                <w:sz w:val="24"/>
              </w:rPr>
            </w:pPr>
          </w:p>
        </w:tc>
        <w:tc>
          <w:tcPr>
            <w:tcW w:w="1247" w:type="dxa"/>
            <w:vMerge w:val="continue"/>
            <w:vAlign w:val="center"/>
          </w:tcPr>
          <w:p>
            <w:pPr>
              <w:spacing w:line="420" w:lineRule="exact"/>
              <w:rPr>
                <w:rFonts w:ascii="宋体" w:hAnsi="宋体" w:cs="宋体"/>
              </w:rPr>
            </w:pPr>
          </w:p>
        </w:tc>
        <w:tc>
          <w:tcPr>
            <w:tcW w:w="1478" w:type="dxa"/>
            <w:gridSpan w:val="2"/>
            <w:vAlign w:val="center"/>
          </w:tcPr>
          <w:p>
            <w:pPr>
              <w:widowControl/>
              <w:spacing w:line="420" w:lineRule="exact"/>
              <w:jc w:val="left"/>
              <w:outlineLvl w:val="1"/>
              <w:rPr>
                <w:rFonts w:ascii="宋体" w:hAnsi="宋体" w:cs="宋体"/>
                <w:sz w:val="24"/>
              </w:rPr>
            </w:pPr>
            <w:r>
              <w:rPr>
                <w:rFonts w:hint="eastAsia" w:ascii="宋体" w:hAnsi="宋体" w:cs="宋体"/>
                <w:sz w:val="24"/>
              </w:rPr>
              <w:t>高级职称人员</w:t>
            </w:r>
          </w:p>
        </w:tc>
        <w:tc>
          <w:tcPr>
            <w:tcW w:w="1772" w:type="dxa"/>
            <w:gridSpan w:val="2"/>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注册资金</w:t>
            </w:r>
          </w:p>
        </w:tc>
        <w:tc>
          <w:tcPr>
            <w:tcW w:w="2196" w:type="dxa"/>
            <w:gridSpan w:val="2"/>
            <w:vAlign w:val="center"/>
          </w:tcPr>
          <w:p>
            <w:pPr>
              <w:widowControl/>
              <w:spacing w:line="420" w:lineRule="exact"/>
              <w:ind w:firstLine="470" w:firstLineChars="196"/>
              <w:jc w:val="left"/>
              <w:outlineLvl w:val="1"/>
              <w:rPr>
                <w:rFonts w:ascii="宋体" w:hAnsi="宋体" w:cs="宋体"/>
                <w:sz w:val="24"/>
              </w:rPr>
            </w:pPr>
          </w:p>
        </w:tc>
        <w:tc>
          <w:tcPr>
            <w:tcW w:w="1247" w:type="dxa"/>
            <w:vMerge w:val="continue"/>
            <w:vAlign w:val="center"/>
          </w:tcPr>
          <w:p>
            <w:pPr>
              <w:spacing w:line="420" w:lineRule="exact"/>
              <w:rPr>
                <w:rFonts w:ascii="宋体" w:hAnsi="宋体" w:cs="宋体"/>
              </w:rPr>
            </w:pPr>
          </w:p>
        </w:tc>
        <w:tc>
          <w:tcPr>
            <w:tcW w:w="1478" w:type="dxa"/>
            <w:gridSpan w:val="2"/>
            <w:vAlign w:val="center"/>
          </w:tcPr>
          <w:p>
            <w:pPr>
              <w:widowControl/>
              <w:spacing w:line="420" w:lineRule="exact"/>
              <w:jc w:val="left"/>
              <w:outlineLvl w:val="1"/>
              <w:rPr>
                <w:rFonts w:ascii="宋体" w:hAnsi="宋体" w:cs="宋体"/>
                <w:sz w:val="24"/>
              </w:rPr>
            </w:pPr>
            <w:r>
              <w:rPr>
                <w:rFonts w:hint="eastAsia" w:ascii="宋体" w:hAnsi="宋体" w:cs="宋体"/>
                <w:sz w:val="24"/>
              </w:rPr>
              <w:t>中级职称人员</w:t>
            </w:r>
          </w:p>
        </w:tc>
        <w:tc>
          <w:tcPr>
            <w:tcW w:w="1772" w:type="dxa"/>
            <w:gridSpan w:val="2"/>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开户银行</w:t>
            </w:r>
          </w:p>
        </w:tc>
        <w:tc>
          <w:tcPr>
            <w:tcW w:w="2196" w:type="dxa"/>
            <w:gridSpan w:val="2"/>
            <w:vAlign w:val="center"/>
          </w:tcPr>
          <w:p>
            <w:pPr>
              <w:widowControl/>
              <w:spacing w:line="420" w:lineRule="exact"/>
              <w:ind w:firstLine="470" w:firstLineChars="196"/>
              <w:jc w:val="left"/>
              <w:outlineLvl w:val="1"/>
              <w:rPr>
                <w:rFonts w:ascii="宋体" w:hAnsi="宋体" w:cs="宋体"/>
                <w:sz w:val="24"/>
              </w:rPr>
            </w:pPr>
          </w:p>
        </w:tc>
        <w:tc>
          <w:tcPr>
            <w:tcW w:w="1247" w:type="dxa"/>
            <w:vMerge w:val="continue"/>
            <w:vAlign w:val="center"/>
          </w:tcPr>
          <w:p>
            <w:pPr>
              <w:spacing w:line="420" w:lineRule="exact"/>
              <w:rPr>
                <w:rFonts w:ascii="宋体" w:hAnsi="宋体" w:cs="宋体"/>
              </w:rPr>
            </w:pPr>
          </w:p>
        </w:tc>
        <w:tc>
          <w:tcPr>
            <w:tcW w:w="1478" w:type="dxa"/>
            <w:gridSpan w:val="2"/>
            <w:vAlign w:val="center"/>
          </w:tcPr>
          <w:p>
            <w:pPr>
              <w:widowControl/>
              <w:spacing w:line="420" w:lineRule="exact"/>
              <w:jc w:val="left"/>
              <w:outlineLvl w:val="1"/>
              <w:rPr>
                <w:rFonts w:ascii="宋体" w:hAnsi="宋体" w:cs="宋体"/>
                <w:sz w:val="24"/>
              </w:rPr>
            </w:pPr>
            <w:r>
              <w:rPr>
                <w:rFonts w:hint="eastAsia" w:ascii="宋体" w:hAnsi="宋体" w:cs="宋体"/>
                <w:sz w:val="24"/>
              </w:rPr>
              <w:t>初级职称人员</w:t>
            </w:r>
          </w:p>
        </w:tc>
        <w:tc>
          <w:tcPr>
            <w:tcW w:w="1772" w:type="dxa"/>
            <w:gridSpan w:val="2"/>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1522" w:type="dxa"/>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账号</w:t>
            </w:r>
          </w:p>
        </w:tc>
        <w:tc>
          <w:tcPr>
            <w:tcW w:w="2196" w:type="dxa"/>
            <w:gridSpan w:val="2"/>
            <w:vAlign w:val="center"/>
          </w:tcPr>
          <w:p>
            <w:pPr>
              <w:widowControl/>
              <w:spacing w:line="420" w:lineRule="exact"/>
              <w:ind w:firstLine="470" w:firstLineChars="196"/>
              <w:jc w:val="left"/>
              <w:outlineLvl w:val="1"/>
              <w:rPr>
                <w:rFonts w:ascii="宋体" w:hAnsi="宋体" w:cs="宋体"/>
                <w:sz w:val="24"/>
              </w:rPr>
            </w:pPr>
          </w:p>
        </w:tc>
        <w:tc>
          <w:tcPr>
            <w:tcW w:w="1247" w:type="dxa"/>
            <w:vMerge w:val="continue"/>
            <w:vAlign w:val="center"/>
          </w:tcPr>
          <w:p>
            <w:pPr>
              <w:spacing w:line="420" w:lineRule="exact"/>
              <w:rPr>
                <w:rFonts w:ascii="宋体" w:hAnsi="宋体" w:cs="宋体"/>
              </w:rPr>
            </w:pPr>
          </w:p>
        </w:tc>
        <w:tc>
          <w:tcPr>
            <w:tcW w:w="1478" w:type="dxa"/>
            <w:gridSpan w:val="2"/>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技工</w:t>
            </w:r>
          </w:p>
        </w:tc>
        <w:tc>
          <w:tcPr>
            <w:tcW w:w="1772" w:type="dxa"/>
            <w:gridSpan w:val="2"/>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2" w:hRule="atLeast"/>
        </w:trPr>
        <w:tc>
          <w:tcPr>
            <w:tcW w:w="1522" w:type="dxa"/>
            <w:vAlign w:val="center"/>
          </w:tcPr>
          <w:p>
            <w:pPr>
              <w:widowControl/>
              <w:spacing w:line="420" w:lineRule="exact"/>
              <w:jc w:val="left"/>
              <w:outlineLvl w:val="1"/>
              <w:rPr>
                <w:rFonts w:ascii="宋体" w:hAnsi="宋体" w:cs="宋体"/>
                <w:sz w:val="24"/>
              </w:rPr>
            </w:pPr>
            <w:r>
              <w:rPr>
                <w:rFonts w:hint="eastAsia" w:ascii="宋体" w:hAnsi="宋体" w:cs="宋体"/>
                <w:sz w:val="24"/>
              </w:rPr>
              <w:t>经营范围</w:t>
            </w:r>
          </w:p>
        </w:tc>
        <w:tc>
          <w:tcPr>
            <w:tcW w:w="6693" w:type="dxa"/>
            <w:gridSpan w:val="7"/>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2" w:hRule="atLeast"/>
        </w:trPr>
        <w:tc>
          <w:tcPr>
            <w:tcW w:w="1522" w:type="dxa"/>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备注</w:t>
            </w:r>
          </w:p>
        </w:tc>
        <w:tc>
          <w:tcPr>
            <w:tcW w:w="6693" w:type="dxa"/>
            <w:gridSpan w:val="7"/>
          </w:tcPr>
          <w:p>
            <w:pPr>
              <w:widowControl/>
              <w:spacing w:line="420" w:lineRule="exact"/>
              <w:ind w:firstLine="470" w:firstLineChars="196"/>
              <w:jc w:val="left"/>
              <w:outlineLvl w:val="1"/>
              <w:rPr>
                <w:rFonts w:ascii="宋体" w:hAnsi="宋体" w:cs="宋体"/>
                <w:sz w:val="24"/>
              </w:rPr>
            </w:pPr>
          </w:p>
        </w:tc>
      </w:tr>
    </w:tbl>
    <w:p>
      <w:pPr>
        <w:widowControl/>
        <w:spacing w:line="420" w:lineRule="exact"/>
        <w:ind w:firstLine="472" w:firstLineChars="196"/>
        <w:jc w:val="left"/>
        <w:outlineLvl w:val="1"/>
        <w:rPr>
          <w:rFonts w:ascii="宋体" w:hAnsi="宋体" w:cs="宋体"/>
          <w:b/>
          <w:sz w:val="24"/>
        </w:rPr>
      </w:pP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（单位盖章）。</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投标日期</w:t>
      </w:r>
      <w:bookmarkStart w:id="136" w:name="_Toc217446089"/>
      <w:r>
        <w:rPr>
          <w:rFonts w:hint="eastAsia" w:ascii="宋体" w:hAnsi="宋体" w:cs="宋体"/>
          <w:sz w:val="24"/>
        </w:rPr>
        <w:t>：</w:t>
      </w:r>
      <w:r>
        <w:rPr>
          <w:rFonts w:hint="eastAsia" w:ascii="宋体" w:hAnsi="宋体" w:cs="宋体"/>
          <w:sz w:val="24"/>
          <w:u w:val="single"/>
        </w:rPr>
        <w:t xml:space="preserve">                                         </w:t>
      </w:r>
    </w:p>
    <w:p>
      <w:pPr>
        <w:pStyle w:val="5"/>
        <w:ind w:left="420"/>
        <w:jc w:val="center"/>
        <w:rPr>
          <w:rFonts w:ascii="宋体" w:hAnsi="宋体" w:cs="宋体"/>
        </w:rPr>
      </w:pPr>
      <w:r>
        <w:rPr>
          <w:rFonts w:hint="eastAsia" w:ascii="宋体" w:hAnsi="宋体" w:cs="宋体"/>
        </w:rPr>
        <w:br w:type="page"/>
      </w:r>
      <w:r>
        <w:rPr>
          <w:rFonts w:hint="eastAsia" w:ascii="宋体" w:hAnsi="宋体" w:cs="宋体"/>
        </w:rPr>
        <w:t>四、</w:t>
      </w:r>
      <w:bookmarkEnd w:id="136"/>
      <w:r>
        <w:rPr>
          <w:rFonts w:hint="eastAsia" w:ascii="宋体" w:hAnsi="宋体" w:cs="宋体"/>
        </w:rPr>
        <w:t>投标人业绩一览表</w:t>
      </w:r>
    </w:p>
    <w:p>
      <w:pPr>
        <w:rPr>
          <w:rFonts w:ascii="宋体" w:hAnsi="宋体" w:cs="宋体"/>
        </w:rPr>
      </w:pPr>
    </w:p>
    <w:tbl>
      <w:tblPr>
        <w:tblStyle w:val="21"/>
        <w:tblW w:w="8057"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0"/>
        <w:gridCol w:w="1440"/>
        <w:gridCol w:w="1320"/>
        <w:gridCol w:w="1161"/>
        <w:gridCol w:w="1260"/>
        <w:gridCol w:w="9"/>
        <w:gridCol w:w="1356"/>
        <w:gridCol w:w="9"/>
        <w:gridCol w:w="78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4" w:space="0"/>
            </w:tcBorders>
            <w:vAlign w:val="center"/>
          </w:tcPr>
          <w:p>
            <w:pPr>
              <w:widowControl/>
              <w:spacing w:line="420" w:lineRule="exact"/>
              <w:jc w:val="left"/>
              <w:outlineLvl w:val="1"/>
              <w:rPr>
                <w:rFonts w:ascii="宋体" w:hAnsi="宋体" w:cs="宋体"/>
                <w:sz w:val="24"/>
              </w:rPr>
            </w:pPr>
            <w:r>
              <w:rPr>
                <w:rFonts w:hint="eastAsia" w:ascii="宋体" w:hAnsi="宋体" w:cs="宋体"/>
                <w:sz w:val="24"/>
              </w:rPr>
              <w:t>年份</w:t>
            </w:r>
          </w:p>
        </w:tc>
        <w:tc>
          <w:tcPr>
            <w:tcW w:w="1440" w:type="dxa"/>
            <w:vAlign w:val="center"/>
          </w:tcPr>
          <w:p>
            <w:pPr>
              <w:widowControl/>
              <w:spacing w:line="420" w:lineRule="exact"/>
              <w:jc w:val="left"/>
              <w:outlineLvl w:val="1"/>
              <w:rPr>
                <w:rFonts w:ascii="宋体" w:hAnsi="宋体" w:cs="宋体"/>
                <w:sz w:val="24"/>
              </w:rPr>
            </w:pPr>
            <w:r>
              <w:rPr>
                <w:rFonts w:hint="eastAsia" w:ascii="宋体" w:hAnsi="宋体" w:cs="宋体"/>
                <w:sz w:val="24"/>
              </w:rPr>
              <w:t>用户名称</w:t>
            </w:r>
          </w:p>
        </w:tc>
        <w:tc>
          <w:tcPr>
            <w:tcW w:w="1320" w:type="dxa"/>
            <w:vAlign w:val="center"/>
          </w:tcPr>
          <w:p>
            <w:pPr>
              <w:widowControl/>
              <w:spacing w:line="420" w:lineRule="exact"/>
              <w:jc w:val="left"/>
              <w:outlineLvl w:val="1"/>
              <w:rPr>
                <w:rFonts w:ascii="宋体" w:hAnsi="宋体" w:cs="宋体"/>
                <w:sz w:val="24"/>
              </w:rPr>
            </w:pPr>
            <w:r>
              <w:rPr>
                <w:rFonts w:hint="eastAsia" w:ascii="宋体" w:hAnsi="宋体" w:cs="宋体"/>
                <w:sz w:val="24"/>
              </w:rPr>
              <w:t>项目名称</w:t>
            </w:r>
          </w:p>
        </w:tc>
        <w:tc>
          <w:tcPr>
            <w:tcW w:w="1161" w:type="dxa"/>
            <w:vAlign w:val="center"/>
          </w:tcPr>
          <w:p>
            <w:pPr>
              <w:widowControl/>
              <w:spacing w:line="420" w:lineRule="exact"/>
              <w:jc w:val="left"/>
              <w:outlineLvl w:val="1"/>
              <w:rPr>
                <w:rFonts w:ascii="宋体" w:hAnsi="宋体" w:cs="宋体"/>
                <w:sz w:val="24"/>
              </w:rPr>
            </w:pPr>
            <w:r>
              <w:rPr>
                <w:rFonts w:hint="eastAsia" w:ascii="宋体" w:hAnsi="宋体" w:cs="宋体"/>
                <w:sz w:val="24"/>
              </w:rPr>
              <w:t>完成时间</w:t>
            </w:r>
          </w:p>
        </w:tc>
        <w:tc>
          <w:tcPr>
            <w:tcW w:w="1260" w:type="dxa"/>
            <w:vAlign w:val="center"/>
          </w:tcPr>
          <w:p>
            <w:pPr>
              <w:widowControl/>
              <w:spacing w:line="420" w:lineRule="exact"/>
              <w:jc w:val="left"/>
              <w:outlineLvl w:val="1"/>
              <w:rPr>
                <w:rFonts w:ascii="宋体" w:hAnsi="宋体" w:cs="宋体"/>
                <w:sz w:val="24"/>
              </w:rPr>
            </w:pPr>
            <w:r>
              <w:rPr>
                <w:rFonts w:hint="eastAsia" w:ascii="宋体" w:hAnsi="宋体" w:cs="宋体"/>
                <w:sz w:val="24"/>
              </w:rPr>
              <w:t>合同金额</w:t>
            </w:r>
          </w:p>
        </w:tc>
        <w:tc>
          <w:tcPr>
            <w:tcW w:w="1374" w:type="dxa"/>
            <w:gridSpan w:val="3"/>
            <w:tcBorders>
              <w:right w:val="single" w:color="auto" w:sz="4" w:space="0"/>
            </w:tcBorders>
            <w:vAlign w:val="center"/>
          </w:tcPr>
          <w:p>
            <w:pPr>
              <w:widowControl/>
              <w:spacing w:line="420" w:lineRule="exact"/>
              <w:jc w:val="left"/>
              <w:outlineLvl w:val="1"/>
              <w:rPr>
                <w:rFonts w:ascii="宋体" w:hAnsi="宋体" w:cs="宋体"/>
                <w:sz w:val="24"/>
              </w:rPr>
            </w:pPr>
            <w:r>
              <w:rPr>
                <w:rFonts w:hint="eastAsia" w:ascii="宋体" w:hAnsi="宋体" w:cs="宋体"/>
                <w:sz w:val="24"/>
              </w:rPr>
              <w:t>是否通过验收</w:t>
            </w:r>
          </w:p>
        </w:tc>
        <w:tc>
          <w:tcPr>
            <w:tcW w:w="782" w:type="dxa"/>
            <w:tcBorders>
              <w:left w:val="single" w:color="auto" w:sz="4" w:space="0"/>
            </w:tcBorders>
            <w:vAlign w:val="center"/>
          </w:tcPr>
          <w:p>
            <w:pPr>
              <w:widowControl/>
              <w:spacing w:line="420" w:lineRule="exact"/>
              <w:jc w:val="left"/>
              <w:outlineLvl w:val="1"/>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widowControl/>
              <w:spacing w:line="420" w:lineRule="exact"/>
              <w:ind w:firstLine="470" w:firstLineChars="196"/>
              <w:jc w:val="left"/>
              <w:outlineLvl w:val="1"/>
              <w:rPr>
                <w:rFonts w:ascii="宋体" w:hAnsi="宋体" w:cs="宋体"/>
                <w:sz w:val="24"/>
              </w:rPr>
            </w:pPr>
          </w:p>
        </w:tc>
        <w:tc>
          <w:tcPr>
            <w:tcW w:w="1440" w:type="dxa"/>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1161" w:type="dxa"/>
            <w:vAlign w:val="center"/>
          </w:tcPr>
          <w:p>
            <w:pPr>
              <w:widowControl/>
              <w:spacing w:line="420" w:lineRule="exact"/>
              <w:ind w:firstLine="470" w:firstLineChars="196"/>
              <w:jc w:val="left"/>
              <w:outlineLvl w:val="1"/>
              <w:rPr>
                <w:rFonts w:ascii="宋体" w:hAnsi="宋体" w:cs="宋体"/>
                <w:sz w:val="24"/>
              </w:rPr>
            </w:pPr>
          </w:p>
        </w:tc>
        <w:tc>
          <w:tcPr>
            <w:tcW w:w="1260" w:type="dxa"/>
            <w:vAlign w:val="center"/>
          </w:tcPr>
          <w:p>
            <w:pPr>
              <w:widowControl/>
              <w:spacing w:line="420" w:lineRule="exact"/>
              <w:ind w:firstLine="470" w:firstLineChars="196"/>
              <w:jc w:val="left"/>
              <w:outlineLvl w:val="1"/>
              <w:rPr>
                <w:rFonts w:ascii="宋体" w:hAnsi="宋体" w:cs="宋体"/>
                <w:sz w:val="24"/>
              </w:rPr>
            </w:pPr>
          </w:p>
        </w:tc>
        <w:tc>
          <w:tcPr>
            <w:tcW w:w="1374" w:type="dxa"/>
            <w:gridSpan w:val="3"/>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82" w:type="dxa"/>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widowControl/>
              <w:spacing w:line="420" w:lineRule="exact"/>
              <w:ind w:firstLine="470" w:firstLineChars="196"/>
              <w:jc w:val="left"/>
              <w:outlineLvl w:val="1"/>
              <w:rPr>
                <w:rFonts w:ascii="宋体" w:hAnsi="宋体" w:cs="宋体"/>
                <w:sz w:val="24"/>
              </w:rPr>
            </w:pPr>
          </w:p>
        </w:tc>
        <w:tc>
          <w:tcPr>
            <w:tcW w:w="1440" w:type="dxa"/>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1161" w:type="dxa"/>
            <w:vAlign w:val="center"/>
          </w:tcPr>
          <w:p>
            <w:pPr>
              <w:widowControl/>
              <w:spacing w:line="420" w:lineRule="exact"/>
              <w:ind w:firstLine="470" w:firstLineChars="196"/>
              <w:jc w:val="left"/>
              <w:outlineLvl w:val="1"/>
              <w:rPr>
                <w:rFonts w:ascii="宋体" w:hAnsi="宋体" w:cs="宋体"/>
                <w:sz w:val="24"/>
              </w:rPr>
            </w:pPr>
          </w:p>
        </w:tc>
        <w:tc>
          <w:tcPr>
            <w:tcW w:w="1260" w:type="dxa"/>
            <w:vAlign w:val="center"/>
          </w:tcPr>
          <w:p>
            <w:pPr>
              <w:widowControl/>
              <w:spacing w:line="420" w:lineRule="exact"/>
              <w:ind w:firstLine="470" w:firstLineChars="196"/>
              <w:jc w:val="left"/>
              <w:outlineLvl w:val="1"/>
              <w:rPr>
                <w:rFonts w:ascii="宋体" w:hAnsi="宋体" w:cs="宋体"/>
                <w:sz w:val="24"/>
              </w:rPr>
            </w:pPr>
          </w:p>
        </w:tc>
        <w:tc>
          <w:tcPr>
            <w:tcW w:w="1374" w:type="dxa"/>
            <w:gridSpan w:val="3"/>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82" w:type="dxa"/>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widowControl/>
              <w:spacing w:line="420" w:lineRule="exact"/>
              <w:ind w:firstLine="470" w:firstLineChars="196"/>
              <w:jc w:val="left"/>
              <w:outlineLvl w:val="1"/>
              <w:rPr>
                <w:rFonts w:ascii="宋体" w:hAnsi="宋体" w:cs="宋体"/>
                <w:sz w:val="24"/>
              </w:rPr>
            </w:pPr>
          </w:p>
        </w:tc>
        <w:tc>
          <w:tcPr>
            <w:tcW w:w="1440" w:type="dxa"/>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1161" w:type="dxa"/>
            <w:vAlign w:val="center"/>
          </w:tcPr>
          <w:p>
            <w:pPr>
              <w:widowControl/>
              <w:spacing w:line="420" w:lineRule="exact"/>
              <w:ind w:firstLine="470" w:firstLineChars="196"/>
              <w:jc w:val="left"/>
              <w:outlineLvl w:val="1"/>
              <w:rPr>
                <w:rFonts w:ascii="宋体" w:hAnsi="宋体" w:cs="宋体"/>
                <w:sz w:val="24"/>
              </w:rPr>
            </w:pPr>
          </w:p>
        </w:tc>
        <w:tc>
          <w:tcPr>
            <w:tcW w:w="1260" w:type="dxa"/>
            <w:vAlign w:val="center"/>
          </w:tcPr>
          <w:p>
            <w:pPr>
              <w:widowControl/>
              <w:spacing w:line="420" w:lineRule="exact"/>
              <w:ind w:firstLine="470" w:firstLineChars="196"/>
              <w:jc w:val="left"/>
              <w:outlineLvl w:val="1"/>
              <w:rPr>
                <w:rFonts w:ascii="宋体" w:hAnsi="宋体" w:cs="宋体"/>
                <w:sz w:val="24"/>
              </w:rPr>
            </w:pPr>
          </w:p>
        </w:tc>
        <w:tc>
          <w:tcPr>
            <w:tcW w:w="1374" w:type="dxa"/>
            <w:gridSpan w:val="3"/>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82" w:type="dxa"/>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widowControl/>
              <w:spacing w:line="420" w:lineRule="exact"/>
              <w:ind w:firstLine="470" w:firstLineChars="196"/>
              <w:jc w:val="left"/>
              <w:outlineLvl w:val="1"/>
              <w:rPr>
                <w:rFonts w:ascii="宋体" w:hAnsi="宋体" w:cs="宋体"/>
                <w:sz w:val="24"/>
              </w:rPr>
            </w:pPr>
          </w:p>
        </w:tc>
        <w:tc>
          <w:tcPr>
            <w:tcW w:w="1440" w:type="dxa"/>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20" w:type="dxa"/>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161" w:type="dxa"/>
            <w:vAlign w:val="center"/>
          </w:tcPr>
          <w:p>
            <w:pPr>
              <w:widowControl/>
              <w:spacing w:line="420" w:lineRule="exact"/>
              <w:ind w:firstLine="470" w:firstLineChars="196"/>
              <w:jc w:val="left"/>
              <w:outlineLvl w:val="1"/>
              <w:rPr>
                <w:rFonts w:ascii="宋体" w:hAnsi="宋体" w:cs="宋体"/>
                <w:sz w:val="24"/>
              </w:rPr>
            </w:pPr>
          </w:p>
        </w:tc>
        <w:tc>
          <w:tcPr>
            <w:tcW w:w="1260" w:type="dxa"/>
            <w:vAlign w:val="center"/>
          </w:tcPr>
          <w:p>
            <w:pPr>
              <w:widowControl/>
              <w:spacing w:line="420" w:lineRule="exact"/>
              <w:ind w:firstLine="470" w:firstLineChars="196"/>
              <w:jc w:val="left"/>
              <w:outlineLvl w:val="1"/>
              <w:rPr>
                <w:rFonts w:ascii="宋体" w:hAnsi="宋体" w:cs="宋体"/>
                <w:sz w:val="24"/>
              </w:rPr>
            </w:pPr>
          </w:p>
        </w:tc>
        <w:tc>
          <w:tcPr>
            <w:tcW w:w="1374" w:type="dxa"/>
            <w:gridSpan w:val="3"/>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82" w:type="dxa"/>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 xml:space="preserve"> </w:t>
            </w:r>
          </w:p>
        </w:tc>
        <w:tc>
          <w:tcPr>
            <w:tcW w:w="1440" w:type="dxa"/>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20" w:type="dxa"/>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161" w:type="dxa"/>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65" w:type="dxa"/>
            <w:gridSpan w:val="2"/>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82" w:type="dxa"/>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widowControl/>
              <w:spacing w:line="420" w:lineRule="exact"/>
              <w:ind w:firstLine="470" w:firstLineChars="196"/>
              <w:jc w:val="left"/>
              <w:outlineLvl w:val="1"/>
              <w:rPr>
                <w:rFonts w:ascii="宋体" w:hAnsi="宋体" w:cs="宋体"/>
                <w:sz w:val="24"/>
              </w:rPr>
            </w:pPr>
          </w:p>
        </w:tc>
        <w:tc>
          <w:tcPr>
            <w:tcW w:w="1440" w:type="dxa"/>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1161" w:type="dxa"/>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widowControl/>
              <w:spacing w:line="420" w:lineRule="exact"/>
              <w:ind w:firstLine="470" w:firstLineChars="196"/>
              <w:jc w:val="left"/>
              <w:outlineLvl w:val="1"/>
              <w:rPr>
                <w:rFonts w:ascii="宋体" w:hAnsi="宋体" w:cs="宋体"/>
                <w:sz w:val="24"/>
              </w:rPr>
            </w:pPr>
          </w:p>
        </w:tc>
        <w:tc>
          <w:tcPr>
            <w:tcW w:w="1440" w:type="dxa"/>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1161" w:type="dxa"/>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pPr>
              <w:widowControl/>
              <w:spacing w:line="420" w:lineRule="exact"/>
              <w:ind w:firstLine="470" w:firstLineChars="196"/>
              <w:jc w:val="left"/>
              <w:outlineLvl w:val="1"/>
              <w:rPr>
                <w:rFonts w:ascii="宋体" w:hAnsi="宋体" w:cs="宋体"/>
                <w:sz w:val="24"/>
              </w:rPr>
            </w:pPr>
          </w:p>
        </w:tc>
        <w:tc>
          <w:tcPr>
            <w:tcW w:w="1440" w:type="dxa"/>
            <w:vAlign w:val="center"/>
          </w:tcPr>
          <w:p>
            <w:pPr>
              <w:widowControl/>
              <w:spacing w:line="420" w:lineRule="exact"/>
              <w:ind w:firstLine="470" w:firstLineChars="196"/>
              <w:jc w:val="left"/>
              <w:outlineLvl w:val="1"/>
              <w:rPr>
                <w:rFonts w:ascii="宋体" w:hAnsi="宋体" w:cs="宋体"/>
                <w:sz w:val="24"/>
              </w:rPr>
            </w:pPr>
          </w:p>
        </w:tc>
        <w:tc>
          <w:tcPr>
            <w:tcW w:w="1320" w:type="dxa"/>
            <w:vAlign w:val="center"/>
          </w:tcPr>
          <w:p>
            <w:pPr>
              <w:widowControl/>
              <w:spacing w:line="420" w:lineRule="exact"/>
              <w:ind w:firstLine="470" w:firstLineChars="196"/>
              <w:jc w:val="left"/>
              <w:outlineLvl w:val="1"/>
              <w:rPr>
                <w:rFonts w:ascii="宋体" w:hAnsi="宋体" w:cs="宋体"/>
                <w:sz w:val="24"/>
              </w:rPr>
            </w:pPr>
          </w:p>
        </w:tc>
        <w:tc>
          <w:tcPr>
            <w:tcW w:w="1161" w:type="dxa"/>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720" w:type="dxa"/>
            <w:tcBorders>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440" w:type="dxa"/>
            <w:tcBorders>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20" w:type="dxa"/>
            <w:tcBorders>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161" w:type="dxa"/>
            <w:tcBorders>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left w:val="single" w:color="auto" w:sz="4" w:space="0"/>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left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2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44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2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161"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top w:val="single" w:color="auto" w:sz="4" w:space="0"/>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top w:val="single" w:color="auto" w:sz="4" w:space="0"/>
              <w:left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2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44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2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161"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top w:val="single" w:color="auto" w:sz="4" w:space="0"/>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top w:val="single" w:color="auto" w:sz="4" w:space="0"/>
              <w:left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50" w:hRule="atLeast"/>
          <w:jc w:val="center"/>
        </w:trPr>
        <w:tc>
          <w:tcPr>
            <w:tcW w:w="72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44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20"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161" w:type="dxa"/>
            <w:tcBorders>
              <w:top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top w:val="single" w:color="auto" w:sz="4" w:space="0"/>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top w:val="single" w:color="auto" w:sz="4" w:space="0"/>
              <w:left w:val="single" w:color="auto" w:sz="4" w:space="0"/>
              <w:bottom w:val="single" w:color="auto" w:sz="4" w:space="0"/>
            </w:tcBorders>
            <w:vAlign w:val="center"/>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35" w:hRule="atLeast"/>
          <w:jc w:val="center"/>
        </w:trPr>
        <w:tc>
          <w:tcPr>
            <w:tcW w:w="720" w:type="dxa"/>
            <w:tcBorders>
              <w:top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440" w:type="dxa"/>
            <w:tcBorders>
              <w:top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20" w:type="dxa"/>
            <w:tcBorders>
              <w:top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161" w:type="dxa"/>
            <w:tcBorders>
              <w:top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269" w:type="dxa"/>
            <w:gridSpan w:val="2"/>
            <w:tcBorders>
              <w:top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1356" w:type="dxa"/>
            <w:tcBorders>
              <w:top w:val="single" w:color="auto" w:sz="4" w:space="0"/>
              <w:left w:val="single" w:color="auto" w:sz="4" w:space="0"/>
              <w:right w:val="single" w:color="auto" w:sz="4" w:space="0"/>
            </w:tcBorders>
            <w:vAlign w:val="center"/>
          </w:tcPr>
          <w:p>
            <w:pPr>
              <w:widowControl/>
              <w:spacing w:line="420" w:lineRule="exact"/>
              <w:ind w:firstLine="470" w:firstLineChars="196"/>
              <w:jc w:val="left"/>
              <w:outlineLvl w:val="1"/>
              <w:rPr>
                <w:rFonts w:ascii="宋体" w:hAnsi="宋体" w:cs="宋体"/>
                <w:sz w:val="24"/>
              </w:rPr>
            </w:pPr>
          </w:p>
        </w:tc>
        <w:tc>
          <w:tcPr>
            <w:tcW w:w="791" w:type="dxa"/>
            <w:gridSpan w:val="2"/>
            <w:tcBorders>
              <w:top w:val="single" w:color="auto" w:sz="4" w:space="0"/>
              <w:left w:val="single" w:color="auto" w:sz="4" w:space="0"/>
            </w:tcBorders>
            <w:vAlign w:val="center"/>
          </w:tcPr>
          <w:p>
            <w:pPr>
              <w:widowControl/>
              <w:spacing w:line="420" w:lineRule="exact"/>
              <w:ind w:firstLine="470" w:firstLineChars="196"/>
              <w:jc w:val="left"/>
              <w:outlineLvl w:val="1"/>
              <w:rPr>
                <w:rFonts w:ascii="宋体" w:hAnsi="宋体" w:cs="宋体"/>
                <w:sz w:val="24"/>
              </w:rPr>
            </w:pPr>
          </w:p>
        </w:tc>
      </w:tr>
    </w:tbl>
    <w:p>
      <w:pPr>
        <w:widowControl/>
        <w:spacing w:line="420" w:lineRule="exact"/>
        <w:ind w:firstLine="470" w:firstLineChars="196"/>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p>
    <w:p>
      <w:pPr>
        <w:widowControl/>
        <w:spacing w:line="360" w:lineRule="atLeast"/>
        <w:ind w:firstLine="470" w:firstLineChars="196"/>
        <w:jc w:val="left"/>
        <w:outlineLvl w:val="1"/>
        <w:rPr>
          <w:rFonts w:ascii="宋体" w:hAnsi="宋体" w:cs="宋体"/>
          <w:sz w:val="24"/>
        </w:rPr>
      </w:pPr>
      <w:bookmarkStart w:id="137" w:name="_Toc217446090"/>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360" w:lineRule="atLeast"/>
        <w:ind w:firstLine="470" w:firstLineChars="196"/>
        <w:jc w:val="left"/>
        <w:outlineLvl w:val="1"/>
        <w:rPr>
          <w:rFonts w:ascii="宋体" w:hAnsi="宋体" w:cs="宋体"/>
          <w:sz w:val="24"/>
          <w:u w:val="single"/>
        </w:rPr>
      </w:pPr>
      <w:r>
        <w:rPr>
          <w:rFonts w:hint="eastAsia" w:ascii="宋体" w:hAnsi="宋体" w:cs="宋体"/>
          <w:sz w:val="24"/>
        </w:rPr>
        <w:t>投标日期：</w:t>
      </w:r>
      <w:r>
        <w:rPr>
          <w:rFonts w:hint="eastAsia" w:ascii="宋体" w:hAnsi="宋体" w:cs="宋体"/>
          <w:sz w:val="24"/>
          <w:u w:val="single"/>
        </w:rPr>
        <w:t xml:space="preserve">                                            </w:t>
      </w:r>
    </w:p>
    <w:p>
      <w:pPr>
        <w:rPr>
          <w:rFonts w:ascii="宋体" w:hAnsi="宋体" w:cs="宋体"/>
        </w:rPr>
      </w:pPr>
      <w:r>
        <w:rPr>
          <w:rFonts w:hint="eastAsia" w:ascii="宋体" w:hAnsi="宋体" w:cs="宋体"/>
        </w:rPr>
        <w:t xml:space="preserve"> </w:t>
      </w:r>
    </w:p>
    <w:p>
      <w:pPr>
        <w:rPr>
          <w:rFonts w:ascii="宋体" w:hAnsi="宋体" w:cs="宋体"/>
          <w:sz w:val="24"/>
        </w:rPr>
      </w:pPr>
    </w:p>
    <w:p>
      <w:pPr>
        <w:pStyle w:val="5"/>
        <w:ind w:left="420"/>
        <w:jc w:val="center"/>
        <w:rPr>
          <w:rFonts w:ascii="宋体" w:hAnsi="宋体" w:cs="宋体"/>
        </w:rPr>
      </w:pPr>
      <w:r>
        <w:rPr>
          <w:rFonts w:hint="eastAsia"/>
        </w:rPr>
        <w:br w:type="page"/>
      </w:r>
      <w:r>
        <w:rPr>
          <w:rFonts w:hint="eastAsia" w:ascii="宋体" w:hAnsi="宋体" w:cs="宋体"/>
        </w:rPr>
        <w:t>第三部分 技术部分</w:t>
      </w:r>
    </w:p>
    <w:p>
      <w:pPr>
        <w:pStyle w:val="5"/>
        <w:ind w:left="420"/>
        <w:jc w:val="center"/>
        <w:rPr>
          <w:rFonts w:ascii="宋体" w:hAnsi="宋体" w:cs="宋体"/>
        </w:rPr>
      </w:pPr>
      <w:r>
        <w:rPr>
          <w:rFonts w:hint="eastAsia" w:ascii="宋体" w:hAnsi="宋体" w:cs="宋体"/>
        </w:rPr>
        <w:t>一、技术、服务应答表</w:t>
      </w:r>
      <w:bookmarkEnd w:id="137"/>
    </w:p>
    <w:p>
      <w:pPr>
        <w:widowControl/>
        <w:spacing w:line="420" w:lineRule="exact"/>
        <w:jc w:val="left"/>
        <w:outlineLvl w:val="1"/>
        <w:rPr>
          <w:rFonts w:ascii="宋体" w:hAnsi="宋体" w:cs="宋体"/>
          <w:sz w:val="24"/>
        </w:rPr>
      </w:pPr>
      <w:r>
        <w:rPr>
          <w:rFonts w:hint="eastAsia" w:ascii="宋体" w:hAnsi="宋体" w:cs="宋体"/>
          <w:sz w:val="24"/>
        </w:rPr>
        <w:t>项目名称：</w:t>
      </w:r>
    </w:p>
    <w:p>
      <w:pPr>
        <w:widowControl/>
        <w:spacing w:line="420" w:lineRule="exact"/>
        <w:jc w:val="left"/>
        <w:outlineLvl w:val="1"/>
        <w:rPr>
          <w:rFonts w:ascii="宋体" w:hAnsi="宋体" w:cs="宋体"/>
          <w:sz w:val="24"/>
        </w:rPr>
      </w:pPr>
      <w:r>
        <w:rPr>
          <w:rFonts w:hint="eastAsia" w:ascii="宋体" w:hAnsi="宋体" w:cs="宋体"/>
          <w:sz w:val="24"/>
        </w:rPr>
        <w:t>招标编号：</w:t>
      </w:r>
    </w:p>
    <w:p>
      <w:pPr>
        <w:pStyle w:val="2"/>
        <w:ind w:firstLine="0" w:firstLineChars="0"/>
      </w:pPr>
      <w:r>
        <w:rPr>
          <w:rFonts w:hint="eastAsia" w:ascii="宋体" w:hAnsi="宋体" w:cs="宋体"/>
          <w:sz w:val="24"/>
        </w:rPr>
        <w:t>包    号：</w:t>
      </w:r>
    </w:p>
    <w:tbl>
      <w:tblPr>
        <w:tblStyle w:val="21"/>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178"/>
        <w:gridCol w:w="2250"/>
        <w:gridCol w:w="2250"/>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05" w:type="dxa"/>
            <w:vAlign w:val="center"/>
          </w:tcPr>
          <w:p>
            <w:pPr>
              <w:widowControl/>
              <w:spacing w:line="420" w:lineRule="exact"/>
              <w:jc w:val="center"/>
              <w:outlineLvl w:val="1"/>
              <w:rPr>
                <w:rFonts w:ascii="宋体" w:hAnsi="宋体" w:cs="宋体"/>
                <w:sz w:val="24"/>
              </w:rPr>
            </w:pPr>
            <w:r>
              <w:rPr>
                <w:rFonts w:hint="eastAsia" w:ascii="宋体" w:hAnsi="宋体" w:cs="宋体"/>
                <w:sz w:val="24"/>
              </w:rPr>
              <w:t>序号</w:t>
            </w:r>
          </w:p>
        </w:tc>
        <w:tc>
          <w:tcPr>
            <w:tcW w:w="1178" w:type="dxa"/>
            <w:vAlign w:val="center"/>
          </w:tcPr>
          <w:p>
            <w:pPr>
              <w:widowControl/>
              <w:spacing w:line="420" w:lineRule="exact"/>
              <w:jc w:val="center"/>
              <w:outlineLvl w:val="1"/>
              <w:rPr>
                <w:rFonts w:ascii="宋体" w:hAnsi="宋体" w:cs="宋体"/>
                <w:sz w:val="24"/>
              </w:rPr>
            </w:pPr>
            <w:r>
              <w:rPr>
                <w:rFonts w:hint="eastAsia" w:ascii="宋体" w:hAnsi="宋体" w:cs="宋体"/>
                <w:kern w:val="0"/>
                <w:sz w:val="24"/>
              </w:rPr>
              <w:t>招标文件条目号</w:t>
            </w:r>
          </w:p>
        </w:tc>
        <w:tc>
          <w:tcPr>
            <w:tcW w:w="2250" w:type="dxa"/>
            <w:vAlign w:val="center"/>
          </w:tcPr>
          <w:p>
            <w:pPr>
              <w:widowControl/>
              <w:spacing w:line="420" w:lineRule="exact"/>
              <w:jc w:val="center"/>
              <w:outlineLvl w:val="1"/>
              <w:rPr>
                <w:rFonts w:ascii="宋体" w:hAnsi="宋体" w:cs="宋体"/>
                <w:sz w:val="24"/>
              </w:rPr>
            </w:pPr>
            <w:r>
              <w:rPr>
                <w:rFonts w:hint="eastAsia" w:ascii="宋体" w:hAnsi="宋体" w:cs="宋体"/>
                <w:sz w:val="24"/>
              </w:rPr>
              <w:t>招标文件要求</w:t>
            </w:r>
          </w:p>
        </w:tc>
        <w:tc>
          <w:tcPr>
            <w:tcW w:w="2250" w:type="dxa"/>
            <w:vAlign w:val="center"/>
          </w:tcPr>
          <w:p>
            <w:pPr>
              <w:widowControl/>
              <w:spacing w:line="420" w:lineRule="exact"/>
              <w:jc w:val="center"/>
              <w:outlineLvl w:val="1"/>
              <w:rPr>
                <w:rFonts w:ascii="宋体" w:hAnsi="宋体" w:cs="宋体"/>
                <w:sz w:val="24"/>
              </w:rPr>
            </w:pPr>
            <w:r>
              <w:rPr>
                <w:rFonts w:hint="eastAsia" w:ascii="宋体" w:hAnsi="宋体" w:cs="宋体"/>
                <w:sz w:val="24"/>
              </w:rPr>
              <w:t>投标技术应答</w:t>
            </w:r>
          </w:p>
        </w:tc>
        <w:tc>
          <w:tcPr>
            <w:tcW w:w="2237" w:type="dxa"/>
            <w:vAlign w:val="center"/>
          </w:tcPr>
          <w:p>
            <w:pPr>
              <w:widowControl/>
              <w:spacing w:line="420" w:lineRule="exact"/>
              <w:jc w:val="center"/>
              <w:outlineLvl w:val="1"/>
              <w:rPr>
                <w:rFonts w:ascii="宋体" w:hAnsi="宋体" w:cs="宋体"/>
                <w:sz w:val="24"/>
              </w:rPr>
            </w:pPr>
            <w:r>
              <w:rPr>
                <w:rFonts w:hint="eastAsia" w:ascii="宋体" w:hAnsi="宋体" w:cs="宋体"/>
                <w:sz w:val="24"/>
              </w:rPr>
              <w:t>响应偏离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tcPr>
          <w:p>
            <w:pPr>
              <w:widowControl/>
              <w:spacing w:line="420" w:lineRule="exact"/>
              <w:ind w:firstLine="470" w:firstLineChars="196"/>
              <w:jc w:val="left"/>
              <w:outlineLvl w:val="1"/>
              <w:rPr>
                <w:rFonts w:ascii="宋体" w:hAnsi="宋体" w:cs="宋体"/>
                <w:sz w:val="24"/>
              </w:rPr>
            </w:pPr>
          </w:p>
        </w:tc>
        <w:tc>
          <w:tcPr>
            <w:tcW w:w="1178"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37"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tcPr>
          <w:p>
            <w:pPr>
              <w:widowControl/>
              <w:spacing w:line="420" w:lineRule="exact"/>
              <w:ind w:firstLine="470" w:firstLineChars="196"/>
              <w:jc w:val="left"/>
              <w:outlineLvl w:val="1"/>
              <w:rPr>
                <w:rFonts w:ascii="宋体" w:hAnsi="宋体" w:cs="宋体"/>
                <w:sz w:val="24"/>
              </w:rPr>
            </w:pPr>
          </w:p>
        </w:tc>
        <w:tc>
          <w:tcPr>
            <w:tcW w:w="1178"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37"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tcPr>
          <w:p>
            <w:pPr>
              <w:widowControl/>
              <w:spacing w:line="420" w:lineRule="exact"/>
              <w:ind w:firstLine="470" w:firstLineChars="196"/>
              <w:jc w:val="left"/>
              <w:outlineLvl w:val="1"/>
              <w:rPr>
                <w:rFonts w:ascii="宋体" w:hAnsi="宋体" w:cs="宋体"/>
                <w:sz w:val="24"/>
              </w:rPr>
            </w:pPr>
          </w:p>
        </w:tc>
        <w:tc>
          <w:tcPr>
            <w:tcW w:w="1178"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37"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tcPr>
          <w:p>
            <w:pPr>
              <w:widowControl/>
              <w:spacing w:line="420" w:lineRule="exact"/>
              <w:ind w:firstLine="470" w:firstLineChars="196"/>
              <w:jc w:val="left"/>
              <w:outlineLvl w:val="1"/>
              <w:rPr>
                <w:rFonts w:ascii="宋体" w:hAnsi="宋体" w:cs="宋体"/>
                <w:sz w:val="24"/>
              </w:rPr>
            </w:pPr>
          </w:p>
        </w:tc>
        <w:tc>
          <w:tcPr>
            <w:tcW w:w="1178"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37"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tcPr>
          <w:p>
            <w:pPr>
              <w:widowControl/>
              <w:spacing w:line="420" w:lineRule="exact"/>
              <w:ind w:firstLine="470" w:firstLineChars="196"/>
              <w:jc w:val="left"/>
              <w:outlineLvl w:val="1"/>
              <w:rPr>
                <w:rFonts w:ascii="宋体" w:hAnsi="宋体" w:cs="宋体"/>
                <w:sz w:val="24"/>
              </w:rPr>
            </w:pPr>
          </w:p>
        </w:tc>
        <w:tc>
          <w:tcPr>
            <w:tcW w:w="1178"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37"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tcPr>
          <w:p>
            <w:pPr>
              <w:widowControl/>
              <w:spacing w:line="420" w:lineRule="exact"/>
              <w:ind w:firstLine="470" w:firstLineChars="196"/>
              <w:jc w:val="left"/>
              <w:outlineLvl w:val="1"/>
              <w:rPr>
                <w:rFonts w:ascii="宋体" w:hAnsi="宋体" w:cs="宋体"/>
                <w:sz w:val="24"/>
              </w:rPr>
            </w:pPr>
          </w:p>
        </w:tc>
        <w:tc>
          <w:tcPr>
            <w:tcW w:w="1178"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37"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5" w:type="dxa"/>
          </w:tcPr>
          <w:p>
            <w:pPr>
              <w:widowControl/>
              <w:spacing w:line="420" w:lineRule="exact"/>
              <w:ind w:firstLine="470" w:firstLineChars="196"/>
              <w:jc w:val="left"/>
              <w:outlineLvl w:val="1"/>
              <w:rPr>
                <w:rFonts w:ascii="宋体" w:hAnsi="宋体" w:cs="宋体"/>
                <w:sz w:val="24"/>
              </w:rPr>
            </w:pPr>
          </w:p>
        </w:tc>
        <w:tc>
          <w:tcPr>
            <w:tcW w:w="1178"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50" w:type="dxa"/>
          </w:tcPr>
          <w:p>
            <w:pPr>
              <w:widowControl/>
              <w:spacing w:line="420" w:lineRule="exact"/>
              <w:ind w:firstLine="470" w:firstLineChars="196"/>
              <w:jc w:val="left"/>
              <w:outlineLvl w:val="1"/>
              <w:rPr>
                <w:rFonts w:ascii="宋体" w:hAnsi="宋体" w:cs="宋体"/>
                <w:sz w:val="24"/>
              </w:rPr>
            </w:pPr>
          </w:p>
        </w:tc>
        <w:tc>
          <w:tcPr>
            <w:tcW w:w="2237" w:type="dxa"/>
          </w:tcPr>
          <w:p>
            <w:pPr>
              <w:widowControl/>
              <w:spacing w:line="420" w:lineRule="exact"/>
              <w:ind w:firstLine="470" w:firstLineChars="196"/>
              <w:jc w:val="left"/>
              <w:outlineLvl w:val="1"/>
              <w:rPr>
                <w:rFonts w:ascii="宋体" w:hAnsi="宋体" w:cs="宋体"/>
                <w:sz w:val="24"/>
              </w:rPr>
            </w:pPr>
          </w:p>
        </w:tc>
      </w:tr>
    </w:tbl>
    <w:p>
      <w:pPr>
        <w:widowControl/>
        <w:spacing w:line="420" w:lineRule="exact"/>
        <w:ind w:firstLine="470" w:firstLineChars="196"/>
        <w:jc w:val="left"/>
        <w:outlineLvl w:val="1"/>
        <w:rPr>
          <w:rFonts w:ascii="宋体" w:hAnsi="宋体" w:cs="宋体"/>
          <w:sz w:val="24"/>
        </w:rPr>
      </w:pPr>
    </w:p>
    <w:p>
      <w:pPr>
        <w:adjustRightInd w:val="0"/>
        <w:spacing w:line="276" w:lineRule="auto"/>
        <w:jc w:val="left"/>
        <w:rPr>
          <w:rFonts w:ascii="宋体" w:hAnsi="宋体" w:cs="宋体"/>
          <w:b/>
          <w:szCs w:val="21"/>
        </w:rPr>
      </w:pPr>
      <w:r>
        <w:rPr>
          <w:rFonts w:hint="eastAsia" w:ascii="宋体" w:hAnsi="宋体" w:cs="宋体"/>
          <w:b/>
          <w:szCs w:val="21"/>
        </w:rPr>
        <w:t>注：可只填写投标文件中与招标文件有偏离（包括正偏离和负偏离）的内容，投标文件中技术响应与招标文件要求完全一致的，可不用在此表中列出。投标人未在上表中明示正偏离或负偏离的内容，又未提供相应佐证材料的，视为投标人承诺投标文件相对招标文件要求无偏离。</w:t>
      </w:r>
    </w:p>
    <w:p>
      <w:pPr>
        <w:adjustRightInd w:val="0"/>
        <w:spacing w:line="400" w:lineRule="exact"/>
        <w:ind w:firstLine="420" w:firstLineChars="175"/>
        <w:jc w:val="left"/>
        <w:rPr>
          <w:rFonts w:ascii="宋体" w:hAnsi="宋体" w:cs="宋体"/>
          <w:sz w:val="24"/>
        </w:rPr>
      </w:pPr>
      <w:r>
        <w:rPr>
          <w:rFonts w:hint="eastAsia" w:ascii="宋体" w:hAnsi="宋体" w:cs="宋体"/>
          <w:sz w:val="24"/>
        </w:rPr>
        <w:t xml:space="preserve">   </w:t>
      </w:r>
    </w:p>
    <w:p>
      <w:pPr>
        <w:widowControl/>
        <w:spacing w:line="420" w:lineRule="exact"/>
        <w:ind w:firstLine="470" w:firstLineChars="196"/>
        <w:jc w:val="left"/>
        <w:outlineLvl w:val="1"/>
        <w:rPr>
          <w:rFonts w:ascii="宋体" w:hAnsi="宋体" w:cs="宋体"/>
          <w:sz w:val="24"/>
        </w:rPr>
      </w:pPr>
    </w:p>
    <w:p>
      <w:pPr>
        <w:widowControl/>
        <w:spacing w:line="360" w:lineRule="atLeast"/>
        <w:ind w:firstLine="470" w:firstLineChars="196"/>
        <w:jc w:val="left"/>
        <w:outlineLvl w:val="1"/>
        <w:rPr>
          <w:rFonts w:ascii="宋体" w:hAnsi="宋体" w:cs="宋体"/>
          <w:sz w:val="24"/>
        </w:rPr>
      </w:pPr>
      <w:bookmarkStart w:id="138" w:name="_Toc217446091"/>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360" w:lineRule="atLeast"/>
        <w:ind w:firstLine="470" w:firstLineChars="196"/>
        <w:jc w:val="left"/>
        <w:outlineLvl w:val="1"/>
        <w:rPr>
          <w:rFonts w:ascii="宋体" w:hAnsi="宋体" w:cs="宋体"/>
          <w:sz w:val="24"/>
          <w:u w:val="single"/>
        </w:rPr>
      </w:pPr>
      <w:r>
        <w:rPr>
          <w:rFonts w:hint="eastAsia" w:ascii="宋体" w:hAnsi="宋体" w:cs="宋体"/>
          <w:sz w:val="24"/>
        </w:rPr>
        <w:t>投标日期：</w:t>
      </w:r>
      <w:r>
        <w:rPr>
          <w:rFonts w:hint="eastAsia" w:ascii="宋体" w:hAnsi="宋体" w:cs="宋体"/>
          <w:sz w:val="24"/>
          <w:u w:val="single"/>
        </w:rPr>
        <w:t xml:space="preserve">                                            </w:t>
      </w:r>
    </w:p>
    <w:p>
      <w:pPr>
        <w:pStyle w:val="5"/>
        <w:ind w:left="420"/>
        <w:jc w:val="center"/>
        <w:rPr>
          <w:rFonts w:ascii="宋体" w:hAnsi="宋体" w:cs="宋体"/>
        </w:rPr>
      </w:pPr>
      <w:r>
        <w:rPr>
          <w:rFonts w:hint="eastAsia" w:ascii="宋体" w:hAnsi="宋体" w:cs="宋体"/>
        </w:rPr>
        <w:br w:type="page"/>
      </w:r>
      <w:r>
        <w:rPr>
          <w:rFonts w:hint="eastAsia" w:ascii="宋体" w:hAnsi="宋体" w:cs="宋体"/>
        </w:rPr>
        <w:t>二、投标产品技术参数</w:t>
      </w:r>
    </w:p>
    <w:p>
      <w:pPr>
        <w:pStyle w:val="5"/>
        <w:ind w:left="420"/>
        <w:jc w:val="center"/>
        <w:rPr>
          <w:rFonts w:ascii="宋体" w:hAnsi="宋体" w:cs="宋体"/>
        </w:rPr>
      </w:pPr>
    </w:p>
    <w:p>
      <w:pPr>
        <w:pStyle w:val="5"/>
        <w:ind w:left="420"/>
        <w:jc w:val="center"/>
        <w:rPr>
          <w:rFonts w:ascii="宋体" w:hAnsi="宋体" w:cs="宋体"/>
        </w:rPr>
      </w:pPr>
      <w:r>
        <w:rPr>
          <w:rFonts w:hint="eastAsia" w:ascii="宋体" w:hAnsi="宋体" w:cs="宋体"/>
        </w:rPr>
        <w:t>（格式自拟）</w:t>
      </w:r>
    </w:p>
    <w:p>
      <w:pPr>
        <w:pStyle w:val="5"/>
        <w:ind w:left="420"/>
        <w:jc w:val="center"/>
      </w:pPr>
    </w:p>
    <w:p>
      <w:pPr>
        <w:widowControl/>
        <w:overflowPunct/>
        <w:autoSpaceDE/>
        <w:autoSpaceDN/>
        <w:jc w:val="left"/>
        <w:rPr>
          <w:b/>
          <w:bCs/>
          <w:sz w:val="24"/>
          <w:szCs w:val="32"/>
        </w:rPr>
      </w:pPr>
      <w:r>
        <w:br w:type="page"/>
      </w:r>
    </w:p>
    <w:p>
      <w:pPr>
        <w:pStyle w:val="5"/>
        <w:ind w:left="420"/>
        <w:jc w:val="center"/>
      </w:pPr>
      <w:r>
        <w:t>三</w:t>
      </w:r>
      <w:r>
        <w:rPr>
          <w:rFonts w:hint="eastAsia"/>
        </w:rPr>
        <w:t>、实施</w:t>
      </w:r>
      <w:r>
        <w:t>方案及人员配置</w:t>
      </w:r>
    </w:p>
    <w:p>
      <w:pPr>
        <w:jc w:val="center"/>
        <w:rPr>
          <w:sz w:val="24"/>
        </w:rPr>
      </w:pPr>
    </w:p>
    <w:p>
      <w:pPr>
        <w:spacing w:line="360" w:lineRule="auto"/>
        <w:ind w:left="660"/>
        <w:jc w:val="left"/>
        <w:rPr>
          <w:sz w:val="24"/>
        </w:rPr>
      </w:pPr>
      <w:r>
        <w:rPr>
          <w:sz w:val="24"/>
        </w:rPr>
        <w:t>注：此部分内容由投标人自行编写，格式不限，包括但不限于以下内容：</w:t>
      </w:r>
    </w:p>
    <w:p>
      <w:pPr>
        <w:numPr>
          <w:ilvl w:val="0"/>
          <w:numId w:val="33"/>
        </w:numPr>
        <w:overflowPunct/>
        <w:autoSpaceDE/>
        <w:autoSpaceDN/>
        <w:spacing w:line="360" w:lineRule="auto"/>
        <w:jc w:val="left"/>
        <w:rPr>
          <w:sz w:val="24"/>
        </w:rPr>
      </w:pPr>
      <w:r>
        <w:rPr>
          <w:rFonts w:hint="eastAsia"/>
          <w:sz w:val="24"/>
        </w:rPr>
        <w:t>实施</w:t>
      </w:r>
      <w:r>
        <w:rPr>
          <w:sz w:val="24"/>
        </w:rPr>
        <w:t>方案；</w:t>
      </w:r>
    </w:p>
    <w:p>
      <w:pPr>
        <w:numPr>
          <w:ilvl w:val="0"/>
          <w:numId w:val="33"/>
        </w:numPr>
        <w:overflowPunct/>
        <w:autoSpaceDE/>
        <w:autoSpaceDN/>
        <w:spacing w:line="360" w:lineRule="auto"/>
        <w:jc w:val="left"/>
        <w:rPr>
          <w:sz w:val="24"/>
        </w:rPr>
      </w:pPr>
      <w:r>
        <w:rPr>
          <w:sz w:val="24"/>
        </w:rPr>
        <w:t>人员配置；</w:t>
      </w:r>
    </w:p>
    <w:p>
      <w:pPr>
        <w:pStyle w:val="12"/>
        <w:ind w:left="5250"/>
      </w:pPr>
    </w:p>
    <w:p>
      <w:pPr>
        <w:pStyle w:val="5"/>
        <w:ind w:left="420"/>
        <w:jc w:val="center"/>
        <w:rPr>
          <w:rFonts w:ascii="宋体" w:hAnsi="宋体" w:cs="宋体"/>
        </w:rPr>
      </w:pPr>
      <w:r>
        <w:rPr>
          <w:rFonts w:hint="eastAsia" w:ascii="宋体" w:hAnsi="宋体" w:cs="宋体"/>
        </w:rPr>
        <w:br w:type="page"/>
      </w:r>
      <w:r>
        <w:rPr>
          <w:rFonts w:hint="eastAsia" w:ascii="宋体" w:hAnsi="宋体" w:cs="宋体"/>
        </w:rPr>
        <w:t>四、投标人本项目管理、技术、服务人员情况表</w:t>
      </w:r>
      <w:bookmarkEnd w:id="138"/>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项目名称：</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招标编号：</w:t>
      </w: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包    号：</w:t>
      </w:r>
    </w:p>
    <w:tbl>
      <w:tblPr>
        <w:tblStyle w:val="21"/>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807"/>
        <w:gridCol w:w="1061"/>
        <w:gridCol w:w="993"/>
        <w:gridCol w:w="992"/>
        <w:gridCol w:w="850"/>
        <w:gridCol w:w="851"/>
        <w:gridCol w:w="850"/>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4" w:type="dxa"/>
            <w:vMerge w:val="restart"/>
            <w:vAlign w:val="center"/>
          </w:tcPr>
          <w:p>
            <w:pPr>
              <w:widowControl/>
              <w:spacing w:line="420" w:lineRule="exact"/>
              <w:jc w:val="left"/>
              <w:outlineLvl w:val="1"/>
              <w:rPr>
                <w:rFonts w:ascii="宋体" w:hAnsi="宋体" w:cs="宋体"/>
                <w:sz w:val="24"/>
              </w:rPr>
            </w:pPr>
            <w:r>
              <w:rPr>
                <w:rFonts w:hint="eastAsia" w:ascii="宋体" w:hAnsi="宋体" w:cs="宋体"/>
                <w:sz w:val="24"/>
              </w:rPr>
              <w:t>类别</w:t>
            </w:r>
          </w:p>
        </w:tc>
        <w:tc>
          <w:tcPr>
            <w:tcW w:w="807" w:type="dxa"/>
            <w:vMerge w:val="restart"/>
            <w:vAlign w:val="center"/>
          </w:tcPr>
          <w:p>
            <w:pPr>
              <w:widowControl/>
              <w:spacing w:line="420" w:lineRule="exact"/>
              <w:jc w:val="left"/>
              <w:outlineLvl w:val="1"/>
              <w:rPr>
                <w:rFonts w:ascii="宋体" w:hAnsi="宋体" w:cs="宋体"/>
                <w:sz w:val="24"/>
              </w:rPr>
            </w:pPr>
            <w:r>
              <w:rPr>
                <w:rFonts w:hint="eastAsia" w:ascii="宋体" w:hAnsi="宋体" w:cs="宋体"/>
                <w:sz w:val="24"/>
              </w:rPr>
              <w:t>职务</w:t>
            </w:r>
          </w:p>
        </w:tc>
        <w:tc>
          <w:tcPr>
            <w:tcW w:w="1061" w:type="dxa"/>
            <w:vMerge w:val="restart"/>
            <w:vAlign w:val="center"/>
          </w:tcPr>
          <w:p>
            <w:pPr>
              <w:widowControl/>
              <w:spacing w:line="420" w:lineRule="exact"/>
              <w:jc w:val="left"/>
              <w:outlineLvl w:val="1"/>
              <w:rPr>
                <w:rFonts w:ascii="宋体" w:hAnsi="宋体" w:cs="宋体"/>
                <w:sz w:val="24"/>
              </w:rPr>
            </w:pPr>
            <w:r>
              <w:rPr>
                <w:rFonts w:hint="eastAsia" w:ascii="宋体" w:hAnsi="宋体" w:cs="宋体"/>
                <w:sz w:val="24"/>
              </w:rPr>
              <w:t>姓名</w:t>
            </w:r>
          </w:p>
        </w:tc>
        <w:tc>
          <w:tcPr>
            <w:tcW w:w="993" w:type="dxa"/>
            <w:vMerge w:val="restart"/>
            <w:vAlign w:val="center"/>
          </w:tcPr>
          <w:p>
            <w:pPr>
              <w:widowControl/>
              <w:spacing w:line="420" w:lineRule="exact"/>
              <w:jc w:val="left"/>
              <w:outlineLvl w:val="1"/>
              <w:rPr>
                <w:rFonts w:ascii="宋体" w:hAnsi="宋体" w:cs="宋体"/>
                <w:sz w:val="24"/>
              </w:rPr>
            </w:pPr>
            <w:r>
              <w:rPr>
                <w:rFonts w:hint="eastAsia" w:ascii="宋体" w:hAnsi="宋体" w:cs="宋体"/>
                <w:sz w:val="24"/>
              </w:rPr>
              <w:t>职称</w:t>
            </w:r>
          </w:p>
        </w:tc>
        <w:tc>
          <w:tcPr>
            <w:tcW w:w="992" w:type="dxa"/>
            <w:vMerge w:val="restart"/>
            <w:vAlign w:val="center"/>
          </w:tcPr>
          <w:p>
            <w:pPr>
              <w:widowControl/>
              <w:spacing w:line="420" w:lineRule="exact"/>
              <w:jc w:val="left"/>
              <w:outlineLvl w:val="1"/>
              <w:rPr>
                <w:rFonts w:ascii="宋体" w:hAnsi="宋体" w:cs="宋体"/>
                <w:sz w:val="24"/>
              </w:rPr>
            </w:pPr>
            <w:r>
              <w:rPr>
                <w:rFonts w:hint="eastAsia" w:ascii="宋体" w:hAnsi="宋体" w:cs="宋体"/>
                <w:sz w:val="24"/>
              </w:rPr>
              <w:t>常住地</w:t>
            </w:r>
          </w:p>
        </w:tc>
        <w:tc>
          <w:tcPr>
            <w:tcW w:w="3473" w:type="dxa"/>
            <w:gridSpan w:val="4"/>
            <w:vAlign w:val="center"/>
          </w:tcPr>
          <w:p>
            <w:pPr>
              <w:widowControl/>
              <w:spacing w:line="420" w:lineRule="exact"/>
              <w:ind w:firstLine="470" w:firstLineChars="196"/>
              <w:jc w:val="left"/>
              <w:outlineLvl w:val="1"/>
              <w:rPr>
                <w:rFonts w:ascii="宋体" w:hAnsi="宋体" w:cs="宋体"/>
                <w:sz w:val="24"/>
              </w:rPr>
            </w:pPr>
            <w:r>
              <w:rPr>
                <w:rFonts w:hint="eastAsia" w:ascii="宋体" w:hAnsi="宋体" w:cs="宋体"/>
                <w:sz w:val="24"/>
              </w:rPr>
              <w:t>资格证明（附复印件）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4" w:type="dxa"/>
            <w:vMerge w:val="continue"/>
            <w:vAlign w:val="center"/>
          </w:tcPr>
          <w:p>
            <w:pPr>
              <w:spacing w:line="420" w:lineRule="exact"/>
              <w:rPr>
                <w:rFonts w:ascii="宋体" w:hAnsi="宋体" w:cs="宋体"/>
              </w:rPr>
            </w:pPr>
          </w:p>
        </w:tc>
        <w:tc>
          <w:tcPr>
            <w:tcW w:w="807" w:type="dxa"/>
            <w:vMerge w:val="continue"/>
            <w:vAlign w:val="center"/>
          </w:tcPr>
          <w:p>
            <w:pPr>
              <w:spacing w:line="420" w:lineRule="exact"/>
              <w:rPr>
                <w:rFonts w:ascii="宋体" w:hAnsi="宋体" w:cs="宋体"/>
              </w:rPr>
            </w:pPr>
          </w:p>
        </w:tc>
        <w:tc>
          <w:tcPr>
            <w:tcW w:w="1061" w:type="dxa"/>
            <w:vMerge w:val="continue"/>
            <w:vAlign w:val="center"/>
          </w:tcPr>
          <w:p>
            <w:pPr>
              <w:spacing w:line="420" w:lineRule="exact"/>
              <w:rPr>
                <w:rFonts w:ascii="宋体" w:hAnsi="宋体" w:cs="宋体"/>
              </w:rPr>
            </w:pPr>
          </w:p>
        </w:tc>
        <w:tc>
          <w:tcPr>
            <w:tcW w:w="993" w:type="dxa"/>
            <w:vMerge w:val="continue"/>
            <w:vAlign w:val="center"/>
          </w:tcPr>
          <w:p>
            <w:pPr>
              <w:spacing w:line="420" w:lineRule="exact"/>
              <w:rPr>
                <w:rFonts w:ascii="宋体" w:hAnsi="宋体" w:cs="宋体"/>
              </w:rPr>
            </w:pPr>
          </w:p>
        </w:tc>
        <w:tc>
          <w:tcPr>
            <w:tcW w:w="992" w:type="dxa"/>
            <w:vMerge w:val="continue"/>
            <w:vAlign w:val="center"/>
          </w:tcPr>
          <w:p>
            <w:pPr>
              <w:spacing w:line="420" w:lineRule="exact"/>
              <w:rPr>
                <w:rFonts w:ascii="宋体" w:hAnsi="宋体" w:cs="宋体"/>
              </w:rPr>
            </w:pPr>
          </w:p>
        </w:tc>
        <w:tc>
          <w:tcPr>
            <w:tcW w:w="850" w:type="dxa"/>
            <w:vAlign w:val="center"/>
          </w:tcPr>
          <w:p>
            <w:pPr>
              <w:widowControl/>
              <w:spacing w:line="420" w:lineRule="exact"/>
              <w:jc w:val="left"/>
              <w:outlineLvl w:val="1"/>
              <w:rPr>
                <w:rFonts w:ascii="宋体" w:hAnsi="宋体" w:cs="宋体"/>
                <w:sz w:val="24"/>
              </w:rPr>
            </w:pPr>
            <w:r>
              <w:rPr>
                <w:rFonts w:hint="eastAsia" w:ascii="宋体" w:hAnsi="宋体" w:cs="宋体"/>
                <w:sz w:val="24"/>
              </w:rPr>
              <w:t>证书</w:t>
            </w:r>
          </w:p>
          <w:p>
            <w:pPr>
              <w:widowControl/>
              <w:spacing w:line="420" w:lineRule="exact"/>
              <w:jc w:val="left"/>
              <w:outlineLvl w:val="1"/>
              <w:rPr>
                <w:rFonts w:ascii="宋体" w:hAnsi="宋体" w:cs="宋体"/>
                <w:sz w:val="24"/>
              </w:rPr>
            </w:pPr>
            <w:r>
              <w:rPr>
                <w:rFonts w:hint="eastAsia" w:ascii="宋体" w:hAnsi="宋体" w:cs="宋体"/>
                <w:sz w:val="24"/>
              </w:rPr>
              <w:t>名称</w:t>
            </w:r>
          </w:p>
        </w:tc>
        <w:tc>
          <w:tcPr>
            <w:tcW w:w="851" w:type="dxa"/>
            <w:vAlign w:val="center"/>
          </w:tcPr>
          <w:p>
            <w:pPr>
              <w:widowControl/>
              <w:spacing w:line="420" w:lineRule="exact"/>
              <w:jc w:val="left"/>
              <w:outlineLvl w:val="1"/>
              <w:rPr>
                <w:rFonts w:ascii="宋体" w:hAnsi="宋体" w:cs="宋体"/>
                <w:sz w:val="24"/>
              </w:rPr>
            </w:pPr>
            <w:r>
              <w:rPr>
                <w:rFonts w:hint="eastAsia" w:ascii="宋体" w:hAnsi="宋体" w:cs="宋体"/>
                <w:sz w:val="24"/>
              </w:rPr>
              <w:t>级别</w:t>
            </w:r>
          </w:p>
        </w:tc>
        <w:tc>
          <w:tcPr>
            <w:tcW w:w="850" w:type="dxa"/>
            <w:vAlign w:val="center"/>
          </w:tcPr>
          <w:p>
            <w:pPr>
              <w:widowControl/>
              <w:spacing w:line="420" w:lineRule="exact"/>
              <w:jc w:val="left"/>
              <w:outlineLvl w:val="1"/>
              <w:rPr>
                <w:rFonts w:ascii="宋体" w:hAnsi="宋体" w:cs="宋体"/>
                <w:sz w:val="24"/>
              </w:rPr>
            </w:pPr>
            <w:r>
              <w:rPr>
                <w:rFonts w:hint="eastAsia" w:ascii="宋体" w:hAnsi="宋体" w:cs="宋体"/>
                <w:sz w:val="24"/>
              </w:rPr>
              <w:t>证号</w:t>
            </w:r>
          </w:p>
        </w:tc>
        <w:tc>
          <w:tcPr>
            <w:tcW w:w="922" w:type="dxa"/>
            <w:vAlign w:val="center"/>
          </w:tcPr>
          <w:p>
            <w:pPr>
              <w:widowControl/>
              <w:spacing w:line="420" w:lineRule="exact"/>
              <w:jc w:val="left"/>
              <w:outlineLvl w:val="1"/>
              <w:rPr>
                <w:rFonts w:ascii="宋体" w:hAnsi="宋体" w:cs="宋体"/>
                <w:sz w:val="24"/>
              </w:rPr>
            </w:pPr>
            <w:r>
              <w:rPr>
                <w:rFonts w:hint="eastAsia" w:ascii="宋体" w:hAnsi="宋体" w:cs="宋体"/>
                <w:sz w:val="24"/>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954" w:type="dxa"/>
            <w:vMerge w:val="restart"/>
          </w:tcPr>
          <w:p>
            <w:pPr>
              <w:widowControl/>
              <w:spacing w:line="420" w:lineRule="exact"/>
              <w:jc w:val="left"/>
              <w:outlineLvl w:val="1"/>
              <w:rPr>
                <w:rFonts w:ascii="宋体" w:hAnsi="宋体" w:cs="宋体"/>
                <w:sz w:val="24"/>
              </w:rPr>
            </w:pPr>
            <w:r>
              <w:rPr>
                <w:rFonts w:hint="eastAsia" w:ascii="宋体" w:hAnsi="宋体" w:cs="宋体"/>
                <w:sz w:val="24"/>
              </w:rPr>
              <w:t>管理</w:t>
            </w:r>
          </w:p>
          <w:p>
            <w:pPr>
              <w:widowControl/>
              <w:spacing w:line="420" w:lineRule="exact"/>
              <w:jc w:val="left"/>
              <w:outlineLvl w:val="1"/>
              <w:rPr>
                <w:rFonts w:ascii="宋体" w:hAnsi="宋体" w:cs="宋体"/>
                <w:sz w:val="24"/>
              </w:rPr>
            </w:pPr>
            <w:r>
              <w:rPr>
                <w:rFonts w:hint="eastAsia" w:ascii="宋体" w:hAnsi="宋体" w:cs="宋体"/>
                <w:sz w:val="24"/>
              </w:rPr>
              <w:t>人员</w:t>
            </w:r>
          </w:p>
        </w:tc>
        <w:tc>
          <w:tcPr>
            <w:tcW w:w="807" w:type="dxa"/>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4" w:type="dxa"/>
            <w:vMerge w:val="continue"/>
          </w:tcPr>
          <w:p>
            <w:pPr>
              <w:spacing w:line="420" w:lineRule="exact"/>
              <w:rPr>
                <w:rFonts w:ascii="宋体" w:hAnsi="宋体" w:cs="宋体"/>
              </w:rPr>
            </w:pPr>
          </w:p>
        </w:tc>
        <w:tc>
          <w:tcPr>
            <w:tcW w:w="807" w:type="dxa"/>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954" w:type="dxa"/>
            <w:vMerge w:val="continue"/>
          </w:tcPr>
          <w:p>
            <w:pPr>
              <w:spacing w:line="420" w:lineRule="exact"/>
              <w:rPr>
                <w:rFonts w:ascii="宋体" w:hAnsi="宋体" w:cs="宋体"/>
              </w:rPr>
            </w:pPr>
          </w:p>
        </w:tc>
        <w:tc>
          <w:tcPr>
            <w:tcW w:w="807" w:type="dxa"/>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4" w:type="dxa"/>
            <w:vMerge w:val="restart"/>
          </w:tcPr>
          <w:p>
            <w:pPr>
              <w:widowControl/>
              <w:spacing w:line="420" w:lineRule="exact"/>
              <w:jc w:val="left"/>
              <w:outlineLvl w:val="1"/>
              <w:rPr>
                <w:rFonts w:ascii="宋体" w:hAnsi="宋体" w:cs="宋体"/>
                <w:sz w:val="24"/>
              </w:rPr>
            </w:pPr>
            <w:r>
              <w:rPr>
                <w:rFonts w:hint="eastAsia" w:ascii="宋体" w:hAnsi="宋体" w:cs="宋体"/>
                <w:sz w:val="24"/>
              </w:rPr>
              <w:t>……</w:t>
            </w:r>
          </w:p>
        </w:tc>
        <w:tc>
          <w:tcPr>
            <w:tcW w:w="807" w:type="dxa"/>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954" w:type="dxa"/>
            <w:vMerge w:val="continue"/>
          </w:tcPr>
          <w:p>
            <w:pPr>
              <w:spacing w:line="420" w:lineRule="exact"/>
              <w:rPr>
                <w:rFonts w:ascii="宋体" w:hAnsi="宋体" w:cs="宋体"/>
              </w:rPr>
            </w:pPr>
          </w:p>
        </w:tc>
        <w:tc>
          <w:tcPr>
            <w:tcW w:w="807" w:type="dxa"/>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4" w:type="dxa"/>
            <w:vMerge w:val="continue"/>
          </w:tcPr>
          <w:p>
            <w:pPr>
              <w:spacing w:line="420" w:lineRule="exact"/>
              <w:rPr>
                <w:rFonts w:ascii="宋体" w:hAnsi="宋体" w:cs="宋体"/>
              </w:rPr>
            </w:pPr>
          </w:p>
        </w:tc>
        <w:tc>
          <w:tcPr>
            <w:tcW w:w="807" w:type="dxa"/>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954" w:type="dxa"/>
            <w:vMerge w:val="restart"/>
          </w:tcPr>
          <w:p>
            <w:pPr>
              <w:widowControl/>
              <w:spacing w:line="420" w:lineRule="exact"/>
              <w:jc w:val="left"/>
              <w:outlineLvl w:val="1"/>
              <w:rPr>
                <w:rFonts w:ascii="宋体" w:hAnsi="宋体" w:cs="宋体"/>
                <w:sz w:val="24"/>
              </w:rPr>
            </w:pPr>
            <w:r>
              <w:rPr>
                <w:rFonts w:hint="eastAsia" w:ascii="宋体" w:hAnsi="宋体" w:cs="宋体"/>
                <w:sz w:val="24"/>
              </w:rPr>
              <w:t>……</w:t>
            </w:r>
          </w:p>
        </w:tc>
        <w:tc>
          <w:tcPr>
            <w:tcW w:w="807" w:type="dxa"/>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54" w:type="dxa"/>
            <w:vMerge w:val="continue"/>
            <w:tcBorders>
              <w:bottom w:val="single" w:color="auto" w:sz="4" w:space="0"/>
            </w:tcBorders>
          </w:tcPr>
          <w:p>
            <w:pPr>
              <w:spacing w:line="420" w:lineRule="exact"/>
              <w:rPr>
                <w:rFonts w:ascii="宋体" w:hAnsi="宋体" w:cs="宋体"/>
              </w:rPr>
            </w:pPr>
          </w:p>
        </w:tc>
        <w:tc>
          <w:tcPr>
            <w:tcW w:w="807" w:type="dxa"/>
            <w:tcBorders>
              <w:bottom w:val="single" w:color="auto" w:sz="4" w:space="0"/>
            </w:tcBorders>
          </w:tcPr>
          <w:p>
            <w:pPr>
              <w:widowControl/>
              <w:spacing w:line="420" w:lineRule="exact"/>
              <w:ind w:firstLine="470" w:firstLineChars="196"/>
              <w:jc w:val="left"/>
              <w:outlineLvl w:val="1"/>
              <w:rPr>
                <w:rFonts w:ascii="宋体" w:hAnsi="宋体" w:cs="宋体"/>
                <w:sz w:val="24"/>
              </w:rPr>
            </w:pPr>
          </w:p>
        </w:tc>
        <w:tc>
          <w:tcPr>
            <w:tcW w:w="1061" w:type="dxa"/>
          </w:tcPr>
          <w:p>
            <w:pPr>
              <w:widowControl/>
              <w:spacing w:line="420" w:lineRule="exact"/>
              <w:ind w:firstLine="470" w:firstLineChars="196"/>
              <w:jc w:val="left"/>
              <w:outlineLvl w:val="1"/>
              <w:rPr>
                <w:rFonts w:ascii="宋体" w:hAnsi="宋体" w:cs="宋体"/>
                <w:sz w:val="24"/>
              </w:rPr>
            </w:pPr>
          </w:p>
        </w:tc>
        <w:tc>
          <w:tcPr>
            <w:tcW w:w="993" w:type="dxa"/>
          </w:tcPr>
          <w:p>
            <w:pPr>
              <w:widowControl/>
              <w:spacing w:line="420" w:lineRule="exact"/>
              <w:ind w:firstLine="470" w:firstLineChars="196"/>
              <w:jc w:val="left"/>
              <w:outlineLvl w:val="1"/>
              <w:rPr>
                <w:rFonts w:ascii="宋体" w:hAnsi="宋体" w:cs="宋体"/>
                <w:sz w:val="24"/>
              </w:rPr>
            </w:pPr>
          </w:p>
        </w:tc>
        <w:tc>
          <w:tcPr>
            <w:tcW w:w="992"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851" w:type="dxa"/>
          </w:tcPr>
          <w:p>
            <w:pPr>
              <w:widowControl/>
              <w:spacing w:line="420" w:lineRule="exact"/>
              <w:ind w:firstLine="470" w:firstLineChars="196"/>
              <w:jc w:val="left"/>
              <w:outlineLvl w:val="1"/>
              <w:rPr>
                <w:rFonts w:ascii="宋体" w:hAnsi="宋体" w:cs="宋体"/>
                <w:sz w:val="24"/>
              </w:rPr>
            </w:pPr>
          </w:p>
        </w:tc>
        <w:tc>
          <w:tcPr>
            <w:tcW w:w="850" w:type="dxa"/>
          </w:tcPr>
          <w:p>
            <w:pPr>
              <w:widowControl/>
              <w:spacing w:line="420" w:lineRule="exact"/>
              <w:ind w:firstLine="470" w:firstLineChars="196"/>
              <w:jc w:val="left"/>
              <w:outlineLvl w:val="1"/>
              <w:rPr>
                <w:rFonts w:ascii="宋体" w:hAnsi="宋体" w:cs="宋体"/>
                <w:sz w:val="24"/>
              </w:rPr>
            </w:pPr>
          </w:p>
        </w:tc>
        <w:tc>
          <w:tcPr>
            <w:tcW w:w="922" w:type="dxa"/>
          </w:tcPr>
          <w:p>
            <w:pPr>
              <w:widowControl/>
              <w:spacing w:line="420" w:lineRule="exact"/>
              <w:ind w:firstLine="470" w:firstLineChars="196"/>
              <w:jc w:val="left"/>
              <w:outlineLvl w:val="1"/>
              <w:rPr>
                <w:rFonts w:ascii="宋体" w:hAnsi="宋体" w:cs="宋体"/>
                <w:sz w:val="24"/>
              </w:rPr>
            </w:pPr>
          </w:p>
        </w:tc>
      </w:tr>
    </w:tbl>
    <w:p>
      <w:pPr>
        <w:widowControl/>
        <w:spacing w:line="420" w:lineRule="exact"/>
        <w:ind w:firstLine="470" w:firstLineChars="196"/>
        <w:jc w:val="left"/>
        <w:outlineLvl w:val="1"/>
        <w:rPr>
          <w:rFonts w:ascii="宋体" w:hAnsi="宋体" w:cs="宋体"/>
          <w:sz w:val="24"/>
        </w:rPr>
      </w:pP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（单位公章）。</w:t>
      </w:r>
    </w:p>
    <w:p>
      <w:pPr>
        <w:widowControl/>
        <w:spacing w:line="360" w:lineRule="atLeast"/>
        <w:ind w:firstLine="470" w:firstLineChars="196"/>
        <w:jc w:val="left"/>
        <w:outlineLvl w:val="1"/>
        <w:rPr>
          <w:rFonts w:ascii="宋体" w:hAnsi="宋体" w:cs="宋体"/>
          <w:sz w:val="24"/>
        </w:rPr>
      </w:pPr>
      <w:r>
        <w:rPr>
          <w:rFonts w:hint="eastAsia" w:ascii="宋体" w:hAnsi="宋体" w:cs="宋体"/>
          <w:sz w:val="24"/>
        </w:rPr>
        <w:t>法定代表人或授权代表（签字或加盖个人名章）：</w:t>
      </w:r>
      <w:r>
        <w:rPr>
          <w:rFonts w:hint="eastAsia" w:ascii="宋体" w:hAnsi="宋体" w:cs="宋体"/>
          <w:sz w:val="24"/>
          <w:u w:val="single"/>
        </w:rPr>
        <w:t xml:space="preserve">           </w:t>
      </w:r>
    </w:p>
    <w:p>
      <w:pPr>
        <w:widowControl/>
        <w:spacing w:line="360" w:lineRule="atLeast"/>
        <w:ind w:firstLine="470" w:firstLineChars="196"/>
        <w:jc w:val="left"/>
        <w:outlineLvl w:val="1"/>
        <w:rPr>
          <w:rFonts w:ascii="宋体" w:hAnsi="宋体" w:cs="宋体"/>
          <w:sz w:val="24"/>
          <w:u w:val="single"/>
        </w:rPr>
      </w:pPr>
      <w:r>
        <w:rPr>
          <w:rFonts w:hint="eastAsia" w:ascii="宋体" w:hAnsi="宋体" w:cs="宋体"/>
          <w:sz w:val="24"/>
        </w:rPr>
        <w:t>投标日期：</w:t>
      </w:r>
      <w:r>
        <w:rPr>
          <w:rFonts w:hint="eastAsia" w:ascii="宋体" w:hAnsi="宋体" w:cs="宋体"/>
          <w:sz w:val="24"/>
          <w:u w:val="single"/>
        </w:rPr>
        <w:t xml:space="preserve">                                            </w:t>
      </w:r>
    </w:p>
    <w:p>
      <w:pPr>
        <w:widowControl/>
        <w:overflowPunct/>
        <w:autoSpaceDE/>
        <w:autoSpaceDN/>
        <w:jc w:val="left"/>
        <w:rPr>
          <w:rFonts w:ascii="宋体" w:hAnsi="宋体" w:cs="宋体"/>
          <w:sz w:val="24"/>
        </w:rPr>
      </w:pPr>
      <w:r>
        <w:rPr>
          <w:rFonts w:ascii="宋体" w:hAnsi="宋体" w:cs="宋体"/>
          <w:sz w:val="24"/>
        </w:rPr>
        <w:br w:type="page"/>
      </w:r>
    </w:p>
    <w:p>
      <w:pPr>
        <w:pStyle w:val="5"/>
        <w:ind w:left="420"/>
        <w:jc w:val="center"/>
        <w:rPr>
          <w:rFonts w:ascii="宋体" w:hAnsi="宋体" w:cs="宋体"/>
        </w:rPr>
      </w:pPr>
      <w:r>
        <w:rPr>
          <w:rFonts w:hint="eastAsia" w:ascii="宋体" w:hAnsi="宋体" w:cs="宋体"/>
        </w:rPr>
        <w:t>五、关于知识产权的承诺函</w:t>
      </w:r>
    </w:p>
    <w:p>
      <w:pPr>
        <w:widowControl/>
        <w:spacing w:line="420" w:lineRule="exact"/>
        <w:ind w:firstLine="470" w:firstLineChars="196"/>
        <w:jc w:val="left"/>
        <w:outlineLvl w:val="1"/>
        <w:rPr>
          <w:rFonts w:ascii="宋体" w:hAnsi="宋体" w:cs="宋体"/>
          <w:sz w:val="24"/>
        </w:rPr>
      </w:pPr>
    </w:p>
    <w:p>
      <w:pPr>
        <w:widowControl/>
        <w:spacing w:line="420" w:lineRule="exact"/>
        <w:ind w:firstLine="472" w:firstLineChars="196"/>
        <w:jc w:val="left"/>
        <w:outlineLvl w:val="1"/>
        <w:rPr>
          <w:rFonts w:ascii="宋体" w:hAnsi="宋体" w:cs="宋体"/>
          <w:b/>
          <w:sz w:val="24"/>
        </w:rPr>
      </w:pPr>
      <w:r>
        <w:rPr>
          <w:rFonts w:hint="eastAsia" w:ascii="宋体" w:hAnsi="宋体" w:cs="宋体"/>
          <w:b/>
          <w:sz w:val="24"/>
        </w:rPr>
        <w:t>（格式自拟，供应商可根据招标文件第二章总则中第14条要求进行承诺）</w:t>
      </w:r>
    </w:p>
    <w:p>
      <w:pPr>
        <w:widowControl/>
        <w:spacing w:line="420" w:lineRule="exact"/>
        <w:ind w:firstLine="470" w:firstLineChars="196"/>
        <w:jc w:val="left"/>
        <w:outlineLvl w:val="1"/>
        <w:rPr>
          <w:rFonts w:ascii="宋体" w:hAnsi="宋体" w:cs="宋体"/>
          <w:sz w:val="24"/>
        </w:rPr>
      </w:pPr>
    </w:p>
    <w:p>
      <w:pPr>
        <w:widowControl/>
        <w:spacing w:line="420" w:lineRule="exact"/>
        <w:ind w:firstLine="470" w:firstLineChars="196"/>
        <w:jc w:val="left"/>
        <w:outlineLvl w:val="1"/>
        <w:rPr>
          <w:rFonts w:ascii="宋体" w:hAnsi="宋体" w:cs="宋体"/>
          <w:sz w:val="24"/>
        </w:rPr>
      </w:pPr>
      <w:r>
        <w:rPr>
          <w:rFonts w:hint="eastAsia" w:ascii="宋体" w:hAnsi="宋体" w:cs="宋体"/>
          <w:sz w:val="24"/>
        </w:rPr>
        <w:t>注：</w:t>
      </w:r>
      <w:r>
        <w:rPr>
          <w:rFonts w:ascii="宋体" w:hAnsi="宋体" w:cs="宋体"/>
          <w:sz w:val="24"/>
        </w:rPr>
        <w:t>1</w:t>
      </w:r>
      <w:r>
        <w:rPr>
          <w:rFonts w:hint="eastAsia" w:ascii="宋体" w:hAnsi="宋体" w:cs="宋体"/>
          <w:sz w:val="24"/>
        </w:rPr>
        <w:t>、本承诺函为参考格式，供应商可提供自有格式的承诺函。</w:t>
      </w:r>
    </w:p>
    <w:p>
      <w:pPr>
        <w:pStyle w:val="9"/>
        <w:rPr>
          <w:color w:val="auto"/>
        </w:rPr>
      </w:pPr>
    </w:p>
    <w:p>
      <w:pPr>
        <w:widowControl/>
        <w:overflowPunct/>
        <w:autoSpaceDE/>
        <w:autoSpaceDN/>
        <w:jc w:val="left"/>
      </w:pPr>
      <w:r>
        <w:br w:type="page"/>
      </w:r>
    </w:p>
    <w:p>
      <w:pPr>
        <w:pStyle w:val="5"/>
        <w:ind w:left="420"/>
        <w:jc w:val="center"/>
        <w:rPr>
          <w:rFonts w:ascii="宋体" w:hAnsi="宋体" w:cs="宋体"/>
        </w:rPr>
      </w:pPr>
      <w:r>
        <w:rPr>
          <w:rFonts w:hint="eastAsia" w:ascii="宋体" w:hAnsi="宋体" w:cs="宋体"/>
        </w:rPr>
        <w:t>六、关于响应招标文件实质性要求的承诺函</w:t>
      </w:r>
    </w:p>
    <w:p>
      <w:pPr>
        <w:spacing w:line="360" w:lineRule="auto"/>
        <w:ind w:firstLine="472"/>
        <w:jc w:val="center"/>
        <w:rPr>
          <w:rFonts w:ascii="宋体" w:hAnsi="宋体" w:cs="宋体"/>
          <w:b/>
          <w:kern w:val="0"/>
          <w:sz w:val="24"/>
        </w:rPr>
      </w:pPr>
    </w:p>
    <w:p>
      <w:pPr>
        <w:jc w:val="center"/>
      </w:pPr>
      <w:r>
        <w:rPr>
          <w:rFonts w:hint="eastAsia" w:ascii="宋体" w:hAnsi="宋体" w:cs="宋体"/>
          <w:b/>
          <w:kern w:val="0"/>
          <w:sz w:val="24"/>
        </w:rPr>
        <w:t>注：格式自拟。</w:t>
      </w:r>
    </w:p>
    <w:p>
      <w:pPr>
        <w:pStyle w:val="4"/>
        <w:spacing w:before="156" w:after="156"/>
        <w:rPr>
          <w:rFonts w:ascii="宋体" w:hAnsi="宋体" w:cs="宋体"/>
        </w:rPr>
      </w:pPr>
      <w:r>
        <w:rPr>
          <w:rFonts w:hint="eastAsia" w:ascii="宋体" w:hAnsi="宋体" w:cs="宋体"/>
        </w:rPr>
        <w:br w:type="page"/>
      </w:r>
      <w:r>
        <w:rPr>
          <w:rFonts w:hint="eastAsia" w:ascii="宋体" w:hAnsi="宋体" w:cs="宋体"/>
        </w:rPr>
        <w:t>第四部分 其他部分</w:t>
      </w:r>
    </w:p>
    <w:p>
      <w:pPr>
        <w:pStyle w:val="3"/>
        <w:rPr>
          <w:rFonts w:ascii="宋体" w:hAnsi="宋体" w:cs="宋体"/>
          <w:sz w:val="24"/>
        </w:rPr>
      </w:pPr>
      <w:r>
        <w:rPr>
          <w:rFonts w:hint="eastAsia" w:ascii="宋体" w:hAnsi="宋体" w:cs="宋体"/>
          <w:sz w:val="24"/>
        </w:rPr>
        <w:t>（格式自拟）</w:t>
      </w:r>
    </w:p>
    <w:p>
      <w:pPr>
        <w:pStyle w:val="3"/>
        <w:rPr>
          <w:rFonts w:ascii="宋体" w:hAnsi="宋体" w:cs="宋体"/>
        </w:rPr>
      </w:pPr>
    </w:p>
    <w:p>
      <w:pPr>
        <w:pStyle w:val="3"/>
        <w:rPr>
          <w:rFonts w:ascii="宋体" w:hAnsi="宋体" w:cs="宋体"/>
        </w:rPr>
      </w:pPr>
    </w:p>
    <w:p/>
    <w:p>
      <w:pPr>
        <w:widowControl/>
        <w:overflowPunct/>
        <w:autoSpaceDE/>
        <w:autoSpaceDN/>
        <w:jc w:val="left"/>
      </w:pPr>
      <w:r>
        <w:br w:type="page"/>
      </w:r>
    </w:p>
    <w:p>
      <w:pPr>
        <w:jc w:val="center"/>
        <w:rPr>
          <w:rFonts w:ascii="宋体" w:hAnsi="宋体" w:cs="宋体"/>
          <w:b/>
          <w:bCs/>
          <w:sz w:val="24"/>
        </w:rPr>
      </w:pPr>
      <w:r>
        <w:rPr>
          <w:rFonts w:hint="eastAsia" w:ascii="宋体" w:hAnsi="宋体" w:cs="宋体"/>
          <w:b/>
          <w:bCs/>
          <w:sz w:val="24"/>
        </w:rPr>
        <w:t>中小企业声明函</w:t>
      </w:r>
    </w:p>
    <w:p>
      <w:pPr>
        <w:jc w:val="center"/>
        <w:rPr>
          <w:rFonts w:ascii="宋体" w:hAnsi="宋体" w:cs="宋体"/>
          <w:sz w:val="24"/>
        </w:rPr>
      </w:pPr>
    </w:p>
    <w:p>
      <w:pPr>
        <w:widowControl/>
        <w:spacing w:line="360" w:lineRule="auto"/>
        <w:ind w:firstLine="480" w:firstLineChars="200"/>
        <w:rPr>
          <w:rFonts w:ascii="宋体" w:hAnsi="宋体" w:cs="宋体"/>
          <w:kern w:val="0"/>
          <w:sz w:val="24"/>
        </w:rPr>
      </w:pPr>
      <w:r>
        <w:rPr>
          <w:rFonts w:hint="eastAsia" w:ascii="宋体" w:hAnsi="宋体" w:cs="宋体"/>
          <w:kern w:val="0"/>
          <w:sz w:val="24"/>
        </w:rPr>
        <w:t>本公司（联合体）郑重声明，根据《政府采购促进中小企业发展管理办法》（财库﹝2020﹞46 号）的规定，本公司（联合体）参加</w:t>
      </w:r>
      <w:r>
        <w:rPr>
          <w:rFonts w:hint="eastAsia" w:ascii="宋体" w:hAnsi="宋体" w:cs="宋体"/>
          <w:kern w:val="0"/>
          <w:sz w:val="24"/>
          <w:u w:val="single"/>
        </w:rPr>
        <w:t xml:space="preserve">             </w:t>
      </w:r>
      <w:r>
        <w:rPr>
          <w:rFonts w:hint="eastAsia" w:ascii="宋体" w:hAnsi="宋体" w:cs="宋体"/>
          <w:kern w:val="0"/>
          <w:sz w:val="24"/>
        </w:rPr>
        <w:t>（单位名称）的</w:t>
      </w:r>
      <w:r>
        <w:rPr>
          <w:rFonts w:hint="eastAsia" w:ascii="宋体" w:hAnsi="宋体" w:cs="宋体"/>
          <w:kern w:val="0"/>
          <w:sz w:val="24"/>
          <w:u w:val="single"/>
        </w:rPr>
        <w:t xml:space="preserve">                          </w:t>
      </w:r>
      <w:r>
        <w:rPr>
          <w:rFonts w:hint="eastAsia" w:ascii="宋体" w:hAnsi="宋体" w:cs="宋体"/>
          <w:kern w:val="0"/>
          <w:sz w:val="24"/>
        </w:rPr>
        <w:t>（项目名称）</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包</w:t>
      </w:r>
      <w:r>
        <w:rPr>
          <w:rFonts w:hint="eastAsia" w:ascii="宋体" w:hAnsi="宋体" w:cs="宋体"/>
          <w:kern w:val="0"/>
          <w:sz w:val="24"/>
        </w:rPr>
        <w:t>采购活动，提供的货物全部由符合政策要求的中小企业制造。相关企业（含联合体中的中小企业、签订分包意向协议的中小企业）的具体情况如下：</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1. </w:t>
      </w:r>
      <w:r>
        <w:rPr>
          <w:rFonts w:hint="eastAsia" w:ascii="宋体" w:hAnsi="宋体" w:cs="宋体"/>
          <w:kern w:val="0"/>
          <w:sz w:val="24"/>
          <w:u w:val="single"/>
        </w:rPr>
        <w:t xml:space="preserve">          </w:t>
      </w:r>
      <w:r>
        <w:rPr>
          <w:rFonts w:hint="eastAsia" w:ascii="宋体" w:hAnsi="宋体" w:cs="宋体"/>
          <w:kern w:val="0"/>
          <w:sz w:val="24"/>
        </w:rPr>
        <w:t>（标的名称） ，属于</w:t>
      </w:r>
      <w:r>
        <w:rPr>
          <w:rFonts w:hint="eastAsia" w:ascii="宋体" w:hAnsi="宋体" w:cs="宋体"/>
          <w:kern w:val="0"/>
          <w:sz w:val="24"/>
          <w:u w:val="single"/>
        </w:rPr>
        <w:t xml:space="preserve">          </w:t>
      </w:r>
      <w:r>
        <w:rPr>
          <w:rFonts w:hint="eastAsia" w:ascii="宋体" w:hAnsi="宋体" w:cs="宋体"/>
          <w:kern w:val="0"/>
          <w:sz w:val="24"/>
        </w:rPr>
        <w:t>（采购文件中明确的所属行业）行业；制造商为</w:t>
      </w:r>
      <w:r>
        <w:rPr>
          <w:rFonts w:hint="eastAsia" w:ascii="宋体" w:hAnsi="宋体" w:cs="宋体"/>
          <w:kern w:val="0"/>
          <w:sz w:val="24"/>
          <w:u w:val="single"/>
        </w:rPr>
        <w:t xml:space="preserve">          </w:t>
      </w:r>
      <w:r>
        <w:rPr>
          <w:rFonts w:hint="eastAsia" w:ascii="宋体" w:hAnsi="宋体" w:cs="宋体"/>
          <w:kern w:val="0"/>
          <w:sz w:val="24"/>
        </w:rPr>
        <w:t>（企业名称），从业人员</w:t>
      </w:r>
      <w:r>
        <w:rPr>
          <w:rFonts w:hint="eastAsia" w:ascii="宋体" w:hAnsi="宋体" w:cs="宋体"/>
          <w:kern w:val="0"/>
          <w:sz w:val="24"/>
          <w:u w:val="single"/>
        </w:rPr>
        <w:t xml:space="preserve">          </w:t>
      </w:r>
      <w:r>
        <w:rPr>
          <w:rFonts w:hint="eastAsia" w:ascii="宋体" w:hAnsi="宋体" w:cs="宋体"/>
          <w:kern w:val="0"/>
          <w:sz w:val="24"/>
        </w:rPr>
        <w:t>人，营业收入为</w:t>
      </w:r>
      <w:r>
        <w:rPr>
          <w:rFonts w:hint="eastAsia" w:ascii="宋体" w:hAnsi="宋体" w:cs="宋体"/>
          <w:kern w:val="0"/>
          <w:sz w:val="24"/>
          <w:u w:val="single"/>
        </w:rPr>
        <w:t xml:space="preserve">          </w:t>
      </w:r>
      <w:r>
        <w:rPr>
          <w:rFonts w:hint="eastAsia" w:ascii="宋体" w:hAnsi="宋体" w:cs="宋体"/>
          <w:kern w:val="0"/>
          <w:sz w:val="24"/>
        </w:rPr>
        <w:t>万元，资产总额为</w:t>
      </w:r>
      <w:r>
        <w:rPr>
          <w:rFonts w:hint="eastAsia" w:ascii="宋体" w:hAnsi="宋体" w:cs="宋体"/>
          <w:kern w:val="0"/>
          <w:sz w:val="24"/>
          <w:u w:val="single"/>
        </w:rPr>
        <w:t xml:space="preserve">          </w:t>
      </w:r>
      <w:r>
        <w:rPr>
          <w:rFonts w:hint="eastAsia" w:ascii="宋体" w:hAnsi="宋体" w:cs="宋体"/>
          <w:kern w:val="0"/>
          <w:sz w:val="24"/>
        </w:rPr>
        <w:t>万元，属于</w:t>
      </w:r>
      <w:r>
        <w:rPr>
          <w:rFonts w:hint="eastAsia" w:ascii="宋体" w:hAnsi="宋体" w:cs="宋体"/>
          <w:kern w:val="0"/>
          <w:sz w:val="24"/>
          <w:u w:val="single"/>
        </w:rPr>
        <w:t xml:space="preserve">          </w:t>
      </w:r>
      <w:r>
        <w:rPr>
          <w:rFonts w:hint="eastAsia" w:ascii="宋体" w:hAnsi="宋体" w:cs="宋体"/>
          <w:kern w:val="0"/>
          <w:sz w:val="24"/>
        </w:rPr>
        <w:t>（中型企业、小型企业、微型企业）；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w:t>
      </w:r>
      <w:r>
        <w:rPr>
          <w:rFonts w:hint="eastAsia" w:ascii="宋体" w:hAnsi="宋体" w:cs="宋体"/>
          <w:kern w:val="0"/>
          <w:sz w:val="24"/>
          <w:u w:val="single"/>
        </w:rPr>
        <w:t xml:space="preserve">          </w:t>
      </w:r>
      <w:r>
        <w:rPr>
          <w:rFonts w:hint="eastAsia" w:ascii="宋体" w:hAnsi="宋体" w:cs="宋体"/>
          <w:kern w:val="0"/>
          <w:sz w:val="24"/>
        </w:rPr>
        <w:t>（标的名称） ，属于</w:t>
      </w:r>
      <w:r>
        <w:rPr>
          <w:rFonts w:hint="eastAsia" w:ascii="宋体" w:hAnsi="宋体" w:cs="宋体"/>
          <w:kern w:val="0"/>
          <w:sz w:val="24"/>
          <w:u w:val="single"/>
        </w:rPr>
        <w:t xml:space="preserve">          </w:t>
      </w:r>
      <w:r>
        <w:rPr>
          <w:rFonts w:hint="eastAsia" w:ascii="宋体" w:hAnsi="宋体" w:cs="宋体"/>
          <w:kern w:val="0"/>
          <w:sz w:val="24"/>
        </w:rPr>
        <w:t>（采购文件中明确的所属行业）行业；制造商为</w:t>
      </w:r>
      <w:r>
        <w:rPr>
          <w:rFonts w:hint="eastAsia" w:ascii="宋体" w:hAnsi="宋体" w:cs="宋体"/>
          <w:kern w:val="0"/>
          <w:sz w:val="24"/>
          <w:u w:val="single"/>
        </w:rPr>
        <w:t xml:space="preserve">          </w:t>
      </w:r>
      <w:r>
        <w:rPr>
          <w:rFonts w:hint="eastAsia" w:ascii="宋体" w:hAnsi="宋体" w:cs="宋体"/>
          <w:kern w:val="0"/>
          <w:sz w:val="24"/>
        </w:rPr>
        <w:t>（企业名称），从业人员</w:t>
      </w:r>
      <w:r>
        <w:rPr>
          <w:rFonts w:hint="eastAsia" w:ascii="宋体" w:hAnsi="宋体" w:cs="宋体"/>
          <w:kern w:val="0"/>
          <w:sz w:val="24"/>
          <w:u w:val="single"/>
        </w:rPr>
        <w:t xml:space="preserve">          </w:t>
      </w:r>
      <w:r>
        <w:rPr>
          <w:rFonts w:hint="eastAsia" w:ascii="宋体" w:hAnsi="宋体" w:cs="宋体"/>
          <w:kern w:val="0"/>
          <w:sz w:val="24"/>
        </w:rPr>
        <w:t>人，营业收入为</w:t>
      </w:r>
      <w:r>
        <w:rPr>
          <w:rFonts w:hint="eastAsia" w:ascii="宋体" w:hAnsi="宋体" w:cs="宋体"/>
          <w:kern w:val="0"/>
          <w:sz w:val="24"/>
          <w:u w:val="single"/>
        </w:rPr>
        <w:t xml:space="preserve">          </w:t>
      </w:r>
      <w:r>
        <w:rPr>
          <w:rFonts w:hint="eastAsia" w:ascii="宋体" w:hAnsi="宋体" w:cs="宋体"/>
          <w:kern w:val="0"/>
          <w:sz w:val="24"/>
        </w:rPr>
        <w:t>万元，资产总额为</w:t>
      </w:r>
      <w:r>
        <w:rPr>
          <w:rFonts w:hint="eastAsia" w:ascii="宋体" w:hAnsi="宋体" w:cs="宋体"/>
          <w:kern w:val="0"/>
          <w:sz w:val="24"/>
          <w:u w:val="single"/>
        </w:rPr>
        <w:t xml:space="preserve">          </w:t>
      </w:r>
      <w:r>
        <w:rPr>
          <w:rFonts w:hint="eastAsia" w:ascii="宋体" w:hAnsi="宋体" w:cs="宋体"/>
          <w:kern w:val="0"/>
          <w:sz w:val="24"/>
        </w:rPr>
        <w:t>万元，属于</w:t>
      </w:r>
      <w:r>
        <w:rPr>
          <w:rFonts w:hint="eastAsia" w:ascii="宋体" w:hAnsi="宋体" w:cs="宋体"/>
          <w:kern w:val="0"/>
          <w:sz w:val="24"/>
          <w:u w:val="single"/>
        </w:rPr>
        <w:t xml:space="preserve">          </w:t>
      </w:r>
      <w:r>
        <w:rPr>
          <w:rFonts w:hint="eastAsia" w:ascii="宋体" w:hAnsi="宋体" w:cs="宋体"/>
          <w:kern w:val="0"/>
          <w:sz w:val="24"/>
        </w:rPr>
        <w:t>（中型企业、小型企业、微型企业）；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hint="eastAsia" w:ascii="宋体" w:hAnsi="宋体" w:cs="宋体"/>
          <w:kern w:val="0"/>
          <w:sz w:val="24"/>
        </w:rPr>
        <w:t>以上企业，不属于大企业的分支机构，不存在控股股东为大企业的情形，也不存在与大企业的负责人为同一人的情形。</w:t>
      </w:r>
    </w:p>
    <w:p>
      <w:pPr>
        <w:widowControl/>
        <w:spacing w:line="360" w:lineRule="auto"/>
        <w:ind w:firstLine="480" w:firstLineChars="200"/>
        <w:rPr>
          <w:rFonts w:ascii="宋体" w:hAnsi="宋体" w:cs="宋体"/>
          <w:kern w:val="0"/>
          <w:sz w:val="24"/>
        </w:rPr>
      </w:pPr>
      <w:r>
        <w:rPr>
          <w:rFonts w:hint="eastAsia" w:ascii="宋体" w:hAnsi="宋体" w:cs="宋体"/>
          <w:kern w:val="0"/>
          <w:sz w:val="24"/>
        </w:rPr>
        <w:t>本企业对上述声明内容的真实性负责。如有虚假，将依法承担相应责任。</w:t>
      </w:r>
    </w:p>
    <w:p>
      <w:pPr>
        <w:widowControl/>
        <w:spacing w:line="360" w:lineRule="auto"/>
        <w:jc w:val="left"/>
        <w:rPr>
          <w:rFonts w:ascii="宋体" w:hAnsi="宋体" w:cs="宋体"/>
          <w:kern w:val="0"/>
          <w:sz w:val="24"/>
        </w:rPr>
      </w:pPr>
    </w:p>
    <w:p>
      <w:pPr>
        <w:widowControl/>
        <w:spacing w:line="400" w:lineRule="exact"/>
        <w:jc w:val="left"/>
        <w:rPr>
          <w:rFonts w:ascii="宋体" w:hAnsi="宋体" w:cs="宋体"/>
          <w:kern w:val="0"/>
          <w:sz w:val="24"/>
        </w:rPr>
      </w:pPr>
      <w:r>
        <w:rPr>
          <w:rFonts w:hint="eastAsia" w:ascii="宋体" w:hAnsi="宋体" w:cs="宋体"/>
          <w:kern w:val="0"/>
          <w:sz w:val="24"/>
        </w:rPr>
        <w:t> </w:t>
      </w:r>
    </w:p>
    <w:p>
      <w:pPr>
        <w:widowControl/>
        <w:spacing w:line="400" w:lineRule="exact"/>
        <w:jc w:val="left"/>
        <w:rPr>
          <w:rFonts w:ascii="宋体" w:hAnsi="宋体" w:cs="宋体"/>
          <w:kern w:val="0"/>
          <w:sz w:val="24"/>
        </w:rPr>
      </w:pPr>
      <w:r>
        <w:rPr>
          <w:rFonts w:hint="eastAsia" w:ascii="宋体" w:hAnsi="宋体" w:cs="宋体"/>
          <w:kern w:val="0"/>
          <w:sz w:val="24"/>
        </w:rPr>
        <w:t>　　</w:t>
      </w:r>
    </w:p>
    <w:p>
      <w:pPr>
        <w:spacing w:line="360" w:lineRule="auto"/>
        <w:ind w:firstLine="480" w:firstLineChars="200"/>
        <w:rPr>
          <w:rFonts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p>
    <w:p>
      <w:pPr>
        <w:spacing w:line="360" w:lineRule="auto"/>
        <w:ind w:firstLine="480" w:firstLineChars="200"/>
        <w:rPr>
          <w:rFonts w:ascii="宋体" w:hAnsi="宋体" w:cs="宋体"/>
          <w:sz w:val="24"/>
          <w:u w:val="single"/>
        </w:rPr>
      </w:pPr>
      <w:r>
        <w:rPr>
          <w:rFonts w:hint="eastAsia" w:ascii="宋体" w:hAnsi="宋体" w:cs="宋体"/>
          <w:sz w:val="24"/>
        </w:rPr>
        <w:t>日     期：</w:t>
      </w:r>
      <w:r>
        <w:rPr>
          <w:rFonts w:hint="eastAsia" w:ascii="宋体" w:hAnsi="宋体" w:cs="宋体"/>
          <w:sz w:val="24"/>
          <w:u w:val="single"/>
        </w:rPr>
        <w:t xml:space="preserve">                                               </w:t>
      </w:r>
    </w:p>
    <w:p>
      <w:pPr>
        <w:spacing w:line="360" w:lineRule="auto"/>
        <w:ind w:firstLine="480" w:firstLineChars="200"/>
        <w:rPr>
          <w:rFonts w:hAnsi="宋体"/>
          <w:sz w:val="24"/>
          <w:u w:val="single"/>
        </w:rPr>
      </w:pPr>
    </w:p>
    <w:p>
      <w:pPr>
        <w:widowControl/>
        <w:spacing w:line="480" w:lineRule="auto"/>
        <w:jc w:val="left"/>
        <w:rPr>
          <w:rFonts w:hAnsi="宋体"/>
          <w:sz w:val="24"/>
        </w:rPr>
      </w:pPr>
      <w:r>
        <w:rPr>
          <w:rFonts w:hint="eastAsia" w:hAnsi="宋体"/>
          <w:sz w:val="24"/>
        </w:rPr>
        <w:t>注：从业人员、营业收入、资产总额填报上一年度数据，无上一年度数据的新成立企业可不填报。</w:t>
      </w:r>
    </w:p>
    <w:p>
      <w:pPr>
        <w:pStyle w:val="9"/>
        <w:rPr>
          <w:color w:val="auto"/>
        </w:rPr>
      </w:pPr>
    </w:p>
    <w:p>
      <w:pPr>
        <w:pStyle w:val="4"/>
        <w:spacing w:before="156" w:after="156"/>
        <w:rPr>
          <w:rFonts w:ascii="宋体" w:hAnsi="宋体" w:cs="宋体"/>
        </w:rPr>
      </w:pPr>
      <w:r>
        <w:rPr>
          <w:rFonts w:hint="eastAsia" w:ascii="宋体" w:hAnsi="宋体" w:cs="宋体"/>
        </w:rPr>
        <w:t>残疾人福利性单位声明函</w:t>
      </w:r>
    </w:p>
    <w:p>
      <w:pPr>
        <w:spacing w:line="360" w:lineRule="auto"/>
        <w:ind w:firstLine="504" w:firstLineChars="200"/>
        <w:rPr>
          <w:rFonts w:ascii="宋体" w:hAnsi="宋体" w:cs="宋体"/>
          <w:spacing w:val="6"/>
          <w:sz w:val="24"/>
        </w:rPr>
      </w:pPr>
    </w:p>
    <w:p>
      <w:pPr>
        <w:spacing w:line="360" w:lineRule="auto"/>
        <w:ind w:firstLine="504" w:firstLineChars="200"/>
        <w:rPr>
          <w:rFonts w:ascii="宋体" w:hAnsi="宋体" w:cs="宋体"/>
          <w:spacing w:val="6"/>
          <w:sz w:val="24"/>
        </w:rPr>
      </w:pPr>
      <w:r>
        <w:rPr>
          <w:rFonts w:hint="eastAsia" w:ascii="宋体" w:hAnsi="宋体" w:cs="宋体"/>
          <w:spacing w:val="6"/>
          <w:sz w:val="24"/>
        </w:rPr>
        <w:t>本单位郑重声明，根据《财政部 民政部 中国残疾人联合会关于促进残疾人就业政府采购政策的通知》（财库</w:t>
      </w:r>
      <w:r>
        <w:rPr>
          <w:rFonts w:hint="eastAsia" w:ascii="宋体" w:hAnsi="宋体" w:cs="宋体"/>
          <w:sz w:val="24"/>
        </w:rPr>
        <w:t>〔2017〕 141</w:t>
      </w:r>
      <w:r>
        <w:rPr>
          <w:rFonts w:hint="eastAsia" w:ascii="宋体" w:hAnsi="宋体" w:cs="宋体"/>
          <w:spacing w:val="6"/>
          <w:sz w:val="24"/>
        </w:rPr>
        <w:t>号）的规定，本单位为符合条件的残疾人福利性单位，且本单位参加</w:t>
      </w:r>
      <w:r>
        <w:rPr>
          <w:rFonts w:hint="eastAsia" w:ascii="宋体" w:hAnsi="宋体" w:cs="宋体"/>
          <w:spacing w:val="6"/>
          <w:sz w:val="24"/>
          <w:u w:val="single"/>
        </w:rPr>
        <w:t xml:space="preserve">          </w:t>
      </w:r>
      <w:r>
        <w:rPr>
          <w:rFonts w:hint="eastAsia" w:ascii="宋体" w:hAnsi="宋体" w:cs="宋体"/>
          <w:spacing w:val="6"/>
          <w:sz w:val="24"/>
        </w:rPr>
        <w:t>单位的</w:t>
      </w:r>
      <w:r>
        <w:rPr>
          <w:rFonts w:hint="eastAsia" w:ascii="宋体" w:hAnsi="宋体" w:cs="宋体"/>
          <w:spacing w:val="6"/>
          <w:sz w:val="24"/>
          <w:u w:val="single"/>
        </w:rPr>
        <w:t xml:space="preserve">        </w:t>
      </w:r>
      <w:r>
        <w:rPr>
          <w:rFonts w:hint="eastAsia" w:ascii="宋体" w:hAnsi="宋体" w:cs="宋体"/>
          <w:spacing w:val="6"/>
          <w:sz w:val="24"/>
        </w:rPr>
        <w:t>项目</w:t>
      </w: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包</w:t>
      </w:r>
      <w:r>
        <w:rPr>
          <w:rFonts w:hint="eastAsia" w:ascii="宋体" w:hAnsi="宋体" w:cs="宋体"/>
          <w:spacing w:val="6"/>
          <w:sz w:val="24"/>
        </w:rPr>
        <w:t>采购活动提供本单位制造的货物（由本单位承担工程/提供服务），或者提供其他残疾人福利性单位制造的货物（不包括使用非残疾人福利性单位注册商标的货物）。</w:t>
      </w:r>
    </w:p>
    <w:p>
      <w:pPr>
        <w:spacing w:line="360" w:lineRule="auto"/>
        <w:ind w:firstLine="504" w:firstLineChars="200"/>
        <w:rPr>
          <w:rFonts w:ascii="宋体" w:hAnsi="宋体" w:cs="宋体"/>
          <w:spacing w:val="6"/>
          <w:sz w:val="24"/>
        </w:rPr>
      </w:pPr>
      <w:r>
        <w:rPr>
          <w:rFonts w:hint="eastAsia" w:ascii="宋体" w:hAnsi="宋体" w:cs="宋体"/>
          <w:spacing w:val="6"/>
          <w:sz w:val="24"/>
        </w:rPr>
        <w:t>本单位对上述声明的真实性负责。如有虚假，将依法承担相应责任。</w:t>
      </w:r>
    </w:p>
    <w:p>
      <w:pPr>
        <w:spacing w:line="588" w:lineRule="exact"/>
        <w:ind w:firstLine="624" w:firstLineChars="200"/>
        <w:rPr>
          <w:rFonts w:ascii="宋体" w:hAnsi="宋体" w:cs="宋体"/>
          <w:spacing w:val="6"/>
          <w:sz w:val="30"/>
          <w:szCs w:val="30"/>
        </w:rPr>
      </w:pPr>
    </w:p>
    <w:p>
      <w:pPr>
        <w:spacing w:line="588" w:lineRule="exact"/>
        <w:ind w:firstLine="624" w:firstLineChars="200"/>
        <w:rPr>
          <w:rFonts w:ascii="宋体" w:hAnsi="宋体" w:cs="宋体"/>
          <w:spacing w:val="6"/>
          <w:sz w:val="30"/>
          <w:szCs w:val="30"/>
        </w:rPr>
      </w:pPr>
    </w:p>
    <w:p>
      <w:pPr>
        <w:widowControl/>
        <w:spacing w:line="400" w:lineRule="exact"/>
        <w:jc w:val="left"/>
        <w:rPr>
          <w:rFonts w:ascii="宋体" w:hAnsi="宋体" w:cs="宋体"/>
          <w:kern w:val="0"/>
          <w:sz w:val="24"/>
        </w:rPr>
      </w:pPr>
      <w:r>
        <w:rPr>
          <w:rFonts w:hint="eastAsia" w:ascii="宋体" w:hAnsi="宋体" w:cs="宋体"/>
          <w:spacing w:val="6"/>
          <w:sz w:val="30"/>
          <w:szCs w:val="30"/>
        </w:rPr>
        <w:t xml:space="preserve">             </w:t>
      </w:r>
    </w:p>
    <w:p>
      <w:pPr>
        <w:spacing w:line="360" w:lineRule="auto"/>
        <w:ind w:firstLine="480" w:firstLineChars="200"/>
        <w:rPr>
          <w:rFonts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p>
    <w:p>
      <w:pPr>
        <w:spacing w:line="360" w:lineRule="auto"/>
        <w:ind w:firstLine="480" w:firstLineChars="200"/>
        <w:rPr>
          <w:rFonts w:ascii="宋体" w:hAnsi="宋体" w:cs="宋体"/>
          <w:sz w:val="24"/>
          <w:u w:val="single"/>
        </w:rPr>
      </w:pPr>
      <w:r>
        <w:rPr>
          <w:rFonts w:hint="eastAsia" w:ascii="宋体" w:hAnsi="宋体" w:cs="宋体"/>
          <w:sz w:val="24"/>
        </w:rPr>
        <w:t>日     期：</w:t>
      </w:r>
      <w:r>
        <w:rPr>
          <w:rFonts w:hint="eastAsia" w:ascii="宋体" w:hAnsi="宋体" w:cs="宋体"/>
          <w:sz w:val="24"/>
          <w:u w:val="single"/>
        </w:rPr>
        <w:t xml:space="preserve">                                            </w:t>
      </w:r>
    </w:p>
    <w:p>
      <w:pPr>
        <w:rPr>
          <w:rFonts w:ascii="宋体" w:hAnsi="宋体" w:cs="宋体"/>
        </w:rPr>
      </w:pPr>
    </w:p>
    <w:p>
      <w:pPr>
        <w:rPr>
          <w:rFonts w:ascii="宋体" w:hAnsi="宋体" w:cs="宋体"/>
          <w:sz w:val="32"/>
          <w:szCs w:val="32"/>
        </w:rPr>
      </w:pPr>
    </w:p>
    <w:p>
      <w:pPr>
        <w:rPr>
          <w:rFonts w:ascii="宋体" w:hAnsi="宋体" w:cs="宋体"/>
          <w:sz w:val="32"/>
          <w:szCs w:val="32"/>
        </w:rPr>
      </w:pPr>
    </w:p>
    <w:p>
      <w:pPr>
        <w:pStyle w:val="9"/>
        <w:rPr>
          <w:color w:val="auto"/>
        </w:rPr>
      </w:pPr>
    </w:p>
    <w:p/>
    <w:p>
      <w:pPr>
        <w:pStyle w:val="4"/>
        <w:spacing w:before="156" w:after="156"/>
      </w:pPr>
      <w:r>
        <w:rPr>
          <w:rFonts w:hint="eastAsia"/>
        </w:rPr>
        <w:br w:type="page"/>
      </w:r>
      <w:bookmarkStart w:id="139" w:name="_Toc22196_WPSOffice_Level1"/>
      <w:r>
        <w:rPr>
          <w:rFonts w:hint="eastAsia" w:ascii="宋体" w:hAnsi="宋体" w:cs="宋体"/>
          <w:sz w:val="28"/>
        </w:rPr>
        <w:t>第四章  投标人和投标产品的资格、资质性及其他类似效力要求</w:t>
      </w:r>
      <w:bookmarkEnd w:id="139"/>
    </w:p>
    <w:p>
      <w:pPr>
        <w:pStyle w:val="5"/>
        <w:spacing w:line="360" w:lineRule="auto"/>
        <w:ind w:left="420"/>
        <w:rPr>
          <w:rFonts w:ascii="宋体" w:hAnsi="宋体" w:cs="宋体"/>
        </w:rPr>
      </w:pPr>
      <w:r>
        <w:rPr>
          <w:rFonts w:hint="eastAsia" w:ascii="宋体" w:hAnsi="宋体" w:cs="宋体"/>
        </w:rPr>
        <w:t>一、投标人资格、资质性及其他类似效力要求</w:t>
      </w:r>
    </w:p>
    <w:p>
      <w:pPr>
        <w:tabs>
          <w:tab w:val="left" w:pos="7665"/>
        </w:tabs>
        <w:spacing w:line="360" w:lineRule="auto"/>
        <w:ind w:left="400"/>
        <w:rPr>
          <w:rFonts w:ascii="宋体" w:hAnsi="宋体"/>
          <w:sz w:val="24"/>
        </w:rPr>
      </w:pPr>
      <w:r>
        <w:rPr>
          <w:rFonts w:hint="eastAsia" w:ascii="宋体" w:hAnsi="宋体"/>
          <w:sz w:val="24"/>
        </w:rPr>
        <w:t>（一）具备规定的以下条件：</w:t>
      </w:r>
    </w:p>
    <w:p>
      <w:pPr>
        <w:pStyle w:val="74"/>
        <w:numPr>
          <w:ilvl w:val="255"/>
          <w:numId w:val="0"/>
        </w:numPr>
        <w:spacing w:after="0" w:line="240" w:lineRule="auto"/>
        <w:ind w:right="0" w:firstLine="480" w:firstLineChars="200"/>
        <w:rPr>
          <w:color w:val="auto"/>
          <w:sz w:val="24"/>
        </w:rPr>
      </w:pPr>
      <w:r>
        <w:rPr>
          <w:rFonts w:hint="eastAsia"/>
          <w:color w:val="auto"/>
          <w:sz w:val="24"/>
        </w:rPr>
        <w:t>1、具有独立承担民事责任的能力；</w:t>
      </w:r>
    </w:p>
    <w:p>
      <w:pPr>
        <w:numPr>
          <w:ilvl w:val="255"/>
          <w:numId w:val="0"/>
        </w:numPr>
        <w:tabs>
          <w:tab w:val="left" w:pos="7665"/>
        </w:tabs>
        <w:spacing w:line="360" w:lineRule="auto"/>
        <w:ind w:left="420"/>
        <w:rPr>
          <w:rFonts w:ascii="宋体" w:hAnsi="宋体" w:cs="宋体"/>
          <w:sz w:val="24"/>
        </w:rPr>
      </w:pPr>
      <w:r>
        <w:rPr>
          <w:rFonts w:hint="eastAsia" w:ascii="宋体" w:hAnsi="宋体" w:cs="宋体"/>
          <w:sz w:val="24"/>
        </w:rPr>
        <w:t>2、具有良好的商业信誉和健全的财务会计制度；</w:t>
      </w:r>
    </w:p>
    <w:p>
      <w:pPr>
        <w:numPr>
          <w:ilvl w:val="255"/>
          <w:numId w:val="0"/>
        </w:numPr>
        <w:tabs>
          <w:tab w:val="left" w:pos="7665"/>
        </w:tabs>
        <w:spacing w:line="360" w:lineRule="auto"/>
        <w:ind w:left="420"/>
        <w:rPr>
          <w:rFonts w:ascii="宋体" w:hAnsi="宋体" w:cs="宋体"/>
          <w:sz w:val="24"/>
        </w:rPr>
      </w:pPr>
      <w:r>
        <w:rPr>
          <w:rFonts w:hint="eastAsia" w:ascii="宋体" w:hAnsi="宋体" w:cs="宋体"/>
          <w:sz w:val="24"/>
        </w:rPr>
        <w:t>3、具有履行合同所必须的设备和专业技术能力；</w:t>
      </w:r>
    </w:p>
    <w:p>
      <w:pPr>
        <w:numPr>
          <w:ilvl w:val="255"/>
          <w:numId w:val="0"/>
        </w:numPr>
        <w:tabs>
          <w:tab w:val="left" w:pos="7665"/>
        </w:tabs>
        <w:spacing w:line="360" w:lineRule="auto"/>
        <w:ind w:left="420"/>
        <w:rPr>
          <w:rFonts w:ascii="宋体" w:hAnsi="宋体" w:cs="宋体"/>
          <w:sz w:val="24"/>
        </w:rPr>
      </w:pPr>
      <w:r>
        <w:rPr>
          <w:rFonts w:hint="eastAsia" w:ascii="宋体" w:hAnsi="宋体" w:cs="宋体"/>
          <w:sz w:val="24"/>
        </w:rPr>
        <w:t>4、具有依法缴纳税收和社会保障资金的良好记录；</w:t>
      </w:r>
    </w:p>
    <w:p>
      <w:pPr>
        <w:numPr>
          <w:ilvl w:val="255"/>
          <w:numId w:val="0"/>
        </w:numPr>
        <w:tabs>
          <w:tab w:val="left" w:pos="7665"/>
        </w:tabs>
        <w:spacing w:line="360" w:lineRule="auto"/>
        <w:ind w:left="420"/>
        <w:rPr>
          <w:rFonts w:ascii="宋体" w:hAnsi="宋体" w:cs="宋体"/>
          <w:sz w:val="24"/>
        </w:rPr>
      </w:pPr>
      <w:r>
        <w:rPr>
          <w:rFonts w:hint="eastAsia" w:ascii="宋体" w:hAnsi="宋体" w:cs="宋体"/>
          <w:sz w:val="24"/>
        </w:rPr>
        <w:t>5、参加本次政府采购活动前三年内，在经营活动中没有重大违法记录。</w:t>
      </w:r>
    </w:p>
    <w:p>
      <w:pPr>
        <w:tabs>
          <w:tab w:val="left" w:pos="7665"/>
        </w:tabs>
        <w:spacing w:line="360" w:lineRule="auto"/>
        <w:ind w:left="400"/>
        <w:rPr>
          <w:rFonts w:ascii="宋体" w:hAnsi="宋体"/>
          <w:sz w:val="24"/>
        </w:rPr>
      </w:pPr>
      <w:r>
        <w:rPr>
          <w:rFonts w:hint="eastAsia" w:ascii="宋体" w:hAnsi="宋体"/>
          <w:sz w:val="24"/>
        </w:rPr>
        <w:t>（二）法律、行政法规规定的其他条件：无。</w:t>
      </w:r>
    </w:p>
    <w:p>
      <w:pPr>
        <w:tabs>
          <w:tab w:val="left" w:pos="7665"/>
        </w:tabs>
        <w:spacing w:line="360" w:lineRule="auto"/>
        <w:ind w:left="400"/>
        <w:rPr>
          <w:rFonts w:ascii="宋体" w:hAnsi="宋体"/>
          <w:sz w:val="24"/>
        </w:rPr>
      </w:pPr>
      <w:r>
        <w:rPr>
          <w:rFonts w:hint="eastAsia" w:ascii="宋体" w:hAnsi="宋体"/>
          <w:sz w:val="24"/>
        </w:rPr>
        <w:t>（三）根据采购项目提出的特殊条件：</w:t>
      </w:r>
    </w:p>
    <w:p>
      <w:pPr>
        <w:numPr>
          <w:ilvl w:val="0"/>
          <w:numId w:val="34"/>
        </w:numPr>
        <w:tabs>
          <w:tab w:val="left" w:pos="7665"/>
        </w:tabs>
        <w:spacing w:line="360" w:lineRule="auto"/>
        <w:rPr>
          <w:rFonts w:ascii="宋体" w:hAnsi="宋体" w:cs="宋体"/>
          <w:sz w:val="24"/>
        </w:rPr>
      </w:pPr>
      <w:r>
        <w:rPr>
          <w:rFonts w:hint="eastAsia" w:ascii="宋体" w:hAnsi="宋体" w:cs="宋体"/>
          <w:sz w:val="24"/>
        </w:rPr>
        <w:t>投标人及其现任法定代表人（非法人机构则为主要负责人）不得具有行贿犯罪记录；</w:t>
      </w:r>
    </w:p>
    <w:p>
      <w:pPr>
        <w:numPr>
          <w:ilvl w:val="0"/>
          <w:numId w:val="34"/>
        </w:numPr>
        <w:tabs>
          <w:tab w:val="left" w:pos="7665"/>
        </w:tabs>
        <w:spacing w:line="360" w:lineRule="auto"/>
        <w:rPr>
          <w:rFonts w:ascii="宋体" w:hAnsi="宋体" w:cs="宋体"/>
          <w:sz w:val="24"/>
          <w:szCs w:val="28"/>
        </w:rPr>
      </w:pPr>
      <w:r>
        <w:rPr>
          <w:rFonts w:hint="eastAsia" w:ascii="宋体" w:hAnsi="宋体" w:cs="宋体"/>
          <w:sz w:val="24"/>
        </w:rPr>
        <w:t>投标人截止至本项目</w:t>
      </w:r>
      <w:r>
        <w:rPr>
          <w:rFonts w:hint="eastAsia" w:ascii="宋体" w:hAnsi="宋体" w:cs="宋体"/>
          <w:sz w:val="24"/>
          <w:szCs w:val="28"/>
        </w:rPr>
        <w:t>投标截止时间</w:t>
      </w:r>
      <w:r>
        <w:rPr>
          <w:rFonts w:hint="eastAsia" w:ascii="宋体" w:hAnsi="宋体" w:cs="宋体"/>
          <w:sz w:val="24"/>
        </w:rPr>
        <w:t>未被列入“信用中国”网站(www.creditchina.gov.cn)、“中国政府采购网”网站(www.ccgp.gov.cn）等信用查询网站的失信被执行人、税收违法黑名单、政府采购严重违法失信行为记录名单。</w:t>
      </w:r>
    </w:p>
    <w:p>
      <w:pPr>
        <w:numPr>
          <w:ilvl w:val="0"/>
          <w:numId w:val="34"/>
        </w:numPr>
        <w:tabs>
          <w:tab w:val="left" w:pos="7665"/>
        </w:tabs>
        <w:spacing w:line="360" w:lineRule="auto"/>
      </w:pPr>
      <w:r>
        <w:rPr>
          <w:rFonts w:hint="eastAsia" w:ascii="宋体" w:hAnsi="宋体" w:cs="宋体"/>
          <w:sz w:val="24"/>
        </w:rPr>
        <w:t>本项目</w:t>
      </w:r>
      <w:r>
        <w:rPr>
          <w:rFonts w:hint="eastAsia" w:ascii="宋体" w:hAnsi="宋体" w:cs="宋体"/>
          <w:sz w:val="24"/>
          <w:szCs w:val="28"/>
        </w:rPr>
        <w:t>第2、3、4、6、7包</w:t>
      </w:r>
      <w:r>
        <w:rPr>
          <w:rFonts w:hint="eastAsia" w:ascii="宋体" w:hAnsi="宋体" w:cs="宋体"/>
          <w:sz w:val="24"/>
        </w:rPr>
        <w:t>段为专门面向中小企业采购，投标人所投产品制造厂商须为《政府采购促进中小企业发展管理办法》（财库[2020]46号）中所述中小企业或《关于政府采购支持监狱企业发展有关问题的通知》（财库[2014]68 号）中所述监狱企业或《关于促进残疾人就业政府采购政策的通知》（财库〔2017〕141 号） 中所述残疾人福利性单位。</w:t>
      </w:r>
    </w:p>
    <w:p>
      <w:pPr>
        <w:numPr>
          <w:ilvl w:val="0"/>
          <w:numId w:val="34"/>
        </w:numPr>
        <w:tabs>
          <w:tab w:val="left" w:pos="7665"/>
        </w:tabs>
        <w:spacing w:line="360" w:lineRule="auto"/>
        <w:rPr>
          <w:rFonts w:ascii="宋体" w:hAnsi="宋体" w:cs="宋体"/>
          <w:sz w:val="24"/>
          <w:szCs w:val="28"/>
        </w:rPr>
      </w:pPr>
      <w:r>
        <w:rPr>
          <w:rFonts w:hint="eastAsia" w:ascii="宋体" w:hAnsi="宋体" w:cs="宋体"/>
          <w:sz w:val="24"/>
        </w:rPr>
        <w:t>本项目不接受联合体投标。</w:t>
      </w:r>
    </w:p>
    <w:p>
      <w:pPr>
        <w:tabs>
          <w:tab w:val="left" w:pos="7665"/>
        </w:tabs>
        <w:spacing w:line="360" w:lineRule="auto"/>
        <w:rPr>
          <w:rFonts w:ascii="宋体" w:hAnsi="宋体" w:cs="宋体"/>
        </w:rPr>
      </w:pPr>
    </w:p>
    <w:p>
      <w:pPr>
        <w:spacing w:line="420" w:lineRule="exact"/>
        <w:rPr>
          <w:rFonts w:ascii="宋体" w:hAnsi="宋体" w:cs="宋体"/>
          <w:b/>
          <w:sz w:val="24"/>
        </w:rPr>
      </w:pPr>
      <w:r>
        <w:rPr>
          <w:rFonts w:hint="eastAsia" w:ascii="宋体" w:hAnsi="宋体" w:cs="宋体"/>
          <w:b/>
          <w:sz w:val="24"/>
        </w:rPr>
        <w:t>注：本项目确定供应商重大违法记录中较大数额罚款的金额标准：重大违法记录中的较大数额罚款的具体金额标准为200万元以上的罚款，法律、行政法规以及国务院有关部门明确规定相关领域“较大数额罚款”标准高于200万元的，从其规定。</w:t>
      </w:r>
    </w:p>
    <w:p>
      <w:pPr>
        <w:pStyle w:val="3"/>
        <w:rPr>
          <w:rFonts w:ascii="宋体" w:hAnsi="宋体" w:cs="宋体"/>
        </w:rPr>
      </w:pPr>
      <w:r>
        <w:rPr>
          <w:rFonts w:hint="eastAsia" w:ascii="宋体" w:hAnsi="宋体" w:cs="宋体"/>
        </w:rPr>
        <w:br w:type="page"/>
      </w:r>
      <w:bookmarkStart w:id="140" w:name="_Toc25209_WPSOffice_Level1"/>
      <w:r>
        <w:rPr>
          <w:rFonts w:hint="eastAsia" w:ascii="宋体" w:hAnsi="宋体" w:cs="宋体"/>
        </w:rPr>
        <w:t>第五章  投标人应当提供的资格、资质性及其他类似效力要求的相关证明材料</w:t>
      </w:r>
      <w:bookmarkEnd w:id="140"/>
    </w:p>
    <w:p>
      <w:pPr>
        <w:pStyle w:val="5"/>
        <w:ind w:left="420"/>
        <w:rPr>
          <w:rFonts w:ascii="宋体" w:hAnsi="宋体" w:cs="宋体"/>
        </w:rPr>
      </w:pPr>
      <w:bookmarkStart w:id="141" w:name="_Toc497293459"/>
      <w:r>
        <w:rPr>
          <w:rFonts w:hint="eastAsia" w:ascii="宋体" w:hAnsi="宋体" w:cs="宋体"/>
        </w:rPr>
        <w:t>一、应当提供的投标人资格、资质性及其他类似效力要求的相关证明材料</w:t>
      </w:r>
      <w:bookmarkEnd w:id="141"/>
    </w:p>
    <w:p>
      <w:pPr>
        <w:numPr>
          <w:ilvl w:val="0"/>
          <w:numId w:val="35"/>
        </w:numPr>
        <w:spacing w:line="420" w:lineRule="exact"/>
        <w:ind w:left="420" w:firstLine="0"/>
        <w:rPr>
          <w:rFonts w:ascii="宋体" w:hAnsi="宋体" w:cs="宋体"/>
          <w:sz w:val="24"/>
        </w:rPr>
      </w:pPr>
      <w:r>
        <w:rPr>
          <w:rFonts w:hint="eastAsia" w:ascii="宋体" w:hAnsi="宋体" w:cs="宋体"/>
          <w:sz w:val="24"/>
        </w:rPr>
        <w:t>法人或其他组织参加投标的提供其已“三证合一”的营业执照副本复印件或法人证书副本复印件；自然人参加投标的提供其自然人身份证明复印件。</w:t>
      </w:r>
    </w:p>
    <w:p>
      <w:pPr>
        <w:spacing w:line="420" w:lineRule="exact"/>
        <w:ind w:left="420"/>
        <w:rPr>
          <w:rFonts w:ascii="宋体" w:hAnsi="宋体" w:cs="宋体"/>
          <w:b/>
          <w:sz w:val="24"/>
        </w:rPr>
      </w:pPr>
      <w:r>
        <w:rPr>
          <w:rFonts w:hint="eastAsia" w:ascii="宋体" w:hAnsi="宋体" w:cs="宋体"/>
          <w:b/>
          <w:sz w:val="24"/>
        </w:rPr>
        <w:t>注：①在有效期内；②能显示具有独立承担民事责任的能力。</w:t>
      </w:r>
    </w:p>
    <w:p>
      <w:pPr>
        <w:numPr>
          <w:ilvl w:val="0"/>
          <w:numId w:val="35"/>
        </w:numPr>
        <w:spacing w:line="420" w:lineRule="exact"/>
        <w:ind w:left="420" w:firstLine="0"/>
        <w:rPr>
          <w:rFonts w:ascii="宋体" w:hAnsi="宋体" w:cs="宋体"/>
          <w:sz w:val="24"/>
        </w:rPr>
      </w:pPr>
      <w:r>
        <w:rPr>
          <w:rFonts w:hint="eastAsia" w:ascii="宋体" w:hAnsi="宋体" w:cs="宋体"/>
          <w:sz w:val="24"/>
        </w:rPr>
        <w:t>法人参加投标的提供其2022或2023年财务报表复印件或截止投标日期前3个月内其开户银行出具的资信证明复印件；其他组织或自然人投标的提供截止投标截止时间前3个月内其开户银行出具的资信证明复印件。</w:t>
      </w:r>
    </w:p>
    <w:p>
      <w:pPr>
        <w:spacing w:line="420" w:lineRule="exact"/>
        <w:ind w:left="420"/>
      </w:pPr>
      <w:r>
        <w:rPr>
          <w:rFonts w:hint="eastAsia" w:ascii="宋体" w:hAnsi="宋体" w:cs="宋体"/>
          <w:b/>
          <w:bCs/>
          <w:sz w:val="24"/>
        </w:rPr>
        <w:t>注：供应商提供财务报表的，至少包括资产负债表、利润表，事业单位参加投标的其财务报表可只包含资产负债表。截止至响应文件递交截止时间成立不足1年的供应商可提供具有健全的财务会计制度的承诺函原件。</w:t>
      </w:r>
    </w:p>
    <w:p>
      <w:pPr>
        <w:numPr>
          <w:ilvl w:val="0"/>
          <w:numId w:val="35"/>
        </w:numPr>
        <w:spacing w:line="420" w:lineRule="exact"/>
        <w:ind w:left="420" w:firstLine="0"/>
        <w:rPr>
          <w:rFonts w:ascii="宋体" w:hAnsi="宋体" w:cs="宋体"/>
          <w:sz w:val="24"/>
        </w:rPr>
      </w:pPr>
      <w:r>
        <w:rPr>
          <w:rFonts w:hint="eastAsia" w:ascii="宋体" w:hAnsi="宋体" w:cs="宋体"/>
          <w:sz w:val="24"/>
        </w:rPr>
        <w:t>供应商具有良好商业信誉的承诺函原件。</w:t>
      </w:r>
    </w:p>
    <w:p>
      <w:pPr>
        <w:spacing w:line="420" w:lineRule="exact"/>
        <w:ind w:left="420"/>
        <w:rPr>
          <w:rFonts w:ascii="宋体" w:hAnsi="宋体" w:cs="宋体"/>
          <w:sz w:val="24"/>
        </w:rPr>
      </w:pPr>
      <w:r>
        <w:rPr>
          <w:rFonts w:hint="eastAsia" w:ascii="宋体" w:hAnsi="宋体" w:cs="宋体"/>
          <w:b/>
          <w:sz w:val="24"/>
        </w:rPr>
        <w:t>注：①经供应商法定代表人（非法人机构则为负责人，自然人则为本人）或响应代表签字或加盖个人名章；②加盖供应商公章（自然人则为本人或响应代表签字）。</w:t>
      </w:r>
    </w:p>
    <w:p>
      <w:pPr>
        <w:numPr>
          <w:ilvl w:val="0"/>
          <w:numId w:val="35"/>
        </w:numPr>
        <w:spacing w:line="420" w:lineRule="exact"/>
        <w:ind w:left="420" w:firstLine="0"/>
        <w:rPr>
          <w:rFonts w:ascii="宋体" w:hAnsi="宋体" w:cs="宋体"/>
          <w:sz w:val="24"/>
        </w:rPr>
      </w:pPr>
      <w:r>
        <w:rPr>
          <w:rFonts w:hint="eastAsia" w:ascii="宋体" w:hAnsi="宋体" w:cs="宋体"/>
          <w:sz w:val="24"/>
        </w:rPr>
        <w:t>供应商具有依法缴纳税收和社会保障资金的良好记录的承诺函原件。</w:t>
      </w:r>
    </w:p>
    <w:p>
      <w:pPr>
        <w:spacing w:line="420" w:lineRule="exact"/>
        <w:ind w:left="420"/>
        <w:rPr>
          <w:rFonts w:ascii="宋体" w:hAnsi="宋体" w:cs="宋体"/>
          <w:sz w:val="24"/>
        </w:rPr>
      </w:pPr>
      <w:r>
        <w:rPr>
          <w:rFonts w:hint="eastAsia" w:ascii="宋体" w:hAnsi="宋体" w:cs="宋体"/>
          <w:sz w:val="24"/>
        </w:rPr>
        <w:t>注：</w:t>
      </w:r>
      <w:r>
        <w:rPr>
          <w:rFonts w:hint="eastAsia" w:ascii="宋体" w:hAnsi="宋体" w:cs="宋体"/>
          <w:b/>
          <w:sz w:val="24"/>
        </w:rPr>
        <w:t>①经供应商法定代表人（非法人机构则为负责人，自然人则为本人）或响应代表签字或加盖个人名章；②加盖供应商公章（自然人则为本人或响应代表签字）。</w:t>
      </w:r>
    </w:p>
    <w:p>
      <w:pPr>
        <w:numPr>
          <w:ilvl w:val="0"/>
          <w:numId w:val="35"/>
        </w:numPr>
        <w:spacing w:line="420" w:lineRule="exact"/>
        <w:ind w:left="420" w:firstLine="0"/>
        <w:rPr>
          <w:rFonts w:ascii="宋体" w:hAnsi="宋体" w:cs="宋体"/>
          <w:sz w:val="24"/>
        </w:rPr>
      </w:pPr>
      <w:r>
        <w:rPr>
          <w:rFonts w:hint="eastAsia" w:ascii="宋体" w:hAnsi="宋体" w:cs="宋体"/>
          <w:sz w:val="24"/>
        </w:rPr>
        <w:t>供应商具有履行合同所必需的设备和专业技术能力的承诺函原件。</w:t>
      </w:r>
    </w:p>
    <w:p>
      <w:pPr>
        <w:spacing w:line="420" w:lineRule="exact"/>
        <w:ind w:left="420"/>
        <w:rPr>
          <w:rFonts w:ascii="宋体" w:hAnsi="宋体" w:cs="宋体"/>
          <w:sz w:val="24"/>
        </w:rPr>
      </w:pPr>
      <w:r>
        <w:rPr>
          <w:rFonts w:hint="eastAsia" w:ascii="宋体" w:hAnsi="宋体" w:cs="宋体"/>
          <w:b/>
          <w:sz w:val="24"/>
        </w:rPr>
        <w:t>注：①经供应商法定代表人（非法人机构则为负责人，自然人则为本人）或响应代表签字或加盖个人名章；②加盖供应商公章（自然人则为本人或响应代表签字）。</w:t>
      </w:r>
    </w:p>
    <w:p>
      <w:pPr>
        <w:numPr>
          <w:ilvl w:val="0"/>
          <w:numId w:val="35"/>
        </w:numPr>
        <w:spacing w:line="420" w:lineRule="exact"/>
        <w:ind w:left="420" w:firstLine="0"/>
        <w:rPr>
          <w:rFonts w:ascii="宋体" w:hAnsi="宋体" w:cs="宋体"/>
          <w:sz w:val="24"/>
        </w:rPr>
      </w:pPr>
      <w:r>
        <w:rPr>
          <w:rFonts w:hint="eastAsia" w:ascii="宋体" w:hAnsi="宋体" w:cs="宋体"/>
          <w:sz w:val="24"/>
        </w:rPr>
        <w:t>供应商参加本次政府采购活动前3年内在经营活动中没有重大违法记录的承诺函原件。</w:t>
      </w:r>
    </w:p>
    <w:p>
      <w:pPr>
        <w:spacing w:line="420" w:lineRule="exact"/>
        <w:ind w:left="420"/>
        <w:rPr>
          <w:rFonts w:ascii="宋体" w:hAnsi="宋体" w:cs="宋体"/>
          <w:sz w:val="24"/>
        </w:rPr>
      </w:pPr>
      <w:r>
        <w:rPr>
          <w:rFonts w:hint="eastAsia" w:ascii="宋体" w:hAnsi="宋体" w:cs="宋体"/>
          <w:b/>
          <w:sz w:val="24"/>
        </w:rPr>
        <w:t>注：①经供应商法定代表人（非法人机构则为负责人，自然人则为本人）或响应代表签字或加盖个人名章；②加盖供应商公章（自然人则为本人或响应代表签字）。</w:t>
      </w:r>
    </w:p>
    <w:p>
      <w:pPr>
        <w:numPr>
          <w:ilvl w:val="0"/>
          <w:numId w:val="35"/>
        </w:numPr>
        <w:spacing w:line="420" w:lineRule="exact"/>
        <w:ind w:left="420" w:firstLine="0"/>
        <w:rPr>
          <w:rFonts w:ascii="宋体" w:hAnsi="宋体" w:cs="宋体"/>
          <w:sz w:val="24"/>
        </w:rPr>
      </w:pPr>
      <w:r>
        <w:rPr>
          <w:rFonts w:hint="eastAsia" w:ascii="宋体" w:hAnsi="宋体" w:cs="宋体"/>
          <w:sz w:val="24"/>
          <w:szCs w:val="28"/>
        </w:rPr>
        <w:t>投标人</w:t>
      </w:r>
      <w:r>
        <w:rPr>
          <w:rFonts w:hint="eastAsia" w:ascii="宋体" w:hAnsi="宋体" w:cs="宋体"/>
          <w:sz w:val="24"/>
        </w:rPr>
        <w:t>单位及现任法定代表人（非法人机构则为主要负责人）不具有行贿犯罪纪录的承诺函原件</w:t>
      </w:r>
      <w:r>
        <w:rPr>
          <w:rFonts w:hint="eastAsia" w:ascii="宋体" w:hAnsi="宋体" w:cs="宋体"/>
          <w:sz w:val="24"/>
          <w:szCs w:val="28"/>
        </w:rPr>
        <w:t>。</w:t>
      </w:r>
    </w:p>
    <w:p>
      <w:pPr>
        <w:spacing w:line="420" w:lineRule="exact"/>
        <w:ind w:left="420"/>
        <w:rPr>
          <w:rFonts w:ascii="宋体" w:hAnsi="宋体" w:cs="宋体"/>
          <w:b/>
          <w:bCs/>
          <w:sz w:val="24"/>
        </w:rPr>
      </w:pPr>
      <w:r>
        <w:rPr>
          <w:rFonts w:hint="eastAsia" w:ascii="宋体" w:hAnsi="宋体" w:cs="宋体"/>
          <w:b/>
          <w:bCs/>
          <w:sz w:val="24"/>
          <w:szCs w:val="28"/>
        </w:rPr>
        <w:t>注：①经供应商法定代表人（非法人机构则为负责人，自然人则为本人）或响应代表签字或加盖个人名章；②加盖供应商公章（自然人则为本人或响应代表签字）。</w:t>
      </w:r>
    </w:p>
    <w:p>
      <w:pPr>
        <w:numPr>
          <w:ilvl w:val="0"/>
          <w:numId w:val="35"/>
        </w:numPr>
        <w:spacing w:line="420" w:lineRule="exact"/>
        <w:ind w:left="420" w:firstLine="0"/>
        <w:rPr>
          <w:rFonts w:ascii="宋体" w:hAnsi="宋体" w:cs="宋体"/>
          <w:sz w:val="24"/>
        </w:rPr>
      </w:pPr>
      <w:r>
        <w:rPr>
          <w:rFonts w:hint="eastAsia" w:ascii="宋体" w:hAnsi="宋体" w:cs="宋体"/>
          <w:sz w:val="24"/>
          <w:szCs w:val="28"/>
        </w:rPr>
        <w:t>投标人承诺其在截止至本项目投标截止时间未被列入“信用中国”网站(www.creditchina.gov.cn)、“中国政府采购网”网站(www.ccgp.gov.cn)中任一网站的失信被执行人名单或税收违法黑名单或政府采购严重违法失信行为记录名单的承诺函原件。</w:t>
      </w:r>
    </w:p>
    <w:p>
      <w:pPr>
        <w:numPr>
          <w:ilvl w:val="255"/>
          <w:numId w:val="0"/>
        </w:numPr>
        <w:spacing w:line="420" w:lineRule="exact"/>
        <w:ind w:left="420"/>
        <w:rPr>
          <w:rFonts w:ascii="宋体" w:hAnsi="宋体" w:cs="宋体"/>
          <w:b/>
          <w:sz w:val="24"/>
        </w:rPr>
      </w:pPr>
      <w:r>
        <w:rPr>
          <w:rFonts w:hint="eastAsia" w:ascii="宋体" w:hAnsi="宋体" w:cs="宋体"/>
          <w:b/>
          <w:sz w:val="24"/>
        </w:rPr>
        <w:t>注：①经投标人法定代表人或授权代表签字或加盖个人名章；②加盖投标人公章；③采购人或采购代理机构将于本项目投标截止时间后在‘信用中国’网站、‘中国政府采购网’网站对投标人进行信用记录查询，并将查询记录存档。凡查询到在招标文件规定的截止时间前被列入以上任一网站的失信被执行人名单或税收违法黑名单或政府采购严重违法失信行为记录名单的，视为存在不良信用记录，其投标为无效投标。</w:t>
      </w:r>
    </w:p>
    <w:p>
      <w:pPr>
        <w:numPr>
          <w:ilvl w:val="0"/>
          <w:numId w:val="35"/>
        </w:numPr>
        <w:spacing w:line="420" w:lineRule="exact"/>
        <w:ind w:left="420" w:firstLine="0"/>
        <w:rPr>
          <w:rFonts w:ascii="宋体" w:hAnsi="宋体" w:cs="宋体"/>
          <w:b/>
          <w:sz w:val="24"/>
        </w:rPr>
      </w:pPr>
      <w:r>
        <w:rPr>
          <w:rFonts w:hint="eastAsia" w:ascii="宋体" w:hAnsi="宋体" w:cs="宋体"/>
          <w:sz w:val="24"/>
          <w:szCs w:val="28"/>
        </w:rPr>
        <w:t>第2、3、4、6、7包投标人须</w:t>
      </w:r>
      <w:r>
        <w:rPr>
          <w:rFonts w:hint="eastAsia" w:ascii="宋体" w:hAnsi="宋体" w:cs="宋体"/>
          <w:sz w:val="24"/>
        </w:rPr>
        <w:t xml:space="preserve">提供（财库〔2020〕46号）文件中所述《中小企业声明函》原件或省级及以上监狱管理局、戒毒管理局（含新疆生产建设兵团）出具的属于监狱企业的证明文件复印件或（财库〔2017〕141号）文件中所述《残疾人福利性单位声明函》 原件。 </w:t>
      </w:r>
    </w:p>
    <w:p>
      <w:pPr>
        <w:spacing w:line="420" w:lineRule="exact"/>
        <w:ind w:left="420"/>
      </w:pPr>
      <w:r>
        <w:rPr>
          <w:rFonts w:hint="eastAsia" w:ascii="宋体" w:hAnsi="宋体" w:cs="宋体"/>
          <w:b/>
          <w:sz w:val="24"/>
        </w:rPr>
        <w:t xml:space="preserve">注：《中小企业声明函》或《残疾人福利性单位声明函》①须分别按照财库〔2020〕46号或财库〔2017〕141号文件中所附格式文件填写；②加盖投标人公章。 </w:t>
      </w:r>
    </w:p>
    <w:p>
      <w:pPr>
        <w:numPr>
          <w:ilvl w:val="0"/>
          <w:numId w:val="35"/>
        </w:numPr>
        <w:spacing w:line="420" w:lineRule="exact"/>
        <w:ind w:left="420" w:firstLine="0"/>
        <w:rPr>
          <w:rFonts w:ascii="宋体" w:hAnsi="宋体" w:cs="宋体"/>
          <w:sz w:val="24"/>
          <w:szCs w:val="28"/>
        </w:rPr>
      </w:pPr>
      <w:r>
        <w:rPr>
          <w:rFonts w:hint="eastAsia" w:ascii="宋体" w:hAnsi="宋体" w:cs="宋体"/>
          <w:sz w:val="24"/>
          <w:szCs w:val="28"/>
        </w:rPr>
        <w:t xml:space="preserve">非法定代表人亲自参加投标的提供法定代表人授权书原件、法定代表人及授权代表有效身份证复印件； </w:t>
      </w:r>
    </w:p>
    <w:p>
      <w:pPr>
        <w:spacing w:line="420" w:lineRule="exact"/>
        <w:ind w:left="420"/>
        <w:rPr>
          <w:rFonts w:ascii="宋体" w:hAnsi="宋体" w:cs="宋体"/>
          <w:b/>
          <w:sz w:val="24"/>
        </w:rPr>
      </w:pPr>
      <w:r>
        <w:rPr>
          <w:rFonts w:hint="eastAsia" w:ascii="宋体" w:hAnsi="宋体" w:cs="宋体"/>
          <w:b/>
          <w:sz w:val="24"/>
        </w:rPr>
        <w:t>注：①经供应商法定代表人（非法人机构则为负责人，自然人则为本人）和响应代表签字或加盖个人名章；②加盖供应商公章（自然人则为本人或响应代表签字）。</w:t>
      </w:r>
    </w:p>
    <w:p>
      <w:pPr>
        <w:numPr>
          <w:ilvl w:val="0"/>
          <w:numId w:val="35"/>
        </w:numPr>
        <w:spacing w:line="420" w:lineRule="exact"/>
        <w:ind w:left="420" w:firstLine="0"/>
        <w:rPr>
          <w:rFonts w:ascii="宋体" w:hAnsi="宋体" w:cs="宋体"/>
          <w:bCs/>
          <w:sz w:val="24"/>
        </w:rPr>
      </w:pPr>
      <w:r>
        <w:rPr>
          <w:rFonts w:hint="eastAsia"/>
          <w:sz w:val="24"/>
        </w:rPr>
        <w:t>法定代表人亲自参加投标的提供法定代表人有效身份证复印件。</w:t>
      </w:r>
    </w:p>
    <w:p>
      <w:pPr>
        <w:spacing w:line="420" w:lineRule="exact"/>
        <w:ind w:left="420"/>
        <w:rPr>
          <w:rFonts w:ascii="宋体" w:hAnsi="宋体" w:cs="宋体"/>
          <w:b/>
          <w:sz w:val="24"/>
        </w:rPr>
      </w:pPr>
    </w:p>
    <w:p>
      <w:pPr>
        <w:spacing w:line="420" w:lineRule="exact"/>
        <w:ind w:left="420"/>
        <w:rPr>
          <w:rFonts w:ascii="宋体" w:hAnsi="宋体" w:cs="宋体"/>
          <w:sz w:val="24"/>
        </w:rPr>
      </w:pPr>
    </w:p>
    <w:p>
      <w:pPr>
        <w:pStyle w:val="3"/>
        <w:rPr>
          <w:rFonts w:ascii="宋体" w:hAnsi="宋体" w:cs="宋体"/>
        </w:rPr>
      </w:pPr>
      <w:bookmarkStart w:id="142" w:name="_Toc217446093"/>
      <w:r>
        <w:rPr>
          <w:rFonts w:hint="eastAsia" w:ascii="宋体" w:hAnsi="宋体" w:cs="宋体"/>
        </w:rPr>
        <w:br w:type="page"/>
      </w:r>
      <w:bookmarkStart w:id="143" w:name="_Toc28400_WPSOffice_Level1"/>
      <w:r>
        <w:rPr>
          <w:rFonts w:hint="eastAsia" w:ascii="宋体" w:hAnsi="宋体" w:cs="宋体"/>
        </w:rPr>
        <w:t>第六章 招标项目技术、服务、政府采购合同内容条款及其他商务要求</w:t>
      </w:r>
      <w:bookmarkEnd w:id="142"/>
      <w:bookmarkEnd w:id="143"/>
    </w:p>
    <w:p>
      <w:pPr>
        <w:spacing w:line="360" w:lineRule="auto"/>
        <w:ind w:firstLine="482" w:firstLineChars="200"/>
        <w:rPr>
          <w:rFonts w:ascii="宋体" w:hAnsi="宋体" w:cs="宋体"/>
        </w:rPr>
      </w:pPr>
      <w:r>
        <w:rPr>
          <w:rFonts w:hint="eastAsia" w:ascii="宋体" w:hAnsi="宋体" w:cs="宋体"/>
          <w:b/>
          <w:bCs/>
          <w:sz w:val="24"/>
        </w:rPr>
        <w:t>一、总说明</w:t>
      </w:r>
    </w:p>
    <w:p>
      <w:pPr>
        <w:spacing w:line="360" w:lineRule="auto"/>
        <w:ind w:firstLine="480" w:firstLineChars="200"/>
        <w:rPr>
          <w:rFonts w:ascii="宋体" w:hAnsi="宋体" w:cs="宋体"/>
          <w:sz w:val="24"/>
        </w:rPr>
      </w:pPr>
      <w:r>
        <w:rPr>
          <w:rFonts w:hint="eastAsia" w:ascii="宋体" w:hAnsi="宋体" w:cs="宋体"/>
          <w:sz w:val="24"/>
        </w:rPr>
        <w:t>本章清单汇总表中标注“★”条款为实质性要求，若有负偏离将否决其投标，标注“▲”条款为重要参数，若有负偏离，按照评分规则进行扣分。针对各产品中带▲符号技术参数的认定，该参数条款明确要求提供的佐证材料的，以要求的佐证材料为准；未要求提供佐证材料的，若检测报告中有相应指标的，以检测报告中参数值为准，若检测报告中无相应指标的，以供应商的技术应答或者技术规格书、产品彩页资料为准。针对各产品中带★符号参数及未标识符合参数的认定，该参数条款明确要求提供的佐证材料的，以要求的佐证材料为准；未要求提供佐证材料的，以供应商的技术应答或者技术规格书、产品彩页资料为准。</w:t>
      </w:r>
    </w:p>
    <w:p>
      <w:pPr>
        <w:spacing w:line="360" w:lineRule="auto"/>
        <w:ind w:firstLine="480" w:firstLineChars="200"/>
        <w:rPr>
          <w:rFonts w:ascii="宋体" w:hAnsi="宋体" w:cs="宋体"/>
          <w:sz w:val="24"/>
        </w:rPr>
      </w:pPr>
      <w:r>
        <w:rPr>
          <w:rFonts w:hint="eastAsia" w:ascii="宋体" w:hAnsi="宋体" w:cs="宋体"/>
          <w:sz w:val="24"/>
        </w:rPr>
        <w:t>本章中各产品参数中若存在前后冲突，以较高者为准。本章中所列产品凡涉操作系统产品，在交货时须安装最新版本操作系统。</w:t>
      </w:r>
    </w:p>
    <w:p>
      <w:pPr>
        <w:spacing w:line="360" w:lineRule="auto"/>
        <w:ind w:firstLine="480"/>
        <w:rPr>
          <w:rFonts w:ascii="宋体" w:hAnsi="宋体" w:cs="宋体"/>
          <w:sz w:val="24"/>
        </w:rPr>
      </w:pPr>
      <w:r>
        <w:rPr>
          <w:rFonts w:hint="eastAsia" w:ascii="宋体" w:hAnsi="宋体" w:cs="宋体"/>
          <w:sz w:val="24"/>
        </w:rPr>
        <w:t xml:space="preserve">2020年8月25日，中华人民共和国应急管理部《关于消防救援领域行业标准以“XF”代号重新编号发布的公告》（2020年 第5号）明确，消防救援领域165项现行行业标准类别由公安安全行业标准调整为消防救援行业标准，代号由“GA”调整为“XF”，顺序号和内容保持不变。 </w:t>
      </w:r>
    </w:p>
    <w:p>
      <w:pPr>
        <w:spacing w:line="360" w:lineRule="auto"/>
        <w:ind w:firstLine="480"/>
        <w:rPr>
          <w:rFonts w:ascii="宋体" w:hAnsi="宋体" w:cs="宋体"/>
          <w:sz w:val="24"/>
        </w:rPr>
      </w:pPr>
      <w:r>
        <w:rPr>
          <w:rFonts w:hint="eastAsia" w:ascii="宋体" w:hAnsi="宋体" w:cs="宋体"/>
          <w:sz w:val="24"/>
        </w:rPr>
        <w:t>为了落实（2020年 第5号）要求，采购人将技术参数中的标准代号调整为XF。目前，参考资料、检测报告等相关资料，在实际投标中，使用代号GA标准仍有效。</w:t>
      </w:r>
    </w:p>
    <w:p>
      <w:pPr>
        <w:spacing w:line="360" w:lineRule="auto"/>
        <w:ind w:firstLine="482" w:firstLineChars="200"/>
        <w:rPr>
          <w:rFonts w:ascii="宋体" w:hAnsi="宋体" w:cs="宋体"/>
          <w:b/>
          <w:bCs/>
          <w:sz w:val="24"/>
        </w:rPr>
      </w:pPr>
      <w:r>
        <w:rPr>
          <w:rFonts w:hint="eastAsia" w:ascii="宋体" w:hAnsi="宋体" w:cs="宋体"/>
          <w:b/>
          <w:bCs/>
          <w:sz w:val="24"/>
        </w:rPr>
        <w:t>二、商务、服务要求（实质性要求）</w:t>
      </w:r>
    </w:p>
    <w:p>
      <w:pPr>
        <w:spacing w:line="360" w:lineRule="auto"/>
        <w:ind w:firstLine="482" w:firstLineChars="200"/>
        <w:rPr>
          <w:rFonts w:ascii="宋体" w:hAnsi="宋体" w:cs="宋体"/>
          <w:b/>
          <w:sz w:val="24"/>
        </w:rPr>
      </w:pPr>
      <w:r>
        <w:rPr>
          <w:rFonts w:hint="eastAsia" w:ascii="宋体" w:hAnsi="宋体" w:cs="宋体"/>
          <w:b/>
          <w:bCs/>
          <w:sz w:val="24"/>
        </w:rPr>
        <w:t>（一）</w:t>
      </w:r>
      <w:r>
        <w:rPr>
          <w:rFonts w:hint="eastAsia" w:ascii="宋体" w:hAnsi="宋体" w:cs="宋体"/>
          <w:b/>
          <w:sz w:val="24"/>
        </w:rPr>
        <w:t>合同支付</w:t>
      </w:r>
    </w:p>
    <w:p>
      <w:pPr>
        <w:pStyle w:val="9"/>
        <w:ind w:firstLine="480" w:firstLineChars="200"/>
        <w:rPr>
          <w:rFonts w:ascii="宋体" w:hAnsi="宋体" w:cs="宋体"/>
          <w:color w:val="auto"/>
          <w:sz w:val="24"/>
          <w:szCs w:val="28"/>
        </w:rPr>
      </w:pPr>
      <w:r>
        <w:rPr>
          <w:rFonts w:hint="eastAsia" w:ascii="宋体" w:hAnsi="宋体" w:cs="宋体"/>
          <w:color w:val="auto"/>
          <w:sz w:val="24"/>
        </w:rPr>
        <w:t>合同签订后，采购人向中标人支付合同金额的30%，完成供货并验收合格后，采购人收到中标方合法有效的发票后，向中标单位支付合同总金额的70%。</w:t>
      </w:r>
    </w:p>
    <w:p>
      <w:pPr>
        <w:numPr>
          <w:ilvl w:val="255"/>
          <w:numId w:val="0"/>
        </w:numPr>
        <w:spacing w:line="480" w:lineRule="exact"/>
        <w:ind w:firstLine="482" w:firstLineChars="200"/>
        <w:rPr>
          <w:rFonts w:ascii="宋体" w:hAnsi="宋体" w:cs="宋体"/>
          <w:sz w:val="24"/>
        </w:rPr>
      </w:pPr>
      <w:r>
        <w:rPr>
          <w:rFonts w:hint="eastAsia" w:ascii="宋体" w:hAnsi="宋体" w:cs="宋体"/>
          <w:b/>
          <w:sz w:val="24"/>
        </w:rPr>
        <w:t>（二）服务时间及地点</w:t>
      </w:r>
    </w:p>
    <w:p>
      <w:pPr>
        <w:numPr>
          <w:ilvl w:val="255"/>
          <w:numId w:val="0"/>
        </w:numPr>
        <w:spacing w:line="480" w:lineRule="exact"/>
        <w:ind w:firstLine="480" w:firstLineChars="200"/>
        <w:rPr>
          <w:rFonts w:ascii="宋体" w:hAnsi="宋体" w:cs="宋体"/>
          <w:bCs/>
          <w:sz w:val="24"/>
        </w:rPr>
      </w:pPr>
      <w:r>
        <w:rPr>
          <w:rFonts w:hint="eastAsia" w:ascii="宋体" w:hAnsi="宋体" w:cs="宋体"/>
          <w:bCs/>
          <w:sz w:val="24"/>
        </w:rPr>
        <w:t>交货时间：详见“第一章”采购清单。</w:t>
      </w:r>
    </w:p>
    <w:p>
      <w:pPr>
        <w:numPr>
          <w:ilvl w:val="255"/>
          <w:numId w:val="0"/>
        </w:numPr>
        <w:spacing w:line="480" w:lineRule="exact"/>
        <w:ind w:firstLine="480" w:firstLineChars="200"/>
        <w:rPr>
          <w:rFonts w:ascii="宋体" w:hAnsi="宋体" w:cs="宋体"/>
          <w:bCs/>
          <w:sz w:val="24"/>
        </w:rPr>
      </w:pPr>
      <w:r>
        <w:rPr>
          <w:rFonts w:hint="eastAsia" w:ascii="宋体" w:hAnsi="宋体" w:cs="宋体"/>
          <w:bCs/>
          <w:sz w:val="24"/>
        </w:rPr>
        <w:t>交货地点：德阳市采购人指定地点</w:t>
      </w:r>
    </w:p>
    <w:p>
      <w:pPr>
        <w:numPr>
          <w:ilvl w:val="255"/>
          <w:numId w:val="0"/>
        </w:numPr>
        <w:spacing w:line="480" w:lineRule="exact"/>
        <w:ind w:firstLine="482" w:firstLineChars="200"/>
        <w:rPr>
          <w:rFonts w:ascii="宋体" w:hAnsi="宋体" w:cs="宋体"/>
          <w:b/>
          <w:sz w:val="24"/>
        </w:rPr>
      </w:pPr>
      <w:r>
        <w:rPr>
          <w:rFonts w:hint="eastAsia" w:ascii="宋体" w:hAnsi="宋体" w:cs="宋体"/>
          <w:b/>
          <w:sz w:val="24"/>
        </w:rPr>
        <w:t>（三）质量要求</w:t>
      </w:r>
    </w:p>
    <w:p>
      <w:pPr>
        <w:spacing w:line="400" w:lineRule="exact"/>
        <w:ind w:firstLine="480"/>
        <w:outlineLvl w:val="1"/>
        <w:rPr>
          <w:rFonts w:cs="宋体"/>
          <w:bCs/>
          <w:sz w:val="24"/>
        </w:rPr>
      </w:pPr>
      <w:r>
        <w:rPr>
          <w:rFonts w:hint="eastAsia" w:cs="宋体"/>
          <w:bCs/>
          <w:sz w:val="24"/>
        </w:rPr>
        <w:t>1、投标人针对本项目成立专业实施团队，按招标人要求完成本项目的消防设备供货、调试、培训等工作，须符合国家和行业有关规范，做到无安全隐患，安装调试完成后经招标人验收合格后交付使用。</w:t>
      </w:r>
    </w:p>
    <w:p>
      <w:pPr>
        <w:spacing w:line="400" w:lineRule="exact"/>
        <w:ind w:firstLine="480"/>
        <w:outlineLvl w:val="1"/>
        <w:rPr>
          <w:rFonts w:cs="宋体"/>
          <w:bCs/>
          <w:sz w:val="24"/>
        </w:rPr>
      </w:pPr>
      <w:r>
        <w:rPr>
          <w:rFonts w:hint="eastAsia" w:cs="宋体"/>
          <w:bCs/>
          <w:sz w:val="24"/>
        </w:rPr>
        <w:t>2、投标人所提供的消防设备、配件必须是全新（表面无划伤、无碰撞痕迹，且权属清楚，不得侵害他人的知识产权）并符合合同约定技术要求，若本次采购内容验收时发现采购内容的参数或功能上不符合合同技术参数要求，将被视为不合格，招标人有权拒收并要求赔偿，同时追究其虚假响应的责任。</w:t>
      </w:r>
      <w:r>
        <w:rPr>
          <w:rFonts w:cs="宋体"/>
          <w:bCs/>
          <w:sz w:val="24"/>
        </w:rPr>
        <w:t xml:space="preserve"> </w:t>
      </w:r>
    </w:p>
    <w:p>
      <w:pPr>
        <w:spacing w:line="400" w:lineRule="exact"/>
        <w:ind w:firstLine="480"/>
        <w:outlineLvl w:val="1"/>
        <w:rPr>
          <w:rFonts w:cs="宋体"/>
          <w:bCs/>
          <w:sz w:val="24"/>
        </w:rPr>
      </w:pPr>
      <w:r>
        <w:rPr>
          <w:rFonts w:hint="eastAsia" w:cs="宋体"/>
          <w:bCs/>
          <w:sz w:val="24"/>
        </w:rPr>
        <w:t>3、货物必须符合或优于国家标准，以及本项目招标文件及技术协议的质量要求和技术指标与出厂标准。</w:t>
      </w:r>
    </w:p>
    <w:p>
      <w:pPr>
        <w:spacing w:line="400" w:lineRule="exact"/>
        <w:ind w:firstLine="480"/>
        <w:outlineLvl w:val="1"/>
        <w:rPr>
          <w:rFonts w:cs="宋体"/>
          <w:bCs/>
          <w:sz w:val="24"/>
        </w:rPr>
      </w:pPr>
      <w:r>
        <w:rPr>
          <w:rFonts w:hint="eastAsia" w:cs="宋体"/>
          <w:bCs/>
          <w:sz w:val="24"/>
        </w:rPr>
        <w:t>4、投标人所提供的货物开箱后，发现有任何问题（包括外观损伤），必须以招标人能接受的方式加以解决。</w:t>
      </w:r>
    </w:p>
    <w:p>
      <w:pPr>
        <w:spacing w:line="400" w:lineRule="exact"/>
        <w:ind w:firstLine="480"/>
        <w:outlineLvl w:val="1"/>
        <w:rPr>
          <w:rFonts w:cs="宋体"/>
          <w:bCs/>
          <w:sz w:val="24"/>
        </w:rPr>
      </w:pPr>
      <w:r>
        <w:rPr>
          <w:rFonts w:hint="eastAsia" w:cs="宋体"/>
          <w:bCs/>
          <w:sz w:val="24"/>
        </w:rPr>
        <w:t>5、货物质量出现问题，投标人应负责三包(包修、包换、包退)，费用由投标人负担。</w:t>
      </w:r>
    </w:p>
    <w:p>
      <w:pPr>
        <w:spacing w:line="400" w:lineRule="exact"/>
        <w:ind w:firstLine="480"/>
        <w:outlineLvl w:val="1"/>
        <w:rPr>
          <w:rFonts w:cs="宋体"/>
          <w:bCs/>
          <w:sz w:val="24"/>
        </w:rPr>
      </w:pPr>
      <w:r>
        <w:rPr>
          <w:rFonts w:hint="eastAsia" w:cs="宋体"/>
          <w:bCs/>
          <w:sz w:val="24"/>
        </w:rPr>
        <w:t>6、投标人所提供的产品均应是经检验合格的全新正品。投标人不得以次充好，产品来源渠道必须合法，同时应根据国家有关规定、厂家服务承诺及采购单位的要求做好售后服务工作。投标人所提供的产品若发现有诸如数量、型号和外观尺寸与合同不符，或产生更换或补货等情形并导致工期延误，采购人有权根据合同有关条款的规定对因此造成的直接损失向供应商索赔。</w:t>
      </w:r>
    </w:p>
    <w:p>
      <w:pPr>
        <w:numPr>
          <w:ilvl w:val="255"/>
          <w:numId w:val="0"/>
        </w:numPr>
        <w:spacing w:line="480" w:lineRule="exact"/>
        <w:ind w:firstLine="480" w:firstLineChars="200"/>
        <w:rPr>
          <w:rFonts w:ascii="宋体" w:hAnsi="宋体" w:cs="宋体"/>
          <w:bCs/>
          <w:sz w:val="24"/>
        </w:rPr>
      </w:pPr>
      <w:r>
        <w:rPr>
          <w:rFonts w:hint="eastAsia" w:ascii="宋体" w:hAnsi="宋体" w:cs="宋体"/>
          <w:bCs/>
          <w:sz w:val="24"/>
        </w:rPr>
        <w:t>7、本项目所有产品系统质保期均不低于3年。在质保期内，中标方须对所提供的智能化设备（具有操作系统或安装有嵌入式软件产品）进行升级更新，费用包含在投标报价内。</w:t>
      </w:r>
    </w:p>
    <w:p>
      <w:pPr>
        <w:numPr>
          <w:ilvl w:val="255"/>
          <w:numId w:val="0"/>
        </w:numPr>
        <w:spacing w:line="480" w:lineRule="exact"/>
        <w:ind w:firstLine="480" w:firstLineChars="200"/>
        <w:rPr>
          <w:rFonts w:ascii="宋体" w:hAnsi="宋体" w:cs="宋体"/>
          <w:bCs/>
          <w:sz w:val="24"/>
        </w:rPr>
      </w:pPr>
      <w:r>
        <w:rPr>
          <w:rFonts w:hint="eastAsia" w:ascii="宋体" w:hAnsi="宋体" w:cs="宋体"/>
          <w:bCs/>
          <w:sz w:val="24"/>
        </w:rPr>
        <w:t>8、产品质保期不少于3年。保修期内提供7x24小时维修电话服务。易损配件及零件储备期不少于5年。</w:t>
      </w:r>
    </w:p>
    <w:p>
      <w:pPr>
        <w:numPr>
          <w:ilvl w:val="255"/>
          <w:numId w:val="0"/>
        </w:numPr>
        <w:spacing w:line="480" w:lineRule="exact"/>
        <w:ind w:firstLine="482" w:firstLineChars="200"/>
        <w:rPr>
          <w:rFonts w:ascii="宋体" w:hAnsi="宋体" w:cs="宋体"/>
          <w:bCs/>
          <w:sz w:val="24"/>
        </w:rPr>
      </w:pPr>
      <w:r>
        <w:rPr>
          <w:rFonts w:hint="eastAsia" w:ascii="宋体" w:hAnsi="宋体" w:cs="宋体"/>
          <w:b/>
          <w:sz w:val="24"/>
        </w:rPr>
        <w:t>（四）</w:t>
      </w:r>
      <w:r>
        <w:rPr>
          <w:rFonts w:hint="eastAsia" w:ascii="宋体" w:hAnsi="宋体" w:cs="宋体"/>
          <w:bCs/>
          <w:sz w:val="24"/>
        </w:rPr>
        <w:t>交货时需提供由国家消防救援局“消防装备物资信息采集系统”统一发行的装备物资二维码（或RFID，进行永久标识或相对固定标识）。（提供承诺函）</w:t>
      </w:r>
    </w:p>
    <w:p>
      <w:pPr>
        <w:numPr>
          <w:ilvl w:val="255"/>
          <w:numId w:val="0"/>
        </w:numPr>
        <w:spacing w:line="480" w:lineRule="exact"/>
        <w:ind w:firstLine="482" w:firstLineChars="200"/>
        <w:rPr>
          <w:rFonts w:ascii="宋体" w:hAnsi="宋体" w:cs="宋体"/>
          <w:b/>
          <w:sz w:val="24"/>
        </w:rPr>
      </w:pPr>
      <w:r>
        <w:rPr>
          <w:rFonts w:hint="eastAsia" w:ascii="宋体" w:hAnsi="宋体" w:cs="宋体"/>
          <w:b/>
          <w:sz w:val="24"/>
        </w:rPr>
        <w:t>（五）违约责任</w:t>
      </w:r>
    </w:p>
    <w:p>
      <w:pPr>
        <w:pStyle w:val="72"/>
        <w:spacing w:line="480" w:lineRule="exact"/>
        <w:ind w:firstLine="480"/>
        <w:rPr>
          <w:rFonts w:ascii="宋体" w:hAnsi="宋体" w:cs="宋体"/>
          <w:kern w:val="0"/>
          <w:sz w:val="24"/>
        </w:rPr>
      </w:pPr>
      <w:r>
        <w:rPr>
          <w:rFonts w:hint="eastAsia" w:ascii="宋体" w:hAnsi="宋体" w:cs="宋体"/>
          <w:kern w:val="0"/>
          <w:sz w:val="24"/>
          <w:lang w:val="zh-CN"/>
        </w:rPr>
        <w:t>如因</w:t>
      </w:r>
      <w:r>
        <w:rPr>
          <w:rFonts w:hint="eastAsia" w:ascii="宋体" w:hAnsi="宋体" w:cs="宋体"/>
          <w:kern w:val="0"/>
          <w:sz w:val="24"/>
        </w:rPr>
        <w:t>投标人</w:t>
      </w:r>
      <w:r>
        <w:rPr>
          <w:rFonts w:hint="eastAsia" w:ascii="宋体" w:hAnsi="宋体" w:cs="宋体"/>
          <w:kern w:val="0"/>
          <w:sz w:val="24"/>
          <w:lang w:val="zh-CN"/>
        </w:rPr>
        <w:t>工作人员在履行职务过程中</w:t>
      </w:r>
      <w:r>
        <w:rPr>
          <w:rFonts w:hint="eastAsia" w:ascii="宋体" w:hAnsi="宋体" w:cs="宋体"/>
          <w:kern w:val="0"/>
          <w:sz w:val="24"/>
        </w:rPr>
        <w:t>的</w:t>
      </w:r>
      <w:r>
        <w:rPr>
          <w:rFonts w:hint="eastAsia" w:ascii="宋体" w:hAnsi="宋体" w:cs="宋体"/>
          <w:kern w:val="0"/>
          <w:sz w:val="24"/>
          <w:lang w:val="zh-CN"/>
        </w:rPr>
        <w:t>疏忽、失职、过错等故意或者过失原因给采购人造成损失或侵害，</w:t>
      </w:r>
      <w:r>
        <w:rPr>
          <w:rFonts w:hint="eastAsia" w:ascii="宋体" w:hAnsi="宋体" w:cs="宋体"/>
          <w:kern w:val="0"/>
          <w:sz w:val="24"/>
        </w:rPr>
        <w:t>投标人在服务期间出现重大安全事故或不按采购方要求服务耽误各类保障的，</w:t>
      </w:r>
      <w:r>
        <w:rPr>
          <w:rFonts w:hint="eastAsia" w:ascii="宋体" w:hAnsi="宋体" w:cs="宋体"/>
          <w:kern w:val="0"/>
          <w:sz w:val="24"/>
          <w:lang w:val="zh-CN"/>
        </w:rPr>
        <w:t>包括但不限于采购人本身的财产损失、由此而导致的采购人对任何第三方的法律责任等，</w:t>
      </w:r>
      <w:r>
        <w:rPr>
          <w:rFonts w:hint="eastAsia" w:ascii="宋体" w:hAnsi="宋体" w:cs="宋体"/>
          <w:kern w:val="0"/>
          <w:sz w:val="24"/>
        </w:rPr>
        <w:t>投标人</w:t>
      </w:r>
      <w:r>
        <w:rPr>
          <w:rFonts w:hint="eastAsia" w:ascii="宋体" w:hAnsi="宋体" w:cs="宋体"/>
          <w:kern w:val="0"/>
          <w:sz w:val="24"/>
          <w:lang w:val="zh-CN"/>
        </w:rPr>
        <w:t>对此均应承担全部的赔偿责任，</w:t>
      </w:r>
      <w:r>
        <w:rPr>
          <w:rFonts w:hint="eastAsia" w:ascii="宋体" w:hAnsi="宋体" w:cs="宋体"/>
          <w:kern w:val="0"/>
          <w:sz w:val="24"/>
        </w:rPr>
        <w:t>并按规定解约。</w:t>
      </w:r>
    </w:p>
    <w:p>
      <w:pPr>
        <w:numPr>
          <w:ilvl w:val="255"/>
          <w:numId w:val="0"/>
        </w:numPr>
        <w:spacing w:line="480" w:lineRule="exact"/>
        <w:ind w:firstLine="482" w:firstLineChars="200"/>
        <w:rPr>
          <w:rFonts w:ascii="宋体" w:hAnsi="宋体" w:cs="宋体"/>
          <w:b/>
          <w:sz w:val="24"/>
        </w:rPr>
      </w:pPr>
      <w:r>
        <w:rPr>
          <w:rFonts w:hint="eastAsia" w:ascii="宋体" w:hAnsi="宋体" w:cs="宋体"/>
          <w:b/>
          <w:sz w:val="24"/>
        </w:rPr>
        <w:t>（六）履约验收要求</w:t>
      </w:r>
    </w:p>
    <w:p>
      <w:pPr>
        <w:ind w:firstLine="480" w:firstLineChars="200"/>
        <w:rPr>
          <w:rFonts w:ascii="宋体" w:hAnsi="宋体"/>
          <w:bCs/>
          <w:color w:val="000000"/>
          <w:sz w:val="24"/>
          <w:u w:val="single"/>
        </w:rPr>
      </w:pPr>
      <w:r>
        <w:rPr>
          <w:rFonts w:hint="eastAsia" w:ascii="宋体" w:hAnsi="宋体"/>
          <w:bCs/>
          <w:color w:val="000000"/>
          <w:sz w:val="24"/>
        </w:rPr>
        <w:t>在合同约定内容全部履行完毕后，采购人按验收标准进行验收。</w:t>
      </w:r>
    </w:p>
    <w:p>
      <w:pPr>
        <w:pStyle w:val="9"/>
        <w:rPr>
          <w:rFonts w:ascii="宋体" w:hAnsi="宋体" w:cs="宋体"/>
          <w:color w:val="000000"/>
          <w:sz w:val="24"/>
        </w:rPr>
      </w:pPr>
      <w:r>
        <w:rPr>
          <w:rFonts w:hint="eastAsia" w:ascii="宋体" w:hAnsi="宋体" w:cs="宋体"/>
          <w:color w:val="000000"/>
          <w:sz w:val="24"/>
        </w:rPr>
        <w:t>验收内容如下：</w:t>
      </w:r>
    </w:p>
    <w:p>
      <w:pPr>
        <w:numPr>
          <w:ilvl w:val="255"/>
          <w:numId w:val="0"/>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1.履约验收主体：德阳市消防救援支队</w:t>
      </w:r>
    </w:p>
    <w:p>
      <w:pPr>
        <w:numPr>
          <w:ilvl w:val="255"/>
          <w:numId w:val="0"/>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2.履约验收时间：</w:t>
      </w:r>
      <w:r>
        <w:rPr>
          <w:rStyle w:val="97"/>
          <w:rFonts w:hint="eastAsia" w:ascii="宋体" w:hAnsi="宋体" w:cs="宋体"/>
          <w:color w:val="000000"/>
          <w:sz w:val="24"/>
        </w:rPr>
        <w:t>供应商在合同货物安装调试完成后，针对使用人员组织培训，培训完成并移交所有资料文档后15日内进行验收。</w:t>
      </w:r>
      <w:r>
        <w:rPr>
          <w:rFonts w:hint="eastAsia" w:ascii="宋体" w:hAnsi="宋体" w:cs="宋体"/>
          <w:color w:val="000000"/>
          <w:kern w:val="0"/>
          <w:sz w:val="24"/>
        </w:rPr>
        <w:t>。</w:t>
      </w:r>
    </w:p>
    <w:p>
      <w:pPr>
        <w:numPr>
          <w:ilvl w:val="255"/>
          <w:numId w:val="0"/>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3.验收组织方式：自行验收</w:t>
      </w:r>
    </w:p>
    <w:p>
      <w:pPr>
        <w:numPr>
          <w:ilvl w:val="255"/>
          <w:numId w:val="0"/>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4.履约验收程序：一次性验收</w:t>
      </w:r>
    </w:p>
    <w:p>
      <w:pPr>
        <w:numPr>
          <w:ilvl w:val="255"/>
          <w:numId w:val="0"/>
        </w:num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w:t>
      </w:r>
      <w:r>
        <w:rPr>
          <w:rFonts w:hint="eastAsia"/>
          <w:kern w:val="0"/>
          <w:sz w:val="24"/>
        </w:rPr>
        <w:t>验收地点：</w:t>
      </w:r>
      <w:r>
        <w:rPr>
          <w:rFonts w:hint="eastAsia" w:ascii="宋体" w:hAnsi="宋体" w:cs="宋体"/>
          <w:color w:val="000000"/>
          <w:kern w:val="0"/>
          <w:sz w:val="24"/>
        </w:rPr>
        <w:t>德阳市内，德阳市消防救援支队指定地点。</w:t>
      </w:r>
    </w:p>
    <w:p>
      <w:pPr>
        <w:numPr>
          <w:ilvl w:val="255"/>
          <w:numId w:val="0"/>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6.服务履约验收内容：按照本项目招标文件中“技术参数要求”及中标人投标文件进行验收。</w:t>
      </w:r>
    </w:p>
    <w:p>
      <w:pPr>
        <w:numPr>
          <w:ilvl w:val="255"/>
          <w:numId w:val="0"/>
        </w:num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7.商务履约验收内容：按照本项目招标文件中“商务要求”及中标人投标文件进行验收。</w:t>
      </w:r>
    </w:p>
    <w:p>
      <w:pPr>
        <w:numPr>
          <w:ilvl w:val="0"/>
          <w:numId w:val="36"/>
        </w:numPr>
        <w:spacing w:after="156" w:afterLines="50" w:line="360" w:lineRule="auto"/>
        <w:ind w:left="0" w:firstLine="480" w:firstLineChars="200"/>
        <w:rPr>
          <w:rStyle w:val="97"/>
          <w:rFonts w:ascii="宋体" w:hAnsi="宋体" w:cs="宋体"/>
          <w:color w:val="000000"/>
          <w:sz w:val="24"/>
          <w:lang w:val="zh-TW" w:eastAsia="zh-TW"/>
        </w:rPr>
      </w:pPr>
      <w:r>
        <w:rPr>
          <w:rStyle w:val="97"/>
          <w:rFonts w:hint="eastAsia" w:ascii="宋体" w:hAnsi="宋体" w:cs="宋体"/>
          <w:color w:val="000000"/>
          <w:sz w:val="24"/>
          <w:lang w:val="zh-TW" w:eastAsia="zh-TW"/>
        </w:rPr>
        <w:t>国家相关法律法规、行业标准、技术规范</w:t>
      </w:r>
    </w:p>
    <w:p>
      <w:pPr>
        <w:numPr>
          <w:ilvl w:val="0"/>
          <w:numId w:val="36"/>
        </w:numPr>
        <w:spacing w:after="156" w:afterLines="50" w:line="360" w:lineRule="auto"/>
        <w:ind w:left="0" w:firstLine="480" w:firstLineChars="200"/>
        <w:rPr>
          <w:rStyle w:val="97"/>
          <w:rFonts w:ascii="宋体" w:hAnsi="宋体" w:cs="宋体"/>
          <w:color w:val="000000"/>
          <w:sz w:val="24"/>
          <w:lang w:val="zh-TW"/>
        </w:rPr>
      </w:pPr>
      <w:r>
        <w:rPr>
          <w:rStyle w:val="97"/>
          <w:rFonts w:hint="eastAsia" w:ascii="宋体" w:hAnsi="宋体" w:cs="宋体"/>
          <w:color w:val="000000"/>
          <w:sz w:val="24"/>
          <w:lang w:val="zh-TW" w:eastAsia="zh-TW"/>
        </w:rPr>
        <w:t>基于本项目采购需求编制的招标文件相关技术、服务要求、中标供应商投标文件相关响应内容</w:t>
      </w:r>
      <w:r>
        <w:rPr>
          <w:rStyle w:val="97"/>
          <w:rFonts w:hint="eastAsia" w:ascii="宋体" w:hAnsi="宋体" w:cs="宋体"/>
          <w:color w:val="000000"/>
          <w:sz w:val="24"/>
          <w:lang w:val="zh-TW"/>
        </w:rPr>
        <w:t>。</w:t>
      </w:r>
    </w:p>
    <w:p>
      <w:pPr>
        <w:numPr>
          <w:ilvl w:val="0"/>
          <w:numId w:val="36"/>
        </w:numPr>
        <w:spacing w:after="156" w:afterLines="50" w:line="360" w:lineRule="auto"/>
        <w:ind w:left="0" w:firstLine="480" w:firstLineChars="200"/>
        <w:rPr>
          <w:rStyle w:val="97"/>
          <w:rFonts w:ascii="宋体" w:hAnsi="宋体" w:cs="宋体"/>
          <w:color w:val="000000"/>
          <w:sz w:val="24"/>
          <w:lang w:val="zh-TW"/>
        </w:rPr>
      </w:pPr>
      <w:r>
        <w:rPr>
          <w:rStyle w:val="97"/>
          <w:rFonts w:hint="eastAsia" w:ascii="宋体" w:hAnsi="宋体" w:cs="宋体"/>
          <w:color w:val="000000"/>
          <w:sz w:val="24"/>
          <w:lang w:val="zh-TW" w:eastAsia="zh-TW"/>
        </w:rPr>
        <w:t>中标产品生产厂家出具的产品说明书、技术白皮书、医疗器械注册证或备案凭证等技术资料（如涉及）</w:t>
      </w:r>
    </w:p>
    <w:p>
      <w:pPr>
        <w:numPr>
          <w:ilvl w:val="0"/>
          <w:numId w:val="36"/>
        </w:numPr>
        <w:spacing w:after="156" w:afterLines="50" w:line="360" w:lineRule="auto"/>
        <w:ind w:left="0" w:firstLine="480" w:firstLineChars="200"/>
        <w:rPr>
          <w:rStyle w:val="97"/>
          <w:rFonts w:ascii="宋体" w:hAnsi="宋体" w:cs="宋体"/>
          <w:color w:val="000000"/>
          <w:sz w:val="24"/>
          <w:lang w:val="zh-TW"/>
        </w:rPr>
      </w:pPr>
      <w:r>
        <w:rPr>
          <w:rStyle w:val="97"/>
          <w:rFonts w:hint="eastAsia" w:ascii="宋体" w:hAnsi="宋体" w:cs="宋体"/>
          <w:color w:val="000000"/>
          <w:sz w:val="24"/>
          <w:lang w:val="zh-TW" w:eastAsia="zh-TW"/>
        </w:rPr>
        <w:t>双方如对质量要求和技术指标的约定标准有相互抵触或异议的事项，由采购人在招标与投标文件中按质量要求和技术指标比较优胜的原则确定该项的约定标准进行验收。</w:t>
      </w:r>
    </w:p>
    <w:p>
      <w:pPr>
        <w:numPr>
          <w:ilvl w:val="0"/>
          <w:numId w:val="36"/>
        </w:numPr>
        <w:spacing w:after="156" w:afterLines="50" w:line="360" w:lineRule="auto"/>
        <w:ind w:left="0" w:firstLine="480" w:firstLineChars="200"/>
        <w:rPr>
          <w:rStyle w:val="97"/>
          <w:rFonts w:ascii="宋体" w:hAnsi="宋体" w:cs="宋体"/>
          <w:color w:val="000000"/>
          <w:sz w:val="24"/>
        </w:rPr>
      </w:pPr>
      <w:r>
        <w:rPr>
          <w:rStyle w:val="97"/>
          <w:rFonts w:hint="eastAsia" w:ascii="宋体" w:hAnsi="宋体" w:cs="宋体"/>
          <w:color w:val="000000"/>
          <w:sz w:val="24"/>
        </w:rPr>
        <w:t>中标人在验收前应制定详细验收方案报采购单位审核同意后，派出工作人员，对产品中各项参数尽可能采取非破坏性或其他方式严格验证，确保产品质量。相关费用包含于投标报价中。</w:t>
      </w:r>
    </w:p>
    <w:p>
      <w:pPr>
        <w:numPr>
          <w:ilvl w:val="0"/>
          <w:numId w:val="36"/>
        </w:numPr>
        <w:spacing w:after="156" w:afterLines="50" w:line="360" w:lineRule="auto"/>
        <w:ind w:left="0" w:firstLine="480" w:firstLineChars="200"/>
        <w:rPr>
          <w:rStyle w:val="97"/>
          <w:rFonts w:ascii="宋体" w:hAnsi="宋体" w:cs="宋体"/>
          <w:color w:val="000000"/>
          <w:sz w:val="24"/>
        </w:rPr>
      </w:pPr>
      <w:r>
        <w:rPr>
          <w:rStyle w:val="97"/>
          <w:rFonts w:hint="eastAsia" w:ascii="宋体" w:hAnsi="宋体" w:cs="宋体"/>
          <w:color w:val="000000"/>
          <w:sz w:val="24"/>
        </w:rPr>
        <w:t>验收合格后出具《消防装备质检验收登记表》验收报告。</w:t>
      </w:r>
    </w:p>
    <w:p>
      <w:pPr>
        <w:numPr>
          <w:ilvl w:val="0"/>
          <w:numId w:val="36"/>
        </w:numPr>
        <w:spacing w:after="156" w:afterLines="50" w:line="360" w:lineRule="auto"/>
        <w:ind w:left="0" w:firstLine="480" w:firstLineChars="200"/>
        <w:rPr>
          <w:rStyle w:val="97"/>
          <w:rFonts w:ascii="宋体" w:hAnsi="宋体" w:cs="宋体"/>
          <w:color w:val="000000"/>
          <w:sz w:val="24"/>
        </w:rPr>
      </w:pPr>
      <w:r>
        <w:rPr>
          <w:rStyle w:val="97"/>
          <w:rFonts w:hint="eastAsia" w:ascii="宋体" w:hAnsi="宋体" w:cs="宋体"/>
          <w:color w:val="000000"/>
          <w:sz w:val="24"/>
        </w:rPr>
        <w:t>严格按照政府采购相关法律法规的要求，通过中标人提供的货物、文件、检测报告等，逐项对比采购文件、投标/响应文件、采购合同，确认是否完全满足各项要求。</w:t>
      </w:r>
    </w:p>
    <w:p>
      <w:pPr>
        <w:numPr>
          <w:ilvl w:val="0"/>
          <w:numId w:val="36"/>
        </w:numPr>
        <w:spacing w:after="156" w:afterLines="50" w:line="360" w:lineRule="auto"/>
        <w:ind w:left="0" w:firstLine="480" w:firstLineChars="200"/>
        <w:rPr>
          <w:rStyle w:val="97"/>
        </w:rPr>
      </w:pPr>
      <w:r>
        <w:rPr>
          <w:rStyle w:val="97"/>
          <w:rFonts w:hint="eastAsia" w:ascii="宋体" w:hAnsi="宋体" w:cs="宋体"/>
          <w:color w:val="000000"/>
          <w:sz w:val="24"/>
        </w:rPr>
        <w:t>甲方可对乙方生产或销售的产品封存送检。送检的产品质量合格，检测费用由甲方承担；送检的产品质量不达标，检测费用由乙方承担。因乙方产品质量不达标带来的一切安全问题，甲方将进行追责，乙方承担相关法律责任。</w:t>
      </w:r>
    </w:p>
    <w:p>
      <w:pPr>
        <w:pStyle w:val="9"/>
        <w:ind w:firstLine="560" w:firstLineChars="200"/>
        <w:rPr>
          <w:rFonts w:ascii="宋体" w:hAnsi="宋体" w:cs="宋体"/>
          <w:color w:val="000000"/>
          <w:kern w:val="0"/>
          <w:sz w:val="28"/>
          <w:szCs w:val="28"/>
        </w:rPr>
      </w:pPr>
      <w:r>
        <w:rPr>
          <w:rFonts w:hint="eastAsia" w:ascii="宋体" w:hAnsi="宋体" w:cs="宋体"/>
          <w:color w:val="000000"/>
          <w:kern w:val="0"/>
          <w:sz w:val="28"/>
          <w:szCs w:val="28"/>
        </w:rPr>
        <w:t>三、样品要求</w:t>
      </w:r>
    </w:p>
    <w:p>
      <w:pPr>
        <w:pStyle w:val="9"/>
        <w:ind w:firstLine="480" w:firstLineChars="200"/>
        <w:rPr>
          <w:rFonts w:ascii="宋体" w:hAnsi="宋体" w:cs="宋体"/>
          <w:color w:val="auto"/>
          <w:kern w:val="0"/>
          <w:sz w:val="24"/>
        </w:rPr>
      </w:pPr>
      <w:r>
        <w:rPr>
          <w:rFonts w:hint="eastAsia" w:ascii="宋体" w:hAnsi="宋体" w:cs="宋体"/>
          <w:color w:val="auto"/>
          <w:kern w:val="0"/>
          <w:sz w:val="24"/>
        </w:rPr>
        <w:t>（一）</w:t>
      </w:r>
      <w:r>
        <w:rPr>
          <w:rFonts w:hint="eastAsia" w:ascii="宋体" w:hAnsi="宋体" w:cs="宋体"/>
          <w:color w:val="000000"/>
          <w:sz w:val="24"/>
        </w:rPr>
        <w:t>第5、7包投标人可根据本节要求提供样品，样品用于综合评分，未提供或为按要求提供的相应评分项不得分。</w:t>
      </w:r>
    </w:p>
    <w:p>
      <w:pPr>
        <w:pStyle w:val="9"/>
        <w:numPr>
          <w:ilvl w:val="255"/>
          <w:numId w:val="0"/>
        </w:numPr>
        <w:jc w:val="center"/>
        <w:rPr>
          <w:rFonts w:ascii="宋体" w:hAnsi="宋体" w:cs="宋体"/>
          <w:b/>
          <w:bCs/>
          <w:color w:val="auto"/>
          <w:kern w:val="0"/>
          <w:sz w:val="24"/>
        </w:rPr>
      </w:pPr>
      <w:r>
        <w:rPr>
          <w:rFonts w:hint="eastAsia" w:ascii="宋体" w:hAnsi="宋体" w:cs="宋体"/>
          <w:b/>
          <w:bCs/>
          <w:color w:val="auto"/>
          <w:kern w:val="0"/>
          <w:sz w:val="24"/>
        </w:rPr>
        <w:t>第5包</w:t>
      </w:r>
    </w:p>
    <w:tbl>
      <w:tblPr>
        <w:tblStyle w:val="21"/>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193"/>
        <w:gridCol w:w="3360"/>
        <w:gridCol w:w="3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pStyle w:val="9"/>
              <w:jc w:val="center"/>
              <w:rPr>
                <w:rFonts w:ascii="宋体" w:hAnsi="宋体" w:cs="宋体"/>
                <w:color w:val="auto"/>
                <w:kern w:val="0"/>
                <w:sz w:val="24"/>
              </w:rPr>
            </w:pPr>
            <w:r>
              <w:rPr>
                <w:rFonts w:hint="eastAsia" w:ascii="宋体" w:hAnsi="宋体" w:cs="宋体"/>
                <w:color w:val="auto"/>
                <w:kern w:val="0"/>
                <w:sz w:val="24"/>
              </w:rPr>
              <w:t>样品名称</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数量</w:t>
            </w:r>
          </w:p>
        </w:tc>
        <w:tc>
          <w:tcPr>
            <w:tcW w:w="3360" w:type="dxa"/>
          </w:tcPr>
          <w:p>
            <w:pPr>
              <w:pStyle w:val="9"/>
              <w:jc w:val="center"/>
              <w:rPr>
                <w:rFonts w:ascii="宋体" w:hAnsi="宋体" w:cs="宋体"/>
                <w:color w:val="auto"/>
                <w:kern w:val="0"/>
                <w:sz w:val="24"/>
              </w:rPr>
            </w:pPr>
            <w:r>
              <w:rPr>
                <w:rFonts w:hint="eastAsia" w:ascii="宋体" w:hAnsi="宋体" w:cs="宋体"/>
                <w:color w:val="auto"/>
                <w:kern w:val="0"/>
                <w:sz w:val="24"/>
              </w:rPr>
              <w:t>样品要求</w:t>
            </w:r>
          </w:p>
        </w:tc>
        <w:tc>
          <w:tcPr>
            <w:tcW w:w="3030" w:type="dxa"/>
          </w:tcPr>
          <w:p>
            <w:pPr>
              <w:pStyle w:val="9"/>
              <w:spacing w:line="240" w:lineRule="auto"/>
              <w:jc w:val="center"/>
              <w:rPr>
                <w:rFonts w:ascii="宋体" w:hAnsi="宋体" w:cs="宋体"/>
                <w:color w:val="auto"/>
                <w:kern w:val="0"/>
                <w:sz w:val="24"/>
                <w:lang w:val="zh-CN"/>
              </w:rPr>
            </w:pPr>
            <w:r>
              <w:rPr>
                <w:rFonts w:hint="eastAsia" w:ascii="宋体" w:hAnsi="宋体" w:cs="宋体"/>
                <w:color w:val="auto"/>
                <w:kern w:val="0"/>
                <w:sz w:val="24"/>
                <w:lang w:val="zh-CN"/>
              </w:rPr>
              <w:t>是否随样品提供检测报告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水下无线通信系统</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restart"/>
          </w:tcPr>
          <w:p>
            <w:pPr>
              <w:pStyle w:val="9"/>
              <w:spacing w:line="240" w:lineRule="auto"/>
              <w:rPr>
                <w:rFonts w:ascii="宋体" w:hAnsi="宋体" w:cs="宋体"/>
                <w:color w:val="auto"/>
                <w:kern w:val="0"/>
                <w:sz w:val="24"/>
                <w:lang w:val="zh-CN"/>
              </w:rPr>
            </w:pPr>
            <w:r>
              <w:rPr>
                <w:rFonts w:hint="eastAsia" w:ascii="宋体" w:hAnsi="宋体" w:cs="宋体"/>
                <w:color w:val="auto"/>
                <w:kern w:val="0"/>
                <w:sz w:val="24"/>
                <w:lang w:val="zh-CN"/>
              </w:rPr>
              <w:t>详见第六章“</w:t>
            </w:r>
            <w:r>
              <w:rPr>
                <w:rFonts w:hint="eastAsia" w:ascii="宋体" w:hAnsi="宋体" w:cs="宋体"/>
                <w:color w:val="auto"/>
                <w:kern w:val="0"/>
                <w:sz w:val="24"/>
              </w:rPr>
              <w:t>四</w:t>
            </w:r>
            <w:r>
              <w:rPr>
                <w:rFonts w:hint="eastAsia" w:ascii="宋体" w:hAnsi="宋体" w:cs="宋体"/>
                <w:color w:val="auto"/>
                <w:kern w:val="0"/>
                <w:sz w:val="24"/>
                <w:lang w:val="zh-CN"/>
              </w:rPr>
              <w:t>、技术参数要求”以及第七章第</w:t>
            </w:r>
            <w:r>
              <w:rPr>
                <w:rFonts w:hint="eastAsia" w:ascii="宋体" w:hAnsi="宋体" w:cs="宋体"/>
                <w:color w:val="auto"/>
                <w:kern w:val="0"/>
                <w:sz w:val="24"/>
              </w:rPr>
              <w:t>5</w:t>
            </w:r>
            <w:r>
              <w:rPr>
                <w:rFonts w:hint="eastAsia" w:ascii="宋体" w:hAnsi="宋体" w:cs="宋体"/>
                <w:color w:val="auto"/>
                <w:kern w:val="0"/>
                <w:sz w:val="24"/>
                <w:lang w:val="zh-CN"/>
              </w:rPr>
              <w:t>包综合评分明细表“样品”评分标准要求制作。</w:t>
            </w:r>
          </w:p>
        </w:tc>
        <w:tc>
          <w:tcPr>
            <w:tcW w:w="3030" w:type="dxa"/>
            <w:vMerge w:val="restart"/>
          </w:tcPr>
          <w:p>
            <w:pPr>
              <w:pStyle w:val="9"/>
              <w:spacing w:line="240" w:lineRule="auto"/>
              <w:rPr>
                <w:rFonts w:ascii="宋体" w:hAnsi="宋体" w:cs="宋体"/>
                <w:color w:val="auto"/>
                <w:kern w:val="0"/>
                <w:sz w:val="24"/>
                <w:lang w:val="zh-CN"/>
              </w:rPr>
            </w:pPr>
            <w:r>
              <w:rPr>
                <w:rFonts w:hint="eastAsia" w:ascii="宋体" w:hAnsi="宋体" w:cs="宋体"/>
                <w:color w:val="auto"/>
                <w:kern w:val="0"/>
                <w:sz w:val="24"/>
                <w:lang w:val="zh-CN"/>
              </w:rPr>
              <w:t>若第六章“</w:t>
            </w:r>
            <w:r>
              <w:rPr>
                <w:rFonts w:hint="eastAsia" w:ascii="宋体" w:hAnsi="宋体" w:cs="宋体"/>
                <w:color w:val="auto"/>
                <w:kern w:val="0"/>
                <w:sz w:val="24"/>
              </w:rPr>
              <w:t>四</w:t>
            </w:r>
            <w:r>
              <w:rPr>
                <w:rFonts w:hint="eastAsia" w:ascii="宋体" w:hAnsi="宋体" w:cs="宋体"/>
                <w:color w:val="auto"/>
                <w:kern w:val="0"/>
                <w:sz w:val="24"/>
                <w:lang w:val="zh-CN"/>
              </w:rPr>
              <w:t>、技术参数要求”中要求提供检测报告，检测报告均放入投标文件中。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潜水全面罩</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color w:val="auto"/>
                <w:kern w:val="0"/>
                <w:sz w:val="24"/>
                <w:lang w:val="zh-CN"/>
              </w:rPr>
            </w:pPr>
          </w:p>
        </w:tc>
        <w:tc>
          <w:tcPr>
            <w:tcW w:w="3030" w:type="dxa"/>
            <w:vMerge w:val="continue"/>
          </w:tcPr>
          <w:p>
            <w:pPr>
              <w:pStyle w:val="9"/>
              <w:rPr>
                <w:rFonts w:ascii="宋体" w:hAnsi="宋体" w:cs="宋体"/>
                <w:color w:val="auto"/>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干式潜水衣</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color w:val="auto"/>
                <w:kern w:val="0"/>
                <w:sz w:val="24"/>
                <w:lang w:val="zh-CN"/>
              </w:rPr>
            </w:pPr>
          </w:p>
        </w:tc>
        <w:tc>
          <w:tcPr>
            <w:tcW w:w="3030" w:type="dxa"/>
            <w:vMerge w:val="continue"/>
          </w:tcPr>
          <w:p>
            <w:pPr>
              <w:pStyle w:val="9"/>
              <w:rPr>
                <w:rFonts w:ascii="宋体" w:hAnsi="宋体" w:cs="宋体"/>
                <w:color w:val="auto"/>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湿式潜水衣</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color w:val="auto"/>
                <w:kern w:val="0"/>
                <w:sz w:val="24"/>
                <w:lang w:val="zh-CN"/>
              </w:rPr>
            </w:pPr>
          </w:p>
        </w:tc>
        <w:tc>
          <w:tcPr>
            <w:tcW w:w="3030" w:type="dxa"/>
            <w:vMerge w:val="continue"/>
          </w:tcPr>
          <w:p>
            <w:pPr>
              <w:pStyle w:val="9"/>
              <w:rPr>
                <w:rFonts w:ascii="宋体" w:hAnsi="宋体" w:cs="宋体"/>
                <w:color w:val="auto"/>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潜水浮力装置</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color w:val="auto"/>
                <w:kern w:val="0"/>
                <w:sz w:val="24"/>
                <w:lang w:val="zh-CN"/>
              </w:rPr>
            </w:pPr>
          </w:p>
        </w:tc>
        <w:tc>
          <w:tcPr>
            <w:tcW w:w="3030" w:type="dxa"/>
            <w:vMerge w:val="continue"/>
          </w:tcPr>
          <w:p>
            <w:pPr>
              <w:pStyle w:val="9"/>
              <w:rPr>
                <w:rFonts w:ascii="宋体" w:hAnsi="宋体" w:cs="宋体"/>
                <w:color w:val="auto"/>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潜水调节器（含附件）</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color w:val="auto"/>
                <w:kern w:val="0"/>
                <w:sz w:val="24"/>
                <w:lang w:val="zh-CN"/>
              </w:rPr>
            </w:pPr>
          </w:p>
        </w:tc>
        <w:tc>
          <w:tcPr>
            <w:tcW w:w="3030" w:type="dxa"/>
            <w:vMerge w:val="continue"/>
          </w:tcPr>
          <w:p>
            <w:pPr>
              <w:pStyle w:val="9"/>
              <w:rPr>
                <w:rFonts w:ascii="宋体" w:hAnsi="宋体" w:cs="宋体"/>
                <w:color w:val="auto"/>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潜水电脑表</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color w:val="auto"/>
                <w:kern w:val="0"/>
                <w:sz w:val="24"/>
                <w:lang w:val="zh-CN"/>
              </w:rPr>
            </w:pPr>
          </w:p>
        </w:tc>
        <w:tc>
          <w:tcPr>
            <w:tcW w:w="3030" w:type="dxa"/>
            <w:vMerge w:val="continue"/>
          </w:tcPr>
          <w:p>
            <w:pPr>
              <w:pStyle w:val="9"/>
              <w:rPr>
                <w:rFonts w:ascii="宋体" w:hAnsi="宋体" w:cs="宋体"/>
                <w:color w:val="auto"/>
                <w:kern w:val="0"/>
                <w:sz w:val="24"/>
                <w:lang w:val="zh-CN"/>
              </w:rPr>
            </w:pPr>
          </w:p>
        </w:tc>
      </w:tr>
    </w:tbl>
    <w:p>
      <w:pPr>
        <w:pStyle w:val="9"/>
        <w:numPr>
          <w:ilvl w:val="255"/>
          <w:numId w:val="0"/>
        </w:numPr>
        <w:jc w:val="center"/>
        <w:rPr>
          <w:rFonts w:ascii="宋体" w:hAnsi="宋体" w:cs="宋体"/>
          <w:b/>
          <w:bCs/>
          <w:color w:val="auto"/>
          <w:kern w:val="0"/>
          <w:sz w:val="24"/>
        </w:rPr>
      </w:pPr>
      <w:r>
        <w:rPr>
          <w:rFonts w:hint="eastAsia" w:ascii="宋体" w:hAnsi="宋体" w:cs="宋体"/>
          <w:b/>
          <w:bCs/>
          <w:color w:val="auto"/>
          <w:kern w:val="0"/>
          <w:sz w:val="24"/>
        </w:rPr>
        <w:t>第7包</w:t>
      </w:r>
    </w:p>
    <w:tbl>
      <w:tblPr>
        <w:tblStyle w:val="21"/>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193"/>
        <w:gridCol w:w="3360"/>
        <w:gridCol w:w="3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Pr>
          <w:p>
            <w:pPr>
              <w:pStyle w:val="9"/>
              <w:jc w:val="center"/>
              <w:rPr>
                <w:rFonts w:ascii="宋体" w:hAnsi="宋体" w:cs="宋体"/>
                <w:color w:val="auto"/>
                <w:kern w:val="0"/>
                <w:sz w:val="24"/>
              </w:rPr>
            </w:pPr>
            <w:r>
              <w:rPr>
                <w:rFonts w:hint="eastAsia" w:ascii="宋体" w:hAnsi="宋体" w:cs="宋体"/>
                <w:color w:val="auto"/>
                <w:kern w:val="0"/>
                <w:sz w:val="24"/>
              </w:rPr>
              <w:t>样品名称</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数量</w:t>
            </w:r>
          </w:p>
        </w:tc>
        <w:tc>
          <w:tcPr>
            <w:tcW w:w="3360" w:type="dxa"/>
          </w:tcPr>
          <w:p>
            <w:pPr>
              <w:pStyle w:val="9"/>
              <w:jc w:val="center"/>
              <w:rPr>
                <w:rFonts w:ascii="宋体" w:hAnsi="宋体" w:cs="宋体"/>
                <w:color w:val="auto"/>
                <w:kern w:val="0"/>
                <w:sz w:val="24"/>
              </w:rPr>
            </w:pPr>
            <w:r>
              <w:rPr>
                <w:rFonts w:hint="eastAsia" w:ascii="宋体" w:hAnsi="宋体" w:cs="宋体"/>
                <w:color w:val="auto"/>
                <w:kern w:val="0"/>
                <w:sz w:val="24"/>
              </w:rPr>
              <w:t>样品要求</w:t>
            </w:r>
          </w:p>
        </w:tc>
        <w:tc>
          <w:tcPr>
            <w:tcW w:w="3030" w:type="dxa"/>
          </w:tcPr>
          <w:p>
            <w:pPr>
              <w:pStyle w:val="9"/>
              <w:spacing w:line="240" w:lineRule="auto"/>
              <w:jc w:val="center"/>
              <w:rPr>
                <w:rFonts w:ascii="宋体" w:hAnsi="宋体" w:cs="宋体"/>
                <w:color w:val="auto"/>
                <w:kern w:val="0"/>
                <w:sz w:val="24"/>
                <w:lang w:val="zh-CN"/>
              </w:rPr>
            </w:pPr>
            <w:r>
              <w:rPr>
                <w:rFonts w:hint="eastAsia" w:ascii="宋体" w:hAnsi="宋体" w:cs="宋体"/>
                <w:color w:val="auto"/>
                <w:kern w:val="0"/>
                <w:sz w:val="24"/>
                <w:lang w:val="zh-CN"/>
              </w:rPr>
              <w:t>是否随样品提供检测报告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sz w:val="24"/>
                <w:lang w:val="zh-CN"/>
              </w:rPr>
            </w:pPr>
            <w:r>
              <w:rPr>
                <w:rFonts w:hint="eastAsia" w:ascii="宋体" w:hAnsi="宋体" w:cs="宋体"/>
                <w:kern w:val="0"/>
                <w:sz w:val="24"/>
                <w:lang w:bidi="ar"/>
              </w:rPr>
              <w:t>绳索救援套装</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restart"/>
          </w:tcPr>
          <w:p>
            <w:pPr>
              <w:pStyle w:val="9"/>
              <w:spacing w:line="240" w:lineRule="auto"/>
              <w:rPr>
                <w:rFonts w:ascii="宋体" w:hAnsi="宋体" w:cs="宋体"/>
                <w:color w:val="auto"/>
                <w:kern w:val="0"/>
                <w:sz w:val="24"/>
                <w:lang w:val="zh-CN"/>
              </w:rPr>
            </w:pPr>
            <w:r>
              <w:rPr>
                <w:rFonts w:hint="eastAsia" w:ascii="宋体" w:hAnsi="宋体" w:cs="宋体"/>
                <w:color w:val="auto"/>
                <w:kern w:val="0"/>
                <w:sz w:val="24"/>
                <w:lang w:val="zh-CN"/>
              </w:rPr>
              <w:t>详见第六章“</w:t>
            </w:r>
            <w:r>
              <w:rPr>
                <w:rFonts w:hint="eastAsia" w:ascii="宋体" w:hAnsi="宋体" w:cs="宋体"/>
                <w:color w:val="auto"/>
                <w:kern w:val="0"/>
                <w:sz w:val="24"/>
              </w:rPr>
              <w:t>四、</w:t>
            </w:r>
            <w:r>
              <w:rPr>
                <w:rFonts w:hint="eastAsia" w:ascii="宋体" w:hAnsi="宋体" w:cs="宋体"/>
                <w:color w:val="auto"/>
                <w:kern w:val="0"/>
                <w:sz w:val="24"/>
                <w:lang w:val="zh-CN"/>
              </w:rPr>
              <w:t>技术参数要求”以及第七章第</w:t>
            </w:r>
            <w:r>
              <w:rPr>
                <w:rFonts w:hint="eastAsia" w:ascii="宋体" w:hAnsi="宋体" w:cs="宋体"/>
                <w:color w:val="auto"/>
                <w:kern w:val="0"/>
                <w:sz w:val="24"/>
              </w:rPr>
              <w:t>7</w:t>
            </w:r>
            <w:r>
              <w:rPr>
                <w:rFonts w:hint="eastAsia" w:ascii="宋体" w:hAnsi="宋体" w:cs="宋体"/>
                <w:color w:val="auto"/>
                <w:kern w:val="0"/>
                <w:sz w:val="24"/>
                <w:lang w:val="zh-CN"/>
              </w:rPr>
              <w:t>包综合评分明细表“样品”评分标准要求制作。</w:t>
            </w:r>
          </w:p>
        </w:tc>
        <w:tc>
          <w:tcPr>
            <w:tcW w:w="3030" w:type="dxa"/>
            <w:vMerge w:val="restart"/>
          </w:tcPr>
          <w:p>
            <w:pPr>
              <w:pStyle w:val="9"/>
              <w:spacing w:line="240" w:lineRule="auto"/>
              <w:rPr>
                <w:rFonts w:ascii="宋体" w:hAnsi="宋体" w:cs="宋体"/>
                <w:color w:val="auto"/>
                <w:kern w:val="0"/>
                <w:sz w:val="24"/>
                <w:lang w:val="zh-CN"/>
              </w:rPr>
            </w:pPr>
            <w:r>
              <w:rPr>
                <w:rFonts w:hint="eastAsia" w:ascii="宋体" w:hAnsi="宋体" w:cs="宋体"/>
                <w:color w:val="auto"/>
                <w:kern w:val="0"/>
                <w:sz w:val="24"/>
                <w:lang w:val="zh-CN"/>
              </w:rPr>
              <w:t>若第六章“</w:t>
            </w:r>
            <w:r>
              <w:rPr>
                <w:rFonts w:hint="eastAsia" w:ascii="宋体" w:hAnsi="宋体" w:cs="宋体"/>
                <w:color w:val="auto"/>
                <w:kern w:val="0"/>
                <w:sz w:val="24"/>
              </w:rPr>
              <w:t>四</w:t>
            </w:r>
            <w:r>
              <w:rPr>
                <w:rFonts w:hint="eastAsia" w:ascii="宋体" w:hAnsi="宋体" w:cs="宋体"/>
                <w:color w:val="auto"/>
                <w:kern w:val="0"/>
                <w:sz w:val="24"/>
                <w:lang w:val="zh-CN"/>
              </w:rPr>
              <w:t>、技术参数要求”中要求提供检测报告，检测报告均放入投标文件中。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color w:val="000000"/>
                <w:sz w:val="24"/>
                <w:lang w:val="zh-CN"/>
              </w:rPr>
            </w:pPr>
            <w:r>
              <w:rPr>
                <w:rFonts w:hint="eastAsia" w:ascii="宋体" w:hAnsi="宋体" w:cs="宋体"/>
                <w:color w:val="000000"/>
                <w:kern w:val="0"/>
                <w:sz w:val="24"/>
                <w:lang w:bidi="ar"/>
              </w:rPr>
              <w:t>全身吊带</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kern w:val="0"/>
                <w:sz w:val="24"/>
                <w:lang w:val="zh-CN"/>
              </w:rPr>
            </w:pPr>
          </w:p>
        </w:tc>
        <w:tc>
          <w:tcPr>
            <w:tcW w:w="3030" w:type="dxa"/>
            <w:vMerge w:val="continue"/>
          </w:tcPr>
          <w:p>
            <w:pPr>
              <w:pStyle w:val="9"/>
              <w:rPr>
                <w:rFonts w:ascii="宋体" w:hAnsi="宋体" w:cs="宋体"/>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自动止坠器</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kern w:val="0"/>
                <w:sz w:val="24"/>
                <w:lang w:val="zh-CN"/>
              </w:rPr>
            </w:pPr>
          </w:p>
        </w:tc>
        <w:tc>
          <w:tcPr>
            <w:tcW w:w="3030" w:type="dxa"/>
            <w:vMerge w:val="continue"/>
          </w:tcPr>
          <w:p>
            <w:pPr>
              <w:pStyle w:val="9"/>
              <w:rPr>
                <w:rFonts w:ascii="宋体" w:hAnsi="宋体" w:cs="宋体"/>
                <w:kern w:val="0"/>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自动锁定下降器</w:t>
            </w:r>
          </w:p>
        </w:tc>
        <w:tc>
          <w:tcPr>
            <w:tcW w:w="1193" w:type="dxa"/>
          </w:tcPr>
          <w:p>
            <w:pPr>
              <w:pStyle w:val="9"/>
              <w:jc w:val="center"/>
              <w:rPr>
                <w:rFonts w:ascii="宋体" w:hAnsi="宋体" w:cs="宋体"/>
                <w:color w:val="auto"/>
                <w:kern w:val="0"/>
                <w:sz w:val="24"/>
              </w:rPr>
            </w:pPr>
            <w:r>
              <w:rPr>
                <w:rFonts w:hint="eastAsia" w:ascii="宋体" w:hAnsi="宋体" w:cs="宋体"/>
                <w:color w:val="auto"/>
                <w:kern w:val="0"/>
                <w:sz w:val="24"/>
              </w:rPr>
              <w:t>1</w:t>
            </w:r>
          </w:p>
        </w:tc>
        <w:tc>
          <w:tcPr>
            <w:tcW w:w="3360" w:type="dxa"/>
            <w:vMerge w:val="continue"/>
          </w:tcPr>
          <w:p>
            <w:pPr>
              <w:pStyle w:val="9"/>
              <w:rPr>
                <w:rFonts w:ascii="宋体" w:hAnsi="宋体" w:cs="宋体"/>
                <w:kern w:val="0"/>
                <w:sz w:val="24"/>
                <w:lang w:val="zh-CN"/>
              </w:rPr>
            </w:pPr>
          </w:p>
        </w:tc>
        <w:tc>
          <w:tcPr>
            <w:tcW w:w="3030" w:type="dxa"/>
            <w:vMerge w:val="continue"/>
          </w:tcPr>
          <w:p>
            <w:pPr>
              <w:pStyle w:val="9"/>
              <w:rPr>
                <w:rFonts w:ascii="宋体" w:hAnsi="宋体" w:cs="宋体"/>
                <w:kern w:val="0"/>
                <w:sz w:val="24"/>
                <w:lang w:val="zh-CN"/>
              </w:rPr>
            </w:pPr>
          </w:p>
        </w:tc>
      </w:tr>
    </w:tbl>
    <w:p>
      <w:pPr>
        <w:pStyle w:val="5"/>
        <w:spacing w:before="156" w:after="156"/>
        <w:ind w:left="420"/>
        <w:rPr>
          <w:rFonts w:ascii="宋体" w:hAnsi="宋体" w:cs="宋体"/>
          <w:bCs w:val="0"/>
          <w:color w:val="000000"/>
        </w:rPr>
      </w:pPr>
      <w:r>
        <w:rPr>
          <w:rFonts w:hint="eastAsia" w:ascii="宋体" w:hAnsi="宋体" w:cs="宋体"/>
          <w:bCs w:val="0"/>
          <w:color w:val="000000"/>
        </w:rPr>
        <w:t>（二）送样要求</w:t>
      </w:r>
    </w:p>
    <w:p>
      <w:pPr>
        <w:widowControl/>
        <w:numPr>
          <w:ilvl w:val="255"/>
          <w:numId w:val="0"/>
        </w:numPr>
        <w:autoSpaceDE/>
        <w:spacing w:line="360" w:lineRule="auto"/>
        <w:ind w:right="53" w:firstLine="480" w:firstLineChars="200"/>
        <w:jc w:val="left"/>
        <w:textAlignment w:val="bottom"/>
        <w:rPr>
          <w:rFonts w:ascii="宋体" w:hAnsi="宋体" w:cs="宋体"/>
          <w:color w:val="000000"/>
          <w:sz w:val="24"/>
        </w:rPr>
      </w:pPr>
      <w:r>
        <w:rPr>
          <w:rFonts w:hint="eastAsia" w:ascii="宋体" w:hAnsi="宋体" w:cs="宋体"/>
          <w:color w:val="000000"/>
          <w:sz w:val="24"/>
        </w:rPr>
        <w:t>1.样品递交截止时间同投标文件递交截止时间，逾期不予接收。样品的生产、运输费等一切费用由投标人自理。</w:t>
      </w:r>
    </w:p>
    <w:p>
      <w:pPr>
        <w:widowControl/>
        <w:numPr>
          <w:ilvl w:val="255"/>
          <w:numId w:val="0"/>
        </w:numPr>
        <w:autoSpaceDE/>
        <w:spacing w:line="360" w:lineRule="auto"/>
        <w:ind w:right="53" w:firstLine="480" w:firstLineChars="200"/>
        <w:jc w:val="left"/>
        <w:textAlignment w:val="bottom"/>
        <w:rPr>
          <w:rFonts w:ascii="宋体" w:hAnsi="宋体" w:cs="宋体"/>
          <w:sz w:val="24"/>
        </w:rPr>
      </w:pPr>
      <w:r>
        <w:rPr>
          <w:rFonts w:hint="eastAsia" w:ascii="宋体" w:hAnsi="宋体" w:cs="宋体"/>
          <w:sz w:val="24"/>
        </w:rPr>
        <w:t>2.样品递交地点：成都市武侯区武青南路86号兆信中心4栋1楼企业服务中心会议室08号</w:t>
      </w:r>
      <w:r>
        <w:rPr>
          <w:rFonts w:hint="eastAsia" w:ascii="宋体" w:hAnsi="宋体" w:cs="宋体"/>
          <w:kern w:val="0"/>
          <w:sz w:val="24"/>
        </w:rPr>
        <w:t>。</w:t>
      </w:r>
    </w:p>
    <w:p>
      <w:pPr>
        <w:widowControl/>
        <w:numPr>
          <w:ilvl w:val="255"/>
          <w:numId w:val="0"/>
        </w:numPr>
        <w:autoSpaceDE/>
        <w:spacing w:line="360" w:lineRule="auto"/>
        <w:ind w:right="53" w:firstLine="480" w:firstLineChars="200"/>
        <w:jc w:val="left"/>
        <w:textAlignment w:val="bottom"/>
        <w:rPr>
          <w:rFonts w:ascii="宋体" w:hAnsi="宋体" w:cs="宋体"/>
          <w:color w:val="000000"/>
          <w:sz w:val="24"/>
        </w:rPr>
      </w:pPr>
      <w:r>
        <w:rPr>
          <w:rFonts w:hint="eastAsia" w:ascii="宋体" w:hAnsi="宋体" w:cs="宋体"/>
          <w:color w:val="000000"/>
          <w:sz w:val="24"/>
        </w:rPr>
        <w:t>3.本项目样品评审采用暗样，即投标样品中不可以出现生产厂商的文字、logo、图文等信息。样品上不能贴商标、厂家等任何标识。故意泄露者，其“样品”评审不得分。</w:t>
      </w:r>
    </w:p>
    <w:p>
      <w:pPr>
        <w:widowControl/>
        <w:numPr>
          <w:ilvl w:val="255"/>
          <w:numId w:val="0"/>
        </w:numPr>
        <w:autoSpaceDE/>
        <w:spacing w:line="360" w:lineRule="auto"/>
        <w:ind w:right="53" w:firstLine="480" w:firstLineChars="200"/>
        <w:textAlignment w:val="bottom"/>
        <w:rPr>
          <w:rFonts w:ascii="宋体" w:hAnsi="宋体" w:cs="宋体"/>
          <w:color w:val="000000"/>
          <w:sz w:val="24"/>
        </w:rPr>
      </w:pPr>
      <w:r>
        <w:rPr>
          <w:rFonts w:hint="eastAsia" w:ascii="宋体" w:hAnsi="宋体" w:cs="宋体"/>
          <w:color w:val="000000"/>
          <w:sz w:val="24"/>
        </w:rPr>
        <w:t>4.送样品目及数量见“</w:t>
      </w:r>
      <w:r>
        <w:rPr>
          <w:rFonts w:hint="eastAsia" w:ascii="宋体" w:hAnsi="宋体" w:cs="宋体"/>
          <w:color w:val="000000"/>
          <w:kern w:val="0"/>
          <w:sz w:val="24"/>
          <w:lang w:bidi="ar"/>
        </w:rPr>
        <w:t>（一）样品清单</w:t>
      </w:r>
      <w:r>
        <w:rPr>
          <w:rFonts w:hint="eastAsia" w:ascii="宋体" w:hAnsi="宋体" w:cs="宋体"/>
          <w:color w:val="000000"/>
          <w:sz w:val="24"/>
        </w:rPr>
        <w:t>”。</w:t>
      </w:r>
    </w:p>
    <w:p>
      <w:pPr>
        <w:pStyle w:val="5"/>
        <w:spacing w:before="156" w:after="156"/>
        <w:ind w:left="420"/>
        <w:rPr>
          <w:rFonts w:ascii="宋体" w:hAnsi="宋体" w:cs="宋体"/>
          <w:bCs w:val="0"/>
          <w:color w:val="000000"/>
        </w:rPr>
      </w:pPr>
      <w:r>
        <w:rPr>
          <w:rFonts w:hint="eastAsia" w:ascii="宋体" w:hAnsi="宋体" w:cs="宋体"/>
          <w:bCs w:val="0"/>
          <w:color w:val="000000"/>
        </w:rPr>
        <w:t>（三）其他要求</w:t>
      </w:r>
    </w:p>
    <w:p>
      <w:pPr>
        <w:widowControl/>
        <w:numPr>
          <w:ilvl w:val="255"/>
          <w:numId w:val="0"/>
        </w:numPr>
        <w:autoSpaceDE/>
        <w:spacing w:line="360" w:lineRule="auto"/>
        <w:ind w:right="53" w:firstLine="480" w:firstLineChars="200"/>
        <w:textAlignment w:val="bottom"/>
        <w:rPr>
          <w:rFonts w:ascii="宋体" w:hAnsi="宋体" w:cs="宋体"/>
          <w:color w:val="000000"/>
          <w:sz w:val="24"/>
        </w:rPr>
      </w:pPr>
      <w:r>
        <w:rPr>
          <w:rFonts w:hint="eastAsia" w:ascii="宋体" w:hAnsi="宋体" w:cs="宋体"/>
          <w:color w:val="000000"/>
          <w:sz w:val="24"/>
        </w:rPr>
        <w:t>1.中标人提供的样品由采购人保管，作为履约验收依据，在</w:t>
      </w:r>
      <w:r>
        <w:rPr>
          <w:rFonts w:hint="eastAsia" w:ascii="宋体" w:hAnsi="宋体" w:cs="宋体"/>
          <w:color w:val="000000"/>
          <w:sz w:val="24"/>
          <w:lang w:eastAsia="zh-Hans"/>
        </w:rPr>
        <w:t>履约</w:t>
      </w:r>
      <w:r>
        <w:rPr>
          <w:rFonts w:hint="eastAsia" w:ascii="宋体" w:hAnsi="宋体" w:cs="宋体"/>
          <w:color w:val="000000"/>
          <w:sz w:val="24"/>
        </w:rPr>
        <w:t>验收完成后退还。中标人最终提供的货物外观质量、制作工艺等不得低于样品的相关标准,且应完全满足合同对货物的要求和标准的约定。</w:t>
      </w:r>
    </w:p>
    <w:p>
      <w:pPr>
        <w:widowControl/>
        <w:numPr>
          <w:ilvl w:val="255"/>
          <w:numId w:val="0"/>
        </w:numPr>
        <w:autoSpaceDE/>
        <w:spacing w:line="360" w:lineRule="auto"/>
        <w:ind w:right="53" w:firstLine="480" w:firstLineChars="200"/>
        <w:textAlignment w:val="bottom"/>
        <w:rPr>
          <w:rFonts w:ascii="宋体" w:hAnsi="宋体" w:cs="宋体"/>
          <w:color w:val="000000"/>
          <w:sz w:val="24"/>
        </w:rPr>
      </w:pPr>
      <w:r>
        <w:rPr>
          <w:rFonts w:hint="eastAsia" w:ascii="宋体" w:hAnsi="宋体" w:cs="宋体"/>
          <w:color w:val="000000"/>
          <w:sz w:val="24"/>
        </w:rPr>
        <w:t>2.未中标人提供的样品在项目质疑期结束后（若有投诉，在投诉处理完毕后），接到采购代理机构工作人员通知之日起3日内，由其自行取回，逾期未取的，</w:t>
      </w:r>
      <w:r>
        <w:rPr>
          <w:rFonts w:hint="eastAsia" w:ascii="宋体" w:hAnsi="宋体" w:cs="宋体"/>
          <w:color w:val="000000"/>
          <w:sz w:val="24"/>
          <w:lang w:eastAsia="zh-Hans"/>
        </w:rPr>
        <w:t>视为未中标人自愿放弃样品所有权，</w:t>
      </w:r>
      <w:r>
        <w:rPr>
          <w:rFonts w:hint="eastAsia" w:ascii="宋体" w:hAnsi="宋体" w:cs="宋体"/>
          <w:color w:val="000000"/>
          <w:sz w:val="24"/>
        </w:rPr>
        <w:t>代理机构有权自行处置。</w:t>
      </w:r>
    </w:p>
    <w:p>
      <w:pPr>
        <w:widowControl/>
        <w:numPr>
          <w:ilvl w:val="255"/>
          <w:numId w:val="0"/>
        </w:numPr>
        <w:autoSpaceDE/>
        <w:spacing w:line="360" w:lineRule="auto"/>
        <w:ind w:right="53" w:firstLine="480" w:firstLineChars="200"/>
        <w:textAlignment w:val="bottom"/>
        <w:rPr>
          <w:rFonts w:ascii="宋体" w:hAnsi="宋体" w:cs="宋体"/>
          <w:color w:val="000000"/>
          <w:sz w:val="24"/>
        </w:rPr>
      </w:pPr>
      <w:r>
        <w:rPr>
          <w:rFonts w:hint="eastAsia" w:ascii="宋体" w:hAnsi="宋体" w:cs="宋体"/>
          <w:color w:val="000000"/>
          <w:sz w:val="24"/>
        </w:rPr>
        <w:t>3.投标人的样品制作、搬运、损耗等相关费用由投标人承担。</w:t>
      </w:r>
    </w:p>
    <w:p>
      <w:pPr>
        <w:pStyle w:val="9"/>
        <w:numPr>
          <w:ilvl w:val="255"/>
          <w:numId w:val="0"/>
        </w:numPr>
        <w:ind w:firstLine="480" w:firstLineChars="200"/>
        <w:rPr>
          <w:rFonts w:ascii="宋体" w:hAnsi="宋体" w:cs="宋体"/>
          <w:kern w:val="0"/>
          <w:sz w:val="24"/>
          <w:lang w:val="zh-CN"/>
        </w:rPr>
      </w:pPr>
      <w:r>
        <w:rPr>
          <w:rFonts w:hint="eastAsia" w:ascii="宋体" w:hAnsi="宋体" w:cs="宋体"/>
          <w:color w:val="000000"/>
          <w:sz w:val="24"/>
        </w:rPr>
        <w:t>4.投标人须自备样品封样的纸箱和封箱带等所需物品。</w:t>
      </w:r>
    </w:p>
    <w:p>
      <w:pPr>
        <w:widowControl/>
        <w:numPr>
          <w:ilvl w:val="255"/>
          <w:numId w:val="0"/>
        </w:numPr>
        <w:autoSpaceDE/>
        <w:spacing w:line="360" w:lineRule="auto"/>
        <w:ind w:right="53" w:firstLine="482" w:firstLineChars="200"/>
        <w:jc w:val="left"/>
        <w:textAlignment w:val="bottom"/>
        <w:rPr>
          <w:b/>
          <w:bCs/>
          <w:sz w:val="24"/>
          <w:szCs w:val="32"/>
        </w:rPr>
      </w:pPr>
    </w:p>
    <w:p>
      <w:pPr>
        <w:pStyle w:val="9"/>
        <w:numPr>
          <w:ilvl w:val="0"/>
          <w:numId w:val="37"/>
        </w:numPr>
        <w:ind w:firstLine="480" w:firstLineChars="200"/>
        <w:rPr>
          <w:rFonts w:ascii="宋体" w:hAnsi="宋体" w:cs="宋体"/>
          <w:kern w:val="0"/>
          <w:sz w:val="24"/>
          <w:lang w:val="zh-CN"/>
        </w:rPr>
        <w:sectPr>
          <w:footerReference r:id="rId4" w:type="default"/>
          <w:pgSz w:w="11906" w:h="16838"/>
          <w:pgMar w:top="1440" w:right="1800" w:bottom="1440" w:left="1800" w:header="851" w:footer="992" w:gutter="0"/>
          <w:cols w:space="720" w:num="1"/>
          <w:docGrid w:type="lines" w:linePitch="312" w:charSpace="0"/>
        </w:sectPr>
      </w:pPr>
      <w:r>
        <w:rPr>
          <w:rFonts w:hint="eastAsia" w:ascii="宋体" w:hAnsi="宋体" w:cs="宋体"/>
          <w:color w:val="auto"/>
          <w:kern w:val="0"/>
          <w:sz w:val="24"/>
        </w:rPr>
        <w:t>技术参数要求：详见下表。</w:t>
      </w:r>
      <w:r>
        <w:rPr>
          <w:rFonts w:ascii="宋体" w:hAnsi="宋体" w:cs="宋体"/>
          <w:kern w:val="0"/>
          <w:sz w:val="24"/>
          <w:lang w:val="zh-CN"/>
        </w:rPr>
        <w:br w:type="page"/>
      </w:r>
    </w:p>
    <w:tbl>
      <w:tblPr>
        <w:tblStyle w:val="21"/>
        <w:tblW w:w="1413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803"/>
        <w:gridCol w:w="830"/>
        <w:gridCol w:w="760"/>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0" w:hRule="atLeast"/>
        </w:trPr>
        <w:tc>
          <w:tcPr>
            <w:tcW w:w="108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分包</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装备名称</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数量</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单位</w:t>
            </w:r>
          </w:p>
        </w:tc>
        <w:tc>
          <w:tcPr>
            <w:tcW w:w="9666"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需求参数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restart"/>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充气帐篷（40m</w:t>
            </w:r>
            <w:r>
              <w:rPr>
                <w:rFonts w:hint="eastAsia" w:ascii="宋体" w:hAnsi="宋体" w:cs="宋体"/>
                <w:color w:val="000000"/>
                <w:kern w:val="0"/>
                <w:sz w:val="24"/>
                <w:vertAlign w:val="superscript"/>
                <w:lang w:bidi="ar"/>
              </w:rPr>
              <w:t>2</w:t>
            </w:r>
            <w:r>
              <w:rPr>
                <w:rFonts w:hint="eastAsia" w:ascii="宋体" w:hAnsi="宋体" w:cs="宋体"/>
                <w:color w:val="000000"/>
                <w:kern w:val="0"/>
                <w:sz w:val="24"/>
                <w:lang w:bidi="ar"/>
              </w:rPr>
              <w:t>）</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顶</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1.投影尺寸：长8m（±0.1m）、宽5m（±0.1m）、高≥3m，肩高：≥1.8m，投影面积：≥40㎡。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2.内部尺寸：长7.5m（±0.1m）、宽4.5m（±0.1m）、高≥2.5m，肩高：≥1.7m，内部面积：32㎡。</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3.外篷材质：防水涂层牛津布，克重：≥450g/㎡，颜色能够根据采购人要求定制，具备防水、抗紫外线、防霉、抗紫外线、防潮性能，阻燃性能：满足离火3秒后即自灭。</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4.气柱材质：PVC双面涂层夹网布 ，克重：≥720g/㎡，颜色须根据采购人要求定制，一体式充气。</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5.内衬材质：210D牛津布，克重：≥70g/㎡，颜色须根据采购人要求定制。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6.地布材质：刀刮布，克重：≥550g/㎡，颜色须根据采购人要求定制。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7.前门数量：1扇，尺寸（m）：≥宽1.2 *高1.9，后门量：1扇，尺寸（m）：≥宽 1.2*高1.9。</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8.窗户数量：≥6扇，尺寸（m）：长 0.75 *宽0.6，窗户开启方式：手动，配防雨条。</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9.气柱上安装充排阀数量：≥2个，安全阀数量：≥1个。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10.通风口数量：≥1个，直径：≥300mm，充气口数量：≥2个，直径：≥100mm。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11.配置电动充排泵数量：≥1台。</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12.制作工艺：主体高频热合热封。</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13.工作压力：等于或优于18-20Kpa。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14.工作温度：等于或优于-30～70℃。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15.▲充气时间：≤5min。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16.▲抗风等级：≥8级。</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17.自重：≤170kg。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18.包装尺寸（长*宽*高）（m）：≤1.4*1.0*1.0。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19.静水压： ≥10kpa。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20.▲防水高度：≥25cm。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21.▲扛雪能力：≥10kg/㎡，扛水能力：≥10000mm/h</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22.▲符合标准：《野营帐篷》GB/Z 27735-2022、《遮阳篷和野营帐篷用织物》（GB/T33272-2016）。</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23.★主要功能：用于野外施工作业、露营训练、临时会所、临时指挥所、野外医疗、抢险救灾等情况下的雨雪、风沙、阳光遮挡防护。</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24.▲气柱保压时间≥48小时，一次充气自行竖立时间≥7天，具备自动补气功能。</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25.★帐篷按照采购人要求进行涂装。</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26.配置快速修理包、充气泵至少1台。</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27.配置防潮地垫1张，面积不低于帐篷投影面积。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充气帐篷（60m</w:t>
            </w:r>
            <w:r>
              <w:rPr>
                <w:rFonts w:hint="eastAsia" w:ascii="宋体" w:hAnsi="宋体" w:cs="宋体"/>
                <w:color w:val="000000"/>
                <w:kern w:val="0"/>
                <w:sz w:val="24"/>
                <w:vertAlign w:val="superscript"/>
                <w:lang w:bidi="ar"/>
              </w:rPr>
              <w:t>2</w:t>
            </w:r>
            <w:r>
              <w:rPr>
                <w:rFonts w:hint="eastAsia" w:ascii="宋体" w:hAnsi="宋体" w:cs="宋体"/>
                <w:color w:val="000000"/>
                <w:kern w:val="0"/>
                <w:sz w:val="24"/>
                <w:lang w:bidi="ar"/>
              </w:rPr>
              <w:t>）</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顶</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1.投影尺寸：长10m（±0.1m）、宽6m（±0.1m）、高≥3.5m，肩高：≥1.8m，投影面积：≥60㎡。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2.内部尺寸：长9.5m（±0.1m）、宽5.5m（±0.1m）、高≥3m，肩高：≥1.8m，内部面积：≥50㎡。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3.外篷材质：防水涂层牛津布，克重：≥450g/㎡，颜色能够根据采购人要求定制，具备防水、抗紫外线、防霉、抗紫外线、防潮性能，阻燃。</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4.气柱材质：PVC双面涂层夹网布或PVC双面涂层气密布 ，克重：≥720g/㎡，颜色须根据采购人要求定制，一体式充气。</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5.内衬材质：210D牛津布，克重：≥70g/㎡，颜色须根据采购人要求定制。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6.地布材质：刀刮布，克重：≥550g/㎡，颜色须根据采购人要求定制。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7.前门数量：1扇，尺寸（m）：≥宽1.5 *高1.9，后门量：1扇，尺寸（m）：≥宽 1.5*高1.9。</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8.窗户数量：≥8扇，尺寸（m）：长 0.75 *宽0.6，窗户开启方式：手动，配防雨条。</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9.气柱上安装充排阀数量：≥2个，安全阀数量：≥1个。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10.通风口数量：≥1个，充气口数量：≥2。</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11.配置电动充排泵数量：≥1台。</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12.制作工艺：主体高频热合热封。</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13.工作压力：≥18-25Kpa。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14.工作温度：≥-30～70℃。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15.▲充气时间：≤15min。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16.▲抗风等级：≥8级。</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17.自重：≤320kg。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18.包装尺寸（长*宽*高）（m）：≤1.8*1.0*1.0。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19.静水压： ≥10kpa。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20.▲防水高度：≥25cm。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21.▲扛雪能力：≥10kg/㎡，扛水能力：≥10000mm/h</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22.▲符合标准：《野营帐篷》GB/Z 27735-2022、《遮阳篷和野营帐篷用织物》（GB/T33272-2016）。</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23.★主要功能：用于野外施工作业、露营训练、临时会所、临时指挥所、野外医疗、抢险救灾等情况下的雨雪、风沙、阳光遮挡防护。</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24.▲气柱保压时间≥48小时，一次充气自行竖立时间≥7天，具备自动补气功能。</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25.★帐篷按照采购人要求进行涂装。</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26.配置快速修理包、充气泵至少1台。</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27.配置防潮地垫1张，面积不低于帐篷投影面积。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充气帐篷（100m</w:t>
            </w:r>
            <w:r>
              <w:rPr>
                <w:rFonts w:hint="eastAsia" w:ascii="宋体" w:hAnsi="宋体" w:cs="宋体"/>
                <w:color w:val="000000"/>
                <w:kern w:val="0"/>
                <w:sz w:val="24"/>
                <w:vertAlign w:val="superscript"/>
                <w:lang w:bidi="ar"/>
              </w:rPr>
              <w:t>2</w:t>
            </w:r>
            <w:r>
              <w:rPr>
                <w:rFonts w:hint="eastAsia" w:ascii="宋体" w:hAnsi="宋体" w:cs="宋体"/>
                <w:color w:val="000000"/>
                <w:kern w:val="0"/>
                <w:sz w:val="24"/>
                <w:lang w:bidi="ar"/>
              </w:rPr>
              <w:t>）</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顶</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1.投影尺寸：长≥10m、宽≥8m、高≥3.5m，肩高：≥1.8m，投影面积：≥100㎡。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2.内部尺寸：长≥11.8m、宽≥7m、高≥3m，肩高：≥1.8m，内部面积：≥84㎡。</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3.外篷材质：防水涂层牛津布，克重：≥450g/㎡，颜色能够根据采购人要求定制，具备防水、抗紫外线、防霉、抗紫外线、防潮性能，阻燃性能：满足离火3秒后即自灭。</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4.气柱材质：PVC双面涂层夹网布 ，克重：≥720g/㎡，颜色须根据采购人要求定制，一体式充气。</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5.内衬材质：210D牛津布，克重：≥70g/㎡，颜色须根据采购人要求定制。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6.地布材质：刀刮布，克重：≥550g/㎡，颜色须根据采购人要求定制。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7.前门数量：1扇，尺寸（m）：≥宽1.2 *高1.9，后门量：1扇，尺寸（m）：≥宽 1.9*高1.9。</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8.窗户数量：≥8扇，尺寸（m）：≥长0.70 *宽0.6，窗户开启方式：手动，是配防雨条。</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9.气柱上安装充排阀数量：≥2个，安全阀数量：≥1个。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10.通风口数量：≥1个，直径：≥300mm，充气口数量：≥2个，直径：≥100mm。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11.配置电动充排泵数量：≥1台。</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12.制作工艺：主体高频热合热封。</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13.工作压力：等于或优于18-20Kpa。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14.工作温度：等于或优于-30～70℃。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▲15.充气时间：≤20min。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▲16.抗风等级：≥8级。</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17.自重：≤400kg。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18.包装尺寸（长*宽*高）（m）：≤2.5*1.2*1.2。</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19.静水压： ≥10kpa。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▲20.防水高度：≥25cm。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▲21.扛雪能力：≥10kg/㎡，扛水能力：≥10000mm/h</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▲22.符合标准：《野营帐篷》GB/Z 27735-2022、《遮阳篷和野营帐篷用织物》（GB/T33272-2016）。</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★23.主要功能：用于野外施工作业、露营训练、临时会所、临时指挥所、野外医疗、抢险救灾等情况下的雨雪、风沙、阳光遮挡防护。</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▲24.气柱保压时间≥48小时，一次充气自行竖立时间≥7天，具备自动补气功能。</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★25.帐篷按照采购人要求进行涂装。</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26.配置快速修理包、充气泵至少1台。</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27.配置防潮地垫1张，面积不低于帐篷投影面积。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宿营方舱</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1.适合标准集装箱半挂车和平板车运载。材质：碳钢金属。尺寸（长*宽*高）：≥8000mm*2400mm*2800mm。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▲2.床铺数量：≥20张，床铺长度：≥1900mm，宽度：600mm。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3.方舱中间为人行过道，床铺完全展开后过道宽度：≥600mm。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4.每个床铺至少配置：1个私人物品柜、1个折叠式全铝合金小板凳、2个220V插座、1个USB充电插口。</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5.供电系统</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5.1额定功率：≥10kW；</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5.2额定电压：220V；</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5.3频率：50Hz；</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5.4配备手动线缆盘至少1盘，每盘长度：≥50m；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5.5发电机启动后，方舱内声音≤68分贝；</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▲5.6配备空调系统，空调匹数：≥3P；</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▲5.7配备空气净化系统：≥2套；</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5.8方舱内安装CO报警器数量：≥4个。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5.9可连接市电使用。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▲6.配备独立采暖系统，功率：≥10kw。</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7.方舱内合理设置燃油暖风机出风口，数量：≥4个。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8.方舱内照明灯总功率：≥100w。</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9.每个床铺床头设置带开关的床铺照明灯，照明灯功率：≥3w。</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10.方舱内配备车载冷热饮水器（含水桶）至少1套。</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★11.方舱内配备液晶电视，尺寸：≥50寸。（提供节能产品认证证书）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12.配备卫星电视电线接收器和扬声器。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13.配备卫生洗漱设备、电动粉碎马桶、洗手池。</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14.设置通风窗，数量：≥8扇。</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▲15.交货时提供带CMA或CNAS标识的检测报告。</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 xml:space="preserve"> 16.展开方式：液压展开。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空气充填泵</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▲1.符合《呼吸防护用压缩空气技术要求》（GB/T31975-2015）标准要求。</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2.级数：≥3stage。</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3.最大工作压力：≥330bar。</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▲4.充瓶流量：≥315L/min。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5.电机功率：≥5.5kW。</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6.电压：380V。</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7.频率：50Hz。</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8.噪音：≤83dB(A)。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9.重量：≤120kg。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10.充气速度: ≥315L/min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11.显示功能具有：排气压力、运行模式、运行状态、运行时间累积、故障内容。</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12.保护功能具有：低油位报警停机、保养间隔报警提示。</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13.设定功能具有：手动模式、自动模式。</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▲12.提供带CMA或CNAS标识的检测报告。</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★13.组成部分至少包括压缩机组、防爆充气箱、储气系统。</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14.配置安全箱。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restart"/>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摩托艇</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艘</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1.长*宽*高：长≥3m、宽≥1m、高≥1m。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2.净重：≤300kg。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▲3.发动机最大输出功率：≥120kw。</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4.冷却系统：水冷。</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5.发动机类型：不低于4冲程。</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6.排气量：≥1200cc。</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7.燃油容量：≥50L。</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8.总机油量：≥3L。</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9.总储物容量：≥50L。</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10.定员人数：≥3人。</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▲11.最大载重：≥240kg。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▲12.航速：≥80km/h 。</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13.带拖架</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14.静止状态下吃水深度：≤20cm。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硬质救援艇（冲锋舟）</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艘</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▲1.提供带CMA或CNAS标识的检测报告或中国船级社（CCS）出具的证书。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★2.用途至少包括：江河、水库、湖泊等内河淡水水域的防汛抢险、水域救援。</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▲3.船体材质：玻璃钢。</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4.乘坐人员：≥8人；</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5.船体尺寸（长*宽）：≥500*150cm，船体重量：≤300kg；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▲6.舷外机功率：≥60匹马力；舷外机燃油容量：≥24L。</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7.螺旋桨防护罩材质：不锈钢。</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8.吃水深度：≥20cm。</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▲9.满载重量：≥850kg。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restart"/>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水下侧扫声呐</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▲1.满足《侧扫声呐测量技术要求》（JT/T 1362-2020）。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2.配备声纳探头。</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3.具有永久性标志及产品数据标识。</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4.液晶屏尺寸：≥9寸，分辨率：≥1280x720dpi。</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▲5.防水等级：≥IPX6。</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6.耐水压力：≥2.5MPa。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▲7.声呐侧扫最大量程：≥180m，下扫距离最大量程：≥90m。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8.可视角度：≥80°上/下，≥80°左/右。</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▲9.工作频率：低频455KHZ、高频1200kHz。</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▲10.声呐探头工作水深≥300米。</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11.具有三种以上扫描方式；具有下扫/侧扫功能。</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12.内置全球简易海图；航点存储数量≥5000个，航线储存数量≥100条，内置GPS天线，具备水下声呐导航定位功能。</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13.具有视频录像和回放功能；内存≥32G。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14.主机内置≥30A容量电池；可显示电池电量；工作时间≥8h；具有≥2个USB快充口，可以直接电子设备充电；有≥2个充电指示灯，可显示充电和充满状态。</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15.主机和声呐探头应具备可安装可拆卸支架，可快速在冲锋舟上安装使用；应具备≥1米手持探杆，可调节声呐探头深浅。</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▲16.提供带CMA或CNAS标识的检测报告。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水下前视声呐</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▲1.工作深度范围：≥100m。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2.最大工作频率：≥800kHz。</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▲3.防护等级：≥IP68。</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4.工作温度范围：≥-20℃至50℃。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5.工作温度范围：≥-20℃至50℃。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6.声呐主机显示屏：≥9寸触摸显示屏，分辨率：≥1920*1080。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▲7.声呐探头：</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（1）续航时间：≥8h。</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（2）量程：下扫≥90m，侧扫≥90m。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8.内置GPS卫星系统，提供位置、速度和时间数据，支持GPS定位，并对目标物的位置进行GPS坐标定位，带有全球简易海图、蓝牙、自动航速、雷达3G、4G、船舶自动识别，具备扫描记录功能。</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9.水下探测杆：可收缩，长度≥3米，带水下摄像头360旋转。</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10.携行箱：全铝合金一体箱手提和背负式设计。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restart"/>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水下推进器</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1.使用时间≥60分钟，有多档位调速档。</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▲2.颜色和标识能根据采购人要求定制。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▲3.总推力≥15kg。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4.最高速≥8km/h。</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5.续航里程≥5海里。</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6.最大工作深度≥50m。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7.工作温度≥-5 ℃~40 ℃。</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▲8.防水等级≥IP68。</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9.推进器符合人体工程学设计。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水下破拆工具组</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1.最大作业深度：≥60 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2.组成部分：水陆两用剪切器、水陆两用扩张器、水陆两用剪扩器、水陆两用电动泵、水陆两用双级撑顶器、浮力装置。</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▲3.水陆两用剪切器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最大剪切Q235A圆钢直径：≥30mm，最大开口距离：≥160mm。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▲4.水陆两用剪扩器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最大开口距离：≥360mm，剪切圆钢直径：≥28mm，剪切力:≥500KN,最大扩张力:≥145KN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▲5.水陆两用扩张器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 xml:space="preserve">最大开口距离≥660mm，最大挤压力≥74KN. </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6.水陆两用双级撑顶器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收拢长度≤550mm，撑顶力：第一级≥220KN、第二级≥125KN，撑顶长度第一级≥750mm，第二级≥1000mm.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7.水陆两用电动泵</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额定工作压力≥72MPa，额定流量≥0.3L/min，低压流量≥2L/min。</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▲8.工具性能符合《液压破拆工具通用技术条件》GB/T17906标准，整套工具为水陆两用设计，可整套装备（包括动力源）潜入水下操作。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充气式上浮系统</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1.充气口充气方式：3/4"BSPT螺纹不锈钢球阀和气瓶快接充气两种方式。</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▲2.材质：PVC，强度：≥5000N/5cm，提升力：≥2000kg。浮力袋数量：≥4个。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3.可用于海水、淡水；</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4.满足浮袋为单吊点，吊带、卸扣、吊环等都具有工作强度标示、顶部有翻倒绳附着点，配有手拉排气阀，从浮袋下面手动操作打开。</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 xml:space="preserve">5.浮力袋需配有过压防爆安全阀，安全阀打开压力为16-24Kpa，同时也可以手拉排气。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无电切割刀</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▲1.喷焰≥4000华氏度。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2.可溶化绝大多数的常见金属障碍物。</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3.重量：≤7kg。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4.组成部分至少包括：药筒（10支）、激发手柄（1个）、护目镜（一副）、电池（1个）、防护手套（一副）、使用说明书（1份）、充电器（一个）、手提包装箱（1个）。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▲5.切割性能：</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（1）切断Ф19mm×0.3mm不锈钢圆管（材质201）所需时间≤2.5s。</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（2）切断25mm×25mm×0.4mm不锈钢方管（材质201）所需时间≤5s。</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（3）在1mm厚钢板（单层）上切割500mm长的缺口所需时间≤60s。</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（4）在3mm厚铝合金板上切割500mm长的缺口（材质为6063）所需时间≤45s。</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（5）在6mm厚铝合金板上切割200mm长的缺口（材质为6063）所需时间≤60s。</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（6）破拆厚度15mm平面钢化玻璃所需时间≤50s。</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（7）破拆厚度26mm中空钢化玻璃所需时间≤51s。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金属弧水陆切割器</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组成部分至少包括：碳纤维氧气瓶1个（容量6.8L），金属弧燃烧棒10根（直径8mm）、外携箱1个，背托1个，切割枪1个，锂电池1个（含充电器），护目镜1副，电源线1根（含快接头），气体减压阀总成1套（含减压阀、氧气输出管、气压表），防护手套1双。</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▲2.金属弧燃烧棒燃烧最高温度：≥10000华氏度。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3.可充电锂电池可连续点燃不少于100根金属弧燃烧棒。</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4.所有的气体和电源接口为快接式接口。</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5.切割枪内置气量调节开关，能够调节用气量。</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6.重量：≤16kg。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7.氧气瓶工作压力：≥12mpa。</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8.工作温度范围：≥-20℃至50℃。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水下电焊切割机</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组成部分至少包括：碳纤维氧气瓶1个（容量6.8L），金属弧燃烧棒10根（直径8mm）、外携箱1个，背托1个，切割枪1个，锂电池1个（含充电器），护目镜1副，电源线1根（含快接头），气体减压阀总成1套（含减压阀、氧气输出管、气压表），防护手套1双。</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▲2.金属弧燃烧棒燃烧最高温度：≥10000华氏度。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3.可充电锂电池可连续点燃不少于100根金属弧燃烧棒。</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4.所有的气体和电源接口为快接式接口。</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5.切割枪内置气量调节开关，能够调节用气量。</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6.重量：≤16kg。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7.氧气瓶工作压力：≥12mpa。</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8.工作温度范围：≥-20℃至50℃。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水下摄像机</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40</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▲1.摄像头像素：≥2000万。</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 照片最大分辨率：≥4608*2560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 视频最大分辨率：≥4K</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4.防水等级：≥IP68 。</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5.重量：≤350g。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▲6.摄像机防水深度（裸机不加防水壳）：≥10m。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▲7.摄像机防水深度（加防水壳）：≥40m。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8.广角镜头：≥90°</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9.屏幕尺寸：≥2.2 英寸。</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10.电池：充电时间：≤2h，容量：≥1700mAh。</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11.扩展SD卡内存：≥128 G。</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12.支持夜摄、防抖，配备防水壳、储存卡及外挂广角镜头。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水下起吊工具组</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★1.组成部分至少包括：全密闭式浮力袋（含安全排气阀）、潜水气瓶、气瓶减压阀、中压连接管、泄气阀、承重带、固定链条、携带手提包。</w:t>
            </w:r>
          </w:p>
          <w:p>
            <w:pPr>
              <w:widowControl/>
              <w:jc w:val="left"/>
              <w:textAlignment w:val="center"/>
              <w:rPr>
                <w:rStyle w:val="95"/>
                <w:rFonts w:hint="default"/>
                <w:sz w:val="24"/>
                <w:szCs w:val="24"/>
                <w:lang w:bidi="ar"/>
              </w:rPr>
            </w:pPr>
            <w:r>
              <w:rPr>
                <w:rStyle w:val="95"/>
                <w:rFonts w:hint="default"/>
                <w:sz w:val="24"/>
                <w:szCs w:val="24"/>
                <w:lang w:bidi="ar"/>
              </w:rPr>
              <w:t>2.组合气囊式设计，可单独使用，可组合使用，最大起浮能力≥10t</w:t>
            </w:r>
          </w:p>
          <w:p>
            <w:pPr>
              <w:widowControl/>
              <w:jc w:val="left"/>
              <w:textAlignment w:val="center"/>
              <w:rPr>
                <w:rStyle w:val="95"/>
                <w:rFonts w:hint="default"/>
                <w:sz w:val="24"/>
                <w:szCs w:val="24"/>
                <w:lang w:bidi="ar"/>
              </w:rPr>
            </w:pPr>
            <w:r>
              <w:rPr>
                <w:rStyle w:val="95"/>
                <w:rFonts w:hint="default"/>
                <w:sz w:val="24"/>
                <w:szCs w:val="24"/>
                <w:lang w:bidi="ar"/>
              </w:rPr>
              <w:t>3.材质：PVC或更优质材料。</w:t>
            </w:r>
          </w:p>
          <w:p>
            <w:pPr>
              <w:widowControl/>
              <w:jc w:val="left"/>
              <w:textAlignment w:val="center"/>
              <w:rPr>
                <w:rStyle w:val="95"/>
                <w:rFonts w:hint="default"/>
                <w:sz w:val="24"/>
                <w:szCs w:val="24"/>
                <w:lang w:bidi="ar"/>
              </w:rPr>
            </w:pPr>
            <w:r>
              <w:rPr>
                <w:rStyle w:val="95"/>
                <w:rFonts w:hint="default"/>
                <w:sz w:val="24"/>
                <w:szCs w:val="24"/>
                <w:lang w:bidi="ar"/>
              </w:rPr>
              <w:t>4.配件：浮力袋≥4个，安全排气阀≥16个，潜水气瓶≥1个，泄气阀≥8个，承重带≥4条，固定链条≥4 根，携带手提包≥4个。</w:t>
            </w:r>
          </w:p>
          <w:p>
            <w:pPr>
              <w:widowControl/>
              <w:jc w:val="left"/>
              <w:textAlignment w:val="center"/>
              <w:rPr>
                <w:rStyle w:val="95"/>
                <w:rFonts w:hint="default"/>
                <w:sz w:val="24"/>
                <w:szCs w:val="24"/>
                <w:lang w:bidi="ar"/>
              </w:rPr>
            </w:pPr>
            <w:r>
              <w:rPr>
                <w:rStyle w:val="95"/>
                <w:rFonts w:hint="default"/>
                <w:sz w:val="24"/>
                <w:szCs w:val="24"/>
                <w:lang w:bidi="ar"/>
              </w:rPr>
              <w:t>5.用途：用于打捞海水、淡水环境下，沉没的车辆、船只等大型设备。</w:t>
            </w:r>
          </w:p>
          <w:p>
            <w:pPr>
              <w:widowControl/>
              <w:jc w:val="left"/>
              <w:textAlignment w:val="center"/>
              <w:rPr>
                <w:rStyle w:val="95"/>
                <w:rFonts w:hint="default"/>
                <w:sz w:val="24"/>
                <w:szCs w:val="24"/>
                <w:lang w:bidi="ar"/>
              </w:rPr>
            </w:pPr>
            <w:r>
              <w:rPr>
                <w:rStyle w:val="95"/>
                <w:rFonts w:hint="default"/>
                <w:sz w:val="24"/>
                <w:szCs w:val="24"/>
                <w:lang w:bidi="ar"/>
              </w:rPr>
              <w:t>6.配备充气管≥4根，每根长度≥20米。</w:t>
            </w:r>
          </w:p>
          <w:p>
            <w:pPr>
              <w:widowControl/>
              <w:jc w:val="left"/>
              <w:textAlignment w:val="center"/>
              <w:rPr>
                <w:rStyle w:val="95"/>
                <w:rFonts w:hint="default"/>
                <w:sz w:val="24"/>
                <w:szCs w:val="24"/>
                <w:lang w:bidi="ar"/>
              </w:rPr>
            </w:pPr>
            <w:r>
              <w:rPr>
                <w:rStyle w:val="95"/>
                <w:rFonts w:hint="default"/>
                <w:sz w:val="24"/>
                <w:szCs w:val="24"/>
                <w:lang w:bidi="ar"/>
              </w:rPr>
              <w:t>7.包含：降落伞形浮力袋≥2个，枕形浮力袋≥2个。</w:t>
            </w:r>
          </w:p>
          <w:p>
            <w:pPr>
              <w:widowControl/>
              <w:jc w:val="left"/>
              <w:textAlignment w:val="center"/>
              <w:rPr>
                <w:rStyle w:val="95"/>
                <w:rFonts w:hint="default"/>
                <w:sz w:val="24"/>
                <w:szCs w:val="24"/>
                <w:lang w:bidi="ar"/>
              </w:rPr>
            </w:pPr>
            <w:r>
              <w:rPr>
                <w:rStyle w:val="95"/>
                <w:rFonts w:hint="default"/>
                <w:sz w:val="24"/>
                <w:szCs w:val="24"/>
                <w:lang w:bidi="ar"/>
              </w:rPr>
              <w:t>8.总浮力≥12t。</w:t>
            </w:r>
          </w:p>
          <w:p>
            <w:pPr>
              <w:widowControl/>
              <w:jc w:val="left"/>
              <w:textAlignment w:val="center"/>
              <w:rPr>
                <w:rStyle w:val="95"/>
                <w:rFonts w:hint="default"/>
                <w:sz w:val="24"/>
                <w:szCs w:val="24"/>
                <w:lang w:bidi="ar"/>
              </w:rPr>
            </w:pPr>
            <w:r>
              <w:rPr>
                <w:rStyle w:val="95"/>
                <w:rFonts w:hint="default"/>
                <w:sz w:val="24"/>
                <w:szCs w:val="24"/>
                <w:lang w:bidi="ar"/>
              </w:rPr>
              <w:t>9.工作环境：可用于海水、淡水。</w:t>
            </w:r>
          </w:p>
          <w:p>
            <w:pPr>
              <w:widowControl/>
              <w:jc w:val="left"/>
              <w:textAlignment w:val="center"/>
              <w:rPr>
                <w:rStyle w:val="95"/>
                <w:rFonts w:hint="default"/>
                <w:sz w:val="24"/>
                <w:szCs w:val="24"/>
                <w:lang w:bidi="ar"/>
              </w:rPr>
            </w:pPr>
            <w:r>
              <w:rPr>
                <w:rStyle w:val="95"/>
                <w:rFonts w:hint="default"/>
                <w:sz w:val="24"/>
                <w:szCs w:val="24"/>
                <w:lang w:bidi="ar"/>
              </w:rPr>
              <w:t>10.浮力袋安全系数应至少为工作负荷的5:1。</w:t>
            </w:r>
          </w:p>
          <w:p>
            <w:pPr>
              <w:widowControl/>
              <w:jc w:val="left"/>
              <w:textAlignment w:val="center"/>
              <w:rPr>
                <w:rStyle w:val="95"/>
                <w:rFonts w:hint="default"/>
                <w:sz w:val="24"/>
                <w:szCs w:val="24"/>
                <w:lang w:bidi="ar"/>
              </w:rPr>
            </w:pPr>
            <w:r>
              <w:rPr>
                <w:rStyle w:val="95"/>
                <w:rFonts w:hint="default"/>
                <w:sz w:val="24"/>
                <w:szCs w:val="24"/>
                <w:lang w:bidi="ar"/>
              </w:rPr>
              <w:t>11.充气口：</w:t>
            </w:r>
          </w:p>
          <w:p>
            <w:pPr>
              <w:widowControl/>
              <w:jc w:val="left"/>
              <w:textAlignment w:val="center"/>
              <w:rPr>
                <w:rStyle w:val="95"/>
                <w:rFonts w:hint="default"/>
                <w:sz w:val="24"/>
                <w:szCs w:val="24"/>
                <w:lang w:bidi="ar"/>
              </w:rPr>
            </w:pPr>
            <w:r>
              <w:rPr>
                <w:rStyle w:val="95"/>
                <w:rFonts w:hint="default"/>
                <w:sz w:val="24"/>
                <w:szCs w:val="24"/>
                <w:lang w:bidi="ar"/>
              </w:rPr>
              <w:t>（1）降落伞形浮力袋：3/4"BSPT螺纹不锈钢球阀充气口；</w:t>
            </w:r>
          </w:p>
          <w:p>
            <w:pPr>
              <w:widowControl/>
              <w:jc w:val="left"/>
              <w:textAlignment w:val="center"/>
              <w:rPr>
                <w:rFonts w:ascii="宋体" w:hAnsi="宋体" w:cs="宋体"/>
                <w:color w:val="000000"/>
                <w:sz w:val="24"/>
              </w:rPr>
            </w:pPr>
            <w:r>
              <w:rPr>
                <w:rStyle w:val="95"/>
                <w:rFonts w:hint="default"/>
                <w:sz w:val="24"/>
                <w:szCs w:val="24"/>
                <w:lang w:bidi="ar"/>
              </w:rPr>
              <w:t>（2）枕形浮力袋：3/4"BSPT螺纹不锈钢球阀和气瓶快接充气两种方式。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电动卷扬机</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hint="eastAsia"/>
              </w:rPr>
            </w:pPr>
            <w:r>
              <w:rPr>
                <w:rFonts w:hint="eastAsia"/>
              </w:rPr>
              <w:t>★1.组成部分：电动卷扬机1台、钢丝绳150米、控制开关等附件。</w:t>
            </w:r>
          </w:p>
          <w:p>
            <w:pPr>
              <w:widowControl/>
              <w:jc w:val="left"/>
              <w:textAlignment w:val="center"/>
              <w:rPr>
                <w:rFonts w:hint="eastAsia"/>
              </w:rPr>
            </w:pPr>
            <w:r>
              <w:rPr>
                <w:rFonts w:hint="eastAsia"/>
              </w:rPr>
              <w:t>2.功率：≥11kw。</w:t>
            </w:r>
          </w:p>
          <w:p>
            <w:pPr>
              <w:widowControl/>
              <w:jc w:val="left"/>
              <w:textAlignment w:val="center"/>
              <w:rPr>
                <w:rFonts w:hint="eastAsia"/>
              </w:rPr>
            </w:pPr>
            <w:r>
              <w:rPr>
                <w:rFonts w:hint="eastAsia"/>
              </w:rPr>
              <w:t>3.钢丝绳规格：15.5mm（±0.5mm），长度：150m（±0.1m）。</w:t>
            </w:r>
          </w:p>
          <w:p>
            <w:pPr>
              <w:widowControl/>
              <w:jc w:val="left"/>
              <w:textAlignment w:val="center"/>
              <w:rPr>
                <w:rFonts w:hint="eastAsia"/>
              </w:rPr>
            </w:pPr>
            <w:r>
              <w:rPr>
                <w:rFonts w:hint="eastAsia"/>
              </w:rPr>
              <w:t>▲4.提升力：≥3t。</w:t>
            </w:r>
          </w:p>
          <w:p>
            <w:pPr>
              <w:widowControl/>
              <w:jc w:val="left"/>
              <w:textAlignment w:val="center"/>
              <w:rPr>
                <w:rFonts w:ascii="宋体" w:hAnsi="宋体" w:cs="宋体"/>
                <w:color w:val="000000"/>
                <w:sz w:val="24"/>
              </w:rPr>
            </w:pPr>
            <w:r>
              <w:rPr>
                <w:rFonts w:hint="eastAsia"/>
              </w:rPr>
              <w:t>▲5.额定转速：≥15m/min。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救援三角架</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1.材质：高强度铝合金，绞盘形式：手动或电动。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2.卷扬机技术参数：</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▲工作负荷≥180kg。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钢缆≥20m。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▲阻断力≥17kN。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齿轮比例：≥8：1。</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卷扬机带自锁装置。</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3.三角架参数：</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完全展开尺寸：210cm（±10cm）。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完全收缩尺寸≤140cm。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▲工作负荷≥800kg。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▲阻断力≥2200kg。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▲4.提供带CMA或CNAS标识的检测报告。</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★5.符合《救援三脚架》（XF3009-2020）标准。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restart"/>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水下无线通信系统</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★1.组成部分：由水面基站和水下对讲机组成，至少包括双通道地面工作站1个、数字水下对讲机2个。</w:t>
            </w:r>
          </w:p>
          <w:p>
            <w:pPr>
              <w:widowControl/>
              <w:jc w:val="left"/>
              <w:textAlignment w:val="center"/>
              <w:rPr>
                <w:rStyle w:val="95"/>
                <w:rFonts w:hint="default"/>
                <w:sz w:val="24"/>
                <w:szCs w:val="24"/>
                <w:lang w:bidi="ar"/>
              </w:rPr>
            </w:pPr>
            <w:r>
              <w:rPr>
                <w:rStyle w:val="95"/>
                <w:rFonts w:hint="default"/>
                <w:sz w:val="24"/>
                <w:szCs w:val="24"/>
                <w:lang w:bidi="ar"/>
              </w:rPr>
              <w:t>2.双通道地面工作站：可以与工作范围内同一频率的所有单边带超声波水下装置一起使用，输出功率：≥0.5W。</w:t>
            </w:r>
          </w:p>
          <w:p>
            <w:pPr>
              <w:widowControl/>
              <w:jc w:val="left"/>
              <w:textAlignment w:val="center"/>
              <w:rPr>
                <w:rFonts w:ascii="宋体" w:hAnsi="宋体" w:cs="宋体"/>
                <w:color w:val="000000"/>
                <w:sz w:val="24"/>
              </w:rPr>
            </w:pPr>
            <w:r>
              <w:rPr>
                <w:rStyle w:val="95"/>
                <w:rFonts w:hint="default"/>
                <w:sz w:val="24"/>
                <w:szCs w:val="24"/>
                <w:lang w:bidi="ar"/>
              </w:rPr>
              <w:t>▲3.水下对讲机：无线耳麦可进行数字、Micro-Miniature超声波收发，使用“数字信号处理”(DSP)技术，最大工作水深：≥40m，最大传输距离：≥400m。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潜水全面罩</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37</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1.总重量：≤750g。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2.面镜：采用硅胶裙边无泄漏的密封，钢化玻璃镜片，镜片表面具有长效高分子喷涂除雾处理。面罩带排水设计。</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▲3.空气供应：≥4500L/min。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4.高压端口：≥2个。中压端口：≥4个。</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▲5.工作压力：≥3.5MBAR。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干式潜水衣</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★1.组成部分至少包括：潜水衣1件、中压管1根、手套1双、保暖头套1个、潜水靴1双、手提袋1个，配备可更换式颈封、袖封。</w:t>
            </w:r>
          </w:p>
          <w:p>
            <w:pPr>
              <w:widowControl/>
              <w:jc w:val="left"/>
              <w:textAlignment w:val="center"/>
              <w:rPr>
                <w:rStyle w:val="95"/>
                <w:rFonts w:hint="default"/>
                <w:sz w:val="24"/>
                <w:szCs w:val="24"/>
                <w:lang w:bidi="ar"/>
              </w:rPr>
            </w:pPr>
            <w:r>
              <w:rPr>
                <w:rStyle w:val="95"/>
                <w:rFonts w:hint="default"/>
                <w:sz w:val="24"/>
                <w:szCs w:val="24"/>
                <w:lang w:bidi="ar"/>
              </w:rPr>
              <w:t>2.具有360°转动充气气阀，具有排气气阀，气阀可以手动排气或自动排气。</w:t>
            </w:r>
          </w:p>
          <w:p>
            <w:pPr>
              <w:widowControl/>
              <w:jc w:val="left"/>
              <w:textAlignment w:val="center"/>
              <w:rPr>
                <w:rStyle w:val="95"/>
                <w:rFonts w:hint="default"/>
                <w:sz w:val="24"/>
                <w:szCs w:val="24"/>
                <w:lang w:bidi="ar"/>
              </w:rPr>
            </w:pPr>
            <w:r>
              <w:rPr>
                <w:rStyle w:val="95"/>
                <w:rFonts w:hint="default"/>
                <w:sz w:val="24"/>
                <w:szCs w:val="24"/>
                <w:lang w:bidi="ar"/>
              </w:rPr>
              <w:t>3.潜水衣采用BDM防水金属拉链，设有保护层。</w:t>
            </w:r>
          </w:p>
          <w:p>
            <w:pPr>
              <w:widowControl/>
              <w:jc w:val="left"/>
              <w:textAlignment w:val="center"/>
              <w:rPr>
                <w:rStyle w:val="95"/>
                <w:rFonts w:hint="default"/>
                <w:sz w:val="24"/>
                <w:szCs w:val="24"/>
                <w:lang w:bidi="ar"/>
              </w:rPr>
            </w:pPr>
            <w:r>
              <w:rPr>
                <w:rStyle w:val="95"/>
                <w:rFonts w:hint="default"/>
                <w:sz w:val="24"/>
                <w:szCs w:val="24"/>
                <w:lang w:bidi="ar"/>
              </w:rPr>
              <w:t>4.潜水衣材质：三层透气防水复合面料，厚度：≤6mm。</w:t>
            </w:r>
          </w:p>
          <w:p>
            <w:pPr>
              <w:widowControl/>
              <w:jc w:val="left"/>
              <w:textAlignment w:val="center"/>
              <w:rPr>
                <w:rFonts w:ascii="宋体" w:hAnsi="宋体" w:cs="宋体"/>
                <w:color w:val="000000"/>
                <w:sz w:val="24"/>
              </w:rPr>
            </w:pPr>
            <w:r>
              <w:rPr>
                <w:rStyle w:val="95"/>
                <w:rFonts w:hint="default"/>
                <w:sz w:val="24"/>
                <w:szCs w:val="24"/>
                <w:lang w:bidi="ar"/>
              </w:rPr>
              <w:t>★5.供货时须根据采购人要求涂装。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湿式潜水衣</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w:t>
            </w:r>
            <w:r>
              <w:rPr>
                <w:rFonts w:ascii="宋体" w:hAnsi="宋体" w:cs="宋体"/>
                <w:color w:val="000000"/>
                <w:kern w:val="0"/>
                <w:sz w:val="24"/>
                <w:lang w:bidi="ar"/>
              </w:rPr>
              <w:t>.采用连体式结构。</w:t>
            </w:r>
          </w:p>
          <w:p>
            <w:pPr>
              <w:widowControl/>
              <w:jc w:val="left"/>
              <w:textAlignment w:val="center"/>
              <w:rPr>
                <w:rFonts w:ascii="宋体" w:hAnsi="宋体" w:cs="宋体"/>
                <w:color w:val="000000"/>
                <w:kern w:val="0"/>
                <w:sz w:val="24"/>
                <w:lang w:bidi="ar"/>
              </w:rPr>
            </w:pPr>
            <w:r>
              <w:rPr>
                <w:rFonts w:ascii="宋体" w:hAnsi="宋体" w:cs="宋体"/>
                <w:color w:val="000000"/>
                <w:kern w:val="0"/>
                <w:sz w:val="24"/>
                <w:lang w:bidi="ar"/>
              </w:rPr>
              <w:t>▲</w:t>
            </w:r>
            <w:r>
              <w:rPr>
                <w:rFonts w:hint="eastAsia" w:ascii="宋体" w:hAnsi="宋体" w:cs="宋体"/>
                <w:color w:val="000000"/>
                <w:kern w:val="0"/>
                <w:sz w:val="24"/>
                <w:lang w:bidi="ar"/>
              </w:rPr>
              <w:t>2</w:t>
            </w:r>
            <w:r>
              <w:rPr>
                <w:rFonts w:ascii="宋体" w:hAnsi="宋体" w:cs="宋体"/>
                <w:color w:val="000000"/>
                <w:kern w:val="0"/>
                <w:sz w:val="24"/>
                <w:lang w:bidi="ar"/>
              </w:rPr>
              <w:t>.主要材料为高弹氯丁橡胶，面料厚度≤5mm。</w:t>
            </w:r>
          </w:p>
          <w:p>
            <w:pPr>
              <w:widowControl/>
              <w:jc w:val="left"/>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3</w:t>
            </w:r>
            <w:r>
              <w:rPr>
                <w:rFonts w:ascii="宋体" w:hAnsi="宋体" w:cs="宋体"/>
                <w:color w:val="000000"/>
                <w:kern w:val="0"/>
                <w:sz w:val="24"/>
                <w:lang w:bidi="ar"/>
              </w:rPr>
              <w:t>.袖口、裤脚、前襟均设计有拉链，每个拉链均设有弹性保护套索。</w:t>
            </w:r>
          </w:p>
          <w:p>
            <w:pPr>
              <w:widowControl/>
              <w:jc w:val="left"/>
              <w:textAlignment w:val="center"/>
              <w:rPr>
                <w:rFonts w:ascii="宋体" w:hAnsi="宋体" w:cs="宋体"/>
                <w:color w:val="000000"/>
                <w:sz w:val="24"/>
              </w:rPr>
            </w:pPr>
            <w:r>
              <w:rPr>
                <w:rFonts w:ascii="宋体" w:hAnsi="宋体" w:cs="宋体"/>
                <w:color w:val="000000"/>
                <w:kern w:val="0"/>
                <w:sz w:val="24"/>
                <w:lang w:bidi="ar"/>
              </w:rPr>
              <w:t>★</w:t>
            </w:r>
            <w:r>
              <w:rPr>
                <w:rFonts w:hint="eastAsia" w:ascii="宋体" w:hAnsi="宋体" w:cs="宋体"/>
                <w:color w:val="000000"/>
                <w:kern w:val="0"/>
                <w:sz w:val="24"/>
                <w:lang w:bidi="ar"/>
              </w:rPr>
              <w:t>4</w:t>
            </w:r>
            <w:r>
              <w:rPr>
                <w:rFonts w:ascii="宋体" w:hAnsi="宋体" w:cs="宋体"/>
                <w:color w:val="000000"/>
                <w:kern w:val="0"/>
                <w:sz w:val="24"/>
                <w:lang w:bidi="ar"/>
              </w:rPr>
              <w:t>.供货时须根据采购人要求涂装。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潜水浮力装置</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1.为标准背负系统，为双肩带快卸扣，带横向连接的胸扣，长度可调节，V型档带，配备单瓶适配器，具有气瓶绑带及防滑垫。</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2.整体设置≥6个金属D环。</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3.V型档带两侧设置挂载点，腰带左右设置口袋，有快插式配重袋，气瓶绑带上设置配重口袋，可实现2-8kg的配重载荷。</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4.配置至少2个泄气阀。</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5.设置16寸圆形橡胶蛇纹充气管。</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6.浮力承载能力：≥200kg。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潜水气瓶</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48</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1.材质：铝。</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▲2.容积：≥12L。</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3.工作压力：≥20Mpa。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潜水调节器（含附件）</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18</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★1.组成部分至少包括：一级减压器、供气软管、二级呼吸减压器、备用调节器。</w:t>
            </w:r>
          </w:p>
          <w:p>
            <w:pPr>
              <w:widowControl/>
              <w:jc w:val="left"/>
              <w:textAlignment w:val="center"/>
              <w:rPr>
                <w:rStyle w:val="95"/>
                <w:rFonts w:hint="default"/>
                <w:sz w:val="24"/>
                <w:szCs w:val="24"/>
                <w:lang w:bidi="ar"/>
              </w:rPr>
            </w:pPr>
            <w:r>
              <w:rPr>
                <w:rStyle w:val="95"/>
                <w:rFonts w:hint="default"/>
                <w:sz w:val="24"/>
                <w:szCs w:val="24"/>
                <w:lang w:bidi="ar"/>
              </w:rPr>
              <w:t>2.一级头至少包含2个高压口，全干舱设计。</w:t>
            </w:r>
          </w:p>
          <w:p>
            <w:pPr>
              <w:widowControl/>
              <w:jc w:val="left"/>
              <w:textAlignment w:val="center"/>
              <w:rPr>
                <w:rStyle w:val="95"/>
                <w:rFonts w:hint="default"/>
                <w:sz w:val="24"/>
                <w:szCs w:val="24"/>
                <w:lang w:bidi="ar"/>
              </w:rPr>
            </w:pPr>
            <w:r>
              <w:rPr>
                <w:rStyle w:val="95"/>
                <w:rFonts w:hint="default"/>
                <w:sz w:val="24"/>
                <w:szCs w:val="24"/>
                <w:lang w:bidi="ar"/>
              </w:rPr>
              <w:t>▲3.一级头</w:t>
            </w:r>
          </w:p>
          <w:p>
            <w:pPr>
              <w:widowControl/>
              <w:jc w:val="left"/>
              <w:textAlignment w:val="center"/>
              <w:rPr>
                <w:rStyle w:val="95"/>
                <w:rFonts w:hint="default"/>
                <w:sz w:val="24"/>
                <w:szCs w:val="24"/>
                <w:lang w:bidi="ar"/>
              </w:rPr>
            </w:pPr>
            <w:r>
              <w:rPr>
                <w:rStyle w:val="95"/>
                <w:rFonts w:hint="default"/>
                <w:sz w:val="24"/>
                <w:szCs w:val="24"/>
                <w:lang w:bidi="ar"/>
              </w:rPr>
              <w:t>（1）流速：≥2100L/min。</w:t>
            </w:r>
          </w:p>
          <w:p>
            <w:pPr>
              <w:widowControl/>
              <w:jc w:val="left"/>
              <w:textAlignment w:val="center"/>
              <w:rPr>
                <w:rStyle w:val="95"/>
                <w:rFonts w:hint="default"/>
                <w:sz w:val="24"/>
                <w:szCs w:val="24"/>
                <w:lang w:bidi="ar"/>
              </w:rPr>
            </w:pPr>
            <w:r>
              <w:rPr>
                <w:rStyle w:val="95"/>
                <w:rFonts w:hint="default"/>
                <w:sz w:val="24"/>
                <w:szCs w:val="24"/>
                <w:lang w:bidi="ar"/>
              </w:rPr>
              <w:t>（2）额定工作压力：≥3500PSI。</w:t>
            </w:r>
          </w:p>
          <w:p>
            <w:pPr>
              <w:widowControl/>
              <w:jc w:val="left"/>
              <w:textAlignment w:val="center"/>
              <w:rPr>
                <w:rStyle w:val="95"/>
                <w:rFonts w:hint="default"/>
                <w:sz w:val="24"/>
                <w:szCs w:val="24"/>
                <w:lang w:bidi="ar"/>
              </w:rPr>
            </w:pPr>
            <w:r>
              <w:rPr>
                <w:rStyle w:val="95"/>
                <w:rFonts w:hint="default"/>
                <w:sz w:val="24"/>
                <w:szCs w:val="24"/>
                <w:lang w:bidi="ar"/>
              </w:rPr>
              <w:t>4.二级头：吸气阻力：≤1.4CIW，呼气阻力：≤1.2CIW。</w:t>
            </w:r>
          </w:p>
          <w:p>
            <w:pPr>
              <w:widowControl/>
              <w:jc w:val="left"/>
              <w:textAlignment w:val="center"/>
              <w:rPr>
                <w:rStyle w:val="95"/>
                <w:rFonts w:hint="default"/>
                <w:sz w:val="24"/>
                <w:szCs w:val="24"/>
                <w:lang w:bidi="ar"/>
              </w:rPr>
            </w:pPr>
            <w:r>
              <w:rPr>
                <w:rStyle w:val="95"/>
                <w:rFonts w:hint="default"/>
                <w:sz w:val="24"/>
                <w:szCs w:val="24"/>
                <w:lang w:bidi="ar"/>
              </w:rPr>
              <w:t>5.一级头、二级头高氧气体适用:最高至40%高氧空气。</w:t>
            </w:r>
          </w:p>
          <w:p>
            <w:pPr>
              <w:widowControl/>
              <w:jc w:val="left"/>
              <w:textAlignment w:val="center"/>
              <w:rPr>
                <w:rFonts w:ascii="宋体" w:hAnsi="宋体" w:cs="宋体"/>
                <w:color w:val="000000"/>
                <w:sz w:val="24"/>
              </w:rPr>
            </w:pPr>
            <w:r>
              <w:rPr>
                <w:rStyle w:val="95"/>
                <w:rFonts w:hint="default"/>
                <w:sz w:val="24"/>
                <w:szCs w:val="24"/>
                <w:lang w:bidi="ar"/>
              </w:rPr>
              <w:t>6.硅胶咬嘴，75CM橡胶材质低压软管，承压≥350PSI。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潜水电脑表</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32</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1.至少具有以下功能：中文界面、蓝牙传输、可快速充电、支持水肺、自由潜水、高氧(21-56%)、仪表至少4种模式。</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2.重量：≤95g。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▲3.符合《钟表 潜水表》GB/T 18828-2022标准。</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4.支持三种潜水模式及潜点导航功能，日记存储≥1000，使用深度限制≥100 米，语言支持中英文切换，表带采用18MM尼龙织带。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5.气体支持：一般空气及高氧（氧气百分比21%-99%）。</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6.充电电池，支持快速充电，1 小时可达 ≥85%电量。</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7.演算法：减压理论基于BuehlmannZH-L16C。</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8.电池续航时间（潜水模式）：≥40小时。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9.电池续航时间（待机状态）：≥14天。</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10.屏幕解析度：优于或等于240*240 PIXEL。</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11.温度显示区间在优于或等于 0℃-40℃（32℉-104℉），工作温度区间在：优于或等于-5℃-40℃（23℉-104℉）。</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12.具备内建转页功能。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潜水装备套装</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32</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一、组成部分至少包括：湿式潜水服、浮力背心、潜水靴、潜水袜、潜水脚蹼、潜水头套、潜水三联表、潜水手电、潜水刀、潜水面镜、供气阀、调节器、12L气瓶总成、压铅带、压铅（1.5kg配重铅4个、2kg配重铅2个）、手腕式潜水电脑、潜水拉杆包、公共安全潜水专用吊带1副、潜水双头钩4只、手持线轮1个、象拔1根、干式呼吸管1根、潜水面镜1个、3MM潜水手套2双。</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二、湿式潜水服</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▲1.材质：发泡氯丁橡胶，厚度≥5mm。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2.分体式结构。</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三、潜水靴</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▲1.材质：氯丁橡胶，厚度≥5mm。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2.后跟加固配有脚带固定橡胶块。</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3.配有拉链。</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 xml:space="preserve">四、潜水袜 </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1.材质：氯丁橡胶，底部附有颗粒。</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五、潜水脚蹼</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1.材质：橡胶。</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六、潜水头套</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1.用于头部保暖，紧密贴合头部。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七、潜水三联表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1.由3个独立仪表组合。可实时显示气瓶中气体压力，潜水深度，配指北针。</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八、潜水手电</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1.亮度：≥1200lx。续航时间：≥4h。防水深度：≥120米，配备潜水手电手戴式支架2个。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 xml:space="preserve">九、潜水刀 </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1.手刀片材质：不锈钢或钛合金，刀刃一边为光滑刃口和割绳口，另一边为锯齿形刃口。配备潜水刀专用腿部固定带。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十、潜水面镜</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1.高清防雾镜片，宽框，可选配近视镜片。</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2.镜身材质：食品级硅胶，要求无缝贴合。</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十一、调节器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1.调节器工作压力≥150Bar，配有高压端口、低压端口。</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十二、12L气瓶总成</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1.配防爆阀，容量≥12L，工作压力≥20MPa。</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十三、压铅带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1.厚度：≥5cm，耐腐蚀材质，长度可调整，钢质扣。</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十四、手腕式潜水电脑</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1.可记录潜水时间，潜水深度，显示深度，预置潜水计划，上升速度过快报警，停留减压提示，潜水活动记录。</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2.防水深度≥100m。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restart"/>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冰域呼吸器组件</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组</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1.为平衡隔膜式一级和高效能二级。</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2.为气孔轴线垂直于进气通道轴线，T型结构。</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3.为内部热交换器，可拆卸导流板和阀体。</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▲4.工作压力：≥300BAR，校准压力：≥10  BAR。</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▲5.空气供应：≥4500 L/min，重量：≤750 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6.高压端口：≥2个。中压端口：≥4个。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7.开启供气阀平均力：≥3.5MBAR，平均呼吸功耗：≤0.6J/L。</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8.工作压强：≥4300PSI。</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9.材质：铜或铝。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冰面救援滑板</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14</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1.充气式救援滑板。</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2.产品展开尺寸：≥160cm×90cm×15cm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3.产品重量：≤20kg。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4.产品颜色：颜色能供甲方选择。</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5.产品结构：前端有3个挂绳孔和牵引拉绳，可配合水上摩托艇等机动救援器材。</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▲6.提供带CMA或CNAS标识的检测报告。</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▲7.承载重量：≥200kg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冰面行动辅助套装</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9</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1.冰爪1副</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1.1材质：高耐寒TPU+锰钢+尼龙绑带。</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1.2具备扁平状前齿。</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1.3为双层尺码调节系统。</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1.4有可拆卸阻雪板。</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1.5能快速从36－43码调节至42－47码。</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1.6重量：≤1000g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2.爬行辅助器（冰锥）1对</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2.1由两个可压弹出金属冰锥头的把手和反光连接线组成。</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2.2塑料把手长度：≥10cm。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2.3把手用反光固定绳连接。</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3.冰镐1把</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3.1手柄材质：航空铝合金。</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3.2镐尖材质：铝钼合金刚。</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3.3为弯曲镐柄，T型冰镐。</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▲3.4长度：≥50cm，重量：≤650g。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3.5镐柄带有仿脱手卡位器。</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4.冰锚1副</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▲4.1强度：≥10kN。</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4.2尺寸：≤300mm×150mm。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restart"/>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绳索救援套装</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14</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1.抓绳器</w:t>
            </w:r>
          </w:p>
          <w:p>
            <w:pPr>
              <w:widowControl/>
              <w:jc w:val="left"/>
              <w:textAlignment w:val="center"/>
              <w:rPr>
                <w:rStyle w:val="95"/>
                <w:rFonts w:hint="default"/>
                <w:sz w:val="24"/>
                <w:szCs w:val="24"/>
                <w:lang w:bidi="ar"/>
              </w:rPr>
            </w:pPr>
            <w:r>
              <w:rPr>
                <w:rStyle w:val="95"/>
                <w:rFonts w:hint="default"/>
                <w:sz w:val="24"/>
                <w:szCs w:val="24"/>
                <w:lang w:bidi="ar"/>
              </w:rPr>
              <w:t>1.1用途：用于收紧绳索使用。</w:t>
            </w:r>
          </w:p>
          <w:p>
            <w:pPr>
              <w:widowControl/>
              <w:jc w:val="left"/>
              <w:textAlignment w:val="center"/>
              <w:rPr>
                <w:rStyle w:val="95"/>
                <w:rFonts w:hint="default"/>
                <w:sz w:val="24"/>
                <w:szCs w:val="24"/>
                <w:lang w:bidi="ar"/>
              </w:rPr>
            </w:pPr>
            <w:r>
              <w:rPr>
                <w:rStyle w:val="95"/>
                <w:rFonts w:hint="default"/>
                <w:sz w:val="24"/>
                <w:szCs w:val="24"/>
                <w:lang w:bidi="ar"/>
              </w:rPr>
              <w:t>▲1.2重量：≤240g，绳索直径兼容≥9-12mm，数量≥4个。</w:t>
            </w:r>
          </w:p>
          <w:p>
            <w:pPr>
              <w:widowControl/>
              <w:jc w:val="left"/>
              <w:textAlignment w:val="center"/>
              <w:rPr>
                <w:rStyle w:val="95"/>
                <w:rFonts w:hint="default"/>
                <w:sz w:val="24"/>
                <w:szCs w:val="24"/>
                <w:lang w:bidi="ar"/>
              </w:rPr>
            </w:pPr>
            <w:r>
              <w:rPr>
                <w:rStyle w:val="95"/>
                <w:rFonts w:hint="default"/>
                <w:sz w:val="24"/>
                <w:szCs w:val="24"/>
                <w:lang w:bidi="ar"/>
              </w:rPr>
              <w:t>2.非齿类抓绳器1个</w:t>
            </w:r>
          </w:p>
          <w:p>
            <w:pPr>
              <w:widowControl/>
              <w:jc w:val="left"/>
              <w:textAlignment w:val="center"/>
              <w:rPr>
                <w:rStyle w:val="95"/>
                <w:rFonts w:hint="default"/>
                <w:sz w:val="24"/>
                <w:szCs w:val="24"/>
                <w:lang w:bidi="ar"/>
              </w:rPr>
            </w:pPr>
            <w:r>
              <w:rPr>
                <w:rStyle w:val="95"/>
                <w:rFonts w:hint="default"/>
                <w:sz w:val="24"/>
                <w:szCs w:val="24"/>
                <w:lang w:bidi="ar"/>
              </w:rPr>
              <w:t>2.1功能设计：紧绳使用。</w:t>
            </w:r>
          </w:p>
          <w:p>
            <w:pPr>
              <w:widowControl/>
              <w:jc w:val="left"/>
              <w:textAlignment w:val="center"/>
              <w:rPr>
                <w:rStyle w:val="95"/>
                <w:rFonts w:hint="default"/>
                <w:sz w:val="24"/>
                <w:szCs w:val="24"/>
                <w:lang w:bidi="ar"/>
              </w:rPr>
            </w:pPr>
            <w:r>
              <w:rPr>
                <w:rStyle w:val="95"/>
                <w:rFonts w:hint="default"/>
                <w:sz w:val="24"/>
                <w:szCs w:val="24"/>
                <w:lang w:bidi="ar"/>
              </w:rPr>
              <w:t>3.双轨万向滑轮</w:t>
            </w:r>
          </w:p>
          <w:p>
            <w:pPr>
              <w:widowControl/>
              <w:jc w:val="left"/>
              <w:textAlignment w:val="center"/>
              <w:rPr>
                <w:rStyle w:val="95"/>
                <w:rFonts w:hint="default"/>
                <w:sz w:val="24"/>
                <w:szCs w:val="24"/>
                <w:lang w:bidi="ar"/>
              </w:rPr>
            </w:pPr>
            <w:r>
              <w:rPr>
                <w:rStyle w:val="95"/>
                <w:rFonts w:hint="default"/>
                <w:sz w:val="24"/>
                <w:szCs w:val="24"/>
                <w:lang w:bidi="ar"/>
              </w:rPr>
              <w:t>3.1滑轮尺寸直径≤50mm。</w:t>
            </w:r>
          </w:p>
          <w:p>
            <w:pPr>
              <w:widowControl/>
              <w:jc w:val="left"/>
              <w:textAlignment w:val="center"/>
              <w:rPr>
                <w:rStyle w:val="95"/>
                <w:rFonts w:hint="default"/>
                <w:sz w:val="24"/>
                <w:szCs w:val="24"/>
                <w:lang w:bidi="ar"/>
              </w:rPr>
            </w:pPr>
            <w:r>
              <w:rPr>
                <w:rStyle w:val="95"/>
                <w:rFonts w:hint="default"/>
                <w:sz w:val="24"/>
                <w:szCs w:val="24"/>
                <w:lang w:bidi="ar"/>
              </w:rPr>
              <w:t>3.2滑轮材质：铝合金，重量：≤600g。</w:t>
            </w:r>
          </w:p>
          <w:p>
            <w:pPr>
              <w:widowControl/>
              <w:jc w:val="left"/>
              <w:textAlignment w:val="center"/>
              <w:rPr>
                <w:rStyle w:val="95"/>
                <w:rFonts w:hint="default"/>
                <w:sz w:val="24"/>
                <w:szCs w:val="24"/>
                <w:lang w:bidi="ar"/>
              </w:rPr>
            </w:pPr>
            <w:r>
              <w:rPr>
                <w:rStyle w:val="95"/>
                <w:rFonts w:hint="default"/>
                <w:sz w:val="24"/>
                <w:szCs w:val="24"/>
                <w:lang w:bidi="ar"/>
              </w:rPr>
              <w:t>▲3.3断裂负荷：≥35kN，可适配绳索直径≥9-12mm。</w:t>
            </w:r>
          </w:p>
          <w:p>
            <w:pPr>
              <w:widowControl/>
              <w:jc w:val="left"/>
              <w:textAlignment w:val="center"/>
              <w:rPr>
                <w:rStyle w:val="95"/>
                <w:rFonts w:hint="default"/>
                <w:sz w:val="24"/>
                <w:szCs w:val="24"/>
                <w:lang w:bidi="ar"/>
              </w:rPr>
            </w:pPr>
            <w:r>
              <w:rPr>
                <w:rStyle w:val="95"/>
                <w:rFonts w:hint="default"/>
                <w:sz w:val="24"/>
                <w:szCs w:val="24"/>
                <w:lang w:bidi="ar"/>
              </w:rPr>
              <w:t>4.担架用可调节挽索数量≥2条。</w:t>
            </w:r>
          </w:p>
          <w:p>
            <w:pPr>
              <w:widowControl/>
              <w:jc w:val="left"/>
              <w:textAlignment w:val="center"/>
              <w:rPr>
                <w:rStyle w:val="95"/>
                <w:rFonts w:hint="default"/>
                <w:sz w:val="24"/>
                <w:szCs w:val="24"/>
                <w:lang w:bidi="ar"/>
              </w:rPr>
            </w:pPr>
            <w:r>
              <w:rPr>
                <w:rStyle w:val="95"/>
                <w:rFonts w:hint="default"/>
                <w:sz w:val="24"/>
                <w:szCs w:val="24"/>
                <w:lang w:bidi="ar"/>
              </w:rPr>
              <w:t>5.多向受力圆环</w:t>
            </w:r>
          </w:p>
          <w:p>
            <w:pPr>
              <w:widowControl/>
              <w:jc w:val="left"/>
              <w:textAlignment w:val="center"/>
              <w:rPr>
                <w:rStyle w:val="95"/>
                <w:rFonts w:hint="default"/>
                <w:sz w:val="24"/>
                <w:szCs w:val="24"/>
                <w:lang w:bidi="ar"/>
              </w:rPr>
            </w:pPr>
            <w:r>
              <w:rPr>
                <w:rStyle w:val="95"/>
                <w:rFonts w:hint="default"/>
                <w:sz w:val="24"/>
                <w:szCs w:val="24"/>
                <w:lang w:bidi="ar"/>
              </w:rPr>
              <w:t>5.1可多向受力。</w:t>
            </w:r>
          </w:p>
          <w:p>
            <w:pPr>
              <w:widowControl/>
              <w:jc w:val="left"/>
              <w:textAlignment w:val="center"/>
              <w:rPr>
                <w:rStyle w:val="95"/>
                <w:rFonts w:hint="default"/>
                <w:sz w:val="24"/>
                <w:szCs w:val="24"/>
                <w:lang w:bidi="ar"/>
              </w:rPr>
            </w:pPr>
            <w:r>
              <w:rPr>
                <w:rStyle w:val="95"/>
                <w:rFonts w:hint="default"/>
                <w:sz w:val="24"/>
                <w:szCs w:val="24"/>
                <w:lang w:bidi="ar"/>
              </w:rPr>
              <w:t>5.2破断负荷≥70kN。。</w:t>
            </w:r>
          </w:p>
          <w:p>
            <w:pPr>
              <w:widowControl/>
              <w:jc w:val="left"/>
              <w:textAlignment w:val="center"/>
              <w:rPr>
                <w:rStyle w:val="95"/>
                <w:rFonts w:hint="default"/>
                <w:sz w:val="24"/>
                <w:szCs w:val="24"/>
                <w:lang w:bidi="ar"/>
              </w:rPr>
            </w:pPr>
            <w:r>
              <w:rPr>
                <w:rStyle w:val="95"/>
                <w:rFonts w:hint="default"/>
                <w:sz w:val="24"/>
                <w:szCs w:val="24"/>
                <w:lang w:bidi="ar"/>
              </w:rPr>
              <w:t>6.钩环</w:t>
            </w:r>
          </w:p>
          <w:p>
            <w:pPr>
              <w:widowControl/>
              <w:jc w:val="left"/>
              <w:textAlignment w:val="center"/>
              <w:rPr>
                <w:rStyle w:val="95"/>
                <w:rFonts w:hint="default"/>
                <w:sz w:val="24"/>
                <w:szCs w:val="24"/>
                <w:lang w:bidi="ar"/>
              </w:rPr>
            </w:pPr>
            <w:r>
              <w:rPr>
                <w:rStyle w:val="95"/>
                <w:rFonts w:hint="default"/>
                <w:sz w:val="24"/>
                <w:szCs w:val="24"/>
                <w:lang w:bidi="ar"/>
              </w:rPr>
              <w:t>6.1规格：110mm*69mm(±10mm）。</w:t>
            </w:r>
          </w:p>
          <w:p>
            <w:pPr>
              <w:widowControl/>
              <w:jc w:val="left"/>
              <w:textAlignment w:val="center"/>
              <w:rPr>
                <w:rStyle w:val="95"/>
                <w:rFonts w:hint="default"/>
                <w:sz w:val="24"/>
                <w:szCs w:val="24"/>
                <w:lang w:bidi="ar"/>
              </w:rPr>
            </w:pPr>
            <w:r>
              <w:rPr>
                <w:rStyle w:val="95"/>
                <w:rFonts w:hint="default"/>
                <w:sz w:val="24"/>
                <w:szCs w:val="24"/>
                <w:lang w:bidi="ar"/>
              </w:rPr>
              <w:t>6.2重量：≤100g。</w:t>
            </w:r>
          </w:p>
          <w:p>
            <w:pPr>
              <w:widowControl/>
              <w:jc w:val="left"/>
              <w:textAlignment w:val="center"/>
              <w:rPr>
                <w:rStyle w:val="95"/>
                <w:rFonts w:hint="default"/>
                <w:sz w:val="24"/>
                <w:szCs w:val="24"/>
                <w:lang w:bidi="ar"/>
              </w:rPr>
            </w:pPr>
            <w:r>
              <w:rPr>
                <w:rStyle w:val="95"/>
                <w:rFonts w:hint="default"/>
                <w:sz w:val="24"/>
                <w:szCs w:val="24"/>
                <w:lang w:bidi="ar"/>
              </w:rPr>
              <w:t>6.3材质： 铝合金  。</w:t>
            </w:r>
          </w:p>
          <w:p>
            <w:pPr>
              <w:widowControl/>
              <w:jc w:val="left"/>
              <w:textAlignment w:val="center"/>
              <w:rPr>
                <w:rStyle w:val="95"/>
                <w:rFonts w:hint="default"/>
                <w:sz w:val="24"/>
                <w:szCs w:val="24"/>
                <w:lang w:bidi="ar"/>
              </w:rPr>
            </w:pPr>
            <w:r>
              <w:rPr>
                <w:rStyle w:val="95"/>
                <w:rFonts w:hint="default"/>
                <w:sz w:val="24"/>
                <w:szCs w:val="24"/>
                <w:lang w:bidi="ar"/>
              </w:rPr>
              <w:t>▲6.4闸门开启负重力：≥5kN。</w:t>
            </w:r>
          </w:p>
          <w:p>
            <w:pPr>
              <w:widowControl/>
              <w:jc w:val="left"/>
              <w:textAlignment w:val="center"/>
              <w:rPr>
                <w:rStyle w:val="95"/>
                <w:rFonts w:hint="default"/>
                <w:sz w:val="24"/>
                <w:szCs w:val="24"/>
                <w:lang w:bidi="ar"/>
              </w:rPr>
            </w:pPr>
            <w:r>
              <w:rPr>
                <w:rStyle w:val="95"/>
                <w:rFonts w:hint="default"/>
                <w:sz w:val="24"/>
                <w:szCs w:val="24"/>
                <w:lang w:bidi="ar"/>
              </w:rPr>
              <w:t>6.5闸门开度：≥15mm。</w:t>
            </w:r>
          </w:p>
          <w:p>
            <w:pPr>
              <w:widowControl/>
              <w:jc w:val="left"/>
              <w:textAlignment w:val="center"/>
              <w:rPr>
                <w:rStyle w:val="95"/>
                <w:rFonts w:hint="default"/>
                <w:sz w:val="24"/>
                <w:szCs w:val="24"/>
                <w:lang w:bidi="ar"/>
              </w:rPr>
            </w:pPr>
            <w:r>
              <w:rPr>
                <w:rStyle w:val="95"/>
                <w:rFonts w:hint="default"/>
                <w:sz w:val="24"/>
                <w:szCs w:val="24"/>
                <w:lang w:bidi="ar"/>
              </w:rPr>
              <w:t>6.6数量≥20个。</w:t>
            </w:r>
          </w:p>
          <w:p>
            <w:pPr>
              <w:widowControl/>
              <w:jc w:val="left"/>
              <w:textAlignment w:val="center"/>
              <w:rPr>
                <w:rStyle w:val="95"/>
                <w:rFonts w:hint="default"/>
                <w:sz w:val="24"/>
                <w:szCs w:val="24"/>
                <w:lang w:bidi="ar"/>
              </w:rPr>
            </w:pPr>
            <w:r>
              <w:rPr>
                <w:rStyle w:val="95"/>
                <w:rFonts w:hint="default"/>
                <w:sz w:val="24"/>
                <w:szCs w:val="24"/>
                <w:lang w:bidi="ar"/>
              </w:rPr>
              <w:t>6.7纵向拉力≥25kN，横向拉力≥8kN。</w:t>
            </w:r>
          </w:p>
          <w:p>
            <w:pPr>
              <w:widowControl/>
              <w:jc w:val="left"/>
              <w:textAlignment w:val="center"/>
              <w:rPr>
                <w:rStyle w:val="95"/>
                <w:rFonts w:hint="default"/>
                <w:sz w:val="24"/>
                <w:szCs w:val="24"/>
                <w:lang w:bidi="ar"/>
              </w:rPr>
            </w:pPr>
            <w:r>
              <w:rPr>
                <w:rStyle w:val="95"/>
                <w:rFonts w:hint="default"/>
                <w:sz w:val="24"/>
                <w:szCs w:val="24"/>
                <w:lang w:bidi="ar"/>
              </w:rPr>
              <w:t>7.抛投袋及抛投绳</w:t>
            </w:r>
          </w:p>
          <w:p>
            <w:pPr>
              <w:widowControl/>
              <w:jc w:val="left"/>
              <w:textAlignment w:val="center"/>
              <w:rPr>
                <w:rStyle w:val="95"/>
                <w:rFonts w:hint="default"/>
                <w:sz w:val="24"/>
                <w:szCs w:val="24"/>
                <w:lang w:bidi="ar"/>
              </w:rPr>
            </w:pPr>
            <w:r>
              <w:rPr>
                <w:rStyle w:val="95"/>
                <w:rFonts w:hint="default"/>
                <w:sz w:val="24"/>
                <w:szCs w:val="24"/>
                <w:lang w:bidi="ar"/>
              </w:rPr>
              <w:t>7.1双层结构，连接不锈钢环。</w:t>
            </w:r>
          </w:p>
          <w:p>
            <w:pPr>
              <w:widowControl/>
              <w:jc w:val="left"/>
              <w:textAlignment w:val="center"/>
              <w:rPr>
                <w:rStyle w:val="95"/>
                <w:rFonts w:hint="default"/>
                <w:sz w:val="24"/>
                <w:szCs w:val="24"/>
                <w:lang w:bidi="ar"/>
              </w:rPr>
            </w:pPr>
            <w:r>
              <w:rPr>
                <w:rStyle w:val="95"/>
                <w:rFonts w:hint="default"/>
                <w:sz w:val="24"/>
                <w:szCs w:val="24"/>
                <w:lang w:bidi="ar"/>
              </w:rPr>
              <w:t>7.2绳径：2mm，长度≥50m。</w:t>
            </w:r>
          </w:p>
          <w:p>
            <w:pPr>
              <w:widowControl/>
              <w:jc w:val="left"/>
              <w:textAlignment w:val="center"/>
              <w:rPr>
                <w:rStyle w:val="95"/>
                <w:rFonts w:hint="default"/>
                <w:sz w:val="24"/>
                <w:szCs w:val="24"/>
                <w:lang w:bidi="ar"/>
              </w:rPr>
            </w:pPr>
            <w:r>
              <w:rPr>
                <w:rStyle w:val="95"/>
                <w:rFonts w:hint="default"/>
                <w:sz w:val="24"/>
                <w:szCs w:val="24"/>
                <w:lang w:bidi="ar"/>
              </w:rPr>
              <w:t>7.3重量： ≤600g。</w:t>
            </w:r>
          </w:p>
          <w:p>
            <w:pPr>
              <w:widowControl/>
              <w:jc w:val="left"/>
              <w:textAlignment w:val="center"/>
              <w:rPr>
                <w:rStyle w:val="95"/>
                <w:rFonts w:hint="default"/>
                <w:sz w:val="24"/>
                <w:szCs w:val="24"/>
                <w:lang w:bidi="ar"/>
              </w:rPr>
            </w:pPr>
            <w:r>
              <w:rPr>
                <w:rStyle w:val="95"/>
                <w:rFonts w:hint="default"/>
                <w:sz w:val="24"/>
                <w:szCs w:val="24"/>
                <w:lang w:bidi="ar"/>
              </w:rPr>
              <w:t>7.4数量≥1个。</w:t>
            </w:r>
          </w:p>
          <w:p>
            <w:pPr>
              <w:widowControl/>
              <w:jc w:val="left"/>
              <w:textAlignment w:val="center"/>
              <w:rPr>
                <w:rStyle w:val="95"/>
                <w:rFonts w:hint="default"/>
                <w:sz w:val="24"/>
                <w:szCs w:val="24"/>
                <w:lang w:bidi="ar"/>
              </w:rPr>
            </w:pPr>
            <w:r>
              <w:rPr>
                <w:rStyle w:val="95"/>
                <w:rFonts w:hint="default"/>
                <w:sz w:val="24"/>
                <w:szCs w:val="24"/>
                <w:lang w:bidi="ar"/>
              </w:rPr>
              <w:t>8.静力绳</w:t>
            </w:r>
          </w:p>
          <w:p>
            <w:pPr>
              <w:widowControl/>
              <w:jc w:val="left"/>
              <w:textAlignment w:val="center"/>
              <w:rPr>
                <w:rStyle w:val="95"/>
                <w:rFonts w:hint="default"/>
                <w:sz w:val="24"/>
                <w:szCs w:val="24"/>
                <w:lang w:bidi="ar"/>
              </w:rPr>
            </w:pPr>
            <w:r>
              <w:rPr>
                <w:rStyle w:val="95"/>
                <w:rFonts w:hint="default"/>
                <w:sz w:val="24"/>
                <w:szCs w:val="24"/>
                <w:lang w:bidi="ar"/>
              </w:rPr>
              <w:t>▲8.1绳径：11mm（±0.5mm）。</w:t>
            </w:r>
          </w:p>
          <w:p>
            <w:pPr>
              <w:widowControl/>
              <w:jc w:val="left"/>
              <w:textAlignment w:val="center"/>
              <w:rPr>
                <w:rStyle w:val="95"/>
                <w:rFonts w:hint="default"/>
                <w:sz w:val="24"/>
                <w:szCs w:val="24"/>
                <w:lang w:bidi="ar"/>
              </w:rPr>
            </w:pPr>
            <w:r>
              <w:rPr>
                <w:rStyle w:val="95"/>
                <w:rFonts w:hint="default"/>
                <w:sz w:val="24"/>
                <w:szCs w:val="24"/>
                <w:lang w:bidi="ar"/>
              </w:rPr>
              <w:t>▲8.2断裂负荷：≥30kN。</w:t>
            </w:r>
          </w:p>
          <w:p>
            <w:pPr>
              <w:widowControl/>
              <w:jc w:val="left"/>
              <w:textAlignment w:val="center"/>
              <w:rPr>
                <w:rStyle w:val="95"/>
                <w:rFonts w:hint="default"/>
                <w:sz w:val="24"/>
                <w:szCs w:val="24"/>
                <w:lang w:bidi="ar"/>
              </w:rPr>
            </w:pPr>
            <w:r>
              <w:rPr>
                <w:rStyle w:val="95"/>
                <w:rFonts w:hint="default"/>
                <w:sz w:val="24"/>
                <w:szCs w:val="24"/>
                <w:lang w:bidi="ar"/>
              </w:rPr>
              <w:t>8.3每米重量： ≤75g。</w:t>
            </w:r>
          </w:p>
          <w:p>
            <w:pPr>
              <w:widowControl/>
              <w:jc w:val="left"/>
              <w:textAlignment w:val="center"/>
              <w:rPr>
                <w:rStyle w:val="95"/>
                <w:rFonts w:hint="default"/>
                <w:sz w:val="24"/>
                <w:szCs w:val="24"/>
                <w:lang w:bidi="ar"/>
              </w:rPr>
            </w:pPr>
            <w:r>
              <w:rPr>
                <w:rStyle w:val="95"/>
                <w:rFonts w:hint="default"/>
                <w:sz w:val="24"/>
                <w:szCs w:val="24"/>
                <w:lang w:bidi="ar"/>
              </w:rPr>
              <w:t>8.4绳皮滑动率：≤0.4%。</w:t>
            </w:r>
          </w:p>
          <w:p>
            <w:pPr>
              <w:widowControl/>
              <w:jc w:val="left"/>
              <w:textAlignment w:val="center"/>
              <w:rPr>
                <w:rStyle w:val="95"/>
                <w:rFonts w:hint="default"/>
                <w:sz w:val="24"/>
                <w:szCs w:val="24"/>
                <w:lang w:bidi="ar"/>
              </w:rPr>
            </w:pPr>
            <w:r>
              <w:rPr>
                <w:rStyle w:val="95"/>
                <w:rFonts w:hint="default"/>
                <w:sz w:val="24"/>
                <w:szCs w:val="24"/>
                <w:lang w:bidi="ar"/>
              </w:rPr>
              <w:t>8.5延展性：≤3.2%。</w:t>
            </w:r>
          </w:p>
          <w:p>
            <w:pPr>
              <w:widowControl/>
              <w:jc w:val="left"/>
              <w:textAlignment w:val="center"/>
              <w:rPr>
                <w:rStyle w:val="95"/>
                <w:rFonts w:hint="default"/>
                <w:sz w:val="24"/>
                <w:szCs w:val="24"/>
                <w:lang w:bidi="ar"/>
              </w:rPr>
            </w:pPr>
            <w:r>
              <w:rPr>
                <w:rStyle w:val="95"/>
                <w:rFonts w:hint="default"/>
                <w:sz w:val="24"/>
                <w:szCs w:val="24"/>
                <w:lang w:bidi="ar"/>
              </w:rPr>
              <w:t>8.6长度≥200米。</w:t>
            </w:r>
          </w:p>
          <w:p>
            <w:pPr>
              <w:widowControl/>
              <w:jc w:val="left"/>
              <w:textAlignment w:val="center"/>
              <w:rPr>
                <w:rStyle w:val="95"/>
                <w:rFonts w:hint="default"/>
                <w:sz w:val="24"/>
                <w:szCs w:val="24"/>
                <w:lang w:bidi="ar"/>
              </w:rPr>
            </w:pPr>
            <w:r>
              <w:rPr>
                <w:rStyle w:val="95"/>
                <w:rFonts w:hint="default"/>
                <w:sz w:val="24"/>
                <w:szCs w:val="24"/>
                <w:lang w:bidi="ar"/>
              </w:rPr>
              <w:t>▲9.抓绳器、非齿类抓绳器、双轨万向滑轮、钩环、静力绳提供带CMA或CNAS标识的检测报告</w:t>
            </w:r>
          </w:p>
          <w:p>
            <w:pPr>
              <w:widowControl/>
              <w:jc w:val="left"/>
              <w:textAlignment w:val="center"/>
              <w:rPr>
                <w:rFonts w:ascii="宋体" w:hAnsi="宋体" w:cs="宋体"/>
                <w:color w:val="000000"/>
                <w:sz w:val="24"/>
              </w:rPr>
            </w:pPr>
            <w:r>
              <w:rPr>
                <w:rStyle w:val="95"/>
                <w:rFonts w:hint="default"/>
                <w:sz w:val="24"/>
                <w:szCs w:val="24"/>
                <w:lang w:bidi="ar"/>
              </w:rPr>
              <w:t>★10.抓绳器、非齿类抓绳器、双轨万向滑轮、钩环、静力绳须符合XF494-2023《消防用防坠落装备》标准。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锚固装备套装</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1.便携式金属锚点</w:t>
            </w:r>
          </w:p>
          <w:p>
            <w:pPr>
              <w:widowControl/>
              <w:jc w:val="left"/>
              <w:textAlignment w:val="center"/>
              <w:rPr>
                <w:rStyle w:val="95"/>
                <w:rFonts w:hint="default"/>
                <w:sz w:val="24"/>
                <w:szCs w:val="24"/>
                <w:lang w:bidi="ar"/>
              </w:rPr>
            </w:pPr>
            <w:r>
              <w:rPr>
                <w:rStyle w:val="95"/>
                <w:rFonts w:hint="default"/>
                <w:sz w:val="24"/>
                <w:szCs w:val="24"/>
                <w:lang w:bidi="ar"/>
              </w:rPr>
              <w:t>1.1钢缆锚点具备提供一个支撑锚点的作用。</w:t>
            </w:r>
          </w:p>
          <w:p>
            <w:pPr>
              <w:widowControl/>
              <w:jc w:val="left"/>
              <w:textAlignment w:val="center"/>
              <w:rPr>
                <w:rStyle w:val="95"/>
                <w:rFonts w:hint="default"/>
                <w:sz w:val="24"/>
                <w:szCs w:val="24"/>
                <w:lang w:bidi="ar"/>
              </w:rPr>
            </w:pPr>
            <w:r>
              <w:rPr>
                <w:rStyle w:val="95"/>
                <w:rFonts w:hint="default"/>
                <w:sz w:val="24"/>
                <w:szCs w:val="24"/>
                <w:lang w:bidi="ar"/>
              </w:rPr>
              <w:t>1.2两端有连接环，外皮包裹塑料防护套否适用于尖锐及磨损较大的固定点，总体长度≥1m。</w:t>
            </w:r>
          </w:p>
          <w:p>
            <w:pPr>
              <w:widowControl/>
              <w:jc w:val="left"/>
              <w:textAlignment w:val="center"/>
              <w:rPr>
                <w:rStyle w:val="95"/>
                <w:rFonts w:hint="default"/>
                <w:sz w:val="24"/>
                <w:szCs w:val="24"/>
                <w:lang w:bidi="ar"/>
              </w:rPr>
            </w:pPr>
            <w:r>
              <w:rPr>
                <w:rStyle w:val="95"/>
                <w:rFonts w:hint="default"/>
                <w:sz w:val="24"/>
                <w:szCs w:val="24"/>
                <w:lang w:bidi="ar"/>
              </w:rPr>
              <w:t>1.3数量≥3根。</w:t>
            </w:r>
          </w:p>
          <w:p>
            <w:pPr>
              <w:widowControl/>
              <w:jc w:val="left"/>
              <w:textAlignment w:val="center"/>
              <w:rPr>
                <w:rStyle w:val="95"/>
                <w:rFonts w:hint="default"/>
                <w:sz w:val="24"/>
                <w:szCs w:val="24"/>
                <w:lang w:bidi="ar"/>
              </w:rPr>
            </w:pPr>
            <w:r>
              <w:rPr>
                <w:rStyle w:val="95"/>
                <w:rFonts w:hint="default"/>
                <w:sz w:val="24"/>
                <w:szCs w:val="24"/>
                <w:lang w:bidi="ar"/>
              </w:rPr>
              <w:t>1.4锚板最⼩破断强度：≥3 kN</w:t>
            </w:r>
          </w:p>
          <w:p>
            <w:pPr>
              <w:widowControl/>
              <w:jc w:val="left"/>
              <w:textAlignment w:val="center"/>
              <w:rPr>
                <w:rStyle w:val="95"/>
                <w:rFonts w:hint="default"/>
                <w:sz w:val="24"/>
                <w:szCs w:val="24"/>
                <w:lang w:bidi="ar"/>
              </w:rPr>
            </w:pPr>
            <w:r>
              <w:rPr>
                <w:rStyle w:val="95"/>
                <w:rFonts w:hint="default"/>
                <w:sz w:val="24"/>
                <w:szCs w:val="24"/>
                <w:lang w:bidi="ar"/>
              </w:rPr>
              <w:t>2.激流救援滑轮</w:t>
            </w:r>
          </w:p>
          <w:p>
            <w:pPr>
              <w:widowControl/>
              <w:jc w:val="left"/>
              <w:textAlignment w:val="center"/>
              <w:rPr>
                <w:rStyle w:val="95"/>
                <w:rFonts w:hint="default"/>
                <w:sz w:val="24"/>
                <w:szCs w:val="24"/>
                <w:lang w:bidi="ar"/>
              </w:rPr>
            </w:pPr>
            <w:r>
              <w:rPr>
                <w:rStyle w:val="95"/>
                <w:rFonts w:hint="default"/>
                <w:sz w:val="24"/>
                <w:szCs w:val="24"/>
                <w:lang w:bidi="ar"/>
              </w:rPr>
              <w:t>★2.1符合《消防用防坠落装备》（XF 494-2023）规定。</w:t>
            </w:r>
          </w:p>
          <w:p>
            <w:pPr>
              <w:widowControl/>
              <w:jc w:val="left"/>
              <w:textAlignment w:val="center"/>
              <w:rPr>
                <w:rStyle w:val="95"/>
                <w:rFonts w:hint="default"/>
                <w:sz w:val="24"/>
                <w:szCs w:val="24"/>
                <w:lang w:bidi="ar"/>
              </w:rPr>
            </w:pPr>
            <w:r>
              <w:rPr>
                <w:rStyle w:val="95"/>
                <w:rFonts w:hint="default"/>
                <w:sz w:val="24"/>
                <w:szCs w:val="24"/>
                <w:lang w:bidi="ar"/>
              </w:rPr>
              <w:t>▲2.2轻型滑轮装置承受负荷：≥34kN。</w:t>
            </w:r>
          </w:p>
          <w:p>
            <w:pPr>
              <w:widowControl/>
              <w:jc w:val="left"/>
              <w:textAlignment w:val="center"/>
              <w:rPr>
                <w:rStyle w:val="95"/>
                <w:rFonts w:hint="default"/>
                <w:sz w:val="24"/>
                <w:szCs w:val="24"/>
                <w:lang w:bidi="ar"/>
              </w:rPr>
            </w:pPr>
            <w:r>
              <w:rPr>
                <w:rStyle w:val="95"/>
                <w:rFonts w:hint="default"/>
                <w:sz w:val="24"/>
                <w:szCs w:val="24"/>
                <w:lang w:bidi="ar"/>
              </w:rPr>
              <w:t>▲2.3把手环承受负荷：≥22kN。</w:t>
            </w:r>
          </w:p>
          <w:p>
            <w:pPr>
              <w:widowControl/>
              <w:jc w:val="left"/>
              <w:textAlignment w:val="center"/>
              <w:rPr>
                <w:rStyle w:val="95"/>
                <w:rFonts w:hint="default"/>
                <w:sz w:val="24"/>
                <w:szCs w:val="24"/>
                <w:lang w:bidi="ar"/>
              </w:rPr>
            </w:pPr>
            <w:r>
              <w:rPr>
                <w:rStyle w:val="95"/>
                <w:rFonts w:hint="default"/>
                <w:sz w:val="24"/>
                <w:szCs w:val="24"/>
                <w:lang w:bidi="ar"/>
              </w:rPr>
              <w:t>▲2.4适用绳索直径：≥9-12mm。</w:t>
            </w:r>
          </w:p>
          <w:p>
            <w:pPr>
              <w:widowControl/>
              <w:jc w:val="left"/>
              <w:textAlignment w:val="center"/>
              <w:rPr>
                <w:rStyle w:val="95"/>
                <w:rFonts w:hint="default"/>
                <w:sz w:val="24"/>
                <w:szCs w:val="24"/>
                <w:lang w:bidi="ar"/>
              </w:rPr>
            </w:pPr>
            <w:r>
              <w:rPr>
                <w:rStyle w:val="95"/>
                <w:rFonts w:hint="default"/>
                <w:sz w:val="24"/>
                <w:szCs w:val="24"/>
                <w:lang w:bidi="ar"/>
              </w:rPr>
              <w:t>2.5质量：≤250g。</w:t>
            </w:r>
          </w:p>
          <w:p>
            <w:pPr>
              <w:widowControl/>
              <w:jc w:val="left"/>
              <w:textAlignment w:val="center"/>
              <w:rPr>
                <w:rStyle w:val="95"/>
                <w:rFonts w:hint="default"/>
                <w:sz w:val="24"/>
                <w:szCs w:val="24"/>
                <w:lang w:bidi="ar"/>
              </w:rPr>
            </w:pPr>
            <w:r>
              <w:rPr>
                <w:rStyle w:val="95"/>
                <w:rFonts w:hint="default"/>
                <w:sz w:val="24"/>
                <w:szCs w:val="24"/>
                <w:lang w:bidi="ar"/>
              </w:rPr>
              <w:t xml:space="preserve">2.6数量≥3个。                           </w:t>
            </w:r>
          </w:p>
          <w:p>
            <w:pPr>
              <w:widowControl/>
              <w:jc w:val="left"/>
              <w:textAlignment w:val="center"/>
              <w:rPr>
                <w:rStyle w:val="95"/>
                <w:rFonts w:hint="default"/>
                <w:sz w:val="24"/>
                <w:szCs w:val="24"/>
                <w:lang w:bidi="ar"/>
              </w:rPr>
            </w:pPr>
            <w:r>
              <w:rPr>
                <w:rStyle w:val="95"/>
                <w:rFonts w:hint="default"/>
                <w:sz w:val="24"/>
                <w:szCs w:val="24"/>
                <w:lang w:bidi="ar"/>
              </w:rPr>
              <w:t>▲2.7提供带CMA或CNAS标识检测报告。</w:t>
            </w:r>
          </w:p>
          <w:p>
            <w:pPr>
              <w:widowControl/>
              <w:jc w:val="left"/>
              <w:textAlignment w:val="center"/>
              <w:rPr>
                <w:rStyle w:val="95"/>
                <w:rFonts w:hint="default"/>
                <w:sz w:val="24"/>
                <w:szCs w:val="24"/>
                <w:lang w:bidi="ar"/>
              </w:rPr>
            </w:pPr>
            <w:r>
              <w:rPr>
                <w:rStyle w:val="95"/>
                <w:rFonts w:hint="default"/>
                <w:sz w:val="24"/>
                <w:szCs w:val="24"/>
                <w:lang w:bidi="ar"/>
              </w:rPr>
              <w:t>3.D型自锁挂钩</w:t>
            </w:r>
          </w:p>
          <w:p>
            <w:pPr>
              <w:widowControl/>
              <w:jc w:val="left"/>
              <w:textAlignment w:val="center"/>
              <w:rPr>
                <w:rStyle w:val="95"/>
                <w:rFonts w:hint="default"/>
                <w:sz w:val="24"/>
                <w:szCs w:val="24"/>
                <w:lang w:bidi="ar"/>
              </w:rPr>
            </w:pPr>
            <w:r>
              <w:rPr>
                <w:rStyle w:val="95"/>
                <w:rFonts w:hint="default"/>
                <w:sz w:val="24"/>
                <w:szCs w:val="24"/>
                <w:lang w:bidi="ar"/>
              </w:rPr>
              <w:t>★3.1符合《消防用防坠落装备》（XF 494-2023）规定。</w:t>
            </w:r>
          </w:p>
          <w:p>
            <w:pPr>
              <w:widowControl/>
              <w:jc w:val="left"/>
              <w:textAlignment w:val="center"/>
              <w:rPr>
                <w:rStyle w:val="95"/>
                <w:rFonts w:hint="default"/>
                <w:sz w:val="24"/>
                <w:szCs w:val="24"/>
                <w:lang w:bidi="ar"/>
              </w:rPr>
            </w:pPr>
            <w:r>
              <w:rPr>
                <w:rStyle w:val="95"/>
                <w:rFonts w:hint="default"/>
                <w:sz w:val="24"/>
                <w:szCs w:val="24"/>
                <w:lang w:bidi="ar"/>
              </w:rPr>
              <w:t>3.2具有三段锁功能，无棱角、毛刺、裂纹，边缘呈弧形。</w:t>
            </w:r>
          </w:p>
          <w:p>
            <w:pPr>
              <w:widowControl/>
              <w:jc w:val="left"/>
              <w:textAlignment w:val="center"/>
              <w:rPr>
                <w:rStyle w:val="95"/>
                <w:rFonts w:hint="default"/>
                <w:sz w:val="24"/>
                <w:szCs w:val="24"/>
                <w:lang w:bidi="ar"/>
              </w:rPr>
            </w:pPr>
            <w:r>
              <w:rPr>
                <w:rStyle w:val="95"/>
                <w:rFonts w:hint="default"/>
                <w:sz w:val="24"/>
                <w:szCs w:val="24"/>
                <w:lang w:bidi="ar"/>
              </w:rPr>
              <w:t>3.3开口距离：20 mm（±3mm）。</w:t>
            </w:r>
          </w:p>
          <w:p>
            <w:pPr>
              <w:widowControl/>
              <w:jc w:val="left"/>
              <w:textAlignment w:val="center"/>
              <w:rPr>
                <w:rStyle w:val="95"/>
                <w:rFonts w:hint="default"/>
                <w:sz w:val="24"/>
                <w:szCs w:val="24"/>
                <w:lang w:bidi="ar"/>
              </w:rPr>
            </w:pPr>
            <w:r>
              <w:rPr>
                <w:rStyle w:val="95"/>
                <w:rFonts w:hint="default"/>
                <w:sz w:val="24"/>
                <w:szCs w:val="24"/>
                <w:lang w:bidi="ar"/>
              </w:rPr>
              <w:t>3.4破断强度：≥27kN。</w:t>
            </w:r>
          </w:p>
          <w:p>
            <w:pPr>
              <w:widowControl/>
              <w:jc w:val="left"/>
              <w:textAlignment w:val="center"/>
              <w:rPr>
                <w:rStyle w:val="95"/>
                <w:rFonts w:hint="default"/>
                <w:sz w:val="24"/>
                <w:szCs w:val="24"/>
                <w:lang w:bidi="ar"/>
              </w:rPr>
            </w:pPr>
            <w:r>
              <w:rPr>
                <w:rStyle w:val="95"/>
                <w:rFonts w:hint="default"/>
                <w:sz w:val="24"/>
                <w:szCs w:val="24"/>
                <w:lang w:bidi="ar"/>
              </w:rPr>
              <w:t xml:space="preserve">3.6数量：≥4个。                      </w:t>
            </w:r>
          </w:p>
          <w:p>
            <w:pPr>
              <w:widowControl/>
              <w:jc w:val="left"/>
              <w:textAlignment w:val="center"/>
              <w:rPr>
                <w:rStyle w:val="95"/>
                <w:rFonts w:hint="default"/>
                <w:sz w:val="24"/>
                <w:szCs w:val="24"/>
                <w:lang w:bidi="ar"/>
              </w:rPr>
            </w:pPr>
            <w:r>
              <w:rPr>
                <w:rStyle w:val="95"/>
                <w:rFonts w:hint="default"/>
                <w:sz w:val="24"/>
                <w:szCs w:val="24"/>
                <w:lang w:bidi="ar"/>
              </w:rPr>
              <w:t>▲3.7提供带CMA或CNAS标识检测报告。</w:t>
            </w:r>
          </w:p>
          <w:p>
            <w:pPr>
              <w:widowControl/>
              <w:jc w:val="left"/>
              <w:textAlignment w:val="center"/>
              <w:rPr>
                <w:rStyle w:val="95"/>
                <w:rFonts w:hint="default"/>
                <w:sz w:val="24"/>
                <w:szCs w:val="24"/>
                <w:lang w:bidi="ar"/>
              </w:rPr>
            </w:pPr>
            <w:r>
              <w:rPr>
                <w:rStyle w:val="95"/>
                <w:rFonts w:hint="default"/>
                <w:sz w:val="24"/>
                <w:szCs w:val="24"/>
                <w:lang w:bidi="ar"/>
              </w:rPr>
              <w:t>4.可拖拽收纳箱</w:t>
            </w:r>
          </w:p>
          <w:p>
            <w:pPr>
              <w:widowControl/>
              <w:jc w:val="left"/>
              <w:textAlignment w:val="center"/>
              <w:rPr>
                <w:rStyle w:val="95"/>
                <w:rFonts w:hint="default"/>
                <w:sz w:val="24"/>
                <w:szCs w:val="24"/>
                <w:lang w:bidi="ar"/>
              </w:rPr>
            </w:pPr>
            <w:r>
              <w:rPr>
                <w:rStyle w:val="95"/>
                <w:rFonts w:hint="default"/>
                <w:sz w:val="24"/>
                <w:szCs w:val="24"/>
                <w:lang w:bidi="ar"/>
              </w:rPr>
              <w:t>4.1肩部和腰部背带加宽加厚。</w:t>
            </w:r>
          </w:p>
          <w:p>
            <w:pPr>
              <w:widowControl/>
              <w:jc w:val="left"/>
              <w:textAlignment w:val="center"/>
              <w:rPr>
                <w:rStyle w:val="95"/>
                <w:rFonts w:hint="default"/>
                <w:sz w:val="24"/>
                <w:szCs w:val="24"/>
                <w:lang w:bidi="ar"/>
              </w:rPr>
            </w:pPr>
            <w:r>
              <w:rPr>
                <w:rStyle w:val="95"/>
                <w:rFonts w:hint="default"/>
                <w:sz w:val="24"/>
                <w:szCs w:val="24"/>
                <w:lang w:bidi="ar"/>
              </w:rPr>
              <w:t>4.2数量≥1个。</w:t>
            </w:r>
          </w:p>
          <w:p>
            <w:pPr>
              <w:widowControl/>
              <w:jc w:val="left"/>
              <w:textAlignment w:val="center"/>
              <w:rPr>
                <w:rStyle w:val="95"/>
                <w:rFonts w:hint="default"/>
                <w:sz w:val="24"/>
                <w:szCs w:val="24"/>
                <w:lang w:bidi="ar"/>
              </w:rPr>
            </w:pPr>
            <w:r>
              <w:rPr>
                <w:rStyle w:val="95"/>
                <w:rFonts w:hint="default"/>
                <w:sz w:val="24"/>
                <w:szCs w:val="24"/>
                <w:lang w:bidi="ar"/>
              </w:rPr>
              <w:t>5.抓绳器</w:t>
            </w:r>
          </w:p>
          <w:p>
            <w:pPr>
              <w:widowControl/>
              <w:jc w:val="left"/>
              <w:textAlignment w:val="center"/>
              <w:rPr>
                <w:rStyle w:val="95"/>
                <w:rFonts w:hint="default"/>
                <w:sz w:val="24"/>
                <w:szCs w:val="24"/>
                <w:lang w:bidi="ar"/>
              </w:rPr>
            </w:pPr>
            <w:r>
              <w:rPr>
                <w:rStyle w:val="95"/>
                <w:rFonts w:hint="default"/>
                <w:sz w:val="24"/>
                <w:szCs w:val="24"/>
                <w:lang w:bidi="ar"/>
              </w:rPr>
              <w:t>5.1拉力：≥5kN。</w:t>
            </w:r>
          </w:p>
          <w:p>
            <w:pPr>
              <w:widowControl/>
              <w:jc w:val="left"/>
              <w:textAlignment w:val="center"/>
              <w:rPr>
                <w:rStyle w:val="95"/>
                <w:rFonts w:hint="default"/>
                <w:sz w:val="24"/>
                <w:szCs w:val="24"/>
                <w:lang w:bidi="ar"/>
              </w:rPr>
            </w:pPr>
            <w:r>
              <w:rPr>
                <w:rStyle w:val="95"/>
                <w:rFonts w:hint="default"/>
                <w:sz w:val="24"/>
                <w:szCs w:val="24"/>
                <w:lang w:bidi="ar"/>
              </w:rPr>
              <w:t>5.2材质：铝合金。</w:t>
            </w:r>
          </w:p>
          <w:p>
            <w:pPr>
              <w:widowControl/>
              <w:jc w:val="left"/>
              <w:textAlignment w:val="center"/>
              <w:rPr>
                <w:rStyle w:val="95"/>
                <w:rFonts w:hint="default"/>
                <w:sz w:val="24"/>
                <w:szCs w:val="24"/>
                <w:lang w:bidi="ar"/>
              </w:rPr>
            </w:pPr>
            <w:r>
              <w:rPr>
                <w:rStyle w:val="95"/>
                <w:rFonts w:hint="default"/>
                <w:sz w:val="24"/>
                <w:szCs w:val="24"/>
                <w:lang w:bidi="ar"/>
              </w:rPr>
              <w:t>5.3重量：≤220g。</w:t>
            </w:r>
          </w:p>
          <w:p>
            <w:pPr>
              <w:widowControl/>
              <w:jc w:val="left"/>
              <w:textAlignment w:val="center"/>
              <w:rPr>
                <w:rStyle w:val="95"/>
                <w:rFonts w:hint="default"/>
                <w:sz w:val="24"/>
                <w:szCs w:val="24"/>
                <w:lang w:bidi="ar"/>
              </w:rPr>
            </w:pPr>
            <w:r>
              <w:rPr>
                <w:rStyle w:val="95"/>
                <w:rFonts w:hint="default"/>
                <w:sz w:val="24"/>
                <w:szCs w:val="24"/>
                <w:lang w:bidi="ar"/>
              </w:rPr>
              <w:t>5.4适用绳径:≥9-12mm。</w:t>
            </w:r>
          </w:p>
          <w:p>
            <w:pPr>
              <w:widowControl/>
              <w:jc w:val="left"/>
              <w:textAlignment w:val="center"/>
              <w:rPr>
                <w:rFonts w:ascii="宋体" w:hAnsi="宋体" w:cs="宋体"/>
                <w:color w:val="000000"/>
                <w:sz w:val="24"/>
              </w:rPr>
            </w:pPr>
            <w:r>
              <w:rPr>
                <w:rStyle w:val="95"/>
                <w:rFonts w:hint="default"/>
                <w:sz w:val="24"/>
                <w:szCs w:val="24"/>
                <w:lang w:bidi="ar"/>
              </w:rPr>
              <w:t>5.5数量：≥2个。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多功能省力系统</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overflowPunct/>
              <w:autoSpaceDE/>
              <w:autoSpaceDN/>
              <w:spacing w:line="360" w:lineRule="auto"/>
              <w:jc w:val="left"/>
              <w:textAlignment w:val="top"/>
              <w:rPr>
                <w:rFonts w:ascii="宋体" w:hAnsi="宋体" w:cs="宋体"/>
                <w:sz w:val="24"/>
              </w:rPr>
            </w:pPr>
            <w:r>
              <w:rPr>
                <w:rStyle w:val="49"/>
                <w:rFonts w:hint="default"/>
                <w:color w:val="auto"/>
                <w:sz w:val="24"/>
                <w:szCs w:val="24"/>
                <w:lang w:bidi="ar"/>
              </w:rPr>
              <w:t>▲1.提升系统预设比例4：1；</w:t>
            </w:r>
          </w:p>
          <w:p>
            <w:pPr>
              <w:widowControl/>
              <w:overflowPunct/>
              <w:autoSpaceDE/>
              <w:autoSpaceDN/>
              <w:spacing w:line="360" w:lineRule="auto"/>
              <w:jc w:val="left"/>
              <w:textAlignment w:val="top"/>
              <w:rPr>
                <w:rFonts w:ascii="宋体" w:hAnsi="宋体" w:cs="宋体"/>
                <w:sz w:val="24"/>
              </w:rPr>
            </w:pPr>
            <w:r>
              <w:rPr>
                <w:rStyle w:val="49"/>
                <w:rFonts w:hint="default"/>
                <w:color w:val="auto"/>
                <w:sz w:val="24"/>
                <w:szCs w:val="24"/>
                <w:lang w:bidi="ar"/>
              </w:rPr>
              <w:t>2.锁扣主要材质至少包括：铝合金；</w:t>
            </w:r>
          </w:p>
          <w:p>
            <w:pPr>
              <w:widowControl/>
              <w:overflowPunct/>
              <w:autoSpaceDE/>
              <w:autoSpaceDN/>
              <w:spacing w:line="360" w:lineRule="auto"/>
              <w:jc w:val="left"/>
              <w:textAlignment w:val="top"/>
              <w:rPr>
                <w:rFonts w:ascii="宋体" w:hAnsi="宋体" w:cs="宋体"/>
                <w:sz w:val="24"/>
              </w:rPr>
            </w:pPr>
            <w:r>
              <w:rPr>
                <w:rStyle w:val="49"/>
                <w:rFonts w:hint="default"/>
                <w:color w:val="auto"/>
                <w:sz w:val="24"/>
                <w:szCs w:val="24"/>
                <w:lang w:bidi="ar"/>
              </w:rPr>
              <w:t>3.附带一个存放包，可快速打开使用；</w:t>
            </w:r>
          </w:p>
          <w:p>
            <w:pPr>
              <w:widowControl/>
              <w:overflowPunct/>
              <w:autoSpaceDE/>
              <w:autoSpaceDN/>
              <w:spacing w:line="360" w:lineRule="auto"/>
              <w:jc w:val="left"/>
              <w:textAlignment w:val="top"/>
              <w:rPr>
                <w:rFonts w:ascii="宋体" w:hAnsi="宋体" w:cs="宋体"/>
                <w:sz w:val="24"/>
              </w:rPr>
            </w:pPr>
            <w:r>
              <w:rPr>
                <w:rStyle w:val="49"/>
                <w:rFonts w:hint="default"/>
                <w:color w:val="auto"/>
                <w:sz w:val="24"/>
                <w:szCs w:val="24"/>
                <w:lang w:bidi="ar"/>
              </w:rPr>
              <w:t>▲4.安全工作负荷≥300kg；</w:t>
            </w:r>
          </w:p>
          <w:p>
            <w:pPr>
              <w:widowControl/>
              <w:overflowPunct/>
              <w:autoSpaceDE/>
              <w:autoSpaceDN/>
              <w:spacing w:line="360" w:lineRule="auto"/>
              <w:jc w:val="left"/>
              <w:textAlignment w:val="top"/>
              <w:rPr>
                <w:rFonts w:ascii="宋体" w:hAnsi="宋体" w:cs="宋体"/>
                <w:sz w:val="24"/>
              </w:rPr>
            </w:pPr>
            <w:r>
              <w:rPr>
                <w:rStyle w:val="49"/>
                <w:rFonts w:hint="default"/>
                <w:color w:val="auto"/>
                <w:sz w:val="24"/>
                <w:szCs w:val="24"/>
                <w:lang w:bidi="ar"/>
              </w:rPr>
              <w:t>▲5.断裂负荷≥5kN；</w:t>
            </w:r>
          </w:p>
          <w:p>
            <w:pPr>
              <w:widowControl/>
              <w:overflowPunct/>
              <w:autoSpaceDE/>
              <w:autoSpaceDN/>
              <w:spacing w:line="360" w:lineRule="auto"/>
              <w:jc w:val="left"/>
              <w:textAlignment w:val="top"/>
              <w:rPr>
                <w:rFonts w:ascii="宋体" w:hAnsi="宋体" w:cs="宋体"/>
                <w:sz w:val="24"/>
              </w:rPr>
            </w:pPr>
            <w:r>
              <w:rPr>
                <w:rStyle w:val="49"/>
                <w:rFonts w:hint="default"/>
                <w:color w:val="auto"/>
                <w:sz w:val="24"/>
                <w:szCs w:val="24"/>
                <w:lang w:bidi="ar"/>
              </w:rPr>
              <w:t>6.完全打开长度≥300cm；</w:t>
            </w:r>
          </w:p>
          <w:p>
            <w:pPr>
              <w:widowControl/>
              <w:overflowPunct/>
              <w:autoSpaceDE/>
              <w:autoSpaceDN/>
              <w:spacing w:line="360" w:lineRule="auto"/>
              <w:jc w:val="left"/>
              <w:textAlignment w:val="top"/>
              <w:rPr>
                <w:rFonts w:ascii="宋体" w:hAnsi="宋体" w:cs="宋体"/>
                <w:sz w:val="24"/>
              </w:rPr>
            </w:pPr>
            <w:r>
              <w:rPr>
                <w:rStyle w:val="49"/>
                <w:rFonts w:hint="default"/>
                <w:color w:val="auto"/>
                <w:sz w:val="24"/>
                <w:szCs w:val="24"/>
                <w:lang w:bidi="ar"/>
              </w:rPr>
              <w:t>7.完全收紧长度≤100cm；</w:t>
            </w:r>
          </w:p>
          <w:p>
            <w:pPr>
              <w:widowControl/>
              <w:overflowPunct/>
              <w:autoSpaceDE/>
              <w:autoSpaceDN/>
              <w:spacing w:line="360" w:lineRule="auto"/>
              <w:jc w:val="left"/>
              <w:textAlignment w:val="top"/>
              <w:rPr>
                <w:rStyle w:val="49"/>
                <w:rFonts w:hint="default"/>
                <w:color w:val="auto"/>
                <w:sz w:val="24"/>
                <w:szCs w:val="24"/>
                <w:lang w:bidi="ar"/>
              </w:rPr>
            </w:pPr>
            <w:r>
              <w:rPr>
                <w:rStyle w:val="49"/>
                <w:rFonts w:hint="default"/>
                <w:color w:val="auto"/>
                <w:sz w:val="24"/>
                <w:szCs w:val="24"/>
                <w:lang w:bidi="ar"/>
              </w:rPr>
              <w:t>8.兼容绳索直径8-10.5mm之间；</w:t>
            </w:r>
          </w:p>
          <w:p>
            <w:pPr>
              <w:widowControl/>
              <w:overflowPunct/>
              <w:autoSpaceDE/>
              <w:autoSpaceDN/>
              <w:spacing w:line="360" w:lineRule="auto"/>
              <w:jc w:val="left"/>
              <w:textAlignment w:val="top"/>
              <w:rPr>
                <w:rStyle w:val="49"/>
                <w:rFonts w:hint="default"/>
                <w:color w:val="auto"/>
                <w:sz w:val="24"/>
                <w:szCs w:val="24"/>
                <w:lang w:bidi="ar"/>
              </w:rPr>
            </w:pPr>
            <w:r>
              <w:rPr>
                <w:rStyle w:val="49"/>
                <w:rFonts w:hint="default"/>
                <w:color w:val="auto"/>
                <w:sz w:val="24"/>
                <w:szCs w:val="24"/>
                <w:lang w:bidi="ar"/>
              </w:rPr>
              <w:t>9.带锁止及释放装置；</w:t>
            </w:r>
          </w:p>
          <w:p>
            <w:pPr>
              <w:widowControl/>
              <w:jc w:val="left"/>
              <w:textAlignment w:val="center"/>
              <w:rPr>
                <w:rFonts w:ascii="宋体" w:hAnsi="宋体" w:cs="宋体"/>
                <w:color w:val="000000"/>
                <w:sz w:val="24"/>
              </w:rPr>
            </w:pPr>
            <w:r>
              <w:rPr>
                <w:rStyle w:val="49"/>
                <w:rFonts w:hint="default"/>
                <w:color w:val="auto"/>
                <w:sz w:val="24"/>
                <w:szCs w:val="24"/>
                <w:lang w:bidi="ar"/>
              </w:rPr>
              <w:t>▲10.提供带CMA或CNAS标识的检测报告。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全身吊带</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68</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★1.符合GA494-2023《消防用防坠落装备》技术要求。</w:t>
            </w:r>
          </w:p>
          <w:p>
            <w:pPr>
              <w:widowControl/>
              <w:jc w:val="left"/>
              <w:textAlignment w:val="center"/>
              <w:rPr>
                <w:rStyle w:val="95"/>
                <w:rFonts w:hint="default"/>
                <w:sz w:val="24"/>
                <w:szCs w:val="24"/>
                <w:lang w:bidi="ar"/>
              </w:rPr>
            </w:pPr>
            <w:r>
              <w:rPr>
                <w:rStyle w:val="95"/>
                <w:rFonts w:hint="default"/>
                <w:sz w:val="24"/>
                <w:szCs w:val="24"/>
                <w:lang w:bidi="ar"/>
              </w:rPr>
              <w:t>▲2.产品内置胸式上升器具有解锁系统，工作负荷≥2.67kN。</w:t>
            </w:r>
          </w:p>
          <w:p>
            <w:pPr>
              <w:widowControl/>
              <w:jc w:val="left"/>
              <w:textAlignment w:val="center"/>
              <w:rPr>
                <w:rStyle w:val="95"/>
                <w:rFonts w:hint="default"/>
                <w:sz w:val="24"/>
                <w:szCs w:val="24"/>
                <w:lang w:bidi="ar"/>
              </w:rPr>
            </w:pPr>
            <w:r>
              <w:rPr>
                <w:rStyle w:val="95"/>
                <w:rFonts w:hint="default"/>
                <w:sz w:val="24"/>
                <w:szCs w:val="24"/>
                <w:lang w:bidi="ar"/>
              </w:rPr>
              <w:t>3.产品配有连接点≥5个。</w:t>
            </w:r>
          </w:p>
          <w:p>
            <w:pPr>
              <w:widowControl/>
              <w:jc w:val="left"/>
              <w:textAlignment w:val="center"/>
              <w:rPr>
                <w:rStyle w:val="95"/>
                <w:rFonts w:hint="default"/>
                <w:sz w:val="24"/>
                <w:szCs w:val="24"/>
                <w:lang w:bidi="ar"/>
              </w:rPr>
            </w:pPr>
            <w:r>
              <w:rPr>
                <w:rStyle w:val="95"/>
                <w:rFonts w:hint="default"/>
                <w:sz w:val="24"/>
                <w:szCs w:val="24"/>
                <w:lang w:bidi="ar"/>
              </w:rPr>
              <w:t>4.腰部具有衬垫支撑，装备环≥4个。</w:t>
            </w:r>
          </w:p>
          <w:p>
            <w:pPr>
              <w:widowControl/>
              <w:jc w:val="left"/>
              <w:textAlignment w:val="center"/>
              <w:rPr>
                <w:rStyle w:val="95"/>
                <w:rFonts w:hint="default"/>
                <w:sz w:val="24"/>
                <w:szCs w:val="24"/>
                <w:lang w:bidi="ar"/>
              </w:rPr>
            </w:pPr>
            <w:r>
              <w:rPr>
                <w:rStyle w:val="95"/>
                <w:rFonts w:hint="default"/>
                <w:sz w:val="24"/>
                <w:szCs w:val="24"/>
                <w:lang w:bidi="ar"/>
              </w:rPr>
              <w:t xml:space="preserve">5.后绑带可调节。  </w:t>
            </w:r>
          </w:p>
          <w:p>
            <w:pPr>
              <w:widowControl/>
              <w:jc w:val="left"/>
              <w:textAlignment w:val="center"/>
              <w:rPr>
                <w:rStyle w:val="95"/>
                <w:rFonts w:hint="default"/>
                <w:sz w:val="24"/>
                <w:szCs w:val="24"/>
                <w:lang w:bidi="ar"/>
              </w:rPr>
            </w:pPr>
            <w:r>
              <w:rPr>
                <w:rStyle w:val="95"/>
                <w:rFonts w:hint="default"/>
                <w:sz w:val="24"/>
                <w:szCs w:val="24"/>
                <w:lang w:bidi="ar"/>
              </w:rPr>
              <w:t>6.两侧的连接点位置模式：水平防坠落保护环。</w:t>
            </w:r>
          </w:p>
          <w:p>
            <w:pPr>
              <w:widowControl/>
              <w:jc w:val="left"/>
              <w:textAlignment w:val="center"/>
              <w:rPr>
                <w:rStyle w:val="95"/>
                <w:rFonts w:hint="default"/>
                <w:sz w:val="24"/>
                <w:szCs w:val="24"/>
                <w:lang w:bidi="ar"/>
              </w:rPr>
            </w:pPr>
            <w:r>
              <w:rPr>
                <w:rStyle w:val="95"/>
                <w:rFonts w:hint="default"/>
                <w:sz w:val="24"/>
                <w:szCs w:val="24"/>
                <w:lang w:bidi="ar"/>
              </w:rPr>
              <w:t>7.有内置胸式上升器固定装置；肩带上有两条水平挂带，专门用于插入挂钩支架；有≥2个工作定位座椅专用环；装备环数量≥4个；装备挂架孔眼数量≥2个；工具槽数量≥2个。</w:t>
            </w:r>
          </w:p>
          <w:p>
            <w:pPr>
              <w:widowControl/>
              <w:jc w:val="left"/>
              <w:textAlignment w:val="center"/>
              <w:rPr>
                <w:rStyle w:val="95"/>
                <w:rFonts w:hint="default"/>
                <w:sz w:val="24"/>
                <w:szCs w:val="24"/>
                <w:lang w:bidi="ar"/>
              </w:rPr>
            </w:pPr>
            <w:r>
              <w:rPr>
                <w:rStyle w:val="95"/>
                <w:rFonts w:hint="default"/>
                <w:sz w:val="24"/>
                <w:szCs w:val="24"/>
                <w:lang w:bidi="ar"/>
              </w:rPr>
              <w:t>▲8.安全吊带静态负荷≥2.67KN，后背连接点破断强度≥18KN，腰部连接点破断强度≥18KN，胸部连接点破断强度≥18KN，腹部连接点破断强度≥18KN。重量≤2kg。</w:t>
            </w:r>
          </w:p>
          <w:p>
            <w:pPr>
              <w:widowControl/>
              <w:jc w:val="left"/>
              <w:textAlignment w:val="center"/>
              <w:rPr>
                <w:rStyle w:val="95"/>
                <w:rFonts w:hint="default"/>
                <w:sz w:val="24"/>
                <w:szCs w:val="24"/>
                <w:lang w:bidi="ar"/>
              </w:rPr>
            </w:pPr>
            <w:r>
              <w:rPr>
                <w:rStyle w:val="95"/>
                <w:rFonts w:hint="default"/>
                <w:sz w:val="24"/>
                <w:szCs w:val="24"/>
                <w:lang w:bidi="ar"/>
              </w:rPr>
              <w:t>9.吊带的织带和缝线材质：聚酰胺，缝合接口及缝合末端回缝≤13mm，拉环无焊接，带扣边角半径≤6mm，带扣的拉环无棱角、毛刺、不得有裂痕。</w:t>
            </w:r>
          </w:p>
          <w:p>
            <w:pPr>
              <w:widowControl/>
              <w:jc w:val="left"/>
              <w:textAlignment w:val="center"/>
              <w:rPr>
                <w:rFonts w:ascii="宋体" w:hAnsi="宋体" w:cs="宋体"/>
                <w:color w:val="000000"/>
                <w:sz w:val="24"/>
              </w:rPr>
            </w:pPr>
            <w:r>
              <w:rPr>
                <w:rStyle w:val="95"/>
                <w:rFonts w:hint="default"/>
                <w:sz w:val="24"/>
                <w:szCs w:val="24"/>
                <w:lang w:bidi="ar"/>
              </w:rPr>
              <w:t>▲10.提供带CMA或CNAS标识的检验报告。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滑轮套装</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70</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Style w:val="95"/>
                <w:rFonts w:hint="default"/>
                <w:sz w:val="24"/>
                <w:szCs w:val="24"/>
                <w:lang w:bidi="ar"/>
              </w:rPr>
            </w:pPr>
            <w:r>
              <w:rPr>
                <w:rStyle w:val="95"/>
                <w:rFonts w:hint="default"/>
                <w:sz w:val="24"/>
                <w:szCs w:val="24"/>
                <w:lang w:bidi="ar"/>
              </w:rPr>
              <w:t>1.小滑轮1个</w:t>
            </w:r>
          </w:p>
          <w:p>
            <w:pPr>
              <w:widowControl/>
              <w:jc w:val="left"/>
              <w:textAlignment w:val="center"/>
              <w:rPr>
                <w:rStyle w:val="95"/>
                <w:rFonts w:hint="default"/>
                <w:sz w:val="24"/>
                <w:szCs w:val="24"/>
                <w:lang w:bidi="ar"/>
              </w:rPr>
            </w:pPr>
            <w:r>
              <w:rPr>
                <w:rStyle w:val="95"/>
                <w:rFonts w:hint="default"/>
                <w:sz w:val="24"/>
                <w:szCs w:val="24"/>
                <w:lang w:bidi="ar"/>
              </w:rPr>
              <w:t>★1.1符合国家或行业标准：XF494-2023《消防用防坠落装备》标准。</w:t>
            </w:r>
          </w:p>
          <w:p>
            <w:pPr>
              <w:widowControl/>
              <w:jc w:val="left"/>
              <w:textAlignment w:val="center"/>
              <w:rPr>
                <w:rStyle w:val="95"/>
                <w:rFonts w:hint="default"/>
                <w:sz w:val="24"/>
                <w:szCs w:val="24"/>
                <w:lang w:bidi="ar"/>
              </w:rPr>
            </w:pPr>
            <w:r>
              <w:rPr>
                <w:rStyle w:val="95"/>
                <w:rFonts w:hint="default"/>
                <w:sz w:val="24"/>
                <w:szCs w:val="24"/>
                <w:lang w:bidi="ar"/>
              </w:rPr>
              <w:t>1.2主要技术要求：（1）重量≤240g；（2）材质：主要材质铝合金；（3）适合绳径：≥10-11.5mm；▲（4）工作负荷≥5kN；▲（5）极限负荷≥22kN。</w:t>
            </w:r>
          </w:p>
          <w:p>
            <w:pPr>
              <w:widowControl/>
              <w:jc w:val="left"/>
              <w:textAlignment w:val="center"/>
              <w:rPr>
                <w:rStyle w:val="95"/>
                <w:rFonts w:hint="default"/>
                <w:sz w:val="24"/>
                <w:szCs w:val="24"/>
                <w:lang w:bidi="ar"/>
              </w:rPr>
            </w:pPr>
            <w:r>
              <w:rPr>
                <w:rStyle w:val="95"/>
                <w:rFonts w:hint="default"/>
                <w:sz w:val="24"/>
                <w:szCs w:val="24"/>
                <w:lang w:bidi="ar"/>
              </w:rPr>
              <w:t>▲1.3提供带CMA或CNAS标识的检测报告。</w:t>
            </w:r>
          </w:p>
          <w:p>
            <w:pPr>
              <w:widowControl/>
              <w:jc w:val="left"/>
              <w:textAlignment w:val="center"/>
              <w:rPr>
                <w:rStyle w:val="95"/>
                <w:rFonts w:hint="default"/>
                <w:sz w:val="24"/>
                <w:szCs w:val="24"/>
                <w:lang w:bidi="ar"/>
              </w:rPr>
            </w:pPr>
            <w:r>
              <w:rPr>
                <w:rStyle w:val="95"/>
                <w:rFonts w:hint="default"/>
                <w:sz w:val="24"/>
                <w:szCs w:val="24"/>
                <w:lang w:bidi="ar"/>
              </w:rPr>
              <w:t>2.单滑轮1个</w:t>
            </w:r>
          </w:p>
          <w:p>
            <w:pPr>
              <w:widowControl/>
              <w:jc w:val="left"/>
              <w:textAlignment w:val="center"/>
              <w:rPr>
                <w:rStyle w:val="95"/>
                <w:rFonts w:hint="default"/>
                <w:sz w:val="24"/>
                <w:szCs w:val="24"/>
                <w:lang w:bidi="ar"/>
              </w:rPr>
            </w:pPr>
            <w:r>
              <w:rPr>
                <w:rStyle w:val="95"/>
                <w:rFonts w:hint="default"/>
                <w:sz w:val="24"/>
                <w:szCs w:val="24"/>
                <w:lang w:bidi="ar"/>
              </w:rPr>
              <w:t>★2.1符合国家或行业标准：XF494-2023《消防用防坠落装备》标准。</w:t>
            </w:r>
          </w:p>
          <w:p>
            <w:pPr>
              <w:widowControl/>
              <w:jc w:val="left"/>
              <w:textAlignment w:val="center"/>
              <w:rPr>
                <w:rStyle w:val="95"/>
                <w:rFonts w:hint="default"/>
                <w:sz w:val="24"/>
                <w:szCs w:val="24"/>
                <w:lang w:bidi="ar"/>
              </w:rPr>
            </w:pPr>
            <w:r>
              <w:rPr>
                <w:rStyle w:val="95"/>
                <w:rFonts w:hint="default"/>
                <w:sz w:val="24"/>
                <w:szCs w:val="24"/>
                <w:lang w:bidi="ar"/>
              </w:rPr>
              <w:t>2.2主要技术要求：（1）重量≤250g；（2）材质：主要材质铝合金；（3）适合绳径：≥10-11.5mm；▲（4）工作负荷≥8kN；▲（5）极限负荷≥36kN；</w:t>
            </w:r>
          </w:p>
          <w:p>
            <w:pPr>
              <w:widowControl/>
              <w:jc w:val="left"/>
              <w:textAlignment w:val="center"/>
              <w:rPr>
                <w:rStyle w:val="95"/>
                <w:rFonts w:hint="default"/>
                <w:sz w:val="24"/>
                <w:szCs w:val="24"/>
                <w:lang w:bidi="ar"/>
              </w:rPr>
            </w:pPr>
            <w:r>
              <w:rPr>
                <w:rStyle w:val="95"/>
                <w:rFonts w:hint="default"/>
                <w:sz w:val="24"/>
                <w:szCs w:val="24"/>
                <w:lang w:bidi="ar"/>
              </w:rPr>
              <w:t>▲2.3提供带CMA或CNAS标识的检测报告。</w:t>
            </w:r>
          </w:p>
          <w:p>
            <w:pPr>
              <w:widowControl/>
              <w:jc w:val="left"/>
              <w:textAlignment w:val="center"/>
              <w:rPr>
                <w:rStyle w:val="95"/>
                <w:rFonts w:hint="default"/>
                <w:sz w:val="24"/>
                <w:szCs w:val="24"/>
                <w:lang w:bidi="ar"/>
              </w:rPr>
            </w:pPr>
            <w:r>
              <w:rPr>
                <w:rStyle w:val="95"/>
                <w:rFonts w:hint="default"/>
                <w:sz w:val="24"/>
                <w:szCs w:val="24"/>
                <w:lang w:bidi="ar"/>
              </w:rPr>
              <w:t>3.双滑轮1个</w:t>
            </w:r>
          </w:p>
          <w:p>
            <w:pPr>
              <w:widowControl/>
              <w:jc w:val="left"/>
              <w:textAlignment w:val="center"/>
              <w:rPr>
                <w:rStyle w:val="95"/>
                <w:rFonts w:hint="default"/>
                <w:sz w:val="24"/>
                <w:szCs w:val="24"/>
                <w:lang w:bidi="ar"/>
              </w:rPr>
            </w:pPr>
            <w:r>
              <w:rPr>
                <w:rStyle w:val="95"/>
                <w:rFonts w:hint="default"/>
                <w:sz w:val="24"/>
                <w:szCs w:val="24"/>
                <w:lang w:bidi="ar"/>
              </w:rPr>
              <w:t xml:space="preserve">★3.1符合国家或行业标准：XF494-2023《消防用防坠落装备》标准。  </w:t>
            </w:r>
          </w:p>
          <w:p>
            <w:pPr>
              <w:widowControl/>
              <w:jc w:val="left"/>
              <w:textAlignment w:val="center"/>
              <w:rPr>
                <w:rStyle w:val="95"/>
                <w:rFonts w:hint="default"/>
                <w:sz w:val="24"/>
                <w:szCs w:val="24"/>
                <w:lang w:bidi="ar"/>
              </w:rPr>
            </w:pPr>
            <w:r>
              <w:rPr>
                <w:rStyle w:val="95"/>
                <w:rFonts w:hint="default"/>
                <w:sz w:val="24"/>
                <w:szCs w:val="24"/>
                <w:lang w:bidi="ar"/>
              </w:rPr>
              <w:t>3.2主要技术要求：（1）重量≤440g；（2）材质：主要材质铝合金；（3）适用绳径：≥10-11.5mm；▲（4）工作负荷≥8KN；▲（5）破断负荷≥32kN。</w:t>
            </w:r>
          </w:p>
          <w:p>
            <w:pPr>
              <w:widowControl/>
              <w:jc w:val="left"/>
              <w:textAlignment w:val="center"/>
              <w:rPr>
                <w:rStyle w:val="95"/>
                <w:rFonts w:hint="default"/>
                <w:sz w:val="24"/>
                <w:szCs w:val="24"/>
                <w:lang w:bidi="ar"/>
              </w:rPr>
            </w:pPr>
            <w:r>
              <w:rPr>
                <w:rStyle w:val="95"/>
                <w:rFonts w:hint="default"/>
                <w:sz w:val="24"/>
                <w:szCs w:val="24"/>
                <w:lang w:bidi="ar"/>
              </w:rPr>
              <w:t>▲3.3提供带CMA或CNAS标识的检测报告。</w:t>
            </w:r>
          </w:p>
          <w:p>
            <w:pPr>
              <w:widowControl/>
              <w:jc w:val="left"/>
              <w:textAlignment w:val="center"/>
              <w:rPr>
                <w:rStyle w:val="95"/>
                <w:rFonts w:hint="default"/>
                <w:sz w:val="24"/>
                <w:szCs w:val="24"/>
                <w:lang w:bidi="ar"/>
              </w:rPr>
            </w:pPr>
            <w:r>
              <w:rPr>
                <w:rStyle w:val="95"/>
                <w:rFonts w:hint="default"/>
                <w:sz w:val="24"/>
                <w:szCs w:val="24"/>
                <w:lang w:bidi="ar"/>
              </w:rPr>
              <w:t>4.单向滑轮1个</w:t>
            </w:r>
          </w:p>
          <w:p>
            <w:pPr>
              <w:widowControl/>
              <w:jc w:val="left"/>
              <w:textAlignment w:val="center"/>
              <w:rPr>
                <w:rStyle w:val="95"/>
                <w:rFonts w:hint="default"/>
                <w:sz w:val="24"/>
                <w:szCs w:val="24"/>
                <w:lang w:bidi="ar"/>
              </w:rPr>
            </w:pPr>
            <w:r>
              <w:rPr>
                <w:rStyle w:val="95"/>
                <w:rFonts w:hint="default"/>
                <w:sz w:val="24"/>
                <w:szCs w:val="24"/>
                <w:lang w:bidi="ar"/>
              </w:rPr>
              <w:t xml:space="preserve">★4.1符合国家或行业标准：XF494-2023《消防用防坠落装备》标准。  </w:t>
            </w:r>
          </w:p>
          <w:p>
            <w:pPr>
              <w:widowControl/>
              <w:jc w:val="left"/>
              <w:textAlignment w:val="center"/>
              <w:rPr>
                <w:rStyle w:val="95"/>
                <w:rFonts w:hint="default"/>
                <w:sz w:val="24"/>
                <w:szCs w:val="24"/>
                <w:lang w:bidi="ar"/>
              </w:rPr>
            </w:pPr>
            <w:r>
              <w:rPr>
                <w:rStyle w:val="95"/>
                <w:rFonts w:hint="default"/>
                <w:sz w:val="24"/>
                <w:szCs w:val="24"/>
                <w:lang w:bidi="ar"/>
              </w:rPr>
              <w:t>4.2主要技术要求：（1）重量≤460g；（2）材质：主要材质铝合金；（3）适用绳径≥10-11.5mm。▲（4）工作负荷≥8KN；▲（5）破断负荷≥22kN。</w:t>
            </w:r>
          </w:p>
          <w:p>
            <w:pPr>
              <w:widowControl/>
              <w:jc w:val="left"/>
              <w:textAlignment w:val="center"/>
              <w:rPr>
                <w:rFonts w:ascii="宋体" w:hAnsi="宋体" w:cs="宋体"/>
                <w:color w:val="000000"/>
                <w:sz w:val="24"/>
              </w:rPr>
            </w:pPr>
            <w:r>
              <w:rPr>
                <w:rStyle w:val="95"/>
                <w:rFonts w:hint="default"/>
                <w:sz w:val="24"/>
                <w:szCs w:val="24"/>
                <w:lang w:bidi="ar"/>
              </w:rPr>
              <w:t>▲4.3提供带CMA或CNAS标识的检测报告。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挂钩套装</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80</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★1.包含O型钩2个，D型钩2个，梨形钩2个。</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▲2.O型钩、D型钩、梨形钩分别提供带CMA或CNAS标识的检测报告。</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3.O型钩</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★（1）符合XF494-2023《消防用防坠落装备》标准。</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（2）纵向拉力：≥25kN，横向拉力：≥8kN，开门拉力：≥7kN；锁门开口尺寸：20mm（±1mm）；</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（3）材质：铝合金。</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4.D型钩</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★（1）符合XF494-2023《消防用防坠落装备》标准。</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（2）纵向拉力：≥25KN，横向拉力：≥8KN，开门拉力：≥8KN，重量：≤90g；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5.梨形钩</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 xml:space="preserve">★（1）符合XF494-2023《消防用防坠落装备》标准。  </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（2）纵向拉力：≥25kN，横向拉力：≥8kN，重量：≤90g；</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（3）材质：铝合金。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自动止坠器</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68</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★1.总体性能符合的标准或要求：XF494-2023《消防用防坠落装备》标准。</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2.功能：如遇坠落冲击或突然加速，移动止坠器将在绳索上制动并制止使用者的下坠。</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▲3.主要材质：铝合金。兼容绳索的直径≥10mm-11.5m，重量≤600g，工作负荷≥200kg。</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▲4.提供带CMA或CNAS标识的检测报告。</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★5.配置双人使用势能吸收带，符合双人救援使用条件。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自动锁定下降器</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52</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1.带自停、自锁功能，可以让作业者在作业绳索上下降，定位和上升，防慌乱自动制停功能，受力时内部凸轮压紧绳索达到悬停功能，同时无需打开中间锁扣即可装。</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2.配有释放装置的系索，允许在下降过程中向下拉。</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▲3.主要是材质：铝合金。兼容绳索的直径≥10.5-11.5mm，重量≤800g，工作负荷≥5KN。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▲4.提供带CMA或CNAS标识的检测报告。</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★5.符合XF494-2023《消防用防坠落装备》标准要求。</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★6.配置双人使用势能吸收带，符合双人救援使用条件。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80" w:type="dxa"/>
            <w:vMerge w:val="continue"/>
            <w:shd w:val="clear" w:color="auto" w:fill="auto"/>
            <w:vAlign w:val="center"/>
          </w:tcPr>
          <w:p>
            <w:pPr>
              <w:jc w:val="center"/>
              <w:rPr>
                <w:rFonts w:ascii="宋体" w:hAnsi="宋体" w:cs="宋体"/>
                <w:color w:val="000000"/>
                <w:sz w:val="24"/>
              </w:rPr>
            </w:pPr>
          </w:p>
        </w:tc>
        <w:tc>
          <w:tcPr>
            <w:tcW w:w="1803"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下降器</w:t>
            </w:r>
          </w:p>
        </w:tc>
        <w:tc>
          <w:tcPr>
            <w:tcW w:w="83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760" w:type="dxa"/>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9666" w:type="dxa"/>
            <w:shd w:val="clear" w:color="auto" w:fill="auto"/>
            <w:vAlign w:val="center"/>
          </w:tcPr>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★1.符合《消防用防坠落装备》（XF494-2023）标准。</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▲2.适用安全绳的直径≥10.5-11.5mm，极限负荷：≥5KN。</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3.下降器表面标注：产品型号、适用直径。</w:t>
            </w:r>
          </w:p>
          <w:p>
            <w:pPr>
              <w:widowControl/>
              <w:jc w:val="left"/>
              <w:textAlignment w:val="center"/>
              <w:rPr>
                <w:rFonts w:ascii="宋体" w:hAnsi="宋体" w:cs="宋体"/>
                <w:color w:val="000000"/>
                <w:kern w:val="0"/>
                <w:sz w:val="24"/>
                <w:lang w:bidi="ar"/>
              </w:rPr>
            </w:pPr>
            <w:r>
              <w:rPr>
                <w:rFonts w:hint="eastAsia" w:ascii="宋体" w:hAnsi="宋体" w:cs="宋体"/>
                <w:color w:val="000000"/>
                <w:kern w:val="0"/>
                <w:sz w:val="24"/>
                <w:lang w:bidi="ar"/>
              </w:rPr>
              <w:t>▲4.提供带CMA或CNAS标识的检测报告。</w:t>
            </w:r>
          </w:p>
          <w:p>
            <w:pPr>
              <w:widowControl/>
              <w:jc w:val="left"/>
              <w:textAlignment w:val="center"/>
              <w:rPr>
                <w:rFonts w:ascii="宋体" w:hAnsi="宋体" w:cs="宋体"/>
                <w:color w:val="000000"/>
                <w:sz w:val="24"/>
              </w:rPr>
            </w:pPr>
            <w:r>
              <w:rPr>
                <w:rFonts w:hint="eastAsia" w:ascii="宋体" w:hAnsi="宋体" w:cs="宋体"/>
                <w:color w:val="000000"/>
                <w:kern w:val="0"/>
                <w:sz w:val="24"/>
                <w:lang w:bidi="ar"/>
              </w:rPr>
              <w:t>★5.配置双人使用势能吸收带，符合双人救援使用条件。</w:t>
            </w:r>
          </w:p>
        </w:tc>
      </w:tr>
    </w:tbl>
    <w:p>
      <w:pPr>
        <w:widowControl/>
        <w:overflowPunct/>
        <w:autoSpaceDE/>
        <w:autoSpaceDN/>
        <w:jc w:val="left"/>
        <w:rPr>
          <w:rFonts w:ascii="宋体" w:hAnsi="宋体" w:cs="宋体"/>
          <w:kern w:val="0"/>
          <w:sz w:val="24"/>
          <w:lang w:val="zh-CN"/>
        </w:rPr>
      </w:pPr>
      <w:r>
        <w:rPr>
          <w:rFonts w:ascii="宋体" w:hAnsi="宋体" w:cs="宋体"/>
          <w:kern w:val="0"/>
          <w:sz w:val="24"/>
          <w:lang w:val="zh-CN"/>
        </w:rPr>
        <w:br w:type="page"/>
      </w:r>
      <w:bookmarkStart w:id="144" w:name="_Toc14376_WPSOffice_Level1"/>
    </w:p>
    <w:p>
      <w:pPr>
        <w:jc w:val="center"/>
        <w:rPr>
          <w:rFonts w:ascii="宋体" w:hAnsi="宋体" w:cs="宋体"/>
          <w:b/>
          <w:bCs/>
          <w:kern w:val="44"/>
          <w:sz w:val="36"/>
          <w:szCs w:val="44"/>
        </w:rPr>
        <w:sectPr>
          <w:pgSz w:w="16838" w:h="11906" w:orient="landscape"/>
          <w:pgMar w:top="1800" w:right="1440" w:bottom="1800" w:left="1440" w:header="851" w:footer="992" w:gutter="0"/>
          <w:cols w:space="720" w:num="1"/>
          <w:docGrid w:type="lines" w:linePitch="312" w:charSpace="0"/>
        </w:sectPr>
      </w:pPr>
    </w:p>
    <w:p>
      <w:pPr>
        <w:jc w:val="center"/>
        <w:rPr>
          <w:rFonts w:ascii="宋体" w:hAnsi="宋体" w:cs="宋体"/>
          <w:b/>
          <w:sz w:val="24"/>
        </w:rPr>
      </w:pPr>
      <w:r>
        <w:rPr>
          <w:rFonts w:hint="eastAsia" w:ascii="宋体" w:hAnsi="宋体" w:cs="宋体"/>
          <w:b/>
          <w:bCs/>
          <w:kern w:val="44"/>
          <w:sz w:val="36"/>
          <w:szCs w:val="44"/>
        </w:rPr>
        <w:t>第七章  评标办法</w:t>
      </w:r>
      <w:bookmarkEnd w:id="144"/>
      <w:bookmarkStart w:id="145" w:name="_Hlt101846155"/>
      <w:bookmarkEnd w:id="145"/>
      <w:bookmarkStart w:id="146" w:name="_Toc217446097"/>
      <w:bookmarkStart w:id="147" w:name="_Toc183582280"/>
      <w:bookmarkStart w:id="148" w:name="_Toc208849007"/>
      <w:bookmarkStart w:id="149" w:name="_Toc183682415"/>
    </w:p>
    <w:p>
      <w:pPr>
        <w:pStyle w:val="5"/>
        <w:ind w:left="420"/>
        <w:rPr>
          <w:rFonts w:ascii="宋体" w:hAnsi="宋体" w:cs="宋体"/>
        </w:rPr>
      </w:pPr>
      <w:r>
        <w:rPr>
          <w:rFonts w:hint="eastAsia" w:ascii="宋体" w:hAnsi="宋体" w:cs="宋体"/>
        </w:rPr>
        <w:t>1. 总则</w:t>
      </w:r>
      <w:bookmarkEnd w:id="146"/>
      <w:bookmarkEnd w:id="147"/>
      <w:bookmarkEnd w:id="148"/>
      <w:bookmarkEnd w:id="149"/>
    </w:p>
    <w:p>
      <w:pPr>
        <w:spacing w:line="420" w:lineRule="exact"/>
        <w:ind w:firstLine="480" w:firstLineChars="200"/>
        <w:rPr>
          <w:rFonts w:ascii="宋体" w:hAnsi="宋体" w:cs="宋体"/>
          <w:sz w:val="24"/>
        </w:rPr>
      </w:pPr>
      <w:r>
        <w:rPr>
          <w:rFonts w:hint="eastAsia" w:ascii="宋体" w:hAnsi="宋体" w:cs="宋体"/>
          <w:sz w:val="24"/>
        </w:rPr>
        <w:t>1.1根据《中华人民共和国政府采购法》《中华人民共和国政府采购法实施条例》《政府采购货物和服务招标投标管理办法》等法律制度，结合采购项目特点制定本评标办法。</w:t>
      </w:r>
    </w:p>
    <w:p>
      <w:pPr>
        <w:spacing w:line="420" w:lineRule="exact"/>
        <w:ind w:firstLine="480" w:firstLineChars="200"/>
        <w:rPr>
          <w:rFonts w:ascii="宋体" w:hAnsi="宋体" w:cs="宋体"/>
          <w:sz w:val="24"/>
        </w:rPr>
      </w:pPr>
      <w:r>
        <w:rPr>
          <w:rFonts w:hint="eastAsia" w:ascii="宋体" w:hAnsi="宋体" w:cs="宋体"/>
          <w:sz w:val="24"/>
        </w:rPr>
        <w:t xml:space="preserve">1.2 </w:t>
      </w:r>
      <w:r>
        <w:rPr>
          <w:rFonts w:hint="eastAsia" w:ascii="宋体" w:hAnsi="宋体" w:cs="宋体"/>
          <w:bCs/>
          <w:sz w:val="24"/>
        </w:rPr>
        <w:t>评标工作由采购代理机构负责组织，具体评标事务由采购代理机构依法组建的评标委员会负责。评标委员会由采购人代表和有关技术、经济、法律等方面的专家组成。</w:t>
      </w:r>
    </w:p>
    <w:p>
      <w:pPr>
        <w:spacing w:line="420" w:lineRule="exact"/>
        <w:ind w:firstLine="480" w:firstLineChars="200"/>
        <w:rPr>
          <w:rFonts w:ascii="宋体" w:hAnsi="宋体" w:cs="宋体"/>
          <w:sz w:val="24"/>
        </w:rPr>
      </w:pPr>
      <w:r>
        <w:rPr>
          <w:rFonts w:hint="eastAsia" w:ascii="宋体" w:hAnsi="宋体" w:cs="宋体"/>
          <w:sz w:val="24"/>
        </w:rPr>
        <w:t>1.3 评标工作应遵循公平、公正、科学及择优的原则，并以相同的评标程序和标准对待所有的投标人。</w:t>
      </w:r>
    </w:p>
    <w:p>
      <w:pPr>
        <w:spacing w:line="420" w:lineRule="exact"/>
        <w:ind w:firstLine="480" w:firstLineChars="200"/>
        <w:rPr>
          <w:rFonts w:ascii="宋体" w:hAnsi="宋体" w:cs="宋体"/>
          <w:sz w:val="24"/>
        </w:rPr>
      </w:pPr>
      <w:r>
        <w:rPr>
          <w:rFonts w:hint="eastAsia" w:ascii="宋体" w:hAnsi="宋体" w:cs="宋体"/>
          <w:sz w:val="24"/>
        </w:rPr>
        <w:t>1.4 评标委员会按照招标文件规定的评标方法和标准进行评标，并独立履行下列职责：</w:t>
      </w:r>
    </w:p>
    <w:p>
      <w:pPr>
        <w:spacing w:line="420" w:lineRule="exact"/>
        <w:ind w:firstLine="480" w:firstLineChars="200"/>
        <w:rPr>
          <w:rFonts w:ascii="宋体" w:hAnsi="宋体" w:cs="宋体"/>
          <w:sz w:val="24"/>
        </w:rPr>
      </w:pPr>
      <w:bookmarkStart w:id="150" w:name="_Toc217446098"/>
      <w:r>
        <w:rPr>
          <w:rFonts w:hint="eastAsia" w:ascii="宋体" w:hAnsi="宋体" w:cs="宋体"/>
          <w:sz w:val="24"/>
        </w:rPr>
        <w:t>（一）熟悉和理解招标文件；</w:t>
      </w:r>
    </w:p>
    <w:p>
      <w:pPr>
        <w:spacing w:line="420" w:lineRule="exact"/>
        <w:ind w:firstLine="480" w:firstLineChars="200"/>
        <w:rPr>
          <w:rFonts w:ascii="宋体" w:hAnsi="宋体" w:cs="宋体"/>
          <w:sz w:val="24"/>
        </w:rPr>
      </w:pPr>
      <w:r>
        <w:rPr>
          <w:rFonts w:hint="eastAsia" w:ascii="宋体" w:hAnsi="宋体" w:cs="宋体"/>
          <w:sz w:val="24"/>
        </w:rPr>
        <w:t>（二）</w:t>
      </w:r>
      <w:r>
        <w:rPr>
          <w:rFonts w:hint="eastAsia" w:ascii="宋体" w:hAnsi="宋体" w:cs="宋体"/>
          <w:kern w:val="0"/>
          <w:sz w:val="24"/>
        </w:rPr>
        <w:t>审查、评价投标文件是否符合招标文件的商务、技术等实质性要求</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（三）根据需要要求招标采购单位对招标文件作出解释；根据需要要求供应商对投标文件有关事项作出澄清、说明或者更正；</w:t>
      </w:r>
    </w:p>
    <w:p>
      <w:pPr>
        <w:spacing w:line="420" w:lineRule="exact"/>
        <w:ind w:firstLine="480" w:firstLineChars="200"/>
        <w:rPr>
          <w:rFonts w:ascii="宋体" w:hAnsi="宋体" w:cs="宋体"/>
          <w:sz w:val="24"/>
        </w:rPr>
      </w:pPr>
      <w:r>
        <w:rPr>
          <w:rFonts w:hint="eastAsia" w:ascii="宋体" w:hAnsi="宋体" w:cs="宋体"/>
          <w:sz w:val="24"/>
        </w:rPr>
        <w:t>（四）</w:t>
      </w:r>
      <w:r>
        <w:rPr>
          <w:rFonts w:hint="eastAsia" w:ascii="宋体" w:hAnsi="宋体" w:cs="宋体"/>
          <w:kern w:val="0"/>
          <w:sz w:val="24"/>
        </w:rPr>
        <w:t>对投标文件进行比较和评价；</w:t>
      </w:r>
    </w:p>
    <w:p>
      <w:pPr>
        <w:spacing w:line="420" w:lineRule="exact"/>
        <w:ind w:firstLine="480" w:firstLineChars="200"/>
        <w:rPr>
          <w:rFonts w:ascii="宋体" w:hAnsi="宋体" w:cs="宋体"/>
          <w:sz w:val="24"/>
        </w:rPr>
      </w:pPr>
      <w:r>
        <w:rPr>
          <w:rFonts w:hint="eastAsia" w:ascii="宋体" w:hAnsi="宋体" w:cs="宋体"/>
          <w:sz w:val="24"/>
        </w:rPr>
        <w:t>（五）确定中标候选供应商，或者受采购人委托确定中标供应商；</w:t>
      </w:r>
    </w:p>
    <w:p>
      <w:pPr>
        <w:spacing w:line="420" w:lineRule="exact"/>
        <w:ind w:firstLine="480" w:firstLineChars="200"/>
        <w:rPr>
          <w:rFonts w:ascii="宋体" w:hAnsi="宋体" w:cs="宋体"/>
          <w:sz w:val="24"/>
        </w:rPr>
      </w:pPr>
      <w:r>
        <w:rPr>
          <w:rFonts w:hint="eastAsia" w:ascii="宋体" w:hAnsi="宋体" w:cs="宋体"/>
          <w:sz w:val="24"/>
        </w:rPr>
        <w:t>（六）起草评标报告并进行签署；</w:t>
      </w:r>
    </w:p>
    <w:p>
      <w:pPr>
        <w:spacing w:line="420" w:lineRule="exact"/>
        <w:ind w:firstLine="480" w:firstLineChars="200"/>
        <w:rPr>
          <w:rFonts w:ascii="宋体" w:hAnsi="宋体" w:cs="宋体"/>
          <w:sz w:val="24"/>
        </w:rPr>
      </w:pPr>
      <w:r>
        <w:rPr>
          <w:rFonts w:hint="eastAsia" w:ascii="宋体" w:hAnsi="宋体" w:cs="宋体"/>
          <w:sz w:val="24"/>
        </w:rPr>
        <w:t>（七）向招标采购单位、财政部门或者其他监督部门报告非法干预评标工作的行为；</w:t>
      </w:r>
    </w:p>
    <w:p>
      <w:pPr>
        <w:spacing w:line="420" w:lineRule="exact"/>
        <w:ind w:firstLine="480" w:firstLineChars="200"/>
        <w:rPr>
          <w:rFonts w:ascii="宋体" w:hAnsi="宋体" w:cs="宋体"/>
          <w:sz w:val="24"/>
        </w:rPr>
      </w:pPr>
      <w:r>
        <w:rPr>
          <w:rFonts w:hint="eastAsia" w:ascii="宋体" w:hAnsi="宋体" w:cs="宋体"/>
          <w:sz w:val="24"/>
        </w:rPr>
        <w:t>（八）法律、法规和规章规定的其他职责。</w:t>
      </w:r>
    </w:p>
    <w:p>
      <w:pPr>
        <w:spacing w:line="420" w:lineRule="exact"/>
        <w:ind w:firstLine="480" w:firstLineChars="200"/>
        <w:rPr>
          <w:rFonts w:ascii="宋体" w:hAnsi="宋体" w:cs="宋体"/>
          <w:sz w:val="24"/>
        </w:rPr>
      </w:pPr>
      <w:r>
        <w:rPr>
          <w:rFonts w:hint="eastAsia" w:ascii="宋体" w:hAnsi="宋体" w:cs="宋体"/>
          <w:sz w:val="24"/>
        </w:rPr>
        <w:t>1.5 评标过程独立、保密。投标人非法干预评标评标过程的行为将导致其投标文件作为无效处理。</w:t>
      </w:r>
    </w:p>
    <w:p>
      <w:pPr>
        <w:spacing w:line="420" w:lineRule="exact"/>
        <w:ind w:firstLine="480" w:firstLineChars="200"/>
        <w:rPr>
          <w:rFonts w:ascii="宋体" w:hAnsi="宋体" w:cs="宋体"/>
          <w:sz w:val="24"/>
        </w:rPr>
      </w:pPr>
      <w:r>
        <w:rPr>
          <w:rFonts w:hint="eastAsia" w:ascii="宋体" w:hAnsi="宋体" w:cs="宋体"/>
          <w:sz w:val="24"/>
        </w:rPr>
        <w:t>1.6评标委员会评价投标文件的响应性，对于投标人而言，除评标委员会要求其澄清、说明或者更正而提供的资料外，仅依据投标文件本身的内容，不寻求其他外部证据。</w:t>
      </w:r>
    </w:p>
    <w:p>
      <w:pPr>
        <w:pStyle w:val="5"/>
        <w:ind w:left="420"/>
        <w:rPr>
          <w:rFonts w:ascii="宋体" w:hAnsi="宋体" w:cs="宋体"/>
        </w:rPr>
      </w:pPr>
      <w:r>
        <w:rPr>
          <w:rFonts w:hint="eastAsia" w:ascii="宋体" w:hAnsi="宋体" w:cs="宋体"/>
        </w:rPr>
        <w:t>2、评标方法</w:t>
      </w:r>
    </w:p>
    <w:p>
      <w:pPr>
        <w:spacing w:line="420" w:lineRule="exact"/>
        <w:ind w:firstLine="480" w:firstLineChars="200"/>
        <w:rPr>
          <w:rFonts w:ascii="宋体" w:hAnsi="宋体" w:cs="宋体"/>
          <w:sz w:val="24"/>
        </w:rPr>
      </w:pPr>
      <w:r>
        <w:rPr>
          <w:rFonts w:hint="eastAsia" w:ascii="宋体" w:hAnsi="宋体" w:cs="宋体"/>
          <w:sz w:val="24"/>
        </w:rPr>
        <w:t>本项目评标方法为：综合评分法。</w:t>
      </w:r>
    </w:p>
    <w:p>
      <w:pPr>
        <w:pStyle w:val="5"/>
        <w:ind w:left="420"/>
        <w:rPr>
          <w:rFonts w:ascii="宋体" w:hAnsi="宋体" w:cs="宋体"/>
        </w:rPr>
      </w:pPr>
      <w:r>
        <w:rPr>
          <w:rFonts w:hint="eastAsia" w:ascii="宋体" w:hAnsi="宋体" w:cs="宋体"/>
        </w:rPr>
        <w:t>3、 评标程序</w:t>
      </w:r>
      <w:bookmarkEnd w:id="150"/>
    </w:p>
    <w:p>
      <w:pPr>
        <w:spacing w:line="420" w:lineRule="exact"/>
        <w:ind w:firstLine="480" w:firstLineChars="200"/>
        <w:rPr>
          <w:rFonts w:ascii="宋体" w:hAnsi="宋体" w:cs="宋体"/>
          <w:sz w:val="24"/>
        </w:rPr>
      </w:pPr>
      <w:bookmarkStart w:id="151" w:name="_Toc217446103"/>
      <w:bookmarkStart w:id="152" w:name="_Toc217446099"/>
      <w:r>
        <w:rPr>
          <w:rFonts w:hint="eastAsia" w:ascii="宋体" w:hAnsi="宋体" w:cs="宋体"/>
          <w:sz w:val="24"/>
        </w:rPr>
        <w:t>3.1熟悉和理解招标文件和停止评标。</w:t>
      </w:r>
    </w:p>
    <w:p>
      <w:pPr>
        <w:spacing w:line="420" w:lineRule="exact"/>
        <w:ind w:firstLine="480" w:firstLineChars="200"/>
        <w:rPr>
          <w:rFonts w:ascii="宋体" w:hAnsi="宋体" w:cs="宋体"/>
          <w:sz w:val="24"/>
        </w:rPr>
      </w:pPr>
      <w:r>
        <w:rPr>
          <w:rFonts w:hint="eastAsia" w:ascii="宋体" w:hAnsi="宋体" w:cs="宋体"/>
          <w:sz w:val="24"/>
        </w:rPr>
        <w:t>3.1.1评标委员会正式评标前，应当对招标文件进行熟悉和理解，内容主要包括招标文件中投标人资格条件要求、采购项目技术、服务和商务要求、评标方法和标准以及可能涉及签订采购合同的内容等。</w:t>
      </w:r>
    </w:p>
    <w:p>
      <w:pPr>
        <w:spacing w:line="420" w:lineRule="exact"/>
        <w:ind w:firstLine="480" w:firstLineChars="200"/>
        <w:rPr>
          <w:rFonts w:ascii="宋体" w:hAnsi="宋体" w:cs="宋体"/>
          <w:sz w:val="24"/>
        </w:rPr>
      </w:pPr>
      <w:r>
        <w:rPr>
          <w:rFonts w:hint="eastAsia" w:ascii="宋体" w:hAnsi="宋体" w:cs="宋体"/>
          <w:sz w:val="24"/>
        </w:rPr>
        <w:t>3.2资格性审查。</w:t>
      </w:r>
    </w:p>
    <w:p>
      <w:pPr>
        <w:spacing w:line="420" w:lineRule="exact"/>
        <w:ind w:firstLine="480" w:firstLineChars="200"/>
        <w:rPr>
          <w:rFonts w:ascii="宋体" w:hAnsi="宋体" w:cs="宋体"/>
          <w:sz w:val="24"/>
        </w:rPr>
      </w:pPr>
      <w:r>
        <w:rPr>
          <w:rFonts w:hint="eastAsia" w:ascii="宋体" w:hAnsi="宋体" w:cs="宋体"/>
          <w:sz w:val="24"/>
        </w:rPr>
        <w:t>采购人或采购代理机构应依据法律法规和本招标文件的规定，对投标文件是否按照规定要求提供资格性证明材料、是否按照规定交纳投标保证金、是否属于禁止参加投标的供应商、是否符合法律法规规定的其他资格条件等进行审查，以确定投标供应商是否具备投标资格。</w:t>
      </w:r>
    </w:p>
    <w:p>
      <w:pPr>
        <w:spacing w:line="420" w:lineRule="exact"/>
        <w:ind w:firstLine="480" w:firstLineChars="200"/>
        <w:rPr>
          <w:rFonts w:ascii="宋体" w:hAnsi="宋体" w:cs="宋体"/>
          <w:sz w:val="24"/>
        </w:rPr>
      </w:pPr>
      <w:r>
        <w:rPr>
          <w:rFonts w:hint="eastAsia" w:ascii="宋体" w:hAnsi="宋体" w:cs="宋体"/>
          <w:sz w:val="24"/>
        </w:rPr>
        <w:t>3.3符合性审查。</w:t>
      </w:r>
    </w:p>
    <w:p>
      <w:pPr>
        <w:spacing w:line="420" w:lineRule="exact"/>
        <w:ind w:firstLine="480" w:firstLineChars="200"/>
        <w:rPr>
          <w:rFonts w:ascii="宋体" w:hAnsi="宋体" w:cs="宋体"/>
          <w:sz w:val="24"/>
        </w:rPr>
      </w:pPr>
      <w:r>
        <w:rPr>
          <w:rFonts w:hint="eastAsia" w:ascii="宋体" w:hAnsi="宋体" w:cs="宋体"/>
          <w:sz w:val="24"/>
        </w:rPr>
        <w:t>3.3.1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p>
      <w:pPr>
        <w:spacing w:line="420" w:lineRule="exact"/>
        <w:ind w:firstLine="480" w:firstLineChars="200"/>
        <w:rPr>
          <w:rFonts w:ascii="宋体" w:hAnsi="宋体" w:cs="宋体"/>
          <w:sz w:val="24"/>
        </w:rPr>
      </w:pPr>
      <w:r>
        <w:rPr>
          <w:rFonts w:hint="eastAsia" w:ascii="宋体" w:hAnsi="宋体" w:cs="宋体"/>
          <w:sz w:val="24"/>
        </w:rPr>
        <w:t>3.3.2投标文件（包括单独递交的开标一览表）有下列情形的，本项目不作为实质性要求进行规定，即不作为符合性审查事项，不得作为无效投标处理：</w:t>
      </w:r>
    </w:p>
    <w:p>
      <w:pPr>
        <w:spacing w:line="420" w:lineRule="exact"/>
        <w:ind w:firstLine="480" w:firstLineChars="200"/>
        <w:rPr>
          <w:rFonts w:ascii="宋体" w:hAnsi="宋体" w:cs="宋体"/>
          <w:sz w:val="24"/>
        </w:rPr>
      </w:pPr>
      <w:r>
        <w:rPr>
          <w:rFonts w:hint="eastAsia" w:ascii="宋体" w:hAnsi="宋体" w:cs="宋体"/>
          <w:sz w:val="24"/>
        </w:rPr>
        <w:t>（一）存在个别地方（不超过2个）没有法定代表人签字，但有法定代表人的私人印章或者有效授权代理人签字的；</w:t>
      </w:r>
    </w:p>
    <w:p>
      <w:pPr>
        <w:spacing w:line="420" w:lineRule="exact"/>
        <w:ind w:firstLine="480" w:firstLineChars="200"/>
        <w:rPr>
          <w:rFonts w:ascii="宋体" w:hAnsi="宋体" w:cs="宋体"/>
          <w:sz w:val="24"/>
        </w:rPr>
      </w:pPr>
      <w:r>
        <w:rPr>
          <w:rFonts w:hint="eastAsia" w:ascii="宋体" w:hAnsi="宋体" w:cs="宋体"/>
          <w:sz w:val="24"/>
        </w:rPr>
        <w:t>（二）除招标文件明确要求加盖单位(法人)公章的以外，其他地方以相关专用章加盖的；</w:t>
      </w:r>
    </w:p>
    <w:p>
      <w:pPr>
        <w:spacing w:line="420" w:lineRule="exact"/>
        <w:ind w:firstLine="480" w:firstLineChars="200"/>
        <w:rPr>
          <w:rFonts w:ascii="宋体" w:hAnsi="宋体" w:cs="宋体"/>
          <w:sz w:val="24"/>
        </w:rPr>
      </w:pPr>
      <w:r>
        <w:rPr>
          <w:rFonts w:hint="eastAsia" w:ascii="宋体" w:hAnsi="宋体" w:cs="宋体"/>
          <w:sz w:val="24"/>
        </w:rPr>
        <w:t>（三）以骑缝章的形式代替投标文件内容逐页盖章的（但是骑缝章模糊不清，印章名称无法辨认的除外）；</w:t>
      </w:r>
    </w:p>
    <w:p>
      <w:pPr>
        <w:spacing w:line="420" w:lineRule="exact"/>
        <w:ind w:firstLine="480" w:firstLineChars="200"/>
        <w:rPr>
          <w:rFonts w:ascii="宋体" w:hAnsi="宋体" w:cs="宋体"/>
          <w:sz w:val="24"/>
        </w:rPr>
      </w:pPr>
      <w:r>
        <w:rPr>
          <w:rFonts w:hint="eastAsia" w:ascii="宋体" w:hAnsi="宋体" w:cs="宋体"/>
          <w:sz w:val="24"/>
        </w:rPr>
        <w:t>（四）其他不影响采购项目实质性要求的情形。</w:t>
      </w:r>
    </w:p>
    <w:p>
      <w:pPr>
        <w:spacing w:line="420" w:lineRule="exact"/>
        <w:ind w:firstLine="480" w:firstLineChars="200"/>
        <w:rPr>
          <w:rFonts w:ascii="宋体" w:hAnsi="宋体" w:cs="宋体"/>
          <w:sz w:val="24"/>
        </w:rPr>
      </w:pPr>
      <w:r>
        <w:rPr>
          <w:rFonts w:hint="eastAsia" w:ascii="宋体" w:hAnsi="宋体" w:cs="宋体"/>
          <w:sz w:val="24"/>
        </w:rPr>
        <w:t>3.3.3除政府采购法律制度规定的情形外，本项目投标人或者其投标文件有下列情形之一的，作为无效投标处理：</w:t>
      </w:r>
    </w:p>
    <w:p>
      <w:pPr>
        <w:spacing w:line="420" w:lineRule="exact"/>
        <w:ind w:firstLine="480" w:firstLineChars="200"/>
        <w:rPr>
          <w:rFonts w:ascii="宋体" w:hAnsi="宋体" w:cs="宋体"/>
          <w:sz w:val="24"/>
        </w:rPr>
      </w:pPr>
      <w:r>
        <w:rPr>
          <w:rFonts w:hint="eastAsia" w:ascii="宋体" w:hAnsi="宋体" w:cs="宋体"/>
          <w:sz w:val="24"/>
        </w:rPr>
        <w:t>（一）投标文件正副本数量不足的；</w:t>
      </w:r>
    </w:p>
    <w:p>
      <w:pPr>
        <w:spacing w:line="420" w:lineRule="exact"/>
        <w:ind w:firstLine="480" w:firstLineChars="200"/>
        <w:rPr>
          <w:rFonts w:ascii="宋体" w:hAnsi="宋体" w:cs="宋体"/>
          <w:sz w:val="24"/>
        </w:rPr>
      </w:pPr>
      <w:r>
        <w:rPr>
          <w:rFonts w:hint="eastAsia" w:ascii="宋体" w:hAnsi="宋体" w:cs="宋体"/>
          <w:sz w:val="24"/>
        </w:rPr>
        <w:t>（二）投标文件组成明显不符合招标文件的规定要求，影响评标委员会评判的；</w:t>
      </w:r>
    </w:p>
    <w:p>
      <w:pPr>
        <w:spacing w:line="420" w:lineRule="exact"/>
        <w:ind w:firstLine="480" w:firstLineChars="200"/>
        <w:rPr>
          <w:rFonts w:ascii="宋体" w:hAnsi="宋体" w:cs="宋体"/>
          <w:sz w:val="24"/>
        </w:rPr>
      </w:pPr>
      <w:r>
        <w:rPr>
          <w:rFonts w:hint="eastAsia" w:ascii="宋体" w:hAnsi="宋体" w:cs="宋体"/>
          <w:sz w:val="24"/>
        </w:rPr>
        <w:t>（三）投标文件的格式、签字盖章、语言、计量单位、报价货币、知识产权、投标有效期等不符合招标文件中规定的实质性要求，影响评标委员会评判的；</w:t>
      </w:r>
    </w:p>
    <w:p>
      <w:pPr>
        <w:spacing w:line="420" w:lineRule="exact"/>
        <w:ind w:firstLine="480" w:firstLineChars="200"/>
        <w:rPr>
          <w:rFonts w:ascii="宋体" w:hAnsi="宋体" w:cs="宋体"/>
          <w:sz w:val="24"/>
        </w:rPr>
      </w:pPr>
      <w:r>
        <w:rPr>
          <w:rFonts w:hint="eastAsia" w:ascii="宋体" w:hAnsi="宋体" w:cs="宋体"/>
          <w:sz w:val="24"/>
        </w:rPr>
        <w:t>（四）投标报价不符合招标文件规定的价格标底和其他报价规定的；</w:t>
      </w:r>
    </w:p>
    <w:p>
      <w:pPr>
        <w:spacing w:line="420" w:lineRule="exact"/>
        <w:ind w:firstLine="480" w:firstLineChars="200"/>
        <w:rPr>
          <w:rFonts w:ascii="宋体" w:hAnsi="宋体" w:cs="宋体"/>
          <w:sz w:val="24"/>
        </w:rPr>
      </w:pPr>
      <w:r>
        <w:rPr>
          <w:rFonts w:hint="eastAsia" w:ascii="宋体" w:hAnsi="宋体" w:cs="宋体"/>
          <w:sz w:val="24"/>
        </w:rPr>
        <w:t>（五）技术、服务应答内容没有完全响应招标文件的实质性要求的；</w:t>
      </w:r>
    </w:p>
    <w:p>
      <w:pPr>
        <w:spacing w:line="420" w:lineRule="exact"/>
        <w:ind w:firstLine="480" w:firstLineChars="200"/>
        <w:rPr>
          <w:rFonts w:ascii="宋体" w:hAnsi="宋体" w:cs="宋体"/>
          <w:sz w:val="24"/>
        </w:rPr>
      </w:pPr>
      <w:r>
        <w:rPr>
          <w:rFonts w:hint="eastAsia" w:ascii="宋体" w:hAnsi="宋体" w:cs="宋体"/>
          <w:sz w:val="24"/>
        </w:rPr>
        <w:t>（六）招标文件有明确要求，但投标文件未载明或者载明的采购项目履约时间、方式、数量与招标文件要求不一致的。</w:t>
      </w:r>
    </w:p>
    <w:p>
      <w:pPr>
        <w:spacing w:line="420" w:lineRule="exact"/>
        <w:ind w:firstLine="480" w:firstLineChars="200"/>
        <w:rPr>
          <w:rFonts w:ascii="宋体" w:hAnsi="宋体" w:cs="宋体"/>
          <w:sz w:val="24"/>
        </w:rPr>
      </w:pPr>
      <w:r>
        <w:rPr>
          <w:rFonts w:hint="eastAsia" w:ascii="宋体" w:hAnsi="宋体" w:cs="宋体"/>
          <w:sz w:val="24"/>
        </w:rPr>
        <w:t>（七）投标文件含有采购人不能接受的附加条件的。</w:t>
      </w:r>
    </w:p>
    <w:p>
      <w:pPr>
        <w:spacing w:line="420" w:lineRule="exact"/>
        <w:ind w:firstLine="480" w:firstLineChars="200"/>
        <w:rPr>
          <w:rFonts w:ascii="宋体" w:hAnsi="宋体" w:cs="宋体"/>
          <w:sz w:val="24"/>
        </w:rPr>
      </w:pPr>
      <w:r>
        <w:rPr>
          <w:rFonts w:hint="eastAsia" w:ascii="宋体" w:hAnsi="宋体" w:cs="宋体"/>
          <w:sz w:val="24"/>
        </w:rPr>
        <w:t>3.4比较与评价。按招标文件中规定的评标方法和标准，对未作无效投标处理的投标文件进行技术、服务、商务等方面评估，综合比较与评价。</w:t>
      </w:r>
    </w:p>
    <w:p>
      <w:pPr>
        <w:spacing w:line="420" w:lineRule="exact"/>
        <w:ind w:firstLine="480" w:firstLineChars="200"/>
        <w:rPr>
          <w:rFonts w:ascii="宋体" w:hAnsi="宋体" w:cs="宋体"/>
          <w:sz w:val="24"/>
        </w:rPr>
      </w:pPr>
      <w:r>
        <w:rPr>
          <w:rFonts w:hint="eastAsia" w:ascii="宋体" w:hAnsi="宋体" w:cs="宋体"/>
          <w:sz w:val="24"/>
        </w:rPr>
        <w:t>3.5复核。评分汇总结束后，评标委员会应当进行复核，特别要对拟推荐为中标候选供应商的、报价最低的、投标文件被认定为无效的进行重点复核。</w:t>
      </w:r>
    </w:p>
    <w:p>
      <w:pPr>
        <w:spacing w:line="420" w:lineRule="exact"/>
        <w:ind w:firstLine="480" w:firstLineChars="200"/>
        <w:rPr>
          <w:rFonts w:ascii="宋体" w:hAnsi="宋体" w:cs="宋体"/>
          <w:sz w:val="24"/>
        </w:rPr>
      </w:pPr>
      <w:r>
        <w:rPr>
          <w:rFonts w:hint="eastAsia" w:ascii="宋体" w:hAnsi="宋体" w:cs="宋体"/>
          <w:sz w:val="24"/>
        </w:rPr>
        <w:t>3.6推荐中标候选供应商。中标候选供应商应当排序。标结果按评审后得分由高到低顺序排列；在得分相同时,按投标报价由低到高顺序排列；得分且投标报价相同的并列，投标文件满足招标文件全部实质性要求且按照评审因素的量化指标评审得分最高的供应商为中标候选供应商;报价相同且满足招标文件全部实质性要求且按照评审因素的量化指标评审得分也相同的，若存在不发达地区或少数民族地区供应商，优先选择该供应商，若不存在，则并列,由采购人自主采取公平、择优的方式选择中标供应商。</w:t>
      </w:r>
    </w:p>
    <w:p>
      <w:pPr>
        <w:spacing w:line="420" w:lineRule="exact"/>
        <w:ind w:firstLine="480" w:firstLineChars="200"/>
        <w:rPr>
          <w:rFonts w:ascii="宋体" w:hAnsi="宋体" w:cs="宋体"/>
          <w:sz w:val="24"/>
        </w:rPr>
      </w:pPr>
      <w:r>
        <w:rPr>
          <w:rFonts w:hint="eastAsia" w:ascii="宋体" w:hAnsi="宋体" w:cs="宋体"/>
          <w:sz w:val="24"/>
        </w:rPr>
        <w:t>评标委员会可推荐的中标候选供应商数量不能满足招标文件规定的数量的，只有在获得采购人书面同意后，可以根据实际情况推荐中标候选供应商。未获得采购人的书面同意,评标委员会不得在招标文件规定之外推荐中标候选供应商，否则，采购人可以不予认可。</w:t>
      </w:r>
    </w:p>
    <w:p>
      <w:pPr>
        <w:spacing w:line="420" w:lineRule="exact"/>
        <w:ind w:firstLine="480" w:firstLineChars="200"/>
        <w:rPr>
          <w:rFonts w:ascii="宋体" w:hAnsi="宋体" w:cs="宋体"/>
          <w:sz w:val="24"/>
        </w:rPr>
      </w:pPr>
      <w:r>
        <w:rPr>
          <w:rFonts w:hint="eastAsia" w:ascii="宋体" w:hAnsi="宋体" w:cs="宋体"/>
          <w:sz w:val="24"/>
        </w:rPr>
        <w:t>3.7出具评标报告。评标委员会推荐中标候选供应商后，应当向招标采购单位出具评标报告。评标报告应当包括下列内容：</w:t>
      </w:r>
    </w:p>
    <w:p>
      <w:pPr>
        <w:spacing w:line="420" w:lineRule="exact"/>
        <w:ind w:firstLine="480" w:firstLineChars="200"/>
        <w:rPr>
          <w:rFonts w:ascii="宋体" w:hAnsi="宋体" w:cs="宋体"/>
          <w:sz w:val="24"/>
        </w:rPr>
      </w:pPr>
      <w:r>
        <w:rPr>
          <w:rFonts w:hint="eastAsia" w:ascii="宋体" w:hAnsi="宋体" w:cs="宋体"/>
          <w:sz w:val="24"/>
        </w:rPr>
        <w:t>（一）招标公告刊登的媒体名称、开标日期和地点；</w:t>
      </w:r>
    </w:p>
    <w:p>
      <w:pPr>
        <w:spacing w:line="420" w:lineRule="exact"/>
        <w:ind w:firstLine="480" w:firstLineChars="200"/>
        <w:rPr>
          <w:rFonts w:ascii="宋体" w:hAnsi="宋体" w:cs="宋体"/>
          <w:sz w:val="24"/>
        </w:rPr>
      </w:pPr>
      <w:r>
        <w:rPr>
          <w:rFonts w:hint="eastAsia" w:ascii="宋体" w:hAnsi="宋体" w:cs="宋体"/>
          <w:sz w:val="24"/>
        </w:rPr>
        <w:t>（二）获取招标文件的投标人名单和评标委员会成员名单；</w:t>
      </w:r>
    </w:p>
    <w:p>
      <w:pPr>
        <w:spacing w:line="420" w:lineRule="exact"/>
        <w:ind w:firstLine="480" w:firstLineChars="200"/>
        <w:rPr>
          <w:rFonts w:ascii="宋体" w:hAnsi="宋体" w:cs="宋体"/>
          <w:sz w:val="24"/>
        </w:rPr>
      </w:pPr>
      <w:r>
        <w:rPr>
          <w:rFonts w:hint="eastAsia" w:ascii="宋体" w:hAnsi="宋体" w:cs="宋体"/>
          <w:sz w:val="24"/>
        </w:rPr>
        <w:t>（三）评标方法和标准；</w:t>
      </w:r>
    </w:p>
    <w:p>
      <w:pPr>
        <w:spacing w:line="420" w:lineRule="exact"/>
        <w:ind w:firstLine="480" w:firstLineChars="200"/>
        <w:rPr>
          <w:rFonts w:ascii="宋体" w:hAnsi="宋体" w:cs="宋体"/>
          <w:sz w:val="24"/>
        </w:rPr>
      </w:pPr>
      <w:r>
        <w:rPr>
          <w:rFonts w:hint="eastAsia" w:ascii="宋体" w:hAnsi="宋体" w:cs="宋体"/>
          <w:sz w:val="24"/>
        </w:rPr>
        <w:t>（四）开标记录和评标情况及说明，包括无效投标人名单及原因；</w:t>
      </w:r>
    </w:p>
    <w:p>
      <w:pPr>
        <w:spacing w:line="420" w:lineRule="exact"/>
        <w:ind w:firstLine="480" w:firstLineChars="200"/>
        <w:rPr>
          <w:rFonts w:ascii="宋体" w:hAnsi="宋体" w:cs="宋体"/>
          <w:sz w:val="24"/>
        </w:rPr>
      </w:pPr>
      <w:r>
        <w:rPr>
          <w:rFonts w:hint="eastAsia" w:ascii="宋体" w:hAnsi="宋体" w:cs="宋体"/>
          <w:sz w:val="24"/>
        </w:rPr>
        <w:t>（五）评标结果和中标候选供应商排序表；</w:t>
      </w:r>
    </w:p>
    <w:p>
      <w:pPr>
        <w:spacing w:line="420" w:lineRule="exact"/>
        <w:ind w:firstLine="480" w:firstLineChars="200"/>
        <w:rPr>
          <w:rFonts w:ascii="宋体" w:hAnsi="宋体" w:cs="宋体"/>
          <w:sz w:val="24"/>
        </w:rPr>
      </w:pPr>
      <w:r>
        <w:rPr>
          <w:rFonts w:hint="eastAsia" w:ascii="宋体" w:hAnsi="宋体" w:cs="宋体"/>
          <w:sz w:val="24"/>
        </w:rPr>
        <w:t>（六）评标委员会授标建议；</w:t>
      </w:r>
    </w:p>
    <w:p>
      <w:pPr>
        <w:spacing w:line="420" w:lineRule="exact"/>
        <w:ind w:firstLine="480" w:firstLineChars="200"/>
        <w:rPr>
          <w:rFonts w:ascii="宋体" w:hAnsi="宋体" w:cs="宋体"/>
          <w:sz w:val="24"/>
        </w:rPr>
      </w:pPr>
      <w:r>
        <w:rPr>
          <w:rFonts w:hint="eastAsia" w:ascii="宋体" w:hAnsi="宋体" w:cs="宋体"/>
          <w:sz w:val="24"/>
        </w:rPr>
        <w:t>（七）报价最高的投标人为中标候选人的，评标委员会应当对其报价的合理性予以特别说明。</w:t>
      </w:r>
    </w:p>
    <w:p>
      <w:pPr>
        <w:spacing w:line="420" w:lineRule="exact"/>
        <w:ind w:firstLine="480" w:firstLineChars="200"/>
        <w:rPr>
          <w:rFonts w:ascii="宋体" w:hAnsi="宋体" w:cs="宋体"/>
          <w:sz w:val="24"/>
        </w:rPr>
      </w:pPr>
      <w:r>
        <w:rPr>
          <w:rFonts w:hint="eastAsia" w:ascii="宋体" w:hAnsi="宋体" w:cs="宋体"/>
          <w:sz w:val="24"/>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spacing w:line="420" w:lineRule="exact"/>
        <w:ind w:firstLine="480" w:firstLineChars="200"/>
        <w:rPr>
          <w:rFonts w:ascii="宋体" w:hAnsi="宋体" w:cs="宋体"/>
          <w:sz w:val="24"/>
        </w:rPr>
      </w:pPr>
      <w:r>
        <w:rPr>
          <w:rFonts w:hint="eastAsia" w:ascii="宋体" w:hAnsi="宋体" w:cs="宋体"/>
          <w:sz w:val="24"/>
        </w:rPr>
        <w:t>3.8评标争议处理规则。评标委员会在评审过程中，对于资格性审查、符合性审查、对供应商投标文件做无效投标处理及其他需要共同认定的事项存在争议的，应当以少数服从多数的原则做出结论，但不得违背法律法规和招标文件规定。有不同意见的评标委员会成员认为认定过程和结果不符合法律法规或者招标文件规定的，应当及时向招标采购单位书面反映。招标采购单位收到书面反映后，应当书面报告采购项目同级财政部门依法处理。</w:t>
      </w:r>
    </w:p>
    <w:p>
      <w:pPr>
        <w:spacing w:line="420" w:lineRule="exact"/>
        <w:ind w:firstLine="480" w:firstLineChars="200"/>
        <w:rPr>
          <w:rFonts w:ascii="宋体" w:hAnsi="宋体" w:cs="宋体"/>
          <w:sz w:val="24"/>
        </w:rPr>
      </w:pPr>
      <w:r>
        <w:rPr>
          <w:rFonts w:hint="eastAsia" w:ascii="宋体" w:hAnsi="宋体" w:cs="宋体"/>
          <w:sz w:val="24"/>
        </w:rPr>
        <w:t>3.9供应商应当书面澄清、说明或者更正。</w:t>
      </w:r>
    </w:p>
    <w:p>
      <w:pPr>
        <w:spacing w:line="420" w:lineRule="exact"/>
        <w:ind w:firstLine="480" w:firstLineChars="200"/>
        <w:rPr>
          <w:rFonts w:ascii="宋体" w:hAnsi="宋体" w:cs="宋体"/>
          <w:sz w:val="24"/>
        </w:rPr>
      </w:pPr>
      <w:r>
        <w:rPr>
          <w:rFonts w:hint="eastAsia" w:ascii="宋体" w:hAnsi="宋体" w:cs="宋体"/>
          <w:sz w:val="24"/>
        </w:rPr>
        <w:t>3.9.1在评标过程中，供应商投标文件实质性符合招标文件要求的前提下，评标委员会对投标文件中含义不明确、同类问题表述不一致或者有明显文字和计算错误的内容，应当以书面形式（须由评标委员会全体成员签字）要求供应商作出必要的书面澄清、说明或者更正，并给予供应商必要的反馈时间。</w:t>
      </w:r>
    </w:p>
    <w:p>
      <w:pPr>
        <w:spacing w:line="420" w:lineRule="exact"/>
        <w:ind w:firstLine="480" w:firstLineChars="200"/>
        <w:rPr>
          <w:rFonts w:ascii="宋体" w:hAnsi="宋体" w:cs="宋体"/>
          <w:sz w:val="24"/>
        </w:rPr>
      </w:pPr>
      <w:r>
        <w:rPr>
          <w:rFonts w:hint="eastAsia" w:ascii="宋体" w:hAnsi="宋体" w:cs="宋体"/>
          <w:sz w:val="24"/>
        </w:rPr>
        <w:t>3.9.2供应商应当书面澄清、说明或者更正，并加盖公章或签字确认（供应商为法人的，应当由其法定代表人或者代理人签字确认；供应商为其他组织的，应当由其主要负责人或者代理人签字确认；供应商为自然人的，应当由其本人或者代理人签字确认），否则无效。澄清、说明或者更正不影响投标文件的效力，有效的澄清、说明或者更正材料，是投标文件的组成部分。</w:t>
      </w:r>
    </w:p>
    <w:p>
      <w:pPr>
        <w:spacing w:line="420" w:lineRule="exact"/>
        <w:ind w:firstLine="480" w:firstLineChars="200"/>
        <w:rPr>
          <w:rFonts w:ascii="宋体" w:hAnsi="宋体" w:cs="宋体"/>
          <w:sz w:val="24"/>
        </w:rPr>
      </w:pPr>
      <w:r>
        <w:rPr>
          <w:rFonts w:hint="eastAsia" w:ascii="宋体" w:hAnsi="宋体" w:cs="宋体"/>
          <w:sz w:val="24"/>
        </w:rPr>
        <w:t>3.9.3评标委员会要求供应商澄清、说明或者更正，不得超出招标文件的范围，不得以此让供应商实质改变投标文件的内容，不得影响供应商公平竞争。本项目下列内容不得澄清：</w:t>
      </w:r>
    </w:p>
    <w:p>
      <w:pPr>
        <w:spacing w:line="420" w:lineRule="exact"/>
        <w:ind w:firstLine="480" w:firstLineChars="200"/>
        <w:rPr>
          <w:rFonts w:ascii="宋体" w:hAnsi="宋体" w:cs="宋体"/>
          <w:sz w:val="24"/>
        </w:rPr>
      </w:pPr>
      <w:r>
        <w:rPr>
          <w:rFonts w:hint="eastAsia" w:ascii="宋体" w:hAnsi="宋体" w:cs="宋体"/>
          <w:sz w:val="24"/>
        </w:rPr>
        <w:t>（一）按财政部规定应当在评标时不予承认的投标文件内容事项；</w:t>
      </w:r>
    </w:p>
    <w:p>
      <w:pPr>
        <w:spacing w:line="420" w:lineRule="exact"/>
        <w:ind w:firstLine="480" w:firstLineChars="200"/>
        <w:rPr>
          <w:rFonts w:ascii="宋体" w:hAnsi="宋体" w:cs="宋体"/>
          <w:sz w:val="24"/>
        </w:rPr>
      </w:pPr>
      <w:r>
        <w:rPr>
          <w:rFonts w:hint="eastAsia" w:ascii="宋体" w:hAnsi="宋体" w:cs="宋体"/>
          <w:sz w:val="24"/>
        </w:rPr>
        <w:t>（二）投标文件中已经明确的内容事项；</w:t>
      </w:r>
    </w:p>
    <w:p>
      <w:pPr>
        <w:spacing w:line="420" w:lineRule="exact"/>
        <w:ind w:firstLine="480" w:firstLineChars="200"/>
        <w:rPr>
          <w:rFonts w:ascii="宋体" w:hAnsi="宋体" w:cs="宋体"/>
          <w:sz w:val="24"/>
        </w:rPr>
      </w:pPr>
      <w:r>
        <w:rPr>
          <w:rFonts w:hint="eastAsia" w:ascii="宋体" w:hAnsi="宋体" w:cs="宋体"/>
          <w:sz w:val="24"/>
        </w:rPr>
        <w:t>（三）投标文件未提供的材料。</w:t>
      </w:r>
    </w:p>
    <w:p>
      <w:pPr>
        <w:pStyle w:val="67"/>
        <w:spacing w:line="420" w:lineRule="exact"/>
        <w:ind w:firstLine="480" w:firstLineChars="200"/>
        <w:rPr>
          <w:sz w:val="24"/>
          <w:szCs w:val="24"/>
        </w:rPr>
      </w:pPr>
      <w:r>
        <w:rPr>
          <w:rFonts w:hint="eastAsia" w:ascii="宋体" w:hAnsi="宋体"/>
          <w:sz w:val="24"/>
          <w:szCs w:val="24"/>
        </w:rPr>
        <w:t xml:space="preserve">3.9.4 </w:t>
      </w:r>
      <w:r>
        <w:rPr>
          <w:rFonts w:hint="eastAsia"/>
          <w:sz w:val="24"/>
          <w:szCs w:val="24"/>
        </w:rPr>
        <w:t>本项目采购过程中，投标文件出现下列情况的，按照以下原则处理：</w:t>
      </w:r>
    </w:p>
    <w:p>
      <w:pPr>
        <w:pStyle w:val="67"/>
        <w:spacing w:line="420" w:lineRule="exact"/>
        <w:ind w:firstLine="480" w:firstLineChars="200"/>
        <w:rPr>
          <w:sz w:val="24"/>
          <w:szCs w:val="24"/>
        </w:rPr>
      </w:pPr>
      <w:r>
        <w:rPr>
          <w:rFonts w:hint="eastAsia"/>
          <w:sz w:val="24"/>
          <w:szCs w:val="24"/>
        </w:rPr>
        <w:t>（一）投标文件中开标一览表（报价表）内容与投标文件中相应内容不一致的，以开标一览表（报价表）为准；</w:t>
      </w:r>
    </w:p>
    <w:p>
      <w:pPr>
        <w:pStyle w:val="67"/>
        <w:spacing w:line="420" w:lineRule="exact"/>
        <w:ind w:firstLine="480" w:firstLineChars="200"/>
        <w:rPr>
          <w:sz w:val="24"/>
          <w:szCs w:val="24"/>
        </w:rPr>
      </w:pPr>
      <w:r>
        <w:rPr>
          <w:rFonts w:hint="eastAsia"/>
          <w:sz w:val="24"/>
          <w:szCs w:val="24"/>
        </w:rPr>
        <w:t>（二）大写金额和小写金额不一致的，以大写金额为准；</w:t>
      </w:r>
    </w:p>
    <w:p>
      <w:pPr>
        <w:pStyle w:val="67"/>
        <w:spacing w:line="420" w:lineRule="exact"/>
        <w:ind w:firstLine="480" w:firstLineChars="200"/>
        <w:rPr>
          <w:sz w:val="24"/>
          <w:szCs w:val="24"/>
        </w:rPr>
      </w:pPr>
      <w:r>
        <w:rPr>
          <w:rFonts w:hint="eastAsia"/>
          <w:sz w:val="24"/>
          <w:szCs w:val="24"/>
        </w:rPr>
        <w:t>（三）单价金额小数点或者百分比有明显错位的，以开标一览表的总价为准，并修改单价；</w:t>
      </w:r>
    </w:p>
    <w:p>
      <w:pPr>
        <w:pStyle w:val="67"/>
        <w:spacing w:line="420" w:lineRule="exact"/>
        <w:ind w:firstLine="480" w:firstLineChars="200"/>
        <w:rPr>
          <w:sz w:val="24"/>
          <w:szCs w:val="24"/>
        </w:rPr>
      </w:pPr>
      <w:r>
        <w:rPr>
          <w:rFonts w:hint="eastAsia"/>
          <w:sz w:val="24"/>
          <w:szCs w:val="24"/>
        </w:rPr>
        <w:t>（四）总价金额与按单价汇总金额不一致的，以单价金额计算结果为准。</w:t>
      </w:r>
    </w:p>
    <w:p>
      <w:pPr>
        <w:pStyle w:val="67"/>
        <w:spacing w:line="420" w:lineRule="exact"/>
        <w:ind w:firstLine="480" w:firstLineChars="200"/>
        <w:rPr>
          <w:sz w:val="24"/>
          <w:szCs w:val="24"/>
        </w:rPr>
      </w:pPr>
      <w:r>
        <w:rPr>
          <w:rFonts w:hint="eastAsia"/>
          <w:sz w:val="24"/>
          <w:szCs w:val="24"/>
        </w:rPr>
        <w:t>同时出现两种以上不一致的，按照前款规定的顺序修正。修正后的报价经投标人确认后产生约束力，投标人不确认的，其投标无效。</w:t>
      </w:r>
    </w:p>
    <w:p>
      <w:pPr>
        <w:pStyle w:val="67"/>
        <w:spacing w:line="420" w:lineRule="exact"/>
        <w:ind w:firstLine="482" w:firstLineChars="200"/>
        <w:rPr>
          <w:rFonts w:ascii="宋体" w:hAnsi="宋体"/>
          <w:sz w:val="24"/>
          <w:szCs w:val="24"/>
        </w:rPr>
      </w:pPr>
      <w:r>
        <w:rPr>
          <w:rFonts w:hint="eastAsia" w:ascii="宋体" w:hAnsi="宋体"/>
          <w:b/>
          <w:sz w:val="24"/>
        </w:rPr>
        <w:t>注：评标委员会当积极履行澄清、说明或者更正的职责，不得滥用权力。供应商的投标文件可以要求澄清、说明或者更正的，不得未经澄清、说明或者更正而直接作无效投标处理。</w:t>
      </w:r>
    </w:p>
    <w:p>
      <w:pPr>
        <w:pStyle w:val="67"/>
        <w:spacing w:line="420" w:lineRule="exact"/>
        <w:ind w:firstLine="480" w:firstLineChars="200"/>
        <w:rPr>
          <w:sz w:val="24"/>
          <w:szCs w:val="24"/>
        </w:rPr>
      </w:pPr>
      <w:r>
        <w:rPr>
          <w:rFonts w:hint="eastAsia" w:ascii="宋体" w:hAnsi="宋体"/>
          <w:sz w:val="24"/>
          <w:szCs w:val="24"/>
        </w:rPr>
        <w:t xml:space="preserve">3.10 </w:t>
      </w:r>
      <w:r>
        <w:rPr>
          <w:rFonts w:hint="eastAsia"/>
          <w:sz w:val="24"/>
          <w:szCs w:val="24"/>
        </w:rPr>
        <w:t>低于成本价投标处理。评标委员会认为投标人的报价明显低于其他通过符合性审查投标人的报价，有可能影响产品质量或者不能诚信履约的，评标委员会应当要求其在评标现场合理的时间内提供成本构成书面说明，并提交相关证明材料。供应商书面说明应当按照国家财务会计制度的规定要求，逐项就供应商提供的服务的主营业务成本、税金及附加、销售费用、管理费用、财务费用等成本构成事项详细陈述。</w:t>
      </w:r>
    </w:p>
    <w:p>
      <w:pPr>
        <w:pStyle w:val="67"/>
        <w:spacing w:line="420" w:lineRule="exact"/>
        <w:ind w:firstLine="480" w:firstLineChars="200"/>
        <w:rPr>
          <w:sz w:val="24"/>
          <w:szCs w:val="24"/>
        </w:rPr>
      </w:pPr>
      <w:r>
        <w:rPr>
          <w:rFonts w:hint="eastAsia"/>
          <w:sz w:val="24"/>
          <w:szCs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67"/>
        <w:spacing w:line="420" w:lineRule="exact"/>
        <w:ind w:firstLine="480" w:firstLineChars="200"/>
        <w:rPr>
          <w:sz w:val="24"/>
          <w:szCs w:val="24"/>
        </w:rPr>
      </w:pPr>
      <w:r>
        <w:rPr>
          <w:rFonts w:hint="eastAsia"/>
          <w:sz w:val="24"/>
          <w:szCs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投标文件作为无效处理。</w:t>
      </w:r>
    </w:p>
    <w:p>
      <w:pPr>
        <w:pStyle w:val="67"/>
        <w:spacing w:line="420" w:lineRule="exact"/>
        <w:ind w:firstLine="480" w:firstLineChars="200"/>
        <w:rPr>
          <w:sz w:val="24"/>
          <w:szCs w:val="24"/>
        </w:rPr>
      </w:pPr>
      <w:r>
        <w:rPr>
          <w:rFonts w:hint="eastAsia"/>
          <w:sz w:val="24"/>
          <w:szCs w:val="24"/>
        </w:rPr>
        <w:t>3.11招标采购单位现场复核评标结果。</w:t>
      </w:r>
    </w:p>
    <w:p>
      <w:pPr>
        <w:pStyle w:val="67"/>
        <w:spacing w:line="420" w:lineRule="exact"/>
        <w:ind w:firstLine="480" w:firstLineChars="200"/>
        <w:rPr>
          <w:sz w:val="24"/>
          <w:szCs w:val="24"/>
        </w:rPr>
      </w:pPr>
      <w:r>
        <w:rPr>
          <w:rFonts w:hint="eastAsia"/>
          <w:sz w:val="24"/>
          <w:szCs w:val="24"/>
        </w:rPr>
        <w:t>3.11.1评标结果汇总完成后，评标委员会拟出具评标报告前，招标采购单位应当组织2名以上的本单位工作人员，在采购现场监督人员的监督之下，依据有关的法律制度和采购文件对评标结果进行复核，出具复核报告。存在下列情形之一的，招标采购单位应当根据情况书面建议评标委员会现场修改评标结果或者重新评标：</w:t>
      </w:r>
    </w:p>
    <w:p>
      <w:pPr>
        <w:pStyle w:val="67"/>
        <w:numPr>
          <w:ilvl w:val="0"/>
          <w:numId w:val="38"/>
        </w:numPr>
        <w:spacing w:line="420" w:lineRule="exact"/>
        <w:ind w:firstLine="480" w:firstLineChars="200"/>
        <w:rPr>
          <w:sz w:val="24"/>
          <w:szCs w:val="24"/>
        </w:rPr>
      </w:pPr>
      <w:r>
        <w:rPr>
          <w:rFonts w:hint="eastAsia"/>
          <w:sz w:val="24"/>
          <w:szCs w:val="24"/>
        </w:rPr>
        <w:t>分值汇总计算错误的;</w:t>
      </w:r>
    </w:p>
    <w:p>
      <w:pPr>
        <w:pStyle w:val="67"/>
        <w:numPr>
          <w:ilvl w:val="0"/>
          <w:numId w:val="38"/>
        </w:numPr>
        <w:spacing w:line="420" w:lineRule="exact"/>
        <w:ind w:firstLine="480" w:firstLineChars="200"/>
        <w:rPr>
          <w:sz w:val="24"/>
          <w:szCs w:val="24"/>
        </w:rPr>
      </w:pPr>
      <w:r>
        <w:rPr>
          <w:rFonts w:hint="eastAsia"/>
          <w:sz w:val="24"/>
          <w:szCs w:val="24"/>
        </w:rPr>
        <w:t>分项评分超出评分标准范围的;</w:t>
      </w:r>
    </w:p>
    <w:p>
      <w:pPr>
        <w:pStyle w:val="67"/>
        <w:numPr>
          <w:ilvl w:val="0"/>
          <w:numId w:val="38"/>
        </w:numPr>
        <w:spacing w:line="420" w:lineRule="exact"/>
        <w:ind w:firstLine="480" w:firstLineChars="200"/>
        <w:rPr>
          <w:sz w:val="24"/>
          <w:szCs w:val="24"/>
        </w:rPr>
      </w:pPr>
      <w:r>
        <w:rPr>
          <w:rFonts w:hint="eastAsia"/>
          <w:sz w:val="24"/>
          <w:szCs w:val="24"/>
        </w:rPr>
        <w:t>评标委员会成员对客观评审因素评分不一致的;</w:t>
      </w:r>
    </w:p>
    <w:p>
      <w:pPr>
        <w:pStyle w:val="67"/>
        <w:numPr>
          <w:ilvl w:val="0"/>
          <w:numId w:val="38"/>
        </w:numPr>
        <w:spacing w:line="420" w:lineRule="exact"/>
        <w:ind w:firstLine="480" w:firstLineChars="200"/>
        <w:rPr>
          <w:sz w:val="24"/>
          <w:szCs w:val="24"/>
        </w:rPr>
      </w:pPr>
      <w:r>
        <w:rPr>
          <w:rFonts w:hint="eastAsia"/>
          <w:sz w:val="24"/>
          <w:szCs w:val="24"/>
        </w:rPr>
        <w:t>经评标委员会认定评分畸高、畸低的。</w:t>
      </w:r>
    </w:p>
    <w:p>
      <w:pPr>
        <w:pStyle w:val="67"/>
        <w:spacing w:line="420" w:lineRule="exact"/>
        <w:ind w:firstLine="480" w:firstLineChars="200"/>
        <w:rPr>
          <w:sz w:val="24"/>
          <w:szCs w:val="24"/>
        </w:rPr>
      </w:pPr>
      <w:r>
        <w:rPr>
          <w:rFonts w:hint="eastAsia"/>
          <w:sz w:val="24"/>
          <w:szCs w:val="24"/>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pStyle w:val="67"/>
        <w:spacing w:line="420" w:lineRule="exact"/>
        <w:ind w:firstLine="480" w:firstLineChars="200"/>
        <w:rPr>
          <w:sz w:val="24"/>
          <w:szCs w:val="24"/>
        </w:rPr>
      </w:pPr>
      <w:r>
        <w:rPr>
          <w:rFonts w:hint="eastAsia"/>
          <w:sz w:val="24"/>
          <w:szCs w:val="24"/>
        </w:rPr>
        <w:t>3.11.2有下列情形之一的，除法律法规、规章制度等另有规定外，不得修改评标结果或者重新评标：</w:t>
      </w:r>
    </w:p>
    <w:p>
      <w:pPr>
        <w:pStyle w:val="67"/>
        <w:spacing w:line="420" w:lineRule="exact"/>
        <w:ind w:firstLine="480" w:firstLineChars="200"/>
        <w:rPr>
          <w:sz w:val="24"/>
          <w:szCs w:val="24"/>
        </w:rPr>
      </w:pPr>
      <w:r>
        <w:rPr>
          <w:rFonts w:hint="eastAsia"/>
          <w:sz w:val="24"/>
          <w:szCs w:val="24"/>
        </w:rPr>
        <w:t>（一）评标委员会已经出具评标报告并且离开评标现场的；</w:t>
      </w:r>
    </w:p>
    <w:p>
      <w:pPr>
        <w:pStyle w:val="67"/>
        <w:spacing w:line="420" w:lineRule="exact"/>
        <w:ind w:firstLine="480" w:firstLineChars="200"/>
        <w:rPr>
          <w:sz w:val="24"/>
          <w:szCs w:val="24"/>
        </w:rPr>
      </w:pPr>
      <w:r>
        <w:rPr>
          <w:rFonts w:hint="eastAsia"/>
          <w:sz w:val="24"/>
          <w:szCs w:val="24"/>
        </w:rPr>
        <w:t>（二）招标采购单位现场复核时，复核工作人员数量不足的；</w:t>
      </w:r>
    </w:p>
    <w:p>
      <w:pPr>
        <w:pStyle w:val="67"/>
        <w:spacing w:line="420" w:lineRule="exact"/>
        <w:ind w:firstLine="480" w:firstLineChars="200"/>
        <w:rPr>
          <w:sz w:val="24"/>
          <w:szCs w:val="24"/>
        </w:rPr>
      </w:pPr>
      <w:r>
        <w:rPr>
          <w:rFonts w:hint="eastAsia"/>
          <w:sz w:val="24"/>
          <w:szCs w:val="24"/>
        </w:rPr>
        <w:t>（三）招标采购单位现场复核时，没有采购监督人员现场监督的；</w:t>
      </w:r>
    </w:p>
    <w:p>
      <w:pPr>
        <w:pStyle w:val="67"/>
        <w:spacing w:line="420" w:lineRule="exact"/>
        <w:ind w:firstLine="480" w:firstLineChars="200"/>
        <w:rPr>
          <w:sz w:val="24"/>
          <w:szCs w:val="24"/>
        </w:rPr>
      </w:pPr>
      <w:r>
        <w:rPr>
          <w:rFonts w:hint="eastAsia"/>
          <w:sz w:val="24"/>
          <w:szCs w:val="24"/>
        </w:rPr>
        <w:t>（四）招标采购单位现场复核内容超出规定范围的；</w:t>
      </w:r>
    </w:p>
    <w:p>
      <w:pPr>
        <w:pStyle w:val="67"/>
        <w:spacing w:line="420" w:lineRule="exact"/>
        <w:ind w:firstLine="480" w:firstLineChars="200"/>
        <w:rPr>
          <w:sz w:val="24"/>
          <w:szCs w:val="24"/>
        </w:rPr>
      </w:pPr>
      <w:r>
        <w:rPr>
          <w:rFonts w:hint="eastAsia"/>
          <w:sz w:val="24"/>
          <w:szCs w:val="24"/>
        </w:rPr>
        <w:t>（五）招标采购单位未提供书面建议的。</w:t>
      </w:r>
    </w:p>
    <w:p>
      <w:pPr>
        <w:pStyle w:val="5"/>
        <w:ind w:left="420"/>
        <w:rPr>
          <w:rFonts w:ascii="宋体" w:hAnsi="宋体" w:cs="宋体"/>
        </w:rPr>
      </w:pPr>
      <w:r>
        <w:rPr>
          <w:rFonts w:hint="eastAsia" w:ascii="宋体" w:hAnsi="宋体" w:cs="宋体"/>
        </w:rPr>
        <w:t>4. 评标细则及标准</w:t>
      </w:r>
      <w:bookmarkEnd w:id="151"/>
    </w:p>
    <w:p>
      <w:pPr>
        <w:spacing w:line="42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4.1本次综合评分的因素是：详见综合评分明细表。</w:t>
      </w:r>
    </w:p>
    <w:p>
      <w:pPr>
        <w:pStyle w:val="67"/>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4.2 评标委员会成员应当独立对每个有效投标供应商的投标文件进行评分，加权汇总每项评分因素的得分，得出每个有效投标供应商的总分。</w:t>
      </w:r>
    </w:p>
    <w:p>
      <w:pPr>
        <w:pStyle w:val="13"/>
        <w:tabs>
          <w:tab w:val="left" w:pos="600"/>
        </w:tabs>
        <w:spacing w:line="42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4.3综合评分明细表</w:t>
      </w:r>
    </w:p>
    <w:p>
      <w:pPr>
        <w:pStyle w:val="13"/>
        <w:tabs>
          <w:tab w:val="left" w:pos="600"/>
        </w:tabs>
        <w:spacing w:line="42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4.3.1综合评分明细表的制定以科学合理、降低评委会自由裁量权为原则。</w:t>
      </w:r>
    </w:p>
    <w:p>
      <w:pPr>
        <w:pStyle w:val="13"/>
        <w:tabs>
          <w:tab w:val="left" w:pos="600"/>
        </w:tabs>
        <w:spacing w:line="420" w:lineRule="exact"/>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4.3.2综合评分明细表</w:t>
      </w:r>
    </w:p>
    <w:p>
      <w:pPr>
        <w:pStyle w:val="13"/>
        <w:tabs>
          <w:tab w:val="left" w:pos="600"/>
        </w:tabs>
        <w:spacing w:line="420" w:lineRule="exact"/>
        <w:jc w:val="center"/>
        <w:rPr>
          <w:rFonts w:cs="宋体" w:asciiTheme="minorEastAsia" w:hAnsiTheme="minorEastAsia" w:eastAsiaTheme="minorEastAsia"/>
          <w:b/>
          <w:bCs/>
          <w:sz w:val="32"/>
          <w:szCs w:val="32"/>
        </w:rPr>
      </w:pPr>
      <w:r>
        <w:rPr>
          <w:rFonts w:hint="eastAsia" w:cs="宋体" w:asciiTheme="minorEastAsia" w:hAnsiTheme="minorEastAsia" w:eastAsiaTheme="minorEastAsia"/>
          <w:b/>
          <w:bCs/>
          <w:sz w:val="32"/>
          <w:szCs w:val="32"/>
        </w:rPr>
        <w:t>第5包</w:t>
      </w:r>
    </w:p>
    <w:tbl>
      <w:tblPr>
        <w:tblStyle w:val="21"/>
        <w:tblW w:w="9717" w:type="dxa"/>
        <w:tblInd w:w="-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048"/>
        <w:gridCol w:w="775"/>
        <w:gridCol w:w="5504"/>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bookmarkStart w:id="153" w:name="_Toc217446060"/>
            <w:r>
              <w:rPr>
                <w:rFonts w:hint="eastAsia" w:ascii="宋体" w:hAnsi="宋体" w:cs="宋体"/>
                <w:color w:val="auto"/>
                <w:szCs w:val="21"/>
              </w:rPr>
              <w:t>序号</w:t>
            </w:r>
          </w:p>
        </w:tc>
        <w:tc>
          <w:tcPr>
            <w:tcW w:w="1048"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评分因素</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分　值</w:t>
            </w:r>
          </w:p>
        </w:tc>
        <w:tc>
          <w:tcPr>
            <w:tcW w:w="5504"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评分标准</w:t>
            </w:r>
          </w:p>
        </w:tc>
        <w:tc>
          <w:tcPr>
            <w:tcW w:w="1511"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1</w:t>
            </w:r>
          </w:p>
        </w:tc>
        <w:tc>
          <w:tcPr>
            <w:tcW w:w="1048"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报价30%</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30分</w:t>
            </w:r>
          </w:p>
        </w:tc>
        <w:tc>
          <w:tcPr>
            <w:tcW w:w="5504"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满足招标文件要求且投标价格最低的报价为基准价，其价格分为满分。其他供应商的价格分统一按照下列公式计算：报价得分=(基准价／报价)*30</w:t>
            </w:r>
          </w:p>
        </w:tc>
        <w:tc>
          <w:tcPr>
            <w:tcW w:w="1511" w:type="dxa"/>
            <w:vAlign w:val="center"/>
          </w:tcPr>
          <w:p>
            <w:pPr>
              <w:pStyle w:val="9"/>
              <w:spacing w:line="240" w:lineRule="auto"/>
              <w:rPr>
                <w:rFonts w:ascii="宋体" w:hAnsi="宋体" w:cs="宋体"/>
                <w:color w:val="auto"/>
                <w:szCs w:val="21"/>
              </w:rPr>
            </w:pPr>
            <w:r>
              <w:rPr>
                <w:rFonts w:hint="eastAsia" w:ascii="宋体" w:hAnsi="宋体" w:cs="宋体"/>
                <w:color w:val="auto"/>
                <w:szCs w:val="21"/>
              </w:rPr>
              <w:t>对小微企业的价格扣除按照投标人须知前附表规定执行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left"/>
              <w:rPr>
                <w:rFonts w:ascii="宋体" w:hAnsi="宋体" w:cs="宋体"/>
                <w:color w:val="auto"/>
                <w:szCs w:val="21"/>
                <w:lang w:val="zh-TW" w:eastAsia="zh-TW"/>
              </w:rPr>
            </w:pPr>
            <w:r>
              <w:rPr>
                <w:rFonts w:hint="eastAsia" w:ascii="宋体" w:hAnsi="宋体" w:cs="宋体"/>
                <w:color w:val="auto"/>
                <w:szCs w:val="21"/>
                <w:lang w:val="zh-TW" w:eastAsia="zh-TW"/>
              </w:rPr>
              <w:t>2</w:t>
            </w:r>
          </w:p>
        </w:tc>
        <w:tc>
          <w:tcPr>
            <w:tcW w:w="1048"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lang w:val="zh-TW" w:eastAsia="zh-TW"/>
              </w:rPr>
              <w:t>技术要求</w:t>
            </w:r>
            <w:r>
              <w:rPr>
                <w:rFonts w:hint="eastAsia" w:ascii="宋体" w:hAnsi="宋体" w:cs="宋体"/>
                <w:color w:val="auto"/>
                <w:szCs w:val="21"/>
              </w:rPr>
              <w:t>40%</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lang w:val="zh-TW" w:eastAsia="zh-TW"/>
              </w:rPr>
              <w:t>40</w:t>
            </w:r>
            <w:r>
              <w:rPr>
                <w:rFonts w:hint="eastAsia" w:ascii="宋体" w:hAnsi="宋体" w:cs="宋体"/>
                <w:color w:val="auto"/>
                <w:szCs w:val="21"/>
              </w:rPr>
              <w:t>分</w:t>
            </w:r>
          </w:p>
        </w:tc>
        <w:tc>
          <w:tcPr>
            <w:tcW w:w="5504"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投标人针对招标文件技术参数条款的响应得分规则如下：</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【①以数字 “1”“2”“3”…为一条。得分四舍五入保留小数点后两位小数；②序号中未标注“★”和“▲”的条款，为一般技术参数条款；③序号中标注“▲”的条款，为重要技术参数条款】</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1、投标人针对招标文件一般技术参数条款的响应得分规则如下：</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一般技术参数条款响应得分=（投标人满足一般技术参数条款的数量÷一般技术参数条款的总数量）×10分。</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2、投标人针对招标文件“▲”技术参数条款的响应得分规则如下：</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“▲”技术参数条款响应得分=（投标人满足“▲”技术参数条款的数量÷“▲”技术参数条款的总数量）×30分。</w:t>
            </w:r>
          </w:p>
        </w:tc>
        <w:tc>
          <w:tcPr>
            <w:tcW w:w="1511" w:type="dxa"/>
            <w:vAlign w:val="center"/>
          </w:tcPr>
          <w:p>
            <w:pPr>
              <w:pStyle w:val="9"/>
              <w:spacing w:line="240" w:lineRule="auto"/>
              <w:rPr>
                <w:rFonts w:ascii="宋体" w:hAnsi="宋体" w:cs="宋体"/>
                <w:color w:val="auto"/>
                <w:szCs w:val="21"/>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rPr>
                <w:rFonts w:ascii="宋体" w:hAnsi="宋体" w:cs="宋体"/>
                <w:szCs w:val="21"/>
                <w:lang w:val="zh-TW" w:eastAsia="zh-TW"/>
              </w:rPr>
            </w:pPr>
            <w:r>
              <w:rPr>
                <w:rFonts w:hint="eastAsia" w:ascii="宋体" w:hAnsi="宋体" w:cs="宋体"/>
                <w:szCs w:val="21"/>
                <w:lang w:val="zh-TW" w:eastAsia="zh-TW"/>
              </w:rPr>
              <w:t>3</w:t>
            </w:r>
          </w:p>
        </w:tc>
        <w:tc>
          <w:tcPr>
            <w:tcW w:w="1048" w:type="dxa"/>
            <w:vAlign w:val="center"/>
          </w:tcPr>
          <w:p>
            <w:pPr>
              <w:rPr>
                <w:rFonts w:ascii="宋体" w:hAnsi="宋体" w:cs="宋体"/>
                <w:szCs w:val="21"/>
              </w:rPr>
            </w:pPr>
            <w:r>
              <w:rPr>
                <w:rFonts w:hint="eastAsia" w:ascii="宋体" w:hAnsi="宋体" w:cs="宋体"/>
                <w:szCs w:val="21"/>
                <w:lang w:val="zh-TW" w:eastAsia="zh-TW"/>
              </w:rPr>
              <w:t>样品</w:t>
            </w:r>
            <w:r>
              <w:rPr>
                <w:rFonts w:hint="eastAsia" w:ascii="宋体" w:hAnsi="宋体" w:cs="宋体"/>
                <w:szCs w:val="21"/>
              </w:rPr>
              <w:t>10%</w:t>
            </w:r>
          </w:p>
        </w:tc>
        <w:tc>
          <w:tcPr>
            <w:tcW w:w="775" w:type="dxa"/>
            <w:vAlign w:val="center"/>
          </w:tcPr>
          <w:p>
            <w:pPr>
              <w:jc w:val="center"/>
              <w:rPr>
                <w:rFonts w:ascii="宋体" w:hAnsi="宋体" w:cs="宋体"/>
                <w:szCs w:val="21"/>
              </w:rPr>
            </w:pPr>
            <w:r>
              <w:rPr>
                <w:rFonts w:hint="eastAsia" w:ascii="宋体" w:hAnsi="宋体" w:cs="宋体"/>
                <w:szCs w:val="21"/>
              </w:rPr>
              <w:t>10分</w:t>
            </w:r>
          </w:p>
        </w:tc>
        <w:tc>
          <w:tcPr>
            <w:tcW w:w="5504" w:type="dxa"/>
            <w:vAlign w:val="center"/>
          </w:tcPr>
          <w:p>
            <w:pPr>
              <w:rPr>
                <w:rFonts w:ascii="宋体" w:hAnsi="宋体" w:cs="宋体"/>
                <w:szCs w:val="21"/>
                <w:lang w:val="zh-TW" w:eastAsia="zh-TW"/>
              </w:rPr>
            </w:pPr>
            <w:r>
              <w:rPr>
                <w:rFonts w:hint="eastAsia" w:ascii="宋体" w:hAnsi="宋体" w:cs="宋体"/>
                <w:szCs w:val="21"/>
                <w:lang w:val="zh-TW" w:eastAsia="zh-TW"/>
              </w:rPr>
              <w:t>评标委员会通过感官、触摸、测试、破坏、试用、对比等方式，考评投标产品的①材质；②制作工艺水平；③结构合理、操作便利、可靠性；④有无操作安全隐患等。</w:t>
            </w:r>
          </w:p>
          <w:p>
            <w:pPr>
              <w:rPr>
                <w:rFonts w:ascii="宋体" w:hAnsi="宋体" w:cs="宋体"/>
                <w:szCs w:val="21"/>
                <w:lang w:val="zh-TW" w:eastAsia="zh-TW"/>
              </w:rPr>
            </w:pPr>
            <w:r>
              <w:rPr>
                <w:rFonts w:hint="eastAsia" w:ascii="宋体" w:hAnsi="宋体" w:cs="宋体"/>
                <w:szCs w:val="21"/>
              </w:rPr>
              <w:t>各</w:t>
            </w:r>
            <w:r>
              <w:rPr>
                <w:rFonts w:hint="eastAsia" w:ascii="宋体" w:hAnsi="宋体" w:cs="宋体"/>
                <w:szCs w:val="21"/>
                <w:lang w:val="zh-TW" w:eastAsia="zh-TW"/>
              </w:rPr>
              <w:t>样品</w:t>
            </w:r>
            <w:r>
              <w:rPr>
                <w:rFonts w:hint="eastAsia" w:ascii="宋体" w:hAnsi="宋体" w:cs="宋体"/>
                <w:szCs w:val="21"/>
              </w:rPr>
              <w:t>中</w:t>
            </w:r>
            <w:r>
              <w:rPr>
                <w:rFonts w:hint="eastAsia" w:ascii="宋体" w:hAnsi="宋体" w:cs="宋体"/>
                <w:szCs w:val="21"/>
                <w:lang w:val="zh-TW" w:eastAsia="zh-TW"/>
              </w:rPr>
              <w:t>每有一项或一处存在瑕疵或不满足技术参数要求或不符合采购人使用需求的，扣</w:t>
            </w:r>
            <w:r>
              <w:rPr>
                <w:rFonts w:hint="eastAsia" w:ascii="宋体" w:hAnsi="宋体" w:cs="宋体"/>
                <w:szCs w:val="21"/>
              </w:rPr>
              <w:t>1</w:t>
            </w:r>
            <w:r>
              <w:rPr>
                <w:rFonts w:hint="eastAsia" w:ascii="宋体" w:hAnsi="宋体" w:cs="宋体"/>
                <w:szCs w:val="21"/>
                <w:lang w:val="zh-TW" w:eastAsia="zh-TW"/>
              </w:rPr>
              <w:t>分，扣完为止。</w:t>
            </w:r>
          </w:p>
          <w:p>
            <w:pPr>
              <w:rPr>
                <w:rFonts w:ascii="宋体" w:hAnsi="宋体" w:cs="宋体"/>
                <w:szCs w:val="21"/>
                <w:lang w:val="zh-TW" w:eastAsia="zh-TW"/>
              </w:rPr>
            </w:pPr>
            <w:r>
              <w:rPr>
                <w:rFonts w:hint="eastAsia" w:ascii="宋体" w:hAnsi="宋体" w:cs="宋体"/>
                <w:szCs w:val="21"/>
                <w:lang w:val="zh-TW" w:eastAsia="zh-TW"/>
              </w:rPr>
              <w:t>缺陷</w:t>
            </w:r>
            <w:r>
              <w:rPr>
                <w:rFonts w:hint="eastAsia" w:ascii="宋体" w:hAnsi="宋体" w:cs="宋体"/>
                <w:szCs w:val="21"/>
              </w:rPr>
              <w:t>或瑕疵</w:t>
            </w:r>
            <w:r>
              <w:rPr>
                <w:rFonts w:hint="eastAsia" w:ascii="宋体" w:hAnsi="宋体" w:cs="宋体"/>
                <w:szCs w:val="21"/>
                <w:lang w:val="zh-TW" w:eastAsia="zh-TW"/>
              </w:rPr>
              <w:t>是指存在下述任意一种情形：①材质不符合技术参数要求。②</w:t>
            </w:r>
            <w:r>
              <w:rPr>
                <w:rFonts w:hint="eastAsia" w:ascii="宋体" w:hAnsi="宋体" w:cs="宋体"/>
                <w:szCs w:val="21"/>
              </w:rPr>
              <w:t>产品</w:t>
            </w:r>
            <w:r>
              <w:rPr>
                <w:rFonts w:hint="eastAsia" w:ascii="宋体" w:hAnsi="宋体" w:cs="宋体"/>
                <w:szCs w:val="21"/>
                <w:lang w:val="zh-TW"/>
              </w:rPr>
              <w:t>裙边密封</w:t>
            </w:r>
            <w:r>
              <w:rPr>
                <w:rFonts w:hint="eastAsia" w:ascii="宋体" w:hAnsi="宋体" w:cs="宋体"/>
                <w:szCs w:val="21"/>
              </w:rPr>
              <w:t>缝隙较大，有钢化玻璃镜片的表面存在刮花、裂纹，玻璃镜片有明显杂质。</w:t>
            </w:r>
            <w:r>
              <w:rPr>
                <w:rFonts w:hint="eastAsia" w:ascii="宋体" w:hAnsi="宋体" w:cs="宋体"/>
                <w:szCs w:val="21"/>
                <w:lang w:val="zh-TW" w:eastAsia="zh-TW"/>
              </w:rPr>
              <w:t>③未体现产品的技术实现路径或体现的技术实现路径非产品本身直接实现，如需外接设备实现或通过其他方式转换实现等情形。④存在操作安全隐患。⑤功能不满足技术参数中所列功能要求。⑥有刺鼻异味。⑦颜色均匀，无明显色差。⑧表面有</w:t>
            </w:r>
            <w:r>
              <w:rPr>
                <w:rFonts w:hint="eastAsia" w:ascii="宋体" w:hAnsi="宋体" w:cs="宋体"/>
                <w:szCs w:val="21"/>
              </w:rPr>
              <w:t>划痕</w:t>
            </w:r>
            <w:r>
              <w:rPr>
                <w:rFonts w:hint="eastAsia" w:ascii="宋体" w:hAnsi="宋体" w:cs="宋体"/>
                <w:szCs w:val="21"/>
                <w:lang w:val="zh-TW"/>
              </w:rPr>
              <w:t>、</w:t>
            </w:r>
            <w:r>
              <w:rPr>
                <w:rFonts w:hint="eastAsia" w:ascii="宋体" w:hAnsi="宋体" w:cs="宋体"/>
                <w:szCs w:val="21"/>
              </w:rPr>
              <w:t>裂痕、</w:t>
            </w:r>
            <w:r>
              <w:rPr>
                <w:rFonts w:hint="eastAsia" w:ascii="宋体" w:hAnsi="宋体" w:cs="宋体"/>
                <w:szCs w:val="21"/>
                <w:lang w:val="zh-TW" w:eastAsia="zh-TW"/>
              </w:rPr>
              <w:t>污点</w:t>
            </w:r>
            <w:r>
              <w:rPr>
                <w:rFonts w:hint="eastAsia" w:ascii="宋体" w:hAnsi="宋体" w:cs="宋体"/>
                <w:szCs w:val="21"/>
                <w:lang w:val="zh-TW"/>
              </w:rPr>
              <w:t>、</w:t>
            </w:r>
            <w:r>
              <w:rPr>
                <w:rFonts w:hint="eastAsia" w:ascii="宋体" w:hAnsi="宋体" w:cs="宋体"/>
                <w:szCs w:val="21"/>
                <w:lang w:val="zh-TW" w:eastAsia="zh-TW"/>
              </w:rPr>
              <w:t>毛刺。</w:t>
            </w:r>
            <w:r>
              <w:rPr>
                <w:rFonts w:hint="eastAsia" w:ascii="宋体" w:hAnsi="宋体" w:cs="宋体"/>
                <w:szCs w:val="21"/>
              </w:rPr>
              <w:t>⑨衣服类缝合有裸露线头，缝合线不整齐，衣服拉链不顺滑，明显卡顿或破损。</w:t>
            </w:r>
          </w:p>
          <w:p>
            <w:pPr>
              <w:rPr>
                <w:rFonts w:ascii="宋体" w:hAnsi="宋体" w:cs="宋体"/>
                <w:szCs w:val="21"/>
                <w:lang w:val="zh-TW" w:eastAsia="zh-TW"/>
              </w:rPr>
            </w:pPr>
            <w:r>
              <w:rPr>
                <w:rFonts w:hint="eastAsia" w:ascii="宋体" w:hAnsi="宋体" w:cs="宋体"/>
                <w:szCs w:val="21"/>
                <w:lang w:val="zh-TW" w:eastAsia="zh-TW"/>
              </w:rPr>
              <w:t>注：投标人须按要求送样，凡出现下列任一情况的该样品得分均为0分：①少送样品的；②错送样品的；③样品不符合招标文件送样要求的。</w:t>
            </w:r>
          </w:p>
        </w:tc>
        <w:tc>
          <w:tcPr>
            <w:tcW w:w="1511" w:type="dxa"/>
            <w:vAlign w:val="center"/>
          </w:tcPr>
          <w:p>
            <w:pPr>
              <w:pStyle w:val="9"/>
              <w:spacing w:line="240" w:lineRule="auto"/>
              <w:rPr>
                <w:rFonts w:ascii="宋体" w:hAnsi="宋体" w:cs="宋体"/>
                <w:color w:val="auto"/>
                <w:szCs w:val="21"/>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4</w:t>
            </w:r>
          </w:p>
        </w:tc>
        <w:tc>
          <w:tcPr>
            <w:tcW w:w="1048" w:type="dxa"/>
            <w:vAlign w:val="center"/>
          </w:tcPr>
          <w:p>
            <w:pPr>
              <w:jc w:val="center"/>
              <w:rPr>
                <w:rFonts w:ascii="宋体" w:hAnsi="宋体" w:cs="宋体"/>
                <w:szCs w:val="21"/>
              </w:rPr>
            </w:pPr>
            <w:r>
              <w:rPr>
                <w:rFonts w:hint="eastAsia" w:ascii="宋体" w:hAnsi="宋体" w:cs="宋体"/>
                <w:szCs w:val="21"/>
                <w:lang w:val="zh-TW" w:eastAsia="zh-TW"/>
              </w:rPr>
              <w:t>技术培训</w:t>
            </w:r>
            <w:r>
              <w:rPr>
                <w:rFonts w:hint="eastAsia" w:ascii="宋体" w:hAnsi="宋体" w:cs="宋体"/>
                <w:szCs w:val="21"/>
              </w:rPr>
              <w:t>10%</w:t>
            </w:r>
          </w:p>
          <w:p>
            <w:pPr>
              <w:pStyle w:val="9"/>
              <w:spacing w:line="240" w:lineRule="auto"/>
              <w:jc w:val="center"/>
              <w:rPr>
                <w:rFonts w:ascii="宋体" w:hAnsi="宋体" w:cs="宋体"/>
                <w:color w:val="auto"/>
                <w:szCs w:val="21"/>
              </w:rPr>
            </w:pP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10分</w:t>
            </w:r>
          </w:p>
        </w:tc>
        <w:tc>
          <w:tcPr>
            <w:tcW w:w="5504"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rPr>
              <w:t>根据</w:t>
            </w:r>
            <w:r>
              <w:rPr>
                <w:rFonts w:hint="eastAsia" w:ascii="宋体" w:hAnsi="宋体" w:cs="宋体"/>
                <w:color w:val="auto"/>
                <w:szCs w:val="21"/>
                <w:lang w:val="zh-TW" w:eastAsia="zh-TW"/>
              </w:rPr>
              <w:t>投标人针对本项目的技术培训方案进行评分，方案内容至少</w:t>
            </w:r>
            <w:r>
              <w:rPr>
                <w:rFonts w:hint="eastAsia" w:ascii="宋体" w:hAnsi="宋体" w:cs="宋体"/>
                <w:color w:val="auto"/>
                <w:szCs w:val="21"/>
              </w:rPr>
              <w:t>包括</w:t>
            </w:r>
            <w:r>
              <w:rPr>
                <w:rFonts w:hint="eastAsia" w:ascii="宋体" w:hAnsi="宋体" w:cs="宋体"/>
                <w:color w:val="auto"/>
                <w:szCs w:val="21"/>
                <w:lang w:val="zh-TW" w:eastAsia="zh-TW"/>
              </w:rPr>
              <w:t>①培训内容</w:t>
            </w:r>
            <w:r>
              <w:rPr>
                <w:rFonts w:hint="eastAsia" w:ascii="宋体" w:hAnsi="宋体" w:cs="宋体"/>
                <w:color w:val="auto"/>
                <w:szCs w:val="21"/>
              </w:rPr>
              <w:t>；</w:t>
            </w:r>
            <w:r>
              <w:rPr>
                <w:rFonts w:hint="eastAsia" w:ascii="宋体" w:hAnsi="宋体" w:cs="宋体"/>
                <w:color w:val="auto"/>
                <w:szCs w:val="21"/>
                <w:lang w:val="zh-TW" w:eastAsia="zh-TW"/>
              </w:rPr>
              <w:t>②培训方式</w:t>
            </w:r>
            <w:r>
              <w:rPr>
                <w:rFonts w:hint="eastAsia" w:ascii="宋体" w:hAnsi="宋体" w:cs="宋体"/>
                <w:color w:val="auto"/>
                <w:szCs w:val="21"/>
              </w:rPr>
              <w:t>；</w:t>
            </w:r>
            <w:r>
              <w:rPr>
                <w:rFonts w:hint="eastAsia" w:ascii="宋体" w:hAnsi="宋体" w:cs="宋体"/>
                <w:color w:val="auto"/>
                <w:szCs w:val="21"/>
                <w:lang w:val="zh-TW" w:eastAsia="zh-TW"/>
              </w:rPr>
              <w:t>③培训计划</w:t>
            </w:r>
            <w:r>
              <w:rPr>
                <w:rFonts w:hint="eastAsia" w:ascii="宋体" w:hAnsi="宋体" w:cs="宋体"/>
                <w:color w:val="auto"/>
                <w:szCs w:val="21"/>
              </w:rPr>
              <w:t>；</w:t>
            </w:r>
            <w:r>
              <w:rPr>
                <w:rFonts w:hint="eastAsia" w:ascii="宋体" w:hAnsi="宋体" w:cs="宋体"/>
                <w:color w:val="auto"/>
                <w:szCs w:val="21"/>
                <w:lang w:val="zh-TW" w:eastAsia="zh-TW"/>
              </w:rPr>
              <w:t>④培训团队配备等。</w:t>
            </w:r>
          </w:p>
          <w:p>
            <w:pPr>
              <w:pStyle w:val="9"/>
              <w:spacing w:line="240" w:lineRule="auto"/>
              <w:rPr>
                <w:rFonts w:ascii="宋体" w:hAnsi="宋体" w:cs="宋体"/>
                <w:color w:val="auto"/>
                <w:szCs w:val="21"/>
              </w:rPr>
            </w:pPr>
            <w:r>
              <w:rPr>
                <w:rFonts w:hint="eastAsia" w:ascii="宋体" w:hAnsi="宋体" w:cs="宋体"/>
                <w:color w:val="auto"/>
                <w:szCs w:val="21"/>
              </w:rPr>
              <w:t>方案无缺失无缺陷的得10分，每有一项内容缺失扣2.5分，每有一项内容存在缺陷扣1.5分，扣完为止。</w:t>
            </w:r>
          </w:p>
          <w:p>
            <w:pPr>
              <w:pStyle w:val="9"/>
              <w:spacing w:line="240" w:lineRule="auto"/>
              <w:rPr>
                <w:rFonts w:ascii="宋体" w:hAnsi="宋体" w:cs="宋体"/>
                <w:color w:val="auto"/>
                <w:szCs w:val="21"/>
              </w:rPr>
            </w:pPr>
          </w:p>
          <w:p>
            <w:pPr>
              <w:pStyle w:val="9"/>
              <w:spacing w:line="240" w:lineRule="auto"/>
              <w:rPr>
                <w:rFonts w:ascii="宋体" w:hAnsi="宋体" w:cs="宋体"/>
                <w:color w:val="auto"/>
                <w:szCs w:val="21"/>
              </w:rPr>
            </w:pPr>
            <w:r>
              <w:rPr>
                <w:rFonts w:hint="eastAsia" w:ascii="宋体" w:hAnsi="宋体" w:cs="宋体"/>
                <w:color w:val="auto"/>
                <w:szCs w:val="21"/>
              </w:rPr>
              <w:t>注：存在缺陷是指该项内容描述前后不一致或该项内容所阐述的项目信息与本项目实际信息不一致或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w="1511" w:type="dxa"/>
            <w:vAlign w:val="center"/>
          </w:tcPr>
          <w:p>
            <w:pPr>
              <w:pStyle w:val="9"/>
              <w:spacing w:line="240" w:lineRule="auto"/>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5</w:t>
            </w:r>
          </w:p>
        </w:tc>
        <w:tc>
          <w:tcPr>
            <w:tcW w:w="1048"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售后服务8%</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8分</w:t>
            </w:r>
          </w:p>
        </w:tc>
        <w:tc>
          <w:tcPr>
            <w:tcW w:w="5504"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根据投标人针对本项目的售后服务方案进行评分，方案内容至少包括①服务承诺及响应方案；②备件（易耗品）供应方案；③服务人员配备及应急措施；④质保外服务措施等售后服务。</w:t>
            </w:r>
          </w:p>
          <w:p>
            <w:pPr>
              <w:pStyle w:val="9"/>
              <w:spacing w:line="240" w:lineRule="auto"/>
              <w:rPr>
                <w:rFonts w:ascii="宋体" w:hAnsi="宋体" w:cs="宋体"/>
                <w:color w:val="auto"/>
                <w:szCs w:val="21"/>
              </w:rPr>
            </w:pPr>
            <w:r>
              <w:rPr>
                <w:rFonts w:hint="eastAsia" w:ascii="宋体" w:hAnsi="宋体" w:cs="宋体"/>
                <w:color w:val="auto"/>
                <w:szCs w:val="21"/>
              </w:rPr>
              <w:t>方案无缺失无缺陷的得8分，每有一项内容缺失扣2分，每有一项内容存在缺陷扣1分，扣完为止。</w:t>
            </w:r>
          </w:p>
          <w:p>
            <w:pPr>
              <w:pStyle w:val="9"/>
              <w:spacing w:line="240" w:lineRule="auto"/>
              <w:rPr>
                <w:rFonts w:ascii="宋体" w:hAnsi="宋体" w:cs="宋体"/>
                <w:color w:val="auto"/>
                <w:szCs w:val="21"/>
              </w:rPr>
            </w:pPr>
          </w:p>
          <w:p>
            <w:pPr>
              <w:pStyle w:val="9"/>
              <w:spacing w:line="240" w:lineRule="auto"/>
              <w:rPr>
                <w:rFonts w:ascii="宋体" w:hAnsi="宋体" w:cs="宋体"/>
                <w:color w:val="auto"/>
                <w:szCs w:val="21"/>
              </w:rPr>
            </w:pPr>
            <w:r>
              <w:rPr>
                <w:rFonts w:hint="eastAsia" w:ascii="宋体" w:hAnsi="宋体" w:cs="宋体"/>
                <w:color w:val="auto"/>
                <w:szCs w:val="21"/>
              </w:rPr>
              <w:t>注：存在缺陷是指该项内容描述前后不一致或该项内容所阐述的项目信息与本项目实际信息不一致或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w="1511" w:type="dxa"/>
            <w:vAlign w:val="center"/>
          </w:tcPr>
          <w:p>
            <w:pPr>
              <w:pStyle w:val="9"/>
              <w:spacing w:line="240" w:lineRule="auto"/>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6</w:t>
            </w:r>
          </w:p>
        </w:tc>
        <w:tc>
          <w:tcPr>
            <w:tcW w:w="1048" w:type="dxa"/>
            <w:vAlign w:val="center"/>
          </w:tcPr>
          <w:p>
            <w:pPr>
              <w:rPr>
                <w:rFonts w:ascii="宋体" w:hAnsi="宋体" w:cs="宋体"/>
                <w:szCs w:val="21"/>
              </w:rPr>
            </w:pPr>
            <w:r>
              <w:rPr>
                <w:rFonts w:hint="eastAsia" w:ascii="宋体" w:hAnsi="宋体" w:cs="宋体"/>
                <w:szCs w:val="21"/>
                <w:lang w:val="zh-TW" w:eastAsia="zh-TW"/>
              </w:rPr>
              <w:t>业绩</w:t>
            </w:r>
            <w:r>
              <w:rPr>
                <w:rFonts w:hint="eastAsia" w:ascii="宋体" w:hAnsi="宋体" w:cs="宋体"/>
                <w:szCs w:val="21"/>
              </w:rPr>
              <w:t>2%</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2分</w:t>
            </w:r>
          </w:p>
        </w:tc>
        <w:tc>
          <w:tcPr>
            <w:tcW w:w="5504"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投标人自20</w:t>
            </w:r>
            <w:r>
              <w:rPr>
                <w:rFonts w:hint="eastAsia" w:ascii="宋体" w:hAnsi="宋体" w:cs="宋体"/>
                <w:color w:val="auto"/>
                <w:szCs w:val="21"/>
              </w:rPr>
              <w:t>21</w:t>
            </w:r>
            <w:r>
              <w:rPr>
                <w:rFonts w:hint="eastAsia" w:ascii="宋体" w:hAnsi="宋体" w:cs="宋体"/>
                <w:color w:val="auto"/>
                <w:szCs w:val="21"/>
                <w:lang w:val="zh-TW" w:eastAsia="zh-TW"/>
              </w:rPr>
              <w:t>年1月1日至今，</w:t>
            </w:r>
            <w:r>
              <w:rPr>
                <w:rFonts w:hint="eastAsia" w:ascii="宋体" w:hAnsi="宋体" w:cs="宋体"/>
                <w:color w:val="auto"/>
                <w:szCs w:val="21"/>
              </w:rPr>
              <w:t>有</w:t>
            </w:r>
            <w:r>
              <w:rPr>
                <w:rFonts w:hint="eastAsia" w:ascii="宋体" w:hAnsi="宋体" w:cs="宋体"/>
                <w:color w:val="auto"/>
                <w:szCs w:val="21"/>
                <w:lang w:val="zh-TW" w:eastAsia="zh-TW"/>
              </w:rPr>
              <w:t>同类项目供货业绩的得</w:t>
            </w:r>
            <w:r>
              <w:rPr>
                <w:rFonts w:hint="eastAsia" w:ascii="宋体" w:hAnsi="宋体" w:cs="宋体"/>
                <w:color w:val="auto"/>
                <w:szCs w:val="21"/>
              </w:rPr>
              <w:t>2</w:t>
            </w:r>
            <w:r>
              <w:rPr>
                <w:rFonts w:hint="eastAsia" w:ascii="宋体" w:hAnsi="宋体" w:cs="宋体"/>
                <w:color w:val="auto"/>
                <w:szCs w:val="21"/>
                <w:lang w:val="zh-TW" w:eastAsia="zh-TW"/>
              </w:rPr>
              <w:t>分。</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注：</w:t>
            </w:r>
            <w:r>
              <w:rPr>
                <w:rFonts w:hint="eastAsia" w:ascii="宋体" w:hAnsi="宋体" w:cs="宋体"/>
                <w:color w:val="auto"/>
                <w:szCs w:val="21"/>
              </w:rPr>
              <w:t>1、</w:t>
            </w:r>
            <w:r>
              <w:rPr>
                <w:rFonts w:hint="eastAsia" w:ascii="宋体" w:hAnsi="宋体" w:cs="宋体"/>
                <w:color w:val="auto"/>
                <w:szCs w:val="21"/>
                <w:lang w:val="zh-TW" w:eastAsia="zh-TW"/>
              </w:rPr>
              <w:t>每个业绩的合同复印件</w:t>
            </w:r>
            <w:r>
              <w:rPr>
                <w:rFonts w:hint="eastAsia" w:ascii="宋体" w:hAnsi="宋体" w:cs="宋体"/>
                <w:color w:val="auto"/>
                <w:szCs w:val="21"/>
                <w:lang w:val="zh-TW"/>
              </w:rPr>
              <w:t>、</w:t>
            </w:r>
            <w:r>
              <w:rPr>
                <w:rFonts w:hint="eastAsia" w:ascii="宋体" w:hAnsi="宋体" w:cs="宋体"/>
                <w:color w:val="auto"/>
                <w:szCs w:val="21"/>
              </w:rPr>
              <w:t>履约验收合格的证明材料（须具有甲方公章）复印件</w:t>
            </w:r>
            <w:r>
              <w:rPr>
                <w:rFonts w:hint="eastAsia" w:ascii="宋体" w:hAnsi="宋体" w:cs="宋体"/>
                <w:color w:val="auto"/>
                <w:szCs w:val="21"/>
                <w:lang w:val="zh-TW" w:eastAsia="zh-TW"/>
              </w:rPr>
              <w:t>。</w:t>
            </w:r>
          </w:p>
          <w:p>
            <w:pPr>
              <w:pStyle w:val="9"/>
              <w:spacing w:line="240" w:lineRule="auto"/>
              <w:rPr>
                <w:rFonts w:ascii="宋体" w:hAnsi="宋体" w:cs="宋体"/>
                <w:color w:val="auto"/>
                <w:szCs w:val="21"/>
              </w:rPr>
            </w:pPr>
            <w:r>
              <w:rPr>
                <w:rFonts w:hint="eastAsia" w:ascii="宋体" w:hAnsi="宋体" w:cs="宋体"/>
                <w:color w:val="auto"/>
                <w:szCs w:val="21"/>
                <w:lang w:val="zh-TW" w:eastAsia="zh-TW"/>
              </w:rPr>
              <w:t>2、同类项目</w:t>
            </w:r>
            <w:r>
              <w:rPr>
                <w:rFonts w:hint="eastAsia" w:ascii="宋体" w:hAnsi="宋体" w:cs="宋体"/>
                <w:color w:val="auto"/>
                <w:szCs w:val="21"/>
              </w:rPr>
              <w:t>指</w:t>
            </w:r>
            <w:r>
              <w:rPr>
                <w:rFonts w:hint="eastAsia" w:ascii="宋体" w:hAnsi="宋体" w:cs="宋体"/>
                <w:color w:val="auto"/>
                <w:szCs w:val="21"/>
                <w:lang w:val="zh-TW" w:eastAsia="zh-TW"/>
              </w:rPr>
              <w:t>至少包含本招标文件中规定的核心产品</w:t>
            </w:r>
            <w:r>
              <w:rPr>
                <w:rFonts w:hint="eastAsia" w:ascii="宋体" w:hAnsi="宋体" w:cs="宋体"/>
                <w:color w:val="auto"/>
                <w:szCs w:val="21"/>
              </w:rPr>
              <w:t>的货物类采购项目</w:t>
            </w:r>
            <w:r>
              <w:rPr>
                <w:rFonts w:hint="eastAsia" w:ascii="宋体" w:hAnsi="宋体" w:cs="宋体"/>
                <w:color w:val="auto"/>
                <w:szCs w:val="21"/>
                <w:lang w:val="zh-TW" w:eastAsia="zh-TW"/>
              </w:rPr>
              <w:t>，否则不予认可。</w:t>
            </w:r>
          </w:p>
        </w:tc>
        <w:tc>
          <w:tcPr>
            <w:tcW w:w="1511" w:type="dxa"/>
            <w:vAlign w:val="center"/>
          </w:tcPr>
          <w:p>
            <w:pPr>
              <w:pStyle w:val="9"/>
              <w:spacing w:line="240" w:lineRule="auto"/>
              <w:rPr>
                <w:rFonts w:ascii="宋体" w:hAnsi="宋体" w:cs="宋体"/>
                <w:color w:val="auto"/>
                <w:szCs w:val="21"/>
              </w:rPr>
            </w:pPr>
          </w:p>
        </w:tc>
      </w:tr>
    </w:tbl>
    <w:p>
      <w:pPr>
        <w:pStyle w:val="13"/>
        <w:tabs>
          <w:tab w:val="left" w:pos="600"/>
        </w:tabs>
        <w:spacing w:line="420" w:lineRule="exact"/>
        <w:jc w:val="center"/>
        <w:rPr>
          <w:rFonts w:cs="宋体" w:asciiTheme="minorEastAsia" w:hAnsiTheme="minorEastAsia" w:eastAsiaTheme="minorEastAsia"/>
          <w:b/>
          <w:bCs/>
          <w:sz w:val="32"/>
          <w:szCs w:val="32"/>
        </w:rPr>
      </w:pPr>
      <w:r>
        <w:rPr>
          <w:rFonts w:hint="eastAsia" w:cs="宋体" w:asciiTheme="minorEastAsia" w:hAnsiTheme="minorEastAsia" w:eastAsiaTheme="minorEastAsia"/>
          <w:b/>
          <w:bCs/>
          <w:sz w:val="32"/>
          <w:szCs w:val="32"/>
        </w:rPr>
        <w:t>第7包</w:t>
      </w:r>
    </w:p>
    <w:tbl>
      <w:tblPr>
        <w:tblStyle w:val="21"/>
        <w:tblW w:w="9717" w:type="dxa"/>
        <w:tblInd w:w="-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048"/>
        <w:gridCol w:w="775"/>
        <w:gridCol w:w="5504"/>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序号</w:t>
            </w:r>
          </w:p>
        </w:tc>
        <w:tc>
          <w:tcPr>
            <w:tcW w:w="1048"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评分因素</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分　值</w:t>
            </w:r>
          </w:p>
        </w:tc>
        <w:tc>
          <w:tcPr>
            <w:tcW w:w="5504"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评分标准</w:t>
            </w:r>
          </w:p>
        </w:tc>
        <w:tc>
          <w:tcPr>
            <w:tcW w:w="1511"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1</w:t>
            </w:r>
          </w:p>
        </w:tc>
        <w:tc>
          <w:tcPr>
            <w:tcW w:w="1048"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报价30%</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30分</w:t>
            </w:r>
          </w:p>
        </w:tc>
        <w:tc>
          <w:tcPr>
            <w:tcW w:w="5504"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满足招标文件要求且投标价格最低的报价为基准价，其价格分为满分。其他供应商的价格分统一按照下列公式计算：报价得分=(基准价／报价)*30</w:t>
            </w:r>
          </w:p>
        </w:tc>
        <w:tc>
          <w:tcPr>
            <w:tcW w:w="1511" w:type="dxa"/>
            <w:vAlign w:val="center"/>
          </w:tcPr>
          <w:p>
            <w:pPr>
              <w:pStyle w:val="9"/>
              <w:spacing w:line="240" w:lineRule="auto"/>
              <w:rPr>
                <w:rFonts w:ascii="宋体" w:hAnsi="宋体" w:cs="宋体"/>
                <w:color w:val="auto"/>
                <w:szCs w:val="21"/>
              </w:rPr>
            </w:pPr>
            <w:r>
              <w:rPr>
                <w:rFonts w:hint="eastAsia" w:ascii="宋体" w:hAnsi="宋体" w:cs="宋体"/>
                <w:color w:val="auto"/>
                <w:szCs w:val="21"/>
              </w:rPr>
              <w:t>对小微企业的价格扣除按照投标人须知前附表规定执行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left"/>
              <w:rPr>
                <w:rFonts w:ascii="宋体" w:hAnsi="宋体" w:cs="宋体"/>
                <w:color w:val="auto"/>
                <w:szCs w:val="21"/>
                <w:lang w:val="zh-TW" w:eastAsia="zh-TW"/>
              </w:rPr>
            </w:pPr>
            <w:r>
              <w:rPr>
                <w:rFonts w:hint="eastAsia" w:ascii="宋体" w:hAnsi="宋体" w:cs="宋体"/>
                <w:color w:val="auto"/>
                <w:szCs w:val="21"/>
                <w:lang w:val="zh-TW" w:eastAsia="zh-TW"/>
              </w:rPr>
              <w:t>2</w:t>
            </w:r>
          </w:p>
        </w:tc>
        <w:tc>
          <w:tcPr>
            <w:tcW w:w="1048"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lang w:val="zh-TW" w:eastAsia="zh-TW"/>
              </w:rPr>
              <w:t>技术要求</w:t>
            </w:r>
            <w:r>
              <w:rPr>
                <w:rFonts w:hint="eastAsia" w:ascii="宋体" w:hAnsi="宋体" w:cs="宋体"/>
                <w:color w:val="auto"/>
                <w:szCs w:val="21"/>
              </w:rPr>
              <w:t>40%</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lang w:val="zh-TW" w:eastAsia="zh-TW"/>
              </w:rPr>
              <w:t>40</w:t>
            </w:r>
            <w:r>
              <w:rPr>
                <w:rFonts w:hint="eastAsia" w:ascii="宋体" w:hAnsi="宋体" w:cs="宋体"/>
                <w:color w:val="auto"/>
                <w:szCs w:val="21"/>
              </w:rPr>
              <w:t>分</w:t>
            </w:r>
          </w:p>
        </w:tc>
        <w:tc>
          <w:tcPr>
            <w:tcW w:w="5504"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投标人针对招标文件技术参数条款的响应得分规则如下：</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【①以数字 “1”“2”“3”…为一条。得分四舍五入保留小数点后两位小数；②序号中未标注“★”和“▲”的条款，为一般技术参数条款；③序号中标注“▲”的条款，为重要技术参数条款】</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1、投标人针对招标文件一般技术参数条款的响应得分规则如下：</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一般技术参数条款响应得分=（投标人满足一般技术参数条款的数量÷一般技术参数条款的总数量）×10分。</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2、投标人针对招标文件“▲”技术参数条款的响应得分规则如下：</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“▲”技术参数条款响应得分=（投标人满足“▲”技术参数条款的数量÷“▲”技术参数条款的总数量）×30分。</w:t>
            </w:r>
          </w:p>
        </w:tc>
        <w:tc>
          <w:tcPr>
            <w:tcW w:w="1511" w:type="dxa"/>
            <w:vAlign w:val="center"/>
          </w:tcPr>
          <w:p>
            <w:pPr>
              <w:pStyle w:val="9"/>
              <w:spacing w:line="240" w:lineRule="auto"/>
              <w:rPr>
                <w:rFonts w:ascii="宋体" w:hAnsi="宋体" w:cs="宋体"/>
                <w:color w:val="auto"/>
                <w:szCs w:val="21"/>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rPr>
                <w:rFonts w:ascii="宋体" w:hAnsi="宋体" w:cs="宋体"/>
                <w:szCs w:val="21"/>
                <w:lang w:val="zh-TW" w:eastAsia="zh-TW"/>
              </w:rPr>
            </w:pPr>
            <w:r>
              <w:rPr>
                <w:rFonts w:hint="eastAsia" w:ascii="宋体" w:hAnsi="宋体" w:cs="宋体"/>
                <w:szCs w:val="21"/>
                <w:lang w:val="zh-TW" w:eastAsia="zh-TW"/>
              </w:rPr>
              <w:t>3</w:t>
            </w:r>
          </w:p>
        </w:tc>
        <w:tc>
          <w:tcPr>
            <w:tcW w:w="1048" w:type="dxa"/>
            <w:vAlign w:val="center"/>
          </w:tcPr>
          <w:p>
            <w:pPr>
              <w:rPr>
                <w:rFonts w:ascii="宋体" w:hAnsi="宋体" w:cs="宋体"/>
                <w:szCs w:val="21"/>
              </w:rPr>
            </w:pPr>
            <w:r>
              <w:rPr>
                <w:rFonts w:hint="eastAsia" w:ascii="宋体" w:hAnsi="宋体" w:cs="宋体"/>
                <w:szCs w:val="21"/>
                <w:lang w:val="zh-TW" w:eastAsia="zh-TW"/>
              </w:rPr>
              <w:t>样品</w:t>
            </w:r>
            <w:r>
              <w:rPr>
                <w:rFonts w:hint="eastAsia" w:ascii="宋体" w:hAnsi="宋体" w:cs="宋体"/>
                <w:szCs w:val="21"/>
              </w:rPr>
              <w:t>10%</w:t>
            </w:r>
          </w:p>
        </w:tc>
        <w:tc>
          <w:tcPr>
            <w:tcW w:w="775" w:type="dxa"/>
            <w:vAlign w:val="center"/>
          </w:tcPr>
          <w:p>
            <w:pPr>
              <w:jc w:val="center"/>
              <w:rPr>
                <w:rFonts w:ascii="宋体" w:hAnsi="宋体" w:cs="宋体"/>
                <w:szCs w:val="21"/>
              </w:rPr>
            </w:pPr>
            <w:r>
              <w:rPr>
                <w:rFonts w:hint="eastAsia" w:ascii="宋体" w:hAnsi="宋体" w:cs="宋体"/>
                <w:szCs w:val="21"/>
              </w:rPr>
              <w:t>10分</w:t>
            </w:r>
          </w:p>
        </w:tc>
        <w:tc>
          <w:tcPr>
            <w:tcW w:w="5504" w:type="dxa"/>
            <w:vAlign w:val="center"/>
          </w:tcPr>
          <w:p>
            <w:pPr>
              <w:rPr>
                <w:rFonts w:ascii="宋体" w:hAnsi="宋体" w:cs="宋体"/>
                <w:szCs w:val="21"/>
                <w:lang w:val="zh-TW" w:eastAsia="zh-TW"/>
              </w:rPr>
            </w:pPr>
            <w:r>
              <w:rPr>
                <w:rFonts w:hint="eastAsia" w:ascii="宋体" w:hAnsi="宋体" w:cs="宋体"/>
                <w:szCs w:val="21"/>
                <w:lang w:val="zh-TW" w:eastAsia="zh-TW"/>
              </w:rPr>
              <w:t>评标委员会通过感官、触摸、测试、破坏、试用、对比等方式，考评投标产品的①材质；②制作工艺水平；③结构合理、操作便利、可靠性；④有无操作安全隐患等。</w:t>
            </w:r>
          </w:p>
          <w:p>
            <w:pPr>
              <w:rPr>
                <w:rFonts w:ascii="宋体" w:hAnsi="宋体" w:cs="宋体"/>
                <w:szCs w:val="21"/>
                <w:lang w:val="zh-TW" w:eastAsia="zh-TW"/>
              </w:rPr>
            </w:pPr>
            <w:r>
              <w:rPr>
                <w:rFonts w:hint="eastAsia" w:ascii="宋体" w:hAnsi="宋体" w:cs="宋体"/>
                <w:szCs w:val="21"/>
              </w:rPr>
              <w:t>各</w:t>
            </w:r>
            <w:r>
              <w:rPr>
                <w:rFonts w:hint="eastAsia" w:ascii="宋体" w:hAnsi="宋体" w:cs="宋体"/>
                <w:szCs w:val="21"/>
                <w:lang w:val="zh-TW" w:eastAsia="zh-TW"/>
              </w:rPr>
              <w:t>样品</w:t>
            </w:r>
            <w:r>
              <w:rPr>
                <w:rFonts w:hint="eastAsia" w:ascii="宋体" w:hAnsi="宋体" w:cs="宋体"/>
                <w:szCs w:val="21"/>
              </w:rPr>
              <w:t>中</w:t>
            </w:r>
            <w:r>
              <w:rPr>
                <w:rFonts w:hint="eastAsia" w:ascii="宋体" w:hAnsi="宋体" w:cs="宋体"/>
                <w:szCs w:val="21"/>
                <w:lang w:val="zh-TW" w:eastAsia="zh-TW"/>
              </w:rPr>
              <w:t>每有一项或一处存在瑕疵或不满足技术参数要求或不符合采购人使用需求的，扣</w:t>
            </w:r>
            <w:r>
              <w:rPr>
                <w:rFonts w:hint="eastAsia" w:ascii="宋体" w:hAnsi="宋体" w:cs="宋体"/>
                <w:szCs w:val="21"/>
              </w:rPr>
              <w:t>1</w:t>
            </w:r>
            <w:r>
              <w:rPr>
                <w:rFonts w:hint="eastAsia" w:ascii="宋体" w:hAnsi="宋体" w:cs="宋体"/>
                <w:szCs w:val="21"/>
                <w:lang w:val="zh-TW" w:eastAsia="zh-TW"/>
              </w:rPr>
              <w:t>分，扣完为止。</w:t>
            </w:r>
          </w:p>
          <w:p>
            <w:pPr>
              <w:rPr>
                <w:rFonts w:ascii="宋体" w:hAnsi="宋体" w:cs="宋体"/>
                <w:szCs w:val="21"/>
                <w:lang w:val="zh-TW" w:eastAsia="zh-TW"/>
              </w:rPr>
            </w:pPr>
            <w:r>
              <w:rPr>
                <w:rFonts w:hint="eastAsia" w:ascii="宋体" w:hAnsi="宋体" w:cs="宋体"/>
                <w:szCs w:val="21"/>
                <w:lang w:val="zh-TW" w:eastAsia="zh-TW"/>
              </w:rPr>
              <w:t>缺陷</w:t>
            </w:r>
            <w:r>
              <w:rPr>
                <w:rFonts w:hint="eastAsia" w:ascii="宋体" w:hAnsi="宋体" w:cs="宋体"/>
                <w:szCs w:val="21"/>
              </w:rPr>
              <w:t>或瑕疵</w:t>
            </w:r>
            <w:r>
              <w:rPr>
                <w:rFonts w:hint="eastAsia" w:ascii="宋体" w:hAnsi="宋体" w:cs="宋体"/>
                <w:szCs w:val="21"/>
                <w:lang w:val="zh-TW" w:eastAsia="zh-TW"/>
              </w:rPr>
              <w:t>是指存在下述任意一种情形：①材质不符合技术参数要求。②</w:t>
            </w:r>
            <w:r>
              <w:rPr>
                <w:rFonts w:hint="eastAsia" w:ascii="宋体" w:hAnsi="宋体" w:cs="宋体"/>
                <w:szCs w:val="21"/>
              </w:rPr>
              <w:t>产品缝合处有明显裸露线头，缝合线不整齐。</w:t>
            </w:r>
            <w:r>
              <w:rPr>
                <w:rFonts w:hint="eastAsia" w:ascii="宋体" w:hAnsi="宋体" w:cs="宋体"/>
                <w:szCs w:val="21"/>
                <w:lang w:val="zh-TW" w:eastAsia="zh-TW"/>
              </w:rPr>
              <w:t>③未体现产品的技术实现路径或体现的技术实现路径非产品本身直接实现，如需外接设备实现或通过其他方式转换实现等情形。④存在操作安全隐患。⑤功能不满足技术参数中所列功能要求。⑥有刺鼻异味。⑦颜色</w:t>
            </w:r>
            <w:r>
              <w:rPr>
                <w:rFonts w:hint="eastAsia" w:ascii="宋体" w:hAnsi="宋体" w:cs="宋体"/>
                <w:szCs w:val="21"/>
              </w:rPr>
              <w:t>不</w:t>
            </w:r>
            <w:r>
              <w:rPr>
                <w:rFonts w:hint="eastAsia" w:ascii="宋体" w:hAnsi="宋体" w:cs="宋体"/>
                <w:szCs w:val="21"/>
                <w:lang w:val="zh-TW" w:eastAsia="zh-TW"/>
              </w:rPr>
              <w:t>均匀，</w:t>
            </w:r>
            <w:r>
              <w:rPr>
                <w:rFonts w:hint="eastAsia" w:ascii="宋体" w:hAnsi="宋体" w:cs="宋体"/>
                <w:szCs w:val="21"/>
              </w:rPr>
              <w:t>有</w:t>
            </w:r>
            <w:r>
              <w:rPr>
                <w:rFonts w:hint="eastAsia" w:ascii="宋体" w:hAnsi="宋体" w:cs="宋体"/>
                <w:szCs w:val="21"/>
                <w:lang w:val="zh-TW" w:eastAsia="zh-TW"/>
              </w:rPr>
              <w:t>明显色差。⑧表面有</w:t>
            </w:r>
            <w:r>
              <w:rPr>
                <w:rFonts w:hint="eastAsia" w:ascii="宋体" w:hAnsi="宋体" w:cs="宋体"/>
                <w:szCs w:val="21"/>
              </w:rPr>
              <w:t>划痕</w:t>
            </w:r>
            <w:r>
              <w:rPr>
                <w:rFonts w:hint="eastAsia" w:ascii="宋体" w:hAnsi="宋体" w:cs="宋体"/>
                <w:szCs w:val="21"/>
                <w:lang w:val="zh-TW"/>
              </w:rPr>
              <w:t>、</w:t>
            </w:r>
            <w:r>
              <w:rPr>
                <w:rFonts w:hint="eastAsia" w:ascii="宋体" w:hAnsi="宋体" w:cs="宋体"/>
                <w:szCs w:val="21"/>
              </w:rPr>
              <w:t>裂纹、</w:t>
            </w:r>
            <w:r>
              <w:rPr>
                <w:rFonts w:hint="eastAsia" w:ascii="宋体" w:hAnsi="宋体" w:cs="宋体"/>
                <w:szCs w:val="21"/>
                <w:lang w:val="zh-TW" w:eastAsia="zh-TW"/>
              </w:rPr>
              <w:t>污点</w:t>
            </w:r>
            <w:r>
              <w:rPr>
                <w:rFonts w:hint="eastAsia" w:ascii="宋体" w:hAnsi="宋体" w:cs="宋体"/>
                <w:szCs w:val="21"/>
                <w:lang w:val="zh-TW"/>
              </w:rPr>
              <w:t>、</w:t>
            </w:r>
            <w:r>
              <w:rPr>
                <w:rFonts w:hint="eastAsia" w:ascii="宋体" w:hAnsi="宋体" w:cs="宋体"/>
                <w:szCs w:val="21"/>
                <w:lang w:val="zh-TW" w:eastAsia="zh-TW"/>
              </w:rPr>
              <w:t>毛刺。</w:t>
            </w:r>
            <w:r>
              <w:rPr>
                <w:rFonts w:hint="eastAsia" w:ascii="宋体" w:hAnsi="宋体" w:cs="宋体"/>
                <w:szCs w:val="21"/>
              </w:rPr>
              <w:t>⑨绳子编制粗糙，整体不匀称，有丝状或裂纹，绳索受力后主体变硬、绳芯明显滑动。</w:t>
            </w:r>
          </w:p>
          <w:p>
            <w:pPr>
              <w:rPr>
                <w:rFonts w:ascii="宋体" w:hAnsi="宋体" w:cs="宋体"/>
                <w:szCs w:val="21"/>
                <w:lang w:val="zh-TW" w:eastAsia="zh-TW"/>
              </w:rPr>
            </w:pPr>
            <w:r>
              <w:rPr>
                <w:rFonts w:hint="eastAsia" w:ascii="宋体" w:hAnsi="宋体" w:cs="宋体"/>
                <w:szCs w:val="21"/>
                <w:lang w:val="zh-TW" w:eastAsia="zh-TW"/>
              </w:rPr>
              <w:t>注：投标人须按要求送样，凡出现下列任一情况的该样品得分均为0分：①少送样品的；②错送样品的；③样品不符合招标文件送样要求的。</w:t>
            </w:r>
          </w:p>
        </w:tc>
        <w:tc>
          <w:tcPr>
            <w:tcW w:w="1511" w:type="dxa"/>
            <w:vAlign w:val="center"/>
          </w:tcPr>
          <w:p>
            <w:pPr>
              <w:pStyle w:val="9"/>
              <w:spacing w:line="240" w:lineRule="auto"/>
              <w:rPr>
                <w:rFonts w:ascii="宋体" w:hAnsi="宋体" w:cs="宋体"/>
                <w:color w:val="auto"/>
                <w:szCs w:val="21"/>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4</w:t>
            </w:r>
          </w:p>
        </w:tc>
        <w:tc>
          <w:tcPr>
            <w:tcW w:w="1048" w:type="dxa"/>
            <w:vAlign w:val="center"/>
          </w:tcPr>
          <w:p>
            <w:pPr>
              <w:jc w:val="center"/>
              <w:rPr>
                <w:rFonts w:ascii="宋体" w:hAnsi="宋体" w:cs="宋体"/>
                <w:szCs w:val="21"/>
              </w:rPr>
            </w:pPr>
            <w:r>
              <w:rPr>
                <w:rFonts w:hint="eastAsia" w:ascii="宋体" w:hAnsi="宋体" w:cs="宋体"/>
                <w:szCs w:val="21"/>
                <w:lang w:val="zh-TW" w:eastAsia="zh-TW"/>
              </w:rPr>
              <w:t>技术培训</w:t>
            </w:r>
            <w:r>
              <w:rPr>
                <w:rFonts w:hint="eastAsia" w:ascii="宋体" w:hAnsi="宋体" w:cs="宋体"/>
                <w:szCs w:val="21"/>
              </w:rPr>
              <w:t>10%</w:t>
            </w:r>
          </w:p>
          <w:p>
            <w:pPr>
              <w:pStyle w:val="9"/>
              <w:spacing w:line="240" w:lineRule="auto"/>
              <w:jc w:val="center"/>
              <w:rPr>
                <w:rFonts w:ascii="宋体" w:hAnsi="宋体" w:cs="宋体"/>
                <w:color w:val="auto"/>
                <w:szCs w:val="21"/>
              </w:rPr>
            </w:pP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10分</w:t>
            </w:r>
          </w:p>
        </w:tc>
        <w:tc>
          <w:tcPr>
            <w:tcW w:w="5504"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rPr>
              <w:t>根据</w:t>
            </w:r>
            <w:r>
              <w:rPr>
                <w:rFonts w:hint="eastAsia" w:ascii="宋体" w:hAnsi="宋体" w:cs="宋体"/>
                <w:color w:val="auto"/>
                <w:szCs w:val="21"/>
                <w:lang w:val="zh-TW" w:eastAsia="zh-TW"/>
              </w:rPr>
              <w:t>投标人针对本项目的技术培训方案进行评分，方案内容至少</w:t>
            </w:r>
            <w:r>
              <w:rPr>
                <w:rFonts w:hint="eastAsia" w:ascii="宋体" w:hAnsi="宋体" w:cs="宋体"/>
                <w:color w:val="auto"/>
                <w:szCs w:val="21"/>
              </w:rPr>
              <w:t>包括</w:t>
            </w:r>
            <w:r>
              <w:rPr>
                <w:rFonts w:hint="eastAsia" w:ascii="宋体" w:hAnsi="宋体" w:cs="宋体"/>
                <w:color w:val="auto"/>
                <w:szCs w:val="21"/>
                <w:lang w:val="zh-TW" w:eastAsia="zh-TW"/>
              </w:rPr>
              <w:t>①培训内容</w:t>
            </w:r>
            <w:r>
              <w:rPr>
                <w:rFonts w:hint="eastAsia" w:ascii="宋体" w:hAnsi="宋体" w:cs="宋体"/>
                <w:color w:val="auto"/>
                <w:szCs w:val="21"/>
              </w:rPr>
              <w:t>；</w:t>
            </w:r>
            <w:r>
              <w:rPr>
                <w:rFonts w:hint="eastAsia" w:ascii="宋体" w:hAnsi="宋体" w:cs="宋体"/>
                <w:color w:val="auto"/>
                <w:szCs w:val="21"/>
                <w:lang w:val="zh-TW" w:eastAsia="zh-TW"/>
              </w:rPr>
              <w:t>②培训方式</w:t>
            </w:r>
            <w:r>
              <w:rPr>
                <w:rFonts w:hint="eastAsia" w:ascii="宋体" w:hAnsi="宋体" w:cs="宋体"/>
                <w:color w:val="auto"/>
                <w:szCs w:val="21"/>
              </w:rPr>
              <w:t>；</w:t>
            </w:r>
            <w:r>
              <w:rPr>
                <w:rFonts w:hint="eastAsia" w:ascii="宋体" w:hAnsi="宋体" w:cs="宋体"/>
                <w:color w:val="auto"/>
                <w:szCs w:val="21"/>
                <w:lang w:val="zh-TW" w:eastAsia="zh-TW"/>
              </w:rPr>
              <w:t>③培训计划</w:t>
            </w:r>
            <w:r>
              <w:rPr>
                <w:rFonts w:hint="eastAsia" w:ascii="宋体" w:hAnsi="宋体" w:cs="宋体"/>
                <w:color w:val="auto"/>
                <w:szCs w:val="21"/>
              </w:rPr>
              <w:t>；</w:t>
            </w:r>
            <w:r>
              <w:rPr>
                <w:rFonts w:hint="eastAsia" w:ascii="宋体" w:hAnsi="宋体" w:cs="宋体"/>
                <w:color w:val="auto"/>
                <w:szCs w:val="21"/>
                <w:lang w:val="zh-TW" w:eastAsia="zh-TW"/>
              </w:rPr>
              <w:t>④培训团队配备等。</w:t>
            </w:r>
          </w:p>
          <w:p>
            <w:pPr>
              <w:pStyle w:val="9"/>
              <w:spacing w:line="240" w:lineRule="auto"/>
              <w:rPr>
                <w:rFonts w:ascii="宋体" w:hAnsi="宋体" w:cs="宋体"/>
                <w:color w:val="auto"/>
                <w:szCs w:val="21"/>
              </w:rPr>
            </w:pPr>
            <w:r>
              <w:rPr>
                <w:rFonts w:hint="eastAsia" w:ascii="宋体" w:hAnsi="宋体" w:cs="宋体"/>
                <w:color w:val="auto"/>
                <w:szCs w:val="21"/>
              </w:rPr>
              <w:t>方案无缺失无缺陷的得10分，每有一项内容缺失扣2.5分，每有一项内容存在缺陷扣1.5分，扣完为止。</w:t>
            </w:r>
          </w:p>
          <w:p>
            <w:pPr>
              <w:pStyle w:val="9"/>
              <w:spacing w:line="240" w:lineRule="auto"/>
              <w:rPr>
                <w:rFonts w:ascii="宋体" w:hAnsi="宋体" w:cs="宋体"/>
                <w:color w:val="auto"/>
                <w:szCs w:val="21"/>
              </w:rPr>
            </w:pPr>
          </w:p>
          <w:p>
            <w:pPr>
              <w:pStyle w:val="9"/>
              <w:spacing w:line="240" w:lineRule="auto"/>
              <w:rPr>
                <w:rFonts w:ascii="宋体" w:hAnsi="宋体" w:cs="宋体"/>
                <w:color w:val="auto"/>
                <w:szCs w:val="21"/>
              </w:rPr>
            </w:pPr>
            <w:r>
              <w:rPr>
                <w:rFonts w:hint="eastAsia" w:ascii="宋体" w:hAnsi="宋体" w:cs="宋体"/>
                <w:color w:val="auto"/>
                <w:szCs w:val="21"/>
              </w:rPr>
              <w:t>注：存在缺陷是指该项内容所阐述的项目信息与本项目实际信息不一致或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w="1511" w:type="dxa"/>
            <w:vAlign w:val="center"/>
          </w:tcPr>
          <w:p>
            <w:pPr>
              <w:pStyle w:val="9"/>
              <w:spacing w:line="240" w:lineRule="auto"/>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5</w:t>
            </w:r>
          </w:p>
        </w:tc>
        <w:tc>
          <w:tcPr>
            <w:tcW w:w="1048"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售后服务8%</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8分</w:t>
            </w:r>
          </w:p>
        </w:tc>
        <w:tc>
          <w:tcPr>
            <w:tcW w:w="5504"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根据投标人针对本项目的售后服务方案进行评分，方案内容至少包括①服务承诺及响应方案；②备件（易耗品）供应方案；③服务人员配备及应急措施；④质保外服务措施等售后服务。</w:t>
            </w:r>
          </w:p>
          <w:p>
            <w:pPr>
              <w:pStyle w:val="9"/>
              <w:spacing w:line="240" w:lineRule="auto"/>
              <w:rPr>
                <w:rFonts w:ascii="宋体" w:hAnsi="宋体" w:cs="宋体"/>
                <w:color w:val="auto"/>
                <w:szCs w:val="21"/>
              </w:rPr>
            </w:pPr>
            <w:r>
              <w:rPr>
                <w:rFonts w:hint="eastAsia" w:ascii="宋体" w:hAnsi="宋体" w:cs="宋体"/>
                <w:color w:val="auto"/>
                <w:szCs w:val="21"/>
              </w:rPr>
              <w:t>方案无缺失无缺陷的得8分，每有一项内容缺失扣2分，每有一项内容存在缺陷扣1分，扣完为止。</w:t>
            </w:r>
          </w:p>
          <w:p>
            <w:pPr>
              <w:pStyle w:val="9"/>
              <w:spacing w:line="240" w:lineRule="auto"/>
              <w:rPr>
                <w:rFonts w:ascii="宋体" w:hAnsi="宋体" w:cs="宋体"/>
                <w:color w:val="auto"/>
                <w:szCs w:val="21"/>
              </w:rPr>
            </w:pPr>
          </w:p>
          <w:p>
            <w:pPr>
              <w:pStyle w:val="9"/>
              <w:spacing w:line="240" w:lineRule="auto"/>
              <w:rPr>
                <w:rFonts w:ascii="宋体" w:hAnsi="宋体" w:cs="宋体"/>
                <w:color w:val="auto"/>
                <w:szCs w:val="21"/>
              </w:rPr>
            </w:pPr>
            <w:r>
              <w:rPr>
                <w:rFonts w:hint="eastAsia" w:ascii="宋体" w:hAnsi="宋体" w:cs="宋体"/>
                <w:color w:val="auto"/>
                <w:szCs w:val="21"/>
              </w:rPr>
              <w:t>注：存在缺陷是指该项内容所阐述的项目信息与本项目实际信息不一致或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w="1511" w:type="dxa"/>
            <w:vAlign w:val="center"/>
          </w:tcPr>
          <w:p>
            <w:pPr>
              <w:pStyle w:val="9"/>
              <w:spacing w:line="240" w:lineRule="auto"/>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6</w:t>
            </w:r>
          </w:p>
        </w:tc>
        <w:tc>
          <w:tcPr>
            <w:tcW w:w="1048" w:type="dxa"/>
            <w:vAlign w:val="center"/>
          </w:tcPr>
          <w:p>
            <w:pPr>
              <w:rPr>
                <w:rFonts w:ascii="宋体" w:hAnsi="宋体" w:cs="宋体"/>
                <w:szCs w:val="21"/>
              </w:rPr>
            </w:pPr>
            <w:r>
              <w:rPr>
                <w:rFonts w:hint="eastAsia" w:ascii="宋体" w:hAnsi="宋体" w:cs="宋体"/>
                <w:szCs w:val="21"/>
                <w:lang w:val="zh-TW" w:eastAsia="zh-TW"/>
              </w:rPr>
              <w:t>业绩</w:t>
            </w:r>
            <w:r>
              <w:rPr>
                <w:rFonts w:hint="eastAsia" w:ascii="宋体" w:hAnsi="宋体" w:cs="宋体"/>
                <w:szCs w:val="21"/>
              </w:rPr>
              <w:t>2%</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2分</w:t>
            </w:r>
          </w:p>
        </w:tc>
        <w:tc>
          <w:tcPr>
            <w:tcW w:w="5504"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投标人自20</w:t>
            </w:r>
            <w:r>
              <w:rPr>
                <w:rFonts w:hint="eastAsia" w:ascii="宋体" w:hAnsi="宋体" w:cs="宋体"/>
                <w:color w:val="auto"/>
                <w:szCs w:val="21"/>
              </w:rPr>
              <w:t>21</w:t>
            </w:r>
            <w:r>
              <w:rPr>
                <w:rFonts w:hint="eastAsia" w:ascii="宋体" w:hAnsi="宋体" w:cs="宋体"/>
                <w:color w:val="auto"/>
                <w:szCs w:val="21"/>
                <w:lang w:val="zh-TW" w:eastAsia="zh-TW"/>
              </w:rPr>
              <w:t>年1月1日至今，</w:t>
            </w:r>
            <w:r>
              <w:rPr>
                <w:rFonts w:hint="eastAsia" w:ascii="宋体" w:hAnsi="宋体" w:cs="宋体"/>
                <w:color w:val="auto"/>
                <w:szCs w:val="21"/>
              </w:rPr>
              <w:t>有</w:t>
            </w:r>
            <w:r>
              <w:rPr>
                <w:rFonts w:hint="eastAsia" w:ascii="宋体" w:hAnsi="宋体" w:cs="宋体"/>
                <w:color w:val="auto"/>
                <w:szCs w:val="21"/>
                <w:lang w:val="zh-TW" w:eastAsia="zh-TW"/>
              </w:rPr>
              <w:t>同类项目供货业绩的得</w:t>
            </w:r>
            <w:r>
              <w:rPr>
                <w:rFonts w:hint="eastAsia" w:ascii="宋体" w:hAnsi="宋体" w:cs="宋体"/>
                <w:color w:val="auto"/>
                <w:szCs w:val="21"/>
              </w:rPr>
              <w:t>2</w:t>
            </w:r>
            <w:r>
              <w:rPr>
                <w:rFonts w:hint="eastAsia" w:ascii="宋体" w:hAnsi="宋体" w:cs="宋体"/>
                <w:color w:val="auto"/>
                <w:szCs w:val="21"/>
                <w:lang w:val="zh-TW" w:eastAsia="zh-TW"/>
              </w:rPr>
              <w:t>分。</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注：</w:t>
            </w:r>
            <w:r>
              <w:rPr>
                <w:rFonts w:hint="eastAsia" w:ascii="宋体" w:hAnsi="宋体" w:cs="宋体"/>
                <w:color w:val="auto"/>
                <w:szCs w:val="21"/>
              </w:rPr>
              <w:t>1、</w:t>
            </w:r>
            <w:r>
              <w:rPr>
                <w:rFonts w:hint="eastAsia" w:ascii="宋体" w:hAnsi="宋体" w:cs="宋体"/>
                <w:color w:val="auto"/>
                <w:szCs w:val="21"/>
                <w:lang w:val="zh-TW" w:eastAsia="zh-TW"/>
              </w:rPr>
              <w:t>每个业绩的合同复印件</w:t>
            </w:r>
            <w:r>
              <w:rPr>
                <w:rFonts w:hint="eastAsia" w:ascii="宋体" w:hAnsi="宋体" w:cs="宋体"/>
                <w:color w:val="auto"/>
                <w:szCs w:val="21"/>
                <w:lang w:val="zh-TW"/>
              </w:rPr>
              <w:t>、</w:t>
            </w:r>
            <w:r>
              <w:rPr>
                <w:rFonts w:hint="eastAsia" w:ascii="宋体" w:hAnsi="宋体" w:cs="宋体"/>
                <w:color w:val="auto"/>
                <w:szCs w:val="21"/>
              </w:rPr>
              <w:t>履约验收合格的证明材料（须具有甲方公章）复印件</w:t>
            </w:r>
            <w:r>
              <w:rPr>
                <w:rFonts w:hint="eastAsia" w:ascii="宋体" w:hAnsi="宋体" w:cs="宋体"/>
                <w:color w:val="auto"/>
                <w:szCs w:val="21"/>
                <w:lang w:val="zh-TW" w:eastAsia="zh-TW"/>
              </w:rPr>
              <w:t>。</w:t>
            </w:r>
          </w:p>
          <w:p>
            <w:pPr>
              <w:pStyle w:val="9"/>
              <w:spacing w:line="240" w:lineRule="auto"/>
              <w:rPr>
                <w:rFonts w:ascii="宋体" w:hAnsi="宋体" w:cs="宋体"/>
                <w:color w:val="auto"/>
                <w:szCs w:val="21"/>
              </w:rPr>
            </w:pPr>
            <w:r>
              <w:rPr>
                <w:rFonts w:hint="eastAsia" w:ascii="宋体" w:hAnsi="宋体" w:cs="宋体"/>
                <w:color w:val="auto"/>
                <w:szCs w:val="21"/>
                <w:lang w:val="zh-TW" w:eastAsia="zh-TW"/>
              </w:rPr>
              <w:t>2、同类项目</w:t>
            </w:r>
            <w:r>
              <w:rPr>
                <w:rFonts w:hint="eastAsia" w:ascii="宋体" w:hAnsi="宋体" w:cs="宋体"/>
                <w:color w:val="auto"/>
                <w:szCs w:val="21"/>
              </w:rPr>
              <w:t>指</w:t>
            </w:r>
            <w:r>
              <w:rPr>
                <w:rFonts w:hint="eastAsia" w:ascii="宋体" w:hAnsi="宋体" w:cs="宋体"/>
                <w:color w:val="auto"/>
                <w:szCs w:val="21"/>
                <w:lang w:val="zh-TW" w:eastAsia="zh-TW"/>
              </w:rPr>
              <w:t>至少包含本招标文件中规定的核心产品</w:t>
            </w:r>
            <w:r>
              <w:rPr>
                <w:rFonts w:hint="eastAsia" w:ascii="宋体" w:hAnsi="宋体" w:cs="宋体"/>
                <w:color w:val="auto"/>
                <w:szCs w:val="21"/>
              </w:rPr>
              <w:t>的货物类采购项目</w:t>
            </w:r>
            <w:r>
              <w:rPr>
                <w:rFonts w:hint="eastAsia" w:ascii="宋体" w:hAnsi="宋体" w:cs="宋体"/>
                <w:color w:val="auto"/>
                <w:szCs w:val="21"/>
                <w:lang w:val="zh-TW" w:eastAsia="zh-TW"/>
              </w:rPr>
              <w:t>，否则不予认可。</w:t>
            </w:r>
          </w:p>
        </w:tc>
        <w:tc>
          <w:tcPr>
            <w:tcW w:w="1511" w:type="dxa"/>
            <w:vAlign w:val="center"/>
          </w:tcPr>
          <w:p>
            <w:pPr>
              <w:pStyle w:val="9"/>
              <w:spacing w:line="240" w:lineRule="auto"/>
              <w:rPr>
                <w:rFonts w:ascii="宋体" w:hAnsi="宋体" w:cs="宋体"/>
                <w:color w:val="auto"/>
                <w:szCs w:val="21"/>
              </w:rPr>
            </w:pPr>
          </w:p>
        </w:tc>
      </w:tr>
    </w:tbl>
    <w:p>
      <w:pPr>
        <w:jc w:val="center"/>
        <w:rPr>
          <w:b/>
          <w:bCs/>
          <w:sz w:val="32"/>
          <w:szCs w:val="40"/>
        </w:rPr>
      </w:pPr>
      <w:r>
        <w:rPr>
          <w:rFonts w:hint="eastAsia"/>
          <w:b/>
          <w:bCs/>
          <w:sz w:val="32"/>
          <w:szCs w:val="40"/>
        </w:rPr>
        <w:t>第1、2、3、4、6包</w:t>
      </w:r>
    </w:p>
    <w:tbl>
      <w:tblPr>
        <w:tblStyle w:val="21"/>
        <w:tblW w:w="9717" w:type="dxa"/>
        <w:tblInd w:w="-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036"/>
        <w:gridCol w:w="775"/>
        <w:gridCol w:w="5516"/>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序号</w:t>
            </w:r>
          </w:p>
        </w:tc>
        <w:tc>
          <w:tcPr>
            <w:tcW w:w="1036"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评分因素</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分　值</w:t>
            </w:r>
          </w:p>
        </w:tc>
        <w:tc>
          <w:tcPr>
            <w:tcW w:w="5516"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评分标准</w:t>
            </w:r>
          </w:p>
        </w:tc>
        <w:tc>
          <w:tcPr>
            <w:tcW w:w="1511"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1</w:t>
            </w:r>
          </w:p>
        </w:tc>
        <w:tc>
          <w:tcPr>
            <w:tcW w:w="1036"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报价30%</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30分</w:t>
            </w:r>
          </w:p>
        </w:tc>
        <w:tc>
          <w:tcPr>
            <w:tcW w:w="5516"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满足招标文件要求且投标价格最低的报价为基准价，其价格分为满分。其他供应商的价格分统一按照下列公式计算：报价得分=(基准价／报价)*30</w:t>
            </w:r>
          </w:p>
        </w:tc>
        <w:tc>
          <w:tcPr>
            <w:tcW w:w="1511" w:type="dxa"/>
            <w:vAlign w:val="center"/>
          </w:tcPr>
          <w:p>
            <w:pPr>
              <w:pStyle w:val="9"/>
              <w:spacing w:line="240" w:lineRule="auto"/>
              <w:rPr>
                <w:rFonts w:ascii="宋体" w:hAnsi="宋体" w:cs="宋体"/>
                <w:color w:val="auto"/>
                <w:szCs w:val="21"/>
              </w:rPr>
            </w:pPr>
            <w:r>
              <w:rPr>
                <w:rFonts w:hint="eastAsia" w:ascii="宋体" w:hAnsi="宋体" w:cs="宋体"/>
                <w:color w:val="auto"/>
                <w:szCs w:val="21"/>
              </w:rPr>
              <w:t>对小微企业的价格扣除按照投标人须知前附表规定执行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2</w:t>
            </w:r>
          </w:p>
        </w:tc>
        <w:tc>
          <w:tcPr>
            <w:tcW w:w="1036"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技术要求50%</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50分</w:t>
            </w:r>
          </w:p>
        </w:tc>
        <w:tc>
          <w:tcPr>
            <w:tcW w:w="5516"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投标人针对招标文件技术参数条款的响应得分规则如下：</w:t>
            </w:r>
          </w:p>
          <w:p>
            <w:pPr>
              <w:pStyle w:val="9"/>
              <w:spacing w:line="240" w:lineRule="auto"/>
              <w:rPr>
                <w:rFonts w:ascii="宋体" w:hAnsi="宋体" w:cs="宋体"/>
                <w:color w:val="auto"/>
                <w:szCs w:val="21"/>
              </w:rPr>
            </w:pPr>
            <w:r>
              <w:rPr>
                <w:rFonts w:hint="eastAsia" w:ascii="宋体" w:hAnsi="宋体" w:cs="宋体"/>
                <w:color w:val="auto"/>
                <w:szCs w:val="21"/>
              </w:rPr>
              <w:t>【①以数字 “1”“2”“3”…为一条。得分四舍五入保留小数点后两位小数；②序号中未标注“★”和“▲”的条款，为一般技术参数条款；③序号中标注“▲”的条款，为重要技术参数条款】</w:t>
            </w:r>
          </w:p>
          <w:p>
            <w:pPr>
              <w:pStyle w:val="9"/>
              <w:spacing w:line="240" w:lineRule="auto"/>
              <w:rPr>
                <w:rFonts w:ascii="宋体" w:hAnsi="宋体" w:cs="宋体"/>
                <w:color w:val="auto"/>
                <w:szCs w:val="21"/>
              </w:rPr>
            </w:pPr>
            <w:r>
              <w:rPr>
                <w:rFonts w:hint="eastAsia" w:ascii="宋体" w:hAnsi="宋体" w:cs="宋体"/>
                <w:color w:val="auto"/>
                <w:szCs w:val="21"/>
              </w:rPr>
              <w:t>1、投标人针对招标文件一般技术参数条款的响应得分规则如下：</w:t>
            </w:r>
          </w:p>
          <w:p>
            <w:pPr>
              <w:pStyle w:val="9"/>
              <w:spacing w:line="240" w:lineRule="auto"/>
              <w:rPr>
                <w:rFonts w:ascii="宋体" w:hAnsi="宋体" w:cs="宋体"/>
                <w:color w:val="auto"/>
                <w:szCs w:val="21"/>
              </w:rPr>
            </w:pPr>
            <w:r>
              <w:rPr>
                <w:rFonts w:hint="eastAsia" w:ascii="宋体" w:hAnsi="宋体" w:cs="宋体"/>
                <w:color w:val="auto"/>
                <w:szCs w:val="21"/>
              </w:rPr>
              <w:t>一般技术参数条款响应得分=（投标人满足一般技术参数条款的数量÷一般技术参数条款的总数量）×15分。</w:t>
            </w:r>
          </w:p>
          <w:p>
            <w:pPr>
              <w:pStyle w:val="9"/>
              <w:spacing w:line="240" w:lineRule="auto"/>
              <w:rPr>
                <w:rFonts w:ascii="宋体" w:hAnsi="宋体" w:cs="宋体"/>
                <w:color w:val="auto"/>
                <w:szCs w:val="21"/>
              </w:rPr>
            </w:pPr>
            <w:r>
              <w:rPr>
                <w:rFonts w:hint="eastAsia" w:ascii="宋体" w:hAnsi="宋体" w:cs="宋体"/>
                <w:color w:val="auto"/>
                <w:szCs w:val="21"/>
              </w:rPr>
              <w:t>2、投标人针对招标文件“▲”技术参数条款的响应得分规则如下：</w:t>
            </w:r>
          </w:p>
          <w:p>
            <w:pPr>
              <w:pStyle w:val="9"/>
              <w:spacing w:line="240" w:lineRule="auto"/>
              <w:rPr>
                <w:rFonts w:ascii="宋体" w:hAnsi="宋体" w:cs="宋体"/>
                <w:color w:val="auto"/>
                <w:szCs w:val="21"/>
              </w:rPr>
            </w:pPr>
            <w:r>
              <w:rPr>
                <w:rFonts w:hint="eastAsia" w:ascii="宋体" w:hAnsi="宋体" w:cs="宋体"/>
                <w:color w:val="auto"/>
                <w:szCs w:val="21"/>
              </w:rPr>
              <w:t>“▲”技术参数条款响应得分=（投标人满足“▲”技术参数条款的数量÷“▲”技术参数条款的总数量）×35分。</w:t>
            </w:r>
          </w:p>
        </w:tc>
        <w:tc>
          <w:tcPr>
            <w:tcW w:w="1511" w:type="dxa"/>
            <w:vAlign w:val="center"/>
          </w:tcPr>
          <w:p>
            <w:pPr>
              <w:pStyle w:val="9"/>
              <w:spacing w:line="240" w:lineRule="auto"/>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3</w:t>
            </w:r>
          </w:p>
        </w:tc>
        <w:tc>
          <w:tcPr>
            <w:tcW w:w="1036"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lang w:val="zh-TW" w:eastAsia="zh-TW"/>
              </w:rPr>
              <w:t>技术培训</w:t>
            </w:r>
            <w:r>
              <w:rPr>
                <w:rFonts w:hint="eastAsia" w:ascii="宋体" w:hAnsi="宋体" w:cs="宋体"/>
                <w:color w:val="auto"/>
                <w:szCs w:val="21"/>
              </w:rPr>
              <w:t>10%</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10分</w:t>
            </w:r>
          </w:p>
        </w:tc>
        <w:tc>
          <w:tcPr>
            <w:tcW w:w="5516"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rPr>
              <w:t>根据</w:t>
            </w:r>
            <w:r>
              <w:rPr>
                <w:rFonts w:hint="eastAsia" w:ascii="宋体" w:hAnsi="宋体" w:cs="宋体"/>
                <w:color w:val="auto"/>
                <w:szCs w:val="21"/>
                <w:lang w:val="zh-TW" w:eastAsia="zh-TW"/>
              </w:rPr>
              <w:t>投标人针对本项目的技术培训方案进行评分，方案内容至少</w:t>
            </w:r>
            <w:r>
              <w:rPr>
                <w:rFonts w:hint="eastAsia" w:ascii="宋体" w:hAnsi="宋体" w:cs="宋体"/>
                <w:color w:val="auto"/>
                <w:szCs w:val="21"/>
              </w:rPr>
              <w:t>包括</w:t>
            </w:r>
            <w:r>
              <w:rPr>
                <w:rFonts w:hint="eastAsia" w:ascii="宋体" w:hAnsi="宋体" w:cs="宋体"/>
                <w:color w:val="auto"/>
                <w:szCs w:val="21"/>
                <w:lang w:val="zh-TW" w:eastAsia="zh-TW"/>
              </w:rPr>
              <w:t>①培训内容</w:t>
            </w:r>
            <w:r>
              <w:rPr>
                <w:rFonts w:hint="eastAsia" w:ascii="宋体" w:hAnsi="宋体" w:cs="宋体"/>
                <w:color w:val="auto"/>
                <w:szCs w:val="21"/>
              </w:rPr>
              <w:t>；</w:t>
            </w:r>
            <w:r>
              <w:rPr>
                <w:rFonts w:hint="eastAsia" w:ascii="宋体" w:hAnsi="宋体" w:cs="宋体"/>
                <w:color w:val="auto"/>
                <w:szCs w:val="21"/>
                <w:lang w:val="zh-TW" w:eastAsia="zh-TW"/>
              </w:rPr>
              <w:t>②培训方式</w:t>
            </w:r>
            <w:r>
              <w:rPr>
                <w:rFonts w:hint="eastAsia" w:ascii="宋体" w:hAnsi="宋体" w:cs="宋体"/>
                <w:color w:val="auto"/>
                <w:szCs w:val="21"/>
              </w:rPr>
              <w:t>；</w:t>
            </w:r>
            <w:r>
              <w:rPr>
                <w:rFonts w:hint="eastAsia" w:ascii="宋体" w:hAnsi="宋体" w:cs="宋体"/>
                <w:color w:val="auto"/>
                <w:szCs w:val="21"/>
                <w:lang w:val="zh-TW" w:eastAsia="zh-TW"/>
              </w:rPr>
              <w:t>③培训计划</w:t>
            </w:r>
            <w:r>
              <w:rPr>
                <w:rFonts w:hint="eastAsia" w:ascii="宋体" w:hAnsi="宋体" w:cs="宋体"/>
                <w:color w:val="auto"/>
                <w:szCs w:val="21"/>
              </w:rPr>
              <w:t>；</w:t>
            </w:r>
            <w:r>
              <w:rPr>
                <w:rFonts w:hint="eastAsia" w:ascii="宋体" w:hAnsi="宋体" w:cs="宋体"/>
                <w:color w:val="auto"/>
                <w:szCs w:val="21"/>
                <w:lang w:val="zh-TW" w:eastAsia="zh-TW"/>
              </w:rPr>
              <w:t>④培训团队配备等。</w:t>
            </w:r>
          </w:p>
          <w:p>
            <w:pPr>
              <w:pStyle w:val="9"/>
              <w:spacing w:line="240" w:lineRule="auto"/>
              <w:rPr>
                <w:rFonts w:ascii="宋体" w:hAnsi="宋体" w:cs="宋体"/>
                <w:color w:val="auto"/>
                <w:szCs w:val="21"/>
              </w:rPr>
            </w:pPr>
            <w:r>
              <w:rPr>
                <w:rFonts w:hint="eastAsia" w:ascii="宋体" w:hAnsi="宋体" w:cs="宋体"/>
                <w:color w:val="auto"/>
                <w:szCs w:val="21"/>
              </w:rPr>
              <w:t>方案无缺失无缺陷的得10分，每有一项内容缺失扣2.5分，每有一项内容存在缺陷扣1.5分，扣完为止。</w:t>
            </w:r>
          </w:p>
          <w:p>
            <w:pPr>
              <w:pStyle w:val="9"/>
              <w:spacing w:line="240" w:lineRule="auto"/>
              <w:rPr>
                <w:rFonts w:ascii="宋体" w:hAnsi="宋体" w:cs="宋体"/>
                <w:color w:val="auto"/>
                <w:szCs w:val="21"/>
              </w:rPr>
            </w:pPr>
          </w:p>
          <w:p>
            <w:pPr>
              <w:pStyle w:val="9"/>
              <w:spacing w:line="240" w:lineRule="auto"/>
              <w:rPr>
                <w:rFonts w:ascii="宋体" w:hAnsi="宋体" w:cs="宋体"/>
                <w:color w:val="auto"/>
                <w:szCs w:val="21"/>
              </w:rPr>
            </w:pPr>
            <w:r>
              <w:rPr>
                <w:rFonts w:hint="eastAsia" w:ascii="宋体" w:hAnsi="宋体" w:cs="宋体"/>
                <w:color w:val="auto"/>
                <w:szCs w:val="21"/>
              </w:rPr>
              <w:t>注：存在缺陷是指该项内容所阐述的项目信息与本项目实际信息不一致或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w="1511" w:type="dxa"/>
            <w:vAlign w:val="center"/>
          </w:tcPr>
          <w:p>
            <w:pPr>
              <w:pStyle w:val="9"/>
              <w:spacing w:line="240" w:lineRule="auto"/>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4</w:t>
            </w:r>
          </w:p>
        </w:tc>
        <w:tc>
          <w:tcPr>
            <w:tcW w:w="1036"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售后服务8%</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8分</w:t>
            </w:r>
          </w:p>
        </w:tc>
        <w:tc>
          <w:tcPr>
            <w:tcW w:w="5516" w:type="dxa"/>
            <w:vAlign w:val="center"/>
          </w:tcPr>
          <w:p>
            <w:pPr>
              <w:pStyle w:val="9"/>
              <w:spacing w:line="240" w:lineRule="auto"/>
              <w:rPr>
                <w:rFonts w:ascii="宋体" w:hAnsi="宋体" w:cs="宋体"/>
                <w:color w:val="auto"/>
                <w:szCs w:val="21"/>
              </w:rPr>
            </w:pPr>
            <w:r>
              <w:rPr>
                <w:rFonts w:hint="eastAsia" w:ascii="宋体" w:hAnsi="宋体" w:cs="宋体"/>
                <w:color w:val="auto"/>
                <w:szCs w:val="21"/>
              </w:rPr>
              <w:t>根据投标人针对本项目的售后服务方案进行评分，方案内容至少包括①服务承诺及响应方案；②备件（易耗品）供应方案；③服务人员配备及应急措施；④质保外服务措施等售后服务。</w:t>
            </w:r>
          </w:p>
          <w:p>
            <w:pPr>
              <w:pStyle w:val="9"/>
              <w:spacing w:line="240" w:lineRule="auto"/>
              <w:rPr>
                <w:rFonts w:ascii="宋体" w:hAnsi="宋体" w:cs="宋体"/>
                <w:color w:val="auto"/>
                <w:szCs w:val="21"/>
              </w:rPr>
            </w:pPr>
            <w:r>
              <w:rPr>
                <w:rFonts w:hint="eastAsia" w:ascii="宋体" w:hAnsi="宋体" w:cs="宋体"/>
                <w:color w:val="auto"/>
                <w:szCs w:val="21"/>
              </w:rPr>
              <w:t>方案无缺失无缺陷的得8分，每有一项内容缺失扣2分，每有一项内容存在缺陷扣1分，扣完为止。</w:t>
            </w:r>
          </w:p>
          <w:p>
            <w:pPr>
              <w:pStyle w:val="9"/>
              <w:spacing w:line="240" w:lineRule="auto"/>
              <w:rPr>
                <w:rFonts w:ascii="宋体" w:hAnsi="宋体" w:cs="宋体"/>
                <w:color w:val="auto"/>
                <w:szCs w:val="21"/>
              </w:rPr>
            </w:pPr>
          </w:p>
          <w:p>
            <w:pPr>
              <w:pStyle w:val="9"/>
              <w:spacing w:line="240" w:lineRule="auto"/>
              <w:rPr>
                <w:rFonts w:ascii="宋体" w:hAnsi="宋体" w:cs="宋体"/>
                <w:color w:val="auto"/>
                <w:szCs w:val="21"/>
              </w:rPr>
            </w:pPr>
            <w:r>
              <w:rPr>
                <w:rFonts w:hint="eastAsia" w:ascii="宋体" w:hAnsi="宋体" w:cs="宋体"/>
                <w:color w:val="auto"/>
                <w:szCs w:val="21"/>
              </w:rPr>
              <w:t>注：存在缺陷是指该项内容所阐述的项目信息与本项目实际信息不一致或该项内容引用的规定、规范错误或该项内容描述不符合国家相关法律法规、规范要求或该项内容阐述的方式方法明显不符合本项目实际情况或该项内容描述的内容与本项目实际情况不符或套用其他项目内容。</w:t>
            </w:r>
          </w:p>
        </w:tc>
        <w:tc>
          <w:tcPr>
            <w:tcW w:w="1511" w:type="dxa"/>
            <w:vAlign w:val="center"/>
          </w:tcPr>
          <w:p>
            <w:pPr>
              <w:pStyle w:val="9"/>
              <w:spacing w:line="240" w:lineRule="auto"/>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9"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5</w:t>
            </w:r>
          </w:p>
        </w:tc>
        <w:tc>
          <w:tcPr>
            <w:tcW w:w="1036"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lang w:val="zh-TW" w:eastAsia="zh-TW"/>
              </w:rPr>
              <w:t>业绩</w:t>
            </w:r>
            <w:r>
              <w:rPr>
                <w:rFonts w:hint="eastAsia" w:ascii="宋体" w:hAnsi="宋体" w:cs="宋体"/>
                <w:color w:val="auto"/>
                <w:szCs w:val="21"/>
              </w:rPr>
              <w:t>2%</w:t>
            </w:r>
          </w:p>
        </w:tc>
        <w:tc>
          <w:tcPr>
            <w:tcW w:w="775" w:type="dxa"/>
            <w:vAlign w:val="center"/>
          </w:tcPr>
          <w:p>
            <w:pPr>
              <w:pStyle w:val="9"/>
              <w:spacing w:line="240" w:lineRule="auto"/>
              <w:jc w:val="center"/>
              <w:rPr>
                <w:rFonts w:ascii="宋体" w:hAnsi="宋体" w:cs="宋体"/>
                <w:color w:val="auto"/>
                <w:szCs w:val="21"/>
              </w:rPr>
            </w:pPr>
            <w:r>
              <w:rPr>
                <w:rFonts w:hint="eastAsia" w:ascii="宋体" w:hAnsi="宋体" w:cs="宋体"/>
                <w:color w:val="auto"/>
                <w:szCs w:val="21"/>
              </w:rPr>
              <w:t>2分</w:t>
            </w:r>
          </w:p>
        </w:tc>
        <w:tc>
          <w:tcPr>
            <w:tcW w:w="5516" w:type="dxa"/>
            <w:vAlign w:val="center"/>
          </w:tcPr>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投标人自20</w:t>
            </w:r>
            <w:r>
              <w:rPr>
                <w:rFonts w:hint="eastAsia" w:ascii="宋体" w:hAnsi="宋体" w:cs="宋体"/>
                <w:color w:val="auto"/>
                <w:szCs w:val="21"/>
              </w:rPr>
              <w:t>21</w:t>
            </w:r>
            <w:r>
              <w:rPr>
                <w:rFonts w:hint="eastAsia" w:ascii="宋体" w:hAnsi="宋体" w:cs="宋体"/>
                <w:color w:val="auto"/>
                <w:szCs w:val="21"/>
                <w:lang w:val="zh-TW" w:eastAsia="zh-TW"/>
              </w:rPr>
              <w:t>年1月1日至今，有同类项目供货业绩的得</w:t>
            </w:r>
            <w:r>
              <w:rPr>
                <w:rFonts w:hint="eastAsia" w:ascii="宋体" w:hAnsi="宋体" w:cs="宋体"/>
                <w:color w:val="auto"/>
                <w:szCs w:val="21"/>
              </w:rPr>
              <w:t>2</w:t>
            </w:r>
            <w:r>
              <w:rPr>
                <w:rFonts w:hint="eastAsia" w:ascii="宋体" w:hAnsi="宋体" w:cs="宋体"/>
                <w:color w:val="auto"/>
                <w:szCs w:val="21"/>
                <w:lang w:val="zh-TW" w:eastAsia="zh-TW"/>
              </w:rPr>
              <w:t>分。</w:t>
            </w:r>
          </w:p>
          <w:p>
            <w:pPr>
              <w:pStyle w:val="9"/>
              <w:spacing w:line="240" w:lineRule="auto"/>
              <w:rPr>
                <w:rFonts w:ascii="宋体" w:hAnsi="宋体" w:cs="宋体"/>
                <w:color w:val="auto"/>
                <w:szCs w:val="21"/>
                <w:lang w:val="zh-TW" w:eastAsia="zh-TW"/>
              </w:rPr>
            </w:pPr>
            <w:r>
              <w:rPr>
                <w:rFonts w:hint="eastAsia" w:ascii="宋体" w:hAnsi="宋体" w:cs="宋体"/>
                <w:color w:val="auto"/>
                <w:szCs w:val="21"/>
                <w:lang w:val="zh-TW" w:eastAsia="zh-TW"/>
              </w:rPr>
              <w:t>注：</w:t>
            </w:r>
            <w:r>
              <w:rPr>
                <w:rFonts w:hint="eastAsia" w:ascii="宋体" w:hAnsi="宋体" w:cs="宋体"/>
                <w:color w:val="auto"/>
                <w:szCs w:val="21"/>
              </w:rPr>
              <w:t>1、</w:t>
            </w:r>
            <w:r>
              <w:rPr>
                <w:rFonts w:hint="eastAsia" w:ascii="宋体" w:hAnsi="宋体" w:cs="宋体"/>
                <w:color w:val="auto"/>
                <w:szCs w:val="21"/>
                <w:lang w:val="zh-TW" w:eastAsia="zh-TW"/>
              </w:rPr>
              <w:t>每个业绩的合同复印件</w:t>
            </w:r>
            <w:r>
              <w:rPr>
                <w:rFonts w:hint="eastAsia" w:ascii="宋体" w:hAnsi="宋体" w:cs="宋体"/>
                <w:color w:val="auto"/>
                <w:szCs w:val="21"/>
                <w:lang w:val="zh-TW"/>
              </w:rPr>
              <w:t>、</w:t>
            </w:r>
            <w:r>
              <w:rPr>
                <w:rFonts w:hint="eastAsia" w:ascii="宋体" w:hAnsi="宋体" w:cs="宋体"/>
                <w:color w:val="auto"/>
                <w:szCs w:val="21"/>
              </w:rPr>
              <w:t>履约验收合格的证明材料（须具有甲方公章）复印件</w:t>
            </w:r>
            <w:r>
              <w:rPr>
                <w:rFonts w:hint="eastAsia" w:ascii="宋体" w:hAnsi="宋体" w:cs="宋体"/>
                <w:color w:val="auto"/>
                <w:szCs w:val="21"/>
                <w:lang w:val="zh-TW" w:eastAsia="zh-TW"/>
              </w:rPr>
              <w:t>。</w:t>
            </w:r>
          </w:p>
          <w:p>
            <w:pPr>
              <w:pStyle w:val="9"/>
              <w:spacing w:line="240" w:lineRule="auto"/>
              <w:rPr>
                <w:rFonts w:ascii="宋体" w:hAnsi="宋体" w:cs="宋体"/>
                <w:color w:val="auto"/>
                <w:szCs w:val="21"/>
              </w:rPr>
            </w:pPr>
            <w:r>
              <w:rPr>
                <w:rFonts w:hint="eastAsia" w:ascii="宋体" w:hAnsi="宋体" w:cs="宋体"/>
                <w:color w:val="auto"/>
                <w:szCs w:val="21"/>
                <w:lang w:val="zh-TW" w:eastAsia="zh-TW"/>
              </w:rPr>
              <w:t>2、同类项目</w:t>
            </w:r>
            <w:r>
              <w:rPr>
                <w:rFonts w:hint="eastAsia" w:ascii="宋体" w:hAnsi="宋体" w:cs="宋体"/>
                <w:color w:val="auto"/>
                <w:szCs w:val="21"/>
              </w:rPr>
              <w:t>指</w:t>
            </w:r>
            <w:r>
              <w:rPr>
                <w:rFonts w:hint="eastAsia" w:ascii="宋体" w:hAnsi="宋体" w:cs="宋体"/>
                <w:color w:val="auto"/>
                <w:szCs w:val="21"/>
                <w:lang w:val="zh-TW" w:eastAsia="zh-TW"/>
              </w:rPr>
              <w:t>至少包含本招标文件中规定的核心产品</w:t>
            </w:r>
            <w:r>
              <w:rPr>
                <w:rFonts w:hint="eastAsia" w:ascii="宋体" w:hAnsi="宋体" w:cs="宋体"/>
                <w:color w:val="auto"/>
                <w:szCs w:val="21"/>
              </w:rPr>
              <w:t>的货物类采购项目</w:t>
            </w:r>
            <w:r>
              <w:rPr>
                <w:rFonts w:hint="eastAsia" w:ascii="宋体" w:hAnsi="宋体" w:cs="宋体"/>
                <w:color w:val="auto"/>
                <w:szCs w:val="21"/>
                <w:lang w:val="zh-TW" w:eastAsia="zh-TW"/>
              </w:rPr>
              <w:t>，否则不予认可。</w:t>
            </w:r>
          </w:p>
        </w:tc>
        <w:tc>
          <w:tcPr>
            <w:tcW w:w="1511" w:type="dxa"/>
            <w:vAlign w:val="center"/>
          </w:tcPr>
          <w:p>
            <w:pPr>
              <w:pStyle w:val="9"/>
              <w:spacing w:line="240" w:lineRule="auto"/>
              <w:rPr>
                <w:rFonts w:ascii="宋体" w:hAnsi="宋体" w:cs="宋体"/>
                <w:color w:val="auto"/>
                <w:szCs w:val="21"/>
              </w:rPr>
            </w:pPr>
          </w:p>
        </w:tc>
      </w:tr>
    </w:tbl>
    <w:p>
      <w:pPr>
        <w:rPr>
          <w:sz w:val="24"/>
          <w:szCs w:val="32"/>
        </w:rPr>
      </w:pPr>
    </w:p>
    <w:p>
      <w:pPr>
        <w:pStyle w:val="5"/>
        <w:ind w:left="420"/>
        <w:rPr>
          <w:rFonts w:ascii="宋体" w:hAnsi="宋体" w:cs="宋体"/>
        </w:rPr>
      </w:pPr>
      <w:r>
        <w:rPr>
          <w:rFonts w:hint="eastAsia" w:ascii="宋体" w:hAnsi="宋体" w:cs="宋体"/>
        </w:rPr>
        <w:t>5. 废 标</w:t>
      </w:r>
    </w:p>
    <w:p>
      <w:pPr>
        <w:spacing w:line="420" w:lineRule="exact"/>
        <w:ind w:firstLine="480" w:firstLineChars="200"/>
        <w:rPr>
          <w:rFonts w:ascii="宋体" w:hAnsi="宋体" w:cs="宋体"/>
          <w:sz w:val="24"/>
        </w:rPr>
      </w:pPr>
      <w:r>
        <w:rPr>
          <w:rFonts w:hint="eastAsia" w:ascii="宋体" w:hAnsi="宋体" w:cs="宋体"/>
          <w:sz w:val="24"/>
        </w:rPr>
        <w:t>5.1本次采购活动中，出现下列情形之一的，予以废标：</w:t>
      </w:r>
    </w:p>
    <w:p>
      <w:pPr>
        <w:spacing w:line="420" w:lineRule="exact"/>
        <w:ind w:firstLine="480" w:firstLineChars="200"/>
        <w:rPr>
          <w:rFonts w:ascii="宋体" w:hAnsi="宋体" w:cs="宋体"/>
          <w:sz w:val="24"/>
        </w:rPr>
      </w:pPr>
      <w:r>
        <w:rPr>
          <w:rFonts w:hint="eastAsia" w:ascii="宋体" w:hAnsi="宋体" w:cs="宋体"/>
          <w:sz w:val="24"/>
        </w:rPr>
        <w:t>（1）符合专业条件的供应商或者对招标文件作实质响应的供应商不足三家的；</w:t>
      </w:r>
    </w:p>
    <w:p>
      <w:pPr>
        <w:spacing w:line="42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420" w:lineRule="exact"/>
        <w:ind w:firstLine="480" w:firstLineChars="200"/>
        <w:rPr>
          <w:rFonts w:ascii="宋体" w:hAnsi="宋体" w:cs="宋体"/>
          <w:sz w:val="24"/>
        </w:rPr>
      </w:pPr>
      <w:r>
        <w:rPr>
          <w:rFonts w:hint="eastAsia" w:ascii="宋体" w:hAnsi="宋体" w:cs="宋体"/>
          <w:sz w:val="24"/>
        </w:rPr>
        <w:t>（3）投标人的报价均超过了采购预算，采购人不能支付的；</w:t>
      </w:r>
    </w:p>
    <w:p>
      <w:pPr>
        <w:spacing w:line="420" w:lineRule="exact"/>
        <w:ind w:firstLine="480" w:firstLineChars="200"/>
        <w:rPr>
          <w:rFonts w:ascii="宋体" w:hAnsi="宋体" w:cs="宋体"/>
          <w:sz w:val="24"/>
        </w:rPr>
      </w:pPr>
      <w:r>
        <w:rPr>
          <w:rFonts w:hint="eastAsia" w:ascii="宋体" w:hAnsi="宋体" w:cs="宋体"/>
          <w:sz w:val="24"/>
        </w:rPr>
        <w:t>（4）因重大变故，采购任务取消的。</w:t>
      </w:r>
    </w:p>
    <w:p>
      <w:pPr>
        <w:spacing w:line="420" w:lineRule="exact"/>
        <w:ind w:firstLine="480" w:firstLineChars="200"/>
        <w:rPr>
          <w:rFonts w:ascii="宋体" w:hAnsi="宋体" w:cs="宋体"/>
          <w:sz w:val="24"/>
        </w:rPr>
      </w:pPr>
      <w:r>
        <w:rPr>
          <w:rFonts w:hint="eastAsia" w:ascii="宋体" w:hAnsi="宋体" w:cs="宋体"/>
          <w:sz w:val="24"/>
        </w:rPr>
        <w:t>废标后，采购代理机构应在中国政府采购网上公告，并公告废标的情形。投标人需要知晓导致废标情形的具体原因和理由的，可以通过书面形式询问招标采购单位。</w:t>
      </w:r>
    </w:p>
    <w:p>
      <w:pPr>
        <w:spacing w:line="420" w:lineRule="exact"/>
        <w:ind w:firstLine="480" w:firstLineChars="200"/>
        <w:rPr>
          <w:rFonts w:ascii="宋体" w:hAnsi="宋体" w:cs="宋体"/>
          <w:sz w:val="24"/>
        </w:rPr>
      </w:pPr>
      <w:r>
        <w:rPr>
          <w:rFonts w:hint="eastAsia" w:ascii="宋体" w:hAnsi="宋体" w:cs="宋体"/>
          <w:sz w:val="24"/>
        </w:rPr>
        <w:t>5.2对于评标过程中废标的采购项目，评标委员会应当对招标文件是否存在倾向性和歧视性、是否存在不合理条款进行论证，并出具书面论证意见。</w:t>
      </w:r>
    </w:p>
    <w:p>
      <w:pPr>
        <w:pStyle w:val="5"/>
        <w:ind w:left="420"/>
        <w:rPr>
          <w:rFonts w:ascii="宋体" w:hAnsi="宋体" w:cs="宋体"/>
        </w:rPr>
      </w:pPr>
      <w:r>
        <w:rPr>
          <w:rFonts w:hint="eastAsia" w:ascii="宋体" w:hAnsi="宋体" w:cs="宋体"/>
        </w:rPr>
        <w:t>6. 定标</w:t>
      </w:r>
      <w:bookmarkEnd w:id="153"/>
      <w:bookmarkStart w:id="154" w:name="_Toc217446061"/>
    </w:p>
    <w:p>
      <w:pPr>
        <w:spacing w:line="420" w:lineRule="exact"/>
        <w:ind w:firstLine="480" w:firstLineChars="200"/>
        <w:rPr>
          <w:rFonts w:ascii="宋体" w:hAnsi="宋体" w:cs="宋体"/>
          <w:sz w:val="24"/>
        </w:rPr>
      </w:pPr>
      <w:r>
        <w:rPr>
          <w:rFonts w:hint="eastAsia" w:ascii="宋体" w:hAnsi="宋体" w:cs="宋体"/>
          <w:sz w:val="24"/>
        </w:rPr>
        <w:t>6.1. 定标原则</w:t>
      </w:r>
      <w:bookmarkEnd w:id="154"/>
      <w:r>
        <w:rPr>
          <w:rFonts w:hint="eastAsia" w:ascii="宋体" w:hAnsi="宋体" w:cs="宋体"/>
          <w:sz w:val="24"/>
        </w:rPr>
        <w:t>：本项目根据评标委员会推荐的中标候选供应商名单，按顺序确定中标供应商。</w:t>
      </w:r>
    </w:p>
    <w:p>
      <w:pPr>
        <w:spacing w:line="420" w:lineRule="exact"/>
        <w:ind w:firstLine="480" w:firstLineChars="200"/>
        <w:rPr>
          <w:rFonts w:ascii="宋体" w:hAnsi="宋体" w:cs="宋体"/>
          <w:sz w:val="24"/>
        </w:rPr>
      </w:pPr>
      <w:bookmarkStart w:id="155" w:name="_Toc217446062"/>
      <w:r>
        <w:rPr>
          <w:rFonts w:hint="eastAsia" w:ascii="宋体" w:hAnsi="宋体" w:cs="宋体"/>
          <w:sz w:val="24"/>
        </w:rPr>
        <w:t>6.2. 定标程序</w:t>
      </w:r>
      <w:bookmarkEnd w:id="155"/>
    </w:p>
    <w:p>
      <w:pPr>
        <w:spacing w:line="420" w:lineRule="exact"/>
        <w:ind w:firstLine="480" w:firstLineChars="200"/>
        <w:rPr>
          <w:rFonts w:ascii="宋体" w:hAnsi="宋体" w:cs="宋体"/>
          <w:sz w:val="24"/>
        </w:rPr>
      </w:pPr>
      <w:r>
        <w:rPr>
          <w:rFonts w:hint="eastAsia" w:ascii="宋体" w:hAnsi="宋体" w:cs="宋体"/>
          <w:sz w:val="24"/>
        </w:rPr>
        <w:t>6.2.1 评标委员会将评标情况写出书面报告，推荐中标候选供应商。</w:t>
      </w:r>
    </w:p>
    <w:p>
      <w:pPr>
        <w:spacing w:line="420" w:lineRule="exact"/>
        <w:ind w:firstLine="480" w:firstLineChars="200"/>
        <w:rPr>
          <w:rFonts w:ascii="宋体" w:hAnsi="宋体" w:cs="宋体"/>
          <w:sz w:val="24"/>
        </w:rPr>
      </w:pPr>
      <w:r>
        <w:rPr>
          <w:rFonts w:hint="eastAsia" w:ascii="宋体" w:hAnsi="宋体" w:cs="宋体"/>
          <w:sz w:val="24"/>
        </w:rPr>
        <w:t>6.2.2 采购代理机构在评标结束后2个工作日内将评标报告送采购人。</w:t>
      </w:r>
    </w:p>
    <w:p>
      <w:pPr>
        <w:spacing w:line="420" w:lineRule="exact"/>
        <w:ind w:firstLine="480" w:firstLineChars="200"/>
        <w:rPr>
          <w:rFonts w:ascii="宋体" w:hAnsi="宋体" w:cs="宋体"/>
          <w:sz w:val="24"/>
        </w:rPr>
      </w:pPr>
      <w:r>
        <w:rPr>
          <w:rFonts w:hint="eastAsia" w:ascii="宋体" w:hAnsi="宋体" w:cs="宋体"/>
          <w:sz w:val="24"/>
        </w:rPr>
        <w:t>6.2.3 采购人在收到评标报告后5个工作日内，按照评标报告中推荐的中标候选人顺序确定中标人。评标结果按评审后得分由高到低顺序排列；在得分相同时，按投标报价由低到高顺序排列；得分且投标报价相同的并列，投标文件满足招标文件全部实质性要求且按照评审因素的量化指标评审得分最高的供应商为中标候选供应商；报价相同且满足招标文件全部实质性要求且按照评审因素的量化指标评审得分也相同的，若存在不发达地区或少数民族地区供应商，优先选择该供应商，若不存在，则并列,由采购人自主采取公平、择优的方式选择中标供应商。</w:t>
      </w:r>
    </w:p>
    <w:p>
      <w:pPr>
        <w:spacing w:line="420" w:lineRule="exact"/>
        <w:ind w:firstLine="482" w:firstLineChars="200"/>
        <w:rPr>
          <w:rFonts w:ascii="宋体" w:hAnsi="宋体" w:cs="宋体"/>
          <w:b/>
          <w:sz w:val="24"/>
        </w:rPr>
      </w:pPr>
      <w:r>
        <w:rPr>
          <w:rFonts w:hint="eastAsia" w:ascii="宋体" w:hAnsi="宋体" w:cs="宋体"/>
          <w:b/>
          <w:sz w:val="24"/>
        </w:rPr>
        <w:t>采购人按照推荐的中标候选供应商顺序确定中标供应商，不能认为采购人只能确定第一中标候选供应商为中标供应商，采购人有正当理由的，可以确定后一顺序中标候选供应商为中标供应商，依次类推。</w:t>
      </w:r>
    </w:p>
    <w:p>
      <w:pPr>
        <w:spacing w:line="420" w:lineRule="exact"/>
        <w:ind w:firstLine="480" w:firstLineChars="200"/>
        <w:rPr>
          <w:rFonts w:ascii="宋体" w:hAnsi="宋体" w:cs="宋体"/>
          <w:sz w:val="24"/>
        </w:rPr>
      </w:pPr>
      <w:r>
        <w:rPr>
          <w:rFonts w:hint="eastAsia" w:ascii="宋体" w:hAnsi="宋体" w:cs="宋体"/>
          <w:sz w:val="24"/>
        </w:rPr>
        <w:t>6.2.4 根据采购人确定的中标供应商，采购代理机构在中国政府采购网上发布中标公告，并自采购人确定中标之日起2个工作日内向中标供应商发出中标通知书。</w:t>
      </w:r>
    </w:p>
    <w:p>
      <w:pPr>
        <w:spacing w:line="420" w:lineRule="exact"/>
        <w:ind w:firstLine="480" w:firstLineChars="200"/>
        <w:rPr>
          <w:rFonts w:ascii="宋体" w:hAnsi="宋体" w:cs="宋体"/>
          <w:sz w:val="24"/>
        </w:rPr>
      </w:pPr>
      <w:r>
        <w:rPr>
          <w:rFonts w:hint="eastAsia" w:ascii="宋体" w:hAnsi="宋体" w:cs="宋体"/>
          <w:sz w:val="24"/>
        </w:rPr>
        <w:t>6.2.5 招标采购单位不退回投标人投标文件和其他投标资料。</w:t>
      </w:r>
    </w:p>
    <w:bookmarkEnd w:id="152"/>
    <w:p>
      <w:pPr>
        <w:pStyle w:val="5"/>
        <w:ind w:left="420"/>
        <w:rPr>
          <w:rFonts w:ascii="宋体" w:hAnsi="宋体" w:cs="宋体"/>
        </w:rPr>
      </w:pPr>
      <w:bookmarkStart w:id="156" w:name="_Toc208849022"/>
      <w:bookmarkStart w:id="157" w:name="_Toc183682432"/>
      <w:bookmarkStart w:id="158" w:name="_Toc217446105"/>
      <w:bookmarkStart w:id="159" w:name="_Toc183582297"/>
      <w:r>
        <w:rPr>
          <w:rFonts w:hint="eastAsia" w:ascii="宋体" w:hAnsi="宋体" w:cs="宋体"/>
        </w:rPr>
        <w:t xml:space="preserve">7. </w:t>
      </w:r>
      <w:bookmarkEnd w:id="156"/>
      <w:bookmarkEnd w:id="157"/>
      <w:bookmarkEnd w:id="158"/>
      <w:bookmarkEnd w:id="159"/>
      <w:r>
        <w:rPr>
          <w:rFonts w:hint="eastAsia" w:ascii="宋体" w:hAnsi="宋体" w:cs="宋体"/>
        </w:rPr>
        <w:t>评标专家在采购活动中承担以下义务：</w:t>
      </w:r>
    </w:p>
    <w:p>
      <w:pPr>
        <w:spacing w:line="420" w:lineRule="exact"/>
        <w:ind w:firstLine="480" w:firstLineChars="200"/>
        <w:rPr>
          <w:rFonts w:ascii="宋体" w:hAnsi="宋体" w:cs="宋体"/>
          <w:sz w:val="24"/>
        </w:rPr>
      </w:pPr>
      <w:r>
        <w:rPr>
          <w:rFonts w:hint="eastAsia" w:ascii="宋体" w:hAnsi="宋体" w:cs="宋体"/>
          <w:sz w:val="24"/>
        </w:rPr>
        <w:t xml:space="preserve">（一）遵守评审工作纪律； </w:t>
      </w:r>
    </w:p>
    <w:p>
      <w:pPr>
        <w:spacing w:line="420" w:lineRule="exact"/>
        <w:ind w:firstLine="480" w:firstLineChars="200"/>
        <w:rPr>
          <w:rFonts w:ascii="宋体" w:hAnsi="宋体" w:cs="宋体"/>
          <w:sz w:val="24"/>
        </w:rPr>
      </w:pPr>
      <w:r>
        <w:rPr>
          <w:rFonts w:hint="eastAsia" w:ascii="宋体" w:hAnsi="宋体" w:cs="宋体"/>
          <w:sz w:val="24"/>
        </w:rPr>
        <w:t>（二）按照客观、公正、审慎的原则，根据采购文件规定的评审程序、评审方法和评审标准进行独立评审；</w:t>
      </w:r>
    </w:p>
    <w:p>
      <w:pPr>
        <w:spacing w:line="420" w:lineRule="exact"/>
        <w:ind w:firstLine="480" w:firstLineChars="200"/>
        <w:rPr>
          <w:rFonts w:ascii="宋体" w:hAnsi="宋体" w:cs="宋体"/>
          <w:sz w:val="24"/>
        </w:rPr>
      </w:pPr>
      <w:r>
        <w:rPr>
          <w:rFonts w:hint="eastAsia" w:ascii="宋体" w:hAnsi="宋体" w:cs="宋体"/>
          <w:sz w:val="24"/>
        </w:rPr>
        <w:t>（三）不得泄露评审文件、评审情况和在评审过程中获悉的商业秘密；</w:t>
      </w:r>
    </w:p>
    <w:p>
      <w:pPr>
        <w:spacing w:line="420" w:lineRule="exact"/>
        <w:ind w:firstLine="480" w:firstLineChars="200"/>
        <w:rPr>
          <w:rFonts w:ascii="宋体" w:hAnsi="宋体" w:cs="宋体"/>
          <w:sz w:val="24"/>
        </w:rPr>
      </w:pPr>
      <w:r>
        <w:rPr>
          <w:rFonts w:hint="eastAsia" w:ascii="宋体" w:hAnsi="宋体" w:cs="宋体"/>
          <w:sz w:val="24"/>
        </w:rPr>
        <w:t>（四）及时向监督部门报告评审过程中采购组织单位向评审专家做倾向性、误导性的解释或者说明，供应商行贿、提供虚假材料或者串通、受到的非法干预情况等违法违规行为；</w:t>
      </w:r>
    </w:p>
    <w:p>
      <w:pPr>
        <w:spacing w:line="420" w:lineRule="exact"/>
        <w:ind w:firstLine="480" w:firstLineChars="200"/>
        <w:rPr>
          <w:rFonts w:ascii="宋体" w:hAnsi="宋体" w:cs="宋体"/>
          <w:sz w:val="24"/>
        </w:rPr>
      </w:pPr>
      <w:r>
        <w:rPr>
          <w:rFonts w:hint="eastAsia" w:ascii="宋体" w:hAnsi="宋体" w:cs="宋体"/>
          <w:sz w:val="24"/>
        </w:rPr>
        <w:t>（五）发现采购文件内容违反国家有关强制性规定或者存在歧义、重大缺陷导致评审工作无法进行时，停止评审并向采购组织单位书面说明情况；</w:t>
      </w:r>
    </w:p>
    <w:p>
      <w:pPr>
        <w:spacing w:line="420" w:lineRule="exact"/>
        <w:ind w:firstLine="480" w:firstLineChars="200"/>
        <w:rPr>
          <w:rFonts w:ascii="宋体" w:hAnsi="宋体" w:cs="宋体"/>
          <w:sz w:val="24"/>
        </w:rPr>
      </w:pPr>
      <w:r>
        <w:rPr>
          <w:rFonts w:hint="eastAsia" w:ascii="宋体" w:hAnsi="宋体" w:cs="宋体"/>
          <w:sz w:val="24"/>
        </w:rPr>
        <w:t>（六）配合答复处理供应商的询问、质疑和投诉等事项；</w:t>
      </w:r>
    </w:p>
    <w:p>
      <w:pPr>
        <w:spacing w:line="420" w:lineRule="exact"/>
        <w:ind w:firstLine="480" w:firstLineChars="200"/>
        <w:rPr>
          <w:rFonts w:ascii="宋体" w:hAnsi="宋体" w:cs="宋体"/>
          <w:sz w:val="24"/>
        </w:rPr>
      </w:pPr>
      <w:r>
        <w:rPr>
          <w:rFonts w:hint="eastAsia" w:ascii="宋体" w:hAnsi="宋体" w:cs="宋体"/>
          <w:sz w:val="24"/>
        </w:rPr>
        <w:t>（七）法律、法规和规章规定的其他义务。</w:t>
      </w:r>
    </w:p>
    <w:p>
      <w:pPr>
        <w:pStyle w:val="5"/>
        <w:ind w:left="420"/>
        <w:rPr>
          <w:rFonts w:ascii="宋体" w:hAnsi="宋体" w:cs="宋体"/>
        </w:rPr>
      </w:pPr>
      <w:r>
        <w:rPr>
          <w:rFonts w:hint="eastAsia" w:ascii="宋体" w:hAnsi="宋体" w:cs="宋体"/>
        </w:rPr>
        <w:t>8.评标专家在采购活动中应当遵守以下工作纪律：</w:t>
      </w:r>
    </w:p>
    <w:p>
      <w:pPr>
        <w:spacing w:line="420" w:lineRule="exact"/>
        <w:ind w:firstLine="480" w:firstLineChars="200"/>
        <w:rPr>
          <w:rFonts w:ascii="宋体" w:hAnsi="宋体" w:cs="宋体"/>
          <w:sz w:val="24"/>
        </w:rPr>
      </w:pPr>
      <w:r>
        <w:rPr>
          <w:rFonts w:hint="eastAsia" w:ascii="宋体" w:hAnsi="宋体" w:cs="宋体"/>
          <w:sz w:val="24"/>
        </w:rPr>
        <w:t>（一）参照《政府采购法》第十二条和《政府采购法实施条例》第九条及财政部关于回避的规定。</w:t>
      </w:r>
    </w:p>
    <w:p>
      <w:pPr>
        <w:spacing w:line="420" w:lineRule="exact"/>
        <w:ind w:firstLine="480" w:firstLineChars="200"/>
        <w:rPr>
          <w:rFonts w:ascii="宋体" w:hAnsi="宋体" w:cs="宋体"/>
          <w:sz w:val="24"/>
        </w:rPr>
      </w:pPr>
      <w:r>
        <w:rPr>
          <w:rFonts w:hint="eastAsia" w:ascii="宋体" w:hAnsi="宋体" w:cs="宋体"/>
          <w:sz w:val="24"/>
        </w:rPr>
        <w:t>（二）评标前，应当将通讯工具或者相关电子设备交由招标采购单位统一保管。</w:t>
      </w:r>
    </w:p>
    <w:p>
      <w:pPr>
        <w:spacing w:line="420" w:lineRule="exact"/>
        <w:ind w:firstLine="480" w:firstLineChars="200"/>
        <w:rPr>
          <w:rFonts w:ascii="宋体" w:hAnsi="宋体" w:cs="宋体"/>
          <w:sz w:val="24"/>
        </w:rPr>
      </w:pPr>
      <w:r>
        <w:rPr>
          <w:rFonts w:hint="eastAsia" w:ascii="宋体" w:hAnsi="宋体" w:cs="宋体"/>
          <w:sz w:val="24"/>
        </w:rPr>
        <w:t>（三）评标过程中，不得与外界联系，因发生不可预见情况，确实需要与外界联系的，应当在监督人员监督之下办理。</w:t>
      </w:r>
    </w:p>
    <w:p>
      <w:pPr>
        <w:spacing w:line="420" w:lineRule="exact"/>
        <w:ind w:firstLine="480" w:firstLineChars="200"/>
        <w:rPr>
          <w:rFonts w:ascii="宋体" w:hAnsi="宋体" w:cs="宋体"/>
          <w:sz w:val="24"/>
        </w:rPr>
      </w:pPr>
      <w:r>
        <w:rPr>
          <w:rFonts w:hint="eastAsia" w:ascii="宋体" w:hAnsi="宋体" w:cs="宋体"/>
          <w:sz w:val="24"/>
        </w:rPr>
        <w:t>（四）评标过程中，不得干预或者影响正常评标工作，不得发表倾向性、引导性意见，不得修改或细化招标文件确定的评标程序、评标方法、评标因素和评标标准，不得接受供应商主动提出的澄清和解释，不得征询采购人代表的意见，不得协商评分，不得违反规定的评标格式评分和撰写评标意见，不得拒绝对自己的评标意见签字确认。</w:t>
      </w:r>
    </w:p>
    <w:p>
      <w:pPr>
        <w:spacing w:line="420" w:lineRule="exact"/>
        <w:ind w:firstLine="480" w:firstLineChars="200"/>
        <w:rPr>
          <w:rFonts w:ascii="宋体" w:hAnsi="宋体" w:cs="宋体"/>
          <w:sz w:val="24"/>
        </w:rPr>
      </w:pPr>
      <w:r>
        <w:rPr>
          <w:rFonts w:hint="eastAsia" w:ascii="宋体" w:hAnsi="宋体" w:cs="宋体"/>
          <w:sz w:val="24"/>
        </w:rPr>
        <w:t>（五）在评标过程中和评标结束后，不得记录、复制或带走任何评标资料，除因规定的义务外，不得向外界透露评标内容。</w:t>
      </w:r>
    </w:p>
    <w:p>
      <w:pPr>
        <w:spacing w:line="420" w:lineRule="exact"/>
        <w:ind w:firstLine="480" w:firstLineChars="200"/>
        <w:rPr>
          <w:rFonts w:ascii="宋体" w:hAnsi="宋体" w:cs="宋体"/>
          <w:sz w:val="24"/>
        </w:rPr>
      </w:pPr>
      <w:r>
        <w:rPr>
          <w:rFonts w:hint="eastAsia" w:ascii="宋体" w:hAnsi="宋体" w:cs="宋体"/>
          <w:sz w:val="24"/>
        </w:rPr>
        <w:t>（六）服从评标现场招标采购单位的现场秩序管理，接受评标现场监督人员的合法监督。</w:t>
      </w:r>
    </w:p>
    <w:p>
      <w:pPr>
        <w:spacing w:line="420" w:lineRule="exact"/>
        <w:ind w:firstLine="480" w:firstLineChars="200"/>
        <w:rPr>
          <w:rFonts w:ascii="宋体" w:hAnsi="宋体" w:cs="宋体"/>
          <w:sz w:val="24"/>
        </w:rPr>
      </w:pPr>
      <w:r>
        <w:rPr>
          <w:rFonts w:hint="eastAsia" w:ascii="宋体" w:hAnsi="宋体" w:cs="宋体"/>
          <w:sz w:val="24"/>
        </w:rPr>
        <w:t>（七）遵守有关廉洁自律规定，不得私下接触供应商，不得收受供应商及有关业务单位和个人的财物或好处，不得接受采购组织单位的请托。</w:t>
      </w:r>
    </w:p>
    <w:p>
      <w:pPr>
        <w:pStyle w:val="3"/>
        <w:rPr>
          <w:rFonts w:ascii="宋体" w:hAnsi="宋体" w:cs="宋体"/>
        </w:rPr>
      </w:pPr>
      <w:r>
        <w:rPr>
          <w:rFonts w:hint="eastAsia" w:ascii="宋体" w:hAnsi="宋体" w:cs="宋体"/>
        </w:rPr>
        <w:br w:type="page"/>
      </w:r>
      <w:bookmarkStart w:id="160" w:name="_Toc22236_WPSOffice_Level1"/>
      <w:r>
        <w:rPr>
          <w:rFonts w:hint="eastAsia" w:ascii="宋体" w:hAnsi="宋体" w:cs="宋体"/>
        </w:rPr>
        <w:t>第八章  采购合同</w:t>
      </w:r>
      <w:bookmarkEnd w:id="160"/>
    </w:p>
    <w:p>
      <w:pPr>
        <w:rPr>
          <w:rFonts w:ascii="宋体" w:hAnsi="宋体" w:cs="宋体"/>
          <w:b/>
        </w:rPr>
      </w:pPr>
      <w:r>
        <w:rPr>
          <w:rFonts w:hint="eastAsia" w:ascii="宋体" w:hAnsi="宋体" w:cs="宋体"/>
          <w:b/>
        </w:rPr>
        <w:t>本合同为草案合同，采购人与中标单位在合同签订时，根据实际情况及要求进行修改。</w:t>
      </w:r>
    </w:p>
    <w:p>
      <w:pPr>
        <w:spacing w:line="360" w:lineRule="auto"/>
        <w:ind w:firstLine="480" w:firstLineChars="200"/>
        <w:rPr>
          <w:rFonts w:ascii="宋体"/>
          <w:sz w:val="24"/>
        </w:rPr>
      </w:pPr>
      <w:r>
        <w:rPr>
          <w:rFonts w:hint="eastAsia" w:ascii="宋体"/>
          <w:sz w:val="24"/>
        </w:rPr>
        <w:t>合同编号：。</w:t>
      </w:r>
    </w:p>
    <w:p>
      <w:pPr>
        <w:spacing w:line="360" w:lineRule="auto"/>
        <w:ind w:firstLine="480" w:firstLineChars="200"/>
        <w:rPr>
          <w:rFonts w:ascii="宋体"/>
          <w:sz w:val="24"/>
        </w:rPr>
      </w:pPr>
      <w:r>
        <w:rPr>
          <w:rFonts w:hint="eastAsia" w:ascii="宋体"/>
          <w:sz w:val="24"/>
        </w:rPr>
        <w:t>签订地点：</w:t>
      </w:r>
      <w:r>
        <w:rPr>
          <w:rFonts w:hint="eastAsia"/>
          <w:szCs w:val="21"/>
        </w:rPr>
        <w:t>XXXX。</w:t>
      </w:r>
    </w:p>
    <w:p>
      <w:pPr>
        <w:spacing w:line="360" w:lineRule="auto"/>
        <w:ind w:firstLine="480" w:firstLineChars="200"/>
        <w:rPr>
          <w:rFonts w:ascii="宋体"/>
          <w:sz w:val="24"/>
        </w:rPr>
      </w:pPr>
      <w:r>
        <w:rPr>
          <w:rFonts w:hint="eastAsia" w:ascii="宋体"/>
          <w:sz w:val="24"/>
        </w:rPr>
        <w:t>签订时间：</w:t>
      </w:r>
      <w:r>
        <w:rPr>
          <w:rFonts w:hint="eastAsia"/>
          <w:szCs w:val="21"/>
        </w:rPr>
        <w:t>XXXX</w:t>
      </w:r>
      <w:r>
        <w:rPr>
          <w:rFonts w:hint="eastAsia" w:ascii="宋体"/>
          <w:sz w:val="24"/>
        </w:rPr>
        <w:t>年</w:t>
      </w:r>
      <w:r>
        <w:rPr>
          <w:rFonts w:hint="eastAsia"/>
          <w:szCs w:val="21"/>
        </w:rPr>
        <w:t>XX</w:t>
      </w:r>
      <w:r>
        <w:rPr>
          <w:rFonts w:hint="eastAsia" w:ascii="宋体"/>
          <w:sz w:val="24"/>
        </w:rPr>
        <w:t>月</w:t>
      </w:r>
      <w:r>
        <w:rPr>
          <w:rFonts w:hint="eastAsia"/>
          <w:szCs w:val="21"/>
        </w:rPr>
        <w:t>XX</w:t>
      </w:r>
      <w:r>
        <w:rPr>
          <w:rFonts w:hint="eastAsia" w:ascii="宋体"/>
          <w:sz w:val="24"/>
        </w:rPr>
        <w:t>日。</w:t>
      </w:r>
    </w:p>
    <w:p>
      <w:pPr>
        <w:spacing w:line="360" w:lineRule="auto"/>
        <w:ind w:firstLine="480" w:firstLineChars="200"/>
        <w:rPr>
          <w:rFonts w:ascii="宋体"/>
          <w:sz w:val="24"/>
        </w:rPr>
      </w:pPr>
      <w:r>
        <w:rPr>
          <w:rFonts w:hint="eastAsia" w:ascii="宋体"/>
          <w:sz w:val="24"/>
        </w:rPr>
        <w:t xml:space="preserve">采购人（甲方）：                              </w:t>
      </w:r>
    </w:p>
    <w:p>
      <w:pPr>
        <w:spacing w:line="360" w:lineRule="auto"/>
        <w:ind w:firstLine="480" w:firstLineChars="200"/>
        <w:rPr>
          <w:rFonts w:ascii="宋体"/>
          <w:sz w:val="24"/>
        </w:rPr>
      </w:pPr>
      <w:r>
        <w:rPr>
          <w:rFonts w:hint="eastAsia"/>
          <w:sz w:val="24"/>
        </w:rPr>
        <w:t>供应商（乙</w:t>
      </w:r>
      <w:r>
        <w:rPr>
          <w:sz w:val="24"/>
        </w:rPr>
        <w:t>方</w:t>
      </w:r>
      <w:r>
        <w:rPr>
          <w:rFonts w:hint="eastAsia"/>
          <w:sz w:val="24"/>
        </w:rPr>
        <w:t>）</w:t>
      </w:r>
      <w:r>
        <w:rPr>
          <w:sz w:val="24"/>
        </w:rPr>
        <w:t xml:space="preserve">：                              </w:t>
      </w:r>
      <w:r>
        <w:t xml:space="preserve"> </w:t>
      </w:r>
      <w:r>
        <w:rPr>
          <w:rFonts w:hint="eastAsia"/>
        </w:rPr>
        <w:t xml:space="preserve"> </w:t>
      </w:r>
    </w:p>
    <w:p>
      <w:pPr>
        <w:spacing w:line="360" w:lineRule="auto"/>
        <w:rPr>
          <w:rFonts w:ascii="宋体"/>
          <w:sz w:val="24"/>
        </w:rPr>
      </w:pPr>
    </w:p>
    <w:p>
      <w:pPr>
        <w:pStyle w:val="65"/>
        <w:spacing w:line="360" w:lineRule="auto"/>
        <w:ind w:firstLine="480"/>
        <w:rPr>
          <w:rFonts w:ascii="宋体"/>
        </w:rPr>
      </w:pPr>
      <w:r>
        <w:rPr>
          <w:rFonts w:hint="eastAsia" w:ascii="宋体"/>
        </w:rPr>
        <w:t>根据《中华人民共和国民法典》及四川省消防救援总队“自然灾害应急能力提升工程”德阳支队消防装备建设项目-第四批（采购编号：      ）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pPr>
        <w:pStyle w:val="4"/>
        <w:spacing w:before="156" w:after="156" w:line="360" w:lineRule="auto"/>
        <w:ind w:firstLine="482" w:firstLineChars="200"/>
        <w:rPr>
          <w:rFonts w:ascii="黑体"/>
          <w:sz w:val="24"/>
          <w:szCs w:val="24"/>
        </w:rPr>
      </w:pPr>
      <w:bookmarkStart w:id="161" w:name="_Toc217446107"/>
      <w:bookmarkStart w:id="162" w:name="_Toc1801"/>
      <w:bookmarkStart w:id="163" w:name="_Toc24558"/>
      <w:r>
        <w:rPr>
          <w:rFonts w:hint="eastAsia" w:ascii="黑体"/>
          <w:sz w:val="24"/>
          <w:szCs w:val="24"/>
        </w:rPr>
        <w:t>一、合同货物</w:t>
      </w:r>
      <w:bookmarkEnd w:id="161"/>
      <w:bookmarkEnd w:id="162"/>
      <w:bookmarkEnd w:id="163"/>
    </w:p>
    <w:tbl>
      <w:tblPr>
        <w:tblStyle w:val="21"/>
        <w:tblW w:w="9030" w:type="dxa"/>
        <w:tblInd w:w="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75"/>
        <w:gridCol w:w="1050"/>
        <w:gridCol w:w="720"/>
        <w:gridCol w:w="900"/>
        <w:gridCol w:w="1080"/>
        <w:gridCol w:w="1185"/>
        <w:gridCol w:w="1260"/>
        <w:gridCol w:w="12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57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0" w:firstLineChars="100"/>
              <w:rPr>
                <w:rFonts w:ascii="宋体"/>
                <w:sz w:val="24"/>
              </w:rPr>
            </w:pPr>
            <w:r>
              <w:rPr>
                <w:rFonts w:hint="eastAsia" w:ascii="宋体" w:cs="Arial"/>
                <w:sz w:val="24"/>
              </w:rPr>
              <w:t>货物品名</w:t>
            </w: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cs="Arial"/>
                <w:sz w:val="24"/>
              </w:rPr>
            </w:pPr>
            <w:r>
              <w:rPr>
                <w:rFonts w:hint="eastAsia" w:ascii="宋体" w:cs="Arial"/>
                <w:sz w:val="24"/>
              </w:rPr>
              <w:t>规格</w:t>
            </w:r>
          </w:p>
          <w:p>
            <w:pPr>
              <w:spacing w:line="360" w:lineRule="auto"/>
              <w:jc w:val="center"/>
              <w:rPr>
                <w:rFonts w:ascii="宋体"/>
                <w:sz w:val="24"/>
              </w:rPr>
            </w:pPr>
            <w:r>
              <w:rPr>
                <w:rFonts w:hint="eastAsia" w:ascii="宋体" w:cs="Arial"/>
                <w:sz w:val="24"/>
              </w:rPr>
              <w:t>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sz w:val="24"/>
              </w:rPr>
            </w:pPr>
            <w:r>
              <w:rPr>
                <w:rFonts w:hint="eastAsia" w:ascii="宋体" w:cs="Arial"/>
                <w:sz w:val="24"/>
              </w:rPr>
              <w:t>单位</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ind w:firstLine="120" w:firstLineChars="50"/>
              <w:rPr>
                <w:rFonts w:ascii="宋体"/>
                <w:sz w:val="24"/>
              </w:rPr>
            </w:pPr>
            <w:r>
              <w:rPr>
                <w:rFonts w:hint="eastAsia" w:ascii="宋体" w:cs="Arial"/>
                <w:sz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ind w:firstLine="120" w:firstLineChars="50"/>
              <w:jc w:val="center"/>
              <w:rPr>
                <w:rFonts w:ascii="宋体" w:cs="Arial"/>
                <w:sz w:val="24"/>
              </w:rPr>
            </w:pPr>
            <w:r>
              <w:rPr>
                <w:rFonts w:hint="eastAsia" w:ascii="宋体" w:cs="Arial"/>
                <w:sz w:val="24"/>
              </w:rPr>
              <w:t>单价</w:t>
            </w:r>
          </w:p>
          <w:p>
            <w:pPr>
              <w:spacing w:line="360" w:lineRule="auto"/>
              <w:jc w:val="center"/>
              <w:rPr>
                <w:rFonts w:ascii="宋体" w:cs="Arial"/>
                <w:sz w:val="24"/>
              </w:rPr>
            </w:pPr>
            <w:r>
              <w:rPr>
                <w:rFonts w:hint="eastAsia" w:ascii="宋体" w:cs="Arial"/>
                <w:sz w:val="24"/>
              </w:rPr>
              <w:t>（万元）</w:t>
            </w:r>
          </w:p>
        </w:tc>
        <w:tc>
          <w:tcPr>
            <w:tcW w:w="1185" w:type="dxa"/>
            <w:tcBorders>
              <w:top w:val="single" w:color="auto" w:sz="4" w:space="0"/>
              <w:left w:val="single" w:color="auto" w:sz="4" w:space="0"/>
              <w:bottom w:val="single" w:color="auto" w:sz="4" w:space="0"/>
              <w:right w:val="single" w:color="auto" w:sz="4" w:space="0"/>
            </w:tcBorders>
            <w:vAlign w:val="center"/>
          </w:tcPr>
          <w:p>
            <w:pPr>
              <w:spacing w:line="360" w:lineRule="auto"/>
              <w:ind w:firstLine="240" w:firstLineChars="100"/>
              <w:rPr>
                <w:rFonts w:ascii="宋体" w:cs="Arial"/>
                <w:sz w:val="24"/>
              </w:rPr>
            </w:pPr>
            <w:r>
              <w:rPr>
                <w:rFonts w:hint="eastAsia" w:ascii="宋体" w:cs="Arial"/>
                <w:sz w:val="24"/>
              </w:rPr>
              <w:t>总价</w:t>
            </w:r>
          </w:p>
          <w:p>
            <w:pPr>
              <w:spacing w:line="360" w:lineRule="auto"/>
              <w:rPr>
                <w:rFonts w:ascii="宋体"/>
                <w:sz w:val="24"/>
              </w:rPr>
            </w:pPr>
            <w:r>
              <w:rPr>
                <w:rFonts w:hint="eastAsia" w:ascii="宋体" w:cs="Arial"/>
                <w:sz w:val="24"/>
              </w:rPr>
              <w:t>（万元）</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cs="Arial"/>
                <w:sz w:val="24"/>
              </w:rPr>
            </w:pPr>
            <w:r>
              <w:rPr>
                <w:rFonts w:hint="eastAsia" w:ascii="宋体" w:cs="Arial"/>
                <w:sz w:val="24"/>
              </w:rPr>
              <w:t>随机</w:t>
            </w:r>
          </w:p>
          <w:p>
            <w:pPr>
              <w:spacing w:line="360" w:lineRule="auto"/>
              <w:jc w:val="center"/>
              <w:rPr>
                <w:rFonts w:ascii="宋体"/>
                <w:sz w:val="24"/>
              </w:rPr>
            </w:pPr>
            <w:r>
              <w:rPr>
                <w:rFonts w:hint="eastAsia" w:ascii="宋体" w:cs="Arial"/>
                <w:sz w:val="24"/>
              </w:rPr>
              <w:t>配件</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ind w:firstLine="120" w:firstLineChars="50"/>
              <w:rPr>
                <w:rFonts w:ascii="宋体"/>
                <w:sz w:val="24"/>
              </w:rPr>
            </w:pPr>
            <w:r>
              <w:rPr>
                <w:rFonts w:hint="eastAsia" w:ascii="宋体" w:cs="Arial"/>
                <w:sz w:val="24"/>
              </w:rPr>
              <w:t>交货期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5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1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5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1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sz w:val="24"/>
              </w:rPr>
            </w:pPr>
            <w:r>
              <w:rPr>
                <w:rFonts w:hint="eastAsia" w:ascii="宋体"/>
                <w:sz w:val="24"/>
              </w:rPr>
              <w:t> </w:t>
            </w:r>
          </w:p>
        </w:tc>
      </w:tr>
    </w:tbl>
    <w:p>
      <w:pPr>
        <w:pStyle w:val="4"/>
        <w:spacing w:before="156" w:after="156" w:line="360" w:lineRule="auto"/>
        <w:ind w:firstLine="482" w:firstLineChars="200"/>
        <w:rPr>
          <w:rFonts w:ascii="黑体"/>
          <w:sz w:val="24"/>
          <w:szCs w:val="24"/>
        </w:rPr>
      </w:pPr>
      <w:bookmarkStart w:id="164" w:name="_Toc21666"/>
      <w:bookmarkStart w:id="165" w:name="_Toc13799"/>
      <w:bookmarkStart w:id="166" w:name="_Toc217446108"/>
      <w:r>
        <w:rPr>
          <w:rFonts w:hint="eastAsia" w:ascii="黑体"/>
          <w:sz w:val="24"/>
          <w:szCs w:val="24"/>
        </w:rPr>
        <w:t>二、合同总价</w:t>
      </w:r>
      <w:bookmarkEnd w:id="164"/>
      <w:bookmarkEnd w:id="165"/>
      <w:bookmarkEnd w:id="166"/>
    </w:p>
    <w:p>
      <w:pPr>
        <w:pStyle w:val="2"/>
        <w:spacing w:line="360" w:lineRule="auto"/>
        <w:ind w:firstLine="420" w:firstLineChars="175"/>
        <w:rPr>
          <w:rFonts w:ascii="宋体"/>
          <w:sz w:val="24"/>
        </w:rPr>
      </w:pPr>
      <w:r>
        <w:rPr>
          <w:rFonts w:hint="eastAsia" w:ascii="宋体"/>
          <w:sz w:val="24"/>
        </w:rPr>
        <w:t>合同总价为人民币大写：</w:t>
      </w:r>
      <w:r>
        <w:rPr>
          <w:rFonts w:hint="eastAsia" w:ascii="宋体"/>
          <w:sz w:val="24"/>
          <w:u w:val="single"/>
        </w:rPr>
        <w:t xml:space="preserve">                </w:t>
      </w:r>
      <w:r>
        <w:rPr>
          <w:rFonts w:hint="eastAsia" w:ascii="宋体"/>
          <w:sz w:val="24"/>
        </w:rPr>
        <w:t>元，即RMB￥</w:t>
      </w:r>
      <w:r>
        <w:rPr>
          <w:rFonts w:hint="eastAsia" w:ascii="宋体"/>
          <w:sz w:val="24"/>
          <w:u w:val="single"/>
        </w:rPr>
        <w:t xml:space="preserve">        </w:t>
      </w:r>
      <w:r>
        <w:rPr>
          <w:rFonts w:hint="eastAsia" w:ascii="宋体"/>
          <w:sz w:val="24"/>
        </w:rPr>
        <w:t>元；该合同总价已包括货物设计、材料、制造、包装、运输、安装、调试、检测、验收合格交付使用之前及保修期内保修服务与备用物件、人工、搬运、责任风险费用、管理费、税金等一切费用。本合同执行期间合同总价不变，甲方无须另向乙方支付本合同规定之外的其他任何费用。</w:t>
      </w:r>
    </w:p>
    <w:p>
      <w:pPr>
        <w:pStyle w:val="4"/>
        <w:spacing w:before="156" w:after="156"/>
        <w:ind w:firstLine="482" w:firstLineChars="200"/>
        <w:rPr>
          <w:rFonts w:ascii="宋体" w:hAnsi="宋体" w:cs="宋体"/>
          <w:sz w:val="24"/>
          <w:szCs w:val="24"/>
        </w:rPr>
      </w:pPr>
      <w:bookmarkStart w:id="167" w:name="_Toc15519"/>
      <w:bookmarkStart w:id="168" w:name="_Toc217446109"/>
      <w:bookmarkStart w:id="169" w:name="_Toc23256"/>
      <w:r>
        <w:rPr>
          <w:rFonts w:hint="eastAsia" w:ascii="宋体" w:hAnsi="宋体" w:cs="宋体"/>
          <w:sz w:val="24"/>
          <w:szCs w:val="24"/>
        </w:rPr>
        <w:t>三、权利与义务</w:t>
      </w:r>
    </w:p>
    <w:p>
      <w:pPr>
        <w:pStyle w:val="2"/>
        <w:spacing w:line="360" w:lineRule="auto"/>
        <w:ind w:firstLine="420" w:firstLineChars="175"/>
        <w:rPr>
          <w:rFonts w:ascii="宋体" w:hAnsi="宋体" w:cs="宋体"/>
          <w:sz w:val="24"/>
        </w:rPr>
      </w:pPr>
      <w:r>
        <w:rPr>
          <w:rFonts w:hint="eastAsia" w:ascii="宋体" w:hAnsi="宋体" w:cs="宋体"/>
          <w:sz w:val="24"/>
        </w:rPr>
        <w:t>1、甲方的权利与义务</w:t>
      </w:r>
    </w:p>
    <w:p>
      <w:pPr>
        <w:pStyle w:val="2"/>
        <w:spacing w:line="360" w:lineRule="auto"/>
        <w:ind w:firstLine="420" w:firstLineChars="175"/>
        <w:rPr>
          <w:rFonts w:ascii="宋体" w:hAnsi="宋体" w:cs="宋体"/>
          <w:sz w:val="24"/>
        </w:rPr>
      </w:pPr>
      <w:r>
        <w:rPr>
          <w:rFonts w:hint="eastAsia" w:ascii="宋体" w:hAnsi="宋体" w:cs="宋体"/>
          <w:sz w:val="24"/>
        </w:rPr>
        <w:t>1.1甲方有权监督乙方与甲方在中标通知书发出之日起30天内签订《政府采购合同》。</w:t>
      </w:r>
    </w:p>
    <w:p>
      <w:pPr>
        <w:pStyle w:val="2"/>
        <w:spacing w:line="360" w:lineRule="auto"/>
        <w:ind w:firstLine="420" w:firstLineChars="175"/>
        <w:rPr>
          <w:rFonts w:ascii="宋体" w:hAnsi="宋体" w:cs="宋体"/>
          <w:sz w:val="24"/>
        </w:rPr>
      </w:pPr>
      <w:r>
        <w:rPr>
          <w:rFonts w:hint="eastAsia" w:ascii="宋体" w:hAnsi="宋体" w:cs="宋体"/>
          <w:sz w:val="24"/>
        </w:rPr>
        <w:t>1.2甲方有权按照本项目招标文件的规定向乙方收取履约保证金，有义务按照本协议规定退还履约保证金。</w:t>
      </w:r>
    </w:p>
    <w:p>
      <w:pPr>
        <w:pStyle w:val="2"/>
        <w:spacing w:line="360" w:lineRule="auto"/>
        <w:ind w:firstLine="420" w:firstLineChars="175"/>
        <w:rPr>
          <w:rFonts w:ascii="宋体" w:hAnsi="宋体" w:cs="宋体"/>
          <w:sz w:val="24"/>
        </w:rPr>
      </w:pPr>
      <w:r>
        <w:rPr>
          <w:rFonts w:hint="eastAsia" w:ascii="宋体" w:hAnsi="宋体" w:cs="宋体"/>
          <w:sz w:val="24"/>
        </w:rPr>
        <w:t>1.3甲方有权监督乙方按照与甲方签订的《政府采购合同》履行义务。</w:t>
      </w:r>
    </w:p>
    <w:p>
      <w:pPr>
        <w:pStyle w:val="2"/>
        <w:spacing w:line="360" w:lineRule="auto"/>
        <w:ind w:firstLine="420" w:firstLineChars="175"/>
        <w:rPr>
          <w:rFonts w:ascii="宋体" w:hAnsi="宋体" w:cs="宋体"/>
          <w:sz w:val="24"/>
        </w:rPr>
      </w:pPr>
      <w:r>
        <w:rPr>
          <w:rFonts w:hint="eastAsia" w:ascii="宋体" w:hAnsi="宋体" w:cs="宋体"/>
          <w:sz w:val="24"/>
        </w:rPr>
        <w:t>1.4甲方有权要求乙方向甲方及采购代理机构提供本项目的有关资料。</w:t>
      </w:r>
    </w:p>
    <w:p>
      <w:pPr>
        <w:pStyle w:val="2"/>
        <w:spacing w:line="360" w:lineRule="auto"/>
        <w:ind w:firstLine="420" w:firstLineChars="175"/>
        <w:rPr>
          <w:rFonts w:ascii="宋体" w:hAnsi="宋体" w:cs="宋体"/>
          <w:sz w:val="24"/>
        </w:rPr>
      </w:pPr>
      <w:r>
        <w:rPr>
          <w:rFonts w:hint="eastAsia" w:ascii="宋体" w:hAnsi="宋体" w:cs="宋体"/>
          <w:sz w:val="24"/>
        </w:rPr>
        <w:t>1.5甲方有权按照《招标文件》、与甲方签订的《政府采购合同》及本协议规定，扣除乙方履约保证金。</w:t>
      </w:r>
    </w:p>
    <w:p>
      <w:pPr>
        <w:pStyle w:val="2"/>
        <w:spacing w:line="360" w:lineRule="auto"/>
        <w:ind w:firstLine="420" w:firstLineChars="175"/>
        <w:rPr>
          <w:rFonts w:ascii="宋体" w:hAnsi="宋体" w:cs="宋体"/>
          <w:sz w:val="24"/>
        </w:rPr>
      </w:pPr>
      <w:r>
        <w:rPr>
          <w:rFonts w:hint="eastAsia" w:ascii="宋体" w:hAnsi="宋体" w:cs="宋体"/>
          <w:sz w:val="24"/>
        </w:rPr>
        <w:t>1.6根据《政府采购合同》约定，按时向乙方支付应付费用。</w:t>
      </w:r>
    </w:p>
    <w:p>
      <w:pPr>
        <w:pStyle w:val="2"/>
        <w:spacing w:line="360" w:lineRule="auto"/>
        <w:ind w:firstLine="420" w:firstLineChars="175"/>
        <w:rPr>
          <w:rFonts w:ascii="宋体" w:hAnsi="宋体" w:cs="宋体"/>
          <w:sz w:val="24"/>
        </w:rPr>
      </w:pPr>
      <w:r>
        <w:rPr>
          <w:rFonts w:hint="eastAsia" w:ascii="宋体" w:hAnsi="宋体" w:cs="宋体"/>
          <w:sz w:val="24"/>
        </w:rPr>
        <w:t>1.7国家法律、法规所规定由甲方承担的其它责任。</w:t>
      </w:r>
    </w:p>
    <w:p>
      <w:pPr>
        <w:pStyle w:val="2"/>
        <w:spacing w:line="360" w:lineRule="auto"/>
        <w:ind w:firstLine="420" w:firstLineChars="175"/>
        <w:rPr>
          <w:rFonts w:ascii="宋体" w:hAnsi="宋体" w:cs="宋体"/>
          <w:sz w:val="24"/>
        </w:rPr>
      </w:pPr>
      <w:r>
        <w:rPr>
          <w:rFonts w:hint="eastAsia" w:ascii="宋体" w:hAnsi="宋体" w:cs="宋体"/>
          <w:sz w:val="24"/>
        </w:rPr>
        <w:t>2、乙方的权利与义务</w:t>
      </w:r>
    </w:p>
    <w:p>
      <w:pPr>
        <w:pStyle w:val="2"/>
        <w:spacing w:line="360" w:lineRule="auto"/>
        <w:ind w:firstLine="420" w:firstLineChars="175"/>
        <w:rPr>
          <w:rFonts w:ascii="宋体" w:hAnsi="宋体" w:cs="宋体"/>
          <w:sz w:val="24"/>
        </w:rPr>
      </w:pPr>
      <w:r>
        <w:rPr>
          <w:rFonts w:hint="eastAsia" w:ascii="宋体" w:hAnsi="宋体" w:cs="宋体"/>
          <w:sz w:val="24"/>
        </w:rPr>
        <w:t>2.1乙方应当在中标通知书发出之日起30天内与甲方签订《政府采购合同》。</w:t>
      </w:r>
    </w:p>
    <w:p>
      <w:pPr>
        <w:pStyle w:val="2"/>
        <w:spacing w:line="360" w:lineRule="auto"/>
        <w:ind w:firstLine="420" w:firstLineChars="175"/>
        <w:rPr>
          <w:rFonts w:ascii="宋体" w:hAnsi="宋体" w:cs="宋体"/>
          <w:sz w:val="24"/>
        </w:rPr>
      </w:pPr>
      <w:r>
        <w:rPr>
          <w:rFonts w:hint="eastAsia" w:ascii="宋体" w:hAnsi="宋体" w:cs="宋体"/>
          <w:sz w:val="24"/>
        </w:rPr>
        <w:t>2.2乙方应当按照本项目招标文件的规定向甲方提交履约保证金。</w:t>
      </w:r>
    </w:p>
    <w:p>
      <w:pPr>
        <w:pStyle w:val="2"/>
        <w:spacing w:line="360" w:lineRule="auto"/>
        <w:ind w:firstLine="420" w:firstLineChars="175"/>
        <w:rPr>
          <w:rFonts w:ascii="宋体" w:hAnsi="宋体" w:cs="宋体"/>
          <w:sz w:val="24"/>
        </w:rPr>
      </w:pPr>
      <w:r>
        <w:rPr>
          <w:rFonts w:hint="eastAsia" w:ascii="宋体" w:hAnsi="宋体" w:cs="宋体"/>
          <w:sz w:val="24"/>
        </w:rPr>
        <w:t>2.3乙方应当按照《招标文件》、本协议、《政府采购合同》的规定履行义务。</w:t>
      </w:r>
    </w:p>
    <w:p>
      <w:pPr>
        <w:pStyle w:val="2"/>
        <w:spacing w:line="360" w:lineRule="auto"/>
        <w:ind w:firstLine="420" w:firstLineChars="175"/>
        <w:rPr>
          <w:rFonts w:ascii="宋体" w:hAnsi="宋体" w:cs="宋体"/>
          <w:sz w:val="24"/>
        </w:rPr>
      </w:pPr>
      <w:r>
        <w:rPr>
          <w:rFonts w:hint="eastAsia" w:ascii="宋体" w:hAnsi="宋体" w:cs="宋体"/>
          <w:sz w:val="24"/>
        </w:rPr>
        <w:t>2.4乙方应当在甲方规定的时间内，向甲方及采购代理机构提供本项目的有关资料。</w:t>
      </w:r>
    </w:p>
    <w:p>
      <w:pPr>
        <w:pStyle w:val="2"/>
        <w:spacing w:line="360" w:lineRule="auto"/>
        <w:ind w:firstLine="420" w:firstLineChars="175"/>
        <w:rPr>
          <w:rFonts w:ascii="宋体" w:hAnsi="宋体" w:cs="宋体"/>
          <w:sz w:val="24"/>
        </w:rPr>
      </w:pPr>
      <w:r>
        <w:rPr>
          <w:rFonts w:hint="eastAsia" w:ascii="宋体" w:hAnsi="宋体" w:cs="宋体"/>
          <w:sz w:val="24"/>
        </w:rPr>
        <w:t>2.5乙方有权按照《政府采购合同》的约定向甲方收取合同款项。</w:t>
      </w:r>
    </w:p>
    <w:p>
      <w:pPr>
        <w:pStyle w:val="2"/>
        <w:spacing w:line="360" w:lineRule="auto"/>
        <w:ind w:firstLine="420" w:firstLineChars="175"/>
        <w:rPr>
          <w:rFonts w:ascii="宋体" w:hAnsi="宋体" w:cs="宋体"/>
          <w:sz w:val="24"/>
        </w:rPr>
      </w:pPr>
      <w:r>
        <w:rPr>
          <w:rFonts w:hint="eastAsia" w:ascii="宋体" w:hAnsi="宋体" w:cs="宋体"/>
          <w:sz w:val="24"/>
        </w:rPr>
        <w:t>2.6接受项目行业管理部门及政府有关部门的指导，接受甲方的监督。</w:t>
      </w:r>
    </w:p>
    <w:p>
      <w:pPr>
        <w:pStyle w:val="2"/>
        <w:spacing w:line="360" w:lineRule="auto"/>
        <w:ind w:firstLine="420" w:firstLineChars="175"/>
        <w:rPr>
          <w:rFonts w:ascii="宋体" w:hAnsi="宋体" w:cs="宋体"/>
          <w:sz w:val="24"/>
        </w:rPr>
      </w:pPr>
      <w:r>
        <w:rPr>
          <w:rFonts w:hint="eastAsia" w:ascii="宋体" w:hAnsi="宋体" w:cs="宋体"/>
          <w:sz w:val="24"/>
        </w:rPr>
        <w:t>2.7国家法律、法规所规定由乙方承担的其它责任。</w:t>
      </w:r>
    </w:p>
    <w:p>
      <w:pPr>
        <w:pStyle w:val="4"/>
        <w:spacing w:before="156" w:after="156" w:line="360" w:lineRule="auto"/>
        <w:ind w:firstLine="482" w:firstLineChars="200"/>
        <w:rPr>
          <w:rFonts w:ascii="宋体" w:hAnsi="宋体" w:cs="宋体"/>
          <w:sz w:val="24"/>
          <w:szCs w:val="24"/>
        </w:rPr>
      </w:pPr>
      <w:bookmarkStart w:id="170" w:name="_Toc4220"/>
      <w:r>
        <w:rPr>
          <w:rFonts w:hint="eastAsia" w:ascii="宋体" w:hAnsi="宋体" w:cs="宋体"/>
          <w:sz w:val="24"/>
          <w:szCs w:val="24"/>
        </w:rPr>
        <w:t>四、质量要求</w:t>
      </w:r>
      <w:bookmarkEnd w:id="170"/>
    </w:p>
    <w:p>
      <w:pPr>
        <w:pStyle w:val="65"/>
        <w:spacing w:line="360" w:lineRule="auto"/>
        <w:ind w:firstLine="480"/>
        <w:rPr>
          <w:rFonts w:ascii="宋体" w:hAnsi="宋体"/>
        </w:rPr>
      </w:pPr>
      <w:r>
        <w:rPr>
          <w:rFonts w:hint="eastAsia" w:ascii="宋体" w:hAnsi="宋体"/>
        </w:rPr>
        <w:t>1、乙方应保证所供设备是全新、未经使用过、标有合法品名及商标、原装原封并经合法渠道取得的原厂制造合格产品，权属清楚，不得侵害他人的知识产权。</w:t>
      </w:r>
    </w:p>
    <w:p>
      <w:pPr>
        <w:pStyle w:val="65"/>
        <w:spacing w:line="360" w:lineRule="auto"/>
        <w:ind w:firstLine="480"/>
        <w:rPr>
          <w:rFonts w:ascii="宋体" w:hAnsi="宋体"/>
        </w:rPr>
      </w:pPr>
      <w:r>
        <w:rPr>
          <w:rFonts w:hint="eastAsia" w:ascii="宋体" w:hAnsi="宋体"/>
        </w:rPr>
        <w:t>2、货物必须符合或优于国家（行业）</w:t>
      </w:r>
      <w:r>
        <w:rPr>
          <w:rFonts w:hint="eastAsia" w:ascii="宋体" w:hAnsi="宋体"/>
          <w:u w:val="single"/>
        </w:rPr>
        <w:t xml:space="preserve">          </w:t>
      </w:r>
      <w:r>
        <w:rPr>
          <w:rFonts w:hint="eastAsia" w:ascii="宋体" w:hAnsi="宋体"/>
        </w:rPr>
        <w:t>标准，以及本项目招标文件的质量要求和技术指标与出厂标准。</w:t>
      </w:r>
    </w:p>
    <w:p>
      <w:pPr>
        <w:pStyle w:val="65"/>
        <w:spacing w:line="360" w:lineRule="auto"/>
        <w:ind w:firstLine="480"/>
        <w:rPr>
          <w:rFonts w:ascii="宋体" w:hAnsi="宋体"/>
        </w:rPr>
      </w:pPr>
      <w:r>
        <w:rPr>
          <w:rFonts w:hint="eastAsia" w:ascii="宋体" w:hAnsi="宋体"/>
        </w:rPr>
        <w:t>3、乙方须在本合同签订之日起</w:t>
      </w:r>
      <w:r>
        <w:rPr>
          <w:rFonts w:hint="eastAsia" w:ascii="宋体" w:hAnsi="宋体"/>
          <w:u w:val="single"/>
        </w:rPr>
        <w:t xml:space="preserve">   </w:t>
      </w:r>
      <w:r>
        <w:rPr>
          <w:rFonts w:hint="eastAsia" w:ascii="宋体" w:hAnsi="宋体"/>
        </w:rPr>
        <w:t>日内送交货物成品样品给甲方确认，在甲方出具样品确认书并封存成品样品外观尺寸后，乙方才能按样生产，并以此样品作为验收样品；每台货物上均应有产品质量检验合格标志。</w:t>
      </w:r>
    </w:p>
    <w:p>
      <w:pPr>
        <w:pStyle w:val="65"/>
        <w:spacing w:line="360" w:lineRule="auto"/>
        <w:ind w:firstLine="480"/>
        <w:rPr>
          <w:rFonts w:ascii="宋体" w:hAnsi="宋体"/>
        </w:rPr>
      </w:pPr>
      <w:r>
        <w:rPr>
          <w:rFonts w:hint="eastAsia" w:ascii="宋体" w:hAnsi="宋体"/>
        </w:rPr>
        <w:t>4、货物制造质量出现问题，乙方应负责三包（包修、包换、包退），费用由乙方负担，甲方有权到乙方生产场地检查货物质量和生产进度。</w:t>
      </w:r>
    </w:p>
    <w:p>
      <w:pPr>
        <w:pStyle w:val="65"/>
        <w:spacing w:line="360" w:lineRule="auto"/>
        <w:ind w:firstLine="480"/>
        <w:rPr>
          <w:rFonts w:ascii="宋体" w:hAnsi="宋体"/>
        </w:rPr>
      </w:pPr>
      <w:r>
        <w:rPr>
          <w:rFonts w:hint="eastAsia" w:ascii="宋体" w:hAnsi="宋体"/>
        </w:rPr>
        <w:t>5、货到现场后由于甲方保管不当造成的质量问题，乙方亦应负责修理，但费用由甲方负担。</w:t>
      </w:r>
    </w:p>
    <w:p>
      <w:pPr>
        <w:pStyle w:val="4"/>
        <w:spacing w:before="156" w:after="156" w:line="360" w:lineRule="auto"/>
        <w:ind w:firstLine="482" w:firstLineChars="200"/>
        <w:rPr>
          <w:rFonts w:ascii="宋体" w:hAnsi="宋体" w:cs="宋体"/>
          <w:sz w:val="24"/>
          <w:szCs w:val="24"/>
        </w:rPr>
      </w:pPr>
      <w:r>
        <w:rPr>
          <w:rFonts w:hint="eastAsia" w:ascii="宋体" w:hAnsi="宋体" w:cs="宋体"/>
          <w:sz w:val="24"/>
          <w:szCs w:val="24"/>
        </w:rPr>
        <w:t>五、运输方式及费用负担</w:t>
      </w:r>
    </w:p>
    <w:p>
      <w:pPr>
        <w:widowControl/>
        <w:tabs>
          <w:tab w:val="left" w:pos="1440"/>
          <w:tab w:val="left" w:pos="1620"/>
          <w:tab w:val="left" w:pos="1980"/>
        </w:tabs>
        <w:spacing w:line="360" w:lineRule="auto"/>
        <w:ind w:firstLine="480" w:firstLineChars="200"/>
        <w:jc w:val="left"/>
        <w:rPr>
          <w:rFonts w:ascii="宋体" w:hAnsi="宋体" w:cs="宋体"/>
          <w:kern w:val="0"/>
          <w:sz w:val="24"/>
        </w:rPr>
      </w:pPr>
      <w:r>
        <w:rPr>
          <w:rFonts w:hint="eastAsia" w:ascii="宋体" w:hAnsi="宋体" w:cs="宋体"/>
          <w:kern w:val="0"/>
          <w:sz w:val="24"/>
        </w:rPr>
        <w:t>1、乙方应确保合同设备安全无损地运抵甲方指定地点。由于设备包装不善等运输问题所引起的设备锈蚀、毁坏等损失均由乙方承担。</w:t>
      </w:r>
    </w:p>
    <w:p>
      <w:pPr>
        <w:widowControl/>
        <w:tabs>
          <w:tab w:val="left" w:pos="1440"/>
          <w:tab w:val="left" w:pos="1620"/>
          <w:tab w:val="left" w:pos="1980"/>
        </w:tabs>
        <w:spacing w:line="360" w:lineRule="auto"/>
        <w:ind w:firstLine="480" w:firstLineChars="200"/>
        <w:jc w:val="left"/>
        <w:rPr>
          <w:rFonts w:ascii="宋体" w:hAnsi="宋体" w:cs="宋体"/>
          <w:kern w:val="0"/>
          <w:sz w:val="24"/>
        </w:rPr>
      </w:pPr>
      <w:r>
        <w:rPr>
          <w:rFonts w:hint="eastAsia" w:ascii="宋体" w:hAnsi="宋体" w:cs="宋体"/>
          <w:kern w:val="0"/>
          <w:sz w:val="24"/>
        </w:rPr>
        <w:t>2、乙方应以醒目的中文或英文印刷字体在各包装箱上标明通用规范的运输标记或标志如收货人、合同号、尺寸及重心、防潮等。</w:t>
      </w:r>
    </w:p>
    <w:p>
      <w:pPr>
        <w:pStyle w:val="65"/>
        <w:spacing w:line="360" w:lineRule="auto"/>
        <w:ind w:firstLine="480"/>
        <w:rPr>
          <w:rFonts w:ascii="宋体" w:hAnsi="宋体"/>
        </w:rPr>
      </w:pPr>
      <w:r>
        <w:rPr>
          <w:rFonts w:hint="eastAsia" w:ascii="宋体" w:hAnsi="宋体"/>
          <w:kern w:val="0"/>
        </w:rPr>
        <w:t>3、乙方将设备安全无损地运至指定地点的过程中所发生的一切费用如保险费等均已包含在合同设备的价款中，相关风险亦由乙方承担。</w:t>
      </w:r>
    </w:p>
    <w:p>
      <w:pPr>
        <w:pStyle w:val="4"/>
        <w:spacing w:before="156" w:after="156" w:line="360" w:lineRule="auto"/>
        <w:ind w:firstLine="482" w:firstLineChars="200"/>
        <w:rPr>
          <w:rFonts w:ascii="宋体" w:hAnsi="宋体" w:cs="宋体"/>
          <w:sz w:val="24"/>
          <w:szCs w:val="24"/>
        </w:rPr>
      </w:pPr>
      <w:r>
        <w:rPr>
          <w:rFonts w:hint="eastAsia" w:ascii="宋体" w:hAnsi="宋体" w:cs="宋体"/>
          <w:sz w:val="24"/>
          <w:szCs w:val="24"/>
        </w:rPr>
        <w:t>六、交货及验收</w:t>
      </w:r>
    </w:p>
    <w:p>
      <w:pPr>
        <w:pStyle w:val="65"/>
        <w:spacing w:line="360" w:lineRule="auto"/>
        <w:ind w:firstLine="480"/>
        <w:rPr>
          <w:rFonts w:ascii="宋体" w:hAnsi="宋体"/>
        </w:rPr>
      </w:pPr>
      <w:r>
        <w:rPr>
          <w:rFonts w:hint="eastAsia" w:ascii="宋体" w:hAnsi="宋体"/>
        </w:rPr>
        <w:t>1、乙方交货期限为合同签订生效后的XX日内，在合同签订生效之日起XX天内交货到甲方指定地点，随即在XX日内全部完成安装调试验收合格交付使用，并且最迟应在XX年XX月XX日前全部完成安装调试验收合格交付使用(如由于采购人的原因造成合同延迟签订或验收的，时间顺延)。交货验收时须提供产品质检部门从同类产品中抽样检查合格的检测报告。</w:t>
      </w:r>
    </w:p>
    <w:p>
      <w:pPr>
        <w:pStyle w:val="65"/>
        <w:spacing w:line="360" w:lineRule="auto"/>
        <w:ind w:firstLine="480"/>
        <w:rPr>
          <w:rFonts w:ascii="宋体" w:hAnsi="宋体"/>
        </w:rPr>
      </w:pPr>
      <w:r>
        <w:rPr>
          <w:rFonts w:hint="eastAsia" w:ascii="宋体" w:hAnsi="宋体"/>
        </w:rPr>
        <w:t>2、验收由甲方组织，乙方配合进行：</w:t>
      </w:r>
    </w:p>
    <w:p>
      <w:pPr>
        <w:pStyle w:val="65"/>
        <w:spacing w:line="360" w:lineRule="auto"/>
        <w:ind w:firstLine="480"/>
        <w:rPr>
          <w:rFonts w:ascii="宋体" w:hAnsi="宋体"/>
        </w:rPr>
      </w:pPr>
      <w:r>
        <w:rPr>
          <w:rFonts w:hint="eastAsia" w:ascii="宋体" w:hAnsi="宋体"/>
        </w:rPr>
        <w:t>(1) 货物在乙方通知安装调试完毕后</w:t>
      </w:r>
      <w:r>
        <w:rPr>
          <w:rFonts w:hint="eastAsia" w:ascii="宋体" w:hAnsi="宋体"/>
          <w:u w:val="single"/>
        </w:rPr>
        <w:t xml:space="preserve">    </w:t>
      </w:r>
      <w:r>
        <w:rPr>
          <w:rFonts w:hint="eastAsia" w:ascii="宋体" w:hAnsi="宋体"/>
        </w:rPr>
        <w:t>日内初步验收。初步验收合格后，进入</w:t>
      </w:r>
      <w:r>
        <w:rPr>
          <w:rFonts w:hint="eastAsia" w:ascii="宋体" w:hAnsi="宋体"/>
          <w:u w:val="single"/>
        </w:rPr>
        <w:t xml:space="preserve">    </w:t>
      </w:r>
      <w:r>
        <w:rPr>
          <w:rFonts w:hint="eastAsia" w:ascii="宋体" w:hAnsi="宋体"/>
        </w:rPr>
        <w:t>试用期；试用期间发生重大质量问题，修复后试用相应顺延；试用期结束后</w:t>
      </w:r>
      <w:r>
        <w:rPr>
          <w:rFonts w:hint="eastAsia" w:ascii="宋体" w:hAnsi="宋体"/>
          <w:u w:val="single"/>
        </w:rPr>
        <w:t xml:space="preserve">    </w:t>
      </w:r>
      <w:r>
        <w:rPr>
          <w:rFonts w:hint="eastAsia" w:ascii="宋体" w:hAnsi="宋体"/>
        </w:rPr>
        <w:t>日内完成最终验收；</w:t>
      </w:r>
    </w:p>
    <w:p>
      <w:pPr>
        <w:pStyle w:val="65"/>
        <w:spacing w:line="360" w:lineRule="auto"/>
        <w:ind w:firstLine="480"/>
        <w:rPr>
          <w:rFonts w:ascii="宋体" w:hAnsi="宋体"/>
        </w:rPr>
      </w:pPr>
      <w:r>
        <w:rPr>
          <w:rFonts w:hint="eastAsia" w:ascii="宋体" w:hAnsi="宋体"/>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pPr>
        <w:pStyle w:val="65"/>
        <w:spacing w:line="360" w:lineRule="auto"/>
        <w:ind w:firstLine="480"/>
        <w:rPr>
          <w:rFonts w:ascii="宋体" w:hAnsi="宋体"/>
        </w:rPr>
      </w:pPr>
      <w:r>
        <w:rPr>
          <w:rFonts w:hint="eastAsia" w:ascii="宋体" w:hAnsi="宋体"/>
        </w:rPr>
        <w:t>(3)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pStyle w:val="65"/>
        <w:spacing w:line="360" w:lineRule="auto"/>
        <w:ind w:firstLine="480"/>
        <w:rPr>
          <w:rFonts w:ascii="宋体" w:hAnsi="宋体"/>
        </w:rPr>
      </w:pPr>
      <w:r>
        <w:rPr>
          <w:rFonts w:hint="eastAsia" w:ascii="宋体" w:hAnsi="宋体"/>
        </w:rPr>
        <w:t>(4) 如质量验收合格，双方签署质量验收报告。</w:t>
      </w:r>
    </w:p>
    <w:p>
      <w:pPr>
        <w:pStyle w:val="65"/>
        <w:spacing w:line="360" w:lineRule="auto"/>
        <w:ind w:firstLine="480"/>
        <w:rPr>
          <w:rFonts w:ascii="宋体" w:hAnsi="宋体"/>
        </w:rPr>
      </w:pPr>
      <w:r>
        <w:rPr>
          <w:rFonts w:hint="eastAsia" w:ascii="宋体" w:hAnsi="宋体"/>
        </w:rPr>
        <w:t>3、货物安装完成后</w:t>
      </w:r>
      <w:r>
        <w:rPr>
          <w:rFonts w:hint="eastAsia" w:ascii="宋体" w:hAnsi="宋体"/>
          <w:u w:val="single"/>
        </w:rPr>
        <w:t xml:space="preserve">     </w:t>
      </w:r>
      <w:r>
        <w:rPr>
          <w:rFonts w:hint="eastAsia" w:ascii="宋体" w:hAnsi="宋体"/>
        </w:rPr>
        <w:t>日内，甲方无故不进行验收工作并已使用货物的，视同已安装调试完成并验收合格。</w:t>
      </w:r>
    </w:p>
    <w:p>
      <w:pPr>
        <w:pStyle w:val="65"/>
        <w:spacing w:line="360" w:lineRule="auto"/>
        <w:ind w:firstLine="480"/>
        <w:rPr>
          <w:rFonts w:ascii="宋体" w:hAnsi="宋体"/>
        </w:rPr>
      </w:pPr>
      <w:r>
        <w:rPr>
          <w:rFonts w:hint="eastAsia" w:ascii="宋体" w:hAnsi="宋体"/>
        </w:rPr>
        <w:t>4、乙方应将所提供货物的装箱清单、配件、随机工具、用户使用手册、原厂保修卡等资料交付给甲方；乙方不能完整交付货物及本款规定的单证和工具的，必须负责补齐，否则视为未按合同约定交货。</w:t>
      </w:r>
    </w:p>
    <w:p>
      <w:pPr>
        <w:pStyle w:val="65"/>
        <w:spacing w:line="360" w:lineRule="auto"/>
        <w:ind w:firstLine="480"/>
        <w:rPr>
          <w:rFonts w:ascii="宋体" w:hAnsi="宋体"/>
        </w:rPr>
      </w:pPr>
      <w:r>
        <w:rPr>
          <w:rFonts w:hint="eastAsia" w:ascii="宋体" w:hAnsi="宋体"/>
        </w:rPr>
        <w:t>5、如货物经乙方</w:t>
      </w:r>
      <w:r>
        <w:rPr>
          <w:rFonts w:hint="eastAsia" w:ascii="宋体" w:hAnsi="宋体"/>
          <w:u w:val="single"/>
        </w:rPr>
        <w:t xml:space="preserve">   </w:t>
      </w:r>
      <w:r>
        <w:rPr>
          <w:rFonts w:hint="eastAsia" w:ascii="宋体" w:hAnsi="宋体"/>
        </w:rPr>
        <w:t>次维修仍不能达到合同约定的质量标准，甲方有权退货，并视作乙方不能交付货物而须支付违约赔偿金给甲方，甲方还可依法追究乙方的违约责任。</w:t>
      </w:r>
    </w:p>
    <w:p>
      <w:pPr>
        <w:pStyle w:val="4"/>
        <w:spacing w:before="156" w:after="156" w:line="360" w:lineRule="auto"/>
        <w:ind w:firstLine="482" w:firstLineChars="200"/>
        <w:rPr>
          <w:rFonts w:ascii="宋体" w:hAnsi="宋体" w:cs="宋体"/>
          <w:sz w:val="24"/>
          <w:szCs w:val="24"/>
        </w:rPr>
      </w:pPr>
      <w:r>
        <w:rPr>
          <w:rFonts w:hint="eastAsia" w:ascii="宋体" w:hAnsi="宋体" w:cs="宋体"/>
          <w:sz w:val="24"/>
          <w:szCs w:val="24"/>
        </w:rPr>
        <w:t>七、付款方式</w:t>
      </w:r>
    </w:p>
    <w:p>
      <w:pPr>
        <w:pStyle w:val="65"/>
        <w:spacing w:line="360" w:lineRule="auto"/>
        <w:ind w:firstLine="480"/>
        <w:rPr>
          <w:rFonts w:ascii="宋体" w:hAnsi="宋体"/>
        </w:rPr>
      </w:pPr>
      <w:r>
        <w:rPr>
          <w:rFonts w:hint="eastAsia" w:ascii="宋体" w:hAnsi="宋体"/>
        </w:rPr>
        <w:t>1、甲方在本合同签订生效之日起接到乙方通知和票据凭证资料以及乙方交给甲方的合同履约保证金（按合同总价的百分之</w:t>
      </w:r>
      <w:r>
        <w:rPr>
          <w:rFonts w:hint="eastAsia" w:ascii="宋体" w:hAnsi="宋体"/>
          <w:u w:val="single"/>
        </w:rPr>
        <w:t xml:space="preserve">   </w:t>
      </w:r>
      <w:r>
        <w:rPr>
          <w:rFonts w:hint="eastAsia" w:ascii="宋体" w:hAnsi="宋体"/>
        </w:rPr>
        <w:t>计算款额￥</w:t>
      </w:r>
      <w:r>
        <w:rPr>
          <w:rFonts w:hint="eastAsia" w:ascii="宋体" w:hAnsi="宋体"/>
          <w:u w:val="single"/>
        </w:rPr>
        <w:t xml:space="preserve">             </w:t>
      </w:r>
      <w:r>
        <w:rPr>
          <w:rFonts w:hint="eastAsia" w:ascii="宋体" w:hAnsi="宋体"/>
        </w:rPr>
        <w:t>元，人民币大写：</w:t>
      </w:r>
      <w:r>
        <w:rPr>
          <w:rFonts w:hint="eastAsia" w:ascii="宋体" w:hAnsi="宋体"/>
          <w:u w:val="single"/>
        </w:rPr>
        <w:t xml:space="preserve">                            </w:t>
      </w:r>
      <w:r>
        <w:rPr>
          <w:rFonts w:hint="eastAsia" w:ascii="宋体" w:hAnsi="宋体"/>
        </w:rPr>
        <w:t>元整）后的</w:t>
      </w:r>
      <w:r>
        <w:rPr>
          <w:rFonts w:hint="eastAsia" w:ascii="宋体" w:hAnsi="宋体"/>
          <w:u w:val="single"/>
        </w:rPr>
        <w:t xml:space="preserve">    </w:t>
      </w:r>
      <w:r>
        <w:rPr>
          <w:rFonts w:hint="eastAsia" w:ascii="宋体" w:hAnsi="宋体"/>
        </w:rPr>
        <w:t>日内支付合同金额百分之</w:t>
      </w:r>
      <w:r>
        <w:rPr>
          <w:rFonts w:hint="eastAsia" w:ascii="宋体" w:hAnsi="宋体"/>
          <w:u w:val="single"/>
        </w:rPr>
        <w:t xml:space="preserve">     </w:t>
      </w:r>
      <w:r>
        <w:rPr>
          <w:rFonts w:hint="eastAsia" w:ascii="宋体" w:hAnsi="宋体"/>
        </w:rPr>
        <w:t>的价款；</w:t>
      </w:r>
    </w:p>
    <w:p>
      <w:pPr>
        <w:pStyle w:val="65"/>
        <w:spacing w:line="360" w:lineRule="auto"/>
        <w:ind w:firstLine="480"/>
        <w:rPr>
          <w:rFonts w:ascii="宋体" w:hAnsi="宋体"/>
        </w:rPr>
      </w:pPr>
      <w:r>
        <w:rPr>
          <w:rFonts w:hint="eastAsia" w:ascii="宋体" w:hAnsi="宋体"/>
        </w:rPr>
        <w:t>2、全部货物安装调试完毕并验收合格之日起，甲方接到乙方通知与票据凭证资料以后的</w:t>
      </w:r>
      <w:r>
        <w:rPr>
          <w:rFonts w:hint="eastAsia" w:ascii="宋体" w:hAnsi="宋体"/>
          <w:u w:val="single"/>
        </w:rPr>
        <w:t xml:space="preserve">      </w:t>
      </w:r>
      <w:r>
        <w:rPr>
          <w:rFonts w:hint="eastAsia" w:ascii="宋体" w:hAnsi="宋体"/>
        </w:rPr>
        <w:t>日内，提交支付凭证资料给</w:t>
      </w:r>
      <w:r>
        <w:rPr>
          <w:rFonts w:hint="eastAsia" w:ascii="宋体" w:hAnsi="宋体"/>
          <w:u w:val="single"/>
        </w:rPr>
        <w:t xml:space="preserve">       </w:t>
      </w:r>
      <w:r>
        <w:rPr>
          <w:rFonts w:hint="eastAsia" w:ascii="宋体" w:hAnsi="宋体"/>
        </w:rPr>
        <w:t>财政国库支付执行机构办理财政国库支付手续，并由其向乙方核拨合同总价的百分之</w:t>
      </w:r>
      <w:r>
        <w:rPr>
          <w:rFonts w:hint="eastAsia" w:ascii="宋体" w:hAnsi="宋体"/>
          <w:u w:val="single"/>
        </w:rPr>
        <w:t xml:space="preserve">   </w:t>
      </w:r>
      <w:r>
        <w:rPr>
          <w:rFonts w:hint="eastAsia" w:ascii="宋体" w:hAnsi="宋体"/>
        </w:rPr>
        <w:t>款项：￥</w:t>
      </w:r>
      <w:r>
        <w:rPr>
          <w:rFonts w:hint="eastAsia" w:ascii="宋体" w:hAnsi="宋体"/>
          <w:u w:val="single"/>
        </w:rPr>
        <w:t xml:space="preserve">     </w:t>
      </w:r>
      <w:r>
        <w:rPr>
          <w:rFonts w:hint="eastAsia" w:ascii="宋体" w:hAnsi="宋体"/>
        </w:rPr>
        <w:t>元，人民币大写</w:t>
      </w:r>
      <w:r>
        <w:rPr>
          <w:rFonts w:hint="eastAsia" w:ascii="宋体" w:hAnsi="宋体"/>
          <w:u w:val="single"/>
        </w:rPr>
        <w:t xml:space="preserve">    </w:t>
      </w:r>
      <w:r>
        <w:rPr>
          <w:rFonts w:hint="eastAsia" w:ascii="宋体" w:hAnsi="宋体"/>
        </w:rPr>
        <w:t>元整；</w:t>
      </w:r>
    </w:p>
    <w:p>
      <w:pPr>
        <w:pStyle w:val="65"/>
        <w:spacing w:line="360" w:lineRule="auto"/>
        <w:ind w:firstLine="480"/>
        <w:rPr>
          <w:rFonts w:ascii="宋体" w:hAnsi="宋体"/>
        </w:rPr>
      </w:pPr>
      <w:r>
        <w:rPr>
          <w:rFonts w:hint="eastAsia" w:ascii="宋体" w:hAnsi="宋体"/>
        </w:rPr>
        <w:t>3、履约保证金退还：履约验收合格后，甲方接到乙方通知和支付凭证资料文件，以及由甲方确认本合同货物质量与服务等约定事项已经履行完毕的正式书面文件后的</w:t>
      </w:r>
      <w:r>
        <w:rPr>
          <w:rFonts w:hint="eastAsia" w:ascii="宋体" w:hAnsi="宋体"/>
          <w:u w:val="single"/>
        </w:rPr>
        <w:t xml:space="preserve">     </w:t>
      </w:r>
      <w:r>
        <w:rPr>
          <w:rFonts w:hint="eastAsia" w:ascii="宋体" w:hAnsi="宋体"/>
        </w:rPr>
        <w:t>日内，递交结算凭证资料给银行并由其向乙方支付价款￥</w:t>
      </w:r>
      <w:r>
        <w:rPr>
          <w:rFonts w:hint="eastAsia" w:ascii="宋体" w:hAnsi="宋体"/>
          <w:u w:val="single"/>
        </w:rPr>
        <w:t xml:space="preserve">      </w:t>
      </w:r>
      <w:r>
        <w:rPr>
          <w:rFonts w:hint="eastAsia" w:ascii="宋体" w:hAnsi="宋体"/>
        </w:rPr>
        <w:t>元， 人民币大写：</w:t>
      </w:r>
      <w:r>
        <w:rPr>
          <w:rFonts w:hint="eastAsia" w:ascii="宋体" w:hAnsi="宋体"/>
          <w:u w:val="single"/>
        </w:rPr>
        <w:t xml:space="preserve">              </w:t>
      </w:r>
      <w:r>
        <w:rPr>
          <w:rFonts w:hint="eastAsia" w:ascii="宋体" w:hAnsi="宋体"/>
        </w:rPr>
        <w:t>元整；乙方履约不合格的，履约保证金不予退还。</w:t>
      </w:r>
    </w:p>
    <w:p>
      <w:pPr>
        <w:pStyle w:val="65"/>
        <w:spacing w:line="360" w:lineRule="auto"/>
        <w:ind w:firstLine="480"/>
        <w:rPr>
          <w:rFonts w:ascii="宋体" w:hAnsi="宋体"/>
        </w:rPr>
      </w:pPr>
      <w:r>
        <w:rPr>
          <w:rFonts w:hint="eastAsia" w:ascii="宋体" w:hAnsi="宋体"/>
        </w:rPr>
        <w:t>4、乙方须向甲方出具合法有效完整的完税发票及凭证资料进行支付结算。</w:t>
      </w:r>
    </w:p>
    <w:p>
      <w:pPr>
        <w:pStyle w:val="4"/>
        <w:spacing w:before="156" w:after="156" w:line="360" w:lineRule="auto"/>
        <w:ind w:firstLine="482" w:firstLineChars="200"/>
        <w:rPr>
          <w:rFonts w:ascii="宋体" w:hAnsi="宋体" w:cs="宋体"/>
          <w:sz w:val="24"/>
          <w:szCs w:val="24"/>
        </w:rPr>
      </w:pPr>
      <w:r>
        <w:rPr>
          <w:rFonts w:hint="eastAsia" w:ascii="宋体" w:hAnsi="宋体" w:cs="宋体"/>
          <w:sz w:val="24"/>
          <w:szCs w:val="24"/>
        </w:rPr>
        <w:t>八、售后服务</w:t>
      </w:r>
    </w:p>
    <w:p>
      <w:pPr>
        <w:pStyle w:val="65"/>
        <w:spacing w:line="360" w:lineRule="auto"/>
        <w:ind w:firstLine="480"/>
        <w:rPr>
          <w:rFonts w:ascii="宋体" w:hAnsi="宋体"/>
        </w:rPr>
      </w:pPr>
      <w:r>
        <w:rPr>
          <w:rFonts w:hint="eastAsia" w:ascii="宋体" w:hAnsi="宋体"/>
        </w:rPr>
        <w:t>1、质保期为验收合格后</w:t>
      </w:r>
      <w:r>
        <w:rPr>
          <w:rFonts w:hint="eastAsia" w:ascii="宋体" w:hAnsi="宋体"/>
          <w:u w:val="single"/>
        </w:rPr>
        <w:t xml:space="preserve">    </w:t>
      </w:r>
      <w:r>
        <w:rPr>
          <w:rFonts w:hint="eastAsia" w:ascii="宋体" w:hAnsi="宋体"/>
        </w:rPr>
        <w:t>年，质保期内出现质量问题，乙方在接到通知后</w:t>
      </w:r>
      <w:r>
        <w:rPr>
          <w:rFonts w:hint="eastAsia" w:ascii="宋体" w:hAnsi="宋体"/>
          <w:u w:val="single"/>
        </w:rPr>
        <w:t xml:space="preserve">   </w:t>
      </w:r>
      <w:r>
        <w:rPr>
          <w:rFonts w:hint="eastAsia" w:ascii="宋体" w:hAnsi="宋体"/>
        </w:rPr>
        <w:t>小时内响应到场，</w:t>
      </w:r>
      <w:r>
        <w:rPr>
          <w:rFonts w:hint="eastAsia" w:ascii="宋体" w:hAnsi="宋体"/>
          <w:u w:val="single"/>
        </w:rPr>
        <w:t xml:space="preserve">    </w:t>
      </w:r>
      <w:r>
        <w:rPr>
          <w:rFonts w:hint="eastAsia" w:ascii="宋体" w:hAnsi="宋体"/>
        </w:rPr>
        <w:t>小时内完成维修或更换，并承担修理调换的费用；如货物经乙方</w:t>
      </w:r>
      <w:r>
        <w:rPr>
          <w:rFonts w:hint="eastAsia" w:ascii="宋体" w:hAnsi="宋体"/>
          <w:u w:val="single"/>
        </w:rPr>
        <w:t xml:space="preserve">   </w:t>
      </w:r>
      <w:r>
        <w:rPr>
          <w:rFonts w:hint="eastAsia" w:ascii="宋体" w:hAnsi="宋体"/>
        </w:rPr>
        <w:t>次维修仍不能达到本合同约定的质量标准，视作乙方未能按时交货，甲方有权退货并追究乙方的违约责任。货到现场后由于甲方保管不当造成的问题，乙方亦应负责修复，但费用由甲方负担。</w:t>
      </w:r>
    </w:p>
    <w:p>
      <w:pPr>
        <w:pStyle w:val="65"/>
        <w:spacing w:line="360" w:lineRule="auto"/>
        <w:ind w:firstLine="480"/>
        <w:rPr>
          <w:rFonts w:ascii="宋体" w:hAnsi="宋体"/>
        </w:rPr>
      </w:pPr>
      <w:r>
        <w:rPr>
          <w:rFonts w:hint="eastAsia" w:ascii="宋体" w:hAnsi="宋体"/>
        </w:rPr>
        <w:t>2、乙方须指派专人负责与甲方联系售后服务事宜。</w:t>
      </w:r>
    </w:p>
    <w:p>
      <w:pPr>
        <w:pStyle w:val="4"/>
        <w:spacing w:before="156" w:after="156" w:line="360" w:lineRule="auto"/>
        <w:ind w:firstLine="482" w:firstLineChars="200"/>
        <w:rPr>
          <w:rFonts w:ascii="宋体" w:hAnsi="宋体" w:cs="宋体"/>
          <w:sz w:val="24"/>
          <w:szCs w:val="24"/>
        </w:rPr>
      </w:pPr>
      <w:r>
        <w:rPr>
          <w:rFonts w:hint="eastAsia" w:ascii="宋体" w:hAnsi="宋体" w:cs="宋体"/>
          <w:sz w:val="24"/>
          <w:szCs w:val="24"/>
        </w:rPr>
        <w:t>九、违约责任</w:t>
      </w:r>
    </w:p>
    <w:p>
      <w:pPr>
        <w:pStyle w:val="65"/>
        <w:spacing w:line="360" w:lineRule="auto"/>
        <w:ind w:firstLine="480"/>
        <w:rPr>
          <w:rFonts w:ascii="宋体" w:hAnsi="宋体"/>
        </w:rPr>
      </w:pPr>
      <w:r>
        <w:rPr>
          <w:rFonts w:hint="eastAsia" w:ascii="宋体" w:hAnsi="宋体"/>
        </w:rPr>
        <w:t>1、甲方违约责任</w:t>
      </w:r>
    </w:p>
    <w:p>
      <w:pPr>
        <w:pStyle w:val="65"/>
        <w:spacing w:line="360" w:lineRule="auto"/>
        <w:ind w:firstLine="480"/>
        <w:rPr>
          <w:rFonts w:ascii="宋体" w:hAnsi="宋体"/>
        </w:rPr>
      </w:pPr>
      <w:r>
        <w:rPr>
          <w:rFonts w:hint="eastAsia" w:ascii="宋体" w:hAnsi="宋体"/>
        </w:rPr>
        <w:t>（1） 甲方无正当理由拒收货物的，甲方应偿付合同总价百分之  的违约金；</w:t>
      </w:r>
    </w:p>
    <w:p>
      <w:pPr>
        <w:pStyle w:val="65"/>
        <w:spacing w:line="360" w:lineRule="auto"/>
        <w:ind w:firstLine="480"/>
        <w:rPr>
          <w:rFonts w:ascii="宋体" w:hAnsi="宋体"/>
        </w:rPr>
      </w:pPr>
      <w:r>
        <w:rPr>
          <w:rFonts w:hint="eastAsia" w:ascii="宋体" w:hAnsi="宋体"/>
        </w:rPr>
        <w:t>（2） 甲方逾期支付货款的，除应及时付足货款外，应向乙方偿付欠款总额万分之</w:t>
      </w:r>
      <w:r>
        <w:rPr>
          <w:rFonts w:hint="eastAsia" w:ascii="宋体" w:hAnsi="宋体"/>
          <w:u w:val="single"/>
        </w:rPr>
        <w:t xml:space="preserve">   </w:t>
      </w:r>
      <w:r>
        <w:rPr>
          <w:rFonts w:hint="eastAsia" w:ascii="宋体" w:hAnsi="宋体"/>
        </w:rPr>
        <w:t>/天的违约金；逾期付款超过</w:t>
      </w:r>
      <w:r>
        <w:rPr>
          <w:rFonts w:hint="eastAsia" w:ascii="宋体" w:hAnsi="宋体"/>
          <w:u w:val="single"/>
        </w:rPr>
        <w:t xml:space="preserve">  </w:t>
      </w:r>
      <w:r>
        <w:rPr>
          <w:rFonts w:hint="eastAsia" w:ascii="宋体" w:hAnsi="宋体"/>
        </w:rPr>
        <w:t>天的，乙方有权终止合同；</w:t>
      </w:r>
    </w:p>
    <w:p>
      <w:pPr>
        <w:pStyle w:val="65"/>
        <w:spacing w:line="360" w:lineRule="auto"/>
        <w:ind w:firstLine="480"/>
        <w:rPr>
          <w:rFonts w:ascii="宋体" w:hAnsi="宋体"/>
        </w:rPr>
      </w:pPr>
      <w:r>
        <w:rPr>
          <w:rFonts w:hint="eastAsia" w:ascii="宋体" w:hAnsi="宋体"/>
        </w:rPr>
        <w:t>（3） 甲方偿付的违约金不足以弥补乙方损失的，还应按乙方损失尚未弥补的部分，支付赔偿金给乙方。</w:t>
      </w:r>
    </w:p>
    <w:p>
      <w:pPr>
        <w:pStyle w:val="65"/>
        <w:spacing w:line="360" w:lineRule="auto"/>
        <w:ind w:firstLine="480"/>
        <w:rPr>
          <w:rFonts w:ascii="宋体" w:hAnsi="宋体"/>
        </w:rPr>
      </w:pPr>
      <w:r>
        <w:rPr>
          <w:rFonts w:hint="eastAsia" w:ascii="宋体" w:hAnsi="宋体"/>
        </w:rPr>
        <w:t>2、乙方违约责任</w:t>
      </w:r>
    </w:p>
    <w:p>
      <w:pPr>
        <w:pStyle w:val="65"/>
        <w:spacing w:line="360" w:lineRule="auto"/>
        <w:ind w:firstLine="480"/>
        <w:rPr>
          <w:rFonts w:ascii="宋体" w:hAnsi="宋体"/>
        </w:rPr>
      </w:pPr>
      <w:r>
        <w:rPr>
          <w:rFonts w:hint="eastAsia" w:ascii="宋体" w:hAnsi="宋体"/>
        </w:rPr>
        <w:t>（1）乙方交付的货物质量不符合合同规定的，乙方应向甲方支付合同总价的百分之</w:t>
      </w:r>
      <w:r>
        <w:rPr>
          <w:rFonts w:hint="eastAsia" w:ascii="宋体" w:hAnsi="宋体"/>
          <w:u w:val="single"/>
        </w:rPr>
        <w:t xml:space="preserve">  </w:t>
      </w:r>
      <w:r>
        <w:rPr>
          <w:rFonts w:hint="eastAsia" w:ascii="宋体" w:hAnsi="宋体"/>
        </w:rPr>
        <w:t>的违约金，并须在合同规定的交货时间内更换合格的货物给甲方，否则，视作乙方不能交付货物而违约，按本条本款下述第“（2）”项规定由乙方偿付违约赔偿金给甲方。</w:t>
      </w:r>
    </w:p>
    <w:p>
      <w:pPr>
        <w:pStyle w:val="65"/>
        <w:spacing w:line="360" w:lineRule="auto"/>
        <w:ind w:firstLine="480"/>
        <w:rPr>
          <w:rFonts w:ascii="宋体" w:hAnsi="宋体"/>
        </w:rPr>
      </w:pPr>
      <w:r>
        <w:rPr>
          <w:rFonts w:hint="eastAsia" w:ascii="宋体" w:hAnsi="宋体"/>
        </w:rPr>
        <w:t>（2）乙方不能交付货物或逾期交付货物而违约的，除应及时交足货物外，应向甲方偿付逾期交货部分货款总额的万分之</w:t>
      </w:r>
      <w:r>
        <w:rPr>
          <w:rFonts w:hint="eastAsia" w:ascii="宋体" w:hAnsi="宋体"/>
          <w:u w:val="single"/>
        </w:rPr>
        <w:t xml:space="preserve">   </w:t>
      </w:r>
      <w:r>
        <w:rPr>
          <w:rFonts w:hint="eastAsia" w:ascii="宋体" w:hAnsi="宋体"/>
        </w:rPr>
        <w:t>/天的违约金；逾期交货超过XX天，甲方有权终止合同，乙方则应按合同总价的百分之</w:t>
      </w:r>
      <w:r>
        <w:rPr>
          <w:rFonts w:hint="eastAsia" w:ascii="宋体" w:hAnsi="宋体"/>
          <w:u w:val="single"/>
        </w:rPr>
        <w:t xml:space="preserve">  </w:t>
      </w:r>
      <w:r>
        <w:rPr>
          <w:rFonts w:hint="eastAsia" w:ascii="宋体" w:hAnsi="宋体"/>
        </w:rPr>
        <w:t>的款额向甲方偿付赔偿金，并须全额退还甲方已经付给乙方的货款及其利息。</w:t>
      </w:r>
    </w:p>
    <w:p>
      <w:pPr>
        <w:pStyle w:val="65"/>
        <w:spacing w:line="360" w:lineRule="auto"/>
        <w:ind w:firstLine="480"/>
        <w:rPr>
          <w:rFonts w:ascii="宋体" w:hAnsi="宋体"/>
        </w:rPr>
      </w:pPr>
      <w:r>
        <w:rPr>
          <w:rFonts w:hint="eastAsia" w:ascii="宋体" w:hAnsi="宋体"/>
        </w:rPr>
        <w:t>（3）乙方货物经甲方送交具有法定资格条件的质量技术监督机构检测后，如检测结果认定货物质量不符合本合同规定标准的，则视为乙方没有按时交货而违约，乙方须在</w:t>
      </w:r>
      <w:r>
        <w:rPr>
          <w:rFonts w:hint="eastAsia" w:ascii="宋体" w:hAnsi="宋体"/>
          <w:u w:val="single"/>
        </w:rPr>
        <w:t xml:space="preserve">   </w:t>
      </w:r>
      <w:r>
        <w:rPr>
          <w:rFonts w:hint="eastAsia" w:ascii="宋体" w:hAnsi="宋体"/>
        </w:rPr>
        <w:t>天内无条件更换合格的货物，如逾期不能更换合格的货物，甲方有权终止本合同，乙方应另付合同总价的百分之</w:t>
      </w:r>
      <w:r>
        <w:rPr>
          <w:rFonts w:hint="eastAsia" w:ascii="宋体" w:hAnsi="宋体"/>
          <w:u w:val="single"/>
        </w:rPr>
        <w:t xml:space="preserve">   </w:t>
      </w:r>
      <w:r>
        <w:rPr>
          <w:rFonts w:hint="eastAsia" w:ascii="宋体" w:hAnsi="宋体"/>
        </w:rPr>
        <w:t>的赔偿金给甲方。</w:t>
      </w:r>
    </w:p>
    <w:p>
      <w:pPr>
        <w:pStyle w:val="65"/>
        <w:spacing w:line="360" w:lineRule="auto"/>
        <w:ind w:firstLine="480"/>
        <w:rPr>
          <w:rFonts w:ascii="宋体" w:hAnsi="宋体"/>
        </w:rPr>
      </w:pPr>
      <w:r>
        <w:rPr>
          <w:rFonts w:hint="eastAsia" w:ascii="宋体" w:hAnsi="宋体"/>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w:t>
      </w:r>
      <w:r>
        <w:rPr>
          <w:rFonts w:hint="eastAsia" w:ascii="宋体" w:hAnsi="宋体"/>
          <w:u w:val="single"/>
        </w:rPr>
        <w:t xml:space="preserve">   </w:t>
      </w:r>
      <w:r>
        <w:rPr>
          <w:rFonts w:hint="eastAsia" w:ascii="宋体" w:hAnsi="宋体"/>
        </w:rPr>
        <w:t>向甲方支付违约金并赔偿因此给甲方造成的一切损失。</w:t>
      </w:r>
    </w:p>
    <w:p>
      <w:pPr>
        <w:pStyle w:val="65"/>
        <w:spacing w:line="360" w:lineRule="auto"/>
        <w:ind w:firstLine="480"/>
        <w:rPr>
          <w:rFonts w:ascii="宋体" w:hAnsi="宋体"/>
        </w:rPr>
      </w:pPr>
      <w:r>
        <w:rPr>
          <w:rFonts w:hint="eastAsia" w:ascii="宋体" w:hAnsi="宋体"/>
        </w:rPr>
        <w:t>（5）乙方偿付的违约金不足以弥补甲方损失的，还应按甲方损失尚未弥补的部分，支付赔偿金给甲方。</w:t>
      </w:r>
    </w:p>
    <w:p>
      <w:pPr>
        <w:pStyle w:val="4"/>
        <w:spacing w:before="156" w:after="156" w:line="360" w:lineRule="auto"/>
        <w:ind w:firstLine="482" w:firstLineChars="200"/>
        <w:rPr>
          <w:rFonts w:ascii="宋体" w:hAnsi="宋体" w:cs="宋体"/>
          <w:sz w:val="24"/>
          <w:szCs w:val="24"/>
        </w:rPr>
      </w:pPr>
      <w:r>
        <w:rPr>
          <w:rFonts w:hint="eastAsia" w:ascii="宋体" w:hAnsi="宋体" w:cs="宋体"/>
          <w:sz w:val="24"/>
          <w:szCs w:val="24"/>
        </w:rPr>
        <w:t>十、争议解决办法</w:t>
      </w:r>
    </w:p>
    <w:p>
      <w:pPr>
        <w:pStyle w:val="65"/>
        <w:spacing w:line="360" w:lineRule="auto"/>
        <w:ind w:firstLine="480"/>
        <w:rPr>
          <w:rFonts w:ascii="宋体" w:hAnsi="宋体"/>
        </w:rPr>
      </w:pPr>
      <w:r>
        <w:rPr>
          <w:rFonts w:hint="eastAsia" w:ascii="宋体" w:hAnsi="宋体"/>
        </w:rPr>
        <w:t>1、因货物的质量问题发生争议，由质量技术监督部门或其指定的质量鉴定机构进行质量鉴定。货物符合标准的，鉴定费由甲方承担；货物不符合质量标准的，鉴定费由乙方承担。</w:t>
      </w:r>
    </w:p>
    <w:p>
      <w:pPr>
        <w:pStyle w:val="65"/>
        <w:spacing w:line="360" w:lineRule="auto"/>
        <w:ind w:firstLine="480"/>
        <w:rPr>
          <w:rFonts w:ascii="宋体" w:hAnsi="宋体"/>
        </w:rPr>
      </w:pPr>
      <w:r>
        <w:rPr>
          <w:rFonts w:hint="eastAsia" w:ascii="宋体" w:hAnsi="宋体"/>
        </w:rPr>
        <w:t>2、合同履行期间,若双方发生争议，可协商或由有关部门调解解决，协商或调解不成的，由当事人依法维护其合法权益。</w:t>
      </w:r>
      <w:bookmarkEnd w:id="167"/>
      <w:bookmarkEnd w:id="168"/>
      <w:bookmarkEnd w:id="169"/>
      <w:bookmarkStart w:id="171" w:name="_Toc13863"/>
      <w:bookmarkStart w:id="172" w:name="_Toc16296"/>
      <w:bookmarkStart w:id="173" w:name="_Toc217446113"/>
    </w:p>
    <w:p>
      <w:pPr>
        <w:pStyle w:val="4"/>
        <w:spacing w:before="156" w:after="156" w:line="360" w:lineRule="auto"/>
        <w:ind w:firstLine="482" w:firstLineChars="200"/>
        <w:rPr>
          <w:rFonts w:ascii="黑体"/>
          <w:sz w:val="24"/>
          <w:szCs w:val="24"/>
        </w:rPr>
      </w:pPr>
      <w:r>
        <w:rPr>
          <w:rFonts w:hint="eastAsia" w:ascii="黑体"/>
          <w:sz w:val="24"/>
          <w:szCs w:val="24"/>
        </w:rPr>
        <w:t>十一、其他</w:t>
      </w:r>
    </w:p>
    <w:p>
      <w:pPr>
        <w:pStyle w:val="65"/>
        <w:spacing w:line="360" w:lineRule="auto"/>
        <w:ind w:firstLine="480"/>
        <w:rPr>
          <w:rFonts w:ascii="宋体"/>
        </w:rPr>
      </w:pPr>
      <w:r>
        <w:rPr>
          <w:rFonts w:hint="eastAsia" w:ascii="宋体"/>
        </w:rPr>
        <w:t>1、如有未尽事宜，由双方依法订立补充合同。</w:t>
      </w:r>
    </w:p>
    <w:p>
      <w:pPr>
        <w:pStyle w:val="65"/>
        <w:spacing w:line="360" w:lineRule="auto"/>
        <w:ind w:firstLine="480"/>
        <w:rPr>
          <w:rFonts w:ascii="宋体"/>
        </w:rPr>
      </w:pPr>
      <w:r>
        <w:rPr>
          <w:rFonts w:hint="eastAsia" w:ascii="宋体"/>
        </w:rPr>
        <w:t>2、本合同一式六份，自双方签章之日起生效。甲方三份，乙方二份、采购代理机构各一份。</w:t>
      </w:r>
    </w:p>
    <w:p>
      <w:pPr>
        <w:pStyle w:val="65"/>
        <w:spacing w:line="360" w:lineRule="auto"/>
        <w:ind w:firstLine="480"/>
        <w:rPr>
          <w:rFonts w:ascii="宋体"/>
        </w:rPr>
      </w:pPr>
      <w:r>
        <w:rPr>
          <w:rFonts w:hint="eastAsia" w:ascii="宋体"/>
        </w:rPr>
        <w:t>3、本项目（合同）执行过程中，甲方因国家机构改革政策等因素，遇机构调整、名称变化等情况，以新单位名称为准，不影响本项目（合同）执行。</w:t>
      </w:r>
    </w:p>
    <w:p>
      <w:pPr>
        <w:spacing w:line="360" w:lineRule="auto"/>
        <w:rPr>
          <w:rFonts w:ascii="宋体"/>
          <w:sz w:val="24"/>
        </w:rPr>
      </w:pPr>
    </w:p>
    <w:p>
      <w:pPr>
        <w:spacing w:line="360" w:lineRule="auto"/>
        <w:ind w:firstLine="480" w:firstLineChars="200"/>
        <w:rPr>
          <w:rFonts w:ascii="宋体"/>
          <w:sz w:val="24"/>
        </w:rPr>
      </w:pPr>
      <w:r>
        <w:rPr>
          <w:rFonts w:hint="eastAsia" w:ascii="宋体"/>
          <w:sz w:val="24"/>
        </w:rPr>
        <w:t xml:space="preserve">甲方：   （盖章）   </w:t>
      </w:r>
      <w:r>
        <w:rPr>
          <w:rFonts w:hint="eastAsia" w:ascii="宋体"/>
          <w:sz w:val="24"/>
        </w:rPr>
        <w:tab/>
      </w:r>
      <w:r>
        <w:rPr>
          <w:rFonts w:hint="eastAsia" w:ascii="宋体"/>
          <w:sz w:val="24"/>
        </w:rPr>
        <w:tab/>
      </w:r>
      <w:r>
        <w:rPr>
          <w:rFonts w:hint="eastAsia" w:ascii="宋体"/>
          <w:sz w:val="24"/>
        </w:rPr>
        <w:tab/>
      </w:r>
      <w:r>
        <w:rPr>
          <w:rFonts w:hint="eastAsia" w:ascii="宋体"/>
          <w:sz w:val="24"/>
        </w:rPr>
        <w:t xml:space="preserve">       乙方：   （盖章）</w:t>
      </w:r>
    </w:p>
    <w:p>
      <w:pPr>
        <w:spacing w:line="360" w:lineRule="auto"/>
        <w:ind w:firstLine="480" w:firstLineChars="200"/>
        <w:rPr>
          <w:rFonts w:ascii="宋体"/>
          <w:sz w:val="24"/>
        </w:rPr>
      </w:pPr>
      <w:r>
        <w:rPr>
          <w:rFonts w:hint="eastAsia" w:ascii="宋体"/>
          <w:sz w:val="24"/>
        </w:rPr>
        <w:t>法定代表人（授权代表）：            法定代表人（授权代表）：</w:t>
      </w:r>
    </w:p>
    <w:p>
      <w:pPr>
        <w:spacing w:line="360" w:lineRule="auto"/>
        <w:ind w:firstLine="480" w:firstLineChars="200"/>
        <w:rPr>
          <w:rFonts w:ascii="宋体"/>
          <w:sz w:val="24"/>
        </w:rPr>
      </w:pPr>
      <w:r>
        <w:rPr>
          <w:rFonts w:hint="eastAsia" w:ascii="宋体"/>
          <w:sz w:val="24"/>
        </w:rPr>
        <w:t>地    址：                         地    址：</w:t>
      </w:r>
    </w:p>
    <w:p>
      <w:pPr>
        <w:spacing w:line="360" w:lineRule="auto"/>
        <w:ind w:firstLine="480" w:firstLineChars="200"/>
        <w:rPr>
          <w:rFonts w:ascii="宋体"/>
          <w:sz w:val="24"/>
        </w:rPr>
      </w:pPr>
      <w:r>
        <w:rPr>
          <w:rFonts w:hint="eastAsia" w:ascii="宋体"/>
          <w:sz w:val="24"/>
        </w:rPr>
        <w:t>开户银行：                         开户银行：</w:t>
      </w:r>
    </w:p>
    <w:p>
      <w:pPr>
        <w:spacing w:line="360" w:lineRule="auto"/>
        <w:ind w:firstLine="480" w:firstLineChars="200"/>
        <w:rPr>
          <w:rFonts w:ascii="宋体"/>
          <w:sz w:val="24"/>
        </w:rPr>
      </w:pPr>
      <w:r>
        <w:rPr>
          <w:rFonts w:hint="eastAsia" w:ascii="宋体"/>
          <w:sz w:val="24"/>
        </w:rPr>
        <w:t>账号：                             账号：</w:t>
      </w:r>
    </w:p>
    <w:p>
      <w:pPr>
        <w:spacing w:line="360" w:lineRule="auto"/>
        <w:ind w:firstLine="480" w:firstLineChars="200"/>
        <w:rPr>
          <w:rFonts w:ascii="宋体"/>
          <w:sz w:val="24"/>
        </w:rPr>
      </w:pPr>
      <w:r>
        <w:rPr>
          <w:rFonts w:hint="eastAsia" w:ascii="宋体"/>
          <w:sz w:val="24"/>
        </w:rPr>
        <w:t>电    话：                         电    话：</w:t>
      </w:r>
    </w:p>
    <w:p>
      <w:pPr>
        <w:spacing w:line="360" w:lineRule="auto"/>
        <w:ind w:firstLine="480" w:firstLineChars="200"/>
        <w:rPr>
          <w:rFonts w:ascii="宋体"/>
          <w:sz w:val="24"/>
        </w:rPr>
      </w:pPr>
      <w:r>
        <w:rPr>
          <w:rFonts w:hint="eastAsia" w:ascii="宋体"/>
          <w:sz w:val="24"/>
        </w:rPr>
        <w:t>传    真：                         传    真：</w:t>
      </w:r>
    </w:p>
    <w:p>
      <w:pPr>
        <w:spacing w:line="360" w:lineRule="auto"/>
        <w:ind w:firstLine="420" w:firstLineChars="200"/>
        <w:rPr>
          <w:szCs w:val="21"/>
        </w:rPr>
      </w:pPr>
      <w:r>
        <w:rPr>
          <w:rFonts w:hint="eastAsia"/>
        </w:rPr>
        <w:t>签约日期：</w:t>
      </w:r>
      <w:r>
        <w:rPr>
          <w:rFonts w:hint="eastAsia"/>
          <w:szCs w:val="21"/>
        </w:rPr>
        <w:t>XX</w:t>
      </w:r>
      <w:r>
        <w:rPr>
          <w:rFonts w:hint="eastAsia"/>
        </w:rPr>
        <w:t>年</w:t>
      </w:r>
      <w:r>
        <w:rPr>
          <w:rFonts w:hint="eastAsia"/>
          <w:szCs w:val="21"/>
        </w:rPr>
        <w:t>XX</w:t>
      </w:r>
      <w:r>
        <w:rPr>
          <w:rFonts w:hint="eastAsia"/>
        </w:rPr>
        <w:t>月</w:t>
      </w:r>
      <w:r>
        <w:rPr>
          <w:rFonts w:hint="eastAsia"/>
          <w:szCs w:val="21"/>
        </w:rPr>
        <w:t>XX</w:t>
      </w:r>
      <w:r>
        <w:rPr>
          <w:rFonts w:hint="eastAsia"/>
        </w:rPr>
        <w:t xml:space="preserve">日 </w:t>
      </w:r>
      <w:r>
        <w:rPr>
          <w:rFonts w:hint="eastAsia"/>
        </w:rPr>
        <w:tab/>
      </w:r>
      <w:r>
        <w:rPr>
          <w:rFonts w:hint="eastAsia"/>
        </w:rPr>
        <w:tab/>
      </w:r>
      <w:r>
        <w:rPr>
          <w:rFonts w:hint="eastAsia"/>
        </w:rPr>
        <w:tab/>
      </w:r>
      <w:r>
        <w:rPr>
          <w:rFonts w:hint="eastAsia"/>
        </w:rPr>
        <w:t xml:space="preserve">         签约日期：</w:t>
      </w:r>
      <w:r>
        <w:rPr>
          <w:rFonts w:hint="eastAsia"/>
          <w:szCs w:val="21"/>
        </w:rPr>
        <w:t>XX</w:t>
      </w:r>
      <w:r>
        <w:rPr>
          <w:rFonts w:hint="eastAsia"/>
        </w:rPr>
        <w:t>年</w:t>
      </w:r>
      <w:r>
        <w:rPr>
          <w:rFonts w:hint="eastAsia"/>
          <w:szCs w:val="21"/>
        </w:rPr>
        <w:t>XX</w:t>
      </w:r>
      <w:r>
        <w:rPr>
          <w:rFonts w:hint="eastAsia"/>
        </w:rPr>
        <w:t>月</w:t>
      </w:r>
      <w:r>
        <w:rPr>
          <w:rFonts w:hint="eastAsia"/>
          <w:szCs w:val="21"/>
        </w:rPr>
        <w:t>XX日</w:t>
      </w:r>
      <w:bookmarkEnd w:id="171"/>
      <w:bookmarkEnd w:id="172"/>
      <w:bookmarkEnd w:id="173"/>
    </w:p>
    <w:p>
      <w:pPr>
        <w:spacing w:line="276" w:lineRule="auto"/>
        <w:rPr>
          <w:rFonts w:ascii="宋体" w:hAnsi="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504020202020204"/>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Malgun Gothic Semilight"/>
    <w:panose1 w:val="00000000000000000000"/>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仿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wps:spPr>
                    <wps:txbx>
                      <w:txbxContent>
                        <w:p>
                          <w:r>
                            <w:fldChar w:fldCharType="begin"/>
                          </w:r>
                          <w:r>
                            <w:instrText xml:space="preserve"> PAGE  \* MERGEFORMAT </w:instrText>
                          </w:r>
                          <w:r>
                            <w:fldChar w:fldCharType="separate"/>
                          </w:r>
                          <w:r>
                            <w:t>10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B7XTPQAAAAAwEAAA8AAAAAAAAAAQAgAAAAIgAAAGRycy9kb3du&#10;cmV2LnhtbFBLAQIUABQAAAAIAIdO4kAX5AB/zgEAAJcDAAAOAAAAAAAAAAEAIAAAAB8BAABkcnMv&#10;ZTJvRG9jLnhtbFBLBQYAAAAABgAGAFkBAABfBQAAAAA=&#10;">
              <v:fill on="f" focussize="0,0"/>
              <v:stroke on="f"/>
              <v:imagedata o:title=""/>
              <o:lock v:ext="edit" aspectratio="f"/>
              <v:textbox inset="0mm,0mm,0mm,0mm" style="mso-fit-shape-to-text:t;">
                <w:txbxContent>
                  <w:p>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wps:spPr>
                    <wps:txbx>
                      <w:txbxContent>
                        <w:p>
                          <w:r>
                            <w:fldChar w:fldCharType="begin"/>
                          </w:r>
                          <w:r>
                            <w:instrText xml:space="preserve"> PAGE  \* MERGEFORMAT </w:instrText>
                          </w:r>
                          <w:r>
                            <w:fldChar w:fldCharType="separate"/>
                          </w:r>
                          <w:r>
                            <w:t>102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60288;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kHtdM9AAAAADAQAADwAAAAAAAAABACAAAAAiAAAAZHJzL2Rvd25y&#10;ZXYueG1sUEsBAhQAFAAAAAgAh07iQCz96JPNAQAAlwMAAA4AAAAAAAAAAQAgAAAAHwEAAGRycy9l&#10;Mm9Eb2MueG1sUEsFBgAAAAAGAAYAWQEAAF4FAAAAAA==&#10;">
              <v:fill on="f" focussize="0,0"/>
              <v:stroke on="f"/>
              <v:imagedata o:title=""/>
              <o:lock v:ext="edit" aspectratio="f"/>
              <v:textbox inset="0mm,0mm,0mm,0mm" style="mso-fit-shape-to-text:t;">
                <w:txbxContent>
                  <w:p>
                    <w:r>
                      <w:fldChar w:fldCharType="begin"/>
                    </w:r>
                    <w:r>
                      <w:instrText xml:space="preserve"> PAGE  \* MERGEFORMAT </w:instrText>
                    </w:r>
                    <w:r>
                      <w:fldChar w:fldCharType="separate"/>
                    </w:r>
                    <w:r>
                      <w:t>102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F3FFD"/>
    <w:multiLevelType w:val="singleLevel"/>
    <w:tmpl w:val="80DF3FFD"/>
    <w:lvl w:ilvl="0" w:tentative="0">
      <w:start w:val="1"/>
      <w:numFmt w:val="decimal"/>
      <w:suff w:val="nothing"/>
      <w:lvlText w:val="（%1）"/>
      <w:lvlJc w:val="left"/>
      <w:pPr>
        <w:ind w:left="426"/>
      </w:pPr>
      <w:rPr>
        <w:rFonts w:asciiTheme="majorEastAsia" w:hAnsiTheme="majorEastAsia" w:eastAsiaTheme="majorEastAsia"/>
        <w:sz w:val="24"/>
      </w:rPr>
    </w:lvl>
  </w:abstractNum>
  <w:abstractNum w:abstractNumId="1">
    <w:nsid w:val="B54D05F1"/>
    <w:multiLevelType w:val="singleLevel"/>
    <w:tmpl w:val="B54D05F1"/>
    <w:lvl w:ilvl="0" w:tentative="0">
      <w:start w:val="4"/>
      <w:numFmt w:val="chineseCounting"/>
      <w:suff w:val="nothing"/>
      <w:lvlText w:val="%1、"/>
      <w:lvlJc w:val="left"/>
      <w:rPr>
        <w:rFonts w:hint="eastAsia"/>
        <w:color w:val="auto"/>
      </w:rPr>
    </w:lvl>
  </w:abstractNum>
  <w:abstractNum w:abstractNumId="2">
    <w:nsid w:val="D8311D9C"/>
    <w:multiLevelType w:val="singleLevel"/>
    <w:tmpl w:val="D8311D9C"/>
    <w:lvl w:ilvl="0" w:tentative="0">
      <w:start w:val="1"/>
      <w:numFmt w:val="chineseCounting"/>
      <w:suff w:val="nothing"/>
      <w:lvlText w:val="（%1）"/>
      <w:lvlJc w:val="left"/>
      <w:rPr>
        <w:rFonts w:hint="eastAsia"/>
      </w:rPr>
    </w:lvl>
  </w:abstractNum>
  <w:abstractNum w:abstractNumId="3">
    <w:nsid w:val="00000016"/>
    <w:multiLevelType w:val="multilevel"/>
    <w:tmpl w:val="00000016"/>
    <w:lvl w:ilvl="0" w:tentative="0">
      <w:start w:val="1"/>
      <w:numFmt w:val="decimal"/>
      <w:pStyle w:val="70"/>
      <w:suff w:val="space"/>
      <w:lvlText w:val="第%1章"/>
      <w:lvlJc w:val="left"/>
      <w:rPr>
        <w:rFonts w:hint="default" w:ascii="Times New Roman" w:hAnsi="Times New Roman" w:eastAsia="黑体" w:cs="Times New Roman"/>
        <w:b w:val="0"/>
        <w:bCs w:val="0"/>
        <w:i w:val="0"/>
        <w:iCs w:val="0"/>
        <w:caps w:val="0"/>
        <w:smallCaps w:val="0"/>
        <w:strike w:val="0"/>
        <w:dstrike w:val="0"/>
        <w:color w:val="auto"/>
        <w:spacing w:val="0"/>
        <w:position w:val="0"/>
        <w:sz w:val="36"/>
        <w:szCs w:val="36"/>
        <w:u w:val="none"/>
        <w:vertAlign w:val="baseline"/>
        <w14:shadow w14:blurRad="0" w14:dist="0" w14:dir="0" w14:sx="0" w14:sy="0" w14:kx="0" w14:ky="0" w14:algn="none">
          <w14:srgbClr w14:val="000000"/>
        </w14:shadow>
      </w:rPr>
    </w:lvl>
    <w:lvl w:ilvl="1" w:tentative="0">
      <w:start w:val="1"/>
      <w:numFmt w:val="decimal"/>
      <w:pStyle w:val="58"/>
      <w:isLgl/>
      <w:suff w:val="space"/>
      <w:lvlText w:val="%1.%2"/>
      <w:lvlJc w:val="left"/>
      <w:pPr>
        <w:ind w:left="0" w:firstLine="0"/>
      </w:pPr>
      <w:rPr>
        <w:rFonts w:hint="eastAsia"/>
        <w:b w:val="0"/>
      </w:rPr>
    </w:lvl>
    <w:lvl w:ilvl="2" w:tentative="0">
      <w:start w:val="1"/>
      <w:numFmt w:val="decimal"/>
      <w:pStyle w:val="57"/>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1F00E93"/>
    <w:multiLevelType w:val="multilevel"/>
    <w:tmpl w:val="01F00E93"/>
    <w:lvl w:ilvl="0" w:tentative="0">
      <w:start w:val="1"/>
      <w:numFmt w:val="decimal"/>
      <w:suff w:val="space"/>
      <w:lvlText w:val="（%1）"/>
      <w:lvlJc w:val="left"/>
      <w:pPr>
        <w:ind w:left="84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24A718C"/>
    <w:multiLevelType w:val="multilevel"/>
    <w:tmpl w:val="024A718C"/>
    <w:lvl w:ilvl="0" w:tentative="0">
      <w:start w:val="1"/>
      <w:numFmt w:val="chineseCountingThousand"/>
      <w:suff w:val="space"/>
      <w:lvlText w:val="%1、"/>
      <w:lvlJc w:val="left"/>
      <w:pPr>
        <w:ind w:left="840" w:hanging="420"/>
      </w:pPr>
      <w:rPr>
        <w:rFonts w:hint="eastAsia"/>
        <w:b/>
      </w:rPr>
    </w:lvl>
    <w:lvl w:ilvl="1" w:tentative="0">
      <w:start w:val="1"/>
      <w:numFmt w:val="decimal"/>
      <w:lvlText w:val="%2、"/>
      <w:lvlJc w:val="left"/>
      <w:pPr>
        <w:ind w:left="1200" w:hanging="360"/>
      </w:pPr>
      <w:rPr>
        <w:rFonts w:hint="default" w:ascii="Calibri" w:hAnsi="宋体" w:cs="仿宋"/>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2967493"/>
    <w:multiLevelType w:val="multilevel"/>
    <w:tmpl w:val="02967493"/>
    <w:lvl w:ilvl="0" w:tentative="0">
      <w:start w:val="1"/>
      <w:numFmt w:val="decimal"/>
      <w:lvlText w:val="%1、"/>
      <w:lvlJc w:val="left"/>
      <w:pPr>
        <w:ind w:left="1020" w:hanging="36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abstractNum w:abstractNumId="7">
    <w:nsid w:val="03F90F50"/>
    <w:multiLevelType w:val="multilevel"/>
    <w:tmpl w:val="03F90F50"/>
    <w:lvl w:ilvl="0" w:tentative="0">
      <w:start w:val="1"/>
      <w:numFmt w:val="decimal"/>
      <w:lvlText w:val="%1"/>
      <w:lvlJc w:val="left"/>
      <w:pPr>
        <w:ind w:left="425" w:hanging="425"/>
      </w:pPr>
      <w:rPr>
        <w:rFonts w:hint="eastAsia"/>
      </w:rPr>
    </w:lvl>
    <w:lvl w:ilvl="1" w:tentative="0">
      <w:start w:val="1"/>
      <w:numFmt w:val="decimal"/>
      <w:suff w:val="space"/>
      <w:lvlText w:val="18.%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9970F53"/>
    <w:multiLevelType w:val="multilevel"/>
    <w:tmpl w:val="09970F53"/>
    <w:lvl w:ilvl="0" w:tentative="0">
      <w:start w:val="1"/>
      <w:numFmt w:val="decimal"/>
      <w:lvlText w:val="%1"/>
      <w:lvlJc w:val="left"/>
      <w:pPr>
        <w:ind w:left="425" w:hanging="425"/>
      </w:pPr>
      <w:rPr>
        <w:rFonts w:hint="eastAsia"/>
      </w:rPr>
    </w:lvl>
    <w:lvl w:ilvl="1" w:tentative="0">
      <w:start w:val="1"/>
      <w:numFmt w:val="decimal"/>
      <w:suff w:val="space"/>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0A2E2CA9"/>
    <w:multiLevelType w:val="multilevel"/>
    <w:tmpl w:val="0A2E2CA9"/>
    <w:lvl w:ilvl="0" w:tentative="0">
      <w:start w:val="1"/>
      <w:numFmt w:val="decimal"/>
      <w:lvlText w:val="%1"/>
      <w:lvlJc w:val="left"/>
      <w:pPr>
        <w:ind w:left="425" w:hanging="425"/>
      </w:pPr>
      <w:rPr>
        <w:rFonts w:hint="eastAsia"/>
      </w:rPr>
    </w:lvl>
    <w:lvl w:ilvl="1" w:tentative="0">
      <w:start w:val="1"/>
      <w:numFmt w:val="decimal"/>
      <w:suff w:val="space"/>
      <w:lvlText w:val="25.%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0E492807"/>
    <w:multiLevelType w:val="multilevel"/>
    <w:tmpl w:val="0E492807"/>
    <w:lvl w:ilvl="0" w:tentative="0">
      <w:start w:val="1"/>
      <w:numFmt w:val="decimal"/>
      <w:lvlText w:val="%1"/>
      <w:lvlJc w:val="left"/>
      <w:pPr>
        <w:ind w:left="425" w:hanging="425"/>
      </w:pPr>
      <w:rPr>
        <w:rFonts w:hint="eastAsia"/>
      </w:rPr>
    </w:lvl>
    <w:lvl w:ilvl="1" w:tentative="0">
      <w:start w:val="1"/>
      <w:numFmt w:val="decimal"/>
      <w:suff w:val="space"/>
      <w:lvlText w:val="2.%2"/>
      <w:lvlJc w:val="left"/>
      <w:pPr>
        <w:ind w:left="0" w:firstLine="425"/>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160A39F7"/>
    <w:multiLevelType w:val="multilevel"/>
    <w:tmpl w:val="160A39F7"/>
    <w:lvl w:ilvl="0" w:tentative="0">
      <w:start w:val="1"/>
      <w:numFmt w:val="decimal"/>
      <w:lvlText w:val="%1"/>
      <w:lvlJc w:val="left"/>
      <w:pPr>
        <w:ind w:left="425" w:hanging="425"/>
      </w:pPr>
      <w:rPr>
        <w:rFonts w:hint="eastAsia"/>
      </w:rPr>
    </w:lvl>
    <w:lvl w:ilvl="1" w:tentative="0">
      <w:start w:val="1"/>
      <w:numFmt w:val="decimal"/>
      <w:suff w:val="space"/>
      <w:lvlText w:val="8.%2"/>
      <w:lvlJc w:val="left"/>
      <w:pPr>
        <w:ind w:left="0" w:firstLine="425"/>
      </w:pPr>
      <w:rPr>
        <w:rFonts w:hint="eastAsia" w:ascii="宋体" w:hAnsi="宋体" w:eastAsia="宋体"/>
        <w:b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18385DFA"/>
    <w:multiLevelType w:val="multilevel"/>
    <w:tmpl w:val="18385DFA"/>
    <w:lvl w:ilvl="0" w:tentative="0">
      <w:start w:val="1"/>
      <w:numFmt w:val="decimal"/>
      <w:lvlText w:val="%1"/>
      <w:lvlJc w:val="left"/>
      <w:pPr>
        <w:ind w:left="425" w:hanging="425"/>
      </w:pPr>
      <w:rPr>
        <w:rFonts w:hint="eastAsia" w:eastAsia="宋体"/>
        <w:sz w:val="24"/>
      </w:rPr>
    </w:lvl>
    <w:lvl w:ilvl="1" w:tentative="0">
      <w:start w:val="1"/>
      <w:numFmt w:val="decimal"/>
      <w:suff w:val="space"/>
      <w:lvlText w:val="15.%2"/>
      <w:lvlJc w:val="left"/>
      <w:pPr>
        <w:ind w:left="0" w:firstLine="425"/>
      </w:pPr>
      <w:rPr>
        <w:rFonts w:hint="eastAsia" w:ascii="宋体" w:hAnsi="宋体" w:eastAsia="宋体"/>
        <w:b/>
      </w:rPr>
    </w:lvl>
    <w:lvl w:ilvl="2" w:tentative="0">
      <w:start w:val="1"/>
      <w:numFmt w:val="decimal"/>
      <w:suff w:val="space"/>
      <w:lvlText w:val="%15.2.%3"/>
      <w:lvlJc w:val="left"/>
      <w:pPr>
        <w:ind w:left="1418" w:hanging="567"/>
      </w:pPr>
      <w:rPr>
        <w:rFonts w:hint="eastAsia" w:ascii="宋体" w:hAnsi="宋体" w:eastAsia="宋体"/>
        <w:b/>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1EEA3033"/>
    <w:multiLevelType w:val="multilevel"/>
    <w:tmpl w:val="1EEA303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75"/>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4">
    <w:nsid w:val="1F5C3200"/>
    <w:multiLevelType w:val="multilevel"/>
    <w:tmpl w:val="1F5C3200"/>
    <w:lvl w:ilvl="0" w:tentative="0">
      <w:start w:val="1"/>
      <w:numFmt w:val="decimal"/>
      <w:lvlText w:val="%1"/>
      <w:lvlJc w:val="left"/>
      <w:pPr>
        <w:ind w:left="425" w:hanging="425"/>
      </w:pPr>
      <w:rPr>
        <w:rFonts w:hint="eastAsia"/>
      </w:rPr>
    </w:lvl>
    <w:lvl w:ilvl="1" w:tentative="0">
      <w:start w:val="1"/>
      <w:numFmt w:val="decimal"/>
      <w:suff w:val="space"/>
      <w:lvlText w:val="24.%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213F282F"/>
    <w:multiLevelType w:val="multilevel"/>
    <w:tmpl w:val="213F282F"/>
    <w:lvl w:ilvl="0" w:tentative="0">
      <w:start w:val="1"/>
      <w:numFmt w:val="decimal"/>
      <w:suff w:val="space"/>
      <w:lvlText w:val="%1、"/>
      <w:lvlJc w:val="left"/>
      <w:pPr>
        <w:ind w:left="988" w:hanging="420"/>
      </w:pPr>
      <w:rPr>
        <w:rFonts w:hint="eastAsia"/>
      </w:rPr>
    </w:lvl>
    <w:lvl w:ilvl="1" w:tentative="0">
      <w:start w:val="1"/>
      <w:numFmt w:val="lowerLetter"/>
      <w:lvlText w:val="%2)"/>
      <w:lvlJc w:val="left"/>
      <w:pPr>
        <w:ind w:left="2100" w:hanging="420"/>
      </w:pPr>
    </w:lvl>
    <w:lvl w:ilvl="2" w:tentative="0">
      <w:start w:val="1"/>
      <w:numFmt w:val="lowerRoman"/>
      <w:lvlText w:val="%3."/>
      <w:lvlJc w:val="right"/>
      <w:pPr>
        <w:ind w:left="2520" w:hanging="420"/>
      </w:pPr>
    </w:lvl>
    <w:lvl w:ilvl="3" w:tentative="0">
      <w:start w:val="1"/>
      <w:numFmt w:val="decimal"/>
      <w:lvlText w:val="%4."/>
      <w:lvlJc w:val="left"/>
      <w:pPr>
        <w:ind w:left="2940" w:hanging="420"/>
      </w:pPr>
    </w:lvl>
    <w:lvl w:ilvl="4" w:tentative="0">
      <w:start w:val="1"/>
      <w:numFmt w:val="lowerLetter"/>
      <w:lvlText w:val="%5)"/>
      <w:lvlJc w:val="left"/>
      <w:pPr>
        <w:ind w:left="3360" w:hanging="420"/>
      </w:pPr>
    </w:lvl>
    <w:lvl w:ilvl="5" w:tentative="0">
      <w:start w:val="1"/>
      <w:numFmt w:val="lowerRoman"/>
      <w:lvlText w:val="%6."/>
      <w:lvlJc w:val="right"/>
      <w:pPr>
        <w:ind w:left="3780" w:hanging="420"/>
      </w:pPr>
    </w:lvl>
    <w:lvl w:ilvl="6" w:tentative="0">
      <w:start w:val="1"/>
      <w:numFmt w:val="decimal"/>
      <w:lvlText w:val="%7."/>
      <w:lvlJc w:val="left"/>
      <w:pPr>
        <w:ind w:left="4200" w:hanging="420"/>
      </w:pPr>
    </w:lvl>
    <w:lvl w:ilvl="7" w:tentative="0">
      <w:start w:val="1"/>
      <w:numFmt w:val="lowerLetter"/>
      <w:lvlText w:val="%8)"/>
      <w:lvlJc w:val="left"/>
      <w:pPr>
        <w:ind w:left="4620" w:hanging="420"/>
      </w:pPr>
    </w:lvl>
    <w:lvl w:ilvl="8" w:tentative="0">
      <w:start w:val="1"/>
      <w:numFmt w:val="lowerRoman"/>
      <w:lvlText w:val="%9."/>
      <w:lvlJc w:val="right"/>
      <w:pPr>
        <w:ind w:left="5040" w:hanging="420"/>
      </w:pPr>
    </w:lvl>
  </w:abstractNum>
  <w:abstractNum w:abstractNumId="16">
    <w:nsid w:val="21690291"/>
    <w:multiLevelType w:val="multilevel"/>
    <w:tmpl w:val="21690291"/>
    <w:lvl w:ilvl="0" w:tentative="0">
      <w:start w:val="1"/>
      <w:numFmt w:val="decimal"/>
      <w:lvlText w:val="%1"/>
      <w:lvlJc w:val="left"/>
      <w:pPr>
        <w:ind w:left="425" w:hanging="425"/>
      </w:pPr>
      <w:rPr>
        <w:rFonts w:hint="eastAsia"/>
      </w:rPr>
    </w:lvl>
    <w:lvl w:ilvl="1" w:tentative="0">
      <w:start w:val="1"/>
      <w:numFmt w:val="decimal"/>
      <w:suff w:val="space"/>
      <w:lvlText w:val="20.%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7">
    <w:nsid w:val="25CD5830"/>
    <w:multiLevelType w:val="multilevel"/>
    <w:tmpl w:val="25CD5830"/>
    <w:lvl w:ilvl="0" w:tentative="0">
      <w:start w:val="1"/>
      <w:numFmt w:val="decimal"/>
      <w:suff w:val="space"/>
      <w:lvlText w:val="（%1）"/>
      <w:lvlJc w:val="left"/>
      <w:pPr>
        <w:ind w:left="840" w:hanging="420"/>
      </w:pPr>
      <w:rPr>
        <w:rFonts w:hint="default"/>
      </w:rPr>
    </w:lvl>
    <w:lvl w:ilvl="1" w:tentative="0">
      <w:start w:val="1"/>
      <w:numFmt w:val="lowerLetter"/>
      <w:lvlText w:val="%2)"/>
      <w:lvlJc w:val="left"/>
      <w:pPr>
        <w:ind w:left="1310" w:hanging="420"/>
      </w:pPr>
    </w:lvl>
    <w:lvl w:ilvl="2" w:tentative="0">
      <w:start w:val="1"/>
      <w:numFmt w:val="lowerRoman"/>
      <w:lvlText w:val="%3."/>
      <w:lvlJc w:val="right"/>
      <w:pPr>
        <w:ind w:left="1730" w:hanging="420"/>
      </w:pPr>
    </w:lvl>
    <w:lvl w:ilvl="3" w:tentative="0">
      <w:start w:val="1"/>
      <w:numFmt w:val="decimal"/>
      <w:lvlText w:val="%4."/>
      <w:lvlJc w:val="left"/>
      <w:pPr>
        <w:ind w:left="2150" w:hanging="420"/>
      </w:pPr>
    </w:lvl>
    <w:lvl w:ilvl="4" w:tentative="0">
      <w:start w:val="1"/>
      <w:numFmt w:val="lowerLetter"/>
      <w:lvlText w:val="%5)"/>
      <w:lvlJc w:val="left"/>
      <w:pPr>
        <w:ind w:left="2570" w:hanging="420"/>
      </w:pPr>
    </w:lvl>
    <w:lvl w:ilvl="5" w:tentative="0">
      <w:start w:val="1"/>
      <w:numFmt w:val="lowerRoman"/>
      <w:lvlText w:val="%6."/>
      <w:lvlJc w:val="right"/>
      <w:pPr>
        <w:ind w:left="2990" w:hanging="420"/>
      </w:pPr>
    </w:lvl>
    <w:lvl w:ilvl="6" w:tentative="0">
      <w:start w:val="1"/>
      <w:numFmt w:val="decimal"/>
      <w:lvlText w:val="%7."/>
      <w:lvlJc w:val="left"/>
      <w:pPr>
        <w:ind w:left="3410" w:hanging="420"/>
      </w:pPr>
    </w:lvl>
    <w:lvl w:ilvl="7" w:tentative="0">
      <w:start w:val="1"/>
      <w:numFmt w:val="lowerLetter"/>
      <w:lvlText w:val="%8)"/>
      <w:lvlJc w:val="left"/>
      <w:pPr>
        <w:ind w:left="3830" w:hanging="420"/>
      </w:pPr>
    </w:lvl>
    <w:lvl w:ilvl="8" w:tentative="0">
      <w:start w:val="1"/>
      <w:numFmt w:val="lowerRoman"/>
      <w:lvlText w:val="%9."/>
      <w:lvlJc w:val="right"/>
      <w:pPr>
        <w:ind w:left="4250" w:hanging="420"/>
      </w:pPr>
    </w:lvl>
  </w:abstractNum>
  <w:abstractNum w:abstractNumId="18">
    <w:nsid w:val="3906508B"/>
    <w:multiLevelType w:val="multilevel"/>
    <w:tmpl w:val="3906508B"/>
    <w:lvl w:ilvl="0" w:tentative="0">
      <w:start w:val="1"/>
      <w:numFmt w:val="decimal"/>
      <w:lvlText w:val="%1"/>
      <w:lvlJc w:val="left"/>
      <w:pPr>
        <w:ind w:left="425" w:hanging="425"/>
      </w:pPr>
      <w:rPr>
        <w:rFonts w:hint="eastAsia"/>
      </w:rPr>
    </w:lvl>
    <w:lvl w:ilvl="1" w:tentative="0">
      <w:start w:val="1"/>
      <w:numFmt w:val="decimal"/>
      <w:suff w:val="space"/>
      <w:lvlText w:val="30.%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20">
    <w:nsid w:val="3FA26641"/>
    <w:multiLevelType w:val="multilevel"/>
    <w:tmpl w:val="3FA26641"/>
    <w:lvl w:ilvl="0" w:tentative="0">
      <w:start w:val="1"/>
      <w:numFmt w:val="decimal"/>
      <w:suff w:val="space"/>
      <w:lvlText w:val="（%1）"/>
      <w:lvlJc w:val="left"/>
      <w:pPr>
        <w:ind w:left="84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40E37BB1"/>
    <w:multiLevelType w:val="multilevel"/>
    <w:tmpl w:val="40E37BB1"/>
    <w:lvl w:ilvl="0" w:tentative="0">
      <w:start w:val="1"/>
      <w:numFmt w:val="decimal"/>
      <w:lvlText w:val="%1"/>
      <w:lvlJc w:val="left"/>
      <w:pPr>
        <w:ind w:left="425" w:hanging="425"/>
      </w:pPr>
      <w:rPr>
        <w:rFonts w:hint="eastAsia"/>
      </w:rPr>
    </w:lvl>
    <w:lvl w:ilvl="1" w:tentative="0">
      <w:start w:val="1"/>
      <w:numFmt w:val="decimal"/>
      <w:suff w:val="space"/>
      <w:lvlText w:val="14.%2"/>
      <w:lvlJc w:val="left"/>
      <w:pPr>
        <w:ind w:left="0" w:firstLine="425"/>
      </w:pPr>
      <w:rPr>
        <w:rFonts w:hint="eastAsia" w:ascii="宋体" w:hAnsi="宋体" w:eastAsia="宋体"/>
        <w:b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424C2CC9"/>
    <w:multiLevelType w:val="multilevel"/>
    <w:tmpl w:val="424C2CC9"/>
    <w:lvl w:ilvl="0" w:tentative="0">
      <w:start w:val="1"/>
      <w:numFmt w:val="decimal"/>
      <w:suff w:val="space"/>
      <w:lvlText w:val="（%1）"/>
      <w:lvlJc w:val="left"/>
      <w:pPr>
        <w:ind w:left="0" w:firstLine="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590704A"/>
    <w:multiLevelType w:val="multilevel"/>
    <w:tmpl w:val="4590704A"/>
    <w:lvl w:ilvl="0" w:tentative="0">
      <w:start w:val="1"/>
      <w:numFmt w:val="decimal"/>
      <w:lvlText w:val="%1"/>
      <w:lvlJc w:val="left"/>
      <w:pPr>
        <w:ind w:left="425" w:hanging="425"/>
      </w:pPr>
      <w:rPr>
        <w:rFonts w:hint="eastAsia"/>
      </w:rPr>
    </w:lvl>
    <w:lvl w:ilvl="1" w:tentative="0">
      <w:start w:val="1"/>
      <w:numFmt w:val="decimal"/>
      <w:suff w:val="space"/>
      <w:lvlText w:val="17.%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47C33A9C"/>
    <w:multiLevelType w:val="multilevel"/>
    <w:tmpl w:val="47C33A9C"/>
    <w:lvl w:ilvl="0" w:tentative="0">
      <w:start w:val="1"/>
      <w:numFmt w:val="decimal"/>
      <w:lvlText w:val="%1"/>
      <w:lvlJc w:val="left"/>
      <w:pPr>
        <w:ind w:left="425" w:hanging="425"/>
      </w:pPr>
      <w:rPr>
        <w:rFonts w:hint="eastAsia"/>
      </w:rPr>
    </w:lvl>
    <w:lvl w:ilvl="1" w:tentative="0">
      <w:start w:val="1"/>
      <w:numFmt w:val="decimal"/>
      <w:suff w:val="space"/>
      <w:lvlText w:val="23.%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4B037887"/>
    <w:multiLevelType w:val="multilevel"/>
    <w:tmpl w:val="4B037887"/>
    <w:lvl w:ilvl="0" w:tentative="0">
      <w:start w:val="1"/>
      <w:numFmt w:val="decimal"/>
      <w:lvlText w:val="%1"/>
      <w:lvlJc w:val="left"/>
      <w:pPr>
        <w:ind w:left="425" w:hanging="425"/>
      </w:pPr>
      <w:rPr>
        <w:rFonts w:hint="eastAsia"/>
      </w:rPr>
    </w:lvl>
    <w:lvl w:ilvl="1" w:tentative="0">
      <w:start w:val="1"/>
      <w:numFmt w:val="decimal"/>
      <w:suff w:val="space"/>
      <w:lvlText w:val="15.%2"/>
      <w:lvlJc w:val="left"/>
      <w:pPr>
        <w:ind w:left="0" w:firstLine="425"/>
      </w:pPr>
      <w:rPr>
        <w:rFonts w:hint="eastAsia" w:ascii="宋体" w:hAnsi="宋体" w:eastAsia="宋体"/>
        <w:b/>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59E59510"/>
    <w:multiLevelType w:val="singleLevel"/>
    <w:tmpl w:val="59E59510"/>
    <w:lvl w:ilvl="0" w:tentative="0">
      <w:start w:val="1"/>
      <w:numFmt w:val="decimal"/>
      <w:suff w:val="nothing"/>
      <w:lvlText w:val="%1．"/>
      <w:lvlJc w:val="left"/>
      <w:pPr>
        <w:ind w:left="-190" w:firstLine="400"/>
      </w:pPr>
      <w:rPr>
        <w:rFonts w:hint="default"/>
      </w:rPr>
    </w:lvl>
  </w:abstractNum>
  <w:abstractNum w:abstractNumId="27">
    <w:nsid w:val="5E1927E8"/>
    <w:multiLevelType w:val="multilevel"/>
    <w:tmpl w:val="5E1927E8"/>
    <w:lvl w:ilvl="0" w:tentative="0">
      <w:start w:val="1"/>
      <w:numFmt w:val="decimal"/>
      <w:lvlText w:val="%1"/>
      <w:lvlJc w:val="left"/>
      <w:pPr>
        <w:ind w:left="425" w:hanging="425"/>
      </w:pPr>
      <w:rPr>
        <w:rFonts w:hint="eastAsia"/>
      </w:rPr>
    </w:lvl>
    <w:lvl w:ilvl="1" w:tentative="0">
      <w:start w:val="1"/>
      <w:numFmt w:val="decimal"/>
      <w:suff w:val="space"/>
      <w:lvlText w:val="21.%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F7F4C55"/>
    <w:multiLevelType w:val="multilevel"/>
    <w:tmpl w:val="5F7F4C55"/>
    <w:lvl w:ilvl="0" w:tentative="0">
      <w:start w:val="1"/>
      <w:numFmt w:val="decimal"/>
      <w:lvlText w:val="%1"/>
      <w:lvlJc w:val="left"/>
      <w:pPr>
        <w:ind w:left="425" w:hanging="425"/>
      </w:pPr>
      <w:rPr>
        <w:rFonts w:hint="eastAsia"/>
      </w:rPr>
    </w:lvl>
    <w:lvl w:ilvl="1" w:tentative="0">
      <w:start w:val="1"/>
      <w:numFmt w:val="decimal"/>
      <w:suff w:val="space"/>
      <w:lvlText w:val="19.%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68CA549F"/>
    <w:multiLevelType w:val="multilevel"/>
    <w:tmpl w:val="68CA549F"/>
    <w:lvl w:ilvl="0" w:tentative="0">
      <w:start w:val="1"/>
      <w:numFmt w:val="chineseCountingThousand"/>
      <w:suff w:val="space"/>
      <w:lvlText w:val="(%1)"/>
      <w:lvlJc w:val="left"/>
      <w:pPr>
        <w:ind w:left="3822" w:hanging="420"/>
      </w:pPr>
      <w:rPr>
        <w:rFonts w:hint="eastAsia"/>
      </w:rPr>
    </w:lvl>
    <w:lvl w:ilvl="1" w:tentative="0">
      <w:start w:val="1"/>
      <w:numFmt w:val="lowerLetter"/>
      <w:lvlText w:val="%2)"/>
      <w:lvlJc w:val="left"/>
      <w:pPr>
        <w:ind w:left="4302" w:hanging="420"/>
      </w:pPr>
    </w:lvl>
    <w:lvl w:ilvl="2" w:tentative="0">
      <w:start w:val="1"/>
      <w:numFmt w:val="lowerRoman"/>
      <w:lvlText w:val="%3."/>
      <w:lvlJc w:val="right"/>
      <w:pPr>
        <w:ind w:left="4722" w:hanging="420"/>
      </w:pPr>
    </w:lvl>
    <w:lvl w:ilvl="3" w:tentative="0">
      <w:start w:val="1"/>
      <w:numFmt w:val="decimal"/>
      <w:lvlText w:val="%4."/>
      <w:lvlJc w:val="left"/>
      <w:pPr>
        <w:ind w:left="5142" w:hanging="420"/>
      </w:pPr>
    </w:lvl>
    <w:lvl w:ilvl="4" w:tentative="0">
      <w:start w:val="1"/>
      <w:numFmt w:val="lowerLetter"/>
      <w:lvlText w:val="%5)"/>
      <w:lvlJc w:val="left"/>
      <w:pPr>
        <w:ind w:left="5562" w:hanging="420"/>
      </w:pPr>
    </w:lvl>
    <w:lvl w:ilvl="5" w:tentative="0">
      <w:start w:val="1"/>
      <w:numFmt w:val="lowerRoman"/>
      <w:lvlText w:val="%6."/>
      <w:lvlJc w:val="right"/>
      <w:pPr>
        <w:ind w:left="5982" w:hanging="420"/>
      </w:pPr>
    </w:lvl>
    <w:lvl w:ilvl="6" w:tentative="0">
      <w:start w:val="1"/>
      <w:numFmt w:val="decimal"/>
      <w:lvlText w:val="%7."/>
      <w:lvlJc w:val="left"/>
      <w:pPr>
        <w:ind w:left="6402" w:hanging="420"/>
      </w:pPr>
    </w:lvl>
    <w:lvl w:ilvl="7" w:tentative="0">
      <w:start w:val="1"/>
      <w:numFmt w:val="lowerLetter"/>
      <w:lvlText w:val="%8)"/>
      <w:lvlJc w:val="left"/>
      <w:pPr>
        <w:ind w:left="6822" w:hanging="420"/>
      </w:pPr>
    </w:lvl>
    <w:lvl w:ilvl="8" w:tentative="0">
      <w:start w:val="1"/>
      <w:numFmt w:val="lowerRoman"/>
      <w:lvlText w:val="%9."/>
      <w:lvlJc w:val="right"/>
      <w:pPr>
        <w:ind w:left="7242" w:hanging="420"/>
      </w:pPr>
    </w:lvl>
  </w:abstractNum>
  <w:abstractNum w:abstractNumId="30">
    <w:nsid w:val="6CD15578"/>
    <w:multiLevelType w:val="multilevel"/>
    <w:tmpl w:val="6CD15578"/>
    <w:lvl w:ilvl="0" w:tentative="0">
      <w:start w:val="1"/>
      <w:numFmt w:val="decimal"/>
      <w:lvlText w:val="%1"/>
      <w:lvlJc w:val="left"/>
      <w:pPr>
        <w:ind w:left="425" w:hanging="425"/>
      </w:pPr>
      <w:rPr>
        <w:rFonts w:hint="eastAsia"/>
      </w:rPr>
    </w:lvl>
    <w:lvl w:ilvl="1" w:tentative="0">
      <w:start w:val="1"/>
      <w:numFmt w:val="decimal"/>
      <w:suff w:val="space"/>
      <w:lvlText w:val="22.%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1">
    <w:nsid w:val="6E4E6E20"/>
    <w:multiLevelType w:val="multilevel"/>
    <w:tmpl w:val="6E4E6E20"/>
    <w:lvl w:ilvl="0" w:tentative="0">
      <w:start w:val="1"/>
      <w:numFmt w:val="decimal"/>
      <w:lvlText w:val="%1"/>
      <w:lvlJc w:val="left"/>
      <w:pPr>
        <w:ind w:left="425" w:hanging="425"/>
      </w:pPr>
      <w:rPr>
        <w:rFonts w:hint="eastAsia"/>
      </w:rPr>
    </w:lvl>
    <w:lvl w:ilvl="1" w:tentative="0">
      <w:start w:val="1"/>
      <w:numFmt w:val="decimal"/>
      <w:suff w:val="space"/>
      <w:lvlText w:val="6.%2"/>
      <w:lvlJc w:val="left"/>
      <w:pPr>
        <w:ind w:left="992" w:hanging="567"/>
      </w:pPr>
      <w:rPr>
        <w:rFonts w:hint="eastAsia" w:ascii="宋体" w:hAnsi="宋体" w:eastAsia="宋体"/>
        <w:b/>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2">
    <w:nsid w:val="719F20E5"/>
    <w:multiLevelType w:val="multilevel"/>
    <w:tmpl w:val="719F20E5"/>
    <w:lvl w:ilvl="0" w:tentative="0">
      <w:start w:val="1"/>
      <w:numFmt w:val="chineseCountingThousand"/>
      <w:lvlText w:val="%1、"/>
      <w:lvlJc w:val="left"/>
      <w:pPr>
        <w:ind w:left="890" w:hanging="420"/>
      </w:pPr>
      <w:rPr>
        <w:rFonts w:hint="eastAsia"/>
      </w:rPr>
    </w:lvl>
    <w:lvl w:ilvl="1" w:tentative="0">
      <w:start w:val="1"/>
      <w:numFmt w:val="lowerLetter"/>
      <w:lvlText w:val="%2)"/>
      <w:lvlJc w:val="left"/>
      <w:pPr>
        <w:ind w:left="1310" w:hanging="420"/>
      </w:pPr>
    </w:lvl>
    <w:lvl w:ilvl="2" w:tentative="0">
      <w:start w:val="1"/>
      <w:numFmt w:val="chineseCountingThousand"/>
      <w:suff w:val="space"/>
      <w:lvlText w:val="%3、"/>
      <w:lvlJc w:val="left"/>
      <w:pPr>
        <w:ind w:left="840" w:hanging="420"/>
      </w:pPr>
      <w:rPr>
        <w:rFonts w:hint="eastAsia"/>
      </w:rPr>
    </w:lvl>
    <w:lvl w:ilvl="3" w:tentative="0">
      <w:start w:val="1"/>
      <w:numFmt w:val="decimal"/>
      <w:lvlText w:val="%4."/>
      <w:lvlJc w:val="left"/>
      <w:pPr>
        <w:ind w:left="2150" w:hanging="420"/>
      </w:pPr>
    </w:lvl>
    <w:lvl w:ilvl="4" w:tentative="0">
      <w:start w:val="1"/>
      <w:numFmt w:val="lowerLetter"/>
      <w:lvlText w:val="%5)"/>
      <w:lvlJc w:val="left"/>
      <w:pPr>
        <w:ind w:left="2570" w:hanging="420"/>
      </w:pPr>
    </w:lvl>
    <w:lvl w:ilvl="5" w:tentative="0">
      <w:start w:val="1"/>
      <w:numFmt w:val="lowerRoman"/>
      <w:lvlText w:val="%6."/>
      <w:lvlJc w:val="right"/>
      <w:pPr>
        <w:ind w:left="2990" w:hanging="420"/>
      </w:pPr>
    </w:lvl>
    <w:lvl w:ilvl="6" w:tentative="0">
      <w:start w:val="1"/>
      <w:numFmt w:val="decimal"/>
      <w:lvlText w:val="%7."/>
      <w:lvlJc w:val="left"/>
      <w:pPr>
        <w:ind w:left="3410" w:hanging="420"/>
      </w:pPr>
    </w:lvl>
    <w:lvl w:ilvl="7" w:tentative="0">
      <w:start w:val="1"/>
      <w:numFmt w:val="lowerLetter"/>
      <w:lvlText w:val="%8)"/>
      <w:lvlJc w:val="left"/>
      <w:pPr>
        <w:ind w:left="3830" w:hanging="420"/>
      </w:pPr>
    </w:lvl>
    <w:lvl w:ilvl="8" w:tentative="0">
      <w:start w:val="1"/>
      <w:numFmt w:val="lowerRoman"/>
      <w:lvlText w:val="%9."/>
      <w:lvlJc w:val="right"/>
      <w:pPr>
        <w:ind w:left="4250" w:hanging="420"/>
      </w:pPr>
    </w:lvl>
  </w:abstractNum>
  <w:abstractNum w:abstractNumId="33">
    <w:nsid w:val="72347824"/>
    <w:multiLevelType w:val="multilevel"/>
    <w:tmpl w:val="72347824"/>
    <w:lvl w:ilvl="0" w:tentative="0">
      <w:start w:val="1"/>
      <w:numFmt w:val="decimal"/>
      <w:lvlText w:val="%1"/>
      <w:lvlJc w:val="left"/>
      <w:pPr>
        <w:ind w:left="425" w:hanging="425"/>
      </w:pPr>
      <w:rPr>
        <w:rFonts w:hint="eastAsia"/>
      </w:rPr>
    </w:lvl>
    <w:lvl w:ilvl="1" w:tentative="0">
      <w:start w:val="1"/>
      <w:numFmt w:val="decimal"/>
      <w:suff w:val="space"/>
      <w:lvlText w:val="10.%2"/>
      <w:lvlJc w:val="left"/>
      <w:pPr>
        <w:ind w:left="0" w:firstLine="425"/>
      </w:pPr>
      <w:rPr>
        <w:rFonts w:hint="eastAsia" w:ascii="宋体" w:hAnsi="宋体" w:eastAsia="宋体"/>
        <w:b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72D06BFF"/>
    <w:multiLevelType w:val="multilevel"/>
    <w:tmpl w:val="72D06BFF"/>
    <w:lvl w:ilvl="0" w:tentative="0">
      <w:start w:val="1"/>
      <w:numFmt w:val="decimal"/>
      <w:lvlText w:val="%1."/>
      <w:lvlJc w:val="left"/>
      <w:pPr>
        <w:ind w:left="840" w:hanging="420"/>
      </w:pPr>
    </w:lvl>
    <w:lvl w:ilvl="1" w:tentative="0">
      <w:start w:val="1"/>
      <w:numFmt w:val="decimal"/>
      <w:suff w:val="space"/>
      <w:lvlText w:val="%2."/>
      <w:lvlJc w:val="left"/>
      <w:pPr>
        <w:ind w:left="1838" w:hanging="420"/>
      </w:pPr>
      <w:rPr>
        <w:rFonts w:hint="eastAsia" w:ascii="宋体" w:hAnsi="宋体" w:eastAsia="宋体"/>
        <w:b/>
      </w:rPr>
    </w:lvl>
    <w:lvl w:ilvl="2" w:tentative="0">
      <w:start w:val="1"/>
      <w:numFmt w:val="japaneseCounting"/>
      <w:lvlText w:val="%3、"/>
      <w:lvlJc w:val="left"/>
      <w:pPr>
        <w:ind w:left="1740" w:hanging="480"/>
      </w:pPr>
      <w:rPr>
        <w:rFonts w:hint="default"/>
      </w:rPr>
    </w:lvl>
    <w:lvl w:ilvl="3" w:tentative="0">
      <w:start w:val="1"/>
      <w:numFmt w:val="decimal"/>
      <w:lvlText w:val="%4、"/>
      <w:lvlJc w:val="left"/>
      <w:pPr>
        <w:ind w:left="2040" w:hanging="36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74F22843"/>
    <w:multiLevelType w:val="multilevel"/>
    <w:tmpl w:val="74F22843"/>
    <w:lvl w:ilvl="0" w:tentative="0">
      <w:start w:val="1"/>
      <w:numFmt w:val="decimal"/>
      <w:lvlText w:val="%1"/>
      <w:lvlJc w:val="left"/>
      <w:pPr>
        <w:ind w:left="425" w:hanging="425"/>
      </w:pPr>
      <w:rPr>
        <w:rFonts w:hint="eastAsia"/>
      </w:rPr>
    </w:lvl>
    <w:lvl w:ilvl="1" w:tentative="0">
      <w:start w:val="1"/>
      <w:numFmt w:val="decimal"/>
      <w:suff w:val="space"/>
      <w:lvlText w:val="29.%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6">
    <w:nsid w:val="77F65C2C"/>
    <w:multiLevelType w:val="multilevel"/>
    <w:tmpl w:val="77F65C2C"/>
    <w:lvl w:ilvl="0" w:tentative="0">
      <w:start w:val="1"/>
      <w:numFmt w:val="decimal"/>
      <w:lvlText w:val="%1"/>
      <w:lvlJc w:val="left"/>
      <w:pPr>
        <w:ind w:left="425" w:hanging="425"/>
      </w:pPr>
      <w:rPr>
        <w:rFonts w:hint="eastAsia"/>
      </w:rPr>
    </w:lvl>
    <w:lvl w:ilvl="1" w:tentative="0">
      <w:start w:val="1"/>
      <w:numFmt w:val="decimal"/>
      <w:suff w:val="space"/>
      <w:lvlText w:val="16.%2"/>
      <w:lvlJc w:val="left"/>
      <w:pPr>
        <w:ind w:left="0" w:firstLine="425"/>
      </w:pPr>
      <w:rPr>
        <w:rFonts w:hint="default" w:ascii="宋体" w:eastAsia="宋体"/>
        <w:b w:val="0"/>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7">
    <w:nsid w:val="7A090C68"/>
    <w:multiLevelType w:val="multilevel"/>
    <w:tmpl w:val="7A090C68"/>
    <w:lvl w:ilvl="0" w:tentative="0">
      <w:start w:val="1"/>
      <w:numFmt w:val="decimal"/>
      <w:suff w:val="space"/>
      <w:lvlText w:val="（%1）"/>
      <w:lvlJc w:val="left"/>
      <w:pPr>
        <w:ind w:left="84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9"/>
  </w:num>
  <w:num w:numId="3">
    <w:abstractNumId w:val="13"/>
  </w:num>
  <w:num w:numId="4">
    <w:abstractNumId w:val="5"/>
  </w:num>
  <w:num w:numId="5">
    <w:abstractNumId w:val="34"/>
  </w:num>
  <w:num w:numId="6">
    <w:abstractNumId w:val="8"/>
  </w:num>
  <w:num w:numId="7">
    <w:abstractNumId w:val="10"/>
  </w:num>
  <w:num w:numId="8">
    <w:abstractNumId w:val="37"/>
  </w:num>
  <w:num w:numId="9">
    <w:abstractNumId w:val="31"/>
  </w:num>
  <w:num w:numId="10">
    <w:abstractNumId w:val="29"/>
  </w:num>
  <w:num w:numId="11">
    <w:abstractNumId w:val="11"/>
  </w:num>
  <w:num w:numId="12">
    <w:abstractNumId w:val="33"/>
  </w:num>
  <w:num w:numId="13">
    <w:abstractNumId w:val="21"/>
  </w:num>
  <w:num w:numId="14">
    <w:abstractNumId w:val="25"/>
  </w:num>
  <w:num w:numId="15">
    <w:abstractNumId w:val="12"/>
  </w:num>
  <w:num w:numId="16">
    <w:abstractNumId w:val="22"/>
  </w:num>
  <w:num w:numId="17">
    <w:abstractNumId w:val="36"/>
  </w:num>
  <w:num w:numId="18">
    <w:abstractNumId w:val="23"/>
  </w:num>
  <w:num w:numId="19">
    <w:abstractNumId w:val="17"/>
  </w:num>
  <w:num w:numId="20">
    <w:abstractNumId w:val="7"/>
  </w:num>
  <w:num w:numId="21">
    <w:abstractNumId w:val="28"/>
  </w:num>
  <w:num w:numId="22">
    <w:abstractNumId w:val="16"/>
  </w:num>
  <w:num w:numId="23">
    <w:abstractNumId w:val="27"/>
  </w:num>
  <w:num w:numId="24">
    <w:abstractNumId w:val="30"/>
  </w:num>
  <w:num w:numId="25">
    <w:abstractNumId w:val="24"/>
  </w:num>
  <w:num w:numId="26">
    <w:abstractNumId w:val="14"/>
  </w:num>
  <w:num w:numId="27">
    <w:abstractNumId w:val="20"/>
  </w:num>
  <w:num w:numId="28">
    <w:abstractNumId w:val="9"/>
  </w:num>
  <w:num w:numId="29">
    <w:abstractNumId w:val="35"/>
  </w:num>
  <w:num w:numId="30">
    <w:abstractNumId w:val="18"/>
  </w:num>
  <w:num w:numId="31">
    <w:abstractNumId w:val="4"/>
  </w:num>
  <w:num w:numId="32">
    <w:abstractNumId w:val="32"/>
  </w:num>
  <w:num w:numId="33">
    <w:abstractNumId w:val="6"/>
  </w:num>
  <w:num w:numId="34">
    <w:abstractNumId w:val="26"/>
  </w:num>
  <w:num w:numId="35">
    <w:abstractNumId w:val="15"/>
  </w:num>
  <w:num w:numId="36">
    <w:abstractNumId w:val="0"/>
  </w:num>
  <w:num w:numId="37">
    <w:abstractNumId w:val="1"/>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wNDk5YmRlMWZjNzc2ZTNlZDMyYTUwNjIzOGM3OWIifQ=="/>
  </w:docVars>
  <w:rsids>
    <w:rsidRoot w:val="00000000"/>
    <w:rsid w:val="00197F0B"/>
    <w:rsid w:val="3D15325D"/>
    <w:rsid w:val="61470FC9"/>
    <w:rsid w:val="7D6A6FE3"/>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iPriority="0" w:name="HTML Keyboard"/>
    <w:lsdException w:uiPriority="0" w:name="HTML Preformatted"/>
    <w:lsdException w:uiPriority="0" w:name="HTML Sample"/>
    <w:lsdException w:uiPriority="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overflowPunct w:val="0"/>
      <w:autoSpaceDE w:val="0"/>
      <w:autoSpaceDN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100" w:beforeAutospacing="1" w:after="100" w:afterAutospacing="1" w:line="420" w:lineRule="exact"/>
      <w:jc w:val="center"/>
      <w:outlineLvl w:val="0"/>
    </w:pPr>
    <w:rPr>
      <w:b/>
      <w:bCs/>
      <w:kern w:val="44"/>
      <w:sz w:val="36"/>
      <w:szCs w:val="44"/>
    </w:rPr>
  </w:style>
  <w:style w:type="paragraph" w:styleId="4">
    <w:name w:val="heading 2"/>
    <w:basedOn w:val="1"/>
    <w:next w:val="1"/>
    <w:autoRedefine/>
    <w:qFormat/>
    <w:uiPriority w:val="0"/>
    <w:pPr>
      <w:keepNext/>
      <w:keepLines/>
      <w:spacing w:beforeLines="50" w:afterLines="50" w:line="420" w:lineRule="exact"/>
      <w:jc w:val="center"/>
      <w:outlineLvl w:val="1"/>
    </w:pPr>
    <w:rPr>
      <w:rFonts w:ascii="Arial" w:hAnsi="Arial"/>
      <w:b/>
      <w:bCs/>
      <w:sz w:val="32"/>
      <w:szCs w:val="32"/>
    </w:rPr>
  </w:style>
  <w:style w:type="paragraph" w:styleId="5">
    <w:name w:val="heading 3"/>
    <w:basedOn w:val="1"/>
    <w:next w:val="1"/>
    <w:autoRedefine/>
    <w:qFormat/>
    <w:uiPriority w:val="0"/>
    <w:pPr>
      <w:keepNext/>
      <w:keepLines/>
      <w:snapToGrid w:val="0"/>
      <w:spacing w:line="420" w:lineRule="exact"/>
      <w:ind w:left="200" w:leftChars="200"/>
      <w:jc w:val="left"/>
      <w:outlineLvl w:val="2"/>
    </w:pPr>
    <w:rPr>
      <w:b/>
      <w:bCs/>
      <w:sz w:val="24"/>
      <w:szCs w:val="32"/>
    </w:rPr>
  </w:style>
  <w:style w:type="character" w:default="1" w:styleId="23">
    <w:name w:val="Default Paragraph Font"/>
    <w:autoRedefine/>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2">
    <w:name w:val="Normal Indent"/>
    <w:basedOn w:val="1"/>
    <w:next w:val="1"/>
    <w:link w:val="33"/>
    <w:autoRedefine/>
    <w:qFormat/>
    <w:uiPriority w:val="99"/>
    <w:pPr>
      <w:ind w:firstLine="200" w:firstLineChars="200"/>
    </w:pPr>
  </w:style>
  <w:style w:type="paragraph" w:styleId="6">
    <w:name w:val="Document Map"/>
    <w:basedOn w:val="1"/>
    <w:autoRedefine/>
    <w:semiHidden/>
    <w:qFormat/>
    <w:uiPriority w:val="0"/>
    <w:pPr>
      <w:shd w:val="clear" w:color="auto" w:fill="000080"/>
    </w:pPr>
  </w:style>
  <w:style w:type="paragraph" w:styleId="7">
    <w:name w:val="annotation text"/>
    <w:basedOn w:val="1"/>
    <w:link w:val="34"/>
    <w:autoRedefine/>
    <w:qFormat/>
    <w:uiPriority w:val="99"/>
    <w:pPr>
      <w:jc w:val="left"/>
    </w:pPr>
  </w:style>
  <w:style w:type="paragraph" w:styleId="8">
    <w:name w:val="Salutation"/>
    <w:basedOn w:val="1"/>
    <w:next w:val="1"/>
    <w:autoRedefine/>
    <w:qFormat/>
    <w:uiPriority w:val="0"/>
  </w:style>
  <w:style w:type="paragraph" w:styleId="9">
    <w:name w:val="Body Text"/>
    <w:basedOn w:val="1"/>
    <w:next w:val="1"/>
    <w:autoRedefine/>
    <w:qFormat/>
    <w:uiPriority w:val="0"/>
    <w:pPr>
      <w:widowControl/>
      <w:spacing w:line="360" w:lineRule="auto"/>
    </w:pPr>
    <w:rPr>
      <w:color w:val="FF0000"/>
    </w:rPr>
  </w:style>
  <w:style w:type="paragraph" w:styleId="10">
    <w:name w:val="Body Text Indent"/>
    <w:basedOn w:val="1"/>
    <w:autoRedefine/>
    <w:qFormat/>
    <w:uiPriority w:val="0"/>
    <w:pPr>
      <w:ind w:firstLine="630"/>
    </w:pPr>
    <w:rPr>
      <w:sz w:val="32"/>
      <w:szCs w:val="20"/>
    </w:rPr>
  </w:style>
  <w:style w:type="paragraph" w:styleId="11">
    <w:name w:val="Plain Text"/>
    <w:basedOn w:val="1"/>
    <w:autoRedefine/>
    <w:qFormat/>
    <w:uiPriority w:val="0"/>
    <w:rPr>
      <w:rFonts w:ascii="宋体" w:hAnsi="Courier New" w:cs="Courier New"/>
      <w:szCs w:val="21"/>
    </w:rPr>
  </w:style>
  <w:style w:type="paragraph" w:styleId="12">
    <w:name w:val="Date"/>
    <w:basedOn w:val="1"/>
    <w:next w:val="1"/>
    <w:link w:val="35"/>
    <w:autoRedefine/>
    <w:qFormat/>
    <w:uiPriority w:val="0"/>
    <w:pPr>
      <w:ind w:left="100" w:leftChars="2500"/>
    </w:pPr>
  </w:style>
  <w:style w:type="paragraph" w:styleId="13">
    <w:name w:val="Balloon Text"/>
    <w:basedOn w:val="1"/>
    <w:link w:val="36"/>
    <w:autoRedefine/>
    <w:qFormat/>
    <w:uiPriority w:val="0"/>
    <w:rPr>
      <w:sz w:val="18"/>
      <w:szCs w:val="18"/>
    </w:rPr>
  </w:style>
  <w:style w:type="paragraph" w:styleId="14">
    <w:name w:val="footer"/>
    <w:basedOn w:val="1"/>
    <w:link w:val="37"/>
    <w:autoRedefine/>
    <w:qFormat/>
    <w:uiPriority w:val="99"/>
    <w:pPr>
      <w:tabs>
        <w:tab w:val="center" w:pos="4153"/>
        <w:tab w:val="right" w:pos="8306"/>
      </w:tabs>
      <w:snapToGrid w:val="0"/>
      <w:jc w:val="left"/>
    </w:pPr>
    <w:rPr>
      <w:sz w:val="18"/>
      <w:szCs w:val="20"/>
    </w:rPr>
  </w:style>
  <w:style w:type="paragraph" w:styleId="15">
    <w:name w:val="header"/>
    <w:basedOn w:val="1"/>
    <w:link w:val="38"/>
    <w:autoRedefine/>
    <w:qFormat/>
    <w:uiPriority w:val="99"/>
    <w:pPr>
      <w:tabs>
        <w:tab w:val="center" w:pos="4153"/>
        <w:tab w:val="right" w:pos="8306"/>
      </w:tabs>
      <w:snapToGrid w:val="0"/>
      <w:jc w:val="center"/>
    </w:pPr>
    <w:rPr>
      <w:sz w:val="18"/>
      <w:szCs w:val="20"/>
    </w:rPr>
  </w:style>
  <w:style w:type="paragraph" w:styleId="16">
    <w:name w:val="Subtitle"/>
    <w:basedOn w:val="1"/>
    <w:next w:val="1"/>
    <w:autoRedefine/>
    <w:qFormat/>
    <w:uiPriority w:val="0"/>
    <w:pPr>
      <w:spacing w:before="240" w:after="60"/>
      <w:jc w:val="center"/>
      <w:outlineLvl w:val="1"/>
    </w:pPr>
    <w:rPr>
      <w:rFonts w:ascii="Helvetica" w:hAnsi="Helvetica"/>
      <w:b/>
      <w:bCs/>
      <w:kern w:val="28"/>
      <w:sz w:val="32"/>
      <w:szCs w:val="32"/>
    </w:rPr>
  </w:style>
  <w:style w:type="paragraph" w:styleId="17">
    <w:name w:val="Normal (Web)"/>
    <w:basedOn w:val="1"/>
    <w:autoRedefine/>
    <w:qFormat/>
    <w:uiPriority w:val="0"/>
    <w:pPr>
      <w:widowControl/>
      <w:spacing w:before="100" w:beforeAutospacing="1" w:after="100" w:afterAutospacing="1"/>
      <w:jc w:val="left"/>
    </w:pPr>
    <w:rPr>
      <w:rFonts w:ascii="宋体"/>
      <w:kern w:val="0"/>
      <w:sz w:val="18"/>
      <w:szCs w:val="18"/>
    </w:rPr>
  </w:style>
  <w:style w:type="paragraph" w:styleId="18">
    <w:name w:val="Title"/>
    <w:basedOn w:val="1"/>
    <w:next w:val="1"/>
    <w:link w:val="83"/>
    <w:autoRedefine/>
    <w:qFormat/>
    <w:uiPriority w:val="99"/>
    <w:pPr>
      <w:spacing w:before="240" w:after="60"/>
      <w:jc w:val="center"/>
      <w:outlineLvl w:val="0"/>
    </w:pPr>
    <w:rPr>
      <w:rFonts w:ascii="Calibri Light" w:hAnsi="Calibri Light" w:cs="Calibri Light"/>
      <w:b/>
      <w:bCs/>
      <w:sz w:val="32"/>
      <w:szCs w:val="32"/>
    </w:rPr>
  </w:style>
  <w:style w:type="paragraph" w:styleId="19">
    <w:name w:val="annotation subject"/>
    <w:basedOn w:val="7"/>
    <w:next w:val="7"/>
    <w:link w:val="39"/>
    <w:autoRedefine/>
    <w:qFormat/>
    <w:uiPriority w:val="0"/>
    <w:rPr>
      <w:b/>
      <w:bCs/>
    </w:rPr>
  </w:style>
  <w:style w:type="paragraph" w:styleId="20">
    <w:name w:val="Body Text First Indent"/>
    <w:basedOn w:val="9"/>
    <w:next w:val="1"/>
    <w:autoRedefine/>
    <w:qFormat/>
    <w:uiPriority w:val="0"/>
    <w:pPr>
      <w:ind w:firstLine="420" w:firstLineChars="100"/>
    </w:pPr>
  </w:style>
  <w:style w:type="table" w:styleId="22">
    <w:name w:val="Table Grid"/>
    <w:basedOn w:val="2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0"/>
    <w:rPr>
      <w:b/>
    </w:rPr>
  </w:style>
  <w:style w:type="character" w:styleId="25">
    <w:name w:val="page number"/>
    <w:autoRedefine/>
    <w:qFormat/>
    <w:uiPriority w:val="0"/>
  </w:style>
  <w:style w:type="character" w:styleId="26">
    <w:name w:val="Emphasis"/>
    <w:autoRedefine/>
    <w:qFormat/>
    <w:uiPriority w:val="0"/>
  </w:style>
  <w:style w:type="character" w:styleId="27">
    <w:name w:val="HTML Definition"/>
    <w:autoRedefine/>
    <w:qFormat/>
    <w:uiPriority w:val="0"/>
  </w:style>
  <w:style w:type="character" w:styleId="28">
    <w:name w:val="HTML Variable"/>
    <w:autoRedefine/>
    <w:qFormat/>
    <w:uiPriority w:val="0"/>
  </w:style>
  <w:style w:type="character" w:styleId="29">
    <w:name w:val="Hyperlink"/>
    <w:autoRedefine/>
    <w:qFormat/>
    <w:uiPriority w:val="99"/>
    <w:rPr>
      <w:color w:val="0563C1"/>
      <w:u w:val="single"/>
    </w:rPr>
  </w:style>
  <w:style w:type="character" w:styleId="30">
    <w:name w:val="HTML Code"/>
    <w:autoRedefine/>
    <w:qFormat/>
    <w:uiPriority w:val="0"/>
    <w:rPr>
      <w:rFonts w:ascii="Courier New" w:hAnsi="Courier New"/>
      <w:sz w:val="20"/>
    </w:rPr>
  </w:style>
  <w:style w:type="character" w:styleId="31">
    <w:name w:val="annotation reference"/>
    <w:autoRedefine/>
    <w:qFormat/>
    <w:uiPriority w:val="0"/>
    <w:rPr>
      <w:sz w:val="21"/>
      <w:szCs w:val="21"/>
    </w:rPr>
  </w:style>
  <w:style w:type="character" w:styleId="32">
    <w:name w:val="HTML Cite"/>
    <w:autoRedefine/>
    <w:qFormat/>
    <w:uiPriority w:val="0"/>
  </w:style>
  <w:style w:type="character" w:customStyle="1" w:styleId="33">
    <w:name w:val="正文缩进 Char"/>
    <w:link w:val="2"/>
    <w:autoRedefine/>
    <w:qFormat/>
    <w:uiPriority w:val="99"/>
    <w:rPr>
      <w:kern w:val="2"/>
      <w:sz w:val="21"/>
      <w:szCs w:val="24"/>
    </w:rPr>
  </w:style>
  <w:style w:type="character" w:customStyle="1" w:styleId="34">
    <w:name w:val="批注文字 Char"/>
    <w:link w:val="7"/>
    <w:autoRedefine/>
    <w:qFormat/>
    <w:uiPriority w:val="99"/>
    <w:rPr>
      <w:kern w:val="2"/>
      <w:sz w:val="21"/>
      <w:szCs w:val="24"/>
    </w:rPr>
  </w:style>
  <w:style w:type="character" w:customStyle="1" w:styleId="35">
    <w:name w:val="日期 Char"/>
    <w:link w:val="12"/>
    <w:autoRedefine/>
    <w:qFormat/>
    <w:uiPriority w:val="0"/>
    <w:rPr>
      <w:kern w:val="2"/>
      <w:sz w:val="21"/>
      <w:szCs w:val="24"/>
    </w:rPr>
  </w:style>
  <w:style w:type="character" w:customStyle="1" w:styleId="36">
    <w:name w:val="批注框文本 Char"/>
    <w:link w:val="13"/>
    <w:autoRedefine/>
    <w:qFormat/>
    <w:uiPriority w:val="0"/>
    <w:rPr>
      <w:kern w:val="2"/>
      <w:sz w:val="18"/>
      <w:szCs w:val="18"/>
    </w:rPr>
  </w:style>
  <w:style w:type="character" w:customStyle="1" w:styleId="37">
    <w:name w:val="页脚 Char"/>
    <w:link w:val="14"/>
    <w:autoRedefine/>
    <w:qFormat/>
    <w:uiPriority w:val="99"/>
    <w:rPr>
      <w:kern w:val="2"/>
      <w:sz w:val="18"/>
    </w:rPr>
  </w:style>
  <w:style w:type="character" w:customStyle="1" w:styleId="38">
    <w:name w:val="页眉 Char"/>
    <w:link w:val="15"/>
    <w:autoRedefine/>
    <w:qFormat/>
    <w:uiPriority w:val="99"/>
    <w:rPr>
      <w:kern w:val="2"/>
      <w:sz w:val="18"/>
    </w:rPr>
  </w:style>
  <w:style w:type="character" w:customStyle="1" w:styleId="39">
    <w:name w:val="批注主题 Char"/>
    <w:link w:val="19"/>
    <w:autoRedefine/>
    <w:qFormat/>
    <w:uiPriority w:val="0"/>
    <w:rPr>
      <w:b/>
      <w:bCs/>
      <w:kern w:val="2"/>
      <w:sz w:val="21"/>
      <w:szCs w:val="24"/>
    </w:rPr>
  </w:style>
  <w:style w:type="character" w:customStyle="1" w:styleId="40">
    <w:name w:val="访问过的超链接1"/>
    <w:autoRedefine/>
    <w:qFormat/>
    <w:uiPriority w:val="0"/>
    <w:rPr>
      <w:color w:val="5D5D5D"/>
      <w:u w:val="none"/>
    </w:rPr>
  </w:style>
  <w:style w:type="character" w:customStyle="1" w:styleId="41">
    <w:name w:val="font01"/>
    <w:autoRedefine/>
    <w:qFormat/>
    <w:uiPriority w:val="0"/>
    <w:rPr>
      <w:rFonts w:hint="eastAsia" w:ascii="宋体" w:hAnsi="宋体" w:eastAsia="宋体" w:cs="宋体"/>
      <w:b/>
      <w:color w:val="000000"/>
      <w:sz w:val="22"/>
      <w:szCs w:val="22"/>
      <w:u w:val="none"/>
    </w:rPr>
  </w:style>
  <w:style w:type="character" w:customStyle="1" w:styleId="42">
    <w:name w:val="gjfg"/>
    <w:basedOn w:val="23"/>
    <w:autoRedefine/>
    <w:qFormat/>
    <w:uiPriority w:val="0"/>
  </w:style>
  <w:style w:type="character" w:customStyle="1" w:styleId="43">
    <w:name w:val="font11"/>
    <w:autoRedefine/>
    <w:qFormat/>
    <w:uiPriority w:val="0"/>
    <w:rPr>
      <w:rFonts w:hint="eastAsia" w:ascii="黑体" w:hAnsi="宋体" w:eastAsia="黑体" w:cs="黑体"/>
      <w:color w:val="000000"/>
      <w:sz w:val="24"/>
      <w:szCs w:val="24"/>
      <w:u w:val="none"/>
    </w:rPr>
  </w:style>
  <w:style w:type="character" w:customStyle="1" w:styleId="44">
    <w:name w:val="redfilefwwh"/>
    <w:autoRedefine/>
    <w:qFormat/>
    <w:uiPriority w:val="0"/>
    <w:rPr>
      <w:color w:val="BA2636"/>
      <w:sz w:val="18"/>
      <w:szCs w:val="18"/>
    </w:rPr>
  </w:style>
  <w:style w:type="character" w:customStyle="1" w:styleId="45">
    <w:name w:val="modifier"/>
    <w:autoRedefine/>
    <w:qFormat/>
    <w:uiPriority w:val="0"/>
    <w:rPr>
      <w:color w:val="FF0000"/>
    </w:rPr>
  </w:style>
  <w:style w:type="character" w:customStyle="1" w:styleId="46">
    <w:name w:val="redfilenumber"/>
    <w:autoRedefine/>
    <w:qFormat/>
    <w:uiPriority w:val="0"/>
    <w:rPr>
      <w:color w:val="BA2636"/>
      <w:sz w:val="18"/>
      <w:szCs w:val="18"/>
    </w:rPr>
  </w:style>
  <w:style w:type="character" w:customStyle="1" w:styleId="47">
    <w:name w:val="font31"/>
    <w:autoRedefine/>
    <w:qFormat/>
    <w:uiPriority w:val="0"/>
    <w:rPr>
      <w:rFonts w:hint="eastAsia" w:ascii="宋体" w:hAnsi="宋体" w:eastAsia="宋体" w:cs="宋体"/>
      <w:color w:val="000000"/>
      <w:sz w:val="22"/>
      <w:szCs w:val="22"/>
      <w:u w:val="none"/>
    </w:rPr>
  </w:style>
  <w:style w:type="character" w:customStyle="1" w:styleId="48">
    <w:name w:val="标题 3 Char Char Char"/>
    <w:autoRedefine/>
    <w:qFormat/>
    <w:uiPriority w:val="0"/>
    <w:rPr>
      <w:rFonts w:eastAsia="宋体"/>
      <w:b/>
      <w:kern w:val="2"/>
      <w:sz w:val="32"/>
      <w:lang w:val="en-US" w:eastAsia="zh-CN" w:bidi="ar-SA"/>
    </w:rPr>
  </w:style>
  <w:style w:type="character" w:customStyle="1" w:styleId="49">
    <w:name w:val="font21"/>
    <w:basedOn w:val="23"/>
    <w:autoRedefine/>
    <w:qFormat/>
    <w:uiPriority w:val="0"/>
    <w:rPr>
      <w:rFonts w:hint="eastAsia" w:ascii="宋体" w:hAnsi="宋体" w:eastAsia="宋体" w:cs="宋体"/>
      <w:color w:val="000000"/>
      <w:sz w:val="22"/>
      <w:szCs w:val="22"/>
      <w:u w:val="none"/>
    </w:rPr>
  </w:style>
  <w:style w:type="character" w:customStyle="1" w:styleId="50">
    <w:name w:val="active"/>
    <w:autoRedefine/>
    <w:qFormat/>
    <w:uiPriority w:val="0"/>
    <w:rPr>
      <w:shd w:val="clear" w:color="auto" w:fill="FFA500"/>
    </w:rPr>
  </w:style>
  <w:style w:type="character" w:customStyle="1" w:styleId="51">
    <w:name w:val="label"/>
    <w:autoRedefine/>
    <w:qFormat/>
    <w:uiPriority w:val="0"/>
    <w:rPr>
      <w:color w:val="555555"/>
    </w:rPr>
  </w:style>
  <w:style w:type="character" w:customStyle="1" w:styleId="52">
    <w:name w:val="displayarti"/>
    <w:autoRedefine/>
    <w:qFormat/>
    <w:uiPriority w:val="0"/>
    <w:rPr>
      <w:color w:val="FFFFFF"/>
      <w:shd w:val="clear" w:color="auto" w:fill="A00000"/>
    </w:rPr>
  </w:style>
  <w:style w:type="character" w:customStyle="1" w:styleId="53">
    <w:name w:val="标题 2 Char"/>
    <w:autoRedefine/>
    <w:qFormat/>
    <w:uiPriority w:val="0"/>
    <w:rPr>
      <w:rFonts w:ascii="Arial" w:hAnsi="Arial"/>
      <w:b/>
      <w:bCs/>
      <w:sz w:val="28"/>
      <w:szCs w:val="32"/>
    </w:rPr>
  </w:style>
  <w:style w:type="character" w:customStyle="1" w:styleId="54">
    <w:name w:val="cfdate"/>
    <w:autoRedefine/>
    <w:qFormat/>
    <w:uiPriority w:val="0"/>
    <w:rPr>
      <w:color w:val="333333"/>
      <w:sz w:val="18"/>
      <w:szCs w:val="18"/>
    </w:rPr>
  </w:style>
  <w:style w:type="character" w:customStyle="1" w:styleId="55">
    <w:name w:val="qxdate"/>
    <w:autoRedefine/>
    <w:qFormat/>
    <w:uiPriority w:val="0"/>
    <w:rPr>
      <w:color w:val="333333"/>
      <w:sz w:val="18"/>
      <w:szCs w:val="18"/>
    </w:rPr>
  </w:style>
  <w:style w:type="paragraph" w:customStyle="1" w:styleId="5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7">
    <w:name w:val="03-标书-标题3"/>
    <w:autoRedefine/>
    <w:qFormat/>
    <w:uiPriority w:val="0"/>
    <w:pPr>
      <w:numPr>
        <w:ilvl w:val="2"/>
        <w:numId w:val="1"/>
      </w:numPr>
      <w:spacing w:line="360" w:lineRule="auto"/>
      <w:outlineLvl w:val="2"/>
    </w:pPr>
    <w:rPr>
      <w:rFonts w:ascii="黑体" w:hAnsi="宋体" w:eastAsia="黑体" w:cs="Times New Roman"/>
      <w:kern w:val="2"/>
      <w:sz w:val="28"/>
      <w:szCs w:val="24"/>
      <w:lang w:val="en-US" w:eastAsia="zh-CN" w:bidi="ar-SA"/>
    </w:rPr>
  </w:style>
  <w:style w:type="paragraph" w:customStyle="1" w:styleId="58">
    <w:name w:val="02-标书-标题2"/>
    <w:autoRedefine/>
    <w:qFormat/>
    <w:uiPriority w:val="0"/>
    <w:pPr>
      <w:numPr>
        <w:ilvl w:val="1"/>
        <w:numId w:val="1"/>
      </w:numPr>
      <w:spacing w:line="360" w:lineRule="auto"/>
      <w:outlineLvl w:val="1"/>
    </w:pPr>
    <w:rPr>
      <w:rFonts w:ascii="黑体" w:hAnsi="宋体" w:eastAsia="黑体" w:cs="Times New Roman"/>
      <w:kern w:val="2"/>
      <w:sz w:val="32"/>
      <w:szCs w:val="28"/>
      <w:lang w:val="en-US" w:eastAsia="zh-CN" w:bidi="ar-SA"/>
    </w:rPr>
  </w:style>
  <w:style w:type="paragraph" w:customStyle="1" w:styleId="59">
    <w:name w:val="p15"/>
    <w:basedOn w:val="1"/>
    <w:autoRedefine/>
    <w:qFormat/>
    <w:uiPriority w:val="0"/>
    <w:pPr>
      <w:widowControl/>
    </w:pPr>
    <w:rPr>
      <w:rFonts w:cs="宋体"/>
      <w:kern w:val="0"/>
      <w:szCs w:val="21"/>
    </w:rPr>
  </w:style>
  <w:style w:type="paragraph" w:customStyle="1" w:styleId="60">
    <w:name w:val="列出段落1"/>
    <w:basedOn w:val="1"/>
    <w:autoRedefine/>
    <w:qFormat/>
    <w:uiPriority w:val="34"/>
    <w:pPr>
      <w:ind w:firstLine="420" w:firstLineChars="200"/>
    </w:pPr>
    <w:rPr>
      <w:rFonts w:ascii="Calibri" w:hAnsi="Calibri"/>
    </w:rPr>
  </w:style>
  <w:style w:type="paragraph" w:customStyle="1" w:styleId="61">
    <w:name w:val="标题 5（有编号）（绿盟科技）"/>
    <w:basedOn w:val="1"/>
    <w:next w:val="62"/>
    <w:autoRedefine/>
    <w:qFormat/>
    <w:uiPriority w:val="0"/>
    <w:pPr>
      <w:keepNext/>
      <w:keepLines/>
      <w:numPr>
        <w:ilvl w:val="4"/>
        <w:numId w:val="2"/>
      </w:numPr>
      <w:spacing w:before="280" w:after="156" w:line="377" w:lineRule="auto"/>
      <w:jc w:val="left"/>
      <w:outlineLvl w:val="4"/>
    </w:pPr>
    <w:rPr>
      <w:rFonts w:ascii="Arial" w:hAnsi="Arial" w:eastAsia="黑体"/>
      <w:b/>
      <w:kern w:val="0"/>
      <w:sz w:val="24"/>
      <w:szCs w:val="28"/>
    </w:rPr>
  </w:style>
  <w:style w:type="paragraph" w:customStyle="1" w:styleId="62">
    <w:name w:val="正文（绿盟科技）"/>
    <w:autoRedefine/>
    <w:qFormat/>
    <w:uiPriority w:val="0"/>
    <w:pPr>
      <w:spacing w:line="300" w:lineRule="auto"/>
    </w:pPr>
    <w:rPr>
      <w:rFonts w:ascii="Arial" w:hAnsi="Arial" w:eastAsia="宋体" w:cs="黑体"/>
      <w:sz w:val="21"/>
      <w:szCs w:val="21"/>
      <w:lang w:val="en-US" w:eastAsia="zh-CN" w:bidi="ar-SA"/>
    </w:rPr>
  </w:style>
  <w:style w:type="paragraph" w:customStyle="1" w:styleId="63">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64">
    <w:name w:val="正文1"/>
    <w:autoRedefine/>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paragraph" w:customStyle="1" w:styleId="65">
    <w:name w:val="样式 首行缩进:  2 字符"/>
    <w:basedOn w:val="1"/>
    <w:autoRedefine/>
    <w:qFormat/>
    <w:uiPriority w:val="99"/>
    <w:pPr>
      <w:spacing w:line="400" w:lineRule="exact"/>
      <w:ind w:firstLine="200" w:firstLineChars="200"/>
    </w:pPr>
    <w:rPr>
      <w:rFonts w:cs="宋体"/>
      <w:sz w:val="24"/>
    </w:rPr>
  </w:style>
  <w:style w:type="paragraph" w:customStyle="1" w:styleId="66">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7">
    <w:name w:val="无间隔2"/>
    <w:basedOn w:val="1"/>
    <w:autoRedefine/>
    <w:qFormat/>
    <w:uiPriority w:val="0"/>
    <w:rPr>
      <w:rFonts w:ascii="Calibri" w:hAnsi="Calibri" w:cs="宋体"/>
      <w:szCs w:val="21"/>
    </w:rPr>
  </w:style>
  <w:style w:type="paragraph" w:customStyle="1" w:styleId="68">
    <w:name w:val="正文 A"/>
    <w:autoRedefine/>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69">
    <w:name w:val="_Style 2"/>
    <w:basedOn w:val="1"/>
    <w:autoRedefine/>
    <w:qFormat/>
    <w:uiPriority w:val="34"/>
    <w:pPr>
      <w:overflowPunct/>
      <w:autoSpaceDE/>
      <w:autoSpaceDN/>
      <w:ind w:firstLine="420" w:firstLineChars="200"/>
    </w:pPr>
    <w:rPr>
      <w:szCs w:val="22"/>
    </w:rPr>
  </w:style>
  <w:style w:type="paragraph" w:customStyle="1" w:styleId="70">
    <w:name w:val="01-标书-标题1"/>
    <w:next w:val="58"/>
    <w:autoRedefine/>
    <w:qFormat/>
    <w:uiPriority w:val="0"/>
    <w:pPr>
      <w:numPr>
        <w:ilvl w:val="0"/>
        <w:numId w:val="1"/>
      </w:numPr>
      <w:spacing w:line="360" w:lineRule="auto"/>
      <w:outlineLvl w:val="0"/>
    </w:pPr>
    <w:rPr>
      <w:rFonts w:ascii="黑体" w:hAnsi="宋体" w:eastAsia="黑体" w:cs="Times New Roman"/>
      <w:kern w:val="2"/>
      <w:sz w:val="44"/>
      <w:szCs w:val="32"/>
      <w:lang w:val="en-US" w:eastAsia="zh-CN" w:bidi="ar-SA"/>
    </w:rPr>
  </w:style>
  <w:style w:type="paragraph" w:customStyle="1" w:styleId="71">
    <w:name w:val="List Paragraph"/>
    <w:basedOn w:val="1"/>
    <w:link w:val="84"/>
    <w:autoRedefine/>
    <w:qFormat/>
    <w:uiPriority w:val="99"/>
    <w:pPr>
      <w:overflowPunct/>
      <w:autoSpaceDE/>
      <w:autoSpaceDN/>
      <w:ind w:firstLine="420" w:firstLineChars="200"/>
    </w:pPr>
    <w:rPr>
      <w:szCs w:val="22"/>
    </w:rPr>
  </w:style>
  <w:style w:type="paragraph" w:customStyle="1" w:styleId="72">
    <w:name w:val="列出段落11"/>
    <w:basedOn w:val="1"/>
    <w:autoRedefine/>
    <w:qFormat/>
    <w:uiPriority w:val="99"/>
    <w:pPr>
      <w:ind w:firstLine="420" w:firstLineChars="200"/>
    </w:pPr>
  </w:style>
  <w:style w:type="paragraph" w:customStyle="1" w:styleId="73">
    <w:name w:val="正文首行缩进两字符"/>
    <w:basedOn w:val="1"/>
    <w:autoRedefine/>
    <w:qFormat/>
    <w:uiPriority w:val="0"/>
    <w:pPr>
      <w:spacing w:line="360" w:lineRule="auto"/>
      <w:ind w:firstLine="200" w:firstLineChars="200"/>
    </w:pPr>
  </w:style>
  <w:style w:type="paragraph" w:customStyle="1" w:styleId="74">
    <w:name w:val="标题4"/>
    <w:basedOn w:val="1"/>
    <w:autoRedefine/>
    <w:qFormat/>
    <w:uiPriority w:val="0"/>
    <w:pPr>
      <w:widowControl/>
      <w:spacing w:after="5" w:line="261" w:lineRule="auto"/>
      <w:ind w:left="8" w:right="4204" w:firstLine="420" w:firstLineChars="200"/>
      <w:jc w:val="left"/>
    </w:pPr>
    <w:rPr>
      <w:rFonts w:ascii="宋体" w:hAnsi="宋体" w:cs="宋体"/>
      <w:color w:val="000000"/>
      <w:szCs w:val="22"/>
    </w:rPr>
  </w:style>
  <w:style w:type="paragraph" w:customStyle="1" w:styleId="75">
    <w:name w:val="ML-04"/>
    <w:basedOn w:val="71"/>
    <w:autoRedefine/>
    <w:qFormat/>
    <w:uiPriority w:val="0"/>
    <w:pPr>
      <w:widowControl/>
      <w:numPr>
        <w:ilvl w:val="3"/>
        <w:numId w:val="3"/>
      </w:numPr>
      <w:spacing w:line="360" w:lineRule="auto"/>
      <w:ind w:firstLine="0" w:firstLineChars="0"/>
      <w:jc w:val="left"/>
      <w:outlineLvl w:val="3"/>
    </w:pPr>
    <w:rPr>
      <w:rFonts w:ascii="华文中宋" w:hAnsi="华文中宋" w:eastAsia="华文中宋"/>
      <w:b/>
      <w:sz w:val="28"/>
      <w:szCs w:val="28"/>
    </w:rPr>
  </w:style>
  <w:style w:type="paragraph" w:customStyle="1" w:styleId="76">
    <w:name w:val="List Paragraph1"/>
    <w:basedOn w:val="1"/>
    <w:autoRedefine/>
    <w:qFormat/>
    <w:uiPriority w:val="0"/>
    <w:pPr>
      <w:ind w:firstLine="420" w:firstLineChars="200"/>
    </w:pPr>
    <w:rPr>
      <w:rFonts w:ascii="宋体"/>
      <w:szCs w:val="22"/>
    </w:rPr>
  </w:style>
  <w:style w:type="paragraph" w:customStyle="1" w:styleId="77">
    <w:name w:val="WPSOffice手动目录 1"/>
    <w:autoRedefine/>
    <w:qFormat/>
    <w:uiPriority w:val="0"/>
    <w:rPr>
      <w:rFonts w:ascii="Times New Roman" w:hAnsi="Times New Roman" w:eastAsia="宋体" w:cs="Times New Roman"/>
      <w:lang w:val="en-US" w:eastAsia="zh-CN" w:bidi="ar-SA"/>
    </w:rPr>
  </w:style>
  <w:style w:type="paragraph" w:customStyle="1" w:styleId="78">
    <w:name w:val="Char Char Char"/>
    <w:basedOn w:val="1"/>
    <w:autoRedefine/>
    <w:qFormat/>
    <w:uiPriority w:val="0"/>
    <w:rPr>
      <w:rFonts w:ascii="Tahoma" w:hAnsi="Tahoma"/>
      <w:sz w:val="24"/>
      <w:szCs w:val="20"/>
    </w:rPr>
  </w:style>
  <w:style w:type="character" w:customStyle="1" w:styleId="79">
    <w:name w:val="批注文字 Char1"/>
    <w:autoRedefine/>
    <w:qFormat/>
    <w:uiPriority w:val="99"/>
    <w:rPr>
      <w:kern w:val="2"/>
      <w:sz w:val="18"/>
      <w:szCs w:val="18"/>
    </w:rPr>
  </w:style>
  <w:style w:type="paragraph" w:customStyle="1" w:styleId="80">
    <w:name w:val="_Style 3"/>
    <w:autoRedefine/>
    <w:qFormat/>
    <w:uiPriority w:val="0"/>
    <w:pPr>
      <w:widowControl w:val="0"/>
      <w:spacing w:line="300" w:lineRule="auto"/>
    </w:pPr>
    <w:rPr>
      <w:rFonts w:ascii="Times New Roman" w:hAnsi="Times New Roman" w:eastAsia="华文仿宋" w:cs="Times New Roman"/>
      <w:kern w:val="2"/>
      <w:sz w:val="24"/>
      <w:szCs w:val="21"/>
      <w:lang w:val="en-US" w:eastAsia="zh-CN" w:bidi="ar-SA"/>
    </w:rPr>
  </w:style>
  <w:style w:type="paragraph" w:customStyle="1" w:styleId="81">
    <w:name w:val="reader-word-layer reader-word-s2-7"/>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82">
    <w:name w:val="页眉 字符"/>
    <w:autoRedefine/>
    <w:qFormat/>
    <w:uiPriority w:val="99"/>
    <w:rPr>
      <w:rFonts w:ascii="宋体" w:hAnsi="宋体" w:eastAsia="宋体" w:cs="Times New Roman"/>
      <w:b/>
      <w:color w:val="FF0000"/>
      <w:kern w:val="0"/>
      <w:sz w:val="18"/>
      <w:szCs w:val="18"/>
      <w:lang w:val="zh-CN"/>
    </w:rPr>
  </w:style>
  <w:style w:type="character" w:customStyle="1" w:styleId="83">
    <w:name w:val="标题 Char"/>
    <w:basedOn w:val="23"/>
    <w:link w:val="18"/>
    <w:autoRedefine/>
    <w:qFormat/>
    <w:uiPriority w:val="99"/>
    <w:rPr>
      <w:rFonts w:ascii="Calibri Light" w:hAnsi="Calibri Light" w:cs="Calibri Light"/>
      <w:b/>
      <w:bCs/>
      <w:kern w:val="2"/>
      <w:sz w:val="32"/>
      <w:szCs w:val="32"/>
    </w:rPr>
  </w:style>
  <w:style w:type="character" w:customStyle="1" w:styleId="84">
    <w:name w:val="列出段落 Char"/>
    <w:link w:val="71"/>
    <w:autoRedefine/>
    <w:qFormat/>
    <w:uiPriority w:val="99"/>
    <w:rPr>
      <w:kern w:val="2"/>
      <w:sz w:val="21"/>
      <w:szCs w:val="22"/>
    </w:rPr>
  </w:style>
  <w:style w:type="character" w:customStyle="1" w:styleId="85">
    <w:name w:val="NormalCharacter"/>
    <w:autoRedefine/>
    <w:qFormat/>
    <w:uiPriority w:val="0"/>
  </w:style>
  <w:style w:type="character" w:customStyle="1" w:styleId="86">
    <w:name w:val="未处理的提及1"/>
    <w:basedOn w:val="23"/>
    <w:autoRedefine/>
    <w:unhideWhenUsed/>
    <w:qFormat/>
    <w:uiPriority w:val="99"/>
    <w:rPr>
      <w:color w:val="605E5C"/>
      <w:shd w:val="clear" w:color="auto" w:fill="E1DFDD"/>
    </w:rPr>
  </w:style>
  <w:style w:type="paragraph" w:customStyle="1" w:styleId="87">
    <w:name w:val="彩色列表1"/>
    <w:basedOn w:val="1"/>
    <w:autoRedefine/>
    <w:qFormat/>
    <w:uiPriority w:val="34"/>
    <w:pPr>
      <w:overflowPunct/>
      <w:autoSpaceDE/>
      <w:autoSpaceDN/>
      <w:ind w:firstLine="420" w:firstLineChars="200"/>
    </w:pPr>
    <w:rPr>
      <w:szCs w:val="22"/>
    </w:rPr>
  </w:style>
  <w:style w:type="character" w:customStyle="1" w:styleId="88">
    <w:name w:val="font71"/>
    <w:basedOn w:val="23"/>
    <w:autoRedefine/>
    <w:qFormat/>
    <w:uiPriority w:val="0"/>
    <w:rPr>
      <w:rFonts w:hint="eastAsia" w:ascii="宋体" w:hAnsi="宋体" w:eastAsia="宋体" w:cs="宋体"/>
      <w:color w:val="000000"/>
      <w:sz w:val="22"/>
      <w:szCs w:val="22"/>
      <w:u w:val="none"/>
    </w:rPr>
  </w:style>
  <w:style w:type="character" w:customStyle="1" w:styleId="89">
    <w:name w:val="font91"/>
    <w:basedOn w:val="23"/>
    <w:autoRedefine/>
    <w:qFormat/>
    <w:uiPriority w:val="0"/>
    <w:rPr>
      <w:rFonts w:hint="default" w:ascii="Times New Roman" w:hAnsi="Times New Roman" w:cs="Times New Roman"/>
      <w:color w:val="000000"/>
      <w:sz w:val="22"/>
      <w:szCs w:val="22"/>
      <w:u w:val="none"/>
    </w:rPr>
  </w:style>
  <w:style w:type="character" w:customStyle="1" w:styleId="90">
    <w:name w:val="font61"/>
    <w:basedOn w:val="23"/>
    <w:autoRedefine/>
    <w:qFormat/>
    <w:uiPriority w:val="0"/>
    <w:rPr>
      <w:rFonts w:hint="default" w:ascii="方正小标宋_GBK" w:hAnsi="方正小标宋_GBK" w:eastAsia="方正小标宋_GBK" w:cs="方正小标宋_GBK"/>
      <w:color w:val="000000"/>
      <w:sz w:val="22"/>
      <w:szCs w:val="22"/>
      <w:u w:val="none"/>
    </w:rPr>
  </w:style>
  <w:style w:type="character" w:customStyle="1" w:styleId="91">
    <w:name w:val="font81"/>
    <w:basedOn w:val="23"/>
    <w:autoRedefine/>
    <w:qFormat/>
    <w:uiPriority w:val="0"/>
    <w:rPr>
      <w:rFonts w:hint="eastAsia" w:ascii="宋体" w:hAnsi="宋体" w:eastAsia="宋体" w:cs="宋体"/>
      <w:color w:val="000000"/>
      <w:sz w:val="18"/>
      <w:szCs w:val="18"/>
      <w:u w:val="none"/>
    </w:rPr>
  </w:style>
  <w:style w:type="character" w:customStyle="1" w:styleId="92">
    <w:name w:val="font101"/>
    <w:basedOn w:val="23"/>
    <w:autoRedefine/>
    <w:qFormat/>
    <w:uiPriority w:val="0"/>
    <w:rPr>
      <w:rFonts w:hint="eastAsia" w:ascii="宋体" w:hAnsi="宋体" w:eastAsia="宋体" w:cs="宋体"/>
      <w:color w:val="FF0000"/>
      <w:sz w:val="20"/>
      <w:szCs w:val="20"/>
      <w:u w:val="none"/>
    </w:rPr>
  </w:style>
  <w:style w:type="paragraph" w:customStyle="1" w:styleId="93">
    <w:name w:val="Char"/>
    <w:basedOn w:val="1"/>
    <w:autoRedefine/>
    <w:qFormat/>
    <w:uiPriority w:val="0"/>
    <w:pPr>
      <w:overflowPunct/>
      <w:autoSpaceDE/>
      <w:autoSpaceDN/>
    </w:pPr>
  </w:style>
  <w:style w:type="paragraph" w:customStyle="1" w:styleId="94">
    <w:name w:val="01、普通正文"/>
    <w:basedOn w:val="1"/>
    <w:autoRedefine/>
    <w:qFormat/>
    <w:uiPriority w:val="0"/>
    <w:pPr>
      <w:tabs>
        <w:tab w:val="left" w:pos="0"/>
      </w:tabs>
      <w:wordWrap w:val="0"/>
      <w:topLinePunct/>
    </w:pPr>
    <w:rPr>
      <w:rFonts w:ascii="宋体" w:hAnsi="宋体"/>
      <w:snapToGrid w:val="0"/>
    </w:rPr>
  </w:style>
  <w:style w:type="character" w:customStyle="1" w:styleId="95">
    <w:name w:val="font51"/>
    <w:basedOn w:val="23"/>
    <w:autoRedefine/>
    <w:qFormat/>
    <w:uiPriority w:val="0"/>
    <w:rPr>
      <w:rFonts w:hint="eastAsia" w:ascii="宋体" w:hAnsi="宋体" w:eastAsia="宋体" w:cs="宋体"/>
      <w:color w:val="000000"/>
      <w:sz w:val="20"/>
      <w:szCs w:val="20"/>
      <w:u w:val="none"/>
    </w:rPr>
  </w:style>
  <w:style w:type="character" w:customStyle="1" w:styleId="96">
    <w:name w:val="font41"/>
    <w:basedOn w:val="23"/>
    <w:autoRedefine/>
    <w:qFormat/>
    <w:uiPriority w:val="0"/>
    <w:rPr>
      <w:rFonts w:hint="default" w:ascii="Times New Roman" w:hAnsi="Times New Roman" w:cs="Times New Roman"/>
      <w:color w:val="000000"/>
      <w:sz w:val="24"/>
      <w:szCs w:val="24"/>
      <w:u w:val="none"/>
    </w:rPr>
  </w:style>
  <w:style w:type="character" w:customStyle="1" w:styleId="97">
    <w:name w:val="无"/>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101</Pages>
  <Words>49327</Words>
  <Characters>53413</Characters>
  <Lines>428</Lines>
  <Paragraphs>120</Paragraphs>
  <TotalTime>251</TotalTime>
  <ScaleCrop>false</ScaleCrop>
  <LinksUpToDate>false</LinksUpToDate>
  <CharactersWithSpaces>56449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2023-10-09T20:39:00Z</dcterms:created>
  <dc:creator>xb21cn</dc:creator>
  <cp:lastModifiedBy>简单</cp:lastModifiedBy>
  <cp:lastPrinted>2024-05-23T04:47:36Z</cp:lastPrinted>
  <dcterms:modified xsi:type="dcterms:W3CDTF">2024-05-23T04:56:24Z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20478D963FEF477193C090FB277BCC27</vt:lpwstr>
  </property>
</Properties>
</file>