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宋体" w:hAnsi="宋体"/>
          <w:bCs/>
          <w:color w:val="auto"/>
          <w:szCs w:val="32"/>
          <w:highlight w:val="none"/>
        </w:rPr>
      </w:pPr>
      <w:r>
        <w:rPr>
          <w:rFonts w:hint="eastAsia"/>
          <w:b/>
          <w:color w:val="auto"/>
          <w:sz w:val="44"/>
          <w:highlight w:val="none"/>
        </w:rPr>
        <w:drawing>
          <wp:anchor distT="0" distB="0" distL="114300" distR="114300" simplePos="0" relativeHeight="251659264" behindDoc="1" locked="0" layoutInCell="1" allowOverlap="1">
            <wp:simplePos x="0" y="0"/>
            <wp:positionH relativeFrom="column">
              <wp:posOffset>4242435</wp:posOffset>
            </wp:positionH>
            <wp:positionV relativeFrom="paragraph">
              <wp:posOffset>31115</wp:posOffset>
            </wp:positionV>
            <wp:extent cx="1628775" cy="600075"/>
            <wp:effectExtent l="0" t="0" r="9525" b="9525"/>
            <wp:wrapTight wrapText="bothSides">
              <wp:wrapPolygon>
                <wp:start x="-126" y="0"/>
                <wp:lineTo x="-126" y="21257"/>
                <wp:lineTo x="21600" y="21257"/>
                <wp:lineTo x="21600" y="0"/>
                <wp:lineTo x="-126" y="0"/>
              </wp:wrapPolygon>
            </wp:wrapTight>
            <wp:docPr id="1" name="图片 8"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descr="无标题"/>
                    <pic:cNvPicPr>
                      <a:picLocks noChangeAspect="1"/>
                    </pic:cNvPicPr>
                  </pic:nvPicPr>
                  <pic:blipFill>
                    <a:blip r:embed="rId7"/>
                    <a:stretch>
                      <a:fillRect/>
                    </a:stretch>
                  </pic:blipFill>
                  <pic:spPr>
                    <a:xfrm>
                      <a:off x="0" y="0"/>
                      <a:ext cx="1628775" cy="600075"/>
                    </a:xfrm>
                    <a:prstGeom prst="rect">
                      <a:avLst/>
                    </a:prstGeom>
                    <a:noFill/>
                    <a:ln>
                      <a:noFill/>
                    </a:ln>
                  </pic:spPr>
                </pic:pic>
              </a:graphicData>
            </a:graphic>
          </wp:anchor>
        </w:drawing>
      </w:r>
      <w:r>
        <w:rPr>
          <w:rFonts w:hint="eastAsia" w:ascii="宋体" w:hAnsi="宋体"/>
          <w:b/>
          <w:color w:val="auto"/>
          <w:sz w:val="32"/>
          <w:szCs w:val="32"/>
          <w:highlight w:val="none"/>
        </w:rPr>
        <w:t xml:space="preserve">                                           </w:t>
      </w:r>
    </w:p>
    <w:p>
      <w:pPr>
        <w:ind w:right="-281"/>
        <w:jc w:val="right"/>
        <w:rPr>
          <w:rFonts w:ascii="Bookman Old Style" w:hAnsi="Bookman Old Style"/>
          <w:b/>
          <w:color w:val="auto"/>
          <w:sz w:val="28"/>
          <w:highlight w:val="none"/>
        </w:rPr>
      </w:pPr>
    </w:p>
    <w:p>
      <w:pPr>
        <w:spacing w:after="312" w:afterLines="100" w:line="500" w:lineRule="exact"/>
        <w:jc w:val="center"/>
        <w:rPr>
          <w:b/>
          <w:color w:val="auto"/>
          <w:sz w:val="44"/>
          <w:szCs w:val="44"/>
          <w:highlight w:val="none"/>
        </w:rPr>
      </w:pPr>
    </w:p>
    <w:p>
      <w:pPr>
        <w:spacing w:after="312" w:afterLines="100" w:line="500" w:lineRule="exact"/>
        <w:jc w:val="center"/>
        <w:rPr>
          <w:b/>
          <w:color w:val="auto"/>
          <w:sz w:val="52"/>
          <w:szCs w:val="52"/>
          <w:highlight w:val="none"/>
        </w:rPr>
      </w:pPr>
    </w:p>
    <w:p>
      <w:pPr>
        <w:spacing w:after="312" w:afterLines="100" w:line="500" w:lineRule="exact"/>
        <w:jc w:val="center"/>
        <w:rPr>
          <w:b/>
          <w:color w:val="auto"/>
          <w:sz w:val="52"/>
          <w:szCs w:val="52"/>
          <w:highlight w:val="none"/>
        </w:rPr>
      </w:pPr>
      <w:r>
        <w:rPr>
          <w:rFonts w:hint="eastAsia"/>
          <w:b/>
          <w:color w:val="auto"/>
          <w:sz w:val="52"/>
          <w:szCs w:val="52"/>
          <w:highlight w:val="none"/>
        </w:rPr>
        <w:t>中国科学院生态环境研究中心</w:t>
      </w:r>
    </w:p>
    <w:p>
      <w:pPr>
        <w:spacing w:after="312" w:afterLines="100"/>
        <w:jc w:val="center"/>
        <w:rPr>
          <w:b/>
          <w:color w:val="auto"/>
          <w:sz w:val="52"/>
          <w:szCs w:val="52"/>
          <w:highlight w:val="none"/>
        </w:rPr>
      </w:pPr>
      <w:r>
        <w:rPr>
          <w:rFonts w:hint="eastAsia"/>
          <w:b/>
          <w:color w:val="auto"/>
          <w:sz w:val="52"/>
          <w:szCs w:val="52"/>
          <w:highlight w:val="none"/>
          <w:u w:val="single"/>
        </w:rPr>
        <w:t>在线气体和气溶胶组分分析仪</w:t>
      </w:r>
      <w:r>
        <w:rPr>
          <w:rFonts w:hint="eastAsia"/>
          <w:b/>
          <w:color w:val="auto"/>
          <w:sz w:val="52"/>
          <w:szCs w:val="52"/>
          <w:highlight w:val="none"/>
        </w:rPr>
        <w:t>采购项目</w:t>
      </w:r>
    </w:p>
    <w:p>
      <w:pPr>
        <w:spacing w:line="360" w:lineRule="auto"/>
        <w:jc w:val="center"/>
        <w:rPr>
          <w:b/>
          <w:color w:val="auto"/>
          <w:sz w:val="44"/>
          <w:highlight w:val="none"/>
        </w:rPr>
      </w:pPr>
    </w:p>
    <w:p>
      <w:pPr>
        <w:spacing w:line="360" w:lineRule="auto"/>
        <w:rPr>
          <w:b/>
          <w:color w:val="auto"/>
          <w:sz w:val="44"/>
          <w:highlight w:val="none"/>
        </w:rPr>
      </w:pPr>
    </w:p>
    <w:p>
      <w:pPr>
        <w:spacing w:line="360" w:lineRule="auto"/>
        <w:jc w:val="center"/>
        <w:rPr>
          <w:rFonts w:ascii="宋体" w:hAnsi="宋体"/>
          <w:b/>
          <w:color w:val="auto"/>
          <w:szCs w:val="21"/>
          <w:highlight w:val="none"/>
        </w:rPr>
      </w:pPr>
      <w:r>
        <w:rPr>
          <w:rFonts w:hint="eastAsia" w:ascii="宋体" w:hAnsi="宋体"/>
          <w:b/>
          <w:color w:val="auto"/>
          <w:sz w:val="72"/>
          <w:szCs w:val="52"/>
          <w:highlight w:val="none"/>
        </w:rPr>
        <w:t>招</w:t>
      </w:r>
      <w:r>
        <w:rPr>
          <w:rFonts w:ascii="宋体" w:hAnsi="宋体"/>
          <w:b/>
          <w:color w:val="auto"/>
          <w:sz w:val="72"/>
          <w:szCs w:val="52"/>
          <w:highlight w:val="none"/>
        </w:rPr>
        <w:t xml:space="preserve">  </w:t>
      </w:r>
      <w:r>
        <w:rPr>
          <w:rFonts w:hint="eastAsia" w:ascii="宋体" w:hAnsi="宋体"/>
          <w:b/>
          <w:color w:val="auto"/>
          <w:sz w:val="72"/>
          <w:szCs w:val="52"/>
          <w:highlight w:val="none"/>
        </w:rPr>
        <w:t>标</w:t>
      </w:r>
      <w:r>
        <w:rPr>
          <w:rFonts w:ascii="宋体" w:hAnsi="宋体"/>
          <w:b/>
          <w:color w:val="auto"/>
          <w:sz w:val="72"/>
          <w:szCs w:val="52"/>
          <w:highlight w:val="none"/>
        </w:rPr>
        <w:t xml:space="preserve">  </w:t>
      </w:r>
      <w:r>
        <w:rPr>
          <w:rFonts w:hint="eastAsia" w:ascii="宋体" w:hAnsi="宋体"/>
          <w:b/>
          <w:color w:val="auto"/>
          <w:sz w:val="72"/>
          <w:szCs w:val="52"/>
          <w:highlight w:val="none"/>
        </w:rPr>
        <w:t>文</w:t>
      </w:r>
      <w:r>
        <w:rPr>
          <w:rFonts w:ascii="宋体" w:hAnsi="宋体"/>
          <w:b/>
          <w:color w:val="auto"/>
          <w:sz w:val="72"/>
          <w:szCs w:val="52"/>
          <w:highlight w:val="none"/>
        </w:rPr>
        <w:t xml:space="preserve">  </w:t>
      </w:r>
      <w:r>
        <w:rPr>
          <w:rFonts w:hint="eastAsia" w:ascii="宋体" w:hAnsi="宋体"/>
          <w:b/>
          <w:color w:val="auto"/>
          <w:sz w:val="72"/>
          <w:szCs w:val="52"/>
          <w:highlight w:val="none"/>
        </w:rPr>
        <w:t>件</w:t>
      </w:r>
    </w:p>
    <w:p>
      <w:pPr>
        <w:spacing w:line="360" w:lineRule="auto"/>
        <w:jc w:val="center"/>
        <w:rPr>
          <w:rFonts w:ascii="宋体" w:hAnsi="宋体"/>
          <w:b/>
          <w:color w:val="auto"/>
          <w:sz w:val="32"/>
          <w:szCs w:val="32"/>
          <w:highlight w:val="none"/>
        </w:rPr>
      </w:pPr>
    </w:p>
    <w:p>
      <w:pPr>
        <w:spacing w:line="360" w:lineRule="auto"/>
        <w:jc w:val="center"/>
        <w:rPr>
          <w:rFonts w:ascii="宋体" w:hAnsi="宋体"/>
          <w:b/>
          <w:color w:val="auto"/>
          <w:sz w:val="44"/>
          <w:szCs w:val="44"/>
          <w:highlight w:val="none"/>
        </w:rPr>
      </w:pPr>
      <w:r>
        <w:rPr>
          <w:rFonts w:hint="eastAsia" w:ascii="宋体" w:hAnsi="宋体"/>
          <w:b/>
          <w:color w:val="auto"/>
          <w:sz w:val="44"/>
          <w:szCs w:val="44"/>
          <w:highlight w:val="none"/>
        </w:rPr>
        <w:t>第二册</w:t>
      </w:r>
    </w:p>
    <w:p>
      <w:pPr>
        <w:spacing w:line="360" w:lineRule="auto"/>
        <w:jc w:val="center"/>
        <w:rPr>
          <w:rFonts w:ascii="宋体" w:hAnsi="宋体"/>
          <w:b/>
          <w:color w:val="auto"/>
          <w:sz w:val="44"/>
          <w:szCs w:val="44"/>
          <w:highlight w:val="none"/>
        </w:rPr>
      </w:pPr>
      <w:r>
        <w:rPr>
          <w:rFonts w:hint="eastAsia" w:ascii="宋体" w:hAnsi="宋体"/>
          <w:b/>
          <w:color w:val="auto"/>
          <w:sz w:val="44"/>
          <w:szCs w:val="44"/>
          <w:highlight w:val="none"/>
        </w:rPr>
        <w:t>（专用册）</w:t>
      </w:r>
    </w:p>
    <w:p>
      <w:pPr>
        <w:spacing w:line="360" w:lineRule="auto"/>
        <w:jc w:val="center"/>
        <w:rPr>
          <w:rFonts w:ascii="宋体" w:hAnsi="宋体"/>
          <w:b/>
          <w:color w:val="auto"/>
          <w:sz w:val="30"/>
          <w:szCs w:val="30"/>
          <w:highlight w:val="none"/>
        </w:rPr>
      </w:pPr>
    </w:p>
    <w:p>
      <w:pPr>
        <w:spacing w:line="360" w:lineRule="auto"/>
        <w:ind w:firstLine="2530" w:firstLineChars="700"/>
        <w:jc w:val="left"/>
        <w:rPr>
          <w:b/>
          <w:color w:val="auto"/>
          <w:sz w:val="32"/>
          <w:highlight w:val="none"/>
        </w:rPr>
      </w:pPr>
      <w:r>
        <w:rPr>
          <w:rFonts w:hint="eastAsia" w:ascii="宋体" w:hAnsi="宋体"/>
          <w:b/>
          <w:color w:val="auto"/>
          <w:sz w:val="36"/>
          <w:szCs w:val="36"/>
          <w:highlight w:val="none"/>
        </w:rPr>
        <w:t>招标编号：</w:t>
      </w:r>
      <w:r>
        <w:rPr>
          <w:rFonts w:hint="eastAsia" w:ascii="宋体" w:hAnsi="宋体"/>
          <w:b/>
          <w:color w:val="auto"/>
          <w:sz w:val="36"/>
          <w:szCs w:val="36"/>
          <w:highlight w:val="none"/>
          <w:u w:val="single"/>
        </w:rPr>
        <w:t>OITC-G230302512</w:t>
      </w:r>
    </w:p>
    <w:p>
      <w:pPr>
        <w:spacing w:line="360" w:lineRule="auto"/>
        <w:jc w:val="center"/>
        <w:rPr>
          <w:b/>
          <w:color w:val="auto"/>
          <w:sz w:val="32"/>
          <w:highlight w:val="none"/>
        </w:rPr>
      </w:pPr>
    </w:p>
    <w:p>
      <w:pPr>
        <w:adjustRightInd w:val="0"/>
        <w:snapToGrid w:val="0"/>
        <w:spacing w:before="120"/>
        <w:jc w:val="center"/>
        <w:rPr>
          <w:rFonts w:ascii="宋体" w:hAnsi="宋体"/>
          <w:b/>
          <w:bCs/>
          <w:snapToGrid w:val="0"/>
          <w:color w:val="auto"/>
          <w:spacing w:val="20"/>
          <w:sz w:val="36"/>
          <w:szCs w:val="36"/>
          <w:highlight w:val="none"/>
        </w:rPr>
      </w:pPr>
      <w:r>
        <w:rPr>
          <w:rFonts w:hint="eastAsia" w:ascii="宋体" w:hAnsi="宋体"/>
          <w:b/>
          <w:bCs/>
          <w:snapToGrid w:val="0"/>
          <w:color w:val="auto"/>
          <w:spacing w:val="20"/>
          <w:sz w:val="36"/>
          <w:szCs w:val="36"/>
          <w:highlight w:val="none"/>
        </w:rPr>
        <w:t>东方国际招标有限责任公司</w:t>
      </w:r>
    </w:p>
    <w:p>
      <w:pPr>
        <w:adjustRightInd w:val="0"/>
        <w:snapToGrid w:val="0"/>
        <w:jc w:val="center"/>
        <w:rPr>
          <w:rFonts w:ascii="宋体" w:hAnsi="宋体"/>
          <w:b/>
          <w:snapToGrid w:val="0"/>
          <w:color w:val="auto"/>
          <w:sz w:val="36"/>
          <w:szCs w:val="36"/>
          <w:highlight w:val="none"/>
        </w:rPr>
      </w:pPr>
    </w:p>
    <w:p>
      <w:pPr>
        <w:adjustRightInd w:val="0"/>
        <w:snapToGrid w:val="0"/>
        <w:jc w:val="center"/>
        <w:rPr>
          <w:rFonts w:ascii="宋体" w:hAnsi="宋体"/>
          <w:b/>
          <w:snapToGrid w:val="0"/>
          <w:color w:val="auto"/>
          <w:sz w:val="36"/>
          <w:szCs w:val="36"/>
          <w:highlight w:val="none"/>
        </w:rPr>
      </w:pPr>
      <w:r>
        <w:rPr>
          <w:rFonts w:hint="eastAsia" w:ascii="宋体" w:hAnsi="宋体"/>
          <w:b/>
          <w:snapToGrid w:val="0"/>
          <w:color w:val="auto"/>
          <w:sz w:val="36"/>
          <w:szCs w:val="36"/>
          <w:highlight w:val="none"/>
        </w:rPr>
        <w:t>中国 · 北京</w:t>
      </w:r>
    </w:p>
    <w:p>
      <w:pPr>
        <w:adjustRightInd w:val="0"/>
        <w:snapToGrid w:val="0"/>
        <w:jc w:val="center"/>
        <w:rPr>
          <w:rFonts w:ascii="宋体" w:hAnsi="宋体"/>
          <w:b/>
          <w:color w:val="auto"/>
          <w:sz w:val="32"/>
          <w:szCs w:val="32"/>
          <w:highlight w:val="none"/>
        </w:rPr>
      </w:pPr>
      <w:r>
        <w:rPr>
          <w:rFonts w:hint="eastAsia" w:ascii="宋体" w:hAnsi="宋体"/>
          <w:b/>
          <w:snapToGrid w:val="0"/>
          <w:color w:val="auto"/>
          <w:sz w:val="36"/>
          <w:szCs w:val="36"/>
          <w:highlight w:val="none"/>
        </w:rPr>
        <w:t>2023年11月</w:t>
      </w:r>
    </w:p>
    <w:p>
      <w:pPr>
        <w:pStyle w:val="2"/>
        <w:snapToGrid w:val="0"/>
        <w:spacing w:before="0" w:after="0" w:line="240" w:lineRule="auto"/>
        <w:rPr>
          <w:rFonts w:hAnsi="宋体"/>
          <w:color w:val="auto"/>
          <w:sz w:val="24"/>
          <w:szCs w:val="24"/>
          <w:highlight w:val="none"/>
        </w:rPr>
      </w:pPr>
    </w:p>
    <w:p>
      <w:pPr>
        <w:adjustRightInd w:val="0"/>
        <w:snapToGrid w:val="0"/>
        <w:rPr>
          <w:rFonts w:ascii="宋体" w:hAnsi="宋体"/>
          <w:color w:val="auto"/>
          <w:highlight w:val="none"/>
        </w:rPr>
      </w:pPr>
    </w:p>
    <w:p>
      <w:pPr>
        <w:adjustRightInd w:val="0"/>
        <w:snapToGrid w:val="0"/>
        <w:rPr>
          <w:rFonts w:ascii="宋体" w:hAnsi="宋体"/>
          <w:color w:val="auto"/>
          <w:highlight w:val="none"/>
        </w:rPr>
      </w:pPr>
    </w:p>
    <w:p>
      <w:pPr>
        <w:adjustRightInd w:val="0"/>
        <w:snapToGrid w:val="0"/>
        <w:rPr>
          <w:rFonts w:ascii="宋体" w:hAnsi="宋体"/>
          <w:color w:val="auto"/>
          <w:highlight w:val="none"/>
        </w:rPr>
      </w:pPr>
    </w:p>
    <w:p>
      <w:pPr>
        <w:adjustRightInd w:val="0"/>
        <w:snapToGrid w:val="0"/>
        <w:rPr>
          <w:rFonts w:ascii="宋体" w:hAnsi="宋体"/>
          <w:color w:val="auto"/>
          <w:highlight w:val="none"/>
        </w:rPr>
      </w:pPr>
    </w:p>
    <w:p>
      <w:pPr>
        <w:adjustRightInd w:val="0"/>
        <w:snapToGrid w:val="0"/>
        <w:jc w:val="center"/>
        <w:rPr>
          <w:rFonts w:ascii="宋体" w:hAnsi="宋体"/>
          <w:b/>
          <w:color w:val="auto"/>
          <w:sz w:val="24"/>
          <w:highlight w:val="none"/>
        </w:rPr>
      </w:pPr>
      <w:bookmarkStart w:id="2" w:name="_GoBack"/>
      <w:bookmarkEnd w:id="2"/>
      <w:bookmarkStart w:id="0" w:name="_Toc512937852"/>
    </w:p>
    <w:p>
      <w:pPr>
        <w:adjustRightInd w:val="0"/>
        <w:snapToGrid w:val="0"/>
        <w:jc w:val="center"/>
        <w:rPr>
          <w:rFonts w:ascii="宋体" w:hAnsi="宋体"/>
          <w:b/>
          <w:color w:val="auto"/>
          <w:sz w:val="24"/>
          <w:highlight w:val="none"/>
        </w:rPr>
      </w:pPr>
    </w:p>
    <w:p>
      <w:pPr>
        <w:adjustRightInd w:val="0"/>
        <w:snapToGrid w:val="0"/>
        <w:spacing w:before="936" w:beforeLines="300"/>
        <w:jc w:val="center"/>
        <w:rPr>
          <w:rFonts w:ascii="黑体" w:eastAsia="黑体"/>
          <w:b/>
          <w:color w:val="auto"/>
          <w:kern w:val="44"/>
          <w:sz w:val="48"/>
          <w:szCs w:val="20"/>
          <w:highlight w:val="none"/>
        </w:rPr>
      </w:pPr>
      <w:r>
        <w:rPr>
          <w:rFonts w:hint="eastAsia" w:ascii="黑体" w:eastAsia="黑体"/>
          <w:b/>
          <w:color w:val="auto"/>
          <w:kern w:val="44"/>
          <w:sz w:val="48"/>
          <w:szCs w:val="20"/>
          <w:highlight w:val="none"/>
        </w:rPr>
        <w:t>第八部分  采购需求</w:t>
      </w:r>
      <w:r>
        <w:rPr>
          <w:rFonts w:ascii="黑体" w:eastAsia="黑体"/>
          <w:b/>
          <w:color w:val="auto"/>
          <w:kern w:val="44"/>
          <w:sz w:val="48"/>
          <w:szCs w:val="20"/>
          <w:highlight w:val="none"/>
        </w:rPr>
        <w:br w:type="page"/>
      </w:r>
    </w:p>
    <w:bookmarkEnd w:id="0"/>
    <w:p>
      <w:pPr>
        <w:numPr>
          <w:ilvl w:val="2"/>
          <w:numId w:val="1"/>
        </w:numPr>
        <w:adjustRightInd w:val="0"/>
        <w:snapToGrid w:val="0"/>
        <w:jc w:val="center"/>
        <w:rPr>
          <w:rFonts w:ascii="宋体" w:hAnsi="宋体"/>
          <w:b/>
          <w:color w:val="auto"/>
          <w:sz w:val="30"/>
          <w:szCs w:val="30"/>
          <w:highlight w:val="none"/>
        </w:rPr>
      </w:pPr>
      <w:r>
        <w:rPr>
          <w:rFonts w:hint="eastAsia" w:ascii="宋体" w:hAnsi="宋体"/>
          <w:b/>
          <w:color w:val="auto"/>
          <w:sz w:val="30"/>
          <w:szCs w:val="30"/>
          <w:highlight w:val="none"/>
        </w:rPr>
        <w:t>货物需求一览表</w:t>
      </w:r>
    </w:p>
    <w:p>
      <w:pPr>
        <w:adjustRightInd w:val="0"/>
        <w:snapToGrid w:val="0"/>
        <w:jc w:val="center"/>
        <w:rPr>
          <w:rFonts w:ascii="宋体" w:hAnsi="宋体"/>
          <w:b/>
          <w:color w:val="auto"/>
          <w:sz w:val="30"/>
          <w:szCs w:val="30"/>
          <w:highlight w:val="none"/>
        </w:rPr>
      </w:pPr>
    </w:p>
    <w:tbl>
      <w:tblPr>
        <w:tblStyle w:val="27"/>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vAlign w:val="center"/>
          </w:tcPr>
          <w:p>
            <w:pPr>
              <w:jc w:val="center"/>
              <w:rPr>
                <w:rFonts w:ascii="宋体" w:hAnsi="Bookman Old Style"/>
                <w:color w:val="auto"/>
                <w:sz w:val="24"/>
                <w:highlight w:val="none"/>
              </w:rPr>
            </w:pPr>
            <w:r>
              <w:rPr>
                <w:rFonts w:hint="eastAsia" w:ascii="宋体" w:hAnsi="Bookman Old Style"/>
                <w:color w:val="auto"/>
                <w:sz w:val="24"/>
                <w:highlight w:val="none"/>
              </w:rPr>
              <w:t>包号</w:t>
            </w:r>
          </w:p>
        </w:tc>
        <w:tc>
          <w:tcPr>
            <w:tcW w:w="2640" w:type="dxa"/>
            <w:vAlign w:val="center"/>
          </w:tcPr>
          <w:p>
            <w:pPr>
              <w:jc w:val="center"/>
              <w:rPr>
                <w:rFonts w:ascii="宋体" w:hAnsi="Bookman Old Style"/>
                <w:color w:val="auto"/>
                <w:sz w:val="24"/>
                <w:highlight w:val="none"/>
              </w:rPr>
            </w:pPr>
            <w:r>
              <w:rPr>
                <w:rFonts w:hint="eastAsia" w:ascii="宋体" w:hAnsi="Bookman Old Style"/>
                <w:color w:val="auto"/>
                <w:sz w:val="24"/>
                <w:highlight w:val="none"/>
              </w:rPr>
              <w:t>货物名称</w:t>
            </w:r>
          </w:p>
        </w:tc>
        <w:tc>
          <w:tcPr>
            <w:tcW w:w="635" w:type="dxa"/>
            <w:vAlign w:val="center"/>
          </w:tcPr>
          <w:p>
            <w:pPr>
              <w:jc w:val="center"/>
              <w:rPr>
                <w:rFonts w:ascii="宋体" w:hAnsi="Bookman Old Style"/>
                <w:color w:val="auto"/>
                <w:sz w:val="24"/>
                <w:highlight w:val="none"/>
              </w:rPr>
            </w:pPr>
            <w:r>
              <w:rPr>
                <w:rFonts w:hint="eastAsia" w:ascii="宋体" w:hAnsi="Bookman Old Style"/>
                <w:color w:val="auto"/>
                <w:sz w:val="24"/>
                <w:highlight w:val="none"/>
              </w:rPr>
              <w:t>数量</w:t>
            </w:r>
          </w:p>
        </w:tc>
        <w:tc>
          <w:tcPr>
            <w:tcW w:w="1320" w:type="dxa"/>
            <w:vAlign w:val="center"/>
          </w:tcPr>
          <w:p>
            <w:pPr>
              <w:jc w:val="center"/>
              <w:rPr>
                <w:rFonts w:ascii="宋体" w:hAnsi="Bookman Old Style"/>
                <w:color w:val="auto"/>
                <w:sz w:val="24"/>
                <w:highlight w:val="none"/>
              </w:rPr>
            </w:pPr>
            <w:r>
              <w:rPr>
                <w:rFonts w:hint="eastAsia" w:ascii="宋体" w:hAnsi="Bookman Old Style"/>
                <w:color w:val="auto"/>
                <w:sz w:val="24"/>
                <w:highlight w:val="none"/>
              </w:rPr>
              <w:t>交货期</w:t>
            </w:r>
          </w:p>
        </w:tc>
        <w:tc>
          <w:tcPr>
            <w:tcW w:w="1765" w:type="dxa"/>
            <w:vAlign w:val="center"/>
          </w:tcPr>
          <w:p>
            <w:pPr>
              <w:jc w:val="center"/>
              <w:rPr>
                <w:rFonts w:ascii="宋体" w:hAnsi="Bookman Old Style"/>
                <w:color w:val="auto"/>
                <w:sz w:val="24"/>
                <w:highlight w:val="none"/>
              </w:rPr>
            </w:pPr>
            <w:r>
              <w:rPr>
                <w:rFonts w:hint="eastAsia" w:ascii="宋体" w:hAnsi="Bookman Old Style"/>
                <w:color w:val="auto"/>
                <w:sz w:val="24"/>
                <w:highlight w:val="none"/>
              </w:rPr>
              <w:t>指定到货港</w:t>
            </w:r>
          </w:p>
        </w:tc>
        <w:tc>
          <w:tcPr>
            <w:tcW w:w="2520" w:type="dxa"/>
            <w:vAlign w:val="center"/>
          </w:tcPr>
          <w:p>
            <w:pPr>
              <w:jc w:val="center"/>
              <w:rPr>
                <w:rFonts w:ascii="宋体" w:hAnsi="Bookman Old Style"/>
                <w:color w:val="auto"/>
                <w:sz w:val="24"/>
                <w:highlight w:val="none"/>
                <w:shd w:val="pct10" w:color="auto" w:fill="FFFFFF"/>
              </w:rPr>
            </w:pPr>
            <w:r>
              <w:rPr>
                <w:rFonts w:hint="eastAsia" w:ascii="宋体" w:hAnsi="Bookman Old Style"/>
                <w:color w:val="auto"/>
                <w:sz w:val="24"/>
                <w:highlight w:val="none"/>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vAlign w:val="center"/>
          </w:tcPr>
          <w:p>
            <w:pPr>
              <w:jc w:val="center"/>
              <w:rPr>
                <w:rFonts w:ascii="宋体"/>
                <w:color w:val="auto"/>
                <w:sz w:val="24"/>
                <w:highlight w:val="none"/>
              </w:rPr>
            </w:pPr>
            <w:r>
              <w:rPr>
                <w:rFonts w:hint="eastAsia" w:ascii="宋体"/>
                <w:color w:val="auto"/>
                <w:sz w:val="24"/>
                <w:highlight w:val="none"/>
              </w:rPr>
              <w:t>1</w:t>
            </w:r>
          </w:p>
        </w:tc>
        <w:tc>
          <w:tcPr>
            <w:tcW w:w="2640" w:type="dxa"/>
            <w:vAlign w:val="center"/>
          </w:tcPr>
          <w:p>
            <w:pPr>
              <w:jc w:val="center"/>
              <w:rPr>
                <w:rFonts w:ascii="Bookman Old Style" w:hAnsi="Bookman Old Style"/>
                <w:color w:val="auto"/>
                <w:sz w:val="24"/>
                <w:highlight w:val="none"/>
              </w:rPr>
            </w:pPr>
            <w:r>
              <w:rPr>
                <w:rFonts w:hint="eastAsia" w:ascii="Bookman Old Style" w:hAnsi="Bookman Old Style"/>
                <w:color w:val="auto"/>
                <w:sz w:val="24"/>
                <w:highlight w:val="none"/>
              </w:rPr>
              <w:t>在线气体和气溶胶组分分析仪</w:t>
            </w:r>
          </w:p>
        </w:tc>
        <w:tc>
          <w:tcPr>
            <w:tcW w:w="635" w:type="dxa"/>
            <w:vAlign w:val="center"/>
          </w:tcPr>
          <w:p>
            <w:pPr>
              <w:jc w:val="center"/>
              <w:rPr>
                <w:rFonts w:ascii="宋体" w:hAnsi="Bookman Old Style"/>
                <w:color w:val="auto"/>
                <w:sz w:val="24"/>
                <w:highlight w:val="none"/>
              </w:rPr>
            </w:pPr>
            <w:r>
              <w:rPr>
                <w:rFonts w:hint="eastAsia" w:ascii="宋体" w:hAnsi="Bookman Old Style"/>
                <w:color w:val="auto"/>
                <w:sz w:val="24"/>
                <w:highlight w:val="none"/>
              </w:rPr>
              <w:t>1套</w:t>
            </w:r>
          </w:p>
        </w:tc>
        <w:tc>
          <w:tcPr>
            <w:tcW w:w="5605" w:type="dxa"/>
            <w:gridSpan w:val="3"/>
            <w:vAlign w:val="center"/>
          </w:tcPr>
          <w:p>
            <w:pPr>
              <w:jc w:val="center"/>
              <w:rPr>
                <w:rFonts w:ascii="宋体" w:hAnsi="Bookman Old Style"/>
                <w:color w:val="auto"/>
                <w:sz w:val="24"/>
                <w:highlight w:val="none"/>
              </w:rPr>
            </w:pPr>
            <w:r>
              <w:rPr>
                <w:rFonts w:hint="eastAsia" w:ascii="宋体" w:hAnsi="Bookman Old Style"/>
                <w:color w:val="auto"/>
                <w:sz w:val="24"/>
                <w:highlight w:val="none"/>
              </w:rPr>
              <w:t>详见具体技术规格</w:t>
            </w:r>
          </w:p>
        </w:tc>
      </w:tr>
    </w:tbl>
    <w:p>
      <w:pPr>
        <w:adjustRightInd w:val="0"/>
        <w:snapToGrid w:val="0"/>
        <w:jc w:val="center"/>
        <w:rPr>
          <w:rFonts w:ascii="宋体" w:hAnsi="宋体"/>
          <w:b/>
          <w:color w:val="auto"/>
          <w:sz w:val="30"/>
          <w:szCs w:val="30"/>
          <w:highlight w:val="none"/>
        </w:rPr>
      </w:pPr>
    </w:p>
    <w:p>
      <w:pPr>
        <w:adjustRightInd w:val="0"/>
        <w:snapToGrid w:val="0"/>
        <w:jc w:val="center"/>
        <w:rPr>
          <w:rFonts w:ascii="宋体" w:hAnsi="宋体"/>
          <w:b/>
          <w:color w:val="auto"/>
          <w:sz w:val="30"/>
          <w:szCs w:val="30"/>
          <w:highlight w:val="none"/>
        </w:rPr>
      </w:pPr>
    </w:p>
    <w:p>
      <w:pPr>
        <w:adjustRightInd w:val="0"/>
        <w:snapToGrid w:val="0"/>
        <w:jc w:val="center"/>
        <w:rPr>
          <w:rFonts w:ascii="宋体" w:hAnsi="宋体"/>
          <w:b/>
          <w:color w:val="auto"/>
          <w:sz w:val="30"/>
          <w:szCs w:val="30"/>
          <w:highlight w:val="none"/>
        </w:rPr>
      </w:pPr>
    </w:p>
    <w:p>
      <w:pPr>
        <w:rPr>
          <w:rFonts w:ascii="Bookman Old Style" w:hAnsi="Bookman Old Style"/>
          <w:color w:val="auto"/>
          <w:sz w:val="24"/>
          <w:highlight w:val="none"/>
        </w:rPr>
      </w:pPr>
      <w:r>
        <w:rPr>
          <w:rFonts w:hint="eastAsia"/>
          <w:color w:val="auto"/>
          <w:sz w:val="24"/>
          <w:highlight w:val="none"/>
        </w:rPr>
        <w:t>注：投标人须对上述投标内容中完整的一包或几包进行投标，</w:t>
      </w:r>
      <w:r>
        <w:rPr>
          <w:rFonts w:hint="eastAsia" w:ascii="Bookman Old Style" w:hAnsi="Bookman Old Style"/>
          <w:color w:val="auto"/>
          <w:sz w:val="24"/>
          <w:highlight w:val="none"/>
        </w:rPr>
        <w:t>不完整的投标将视为非响应性投标予以拒绝。</w:t>
      </w: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b/>
          <w:color w:val="auto"/>
          <w:sz w:val="30"/>
          <w:szCs w:val="30"/>
          <w:highlight w:val="none"/>
        </w:rPr>
      </w:pPr>
      <w:r>
        <w:rPr>
          <w:rFonts w:ascii="宋体" w:hAnsi="宋体"/>
          <w:b/>
          <w:color w:val="auto"/>
          <w:sz w:val="30"/>
          <w:szCs w:val="30"/>
          <w:highlight w:val="none"/>
        </w:rPr>
        <w:br w:type="page"/>
      </w:r>
    </w:p>
    <w:p>
      <w:pPr>
        <w:numPr>
          <w:ilvl w:val="2"/>
          <w:numId w:val="1"/>
        </w:numPr>
        <w:tabs>
          <w:tab w:val="left" w:pos="720"/>
          <w:tab w:val="clear" w:pos="1560"/>
        </w:tabs>
        <w:adjustRightInd w:val="0"/>
        <w:snapToGrid w:val="0"/>
        <w:ind w:hanging="1560"/>
        <w:jc w:val="center"/>
        <w:rPr>
          <w:rFonts w:ascii="宋体" w:hAnsi="宋体"/>
          <w:b/>
          <w:color w:val="auto"/>
          <w:sz w:val="30"/>
          <w:szCs w:val="30"/>
          <w:highlight w:val="none"/>
        </w:rPr>
      </w:pPr>
      <w:r>
        <w:rPr>
          <w:rFonts w:hint="eastAsia" w:ascii="宋体" w:hAnsi="宋体"/>
          <w:b/>
          <w:color w:val="auto"/>
          <w:sz w:val="30"/>
          <w:szCs w:val="30"/>
          <w:highlight w:val="none"/>
        </w:rPr>
        <w:t>总则</w:t>
      </w:r>
    </w:p>
    <w:p>
      <w:pPr>
        <w:spacing w:before="156" w:beforeLines="50" w:after="156" w:afterLines="50" w:line="360" w:lineRule="auto"/>
        <w:ind w:left="601" w:hanging="601"/>
        <w:rPr>
          <w:rFonts w:ascii="宋体" w:hAnsi="宋体"/>
          <w:b/>
          <w:color w:val="auto"/>
          <w:sz w:val="28"/>
          <w:highlight w:val="none"/>
        </w:rPr>
      </w:pPr>
      <w:r>
        <w:rPr>
          <w:rFonts w:ascii="宋体" w:hAnsi="宋体"/>
          <w:b/>
          <w:color w:val="auto"/>
          <w:sz w:val="28"/>
          <w:highlight w:val="none"/>
        </w:rPr>
        <w:t>1</w:t>
      </w:r>
      <w:r>
        <w:rPr>
          <w:rFonts w:hint="eastAsia" w:ascii="宋体" w:hAnsi="宋体"/>
          <w:b/>
          <w:color w:val="auto"/>
          <w:sz w:val="28"/>
          <w:highlight w:val="none"/>
        </w:rPr>
        <w:t>、投标要求</w:t>
      </w:r>
    </w:p>
    <w:p>
      <w:pPr>
        <w:spacing w:line="360" w:lineRule="auto"/>
        <w:ind w:left="554" w:hanging="554" w:hangingChars="231"/>
        <w:rPr>
          <w:rFonts w:ascii="宋体" w:hAnsi="宋体"/>
          <w:color w:val="auto"/>
          <w:sz w:val="24"/>
          <w:highlight w:val="none"/>
        </w:rPr>
      </w:pPr>
      <w:r>
        <w:rPr>
          <w:rFonts w:ascii="宋体" w:hAnsi="宋体"/>
          <w:color w:val="auto"/>
          <w:sz w:val="24"/>
          <w:highlight w:val="none"/>
        </w:rPr>
        <w:t xml:space="preserve">1.1 </w:t>
      </w:r>
      <w:r>
        <w:rPr>
          <w:rFonts w:hint="eastAsia" w:ascii="宋体" w:hAnsi="宋体"/>
          <w:color w:val="auto"/>
          <w:sz w:val="24"/>
          <w:highlight w:val="none"/>
        </w:rPr>
        <w:t xml:space="preserve"> 投标人在准备投标书时，务必在所提供的商品的技术规格文件中，标明型号、商标名称、目录号。</w:t>
      </w:r>
    </w:p>
    <w:p>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ascii="宋体"/>
          <w:color w:val="auto"/>
          <w:sz w:val="24"/>
          <w:highlight w:val="none"/>
        </w:rPr>
      </w:pPr>
      <w:r>
        <w:rPr>
          <w:rFonts w:hint="eastAsia" w:ascii="宋体" w:hAnsi="宋体"/>
          <w:color w:val="auto"/>
          <w:sz w:val="24"/>
          <w:highlight w:val="none"/>
        </w:rPr>
        <w:t xml:space="preserve">1.3  </w:t>
      </w:r>
      <w:r>
        <w:rPr>
          <w:rFonts w:hint="eastAsia"/>
          <w:color w:val="auto"/>
          <w:sz w:val="24"/>
          <w:highlight w:val="none"/>
        </w:rPr>
        <w:t>投标人提供的</w:t>
      </w:r>
      <w:r>
        <w:rPr>
          <w:rFonts w:hint="eastAsia" w:ascii="宋体"/>
          <w:color w:val="auto"/>
          <w:sz w:val="24"/>
          <w:highlight w:val="none"/>
        </w:rPr>
        <w:t>产品</w:t>
      </w:r>
      <w:r>
        <w:rPr>
          <w:rFonts w:hint="eastAsia"/>
          <w:color w:val="auto"/>
          <w:sz w:val="24"/>
          <w:highlight w:val="none"/>
        </w:rPr>
        <w:t>样本，必须是“原件”而非复印件，</w:t>
      </w:r>
      <w:r>
        <w:rPr>
          <w:rFonts w:hint="eastAsia" w:ascii="宋体"/>
          <w:color w:val="auto"/>
          <w:sz w:val="24"/>
          <w:highlight w:val="none"/>
        </w:rPr>
        <w:t>图表、简图、电路图以及印刷电路板图等都应</w:t>
      </w:r>
      <w:r>
        <w:rPr>
          <w:rFonts w:hint="eastAsia"/>
          <w:color w:val="auto"/>
          <w:sz w:val="24"/>
          <w:highlight w:val="none"/>
        </w:rPr>
        <w:t>清晰易读。买方有权</w:t>
      </w:r>
      <w:r>
        <w:rPr>
          <w:rFonts w:hint="eastAsia" w:ascii="宋体"/>
          <w:color w:val="auto"/>
          <w:sz w:val="24"/>
          <w:highlight w:val="none"/>
        </w:rPr>
        <w:t>不付任何附加费用</w:t>
      </w:r>
      <w:r>
        <w:rPr>
          <w:rFonts w:hint="eastAsia"/>
          <w:color w:val="auto"/>
          <w:sz w:val="24"/>
          <w:highlight w:val="none"/>
        </w:rPr>
        <w:t>复制这些资料</w:t>
      </w:r>
      <w:r>
        <w:rPr>
          <w:rFonts w:hint="eastAsia" w:ascii="宋体"/>
          <w:color w:val="auto"/>
          <w:sz w:val="24"/>
          <w:highlight w:val="none"/>
        </w:rPr>
        <w:t>以供参考。</w:t>
      </w:r>
    </w:p>
    <w:p>
      <w:pPr>
        <w:spacing w:line="360" w:lineRule="auto"/>
        <w:ind w:left="554" w:hanging="554" w:hangingChars="231"/>
        <w:rPr>
          <w:rFonts w:ascii="宋体"/>
          <w:color w:val="auto"/>
          <w:sz w:val="24"/>
          <w:highlight w:val="none"/>
        </w:rPr>
      </w:pPr>
      <w:r>
        <w:rPr>
          <w:rFonts w:hint="eastAsia" w:ascii="宋体"/>
          <w:color w:val="auto"/>
          <w:sz w:val="24"/>
          <w:highlight w:val="none"/>
        </w:rPr>
        <w:t>1.4  投标人的投标产品应符合国家有关部门规定的相应技术、节能、安全和环保标准；如国家有关部门对投标人的投标产品有强制性规定或要求的，则投标人的投标产品必须符合相应规定或要求。</w:t>
      </w:r>
    </w:p>
    <w:p>
      <w:pPr>
        <w:spacing w:before="156" w:beforeLines="50" w:after="156" w:afterLines="50" w:line="360" w:lineRule="auto"/>
        <w:ind w:left="601" w:hanging="601"/>
        <w:rPr>
          <w:rFonts w:ascii="宋体" w:hAnsi="宋体"/>
          <w:b/>
          <w:color w:val="auto"/>
          <w:sz w:val="28"/>
          <w:highlight w:val="none"/>
        </w:rPr>
      </w:pPr>
      <w:r>
        <w:rPr>
          <w:rFonts w:hint="eastAsia" w:ascii="宋体" w:hAnsi="宋体"/>
          <w:b/>
          <w:color w:val="auto"/>
          <w:sz w:val="28"/>
          <w:highlight w:val="none"/>
        </w:rPr>
        <w:t>2、评标标准</w:t>
      </w:r>
    </w:p>
    <w:p>
      <w:pPr>
        <w:spacing w:line="360" w:lineRule="auto"/>
        <w:ind w:left="554" w:hanging="554" w:hangingChars="231"/>
        <w:rPr>
          <w:rFonts w:ascii="宋体"/>
          <w:color w:val="auto"/>
          <w:sz w:val="24"/>
          <w:highlight w:val="none"/>
        </w:rPr>
      </w:pPr>
      <w:r>
        <w:rPr>
          <w:rFonts w:ascii="宋体" w:hAnsi="宋体"/>
          <w:color w:val="auto"/>
          <w:sz w:val="24"/>
          <w:highlight w:val="none"/>
        </w:rPr>
        <w:t>2.</w:t>
      </w:r>
      <w:r>
        <w:rPr>
          <w:rFonts w:hint="eastAsia" w:ascii="宋体" w:hAnsi="宋体"/>
          <w:color w:val="auto"/>
          <w:sz w:val="24"/>
          <w:highlight w:val="none"/>
        </w:rPr>
        <w:t xml:space="preserve">1  </w:t>
      </w:r>
      <w:r>
        <w:rPr>
          <w:rFonts w:hint="eastAsia"/>
          <w:color w:val="auto"/>
          <w:sz w:val="24"/>
          <w:highlight w:val="none"/>
        </w:rPr>
        <w:t>除招标文件中指定的附件和专用工具外，</w:t>
      </w:r>
      <w:r>
        <w:rPr>
          <w:rFonts w:hint="eastAsia" w:ascii="宋体"/>
          <w:color w:val="auto"/>
          <w:sz w:val="24"/>
          <w:highlight w:val="none"/>
        </w:rPr>
        <w:t>投标人应提供仪器设备的正常运行和常规保养所需的全套标准附件、专用工具</w:t>
      </w:r>
      <w:r>
        <w:rPr>
          <w:rFonts w:hint="eastAsia"/>
          <w:color w:val="auto"/>
          <w:sz w:val="24"/>
          <w:highlight w:val="none"/>
        </w:rPr>
        <w:t>和消耗品</w:t>
      </w:r>
      <w:r>
        <w:rPr>
          <w:rFonts w:hint="eastAsia" w:ascii="宋体"/>
          <w:color w:val="auto"/>
          <w:sz w:val="24"/>
          <w:highlight w:val="none"/>
        </w:rPr>
        <w:t>。投标人在投标书中需列出这些附件和工具的数量和单价的清单，这些附件和工具的报价的总值需计入投标价中。</w:t>
      </w:r>
    </w:p>
    <w:p>
      <w:pPr>
        <w:spacing w:line="360" w:lineRule="auto"/>
        <w:ind w:left="554" w:hanging="554" w:hangingChars="231"/>
        <w:rPr>
          <w:color w:val="auto"/>
          <w:sz w:val="24"/>
          <w:highlight w:val="none"/>
        </w:rPr>
      </w:pPr>
      <w:r>
        <w:rPr>
          <w:rFonts w:hint="eastAsia" w:ascii="宋体" w:hAnsi="宋体"/>
          <w:color w:val="auto"/>
          <w:sz w:val="24"/>
          <w:highlight w:val="none"/>
        </w:rPr>
        <w:t xml:space="preserve">2.2  </w:t>
      </w:r>
      <w:r>
        <w:rPr>
          <w:rFonts w:hint="eastAsia"/>
          <w:color w:val="auto"/>
          <w:sz w:val="24"/>
          <w:highlight w:val="none"/>
        </w:rPr>
        <w:t>对于标书</w:t>
      </w:r>
      <w:r>
        <w:rPr>
          <w:rFonts w:hint="eastAsia" w:ascii="宋体"/>
          <w:color w:val="auto"/>
          <w:sz w:val="24"/>
          <w:highlight w:val="none"/>
        </w:rPr>
        <w:t>技术规范中已列</w:t>
      </w:r>
      <w:r>
        <w:rPr>
          <w:rFonts w:hint="eastAsia"/>
          <w:color w:val="auto"/>
          <w:sz w:val="24"/>
          <w:highlight w:val="none"/>
        </w:rPr>
        <w:t>出的作为查询选件的附件、零配件、专用工具和消耗品，投标书中</w:t>
      </w:r>
      <w:r>
        <w:rPr>
          <w:rFonts w:hint="eastAsia" w:ascii="宋体"/>
          <w:color w:val="auto"/>
          <w:sz w:val="24"/>
          <w:highlight w:val="none"/>
        </w:rPr>
        <w:t>应列明其数量、单价、总价供买方参考。投标人也可推荐买方没有要求的附件或专用工具作为选件，并列明其数量、单价、总价供买方参考。选件价格不计入评标价中。</w:t>
      </w:r>
      <w:r>
        <w:rPr>
          <w:rFonts w:hint="eastAsia"/>
          <w:color w:val="auto"/>
          <w:sz w:val="24"/>
          <w:highlight w:val="none"/>
        </w:rPr>
        <w:t>选件一旦为用户接受，其费用将加入合同价中。</w:t>
      </w:r>
    </w:p>
    <w:p>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2.3  为便于用户进行接收仪器的准备工作，卖方应在合同生效后</w:t>
      </w:r>
      <w:r>
        <w:rPr>
          <w:rFonts w:hint="eastAsia" w:ascii="宋体" w:hAnsi="宋体"/>
          <w:b/>
          <w:color w:val="auto"/>
          <w:sz w:val="24"/>
          <w:highlight w:val="none"/>
        </w:rPr>
        <w:t>60</w:t>
      </w:r>
      <w:r>
        <w:rPr>
          <w:rFonts w:hint="eastAsia" w:ascii="宋体" w:hAnsi="宋体"/>
          <w:color w:val="auto"/>
          <w:sz w:val="24"/>
          <w:highlight w:val="none"/>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4</w:t>
      </w:r>
      <w:r>
        <w:rPr>
          <w:rFonts w:ascii="宋体" w:hAnsi="宋体"/>
          <w:color w:val="auto"/>
          <w:sz w:val="24"/>
          <w:highlight w:val="none"/>
        </w:rPr>
        <w:t xml:space="preserve"> </w:t>
      </w:r>
      <w:r>
        <w:rPr>
          <w:rFonts w:hint="eastAsia" w:ascii="宋体" w:hAnsi="宋体"/>
          <w:color w:val="auto"/>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5  制造厂家提供的培训指的是涉及货物的基本原理、操作使用和保养维修等有关内容的培训。培训教员的培训费、旅费、食宿费等费用和培训场地费及培训资料费均应由卖方支付。</w:t>
      </w:r>
    </w:p>
    <w:p>
      <w:pPr>
        <w:spacing w:before="156" w:beforeLines="50" w:after="156" w:afterLines="50" w:line="360" w:lineRule="auto"/>
        <w:ind w:left="601" w:hanging="601"/>
        <w:rPr>
          <w:rFonts w:ascii="宋体" w:hAnsi="宋体"/>
          <w:b/>
          <w:color w:val="auto"/>
          <w:sz w:val="28"/>
          <w:highlight w:val="none"/>
        </w:rPr>
      </w:pPr>
      <w:r>
        <w:rPr>
          <w:rFonts w:hint="eastAsia" w:ascii="宋体" w:hAnsi="宋体"/>
          <w:b/>
          <w:color w:val="auto"/>
          <w:sz w:val="28"/>
          <w:highlight w:val="none"/>
        </w:rPr>
        <w:t>3、工作条件</w:t>
      </w:r>
    </w:p>
    <w:p>
      <w:pPr>
        <w:spacing w:after="312" w:afterLines="100" w:line="360" w:lineRule="auto"/>
        <w:rPr>
          <w:rFonts w:ascii="宋体" w:hAnsi="宋体"/>
          <w:color w:val="auto"/>
          <w:sz w:val="24"/>
          <w:highlight w:val="none"/>
        </w:rPr>
      </w:pPr>
      <w:r>
        <w:rPr>
          <w:rFonts w:hint="eastAsia" w:ascii="宋体" w:hAnsi="宋体"/>
          <w:color w:val="auto"/>
          <w:sz w:val="24"/>
          <w:highlight w:val="none"/>
        </w:rPr>
        <w:t>除非在技术规格中另有说明，所有仪器、设备和系统都应符合下列要求：</w:t>
      </w:r>
      <w:r>
        <w:rPr>
          <w:rFonts w:ascii="宋体" w:hAnsi="宋体"/>
          <w:color w:val="auto"/>
          <w:sz w:val="24"/>
          <w:highlight w:val="none"/>
        </w:rPr>
        <w:t xml:space="preserve"> </w:t>
      </w:r>
    </w:p>
    <w:p>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3.1  适于在气温为摄氏</w:t>
      </w:r>
      <w:r>
        <w:rPr>
          <w:rFonts w:ascii="宋体" w:hAnsi="宋体"/>
          <w:b/>
          <w:color w:val="auto"/>
          <w:sz w:val="24"/>
          <w:highlight w:val="none"/>
        </w:rPr>
        <w:t>-40</w:t>
      </w:r>
      <w:r>
        <w:rPr>
          <w:rFonts w:hint="eastAsia" w:ascii="宋体" w:hAnsi="宋体"/>
          <w:b/>
          <w:color w:val="auto"/>
          <w:sz w:val="24"/>
          <w:highlight w:val="none"/>
        </w:rPr>
        <w:t>℃～＋</w:t>
      </w:r>
      <w:r>
        <w:rPr>
          <w:rFonts w:ascii="宋体" w:hAnsi="宋体"/>
          <w:b/>
          <w:color w:val="auto"/>
          <w:sz w:val="24"/>
          <w:highlight w:val="none"/>
        </w:rPr>
        <w:t>50</w:t>
      </w:r>
      <w:r>
        <w:rPr>
          <w:rFonts w:hint="eastAsia" w:ascii="宋体" w:hAnsi="宋体"/>
          <w:b/>
          <w:color w:val="auto"/>
          <w:sz w:val="24"/>
          <w:highlight w:val="none"/>
        </w:rPr>
        <w:t>℃</w:t>
      </w:r>
      <w:r>
        <w:rPr>
          <w:rFonts w:hint="eastAsia" w:ascii="宋体" w:hAnsi="宋体"/>
          <w:color w:val="auto"/>
          <w:sz w:val="24"/>
          <w:highlight w:val="none"/>
        </w:rPr>
        <w:t>和相对湿度为</w:t>
      </w:r>
      <w:r>
        <w:rPr>
          <w:rFonts w:ascii="宋体" w:hAnsi="宋体"/>
          <w:b/>
          <w:color w:val="auto"/>
          <w:sz w:val="24"/>
          <w:highlight w:val="none"/>
        </w:rPr>
        <w:t>90</w:t>
      </w:r>
      <w:r>
        <w:rPr>
          <w:rFonts w:hint="eastAsia" w:ascii="宋体" w:hAnsi="宋体"/>
          <w:b/>
          <w:color w:val="auto"/>
          <w:sz w:val="24"/>
          <w:highlight w:val="none"/>
        </w:rPr>
        <w:t>％</w:t>
      </w:r>
      <w:r>
        <w:rPr>
          <w:rFonts w:hint="eastAsia" w:ascii="宋体" w:hAnsi="宋体"/>
          <w:color w:val="auto"/>
          <w:sz w:val="24"/>
          <w:highlight w:val="none"/>
        </w:rPr>
        <w:t>的环境条件下运输和贮存。</w:t>
      </w:r>
    </w:p>
    <w:p>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3.2  适于在电源</w:t>
      </w:r>
      <w:r>
        <w:rPr>
          <w:rFonts w:ascii="宋体" w:hAnsi="宋体"/>
          <w:b/>
          <w:color w:val="auto"/>
          <w:sz w:val="24"/>
          <w:highlight w:val="none"/>
        </w:rPr>
        <w:t>220V</w:t>
      </w:r>
      <w:r>
        <w:rPr>
          <w:rFonts w:hint="eastAsia" w:ascii="宋体" w:hAnsi="宋体"/>
          <w:b/>
          <w:color w:val="auto"/>
          <w:sz w:val="24"/>
          <w:highlight w:val="none"/>
        </w:rPr>
        <w:t>（</w:t>
      </w:r>
      <w:r>
        <w:rPr>
          <w:rFonts w:ascii="宋体" w:hAnsi="宋体"/>
          <w:b/>
          <w:color w:val="auto"/>
          <w:sz w:val="24"/>
          <w:highlight w:val="none"/>
        </w:rPr>
        <w:sym w:font="Symbol" w:char="F0B1"/>
      </w:r>
      <w:r>
        <w:rPr>
          <w:rFonts w:ascii="宋体" w:hAnsi="宋体"/>
          <w:b/>
          <w:color w:val="auto"/>
          <w:sz w:val="24"/>
          <w:highlight w:val="none"/>
        </w:rPr>
        <w:t>10</w:t>
      </w:r>
      <w:r>
        <w:rPr>
          <w:rFonts w:hint="eastAsia" w:ascii="宋体" w:hAnsi="宋体"/>
          <w:b/>
          <w:color w:val="auto"/>
          <w:sz w:val="24"/>
          <w:highlight w:val="none"/>
        </w:rPr>
        <w:t>％）</w:t>
      </w:r>
      <w:r>
        <w:rPr>
          <w:rFonts w:ascii="宋体" w:hAnsi="宋体"/>
          <w:b/>
          <w:color w:val="auto"/>
          <w:sz w:val="24"/>
          <w:highlight w:val="none"/>
        </w:rPr>
        <w:t>/50Hz</w:t>
      </w:r>
      <w:r>
        <w:rPr>
          <w:rFonts w:hint="eastAsia" w:ascii="宋体" w:hAnsi="宋体"/>
          <w:color w:val="auto"/>
          <w:sz w:val="24"/>
          <w:highlight w:val="none"/>
        </w:rPr>
        <w:t>、气温摄氏</w:t>
      </w:r>
      <w:r>
        <w:rPr>
          <w:rFonts w:hint="eastAsia" w:ascii="宋体" w:hAnsi="宋体"/>
          <w:b/>
          <w:color w:val="auto"/>
          <w:sz w:val="24"/>
          <w:highlight w:val="none"/>
        </w:rPr>
        <w:t>+1</w:t>
      </w:r>
      <w:r>
        <w:rPr>
          <w:rFonts w:ascii="宋体" w:hAnsi="宋体"/>
          <w:b/>
          <w:color w:val="auto"/>
          <w:sz w:val="24"/>
          <w:highlight w:val="none"/>
        </w:rPr>
        <w:t>5</w:t>
      </w:r>
      <w:r>
        <w:rPr>
          <w:rFonts w:hint="eastAsia" w:ascii="宋体" w:hAnsi="宋体"/>
          <w:b/>
          <w:color w:val="auto"/>
          <w:sz w:val="24"/>
          <w:highlight w:val="none"/>
        </w:rPr>
        <w:t>℃～＋3</w:t>
      </w:r>
      <w:r>
        <w:rPr>
          <w:rFonts w:ascii="宋体" w:hAnsi="宋体"/>
          <w:b/>
          <w:color w:val="auto"/>
          <w:sz w:val="24"/>
          <w:highlight w:val="none"/>
        </w:rPr>
        <w:t>0</w:t>
      </w:r>
      <w:r>
        <w:rPr>
          <w:rFonts w:hint="eastAsia" w:ascii="宋体" w:hAnsi="宋体"/>
          <w:b/>
          <w:color w:val="auto"/>
          <w:sz w:val="24"/>
          <w:highlight w:val="none"/>
        </w:rPr>
        <w:t>℃</w:t>
      </w:r>
      <w:r>
        <w:rPr>
          <w:rFonts w:hint="eastAsia" w:ascii="宋体" w:hAnsi="宋体"/>
          <w:color w:val="auto"/>
          <w:sz w:val="24"/>
          <w:highlight w:val="none"/>
        </w:rPr>
        <w:t>和相对湿度小于</w:t>
      </w:r>
      <w:r>
        <w:rPr>
          <w:rFonts w:ascii="宋体" w:hAnsi="宋体"/>
          <w:b/>
          <w:color w:val="auto"/>
          <w:sz w:val="24"/>
          <w:highlight w:val="none"/>
        </w:rPr>
        <w:t>8</w:t>
      </w:r>
      <w:r>
        <w:rPr>
          <w:rFonts w:hint="eastAsia" w:ascii="宋体" w:hAnsi="宋体"/>
          <w:b/>
          <w:color w:val="auto"/>
          <w:sz w:val="24"/>
          <w:highlight w:val="none"/>
        </w:rPr>
        <w:t>0％</w:t>
      </w:r>
      <w:r>
        <w:rPr>
          <w:rFonts w:hint="eastAsia" w:ascii="宋体" w:hAnsi="宋体"/>
          <w:color w:val="auto"/>
          <w:sz w:val="24"/>
          <w:highlight w:val="none"/>
        </w:rPr>
        <w:t>的环境条件下运行。</w:t>
      </w:r>
      <w:r>
        <w:rPr>
          <w:rFonts w:hint="eastAsia" w:ascii="宋体" w:hAnsi="宋体"/>
          <w:b/>
          <w:color w:val="auto"/>
          <w:sz w:val="24"/>
          <w:highlight w:val="none"/>
        </w:rPr>
        <w:t>能够连续正常工作。</w:t>
      </w:r>
    </w:p>
    <w:p>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3.3  配置符合中国有关标准要求的插头，如果没有这样的插头，则需</w:t>
      </w:r>
      <w:r>
        <w:rPr>
          <w:rFonts w:hint="eastAsia" w:ascii="宋体"/>
          <w:color w:val="auto"/>
          <w:sz w:val="24"/>
          <w:highlight w:val="none"/>
        </w:rPr>
        <w:t>提供适当的转</w:t>
      </w:r>
      <w:r>
        <w:rPr>
          <w:rFonts w:hint="eastAsia" w:ascii="宋体" w:hAnsi="宋体"/>
          <w:color w:val="auto"/>
          <w:sz w:val="24"/>
          <w:highlight w:val="none"/>
        </w:rPr>
        <w:t>换插座。</w:t>
      </w:r>
    </w:p>
    <w:p>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3.4  如产品达不到上述要求，投标人应注明其偏差。如仪器设备需要特殊工作条件（如水、电源、磁场强度、温度、湿度、动强度等）投标人应在投标书中加以说明。</w:t>
      </w:r>
    </w:p>
    <w:p>
      <w:pPr>
        <w:rPr>
          <w:rFonts w:eastAsia="黑体"/>
          <w:b/>
          <w:bCs/>
          <w:color w:val="auto"/>
          <w:kern w:val="44"/>
          <w:sz w:val="24"/>
          <w:highlight w:val="none"/>
        </w:rPr>
      </w:pPr>
    </w:p>
    <w:p>
      <w:pPr>
        <w:spacing w:before="156" w:beforeLines="50" w:after="156" w:afterLines="50" w:line="360" w:lineRule="auto"/>
        <w:ind w:left="601" w:hanging="601"/>
        <w:rPr>
          <w:rFonts w:ascii="宋体" w:hAnsi="宋体"/>
          <w:b/>
          <w:color w:val="auto"/>
          <w:sz w:val="28"/>
          <w:highlight w:val="none"/>
        </w:rPr>
      </w:pPr>
      <w:r>
        <w:rPr>
          <w:rFonts w:hint="eastAsia" w:ascii="宋体" w:hAnsi="宋体"/>
          <w:b/>
          <w:color w:val="auto"/>
          <w:sz w:val="28"/>
          <w:highlight w:val="none"/>
        </w:rPr>
        <w:t>4、验收标准</w:t>
      </w:r>
    </w:p>
    <w:p>
      <w:pPr>
        <w:spacing w:after="312" w:afterLines="100" w:line="360" w:lineRule="auto"/>
        <w:rPr>
          <w:rFonts w:ascii="宋体" w:hAnsi="宋体"/>
          <w:color w:val="auto"/>
          <w:sz w:val="24"/>
          <w:highlight w:val="none"/>
        </w:rPr>
      </w:pPr>
      <w:r>
        <w:rPr>
          <w:rFonts w:hint="eastAsia" w:ascii="宋体" w:hAnsi="宋体"/>
          <w:color w:val="auto"/>
          <w:sz w:val="24"/>
          <w:highlight w:val="none"/>
        </w:rPr>
        <w:t>除非在技术规格中另有说明，所有仪器、设备和系统按下列要求进行验收：</w:t>
      </w:r>
      <w:r>
        <w:rPr>
          <w:rFonts w:ascii="宋体" w:hAnsi="宋体"/>
          <w:color w:val="auto"/>
          <w:sz w:val="24"/>
          <w:highlight w:val="none"/>
        </w:rPr>
        <w:t xml:space="preserve"> </w:t>
      </w:r>
    </w:p>
    <w:p>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4.1  仪器设备运抵安装现场后，买方将与卖方共同开箱验收</w:t>
      </w:r>
      <w:r>
        <w:rPr>
          <w:rFonts w:ascii="宋体" w:hAnsi="宋体"/>
          <w:color w:val="auto"/>
          <w:sz w:val="24"/>
          <w:highlight w:val="none"/>
        </w:rPr>
        <w:t xml:space="preserve">, </w:t>
      </w:r>
      <w:r>
        <w:rPr>
          <w:rFonts w:hint="eastAsia" w:ascii="宋体" w:hAnsi="宋体"/>
          <w:color w:val="auto"/>
          <w:sz w:val="24"/>
          <w:highlight w:val="none"/>
        </w:rPr>
        <w:t>如卖方届时不派人来</w:t>
      </w:r>
      <w:r>
        <w:rPr>
          <w:rFonts w:ascii="宋体" w:hAnsi="宋体"/>
          <w:color w:val="auto"/>
          <w:sz w:val="24"/>
          <w:highlight w:val="none"/>
        </w:rPr>
        <w:t xml:space="preserve">, </w:t>
      </w:r>
      <w:r>
        <w:rPr>
          <w:rFonts w:hint="eastAsia" w:ascii="宋体" w:hAnsi="宋体"/>
          <w:color w:val="auto"/>
          <w:sz w:val="24"/>
          <w:highlight w:val="none"/>
        </w:rPr>
        <w:t>则验收结果应以买方的验收报告为最终验收结果。验收时发现短缺、破损</w:t>
      </w:r>
      <w:r>
        <w:rPr>
          <w:rFonts w:ascii="宋体" w:hAnsi="宋体"/>
          <w:color w:val="auto"/>
          <w:sz w:val="24"/>
          <w:highlight w:val="none"/>
        </w:rPr>
        <w:t xml:space="preserve">, </w:t>
      </w:r>
      <w:r>
        <w:rPr>
          <w:rFonts w:hint="eastAsia" w:ascii="宋体" w:hAnsi="宋体"/>
          <w:color w:val="auto"/>
          <w:sz w:val="24"/>
          <w:highlight w:val="none"/>
        </w:rPr>
        <w:t>买方有权要求卖方负责更换。</w:t>
      </w:r>
    </w:p>
    <w:p>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 xml:space="preserve">4.2  </w:t>
      </w:r>
      <w:r>
        <w:rPr>
          <w:rFonts w:hint="eastAsia"/>
          <w:color w:val="auto"/>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 xml:space="preserve">4.3  </w:t>
      </w:r>
      <w:r>
        <w:rPr>
          <w:rFonts w:ascii="宋体" w:hAnsi="宋体"/>
          <w:color w:val="auto"/>
          <w:sz w:val="24"/>
          <w:highlight w:val="none"/>
        </w:rPr>
        <w:t>验收由采购人、中标人及相关人员依国家有关标准、合同及有关附件要求进行，验收完毕由采购人及中标人在验收报告上签名。</w:t>
      </w:r>
    </w:p>
    <w:p>
      <w:pPr>
        <w:pStyle w:val="17"/>
        <w:spacing w:line="360" w:lineRule="auto"/>
        <w:ind w:left="410" w:hanging="410" w:hangingChars="170"/>
        <w:rPr>
          <w:rFonts w:hAnsi="宋体"/>
          <w:b/>
          <w:color w:val="auto"/>
          <w:sz w:val="24"/>
          <w:szCs w:val="24"/>
          <w:highlight w:val="none"/>
        </w:rPr>
      </w:pPr>
    </w:p>
    <w:p>
      <w:pPr>
        <w:pStyle w:val="17"/>
        <w:spacing w:line="360" w:lineRule="auto"/>
        <w:ind w:left="410" w:hanging="410" w:hangingChars="170"/>
        <w:rPr>
          <w:rFonts w:hAnsi="宋体"/>
          <w:b/>
          <w:color w:val="auto"/>
          <w:sz w:val="24"/>
          <w:szCs w:val="24"/>
          <w:highlight w:val="none"/>
        </w:rPr>
      </w:pPr>
      <w:r>
        <w:rPr>
          <w:rFonts w:hint="eastAsia" w:hAnsi="宋体"/>
          <w:b/>
          <w:color w:val="auto"/>
          <w:sz w:val="24"/>
          <w:szCs w:val="24"/>
          <w:highlight w:val="none"/>
        </w:rPr>
        <w:t>5、本技术规格书中标注“*”号的为实质性要求，不满足其投标将被拒绝。</w:t>
      </w:r>
    </w:p>
    <w:p>
      <w:pPr>
        <w:pStyle w:val="17"/>
        <w:spacing w:line="360" w:lineRule="auto"/>
        <w:rPr>
          <w:rFonts w:hAnsi="宋体"/>
          <w:b/>
          <w:color w:val="auto"/>
          <w:sz w:val="24"/>
          <w:szCs w:val="24"/>
          <w:highlight w:val="none"/>
        </w:rPr>
      </w:pPr>
    </w:p>
    <w:p>
      <w:pPr>
        <w:spacing w:after="156" w:afterLines="50"/>
        <w:ind w:left="601" w:hanging="601"/>
        <w:rPr>
          <w:rFonts w:ascii="宋体" w:hAnsi="宋体"/>
          <w:b/>
          <w:color w:val="auto"/>
          <w:sz w:val="28"/>
          <w:highlight w:val="none"/>
        </w:rPr>
      </w:pPr>
      <w:r>
        <w:rPr>
          <w:rFonts w:hint="eastAsia" w:hAnsi="宋体"/>
          <w:b/>
          <w:color w:val="auto"/>
          <w:sz w:val="24"/>
          <w:highlight w:val="none"/>
        </w:rPr>
        <w:t>6、如在具体技术规格中有本总则不一致之处，以具体技术规格中的要求为准。</w:t>
      </w:r>
      <w:r>
        <w:rPr>
          <w:rFonts w:ascii="宋体" w:hAnsi="宋体"/>
          <w:b/>
          <w:color w:val="auto"/>
          <w:sz w:val="28"/>
          <w:highlight w:val="none"/>
        </w:rPr>
        <w:br w:type="page"/>
      </w:r>
      <w:r>
        <w:rPr>
          <w:rFonts w:hint="eastAsia" w:ascii="宋体" w:hAnsi="宋体"/>
          <w:b/>
          <w:color w:val="auto"/>
          <w:sz w:val="28"/>
          <w:highlight w:val="none"/>
        </w:rPr>
        <w:t>三、具体技术规格</w:t>
      </w:r>
    </w:p>
    <w:p>
      <w:pPr>
        <w:rPr>
          <w:color w:val="auto"/>
          <w:sz w:val="24"/>
          <w:highlight w:val="none"/>
        </w:rPr>
      </w:pPr>
    </w:p>
    <w:p>
      <w:pPr>
        <w:jc w:val="center"/>
        <w:rPr>
          <w:b/>
          <w:color w:val="auto"/>
          <w:sz w:val="24"/>
          <w:highlight w:val="none"/>
        </w:rPr>
      </w:pPr>
      <w:r>
        <w:rPr>
          <w:rFonts w:hint="eastAsia"/>
          <w:b/>
          <w:color w:val="auto"/>
          <w:sz w:val="24"/>
          <w:highlight w:val="none"/>
        </w:rPr>
        <w:t>第1包 在线气体和气溶胶组分分析仪</w:t>
      </w:r>
    </w:p>
    <w:p>
      <w:pPr>
        <w:rPr>
          <w:b/>
          <w:color w:val="auto"/>
          <w:sz w:val="24"/>
          <w:highlight w:val="none"/>
        </w:rPr>
      </w:pPr>
    </w:p>
    <w:p>
      <w:pPr>
        <w:rPr>
          <w:b/>
          <w:color w:val="auto"/>
          <w:sz w:val="24"/>
          <w:highlight w:val="none"/>
        </w:rPr>
      </w:pPr>
    </w:p>
    <w:p>
      <w:pPr>
        <w:numPr>
          <w:ilvl w:val="0"/>
          <w:numId w:val="2"/>
        </w:numPr>
        <w:rPr>
          <w:b/>
          <w:color w:val="auto"/>
          <w:sz w:val="24"/>
          <w:highlight w:val="none"/>
        </w:rPr>
      </w:pPr>
      <w:r>
        <w:rPr>
          <w:rFonts w:hint="eastAsia"/>
          <w:b/>
          <w:color w:val="auto"/>
          <w:sz w:val="24"/>
          <w:highlight w:val="none"/>
        </w:rPr>
        <w:t>技术要求：</w:t>
      </w:r>
    </w:p>
    <w:p>
      <w:pPr>
        <w:rPr>
          <w:b/>
          <w:color w:val="auto"/>
          <w:sz w:val="24"/>
          <w:highlight w:val="none"/>
        </w:rPr>
      </w:pPr>
    </w:p>
    <w:p>
      <w:pPr>
        <w:numPr>
          <w:ilvl w:val="0"/>
          <w:numId w:val="3"/>
        </w:numPr>
        <w:spacing w:line="360" w:lineRule="auto"/>
        <w:rPr>
          <w:b/>
          <w:color w:val="auto"/>
          <w:sz w:val="24"/>
          <w:highlight w:val="none"/>
        </w:rPr>
      </w:pPr>
      <w:r>
        <w:rPr>
          <w:rFonts w:hint="eastAsia"/>
          <w:b/>
          <w:color w:val="auto"/>
          <w:sz w:val="24"/>
          <w:highlight w:val="none"/>
        </w:rPr>
        <w:t>工作条件：</w:t>
      </w:r>
    </w:p>
    <w:p>
      <w:pPr>
        <w:spacing w:line="360" w:lineRule="auto"/>
        <w:rPr>
          <w:color w:val="auto"/>
          <w:sz w:val="24"/>
          <w:highlight w:val="none"/>
        </w:rPr>
      </w:pPr>
      <w:r>
        <w:rPr>
          <w:rFonts w:hint="eastAsia"/>
          <w:color w:val="auto"/>
          <w:sz w:val="24"/>
          <w:highlight w:val="none"/>
        </w:rPr>
        <w:t>1.1电源：220V±10﹪,50Hz</w:t>
      </w:r>
    </w:p>
    <w:p>
      <w:pPr>
        <w:spacing w:line="360" w:lineRule="auto"/>
        <w:rPr>
          <w:color w:val="auto"/>
          <w:sz w:val="24"/>
          <w:highlight w:val="none"/>
        </w:rPr>
      </w:pPr>
      <w:r>
        <w:rPr>
          <w:rFonts w:hint="eastAsia"/>
          <w:color w:val="auto"/>
          <w:sz w:val="24"/>
          <w:highlight w:val="none"/>
        </w:rPr>
        <w:t xml:space="preserve">1.2 室温： 18 ～ 25℃ </w:t>
      </w:r>
    </w:p>
    <w:p>
      <w:pPr>
        <w:spacing w:line="360" w:lineRule="auto"/>
        <w:rPr>
          <w:color w:val="auto"/>
          <w:sz w:val="24"/>
          <w:highlight w:val="none"/>
        </w:rPr>
      </w:pPr>
      <w:r>
        <w:rPr>
          <w:rFonts w:hint="eastAsia"/>
          <w:color w:val="auto"/>
          <w:sz w:val="24"/>
          <w:highlight w:val="none"/>
        </w:rPr>
        <w:t>1.3 环境湿度：0-100%</w:t>
      </w:r>
    </w:p>
    <w:p>
      <w:pPr>
        <w:spacing w:line="360" w:lineRule="auto"/>
        <w:rPr>
          <w:color w:val="auto"/>
          <w:sz w:val="24"/>
          <w:highlight w:val="none"/>
        </w:rPr>
      </w:pPr>
      <w:r>
        <w:rPr>
          <w:rFonts w:hint="eastAsia"/>
          <w:color w:val="auto"/>
          <w:sz w:val="24"/>
          <w:highlight w:val="none"/>
        </w:rPr>
        <w:t xml:space="preserve">1.4 其它：仪器周边应避免有强烈震动 </w:t>
      </w:r>
    </w:p>
    <w:p>
      <w:pPr>
        <w:spacing w:line="360" w:lineRule="auto"/>
        <w:rPr>
          <w:color w:val="auto"/>
          <w:sz w:val="24"/>
          <w:highlight w:val="none"/>
        </w:rPr>
      </w:pPr>
    </w:p>
    <w:p>
      <w:pPr>
        <w:numPr>
          <w:ilvl w:val="0"/>
          <w:numId w:val="3"/>
        </w:numPr>
        <w:spacing w:line="360" w:lineRule="auto"/>
        <w:rPr>
          <w:b/>
          <w:color w:val="auto"/>
          <w:sz w:val="24"/>
          <w:highlight w:val="none"/>
        </w:rPr>
      </w:pPr>
      <w:r>
        <w:rPr>
          <w:rFonts w:hint="eastAsia"/>
          <w:b/>
          <w:color w:val="auto"/>
          <w:sz w:val="24"/>
          <w:highlight w:val="none"/>
        </w:rPr>
        <w:t>设备用途：</w:t>
      </w:r>
    </w:p>
    <w:p>
      <w:pPr>
        <w:spacing w:line="360" w:lineRule="auto"/>
        <w:ind w:firstLine="480" w:firstLineChars="200"/>
        <w:rPr>
          <w:color w:val="auto"/>
          <w:sz w:val="24"/>
          <w:highlight w:val="none"/>
        </w:rPr>
      </w:pPr>
      <w:r>
        <w:rPr>
          <w:rFonts w:hint="eastAsia"/>
          <w:color w:val="auto"/>
          <w:sz w:val="24"/>
          <w:highlight w:val="none"/>
        </w:rPr>
        <w:t>用于自动在线监测空气中气体组分和气溶胶中的可溶性离子成分的含量，以小时分辨率连续监测气体中的</w:t>
      </w:r>
      <w:r>
        <w:rPr>
          <w:rFonts w:ascii="宋体" w:hAnsi="宋体" w:cs="Arial"/>
          <w:color w:val="auto"/>
          <w:sz w:val="24"/>
          <w:highlight w:val="none"/>
        </w:rPr>
        <w:t>HCl,HNO</w:t>
      </w:r>
      <w:r>
        <w:rPr>
          <w:rFonts w:ascii="宋体" w:hAnsi="宋体" w:cs="Arial"/>
          <w:color w:val="auto"/>
          <w:sz w:val="24"/>
          <w:highlight w:val="none"/>
          <w:vertAlign w:val="subscript"/>
        </w:rPr>
        <w:t>3</w:t>
      </w:r>
      <w:r>
        <w:rPr>
          <w:rFonts w:ascii="宋体" w:hAnsi="宋体" w:cs="Arial"/>
          <w:color w:val="auto"/>
          <w:sz w:val="24"/>
          <w:highlight w:val="none"/>
        </w:rPr>
        <w:t>,HNO</w:t>
      </w:r>
      <w:r>
        <w:rPr>
          <w:rFonts w:ascii="宋体" w:hAnsi="宋体" w:cs="Arial"/>
          <w:color w:val="auto"/>
          <w:sz w:val="24"/>
          <w:highlight w:val="none"/>
          <w:vertAlign w:val="subscript"/>
        </w:rPr>
        <w:t>2</w:t>
      </w:r>
      <w:r>
        <w:rPr>
          <w:rFonts w:ascii="宋体" w:hAnsi="宋体" w:cs="Arial"/>
          <w:color w:val="auto"/>
          <w:sz w:val="24"/>
          <w:highlight w:val="none"/>
        </w:rPr>
        <w:t>,SO</w:t>
      </w:r>
      <w:r>
        <w:rPr>
          <w:rFonts w:ascii="宋体" w:hAnsi="宋体" w:cs="Arial"/>
          <w:color w:val="auto"/>
          <w:sz w:val="24"/>
          <w:highlight w:val="none"/>
          <w:vertAlign w:val="subscript"/>
        </w:rPr>
        <w:t>2</w:t>
      </w:r>
      <w:r>
        <w:rPr>
          <w:rFonts w:ascii="宋体" w:hAnsi="宋体" w:cs="Arial"/>
          <w:color w:val="auto"/>
          <w:sz w:val="24"/>
          <w:highlight w:val="none"/>
        </w:rPr>
        <w:t>,NH</w:t>
      </w:r>
      <w:r>
        <w:rPr>
          <w:rFonts w:ascii="宋体" w:hAnsi="宋体" w:cs="Arial"/>
          <w:color w:val="auto"/>
          <w:sz w:val="24"/>
          <w:highlight w:val="none"/>
          <w:vertAlign w:val="subscript"/>
        </w:rPr>
        <w:t>3</w:t>
      </w:r>
      <w:r>
        <w:rPr>
          <w:rFonts w:hint="eastAsia" w:ascii="宋体" w:hAnsi="宋体" w:cs="Arial"/>
          <w:color w:val="auto"/>
          <w:sz w:val="24"/>
          <w:highlight w:val="none"/>
        </w:rPr>
        <w:t>，</w:t>
      </w:r>
      <w:r>
        <w:rPr>
          <w:rFonts w:ascii="宋体" w:hAnsi="宋体" w:cs="Arial"/>
          <w:color w:val="auto"/>
          <w:sz w:val="24"/>
          <w:highlight w:val="none"/>
        </w:rPr>
        <w:t>PM2.5</w:t>
      </w:r>
      <w:r>
        <w:rPr>
          <w:rFonts w:hint="eastAsia"/>
          <w:color w:val="auto"/>
          <w:sz w:val="24"/>
          <w:highlight w:val="none"/>
        </w:rPr>
        <w:t>气溶胶中的</w:t>
      </w:r>
      <w:r>
        <w:rPr>
          <w:rFonts w:ascii="宋体" w:hAnsi="宋体" w:cs="Arial"/>
          <w:color w:val="auto"/>
          <w:sz w:val="24"/>
          <w:highlight w:val="none"/>
        </w:rPr>
        <w:t>Cl</w:t>
      </w:r>
      <w:r>
        <w:rPr>
          <w:rFonts w:ascii="宋体" w:hAnsi="宋体" w:cs="Arial"/>
          <w:color w:val="auto"/>
          <w:sz w:val="24"/>
          <w:highlight w:val="none"/>
          <w:vertAlign w:val="superscript"/>
        </w:rPr>
        <w:t>-</w:t>
      </w:r>
      <w:r>
        <w:rPr>
          <w:rFonts w:ascii="宋体" w:hAnsi="宋体" w:cs="Arial"/>
          <w:color w:val="auto"/>
          <w:sz w:val="24"/>
          <w:highlight w:val="none"/>
        </w:rPr>
        <w:t xml:space="preserve"> NO</w:t>
      </w:r>
      <w:r>
        <w:rPr>
          <w:rFonts w:ascii="宋体" w:hAnsi="宋体" w:cs="Arial"/>
          <w:color w:val="auto"/>
          <w:sz w:val="24"/>
          <w:highlight w:val="none"/>
          <w:vertAlign w:val="subscript"/>
        </w:rPr>
        <w:t>3</w:t>
      </w:r>
      <w:r>
        <w:rPr>
          <w:rFonts w:ascii="宋体" w:hAnsi="宋体" w:cs="Arial"/>
          <w:color w:val="auto"/>
          <w:sz w:val="24"/>
          <w:highlight w:val="none"/>
          <w:vertAlign w:val="superscript"/>
        </w:rPr>
        <w:t>-</w:t>
      </w:r>
      <w:r>
        <w:rPr>
          <w:rFonts w:ascii="宋体" w:hAnsi="宋体" w:cs="Arial"/>
          <w:color w:val="auto"/>
          <w:sz w:val="24"/>
          <w:highlight w:val="none"/>
        </w:rPr>
        <w:t xml:space="preserve"> SO</w:t>
      </w:r>
      <w:r>
        <w:rPr>
          <w:rFonts w:ascii="宋体" w:hAnsi="宋体" w:cs="Arial"/>
          <w:color w:val="auto"/>
          <w:sz w:val="24"/>
          <w:highlight w:val="none"/>
          <w:vertAlign w:val="subscript"/>
        </w:rPr>
        <w:t>4</w:t>
      </w:r>
      <w:r>
        <w:rPr>
          <w:rFonts w:ascii="宋体" w:hAnsi="宋体" w:cs="Arial"/>
          <w:color w:val="auto"/>
          <w:sz w:val="24"/>
          <w:highlight w:val="none"/>
          <w:vertAlign w:val="superscript"/>
        </w:rPr>
        <w:t>2-</w:t>
      </w:r>
      <w:r>
        <w:rPr>
          <w:rFonts w:ascii="宋体" w:hAnsi="宋体" w:cs="Arial"/>
          <w:color w:val="auto"/>
          <w:sz w:val="24"/>
          <w:highlight w:val="none"/>
        </w:rPr>
        <w:t xml:space="preserve"> NH</w:t>
      </w:r>
      <w:r>
        <w:rPr>
          <w:rFonts w:ascii="宋体" w:hAnsi="宋体" w:cs="Arial"/>
          <w:color w:val="auto"/>
          <w:sz w:val="24"/>
          <w:highlight w:val="none"/>
          <w:vertAlign w:val="subscript"/>
        </w:rPr>
        <w:t>4</w:t>
      </w:r>
      <w:r>
        <w:rPr>
          <w:rFonts w:ascii="宋体" w:hAnsi="宋体" w:cs="Arial"/>
          <w:color w:val="auto"/>
          <w:sz w:val="24"/>
          <w:highlight w:val="none"/>
          <w:vertAlign w:val="superscript"/>
        </w:rPr>
        <w:t>+</w:t>
      </w:r>
      <w:r>
        <w:rPr>
          <w:rFonts w:ascii="宋体" w:hAnsi="宋体" w:cs="Arial"/>
          <w:color w:val="auto"/>
          <w:sz w:val="24"/>
          <w:highlight w:val="none"/>
        </w:rPr>
        <w:t xml:space="preserve"> Na</w:t>
      </w:r>
      <w:r>
        <w:rPr>
          <w:rFonts w:ascii="宋体" w:hAnsi="宋体" w:cs="Arial"/>
          <w:color w:val="auto"/>
          <w:sz w:val="24"/>
          <w:highlight w:val="none"/>
          <w:vertAlign w:val="superscript"/>
        </w:rPr>
        <w:t>+</w:t>
      </w:r>
      <w:r>
        <w:rPr>
          <w:rFonts w:ascii="宋体" w:hAnsi="宋体" w:cs="Arial"/>
          <w:color w:val="auto"/>
          <w:sz w:val="24"/>
          <w:highlight w:val="none"/>
        </w:rPr>
        <w:t xml:space="preserve"> K</w:t>
      </w:r>
      <w:r>
        <w:rPr>
          <w:rFonts w:ascii="宋体" w:hAnsi="宋体" w:cs="Arial"/>
          <w:color w:val="auto"/>
          <w:sz w:val="24"/>
          <w:highlight w:val="none"/>
          <w:vertAlign w:val="superscript"/>
        </w:rPr>
        <w:t>+</w:t>
      </w:r>
      <w:r>
        <w:rPr>
          <w:rFonts w:ascii="宋体" w:hAnsi="宋体" w:cs="Arial"/>
          <w:color w:val="auto"/>
          <w:sz w:val="24"/>
          <w:highlight w:val="none"/>
        </w:rPr>
        <w:t xml:space="preserve"> Mg</w:t>
      </w:r>
      <w:r>
        <w:rPr>
          <w:rFonts w:ascii="宋体" w:hAnsi="宋体" w:cs="Arial"/>
          <w:color w:val="auto"/>
          <w:sz w:val="24"/>
          <w:highlight w:val="none"/>
          <w:vertAlign w:val="superscript"/>
        </w:rPr>
        <w:t>2+</w:t>
      </w:r>
      <w:r>
        <w:rPr>
          <w:rFonts w:ascii="宋体" w:hAnsi="宋体" w:cs="Arial"/>
          <w:color w:val="auto"/>
          <w:sz w:val="24"/>
          <w:highlight w:val="none"/>
        </w:rPr>
        <w:t xml:space="preserve"> Ca</w:t>
      </w:r>
      <w:r>
        <w:rPr>
          <w:rFonts w:ascii="宋体" w:hAnsi="宋体" w:cs="Arial"/>
          <w:color w:val="auto"/>
          <w:sz w:val="24"/>
          <w:highlight w:val="none"/>
          <w:vertAlign w:val="superscript"/>
        </w:rPr>
        <w:t>2+</w:t>
      </w:r>
      <w:r>
        <w:rPr>
          <w:rFonts w:hint="eastAsia" w:ascii="宋体" w:hAnsi="宋体" w:cs="Arial"/>
          <w:color w:val="auto"/>
          <w:sz w:val="24"/>
          <w:highlight w:val="none"/>
        </w:rPr>
        <w:t>。</w:t>
      </w:r>
      <w:r>
        <w:rPr>
          <w:rFonts w:hint="eastAsia"/>
          <w:color w:val="auto"/>
          <w:sz w:val="24"/>
          <w:highlight w:val="none"/>
        </w:rPr>
        <w:t xml:space="preserve">    </w:t>
      </w:r>
    </w:p>
    <w:p>
      <w:pPr>
        <w:spacing w:line="360" w:lineRule="auto"/>
        <w:rPr>
          <w:color w:val="auto"/>
          <w:sz w:val="24"/>
          <w:highlight w:val="none"/>
        </w:rPr>
      </w:pPr>
    </w:p>
    <w:p>
      <w:pPr>
        <w:numPr>
          <w:ilvl w:val="0"/>
          <w:numId w:val="3"/>
        </w:numPr>
        <w:spacing w:line="360" w:lineRule="auto"/>
        <w:rPr>
          <w:b/>
          <w:color w:val="auto"/>
          <w:sz w:val="24"/>
          <w:highlight w:val="none"/>
        </w:rPr>
      </w:pPr>
      <w:r>
        <w:rPr>
          <w:rFonts w:hint="eastAsia"/>
          <w:b/>
          <w:color w:val="auto"/>
          <w:sz w:val="24"/>
          <w:highlight w:val="none"/>
        </w:rPr>
        <w:t>技术规格：</w:t>
      </w:r>
    </w:p>
    <w:p>
      <w:pPr>
        <w:spacing w:line="276" w:lineRule="auto"/>
        <w:rPr>
          <w:rFonts w:ascii="宋体" w:hAnsi="宋体" w:cs="Arial"/>
          <w:bCs/>
          <w:color w:val="auto"/>
          <w:sz w:val="24"/>
          <w:highlight w:val="none"/>
        </w:rPr>
      </w:pPr>
      <w:r>
        <w:rPr>
          <w:rFonts w:hint="eastAsia"/>
          <w:color w:val="auto"/>
          <w:sz w:val="24"/>
          <w:highlight w:val="none"/>
        </w:rPr>
        <w:t>3</w:t>
      </w:r>
      <w:r>
        <w:rPr>
          <w:color w:val="auto"/>
          <w:sz w:val="24"/>
          <w:highlight w:val="none"/>
        </w:rPr>
        <w:t>.1</w:t>
      </w:r>
      <w:r>
        <w:rPr>
          <w:rFonts w:ascii="宋体" w:hAnsi="宋体" w:cs="Arial"/>
          <w:bCs/>
          <w:color w:val="auto"/>
          <w:sz w:val="24"/>
          <w:highlight w:val="none"/>
        </w:rPr>
        <w:t xml:space="preserve"> </w:t>
      </w:r>
      <w:r>
        <w:rPr>
          <w:rFonts w:hint="eastAsia" w:ascii="宋体" w:hAnsi="宋体" w:cs="Arial"/>
          <w:bCs/>
          <w:color w:val="auto"/>
          <w:sz w:val="24"/>
          <w:highlight w:val="none"/>
        </w:rPr>
        <w:t>整机系统</w:t>
      </w:r>
      <w:r>
        <w:rPr>
          <w:rFonts w:ascii="宋体" w:hAnsi="宋体" w:cs="Arial"/>
          <w:bCs/>
          <w:color w:val="auto"/>
          <w:sz w:val="24"/>
          <w:highlight w:val="none"/>
        </w:rPr>
        <w:t>要求</w:t>
      </w:r>
    </w:p>
    <w:p>
      <w:pPr>
        <w:spacing w:line="276" w:lineRule="auto"/>
        <w:rPr>
          <w:rFonts w:ascii="宋体" w:hAnsi="宋体" w:cs="Arial"/>
          <w:color w:val="auto"/>
          <w:sz w:val="24"/>
          <w:highlight w:val="none"/>
        </w:rPr>
      </w:pPr>
      <w:r>
        <w:rPr>
          <w:rFonts w:hint="eastAsia"/>
          <w:color w:val="auto"/>
          <w:sz w:val="24"/>
          <w:highlight w:val="none"/>
        </w:rPr>
        <w:t>*</w:t>
      </w:r>
      <w:r>
        <w:rPr>
          <w:rFonts w:ascii="宋体" w:hAnsi="宋体" w:cs="Arial"/>
          <w:color w:val="auto"/>
          <w:sz w:val="24"/>
          <w:highlight w:val="none"/>
        </w:rPr>
        <w:t>3.1.1整套系统主要包括采样系统，分析系统，控制系统和辅助系统。为保证整套系统在线稳定运行性能，整套系统必须由同一厂家设计生产。</w:t>
      </w:r>
    </w:p>
    <w:p>
      <w:pPr>
        <w:spacing w:line="276" w:lineRule="auto"/>
        <w:rPr>
          <w:rFonts w:ascii="宋体" w:hAnsi="宋体" w:cs="Arial"/>
          <w:color w:val="auto"/>
          <w:sz w:val="24"/>
          <w:highlight w:val="none"/>
        </w:rPr>
      </w:pPr>
      <w:r>
        <w:rPr>
          <w:rFonts w:hint="eastAsia"/>
          <w:color w:val="auto"/>
          <w:sz w:val="24"/>
          <w:highlight w:val="none"/>
        </w:rPr>
        <w:t>*</w:t>
      </w:r>
      <w:r>
        <w:rPr>
          <w:rFonts w:ascii="宋体" w:hAnsi="宋体" w:cs="Arial"/>
          <w:color w:val="auto"/>
          <w:sz w:val="24"/>
          <w:highlight w:val="none"/>
        </w:rPr>
        <w:t>3.1.2整套设备通过权威第三方机构认证，整套系统具有断电来电自</w:t>
      </w:r>
      <w:r>
        <w:rPr>
          <w:rFonts w:hint="eastAsia" w:ascii="宋体" w:hAnsi="宋体" w:cs="Arial"/>
          <w:color w:val="auto"/>
          <w:sz w:val="24"/>
          <w:highlight w:val="none"/>
        </w:rPr>
        <w:t>动</w:t>
      </w:r>
      <w:r>
        <w:rPr>
          <w:rFonts w:ascii="宋体" w:hAnsi="宋体" w:cs="Arial"/>
          <w:color w:val="auto"/>
          <w:sz w:val="24"/>
          <w:highlight w:val="none"/>
        </w:rPr>
        <w:t xml:space="preserve">恢复功能，有效数据捕获率优于90%，提供证明材料。 </w:t>
      </w:r>
    </w:p>
    <w:p>
      <w:pPr>
        <w:spacing w:line="276" w:lineRule="auto"/>
        <w:rPr>
          <w:rFonts w:ascii="宋体" w:hAnsi="宋体" w:cs="Arial"/>
          <w:color w:val="auto"/>
          <w:sz w:val="24"/>
          <w:highlight w:val="none"/>
        </w:rPr>
      </w:pPr>
      <w:r>
        <w:rPr>
          <w:rFonts w:ascii="宋体" w:hAnsi="宋体" w:cs="Arial"/>
          <w:color w:val="auto"/>
          <w:sz w:val="24"/>
          <w:highlight w:val="none"/>
        </w:rPr>
        <w:t xml:space="preserve">3.1.3 </w:t>
      </w:r>
      <w:r>
        <w:rPr>
          <w:rFonts w:hint="eastAsia" w:ascii="宋体" w:hAnsi="宋体" w:cs="Arial"/>
          <w:color w:val="auto"/>
          <w:sz w:val="24"/>
          <w:highlight w:val="none"/>
        </w:rPr>
        <w:t>系统</w:t>
      </w:r>
      <w:r>
        <w:rPr>
          <w:rFonts w:ascii="宋体" w:hAnsi="宋体" w:cs="Arial"/>
          <w:color w:val="auto"/>
          <w:sz w:val="24"/>
          <w:highlight w:val="none"/>
        </w:rPr>
        <w:t>分析方法可扩展至MSA</w:t>
      </w:r>
      <w:r>
        <w:rPr>
          <w:rFonts w:hint="eastAsia" w:ascii="宋体" w:hAnsi="宋体" w:cs="Arial"/>
          <w:color w:val="auto"/>
          <w:sz w:val="24"/>
          <w:highlight w:val="none"/>
        </w:rPr>
        <w:t>、</w:t>
      </w:r>
      <w:r>
        <w:rPr>
          <w:rFonts w:ascii="宋体" w:hAnsi="宋体" w:cs="Arial"/>
          <w:color w:val="auto"/>
          <w:sz w:val="24"/>
          <w:highlight w:val="none"/>
        </w:rPr>
        <w:t>草酸</w:t>
      </w:r>
      <w:r>
        <w:rPr>
          <w:rFonts w:hint="eastAsia" w:ascii="宋体" w:hAnsi="宋体" w:cs="Arial"/>
          <w:color w:val="auto"/>
          <w:sz w:val="24"/>
          <w:highlight w:val="none"/>
        </w:rPr>
        <w:t>、</w:t>
      </w:r>
      <w:r>
        <w:rPr>
          <w:rFonts w:ascii="宋体" w:hAnsi="宋体" w:cs="Arial"/>
          <w:color w:val="auto"/>
          <w:sz w:val="24"/>
          <w:highlight w:val="none"/>
        </w:rPr>
        <w:t>有机胺或其他有机酸分析</w:t>
      </w:r>
      <w:r>
        <w:rPr>
          <w:rFonts w:hint="eastAsia" w:ascii="宋体" w:hAnsi="宋体" w:cs="Arial"/>
          <w:color w:val="auto"/>
          <w:sz w:val="24"/>
          <w:highlight w:val="none"/>
        </w:rPr>
        <w:t>。</w:t>
      </w:r>
    </w:p>
    <w:p>
      <w:pPr>
        <w:spacing w:line="276" w:lineRule="auto"/>
        <w:rPr>
          <w:rFonts w:ascii="宋体" w:hAnsi="宋体" w:cs="Arial"/>
          <w:color w:val="auto"/>
          <w:sz w:val="24"/>
          <w:highlight w:val="none"/>
        </w:rPr>
      </w:pPr>
    </w:p>
    <w:p>
      <w:pPr>
        <w:spacing w:line="276" w:lineRule="auto"/>
        <w:rPr>
          <w:rFonts w:ascii="宋体" w:hAnsi="宋体" w:cs="Arial"/>
          <w:color w:val="auto"/>
          <w:sz w:val="24"/>
          <w:highlight w:val="none"/>
        </w:rPr>
      </w:pPr>
      <w:r>
        <w:rPr>
          <w:rFonts w:ascii="宋体" w:hAnsi="宋体" w:cs="Arial"/>
          <w:color w:val="auto"/>
          <w:sz w:val="24"/>
          <w:highlight w:val="none"/>
        </w:rPr>
        <w:t>3.2采样系统</w:t>
      </w:r>
    </w:p>
    <w:p>
      <w:pPr>
        <w:spacing w:line="276" w:lineRule="auto"/>
        <w:rPr>
          <w:rFonts w:ascii="宋体" w:hAnsi="宋体" w:cs="Arial"/>
          <w:color w:val="auto"/>
          <w:sz w:val="24"/>
          <w:highlight w:val="none"/>
        </w:rPr>
      </w:pPr>
      <w:r>
        <w:rPr>
          <w:rFonts w:ascii="宋体" w:hAnsi="宋体" w:cs="Arial"/>
          <w:color w:val="auto"/>
          <w:sz w:val="24"/>
          <w:highlight w:val="none"/>
        </w:rPr>
        <w:t>3.2.1气体部分由水平旋转式液体气蚀器（WRD）收集，；WRD</w:t>
      </w:r>
      <w:r>
        <w:rPr>
          <w:rFonts w:hint="eastAsia" w:ascii="宋体" w:hAnsi="宋体" w:cs="Arial"/>
          <w:color w:val="auto"/>
          <w:sz w:val="24"/>
          <w:highlight w:val="none"/>
        </w:rPr>
        <w:t>需具</w:t>
      </w:r>
      <w:r>
        <w:rPr>
          <w:rFonts w:ascii="宋体" w:hAnsi="宋体" w:cs="Arial"/>
          <w:color w:val="auto"/>
          <w:sz w:val="24"/>
          <w:highlight w:val="none"/>
        </w:rPr>
        <w:t>有自清洁功能，有效避免样品滞后和交叉污染，无需更换膜，维护简单。</w:t>
      </w:r>
    </w:p>
    <w:p>
      <w:pPr>
        <w:spacing w:line="276" w:lineRule="auto"/>
        <w:rPr>
          <w:rFonts w:ascii="宋体" w:hAnsi="宋体" w:cs="Arial"/>
          <w:color w:val="auto"/>
          <w:sz w:val="24"/>
          <w:highlight w:val="none"/>
        </w:rPr>
      </w:pPr>
      <w:r>
        <w:rPr>
          <w:rFonts w:hint="eastAsia"/>
          <w:color w:val="auto"/>
          <w:sz w:val="24"/>
          <w:highlight w:val="none"/>
        </w:rPr>
        <w:t>*</w:t>
      </w:r>
      <w:r>
        <w:rPr>
          <w:rFonts w:ascii="宋体" w:hAnsi="宋体" w:cs="Arial"/>
          <w:color w:val="auto"/>
          <w:sz w:val="24"/>
          <w:highlight w:val="none"/>
        </w:rPr>
        <w:t>3.2.2气蚀器旋转速度≥8转/分钟</w:t>
      </w:r>
      <w:r>
        <w:rPr>
          <w:rFonts w:hint="eastAsia" w:ascii="宋体" w:hAnsi="宋体" w:cs="Arial"/>
          <w:color w:val="auto"/>
          <w:sz w:val="24"/>
          <w:highlight w:val="none"/>
        </w:rPr>
        <w:t>，具有自动清洁功能。</w:t>
      </w:r>
    </w:p>
    <w:p>
      <w:pPr>
        <w:spacing w:line="276" w:lineRule="auto"/>
        <w:rPr>
          <w:rFonts w:ascii="宋体" w:hAnsi="宋体" w:cs="Arial"/>
          <w:color w:val="auto"/>
          <w:sz w:val="24"/>
          <w:highlight w:val="none"/>
        </w:rPr>
      </w:pPr>
      <w:r>
        <w:rPr>
          <w:rFonts w:ascii="宋体" w:hAnsi="宋体" w:cs="Arial"/>
          <w:color w:val="auto"/>
          <w:sz w:val="24"/>
          <w:highlight w:val="none"/>
        </w:rPr>
        <w:t>3.2.3气溶胶收集：由蒸汽喷射气溶胶收集器收集。</w:t>
      </w:r>
    </w:p>
    <w:p>
      <w:pPr>
        <w:spacing w:line="276" w:lineRule="auto"/>
        <w:rPr>
          <w:rFonts w:ascii="宋体" w:hAnsi="宋体" w:cs="Arial"/>
          <w:color w:val="auto"/>
          <w:sz w:val="24"/>
          <w:highlight w:val="none"/>
        </w:rPr>
      </w:pPr>
      <w:r>
        <w:rPr>
          <w:rFonts w:ascii="宋体" w:hAnsi="宋体" w:cs="Arial"/>
          <w:color w:val="auto"/>
          <w:sz w:val="24"/>
          <w:highlight w:val="none"/>
        </w:rPr>
        <w:t>3.2.4气蚀器可免维护连续运行时间≥3个月（免维护，无膜组件需更换）</w:t>
      </w:r>
      <w:r>
        <w:rPr>
          <w:rFonts w:hint="eastAsia" w:ascii="宋体" w:hAnsi="宋体" w:cs="Arial"/>
          <w:color w:val="auto"/>
          <w:sz w:val="24"/>
          <w:highlight w:val="none"/>
        </w:rPr>
        <w:t>。</w:t>
      </w:r>
    </w:p>
    <w:p>
      <w:pPr>
        <w:spacing w:line="276" w:lineRule="auto"/>
        <w:rPr>
          <w:rFonts w:ascii="宋体" w:hAnsi="宋体" w:cs="Arial"/>
          <w:color w:val="auto"/>
          <w:sz w:val="24"/>
          <w:highlight w:val="none"/>
        </w:rPr>
      </w:pPr>
      <w:r>
        <w:rPr>
          <w:rFonts w:ascii="宋体" w:hAnsi="宋体" w:cs="Arial"/>
          <w:color w:val="auto"/>
          <w:sz w:val="24"/>
          <w:highlight w:val="none"/>
        </w:rPr>
        <w:t>3.2.5气体和气溶胶吸收效率≥99% (提供证明材料)</w:t>
      </w:r>
      <w:r>
        <w:rPr>
          <w:rFonts w:hint="eastAsia" w:ascii="宋体" w:hAnsi="宋体" w:cs="Arial"/>
          <w:color w:val="auto"/>
          <w:sz w:val="24"/>
          <w:highlight w:val="none"/>
        </w:rPr>
        <w:t>。</w:t>
      </w:r>
    </w:p>
    <w:p>
      <w:pPr>
        <w:spacing w:line="276" w:lineRule="auto"/>
        <w:rPr>
          <w:rFonts w:ascii="宋体" w:hAnsi="宋体" w:cs="Arial"/>
          <w:color w:val="auto"/>
          <w:sz w:val="24"/>
          <w:highlight w:val="none"/>
        </w:rPr>
      </w:pPr>
      <w:r>
        <w:rPr>
          <w:rFonts w:ascii="宋体" w:hAnsi="宋体" w:cs="Arial"/>
          <w:color w:val="auto"/>
          <w:sz w:val="24"/>
          <w:highlight w:val="none"/>
        </w:rPr>
        <w:t>#3.2.6</w:t>
      </w:r>
      <w:r>
        <w:rPr>
          <w:rFonts w:hint="eastAsia" w:ascii="宋体" w:hAnsi="宋体" w:cs="Arial"/>
          <w:color w:val="auto"/>
          <w:sz w:val="24"/>
          <w:highlight w:val="none"/>
        </w:rPr>
        <w:t>采样和吸收部分气体流速</w:t>
      </w:r>
      <w:r>
        <w:rPr>
          <w:rFonts w:ascii="宋体" w:hAnsi="宋体" w:cs="Arial"/>
          <w:color w:val="auto"/>
          <w:sz w:val="24"/>
          <w:highlight w:val="none"/>
        </w:rPr>
        <w:t>1m</w:t>
      </w:r>
      <w:r>
        <w:rPr>
          <w:rFonts w:ascii="宋体" w:hAnsi="宋体" w:cs="Arial"/>
          <w:color w:val="auto"/>
          <w:sz w:val="24"/>
          <w:highlight w:val="none"/>
          <w:vertAlign w:val="superscript"/>
        </w:rPr>
        <w:t>3</w:t>
      </w:r>
      <w:r>
        <w:rPr>
          <w:rFonts w:ascii="宋体" w:hAnsi="宋体" w:cs="Arial"/>
          <w:color w:val="auto"/>
          <w:sz w:val="24"/>
          <w:highlight w:val="none"/>
        </w:rPr>
        <w:t>/h,</w:t>
      </w:r>
      <w:r>
        <w:rPr>
          <w:rFonts w:hint="eastAsia" w:ascii="宋体" w:hAnsi="宋体" w:cs="Arial"/>
          <w:color w:val="auto"/>
          <w:sz w:val="24"/>
          <w:highlight w:val="none"/>
        </w:rPr>
        <w:t>进入切割头、吸收和分析系统的流速一致，无分流装置。</w:t>
      </w:r>
    </w:p>
    <w:p>
      <w:pPr>
        <w:spacing w:line="276" w:lineRule="auto"/>
        <w:rPr>
          <w:rFonts w:ascii="宋体" w:hAnsi="宋体" w:cs="Arial"/>
          <w:color w:val="auto"/>
          <w:sz w:val="24"/>
          <w:highlight w:val="none"/>
        </w:rPr>
      </w:pPr>
      <w:r>
        <w:rPr>
          <w:rFonts w:ascii="宋体" w:hAnsi="宋体" w:cs="Arial"/>
          <w:color w:val="auto"/>
          <w:sz w:val="24"/>
          <w:highlight w:val="none"/>
        </w:rPr>
        <w:t>3.2.7取样系统预留升级接口，可扩展进行预富集和连接在线重金属离子自动测定系统，可选配自动进样器收集样品用于其他分析。</w:t>
      </w:r>
    </w:p>
    <w:p>
      <w:pPr>
        <w:spacing w:before="240" w:line="276" w:lineRule="auto"/>
        <w:rPr>
          <w:rFonts w:ascii="宋体" w:hAnsi="宋体" w:cs="Arial"/>
          <w:bCs/>
          <w:color w:val="auto"/>
          <w:sz w:val="24"/>
          <w:highlight w:val="none"/>
        </w:rPr>
      </w:pPr>
      <w:r>
        <w:rPr>
          <w:rFonts w:ascii="宋体" w:hAnsi="宋体" w:cs="Arial"/>
          <w:bCs/>
          <w:color w:val="auto"/>
          <w:sz w:val="24"/>
          <w:highlight w:val="none"/>
        </w:rPr>
        <w:t>3.3分析系统</w:t>
      </w:r>
    </w:p>
    <w:p>
      <w:pPr>
        <w:spacing w:line="276" w:lineRule="auto"/>
        <w:rPr>
          <w:rFonts w:ascii="宋体" w:hAnsi="宋体" w:cs="Arial"/>
          <w:color w:val="auto"/>
          <w:sz w:val="24"/>
          <w:highlight w:val="none"/>
        </w:rPr>
      </w:pPr>
      <w:r>
        <w:rPr>
          <w:rFonts w:ascii="宋体" w:hAnsi="宋体" w:cs="Arial"/>
          <w:color w:val="auto"/>
          <w:sz w:val="24"/>
          <w:highlight w:val="none"/>
        </w:rPr>
        <w:t>3.3.1阴阳离子双通道离子色谱仪系统</w:t>
      </w:r>
      <w:r>
        <w:rPr>
          <w:rFonts w:hint="eastAsia" w:ascii="宋体" w:hAnsi="宋体" w:cs="Arial"/>
          <w:color w:val="auto"/>
          <w:sz w:val="24"/>
          <w:highlight w:val="none"/>
        </w:rPr>
        <w:t>：</w:t>
      </w:r>
      <w:r>
        <w:rPr>
          <w:rFonts w:ascii="宋体" w:hAnsi="宋体" w:cs="Arial"/>
          <w:color w:val="auto"/>
          <w:sz w:val="24"/>
          <w:highlight w:val="none"/>
        </w:rPr>
        <w:t>一套用于</w:t>
      </w:r>
      <w:r>
        <w:rPr>
          <w:rFonts w:hint="eastAsia" w:ascii="宋体" w:hAnsi="宋体" w:cs="Arial"/>
          <w:color w:val="auto"/>
          <w:sz w:val="24"/>
          <w:highlight w:val="none"/>
        </w:rPr>
        <w:t>阴离子和有机酸</w:t>
      </w:r>
      <w:r>
        <w:rPr>
          <w:rFonts w:ascii="宋体" w:hAnsi="宋体" w:cs="Arial"/>
          <w:color w:val="auto"/>
          <w:sz w:val="24"/>
          <w:highlight w:val="none"/>
        </w:rPr>
        <w:t>分析，一套用于</w:t>
      </w:r>
      <w:r>
        <w:rPr>
          <w:rFonts w:hint="eastAsia" w:ascii="宋体" w:hAnsi="宋体" w:cs="Arial"/>
          <w:color w:val="auto"/>
          <w:sz w:val="24"/>
          <w:highlight w:val="none"/>
        </w:rPr>
        <w:t>阳离子</w:t>
      </w:r>
      <w:r>
        <w:rPr>
          <w:rFonts w:ascii="宋体" w:hAnsi="宋体" w:cs="Arial"/>
          <w:color w:val="auto"/>
          <w:sz w:val="24"/>
          <w:highlight w:val="none"/>
        </w:rPr>
        <w:t>分析</w:t>
      </w:r>
      <w:r>
        <w:rPr>
          <w:rFonts w:hint="eastAsia" w:ascii="宋体" w:hAnsi="宋体" w:cs="Arial"/>
          <w:color w:val="auto"/>
          <w:sz w:val="24"/>
          <w:highlight w:val="none"/>
        </w:rPr>
        <w:t>。</w:t>
      </w:r>
    </w:p>
    <w:p>
      <w:pPr>
        <w:spacing w:line="276" w:lineRule="auto"/>
        <w:rPr>
          <w:rFonts w:ascii="宋体" w:hAnsi="宋体" w:cs="Arial"/>
          <w:color w:val="auto"/>
          <w:sz w:val="24"/>
          <w:highlight w:val="none"/>
        </w:rPr>
      </w:pPr>
      <w:r>
        <w:rPr>
          <w:rFonts w:ascii="宋体" w:hAnsi="宋体" w:cs="Arial"/>
          <w:color w:val="auto"/>
          <w:sz w:val="24"/>
          <w:highlight w:val="none"/>
        </w:rPr>
        <w:t>#3.3.2抑制器类型：微填充床抑制器或者柱抑制器，为保证在线耐用性和系统稳定性，不采用电解微膜抑制器。</w:t>
      </w:r>
    </w:p>
    <w:p>
      <w:pPr>
        <w:spacing w:line="276" w:lineRule="auto"/>
        <w:rPr>
          <w:rFonts w:ascii="宋体" w:hAnsi="宋体" w:cs="Arial"/>
          <w:color w:val="auto"/>
          <w:sz w:val="24"/>
          <w:highlight w:val="none"/>
        </w:rPr>
      </w:pPr>
      <w:r>
        <w:rPr>
          <w:rFonts w:hint="eastAsia"/>
          <w:color w:val="auto"/>
          <w:sz w:val="24"/>
          <w:highlight w:val="none"/>
        </w:rPr>
        <w:t>*</w:t>
      </w:r>
      <w:r>
        <w:rPr>
          <w:rFonts w:ascii="宋体" w:hAnsi="宋体" w:cs="Arial"/>
          <w:color w:val="auto"/>
          <w:sz w:val="24"/>
          <w:highlight w:val="none"/>
        </w:rPr>
        <w:t>3.3.3抑制器十年免费更换服务，提供厂家盖章的服务承诺。</w:t>
      </w:r>
    </w:p>
    <w:p>
      <w:pPr>
        <w:spacing w:line="276" w:lineRule="auto"/>
        <w:rPr>
          <w:rFonts w:ascii="宋体" w:hAnsi="宋体" w:cs="Arial"/>
          <w:color w:val="auto"/>
          <w:sz w:val="24"/>
          <w:highlight w:val="none"/>
        </w:rPr>
      </w:pPr>
      <w:r>
        <w:rPr>
          <w:rFonts w:hint="eastAsia"/>
          <w:color w:val="auto"/>
          <w:sz w:val="24"/>
          <w:highlight w:val="none"/>
        </w:rPr>
        <w:t>*3</w:t>
      </w:r>
      <w:r>
        <w:rPr>
          <w:rFonts w:ascii="宋体" w:hAnsi="宋体" w:cs="Arial"/>
          <w:color w:val="auto"/>
          <w:sz w:val="24"/>
          <w:highlight w:val="none"/>
        </w:rPr>
        <w:t>.3.4</w:t>
      </w:r>
      <w:r>
        <w:rPr>
          <w:rFonts w:hint="eastAsia" w:ascii="宋体" w:hAnsi="宋体" w:cs="Arial"/>
          <w:color w:val="auto"/>
          <w:sz w:val="24"/>
          <w:highlight w:val="none"/>
        </w:rPr>
        <w:t>校正方法：同时支持外标校正和内标法。</w:t>
      </w:r>
    </w:p>
    <w:p>
      <w:pPr>
        <w:kinsoku w:val="0"/>
        <w:overflowPunct w:val="0"/>
        <w:autoSpaceDE w:val="0"/>
        <w:autoSpaceDN w:val="0"/>
        <w:spacing w:line="360" w:lineRule="auto"/>
        <w:outlineLvl w:val="0"/>
        <w:rPr>
          <w:rFonts w:ascii="宋体" w:hAnsi="宋体" w:cs="Arial"/>
          <w:color w:val="auto"/>
          <w:sz w:val="24"/>
          <w:highlight w:val="none"/>
        </w:rPr>
      </w:pPr>
      <w:r>
        <w:rPr>
          <w:rFonts w:hint="eastAsia" w:ascii="宋体" w:hAnsi="宋体" w:cs="Arial"/>
          <w:color w:val="auto"/>
          <w:sz w:val="24"/>
          <w:highlight w:val="none"/>
        </w:rPr>
        <w:t>每次分析时，系统可自动添加内标，用于系统验证，实现在线校正，确保数据准确，内标与每个样品一起进样作为实时校准，无需做标准曲线额外校正。</w:t>
      </w:r>
    </w:p>
    <w:p>
      <w:pPr>
        <w:spacing w:line="276" w:lineRule="auto"/>
        <w:rPr>
          <w:rFonts w:ascii="宋体" w:hAnsi="宋体" w:cs="Arial"/>
          <w:color w:val="auto"/>
          <w:sz w:val="24"/>
          <w:highlight w:val="none"/>
        </w:rPr>
      </w:pPr>
      <w:r>
        <w:rPr>
          <w:rFonts w:ascii="宋体" w:hAnsi="宋体" w:cs="Arial"/>
          <w:color w:val="auto"/>
          <w:sz w:val="24"/>
          <w:highlight w:val="none"/>
        </w:rPr>
        <w:t>3</w:t>
      </w:r>
      <w:r>
        <w:rPr>
          <w:rFonts w:hint="eastAsia" w:ascii="宋体" w:hAnsi="宋体" w:cs="Arial"/>
          <w:color w:val="auto"/>
          <w:sz w:val="24"/>
          <w:highlight w:val="none"/>
        </w:rPr>
        <w:t>.</w:t>
      </w:r>
      <w:r>
        <w:rPr>
          <w:rFonts w:ascii="宋体" w:hAnsi="宋体" w:cs="Arial"/>
          <w:color w:val="auto"/>
          <w:sz w:val="24"/>
          <w:highlight w:val="none"/>
        </w:rPr>
        <w:t>3.5</w:t>
      </w:r>
      <w:r>
        <w:rPr>
          <w:rFonts w:hint="eastAsia" w:ascii="宋体" w:hAnsi="宋体" w:cs="Arial"/>
          <w:color w:val="auto"/>
          <w:sz w:val="24"/>
          <w:highlight w:val="none"/>
        </w:rPr>
        <w:t>分析系统</w:t>
      </w:r>
      <w:r>
        <w:rPr>
          <w:rFonts w:ascii="宋体" w:hAnsi="宋体" w:cs="Arial"/>
          <w:color w:val="auto"/>
          <w:sz w:val="24"/>
          <w:highlight w:val="none"/>
        </w:rPr>
        <w:t>高压泵、色谱柱、检测器具有智能芯片技术，</w:t>
      </w:r>
      <w:r>
        <w:rPr>
          <w:rFonts w:hint="eastAsia" w:ascii="宋体" w:hAnsi="宋体" w:cs="Arial"/>
          <w:color w:val="auto"/>
          <w:sz w:val="24"/>
          <w:highlight w:val="none"/>
        </w:rPr>
        <w:t>可对系统进行监控并防止误操作，</w:t>
      </w:r>
      <w:r>
        <w:rPr>
          <w:rFonts w:ascii="宋体" w:hAnsi="宋体" w:cs="Arial"/>
          <w:color w:val="auto"/>
          <w:sz w:val="24"/>
          <w:highlight w:val="none"/>
        </w:rPr>
        <w:t>须有实物</w:t>
      </w:r>
      <w:r>
        <w:rPr>
          <w:rFonts w:hint="eastAsia" w:ascii="宋体" w:hAnsi="宋体" w:cs="Arial"/>
          <w:color w:val="auto"/>
          <w:sz w:val="24"/>
          <w:highlight w:val="none"/>
        </w:rPr>
        <w:t>。</w:t>
      </w:r>
    </w:p>
    <w:p>
      <w:pPr>
        <w:spacing w:line="276" w:lineRule="auto"/>
        <w:rPr>
          <w:rFonts w:ascii="宋体" w:hAnsi="宋体" w:cs="Arial"/>
          <w:color w:val="auto"/>
          <w:sz w:val="24"/>
          <w:highlight w:val="none"/>
        </w:rPr>
      </w:pPr>
      <w:r>
        <w:rPr>
          <w:rFonts w:ascii="宋体" w:hAnsi="宋体" w:cs="Arial"/>
          <w:color w:val="auto"/>
          <w:sz w:val="24"/>
          <w:highlight w:val="none"/>
        </w:rPr>
        <w:t>#3</w:t>
      </w:r>
      <w:r>
        <w:rPr>
          <w:rFonts w:hint="eastAsia" w:ascii="宋体" w:hAnsi="宋体" w:cs="Arial"/>
          <w:color w:val="auto"/>
          <w:sz w:val="24"/>
          <w:highlight w:val="none"/>
        </w:rPr>
        <w:t>.</w:t>
      </w:r>
      <w:r>
        <w:rPr>
          <w:rFonts w:ascii="宋体" w:hAnsi="宋体" w:cs="Arial"/>
          <w:color w:val="auto"/>
          <w:sz w:val="24"/>
          <w:highlight w:val="none"/>
        </w:rPr>
        <w:t>3.6</w:t>
      </w:r>
      <w:r>
        <w:rPr>
          <w:rFonts w:hint="eastAsia" w:ascii="宋体" w:hAnsi="宋体" w:cs="Arial"/>
          <w:color w:val="auto"/>
          <w:sz w:val="24"/>
          <w:highlight w:val="none"/>
        </w:rPr>
        <w:t xml:space="preserve"> 高压泵</w:t>
      </w:r>
      <w:r>
        <w:rPr>
          <w:rFonts w:ascii="宋体" w:hAnsi="宋体" w:cs="Arial"/>
          <w:color w:val="auto"/>
          <w:sz w:val="24"/>
          <w:highlight w:val="none"/>
        </w:rPr>
        <w:t>流速范围：不更换泵头情况下，流速可达到0.001-20.000mL/min</w:t>
      </w:r>
      <w:r>
        <w:rPr>
          <w:rFonts w:hint="eastAsia" w:ascii="宋体" w:hAnsi="宋体" w:cs="Arial"/>
          <w:color w:val="auto"/>
          <w:sz w:val="24"/>
          <w:highlight w:val="none"/>
        </w:rPr>
        <w:t>。</w:t>
      </w:r>
    </w:p>
    <w:p>
      <w:pPr>
        <w:spacing w:line="276" w:lineRule="auto"/>
        <w:rPr>
          <w:rFonts w:ascii="宋体" w:hAnsi="宋体" w:cs="Arial"/>
          <w:color w:val="auto"/>
          <w:sz w:val="24"/>
          <w:highlight w:val="none"/>
        </w:rPr>
      </w:pPr>
      <w:r>
        <w:rPr>
          <w:rFonts w:ascii="宋体" w:hAnsi="宋体" w:cs="Arial"/>
          <w:color w:val="auto"/>
          <w:sz w:val="24"/>
          <w:highlight w:val="none"/>
        </w:rPr>
        <w:t>3.3</w:t>
      </w:r>
      <w:r>
        <w:rPr>
          <w:rFonts w:hint="eastAsia" w:ascii="宋体" w:hAnsi="宋体" w:cs="Arial"/>
          <w:color w:val="auto"/>
          <w:sz w:val="24"/>
          <w:highlight w:val="none"/>
        </w:rPr>
        <w:t>.7</w:t>
      </w:r>
      <w:r>
        <w:rPr>
          <w:rFonts w:ascii="宋体" w:hAnsi="宋体" w:cs="Arial"/>
          <w:color w:val="auto"/>
          <w:sz w:val="24"/>
          <w:highlight w:val="none"/>
        </w:rPr>
        <w:t>不更换泵头情况下，流速最小分度值0.001mL/min</w:t>
      </w:r>
      <w:r>
        <w:rPr>
          <w:rFonts w:hint="eastAsia" w:ascii="宋体" w:hAnsi="宋体" w:cs="Arial"/>
          <w:color w:val="auto"/>
          <w:sz w:val="24"/>
          <w:highlight w:val="none"/>
        </w:rPr>
        <w:t>。</w:t>
      </w:r>
    </w:p>
    <w:p>
      <w:pPr>
        <w:spacing w:line="276" w:lineRule="auto"/>
        <w:rPr>
          <w:rFonts w:ascii="宋体" w:hAnsi="宋体" w:cs="宋体"/>
          <w:color w:val="auto"/>
          <w:sz w:val="24"/>
          <w:highlight w:val="none"/>
        </w:rPr>
      </w:pPr>
      <w:r>
        <w:rPr>
          <w:rFonts w:ascii="宋体" w:hAnsi="宋体" w:cs="Arial"/>
          <w:color w:val="auto"/>
          <w:sz w:val="24"/>
          <w:highlight w:val="none"/>
        </w:rPr>
        <w:t>3.3.</w:t>
      </w:r>
      <w:r>
        <w:rPr>
          <w:rFonts w:hint="eastAsia" w:ascii="宋体" w:hAnsi="宋体" w:cs="Arial"/>
          <w:color w:val="auto"/>
          <w:sz w:val="24"/>
          <w:highlight w:val="none"/>
        </w:rPr>
        <w:t>8</w:t>
      </w:r>
      <w:r>
        <w:rPr>
          <w:rFonts w:ascii="宋体" w:hAnsi="宋体" w:cs="Arial"/>
          <w:color w:val="auto"/>
          <w:sz w:val="24"/>
          <w:highlight w:val="none"/>
        </w:rPr>
        <w:t>柱温箱控温范围</w:t>
      </w:r>
      <w:r>
        <w:rPr>
          <w:rFonts w:hint="eastAsia" w:ascii="宋体" w:hAnsi="宋体" w:cs="Arial"/>
          <w:color w:val="auto"/>
          <w:sz w:val="24"/>
          <w:highlight w:val="none"/>
        </w:rPr>
        <w:t>：环境+5</w:t>
      </w:r>
      <w:r>
        <w:rPr>
          <w:rFonts w:hint="eastAsia" w:ascii="宋体" w:hAnsi="宋体" w:cs="宋体"/>
          <w:color w:val="auto"/>
          <w:sz w:val="24"/>
          <w:highlight w:val="none"/>
        </w:rPr>
        <w:t>℃</w:t>
      </w:r>
      <w:r>
        <w:rPr>
          <w:rFonts w:hint="eastAsia" w:ascii="宋体" w:hAnsi="宋体" w:cs="Arial"/>
          <w:color w:val="auto"/>
          <w:sz w:val="24"/>
          <w:highlight w:val="none"/>
        </w:rPr>
        <w:t>—环境+4</w:t>
      </w:r>
      <w:r>
        <w:rPr>
          <w:rFonts w:ascii="宋体" w:hAnsi="宋体" w:cs="Arial"/>
          <w:color w:val="auto"/>
          <w:sz w:val="24"/>
          <w:highlight w:val="none"/>
        </w:rPr>
        <w:t>0</w:t>
      </w:r>
      <w:r>
        <w:rPr>
          <w:rFonts w:hint="eastAsia" w:ascii="宋体" w:hAnsi="宋体" w:cs="宋体"/>
          <w:color w:val="auto"/>
          <w:sz w:val="24"/>
          <w:highlight w:val="none"/>
        </w:rPr>
        <w:t>℃</w:t>
      </w:r>
    </w:p>
    <w:p>
      <w:pPr>
        <w:spacing w:line="276" w:lineRule="auto"/>
        <w:rPr>
          <w:rFonts w:ascii="宋体" w:hAnsi="宋体" w:cs="Arial"/>
          <w:color w:val="auto"/>
          <w:sz w:val="24"/>
          <w:highlight w:val="none"/>
        </w:rPr>
      </w:pPr>
      <w:r>
        <w:rPr>
          <w:rFonts w:ascii="宋体" w:hAnsi="宋体" w:cs="Arial"/>
          <w:color w:val="auto"/>
          <w:sz w:val="24"/>
          <w:highlight w:val="none"/>
        </w:rPr>
        <w:t>3</w:t>
      </w:r>
      <w:r>
        <w:rPr>
          <w:rFonts w:hint="eastAsia" w:ascii="宋体" w:hAnsi="宋体" w:cs="Arial"/>
          <w:color w:val="auto"/>
          <w:sz w:val="24"/>
          <w:highlight w:val="none"/>
        </w:rPr>
        <w:t>.</w:t>
      </w:r>
      <w:r>
        <w:rPr>
          <w:rFonts w:ascii="宋体" w:hAnsi="宋体" w:cs="Arial"/>
          <w:color w:val="auto"/>
          <w:sz w:val="24"/>
          <w:highlight w:val="none"/>
        </w:rPr>
        <w:t>3</w:t>
      </w:r>
      <w:r>
        <w:rPr>
          <w:rFonts w:hint="eastAsia" w:ascii="宋体" w:hAnsi="宋体" w:cs="Arial"/>
          <w:color w:val="auto"/>
          <w:sz w:val="24"/>
          <w:highlight w:val="none"/>
        </w:rPr>
        <w:t>.9温度稳定性：</w:t>
      </w:r>
      <w:r>
        <w:rPr>
          <w:rFonts w:ascii="宋体" w:hAnsi="宋体" w:cs="Arial"/>
          <w:color w:val="auto"/>
          <w:sz w:val="24"/>
          <w:highlight w:val="none"/>
        </w:rPr>
        <w:t>&lt;</w:t>
      </w:r>
      <w:r>
        <w:rPr>
          <w:rFonts w:hint="eastAsia" w:ascii="宋体" w:hAnsi="宋体" w:cs="Arial"/>
          <w:color w:val="auto"/>
          <w:sz w:val="24"/>
          <w:highlight w:val="none"/>
        </w:rPr>
        <w:t>0.08℃</w:t>
      </w:r>
    </w:p>
    <w:p>
      <w:pPr>
        <w:spacing w:line="276" w:lineRule="auto"/>
        <w:rPr>
          <w:rFonts w:ascii="宋体" w:hAnsi="宋体" w:cs="Arial"/>
          <w:color w:val="auto"/>
          <w:sz w:val="24"/>
          <w:highlight w:val="none"/>
        </w:rPr>
      </w:pPr>
      <w:r>
        <w:rPr>
          <w:rFonts w:ascii="宋体" w:hAnsi="宋体" w:cs="Arial"/>
          <w:color w:val="auto"/>
          <w:sz w:val="24"/>
          <w:highlight w:val="none"/>
        </w:rPr>
        <w:t>3.3.</w:t>
      </w:r>
      <w:r>
        <w:rPr>
          <w:rFonts w:hint="eastAsia" w:ascii="宋体" w:hAnsi="宋体" w:cs="Arial"/>
          <w:color w:val="auto"/>
          <w:sz w:val="24"/>
          <w:highlight w:val="none"/>
        </w:rPr>
        <w:t>10</w:t>
      </w:r>
      <w:r>
        <w:rPr>
          <w:rFonts w:ascii="宋体" w:hAnsi="宋体" w:cs="Arial"/>
          <w:color w:val="auto"/>
          <w:sz w:val="24"/>
          <w:highlight w:val="none"/>
        </w:rPr>
        <w:t>标配原厂在线脱气装置</w:t>
      </w:r>
    </w:p>
    <w:p>
      <w:pPr>
        <w:spacing w:line="276" w:lineRule="auto"/>
        <w:rPr>
          <w:rFonts w:ascii="宋体" w:hAnsi="宋体" w:cs="Arial"/>
          <w:color w:val="auto"/>
          <w:sz w:val="24"/>
          <w:highlight w:val="none"/>
        </w:rPr>
      </w:pPr>
      <w:r>
        <w:rPr>
          <w:rFonts w:ascii="宋体" w:hAnsi="宋体" w:cs="Arial"/>
          <w:color w:val="auto"/>
          <w:sz w:val="24"/>
          <w:highlight w:val="none"/>
        </w:rPr>
        <w:t>3</w:t>
      </w:r>
      <w:r>
        <w:rPr>
          <w:rFonts w:hint="eastAsia" w:ascii="宋体" w:hAnsi="宋体" w:cs="Arial"/>
          <w:color w:val="auto"/>
          <w:sz w:val="24"/>
          <w:highlight w:val="none"/>
        </w:rPr>
        <w:t>.</w:t>
      </w:r>
      <w:r>
        <w:rPr>
          <w:rFonts w:ascii="宋体" w:hAnsi="宋体" w:cs="Arial"/>
          <w:color w:val="auto"/>
          <w:sz w:val="24"/>
          <w:highlight w:val="none"/>
        </w:rPr>
        <w:t>3.</w:t>
      </w:r>
      <w:r>
        <w:rPr>
          <w:rFonts w:hint="eastAsia" w:ascii="宋体" w:hAnsi="宋体" w:cs="Arial"/>
          <w:color w:val="auto"/>
          <w:sz w:val="24"/>
          <w:highlight w:val="none"/>
        </w:rPr>
        <w:t>11</w:t>
      </w:r>
      <w:r>
        <w:rPr>
          <w:rFonts w:ascii="宋体" w:hAnsi="宋体" w:cs="Arial"/>
          <w:color w:val="auto"/>
          <w:sz w:val="24"/>
          <w:highlight w:val="none"/>
        </w:rPr>
        <w:t>电导检测器检测范围：0—15000μS/cm</w:t>
      </w:r>
      <w:r>
        <w:rPr>
          <w:rFonts w:hint="eastAsia" w:ascii="宋体" w:hAnsi="宋体" w:cs="Arial"/>
          <w:color w:val="auto"/>
          <w:sz w:val="24"/>
          <w:highlight w:val="none"/>
        </w:rPr>
        <w:t>，</w:t>
      </w:r>
      <w:r>
        <w:rPr>
          <w:rFonts w:ascii="宋体" w:hAnsi="宋体" w:cs="Arial"/>
          <w:bCs/>
          <w:color w:val="auto"/>
          <w:sz w:val="24"/>
          <w:highlight w:val="none"/>
        </w:rPr>
        <w:t>线性偏差：</w:t>
      </w:r>
      <w:r>
        <w:rPr>
          <w:rFonts w:ascii="宋体" w:hAnsi="宋体" w:cs="Arial"/>
          <w:color w:val="auto"/>
          <w:sz w:val="24"/>
          <w:highlight w:val="none"/>
        </w:rPr>
        <w:t>≤</w:t>
      </w:r>
      <w:r>
        <w:rPr>
          <w:rFonts w:ascii="宋体" w:hAnsi="宋体" w:cs="Arial"/>
          <w:bCs/>
          <w:color w:val="auto"/>
          <w:sz w:val="24"/>
          <w:highlight w:val="none"/>
        </w:rPr>
        <w:t>0.1%</w:t>
      </w:r>
    </w:p>
    <w:p>
      <w:pPr>
        <w:spacing w:line="276" w:lineRule="auto"/>
        <w:rPr>
          <w:rFonts w:ascii="宋体" w:hAnsi="宋体" w:cs="Arial"/>
          <w:color w:val="auto"/>
          <w:sz w:val="24"/>
          <w:highlight w:val="none"/>
        </w:rPr>
      </w:pPr>
      <w:r>
        <w:rPr>
          <w:rFonts w:ascii="宋体" w:hAnsi="宋体" w:cs="Arial"/>
          <w:color w:val="auto"/>
          <w:sz w:val="24"/>
          <w:highlight w:val="none"/>
        </w:rPr>
        <w:t>3</w:t>
      </w:r>
      <w:r>
        <w:rPr>
          <w:rFonts w:hint="eastAsia" w:ascii="宋体" w:hAnsi="宋体" w:cs="Arial"/>
          <w:color w:val="auto"/>
          <w:sz w:val="24"/>
          <w:highlight w:val="none"/>
        </w:rPr>
        <w:t>.</w:t>
      </w:r>
      <w:r>
        <w:rPr>
          <w:rFonts w:ascii="宋体" w:hAnsi="宋体" w:cs="Arial"/>
          <w:color w:val="auto"/>
          <w:sz w:val="24"/>
          <w:highlight w:val="none"/>
        </w:rPr>
        <w:t>3.</w:t>
      </w:r>
      <w:r>
        <w:rPr>
          <w:rFonts w:hint="eastAsia" w:ascii="宋体" w:hAnsi="宋体" w:cs="Arial"/>
          <w:color w:val="auto"/>
          <w:sz w:val="24"/>
          <w:highlight w:val="none"/>
        </w:rPr>
        <w:t>12电导检测器</w:t>
      </w:r>
      <w:r>
        <w:rPr>
          <w:rFonts w:ascii="宋体" w:hAnsi="宋体" w:cs="Arial"/>
          <w:color w:val="auto"/>
          <w:sz w:val="24"/>
          <w:highlight w:val="none"/>
        </w:rPr>
        <w:t>温度补偿： 0-5%/K，可任意调节</w:t>
      </w:r>
    </w:p>
    <w:p>
      <w:pPr>
        <w:spacing w:line="276" w:lineRule="auto"/>
        <w:rPr>
          <w:rFonts w:ascii="宋体" w:hAnsi="宋体" w:cs="Arial"/>
          <w:color w:val="auto"/>
          <w:sz w:val="24"/>
          <w:highlight w:val="none"/>
        </w:rPr>
      </w:pPr>
      <w:r>
        <w:rPr>
          <w:rFonts w:ascii="宋体" w:hAnsi="宋体" w:cs="Arial"/>
          <w:color w:val="auto"/>
          <w:sz w:val="24"/>
          <w:highlight w:val="none"/>
        </w:rPr>
        <w:t>#3.3</w:t>
      </w:r>
      <w:r>
        <w:rPr>
          <w:rFonts w:hint="eastAsia" w:ascii="宋体" w:hAnsi="宋体" w:cs="Arial"/>
          <w:color w:val="auto"/>
          <w:sz w:val="24"/>
          <w:highlight w:val="none"/>
        </w:rPr>
        <w:t>.13电导池</w:t>
      </w:r>
      <w:r>
        <w:rPr>
          <w:rFonts w:ascii="宋体" w:hAnsi="宋体" w:cs="Arial"/>
          <w:color w:val="auto"/>
          <w:sz w:val="24"/>
          <w:highlight w:val="none"/>
        </w:rPr>
        <w:t>温度稳定性：≤0.001</w:t>
      </w:r>
      <w:r>
        <w:rPr>
          <w:rFonts w:hint="eastAsia" w:ascii="宋体" w:hAnsi="宋体" w:cs="Arial"/>
          <w:color w:val="auto"/>
          <w:sz w:val="24"/>
          <w:highlight w:val="none"/>
        </w:rPr>
        <w:t>℃</w:t>
      </w:r>
    </w:p>
    <w:p>
      <w:pPr>
        <w:spacing w:line="276" w:lineRule="auto"/>
        <w:rPr>
          <w:rFonts w:ascii="宋体" w:hAnsi="宋体" w:cs="Arial"/>
          <w:color w:val="auto"/>
          <w:sz w:val="24"/>
          <w:highlight w:val="none"/>
        </w:rPr>
      </w:pPr>
      <w:r>
        <w:rPr>
          <w:rFonts w:ascii="宋体" w:hAnsi="宋体" w:cs="Arial"/>
          <w:color w:val="auto"/>
          <w:sz w:val="24"/>
          <w:highlight w:val="none"/>
        </w:rPr>
        <w:t>3</w:t>
      </w:r>
      <w:r>
        <w:rPr>
          <w:rFonts w:hint="eastAsia" w:ascii="宋体" w:hAnsi="宋体" w:cs="Arial"/>
          <w:color w:val="auto"/>
          <w:sz w:val="24"/>
          <w:highlight w:val="none"/>
        </w:rPr>
        <w:t>.</w:t>
      </w:r>
      <w:r>
        <w:rPr>
          <w:rFonts w:ascii="宋体" w:hAnsi="宋体" w:cs="Arial"/>
          <w:color w:val="auto"/>
          <w:sz w:val="24"/>
          <w:highlight w:val="none"/>
        </w:rPr>
        <w:t>3.</w:t>
      </w:r>
      <w:r>
        <w:rPr>
          <w:rFonts w:hint="eastAsia" w:ascii="宋体" w:hAnsi="宋体" w:cs="Arial"/>
          <w:color w:val="auto"/>
          <w:sz w:val="24"/>
          <w:highlight w:val="none"/>
        </w:rPr>
        <w:t>14</w:t>
      </w:r>
      <w:r>
        <w:rPr>
          <w:rFonts w:ascii="宋体" w:hAnsi="宋体" w:cs="Arial"/>
          <w:color w:val="auto"/>
          <w:sz w:val="24"/>
          <w:highlight w:val="none"/>
        </w:rPr>
        <w:t>蠕动泵</w:t>
      </w:r>
      <w:r>
        <w:rPr>
          <w:rFonts w:hint="eastAsia" w:ascii="宋体" w:hAnsi="宋体" w:cs="Arial"/>
          <w:color w:val="auto"/>
          <w:sz w:val="24"/>
          <w:highlight w:val="none"/>
        </w:rPr>
        <w:t>：</w:t>
      </w:r>
      <w:r>
        <w:rPr>
          <w:rFonts w:ascii="宋体" w:hAnsi="宋体" w:cs="Arial"/>
          <w:color w:val="auto"/>
          <w:sz w:val="24"/>
          <w:highlight w:val="none"/>
        </w:rPr>
        <w:t>类型：双通道</w:t>
      </w:r>
      <w:r>
        <w:rPr>
          <w:rFonts w:hint="eastAsia" w:ascii="宋体" w:hAnsi="宋体" w:cs="Arial"/>
          <w:color w:val="auto"/>
          <w:sz w:val="24"/>
          <w:highlight w:val="none"/>
        </w:rPr>
        <w:t>，</w:t>
      </w:r>
      <w:r>
        <w:rPr>
          <w:rFonts w:ascii="宋体" w:hAnsi="宋体" w:cs="Arial"/>
          <w:color w:val="auto"/>
          <w:sz w:val="24"/>
          <w:highlight w:val="none"/>
        </w:rPr>
        <w:t>旋转速度：0-42 转/分钟，共7种调速级，每级6转/分钟</w:t>
      </w:r>
    </w:p>
    <w:p>
      <w:pPr>
        <w:spacing w:line="276" w:lineRule="auto"/>
        <w:rPr>
          <w:rFonts w:ascii="宋体" w:hAnsi="宋体" w:cs="Arial"/>
          <w:color w:val="auto"/>
          <w:sz w:val="24"/>
          <w:highlight w:val="none"/>
        </w:rPr>
      </w:pPr>
      <w:r>
        <w:rPr>
          <w:rFonts w:ascii="宋体" w:hAnsi="宋体" w:cs="Arial"/>
          <w:color w:val="auto"/>
          <w:sz w:val="24"/>
          <w:highlight w:val="none"/>
        </w:rPr>
        <w:t>3.3.</w:t>
      </w:r>
      <w:r>
        <w:rPr>
          <w:rFonts w:hint="eastAsia" w:ascii="宋体" w:hAnsi="宋体" w:cs="Arial"/>
          <w:color w:val="auto"/>
          <w:sz w:val="24"/>
          <w:highlight w:val="none"/>
        </w:rPr>
        <w:t>15</w:t>
      </w:r>
      <w:r>
        <w:rPr>
          <w:rFonts w:ascii="宋体" w:hAnsi="宋体" w:cs="Arial"/>
          <w:color w:val="auto"/>
          <w:sz w:val="24"/>
          <w:highlight w:val="none"/>
        </w:rPr>
        <w:t>分析频次：</w:t>
      </w:r>
    </w:p>
    <w:p>
      <w:pPr>
        <w:spacing w:line="276" w:lineRule="auto"/>
        <w:ind w:left="957" w:leftChars="170" w:hanging="600" w:hangingChars="250"/>
        <w:rPr>
          <w:rFonts w:ascii="宋体" w:hAnsi="宋体" w:cs="Arial"/>
          <w:color w:val="auto"/>
          <w:sz w:val="24"/>
          <w:highlight w:val="none"/>
        </w:rPr>
      </w:pPr>
      <w:r>
        <w:rPr>
          <w:rFonts w:ascii="宋体" w:hAnsi="宋体" w:cs="Arial"/>
          <w:color w:val="auto"/>
          <w:sz w:val="24"/>
          <w:highlight w:val="none"/>
        </w:rPr>
        <w:t xml:space="preserve">      每小时分析并报告以下组分数据：</w:t>
      </w:r>
    </w:p>
    <w:p>
      <w:pPr>
        <w:spacing w:line="276" w:lineRule="auto"/>
        <w:ind w:left="957" w:leftChars="170" w:hanging="600" w:hangingChars="250"/>
        <w:rPr>
          <w:rFonts w:ascii="宋体" w:hAnsi="宋体" w:cs="Arial"/>
          <w:color w:val="auto"/>
          <w:sz w:val="24"/>
          <w:highlight w:val="none"/>
        </w:rPr>
      </w:pPr>
      <w:r>
        <w:rPr>
          <w:rFonts w:ascii="宋体" w:hAnsi="宋体" w:cs="Arial"/>
          <w:color w:val="auto"/>
          <w:sz w:val="24"/>
          <w:highlight w:val="none"/>
        </w:rPr>
        <w:t xml:space="preserve">      气体中的HCl,HNO</w:t>
      </w:r>
      <w:r>
        <w:rPr>
          <w:rFonts w:ascii="宋体" w:hAnsi="宋体" w:cs="Arial"/>
          <w:color w:val="auto"/>
          <w:sz w:val="24"/>
          <w:highlight w:val="none"/>
          <w:vertAlign w:val="subscript"/>
        </w:rPr>
        <w:t>3</w:t>
      </w:r>
      <w:r>
        <w:rPr>
          <w:rFonts w:ascii="宋体" w:hAnsi="宋体" w:cs="Arial"/>
          <w:color w:val="auto"/>
          <w:sz w:val="24"/>
          <w:highlight w:val="none"/>
        </w:rPr>
        <w:t>,HNO</w:t>
      </w:r>
      <w:r>
        <w:rPr>
          <w:rFonts w:ascii="宋体" w:hAnsi="宋体" w:cs="Arial"/>
          <w:color w:val="auto"/>
          <w:sz w:val="24"/>
          <w:highlight w:val="none"/>
          <w:vertAlign w:val="subscript"/>
        </w:rPr>
        <w:t>2</w:t>
      </w:r>
      <w:r>
        <w:rPr>
          <w:rFonts w:ascii="宋体" w:hAnsi="宋体" w:cs="Arial"/>
          <w:color w:val="auto"/>
          <w:sz w:val="24"/>
          <w:highlight w:val="none"/>
        </w:rPr>
        <w:t>,SO</w:t>
      </w:r>
      <w:r>
        <w:rPr>
          <w:rFonts w:ascii="宋体" w:hAnsi="宋体" w:cs="Arial"/>
          <w:color w:val="auto"/>
          <w:sz w:val="24"/>
          <w:highlight w:val="none"/>
          <w:vertAlign w:val="subscript"/>
        </w:rPr>
        <w:t>2</w:t>
      </w:r>
      <w:r>
        <w:rPr>
          <w:rFonts w:ascii="宋体" w:hAnsi="宋体" w:cs="Arial"/>
          <w:color w:val="auto"/>
          <w:sz w:val="24"/>
          <w:highlight w:val="none"/>
        </w:rPr>
        <w:t>,NH</w:t>
      </w:r>
      <w:r>
        <w:rPr>
          <w:rFonts w:ascii="宋体" w:hAnsi="宋体" w:cs="Arial"/>
          <w:color w:val="auto"/>
          <w:sz w:val="24"/>
          <w:highlight w:val="none"/>
          <w:vertAlign w:val="subscript"/>
        </w:rPr>
        <w:t>3</w:t>
      </w:r>
    </w:p>
    <w:p>
      <w:pPr>
        <w:spacing w:line="276" w:lineRule="auto"/>
        <w:ind w:left="957" w:leftChars="170" w:hanging="600" w:hangingChars="250"/>
        <w:rPr>
          <w:rFonts w:ascii="宋体" w:hAnsi="宋体" w:cs="Arial"/>
          <w:color w:val="auto"/>
          <w:sz w:val="24"/>
          <w:highlight w:val="none"/>
        </w:rPr>
      </w:pPr>
      <w:r>
        <w:rPr>
          <w:rFonts w:ascii="宋体" w:hAnsi="宋体" w:cs="Arial"/>
          <w:color w:val="auto"/>
          <w:sz w:val="24"/>
          <w:highlight w:val="none"/>
        </w:rPr>
        <w:t xml:space="preserve">      PM2.5气溶胶中的Cl</w:t>
      </w:r>
      <w:r>
        <w:rPr>
          <w:rFonts w:ascii="宋体" w:hAnsi="宋体" w:cs="Arial"/>
          <w:color w:val="auto"/>
          <w:sz w:val="24"/>
          <w:highlight w:val="none"/>
          <w:vertAlign w:val="superscript"/>
        </w:rPr>
        <w:t>-</w:t>
      </w:r>
      <w:r>
        <w:rPr>
          <w:rFonts w:ascii="宋体" w:hAnsi="宋体" w:cs="Arial"/>
          <w:color w:val="auto"/>
          <w:sz w:val="24"/>
          <w:highlight w:val="none"/>
        </w:rPr>
        <w:t xml:space="preserve"> NO</w:t>
      </w:r>
      <w:r>
        <w:rPr>
          <w:rFonts w:ascii="宋体" w:hAnsi="宋体" w:cs="Arial"/>
          <w:color w:val="auto"/>
          <w:sz w:val="24"/>
          <w:highlight w:val="none"/>
          <w:vertAlign w:val="subscript"/>
        </w:rPr>
        <w:t>3</w:t>
      </w:r>
      <w:r>
        <w:rPr>
          <w:rFonts w:ascii="宋体" w:hAnsi="宋体" w:cs="Arial"/>
          <w:color w:val="auto"/>
          <w:sz w:val="24"/>
          <w:highlight w:val="none"/>
          <w:vertAlign w:val="superscript"/>
        </w:rPr>
        <w:t>-</w:t>
      </w:r>
      <w:r>
        <w:rPr>
          <w:rFonts w:ascii="宋体" w:hAnsi="宋体" w:cs="Arial"/>
          <w:color w:val="auto"/>
          <w:sz w:val="24"/>
          <w:highlight w:val="none"/>
        </w:rPr>
        <w:t xml:space="preserve"> SO</w:t>
      </w:r>
      <w:r>
        <w:rPr>
          <w:rFonts w:ascii="宋体" w:hAnsi="宋体" w:cs="Arial"/>
          <w:color w:val="auto"/>
          <w:sz w:val="24"/>
          <w:highlight w:val="none"/>
          <w:vertAlign w:val="subscript"/>
        </w:rPr>
        <w:t>4</w:t>
      </w:r>
      <w:r>
        <w:rPr>
          <w:rFonts w:ascii="宋体" w:hAnsi="宋体" w:cs="Arial"/>
          <w:color w:val="auto"/>
          <w:sz w:val="24"/>
          <w:highlight w:val="none"/>
          <w:vertAlign w:val="superscript"/>
        </w:rPr>
        <w:t>2-</w:t>
      </w:r>
      <w:r>
        <w:rPr>
          <w:rFonts w:ascii="宋体" w:hAnsi="宋体" w:cs="Arial"/>
          <w:color w:val="auto"/>
          <w:sz w:val="24"/>
          <w:highlight w:val="none"/>
        </w:rPr>
        <w:t xml:space="preserve"> NH</w:t>
      </w:r>
      <w:r>
        <w:rPr>
          <w:rFonts w:ascii="宋体" w:hAnsi="宋体" w:cs="Arial"/>
          <w:color w:val="auto"/>
          <w:sz w:val="24"/>
          <w:highlight w:val="none"/>
          <w:vertAlign w:val="subscript"/>
        </w:rPr>
        <w:t>4</w:t>
      </w:r>
      <w:r>
        <w:rPr>
          <w:rFonts w:ascii="宋体" w:hAnsi="宋体" w:cs="Arial"/>
          <w:color w:val="auto"/>
          <w:sz w:val="24"/>
          <w:highlight w:val="none"/>
          <w:vertAlign w:val="superscript"/>
        </w:rPr>
        <w:t>+</w:t>
      </w:r>
      <w:r>
        <w:rPr>
          <w:rFonts w:ascii="宋体" w:hAnsi="宋体" w:cs="Arial"/>
          <w:color w:val="auto"/>
          <w:sz w:val="24"/>
          <w:highlight w:val="none"/>
        </w:rPr>
        <w:t xml:space="preserve"> Na</w:t>
      </w:r>
      <w:r>
        <w:rPr>
          <w:rFonts w:ascii="宋体" w:hAnsi="宋体" w:cs="Arial"/>
          <w:color w:val="auto"/>
          <w:sz w:val="24"/>
          <w:highlight w:val="none"/>
          <w:vertAlign w:val="superscript"/>
        </w:rPr>
        <w:t>+</w:t>
      </w:r>
      <w:r>
        <w:rPr>
          <w:rFonts w:ascii="宋体" w:hAnsi="宋体" w:cs="Arial"/>
          <w:color w:val="auto"/>
          <w:sz w:val="24"/>
          <w:highlight w:val="none"/>
        </w:rPr>
        <w:t xml:space="preserve"> K</w:t>
      </w:r>
      <w:r>
        <w:rPr>
          <w:rFonts w:ascii="宋体" w:hAnsi="宋体" w:cs="Arial"/>
          <w:color w:val="auto"/>
          <w:sz w:val="24"/>
          <w:highlight w:val="none"/>
          <w:vertAlign w:val="superscript"/>
        </w:rPr>
        <w:t>+</w:t>
      </w:r>
      <w:r>
        <w:rPr>
          <w:rFonts w:ascii="宋体" w:hAnsi="宋体" w:cs="Arial"/>
          <w:color w:val="auto"/>
          <w:sz w:val="24"/>
          <w:highlight w:val="none"/>
        </w:rPr>
        <w:t xml:space="preserve"> Mg</w:t>
      </w:r>
      <w:r>
        <w:rPr>
          <w:rFonts w:ascii="宋体" w:hAnsi="宋体" w:cs="Arial"/>
          <w:color w:val="auto"/>
          <w:sz w:val="24"/>
          <w:highlight w:val="none"/>
          <w:vertAlign w:val="superscript"/>
        </w:rPr>
        <w:t>2+</w:t>
      </w:r>
      <w:r>
        <w:rPr>
          <w:rFonts w:ascii="宋体" w:hAnsi="宋体" w:cs="Arial"/>
          <w:color w:val="auto"/>
          <w:sz w:val="24"/>
          <w:highlight w:val="none"/>
        </w:rPr>
        <w:t xml:space="preserve"> Ca</w:t>
      </w:r>
      <w:r>
        <w:rPr>
          <w:rFonts w:ascii="宋体" w:hAnsi="宋体" w:cs="Arial"/>
          <w:color w:val="auto"/>
          <w:sz w:val="24"/>
          <w:highlight w:val="none"/>
          <w:vertAlign w:val="superscript"/>
        </w:rPr>
        <w:t>2+</w:t>
      </w:r>
    </w:p>
    <w:p>
      <w:pPr>
        <w:spacing w:line="276" w:lineRule="auto"/>
        <w:ind w:left="957" w:leftChars="170" w:hanging="600" w:hangingChars="250"/>
        <w:rPr>
          <w:rFonts w:ascii="宋体" w:hAnsi="宋体" w:cs="Arial"/>
          <w:color w:val="auto"/>
          <w:sz w:val="24"/>
          <w:highlight w:val="none"/>
        </w:rPr>
      </w:pPr>
      <w:r>
        <w:rPr>
          <w:rFonts w:ascii="宋体" w:hAnsi="宋体" w:cs="Arial"/>
          <w:color w:val="auto"/>
          <w:sz w:val="24"/>
          <w:highlight w:val="none"/>
        </w:rPr>
        <w:t xml:space="preserve">     或者 PM10 气溶胶中的Cl</w:t>
      </w:r>
      <w:r>
        <w:rPr>
          <w:rFonts w:ascii="宋体" w:hAnsi="宋体" w:cs="Arial"/>
          <w:color w:val="auto"/>
          <w:sz w:val="24"/>
          <w:highlight w:val="none"/>
          <w:vertAlign w:val="superscript"/>
        </w:rPr>
        <w:t>-</w:t>
      </w:r>
      <w:r>
        <w:rPr>
          <w:rFonts w:ascii="宋体" w:hAnsi="宋体" w:cs="Arial"/>
          <w:color w:val="auto"/>
          <w:sz w:val="24"/>
          <w:highlight w:val="none"/>
        </w:rPr>
        <w:t xml:space="preserve"> NO</w:t>
      </w:r>
      <w:r>
        <w:rPr>
          <w:rFonts w:ascii="宋体" w:hAnsi="宋体" w:cs="Arial"/>
          <w:color w:val="auto"/>
          <w:sz w:val="24"/>
          <w:highlight w:val="none"/>
          <w:vertAlign w:val="subscript"/>
        </w:rPr>
        <w:t>3</w:t>
      </w:r>
      <w:r>
        <w:rPr>
          <w:rFonts w:ascii="宋体" w:hAnsi="宋体" w:cs="Arial"/>
          <w:color w:val="auto"/>
          <w:sz w:val="24"/>
          <w:highlight w:val="none"/>
          <w:vertAlign w:val="superscript"/>
        </w:rPr>
        <w:t>-</w:t>
      </w:r>
      <w:r>
        <w:rPr>
          <w:rFonts w:ascii="宋体" w:hAnsi="宋体" w:cs="Arial"/>
          <w:color w:val="auto"/>
          <w:sz w:val="24"/>
          <w:highlight w:val="none"/>
        </w:rPr>
        <w:t xml:space="preserve"> SO</w:t>
      </w:r>
      <w:r>
        <w:rPr>
          <w:rFonts w:ascii="宋体" w:hAnsi="宋体" w:cs="Arial"/>
          <w:color w:val="auto"/>
          <w:sz w:val="24"/>
          <w:highlight w:val="none"/>
          <w:vertAlign w:val="subscript"/>
        </w:rPr>
        <w:t>4</w:t>
      </w:r>
      <w:r>
        <w:rPr>
          <w:rFonts w:ascii="宋体" w:hAnsi="宋体" w:cs="Arial"/>
          <w:color w:val="auto"/>
          <w:sz w:val="24"/>
          <w:highlight w:val="none"/>
          <w:vertAlign w:val="superscript"/>
        </w:rPr>
        <w:t>2-</w:t>
      </w:r>
      <w:r>
        <w:rPr>
          <w:rFonts w:ascii="宋体" w:hAnsi="宋体" w:cs="Arial"/>
          <w:color w:val="auto"/>
          <w:sz w:val="24"/>
          <w:highlight w:val="none"/>
        </w:rPr>
        <w:t xml:space="preserve"> NH</w:t>
      </w:r>
      <w:r>
        <w:rPr>
          <w:rFonts w:ascii="宋体" w:hAnsi="宋体" w:cs="Arial"/>
          <w:color w:val="auto"/>
          <w:sz w:val="24"/>
          <w:highlight w:val="none"/>
          <w:vertAlign w:val="subscript"/>
        </w:rPr>
        <w:t>4</w:t>
      </w:r>
      <w:r>
        <w:rPr>
          <w:rFonts w:ascii="宋体" w:hAnsi="宋体" w:cs="Arial"/>
          <w:color w:val="auto"/>
          <w:sz w:val="24"/>
          <w:highlight w:val="none"/>
          <w:vertAlign w:val="superscript"/>
        </w:rPr>
        <w:t>+</w:t>
      </w:r>
      <w:r>
        <w:rPr>
          <w:rFonts w:ascii="宋体" w:hAnsi="宋体" w:cs="Arial"/>
          <w:color w:val="auto"/>
          <w:sz w:val="24"/>
          <w:highlight w:val="none"/>
        </w:rPr>
        <w:t xml:space="preserve"> Na</w:t>
      </w:r>
      <w:r>
        <w:rPr>
          <w:rFonts w:ascii="宋体" w:hAnsi="宋体" w:cs="Arial"/>
          <w:color w:val="auto"/>
          <w:sz w:val="24"/>
          <w:highlight w:val="none"/>
          <w:vertAlign w:val="superscript"/>
        </w:rPr>
        <w:t>+</w:t>
      </w:r>
      <w:r>
        <w:rPr>
          <w:rFonts w:ascii="宋体" w:hAnsi="宋体" w:cs="Arial"/>
          <w:color w:val="auto"/>
          <w:sz w:val="24"/>
          <w:highlight w:val="none"/>
        </w:rPr>
        <w:t xml:space="preserve"> K</w:t>
      </w:r>
      <w:r>
        <w:rPr>
          <w:rFonts w:ascii="宋体" w:hAnsi="宋体" w:cs="Arial"/>
          <w:color w:val="auto"/>
          <w:sz w:val="24"/>
          <w:highlight w:val="none"/>
          <w:vertAlign w:val="superscript"/>
        </w:rPr>
        <w:t>+</w:t>
      </w:r>
      <w:r>
        <w:rPr>
          <w:rFonts w:ascii="宋体" w:hAnsi="宋体" w:cs="Arial"/>
          <w:color w:val="auto"/>
          <w:sz w:val="24"/>
          <w:highlight w:val="none"/>
        </w:rPr>
        <w:t xml:space="preserve"> Mg</w:t>
      </w:r>
      <w:r>
        <w:rPr>
          <w:rFonts w:ascii="宋体" w:hAnsi="宋体" w:cs="Arial"/>
          <w:color w:val="auto"/>
          <w:sz w:val="24"/>
          <w:highlight w:val="none"/>
          <w:vertAlign w:val="superscript"/>
        </w:rPr>
        <w:t>2+</w:t>
      </w:r>
      <w:r>
        <w:rPr>
          <w:rFonts w:ascii="宋体" w:hAnsi="宋体" w:cs="Arial"/>
          <w:color w:val="auto"/>
          <w:sz w:val="24"/>
          <w:highlight w:val="none"/>
        </w:rPr>
        <w:t xml:space="preserve"> Ca</w:t>
      </w:r>
      <w:r>
        <w:rPr>
          <w:rFonts w:ascii="宋体" w:hAnsi="宋体" w:cs="Arial"/>
          <w:color w:val="auto"/>
          <w:sz w:val="24"/>
          <w:highlight w:val="none"/>
          <w:vertAlign w:val="superscript"/>
        </w:rPr>
        <w:t>2+</w:t>
      </w:r>
    </w:p>
    <w:p>
      <w:pPr>
        <w:spacing w:line="276" w:lineRule="auto"/>
        <w:rPr>
          <w:rFonts w:ascii="宋体" w:hAnsi="宋体" w:cs="Arial"/>
          <w:color w:val="auto"/>
          <w:sz w:val="24"/>
          <w:highlight w:val="none"/>
        </w:rPr>
      </w:pPr>
      <w:r>
        <w:rPr>
          <w:rFonts w:ascii="宋体" w:hAnsi="宋体" w:cs="Arial"/>
          <w:color w:val="auto"/>
          <w:sz w:val="24"/>
          <w:highlight w:val="none"/>
        </w:rPr>
        <w:t>#3.3.1</w:t>
      </w:r>
      <w:r>
        <w:rPr>
          <w:rFonts w:hint="eastAsia" w:ascii="宋体" w:hAnsi="宋体" w:cs="Arial"/>
          <w:color w:val="auto"/>
          <w:sz w:val="24"/>
          <w:highlight w:val="none"/>
        </w:rPr>
        <w:t>6</w:t>
      </w:r>
      <w:r>
        <w:rPr>
          <w:rFonts w:ascii="宋体" w:hAnsi="宋体" w:cs="Arial"/>
          <w:color w:val="auto"/>
          <w:sz w:val="24"/>
          <w:highlight w:val="none"/>
        </w:rPr>
        <w:t>检出限</w:t>
      </w:r>
      <w:r>
        <w:rPr>
          <w:rFonts w:hint="eastAsia" w:ascii="宋体" w:hAnsi="宋体" w:cs="Arial"/>
          <w:color w:val="auto"/>
          <w:sz w:val="24"/>
          <w:highlight w:val="none"/>
        </w:rPr>
        <w:t>：</w:t>
      </w:r>
      <w:r>
        <w:rPr>
          <w:rFonts w:ascii="宋体" w:hAnsi="宋体" w:cs="Arial"/>
          <w:color w:val="auto"/>
          <w:sz w:val="24"/>
          <w:highlight w:val="none"/>
        </w:rPr>
        <w:t>≤0.05 μg/m</w:t>
      </w:r>
      <w:r>
        <w:rPr>
          <w:rFonts w:ascii="宋体" w:hAnsi="宋体" w:cs="Arial"/>
          <w:color w:val="auto"/>
          <w:sz w:val="24"/>
          <w:highlight w:val="none"/>
          <w:vertAlign w:val="superscript"/>
        </w:rPr>
        <w:t>3</w:t>
      </w:r>
      <w:r>
        <w:rPr>
          <w:rFonts w:hint="eastAsia" w:ascii="宋体" w:hAnsi="宋体" w:cs="Arial"/>
          <w:color w:val="auto"/>
          <w:sz w:val="24"/>
          <w:highlight w:val="none"/>
          <w:vertAlign w:val="superscript"/>
        </w:rPr>
        <w:t>，</w:t>
      </w:r>
      <w:r>
        <w:rPr>
          <w:rFonts w:hint="eastAsia"/>
          <w:color w:val="auto"/>
          <w:sz w:val="24"/>
          <w:highlight w:val="none"/>
        </w:rPr>
        <w:t>气体以H</w:t>
      </w:r>
      <w:r>
        <w:rPr>
          <w:color w:val="auto"/>
          <w:sz w:val="24"/>
          <w:highlight w:val="none"/>
        </w:rPr>
        <w:t>Cl</w:t>
      </w:r>
      <w:r>
        <w:rPr>
          <w:rFonts w:hint="eastAsia"/>
          <w:color w:val="auto"/>
          <w:sz w:val="24"/>
          <w:highlight w:val="none"/>
        </w:rPr>
        <w:t>计，气溶胶是以氯离子计。</w:t>
      </w:r>
    </w:p>
    <w:p>
      <w:pPr>
        <w:spacing w:line="276" w:lineRule="auto"/>
        <w:rPr>
          <w:rFonts w:ascii="宋体" w:hAnsi="宋体" w:cs="Arial"/>
          <w:color w:val="auto"/>
          <w:sz w:val="24"/>
          <w:highlight w:val="none"/>
          <w:vertAlign w:val="superscript"/>
        </w:rPr>
      </w:pPr>
    </w:p>
    <w:p>
      <w:pPr>
        <w:kinsoku w:val="0"/>
        <w:overflowPunct w:val="0"/>
        <w:autoSpaceDE w:val="0"/>
        <w:autoSpaceDN w:val="0"/>
        <w:spacing w:line="360" w:lineRule="auto"/>
        <w:outlineLvl w:val="0"/>
        <w:rPr>
          <w:rFonts w:ascii="宋体" w:hAnsi="宋体" w:cs="Arial"/>
          <w:color w:val="auto"/>
          <w:sz w:val="24"/>
          <w:highlight w:val="none"/>
        </w:rPr>
      </w:pPr>
      <w:r>
        <w:rPr>
          <w:rFonts w:hint="eastAsia" w:ascii="宋体" w:hAnsi="宋体" w:cs="Arial"/>
          <w:color w:val="auto"/>
          <w:sz w:val="24"/>
          <w:highlight w:val="none"/>
        </w:rPr>
        <w:t>3</w:t>
      </w:r>
      <w:r>
        <w:rPr>
          <w:rFonts w:ascii="宋体" w:hAnsi="宋体" w:cs="Arial"/>
          <w:color w:val="auto"/>
          <w:sz w:val="24"/>
          <w:highlight w:val="none"/>
        </w:rPr>
        <w:t xml:space="preserve">.4 </w:t>
      </w:r>
      <w:r>
        <w:rPr>
          <w:rFonts w:hint="eastAsia" w:ascii="宋体" w:hAnsi="宋体" w:cs="Arial"/>
          <w:color w:val="auto"/>
          <w:sz w:val="24"/>
          <w:highlight w:val="none"/>
        </w:rPr>
        <w:t>智能补液系统</w:t>
      </w:r>
    </w:p>
    <w:p>
      <w:pPr>
        <w:kinsoku w:val="0"/>
        <w:overflowPunct w:val="0"/>
        <w:autoSpaceDE w:val="0"/>
        <w:autoSpaceDN w:val="0"/>
        <w:spacing w:line="360" w:lineRule="auto"/>
        <w:outlineLvl w:val="0"/>
        <w:rPr>
          <w:rFonts w:ascii="宋体" w:hAnsi="宋体" w:cs="Arial"/>
          <w:color w:val="auto"/>
          <w:sz w:val="24"/>
          <w:highlight w:val="none"/>
        </w:rPr>
      </w:pPr>
      <w:r>
        <w:rPr>
          <w:rFonts w:ascii="宋体" w:hAnsi="宋体" w:cs="Arial"/>
          <w:color w:val="auto"/>
          <w:sz w:val="24"/>
          <w:highlight w:val="none"/>
        </w:rPr>
        <w:t>3</w:t>
      </w:r>
      <w:r>
        <w:rPr>
          <w:rFonts w:hint="eastAsia" w:ascii="宋体" w:hAnsi="宋体" w:cs="Arial"/>
          <w:color w:val="auto"/>
          <w:sz w:val="24"/>
          <w:highlight w:val="none"/>
        </w:rPr>
        <w:t>.</w:t>
      </w:r>
      <w:r>
        <w:rPr>
          <w:rFonts w:ascii="宋体" w:hAnsi="宋体" w:cs="Arial"/>
          <w:color w:val="auto"/>
          <w:sz w:val="24"/>
          <w:highlight w:val="none"/>
        </w:rPr>
        <w:t>4</w:t>
      </w:r>
      <w:r>
        <w:rPr>
          <w:rFonts w:hint="eastAsia" w:ascii="宋体" w:hAnsi="宋体" w:cs="Arial"/>
          <w:color w:val="auto"/>
          <w:sz w:val="24"/>
          <w:highlight w:val="none"/>
        </w:rPr>
        <w:t>.1 补液单元加液分辨率:</w:t>
      </w:r>
      <w:r>
        <w:rPr>
          <w:rFonts w:ascii="宋体" w:hAnsi="宋体" w:cs="Arial"/>
          <w:color w:val="auto"/>
          <w:sz w:val="24"/>
          <w:highlight w:val="none"/>
        </w:rPr>
        <w:t>1/10,000</w:t>
      </w:r>
    </w:p>
    <w:p>
      <w:pPr>
        <w:kinsoku w:val="0"/>
        <w:overflowPunct w:val="0"/>
        <w:autoSpaceDE w:val="0"/>
        <w:autoSpaceDN w:val="0"/>
        <w:spacing w:line="360" w:lineRule="auto"/>
        <w:outlineLvl w:val="0"/>
        <w:rPr>
          <w:rFonts w:ascii="宋体" w:hAnsi="宋体" w:cs="Arial"/>
          <w:color w:val="auto"/>
          <w:sz w:val="24"/>
          <w:highlight w:val="none"/>
        </w:rPr>
      </w:pPr>
      <w:r>
        <w:rPr>
          <w:rFonts w:ascii="宋体" w:hAnsi="宋体" w:cs="Arial"/>
          <w:color w:val="auto"/>
          <w:sz w:val="24"/>
          <w:highlight w:val="none"/>
        </w:rPr>
        <w:t xml:space="preserve">3.4.2 </w:t>
      </w:r>
      <w:r>
        <w:rPr>
          <w:rFonts w:hint="eastAsia" w:ascii="宋体" w:hAnsi="宋体" w:cs="Arial"/>
          <w:color w:val="auto"/>
          <w:sz w:val="24"/>
          <w:highlight w:val="none"/>
        </w:rPr>
        <w:t>加液精度：</w:t>
      </w:r>
      <w:r>
        <w:rPr>
          <w:rFonts w:ascii="宋体" w:hAnsi="宋体" w:cs="Arial"/>
          <w:color w:val="auto"/>
          <w:sz w:val="24"/>
          <w:highlight w:val="none"/>
        </w:rPr>
        <w:t>1uL</w:t>
      </w:r>
    </w:p>
    <w:p>
      <w:pPr>
        <w:kinsoku w:val="0"/>
        <w:overflowPunct w:val="0"/>
        <w:autoSpaceDE w:val="0"/>
        <w:autoSpaceDN w:val="0"/>
        <w:spacing w:line="360" w:lineRule="auto"/>
        <w:outlineLvl w:val="0"/>
        <w:rPr>
          <w:rFonts w:ascii="宋体" w:hAnsi="宋体" w:cs="Arial"/>
          <w:color w:val="auto"/>
          <w:sz w:val="24"/>
          <w:highlight w:val="none"/>
        </w:rPr>
      </w:pPr>
      <w:r>
        <w:rPr>
          <w:rFonts w:ascii="宋体" w:hAnsi="宋体" w:cs="Arial"/>
          <w:color w:val="auto"/>
          <w:sz w:val="24"/>
          <w:highlight w:val="none"/>
        </w:rPr>
        <w:t>3</w:t>
      </w:r>
      <w:r>
        <w:rPr>
          <w:rFonts w:hint="eastAsia" w:ascii="宋体" w:hAnsi="宋体" w:cs="Arial"/>
          <w:color w:val="auto"/>
          <w:sz w:val="24"/>
          <w:highlight w:val="none"/>
        </w:rPr>
        <w:t>.</w:t>
      </w:r>
      <w:r>
        <w:rPr>
          <w:rFonts w:ascii="宋体" w:hAnsi="宋体" w:cs="Arial"/>
          <w:color w:val="auto"/>
          <w:sz w:val="24"/>
          <w:highlight w:val="none"/>
        </w:rPr>
        <w:t>4</w:t>
      </w:r>
      <w:r>
        <w:rPr>
          <w:rFonts w:hint="eastAsia" w:ascii="宋体" w:hAnsi="宋体" w:cs="Arial"/>
          <w:color w:val="auto"/>
          <w:sz w:val="24"/>
          <w:highlight w:val="none"/>
        </w:rPr>
        <w:t>.</w:t>
      </w:r>
      <w:r>
        <w:rPr>
          <w:rFonts w:ascii="宋体" w:hAnsi="宋体" w:cs="Arial"/>
          <w:color w:val="auto"/>
          <w:sz w:val="24"/>
          <w:highlight w:val="none"/>
        </w:rPr>
        <w:t>3</w:t>
      </w:r>
      <w:r>
        <w:rPr>
          <w:rFonts w:hint="eastAsia" w:ascii="宋体" w:hAnsi="宋体" w:cs="Arial"/>
          <w:color w:val="auto"/>
          <w:sz w:val="24"/>
          <w:highlight w:val="none"/>
        </w:rPr>
        <w:t xml:space="preserve"> 最大加液速率：大于250ml/min</w:t>
      </w:r>
    </w:p>
    <w:p>
      <w:pPr>
        <w:spacing w:line="360" w:lineRule="auto"/>
        <w:rPr>
          <w:rFonts w:ascii="宋体" w:hAnsi="宋体"/>
          <w:bCs/>
          <w:color w:val="auto"/>
          <w:sz w:val="24"/>
          <w:highlight w:val="none"/>
        </w:rPr>
      </w:pPr>
      <w:r>
        <w:rPr>
          <w:rFonts w:ascii="宋体" w:hAnsi="宋体"/>
          <w:bCs/>
          <w:color w:val="auto"/>
          <w:sz w:val="24"/>
          <w:highlight w:val="none"/>
        </w:rPr>
        <w:t xml:space="preserve">3.5 </w:t>
      </w:r>
      <w:r>
        <w:rPr>
          <w:rFonts w:hint="eastAsia" w:ascii="宋体" w:hAnsi="宋体"/>
          <w:bCs/>
          <w:color w:val="auto"/>
          <w:sz w:val="24"/>
          <w:highlight w:val="none"/>
        </w:rPr>
        <w:t xml:space="preserve">软件控制系统 </w:t>
      </w:r>
    </w:p>
    <w:p>
      <w:pPr>
        <w:spacing w:line="276" w:lineRule="auto"/>
        <w:rPr>
          <w:rFonts w:ascii="宋体" w:hAnsi="宋体" w:cs="Arial"/>
          <w:color w:val="auto"/>
          <w:sz w:val="24"/>
          <w:highlight w:val="none"/>
        </w:rPr>
      </w:pPr>
      <w:r>
        <w:rPr>
          <w:rFonts w:hint="eastAsia"/>
          <w:color w:val="auto"/>
          <w:sz w:val="24"/>
          <w:highlight w:val="none"/>
        </w:rPr>
        <w:t>*</w:t>
      </w:r>
      <w:r>
        <w:rPr>
          <w:rFonts w:ascii="宋体" w:hAnsi="宋体" w:cs="Arial"/>
          <w:color w:val="auto"/>
          <w:sz w:val="24"/>
          <w:highlight w:val="none"/>
        </w:rPr>
        <w:t>3.5.1内置工业PC</w:t>
      </w:r>
      <w:r>
        <w:rPr>
          <w:rFonts w:hint="eastAsia" w:ascii="宋体" w:hAnsi="宋体" w:cs="Arial"/>
          <w:color w:val="auto"/>
          <w:sz w:val="24"/>
          <w:highlight w:val="none"/>
        </w:rPr>
        <w:t>，</w:t>
      </w:r>
      <w:r>
        <w:rPr>
          <w:rFonts w:ascii="宋体" w:hAnsi="宋体" w:cs="Arial"/>
          <w:color w:val="auto"/>
          <w:sz w:val="24"/>
          <w:highlight w:val="none"/>
        </w:rPr>
        <w:t>专业化软件，同时控制采样系统和分析系统</w:t>
      </w:r>
      <w:r>
        <w:rPr>
          <w:rFonts w:hint="eastAsia" w:ascii="宋体" w:hAnsi="宋体" w:cs="Arial"/>
          <w:color w:val="auto"/>
          <w:sz w:val="24"/>
          <w:highlight w:val="none"/>
        </w:rPr>
        <w:t>，</w:t>
      </w:r>
      <w:r>
        <w:rPr>
          <w:rFonts w:ascii="宋体" w:hAnsi="宋体" w:cs="Arial"/>
          <w:color w:val="auto"/>
          <w:sz w:val="24"/>
          <w:highlight w:val="none"/>
        </w:rPr>
        <w:t>并可实现有远程控制及诊断。</w:t>
      </w:r>
    </w:p>
    <w:p>
      <w:pPr>
        <w:spacing w:line="276" w:lineRule="auto"/>
        <w:rPr>
          <w:rFonts w:ascii="宋体" w:hAnsi="宋体" w:cs="Arial"/>
          <w:color w:val="auto"/>
          <w:sz w:val="24"/>
          <w:highlight w:val="none"/>
        </w:rPr>
      </w:pPr>
      <w:r>
        <w:rPr>
          <w:rFonts w:ascii="宋体" w:hAnsi="宋体" w:cs="Arial"/>
          <w:color w:val="auto"/>
          <w:sz w:val="24"/>
          <w:highlight w:val="none"/>
        </w:rPr>
        <w:t>3.5.2配备经过认证的可连续运行的工业电脑IPC</w:t>
      </w:r>
      <w:r>
        <w:rPr>
          <w:rFonts w:hint="eastAsia" w:ascii="宋体" w:hAnsi="宋体" w:cs="Arial"/>
          <w:color w:val="auto"/>
          <w:sz w:val="24"/>
          <w:highlight w:val="none"/>
        </w:rPr>
        <w:t>，</w:t>
      </w:r>
      <w:r>
        <w:rPr>
          <w:rFonts w:ascii="宋体" w:hAnsi="宋体" w:cs="Arial"/>
          <w:color w:val="auto"/>
          <w:sz w:val="24"/>
          <w:highlight w:val="none"/>
        </w:rPr>
        <w:t xml:space="preserve"> IPC</w:t>
      </w:r>
      <w:r>
        <w:rPr>
          <w:rFonts w:hint="eastAsia" w:ascii="宋体" w:hAnsi="宋体" w:cs="Arial"/>
          <w:color w:val="auto"/>
          <w:sz w:val="24"/>
          <w:highlight w:val="none"/>
        </w:rPr>
        <w:t>包括主板和控制状态板，I</w:t>
      </w:r>
      <w:r>
        <w:rPr>
          <w:rFonts w:ascii="宋体" w:hAnsi="宋体" w:cs="Arial"/>
          <w:color w:val="auto"/>
          <w:sz w:val="24"/>
          <w:highlight w:val="none"/>
        </w:rPr>
        <w:t>PC SSD</w:t>
      </w:r>
      <w:r>
        <w:rPr>
          <w:rFonts w:hint="eastAsia" w:ascii="宋体" w:hAnsi="宋体" w:cs="Arial"/>
          <w:color w:val="auto"/>
          <w:sz w:val="24"/>
          <w:highlight w:val="none"/>
        </w:rPr>
        <w:t>主板硬盘≥</w:t>
      </w:r>
      <w:r>
        <w:rPr>
          <w:rFonts w:ascii="宋体" w:hAnsi="宋体" w:cs="Arial"/>
          <w:color w:val="auto"/>
          <w:sz w:val="24"/>
          <w:highlight w:val="none"/>
        </w:rPr>
        <w:t>64GB</w:t>
      </w:r>
      <w:r>
        <w:rPr>
          <w:rFonts w:hint="eastAsia" w:ascii="宋体" w:hAnsi="宋体" w:cs="Arial"/>
          <w:color w:val="auto"/>
          <w:sz w:val="24"/>
          <w:highlight w:val="none"/>
        </w:rPr>
        <w:t>；内置windows，系统防护和控制操作软件。</w:t>
      </w:r>
    </w:p>
    <w:p>
      <w:pPr>
        <w:spacing w:line="276" w:lineRule="auto"/>
        <w:rPr>
          <w:rFonts w:ascii="宋体" w:hAnsi="宋体" w:cs="Arial"/>
          <w:color w:val="auto"/>
          <w:sz w:val="24"/>
          <w:highlight w:val="none"/>
        </w:rPr>
      </w:pPr>
      <w:r>
        <w:rPr>
          <w:rFonts w:ascii="宋体" w:hAnsi="宋体" w:cs="Arial"/>
          <w:color w:val="auto"/>
          <w:sz w:val="24"/>
          <w:highlight w:val="none"/>
        </w:rPr>
        <w:t>3.5.</w:t>
      </w:r>
      <w:r>
        <w:rPr>
          <w:rFonts w:hint="eastAsia" w:ascii="宋体" w:hAnsi="宋体" w:cs="Arial"/>
          <w:color w:val="auto"/>
          <w:sz w:val="24"/>
          <w:highlight w:val="none"/>
        </w:rPr>
        <w:t>3</w:t>
      </w:r>
      <w:r>
        <w:rPr>
          <w:rFonts w:ascii="宋体" w:hAnsi="宋体" w:cs="Arial"/>
          <w:color w:val="auto"/>
          <w:sz w:val="24"/>
          <w:highlight w:val="none"/>
        </w:rPr>
        <w:t>仪器每小时自动生成监测报告，对单个分析数据有效性进行判别并标注。</w:t>
      </w:r>
    </w:p>
    <w:p>
      <w:pPr>
        <w:spacing w:line="276" w:lineRule="auto"/>
        <w:rPr>
          <w:rFonts w:ascii="宋体" w:hAnsi="宋体" w:cs="Arial"/>
          <w:color w:val="auto"/>
          <w:sz w:val="24"/>
          <w:highlight w:val="none"/>
        </w:rPr>
      </w:pPr>
      <w:r>
        <w:rPr>
          <w:rFonts w:ascii="宋体" w:hAnsi="宋体" w:cs="Arial"/>
          <w:color w:val="auto"/>
          <w:sz w:val="24"/>
          <w:highlight w:val="none"/>
        </w:rPr>
        <w:t>3.5.</w:t>
      </w:r>
      <w:r>
        <w:rPr>
          <w:rFonts w:hint="eastAsia" w:ascii="宋体" w:hAnsi="宋体" w:cs="Arial"/>
          <w:color w:val="auto"/>
          <w:sz w:val="24"/>
          <w:highlight w:val="none"/>
        </w:rPr>
        <w:t>4</w:t>
      </w:r>
      <w:r>
        <w:rPr>
          <w:rFonts w:ascii="宋体" w:hAnsi="宋体" w:cs="Arial"/>
          <w:color w:val="auto"/>
          <w:sz w:val="24"/>
          <w:highlight w:val="none"/>
        </w:rPr>
        <w:t>可实现远程传输和控制诊断，支持移动终端</w:t>
      </w:r>
      <w:r>
        <w:rPr>
          <w:rFonts w:hint="eastAsia" w:ascii="宋体" w:hAnsi="宋体" w:cs="Arial"/>
          <w:color w:val="auto"/>
          <w:sz w:val="24"/>
          <w:highlight w:val="none"/>
        </w:rPr>
        <w:t>。</w:t>
      </w:r>
    </w:p>
    <w:p>
      <w:pPr>
        <w:spacing w:line="360" w:lineRule="auto"/>
        <w:ind w:firstLine="480"/>
        <w:rPr>
          <w:color w:val="auto"/>
          <w:sz w:val="24"/>
          <w:highlight w:val="none"/>
        </w:rPr>
      </w:pPr>
    </w:p>
    <w:p>
      <w:pPr>
        <w:spacing w:line="360" w:lineRule="auto"/>
        <w:rPr>
          <w:b/>
          <w:color w:val="auto"/>
          <w:sz w:val="24"/>
          <w:highlight w:val="none"/>
        </w:rPr>
      </w:pPr>
      <w:r>
        <w:rPr>
          <w:rFonts w:hint="eastAsia"/>
          <w:b/>
          <w:color w:val="auto"/>
          <w:sz w:val="24"/>
          <w:highlight w:val="none"/>
        </w:rPr>
        <w:t>4. 产品配置要求</w:t>
      </w:r>
    </w:p>
    <w:p>
      <w:pPr>
        <w:spacing w:line="360" w:lineRule="auto"/>
        <w:rPr>
          <w:color w:val="auto"/>
          <w:sz w:val="24"/>
          <w:highlight w:val="none"/>
        </w:rPr>
      </w:pPr>
      <w:r>
        <w:rPr>
          <w:rFonts w:hint="eastAsia"/>
          <w:color w:val="auto"/>
          <w:sz w:val="24"/>
          <w:highlight w:val="none"/>
        </w:rPr>
        <w:t>4.1 旋转式液体气蚀器          1套</w:t>
      </w:r>
    </w:p>
    <w:p>
      <w:pPr>
        <w:spacing w:line="360" w:lineRule="auto"/>
        <w:rPr>
          <w:color w:val="auto"/>
          <w:sz w:val="24"/>
          <w:highlight w:val="none"/>
        </w:rPr>
      </w:pPr>
      <w:r>
        <w:rPr>
          <w:rFonts w:hint="eastAsia"/>
          <w:color w:val="auto"/>
          <w:sz w:val="24"/>
          <w:highlight w:val="none"/>
        </w:rPr>
        <w:t>4.2 蒸汽喷射气溶胶收集器      1套</w:t>
      </w:r>
    </w:p>
    <w:p>
      <w:pPr>
        <w:spacing w:line="360" w:lineRule="auto"/>
        <w:rPr>
          <w:color w:val="auto"/>
          <w:sz w:val="24"/>
          <w:highlight w:val="none"/>
        </w:rPr>
      </w:pPr>
      <w:r>
        <w:rPr>
          <w:rFonts w:hint="eastAsia"/>
          <w:color w:val="auto"/>
          <w:sz w:val="24"/>
          <w:highlight w:val="none"/>
        </w:rPr>
        <w:t>4.3 智能型补液系统                3套</w:t>
      </w:r>
    </w:p>
    <w:p>
      <w:pPr>
        <w:spacing w:line="360" w:lineRule="auto"/>
        <w:rPr>
          <w:color w:val="auto"/>
          <w:sz w:val="24"/>
          <w:highlight w:val="none"/>
        </w:rPr>
      </w:pPr>
      <w:r>
        <w:rPr>
          <w:rFonts w:hint="eastAsia"/>
          <w:color w:val="auto"/>
          <w:sz w:val="24"/>
          <w:highlight w:val="none"/>
        </w:rPr>
        <w:t>4.4 内标自动加注系统            1套</w:t>
      </w:r>
    </w:p>
    <w:p>
      <w:pPr>
        <w:spacing w:line="360" w:lineRule="auto"/>
        <w:rPr>
          <w:color w:val="auto"/>
          <w:sz w:val="24"/>
          <w:highlight w:val="none"/>
        </w:rPr>
      </w:pPr>
      <w:r>
        <w:rPr>
          <w:rFonts w:hint="eastAsia"/>
          <w:color w:val="auto"/>
          <w:sz w:val="24"/>
          <w:highlight w:val="none"/>
        </w:rPr>
        <w:t>4.5 在线离子分析系统             2套</w:t>
      </w:r>
    </w:p>
    <w:p>
      <w:pPr>
        <w:spacing w:line="360" w:lineRule="auto"/>
        <w:rPr>
          <w:color w:val="auto"/>
          <w:sz w:val="24"/>
          <w:highlight w:val="none"/>
        </w:rPr>
      </w:pPr>
      <w:r>
        <w:rPr>
          <w:rFonts w:hint="eastAsia"/>
          <w:color w:val="auto"/>
          <w:sz w:val="24"/>
          <w:highlight w:val="none"/>
        </w:rPr>
        <w:t>4.6 在线脱气装置              1套</w:t>
      </w:r>
    </w:p>
    <w:p>
      <w:pPr>
        <w:spacing w:line="360" w:lineRule="auto"/>
        <w:rPr>
          <w:color w:val="auto"/>
          <w:sz w:val="24"/>
          <w:highlight w:val="none"/>
        </w:rPr>
      </w:pPr>
      <w:r>
        <w:rPr>
          <w:rFonts w:hint="eastAsia"/>
          <w:color w:val="auto"/>
          <w:sz w:val="24"/>
          <w:highlight w:val="none"/>
        </w:rPr>
        <w:t>4.7 柱温箱                    1套</w:t>
      </w:r>
    </w:p>
    <w:p>
      <w:pPr>
        <w:spacing w:line="360" w:lineRule="auto"/>
        <w:rPr>
          <w:color w:val="auto"/>
          <w:sz w:val="24"/>
          <w:highlight w:val="none"/>
        </w:rPr>
      </w:pPr>
      <w:r>
        <w:rPr>
          <w:rFonts w:hint="eastAsia"/>
          <w:color w:val="auto"/>
          <w:sz w:val="24"/>
          <w:highlight w:val="none"/>
        </w:rPr>
        <w:t>4.8 工业电脑                 1套</w:t>
      </w:r>
    </w:p>
    <w:p>
      <w:pPr>
        <w:spacing w:line="360" w:lineRule="auto"/>
        <w:rPr>
          <w:color w:val="auto"/>
          <w:sz w:val="24"/>
          <w:highlight w:val="none"/>
        </w:rPr>
      </w:pPr>
      <w:r>
        <w:rPr>
          <w:rFonts w:hint="eastAsia"/>
          <w:color w:val="auto"/>
          <w:sz w:val="24"/>
          <w:highlight w:val="none"/>
        </w:rPr>
        <w:t>4.9 软件工作站                1套</w:t>
      </w:r>
    </w:p>
    <w:p>
      <w:pPr>
        <w:spacing w:line="360" w:lineRule="auto"/>
        <w:rPr>
          <w:color w:val="auto"/>
          <w:sz w:val="24"/>
          <w:highlight w:val="none"/>
        </w:rPr>
      </w:pPr>
      <w:r>
        <w:rPr>
          <w:rFonts w:hint="eastAsia"/>
          <w:color w:val="auto"/>
          <w:sz w:val="24"/>
          <w:highlight w:val="none"/>
        </w:rPr>
        <w:t>4.10 PM2.5和PM10切割头       1套</w:t>
      </w:r>
    </w:p>
    <w:p>
      <w:pPr>
        <w:spacing w:line="360" w:lineRule="auto"/>
        <w:rPr>
          <w:color w:val="auto"/>
          <w:sz w:val="24"/>
          <w:highlight w:val="none"/>
        </w:rPr>
      </w:pPr>
    </w:p>
    <w:p>
      <w:pPr>
        <w:rPr>
          <w:b/>
          <w:bCs/>
          <w:color w:val="auto"/>
          <w:sz w:val="24"/>
          <w:highlight w:val="none"/>
        </w:rPr>
      </w:pPr>
      <w:r>
        <w:rPr>
          <w:rFonts w:hint="eastAsia"/>
          <w:b/>
          <w:bCs/>
          <w:color w:val="auto"/>
          <w:sz w:val="24"/>
          <w:highlight w:val="none"/>
        </w:rPr>
        <w:t>5.</w:t>
      </w:r>
      <w:r>
        <w:rPr>
          <w:b/>
          <w:bCs/>
          <w:color w:val="auto"/>
          <w:sz w:val="24"/>
          <w:highlight w:val="none"/>
        </w:rPr>
        <w:t>要求的附件、专用工具和消耗品：</w:t>
      </w:r>
    </w:p>
    <w:p>
      <w:pPr>
        <w:rPr>
          <w:color w:val="auto"/>
          <w:sz w:val="24"/>
          <w:highlight w:val="none"/>
        </w:rPr>
      </w:pPr>
      <w:r>
        <w:rPr>
          <w:rFonts w:hint="eastAsia"/>
          <w:color w:val="auto"/>
          <w:sz w:val="24"/>
          <w:highlight w:val="none"/>
        </w:rPr>
        <w:t>提供1年运维所需消耗品。保障投标设备停产后</w:t>
      </w:r>
      <w:r>
        <w:rPr>
          <w:color w:val="auto"/>
          <w:sz w:val="24"/>
          <w:highlight w:val="none"/>
        </w:rPr>
        <w:t>10年的关键零部件（包括耗材）供应。</w:t>
      </w:r>
    </w:p>
    <w:p>
      <w:pPr>
        <w:rPr>
          <w:color w:val="auto"/>
          <w:sz w:val="24"/>
          <w:highlight w:val="none"/>
        </w:rPr>
      </w:pPr>
    </w:p>
    <w:p>
      <w:pPr>
        <w:rPr>
          <w:b/>
          <w:bCs/>
          <w:color w:val="auto"/>
          <w:sz w:val="24"/>
          <w:highlight w:val="none"/>
        </w:rPr>
      </w:pPr>
      <w:r>
        <w:rPr>
          <w:rFonts w:hint="eastAsia"/>
          <w:b/>
          <w:bCs/>
          <w:color w:val="auto"/>
          <w:sz w:val="24"/>
          <w:highlight w:val="none"/>
        </w:rPr>
        <w:t>6.</w:t>
      </w:r>
      <w:r>
        <w:rPr>
          <w:b/>
          <w:bCs/>
          <w:color w:val="auto"/>
          <w:sz w:val="24"/>
          <w:highlight w:val="none"/>
        </w:rPr>
        <w:t>其它保证仪器设备的正常运行和常规保养所需的附件、专用工具和消耗品。(由投标人提供，请参考总则第2.1条)</w:t>
      </w:r>
    </w:p>
    <w:p>
      <w:pPr>
        <w:rPr>
          <w:color w:val="auto"/>
          <w:sz w:val="24"/>
          <w:highlight w:val="none"/>
        </w:rPr>
      </w:pPr>
    </w:p>
    <w:p>
      <w:pPr>
        <w:rPr>
          <w:b/>
          <w:bCs/>
          <w:color w:val="auto"/>
          <w:sz w:val="24"/>
          <w:highlight w:val="none"/>
        </w:rPr>
      </w:pPr>
      <w:r>
        <w:rPr>
          <w:rFonts w:hint="eastAsia"/>
          <w:b/>
          <w:bCs/>
          <w:color w:val="auto"/>
          <w:sz w:val="24"/>
          <w:highlight w:val="none"/>
        </w:rPr>
        <w:t>7</w:t>
      </w:r>
      <w:r>
        <w:rPr>
          <w:b/>
          <w:bCs/>
          <w:color w:val="auto"/>
          <w:sz w:val="24"/>
          <w:highlight w:val="none"/>
        </w:rPr>
        <w:t>. 选购附件、备件及消耗品（请参考总则第2.2条）</w:t>
      </w:r>
    </w:p>
    <w:p>
      <w:pPr>
        <w:rPr>
          <w:color w:val="auto"/>
          <w:sz w:val="24"/>
          <w:highlight w:val="none"/>
        </w:rPr>
      </w:pPr>
      <w:r>
        <w:rPr>
          <w:rFonts w:hint="eastAsia"/>
          <w:color w:val="auto"/>
          <w:sz w:val="24"/>
          <w:highlight w:val="none"/>
        </w:rPr>
        <w:t>7</w:t>
      </w:r>
      <w:r>
        <w:rPr>
          <w:color w:val="auto"/>
          <w:sz w:val="24"/>
          <w:highlight w:val="none"/>
        </w:rPr>
        <w:t>.1 查询项目</w:t>
      </w:r>
    </w:p>
    <w:p>
      <w:pPr>
        <w:rPr>
          <w:color w:val="auto"/>
          <w:sz w:val="24"/>
          <w:highlight w:val="none"/>
        </w:rPr>
      </w:pPr>
      <w:r>
        <w:rPr>
          <w:rFonts w:hint="eastAsia"/>
          <w:color w:val="auto"/>
          <w:sz w:val="24"/>
          <w:highlight w:val="none"/>
        </w:rPr>
        <w:t>7</w:t>
      </w:r>
      <w:r>
        <w:rPr>
          <w:color w:val="auto"/>
          <w:sz w:val="24"/>
          <w:highlight w:val="none"/>
        </w:rPr>
        <w:t>.1.1</w:t>
      </w:r>
      <w:r>
        <w:rPr>
          <w:rFonts w:hint="eastAsia"/>
          <w:color w:val="auto"/>
          <w:sz w:val="24"/>
          <w:highlight w:val="none"/>
        </w:rPr>
        <w:t>日常所需消耗品清单</w:t>
      </w:r>
      <w:r>
        <w:rPr>
          <w:color w:val="auto"/>
          <w:sz w:val="24"/>
          <w:highlight w:val="none"/>
        </w:rPr>
        <w:t xml:space="preserve"> </w:t>
      </w:r>
    </w:p>
    <w:p>
      <w:pPr>
        <w:rPr>
          <w:color w:val="auto"/>
          <w:sz w:val="24"/>
          <w:highlight w:val="none"/>
        </w:rPr>
      </w:pPr>
      <w:r>
        <w:rPr>
          <w:color w:val="auto"/>
          <w:sz w:val="24"/>
          <w:highlight w:val="none"/>
        </w:rPr>
        <w:t xml:space="preserve">    </w:t>
      </w:r>
    </w:p>
    <w:p>
      <w:pPr>
        <w:rPr>
          <w:color w:val="auto"/>
          <w:sz w:val="24"/>
          <w:highlight w:val="none"/>
        </w:rPr>
      </w:pPr>
      <w:r>
        <w:rPr>
          <w:rFonts w:hint="eastAsia"/>
          <w:b/>
          <w:bCs/>
          <w:color w:val="auto"/>
          <w:sz w:val="24"/>
          <w:highlight w:val="none"/>
        </w:rPr>
        <w:t>8</w:t>
      </w:r>
      <w:r>
        <w:rPr>
          <w:b/>
          <w:bCs/>
          <w:color w:val="auto"/>
          <w:sz w:val="24"/>
          <w:highlight w:val="none"/>
        </w:rPr>
        <w:t>. 技术文件</w:t>
      </w:r>
      <w:r>
        <w:rPr>
          <w:color w:val="auto"/>
          <w:sz w:val="24"/>
          <w:highlight w:val="none"/>
        </w:rPr>
        <w:t>：</w:t>
      </w:r>
      <w:r>
        <w:rPr>
          <w:rFonts w:hint="eastAsia"/>
          <w:color w:val="auto"/>
          <w:sz w:val="24"/>
          <w:highlight w:val="none"/>
        </w:rPr>
        <w:t>提供说明书、建议操作手册、运行维护指南。</w:t>
      </w:r>
    </w:p>
    <w:p>
      <w:pPr>
        <w:spacing w:line="360" w:lineRule="auto"/>
        <w:rPr>
          <w:color w:val="auto"/>
          <w:sz w:val="24"/>
          <w:highlight w:val="none"/>
        </w:rPr>
      </w:pPr>
    </w:p>
    <w:p>
      <w:pPr>
        <w:spacing w:line="360" w:lineRule="auto"/>
        <w:rPr>
          <w:b/>
          <w:color w:val="auto"/>
          <w:sz w:val="24"/>
          <w:highlight w:val="none"/>
        </w:rPr>
      </w:pPr>
      <w:r>
        <w:rPr>
          <w:rFonts w:hint="eastAsia"/>
          <w:b/>
          <w:color w:val="auto"/>
          <w:sz w:val="24"/>
          <w:highlight w:val="none"/>
        </w:rPr>
        <w:t>（二）质保及售后服务：</w:t>
      </w:r>
    </w:p>
    <w:p>
      <w:pPr>
        <w:spacing w:line="360" w:lineRule="auto"/>
        <w:rPr>
          <w:color w:val="auto"/>
          <w:sz w:val="24"/>
          <w:highlight w:val="none"/>
        </w:rPr>
      </w:pPr>
      <w:r>
        <w:rPr>
          <w:rFonts w:hint="eastAsia"/>
          <w:color w:val="auto"/>
          <w:sz w:val="24"/>
          <w:highlight w:val="none"/>
        </w:rPr>
        <w:t xml:space="preserve">1. </w:t>
      </w:r>
      <w:r>
        <w:rPr>
          <w:color w:val="auto"/>
          <w:sz w:val="24"/>
          <w:highlight w:val="none"/>
        </w:rPr>
        <w:t>免费提供1套详尽的技术资料，包括：产品注册证；产品验收标准、出厂检验合格证书与验收清单；仪器设备技术说明书、应用方案、安装指南、仪器设备详细操作使用说明书、仪器设备标准操作规程与维护规程、仪器设备安装调试资料</w:t>
      </w:r>
      <w:r>
        <w:rPr>
          <w:rFonts w:hint="eastAsia"/>
          <w:color w:val="auto"/>
          <w:sz w:val="24"/>
          <w:highlight w:val="none"/>
        </w:rPr>
        <w:t>。</w:t>
      </w:r>
    </w:p>
    <w:p>
      <w:pPr>
        <w:spacing w:line="360" w:lineRule="auto"/>
        <w:rPr>
          <w:color w:val="auto"/>
          <w:sz w:val="24"/>
          <w:highlight w:val="none"/>
        </w:rPr>
      </w:pPr>
      <w:r>
        <w:rPr>
          <w:rFonts w:hint="eastAsia"/>
          <w:color w:val="auto"/>
          <w:sz w:val="24"/>
          <w:highlight w:val="none"/>
        </w:rPr>
        <w:t xml:space="preserve">2. </w:t>
      </w:r>
      <w:r>
        <w:rPr>
          <w:color w:val="auto"/>
          <w:sz w:val="24"/>
          <w:highlight w:val="none"/>
        </w:rPr>
        <w:t>仪器将于合同约定的时间内到货，售后服务工程师于七个工作日内（或其它客户约定的时间）现场开箱验收安装。供货商免费提供安装和调试所需的专用工具和辅助材料，并提供装机验证服务。根据合同要求及仪器设备本身标注的性能，仪器设备在指定地点和环境下，免费完成所有安装、调试工作并实现正常运行，达到标书要求的性能和产品技术规格中的性能。供货商免费提供内容详实、完整、有效的仪器设备验证指导文件范本。设备的安装调试应由厂家有经验的工程技术人员到现场进行实施，同时必须在采购方技术人员在场的情况下进行，直至验收合格；</w:t>
      </w:r>
    </w:p>
    <w:p>
      <w:pPr>
        <w:spacing w:line="360" w:lineRule="auto"/>
        <w:rPr>
          <w:color w:val="auto"/>
          <w:sz w:val="24"/>
          <w:highlight w:val="none"/>
        </w:rPr>
      </w:pPr>
      <w:r>
        <w:rPr>
          <w:rFonts w:hint="eastAsia"/>
          <w:color w:val="auto"/>
          <w:sz w:val="24"/>
          <w:highlight w:val="none"/>
        </w:rPr>
        <w:t xml:space="preserve">3. </w:t>
      </w:r>
      <w:r>
        <w:rPr>
          <w:color w:val="auto"/>
          <w:sz w:val="24"/>
          <w:highlight w:val="none"/>
        </w:rPr>
        <w:t>技术培训</w:t>
      </w:r>
    </w:p>
    <w:p>
      <w:pPr>
        <w:spacing w:line="360" w:lineRule="auto"/>
        <w:rPr>
          <w:color w:val="auto"/>
          <w:sz w:val="24"/>
          <w:highlight w:val="none"/>
        </w:rPr>
      </w:pPr>
      <w:r>
        <w:rPr>
          <w:rFonts w:hint="eastAsia"/>
          <w:color w:val="auto"/>
          <w:sz w:val="24"/>
          <w:highlight w:val="none"/>
        </w:rPr>
        <w:t>培训地点：用户项目现场；培训时间：首次设备安装调试完毕及二次安装调试后；师资配备：资深的技术工程师；学员数量：</w:t>
      </w:r>
      <w:r>
        <w:rPr>
          <w:color w:val="auto"/>
          <w:sz w:val="24"/>
          <w:highlight w:val="none"/>
        </w:rPr>
        <w:t>3-5人；经费预算：免费；培训内容：包括最新技术的解读，仪器功能、应用、基本原理、操作方法、数据处理、仪器基本维护等，使培训人员能够正确、熟练的操作及掌握仪器简易、常见故障的判别及排除、维修等；</w:t>
      </w:r>
    </w:p>
    <w:p>
      <w:pPr>
        <w:spacing w:line="360" w:lineRule="auto"/>
        <w:rPr>
          <w:color w:val="auto"/>
          <w:sz w:val="24"/>
          <w:highlight w:val="none"/>
        </w:rPr>
      </w:pPr>
      <w:r>
        <w:rPr>
          <w:rFonts w:hint="eastAsia"/>
          <w:color w:val="auto"/>
          <w:sz w:val="24"/>
          <w:highlight w:val="none"/>
        </w:rPr>
        <w:t xml:space="preserve">4. </w:t>
      </w:r>
      <w:r>
        <w:rPr>
          <w:color w:val="auto"/>
          <w:sz w:val="24"/>
          <w:highlight w:val="none"/>
        </w:rPr>
        <w:t>质保期：自设备安装验收合格后，质保1年。质保期内，免费提供配件与维修服务；保修期满前1个月内卖方应负责一次免费全面检查，并写出正式报告，如发现潜在问题，应负责排除；</w:t>
      </w:r>
    </w:p>
    <w:p>
      <w:pPr>
        <w:spacing w:line="360" w:lineRule="auto"/>
        <w:rPr>
          <w:color w:val="auto"/>
          <w:sz w:val="24"/>
          <w:highlight w:val="none"/>
        </w:rPr>
      </w:pPr>
      <w:r>
        <w:rPr>
          <w:rFonts w:hint="eastAsia"/>
          <w:color w:val="auto"/>
          <w:sz w:val="24"/>
          <w:highlight w:val="none"/>
        </w:rPr>
        <w:t xml:space="preserve">5. </w:t>
      </w:r>
      <w:r>
        <w:rPr>
          <w:color w:val="auto"/>
          <w:sz w:val="24"/>
          <w:highlight w:val="none"/>
        </w:rPr>
        <w:t>提供设备易损件主要配件报价单，并承诺在质保期满后按最优价格提供相关配件供应和维修服务；</w:t>
      </w:r>
    </w:p>
    <w:p>
      <w:pPr>
        <w:spacing w:line="360" w:lineRule="auto"/>
        <w:rPr>
          <w:color w:val="auto"/>
          <w:sz w:val="24"/>
          <w:highlight w:val="none"/>
        </w:rPr>
      </w:pPr>
      <w:r>
        <w:rPr>
          <w:rFonts w:hint="eastAsia"/>
          <w:color w:val="auto"/>
          <w:sz w:val="24"/>
          <w:highlight w:val="none"/>
        </w:rPr>
        <w:t xml:space="preserve">6. </w:t>
      </w:r>
      <w:r>
        <w:rPr>
          <w:color w:val="auto"/>
          <w:sz w:val="24"/>
          <w:highlight w:val="none"/>
        </w:rPr>
        <w:t>维修及应用技术支持响应时间：</w:t>
      </w:r>
      <w:r>
        <w:rPr>
          <w:rFonts w:hint="eastAsia"/>
          <w:color w:val="auto"/>
          <w:sz w:val="24"/>
          <w:highlight w:val="none"/>
        </w:rPr>
        <w:t>供应商</w:t>
      </w:r>
      <w:r>
        <w:rPr>
          <w:color w:val="auto"/>
          <w:sz w:val="24"/>
          <w:highlight w:val="none"/>
        </w:rPr>
        <w:t>应在24小时内对用户的服务要求作出响应，一般问题应在48小时内解决，重大问题或其它无法迅速解决的问题应在一周内解决或提出明确解决方案，否则</w:t>
      </w:r>
      <w:r>
        <w:rPr>
          <w:rFonts w:hint="eastAsia"/>
          <w:color w:val="auto"/>
          <w:sz w:val="24"/>
          <w:highlight w:val="none"/>
        </w:rPr>
        <w:t>供应商</w:t>
      </w:r>
      <w:r>
        <w:rPr>
          <w:color w:val="auto"/>
          <w:sz w:val="24"/>
          <w:highlight w:val="none"/>
        </w:rPr>
        <w:t>应赔偿相应损失；质保期内维修及应用技术支持免费；</w:t>
      </w:r>
    </w:p>
    <w:p>
      <w:pPr>
        <w:spacing w:line="360" w:lineRule="auto"/>
        <w:rPr>
          <w:color w:val="auto"/>
          <w:sz w:val="24"/>
          <w:highlight w:val="none"/>
        </w:rPr>
      </w:pPr>
    </w:p>
    <w:p>
      <w:pPr>
        <w:spacing w:line="360" w:lineRule="auto"/>
        <w:rPr>
          <w:b/>
          <w:color w:val="auto"/>
          <w:sz w:val="24"/>
          <w:highlight w:val="none"/>
        </w:rPr>
      </w:pPr>
      <w:r>
        <w:rPr>
          <w:rFonts w:hint="eastAsia"/>
          <w:b/>
          <w:color w:val="auto"/>
          <w:sz w:val="24"/>
          <w:highlight w:val="none"/>
        </w:rPr>
        <w:t>（三） 订货数量：</w:t>
      </w:r>
    </w:p>
    <w:p>
      <w:pPr>
        <w:spacing w:line="360" w:lineRule="auto"/>
        <w:ind w:firstLine="240" w:firstLineChars="100"/>
        <w:rPr>
          <w:color w:val="auto"/>
          <w:sz w:val="24"/>
          <w:highlight w:val="none"/>
        </w:rPr>
      </w:pPr>
      <w:r>
        <w:rPr>
          <w:rFonts w:hint="eastAsia"/>
          <w:color w:val="auto"/>
          <w:sz w:val="24"/>
          <w:highlight w:val="none"/>
        </w:rPr>
        <w:t xml:space="preserve"> 1套</w:t>
      </w:r>
    </w:p>
    <w:p>
      <w:pPr>
        <w:spacing w:line="360" w:lineRule="auto"/>
        <w:rPr>
          <w:color w:val="auto"/>
          <w:sz w:val="24"/>
          <w:highlight w:val="none"/>
        </w:rPr>
      </w:pPr>
    </w:p>
    <w:p>
      <w:pPr>
        <w:spacing w:line="360" w:lineRule="auto"/>
        <w:rPr>
          <w:b/>
          <w:color w:val="auto"/>
          <w:sz w:val="24"/>
          <w:highlight w:val="none"/>
        </w:rPr>
      </w:pPr>
      <w:r>
        <w:rPr>
          <w:rFonts w:hint="eastAsia"/>
          <w:b/>
          <w:color w:val="auto"/>
          <w:sz w:val="24"/>
          <w:highlight w:val="none"/>
        </w:rPr>
        <w:t>（四） 目的港：</w:t>
      </w:r>
    </w:p>
    <w:p>
      <w:pPr>
        <w:spacing w:line="360" w:lineRule="auto"/>
        <w:ind w:firstLine="240"/>
        <w:rPr>
          <w:color w:val="auto"/>
          <w:sz w:val="24"/>
          <w:highlight w:val="none"/>
        </w:rPr>
      </w:pPr>
      <w:r>
        <w:rPr>
          <w:rFonts w:hint="eastAsia"/>
          <w:color w:val="auto"/>
          <w:sz w:val="24"/>
          <w:highlight w:val="none"/>
        </w:rPr>
        <w:t>北京机场</w:t>
      </w:r>
    </w:p>
    <w:p>
      <w:pPr>
        <w:spacing w:line="360" w:lineRule="auto"/>
        <w:rPr>
          <w:color w:val="auto"/>
          <w:sz w:val="24"/>
          <w:highlight w:val="none"/>
        </w:rPr>
      </w:pPr>
    </w:p>
    <w:p>
      <w:pPr>
        <w:spacing w:line="360" w:lineRule="auto"/>
        <w:rPr>
          <w:b/>
          <w:color w:val="auto"/>
          <w:sz w:val="24"/>
          <w:highlight w:val="none"/>
        </w:rPr>
      </w:pPr>
      <w:r>
        <w:rPr>
          <w:rFonts w:hint="eastAsia"/>
          <w:b/>
          <w:color w:val="auto"/>
          <w:sz w:val="24"/>
          <w:highlight w:val="none"/>
        </w:rPr>
        <w:t>（五）交货日期：</w:t>
      </w:r>
    </w:p>
    <w:p>
      <w:pPr>
        <w:spacing w:line="360" w:lineRule="auto"/>
        <w:rPr>
          <w:color w:val="auto"/>
          <w:sz w:val="24"/>
          <w:highlight w:val="none"/>
        </w:rPr>
      </w:pPr>
      <w:r>
        <w:rPr>
          <w:rFonts w:hint="eastAsia"/>
          <w:color w:val="auto"/>
          <w:sz w:val="24"/>
          <w:highlight w:val="none"/>
        </w:rPr>
        <w:t xml:space="preserve">   合同生效后4个月                                           </w:t>
      </w:r>
    </w:p>
    <w:p>
      <w:pPr>
        <w:spacing w:line="360" w:lineRule="auto"/>
        <w:rPr>
          <w:color w:val="auto"/>
          <w:sz w:val="24"/>
          <w:highlight w:val="none"/>
        </w:rPr>
      </w:pPr>
    </w:p>
    <w:p>
      <w:pPr>
        <w:spacing w:line="360" w:lineRule="auto"/>
        <w:rPr>
          <w:b/>
          <w:color w:val="auto"/>
          <w:sz w:val="24"/>
          <w:highlight w:val="none"/>
        </w:rPr>
      </w:pPr>
      <w:r>
        <w:rPr>
          <w:rFonts w:hint="eastAsia"/>
          <w:b/>
          <w:color w:val="auto"/>
          <w:sz w:val="24"/>
          <w:highlight w:val="none"/>
        </w:rPr>
        <w:t>（六）执行的相关标准</w:t>
      </w:r>
    </w:p>
    <w:p>
      <w:pPr>
        <w:spacing w:line="360" w:lineRule="auto"/>
        <w:rPr>
          <w:rFonts w:ascii="inherit" w:hAnsi="inherit" w:cs="宋体"/>
          <w:color w:val="auto"/>
          <w:kern w:val="0"/>
          <w:sz w:val="24"/>
          <w:highlight w:val="none"/>
        </w:rPr>
      </w:pPr>
      <w:r>
        <w:rPr>
          <w:rFonts w:hint="eastAsia" w:ascii="inherit" w:hAnsi="inherit" w:cs="宋体"/>
          <w:color w:val="auto"/>
          <w:kern w:val="0"/>
          <w:sz w:val="24"/>
          <w:highlight w:val="none"/>
        </w:rPr>
        <w:t>无</w:t>
      </w:r>
    </w:p>
    <w:p>
      <w:pPr>
        <w:spacing w:line="360" w:lineRule="auto"/>
        <w:rPr>
          <w:rFonts w:ascii="inherit" w:hAnsi="inherit" w:cs="宋体"/>
          <w:color w:val="auto"/>
          <w:kern w:val="0"/>
          <w:sz w:val="24"/>
          <w:highlight w:val="none"/>
        </w:rPr>
      </w:pPr>
    </w:p>
    <w:p>
      <w:pPr>
        <w:spacing w:line="360" w:lineRule="auto"/>
        <w:rPr>
          <w:b/>
          <w:bCs/>
          <w:color w:val="auto"/>
          <w:sz w:val="24"/>
          <w:highlight w:val="none"/>
        </w:rPr>
      </w:pPr>
      <w:r>
        <w:rPr>
          <w:b/>
          <w:bCs/>
          <w:color w:val="auto"/>
          <w:sz w:val="24"/>
          <w:highlight w:val="none"/>
        </w:rPr>
        <w:t>（</w:t>
      </w:r>
      <w:r>
        <w:rPr>
          <w:rFonts w:hint="eastAsia"/>
          <w:b/>
          <w:bCs/>
          <w:color w:val="auto"/>
          <w:sz w:val="24"/>
          <w:highlight w:val="none"/>
        </w:rPr>
        <w:t>七</w:t>
      </w:r>
      <w:r>
        <w:rPr>
          <w:b/>
          <w:bCs/>
          <w:color w:val="auto"/>
          <w:sz w:val="24"/>
          <w:highlight w:val="none"/>
        </w:rPr>
        <w:t>）</w:t>
      </w:r>
      <w:r>
        <w:rPr>
          <w:b/>
          <w:bCs/>
          <w:color w:val="auto"/>
          <w:sz w:val="24"/>
          <w:highlight w:val="none"/>
        </w:rPr>
        <w:tab/>
      </w:r>
      <w:r>
        <w:rPr>
          <w:b/>
          <w:bCs/>
          <w:color w:val="auto"/>
          <w:sz w:val="24"/>
          <w:highlight w:val="none"/>
        </w:rPr>
        <w:t>验收要求</w:t>
      </w:r>
    </w:p>
    <w:p>
      <w:pPr>
        <w:spacing w:line="360" w:lineRule="auto"/>
        <w:rPr>
          <w:color w:val="auto"/>
          <w:sz w:val="24"/>
          <w:highlight w:val="none"/>
        </w:rPr>
      </w:pPr>
      <w:r>
        <w:rPr>
          <w:color w:val="auto"/>
          <w:sz w:val="24"/>
          <w:highlight w:val="none"/>
        </w:rPr>
        <w:t>*1.</w:t>
      </w:r>
      <w:r>
        <w:rPr>
          <w:color w:val="auto"/>
          <w:sz w:val="24"/>
          <w:highlight w:val="none"/>
        </w:rPr>
        <w:tab/>
      </w:r>
      <w:r>
        <w:rPr>
          <w:color w:val="auto"/>
          <w:sz w:val="24"/>
          <w:highlight w:val="none"/>
        </w:rPr>
        <w:t>设备的配置、功能和技术指标必须满足招标文件要求，所有技术指标必须能够现场验收或提供第三方权威机构的证明材料，</w:t>
      </w:r>
      <w:r>
        <w:rPr>
          <w:b/>
          <w:bCs/>
          <w:color w:val="auto"/>
          <w:sz w:val="24"/>
          <w:highlight w:val="none"/>
        </w:rPr>
        <w:t>投标商需在投标文件中提供完备的现场验收方案，</w:t>
      </w:r>
      <w:r>
        <w:rPr>
          <w:rFonts w:hint="eastAsia"/>
          <w:b/>
          <w:bCs/>
          <w:color w:val="auto"/>
          <w:sz w:val="24"/>
          <w:highlight w:val="none"/>
        </w:rPr>
        <w:t>未提交现场验收方案将作为废标处理</w:t>
      </w:r>
      <w:r>
        <w:rPr>
          <w:color w:val="auto"/>
          <w:sz w:val="24"/>
          <w:highlight w:val="none"/>
        </w:rPr>
        <w:t>。</w:t>
      </w:r>
    </w:p>
    <w:p>
      <w:pPr>
        <w:widowControl/>
        <w:spacing w:line="360" w:lineRule="atLeast"/>
        <w:rPr>
          <w:rFonts w:ascii="宋体" w:hAnsi="宋体"/>
          <w:b/>
          <w:color w:val="auto"/>
          <w:sz w:val="30"/>
          <w:szCs w:val="30"/>
          <w:highlight w:val="none"/>
        </w:rPr>
      </w:pPr>
      <w:bookmarkStart w:id="1" w:name="_Hlk139638902"/>
      <w:r>
        <w:rPr>
          <w:color w:val="auto"/>
          <w:sz w:val="24"/>
          <w:highlight w:val="none"/>
        </w:rPr>
        <w:t>#2.</w:t>
      </w:r>
      <w:r>
        <w:rPr>
          <w:color w:val="auto"/>
          <w:sz w:val="24"/>
          <w:highlight w:val="none"/>
        </w:rPr>
        <w:tab/>
      </w:r>
      <w:bookmarkEnd w:id="1"/>
      <w:r>
        <w:rPr>
          <w:color w:val="auto"/>
          <w:sz w:val="24"/>
          <w:highlight w:val="none"/>
        </w:rPr>
        <w:t>技术指标现场验收方案科学</w:t>
      </w:r>
      <w:r>
        <w:rPr>
          <w:rFonts w:hint="eastAsia"/>
          <w:color w:val="auto"/>
          <w:sz w:val="24"/>
          <w:highlight w:val="none"/>
        </w:rPr>
        <w:t>、</w:t>
      </w:r>
      <w:r>
        <w:rPr>
          <w:color w:val="auto"/>
          <w:sz w:val="24"/>
          <w:highlight w:val="none"/>
        </w:rPr>
        <w:t>合理</w:t>
      </w:r>
      <w:r>
        <w:rPr>
          <w:rFonts w:hint="eastAsia"/>
          <w:color w:val="auto"/>
          <w:sz w:val="24"/>
          <w:highlight w:val="none"/>
        </w:rPr>
        <w:t>，具有</w:t>
      </w:r>
      <w:r>
        <w:rPr>
          <w:color w:val="auto"/>
          <w:sz w:val="24"/>
          <w:highlight w:val="none"/>
        </w:rPr>
        <w:t>可行性。</w:t>
      </w:r>
      <w:r>
        <w:rPr>
          <w:rFonts w:hint="eastAsia"/>
          <w:color w:val="auto"/>
          <w:sz w:val="24"/>
          <w:highlight w:val="none"/>
        </w:rPr>
        <w:t>其中#号和*号指标项必须提供检测方法、所用设备、材料和试剂、验收流程、结果表述及是否达到要求的判断方法等。</w:t>
      </w:r>
    </w:p>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altName w:val="Segoe Print"/>
    <w:panose1 w:val="02050604050505020204"/>
    <w:charset w:val="00"/>
    <w:family w:val="roman"/>
    <w:pitch w:val="default"/>
    <w:sig w:usb0="00000000" w:usb1="00000000" w:usb2="00000000" w:usb3="00000000" w:csb0="0000009F" w:csb1="00000000"/>
  </w:font>
  <w:font w:name="inherit">
    <w:altName w:val="Times New Roman"/>
    <w:panose1 w:val="00000000000000000000"/>
    <w:charset w:val="00"/>
    <w:family w:val="roman"/>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r>
      <w:fldChar w:fldCharType="begin"/>
    </w:r>
    <w:r>
      <w:instrText xml:space="preserve">PAGE   \* MERGEFORMAT</w:instrText>
    </w:r>
    <w:r>
      <w:fldChar w:fldCharType="separate"/>
    </w:r>
    <w:r>
      <w:rPr>
        <w:lang w:val="zh-CN"/>
      </w:rPr>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both"/>
    </w:pPr>
    <w:r>
      <w:rPr>
        <w:rFonts w:hint="eastAsia"/>
        <w:i/>
      </w:rPr>
      <w:t>东方国际招标有限责任公司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E4NzdlZGU5MzMwZmQwMTQwY2ViYTFlNWQ5ZGM5ZTYifQ=="/>
  </w:docVars>
  <w:rsids>
    <w:rsidRoot w:val="00FA3835"/>
    <w:rsid w:val="000050A2"/>
    <w:rsid w:val="00027C8D"/>
    <w:rsid w:val="00040005"/>
    <w:rsid w:val="000543E7"/>
    <w:rsid w:val="0006010D"/>
    <w:rsid w:val="000668DC"/>
    <w:rsid w:val="00081ADD"/>
    <w:rsid w:val="000969BB"/>
    <w:rsid w:val="000973D2"/>
    <w:rsid w:val="000B12EC"/>
    <w:rsid w:val="000B636A"/>
    <w:rsid w:val="000C1F98"/>
    <w:rsid w:val="000C325D"/>
    <w:rsid w:val="000C505C"/>
    <w:rsid w:val="000D1A3C"/>
    <w:rsid w:val="000E0B0C"/>
    <w:rsid w:val="000E17D4"/>
    <w:rsid w:val="000E4DA9"/>
    <w:rsid w:val="000F0512"/>
    <w:rsid w:val="000F4571"/>
    <w:rsid w:val="00103352"/>
    <w:rsid w:val="00105333"/>
    <w:rsid w:val="00107AF4"/>
    <w:rsid w:val="001140D0"/>
    <w:rsid w:val="001235CA"/>
    <w:rsid w:val="00137D93"/>
    <w:rsid w:val="001437EA"/>
    <w:rsid w:val="00144505"/>
    <w:rsid w:val="00144DDA"/>
    <w:rsid w:val="0014761F"/>
    <w:rsid w:val="00153F11"/>
    <w:rsid w:val="00154F47"/>
    <w:rsid w:val="00155A34"/>
    <w:rsid w:val="00164E27"/>
    <w:rsid w:val="001921CA"/>
    <w:rsid w:val="00194900"/>
    <w:rsid w:val="001A0E56"/>
    <w:rsid w:val="001A6E63"/>
    <w:rsid w:val="001B195C"/>
    <w:rsid w:val="001B62CC"/>
    <w:rsid w:val="001B66E1"/>
    <w:rsid w:val="001B6E57"/>
    <w:rsid w:val="001D7301"/>
    <w:rsid w:val="001E1467"/>
    <w:rsid w:val="001E152C"/>
    <w:rsid w:val="001E257D"/>
    <w:rsid w:val="001E3480"/>
    <w:rsid w:val="001F18B7"/>
    <w:rsid w:val="001F1D2B"/>
    <w:rsid w:val="001F5FAD"/>
    <w:rsid w:val="001F79B6"/>
    <w:rsid w:val="002024C7"/>
    <w:rsid w:val="00206639"/>
    <w:rsid w:val="0021259E"/>
    <w:rsid w:val="00213C28"/>
    <w:rsid w:val="00224FE7"/>
    <w:rsid w:val="00233C8A"/>
    <w:rsid w:val="00240E7B"/>
    <w:rsid w:val="00247ED0"/>
    <w:rsid w:val="00251DB7"/>
    <w:rsid w:val="00275598"/>
    <w:rsid w:val="002761A3"/>
    <w:rsid w:val="0028124D"/>
    <w:rsid w:val="00282A80"/>
    <w:rsid w:val="00282F14"/>
    <w:rsid w:val="00292E0B"/>
    <w:rsid w:val="002B44BD"/>
    <w:rsid w:val="002B6E7A"/>
    <w:rsid w:val="002B7380"/>
    <w:rsid w:val="002D5C47"/>
    <w:rsid w:val="002E03AA"/>
    <w:rsid w:val="002E6A76"/>
    <w:rsid w:val="002F1704"/>
    <w:rsid w:val="002F6FCA"/>
    <w:rsid w:val="002F7EF8"/>
    <w:rsid w:val="00301191"/>
    <w:rsid w:val="00322611"/>
    <w:rsid w:val="003248D5"/>
    <w:rsid w:val="00326D72"/>
    <w:rsid w:val="0033189B"/>
    <w:rsid w:val="003442AE"/>
    <w:rsid w:val="0034443A"/>
    <w:rsid w:val="003474B8"/>
    <w:rsid w:val="00353E66"/>
    <w:rsid w:val="00357C16"/>
    <w:rsid w:val="003637C6"/>
    <w:rsid w:val="00366962"/>
    <w:rsid w:val="003732CC"/>
    <w:rsid w:val="00373B63"/>
    <w:rsid w:val="00374F9A"/>
    <w:rsid w:val="00382C0C"/>
    <w:rsid w:val="00397F24"/>
    <w:rsid w:val="003A298A"/>
    <w:rsid w:val="003B4F45"/>
    <w:rsid w:val="003B6193"/>
    <w:rsid w:val="003C172D"/>
    <w:rsid w:val="003C7092"/>
    <w:rsid w:val="003C785A"/>
    <w:rsid w:val="003D2B81"/>
    <w:rsid w:val="003F5F7A"/>
    <w:rsid w:val="004043A2"/>
    <w:rsid w:val="00404EA5"/>
    <w:rsid w:val="00415144"/>
    <w:rsid w:val="00420D92"/>
    <w:rsid w:val="0042297A"/>
    <w:rsid w:val="004362C7"/>
    <w:rsid w:val="0044106E"/>
    <w:rsid w:val="00446E68"/>
    <w:rsid w:val="00447503"/>
    <w:rsid w:val="0046038A"/>
    <w:rsid w:val="00471176"/>
    <w:rsid w:val="00484FF8"/>
    <w:rsid w:val="004A0EB1"/>
    <w:rsid w:val="004A3B49"/>
    <w:rsid w:val="004A5C14"/>
    <w:rsid w:val="004B3476"/>
    <w:rsid w:val="004B36B8"/>
    <w:rsid w:val="004C387C"/>
    <w:rsid w:val="004D0AB9"/>
    <w:rsid w:val="004E042A"/>
    <w:rsid w:val="004E4504"/>
    <w:rsid w:val="004F0FDE"/>
    <w:rsid w:val="004F3E07"/>
    <w:rsid w:val="00504FD3"/>
    <w:rsid w:val="00511C45"/>
    <w:rsid w:val="00512882"/>
    <w:rsid w:val="005143FF"/>
    <w:rsid w:val="00516FEB"/>
    <w:rsid w:val="005244F5"/>
    <w:rsid w:val="00524665"/>
    <w:rsid w:val="00543C0A"/>
    <w:rsid w:val="0054699B"/>
    <w:rsid w:val="005515EB"/>
    <w:rsid w:val="0055226E"/>
    <w:rsid w:val="00552E7C"/>
    <w:rsid w:val="005601D0"/>
    <w:rsid w:val="005613B2"/>
    <w:rsid w:val="0056304A"/>
    <w:rsid w:val="0057066D"/>
    <w:rsid w:val="00572671"/>
    <w:rsid w:val="0057586B"/>
    <w:rsid w:val="00591688"/>
    <w:rsid w:val="005916DF"/>
    <w:rsid w:val="00595627"/>
    <w:rsid w:val="00595D3F"/>
    <w:rsid w:val="00595EAC"/>
    <w:rsid w:val="005A2F5B"/>
    <w:rsid w:val="005A52D6"/>
    <w:rsid w:val="005C574A"/>
    <w:rsid w:val="005D09A0"/>
    <w:rsid w:val="005D479D"/>
    <w:rsid w:val="005E416B"/>
    <w:rsid w:val="005E7A21"/>
    <w:rsid w:val="005F24B2"/>
    <w:rsid w:val="0060103A"/>
    <w:rsid w:val="00602911"/>
    <w:rsid w:val="00602A7A"/>
    <w:rsid w:val="0060509A"/>
    <w:rsid w:val="006125F5"/>
    <w:rsid w:val="00612A9B"/>
    <w:rsid w:val="00614D00"/>
    <w:rsid w:val="006225E2"/>
    <w:rsid w:val="0062676A"/>
    <w:rsid w:val="00640DB1"/>
    <w:rsid w:val="006416E9"/>
    <w:rsid w:val="0064545D"/>
    <w:rsid w:val="00646C82"/>
    <w:rsid w:val="00647CD5"/>
    <w:rsid w:val="006525FE"/>
    <w:rsid w:val="006548A6"/>
    <w:rsid w:val="00655478"/>
    <w:rsid w:val="00664D7F"/>
    <w:rsid w:val="006A377B"/>
    <w:rsid w:val="006B0930"/>
    <w:rsid w:val="006C4384"/>
    <w:rsid w:val="006C5135"/>
    <w:rsid w:val="006C546E"/>
    <w:rsid w:val="006D29F2"/>
    <w:rsid w:val="006E2DE0"/>
    <w:rsid w:val="006E5A8E"/>
    <w:rsid w:val="0070081C"/>
    <w:rsid w:val="00712BFE"/>
    <w:rsid w:val="0071653B"/>
    <w:rsid w:val="00721985"/>
    <w:rsid w:val="00724C84"/>
    <w:rsid w:val="007252A8"/>
    <w:rsid w:val="00725C0A"/>
    <w:rsid w:val="0073119D"/>
    <w:rsid w:val="0073199C"/>
    <w:rsid w:val="007376B0"/>
    <w:rsid w:val="00740508"/>
    <w:rsid w:val="00743776"/>
    <w:rsid w:val="00751428"/>
    <w:rsid w:val="0075674B"/>
    <w:rsid w:val="00761F2B"/>
    <w:rsid w:val="00763B74"/>
    <w:rsid w:val="007731D0"/>
    <w:rsid w:val="00775B16"/>
    <w:rsid w:val="00785A0A"/>
    <w:rsid w:val="00787CED"/>
    <w:rsid w:val="007967F8"/>
    <w:rsid w:val="007A3772"/>
    <w:rsid w:val="007C2696"/>
    <w:rsid w:val="007C4C31"/>
    <w:rsid w:val="007C5EA5"/>
    <w:rsid w:val="007D381E"/>
    <w:rsid w:val="007D3EE2"/>
    <w:rsid w:val="007E03CA"/>
    <w:rsid w:val="007E6193"/>
    <w:rsid w:val="007F2F97"/>
    <w:rsid w:val="007F387D"/>
    <w:rsid w:val="007F7152"/>
    <w:rsid w:val="008203E6"/>
    <w:rsid w:val="00822633"/>
    <w:rsid w:val="00830107"/>
    <w:rsid w:val="00831B02"/>
    <w:rsid w:val="00833174"/>
    <w:rsid w:val="00846609"/>
    <w:rsid w:val="00852958"/>
    <w:rsid w:val="00864F77"/>
    <w:rsid w:val="008661F8"/>
    <w:rsid w:val="008712FA"/>
    <w:rsid w:val="00876AA9"/>
    <w:rsid w:val="00876EFF"/>
    <w:rsid w:val="00883AB2"/>
    <w:rsid w:val="008861B2"/>
    <w:rsid w:val="00896377"/>
    <w:rsid w:val="008A09F5"/>
    <w:rsid w:val="008A4B18"/>
    <w:rsid w:val="008A738C"/>
    <w:rsid w:val="008B2645"/>
    <w:rsid w:val="008B4BBB"/>
    <w:rsid w:val="008C36D3"/>
    <w:rsid w:val="008D0675"/>
    <w:rsid w:val="008D1425"/>
    <w:rsid w:val="008D3BC8"/>
    <w:rsid w:val="008D6F23"/>
    <w:rsid w:val="008E5EB5"/>
    <w:rsid w:val="008F04C7"/>
    <w:rsid w:val="008F21A5"/>
    <w:rsid w:val="008F2440"/>
    <w:rsid w:val="00914619"/>
    <w:rsid w:val="009202C8"/>
    <w:rsid w:val="009246BA"/>
    <w:rsid w:val="00930CDE"/>
    <w:rsid w:val="00935AA1"/>
    <w:rsid w:val="009451DC"/>
    <w:rsid w:val="009467F2"/>
    <w:rsid w:val="0095655E"/>
    <w:rsid w:val="009718ED"/>
    <w:rsid w:val="0097297B"/>
    <w:rsid w:val="0098154C"/>
    <w:rsid w:val="0098549E"/>
    <w:rsid w:val="009857EF"/>
    <w:rsid w:val="009941D8"/>
    <w:rsid w:val="009A2C18"/>
    <w:rsid w:val="009C0A0B"/>
    <w:rsid w:val="009C14BD"/>
    <w:rsid w:val="009D1AF8"/>
    <w:rsid w:val="009E1C84"/>
    <w:rsid w:val="009E32D4"/>
    <w:rsid w:val="009E4080"/>
    <w:rsid w:val="009E4DCB"/>
    <w:rsid w:val="009E580F"/>
    <w:rsid w:val="009F5A6A"/>
    <w:rsid w:val="00A0205F"/>
    <w:rsid w:val="00A04E9D"/>
    <w:rsid w:val="00A06893"/>
    <w:rsid w:val="00A21886"/>
    <w:rsid w:val="00A25682"/>
    <w:rsid w:val="00A2638C"/>
    <w:rsid w:val="00A27417"/>
    <w:rsid w:val="00A27AFD"/>
    <w:rsid w:val="00A354A8"/>
    <w:rsid w:val="00A4031E"/>
    <w:rsid w:val="00A44A2B"/>
    <w:rsid w:val="00A46F60"/>
    <w:rsid w:val="00A53234"/>
    <w:rsid w:val="00A57F47"/>
    <w:rsid w:val="00AA7A0D"/>
    <w:rsid w:val="00AB113B"/>
    <w:rsid w:val="00AD2FD2"/>
    <w:rsid w:val="00AD41E6"/>
    <w:rsid w:val="00AD4ECF"/>
    <w:rsid w:val="00AD70C8"/>
    <w:rsid w:val="00AF6067"/>
    <w:rsid w:val="00B07AAD"/>
    <w:rsid w:val="00B15273"/>
    <w:rsid w:val="00B16887"/>
    <w:rsid w:val="00B1746F"/>
    <w:rsid w:val="00B27A2B"/>
    <w:rsid w:val="00B31F00"/>
    <w:rsid w:val="00B351A2"/>
    <w:rsid w:val="00B41959"/>
    <w:rsid w:val="00B42C18"/>
    <w:rsid w:val="00B43CF7"/>
    <w:rsid w:val="00B44327"/>
    <w:rsid w:val="00B53944"/>
    <w:rsid w:val="00B540D2"/>
    <w:rsid w:val="00B61FDD"/>
    <w:rsid w:val="00B75B80"/>
    <w:rsid w:val="00B81149"/>
    <w:rsid w:val="00B8672D"/>
    <w:rsid w:val="00B94FB1"/>
    <w:rsid w:val="00BC7FBC"/>
    <w:rsid w:val="00BD11D6"/>
    <w:rsid w:val="00BD2A3B"/>
    <w:rsid w:val="00BD646D"/>
    <w:rsid w:val="00BD6A33"/>
    <w:rsid w:val="00BD7ED0"/>
    <w:rsid w:val="00BE5E06"/>
    <w:rsid w:val="00BE643E"/>
    <w:rsid w:val="00BE7CED"/>
    <w:rsid w:val="00BF59BF"/>
    <w:rsid w:val="00C056B5"/>
    <w:rsid w:val="00C10630"/>
    <w:rsid w:val="00C12939"/>
    <w:rsid w:val="00C14E3B"/>
    <w:rsid w:val="00C23BA4"/>
    <w:rsid w:val="00C241B2"/>
    <w:rsid w:val="00C34485"/>
    <w:rsid w:val="00C40AB3"/>
    <w:rsid w:val="00C43805"/>
    <w:rsid w:val="00C43E24"/>
    <w:rsid w:val="00C45235"/>
    <w:rsid w:val="00C60EF2"/>
    <w:rsid w:val="00C615B2"/>
    <w:rsid w:val="00C702F0"/>
    <w:rsid w:val="00C74553"/>
    <w:rsid w:val="00C77E1C"/>
    <w:rsid w:val="00C8112C"/>
    <w:rsid w:val="00C87EF4"/>
    <w:rsid w:val="00CA623E"/>
    <w:rsid w:val="00CA630F"/>
    <w:rsid w:val="00CB4EB2"/>
    <w:rsid w:val="00CB7A41"/>
    <w:rsid w:val="00CC7A0B"/>
    <w:rsid w:val="00CD64CD"/>
    <w:rsid w:val="00CE2041"/>
    <w:rsid w:val="00CE3059"/>
    <w:rsid w:val="00CE4960"/>
    <w:rsid w:val="00CE56FA"/>
    <w:rsid w:val="00CF0912"/>
    <w:rsid w:val="00D0060C"/>
    <w:rsid w:val="00D027B8"/>
    <w:rsid w:val="00D04134"/>
    <w:rsid w:val="00D0571C"/>
    <w:rsid w:val="00D0679B"/>
    <w:rsid w:val="00D11879"/>
    <w:rsid w:val="00D12547"/>
    <w:rsid w:val="00D22D44"/>
    <w:rsid w:val="00D378BA"/>
    <w:rsid w:val="00D40668"/>
    <w:rsid w:val="00D6263A"/>
    <w:rsid w:val="00D778D7"/>
    <w:rsid w:val="00D83934"/>
    <w:rsid w:val="00D861C3"/>
    <w:rsid w:val="00D91A0C"/>
    <w:rsid w:val="00D9239C"/>
    <w:rsid w:val="00D9385E"/>
    <w:rsid w:val="00D95955"/>
    <w:rsid w:val="00D979AB"/>
    <w:rsid w:val="00DA590C"/>
    <w:rsid w:val="00DA703D"/>
    <w:rsid w:val="00DB54CF"/>
    <w:rsid w:val="00DC1546"/>
    <w:rsid w:val="00DD2172"/>
    <w:rsid w:val="00DD4A09"/>
    <w:rsid w:val="00DD4C25"/>
    <w:rsid w:val="00DD6A1F"/>
    <w:rsid w:val="00DE4C00"/>
    <w:rsid w:val="00DE5C67"/>
    <w:rsid w:val="00DF2449"/>
    <w:rsid w:val="00DF7ACF"/>
    <w:rsid w:val="00E004CA"/>
    <w:rsid w:val="00E03391"/>
    <w:rsid w:val="00E0373B"/>
    <w:rsid w:val="00E07308"/>
    <w:rsid w:val="00E179B5"/>
    <w:rsid w:val="00E219C8"/>
    <w:rsid w:val="00E26286"/>
    <w:rsid w:val="00E30AC2"/>
    <w:rsid w:val="00E33D84"/>
    <w:rsid w:val="00E34813"/>
    <w:rsid w:val="00E356D2"/>
    <w:rsid w:val="00E401B3"/>
    <w:rsid w:val="00E458DA"/>
    <w:rsid w:val="00E5687E"/>
    <w:rsid w:val="00E639CC"/>
    <w:rsid w:val="00E63D5B"/>
    <w:rsid w:val="00E671AD"/>
    <w:rsid w:val="00E83E40"/>
    <w:rsid w:val="00E857B8"/>
    <w:rsid w:val="00E907E5"/>
    <w:rsid w:val="00E943B8"/>
    <w:rsid w:val="00EA11F7"/>
    <w:rsid w:val="00EA20B9"/>
    <w:rsid w:val="00EA4549"/>
    <w:rsid w:val="00ED0B37"/>
    <w:rsid w:val="00ED22DF"/>
    <w:rsid w:val="00ED4C66"/>
    <w:rsid w:val="00ED6781"/>
    <w:rsid w:val="00EE4BD8"/>
    <w:rsid w:val="00EF5BA0"/>
    <w:rsid w:val="00F13600"/>
    <w:rsid w:val="00F15FC0"/>
    <w:rsid w:val="00F17042"/>
    <w:rsid w:val="00F175D1"/>
    <w:rsid w:val="00F21DA9"/>
    <w:rsid w:val="00F22A75"/>
    <w:rsid w:val="00F30C1E"/>
    <w:rsid w:val="00F3185D"/>
    <w:rsid w:val="00F35217"/>
    <w:rsid w:val="00F35C50"/>
    <w:rsid w:val="00F42D68"/>
    <w:rsid w:val="00F436FE"/>
    <w:rsid w:val="00F500D2"/>
    <w:rsid w:val="00F51A9D"/>
    <w:rsid w:val="00F542B2"/>
    <w:rsid w:val="00F57792"/>
    <w:rsid w:val="00F60048"/>
    <w:rsid w:val="00F6185A"/>
    <w:rsid w:val="00F64736"/>
    <w:rsid w:val="00F73FE2"/>
    <w:rsid w:val="00F74944"/>
    <w:rsid w:val="00F8497C"/>
    <w:rsid w:val="00F91E41"/>
    <w:rsid w:val="00FA238D"/>
    <w:rsid w:val="00FA3835"/>
    <w:rsid w:val="00FA6816"/>
    <w:rsid w:val="00FB5D79"/>
    <w:rsid w:val="00FE3D91"/>
    <w:rsid w:val="00FE55D2"/>
    <w:rsid w:val="00FF728E"/>
    <w:rsid w:val="01F9035B"/>
    <w:rsid w:val="025874D6"/>
    <w:rsid w:val="05121E5F"/>
    <w:rsid w:val="09A45050"/>
    <w:rsid w:val="0A5B05D9"/>
    <w:rsid w:val="0AE0030A"/>
    <w:rsid w:val="0B363A72"/>
    <w:rsid w:val="0B6E4D18"/>
    <w:rsid w:val="0B927CBA"/>
    <w:rsid w:val="0CD822AF"/>
    <w:rsid w:val="0D136775"/>
    <w:rsid w:val="0D670A0F"/>
    <w:rsid w:val="108300B5"/>
    <w:rsid w:val="10E279BE"/>
    <w:rsid w:val="13353B43"/>
    <w:rsid w:val="13702B73"/>
    <w:rsid w:val="13C105DA"/>
    <w:rsid w:val="14B263F7"/>
    <w:rsid w:val="14BF5570"/>
    <w:rsid w:val="15431BC1"/>
    <w:rsid w:val="1561645F"/>
    <w:rsid w:val="17BD7728"/>
    <w:rsid w:val="188C65D3"/>
    <w:rsid w:val="18B02F9E"/>
    <w:rsid w:val="191B395C"/>
    <w:rsid w:val="19F65454"/>
    <w:rsid w:val="1A04496E"/>
    <w:rsid w:val="1A072577"/>
    <w:rsid w:val="1B9E3D36"/>
    <w:rsid w:val="1C8F2A04"/>
    <w:rsid w:val="1E166652"/>
    <w:rsid w:val="1F783335"/>
    <w:rsid w:val="212C3C3D"/>
    <w:rsid w:val="218B2C39"/>
    <w:rsid w:val="23012161"/>
    <w:rsid w:val="232C78EC"/>
    <w:rsid w:val="243F7370"/>
    <w:rsid w:val="273614A9"/>
    <w:rsid w:val="27433CA3"/>
    <w:rsid w:val="2A8E004C"/>
    <w:rsid w:val="2BD72FFD"/>
    <w:rsid w:val="2D5179CF"/>
    <w:rsid w:val="2E9532DD"/>
    <w:rsid w:val="30D63EBD"/>
    <w:rsid w:val="30DF67EA"/>
    <w:rsid w:val="327F0D3B"/>
    <w:rsid w:val="35C0542C"/>
    <w:rsid w:val="368C042F"/>
    <w:rsid w:val="3AFF33E8"/>
    <w:rsid w:val="3D476359"/>
    <w:rsid w:val="3D9A658C"/>
    <w:rsid w:val="3DE10046"/>
    <w:rsid w:val="3DEE1D80"/>
    <w:rsid w:val="3EA37004"/>
    <w:rsid w:val="3F4177F3"/>
    <w:rsid w:val="413A09A1"/>
    <w:rsid w:val="436A3581"/>
    <w:rsid w:val="43D235D6"/>
    <w:rsid w:val="442F62DC"/>
    <w:rsid w:val="46DB7A17"/>
    <w:rsid w:val="48333FF5"/>
    <w:rsid w:val="49D9294F"/>
    <w:rsid w:val="49FA5FEB"/>
    <w:rsid w:val="4C7D6B0F"/>
    <w:rsid w:val="4C8E043C"/>
    <w:rsid w:val="4CFC4AE9"/>
    <w:rsid w:val="4F3430DB"/>
    <w:rsid w:val="51533B50"/>
    <w:rsid w:val="518E0501"/>
    <w:rsid w:val="51CD3614"/>
    <w:rsid w:val="53FC6986"/>
    <w:rsid w:val="55BA1450"/>
    <w:rsid w:val="579B7ED0"/>
    <w:rsid w:val="584A6390"/>
    <w:rsid w:val="585F0652"/>
    <w:rsid w:val="594D6EC6"/>
    <w:rsid w:val="5B977262"/>
    <w:rsid w:val="5C1D270E"/>
    <w:rsid w:val="5CE241CF"/>
    <w:rsid w:val="5E7152F7"/>
    <w:rsid w:val="6036685D"/>
    <w:rsid w:val="60525EC5"/>
    <w:rsid w:val="60B306E9"/>
    <w:rsid w:val="61BD7BD2"/>
    <w:rsid w:val="63B53257"/>
    <w:rsid w:val="646C62E6"/>
    <w:rsid w:val="67D85B6C"/>
    <w:rsid w:val="691F0EDF"/>
    <w:rsid w:val="6C5544DF"/>
    <w:rsid w:val="6C67192F"/>
    <w:rsid w:val="6CBD4F2A"/>
    <w:rsid w:val="6D3162BA"/>
    <w:rsid w:val="6E3E6AE5"/>
    <w:rsid w:val="6EBA1B84"/>
    <w:rsid w:val="6F135C55"/>
    <w:rsid w:val="6F1E7F02"/>
    <w:rsid w:val="6FE01BE4"/>
    <w:rsid w:val="6FFC4E16"/>
    <w:rsid w:val="720D24B0"/>
    <w:rsid w:val="727A5D81"/>
    <w:rsid w:val="734D446A"/>
    <w:rsid w:val="758F3128"/>
    <w:rsid w:val="766905FD"/>
    <w:rsid w:val="78725086"/>
    <w:rsid w:val="78C830A0"/>
    <w:rsid w:val="7A5E1AFB"/>
    <w:rsid w:val="7CC06914"/>
    <w:rsid w:val="7D9D4043"/>
    <w:rsid w:val="7EE30C9C"/>
    <w:rsid w:val="7F592CBC"/>
    <w:rsid w:val="7FF47D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29">
    <w:name w:val="Default Paragraph Font"/>
    <w:semiHidden/>
    <w:unhideWhenUsed/>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Document Map"/>
    <w:basedOn w:val="1"/>
    <w:semiHidden/>
    <w:qFormat/>
    <w:uiPriority w:val="0"/>
    <w:pPr>
      <w:shd w:val="clear" w:color="auto" w:fill="000080"/>
    </w:pPr>
  </w:style>
  <w:style w:type="paragraph" w:styleId="13">
    <w:name w:val="annotation text"/>
    <w:basedOn w:val="1"/>
    <w:link w:val="45"/>
    <w:qFormat/>
    <w:uiPriority w:val="0"/>
    <w:pPr>
      <w:jc w:val="left"/>
    </w:pPr>
  </w:style>
  <w:style w:type="paragraph" w:styleId="14">
    <w:name w:val="Body Text 3"/>
    <w:basedOn w:val="1"/>
    <w:qFormat/>
    <w:uiPriority w:val="0"/>
    <w:pPr>
      <w:widowControl/>
      <w:ind w:right="720"/>
      <w:jc w:val="left"/>
    </w:pPr>
    <w:rPr>
      <w:kern w:val="0"/>
      <w:sz w:val="20"/>
      <w:szCs w:val="20"/>
      <w:lang w:eastAsia="en-US"/>
    </w:rPr>
  </w:style>
  <w:style w:type="paragraph" w:styleId="15">
    <w:name w:val="Body Text"/>
    <w:basedOn w:val="1"/>
    <w:qFormat/>
    <w:uiPriority w:val="0"/>
    <w:pPr>
      <w:tabs>
        <w:tab w:val="left" w:pos="567"/>
      </w:tabs>
      <w:spacing w:before="120" w:line="22" w:lineRule="atLeast"/>
    </w:pPr>
    <w:rPr>
      <w:rFonts w:ascii="宋体" w:hAnsi="宋体"/>
      <w:sz w:val="24"/>
    </w:rPr>
  </w:style>
  <w:style w:type="paragraph" w:styleId="16">
    <w:name w:val="Body Text Indent"/>
    <w:basedOn w:val="1"/>
    <w:qFormat/>
    <w:uiPriority w:val="0"/>
    <w:pPr>
      <w:spacing w:after="120"/>
      <w:ind w:left="420" w:leftChars="200"/>
    </w:pPr>
  </w:style>
  <w:style w:type="paragraph" w:styleId="17">
    <w:name w:val="Plain Text"/>
    <w:basedOn w:val="1"/>
    <w:link w:val="35"/>
    <w:qFormat/>
    <w:uiPriority w:val="0"/>
    <w:rPr>
      <w:rFonts w:ascii="宋体" w:hAnsi="Courier New"/>
      <w:szCs w:val="20"/>
    </w:rPr>
  </w:style>
  <w:style w:type="paragraph" w:styleId="18">
    <w:name w:val="Date"/>
    <w:basedOn w:val="1"/>
    <w:next w:val="1"/>
    <w:link w:val="36"/>
    <w:qFormat/>
    <w:uiPriority w:val="0"/>
    <w:rPr>
      <w:szCs w:val="20"/>
    </w:rPr>
  </w:style>
  <w:style w:type="paragraph" w:styleId="19">
    <w:name w:val="Body Text Indent 2"/>
    <w:basedOn w:val="1"/>
    <w:qFormat/>
    <w:uiPriority w:val="0"/>
    <w:pPr>
      <w:ind w:firstLine="480" w:firstLineChars="200"/>
    </w:pPr>
    <w:rPr>
      <w:rFonts w:ascii="仿宋_GB2312" w:eastAsia="仿宋_GB2312"/>
      <w:sz w:val="24"/>
    </w:rPr>
  </w:style>
  <w:style w:type="paragraph" w:styleId="20">
    <w:name w:val="Balloon Text"/>
    <w:basedOn w:val="1"/>
    <w:semiHidden/>
    <w:qFormat/>
    <w:uiPriority w:val="0"/>
    <w:rPr>
      <w:sz w:val="18"/>
      <w:szCs w:val="18"/>
    </w:rPr>
  </w:style>
  <w:style w:type="paragraph" w:styleId="21">
    <w:name w:val="footer"/>
    <w:basedOn w:val="1"/>
    <w:qFormat/>
    <w:uiPriority w:val="0"/>
    <w:pPr>
      <w:tabs>
        <w:tab w:val="center" w:pos="4153"/>
        <w:tab w:val="right" w:pos="8306"/>
      </w:tabs>
      <w:snapToGrid w:val="0"/>
      <w:jc w:val="left"/>
    </w:pPr>
    <w:rPr>
      <w:sz w:val="18"/>
      <w:szCs w:val="18"/>
    </w:rPr>
  </w:style>
  <w:style w:type="paragraph" w:styleId="2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3">
    <w:name w:val="Body Text 2"/>
    <w:basedOn w:val="1"/>
    <w:qFormat/>
    <w:uiPriority w:val="0"/>
    <w:pPr>
      <w:widowControl/>
    </w:pPr>
    <w:rPr>
      <w:kern w:val="0"/>
      <w:sz w:val="20"/>
      <w:szCs w:val="20"/>
      <w:lang w:eastAsia="en-US"/>
    </w:rPr>
  </w:style>
  <w:style w:type="paragraph" w:styleId="2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25">
    <w:name w:val="Title"/>
    <w:basedOn w:val="1"/>
    <w:qFormat/>
    <w:uiPriority w:val="0"/>
    <w:pPr>
      <w:jc w:val="center"/>
    </w:pPr>
    <w:rPr>
      <w:sz w:val="30"/>
    </w:rPr>
  </w:style>
  <w:style w:type="paragraph" w:styleId="26">
    <w:name w:val="annotation subject"/>
    <w:basedOn w:val="13"/>
    <w:next w:val="13"/>
    <w:link w:val="46"/>
    <w:qFormat/>
    <w:uiPriority w:val="0"/>
    <w:rPr>
      <w:b/>
      <w:bCs/>
    </w:rPr>
  </w:style>
  <w:style w:type="table" w:styleId="28">
    <w:name w:val="Table Grid"/>
    <w:basedOn w:val="2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22"/>
    <w:rPr>
      <w:b/>
      <w:bCs/>
    </w:rPr>
  </w:style>
  <w:style w:type="character" w:styleId="31">
    <w:name w:val="page number"/>
    <w:qFormat/>
    <w:uiPriority w:val="0"/>
  </w:style>
  <w:style w:type="character" w:styleId="32">
    <w:name w:val="Emphasis"/>
    <w:qFormat/>
    <w:uiPriority w:val="20"/>
    <w:rPr>
      <w:i/>
      <w:iCs/>
    </w:rPr>
  </w:style>
  <w:style w:type="character" w:styleId="33">
    <w:name w:val="Hyperlink"/>
    <w:qFormat/>
    <w:uiPriority w:val="0"/>
    <w:rPr>
      <w:color w:val="0000FF"/>
      <w:u w:val="single"/>
    </w:rPr>
  </w:style>
  <w:style w:type="character" w:styleId="34">
    <w:name w:val="annotation reference"/>
    <w:basedOn w:val="29"/>
    <w:qFormat/>
    <w:uiPriority w:val="0"/>
    <w:rPr>
      <w:sz w:val="21"/>
      <w:szCs w:val="21"/>
    </w:rPr>
  </w:style>
  <w:style w:type="character" w:customStyle="1" w:styleId="35">
    <w:name w:val="纯文本 字符"/>
    <w:link w:val="17"/>
    <w:qFormat/>
    <w:uiPriority w:val="0"/>
    <w:rPr>
      <w:rFonts w:ascii="宋体" w:hAnsi="Courier New"/>
      <w:kern w:val="2"/>
      <w:sz w:val="21"/>
    </w:rPr>
  </w:style>
  <w:style w:type="character" w:customStyle="1" w:styleId="36">
    <w:name w:val="日期 字符"/>
    <w:link w:val="18"/>
    <w:qFormat/>
    <w:uiPriority w:val="0"/>
    <w:rPr>
      <w:rFonts w:eastAsia="宋体"/>
      <w:kern w:val="2"/>
      <w:sz w:val="21"/>
      <w:lang w:val="en-US" w:eastAsia="zh-CN" w:bidi="ar-SA"/>
    </w:rPr>
  </w:style>
  <w:style w:type="character" w:customStyle="1" w:styleId="37">
    <w:name w:val="Char"/>
    <w:qFormat/>
    <w:uiPriority w:val="0"/>
    <w:rPr>
      <w:rFonts w:ascii="宋体" w:hAnsi="Courier New" w:eastAsia="宋体"/>
      <w:kern w:val="2"/>
      <w:sz w:val="21"/>
      <w:lang w:val="en-US" w:eastAsia="zh-CN" w:bidi="ar-SA"/>
    </w:rPr>
  </w:style>
  <w:style w:type="paragraph" w:customStyle="1" w:styleId="38">
    <w:name w:val="Char1"/>
    <w:basedOn w:val="1"/>
    <w:qFormat/>
    <w:uiPriority w:val="0"/>
    <w:rPr>
      <w:rFonts w:ascii="Tahoma" w:hAnsi="Tahoma"/>
      <w:sz w:val="24"/>
      <w:szCs w:val="20"/>
    </w:rPr>
  </w:style>
  <w:style w:type="paragraph" w:customStyle="1" w:styleId="39">
    <w:name w:val="彩色列表 - 强调文字颜色 11"/>
    <w:basedOn w:val="1"/>
    <w:qFormat/>
    <w:uiPriority w:val="34"/>
    <w:pPr>
      <w:ind w:firstLine="420" w:firstLineChars="200"/>
    </w:pPr>
    <w:rPr>
      <w:rFonts w:ascii="Calibri" w:hAnsi="Calibri"/>
      <w:szCs w:val="22"/>
    </w:rPr>
  </w:style>
  <w:style w:type="paragraph" w:customStyle="1" w:styleId="40">
    <w:name w:val="正文文本 21"/>
    <w:basedOn w:val="1"/>
    <w:qFormat/>
    <w:uiPriority w:val="0"/>
    <w:pPr>
      <w:adjustRightInd w:val="0"/>
      <w:spacing w:before="120" w:line="360" w:lineRule="auto"/>
      <w:ind w:firstLine="480"/>
      <w:textAlignment w:val="baseline"/>
    </w:pPr>
    <w:rPr>
      <w:sz w:val="24"/>
      <w:szCs w:val="20"/>
    </w:rPr>
  </w:style>
  <w:style w:type="paragraph" w:customStyle="1" w:styleId="41">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42">
    <w:name w:val="正文文本缩进 21"/>
    <w:basedOn w:val="1"/>
    <w:qFormat/>
    <w:uiPriority w:val="0"/>
    <w:pPr>
      <w:adjustRightInd w:val="0"/>
      <w:spacing w:before="120"/>
      <w:ind w:firstLine="420"/>
      <w:textAlignment w:val="baseline"/>
    </w:pPr>
    <w:rPr>
      <w:sz w:val="24"/>
      <w:szCs w:val="20"/>
    </w:rPr>
  </w:style>
  <w:style w:type="paragraph" w:customStyle="1" w:styleId="43">
    <w:name w:val="修订1"/>
    <w:hidden/>
    <w:unhideWhenUsed/>
    <w:qFormat/>
    <w:uiPriority w:val="99"/>
    <w:rPr>
      <w:rFonts w:ascii="Times New Roman" w:hAnsi="Times New Roman" w:eastAsia="宋体" w:cs="Times New Roman"/>
      <w:kern w:val="2"/>
      <w:sz w:val="21"/>
      <w:szCs w:val="24"/>
      <w:lang w:val="en-US" w:eastAsia="zh-CN" w:bidi="ar-SA"/>
    </w:rPr>
  </w:style>
  <w:style w:type="paragraph" w:styleId="44">
    <w:name w:val="List Paragraph"/>
    <w:basedOn w:val="1"/>
    <w:unhideWhenUsed/>
    <w:qFormat/>
    <w:uiPriority w:val="99"/>
    <w:pPr>
      <w:ind w:firstLine="420" w:firstLineChars="200"/>
    </w:pPr>
  </w:style>
  <w:style w:type="character" w:customStyle="1" w:styleId="45">
    <w:name w:val="批注文字 字符"/>
    <w:basedOn w:val="29"/>
    <w:link w:val="13"/>
    <w:qFormat/>
    <w:uiPriority w:val="0"/>
    <w:rPr>
      <w:kern w:val="2"/>
      <w:sz w:val="21"/>
      <w:szCs w:val="24"/>
    </w:rPr>
  </w:style>
  <w:style w:type="character" w:customStyle="1" w:styleId="46">
    <w:name w:val="批注主题 字符"/>
    <w:basedOn w:val="45"/>
    <w:link w:val="26"/>
    <w:uiPriority w:val="0"/>
    <w:rPr>
      <w:b/>
      <w:bCs/>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27</Pages>
  <Words>11841</Words>
  <Characters>13064</Characters>
  <Lines>101</Lines>
  <Paragraphs>28</Paragraphs>
  <TotalTime>18</TotalTime>
  <ScaleCrop>false</ScaleCrop>
  <LinksUpToDate>false</LinksUpToDate>
  <CharactersWithSpaces>13603</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2023-10-31T08:50:00Z</dcterms:created>
  <dc:creator>caowuning</dc:creator>
  <cp:lastModifiedBy>godjiao</cp:lastModifiedBy>
  <cp:lastPrinted>2009-04-21T09:03:00Z</cp:lastPrinted>
  <dcterms:modified xsi:type="dcterms:W3CDTF">2023-11-03T11:54:48Z</dcterms:modified>
  <dc:title>北 京 市 政 府 采 购</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F8CCFC8E8E90438492DB7B8023B5A44D_13</vt:lpwstr>
  </property>
</Properties>
</file>