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55443A">
      <w:pPr>
        <w:adjustRightInd w:val="0"/>
        <w:snapToGrid w:val="0"/>
        <w:spacing w:after="156" w:afterLines="50" w:line="360" w:lineRule="auto"/>
        <w:jc w:val="center"/>
        <w:outlineLvl w:val="0"/>
        <w:rPr>
          <w:rFonts w:ascii="黑体" w:eastAsia="黑体"/>
          <w:b/>
          <w:kern w:val="44"/>
          <w:sz w:val="48"/>
          <w:szCs w:val="20"/>
        </w:rPr>
      </w:pPr>
      <w:bookmarkStart w:id="2" w:name="_GoBack"/>
      <w:bookmarkEnd w:id="2"/>
      <w:bookmarkStart w:id="0" w:name="_Toc512937852"/>
      <w:bookmarkStart w:id="1" w:name="_Toc129880039"/>
      <w:r>
        <w:rPr>
          <w:rFonts w:hint="eastAsia" w:ascii="宋体" w:hAnsi="宋体"/>
          <w:b/>
          <w:sz w:val="30"/>
          <w:szCs w:val="30"/>
        </w:rPr>
        <w:t>第八部分 采购需求</w:t>
      </w:r>
      <w:bookmarkEnd w:id="0"/>
      <w:bookmarkEnd w:id="1"/>
    </w:p>
    <w:p w14:paraId="4F27505E">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货物需求一览表</w:t>
      </w:r>
    </w:p>
    <w:p w14:paraId="3243042F">
      <w:pPr>
        <w:adjustRightInd w:val="0"/>
        <w:snapToGrid w:val="0"/>
        <w:jc w:val="center"/>
        <w:rPr>
          <w:rFonts w:ascii="宋体" w:hAnsi="宋体"/>
          <w:b/>
          <w:sz w:val="30"/>
          <w:szCs w:val="30"/>
        </w:rPr>
      </w:pPr>
    </w:p>
    <w:tbl>
      <w:tblPr>
        <w:tblStyle w:val="39"/>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07"/>
        <w:gridCol w:w="2690"/>
        <w:gridCol w:w="1329"/>
        <w:gridCol w:w="2470"/>
      </w:tblGrid>
      <w:tr w14:paraId="2AB56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107" w:type="dxa"/>
            <w:vAlign w:val="center"/>
          </w:tcPr>
          <w:p w14:paraId="50045757">
            <w:pPr>
              <w:jc w:val="center"/>
              <w:rPr>
                <w:rFonts w:ascii="宋体" w:hAnsi="Bookman Old Style"/>
                <w:sz w:val="24"/>
              </w:rPr>
            </w:pPr>
            <w:r>
              <w:rPr>
                <w:rFonts w:hint="eastAsia" w:ascii="宋体" w:hAnsi="Bookman Old Style"/>
                <w:sz w:val="24"/>
              </w:rPr>
              <w:t>包号</w:t>
            </w:r>
          </w:p>
        </w:tc>
        <w:tc>
          <w:tcPr>
            <w:tcW w:w="2690" w:type="dxa"/>
            <w:vAlign w:val="center"/>
          </w:tcPr>
          <w:p w14:paraId="51977D65">
            <w:pPr>
              <w:jc w:val="center"/>
              <w:rPr>
                <w:rFonts w:ascii="宋体" w:hAnsi="Bookman Old Style"/>
                <w:sz w:val="24"/>
              </w:rPr>
            </w:pPr>
            <w:r>
              <w:rPr>
                <w:rFonts w:hint="eastAsia" w:ascii="宋体" w:hAnsi="Bookman Old Style"/>
                <w:sz w:val="24"/>
              </w:rPr>
              <w:t>货物名称</w:t>
            </w:r>
          </w:p>
        </w:tc>
        <w:tc>
          <w:tcPr>
            <w:tcW w:w="1329" w:type="dxa"/>
            <w:vAlign w:val="center"/>
          </w:tcPr>
          <w:p w14:paraId="3BB26EE6">
            <w:pPr>
              <w:jc w:val="center"/>
              <w:rPr>
                <w:rFonts w:ascii="宋体" w:hAnsi="Bookman Old Style"/>
                <w:sz w:val="24"/>
              </w:rPr>
            </w:pPr>
            <w:r>
              <w:rPr>
                <w:rFonts w:hint="eastAsia" w:ascii="宋体" w:hAnsi="Bookman Old Style"/>
                <w:sz w:val="24"/>
              </w:rPr>
              <w:t>数量</w:t>
            </w:r>
          </w:p>
        </w:tc>
        <w:tc>
          <w:tcPr>
            <w:tcW w:w="2470" w:type="dxa"/>
            <w:vAlign w:val="center"/>
          </w:tcPr>
          <w:p w14:paraId="475533EA">
            <w:pPr>
              <w:jc w:val="center"/>
              <w:rPr>
                <w:rFonts w:ascii="宋体" w:hAnsi="Bookman Old Style"/>
                <w:sz w:val="24"/>
              </w:rPr>
            </w:pPr>
            <w:r>
              <w:rPr>
                <w:rFonts w:hint="eastAsia" w:ascii="宋体" w:hAnsi="Bookman Old Style"/>
                <w:sz w:val="24"/>
              </w:rPr>
              <w:t>是否接受进口</w:t>
            </w:r>
          </w:p>
        </w:tc>
      </w:tr>
      <w:tr w14:paraId="7F8EE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107" w:type="dxa"/>
            <w:vAlign w:val="center"/>
          </w:tcPr>
          <w:p w14:paraId="0B56A09B">
            <w:pPr>
              <w:jc w:val="center"/>
              <w:rPr>
                <w:rFonts w:ascii="宋体"/>
                <w:sz w:val="24"/>
              </w:rPr>
            </w:pPr>
            <w:r>
              <w:rPr>
                <w:rFonts w:hint="eastAsia" w:ascii="宋体"/>
                <w:sz w:val="24"/>
              </w:rPr>
              <w:t>1</w:t>
            </w:r>
          </w:p>
        </w:tc>
        <w:tc>
          <w:tcPr>
            <w:tcW w:w="2690" w:type="dxa"/>
            <w:vAlign w:val="center"/>
          </w:tcPr>
          <w:p w14:paraId="155C13DB">
            <w:pPr>
              <w:jc w:val="center"/>
              <w:rPr>
                <w:rFonts w:ascii="Bookman Old Style" w:hAnsi="Bookman Old Style"/>
                <w:sz w:val="24"/>
              </w:rPr>
            </w:pPr>
            <w:r>
              <w:rPr>
                <w:rFonts w:hint="eastAsia"/>
                <w:color w:val="000000" w:themeColor="text1"/>
                <w:sz w:val="24"/>
                <w14:textFill>
                  <w14:solidFill>
                    <w14:schemeClr w14:val="tx1"/>
                  </w14:solidFill>
                </w14:textFill>
              </w:rPr>
              <w:t>水生生物在线观测（浮游生物鉴定计数系统）</w:t>
            </w:r>
          </w:p>
        </w:tc>
        <w:tc>
          <w:tcPr>
            <w:tcW w:w="1329" w:type="dxa"/>
            <w:vAlign w:val="center"/>
          </w:tcPr>
          <w:p w14:paraId="08727F38">
            <w:pPr>
              <w:jc w:val="center"/>
              <w:rPr>
                <w:rFonts w:ascii="宋体" w:hAnsi="Bookman Old Style"/>
                <w:sz w:val="24"/>
              </w:rPr>
            </w:pPr>
            <w:r>
              <w:rPr>
                <w:rFonts w:hint="eastAsia"/>
                <w:sz w:val="24"/>
              </w:rPr>
              <w:t>1</w:t>
            </w:r>
          </w:p>
        </w:tc>
        <w:tc>
          <w:tcPr>
            <w:tcW w:w="2470" w:type="dxa"/>
            <w:vAlign w:val="center"/>
          </w:tcPr>
          <w:p w14:paraId="2B8745D6">
            <w:pPr>
              <w:jc w:val="center"/>
              <w:rPr>
                <w:rFonts w:ascii="宋体" w:hAnsi="Bookman Old Style"/>
                <w:sz w:val="24"/>
              </w:rPr>
            </w:pPr>
            <w:r>
              <w:rPr>
                <w:rFonts w:hint="eastAsia"/>
                <w:sz w:val="24"/>
              </w:rPr>
              <w:t>否</w:t>
            </w:r>
          </w:p>
        </w:tc>
      </w:tr>
    </w:tbl>
    <w:p w14:paraId="3B71B22D">
      <w:pPr>
        <w:adjustRightInd w:val="0"/>
        <w:snapToGrid w:val="0"/>
        <w:jc w:val="center"/>
        <w:rPr>
          <w:rFonts w:ascii="宋体" w:hAnsi="宋体"/>
          <w:b/>
          <w:sz w:val="30"/>
          <w:szCs w:val="30"/>
        </w:rPr>
      </w:pPr>
    </w:p>
    <w:p w14:paraId="0DAD7F83">
      <w:pPr>
        <w:adjustRightInd w:val="0"/>
        <w:snapToGrid w:val="0"/>
        <w:jc w:val="center"/>
        <w:rPr>
          <w:rFonts w:ascii="宋体" w:hAnsi="宋体"/>
          <w:b/>
          <w:sz w:val="30"/>
          <w:szCs w:val="30"/>
        </w:rPr>
      </w:pPr>
    </w:p>
    <w:p w14:paraId="54017D62">
      <w:pPr>
        <w:rPr>
          <w:rFonts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58340CAA">
      <w:pPr>
        <w:adjustRightInd w:val="0"/>
        <w:snapToGrid w:val="0"/>
        <w:rPr>
          <w:rFonts w:ascii="宋体" w:hAnsi="宋体"/>
          <w:szCs w:val="21"/>
        </w:rPr>
      </w:pPr>
    </w:p>
    <w:p w14:paraId="5FD6BD75">
      <w:pPr>
        <w:adjustRightInd w:val="0"/>
        <w:snapToGrid w:val="0"/>
        <w:rPr>
          <w:rFonts w:ascii="宋体" w:hAnsi="宋体"/>
          <w:szCs w:val="21"/>
        </w:rPr>
      </w:pPr>
    </w:p>
    <w:p w14:paraId="4C2F1A54">
      <w:pPr>
        <w:adjustRightInd w:val="0"/>
        <w:snapToGrid w:val="0"/>
        <w:rPr>
          <w:rFonts w:ascii="宋体" w:hAnsi="宋体"/>
          <w:szCs w:val="21"/>
        </w:rPr>
      </w:pPr>
    </w:p>
    <w:p w14:paraId="4611E6C6">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37CF271A">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211BDCE0">
      <w:pPr>
        <w:spacing w:line="360" w:lineRule="auto"/>
        <w:ind w:left="554" w:hanging="554" w:hangingChars="231"/>
        <w:rPr>
          <w:rFonts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44F53B57">
      <w:pPr>
        <w:spacing w:line="360" w:lineRule="auto"/>
        <w:ind w:left="554" w:hanging="554" w:hangingChars="231"/>
        <w:rPr>
          <w:rFonts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EF25AC4">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w:t>
      </w:r>
    </w:p>
    <w:p w14:paraId="0290C2BC">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68B5C40">
      <w:pPr>
        <w:adjustRightInd w:val="0"/>
        <w:snapToGrid w:val="0"/>
        <w:spacing w:line="360" w:lineRule="auto"/>
        <w:rPr>
          <w:rFonts w:ascii="宋体" w:hAnsi="宋体"/>
          <w:b/>
          <w:sz w:val="28"/>
          <w:szCs w:val="28"/>
        </w:rPr>
      </w:pPr>
      <w:r>
        <w:rPr>
          <w:rFonts w:hint="eastAsia" w:ascii="宋体" w:hAnsi="宋体"/>
          <w:b/>
          <w:sz w:val="28"/>
          <w:szCs w:val="28"/>
        </w:rPr>
        <w:t>2、评标标准</w:t>
      </w:r>
    </w:p>
    <w:p w14:paraId="2B5EAE56">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6A52F4B8">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0B831F7C">
      <w:pPr>
        <w:spacing w:line="360" w:lineRule="auto"/>
        <w:ind w:left="554" w:hanging="554" w:hangingChars="231"/>
        <w:rPr>
          <w:rFonts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405B91BE">
      <w:pPr>
        <w:spacing w:line="360" w:lineRule="auto"/>
        <w:ind w:left="554" w:hanging="554" w:hangingChars="231"/>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13F2FA9F">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6B855C02">
      <w:pPr>
        <w:adjustRightInd w:val="0"/>
        <w:snapToGrid w:val="0"/>
        <w:spacing w:line="360" w:lineRule="auto"/>
        <w:rPr>
          <w:rFonts w:ascii="宋体" w:hAnsi="宋体"/>
          <w:b/>
          <w:sz w:val="28"/>
          <w:szCs w:val="28"/>
        </w:rPr>
      </w:pPr>
      <w:r>
        <w:rPr>
          <w:rFonts w:hint="eastAsia" w:ascii="宋体" w:hAnsi="宋体"/>
          <w:b/>
          <w:sz w:val="28"/>
          <w:szCs w:val="28"/>
        </w:rPr>
        <w:t>3、工作条件</w:t>
      </w:r>
    </w:p>
    <w:p w14:paraId="7627A60B">
      <w:pPr>
        <w:spacing w:after="312" w:afterLines="100" w:line="360" w:lineRule="auto"/>
        <w:rPr>
          <w:rFonts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6A19F4CC">
      <w:pPr>
        <w:spacing w:line="360" w:lineRule="auto"/>
        <w:ind w:left="554" w:hanging="554" w:hangingChars="231"/>
        <w:rPr>
          <w:rFonts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00D1193E">
      <w:pPr>
        <w:spacing w:line="360" w:lineRule="auto"/>
        <w:ind w:left="554" w:hanging="554" w:hangingChars="231"/>
        <w:rPr>
          <w:rFonts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70C21EE9">
      <w:pPr>
        <w:spacing w:line="360" w:lineRule="auto"/>
        <w:ind w:left="554" w:hanging="554" w:hangingChars="231"/>
        <w:rPr>
          <w:rFonts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6228C41C">
      <w:pPr>
        <w:spacing w:line="360" w:lineRule="auto"/>
        <w:ind w:left="554" w:hanging="554" w:hangingChars="231"/>
        <w:rPr>
          <w:rFonts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50F8481A">
      <w:pPr>
        <w:rPr>
          <w:rFonts w:eastAsia="黑体"/>
          <w:b/>
          <w:bCs/>
          <w:kern w:val="44"/>
          <w:sz w:val="24"/>
        </w:rPr>
      </w:pPr>
    </w:p>
    <w:p w14:paraId="5FF2F6CB">
      <w:pPr>
        <w:adjustRightInd w:val="0"/>
        <w:snapToGrid w:val="0"/>
        <w:spacing w:line="360" w:lineRule="auto"/>
        <w:rPr>
          <w:rFonts w:ascii="宋体" w:hAnsi="宋体"/>
          <w:b/>
          <w:sz w:val="28"/>
          <w:szCs w:val="28"/>
        </w:rPr>
      </w:pPr>
      <w:r>
        <w:rPr>
          <w:rFonts w:hint="eastAsia" w:ascii="宋体" w:hAnsi="宋体"/>
          <w:b/>
          <w:sz w:val="28"/>
          <w:szCs w:val="28"/>
        </w:rPr>
        <w:t>4、验收标准</w:t>
      </w:r>
    </w:p>
    <w:p w14:paraId="06F2B26D">
      <w:pPr>
        <w:spacing w:after="312" w:afterLines="100" w:line="360" w:lineRule="auto"/>
        <w:rPr>
          <w:rFonts w:ascii="宋体" w:hAnsi="宋体"/>
          <w:sz w:val="24"/>
        </w:rPr>
      </w:pPr>
      <w:r>
        <w:rPr>
          <w:rFonts w:hint="eastAsia" w:ascii="宋体" w:hAnsi="宋体"/>
          <w:sz w:val="24"/>
        </w:rPr>
        <w:t>除非另有说明，所有仪器、设备和系统按下列要求进行验收：</w:t>
      </w:r>
      <w:r>
        <w:rPr>
          <w:rFonts w:ascii="宋体" w:hAnsi="宋体"/>
          <w:sz w:val="24"/>
        </w:rPr>
        <w:t xml:space="preserve"> </w:t>
      </w:r>
    </w:p>
    <w:p w14:paraId="27B3A98F">
      <w:pPr>
        <w:spacing w:line="360" w:lineRule="auto"/>
        <w:ind w:left="554" w:hanging="554" w:hangingChars="231"/>
        <w:rPr>
          <w:rFonts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327CA200">
      <w:pPr>
        <w:spacing w:line="360" w:lineRule="auto"/>
        <w:ind w:left="554" w:hanging="554" w:hangingChars="231"/>
        <w:rPr>
          <w:rFonts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725FA5AD">
      <w:pPr>
        <w:spacing w:line="360" w:lineRule="auto"/>
        <w:ind w:left="554" w:hanging="554" w:hangingChars="231"/>
        <w:rPr>
          <w:rFonts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5A63C938">
      <w:pPr>
        <w:pStyle w:val="21"/>
        <w:spacing w:line="360" w:lineRule="auto"/>
        <w:ind w:left="410" w:hanging="410" w:hangingChars="170"/>
        <w:rPr>
          <w:rFonts w:hAnsi="宋体"/>
          <w:b/>
          <w:sz w:val="24"/>
          <w:szCs w:val="24"/>
        </w:rPr>
      </w:pPr>
    </w:p>
    <w:p w14:paraId="412B4E6C">
      <w:pPr>
        <w:adjustRightInd w:val="0"/>
        <w:snapToGrid w:val="0"/>
        <w:spacing w:line="360" w:lineRule="auto"/>
        <w:rPr>
          <w:rFonts w:hAnsi="宋体"/>
          <w:b/>
          <w:sz w:val="24"/>
        </w:rPr>
      </w:pPr>
      <w:r>
        <w:rPr>
          <w:rFonts w:hint="eastAsia"/>
          <w:b/>
          <w:bCs/>
          <w:sz w:val="24"/>
        </w:rPr>
        <w:t>5、本采购需求书中标注“★”号技术条款的为实质性要求，不满足其投标将视为无效投标被拒绝。</w:t>
      </w:r>
    </w:p>
    <w:p w14:paraId="356C6059">
      <w:pPr>
        <w:adjustRightInd w:val="0"/>
        <w:snapToGrid w:val="0"/>
        <w:spacing w:line="360" w:lineRule="auto"/>
        <w:rPr>
          <w:rFonts w:ascii="宋体" w:hAnsi="宋体"/>
          <w:b/>
          <w:sz w:val="24"/>
        </w:rPr>
      </w:pPr>
    </w:p>
    <w:p w14:paraId="19B90B61">
      <w:pPr>
        <w:adjustRightInd w:val="0"/>
        <w:snapToGrid w:val="0"/>
        <w:spacing w:line="360" w:lineRule="auto"/>
        <w:rPr>
          <w:rFonts w:ascii="宋体" w:hAnsi="宋体"/>
          <w:b/>
          <w:sz w:val="24"/>
        </w:rPr>
      </w:pPr>
      <w:r>
        <w:rPr>
          <w:rFonts w:hint="eastAsia" w:ascii="宋体" w:hAnsi="宋体"/>
          <w:b/>
          <w:sz w:val="24"/>
        </w:rPr>
        <w:t>6、如在具体规格要求中有本总则不一致之处，以具体规格中的要求为准。</w:t>
      </w:r>
    </w:p>
    <w:p w14:paraId="6AF641EE">
      <w:pPr>
        <w:adjustRightInd w:val="0"/>
        <w:snapToGrid w:val="0"/>
        <w:spacing w:line="360" w:lineRule="auto"/>
        <w:rPr>
          <w:rFonts w:ascii="宋体" w:hAnsi="宋体"/>
          <w:b/>
          <w:sz w:val="28"/>
          <w:szCs w:val="28"/>
        </w:rPr>
      </w:pPr>
      <w:r>
        <w:rPr>
          <w:rFonts w:ascii="宋体" w:hAnsi="宋体"/>
          <w:b/>
          <w:sz w:val="28"/>
        </w:rPr>
        <w:br w:type="page"/>
      </w:r>
      <w:r>
        <w:rPr>
          <w:rFonts w:hint="eastAsia" w:ascii="宋体" w:hAnsi="宋体"/>
          <w:b/>
          <w:sz w:val="28"/>
          <w:szCs w:val="28"/>
        </w:rPr>
        <w:t>二、具体规格要求</w:t>
      </w:r>
    </w:p>
    <w:p w14:paraId="044C426C">
      <w:pPr>
        <w:jc w:val="center"/>
        <w:rPr>
          <w:b/>
          <w:sz w:val="24"/>
        </w:rPr>
      </w:pPr>
      <w:r>
        <w:rPr>
          <w:rFonts w:hint="eastAsia"/>
          <w:b/>
          <w:sz w:val="24"/>
        </w:rPr>
        <w:t>第1包 水生生物在线观测（浮游生物鉴定计数系统）</w:t>
      </w:r>
    </w:p>
    <w:p w14:paraId="7C9CDF8E">
      <w:pPr>
        <w:rPr>
          <w:b/>
          <w:sz w:val="24"/>
        </w:rPr>
      </w:pPr>
    </w:p>
    <w:p w14:paraId="29393EE0">
      <w:pPr>
        <w:rPr>
          <w:b/>
          <w:sz w:val="24"/>
        </w:rPr>
      </w:pPr>
    </w:p>
    <w:p w14:paraId="142DED9F">
      <w:pPr>
        <w:adjustRightInd w:val="0"/>
        <w:snapToGrid w:val="0"/>
        <w:spacing w:line="360" w:lineRule="auto"/>
        <w:rPr>
          <w:rFonts w:ascii="宋体" w:hAnsi="宋体"/>
          <w:b/>
          <w:sz w:val="24"/>
        </w:rPr>
      </w:pPr>
      <w:r>
        <w:rPr>
          <w:rFonts w:hint="eastAsia" w:ascii="宋体" w:hAnsi="宋体"/>
          <w:b/>
          <w:sz w:val="24"/>
        </w:rPr>
        <w:t>（一）技术要求：</w:t>
      </w:r>
    </w:p>
    <w:p w14:paraId="6ADD9A82">
      <w:pPr>
        <w:adjustRightInd w:val="0"/>
        <w:snapToGrid w:val="0"/>
        <w:spacing w:line="360" w:lineRule="auto"/>
        <w:ind w:left="360" w:hanging="360"/>
        <w:rPr>
          <w:b/>
          <w:sz w:val="24"/>
        </w:rPr>
      </w:pPr>
      <w:r>
        <w:rPr>
          <w:rFonts w:hint="eastAsia"/>
          <w:b/>
          <w:sz w:val="24"/>
        </w:rPr>
        <w:t>1.</w:t>
      </w:r>
      <w:r>
        <w:rPr>
          <w:b/>
          <w:sz w:val="24"/>
        </w:rPr>
        <w:t>工作条件：</w:t>
      </w:r>
    </w:p>
    <w:p w14:paraId="527D5C32">
      <w:pPr>
        <w:adjustRightInd w:val="0"/>
        <w:snapToGrid w:val="0"/>
        <w:spacing w:line="360" w:lineRule="auto"/>
        <w:rPr>
          <w:color w:val="000000"/>
          <w:sz w:val="24"/>
        </w:rPr>
      </w:pPr>
      <w:r>
        <w:rPr>
          <w:color w:val="000000"/>
          <w:sz w:val="24"/>
        </w:rPr>
        <w:t>1.1工作电压：220V±10%</w:t>
      </w:r>
    </w:p>
    <w:p w14:paraId="2E46C474">
      <w:pPr>
        <w:adjustRightInd w:val="0"/>
        <w:snapToGrid w:val="0"/>
        <w:spacing w:line="360" w:lineRule="auto"/>
        <w:rPr>
          <w:color w:val="000000"/>
          <w:sz w:val="24"/>
        </w:rPr>
      </w:pPr>
      <w:r>
        <w:rPr>
          <w:color w:val="000000"/>
          <w:sz w:val="24"/>
        </w:rPr>
        <w:t>1.2工作温度：</w:t>
      </w:r>
      <w:r>
        <w:rPr>
          <w:rFonts w:hint="eastAsia"/>
          <w:b/>
          <w:sz w:val="24"/>
        </w:rPr>
        <w:t>-</w:t>
      </w:r>
      <w:r>
        <w:rPr>
          <w:b/>
          <w:sz w:val="24"/>
        </w:rPr>
        <w:t>15℃～＋30℃</w:t>
      </w:r>
    </w:p>
    <w:p w14:paraId="6BEB6B42">
      <w:pPr>
        <w:adjustRightInd w:val="0"/>
        <w:snapToGrid w:val="0"/>
        <w:spacing w:line="360" w:lineRule="auto"/>
        <w:rPr>
          <w:color w:val="000000"/>
          <w:sz w:val="24"/>
        </w:rPr>
      </w:pPr>
      <w:r>
        <w:rPr>
          <w:color w:val="000000"/>
          <w:sz w:val="24"/>
        </w:rPr>
        <w:t>1.3湿度：0~</w:t>
      </w:r>
      <w:r>
        <w:rPr>
          <w:rFonts w:hint="eastAsia"/>
          <w:color w:val="000000"/>
          <w:sz w:val="24"/>
        </w:rPr>
        <w:t>8</w:t>
      </w:r>
      <w:r>
        <w:rPr>
          <w:color w:val="000000"/>
          <w:sz w:val="24"/>
        </w:rPr>
        <w:t>0%</w:t>
      </w:r>
    </w:p>
    <w:p w14:paraId="787C0DD1">
      <w:pPr>
        <w:adjustRightInd w:val="0"/>
        <w:snapToGrid w:val="0"/>
        <w:spacing w:line="360" w:lineRule="auto"/>
        <w:ind w:left="360" w:hanging="360"/>
        <w:rPr>
          <w:b/>
          <w:sz w:val="24"/>
        </w:rPr>
      </w:pPr>
    </w:p>
    <w:p w14:paraId="417EAA01">
      <w:pPr>
        <w:adjustRightInd w:val="0"/>
        <w:snapToGrid w:val="0"/>
        <w:spacing w:line="360" w:lineRule="auto"/>
        <w:ind w:left="360" w:hanging="360"/>
        <w:rPr>
          <w:b/>
          <w:sz w:val="24"/>
        </w:rPr>
      </w:pPr>
      <w:r>
        <w:rPr>
          <w:rFonts w:hint="eastAsia"/>
          <w:b/>
          <w:sz w:val="24"/>
        </w:rPr>
        <w:t>2.</w:t>
      </w:r>
      <w:r>
        <w:rPr>
          <w:b/>
          <w:sz w:val="24"/>
        </w:rPr>
        <w:t>设备用途：</w:t>
      </w:r>
    </w:p>
    <w:p w14:paraId="334CB8EA">
      <w:pPr>
        <w:pStyle w:val="4"/>
        <w:snapToGrid w:val="0"/>
        <w:spacing w:line="360" w:lineRule="auto"/>
        <w:ind w:firstLine="480" w:firstLineChars="200"/>
        <w:rPr>
          <w:rFonts w:ascii="Times New Roman"/>
        </w:rPr>
      </w:pPr>
      <w:r>
        <w:rPr>
          <w:rFonts w:hint="eastAsia" w:ascii="Times New Roman"/>
        </w:rPr>
        <w:t>一体化水生浮游生物全自动鉴定、分类、计数、形态观测、荧光 / 可见光特征分析专业实验室系统，主要用于地表水、湖泊、水库、河流、近海海域、饮用水源地等水体的藻类、浮游动物定性定量监测，适配生态环境监测、水环境评价、水华预警、渔业水质、高校科研等场景。</w:t>
      </w:r>
    </w:p>
    <w:p w14:paraId="5EBC10E4">
      <w:pPr>
        <w:adjustRightInd w:val="0"/>
        <w:snapToGrid w:val="0"/>
        <w:spacing w:line="360" w:lineRule="auto"/>
        <w:ind w:left="360" w:hanging="360"/>
        <w:rPr>
          <w:b/>
          <w:sz w:val="24"/>
        </w:rPr>
      </w:pPr>
    </w:p>
    <w:p w14:paraId="215EA69A">
      <w:pPr>
        <w:adjustRightInd w:val="0"/>
        <w:snapToGrid w:val="0"/>
        <w:spacing w:line="360" w:lineRule="auto"/>
        <w:ind w:left="360" w:hanging="360"/>
        <w:rPr>
          <w:b/>
          <w:sz w:val="24"/>
        </w:rPr>
      </w:pPr>
      <w:r>
        <w:rPr>
          <w:rFonts w:hint="eastAsia"/>
          <w:b/>
          <w:sz w:val="24"/>
        </w:rPr>
        <w:t>3.</w:t>
      </w:r>
      <w:r>
        <w:rPr>
          <w:b/>
          <w:sz w:val="24"/>
        </w:rPr>
        <w:t>技术规格：</w:t>
      </w:r>
    </w:p>
    <w:p w14:paraId="472A2142">
      <w:pPr>
        <w:tabs>
          <w:tab w:val="left" w:pos="360"/>
        </w:tabs>
        <w:adjustRightInd w:val="0"/>
        <w:snapToGrid w:val="0"/>
        <w:spacing w:line="360" w:lineRule="auto"/>
        <w:rPr>
          <w:sz w:val="24"/>
        </w:rPr>
      </w:pPr>
      <w:r>
        <w:rPr>
          <w:rFonts w:hint="eastAsia"/>
          <w:sz w:val="24"/>
        </w:rPr>
        <w:t>3.1 总体要求</w:t>
      </w:r>
    </w:p>
    <w:p w14:paraId="364ACD79">
      <w:pPr>
        <w:tabs>
          <w:tab w:val="left" w:pos="360"/>
        </w:tabs>
        <w:adjustRightInd w:val="0"/>
        <w:snapToGrid w:val="0"/>
        <w:spacing w:line="360" w:lineRule="auto"/>
        <w:rPr>
          <w:sz w:val="24"/>
        </w:rPr>
      </w:pPr>
      <w:r>
        <w:rPr>
          <w:rFonts w:hint="eastAsia" w:ascii="Segoe UI Symbol" w:hAnsi="Segoe UI Symbol" w:cs="Segoe UI Symbol"/>
          <w:b/>
          <w:bCs/>
          <w:sz w:val="24"/>
        </w:rPr>
        <w:t>★</w:t>
      </w:r>
      <w:r>
        <w:rPr>
          <w:rFonts w:hint="eastAsia"/>
          <w:sz w:val="24"/>
        </w:rPr>
        <w:t>3.1.1 规范符合性：符合HJ 1216-2021、HJ 1215-2021、SL 733-2016。</w:t>
      </w:r>
    </w:p>
    <w:p w14:paraId="6EB97565">
      <w:pPr>
        <w:tabs>
          <w:tab w:val="left" w:pos="360"/>
        </w:tabs>
        <w:adjustRightInd w:val="0"/>
        <w:snapToGrid w:val="0"/>
        <w:spacing w:line="360" w:lineRule="auto"/>
        <w:rPr>
          <w:sz w:val="24"/>
        </w:rPr>
      </w:pPr>
      <w:r>
        <w:rPr>
          <w:rFonts w:hint="eastAsia"/>
          <w:sz w:val="24"/>
        </w:rPr>
        <w:t>3.1.2 数据对接：提供开放API接口，支持数据自动推送至采购人指定平台。</w:t>
      </w:r>
    </w:p>
    <w:p w14:paraId="5BD986BF">
      <w:pPr>
        <w:tabs>
          <w:tab w:val="left" w:pos="360"/>
        </w:tabs>
        <w:adjustRightInd w:val="0"/>
        <w:snapToGrid w:val="0"/>
        <w:spacing w:line="360" w:lineRule="auto"/>
        <w:rPr>
          <w:sz w:val="24"/>
        </w:rPr>
      </w:pPr>
      <w:r>
        <w:rPr>
          <w:rFonts w:hint="eastAsia"/>
          <w:sz w:val="24"/>
        </w:rPr>
        <w:t>3.1.3 配套功能：包含浮游生物智能鉴定系统及浮游生物前处理系统。</w:t>
      </w:r>
    </w:p>
    <w:p w14:paraId="43132C52">
      <w:pPr>
        <w:tabs>
          <w:tab w:val="left" w:pos="360"/>
        </w:tabs>
        <w:adjustRightInd w:val="0"/>
        <w:snapToGrid w:val="0"/>
        <w:spacing w:line="360" w:lineRule="auto"/>
        <w:rPr>
          <w:sz w:val="24"/>
        </w:rPr>
      </w:pPr>
      <w:r>
        <w:rPr>
          <w:rFonts w:hint="eastAsia"/>
          <w:sz w:val="24"/>
        </w:rPr>
        <w:t>#3.1.4 前处理系统：至少可以同时处理20个样品自动加药，静置。</w:t>
      </w:r>
    </w:p>
    <w:p w14:paraId="519824F2">
      <w:pPr>
        <w:tabs>
          <w:tab w:val="left" w:pos="360"/>
        </w:tabs>
        <w:adjustRightInd w:val="0"/>
        <w:snapToGrid w:val="0"/>
        <w:spacing w:line="360" w:lineRule="auto"/>
        <w:rPr>
          <w:sz w:val="24"/>
        </w:rPr>
      </w:pPr>
      <w:r>
        <w:rPr>
          <w:rFonts w:hint="eastAsia"/>
          <w:sz w:val="24"/>
        </w:rPr>
        <w:t>#3.1.5 自动上样系统：支持不少于20个载玻片的显微镜自动上样装置。</w:t>
      </w:r>
    </w:p>
    <w:p w14:paraId="54CE4BFA">
      <w:pPr>
        <w:tabs>
          <w:tab w:val="left" w:pos="360"/>
        </w:tabs>
        <w:adjustRightInd w:val="0"/>
        <w:snapToGrid w:val="0"/>
        <w:spacing w:line="360" w:lineRule="auto"/>
        <w:rPr>
          <w:sz w:val="24"/>
        </w:rPr>
      </w:pPr>
      <w:r>
        <w:rPr>
          <w:rFonts w:hint="eastAsia"/>
          <w:sz w:val="24"/>
        </w:rPr>
        <w:t>3.2 光学成像系统</w:t>
      </w:r>
    </w:p>
    <w:p w14:paraId="09459D86">
      <w:pPr>
        <w:tabs>
          <w:tab w:val="left" w:pos="360"/>
        </w:tabs>
        <w:adjustRightInd w:val="0"/>
        <w:snapToGrid w:val="0"/>
        <w:spacing w:line="360" w:lineRule="auto"/>
        <w:rPr>
          <w:sz w:val="24"/>
        </w:rPr>
      </w:pPr>
      <w:r>
        <w:rPr>
          <w:rFonts w:hint="eastAsia"/>
          <w:sz w:val="24"/>
        </w:rPr>
        <w:t>3.2.</w:t>
      </w:r>
      <w:r>
        <w:rPr>
          <w:sz w:val="24"/>
        </w:rPr>
        <w:t>1</w:t>
      </w:r>
      <w:r>
        <w:rPr>
          <w:rFonts w:hint="eastAsia"/>
          <w:sz w:val="24"/>
        </w:rPr>
        <w:t xml:space="preserve"> 成像传感器：≥3000万像素科学级CMOS或sCMOS。</w:t>
      </w:r>
    </w:p>
    <w:p w14:paraId="4EB8E024">
      <w:pPr>
        <w:tabs>
          <w:tab w:val="left" w:pos="360"/>
        </w:tabs>
        <w:adjustRightInd w:val="0"/>
        <w:snapToGrid w:val="0"/>
        <w:spacing w:line="360" w:lineRule="auto"/>
        <w:rPr>
          <w:sz w:val="24"/>
        </w:rPr>
      </w:pPr>
      <w:r>
        <w:rPr>
          <w:rFonts w:hint="eastAsia"/>
          <w:sz w:val="24"/>
        </w:rPr>
        <w:t>3.2.</w:t>
      </w:r>
      <w:r>
        <w:rPr>
          <w:sz w:val="24"/>
        </w:rPr>
        <w:t>2</w:t>
      </w:r>
      <w:r>
        <w:rPr>
          <w:rFonts w:hint="eastAsia"/>
          <w:sz w:val="24"/>
        </w:rPr>
        <w:t xml:space="preserve"> 图像分辨率：40X物镜下物理分辨率≤0.10μm/pixel。</w:t>
      </w:r>
    </w:p>
    <w:p w14:paraId="257BA357">
      <w:pPr>
        <w:tabs>
          <w:tab w:val="left" w:pos="360"/>
        </w:tabs>
        <w:adjustRightInd w:val="0"/>
        <w:snapToGrid w:val="0"/>
        <w:spacing w:line="360" w:lineRule="auto"/>
        <w:rPr>
          <w:sz w:val="24"/>
        </w:rPr>
      </w:pPr>
      <w:r>
        <w:rPr>
          <w:rFonts w:hint="eastAsia"/>
          <w:sz w:val="24"/>
        </w:rPr>
        <w:t>3.2.</w:t>
      </w:r>
      <w:r>
        <w:rPr>
          <w:sz w:val="24"/>
        </w:rPr>
        <w:t>3</w:t>
      </w:r>
      <w:r>
        <w:rPr>
          <w:rFonts w:hint="eastAsia"/>
          <w:sz w:val="24"/>
        </w:rPr>
        <w:t xml:space="preserve"> 全时自动对焦的高分辨率大视野光学成像系统，支持景深叠加功能。</w:t>
      </w:r>
    </w:p>
    <w:p w14:paraId="1336076A">
      <w:pPr>
        <w:tabs>
          <w:tab w:val="left" w:pos="360"/>
        </w:tabs>
        <w:adjustRightInd w:val="0"/>
        <w:snapToGrid w:val="0"/>
        <w:spacing w:line="360" w:lineRule="auto"/>
        <w:rPr>
          <w:sz w:val="24"/>
        </w:rPr>
      </w:pPr>
      <w:r>
        <w:rPr>
          <w:rFonts w:hint="eastAsia"/>
          <w:sz w:val="24"/>
        </w:rPr>
        <w:t>3.3 电控扫描平台</w:t>
      </w:r>
    </w:p>
    <w:p w14:paraId="1AC739F0">
      <w:pPr>
        <w:tabs>
          <w:tab w:val="left" w:pos="360"/>
        </w:tabs>
        <w:adjustRightInd w:val="0"/>
        <w:snapToGrid w:val="0"/>
        <w:spacing w:line="360" w:lineRule="auto"/>
        <w:rPr>
          <w:sz w:val="24"/>
        </w:rPr>
      </w:pPr>
      <w:r>
        <w:rPr>
          <w:rFonts w:hint="eastAsia"/>
          <w:sz w:val="24"/>
        </w:rPr>
        <w:t>3.3.1 X-Y轴平台：行程≥120mm×80mm。</w:t>
      </w:r>
    </w:p>
    <w:p w14:paraId="68066A27">
      <w:pPr>
        <w:tabs>
          <w:tab w:val="left" w:pos="360"/>
        </w:tabs>
        <w:adjustRightInd w:val="0"/>
        <w:snapToGrid w:val="0"/>
        <w:spacing w:line="360" w:lineRule="auto"/>
        <w:rPr>
          <w:sz w:val="24"/>
        </w:rPr>
      </w:pPr>
      <w:r>
        <w:rPr>
          <w:rFonts w:hint="eastAsia"/>
          <w:sz w:val="24"/>
        </w:rPr>
        <w:t>3.3.2 Z轴控制：电动Z轴行程≥10mm。</w:t>
      </w:r>
    </w:p>
    <w:p w14:paraId="59233C53">
      <w:pPr>
        <w:tabs>
          <w:tab w:val="left" w:pos="360"/>
        </w:tabs>
        <w:adjustRightInd w:val="0"/>
        <w:snapToGrid w:val="0"/>
        <w:spacing w:line="360" w:lineRule="auto"/>
        <w:rPr>
          <w:sz w:val="24"/>
        </w:rPr>
      </w:pPr>
      <w:r>
        <w:rPr>
          <w:rFonts w:hint="eastAsia"/>
          <w:sz w:val="24"/>
        </w:rPr>
        <w:t>3.3.3 物镜转盘：D型6孔电动转盘，软件自动切换。</w:t>
      </w:r>
    </w:p>
    <w:p w14:paraId="37CE140B">
      <w:pPr>
        <w:tabs>
          <w:tab w:val="left" w:pos="360"/>
        </w:tabs>
        <w:adjustRightInd w:val="0"/>
        <w:snapToGrid w:val="0"/>
        <w:spacing w:line="360" w:lineRule="auto"/>
        <w:rPr>
          <w:sz w:val="24"/>
        </w:rPr>
      </w:pPr>
      <w:r>
        <w:rPr>
          <w:rFonts w:hint="eastAsia"/>
          <w:sz w:val="24"/>
        </w:rPr>
        <w:t>3.4 显微物镜系统</w:t>
      </w:r>
    </w:p>
    <w:p w14:paraId="77E3C64E">
      <w:pPr>
        <w:tabs>
          <w:tab w:val="left" w:pos="360"/>
        </w:tabs>
        <w:adjustRightInd w:val="0"/>
        <w:snapToGrid w:val="0"/>
        <w:spacing w:line="360" w:lineRule="auto"/>
        <w:rPr>
          <w:sz w:val="24"/>
        </w:rPr>
      </w:pPr>
      <w:r>
        <w:rPr>
          <w:rFonts w:hint="eastAsia"/>
          <w:sz w:val="24"/>
        </w:rPr>
        <w:t>#3.4.1 显微镜主机：研究级三目生物显微镜，含机架、三目观察筒、D型6孔电动物镜转盘、镜臂。</w:t>
      </w:r>
    </w:p>
    <w:p w14:paraId="783B9625">
      <w:pPr>
        <w:tabs>
          <w:tab w:val="left" w:pos="360"/>
        </w:tabs>
        <w:adjustRightInd w:val="0"/>
        <w:snapToGrid w:val="0"/>
        <w:spacing w:line="360" w:lineRule="auto"/>
        <w:rPr>
          <w:sz w:val="24"/>
        </w:rPr>
      </w:pPr>
      <w:r>
        <w:rPr>
          <w:rFonts w:hint="eastAsia"/>
          <w:sz w:val="24"/>
        </w:rPr>
        <w:t>#3.4.2 物镜配置：全套平场复消色差物镜（4X、10X、20X、40X、100X油镜）。</w:t>
      </w:r>
    </w:p>
    <w:p w14:paraId="20FBF45E">
      <w:pPr>
        <w:tabs>
          <w:tab w:val="left" w:pos="360"/>
        </w:tabs>
        <w:adjustRightInd w:val="0"/>
        <w:snapToGrid w:val="0"/>
        <w:spacing w:line="360" w:lineRule="auto"/>
        <w:rPr>
          <w:sz w:val="24"/>
        </w:rPr>
      </w:pPr>
      <w:r>
        <w:rPr>
          <w:rFonts w:hint="eastAsia"/>
          <w:sz w:val="24"/>
        </w:rPr>
        <w:t>3.4.3 目镜：10倍宽视场可调目镜。</w:t>
      </w:r>
    </w:p>
    <w:p w14:paraId="7CDA756A">
      <w:pPr>
        <w:tabs>
          <w:tab w:val="left" w:pos="360"/>
        </w:tabs>
        <w:adjustRightInd w:val="0"/>
        <w:snapToGrid w:val="0"/>
        <w:spacing w:line="360" w:lineRule="auto"/>
        <w:rPr>
          <w:sz w:val="24"/>
        </w:rPr>
      </w:pPr>
      <w:r>
        <w:rPr>
          <w:rFonts w:hint="eastAsia"/>
          <w:sz w:val="24"/>
        </w:rPr>
        <w:t>3.5 AI智能识别与实时计数系统</w:t>
      </w:r>
    </w:p>
    <w:p w14:paraId="63D75758">
      <w:pPr>
        <w:tabs>
          <w:tab w:val="left" w:pos="360"/>
        </w:tabs>
        <w:adjustRightInd w:val="0"/>
        <w:snapToGrid w:val="0"/>
        <w:spacing w:line="360" w:lineRule="auto"/>
        <w:rPr>
          <w:sz w:val="24"/>
        </w:rPr>
      </w:pPr>
      <w:r>
        <w:rPr>
          <w:rFonts w:hint="eastAsia"/>
          <w:sz w:val="24"/>
        </w:rPr>
        <w:t>#3.5.1 AI识别库：浮游植物≥200个属种，浮游动物≥80个大类或属，支持种级识别，可扩展至≥300个属种。</w:t>
      </w:r>
    </w:p>
    <w:p w14:paraId="573EC447">
      <w:pPr>
        <w:tabs>
          <w:tab w:val="left" w:pos="360"/>
        </w:tabs>
        <w:adjustRightInd w:val="0"/>
        <w:snapToGrid w:val="0"/>
        <w:spacing w:line="360" w:lineRule="auto"/>
        <w:rPr>
          <w:sz w:val="24"/>
        </w:rPr>
      </w:pPr>
      <w:r>
        <w:rPr>
          <w:rFonts w:hint="eastAsia"/>
          <w:sz w:val="24"/>
        </w:rPr>
        <w:t>3.5.2 识别准确率：优势种≥95%，综合识别率≥90%。</w:t>
      </w:r>
    </w:p>
    <w:p w14:paraId="1DFCB48E">
      <w:pPr>
        <w:tabs>
          <w:tab w:val="left" w:pos="360"/>
        </w:tabs>
        <w:adjustRightInd w:val="0"/>
        <w:snapToGrid w:val="0"/>
        <w:spacing w:line="360" w:lineRule="auto"/>
        <w:rPr>
          <w:sz w:val="24"/>
        </w:rPr>
      </w:pPr>
      <w:r>
        <w:rPr>
          <w:rFonts w:hint="eastAsia"/>
          <w:sz w:val="24"/>
        </w:rPr>
        <w:t>3.5.3 实时流式计数：扫描-成像-推理为并行流式。</w:t>
      </w:r>
    </w:p>
    <w:p w14:paraId="02A7807C">
      <w:pPr>
        <w:tabs>
          <w:tab w:val="left" w:pos="360"/>
        </w:tabs>
        <w:adjustRightInd w:val="0"/>
        <w:snapToGrid w:val="0"/>
        <w:spacing w:line="360" w:lineRule="auto"/>
        <w:rPr>
          <w:sz w:val="24"/>
        </w:rPr>
      </w:pPr>
      <w:r>
        <w:rPr>
          <w:rFonts w:hint="eastAsia"/>
          <w:sz w:val="24"/>
        </w:rPr>
        <w:t>#3.5.</w:t>
      </w:r>
      <w:r>
        <w:rPr>
          <w:sz w:val="24"/>
        </w:rPr>
        <w:t>4</w:t>
      </w:r>
      <w:r>
        <w:rPr>
          <w:rFonts w:hint="eastAsia"/>
          <w:sz w:val="24"/>
        </w:rPr>
        <w:t xml:space="preserve"> 形态与生物量：自动输出面积、周长、体积等形态参数，自动计算多样性指数、藻密度、生物量。</w:t>
      </w:r>
    </w:p>
    <w:p w14:paraId="6EF8C0CD">
      <w:pPr>
        <w:tabs>
          <w:tab w:val="left" w:pos="360"/>
        </w:tabs>
        <w:adjustRightInd w:val="0"/>
        <w:snapToGrid w:val="0"/>
        <w:spacing w:line="360" w:lineRule="auto"/>
        <w:rPr>
          <w:sz w:val="24"/>
        </w:rPr>
      </w:pPr>
      <w:r>
        <w:rPr>
          <w:rFonts w:hint="eastAsia"/>
          <w:sz w:val="24"/>
        </w:rPr>
        <w:t>3.6 软件系统与数据接口</w:t>
      </w:r>
    </w:p>
    <w:p w14:paraId="58097BAC">
      <w:pPr>
        <w:tabs>
          <w:tab w:val="left" w:pos="360"/>
        </w:tabs>
        <w:adjustRightInd w:val="0"/>
        <w:snapToGrid w:val="0"/>
        <w:spacing w:line="360" w:lineRule="auto"/>
        <w:rPr>
          <w:sz w:val="24"/>
        </w:rPr>
      </w:pPr>
      <w:r>
        <w:rPr>
          <w:rFonts w:hint="eastAsia"/>
          <w:sz w:val="24"/>
        </w:rPr>
        <w:t>3.6.1 软件功能：双进程同步操作，三级权限管理，审计追踪，历史回溯，一键生成Word/PDF报告。</w:t>
      </w:r>
    </w:p>
    <w:p w14:paraId="7EDA6859">
      <w:pPr>
        <w:tabs>
          <w:tab w:val="left" w:pos="360"/>
        </w:tabs>
        <w:adjustRightInd w:val="0"/>
        <w:snapToGrid w:val="0"/>
        <w:spacing w:line="360" w:lineRule="auto"/>
        <w:rPr>
          <w:sz w:val="24"/>
        </w:rPr>
      </w:pPr>
      <w:r>
        <w:rPr>
          <w:rFonts w:hint="eastAsia"/>
          <w:sz w:val="24"/>
        </w:rPr>
        <w:t>3.6.2 数据接口：开放API（HTTP/HTTPS），支持JSON/XML自动推送，支持MQTT协议，支持SQL数据库导出。</w:t>
      </w:r>
    </w:p>
    <w:p w14:paraId="1BE209A2">
      <w:pPr>
        <w:tabs>
          <w:tab w:val="left" w:pos="360"/>
        </w:tabs>
        <w:adjustRightInd w:val="0"/>
        <w:snapToGrid w:val="0"/>
        <w:spacing w:line="360" w:lineRule="auto"/>
        <w:rPr>
          <w:sz w:val="24"/>
        </w:rPr>
      </w:pPr>
      <w:r>
        <w:rPr>
          <w:rFonts w:hint="eastAsia"/>
          <w:sz w:val="24"/>
        </w:rPr>
        <w:t>3.7 分析工作站与辅助设备</w:t>
      </w:r>
    </w:p>
    <w:p w14:paraId="49984386">
      <w:pPr>
        <w:tabs>
          <w:tab w:val="left" w:pos="360"/>
        </w:tabs>
        <w:adjustRightInd w:val="0"/>
        <w:snapToGrid w:val="0"/>
        <w:spacing w:line="360" w:lineRule="auto"/>
        <w:rPr>
          <w:sz w:val="24"/>
        </w:rPr>
      </w:pPr>
      <w:r>
        <w:rPr>
          <w:rFonts w:hint="eastAsia"/>
          <w:sz w:val="24"/>
        </w:rPr>
        <w:t>3.7.1 分析工作站不低于以下配置：酷睿i5 九代以上CPU /16G内存/含支持CUDA的GTX1060 及以上GPU卡/ 256G固态硬盘+1T硬盘/ 23”彩显，1个USB3.0口+3个USB2.0口，运行环境Windows 10操作系统。</w:t>
      </w:r>
    </w:p>
    <w:p w14:paraId="716343F1">
      <w:pPr>
        <w:tabs>
          <w:tab w:val="left" w:pos="360"/>
        </w:tabs>
        <w:adjustRightInd w:val="0"/>
        <w:snapToGrid w:val="0"/>
        <w:spacing w:line="360" w:lineRule="auto"/>
        <w:rPr>
          <w:sz w:val="24"/>
        </w:rPr>
      </w:pPr>
      <w:r>
        <w:rPr>
          <w:rFonts w:hint="eastAsia"/>
          <w:sz w:val="24"/>
        </w:rPr>
        <w:t>3.7.2 影像扫描仪：超高分辨率、高性能A4幅面影像扫描仪。</w:t>
      </w:r>
    </w:p>
    <w:p w14:paraId="083273B5">
      <w:pPr>
        <w:tabs>
          <w:tab w:val="left" w:pos="360"/>
        </w:tabs>
        <w:adjustRightInd w:val="0"/>
        <w:snapToGrid w:val="0"/>
        <w:spacing w:line="360" w:lineRule="auto"/>
        <w:rPr>
          <w:b/>
          <w:sz w:val="24"/>
        </w:rPr>
      </w:pPr>
      <w:r>
        <w:rPr>
          <w:rFonts w:hint="eastAsia"/>
          <w:sz w:val="24"/>
        </w:rPr>
        <w:t>3.7.3 水样盘：高透明大容量水样盘，自动进样。</w:t>
      </w:r>
    </w:p>
    <w:p w14:paraId="5F2873C5">
      <w:pPr>
        <w:adjustRightInd w:val="0"/>
        <w:snapToGrid w:val="0"/>
        <w:spacing w:line="360" w:lineRule="auto"/>
        <w:ind w:left="360" w:hanging="360"/>
        <w:rPr>
          <w:b/>
          <w:color w:val="000000"/>
          <w:sz w:val="24"/>
        </w:rPr>
      </w:pPr>
    </w:p>
    <w:p w14:paraId="128DA3AC">
      <w:pPr>
        <w:adjustRightInd w:val="0"/>
        <w:snapToGrid w:val="0"/>
        <w:spacing w:line="360" w:lineRule="auto"/>
        <w:ind w:left="360" w:hanging="360"/>
        <w:rPr>
          <w:b/>
          <w:color w:val="000000"/>
          <w:sz w:val="24"/>
        </w:rPr>
      </w:pPr>
      <w:r>
        <w:rPr>
          <w:rFonts w:hint="eastAsia"/>
          <w:b/>
          <w:color w:val="000000"/>
          <w:sz w:val="24"/>
        </w:rPr>
        <w:t>4.</w:t>
      </w:r>
      <w:r>
        <w:rPr>
          <w:b/>
          <w:color w:val="000000"/>
          <w:sz w:val="24"/>
        </w:rPr>
        <w:t>产品配置要求</w:t>
      </w:r>
    </w:p>
    <w:p w14:paraId="5ECCCACF">
      <w:pPr>
        <w:adjustRightInd w:val="0"/>
        <w:snapToGrid w:val="0"/>
        <w:spacing w:line="360" w:lineRule="auto"/>
        <w:rPr>
          <w:sz w:val="24"/>
        </w:rPr>
      </w:pPr>
      <w:r>
        <w:rPr>
          <w:rFonts w:hint="eastAsia"/>
          <w:sz w:val="24"/>
        </w:rPr>
        <w:t>4.1 水生生物智能鉴定与计数系统软件1套（含浮游植物/浮游动物AI识别库）；</w:t>
      </w:r>
    </w:p>
    <w:p w14:paraId="718D526B">
      <w:pPr>
        <w:adjustRightInd w:val="0"/>
        <w:snapToGrid w:val="0"/>
        <w:spacing w:line="360" w:lineRule="auto"/>
        <w:rPr>
          <w:sz w:val="24"/>
        </w:rPr>
      </w:pPr>
      <w:r>
        <w:rPr>
          <w:rFonts w:hint="eastAsia"/>
          <w:sz w:val="24"/>
        </w:rPr>
        <w:t>4.2 研究级三目生物显微镜主机1台（含机架、三目观察筒、D型6孔电动物镜转盘、镜臂、同轴调焦机构）；</w:t>
      </w:r>
    </w:p>
    <w:p w14:paraId="559FD04D">
      <w:pPr>
        <w:adjustRightInd w:val="0"/>
        <w:snapToGrid w:val="0"/>
        <w:spacing w:line="360" w:lineRule="auto"/>
        <w:rPr>
          <w:sz w:val="24"/>
        </w:rPr>
      </w:pPr>
      <w:r>
        <w:rPr>
          <w:rFonts w:hint="eastAsia"/>
          <w:sz w:val="24"/>
        </w:rPr>
        <w:t>4.3 平场复消色差物镜组1套（4X/10X/20X/40X/100X油镜，全套荧光优化镀膜）；</w:t>
      </w:r>
    </w:p>
    <w:p w14:paraId="6F06F682">
      <w:pPr>
        <w:adjustRightInd w:val="0"/>
        <w:snapToGrid w:val="0"/>
        <w:spacing w:line="360" w:lineRule="auto"/>
        <w:rPr>
          <w:sz w:val="24"/>
        </w:rPr>
      </w:pPr>
      <w:r>
        <w:rPr>
          <w:rFonts w:hint="eastAsia"/>
          <w:sz w:val="24"/>
        </w:rPr>
        <w:t>4.4 10倍宽视场可调目镜1对；</w:t>
      </w:r>
    </w:p>
    <w:p w14:paraId="3BF7BC01">
      <w:pPr>
        <w:adjustRightInd w:val="0"/>
        <w:snapToGrid w:val="0"/>
        <w:spacing w:line="360" w:lineRule="auto"/>
        <w:rPr>
          <w:color w:val="000000" w:themeColor="text1"/>
          <w:sz w:val="24"/>
          <w14:textFill>
            <w14:solidFill>
              <w14:schemeClr w14:val="tx1"/>
            </w14:solidFill>
          </w14:textFill>
        </w:rPr>
      </w:pPr>
      <w:r>
        <w:rPr>
          <w:rFonts w:hint="eastAsia"/>
          <w:sz w:val="24"/>
        </w:rPr>
        <w:t>4.</w:t>
      </w:r>
      <w:r>
        <w:rPr>
          <w:sz w:val="24"/>
        </w:rPr>
        <w:t>5</w:t>
      </w:r>
      <w:r>
        <w:rPr>
          <w:rFonts w:hint="eastAsia"/>
          <w:color w:val="000000" w:themeColor="text1"/>
          <w:sz w:val="24"/>
          <w14:textFill>
            <w14:solidFill>
              <w14:schemeClr w14:val="tx1"/>
            </w14:solidFill>
          </w14:textFill>
        </w:rPr>
        <w:t>电控X-Y-Z扫描平台1套；</w:t>
      </w:r>
    </w:p>
    <w:p w14:paraId="792BBF93">
      <w:pPr>
        <w:adjustRightInd w:val="0"/>
        <w:snapToGrid w:val="0"/>
        <w:spacing w:line="360" w:lineRule="auto"/>
        <w:rPr>
          <w:sz w:val="24"/>
        </w:rPr>
      </w:pPr>
      <w:r>
        <w:rPr>
          <w:rFonts w:hint="eastAsia"/>
          <w:sz w:val="24"/>
        </w:rPr>
        <w:t>4.</w:t>
      </w:r>
      <w:r>
        <w:rPr>
          <w:sz w:val="24"/>
        </w:rPr>
        <w:t>6</w:t>
      </w:r>
      <w:r>
        <w:rPr>
          <w:rFonts w:hint="eastAsia"/>
          <w:sz w:val="24"/>
        </w:rPr>
        <w:t xml:space="preserve"> 平台控制器与驱动系统1套；</w:t>
      </w:r>
    </w:p>
    <w:p w14:paraId="1E616F67">
      <w:pPr>
        <w:adjustRightInd w:val="0"/>
        <w:snapToGrid w:val="0"/>
        <w:spacing w:line="360" w:lineRule="auto"/>
        <w:rPr>
          <w:sz w:val="24"/>
        </w:rPr>
      </w:pPr>
      <w:r>
        <w:rPr>
          <w:rFonts w:hint="eastAsia"/>
          <w:sz w:val="24"/>
        </w:rPr>
        <w:t>4.</w:t>
      </w:r>
      <w:r>
        <w:rPr>
          <w:sz w:val="24"/>
        </w:rPr>
        <w:t>7</w:t>
      </w:r>
      <w:r>
        <w:rPr>
          <w:rFonts w:hint="eastAsia"/>
          <w:sz w:val="24"/>
        </w:rPr>
        <w:t xml:space="preserve"> 分析工作站1台；</w:t>
      </w:r>
      <w:r>
        <w:rPr>
          <w:sz w:val="24"/>
        </w:rPr>
        <w:t xml:space="preserve"> </w:t>
      </w:r>
    </w:p>
    <w:p w14:paraId="77560B6B">
      <w:pPr>
        <w:adjustRightInd w:val="0"/>
        <w:snapToGrid w:val="0"/>
        <w:spacing w:line="360" w:lineRule="auto"/>
        <w:rPr>
          <w:color w:val="FF0000"/>
          <w:sz w:val="24"/>
        </w:rPr>
      </w:pPr>
      <w:r>
        <w:rPr>
          <w:rFonts w:hint="eastAsia"/>
          <w:sz w:val="24"/>
        </w:rPr>
        <w:t>4.</w:t>
      </w:r>
      <w:r>
        <w:rPr>
          <w:sz w:val="24"/>
        </w:rPr>
        <w:t>8</w:t>
      </w:r>
      <w:r>
        <w:rPr>
          <w:rFonts w:hint="eastAsia"/>
          <w:sz w:val="24"/>
        </w:rPr>
        <w:t xml:space="preserve"> </w:t>
      </w:r>
      <w:r>
        <w:rPr>
          <w:rFonts w:hint="eastAsia"/>
          <w:color w:val="000000" w:themeColor="text1"/>
          <w:sz w:val="24"/>
          <w14:textFill>
            <w14:solidFill>
              <w14:schemeClr w14:val="tx1"/>
            </w14:solidFill>
          </w14:textFill>
        </w:rPr>
        <w:t>A4影像扫描仪1台；</w:t>
      </w:r>
    </w:p>
    <w:p w14:paraId="41AE6C76">
      <w:pPr>
        <w:adjustRightInd w:val="0"/>
        <w:snapToGrid w:val="0"/>
        <w:spacing w:line="360" w:lineRule="auto"/>
        <w:rPr>
          <w:b/>
          <w:color w:val="000000"/>
          <w:sz w:val="24"/>
        </w:rPr>
      </w:pPr>
    </w:p>
    <w:p w14:paraId="1AFB85C8">
      <w:pPr>
        <w:adjustRightInd w:val="0"/>
        <w:snapToGrid w:val="0"/>
        <w:spacing w:line="360" w:lineRule="auto"/>
        <w:rPr>
          <w:b/>
          <w:color w:val="000000"/>
          <w:sz w:val="24"/>
        </w:rPr>
      </w:pPr>
      <w:r>
        <w:rPr>
          <w:b/>
          <w:color w:val="000000"/>
          <w:sz w:val="24"/>
        </w:rPr>
        <w:t>（二）质保及售后服务：</w:t>
      </w:r>
    </w:p>
    <w:p w14:paraId="3E480872">
      <w:pPr>
        <w:adjustRightInd w:val="0"/>
        <w:snapToGrid w:val="0"/>
        <w:spacing w:line="360" w:lineRule="auto"/>
        <w:ind w:left="360" w:hanging="360"/>
        <w:rPr>
          <w:b/>
          <w:color w:val="000000"/>
          <w:sz w:val="24"/>
        </w:rPr>
      </w:pPr>
      <w:r>
        <w:rPr>
          <w:b/>
          <w:color w:val="000000"/>
          <w:sz w:val="24"/>
        </w:rPr>
        <w:t>1.安装调试与维护</w:t>
      </w:r>
    </w:p>
    <w:p w14:paraId="6C78DF7E">
      <w:pPr>
        <w:adjustRightInd w:val="0"/>
        <w:snapToGrid w:val="0"/>
        <w:spacing w:line="360" w:lineRule="auto"/>
        <w:rPr>
          <w:sz w:val="24"/>
        </w:rPr>
      </w:pPr>
      <w:r>
        <w:rPr>
          <w:sz w:val="24"/>
        </w:rPr>
        <w:t>1.1仪器设备运抵安装现场后，在七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14:paraId="7422DC0E">
      <w:pPr>
        <w:adjustRightInd w:val="0"/>
        <w:snapToGrid w:val="0"/>
        <w:spacing w:line="360" w:lineRule="auto"/>
        <w:rPr>
          <w:sz w:val="24"/>
        </w:rPr>
      </w:pPr>
      <w:r>
        <w:rPr>
          <w:sz w:val="24"/>
        </w:rPr>
        <w:t>1.2验收由采购人及相关人员依国家有关标准、合同及有关附件要求进行，验收完毕由采购人在验收报告上签名。</w:t>
      </w:r>
    </w:p>
    <w:p w14:paraId="78610BE1">
      <w:pPr>
        <w:adjustRightInd w:val="0"/>
        <w:snapToGrid w:val="0"/>
        <w:spacing w:line="360" w:lineRule="auto"/>
        <w:rPr>
          <w:b/>
          <w:bCs/>
          <w:sz w:val="24"/>
        </w:rPr>
      </w:pPr>
      <w:r>
        <w:rPr>
          <w:b/>
          <w:bCs/>
          <w:sz w:val="24"/>
        </w:rPr>
        <w:t>2.技术培训</w:t>
      </w:r>
    </w:p>
    <w:p w14:paraId="3E11AE40">
      <w:pPr>
        <w:adjustRightInd w:val="0"/>
        <w:snapToGrid w:val="0"/>
        <w:spacing w:line="360" w:lineRule="auto"/>
        <w:rPr>
          <w:sz w:val="24"/>
        </w:rPr>
      </w:pPr>
      <w:r>
        <w:rPr>
          <w:sz w:val="24"/>
        </w:rPr>
        <w:t>2.1现场培训：在安装仪器时由专业工程师进行免费安装调试和现场培训。讲解仪器内部构造、仪器维护保养以及简单的故障排除方法，直至用户技术人员熟练使用仪器以及会应用仪器完成整个分析检测工作。</w:t>
      </w:r>
    </w:p>
    <w:p w14:paraId="47569C4D">
      <w:pPr>
        <w:adjustRightInd w:val="0"/>
        <w:snapToGrid w:val="0"/>
        <w:spacing w:line="360" w:lineRule="auto"/>
        <w:rPr>
          <w:sz w:val="24"/>
        </w:rPr>
      </w:pPr>
      <w:r>
        <w:rPr>
          <w:sz w:val="24"/>
        </w:rPr>
        <w:t>2.2现场回访培训。根据用户使用情况及需求，供应商不定期安排专业应用工程师免费对用户的使用情况进行提高培训，帮助客户解决遇到的问题和项目开发，并进行技术提高和方法开发等高级培训。</w:t>
      </w:r>
    </w:p>
    <w:p w14:paraId="60B701A6">
      <w:pPr>
        <w:adjustRightInd w:val="0"/>
        <w:snapToGrid w:val="0"/>
        <w:spacing w:line="360" w:lineRule="auto"/>
        <w:rPr>
          <w:b/>
          <w:color w:val="000000"/>
          <w:sz w:val="24"/>
        </w:rPr>
      </w:pPr>
      <w:r>
        <w:rPr>
          <w:sz w:val="24"/>
        </w:rPr>
        <w:t>2.3厂家培训中心培训：提供2个名额的学习班系统培训，包括仪器原理、操作、维护等。</w:t>
      </w:r>
    </w:p>
    <w:p w14:paraId="67C728AD">
      <w:pPr>
        <w:adjustRightInd w:val="0"/>
        <w:snapToGrid w:val="0"/>
        <w:spacing w:line="360" w:lineRule="auto"/>
        <w:rPr>
          <w:b/>
          <w:bCs/>
          <w:sz w:val="24"/>
        </w:rPr>
      </w:pPr>
      <w:r>
        <w:rPr>
          <w:rFonts w:hint="eastAsia" w:ascii="Segoe UI Symbol" w:hAnsi="Segoe UI Symbol" w:cs="Segoe UI Symbol"/>
          <w:b/>
          <w:bCs/>
          <w:sz w:val="24"/>
        </w:rPr>
        <w:t>★</w:t>
      </w:r>
      <w:r>
        <w:rPr>
          <w:b/>
          <w:bCs/>
          <w:sz w:val="24"/>
        </w:rPr>
        <w:t>3.质保期</w:t>
      </w:r>
    </w:p>
    <w:p w14:paraId="5E7059D9">
      <w:pPr>
        <w:adjustRightInd w:val="0"/>
        <w:snapToGrid w:val="0"/>
        <w:spacing w:line="360" w:lineRule="auto"/>
        <w:ind w:firstLine="480" w:firstLineChars="200"/>
        <w:rPr>
          <w:sz w:val="24"/>
        </w:rPr>
      </w:pPr>
      <w:r>
        <w:rPr>
          <w:sz w:val="24"/>
        </w:rPr>
        <w:t>提供</w:t>
      </w:r>
      <w:r>
        <w:rPr>
          <w:rFonts w:hint="eastAsia"/>
          <w:sz w:val="24"/>
        </w:rPr>
        <w:t>≥</w:t>
      </w:r>
      <w:r>
        <w:rPr>
          <w:sz w:val="24"/>
        </w:rPr>
        <w:t>3年的免费质保期服务。制造商应当提供所有的服务，包括备有零件及易耗品。</w:t>
      </w:r>
    </w:p>
    <w:p w14:paraId="1733D458">
      <w:pPr>
        <w:adjustRightInd w:val="0"/>
        <w:snapToGrid w:val="0"/>
        <w:spacing w:line="360" w:lineRule="auto"/>
        <w:rPr>
          <w:b/>
          <w:bCs/>
          <w:sz w:val="24"/>
        </w:rPr>
      </w:pPr>
      <w:r>
        <w:rPr>
          <w:b/>
          <w:bCs/>
          <w:sz w:val="24"/>
        </w:rPr>
        <w:t>4.售后服务</w:t>
      </w:r>
    </w:p>
    <w:p w14:paraId="3A65E6C5">
      <w:pPr>
        <w:adjustRightInd w:val="0"/>
        <w:snapToGrid w:val="0"/>
        <w:spacing w:line="360" w:lineRule="auto"/>
        <w:ind w:firstLine="480" w:firstLineChars="200"/>
        <w:rPr>
          <w:sz w:val="24"/>
        </w:rPr>
      </w:pPr>
      <w:r>
        <w:rPr>
          <w:sz w:val="24"/>
        </w:rPr>
        <w:t>供应商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14:paraId="7252F33F">
      <w:pPr>
        <w:adjustRightInd w:val="0"/>
        <w:snapToGrid w:val="0"/>
        <w:spacing w:line="360" w:lineRule="auto"/>
        <w:ind w:firstLine="480" w:firstLineChars="200"/>
        <w:rPr>
          <w:sz w:val="24"/>
        </w:rPr>
      </w:pPr>
      <w:r>
        <w:rPr>
          <w:sz w:val="24"/>
        </w:rPr>
        <w:t>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14:paraId="734AB65D">
      <w:pPr>
        <w:adjustRightInd w:val="0"/>
        <w:snapToGrid w:val="0"/>
        <w:spacing w:line="360" w:lineRule="auto"/>
        <w:rPr>
          <w:b/>
          <w:color w:val="000000"/>
          <w:sz w:val="24"/>
        </w:rPr>
      </w:pPr>
    </w:p>
    <w:p w14:paraId="1442FF01">
      <w:pPr>
        <w:adjustRightInd w:val="0"/>
        <w:snapToGrid w:val="0"/>
        <w:spacing w:line="360" w:lineRule="auto"/>
        <w:rPr>
          <w:b/>
          <w:color w:val="000000"/>
          <w:sz w:val="24"/>
        </w:rPr>
      </w:pPr>
      <w:r>
        <w:rPr>
          <w:b/>
          <w:color w:val="000000"/>
          <w:sz w:val="24"/>
        </w:rPr>
        <w:t>（三）订货数量：</w:t>
      </w:r>
    </w:p>
    <w:p w14:paraId="693D8E85">
      <w:pPr>
        <w:adjustRightInd w:val="0"/>
        <w:snapToGrid w:val="0"/>
        <w:spacing w:line="360" w:lineRule="auto"/>
        <w:ind w:firstLine="420"/>
        <w:rPr>
          <w:color w:val="000000"/>
          <w:sz w:val="24"/>
        </w:rPr>
      </w:pPr>
      <w:r>
        <w:rPr>
          <w:rFonts w:hint="eastAsia"/>
          <w:color w:val="000000"/>
          <w:sz w:val="24"/>
        </w:rPr>
        <w:t>水生生物在线观测（浮游生物鉴定计数系统） 1套</w:t>
      </w:r>
    </w:p>
    <w:p w14:paraId="53180C42">
      <w:pPr>
        <w:adjustRightInd w:val="0"/>
        <w:snapToGrid w:val="0"/>
        <w:spacing w:line="360" w:lineRule="auto"/>
        <w:rPr>
          <w:b/>
          <w:color w:val="000000"/>
          <w:sz w:val="24"/>
        </w:rPr>
      </w:pPr>
    </w:p>
    <w:p w14:paraId="79917741">
      <w:pPr>
        <w:adjustRightInd w:val="0"/>
        <w:snapToGrid w:val="0"/>
        <w:spacing w:line="360" w:lineRule="auto"/>
        <w:rPr>
          <w:b/>
          <w:color w:val="000000"/>
          <w:sz w:val="24"/>
        </w:rPr>
      </w:pPr>
      <w:r>
        <w:rPr>
          <w:b/>
          <w:color w:val="000000"/>
          <w:sz w:val="24"/>
        </w:rPr>
        <w:t>（四）</w:t>
      </w:r>
      <w:r>
        <w:rPr>
          <w:rFonts w:hint="eastAsia"/>
          <w:b/>
          <w:sz w:val="24"/>
        </w:rPr>
        <w:t>交货日期和交货地点（项目现场）：</w:t>
      </w:r>
    </w:p>
    <w:p w14:paraId="5C98EAE1">
      <w:pPr>
        <w:adjustRightInd w:val="0"/>
        <w:snapToGrid w:val="0"/>
        <w:spacing w:line="360" w:lineRule="auto"/>
        <w:ind w:firstLine="420"/>
        <w:rPr>
          <w:color w:val="000000"/>
          <w:sz w:val="24"/>
        </w:rPr>
      </w:pPr>
      <w:r>
        <w:rPr>
          <w:rFonts w:hint="eastAsia"/>
          <w:color w:val="000000"/>
          <w:sz w:val="24"/>
        </w:rPr>
        <w:t>交货地点：</w:t>
      </w:r>
      <w:r>
        <w:rPr>
          <w:color w:val="000000"/>
          <w:sz w:val="24"/>
        </w:rPr>
        <w:t>用户指定地点</w:t>
      </w:r>
    </w:p>
    <w:p w14:paraId="136B262F">
      <w:pPr>
        <w:adjustRightInd w:val="0"/>
        <w:snapToGrid w:val="0"/>
        <w:spacing w:line="360" w:lineRule="auto"/>
        <w:ind w:firstLine="420"/>
        <w:rPr>
          <w:color w:val="000000"/>
          <w:sz w:val="24"/>
        </w:rPr>
      </w:pPr>
      <w:r>
        <w:rPr>
          <w:rFonts w:hint="eastAsia"/>
          <w:color w:val="000000"/>
          <w:sz w:val="24"/>
        </w:rPr>
        <w:t>交货日期：</w:t>
      </w:r>
      <w:r>
        <w:rPr>
          <w:color w:val="000000"/>
          <w:sz w:val="24"/>
        </w:rPr>
        <w:t xml:space="preserve">合同签订后30天。                                           </w:t>
      </w:r>
    </w:p>
    <w:p w14:paraId="657FB18F">
      <w:pPr>
        <w:adjustRightInd w:val="0"/>
        <w:snapToGrid w:val="0"/>
        <w:spacing w:line="360" w:lineRule="auto"/>
        <w:rPr>
          <w:b/>
          <w:sz w:val="24"/>
        </w:rPr>
      </w:pPr>
    </w:p>
    <w:p w14:paraId="10A483DD">
      <w:pPr>
        <w:adjustRightInd w:val="0"/>
        <w:snapToGrid w:val="0"/>
        <w:spacing w:line="360" w:lineRule="auto"/>
        <w:rPr>
          <w:sz w:val="24"/>
        </w:rPr>
      </w:pPr>
      <w:r>
        <w:rPr>
          <w:b/>
          <w:sz w:val="24"/>
        </w:rPr>
        <w:t>（</w:t>
      </w:r>
      <w:r>
        <w:rPr>
          <w:rFonts w:hint="eastAsia"/>
          <w:b/>
          <w:sz w:val="24"/>
        </w:rPr>
        <w:t>五</w:t>
      </w:r>
      <w:r>
        <w:rPr>
          <w:b/>
          <w:sz w:val="24"/>
        </w:rPr>
        <w:t>）付款方式：</w:t>
      </w:r>
    </w:p>
    <w:p w14:paraId="5273DE1C">
      <w:pPr>
        <w:adjustRightInd w:val="0"/>
        <w:snapToGrid w:val="0"/>
        <w:spacing w:line="360" w:lineRule="auto"/>
        <w:ind w:firstLine="420"/>
        <w:rPr>
          <w:sz w:val="24"/>
        </w:rPr>
      </w:pPr>
      <w:r>
        <w:rPr>
          <w:rFonts w:hint="eastAsia"/>
          <w:sz w:val="24"/>
        </w:rPr>
        <w:t>合同签订后，甲方向乙方支付合同金额的50%（需乙方向甲方提供相应金额银行保函），安装调试完成后，乙方提交合同总额10%的质保金或等额质保函，凭采购人代表签字并加盖单位公章后的验收报告，乙方开具增值税专票，甲方向乙方支付合同金额的50%。质保期满后，无质量问题后无息返还质保金或解除保函。</w:t>
      </w:r>
    </w:p>
    <w:p w14:paraId="343A2642">
      <w:pPr>
        <w:adjustRightInd w:val="0"/>
        <w:snapToGrid w:val="0"/>
        <w:spacing w:line="360" w:lineRule="auto"/>
        <w:rPr>
          <w:b/>
          <w:sz w:val="24"/>
        </w:rPr>
      </w:pPr>
    </w:p>
    <w:p w14:paraId="09160545">
      <w:pPr>
        <w:adjustRightInd w:val="0"/>
        <w:snapToGrid w:val="0"/>
        <w:spacing w:line="360" w:lineRule="auto"/>
        <w:rPr>
          <w:b/>
          <w:sz w:val="24"/>
        </w:rPr>
      </w:pPr>
      <w:r>
        <w:rPr>
          <w:b/>
          <w:sz w:val="24"/>
        </w:rPr>
        <w:t>（</w:t>
      </w:r>
      <w:r>
        <w:rPr>
          <w:rFonts w:hint="eastAsia"/>
          <w:b/>
          <w:sz w:val="24"/>
        </w:rPr>
        <w:t>六</w:t>
      </w:r>
      <w:r>
        <w:rPr>
          <w:b/>
          <w:sz w:val="24"/>
        </w:rPr>
        <w:t>）执行的相关标准</w:t>
      </w:r>
    </w:p>
    <w:p w14:paraId="2CD4CAD6">
      <w:pPr>
        <w:adjustRightInd w:val="0"/>
        <w:snapToGrid w:val="0"/>
        <w:spacing w:line="360" w:lineRule="auto"/>
        <w:ind w:firstLine="420"/>
        <w:rPr>
          <w:b/>
          <w:sz w:val="24"/>
          <w:szCs w:val="30"/>
        </w:rPr>
      </w:pPr>
      <w:r>
        <w:rPr>
          <w:kern w:val="0"/>
          <w:sz w:val="24"/>
        </w:rPr>
        <w:t>产品应满足相关国家标准及行业标准。</w:t>
      </w:r>
    </w:p>
    <w:p w14:paraId="4BF37314">
      <w:pPr>
        <w:adjustRightInd w:val="0"/>
        <w:snapToGrid w:val="0"/>
        <w:spacing w:line="360" w:lineRule="auto"/>
        <w:rPr>
          <w:b/>
          <w:sz w:val="24"/>
        </w:rPr>
      </w:pPr>
    </w:p>
    <w:p w14:paraId="7A763201">
      <w:pPr>
        <w:spacing w:line="360" w:lineRule="auto"/>
        <w:rPr>
          <w:b/>
          <w:sz w:val="24"/>
        </w:rPr>
      </w:pPr>
      <w:r>
        <w:rPr>
          <w:b/>
          <w:sz w:val="24"/>
        </w:rPr>
        <w:t>（七）验收要求：</w:t>
      </w:r>
    </w:p>
    <w:p w14:paraId="33D503E5">
      <w:pPr>
        <w:adjustRightInd w:val="0"/>
        <w:snapToGrid w:val="0"/>
        <w:spacing w:line="360" w:lineRule="auto"/>
        <w:rPr>
          <w:rFonts w:ascii="宋体" w:hAnsi="宋体"/>
          <w:sz w:val="24"/>
        </w:rPr>
      </w:pPr>
      <w:r>
        <w:rPr>
          <w:rFonts w:hint="eastAsia" w:ascii="Segoe UI Symbol" w:hAnsi="Segoe UI Symbol" w:cs="Segoe UI Symbol"/>
          <w:b/>
          <w:bCs/>
          <w:sz w:val="24"/>
        </w:rPr>
        <w:t>★</w:t>
      </w:r>
      <w:r>
        <w:rPr>
          <w:rFonts w:hint="eastAsia" w:ascii="宋体" w:hAnsi="宋体"/>
          <w:sz w:val="24"/>
        </w:rPr>
        <w:t>1.设备的配置、功能和技术实质性指标必须满足招标文件要求，所有技术指标必须能够现场验收或提供第三方机构的证明材料，投标商需在投标文件中提供完备的现场验收方案，</w:t>
      </w:r>
      <w:r>
        <w:rPr>
          <w:rFonts w:hint="eastAsia" w:ascii="宋体" w:hAnsi="宋体"/>
          <w:b/>
          <w:bCs/>
          <w:sz w:val="24"/>
        </w:rPr>
        <w:t>未提交现场验收方案将作为废标处理。</w:t>
      </w:r>
    </w:p>
    <w:p w14:paraId="0FA707B4">
      <w:pPr>
        <w:widowControl/>
        <w:adjustRightInd w:val="0"/>
        <w:snapToGrid w:val="0"/>
        <w:spacing w:line="360" w:lineRule="auto"/>
        <w:rPr>
          <w:rFonts w:ascii="宋体" w:hAnsi="宋体"/>
          <w:sz w:val="24"/>
        </w:rPr>
      </w:pPr>
      <w:r>
        <w:rPr>
          <w:rFonts w:hint="eastAsia" w:ascii="宋体" w:hAnsi="宋体"/>
          <w:sz w:val="24"/>
        </w:rPr>
        <w:t>2.技术指标现场验收方案科学、合理，具有可行性。</w:t>
      </w:r>
    </w:p>
    <w:p w14:paraId="7BB86F8E">
      <w:pPr>
        <w:spacing w:line="360" w:lineRule="auto"/>
        <w:rPr>
          <w:rFonts w:ascii="inherit" w:hAnsi="inherit" w:cs="宋体"/>
          <w:kern w:val="0"/>
          <w:sz w:val="24"/>
        </w:rPr>
      </w:pPr>
      <w:r>
        <w:rPr>
          <w:rFonts w:hint="eastAsia" w:ascii="Segoe UI Symbol" w:hAnsi="Segoe UI Symbol" w:cs="Segoe UI Symbol"/>
          <w:b/>
          <w:bCs/>
          <w:sz w:val="24"/>
        </w:rPr>
        <w:t>★</w:t>
      </w:r>
      <w:r>
        <w:rPr>
          <w:rFonts w:hint="eastAsia" w:ascii="宋体" w:hAnsi="宋体"/>
          <w:sz w:val="24"/>
        </w:rPr>
        <w:t>3.投标商需提供验收承诺函，承诺如下内容：如经检测验收所供货设备无法通过验收，技术指标、参数指标等不符合招标文件及/或采购合同约定标准的，视为根本违约，招标人除有权解除合同外，中标人应向招标人承担合同总金额30%的违约金，用以弥补招标人的损失。</w:t>
      </w: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等线"/>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DejaVuSans-Bold">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imesNewRomanPSMT">
    <w:altName w:val="微软雅黑"/>
    <w:panose1 w:val="00000000000000000000"/>
    <w:charset w:val="00"/>
    <w:family w:val="swiss"/>
    <w:pitch w:val="default"/>
    <w:sig w:usb0="00000000" w:usb1="00000000" w:usb2="00000000" w:usb3="00000000" w:csb0="00000001" w:csb1="00000000"/>
  </w:font>
  <w:font w:name="DejaVuSans">
    <w:altName w:val="微软雅黑"/>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FF31F">
    <w:pPr>
      <w:pStyle w:val="26"/>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4DAAD">
    <w:pPr>
      <w:pStyle w:val="26"/>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5192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486F"/>
    <w:rsid w:val="000050A2"/>
    <w:rsid w:val="00017CDA"/>
    <w:rsid w:val="00027C8D"/>
    <w:rsid w:val="00040005"/>
    <w:rsid w:val="00052BB3"/>
    <w:rsid w:val="000543E7"/>
    <w:rsid w:val="0006010D"/>
    <w:rsid w:val="000668DC"/>
    <w:rsid w:val="00067661"/>
    <w:rsid w:val="00081ADD"/>
    <w:rsid w:val="00095595"/>
    <w:rsid w:val="000969BB"/>
    <w:rsid w:val="000973D2"/>
    <w:rsid w:val="000A1A64"/>
    <w:rsid w:val="000A226E"/>
    <w:rsid w:val="000B0E40"/>
    <w:rsid w:val="000B12EC"/>
    <w:rsid w:val="000B636A"/>
    <w:rsid w:val="000C0A9A"/>
    <w:rsid w:val="000C1537"/>
    <w:rsid w:val="000C1F98"/>
    <w:rsid w:val="000C325D"/>
    <w:rsid w:val="000C505C"/>
    <w:rsid w:val="000D1A3C"/>
    <w:rsid w:val="000E0B0C"/>
    <w:rsid w:val="000E17D4"/>
    <w:rsid w:val="000E4DA9"/>
    <w:rsid w:val="000F0512"/>
    <w:rsid w:val="000F0BD0"/>
    <w:rsid w:val="000F396C"/>
    <w:rsid w:val="000F4571"/>
    <w:rsid w:val="00103352"/>
    <w:rsid w:val="00105333"/>
    <w:rsid w:val="00107AF4"/>
    <w:rsid w:val="001140D0"/>
    <w:rsid w:val="001235CA"/>
    <w:rsid w:val="00130EDF"/>
    <w:rsid w:val="00136F3B"/>
    <w:rsid w:val="00137D93"/>
    <w:rsid w:val="00141D35"/>
    <w:rsid w:val="001437EA"/>
    <w:rsid w:val="001444BD"/>
    <w:rsid w:val="00144505"/>
    <w:rsid w:val="00144DDA"/>
    <w:rsid w:val="0014761F"/>
    <w:rsid w:val="00153F11"/>
    <w:rsid w:val="00154444"/>
    <w:rsid w:val="00154F47"/>
    <w:rsid w:val="00155A34"/>
    <w:rsid w:val="00164E27"/>
    <w:rsid w:val="0018672D"/>
    <w:rsid w:val="001921CA"/>
    <w:rsid w:val="00194900"/>
    <w:rsid w:val="001A0E56"/>
    <w:rsid w:val="001A4DFF"/>
    <w:rsid w:val="001A53B6"/>
    <w:rsid w:val="001A6E63"/>
    <w:rsid w:val="001B195C"/>
    <w:rsid w:val="001B62CC"/>
    <w:rsid w:val="001B66E1"/>
    <w:rsid w:val="001B6E57"/>
    <w:rsid w:val="001C22AC"/>
    <w:rsid w:val="001D6B6D"/>
    <w:rsid w:val="001D7301"/>
    <w:rsid w:val="001E1467"/>
    <w:rsid w:val="001E152C"/>
    <w:rsid w:val="001E3480"/>
    <w:rsid w:val="001E5FC5"/>
    <w:rsid w:val="001F18B7"/>
    <w:rsid w:val="001F1D2B"/>
    <w:rsid w:val="001F2249"/>
    <w:rsid w:val="001F41E7"/>
    <w:rsid w:val="001F5FAD"/>
    <w:rsid w:val="001F79B6"/>
    <w:rsid w:val="00200C4D"/>
    <w:rsid w:val="002024C7"/>
    <w:rsid w:val="00206639"/>
    <w:rsid w:val="00206B22"/>
    <w:rsid w:val="00206D30"/>
    <w:rsid w:val="0021259E"/>
    <w:rsid w:val="00213C28"/>
    <w:rsid w:val="0022022F"/>
    <w:rsid w:val="00224C95"/>
    <w:rsid w:val="00224FE7"/>
    <w:rsid w:val="002260A0"/>
    <w:rsid w:val="0023232E"/>
    <w:rsid w:val="00233C8A"/>
    <w:rsid w:val="00240E7B"/>
    <w:rsid w:val="002418C7"/>
    <w:rsid w:val="00247ED0"/>
    <w:rsid w:val="00251DB7"/>
    <w:rsid w:val="00261DFA"/>
    <w:rsid w:val="002630C9"/>
    <w:rsid w:val="002672D1"/>
    <w:rsid w:val="00275598"/>
    <w:rsid w:val="002761A3"/>
    <w:rsid w:val="0028124D"/>
    <w:rsid w:val="00281709"/>
    <w:rsid w:val="00282A80"/>
    <w:rsid w:val="00282EDD"/>
    <w:rsid w:val="00282F14"/>
    <w:rsid w:val="002872A9"/>
    <w:rsid w:val="00292E0B"/>
    <w:rsid w:val="002B409D"/>
    <w:rsid w:val="002B44BD"/>
    <w:rsid w:val="002B6E7A"/>
    <w:rsid w:val="002B7380"/>
    <w:rsid w:val="002C47B5"/>
    <w:rsid w:val="002C5D78"/>
    <w:rsid w:val="002D5C47"/>
    <w:rsid w:val="002D6107"/>
    <w:rsid w:val="002E03AA"/>
    <w:rsid w:val="002E34AD"/>
    <w:rsid w:val="002E5F65"/>
    <w:rsid w:val="002E6A76"/>
    <w:rsid w:val="002F1704"/>
    <w:rsid w:val="002F6DE0"/>
    <w:rsid w:val="002F6FCA"/>
    <w:rsid w:val="002F7EF8"/>
    <w:rsid w:val="002F7F80"/>
    <w:rsid w:val="00301191"/>
    <w:rsid w:val="00322611"/>
    <w:rsid w:val="003248D5"/>
    <w:rsid w:val="00326910"/>
    <w:rsid w:val="00326D72"/>
    <w:rsid w:val="0033189B"/>
    <w:rsid w:val="00334AA9"/>
    <w:rsid w:val="00343400"/>
    <w:rsid w:val="00344003"/>
    <w:rsid w:val="003442AE"/>
    <w:rsid w:val="0034443A"/>
    <w:rsid w:val="003474B8"/>
    <w:rsid w:val="003478B8"/>
    <w:rsid w:val="00351CB8"/>
    <w:rsid w:val="00353E66"/>
    <w:rsid w:val="00357C16"/>
    <w:rsid w:val="00362911"/>
    <w:rsid w:val="003637C6"/>
    <w:rsid w:val="003732CC"/>
    <w:rsid w:val="00373B63"/>
    <w:rsid w:val="00374F9A"/>
    <w:rsid w:val="00382C0C"/>
    <w:rsid w:val="0038347A"/>
    <w:rsid w:val="00392B9D"/>
    <w:rsid w:val="003933B5"/>
    <w:rsid w:val="003944C7"/>
    <w:rsid w:val="00397F24"/>
    <w:rsid w:val="003A298A"/>
    <w:rsid w:val="003A3B09"/>
    <w:rsid w:val="003B4F45"/>
    <w:rsid w:val="003B6193"/>
    <w:rsid w:val="003C172D"/>
    <w:rsid w:val="003C7092"/>
    <w:rsid w:val="003C785A"/>
    <w:rsid w:val="003D2B81"/>
    <w:rsid w:val="003E74A2"/>
    <w:rsid w:val="003F5F7A"/>
    <w:rsid w:val="004043A2"/>
    <w:rsid w:val="00404EA5"/>
    <w:rsid w:val="00407D88"/>
    <w:rsid w:val="00413170"/>
    <w:rsid w:val="00415144"/>
    <w:rsid w:val="0041594D"/>
    <w:rsid w:val="00420D92"/>
    <w:rsid w:val="00421F2C"/>
    <w:rsid w:val="0042297A"/>
    <w:rsid w:val="00424FBA"/>
    <w:rsid w:val="00433C0B"/>
    <w:rsid w:val="00434216"/>
    <w:rsid w:val="004362C7"/>
    <w:rsid w:val="00440D11"/>
    <w:rsid w:val="0044106E"/>
    <w:rsid w:val="00446E68"/>
    <w:rsid w:val="00447503"/>
    <w:rsid w:val="00447B53"/>
    <w:rsid w:val="00457522"/>
    <w:rsid w:val="0046038A"/>
    <w:rsid w:val="00471176"/>
    <w:rsid w:val="004749DA"/>
    <w:rsid w:val="00484FF8"/>
    <w:rsid w:val="004A0EB1"/>
    <w:rsid w:val="004A3B49"/>
    <w:rsid w:val="004A5C14"/>
    <w:rsid w:val="004B0089"/>
    <w:rsid w:val="004B3476"/>
    <w:rsid w:val="004B36B8"/>
    <w:rsid w:val="004C387C"/>
    <w:rsid w:val="004D0AB9"/>
    <w:rsid w:val="004E042A"/>
    <w:rsid w:val="004E4504"/>
    <w:rsid w:val="004F0FDE"/>
    <w:rsid w:val="004F191B"/>
    <w:rsid w:val="004F3E07"/>
    <w:rsid w:val="005023D6"/>
    <w:rsid w:val="00503A84"/>
    <w:rsid w:val="00504FD3"/>
    <w:rsid w:val="00512882"/>
    <w:rsid w:val="00513728"/>
    <w:rsid w:val="005143FF"/>
    <w:rsid w:val="00516FEB"/>
    <w:rsid w:val="005227AC"/>
    <w:rsid w:val="005244F5"/>
    <w:rsid w:val="00524665"/>
    <w:rsid w:val="00524FBE"/>
    <w:rsid w:val="0054068A"/>
    <w:rsid w:val="00543C0A"/>
    <w:rsid w:val="0054416E"/>
    <w:rsid w:val="0054699B"/>
    <w:rsid w:val="00546BA1"/>
    <w:rsid w:val="005515EB"/>
    <w:rsid w:val="0055226E"/>
    <w:rsid w:val="00552E7C"/>
    <w:rsid w:val="005601D0"/>
    <w:rsid w:val="0056057A"/>
    <w:rsid w:val="00560FEA"/>
    <w:rsid w:val="005613B2"/>
    <w:rsid w:val="0056304A"/>
    <w:rsid w:val="0057066D"/>
    <w:rsid w:val="00572671"/>
    <w:rsid w:val="00573E9C"/>
    <w:rsid w:val="00591688"/>
    <w:rsid w:val="005916DF"/>
    <w:rsid w:val="00595627"/>
    <w:rsid w:val="00595D3F"/>
    <w:rsid w:val="00595EAC"/>
    <w:rsid w:val="005A2F5B"/>
    <w:rsid w:val="005A3EB6"/>
    <w:rsid w:val="005A48DE"/>
    <w:rsid w:val="005A52D6"/>
    <w:rsid w:val="005C574A"/>
    <w:rsid w:val="005D09A0"/>
    <w:rsid w:val="005D479D"/>
    <w:rsid w:val="005E1C30"/>
    <w:rsid w:val="005E218F"/>
    <w:rsid w:val="005E416B"/>
    <w:rsid w:val="005E7A21"/>
    <w:rsid w:val="005F24B2"/>
    <w:rsid w:val="0060103A"/>
    <w:rsid w:val="00601910"/>
    <w:rsid w:val="00602911"/>
    <w:rsid w:val="00602A7A"/>
    <w:rsid w:val="0060509A"/>
    <w:rsid w:val="006125F5"/>
    <w:rsid w:val="00612A9B"/>
    <w:rsid w:val="00614D00"/>
    <w:rsid w:val="0061681D"/>
    <w:rsid w:val="006225E2"/>
    <w:rsid w:val="00626587"/>
    <w:rsid w:val="0062676A"/>
    <w:rsid w:val="00627B6B"/>
    <w:rsid w:val="00640DB1"/>
    <w:rsid w:val="006416E9"/>
    <w:rsid w:val="0064545D"/>
    <w:rsid w:val="00646C82"/>
    <w:rsid w:val="006478C4"/>
    <w:rsid w:val="00647CD5"/>
    <w:rsid w:val="006548A6"/>
    <w:rsid w:val="00655478"/>
    <w:rsid w:val="00664D7F"/>
    <w:rsid w:val="00673641"/>
    <w:rsid w:val="006858B6"/>
    <w:rsid w:val="0069730F"/>
    <w:rsid w:val="006A377B"/>
    <w:rsid w:val="006A55E7"/>
    <w:rsid w:val="006B0930"/>
    <w:rsid w:val="006B41E0"/>
    <w:rsid w:val="006C4384"/>
    <w:rsid w:val="006C5135"/>
    <w:rsid w:val="006C546E"/>
    <w:rsid w:val="006D29F2"/>
    <w:rsid w:val="006D3FB6"/>
    <w:rsid w:val="006D5BF3"/>
    <w:rsid w:val="006E2DE0"/>
    <w:rsid w:val="006E5A8E"/>
    <w:rsid w:val="007006CB"/>
    <w:rsid w:val="0070081C"/>
    <w:rsid w:val="00705335"/>
    <w:rsid w:val="007145FC"/>
    <w:rsid w:val="0071653B"/>
    <w:rsid w:val="00721985"/>
    <w:rsid w:val="00724C84"/>
    <w:rsid w:val="007252A8"/>
    <w:rsid w:val="00725C0A"/>
    <w:rsid w:val="0073119D"/>
    <w:rsid w:val="0073199C"/>
    <w:rsid w:val="00736C5A"/>
    <w:rsid w:val="007376B0"/>
    <w:rsid w:val="00740508"/>
    <w:rsid w:val="007411A3"/>
    <w:rsid w:val="00743776"/>
    <w:rsid w:val="00751428"/>
    <w:rsid w:val="00752D17"/>
    <w:rsid w:val="00752FEF"/>
    <w:rsid w:val="0075674B"/>
    <w:rsid w:val="0075751D"/>
    <w:rsid w:val="00761F2B"/>
    <w:rsid w:val="00763B74"/>
    <w:rsid w:val="007731D0"/>
    <w:rsid w:val="00775B16"/>
    <w:rsid w:val="00785A0A"/>
    <w:rsid w:val="00787CED"/>
    <w:rsid w:val="007967F8"/>
    <w:rsid w:val="007A2F93"/>
    <w:rsid w:val="007A3772"/>
    <w:rsid w:val="007B6DFC"/>
    <w:rsid w:val="007C2696"/>
    <w:rsid w:val="007C4C31"/>
    <w:rsid w:val="007C5EA5"/>
    <w:rsid w:val="007D381E"/>
    <w:rsid w:val="007D3EE2"/>
    <w:rsid w:val="007D74F5"/>
    <w:rsid w:val="007E03CA"/>
    <w:rsid w:val="007E1D29"/>
    <w:rsid w:val="007E593D"/>
    <w:rsid w:val="007E6193"/>
    <w:rsid w:val="007F0FB5"/>
    <w:rsid w:val="007F2F97"/>
    <w:rsid w:val="007F30CC"/>
    <w:rsid w:val="007F387D"/>
    <w:rsid w:val="007F7152"/>
    <w:rsid w:val="00801CFE"/>
    <w:rsid w:val="00803A7F"/>
    <w:rsid w:val="00807BBF"/>
    <w:rsid w:val="0081357F"/>
    <w:rsid w:val="008156CB"/>
    <w:rsid w:val="008203E6"/>
    <w:rsid w:val="00822633"/>
    <w:rsid w:val="008233A4"/>
    <w:rsid w:val="00830107"/>
    <w:rsid w:val="00831B02"/>
    <w:rsid w:val="00833174"/>
    <w:rsid w:val="00835158"/>
    <w:rsid w:val="00846609"/>
    <w:rsid w:val="00847089"/>
    <w:rsid w:val="00852958"/>
    <w:rsid w:val="0085467F"/>
    <w:rsid w:val="00861F64"/>
    <w:rsid w:val="00864F77"/>
    <w:rsid w:val="008661F8"/>
    <w:rsid w:val="008712FA"/>
    <w:rsid w:val="00873CA9"/>
    <w:rsid w:val="00876AA9"/>
    <w:rsid w:val="00876EFF"/>
    <w:rsid w:val="00882892"/>
    <w:rsid w:val="00883AB2"/>
    <w:rsid w:val="00884824"/>
    <w:rsid w:val="008861B2"/>
    <w:rsid w:val="00887A5A"/>
    <w:rsid w:val="00896377"/>
    <w:rsid w:val="008A09F5"/>
    <w:rsid w:val="008A4B18"/>
    <w:rsid w:val="008A738C"/>
    <w:rsid w:val="008B2645"/>
    <w:rsid w:val="008C20FE"/>
    <w:rsid w:val="008C36D3"/>
    <w:rsid w:val="008C4B69"/>
    <w:rsid w:val="008C7C41"/>
    <w:rsid w:val="008D0675"/>
    <w:rsid w:val="008D1425"/>
    <w:rsid w:val="008D2736"/>
    <w:rsid w:val="008D3BC8"/>
    <w:rsid w:val="008D6F23"/>
    <w:rsid w:val="008E5EB5"/>
    <w:rsid w:val="008F04C7"/>
    <w:rsid w:val="008F21A5"/>
    <w:rsid w:val="008F2440"/>
    <w:rsid w:val="0091028C"/>
    <w:rsid w:val="00914619"/>
    <w:rsid w:val="00916CDD"/>
    <w:rsid w:val="00920267"/>
    <w:rsid w:val="009202C8"/>
    <w:rsid w:val="009213DF"/>
    <w:rsid w:val="009246BA"/>
    <w:rsid w:val="00930CDE"/>
    <w:rsid w:val="00935AA1"/>
    <w:rsid w:val="00942B35"/>
    <w:rsid w:val="009451DC"/>
    <w:rsid w:val="009464BE"/>
    <w:rsid w:val="009467F2"/>
    <w:rsid w:val="00950F44"/>
    <w:rsid w:val="0095655E"/>
    <w:rsid w:val="00956752"/>
    <w:rsid w:val="0096524A"/>
    <w:rsid w:val="00965B26"/>
    <w:rsid w:val="00966DE4"/>
    <w:rsid w:val="009718ED"/>
    <w:rsid w:val="0097297B"/>
    <w:rsid w:val="0098154C"/>
    <w:rsid w:val="0098549E"/>
    <w:rsid w:val="009857EF"/>
    <w:rsid w:val="009941D8"/>
    <w:rsid w:val="009A2C18"/>
    <w:rsid w:val="009B36A1"/>
    <w:rsid w:val="009B4BFC"/>
    <w:rsid w:val="009C0A0B"/>
    <w:rsid w:val="009C14BD"/>
    <w:rsid w:val="009C1D65"/>
    <w:rsid w:val="009D1AF8"/>
    <w:rsid w:val="009D32B1"/>
    <w:rsid w:val="009E1C84"/>
    <w:rsid w:val="009E32D4"/>
    <w:rsid w:val="009E4080"/>
    <w:rsid w:val="009E4DCB"/>
    <w:rsid w:val="009E580F"/>
    <w:rsid w:val="009E7DD1"/>
    <w:rsid w:val="009F5A6A"/>
    <w:rsid w:val="009F5D67"/>
    <w:rsid w:val="00A01B3A"/>
    <w:rsid w:val="00A0205F"/>
    <w:rsid w:val="00A04E9D"/>
    <w:rsid w:val="00A06893"/>
    <w:rsid w:val="00A14987"/>
    <w:rsid w:val="00A21886"/>
    <w:rsid w:val="00A25682"/>
    <w:rsid w:val="00A2638C"/>
    <w:rsid w:val="00A27417"/>
    <w:rsid w:val="00A27AFD"/>
    <w:rsid w:val="00A31C3C"/>
    <w:rsid w:val="00A354A8"/>
    <w:rsid w:val="00A4031E"/>
    <w:rsid w:val="00A44A2B"/>
    <w:rsid w:val="00A46F60"/>
    <w:rsid w:val="00A53234"/>
    <w:rsid w:val="00A547B4"/>
    <w:rsid w:val="00A56F9C"/>
    <w:rsid w:val="00A57F47"/>
    <w:rsid w:val="00A616B1"/>
    <w:rsid w:val="00A6346D"/>
    <w:rsid w:val="00A8225A"/>
    <w:rsid w:val="00A94577"/>
    <w:rsid w:val="00AA029F"/>
    <w:rsid w:val="00AA58EB"/>
    <w:rsid w:val="00AA7A0D"/>
    <w:rsid w:val="00AB113B"/>
    <w:rsid w:val="00AD2FD2"/>
    <w:rsid w:val="00AD41E6"/>
    <w:rsid w:val="00AD4ECF"/>
    <w:rsid w:val="00AD70C8"/>
    <w:rsid w:val="00AE094D"/>
    <w:rsid w:val="00AE68DA"/>
    <w:rsid w:val="00AF1543"/>
    <w:rsid w:val="00AF6067"/>
    <w:rsid w:val="00B04039"/>
    <w:rsid w:val="00B07AAD"/>
    <w:rsid w:val="00B14B8B"/>
    <w:rsid w:val="00B15273"/>
    <w:rsid w:val="00B16887"/>
    <w:rsid w:val="00B1746F"/>
    <w:rsid w:val="00B26A8C"/>
    <w:rsid w:val="00B27A2B"/>
    <w:rsid w:val="00B31F00"/>
    <w:rsid w:val="00B32EF4"/>
    <w:rsid w:val="00B351A2"/>
    <w:rsid w:val="00B41959"/>
    <w:rsid w:val="00B42C18"/>
    <w:rsid w:val="00B43CF7"/>
    <w:rsid w:val="00B44327"/>
    <w:rsid w:val="00B53944"/>
    <w:rsid w:val="00B61FDD"/>
    <w:rsid w:val="00B758E7"/>
    <w:rsid w:val="00B75B80"/>
    <w:rsid w:val="00B81149"/>
    <w:rsid w:val="00B8672D"/>
    <w:rsid w:val="00B94FB1"/>
    <w:rsid w:val="00BA32B7"/>
    <w:rsid w:val="00BC7FBC"/>
    <w:rsid w:val="00BD11D6"/>
    <w:rsid w:val="00BD2A3B"/>
    <w:rsid w:val="00BD646D"/>
    <w:rsid w:val="00BD6A33"/>
    <w:rsid w:val="00BD7ED0"/>
    <w:rsid w:val="00BE3134"/>
    <w:rsid w:val="00BE5E06"/>
    <w:rsid w:val="00BE63C4"/>
    <w:rsid w:val="00BE643E"/>
    <w:rsid w:val="00BE6F1C"/>
    <w:rsid w:val="00BE7CED"/>
    <w:rsid w:val="00BF59BF"/>
    <w:rsid w:val="00C056B5"/>
    <w:rsid w:val="00C10206"/>
    <w:rsid w:val="00C10630"/>
    <w:rsid w:val="00C12939"/>
    <w:rsid w:val="00C14E3B"/>
    <w:rsid w:val="00C23BA4"/>
    <w:rsid w:val="00C241B2"/>
    <w:rsid w:val="00C24609"/>
    <w:rsid w:val="00C2737D"/>
    <w:rsid w:val="00C27A10"/>
    <w:rsid w:val="00C34485"/>
    <w:rsid w:val="00C40AB3"/>
    <w:rsid w:val="00C42827"/>
    <w:rsid w:val="00C43805"/>
    <w:rsid w:val="00C43E24"/>
    <w:rsid w:val="00C45235"/>
    <w:rsid w:val="00C54174"/>
    <w:rsid w:val="00C60EF2"/>
    <w:rsid w:val="00C615B2"/>
    <w:rsid w:val="00C702F0"/>
    <w:rsid w:val="00C74553"/>
    <w:rsid w:val="00C755A1"/>
    <w:rsid w:val="00C75EAC"/>
    <w:rsid w:val="00C8112C"/>
    <w:rsid w:val="00C84C38"/>
    <w:rsid w:val="00C84CE3"/>
    <w:rsid w:val="00C87EF4"/>
    <w:rsid w:val="00C97B37"/>
    <w:rsid w:val="00CA0EA5"/>
    <w:rsid w:val="00CA623E"/>
    <w:rsid w:val="00CA630F"/>
    <w:rsid w:val="00CB4EB2"/>
    <w:rsid w:val="00CB7A41"/>
    <w:rsid w:val="00CC50EC"/>
    <w:rsid w:val="00CC7A0B"/>
    <w:rsid w:val="00CD0A52"/>
    <w:rsid w:val="00CD0EEF"/>
    <w:rsid w:val="00CD558B"/>
    <w:rsid w:val="00CD64CD"/>
    <w:rsid w:val="00CD6611"/>
    <w:rsid w:val="00CE2041"/>
    <w:rsid w:val="00CE3059"/>
    <w:rsid w:val="00CE4960"/>
    <w:rsid w:val="00CE4CC0"/>
    <w:rsid w:val="00CE56FA"/>
    <w:rsid w:val="00CE5B6F"/>
    <w:rsid w:val="00CE7480"/>
    <w:rsid w:val="00CF0912"/>
    <w:rsid w:val="00D0060C"/>
    <w:rsid w:val="00D027B8"/>
    <w:rsid w:val="00D04134"/>
    <w:rsid w:val="00D054E3"/>
    <w:rsid w:val="00D0571C"/>
    <w:rsid w:val="00D0679B"/>
    <w:rsid w:val="00D11879"/>
    <w:rsid w:val="00D12547"/>
    <w:rsid w:val="00D22D44"/>
    <w:rsid w:val="00D27C83"/>
    <w:rsid w:val="00D378BA"/>
    <w:rsid w:val="00D40668"/>
    <w:rsid w:val="00D52C0D"/>
    <w:rsid w:val="00D60794"/>
    <w:rsid w:val="00D6263A"/>
    <w:rsid w:val="00D6312E"/>
    <w:rsid w:val="00D74E2C"/>
    <w:rsid w:val="00D75701"/>
    <w:rsid w:val="00D778D7"/>
    <w:rsid w:val="00D80BB4"/>
    <w:rsid w:val="00D83934"/>
    <w:rsid w:val="00D861C3"/>
    <w:rsid w:val="00D862C1"/>
    <w:rsid w:val="00D91A0C"/>
    <w:rsid w:val="00D9239C"/>
    <w:rsid w:val="00D95955"/>
    <w:rsid w:val="00D978BE"/>
    <w:rsid w:val="00D979AB"/>
    <w:rsid w:val="00DA1F36"/>
    <w:rsid w:val="00DA590C"/>
    <w:rsid w:val="00DA703D"/>
    <w:rsid w:val="00DB54CF"/>
    <w:rsid w:val="00DC1546"/>
    <w:rsid w:val="00DC69B8"/>
    <w:rsid w:val="00DD2172"/>
    <w:rsid w:val="00DD4A09"/>
    <w:rsid w:val="00DD4C25"/>
    <w:rsid w:val="00DD51A2"/>
    <w:rsid w:val="00DD5C14"/>
    <w:rsid w:val="00DD6A1F"/>
    <w:rsid w:val="00DE4C00"/>
    <w:rsid w:val="00DE5C67"/>
    <w:rsid w:val="00DF2449"/>
    <w:rsid w:val="00DF7ACF"/>
    <w:rsid w:val="00DF7EC5"/>
    <w:rsid w:val="00E004CA"/>
    <w:rsid w:val="00E03391"/>
    <w:rsid w:val="00E0373B"/>
    <w:rsid w:val="00E07308"/>
    <w:rsid w:val="00E14474"/>
    <w:rsid w:val="00E14BD2"/>
    <w:rsid w:val="00E179B5"/>
    <w:rsid w:val="00E26286"/>
    <w:rsid w:val="00E30AC2"/>
    <w:rsid w:val="00E30E79"/>
    <w:rsid w:val="00E33D84"/>
    <w:rsid w:val="00E34813"/>
    <w:rsid w:val="00E356D2"/>
    <w:rsid w:val="00E36126"/>
    <w:rsid w:val="00E401B3"/>
    <w:rsid w:val="00E42099"/>
    <w:rsid w:val="00E458DA"/>
    <w:rsid w:val="00E5687E"/>
    <w:rsid w:val="00E639CC"/>
    <w:rsid w:val="00E63D5B"/>
    <w:rsid w:val="00E671AD"/>
    <w:rsid w:val="00E7497D"/>
    <w:rsid w:val="00E83E40"/>
    <w:rsid w:val="00E857B8"/>
    <w:rsid w:val="00E907E5"/>
    <w:rsid w:val="00E943B8"/>
    <w:rsid w:val="00EA11F7"/>
    <w:rsid w:val="00EA20B9"/>
    <w:rsid w:val="00EA43B4"/>
    <w:rsid w:val="00EA4549"/>
    <w:rsid w:val="00EB2FCB"/>
    <w:rsid w:val="00EB59D7"/>
    <w:rsid w:val="00EC1A0F"/>
    <w:rsid w:val="00ED0B37"/>
    <w:rsid w:val="00ED22DF"/>
    <w:rsid w:val="00ED2514"/>
    <w:rsid w:val="00ED4C66"/>
    <w:rsid w:val="00ED6781"/>
    <w:rsid w:val="00EE485B"/>
    <w:rsid w:val="00EE4BD8"/>
    <w:rsid w:val="00EF3685"/>
    <w:rsid w:val="00EF5BA0"/>
    <w:rsid w:val="00F13600"/>
    <w:rsid w:val="00F15FC0"/>
    <w:rsid w:val="00F17042"/>
    <w:rsid w:val="00F175D1"/>
    <w:rsid w:val="00F2168D"/>
    <w:rsid w:val="00F21DA9"/>
    <w:rsid w:val="00F22A75"/>
    <w:rsid w:val="00F2525B"/>
    <w:rsid w:val="00F3059E"/>
    <w:rsid w:val="00F30C1E"/>
    <w:rsid w:val="00F3185D"/>
    <w:rsid w:val="00F35217"/>
    <w:rsid w:val="00F35C50"/>
    <w:rsid w:val="00F37B8F"/>
    <w:rsid w:val="00F405BB"/>
    <w:rsid w:val="00F42D68"/>
    <w:rsid w:val="00F436FE"/>
    <w:rsid w:val="00F500D2"/>
    <w:rsid w:val="00F51A9D"/>
    <w:rsid w:val="00F56311"/>
    <w:rsid w:val="00F57792"/>
    <w:rsid w:val="00F60048"/>
    <w:rsid w:val="00F6185A"/>
    <w:rsid w:val="00F70A2F"/>
    <w:rsid w:val="00F73FE2"/>
    <w:rsid w:val="00F74944"/>
    <w:rsid w:val="00F77370"/>
    <w:rsid w:val="00F8044F"/>
    <w:rsid w:val="00F8497C"/>
    <w:rsid w:val="00F910FB"/>
    <w:rsid w:val="00F91E41"/>
    <w:rsid w:val="00FA238D"/>
    <w:rsid w:val="00FA3835"/>
    <w:rsid w:val="00FA6816"/>
    <w:rsid w:val="00FB3778"/>
    <w:rsid w:val="00FB4279"/>
    <w:rsid w:val="00FB5D79"/>
    <w:rsid w:val="00FC19B4"/>
    <w:rsid w:val="00FC7A8B"/>
    <w:rsid w:val="00FE3D91"/>
    <w:rsid w:val="00FE55D2"/>
    <w:rsid w:val="00FF3B06"/>
    <w:rsid w:val="00FF5179"/>
    <w:rsid w:val="00FF728E"/>
    <w:rsid w:val="020B291A"/>
    <w:rsid w:val="043C7BB3"/>
    <w:rsid w:val="051B3A05"/>
    <w:rsid w:val="053E2C54"/>
    <w:rsid w:val="06F02823"/>
    <w:rsid w:val="06F7326C"/>
    <w:rsid w:val="0762073E"/>
    <w:rsid w:val="079E79DA"/>
    <w:rsid w:val="09120680"/>
    <w:rsid w:val="09A45050"/>
    <w:rsid w:val="09FA1199"/>
    <w:rsid w:val="0A5B05D9"/>
    <w:rsid w:val="0ADF594B"/>
    <w:rsid w:val="0AE0030A"/>
    <w:rsid w:val="0BA70C45"/>
    <w:rsid w:val="0BA90827"/>
    <w:rsid w:val="0C721436"/>
    <w:rsid w:val="0D515D8F"/>
    <w:rsid w:val="0D561FB5"/>
    <w:rsid w:val="0D6B0DE4"/>
    <w:rsid w:val="0D8A6F81"/>
    <w:rsid w:val="0E39045D"/>
    <w:rsid w:val="0E936CC2"/>
    <w:rsid w:val="0EE967FA"/>
    <w:rsid w:val="0F4075C9"/>
    <w:rsid w:val="0F4672D5"/>
    <w:rsid w:val="0F4E40DD"/>
    <w:rsid w:val="0F6F4465"/>
    <w:rsid w:val="10A51DDA"/>
    <w:rsid w:val="10E279BE"/>
    <w:rsid w:val="122264FF"/>
    <w:rsid w:val="122E6778"/>
    <w:rsid w:val="124949E7"/>
    <w:rsid w:val="128B5428"/>
    <w:rsid w:val="13285904"/>
    <w:rsid w:val="13465DF0"/>
    <w:rsid w:val="139D57EB"/>
    <w:rsid w:val="15D708BB"/>
    <w:rsid w:val="15F52619"/>
    <w:rsid w:val="172809B6"/>
    <w:rsid w:val="17CB6513"/>
    <w:rsid w:val="17E30CEE"/>
    <w:rsid w:val="185D6BC0"/>
    <w:rsid w:val="18972950"/>
    <w:rsid w:val="199030D2"/>
    <w:rsid w:val="19AE7309"/>
    <w:rsid w:val="1A18361C"/>
    <w:rsid w:val="1A902BB0"/>
    <w:rsid w:val="1A993654"/>
    <w:rsid w:val="1B9E3D36"/>
    <w:rsid w:val="1BBA3A2F"/>
    <w:rsid w:val="1C686EB5"/>
    <w:rsid w:val="1C746B04"/>
    <w:rsid w:val="1C8F2A04"/>
    <w:rsid w:val="1CFB4A8A"/>
    <w:rsid w:val="1D8B6157"/>
    <w:rsid w:val="1E1B4982"/>
    <w:rsid w:val="1F6D10F3"/>
    <w:rsid w:val="20365C75"/>
    <w:rsid w:val="20863AF3"/>
    <w:rsid w:val="20E1061A"/>
    <w:rsid w:val="20FD3BD3"/>
    <w:rsid w:val="218B2C39"/>
    <w:rsid w:val="22597BF6"/>
    <w:rsid w:val="227819CB"/>
    <w:rsid w:val="23256975"/>
    <w:rsid w:val="23423424"/>
    <w:rsid w:val="23EA6B2E"/>
    <w:rsid w:val="240C4724"/>
    <w:rsid w:val="243F7370"/>
    <w:rsid w:val="24E93CA3"/>
    <w:rsid w:val="26053E04"/>
    <w:rsid w:val="266D2F7E"/>
    <w:rsid w:val="26DD3CEE"/>
    <w:rsid w:val="27F05BD9"/>
    <w:rsid w:val="285745BD"/>
    <w:rsid w:val="2A8E004C"/>
    <w:rsid w:val="2B6A1BE2"/>
    <w:rsid w:val="2C083F8D"/>
    <w:rsid w:val="2CB90995"/>
    <w:rsid w:val="2D5179CF"/>
    <w:rsid w:val="2ED5581D"/>
    <w:rsid w:val="2F25260C"/>
    <w:rsid w:val="308A097E"/>
    <w:rsid w:val="319039E6"/>
    <w:rsid w:val="32085AE3"/>
    <w:rsid w:val="327F0D3B"/>
    <w:rsid w:val="32E25230"/>
    <w:rsid w:val="331A4758"/>
    <w:rsid w:val="33601BCF"/>
    <w:rsid w:val="3369385E"/>
    <w:rsid w:val="33CA23C6"/>
    <w:rsid w:val="351101A8"/>
    <w:rsid w:val="35C0542C"/>
    <w:rsid w:val="367534D0"/>
    <w:rsid w:val="372B2789"/>
    <w:rsid w:val="37CE32A7"/>
    <w:rsid w:val="384F06F9"/>
    <w:rsid w:val="395026E3"/>
    <w:rsid w:val="39A43A9C"/>
    <w:rsid w:val="39E934A2"/>
    <w:rsid w:val="3AC54CA3"/>
    <w:rsid w:val="3AE72E6B"/>
    <w:rsid w:val="3AFF33E8"/>
    <w:rsid w:val="3C2D3B80"/>
    <w:rsid w:val="3CFC34FC"/>
    <w:rsid w:val="3D476359"/>
    <w:rsid w:val="3D9A658C"/>
    <w:rsid w:val="3DE10046"/>
    <w:rsid w:val="3DEE1D80"/>
    <w:rsid w:val="3DF338D5"/>
    <w:rsid w:val="3EA378DA"/>
    <w:rsid w:val="3EF73899"/>
    <w:rsid w:val="3F651E10"/>
    <w:rsid w:val="3F6F78D3"/>
    <w:rsid w:val="421D2FF5"/>
    <w:rsid w:val="426C16E4"/>
    <w:rsid w:val="43D85920"/>
    <w:rsid w:val="442F62DC"/>
    <w:rsid w:val="443B5FD6"/>
    <w:rsid w:val="459220B9"/>
    <w:rsid w:val="46DB7A17"/>
    <w:rsid w:val="48333FF5"/>
    <w:rsid w:val="485E6BC5"/>
    <w:rsid w:val="48E62910"/>
    <w:rsid w:val="49615E31"/>
    <w:rsid w:val="49FA5FEB"/>
    <w:rsid w:val="4A161077"/>
    <w:rsid w:val="4A3E0C6F"/>
    <w:rsid w:val="4B914BF5"/>
    <w:rsid w:val="4C7D3400"/>
    <w:rsid w:val="4CB230FF"/>
    <w:rsid w:val="4D413CB4"/>
    <w:rsid w:val="4EE564B0"/>
    <w:rsid w:val="4F3512E0"/>
    <w:rsid w:val="4F642884"/>
    <w:rsid w:val="4F8D414D"/>
    <w:rsid w:val="4FFC159D"/>
    <w:rsid w:val="51CD3614"/>
    <w:rsid w:val="522400A9"/>
    <w:rsid w:val="531539E5"/>
    <w:rsid w:val="533944A3"/>
    <w:rsid w:val="53D55AFF"/>
    <w:rsid w:val="53FC6986"/>
    <w:rsid w:val="54A60BE9"/>
    <w:rsid w:val="550F57B1"/>
    <w:rsid w:val="559A7000"/>
    <w:rsid w:val="56101070"/>
    <w:rsid w:val="5628185A"/>
    <w:rsid w:val="56770AFB"/>
    <w:rsid w:val="573C6F55"/>
    <w:rsid w:val="57D63A28"/>
    <w:rsid w:val="57F95C42"/>
    <w:rsid w:val="581B6CF3"/>
    <w:rsid w:val="582B4142"/>
    <w:rsid w:val="58527420"/>
    <w:rsid w:val="585F0652"/>
    <w:rsid w:val="58743E2D"/>
    <w:rsid w:val="58E701E7"/>
    <w:rsid w:val="591A5625"/>
    <w:rsid w:val="5980136F"/>
    <w:rsid w:val="5991071A"/>
    <w:rsid w:val="59DD58A1"/>
    <w:rsid w:val="5AE900E2"/>
    <w:rsid w:val="5C7F1F93"/>
    <w:rsid w:val="5CC130C4"/>
    <w:rsid w:val="5D034595"/>
    <w:rsid w:val="5D89084C"/>
    <w:rsid w:val="5E72647F"/>
    <w:rsid w:val="5E834DD9"/>
    <w:rsid w:val="5EFF5A73"/>
    <w:rsid w:val="5F0A692D"/>
    <w:rsid w:val="5F1E6E9F"/>
    <w:rsid w:val="5F236DE7"/>
    <w:rsid w:val="5FEE7E35"/>
    <w:rsid w:val="608E3660"/>
    <w:rsid w:val="6138200C"/>
    <w:rsid w:val="614C50B2"/>
    <w:rsid w:val="61600CEA"/>
    <w:rsid w:val="617B7B59"/>
    <w:rsid w:val="620B4DE2"/>
    <w:rsid w:val="621505DC"/>
    <w:rsid w:val="625D22A8"/>
    <w:rsid w:val="62914838"/>
    <w:rsid w:val="63025693"/>
    <w:rsid w:val="64187FBF"/>
    <w:rsid w:val="648D7D30"/>
    <w:rsid w:val="657340D8"/>
    <w:rsid w:val="65C0401D"/>
    <w:rsid w:val="662648F8"/>
    <w:rsid w:val="665F1537"/>
    <w:rsid w:val="67D85B6C"/>
    <w:rsid w:val="67F82168"/>
    <w:rsid w:val="68ED6A71"/>
    <w:rsid w:val="69317B0A"/>
    <w:rsid w:val="69F67FAD"/>
    <w:rsid w:val="6A9734A6"/>
    <w:rsid w:val="6AA163D2"/>
    <w:rsid w:val="6BFA67BA"/>
    <w:rsid w:val="6C67192F"/>
    <w:rsid w:val="6CE60189"/>
    <w:rsid w:val="6DF24FA7"/>
    <w:rsid w:val="6E04301E"/>
    <w:rsid w:val="6ECE1688"/>
    <w:rsid w:val="6F135C55"/>
    <w:rsid w:val="6F215C44"/>
    <w:rsid w:val="6F524050"/>
    <w:rsid w:val="6F5A2F04"/>
    <w:rsid w:val="6FDA0E9E"/>
    <w:rsid w:val="6FE41DFF"/>
    <w:rsid w:val="732820F7"/>
    <w:rsid w:val="734D446A"/>
    <w:rsid w:val="736A0C43"/>
    <w:rsid w:val="740972B4"/>
    <w:rsid w:val="746B0D64"/>
    <w:rsid w:val="74C80B12"/>
    <w:rsid w:val="759B0467"/>
    <w:rsid w:val="774A1FD3"/>
    <w:rsid w:val="77FE4FE3"/>
    <w:rsid w:val="78C830A0"/>
    <w:rsid w:val="78D36201"/>
    <w:rsid w:val="792F1A3C"/>
    <w:rsid w:val="793270FF"/>
    <w:rsid w:val="79B5177D"/>
    <w:rsid w:val="79B73FE1"/>
    <w:rsid w:val="79CD520C"/>
    <w:rsid w:val="7A463EB9"/>
    <w:rsid w:val="7A8377B3"/>
    <w:rsid w:val="7AB91175"/>
    <w:rsid w:val="7C8A1504"/>
    <w:rsid w:val="7CD608CD"/>
    <w:rsid w:val="7D9D4043"/>
    <w:rsid w:val="7E9D0BC6"/>
    <w:rsid w:val="7F8942DD"/>
    <w:rsid w:val="7FD20CF9"/>
    <w:rsid w:val="BFF5CD46"/>
    <w:rsid w:val="DBE4F6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1">
    <w:name w:val="Default Paragraph Font"/>
    <w:semiHidden/>
    <w:unhideWhenUsed/>
    <w:qFormat/>
    <w:uiPriority w:val="1"/>
  </w:style>
  <w:style w:type="table" w:default="1" w:styleId="39">
    <w:name w:val="Normal Table"/>
    <w:semiHidden/>
    <w:unhideWhenUsed/>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caption"/>
    <w:next w:val="1"/>
    <w:unhideWhenUsed/>
    <w:qFormat/>
    <w:uiPriority w:val="0"/>
    <w:pPr>
      <w:widowControl w:val="0"/>
      <w:jc w:val="both"/>
    </w:pPr>
    <w:rPr>
      <w:rFonts w:eastAsia="黑体" w:asciiTheme="majorHAnsi" w:hAnsiTheme="majorHAnsi" w:cstheme="majorBidi"/>
      <w:kern w:val="2"/>
      <w:lang w:val="en-US" w:eastAsia="zh-CN" w:bidi="ar-SA"/>
    </w:rPr>
  </w:style>
  <w:style w:type="paragraph" w:styleId="14">
    <w:name w:val="Document Map"/>
    <w:basedOn w:val="1"/>
    <w:semiHidden/>
    <w:qFormat/>
    <w:uiPriority w:val="0"/>
    <w:pPr>
      <w:shd w:val="clear" w:color="auto" w:fill="000080"/>
    </w:pPr>
  </w:style>
  <w:style w:type="paragraph" w:styleId="15">
    <w:name w:val="annotation text"/>
    <w:basedOn w:val="1"/>
    <w:link w:val="49"/>
    <w:qFormat/>
    <w:uiPriority w:val="99"/>
    <w:pPr>
      <w:jc w:val="left"/>
    </w:pPr>
    <w:rPr>
      <w:rFonts w:ascii="Cambria" w:hAnsi="Cambria"/>
      <w:szCs w:val="21"/>
    </w:rPr>
  </w:style>
  <w:style w:type="paragraph" w:styleId="16">
    <w:name w:val="Body Text 3"/>
    <w:basedOn w:val="1"/>
    <w:qFormat/>
    <w:uiPriority w:val="0"/>
    <w:pPr>
      <w:widowControl/>
      <w:ind w:right="720"/>
      <w:jc w:val="left"/>
    </w:pPr>
    <w:rPr>
      <w:kern w:val="0"/>
      <w:sz w:val="20"/>
      <w:szCs w:val="20"/>
      <w:lang w:eastAsia="en-US"/>
    </w:rPr>
  </w:style>
  <w:style w:type="paragraph" w:styleId="17">
    <w:name w:val="Body Text"/>
    <w:basedOn w:val="1"/>
    <w:qFormat/>
    <w:uiPriority w:val="0"/>
    <w:pPr>
      <w:tabs>
        <w:tab w:val="left" w:pos="567"/>
      </w:tabs>
      <w:spacing w:before="120" w:line="22" w:lineRule="atLeast"/>
    </w:pPr>
    <w:rPr>
      <w:rFonts w:ascii="宋体" w:hAnsi="宋体"/>
      <w:sz w:val="24"/>
    </w:rPr>
  </w:style>
  <w:style w:type="paragraph" w:styleId="18">
    <w:name w:val="Body Text Indent"/>
    <w:basedOn w:val="1"/>
    <w:qFormat/>
    <w:uiPriority w:val="0"/>
    <w:pPr>
      <w:spacing w:after="120"/>
      <w:ind w:left="420" w:leftChars="200"/>
    </w:pPr>
  </w:style>
  <w:style w:type="paragraph" w:styleId="19">
    <w:name w:val="toc 5"/>
    <w:basedOn w:val="1"/>
    <w:next w:val="1"/>
    <w:qFormat/>
    <w:uiPriority w:val="0"/>
    <w:pPr>
      <w:ind w:left="1680" w:leftChars="800"/>
    </w:pPr>
    <w:rPr>
      <w:rFonts w:ascii="Cambria" w:hAnsi="Cambria"/>
      <w:szCs w:val="21"/>
    </w:rPr>
  </w:style>
  <w:style w:type="paragraph" w:styleId="20">
    <w:name w:val="toc 3"/>
    <w:basedOn w:val="1"/>
    <w:next w:val="1"/>
    <w:qFormat/>
    <w:uiPriority w:val="0"/>
    <w:pPr>
      <w:ind w:left="840" w:leftChars="400"/>
    </w:pPr>
    <w:rPr>
      <w:rFonts w:ascii="Cambria" w:hAnsi="Cambria"/>
      <w:szCs w:val="21"/>
    </w:rPr>
  </w:style>
  <w:style w:type="paragraph" w:styleId="21">
    <w:name w:val="Plain Text"/>
    <w:basedOn w:val="1"/>
    <w:link w:val="50"/>
    <w:qFormat/>
    <w:uiPriority w:val="99"/>
    <w:rPr>
      <w:rFonts w:ascii="宋体" w:hAnsi="Courier New"/>
      <w:szCs w:val="20"/>
    </w:rPr>
  </w:style>
  <w:style w:type="paragraph" w:styleId="22">
    <w:name w:val="toc 8"/>
    <w:basedOn w:val="1"/>
    <w:next w:val="1"/>
    <w:qFormat/>
    <w:uiPriority w:val="0"/>
    <w:pPr>
      <w:ind w:left="2940" w:leftChars="1400"/>
    </w:pPr>
    <w:rPr>
      <w:rFonts w:ascii="Cambria" w:hAnsi="Cambria"/>
      <w:szCs w:val="21"/>
    </w:rPr>
  </w:style>
  <w:style w:type="paragraph" w:styleId="23">
    <w:name w:val="Date"/>
    <w:basedOn w:val="1"/>
    <w:next w:val="1"/>
    <w:link w:val="51"/>
    <w:qFormat/>
    <w:uiPriority w:val="0"/>
    <w:rPr>
      <w:szCs w:val="20"/>
    </w:rPr>
  </w:style>
  <w:style w:type="paragraph" w:styleId="24">
    <w:name w:val="Body Text Indent 2"/>
    <w:basedOn w:val="1"/>
    <w:qFormat/>
    <w:uiPriority w:val="0"/>
    <w:pPr>
      <w:ind w:firstLine="480" w:firstLineChars="200"/>
    </w:pPr>
    <w:rPr>
      <w:rFonts w:ascii="仿宋_GB2312" w:eastAsia="仿宋_GB2312"/>
      <w:sz w:val="24"/>
    </w:rPr>
  </w:style>
  <w:style w:type="paragraph" w:styleId="25">
    <w:name w:val="Balloon Text"/>
    <w:basedOn w:val="1"/>
    <w:semiHidden/>
    <w:qFormat/>
    <w:uiPriority w:val="0"/>
    <w:rPr>
      <w:sz w:val="18"/>
      <w:szCs w:val="18"/>
    </w:rPr>
  </w:style>
  <w:style w:type="paragraph" w:styleId="26">
    <w:name w:val="footer"/>
    <w:basedOn w:val="1"/>
    <w:link w:val="52"/>
    <w:qFormat/>
    <w:uiPriority w:val="99"/>
    <w:pPr>
      <w:tabs>
        <w:tab w:val="center" w:pos="4153"/>
        <w:tab w:val="right" w:pos="8306"/>
      </w:tabs>
      <w:snapToGrid w:val="0"/>
      <w:jc w:val="left"/>
    </w:pPr>
    <w:rPr>
      <w:sz w:val="18"/>
      <w:szCs w:val="18"/>
    </w:rPr>
  </w:style>
  <w:style w:type="paragraph" w:styleId="27">
    <w:name w:val="header"/>
    <w:basedOn w:val="1"/>
    <w:link w:val="53"/>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9">
    <w:name w:val="toc 4"/>
    <w:basedOn w:val="1"/>
    <w:next w:val="1"/>
    <w:qFormat/>
    <w:uiPriority w:val="0"/>
    <w:pPr>
      <w:ind w:left="1260" w:leftChars="600"/>
    </w:pPr>
    <w:rPr>
      <w:rFonts w:ascii="Cambria" w:hAnsi="Cambria"/>
      <w:szCs w:val="21"/>
    </w:rPr>
  </w:style>
  <w:style w:type="paragraph" w:styleId="30">
    <w:name w:val="toc 6"/>
    <w:basedOn w:val="1"/>
    <w:next w:val="1"/>
    <w:qFormat/>
    <w:uiPriority w:val="0"/>
    <w:pPr>
      <w:ind w:left="2100" w:leftChars="1000"/>
    </w:pPr>
    <w:rPr>
      <w:rFonts w:ascii="Cambria" w:hAnsi="Cambria"/>
      <w:szCs w:val="21"/>
    </w:rPr>
  </w:style>
  <w:style w:type="paragraph" w:styleId="31">
    <w:name w:val="Body Text Indent 3"/>
    <w:basedOn w:val="1"/>
    <w:link w:val="54"/>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2">
    <w:name w:val="toc 2"/>
    <w:basedOn w:val="1"/>
    <w:next w:val="1"/>
    <w:qFormat/>
    <w:uiPriority w:val="0"/>
    <w:pPr>
      <w:spacing w:before="120" w:line="360" w:lineRule="auto"/>
    </w:pPr>
    <w:rPr>
      <w:rFonts w:ascii="仿宋_GB2312" w:hAnsi="宋体" w:eastAsia="仿宋_GB2312" w:cs="仿宋_GB2312"/>
      <w:b/>
      <w:bCs/>
      <w:sz w:val="24"/>
    </w:rPr>
  </w:style>
  <w:style w:type="paragraph" w:styleId="33">
    <w:name w:val="toc 9"/>
    <w:basedOn w:val="1"/>
    <w:next w:val="1"/>
    <w:qFormat/>
    <w:uiPriority w:val="0"/>
    <w:pPr>
      <w:ind w:left="3360" w:leftChars="1600"/>
    </w:pPr>
    <w:rPr>
      <w:rFonts w:ascii="Cambria" w:hAnsi="Cambria"/>
      <w:szCs w:val="21"/>
    </w:rPr>
  </w:style>
  <w:style w:type="paragraph" w:styleId="34">
    <w:name w:val="Body Text 2"/>
    <w:basedOn w:val="1"/>
    <w:qFormat/>
    <w:uiPriority w:val="0"/>
    <w:pPr>
      <w:widowControl/>
    </w:pPr>
    <w:rPr>
      <w:kern w:val="0"/>
      <w:sz w:val="20"/>
      <w:szCs w:val="20"/>
      <w:lang w:eastAsia="en-US"/>
    </w:rPr>
  </w:style>
  <w:style w:type="paragraph" w:styleId="3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6">
    <w:name w:val="index 1"/>
    <w:basedOn w:val="1"/>
    <w:next w:val="1"/>
    <w:qFormat/>
    <w:uiPriority w:val="0"/>
    <w:rPr>
      <w:rFonts w:ascii="Cambria" w:hAnsi="Cambria"/>
      <w:szCs w:val="21"/>
    </w:rPr>
  </w:style>
  <w:style w:type="paragraph" w:styleId="37">
    <w:name w:val="Title"/>
    <w:basedOn w:val="1"/>
    <w:qFormat/>
    <w:uiPriority w:val="0"/>
    <w:pPr>
      <w:jc w:val="center"/>
    </w:pPr>
    <w:rPr>
      <w:sz w:val="30"/>
    </w:rPr>
  </w:style>
  <w:style w:type="paragraph" w:styleId="38">
    <w:name w:val="annotation subject"/>
    <w:basedOn w:val="15"/>
    <w:next w:val="15"/>
    <w:link w:val="55"/>
    <w:qFormat/>
    <w:uiPriority w:val="0"/>
    <w:rPr>
      <w:rFonts w:ascii="Times New Roman" w:hAnsi="Times New Roman"/>
      <w:b/>
      <w:bCs/>
      <w:szCs w:val="24"/>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22"/>
    <w:rPr>
      <w:b/>
      <w:bCs/>
    </w:rPr>
  </w:style>
  <w:style w:type="character" w:styleId="43">
    <w:name w:val="page number"/>
    <w:qFormat/>
    <w:uiPriority w:val="0"/>
  </w:style>
  <w:style w:type="character" w:styleId="44">
    <w:name w:val="FollowedHyperlink"/>
    <w:qFormat/>
    <w:uiPriority w:val="0"/>
    <w:rPr>
      <w:color w:val="800080"/>
      <w:u w:val="single"/>
    </w:rPr>
  </w:style>
  <w:style w:type="character" w:styleId="45">
    <w:name w:val="Emphasis"/>
    <w:qFormat/>
    <w:uiPriority w:val="20"/>
    <w:rPr>
      <w:i/>
      <w:iCs/>
    </w:rPr>
  </w:style>
  <w:style w:type="character" w:styleId="46">
    <w:name w:val="Hyperlink"/>
    <w:qFormat/>
    <w:uiPriority w:val="99"/>
    <w:rPr>
      <w:color w:val="0000FF"/>
      <w:u w:val="single"/>
    </w:rPr>
  </w:style>
  <w:style w:type="character" w:styleId="47">
    <w:name w:val="annotation reference"/>
    <w:qFormat/>
    <w:uiPriority w:val="99"/>
    <w:rPr>
      <w:sz w:val="21"/>
      <w:szCs w:val="21"/>
    </w:rPr>
  </w:style>
  <w:style w:type="paragraph" w:customStyle="1" w:styleId="48">
    <w:name w:val="四级标题"/>
    <w:basedOn w:val="23"/>
    <w:qFormat/>
    <w:uiPriority w:val="99"/>
    <w:rPr>
      <w:rFonts w:eastAsia="黑体"/>
    </w:rPr>
  </w:style>
  <w:style w:type="character" w:customStyle="1" w:styleId="49">
    <w:name w:val="批注文字 字符"/>
    <w:link w:val="15"/>
    <w:qFormat/>
    <w:uiPriority w:val="99"/>
    <w:rPr>
      <w:rFonts w:ascii="Cambria" w:hAnsi="Cambria"/>
      <w:kern w:val="2"/>
      <w:sz w:val="21"/>
      <w:szCs w:val="21"/>
    </w:rPr>
  </w:style>
  <w:style w:type="character" w:customStyle="1" w:styleId="50">
    <w:name w:val="纯文本 字符"/>
    <w:link w:val="21"/>
    <w:qFormat/>
    <w:uiPriority w:val="99"/>
    <w:rPr>
      <w:rFonts w:ascii="宋体" w:hAnsi="Courier New"/>
      <w:kern w:val="2"/>
      <w:sz w:val="21"/>
    </w:rPr>
  </w:style>
  <w:style w:type="character" w:customStyle="1" w:styleId="51">
    <w:name w:val="日期 字符"/>
    <w:link w:val="23"/>
    <w:qFormat/>
    <w:uiPriority w:val="0"/>
    <w:rPr>
      <w:rFonts w:eastAsia="宋体"/>
      <w:kern w:val="2"/>
      <w:sz w:val="21"/>
      <w:lang w:val="en-US" w:eastAsia="zh-CN" w:bidi="ar-SA"/>
    </w:rPr>
  </w:style>
  <w:style w:type="character" w:customStyle="1" w:styleId="52">
    <w:name w:val="页脚 字符"/>
    <w:link w:val="26"/>
    <w:qFormat/>
    <w:uiPriority w:val="99"/>
    <w:rPr>
      <w:kern w:val="2"/>
      <w:sz w:val="18"/>
      <w:szCs w:val="18"/>
    </w:rPr>
  </w:style>
  <w:style w:type="character" w:customStyle="1" w:styleId="53">
    <w:name w:val="页眉 字符"/>
    <w:link w:val="27"/>
    <w:qFormat/>
    <w:uiPriority w:val="0"/>
    <w:rPr>
      <w:kern w:val="2"/>
      <w:sz w:val="18"/>
      <w:szCs w:val="18"/>
    </w:rPr>
  </w:style>
  <w:style w:type="character" w:customStyle="1" w:styleId="54">
    <w:name w:val="正文文本缩进 3 字符"/>
    <w:link w:val="31"/>
    <w:qFormat/>
    <w:uiPriority w:val="0"/>
    <w:rPr>
      <w:rFonts w:ascii="宋体" w:hAnsi="Cambria" w:cs="宋体"/>
      <w:sz w:val="24"/>
      <w:szCs w:val="24"/>
    </w:rPr>
  </w:style>
  <w:style w:type="character" w:customStyle="1" w:styleId="55">
    <w:name w:val="批注主题 字符"/>
    <w:link w:val="38"/>
    <w:qFormat/>
    <w:uiPriority w:val="0"/>
    <w:rPr>
      <w:rFonts w:ascii="Cambria" w:hAnsi="Cambria"/>
      <w:b/>
      <w:bCs/>
      <w:kern w:val="2"/>
      <w:sz w:val="21"/>
      <w:szCs w:val="24"/>
    </w:rPr>
  </w:style>
  <w:style w:type="character" w:customStyle="1" w:styleId="56">
    <w:name w:val="Char"/>
    <w:qFormat/>
    <w:uiPriority w:val="0"/>
    <w:rPr>
      <w:rFonts w:ascii="宋体" w:hAnsi="Courier New" w:eastAsia="宋体"/>
      <w:kern w:val="2"/>
      <w:sz w:val="21"/>
      <w:lang w:val="en-US" w:eastAsia="zh-CN" w:bidi="ar-SA"/>
    </w:rPr>
  </w:style>
  <w:style w:type="paragraph" w:customStyle="1" w:styleId="57">
    <w:name w:val="Char1"/>
    <w:basedOn w:val="1"/>
    <w:qFormat/>
    <w:uiPriority w:val="0"/>
    <w:rPr>
      <w:rFonts w:ascii="Tahoma" w:hAnsi="Tahoma"/>
      <w:sz w:val="24"/>
      <w:szCs w:val="20"/>
    </w:rPr>
  </w:style>
  <w:style w:type="paragraph" w:customStyle="1" w:styleId="58">
    <w:name w:val="彩色列表 - 强调文字颜色 11"/>
    <w:basedOn w:val="1"/>
    <w:qFormat/>
    <w:uiPriority w:val="34"/>
    <w:pPr>
      <w:ind w:firstLine="420" w:firstLineChars="200"/>
    </w:pPr>
    <w:rPr>
      <w:rFonts w:ascii="Calibri" w:hAnsi="Calibri"/>
      <w:szCs w:val="22"/>
    </w:rPr>
  </w:style>
  <w:style w:type="paragraph" w:customStyle="1" w:styleId="59">
    <w:name w:val="正文文本 21"/>
    <w:basedOn w:val="1"/>
    <w:qFormat/>
    <w:uiPriority w:val="0"/>
    <w:pPr>
      <w:adjustRightInd w:val="0"/>
      <w:spacing w:before="120" w:line="360" w:lineRule="auto"/>
      <w:ind w:firstLine="480"/>
      <w:textAlignment w:val="baseline"/>
    </w:pPr>
    <w:rPr>
      <w:sz w:val="24"/>
      <w:szCs w:val="20"/>
    </w:rPr>
  </w:style>
  <w:style w:type="paragraph" w:customStyle="1" w:styleId="60">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61">
    <w:name w:val="正文文本缩进 21"/>
    <w:basedOn w:val="1"/>
    <w:qFormat/>
    <w:uiPriority w:val="0"/>
    <w:pPr>
      <w:adjustRightInd w:val="0"/>
      <w:spacing w:before="120"/>
      <w:ind w:firstLine="420"/>
      <w:textAlignment w:val="baseline"/>
    </w:pPr>
    <w:rPr>
      <w:sz w:val="24"/>
      <w:szCs w:val="20"/>
    </w:rPr>
  </w:style>
  <w:style w:type="character" w:customStyle="1" w:styleId="62">
    <w:name w:val="Char2"/>
    <w:qFormat/>
    <w:uiPriority w:val="0"/>
    <w:rPr>
      <w:rFonts w:ascii="宋体" w:hAnsi="Courier New" w:eastAsia="宋体" w:cs="宋体"/>
      <w:kern w:val="2"/>
      <w:sz w:val="21"/>
      <w:szCs w:val="21"/>
      <w:lang w:val="en-US" w:eastAsia="zh-CN"/>
    </w:rPr>
  </w:style>
  <w:style w:type="paragraph" w:customStyle="1" w:styleId="63">
    <w:name w:val="标题1"/>
    <w:basedOn w:val="37"/>
    <w:qFormat/>
    <w:uiPriority w:val="0"/>
    <w:pPr>
      <w:spacing w:before="240" w:after="240"/>
      <w:outlineLvl w:val="0"/>
    </w:pPr>
    <w:rPr>
      <w:rFonts w:ascii="Arial" w:hAnsi="Arial" w:cs="Arial"/>
      <w:b/>
      <w:bCs/>
      <w:spacing w:val="2"/>
      <w:sz w:val="44"/>
      <w:szCs w:val="44"/>
    </w:rPr>
  </w:style>
  <w:style w:type="paragraph" w:customStyle="1" w:styleId="64">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5">
    <w:name w:val="样式"/>
    <w:basedOn w:val="1"/>
    <w:next w:val="21"/>
    <w:qFormat/>
    <w:uiPriority w:val="0"/>
    <w:rPr>
      <w:rFonts w:ascii="宋体" w:hAnsi="Courier New" w:cs="宋体"/>
      <w:szCs w:val="21"/>
    </w:rPr>
  </w:style>
  <w:style w:type="paragraph" w:customStyle="1" w:styleId="66">
    <w:name w:val="Char11"/>
    <w:basedOn w:val="1"/>
    <w:qFormat/>
    <w:uiPriority w:val="0"/>
    <w:rPr>
      <w:rFonts w:ascii="Tahoma" w:hAnsi="Tahoma"/>
      <w:sz w:val="24"/>
      <w:szCs w:val="20"/>
    </w:rPr>
  </w:style>
  <w:style w:type="paragraph" w:customStyle="1" w:styleId="67">
    <w:name w:val="Char Char Char Char"/>
    <w:basedOn w:val="1"/>
    <w:qFormat/>
    <w:uiPriority w:val="0"/>
    <w:pPr>
      <w:spacing w:after="160" w:line="240" w:lineRule="exact"/>
    </w:pPr>
    <w:rPr>
      <w:rFonts w:ascii="Cambria" w:hAnsi="Cambria"/>
      <w:szCs w:val="21"/>
    </w:rPr>
  </w:style>
  <w:style w:type="paragraph" w:customStyle="1" w:styleId="68">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9">
    <w:name w:val="List Paragraph"/>
    <w:basedOn w:val="1"/>
    <w:qFormat/>
    <w:uiPriority w:val="34"/>
    <w:pPr>
      <w:ind w:left="205" w:right="169" w:firstLine="655"/>
    </w:pPr>
    <w:rPr>
      <w:rFonts w:ascii="Cambria" w:hAnsi="Cambria"/>
      <w:szCs w:val="21"/>
    </w:rPr>
  </w:style>
  <w:style w:type="table" w:customStyle="1" w:styleId="70">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71">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2">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3">
    <w:name w:val="null3"/>
    <w:qFormat/>
    <w:uiPriority w:val="0"/>
    <w:rPr>
      <w:rFonts w:hint="eastAsia" w:ascii="Calibri" w:hAnsi="Calibri" w:eastAsia="宋体" w:cs="Times New Roman"/>
      <w:lang w:val="en-US" w:eastAsia="zh-Hans" w:bidi="ar-SA"/>
    </w:rPr>
  </w:style>
  <w:style w:type="paragraph" w:customStyle="1" w:styleId="74">
    <w:name w:val="_Style 71"/>
    <w:unhideWhenUsed/>
    <w:qFormat/>
    <w:uiPriority w:val="99"/>
    <w:rPr>
      <w:rFonts w:ascii="Times New Roman" w:hAnsi="Times New Roman" w:eastAsia="宋体" w:cs="Times New Roman"/>
      <w:kern w:val="2"/>
      <w:sz w:val="21"/>
      <w:szCs w:val="24"/>
      <w:lang w:val="en-US" w:eastAsia="zh-CN" w:bidi="ar-SA"/>
    </w:rPr>
  </w:style>
  <w:style w:type="paragraph" w:customStyle="1" w:styleId="7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76">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77">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78">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79">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80">
    <w:name w:val="无间隔1"/>
    <w:next w:val="1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1">
    <w:name w:val="修订6"/>
    <w:hidden/>
    <w:semiHidden/>
    <w:qFormat/>
    <w:uiPriority w:val="99"/>
    <w:rPr>
      <w:rFonts w:ascii="Times New Roman" w:hAnsi="Times New Roman" w:eastAsia="宋体" w:cs="Times New Roman"/>
      <w:kern w:val="2"/>
      <w:sz w:val="21"/>
      <w:szCs w:val="24"/>
      <w:lang w:val="en-US" w:eastAsia="zh-CN" w:bidi="ar-SA"/>
    </w:rPr>
  </w:style>
  <w:style w:type="paragraph" w:customStyle="1" w:styleId="82">
    <w:name w:val="修订7"/>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7</Pages>
  <Words>22444</Words>
  <Characters>23940</Characters>
  <Lines>1559</Lines>
  <Paragraphs>1419</Paragraphs>
  <TotalTime>17</TotalTime>
  <ScaleCrop>false</ScaleCrop>
  <LinksUpToDate>false</LinksUpToDate>
  <CharactersWithSpaces>24529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2026-08-12T04:23:00Z</dcterms:created>
  <dc:creator>caowuning</dc:creator>
  <cp:lastModifiedBy>C.X.F</cp:lastModifiedBy>
  <cp:lastPrinted>2009-04-21T17:03:00Z</cp:lastPrinted>
  <dcterms:modified xsi:type="dcterms:W3CDTF">2026-08-17T08:35:26Z</dcterms:modified>
  <dc:title>北 京 市 政 府 采 购</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D239DC3DBE4C46E8885E57CEA5FAA178_13</vt:lpwstr>
  </property>
  <property fmtid="{D5CDD505-2E9C-101B-9397-08002B2CF9AE}" pid="4" name="KSOTemplateDocerSaveRecord">
    <vt:lpwstr>eyJoZGlkIjoiNTI5ZmZjMjA2MjdiMDFiYzZmZWIzNjQ5YThhMzQxMzIiLCJ1c2VySWQiOiI3MTgzNDAyNjIifQ==</vt:lpwstr>
  </property>
</Properties>
</file>