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7"/>
        <w:spacing w:before="240" w:beforeLines="100" w:line="360" w:lineRule="auto"/>
        <w:jc w:val="center"/>
        <w:rPr>
          <w:rFonts w:cs="宋体" w:asciiTheme="minorEastAsia" w:hAnsiTheme="minorEastAsia" w:eastAsiaTheme="minorEastAsia"/>
          <w:b/>
          <w:bCs/>
          <w:sz w:val="52"/>
          <w:szCs w:val="32"/>
        </w:rPr>
      </w:pPr>
      <w:r>
        <w:rPr>
          <w:rFonts w:hint="eastAsia" w:cs="宋体" w:asciiTheme="minorEastAsia" w:hAnsiTheme="minorEastAsia" w:eastAsiaTheme="minorEastAsia"/>
          <w:b/>
          <w:bCs/>
          <w:sz w:val="52"/>
          <w:szCs w:val="32"/>
        </w:rPr>
        <w:t>山东省消防救援总队2022年装备</w:t>
      </w:r>
    </w:p>
    <w:p>
      <w:pPr>
        <w:pStyle w:val="27"/>
        <w:spacing w:before="240" w:beforeLines="100" w:line="360" w:lineRule="auto"/>
        <w:jc w:val="center"/>
        <w:rPr>
          <w:rFonts w:cs="宋体" w:asciiTheme="minorEastAsia" w:hAnsiTheme="minorEastAsia" w:eastAsiaTheme="minorEastAsia"/>
          <w:b/>
          <w:bCs/>
          <w:sz w:val="52"/>
          <w:szCs w:val="32"/>
        </w:rPr>
      </w:pPr>
      <w:r>
        <w:rPr>
          <w:rFonts w:hint="eastAsia" w:cs="宋体" w:asciiTheme="minorEastAsia" w:hAnsiTheme="minorEastAsia" w:eastAsiaTheme="minorEastAsia"/>
          <w:b/>
          <w:bCs/>
          <w:sz w:val="52"/>
          <w:szCs w:val="32"/>
        </w:rPr>
        <w:t>部门集中采购项目七</w:t>
      </w:r>
    </w:p>
    <w:p>
      <w:pPr>
        <w:pStyle w:val="2"/>
        <w:ind w:firstLine="1044"/>
        <w:rPr>
          <w:rFonts w:cs="宋体" w:asciiTheme="minorEastAsia" w:hAnsiTheme="minorEastAsia" w:eastAsiaTheme="minorEastAsia"/>
          <w:b/>
          <w:bCs/>
          <w:sz w:val="52"/>
          <w:szCs w:val="32"/>
        </w:rPr>
      </w:pPr>
    </w:p>
    <w:p/>
    <w:p>
      <w:pPr>
        <w:tabs>
          <w:tab w:val="left" w:pos="1134"/>
          <w:tab w:val="left" w:pos="5481"/>
          <w:tab w:val="left" w:pos="5859"/>
        </w:tabs>
        <w:jc w:val="center"/>
        <w:rPr>
          <w:rFonts w:asciiTheme="minorEastAsia" w:hAnsiTheme="minorEastAsia" w:eastAsiaTheme="minorEastAsia"/>
          <w:b/>
          <w:sz w:val="84"/>
          <w:szCs w:val="84"/>
        </w:rPr>
      </w:pPr>
      <w:r>
        <w:rPr>
          <w:rFonts w:hint="eastAsia" w:asciiTheme="minorEastAsia" w:hAnsiTheme="minorEastAsia" w:eastAsiaTheme="minorEastAsia"/>
          <w:b/>
          <w:sz w:val="84"/>
          <w:szCs w:val="84"/>
        </w:rPr>
        <w:t>招标文件</w:t>
      </w:r>
    </w:p>
    <w:p>
      <w:pPr>
        <w:ind w:right="-42"/>
        <w:jc w:val="center"/>
        <w:rPr>
          <w:rFonts w:asciiTheme="minorEastAsia" w:hAnsiTheme="minorEastAsia" w:eastAsiaTheme="minorEastAsia"/>
          <w:b/>
          <w:sz w:val="52"/>
          <w:szCs w:val="52"/>
        </w:rPr>
      </w:pPr>
    </w:p>
    <w:p>
      <w:pPr>
        <w:spacing w:line="360" w:lineRule="auto"/>
        <w:ind w:right="-42" w:firstLine="2125" w:firstLineChars="756"/>
        <w:jc w:val="left"/>
        <w:rPr>
          <w:rFonts w:asciiTheme="minorEastAsia" w:hAnsiTheme="minorEastAsia" w:eastAsiaTheme="minorEastAsia"/>
          <w:b/>
          <w:color w:val="FF0000"/>
          <w:sz w:val="28"/>
          <w:szCs w:val="36"/>
        </w:rPr>
      </w:pPr>
    </w:p>
    <w:p>
      <w:pPr>
        <w:spacing w:line="360" w:lineRule="auto"/>
        <w:ind w:right="-42"/>
        <w:jc w:val="center"/>
        <w:rPr>
          <w:rFonts w:asciiTheme="minorEastAsia" w:hAnsiTheme="minorEastAsia" w:eastAsiaTheme="minorEastAsia"/>
          <w:b/>
          <w:sz w:val="30"/>
          <w:szCs w:val="30"/>
        </w:rPr>
      </w:pPr>
      <w:r>
        <w:rPr>
          <w:rFonts w:hint="eastAsia" w:asciiTheme="minorEastAsia" w:hAnsiTheme="minorEastAsia" w:eastAsiaTheme="minorEastAsia"/>
          <w:b/>
          <w:sz w:val="30"/>
          <w:szCs w:val="30"/>
        </w:rPr>
        <w:t>项目编号：STZB2022-429</w:t>
      </w:r>
    </w:p>
    <w:p>
      <w:pPr>
        <w:ind w:right="-42"/>
        <w:jc w:val="center"/>
        <w:rPr>
          <w:rFonts w:asciiTheme="minorEastAsia" w:hAnsiTheme="minorEastAsia" w:eastAsiaTheme="minorEastAsia"/>
          <w:b/>
          <w:sz w:val="28"/>
          <w:szCs w:val="36"/>
        </w:rPr>
      </w:pPr>
      <w:r>
        <w:rPr>
          <w:rFonts w:hint="eastAsia" w:asciiTheme="minorEastAsia" w:hAnsiTheme="minorEastAsia" w:eastAsiaTheme="minorEastAsia"/>
          <w:b/>
          <w:sz w:val="28"/>
          <w:szCs w:val="36"/>
        </w:rPr>
        <w:t xml:space="preserve">          </w:t>
      </w:r>
    </w:p>
    <w:p>
      <w:pPr>
        <w:tabs>
          <w:tab w:val="left" w:pos="1134"/>
          <w:tab w:val="left" w:pos="5481"/>
          <w:tab w:val="left" w:pos="5859"/>
        </w:tabs>
        <w:jc w:val="center"/>
        <w:rPr>
          <w:rFonts w:asciiTheme="minorEastAsia" w:hAnsiTheme="minorEastAsia" w:eastAsiaTheme="minorEastAsia"/>
          <w:bCs/>
          <w:sz w:val="32"/>
        </w:rPr>
      </w:pPr>
      <w:r>
        <w:rPr>
          <w:rFonts w:hint="eastAsia" w:asciiTheme="minorEastAsia" w:hAnsiTheme="minorEastAsia" w:eastAsiaTheme="minorEastAsia"/>
          <w:b/>
          <w:bCs/>
          <w:sz w:val="32"/>
          <w:szCs w:val="32"/>
        </w:rPr>
        <w:drawing>
          <wp:anchor distT="0" distB="0" distL="114300" distR="114300" simplePos="0" relativeHeight="251664384" behindDoc="0" locked="0" layoutInCell="1" allowOverlap="1">
            <wp:simplePos x="0" y="0"/>
            <wp:positionH relativeFrom="margin">
              <wp:posOffset>2044065</wp:posOffset>
            </wp:positionH>
            <wp:positionV relativeFrom="paragraph">
              <wp:posOffset>153670</wp:posOffset>
            </wp:positionV>
            <wp:extent cx="1757680" cy="1880870"/>
            <wp:effectExtent l="0" t="0" r="4445" b="508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757680" cy="1880870"/>
                    </a:xfrm>
                    <a:prstGeom prst="rect">
                      <a:avLst/>
                    </a:prstGeom>
                    <a:noFill/>
                    <a:ln>
                      <a:noFill/>
                    </a:ln>
                  </pic:spPr>
                </pic:pic>
              </a:graphicData>
            </a:graphic>
          </wp:anchor>
        </w:drawing>
      </w:r>
    </w:p>
    <w:p>
      <w:pPr>
        <w:tabs>
          <w:tab w:val="left" w:pos="1134"/>
          <w:tab w:val="left" w:pos="5481"/>
          <w:tab w:val="left" w:pos="5859"/>
        </w:tabs>
        <w:jc w:val="center"/>
        <w:rPr>
          <w:rFonts w:asciiTheme="minorEastAsia" w:hAnsiTheme="minorEastAsia" w:eastAsiaTheme="minorEastAsia"/>
          <w:bCs/>
          <w:sz w:val="32"/>
        </w:rPr>
      </w:pPr>
    </w:p>
    <w:p>
      <w:pPr>
        <w:tabs>
          <w:tab w:val="left" w:pos="1134"/>
          <w:tab w:val="left" w:pos="5481"/>
          <w:tab w:val="left" w:pos="5859"/>
        </w:tabs>
        <w:spacing w:line="360" w:lineRule="auto"/>
        <w:jc w:val="center"/>
        <w:rPr>
          <w:rFonts w:asciiTheme="minorEastAsia" w:hAnsiTheme="minorEastAsia" w:eastAsiaTheme="minorEastAsia"/>
          <w:b/>
          <w:sz w:val="32"/>
          <w:szCs w:val="32"/>
        </w:rPr>
      </w:pPr>
    </w:p>
    <w:p>
      <w:pPr>
        <w:tabs>
          <w:tab w:val="left" w:pos="1134"/>
          <w:tab w:val="left" w:pos="5481"/>
          <w:tab w:val="left" w:pos="5859"/>
        </w:tabs>
        <w:spacing w:line="360" w:lineRule="auto"/>
        <w:jc w:val="center"/>
        <w:rPr>
          <w:rFonts w:asciiTheme="minorEastAsia" w:hAnsiTheme="minorEastAsia" w:eastAsiaTheme="minorEastAsia"/>
          <w:b/>
          <w:sz w:val="32"/>
          <w:szCs w:val="32"/>
        </w:rPr>
      </w:pPr>
    </w:p>
    <w:p>
      <w:pPr>
        <w:tabs>
          <w:tab w:val="left" w:pos="1134"/>
          <w:tab w:val="left" w:pos="5481"/>
          <w:tab w:val="left" w:pos="5859"/>
        </w:tabs>
        <w:spacing w:line="360" w:lineRule="auto"/>
        <w:jc w:val="center"/>
        <w:rPr>
          <w:rFonts w:asciiTheme="minorEastAsia" w:hAnsiTheme="minorEastAsia" w:eastAsiaTheme="minorEastAsia"/>
          <w:b/>
          <w:sz w:val="32"/>
          <w:szCs w:val="32"/>
        </w:rPr>
      </w:pPr>
    </w:p>
    <w:p>
      <w:pPr>
        <w:tabs>
          <w:tab w:val="left" w:pos="1134"/>
          <w:tab w:val="left" w:pos="5481"/>
          <w:tab w:val="left" w:pos="5859"/>
        </w:tabs>
        <w:spacing w:line="360" w:lineRule="auto"/>
        <w:jc w:val="center"/>
        <w:rPr>
          <w:rFonts w:asciiTheme="minorEastAsia" w:hAnsiTheme="minorEastAsia" w:eastAsiaTheme="minorEastAsia"/>
          <w:b/>
          <w:sz w:val="32"/>
          <w:szCs w:val="32"/>
        </w:rPr>
      </w:pPr>
    </w:p>
    <w:p>
      <w:pPr>
        <w:tabs>
          <w:tab w:val="left" w:pos="1134"/>
          <w:tab w:val="left" w:pos="5481"/>
          <w:tab w:val="left" w:pos="5859"/>
        </w:tabs>
        <w:spacing w:line="360" w:lineRule="auto"/>
        <w:jc w:val="center"/>
        <w:rPr>
          <w:rFonts w:asciiTheme="minorEastAsia" w:hAnsiTheme="minorEastAsia" w:eastAsiaTheme="minorEastAsia"/>
          <w:b/>
          <w:sz w:val="32"/>
          <w:szCs w:val="32"/>
        </w:rPr>
      </w:pPr>
    </w:p>
    <w:p>
      <w:pPr>
        <w:tabs>
          <w:tab w:val="left" w:pos="1134"/>
          <w:tab w:val="left" w:pos="5481"/>
          <w:tab w:val="left" w:pos="5859"/>
        </w:tabs>
        <w:spacing w:line="360" w:lineRule="auto"/>
        <w:jc w:val="center"/>
        <w:rPr>
          <w:rFonts w:asciiTheme="minorEastAsia" w:hAnsiTheme="minorEastAsia" w:eastAsiaTheme="minorEastAsia"/>
          <w:b/>
          <w:sz w:val="32"/>
          <w:szCs w:val="32"/>
        </w:rPr>
      </w:pPr>
    </w:p>
    <w:p>
      <w:pPr>
        <w:tabs>
          <w:tab w:val="left" w:pos="1134"/>
          <w:tab w:val="left" w:pos="5481"/>
          <w:tab w:val="left" w:pos="5859"/>
        </w:tabs>
        <w:spacing w:line="480" w:lineRule="auto"/>
        <w:ind w:left="1518" w:leftChars="723"/>
        <w:jc w:val="left"/>
        <w:rPr>
          <w:rFonts w:asciiTheme="minorEastAsia" w:hAnsiTheme="minorEastAsia" w:eastAsiaTheme="minorEastAsia"/>
          <w:b/>
          <w:sz w:val="32"/>
          <w:szCs w:val="32"/>
          <w:u w:val="single"/>
        </w:rPr>
      </w:pPr>
      <w:r>
        <w:rPr>
          <w:rFonts w:hint="eastAsia" w:asciiTheme="minorEastAsia" w:hAnsiTheme="minorEastAsia" w:eastAsiaTheme="minorEastAsia"/>
          <w:b/>
          <w:sz w:val="32"/>
          <w:szCs w:val="32"/>
        </w:rPr>
        <w:t>采 购 人：山东省消防救援总队</w:t>
      </w:r>
    </w:p>
    <w:p>
      <w:pPr>
        <w:tabs>
          <w:tab w:val="left" w:pos="1134"/>
          <w:tab w:val="left" w:pos="5481"/>
          <w:tab w:val="left" w:pos="5859"/>
        </w:tabs>
        <w:spacing w:line="480" w:lineRule="auto"/>
        <w:ind w:left="1518" w:leftChars="723"/>
        <w:jc w:val="left"/>
        <w:rPr>
          <w:rFonts w:asciiTheme="minorEastAsia" w:hAnsiTheme="minorEastAsia" w:eastAsiaTheme="minorEastAsia"/>
          <w:b/>
          <w:sz w:val="32"/>
          <w:szCs w:val="32"/>
        </w:rPr>
      </w:pPr>
      <w:r>
        <w:rPr>
          <w:rFonts w:hint="eastAsia" w:asciiTheme="minorEastAsia" w:hAnsiTheme="minorEastAsia" w:eastAsiaTheme="minorEastAsia"/>
          <w:b/>
          <w:sz w:val="32"/>
          <w:szCs w:val="32"/>
        </w:rPr>
        <w:t>代理机构：石拓项目管理有限公司</w:t>
      </w:r>
    </w:p>
    <w:p>
      <w:pPr>
        <w:tabs>
          <w:tab w:val="left" w:pos="1134"/>
          <w:tab w:val="left" w:pos="5481"/>
          <w:tab w:val="left" w:pos="5859"/>
        </w:tabs>
        <w:spacing w:line="360" w:lineRule="auto"/>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二〇二二年九</w:t>
      </w:r>
      <w:r>
        <w:rPr>
          <w:rFonts w:asciiTheme="minorEastAsia" w:hAnsiTheme="minorEastAsia" w:eastAsiaTheme="minorEastAsia"/>
          <w:b/>
          <w:sz w:val="32"/>
          <w:szCs w:val="32"/>
        </w:rPr>
        <w:t>月</w:t>
      </w:r>
    </w:p>
    <w:p>
      <w:pPr>
        <w:jc w:val="center"/>
        <w:rPr>
          <w:rFonts w:asciiTheme="minorEastAsia" w:hAnsiTheme="minorEastAsia" w:eastAsiaTheme="minorEastAsia"/>
          <w:b/>
          <w:sz w:val="36"/>
        </w:rPr>
        <w:sectPr>
          <w:headerReference r:id="rId4" w:type="first"/>
          <w:headerReference r:id="rId3" w:type="default"/>
          <w:footerReference r:id="rId5" w:type="default"/>
          <w:footerReference r:id="rId6" w:type="even"/>
          <w:pgSz w:w="11907" w:h="16840"/>
          <w:pgMar w:top="1418" w:right="1418" w:bottom="1418" w:left="1418" w:header="851" w:footer="823" w:gutter="0"/>
          <w:cols w:space="720" w:num="1"/>
          <w:docGrid w:linePitch="290" w:charSpace="-3931"/>
        </w:sectPr>
      </w:pPr>
    </w:p>
    <w:p>
      <w:pPr>
        <w:tabs>
          <w:tab w:val="center" w:pos="4710"/>
          <w:tab w:val="left" w:pos="6062"/>
        </w:tabs>
        <w:jc w:val="left"/>
        <w:rPr>
          <w:rFonts w:asciiTheme="minorEastAsia" w:hAnsiTheme="minorEastAsia" w:eastAsiaTheme="minorEastAsia"/>
          <w:b/>
          <w:sz w:val="36"/>
        </w:rPr>
      </w:pPr>
      <w:r>
        <w:rPr>
          <w:rFonts w:hint="eastAsia" w:asciiTheme="minorEastAsia" w:hAnsiTheme="minorEastAsia" w:eastAsiaTheme="minorEastAsia"/>
          <w:b/>
          <w:sz w:val="36"/>
        </w:rPr>
        <w:tab/>
      </w:r>
      <w:r>
        <w:rPr>
          <w:rFonts w:hint="eastAsia" w:asciiTheme="minorEastAsia" w:hAnsiTheme="minorEastAsia" w:eastAsiaTheme="minorEastAsia"/>
          <w:b/>
          <w:sz w:val="36"/>
        </w:rPr>
        <w:t>目</w:t>
      </w:r>
      <w:r>
        <w:rPr>
          <w:rFonts w:asciiTheme="minorEastAsia" w:hAnsiTheme="minorEastAsia" w:eastAsiaTheme="minorEastAsia"/>
          <w:b/>
          <w:sz w:val="36"/>
        </w:rPr>
        <w:t xml:space="preserve">  </w:t>
      </w:r>
      <w:r>
        <w:rPr>
          <w:rFonts w:hint="eastAsia" w:asciiTheme="minorEastAsia" w:hAnsiTheme="minorEastAsia" w:eastAsiaTheme="minorEastAsia"/>
          <w:b/>
          <w:sz w:val="36"/>
        </w:rPr>
        <w:t>录</w:t>
      </w:r>
    </w:p>
    <w:p>
      <w:pPr>
        <w:pStyle w:val="53"/>
        <w:tabs>
          <w:tab w:val="right" w:leader="dot" w:pos="9540"/>
        </w:tabs>
      </w:pPr>
      <w:r>
        <w:rPr>
          <w:rStyle w:val="130"/>
        </w:rPr>
        <w:fldChar w:fldCharType="begin"/>
      </w:r>
      <w:r>
        <w:rPr>
          <w:rStyle w:val="130"/>
          <w:b w:val="0"/>
          <w:bCs w:val="0"/>
          <w:caps w:val="0"/>
          <w:smallCaps/>
        </w:rPr>
        <w:instrText xml:space="preserve"> TOC \o "1-2" \h \z \u </w:instrText>
      </w:r>
      <w:r>
        <w:rPr>
          <w:rStyle w:val="130"/>
        </w:rPr>
        <w:fldChar w:fldCharType="separate"/>
      </w:r>
      <w:r>
        <w:fldChar w:fldCharType="begin"/>
      </w:r>
      <w:r>
        <w:instrText xml:space="preserve"> HYPERLINK \l "_Toc4363" </w:instrText>
      </w:r>
      <w:r>
        <w:fldChar w:fldCharType="separate"/>
      </w:r>
      <w:r>
        <w:rPr>
          <w:rFonts w:hint="eastAsia" w:asciiTheme="minorEastAsia" w:hAnsiTheme="minorEastAsia" w:eastAsiaTheme="minorEastAsia"/>
        </w:rPr>
        <w:t>第一章</w:t>
      </w:r>
      <w:r>
        <w:rPr>
          <w:rFonts w:asciiTheme="minorEastAsia" w:hAnsiTheme="minorEastAsia" w:eastAsiaTheme="minorEastAsia"/>
        </w:rPr>
        <w:t xml:space="preserve">   </w:t>
      </w:r>
      <w:r>
        <w:rPr>
          <w:rFonts w:hint="eastAsia" w:asciiTheme="minorEastAsia" w:hAnsiTheme="minorEastAsia" w:eastAsiaTheme="minorEastAsia"/>
        </w:rPr>
        <w:t>招标公告</w:t>
      </w:r>
      <w:r>
        <w:tab/>
      </w:r>
      <w:r>
        <w:fldChar w:fldCharType="begin"/>
      </w:r>
      <w:r>
        <w:instrText xml:space="preserve"> PAGEREF _Toc4363 \h </w:instrText>
      </w:r>
      <w:r>
        <w:fldChar w:fldCharType="separate"/>
      </w:r>
      <w:r>
        <w:t>4</w:t>
      </w:r>
      <w:r>
        <w:fldChar w:fldCharType="end"/>
      </w:r>
      <w:r>
        <w:fldChar w:fldCharType="end"/>
      </w:r>
    </w:p>
    <w:p>
      <w:pPr>
        <w:pStyle w:val="53"/>
        <w:tabs>
          <w:tab w:val="right" w:leader="dot" w:pos="9540"/>
        </w:tabs>
      </w:pPr>
      <w:r>
        <w:fldChar w:fldCharType="begin"/>
      </w:r>
      <w:r>
        <w:instrText xml:space="preserve"> HYPERLINK \l "_Toc15495" </w:instrText>
      </w:r>
      <w:r>
        <w:fldChar w:fldCharType="separate"/>
      </w:r>
      <w:r>
        <w:rPr>
          <w:rFonts w:hint="eastAsia" w:asciiTheme="minorEastAsia" w:hAnsiTheme="minorEastAsia" w:eastAsiaTheme="minorEastAsia"/>
          <w:bCs w:val="0"/>
          <w:szCs w:val="30"/>
        </w:rPr>
        <w:t>供应商须知前附表</w:t>
      </w:r>
      <w:r>
        <w:tab/>
      </w:r>
      <w:r>
        <w:fldChar w:fldCharType="begin"/>
      </w:r>
      <w:r>
        <w:instrText xml:space="preserve"> PAGEREF _Toc15495 \h </w:instrText>
      </w:r>
      <w:r>
        <w:fldChar w:fldCharType="separate"/>
      </w:r>
      <w:r>
        <w:t>10</w:t>
      </w:r>
      <w:r>
        <w:fldChar w:fldCharType="end"/>
      </w:r>
      <w:r>
        <w:fldChar w:fldCharType="end"/>
      </w:r>
    </w:p>
    <w:p>
      <w:pPr>
        <w:pStyle w:val="62"/>
        <w:tabs>
          <w:tab w:val="right" w:leader="dot" w:pos="9540"/>
          <w:tab w:val="clear" w:pos="8597"/>
        </w:tabs>
      </w:pPr>
      <w:r>
        <w:fldChar w:fldCharType="begin"/>
      </w:r>
      <w:r>
        <w:instrText xml:space="preserve"> HYPERLINK \l "_Toc18862" </w:instrText>
      </w:r>
      <w:r>
        <w:fldChar w:fldCharType="separate"/>
      </w:r>
      <w:r>
        <w:rPr>
          <w:rFonts w:hint="eastAsia" w:asciiTheme="minorEastAsia" w:hAnsiTheme="minorEastAsia" w:eastAsiaTheme="minorEastAsia"/>
          <w:szCs w:val="24"/>
        </w:rPr>
        <w:t>一、说明</w:t>
      </w:r>
      <w:r>
        <w:tab/>
      </w:r>
      <w:r>
        <w:fldChar w:fldCharType="begin"/>
      </w:r>
      <w:r>
        <w:instrText xml:space="preserve"> PAGEREF _Toc18862 \h </w:instrText>
      </w:r>
      <w:r>
        <w:fldChar w:fldCharType="separate"/>
      </w:r>
      <w:r>
        <w:t>24</w:t>
      </w:r>
      <w:r>
        <w:fldChar w:fldCharType="end"/>
      </w:r>
      <w:r>
        <w:fldChar w:fldCharType="end"/>
      </w:r>
    </w:p>
    <w:p>
      <w:pPr>
        <w:pStyle w:val="62"/>
        <w:tabs>
          <w:tab w:val="right" w:leader="dot" w:pos="9540"/>
          <w:tab w:val="clear" w:pos="8597"/>
        </w:tabs>
      </w:pPr>
      <w:r>
        <w:fldChar w:fldCharType="begin"/>
      </w:r>
      <w:r>
        <w:instrText xml:space="preserve"> HYPERLINK \l "_Toc24788" </w:instrText>
      </w:r>
      <w:r>
        <w:fldChar w:fldCharType="separate"/>
      </w:r>
      <w:r>
        <w:rPr>
          <w:rFonts w:hint="eastAsia" w:asciiTheme="minorEastAsia" w:hAnsiTheme="minorEastAsia" w:eastAsiaTheme="minorEastAsia"/>
          <w:szCs w:val="24"/>
        </w:rPr>
        <w:t>二、招标文件</w:t>
      </w:r>
      <w:r>
        <w:tab/>
      </w:r>
      <w:r>
        <w:fldChar w:fldCharType="begin"/>
      </w:r>
      <w:r>
        <w:instrText xml:space="preserve"> PAGEREF _Toc24788 \h </w:instrText>
      </w:r>
      <w:r>
        <w:fldChar w:fldCharType="separate"/>
      </w:r>
      <w:r>
        <w:t>24</w:t>
      </w:r>
      <w:r>
        <w:fldChar w:fldCharType="end"/>
      </w:r>
      <w:r>
        <w:fldChar w:fldCharType="end"/>
      </w:r>
    </w:p>
    <w:p>
      <w:pPr>
        <w:pStyle w:val="62"/>
        <w:tabs>
          <w:tab w:val="right" w:leader="dot" w:pos="9540"/>
          <w:tab w:val="clear" w:pos="8597"/>
        </w:tabs>
      </w:pPr>
      <w:r>
        <w:fldChar w:fldCharType="begin"/>
      </w:r>
      <w:r>
        <w:instrText xml:space="preserve"> HYPERLINK \l "_Toc22339" </w:instrText>
      </w:r>
      <w:r>
        <w:fldChar w:fldCharType="separate"/>
      </w:r>
      <w:r>
        <w:rPr>
          <w:rFonts w:hint="eastAsia" w:asciiTheme="minorEastAsia" w:hAnsiTheme="minorEastAsia" w:eastAsiaTheme="minorEastAsia"/>
          <w:szCs w:val="24"/>
        </w:rPr>
        <w:t>三、投标文件编写</w:t>
      </w:r>
      <w:r>
        <w:tab/>
      </w:r>
      <w:r>
        <w:fldChar w:fldCharType="begin"/>
      </w:r>
      <w:r>
        <w:instrText xml:space="preserve"> PAGEREF _Toc22339 \h </w:instrText>
      </w:r>
      <w:r>
        <w:fldChar w:fldCharType="separate"/>
      </w:r>
      <w:r>
        <w:t>25</w:t>
      </w:r>
      <w:r>
        <w:fldChar w:fldCharType="end"/>
      </w:r>
      <w:r>
        <w:fldChar w:fldCharType="end"/>
      </w:r>
    </w:p>
    <w:p>
      <w:pPr>
        <w:pStyle w:val="62"/>
        <w:tabs>
          <w:tab w:val="right" w:leader="dot" w:pos="9540"/>
          <w:tab w:val="clear" w:pos="8597"/>
        </w:tabs>
      </w:pPr>
      <w:r>
        <w:fldChar w:fldCharType="begin"/>
      </w:r>
      <w:r>
        <w:instrText xml:space="preserve"> HYPERLINK \l "_Toc6466" </w:instrText>
      </w:r>
      <w:r>
        <w:fldChar w:fldCharType="separate"/>
      </w:r>
      <w:r>
        <w:rPr>
          <w:rFonts w:hint="eastAsia" w:asciiTheme="minorEastAsia" w:hAnsiTheme="minorEastAsia" w:eastAsiaTheme="minorEastAsia"/>
          <w:szCs w:val="24"/>
        </w:rPr>
        <w:t>四、投标文件递交</w:t>
      </w:r>
      <w:r>
        <w:tab/>
      </w:r>
      <w:r>
        <w:fldChar w:fldCharType="begin"/>
      </w:r>
      <w:r>
        <w:instrText xml:space="preserve"> PAGEREF _Toc6466 \h </w:instrText>
      </w:r>
      <w:r>
        <w:fldChar w:fldCharType="separate"/>
      </w:r>
      <w:r>
        <w:t>29</w:t>
      </w:r>
      <w:r>
        <w:fldChar w:fldCharType="end"/>
      </w:r>
      <w:r>
        <w:fldChar w:fldCharType="end"/>
      </w:r>
    </w:p>
    <w:p>
      <w:pPr>
        <w:pStyle w:val="62"/>
        <w:tabs>
          <w:tab w:val="right" w:leader="dot" w:pos="9540"/>
          <w:tab w:val="clear" w:pos="8597"/>
        </w:tabs>
      </w:pPr>
      <w:r>
        <w:fldChar w:fldCharType="begin"/>
      </w:r>
      <w:r>
        <w:instrText xml:space="preserve"> HYPERLINK \l "_Toc6291" </w:instrText>
      </w:r>
      <w:r>
        <w:fldChar w:fldCharType="separate"/>
      </w:r>
      <w:r>
        <w:rPr>
          <w:rFonts w:hint="eastAsia" w:asciiTheme="minorEastAsia" w:hAnsiTheme="minorEastAsia" w:eastAsiaTheme="minorEastAsia"/>
          <w:szCs w:val="24"/>
        </w:rPr>
        <w:t>五、开标与评标</w:t>
      </w:r>
      <w:r>
        <w:tab/>
      </w:r>
      <w:r>
        <w:fldChar w:fldCharType="begin"/>
      </w:r>
      <w:r>
        <w:instrText xml:space="preserve"> PAGEREF _Toc6291 \h </w:instrText>
      </w:r>
      <w:r>
        <w:fldChar w:fldCharType="separate"/>
      </w:r>
      <w:r>
        <w:t>30</w:t>
      </w:r>
      <w:r>
        <w:fldChar w:fldCharType="end"/>
      </w:r>
      <w:r>
        <w:fldChar w:fldCharType="end"/>
      </w:r>
    </w:p>
    <w:p>
      <w:pPr>
        <w:pStyle w:val="62"/>
        <w:tabs>
          <w:tab w:val="right" w:leader="dot" w:pos="9540"/>
          <w:tab w:val="clear" w:pos="8597"/>
        </w:tabs>
      </w:pPr>
      <w:r>
        <w:fldChar w:fldCharType="begin"/>
      </w:r>
      <w:r>
        <w:instrText xml:space="preserve"> HYPERLINK \l "_Toc27432" </w:instrText>
      </w:r>
      <w:r>
        <w:fldChar w:fldCharType="separate"/>
      </w:r>
      <w:r>
        <w:rPr>
          <w:rFonts w:hint="eastAsia" w:cs="宋体" w:asciiTheme="minorEastAsia" w:hAnsiTheme="minorEastAsia" w:eastAsiaTheme="minorEastAsia"/>
          <w:szCs w:val="24"/>
        </w:rPr>
        <w:t>六、询问和质疑</w:t>
      </w:r>
      <w:r>
        <w:tab/>
      </w:r>
      <w:r>
        <w:fldChar w:fldCharType="begin"/>
      </w:r>
      <w:r>
        <w:instrText xml:space="preserve"> PAGEREF _Toc27432 \h </w:instrText>
      </w:r>
      <w:r>
        <w:fldChar w:fldCharType="separate"/>
      </w:r>
      <w:r>
        <w:t>39</w:t>
      </w:r>
      <w:r>
        <w:fldChar w:fldCharType="end"/>
      </w:r>
      <w:r>
        <w:fldChar w:fldCharType="end"/>
      </w:r>
    </w:p>
    <w:p>
      <w:pPr>
        <w:pStyle w:val="62"/>
        <w:tabs>
          <w:tab w:val="right" w:leader="dot" w:pos="9540"/>
          <w:tab w:val="clear" w:pos="8597"/>
        </w:tabs>
      </w:pPr>
      <w:r>
        <w:fldChar w:fldCharType="begin"/>
      </w:r>
      <w:r>
        <w:instrText xml:space="preserve"> HYPERLINK \l "_Toc24704" </w:instrText>
      </w:r>
      <w:r>
        <w:fldChar w:fldCharType="separate"/>
      </w:r>
      <w:r>
        <w:rPr>
          <w:rFonts w:hint="eastAsia" w:cs="宋体" w:asciiTheme="minorEastAsia" w:hAnsiTheme="minorEastAsia" w:eastAsiaTheme="minorEastAsia"/>
          <w:szCs w:val="24"/>
        </w:rPr>
        <w:t>七、授予合同</w:t>
      </w:r>
      <w:r>
        <w:tab/>
      </w:r>
      <w:r>
        <w:fldChar w:fldCharType="begin"/>
      </w:r>
      <w:r>
        <w:instrText xml:space="preserve"> PAGEREF _Toc24704 \h </w:instrText>
      </w:r>
      <w:r>
        <w:fldChar w:fldCharType="separate"/>
      </w:r>
      <w:r>
        <w:t>41</w:t>
      </w:r>
      <w:r>
        <w:fldChar w:fldCharType="end"/>
      </w:r>
      <w:r>
        <w:fldChar w:fldCharType="end"/>
      </w:r>
    </w:p>
    <w:p>
      <w:pPr>
        <w:pStyle w:val="62"/>
        <w:tabs>
          <w:tab w:val="right" w:leader="dot" w:pos="9540"/>
          <w:tab w:val="clear" w:pos="8597"/>
        </w:tabs>
      </w:pPr>
      <w:r>
        <w:fldChar w:fldCharType="begin"/>
      </w:r>
      <w:r>
        <w:instrText xml:space="preserve"> HYPERLINK \l "_Toc23840" </w:instrText>
      </w:r>
      <w:r>
        <w:fldChar w:fldCharType="separate"/>
      </w:r>
      <w:r>
        <w:rPr>
          <w:rFonts w:hint="eastAsia" w:cs="宋体" w:asciiTheme="minorEastAsia" w:hAnsiTheme="minorEastAsia" w:eastAsiaTheme="minorEastAsia"/>
          <w:szCs w:val="24"/>
        </w:rPr>
        <w:t>八、履约保证金</w:t>
      </w:r>
      <w:r>
        <w:tab/>
      </w:r>
      <w:r>
        <w:fldChar w:fldCharType="begin"/>
      </w:r>
      <w:r>
        <w:instrText xml:space="preserve"> PAGEREF _Toc23840 \h </w:instrText>
      </w:r>
      <w:r>
        <w:fldChar w:fldCharType="separate"/>
      </w:r>
      <w:r>
        <w:t>42</w:t>
      </w:r>
      <w:r>
        <w:fldChar w:fldCharType="end"/>
      </w:r>
      <w:r>
        <w:fldChar w:fldCharType="end"/>
      </w:r>
    </w:p>
    <w:p>
      <w:pPr>
        <w:pStyle w:val="62"/>
        <w:tabs>
          <w:tab w:val="right" w:leader="dot" w:pos="9540"/>
          <w:tab w:val="clear" w:pos="8597"/>
        </w:tabs>
      </w:pPr>
      <w:r>
        <w:fldChar w:fldCharType="begin"/>
      </w:r>
      <w:r>
        <w:instrText xml:space="preserve"> HYPERLINK \l "_Toc9592" </w:instrText>
      </w:r>
      <w:r>
        <w:fldChar w:fldCharType="separate"/>
      </w:r>
      <w:r>
        <w:rPr>
          <w:rFonts w:hint="eastAsia" w:cs="宋体" w:asciiTheme="minorEastAsia" w:hAnsiTheme="minorEastAsia" w:eastAsiaTheme="minorEastAsia"/>
          <w:szCs w:val="24"/>
        </w:rPr>
        <w:t>九、投标相关费用</w:t>
      </w:r>
      <w:r>
        <w:tab/>
      </w:r>
      <w:r>
        <w:fldChar w:fldCharType="begin"/>
      </w:r>
      <w:r>
        <w:instrText xml:space="preserve"> PAGEREF _Toc9592 \h </w:instrText>
      </w:r>
      <w:r>
        <w:fldChar w:fldCharType="separate"/>
      </w:r>
      <w:r>
        <w:t>42</w:t>
      </w:r>
      <w:r>
        <w:fldChar w:fldCharType="end"/>
      </w:r>
      <w:r>
        <w:fldChar w:fldCharType="end"/>
      </w:r>
    </w:p>
    <w:p>
      <w:pPr>
        <w:pStyle w:val="62"/>
        <w:tabs>
          <w:tab w:val="right" w:leader="dot" w:pos="9540"/>
          <w:tab w:val="clear" w:pos="8597"/>
        </w:tabs>
      </w:pPr>
      <w:r>
        <w:fldChar w:fldCharType="begin"/>
      </w:r>
      <w:r>
        <w:instrText xml:space="preserve"> HYPERLINK \l "_Toc21810" </w:instrText>
      </w:r>
      <w:r>
        <w:fldChar w:fldCharType="separate"/>
      </w:r>
      <w:r>
        <w:rPr>
          <w:rFonts w:hint="eastAsia" w:cs="宋体" w:asciiTheme="minorEastAsia" w:hAnsiTheme="minorEastAsia" w:eastAsiaTheme="minorEastAsia"/>
          <w:szCs w:val="24"/>
        </w:rPr>
        <w:t>十、其它</w:t>
      </w:r>
      <w:r>
        <w:tab/>
      </w:r>
      <w:r>
        <w:fldChar w:fldCharType="begin"/>
      </w:r>
      <w:r>
        <w:instrText xml:space="preserve"> PAGEREF _Toc21810 \h </w:instrText>
      </w:r>
      <w:r>
        <w:fldChar w:fldCharType="separate"/>
      </w:r>
      <w:r>
        <w:t>42</w:t>
      </w:r>
      <w:r>
        <w:fldChar w:fldCharType="end"/>
      </w:r>
      <w:r>
        <w:fldChar w:fldCharType="end"/>
      </w:r>
    </w:p>
    <w:p>
      <w:pPr>
        <w:pStyle w:val="62"/>
        <w:tabs>
          <w:tab w:val="right" w:leader="dot" w:pos="9540"/>
          <w:tab w:val="clear" w:pos="8597"/>
        </w:tabs>
      </w:pPr>
      <w:r>
        <w:fldChar w:fldCharType="begin"/>
      </w:r>
      <w:r>
        <w:instrText xml:space="preserve"> HYPERLINK \l "_Toc8560" </w:instrText>
      </w:r>
      <w:r>
        <w:fldChar w:fldCharType="separate"/>
      </w:r>
      <w:r>
        <w:rPr>
          <w:rFonts w:hint="eastAsia" w:cs="宋体" w:asciiTheme="minorEastAsia" w:hAnsiTheme="minorEastAsia" w:eastAsiaTheme="minorEastAsia"/>
          <w:szCs w:val="24"/>
        </w:rPr>
        <w:t>十一、解释权</w:t>
      </w:r>
      <w:r>
        <w:tab/>
      </w:r>
      <w:r>
        <w:fldChar w:fldCharType="begin"/>
      </w:r>
      <w:r>
        <w:instrText xml:space="preserve"> PAGEREF _Toc8560 \h </w:instrText>
      </w:r>
      <w:r>
        <w:fldChar w:fldCharType="separate"/>
      </w:r>
      <w:r>
        <w:t>43</w:t>
      </w:r>
      <w:r>
        <w:fldChar w:fldCharType="end"/>
      </w:r>
      <w:r>
        <w:fldChar w:fldCharType="end"/>
      </w:r>
    </w:p>
    <w:p>
      <w:pPr>
        <w:pStyle w:val="53"/>
        <w:tabs>
          <w:tab w:val="right" w:leader="dot" w:pos="9540"/>
        </w:tabs>
      </w:pPr>
      <w:r>
        <w:fldChar w:fldCharType="begin"/>
      </w:r>
      <w:r>
        <w:instrText xml:space="preserve"> HYPERLINK \l "_Toc2404" </w:instrText>
      </w:r>
      <w:r>
        <w:fldChar w:fldCharType="separate"/>
      </w:r>
      <w:r>
        <w:rPr>
          <w:rFonts w:hint="eastAsia" w:asciiTheme="minorEastAsia" w:hAnsiTheme="minorEastAsia" w:eastAsiaTheme="minorEastAsia"/>
        </w:rPr>
        <w:t>第三章</w:t>
      </w:r>
      <w:r>
        <w:rPr>
          <w:rFonts w:asciiTheme="minorEastAsia" w:hAnsiTheme="minorEastAsia" w:eastAsiaTheme="minorEastAsia"/>
        </w:rPr>
        <w:t xml:space="preserve">   </w:t>
      </w:r>
      <w:r>
        <w:rPr>
          <w:rFonts w:hint="eastAsia" w:asciiTheme="minorEastAsia" w:hAnsiTheme="minorEastAsia" w:eastAsiaTheme="minorEastAsia"/>
        </w:rPr>
        <w:t>评分办法</w:t>
      </w:r>
      <w:r>
        <w:tab/>
      </w:r>
      <w:r>
        <w:fldChar w:fldCharType="begin"/>
      </w:r>
      <w:r>
        <w:instrText xml:space="preserve"> PAGEREF _Toc2404 \h </w:instrText>
      </w:r>
      <w:r>
        <w:fldChar w:fldCharType="separate"/>
      </w:r>
      <w:r>
        <w:t>44</w:t>
      </w:r>
      <w:r>
        <w:fldChar w:fldCharType="end"/>
      </w:r>
      <w:r>
        <w:fldChar w:fldCharType="end"/>
      </w:r>
    </w:p>
    <w:p>
      <w:pPr>
        <w:pStyle w:val="62"/>
        <w:tabs>
          <w:tab w:val="right" w:leader="dot" w:pos="9540"/>
          <w:tab w:val="clear" w:pos="8597"/>
        </w:tabs>
      </w:pPr>
      <w:r>
        <w:fldChar w:fldCharType="begin"/>
      </w:r>
      <w:r>
        <w:instrText xml:space="preserve"> HYPERLINK \l "_Toc3756" </w:instrText>
      </w:r>
      <w:r>
        <w:fldChar w:fldCharType="separate"/>
      </w:r>
      <w:r>
        <w:rPr>
          <w:rFonts w:hint="eastAsia"/>
        </w:rPr>
        <w:t>一、评标方法</w:t>
      </w:r>
      <w:r>
        <w:rPr>
          <w:rFonts w:hint="eastAsia"/>
        </w:rPr>
        <w:tab/>
      </w:r>
      <w:r>
        <w:rPr>
          <w:rFonts w:hint="eastAsia"/>
        </w:rPr>
        <w:fldChar w:fldCharType="begin"/>
      </w:r>
      <w:r>
        <w:rPr>
          <w:rFonts w:hint="eastAsia"/>
        </w:rPr>
        <w:instrText xml:space="preserve"> PAGEREF _Toc3756 \h </w:instrText>
      </w:r>
      <w:r>
        <w:rPr>
          <w:rFonts w:hint="eastAsia"/>
        </w:rPr>
        <w:fldChar w:fldCharType="separate"/>
      </w:r>
      <w:r>
        <w:rPr>
          <w:rFonts w:hint="eastAsia"/>
        </w:rPr>
        <w:t>44</w:t>
      </w:r>
      <w:r>
        <w:rPr>
          <w:rFonts w:hint="eastAsia"/>
        </w:rPr>
        <w:fldChar w:fldCharType="end"/>
      </w:r>
      <w:r>
        <w:rPr>
          <w:rFonts w:hint="eastAsia"/>
        </w:rPr>
        <w:fldChar w:fldCharType="end"/>
      </w:r>
    </w:p>
    <w:p>
      <w:pPr>
        <w:pStyle w:val="62"/>
        <w:tabs>
          <w:tab w:val="right" w:leader="dot" w:pos="9540"/>
          <w:tab w:val="clear" w:pos="8597"/>
        </w:tabs>
      </w:pPr>
      <w:r>
        <w:fldChar w:fldCharType="begin"/>
      </w:r>
      <w:r>
        <w:instrText xml:space="preserve"> HYPERLINK \l "_Toc7645" </w:instrText>
      </w:r>
      <w:r>
        <w:fldChar w:fldCharType="separate"/>
      </w:r>
      <w:r>
        <w:rPr>
          <w:rFonts w:hint="eastAsia"/>
        </w:rPr>
        <w:t>二、 评分细则</w:t>
      </w:r>
      <w:r>
        <w:rPr>
          <w:rFonts w:hint="eastAsia"/>
        </w:rPr>
        <w:tab/>
      </w:r>
      <w:r>
        <w:rPr>
          <w:rFonts w:hint="eastAsia"/>
        </w:rPr>
        <w:fldChar w:fldCharType="begin"/>
      </w:r>
      <w:r>
        <w:rPr>
          <w:rFonts w:hint="eastAsia"/>
        </w:rPr>
        <w:instrText xml:space="preserve"> PAGEREF _Toc7645 \h </w:instrText>
      </w:r>
      <w:r>
        <w:rPr>
          <w:rFonts w:hint="eastAsia"/>
        </w:rPr>
        <w:fldChar w:fldCharType="separate"/>
      </w:r>
      <w:r>
        <w:rPr>
          <w:rFonts w:hint="eastAsia"/>
        </w:rPr>
        <w:t>44</w:t>
      </w:r>
      <w:r>
        <w:rPr>
          <w:rFonts w:hint="eastAsia"/>
        </w:rPr>
        <w:fldChar w:fldCharType="end"/>
      </w:r>
      <w:r>
        <w:rPr>
          <w:rFonts w:hint="eastAsia"/>
        </w:rPr>
        <w:fldChar w:fldCharType="end"/>
      </w:r>
    </w:p>
    <w:p>
      <w:pPr>
        <w:pStyle w:val="62"/>
        <w:tabs>
          <w:tab w:val="right" w:leader="dot" w:pos="9540"/>
          <w:tab w:val="clear" w:pos="8597"/>
        </w:tabs>
      </w:pPr>
      <w:r>
        <w:fldChar w:fldCharType="begin"/>
      </w:r>
      <w:r>
        <w:instrText xml:space="preserve"> HYPERLINK \l "_Toc20451" </w:instrText>
      </w:r>
      <w:r>
        <w:fldChar w:fldCharType="separate"/>
      </w:r>
      <w:r>
        <w:rPr>
          <w:rFonts w:hint="eastAsia"/>
        </w:rPr>
        <w:t>三、评审执行的政府采购政策</w:t>
      </w:r>
      <w:r>
        <w:rPr>
          <w:rFonts w:hint="eastAsia"/>
        </w:rPr>
        <w:tab/>
      </w:r>
      <w:r>
        <w:rPr>
          <w:rFonts w:hint="eastAsia"/>
        </w:rPr>
        <w:fldChar w:fldCharType="begin"/>
      </w:r>
      <w:r>
        <w:rPr>
          <w:rFonts w:hint="eastAsia"/>
        </w:rPr>
        <w:instrText xml:space="preserve"> PAGEREF _Toc20451 \h </w:instrText>
      </w:r>
      <w:r>
        <w:rPr>
          <w:rFonts w:hint="eastAsia"/>
        </w:rPr>
        <w:fldChar w:fldCharType="separate"/>
      </w:r>
      <w:r>
        <w:rPr>
          <w:rFonts w:hint="eastAsia"/>
        </w:rPr>
        <w:t>49</w:t>
      </w:r>
      <w:r>
        <w:rPr>
          <w:rFonts w:hint="eastAsia"/>
        </w:rPr>
        <w:fldChar w:fldCharType="end"/>
      </w:r>
      <w:r>
        <w:rPr>
          <w:rFonts w:hint="eastAsia"/>
        </w:rPr>
        <w:fldChar w:fldCharType="end"/>
      </w:r>
    </w:p>
    <w:p>
      <w:pPr>
        <w:pStyle w:val="53"/>
        <w:tabs>
          <w:tab w:val="right" w:leader="dot" w:pos="9540"/>
        </w:tabs>
      </w:pPr>
      <w:r>
        <w:fldChar w:fldCharType="begin"/>
      </w:r>
      <w:r>
        <w:instrText xml:space="preserve"> HYPERLINK \l "_Toc9460" </w:instrText>
      </w:r>
      <w:r>
        <w:fldChar w:fldCharType="separate"/>
      </w:r>
      <w:r>
        <w:rPr>
          <w:rFonts w:hint="eastAsia" w:asciiTheme="minorEastAsia" w:hAnsiTheme="minorEastAsia" w:eastAsiaTheme="minorEastAsia"/>
        </w:rPr>
        <w:t>第四章</w:t>
      </w:r>
      <w:r>
        <w:rPr>
          <w:rFonts w:asciiTheme="minorEastAsia" w:hAnsiTheme="minorEastAsia" w:eastAsiaTheme="minorEastAsia"/>
        </w:rPr>
        <w:t xml:space="preserve">   </w:t>
      </w:r>
      <w:r>
        <w:rPr>
          <w:rFonts w:hint="eastAsia" w:asciiTheme="minorEastAsia" w:hAnsiTheme="minorEastAsia" w:eastAsiaTheme="minorEastAsia"/>
        </w:rPr>
        <w:t>采购内容及项目要求</w:t>
      </w:r>
      <w:r>
        <w:tab/>
      </w:r>
      <w:r>
        <w:fldChar w:fldCharType="begin"/>
      </w:r>
      <w:r>
        <w:instrText xml:space="preserve"> PAGEREF _Toc9460 \h </w:instrText>
      </w:r>
      <w:r>
        <w:fldChar w:fldCharType="separate"/>
      </w:r>
      <w:r>
        <w:t>51</w:t>
      </w:r>
      <w:r>
        <w:fldChar w:fldCharType="end"/>
      </w:r>
      <w:r>
        <w:fldChar w:fldCharType="end"/>
      </w:r>
    </w:p>
    <w:p>
      <w:pPr>
        <w:pStyle w:val="62"/>
        <w:tabs>
          <w:tab w:val="right" w:leader="dot" w:pos="9540"/>
          <w:tab w:val="clear" w:pos="8597"/>
        </w:tabs>
      </w:pPr>
      <w:r>
        <w:fldChar w:fldCharType="begin"/>
      </w:r>
      <w:r>
        <w:instrText xml:space="preserve"> HYPERLINK \l "_Toc1672" </w:instrText>
      </w:r>
      <w:r>
        <w:fldChar w:fldCharType="separate"/>
      </w:r>
      <w:r>
        <w:rPr>
          <w:rFonts w:hint="eastAsia"/>
        </w:rPr>
        <w:t>一、采购内容</w:t>
      </w:r>
      <w:r>
        <w:tab/>
      </w:r>
      <w:r>
        <w:fldChar w:fldCharType="begin"/>
      </w:r>
      <w:r>
        <w:instrText xml:space="preserve"> PAGEREF _Toc1672 \h </w:instrText>
      </w:r>
      <w:r>
        <w:fldChar w:fldCharType="separate"/>
      </w:r>
      <w:r>
        <w:t>51</w:t>
      </w:r>
      <w:r>
        <w:fldChar w:fldCharType="end"/>
      </w:r>
      <w:r>
        <w:fldChar w:fldCharType="end"/>
      </w:r>
    </w:p>
    <w:p>
      <w:pPr>
        <w:pStyle w:val="62"/>
        <w:tabs>
          <w:tab w:val="right" w:leader="dot" w:pos="9540"/>
          <w:tab w:val="clear" w:pos="8597"/>
        </w:tabs>
      </w:pPr>
      <w:r>
        <w:fldChar w:fldCharType="begin"/>
      </w:r>
      <w:r>
        <w:instrText xml:space="preserve"> HYPERLINK \l "_Toc6371" </w:instrText>
      </w:r>
      <w:r>
        <w:fldChar w:fldCharType="separate"/>
      </w:r>
      <w:r>
        <w:rPr>
          <w:rFonts w:hint="eastAsia"/>
        </w:rPr>
        <w:t>二 、总体说明</w:t>
      </w:r>
      <w:r>
        <w:tab/>
      </w:r>
      <w:r>
        <w:fldChar w:fldCharType="begin"/>
      </w:r>
      <w:r>
        <w:instrText xml:space="preserve"> PAGEREF _Toc6371 \h </w:instrText>
      </w:r>
      <w:r>
        <w:fldChar w:fldCharType="separate"/>
      </w:r>
      <w:r>
        <w:t>53</w:t>
      </w:r>
      <w:r>
        <w:fldChar w:fldCharType="end"/>
      </w:r>
      <w:r>
        <w:fldChar w:fldCharType="end"/>
      </w:r>
    </w:p>
    <w:p>
      <w:pPr>
        <w:pStyle w:val="62"/>
        <w:tabs>
          <w:tab w:val="right" w:leader="dot" w:pos="9540"/>
          <w:tab w:val="clear" w:pos="8597"/>
        </w:tabs>
      </w:pPr>
      <w:r>
        <w:fldChar w:fldCharType="begin"/>
      </w:r>
      <w:r>
        <w:instrText xml:space="preserve"> HYPERLINK \l "_Toc28727" </w:instrText>
      </w:r>
      <w:r>
        <w:fldChar w:fldCharType="separate"/>
      </w:r>
      <w:r>
        <w:rPr>
          <w:rFonts w:hint="eastAsia"/>
        </w:rPr>
        <w:t>三、基本要求</w:t>
      </w:r>
      <w:r>
        <w:tab/>
      </w:r>
      <w:r>
        <w:fldChar w:fldCharType="begin"/>
      </w:r>
      <w:r>
        <w:instrText xml:space="preserve"> PAGEREF _Toc28727 \h </w:instrText>
      </w:r>
      <w:r>
        <w:fldChar w:fldCharType="separate"/>
      </w:r>
      <w:r>
        <w:t>53</w:t>
      </w:r>
      <w:r>
        <w:fldChar w:fldCharType="end"/>
      </w:r>
      <w:r>
        <w:fldChar w:fldCharType="end"/>
      </w:r>
    </w:p>
    <w:p>
      <w:pPr>
        <w:pStyle w:val="62"/>
        <w:tabs>
          <w:tab w:val="right" w:leader="dot" w:pos="9540"/>
          <w:tab w:val="clear" w:pos="8597"/>
        </w:tabs>
      </w:pPr>
      <w:r>
        <w:fldChar w:fldCharType="begin"/>
      </w:r>
      <w:r>
        <w:instrText xml:space="preserve"> HYPERLINK \l "_Toc27792" </w:instrText>
      </w:r>
      <w:r>
        <w:fldChar w:fldCharType="separate"/>
      </w:r>
      <w:r>
        <w:rPr>
          <w:rFonts w:hint="eastAsia"/>
        </w:rPr>
        <w:t>四、设备（产品）技术及规格要求</w:t>
      </w:r>
      <w:r>
        <w:tab/>
      </w:r>
      <w:r>
        <w:fldChar w:fldCharType="begin"/>
      </w:r>
      <w:r>
        <w:instrText xml:space="preserve"> PAGEREF _Toc27792 \h </w:instrText>
      </w:r>
      <w:r>
        <w:fldChar w:fldCharType="separate"/>
      </w:r>
      <w:r>
        <w:t>54</w:t>
      </w:r>
      <w:r>
        <w:fldChar w:fldCharType="end"/>
      </w:r>
      <w:r>
        <w:fldChar w:fldCharType="end"/>
      </w:r>
    </w:p>
    <w:p>
      <w:pPr>
        <w:pStyle w:val="53"/>
        <w:tabs>
          <w:tab w:val="right" w:leader="dot" w:pos="9540"/>
        </w:tabs>
      </w:pPr>
      <w:r>
        <w:fldChar w:fldCharType="begin"/>
      </w:r>
      <w:r>
        <w:instrText xml:space="preserve"> HYPERLINK \l "_Toc29588" </w:instrText>
      </w:r>
      <w:r>
        <w:fldChar w:fldCharType="separate"/>
      </w:r>
      <w:r>
        <w:rPr>
          <w:rFonts w:hint="eastAsia" w:asciiTheme="minorEastAsia" w:hAnsiTheme="minorEastAsia" w:eastAsiaTheme="minorEastAsia"/>
        </w:rPr>
        <w:t>第五章</w:t>
      </w:r>
      <w:r>
        <w:rPr>
          <w:rFonts w:asciiTheme="minorEastAsia" w:hAnsiTheme="minorEastAsia" w:eastAsiaTheme="minorEastAsia"/>
        </w:rPr>
        <w:t xml:space="preserve">   </w:t>
      </w:r>
      <w:r>
        <w:rPr>
          <w:rFonts w:hint="eastAsia" w:asciiTheme="minorEastAsia" w:hAnsiTheme="minorEastAsia" w:eastAsiaTheme="minorEastAsia"/>
        </w:rPr>
        <w:t>合同条款及格式</w:t>
      </w:r>
      <w:r>
        <w:tab/>
      </w:r>
      <w:r>
        <w:fldChar w:fldCharType="begin"/>
      </w:r>
      <w:r>
        <w:instrText xml:space="preserve"> PAGEREF _Toc29588 \h </w:instrText>
      </w:r>
      <w:r>
        <w:fldChar w:fldCharType="separate"/>
      </w:r>
      <w:r>
        <w:t>83</w:t>
      </w:r>
      <w:r>
        <w:fldChar w:fldCharType="end"/>
      </w:r>
      <w:r>
        <w:fldChar w:fldCharType="end"/>
      </w:r>
    </w:p>
    <w:p>
      <w:pPr>
        <w:pStyle w:val="62"/>
        <w:tabs>
          <w:tab w:val="right" w:leader="dot" w:pos="9540"/>
          <w:tab w:val="clear" w:pos="8597"/>
        </w:tabs>
      </w:pPr>
      <w:r>
        <w:fldChar w:fldCharType="begin"/>
      </w:r>
      <w:r>
        <w:instrText xml:space="preserve"> HYPERLINK \l "_Toc22291" </w:instrText>
      </w:r>
      <w:r>
        <w:fldChar w:fldCharType="separate"/>
      </w:r>
      <w:r>
        <w:rPr>
          <w:rFonts w:ascii="Arial" w:hAnsi="Arial" w:cs="Arial"/>
          <w:szCs w:val="24"/>
        </w:rPr>
        <w:t xml:space="preserve">一、 </w:t>
      </w:r>
      <w:r>
        <w:rPr>
          <w:rFonts w:hint="eastAsia" w:ascii="宋体" w:hAnsi="宋体" w:cs="仿宋"/>
          <w:szCs w:val="24"/>
        </w:rPr>
        <w:t>合同文件</w:t>
      </w:r>
      <w:r>
        <w:tab/>
      </w:r>
      <w:r>
        <w:fldChar w:fldCharType="begin"/>
      </w:r>
      <w:r>
        <w:instrText xml:space="preserve"> PAGEREF _Toc22291 \h </w:instrText>
      </w:r>
      <w:r>
        <w:fldChar w:fldCharType="separate"/>
      </w:r>
      <w:r>
        <w:t>84</w:t>
      </w:r>
      <w:r>
        <w:fldChar w:fldCharType="end"/>
      </w:r>
      <w:r>
        <w:fldChar w:fldCharType="end"/>
      </w:r>
    </w:p>
    <w:p>
      <w:pPr>
        <w:pStyle w:val="62"/>
        <w:tabs>
          <w:tab w:val="right" w:leader="dot" w:pos="9540"/>
          <w:tab w:val="clear" w:pos="8597"/>
        </w:tabs>
      </w:pPr>
      <w:r>
        <w:fldChar w:fldCharType="begin"/>
      </w:r>
      <w:r>
        <w:instrText xml:space="preserve"> HYPERLINK \l "_Toc29410" </w:instrText>
      </w:r>
      <w:r>
        <w:fldChar w:fldCharType="separate"/>
      </w:r>
      <w:r>
        <w:rPr>
          <w:rFonts w:ascii="Arial" w:hAnsi="Arial" w:cs="Arial"/>
          <w:szCs w:val="24"/>
        </w:rPr>
        <w:t xml:space="preserve">二、 </w:t>
      </w:r>
      <w:r>
        <w:rPr>
          <w:rFonts w:hint="eastAsia" w:ascii="宋体" w:hAnsi="宋体" w:cs="仿宋"/>
          <w:szCs w:val="24"/>
        </w:rPr>
        <w:t>合同的范围和条件</w:t>
      </w:r>
      <w:r>
        <w:tab/>
      </w:r>
      <w:r>
        <w:fldChar w:fldCharType="begin"/>
      </w:r>
      <w:r>
        <w:instrText xml:space="preserve"> PAGEREF _Toc29410 \h </w:instrText>
      </w:r>
      <w:r>
        <w:fldChar w:fldCharType="separate"/>
      </w:r>
      <w:r>
        <w:t>84</w:t>
      </w:r>
      <w:r>
        <w:fldChar w:fldCharType="end"/>
      </w:r>
      <w:r>
        <w:fldChar w:fldCharType="end"/>
      </w:r>
    </w:p>
    <w:p>
      <w:pPr>
        <w:pStyle w:val="62"/>
        <w:tabs>
          <w:tab w:val="right" w:leader="dot" w:pos="9540"/>
          <w:tab w:val="clear" w:pos="8597"/>
        </w:tabs>
      </w:pPr>
      <w:r>
        <w:fldChar w:fldCharType="begin"/>
      </w:r>
      <w:r>
        <w:instrText xml:space="preserve"> HYPERLINK \l "_Toc31931" </w:instrText>
      </w:r>
      <w:r>
        <w:fldChar w:fldCharType="separate"/>
      </w:r>
      <w:r>
        <w:rPr>
          <w:rFonts w:ascii="Arial" w:hAnsi="Arial" w:cs="Arial"/>
          <w:szCs w:val="24"/>
        </w:rPr>
        <w:t xml:space="preserve">三、 </w:t>
      </w:r>
      <w:r>
        <w:rPr>
          <w:rFonts w:hint="eastAsia" w:ascii="宋体" w:hAnsi="宋体" w:cs="仿宋"/>
          <w:szCs w:val="24"/>
        </w:rPr>
        <w:t>货物内容、数量及规格</w:t>
      </w:r>
      <w:r>
        <w:tab/>
      </w:r>
      <w:r>
        <w:fldChar w:fldCharType="begin"/>
      </w:r>
      <w:r>
        <w:instrText xml:space="preserve"> PAGEREF _Toc31931 \h </w:instrText>
      </w:r>
      <w:r>
        <w:fldChar w:fldCharType="separate"/>
      </w:r>
      <w:r>
        <w:t>84</w:t>
      </w:r>
      <w:r>
        <w:fldChar w:fldCharType="end"/>
      </w:r>
      <w:r>
        <w:fldChar w:fldCharType="end"/>
      </w:r>
    </w:p>
    <w:p>
      <w:pPr>
        <w:pStyle w:val="62"/>
        <w:tabs>
          <w:tab w:val="right" w:leader="dot" w:pos="9540"/>
          <w:tab w:val="clear" w:pos="8597"/>
        </w:tabs>
      </w:pPr>
      <w:r>
        <w:fldChar w:fldCharType="begin"/>
      </w:r>
      <w:r>
        <w:instrText xml:space="preserve"> HYPERLINK \l "_Toc30419" </w:instrText>
      </w:r>
      <w:r>
        <w:fldChar w:fldCharType="separate"/>
      </w:r>
      <w:r>
        <w:rPr>
          <w:rFonts w:ascii="Arial" w:hAnsi="Arial" w:cs="Arial"/>
          <w:szCs w:val="24"/>
        </w:rPr>
        <w:t xml:space="preserve">四、 </w:t>
      </w:r>
      <w:r>
        <w:rPr>
          <w:rFonts w:hint="eastAsia" w:ascii="宋体" w:hAnsi="宋体" w:cs="仿宋"/>
          <w:szCs w:val="24"/>
        </w:rPr>
        <w:t>合同金额</w:t>
      </w:r>
      <w:r>
        <w:tab/>
      </w:r>
      <w:r>
        <w:fldChar w:fldCharType="begin"/>
      </w:r>
      <w:r>
        <w:instrText xml:space="preserve"> PAGEREF _Toc30419 \h </w:instrText>
      </w:r>
      <w:r>
        <w:fldChar w:fldCharType="separate"/>
      </w:r>
      <w:r>
        <w:t>84</w:t>
      </w:r>
      <w:r>
        <w:fldChar w:fldCharType="end"/>
      </w:r>
      <w:r>
        <w:fldChar w:fldCharType="end"/>
      </w:r>
    </w:p>
    <w:p>
      <w:pPr>
        <w:pStyle w:val="62"/>
        <w:tabs>
          <w:tab w:val="right" w:leader="dot" w:pos="9540"/>
          <w:tab w:val="clear" w:pos="8597"/>
        </w:tabs>
      </w:pPr>
      <w:r>
        <w:fldChar w:fldCharType="begin"/>
      </w:r>
      <w:r>
        <w:instrText xml:space="preserve"> HYPERLINK \l "_Toc29529" </w:instrText>
      </w:r>
      <w:r>
        <w:fldChar w:fldCharType="separate"/>
      </w:r>
      <w:r>
        <w:rPr>
          <w:rFonts w:ascii="Arial" w:hAnsi="Arial" w:cs="Arial"/>
          <w:szCs w:val="24"/>
        </w:rPr>
        <w:t xml:space="preserve">五、 </w:t>
      </w:r>
      <w:r>
        <w:rPr>
          <w:rFonts w:hint="eastAsia" w:ascii="宋体" w:hAnsi="宋体" w:cs="仿宋"/>
          <w:szCs w:val="24"/>
        </w:rPr>
        <w:t>付款方式</w:t>
      </w:r>
      <w:r>
        <w:tab/>
      </w:r>
      <w:r>
        <w:fldChar w:fldCharType="begin"/>
      </w:r>
      <w:r>
        <w:instrText xml:space="preserve"> PAGEREF _Toc29529 \h </w:instrText>
      </w:r>
      <w:r>
        <w:fldChar w:fldCharType="separate"/>
      </w:r>
      <w:r>
        <w:t>85</w:t>
      </w:r>
      <w:r>
        <w:fldChar w:fldCharType="end"/>
      </w:r>
      <w:r>
        <w:fldChar w:fldCharType="end"/>
      </w:r>
    </w:p>
    <w:p>
      <w:pPr>
        <w:pStyle w:val="62"/>
        <w:tabs>
          <w:tab w:val="right" w:leader="dot" w:pos="9540"/>
          <w:tab w:val="clear" w:pos="8597"/>
        </w:tabs>
      </w:pPr>
      <w:r>
        <w:fldChar w:fldCharType="begin"/>
      </w:r>
      <w:r>
        <w:instrText xml:space="preserve"> HYPERLINK \l "_Toc26701" </w:instrText>
      </w:r>
      <w:r>
        <w:fldChar w:fldCharType="separate"/>
      </w:r>
      <w:r>
        <w:rPr>
          <w:rFonts w:ascii="Arial" w:hAnsi="Arial" w:cs="Arial"/>
          <w:szCs w:val="24"/>
        </w:rPr>
        <w:t xml:space="preserve">六、 </w:t>
      </w:r>
      <w:r>
        <w:rPr>
          <w:rFonts w:hint="eastAsia" w:ascii="宋体" w:hAnsi="宋体" w:cs="仿宋"/>
          <w:szCs w:val="24"/>
        </w:rPr>
        <w:t>交付日期、地点</w:t>
      </w:r>
      <w:r>
        <w:tab/>
      </w:r>
      <w:r>
        <w:fldChar w:fldCharType="begin"/>
      </w:r>
      <w:r>
        <w:instrText xml:space="preserve"> PAGEREF _Toc26701 \h </w:instrText>
      </w:r>
      <w:r>
        <w:fldChar w:fldCharType="separate"/>
      </w:r>
      <w:r>
        <w:t>85</w:t>
      </w:r>
      <w:r>
        <w:fldChar w:fldCharType="end"/>
      </w:r>
      <w:r>
        <w:fldChar w:fldCharType="end"/>
      </w:r>
    </w:p>
    <w:p>
      <w:pPr>
        <w:pStyle w:val="62"/>
        <w:tabs>
          <w:tab w:val="right" w:leader="dot" w:pos="9540"/>
          <w:tab w:val="clear" w:pos="8597"/>
        </w:tabs>
      </w:pPr>
      <w:r>
        <w:fldChar w:fldCharType="begin"/>
      </w:r>
      <w:r>
        <w:instrText xml:space="preserve"> HYPERLINK \l "_Toc2318" </w:instrText>
      </w:r>
      <w:r>
        <w:fldChar w:fldCharType="separate"/>
      </w:r>
      <w:r>
        <w:rPr>
          <w:rFonts w:ascii="Arial" w:hAnsi="Arial" w:cs="Arial"/>
          <w:szCs w:val="24"/>
        </w:rPr>
        <w:t xml:space="preserve">七、 </w:t>
      </w:r>
      <w:r>
        <w:rPr>
          <w:rFonts w:hint="eastAsia" w:ascii="宋体" w:hAnsi="宋体" w:cs="仿宋"/>
          <w:szCs w:val="24"/>
        </w:rPr>
        <w:t>质量</w:t>
      </w:r>
      <w:r>
        <w:tab/>
      </w:r>
      <w:r>
        <w:fldChar w:fldCharType="begin"/>
      </w:r>
      <w:r>
        <w:instrText xml:space="preserve"> PAGEREF _Toc2318 \h </w:instrText>
      </w:r>
      <w:r>
        <w:fldChar w:fldCharType="separate"/>
      </w:r>
      <w:r>
        <w:t>86</w:t>
      </w:r>
      <w:r>
        <w:fldChar w:fldCharType="end"/>
      </w:r>
      <w:r>
        <w:fldChar w:fldCharType="end"/>
      </w:r>
    </w:p>
    <w:p>
      <w:pPr>
        <w:pStyle w:val="62"/>
        <w:tabs>
          <w:tab w:val="right" w:leader="dot" w:pos="9540"/>
          <w:tab w:val="clear" w:pos="8597"/>
        </w:tabs>
      </w:pPr>
      <w:r>
        <w:fldChar w:fldCharType="begin"/>
      </w:r>
      <w:r>
        <w:instrText xml:space="preserve"> HYPERLINK \l "_Toc10849" </w:instrText>
      </w:r>
      <w:r>
        <w:fldChar w:fldCharType="separate"/>
      </w:r>
      <w:r>
        <w:rPr>
          <w:rFonts w:ascii="Arial" w:hAnsi="Arial" w:cs="Arial"/>
          <w:szCs w:val="24"/>
        </w:rPr>
        <w:t xml:space="preserve">八、 </w:t>
      </w:r>
      <w:r>
        <w:rPr>
          <w:rFonts w:hint="eastAsia" w:ascii="宋体" w:hAnsi="宋体" w:cs="仿宋"/>
          <w:szCs w:val="24"/>
        </w:rPr>
        <w:t>包装</w:t>
      </w:r>
      <w:r>
        <w:tab/>
      </w:r>
      <w:r>
        <w:fldChar w:fldCharType="begin"/>
      </w:r>
      <w:r>
        <w:instrText xml:space="preserve"> PAGEREF _Toc10849 \h </w:instrText>
      </w:r>
      <w:r>
        <w:fldChar w:fldCharType="separate"/>
      </w:r>
      <w:r>
        <w:t>86</w:t>
      </w:r>
      <w:r>
        <w:fldChar w:fldCharType="end"/>
      </w:r>
      <w:r>
        <w:fldChar w:fldCharType="end"/>
      </w:r>
    </w:p>
    <w:p>
      <w:pPr>
        <w:pStyle w:val="62"/>
        <w:tabs>
          <w:tab w:val="right" w:leader="dot" w:pos="9540"/>
          <w:tab w:val="clear" w:pos="8597"/>
        </w:tabs>
      </w:pPr>
      <w:r>
        <w:fldChar w:fldCharType="begin"/>
      </w:r>
      <w:r>
        <w:instrText xml:space="preserve"> HYPERLINK \l "_Toc29781" </w:instrText>
      </w:r>
      <w:r>
        <w:fldChar w:fldCharType="separate"/>
      </w:r>
      <w:r>
        <w:rPr>
          <w:rFonts w:ascii="Arial" w:hAnsi="Arial" w:cs="Arial"/>
          <w:szCs w:val="24"/>
        </w:rPr>
        <w:t xml:space="preserve">九、 </w:t>
      </w:r>
      <w:r>
        <w:rPr>
          <w:rFonts w:hint="eastAsia" w:ascii="宋体" w:hAnsi="宋体" w:cs="仿宋"/>
          <w:szCs w:val="24"/>
        </w:rPr>
        <w:t>运输要求</w:t>
      </w:r>
      <w:r>
        <w:tab/>
      </w:r>
      <w:r>
        <w:fldChar w:fldCharType="begin"/>
      </w:r>
      <w:r>
        <w:instrText xml:space="preserve"> PAGEREF _Toc29781 \h </w:instrText>
      </w:r>
      <w:r>
        <w:fldChar w:fldCharType="separate"/>
      </w:r>
      <w:r>
        <w:t>86</w:t>
      </w:r>
      <w:r>
        <w:fldChar w:fldCharType="end"/>
      </w:r>
      <w:r>
        <w:fldChar w:fldCharType="end"/>
      </w:r>
    </w:p>
    <w:p>
      <w:pPr>
        <w:pStyle w:val="62"/>
        <w:tabs>
          <w:tab w:val="right" w:leader="dot" w:pos="9540"/>
          <w:tab w:val="clear" w:pos="8597"/>
        </w:tabs>
      </w:pPr>
      <w:r>
        <w:fldChar w:fldCharType="begin"/>
      </w:r>
      <w:r>
        <w:instrText xml:space="preserve"> HYPERLINK \l "_Toc8865" </w:instrText>
      </w:r>
      <w:r>
        <w:fldChar w:fldCharType="separate"/>
      </w:r>
      <w:r>
        <w:rPr>
          <w:rFonts w:ascii="Arial" w:hAnsi="Arial" w:cs="Arial"/>
          <w:szCs w:val="24"/>
        </w:rPr>
        <w:t xml:space="preserve">十、 </w:t>
      </w:r>
      <w:r>
        <w:rPr>
          <w:rFonts w:hint="eastAsia" w:ascii="宋体" w:hAnsi="宋体" w:cs="仿宋"/>
          <w:szCs w:val="24"/>
        </w:rPr>
        <w:t>保险条款</w:t>
      </w:r>
      <w:r>
        <w:tab/>
      </w:r>
      <w:r>
        <w:fldChar w:fldCharType="begin"/>
      </w:r>
      <w:r>
        <w:instrText xml:space="preserve"> PAGEREF _Toc8865 \h </w:instrText>
      </w:r>
      <w:r>
        <w:fldChar w:fldCharType="separate"/>
      </w:r>
      <w:r>
        <w:t>87</w:t>
      </w:r>
      <w:r>
        <w:fldChar w:fldCharType="end"/>
      </w:r>
      <w:r>
        <w:fldChar w:fldCharType="end"/>
      </w:r>
    </w:p>
    <w:p>
      <w:pPr>
        <w:pStyle w:val="62"/>
        <w:tabs>
          <w:tab w:val="right" w:leader="dot" w:pos="9540"/>
          <w:tab w:val="clear" w:pos="8597"/>
        </w:tabs>
      </w:pPr>
      <w:r>
        <w:fldChar w:fldCharType="begin"/>
      </w:r>
      <w:r>
        <w:instrText xml:space="preserve"> HYPERLINK \l "_Toc29039" </w:instrText>
      </w:r>
      <w:r>
        <w:fldChar w:fldCharType="separate"/>
      </w:r>
      <w:r>
        <w:rPr>
          <w:rFonts w:ascii="Arial" w:hAnsi="Arial" w:cs="Arial"/>
          <w:szCs w:val="24"/>
        </w:rPr>
        <w:t xml:space="preserve">十一、 </w:t>
      </w:r>
      <w:r>
        <w:rPr>
          <w:rFonts w:hint="eastAsia" w:ascii="宋体" w:hAnsi="宋体" w:cs="仿宋"/>
          <w:szCs w:val="24"/>
        </w:rPr>
        <w:t>知识产权</w:t>
      </w:r>
      <w:r>
        <w:tab/>
      </w:r>
      <w:r>
        <w:fldChar w:fldCharType="begin"/>
      </w:r>
      <w:r>
        <w:instrText xml:space="preserve"> PAGEREF _Toc29039 \h </w:instrText>
      </w:r>
      <w:r>
        <w:fldChar w:fldCharType="separate"/>
      </w:r>
      <w:r>
        <w:t>87</w:t>
      </w:r>
      <w:r>
        <w:fldChar w:fldCharType="end"/>
      </w:r>
      <w:r>
        <w:fldChar w:fldCharType="end"/>
      </w:r>
    </w:p>
    <w:p>
      <w:pPr>
        <w:pStyle w:val="62"/>
        <w:tabs>
          <w:tab w:val="right" w:leader="dot" w:pos="9540"/>
          <w:tab w:val="clear" w:pos="8597"/>
        </w:tabs>
      </w:pPr>
      <w:r>
        <w:fldChar w:fldCharType="begin"/>
      </w:r>
      <w:r>
        <w:instrText xml:space="preserve"> HYPERLINK \l "_Toc15710" </w:instrText>
      </w:r>
      <w:r>
        <w:fldChar w:fldCharType="separate"/>
      </w:r>
      <w:r>
        <w:rPr>
          <w:rFonts w:ascii="Arial" w:hAnsi="Arial" w:cs="Arial"/>
          <w:szCs w:val="24"/>
        </w:rPr>
        <w:t xml:space="preserve">十二、 </w:t>
      </w:r>
      <w:r>
        <w:rPr>
          <w:rFonts w:hint="eastAsia" w:ascii="宋体" w:hAnsi="宋体" w:cs="仿宋"/>
          <w:szCs w:val="24"/>
        </w:rPr>
        <w:t>验收</w:t>
      </w:r>
      <w:r>
        <w:tab/>
      </w:r>
      <w:r>
        <w:fldChar w:fldCharType="begin"/>
      </w:r>
      <w:r>
        <w:instrText xml:space="preserve"> PAGEREF _Toc15710 \h </w:instrText>
      </w:r>
      <w:r>
        <w:fldChar w:fldCharType="separate"/>
      </w:r>
      <w:r>
        <w:t>87</w:t>
      </w:r>
      <w:r>
        <w:fldChar w:fldCharType="end"/>
      </w:r>
      <w:r>
        <w:fldChar w:fldCharType="end"/>
      </w:r>
    </w:p>
    <w:p>
      <w:pPr>
        <w:pStyle w:val="62"/>
        <w:tabs>
          <w:tab w:val="right" w:leader="dot" w:pos="9540"/>
          <w:tab w:val="clear" w:pos="8597"/>
        </w:tabs>
      </w:pPr>
      <w:r>
        <w:fldChar w:fldCharType="begin"/>
      </w:r>
      <w:r>
        <w:instrText xml:space="preserve"> HYPERLINK \l "_Toc8251" </w:instrText>
      </w:r>
      <w:r>
        <w:fldChar w:fldCharType="separate"/>
      </w:r>
      <w:r>
        <w:rPr>
          <w:rFonts w:ascii="Arial" w:hAnsi="Arial" w:cs="Arial"/>
          <w:szCs w:val="24"/>
        </w:rPr>
        <w:t xml:space="preserve">十三、 </w:t>
      </w:r>
      <w:r>
        <w:rPr>
          <w:rFonts w:ascii="宋体" w:hAnsi="宋体" w:cs="仿宋"/>
          <w:szCs w:val="24"/>
        </w:rPr>
        <w:t>售后技术服务</w:t>
      </w:r>
      <w:r>
        <w:tab/>
      </w:r>
      <w:r>
        <w:fldChar w:fldCharType="begin"/>
      </w:r>
      <w:r>
        <w:instrText xml:space="preserve"> PAGEREF _Toc8251 \h </w:instrText>
      </w:r>
      <w:r>
        <w:fldChar w:fldCharType="separate"/>
      </w:r>
      <w:r>
        <w:t>88</w:t>
      </w:r>
      <w:r>
        <w:fldChar w:fldCharType="end"/>
      </w:r>
      <w:r>
        <w:fldChar w:fldCharType="end"/>
      </w:r>
    </w:p>
    <w:p>
      <w:pPr>
        <w:pStyle w:val="62"/>
        <w:tabs>
          <w:tab w:val="right" w:leader="dot" w:pos="9540"/>
          <w:tab w:val="clear" w:pos="8597"/>
        </w:tabs>
      </w:pPr>
      <w:r>
        <w:fldChar w:fldCharType="begin"/>
      </w:r>
      <w:r>
        <w:instrText xml:space="preserve"> HYPERLINK \l "_Toc5277" </w:instrText>
      </w:r>
      <w:r>
        <w:fldChar w:fldCharType="separate"/>
      </w:r>
      <w:r>
        <w:rPr>
          <w:rFonts w:ascii="Arial" w:hAnsi="Arial" w:cs="Arial"/>
          <w:szCs w:val="24"/>
        </w:rPr>
        <w:t xml:space="preserve">十四、 </w:t>
      </w:r>
      <w:r>
        <w:rPr>
          <w:rFonts w:hint="eastAsia" w:ascii="宋体" w:hAnsi="宋体" w:cs="仿宋"/>
          <w:szCs w:val="24"/>
        </w:rPr>
        <w:t>违约责任</w:t>
      </w:r>
      <w:r>
        <w:tab/>
      </w:r>
      <w:r>
        <w:fldChar w:fldCharType="begin"/>
      </w:r>
      <w:r>
        <w:instrText xml:space="preserve"> PAGEREF _Toc5277 \h </w:instrText>
      </w:r>
      <w:r>
        <w:fldChar w:fldCharType="separate"/>
      </w:r>
      <w:r>
        <w:t>88</w:t>
      </w:r>
      <w:r>
        <w:fldChar w:fldCharType="end"/>
      </w:r>
      <w:r>
        <w:fldChar w:fldCharType="end"/>
      </w:r>
    </w:p>
    <w:p>
      <w:pPr>
        <w:pStyle w:val="62"/>
        <w:tabs>
          <w:tab w:val="right" w:leader="dot" w:pos="9540"/>
          <w:tab w:val="clear" w:pos="8597"/>
        </w:tabs>
      </w:pPr>
      <w:r>
        <w:fldChar w:fldCharType="begin"/>
      </w:r>
      <w:r>
        <w:instrText xml:space="preserve"> HYPERLINK \l "_Toc19897" </w:instrText>
      </w:r>
      <w:r>
        <w:fldChar w:fldCharType="separate"/>
      </w:r>
      <w:r>
        <w:rPr>
          <w:rFonts w:ascii="Arial" w:hAnsi="Arial" w:cs="Arial"/>
          <w:szCs w:val="24"/>
        </w:rPr>
        <w:t xml:space="preserve">十五、 </w:t>
      </w:r>
      <w:r>
        <w:rPr>
          <w:rFonts w:hint="eastAsia" w:ascii="宋体" w:hAnsi="宋体" w:cs="仿宋"/>
          <w:szCs w:val="24"/>
        </w:rPr>
        <w:t>合同争议的解决</w:t>
      </w:r>
      <w:r>
        <w:tab/>
      </w:r>
      <w:r>
        <w:fldChar w:fldCharType="begin"/>
      </w:r>
      <w:r>
        <w:instrText xml:space="preserve"> PAGEREF _Toc19897 \h </w:instrText>
      </w:r>
      <w:r>
        <w:fldChar w:fldCharType="separate"/>
      </w:r>
      <w:r>
        <w:t>89</w:t>
      </w:r>
      <w:r>
        <w:fldChar w:fldCharType="end"/>
      </w:r>
      <w:r>
        <w:fldChar w:fldCharType="end"/>
      </w:r>
    </w:p>
    <w:p>
      <w:pPr>
        <w:pStyle w:val="62"/>
        <w:tabs>
          <w:tab w:val="right" w:leader="dot" w:pos="9540"/>
          <w:tab w:val="clear" w:pos="8597"/>
        </w:tabs>
      </w:pPr>
      <w:r>
        <w:fldChar w:fldCharType="begin"/>
      </w:r>
      <w:r>
        <w:instrText xml:space="preserve"> HYPERLINK \l "_Toc22540" </w:instrText>
      </w:r>
      <w:r>
        <w:fldChar w:fldCharType="separate"/>
      </w:r>
      <w:r>
        <w:rPr>
          <w:rFonts w:ascii="Arial" w:hAnsi="Arial" w:cs="Arial"/>
          <w:szCs w:val="24"/>
        </w:rPr>
        <w:t xml:space="preserve">十六、 </w:t>
      </w:r>
      <w:r>
        <w:rPr>
          <w:rFonts w:hint="eastAsia" w:ascii="宋体" w:hAnsi="宋体" w:cs="仿宋"/>
          <w:szCs w:val="24"/>
        </w:rPr>
        <w:t>合同生效</w:t>
      </w:r>
      <w:r>
        <w:tab/>
      </w:r>
      <w:r>
        <w:fldChar w:fldCharType="begin"/>
      </w:r>
      <w:r>
        <w:instrText xml:space="preserve"> PAGEREF _Toc22540 \h </w:instrText>
      </w:r>
      <w:r>
        <w:fldChar w:fldCharType="separate"/>
      </w:r>
      <w:r>
        <w:t>89</w:t>
      </w:r>
      <w:r>
        <w:fldChar w:fldCharType="end"/>
      </w:r>
      <w:r>
        <w:fldChar w:fldCharType="end"/>
      </w:r>
    </w:p>
    <w:p>
      <w:pPr>
        <w:pStyle w:val="62"/>
        <w:tabs>
          <w:tab w:val="right" w:leader="dot" w:pos="9540"/>
          <w:tab w:val="clear" w:pos="8597"/>
        </w:tabs>
      </w:pPr>
      <w:r>
        <w:fldChar w:fldCharType="begin"/>
      </w:r>
      <w:r>
        <w:instrText xml:space="preserve"> HYPERLINK \l "_Toc28368" </w:instrText>
      </w:r>
      <w:r>
        <w:fldChar w:fldCharType="separate"/>
      </w:r>
      <w:r>
        <w:rPr>
          <w:rFonts w:ascii="Arial" w:hAnsi="Arial" w:cs="Arial"/>
          <w:szCs w:val="24"/>
        </w:rPr>
        <w:t xml:space="preserve">十七、 </w:t>
      </w:r>
      <w:r>
        <w:rPr>
          <w:rFonts w:hint="eastAsia" w:ascii="宋体" w:hAnsi="宋体" w:cs="仿宋"/>
          <w:szCs w:val="24"/>
        </w:rPr>
        <w:t>合同保存</w:t>
      </w:r>
      <w:r>
        <w:tab/>
      </w:r>
      <w:r>
        <w:fldChar w:fldCharType="begin"/>
      </w:r>
      <w:r>
        <w:instrText xml:space="preserve"> PAGEREF _Toc28368 \h </w:instrText>
      </w:r>
      <w:r>
        <w:fldChar w:fldCharType="separate"/>
      </w:r>
      <w:r>
        <w:t>89</w:t>
      </w:r>
      <w:r>
        <w:fldChar w:fldCharType="end"/>
      </w:r>
      <w:r>
        <w:fldChar w:fldCharType="end"/>
      </w:r>
    </w:p>
    <w:p>
      <w:pPr>
        <w:pStyle w:val="53"/>
        <w:tabs>
          <w:tab w:val="right" w:leader="dot" w:pos="9540"/>
        </w:tabs>
      </w:pPr>
      <w:r>
        <w:fldChar w:fldCharType="begin"/>
      </w:r>
      <w:r>
        <w:instrText xml:space="preserve"> HYPERLINK \l "_Toc17722" </w:instrText>
      </w:r>
      <w:r>
        <w:fldChar w:fldCharType="separate"/>
      </w:r>
      <w:r>
        <w:rPr>
          <w:rFonts w:hint="eastAsia" w:asciiTheme="minorEastAsia" w:hAnsiTheme="minorEastAsia" w:eastAsiaTheme="minorEastAsia"/>
        </w:rPr>
        <w:t>第六章</w:t>
      </w:r>
      <w:r>
        <w:rPr>
          <w:rFonts w:asciiTheme="minorEastAsia" w:hAnsiTheme="minorEastAsia" w:eastAsiaTheme="minorEastAsia"/>
        </w:rPr>
        <w:t xml:space="preserve">   </w:t>
      </w:r>
      <w:r>
        <w:rPr>
          <w:rFonts w:hint="eastAsia" w:asciiTheme="minorEastAsia" w:hAnsiTheme="minorEastAsia" w:eastAsiaTheme="minorEastAsia"/>
        </w:rPr>
        <w:t>投标文件格式</w:t>
      </w:r>
      <w:r>
        <w:tab/>
      </w:r>
      <w:r>
        <w:fldChar w:fldCharType="begin"/>
      </w:r>
      <w:r>
        <w:instrText xml:space="preserve"> PAGEREF _Toc17722 \h </w:instrText>
      </w:r>
      <w:r>
        <w:fldChar w:fldCharType="separate"/>
      </w:r>
      <w:r>
        <w:t>91</w:t>
      </w:r>
      <w:r>
        <w:fldChar w:fldCharType="end"/>
      </w:r>
      <w:r>
        <w:fldChar w:fldCharType="end"/>
      </w:r>
    </w:p>
    <w:p>
      <w:pPr>
        <w:pStyle w:val="62"/>
        <w:tabs>
          <w:tab w:val="right" w:leader="dot" w:pos="9540"/>
          <w:tab w:val="clear" w:pos="8597"/>
        </w:tabs>
      </w:pPr>
      <w:r>
        <w:fldChar w:fldCharType="begin"/>
      </w:r>
      <w:r>
        <w:instrText xml:space="preserve"> HYPERLINK \l "_Toc32268" </w:instrText>
      </w:r>
      <w:r>
        <w:fldChar w:fldCharType="separate"/>
      </w:r>
      <w:r>
        <w:rPr>
          <w:rFonts w:hint="eastAsia"/>
        </w:rPr>
        <w:t>附件一：投标函</w:t>
      </w:r>
      <w:r>
        <w:tab/>
      </w:r>
      <w:r>
        <w:fldChar w:fldCharType="begin"/>
      </w:r>
      <w:r>
        <w:instrText xml:space="preserve"> PAGEREF _Toc32268 \h </w:instrText>
      </w:r>
      <w:r>
        <w:fldChar w:fldCharType="separate"/>
      </w:r>
      <w:r>
        <w:t>92</w:t>
      </w:r>
      <w:r>
        <w:fldChar w:fldCharType="end"/>
      </w:r>
      <w:r>
        <w:fldChar w:fldCharType="end"/>
      </w:r>
    </w:p>
    <w:p>
      <w:pPr>
        <w:pStyle w:val="62"/>
        <w:tabs>
          <w:tab w:val="right" w:leader="dot" w:pos="9540"/>
          <w:tab w:val="clear" w:pos="8597"/>
        </w:tabs>
      </w:pPr>
      <w:r>
        <w:fldChar w:fldCharType="begin"/>
      </w:r>
      <w:r>
        <w:instrText xml:space="preserve"> HYPERLINK \l "_Toc15063" </w:instrText>
      </w:r>
      <w:r>
        <w:fldChar w:fldCharType="separate"/>
      </w:r>
      <w:r>
        <w:rPr>
          <w:rFonts w:hint="eastAsia"/>
        </w:rPr>
        <w:t>附件二：授权委托书</w:t>
      </w:r>
      <w:r>
        <w:tab/>
      </w:r>
      <w:r>
        <w:fldChar w:fldCharType="begin"/>
      </w:r>
      <w:r>
        <w:instrText xml:space="preserve"> PAGEREF _Toc15063 \h </w:instrText>
      </w:r>
      <w:r>
        <w:fldChar w:fldCharType="separate"/>
      </w:r>
      <w:r>
        <w:t>93</w:t>
      </w:r>
      <w:r>
        <w:fldChar w:fldCharType="end"/>
      </w:r>
      <w:r>
        <w:fldChar w:fldCharType="end"/>
      </w:r>
    </w:p>
    <w:p>
      <w:pPr>
        <w:pStyle w:val="62"/>
        <w:tabs>
          <w:tab w:val="right" w:leader="dot" w:pos="9540"/>
          <w:tab w:val="clear" w:pos="8597"/>
        </w:tabs>
      </w:pPr>
      <w:r>
        <w:fldChar w:fldCharType="begin"/>
      </w:r>
      <w:r>
        <w:instrText xml:space="preserve"> HYPERLINK \l "_Toc15463" </w:instrText>
      </w:r>
      <w:r>
        <w:fldChar w:fldCharType="separate"/>
      </w:r>
      <w:r>
        <w:rPr>
          <w:rFonts w:hint="eastAsia"/>
        </w:rPr>
        <w:t>附件三：开标一览表</w:t>
      </w:r>
      <w:r>
        <w:tab/>
      </w:r>
      <w:r>
        <w:fldChar w:fldCharType="begin"/>
      </w:r>
      <w:r>
        <w:instrText xml:space="preserve"> PAGEREF _Toc15463 \h </w:instrText>
      </w:r>
      <w:r>
        <w:fldChar w:fldCharType="separate"/>
      </w:r>
      <w:r>
        <w:t>95</w:t>
      </w:r>
      <w:r>
        <w:fldChar w:fldCharType="end"/>
      </w:r>
      <w:r>
        <w:fldChar w:fldCharType="end"/>
      </w:r>
    </w:p>
    <w:p>
      <w:pPr>
        <w:pStyle w:val="62"/>
        <w:tabs>
          <w:tab w:val="right" w:leader="dot" w:pos="9540"/>
          <w:tab w:val="clear" w:pos="8597"/>
        </w:tabs>
      </w:pPr>
      <w:r>
        <w:fldChar w:fldCharType="begin"/>
      </w:r>
      <w:r>
        <w:instrText xml:space="preserve"> HYPERLINK \l "_Toc1747" </w:instrText>
      </w:r>
      <w:r>
        <w:fldChar w:fldCharType="separate"/>
      </w:r>
      <w:r>
        <w:rPr>
          <w:rFonts w:hint="eastAsia"/>
        </w:rPr>
        <w:t>附件四：报价明细表</w:t>
      </w:r>
      <w:r>
        <w:tab/>
      </w:r>
      <w:r>
        <w:fldChar w:fldCharType="begin"/>
      </w:r>
      <w:r>
        <w:instrText xml:space="preserve"> PAGEREF _Toc1747 \h </w:instrText>
      </w:r>
      <w:r>
        <w:fldChar w:fldCharType="separate"/>
      </w:r>
      <w:r>
        <w:t>96</w:t>
      </w:r>
      <w:r>
        <w:fldChar w:fldCharType="end"/>
      </w:r>
      <w:r>
        <w:fldChar w:fldCharType="end"/>
      </w:r>
    </w:p>
    <w:p>
      <w:pPr>
        <w:pStyle w:val="62"/>
        <w:tabs>
          <w:tab w:val="right" w:leader="dot" w:pos="9540"/>
          <w:tab w:val="clear" w:pos="8597"/>
        </w:tabs>
      </w:pPr>
      <w:r>
        <w:fldChar w:fldCharType="begin"/>
      </w:r>
      <w:r>
        <w:instrText xml:space="preserve"> HYPERLINK \l "_Toc5479" </w:instrText>
      </w:r>
      <w:r>
        <w:fldChar w:fldCharType="separate"/>
      </w:r>
      <w:r>
        <w:rPr>
          <w:rFonts w:hint="eastAsia"/>
        </w:rPr>
        <w:t>附件五：质保期内供应的备品备件、易损件、专用工具价格表</w:t>
      </w:r>
      <w:r>
        <w:tab/>
      </w:r>
      <w:r>
        <w:fldChar w:fldCharType="begin"/>
      </w:r>
      <w:r>
        <w:instrText xml:space="preserve"> PAGEREF _Toc5479 \h </w:instrText>
      </w:r>
      <w:r>
        <w:fldChar w:fldCharType="separate"/>
      </w:r>
      <w:r>
        <w:t>97</w:t>
      </w:r>
      <w:r>
        <w:fldChar w:fldCharType="end"/>
      </w:r>
      <w:r>
        <w:fldChar w:fldCharType="end"/>
      </w:r>
    </w:p>
    <w:p>
      <w:pPr>
        <w:pStyle w:val="62"/>
        <w:tabs>
          <w:tab w:val="right" w:leader="dot" w:pos="9540"/>
          <w:tab w:val="clear" w:pos="8597"/>
        </w:tabs>
      </w:pPr>
      <w:r>
        <w:fldChar w:fldCharType="begin"/>
      </w:r>
      <w:r>
        <w:instrText xml:space="preserve"> HYPERLINK \l "_Toc20114" </w:instrText>
      </w:r>
      <w:r>
        <w:fldChar w:fldCharType="separate"/>
      </w:r>
      <w:r>
        <w:rPr>
          <w:rFonts w:hint="eastAsia"/>
        </w:rPr>
        <w:t>附件六：质保期满后长期供应的备品备件、易损件、专用工具价格表</w:t>
      </w:r>
      <w:r>
        <w:tab/>
      </w:r>
      <w:r>
        <w:fldChar w:fldCharType="begin"/>
      </w:r>
      <w:r>
        <w:instrText xml:space="preserve"> PAGEREF _Toc20114 \h </w:instrText>
      </w:r>
      <w:r>
        <w:fldChar w:fldCharType="separate"/>
      </w:r>
      <w:r>
        <w:t>98</w:t>
      </w:r>
      <w:r>
        <w:fldChar w:fldCharType="end"/>
      </w:r>
      <w:r>
        <w:fldChar w:fldCharType="end"/>
      </w:r>
    </w:p>
    <w:p>
      <w:pPr>
        <w:pStyle w:val="62"/>
        <w:tabs>
          <w:tab w:val="right" w:leader="dot" w:pos="9540"/>
          <w:tab w:val="clear" w:pos="8597"/>
        </w:tabs>
      </w:pPr>
      <w:r>
        <w:fldChar w:fldCharType="begin"/>
      </w:r>
      <w:r>
        <w:instrText xml:space="preserve"> HYPERLINK \l "_Toc10511" </w:instrText>
      </w:r>
      <w:r>
        <w:fldChar w:fldCharType="separate"/>
      </w:r>
      <w:r>
        <w:rPr>
          <w:rFonts w:hint="eastAsia"/>
        </w:rPr>
        <w:t>附件七：商务偏离表</w:t>
      </w:r>
      <w:r>
        <w:tab/>
      </w:r>
      <w:r>
        <w:fldChar w:fldCharType="begin"/>
      </w:r>
      <w:r>
        <w:instrText xml:space="preserve"> PAGEREF _Toc10511 \h </w:instrText>
      </w:r>
      <w:r>
        <w:fldChar w:fldCharType="separate"/>
      </w:r>
      <w:r>
        <w:t>99</w:t>
      </w:r>
      <w:r>
        <w:fldChar w:fldCharType="end"/>
      </w:r>
      <w:r>
        <w:fldChar w:fldCharType="end"/>
      </w:r>
    </w:p>
    <w:p>
      <w:pPr>
        <w:pStyle w:val="62"/>
        <w:tabs>
          <w:tab w:val="right" w:leader="dot" w:pos="9540"/>
          <w:tab w:val="clear" w:pos="8597"/>
        </w:tabs>
      </w:pPr>
      <w:r>
        <w:fldChar w:fldCharType="begin"/>
      </w:r>
      <w:r>
        <w:instrText xml:space="preserve"> HYPERLINK \l "_Toc10633" </w:instrText>
      </w:r>
      <w:r>
        <w:fldChar w:fldCharType="separate"/>
      </w:r>
      <w:r>
        <w:rPr>
          <w:rFonts w:hint="eastAsia"/>
        </w:rPr>
        <w:t>附件八：技术偏离表</w:t>
      </w:r>
      <w:r>
        <w:tab/>
      </w:r>
      <w:r>
        <w:fldChar w:fldCharType="begin"/>
      </w:r>
      <w:r>
        <w:instrText xml:space="preserve"> PAGEREF _Toc10633 \h </w:instrText>
      </w:r>
      <w:r>
        <w:fldChar w:fldCharType="separate"/>
      </w:r>
      <w:r>
        <w:t>100</w:t>
      </w:r>
      <w:r>
        <w:fldChar w:fldCharType="end"/>
      </w:r>
      <w:r>
        <w:fldChar w:fldCharType="end"/>
      </w:r>
    </w:p>
    <w:p>
      <w:pPr>
        <w:pStyle w:val="62"/>
        <w:tabs>
          <w:tab w:val="right" w:leader="dot" w:pos="9540"/>
          <w:tab w:val="clear" w:pos="8597"/>
        </w:tabs>
      </w:pPr>
      <w:r>
        <w:fldChar w:fldCharType="begin"/>
      </w:r>
      <w:r>
        <w:instrText xml:space="preserve"> HYPERLINK \l "_Toc21112" </w:instrText>
      </w:r>
      <w:r>
        <w:fldChar w:fldCharType="separate"/>
      </w:r>
      <w:r>
        <w:rPr>
          <w:rFonts w:hint="eastAsia"/>
        </w:rPr>
        <w:t>附件九：2019年1月1日至今同类业绩一览表</w:t>
      </w:r>
      <w:r>
        <w:tab/>
      </w:r>
      <w:r>
        <w:fldChar w:fldCharType="begin"/>
      </w:r>
      <w:r>
        <w:instrText xml:space="preserve"> PAGEREF _Toc21112 \h </w:instrText>
      </w:r>
      <w:r>
        <w:fldChar w:fldCharType="separate"/>
      </w:r>
      <w:r>
        <w:t>101</w:t>
      </w:r>
      <w:r>
        <w:fldChar w:fldCharType="end"/>
      </w:r>
      <w:r>
        <w:fldChar w:fldCharType="end"/>
      </w:r>
    </w:p>
    <w:p>
      <w:pPr>
        <w:pStyle w:val="62"/>
        <w:tabs>
          <w:tab w:val="right" w:leader="dot" w:pos="9540"/>
          <w:tab w:val="clear" w:pos="8597"/>
        </w:tabs>
      </w:pPr>
      <w:r>
        <w:fldChar w:fldCharType="begin"/>
      </w:r>
      <w:r>
        <w:instrText xml:space="preserve"> HYPERLINK \l "_Toc2564" </w:instrText>
      </w:r>
      <w:r>
        <w:fldChar w:fldCharType="separate"/>
      </w:r>
      <w:r>
        <w:rPr>
          <w:rFonts w:hint="eastAsia"/>
        </w:rPr>
        <w:t>附件十：相关声明</w:t>
      </w:r>
      <w:r>
        <w:tab/>
      </w:r>
      <w:r>
        <w:fldChar w:fldCharType="begin"/>
      </w:r>
      <w:r>
        <w:instrText xml:space="preserve"> PAGEREF _Toc2564 \h </w:instrText>
      </w:r>
      <w:r>
        <w:fldChar w:fldCharType="separate"/>
      </w:r>
      <w:r>
        <w:t>102</w:t>
      </w:r>
      <w:r>
        <w:fldChar w:fldCharType="end"/>
      </w:r>
      <w:r>
        <w:fldChar w:fldCharType="end"/>
      </w:r>
    </w:p>
    <w:p>
      <w:pPr>
        <w:pStyle w:val="62"/>
        <w:tabs>
          <w:tab w:val="right" w:leader="dot" w:pos="9540"/>
          <w:tab w:val="clear" w:pos="8597"/>
        </w:tabs>
      </w:pPr>
      <w:r>
        <w:fldChar w:fldCharType="begin"/>
      </w:r>
      <w:r>
        <w:instrText xml:space="preserve"> HYPERLINK \l "_Toc30731" </w:instrText>
      </w:r>
      <w:r>
        <w:fldChar w:fldCharType="separate"/>
      </w:r>
      <w:r>
        <w:rPr>
          <w:rFonts w:hint="eastAsia"/>
        </w:rPr>
        <w:t>附件十一：政策性功能</w:t>
      </w:r>
      <w:r>
        <w:tab/>
      </w:r>
      <w:r>
        <w:fldChar w:fldCharType="begin"/>
      </w:r>
      <w:r>
        <w:instrText xml:space="preserve"> PAGEREF _Toc30731 \h </w:instrText>
      </w:r>
      <w:r>
        <w:fldChar w:fldCharType="separate"/>
      </w:r>
      <w:r>
        <w:t>106</w:t>
      </w:r>
      <w:r>
        <w:fldChar w:fldCharType="end"/>
      </w:r>
      <w:r>
        <w:fldChar w:fldCharType="end"/>
      </w:r>
    </w:p>
    <w:p>
      <w:pPr>
        <w:pStyle w:val="62"/>
        <w:tabs>
          <w:tab w:val="right" w:leader="dot" w:pos="9540"/>
          <w:tab w:val="clear" w:pos="8597"/>
        </w:tabs>
      </w:pPr>
      <w:r>
        <w:fldChar w:fldCharType="begin"/>
      </w:r>
      <w:r>
        <w:instrText xml:space="preserve"> HYPERLINK \l "_Toc11494" </w:instrText>
      </w:r>
      <w:r>
        <w:fldChar w:fldCharType="separate"/>
      </w:r>
      <w:r>
        <w:rPr>
          <w:rFonts w:hint="eastAsia"/>
        </w:rPr>
        <w:t>格式十二：缴纳中标服务费承诺书</w:t>
      </w:r>
      <w:r>
        <w:tab/>
      </w:r>
      <w:r>
        <w:fldChar w:fldCharType="begin"/>
      </w:r>
      <w:r>
        <w:instrText xml:space="preserve"> PAGEREF _Toc11494 \h </w:instrText>
      </w:r>
      <w:r>
        <w:fldChar w:fldCharType="separate"/>
      </w:r>
      <w:r>
        <w:t>117</w:t>
      </w:r>
      <w:r>
        <w:fldChar w:fldCharType="end"/>
      </w:r>
      <w:r>
        <w:fldChar w:fldCharType="end"/>
      </w:r>
    </w:p>
    <w:p>
      <w:pPr>
        <w:pStyle w:val="62"/>
        <w:tabs>
          <w:tab w:val="right" w:leader="dot" w:pos="9540"/>
          <w:tab w:val="clear" w:pos="8597"/>
        </w:tabs>
      </w:pPr>
      <w:r>
        <w:fldChar w:fldCharType="begin"/>
      </w:r>
      <w:r>
        <w:instrText xml:space="preserve"> HYPERLINK \l "_Toc6834" </w:instrText>
      </w:r>
      <w:r>
        <w:fldChar w:fldCharType="separate"/>
      </w:r>
      <w:r>
        <w:rPr>
          <w:rFonts w:hint="eastAsia"/>
        </w:rPr>
        <w:t>附件十三：投标文件密封封套标记格式</w:t>
      </w:r>
      <w:r>
        <w:tab/>
      </w:r>
      <w:r>
        <w:fldChar w:fldCharType="begin"/>
      </w:r>
      <w:r>
        <w:instrText xml:space="preserve"> PAGEREF _Toc6834 \h </w:instrText>
      </w:r>
      <w:r>
        <w:fldChar w:fldCharType="separate"/>
      </w:r>
      <w:r>
        <w:t>118</w:t>
      </w:r>
      <w:r>
        <w:fldChar w:fldCharType="end"/>
      </w:r>
      <w:r>
        <w:fldChar w:fldCharType="end"/>
      </w:r>
    </w:p>
    <w:p>
      <w:pPr>
        <w:rPr>
          <w:rFonts w:asciiTheme="minorEastAsia" w:hAnsiTheme="minorEastAsia" w:eastAsiaTheme="minorEastAsia"/>
          <w:sz w:val="32"/>
        </w:rPr>
      </w:pPr>
      <w:r>
        <w:rPr>
          <w:smallCaps/>
          <w:szCs w:val="20"/>
        </w:rPr>
        <w:fldChar w:fldCharType="end"/>
      </w:r>
      <w:r>
        <w:rPr>
          <w:rStyle w:val="130"/>
          <w:smallCaps/>
          <w:sz w:val="20"/>
          <w:szCs w:val="20"/>
        </w:rPr>
        <w:br w:type="page"/>
      </w:r>
    </w:p>
    <w:p>
      <w:pPr>
        <w:pStyle w:val="3"/>
        <w:tabs>
          <w:tab w:val="right" w:leader="dot" w:pos="8647"/>
        </w:tabs>
        <w:spacing w:before="120" w:after="120" w:line="360" w:lineRule="auto"/>
        <w:jc w:val="center"/>
        <w:rPr>
          <w:rFonts w:asciiTheme="minorEastAsia" w:hAnsiTheme="minorEastAsia" w:eastAsiaTheme="minorEastAsia"/>
          <w:kern w:val="2"/>
          <w:sz w:val="32"/>
        </w:rPr>
      </w:pPr>
      <w:bookmarkStart w:id="0" w:name="_Toc4363"/>
      <w:r>
        <w:rPr>
          <w:rFonts w:hint="eastAsia" w:asciiTheme="minorEastAsia" w:hAnsiTheme="minorEastAsia" w:eastAsiaTheme="minorEastAsia"/>
          <w:kern w:val="2"/>
          <w:sz w:val="32"/>
        </w:rPr>
        <w:t>第一章</w:t>
      </w:r>
      <w:r>
        <w:rPr>
          <w:rFonts w:asciiTheme="minorEastAsia" w:hAnsiTheme="minorEastAsia" w:eastAsiaTheme="minorEastAsia"/>
          <w:kern w:val="2"/>
          <w:sz w:val="32"/>
        </w:rPr>
        <w:t xml:space="preserve">   </w:t>
      </w:r>
      <w:r>
        <w:rPr>
          <w:rFonts w:hint="eastAsia" w:asciiTheme="minorEastAsia" w:hAnsiTheme="minorEastAsia" w:eastAsiaTheme="minorEastAsia"/>
          <w:kern w:val="2"/>
          <w:sz w:val="32"/>
        </w:rPr>
        <w:t>招标公告</w:t>
      </w:r>
      <w:bookmarkEnd w:id="0"/>
    </w:p>
    <w:p>
      <w:pPr>
        <w:spacing w:line="360" w:lineRule="auto"/>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山东省消防救援总队2022年装备部门集中采购项目七</w:t>
      </w:r>
    </w:p>
    <w:p>
      <w:pPr>
        <w:spacing w:line="360" w:lineRule="auto"/>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招标公告</w:t>
      </w:r>
    </w:p>
    <w:p>
      <w:pPr>
        <w:pBdr>
          <w:top w:val="single" w:color="auto" w:sz="4" w:space="1"/>
          <w:left w:val="single" w:color="auto" w:sz="4" w:space="4"/>
          <w:bottom w:val="single" w:color="auto" w:sz="4" w:space="1"/>
          <w:right w:val="single" w:color="auto" w:sz="4" w:space="4"/>
        </w:pBdr>
        <w:spacing w:line="360" w:lineRule="auto"/>
        <w:ind w:firstLine="482" w:firstLineChars="200"/>
        <w:rPr>
          <w:rFonts w:cs="宋体" w:asciiTheme="minorEastAsia" w:hAnsiTheme="minorEastAsia" w:eastAsiaTheme="minorEastAsia"/>
          <w:b/>
          <w:bCs/>
          <w:sz w:val="24"/>
        </w:rPr>
      </w:pPr>
      <w:r>
        <w:rPr>
          <w:rFonts w:hint="eastAsia" w:cs="宋体" w:asciiTheme="minorEastAsia" w:hAnsiTheme="minorEastAsia" w:eastAsiaTheme="minorEastAsia"/>
          <w:b/>
          <w:bCs/>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cs="宋体" w:asciiTheme="minorEastAsia" w:hAnsiTheme="minorEastAsia" w:eastAsiaTheme="minorEastAsia"/>
          <w:sz w:val="24"/>
        </w:rPr>
      </w:pPr>
      <w:bookmarkStart w:id="1" w:name="_Hlk79584821"/>
      <w:r>
        <w:rPr>
          <w:rFonts w:hint="eastAsia" w:cs="宋体" w:asciiTheme="minorEastAsia" w:hAnsiTheme="minorEastAsia" w:eastAsiaTheme="minorEastAsia"/>
          <w:sz w:val="24"/>
        </w:rPr>
        <w:t>山东省消防救援总队2022年装备部门集中采购项目七的潜在供应商应在网上邮箱登记获取招标文件，并于202</w:t>
      </w:r>
      <w:r>
        <w:rPr>
          <w:rFonts w:cs="宋体" w:asciiTheme="minorEastAsia" w:hAnsiTheme="minorEastAsia" w:eastAsiaTheme="minorEastAsia"/>
          <w:sz w:val="24"/>
        </w:rPr>
        <w:t>2</w:t>
      </w:r>
      <w:r>
        <w:rPr>
          <w:rFonts w:hint="eastAsia" w:cs="宋体" w:asciiTheme="minorEastAsia" w:hAnsiTheme="minorEastAsia" w:eastAsiaTheme="minorEastAsia"/>
          <w:sz w:val="24"/>
        </w:rPr>
        <w:t>年10月18日</w:t>
      </w:r>
      <w:r>
        <w:rPr>
          <w:rFonts w:cs="宋体" w:asciiTheme="minorEastAsia" w:hAnsiTheme="minorEastAsia" w:eastAsiaTheme="minorEastAsia"/>
          <w:sz w:val="24"/>
        </w:rPr>
        <w:t>09</w:t>
      </w:r>
      <w:r>
        <w:rPr>
          <w:rFonts w:hint="eastAsia" w:cs="宋体" w:asciiTheme="minorEastAsia" w:hAnsiTheme="minorEastAsia" w:eastAsiaTheme="minorEastAsia"/>
          <w:sz w:val="24"/>
        </w:rPr>
        <w:t>点</w:t>
      </w:r>
      <w:r>
        <w:rPr>
          <w:rFonts w:cs="宋体" w:asciiTheme="minorEastAsia" w:hAnsiTheme="minorEastAsia" w:eastAsiaTheme="minorEastAsia"/>
          <w:sz w:val="24"/>
        </w:rPr>
        <w:t>3</w:t>
      </w:r>
      <w:r>
        <w:rPr>
          <w:rFonts w:hint="eastAsia" w:cs="宋体" w:asciiTheme="minorEastAsia" w:hAnsiTheme="minorEastAsia" w:eastAsiaTheme="minorEastAsia"/>
          <w:sz w:val="24"/>
        </w:rPr>
        <w:t>0分（北京时间）前递交投标文件。</w:t>
      </w:r>
    </w:p>
    <w:bookmarkEnd w:id="1"/>
    <w:p>
      <w:pPr>
        <w:spacing w:before="240" w:beforeLines="100" w:line="360" w:lineRule="auto"/>
        <w:rPr>
          <w:rFonts w:cs="宋体" w:asciiTheme="minorEastAsia" w:hAnsiTheme="minorEastAsia" w:eastAsiaTheme="minorEastAsia"/>
          <w:b/>
          <w:bCs/>
          <w:sz w:val="24"/>
        </w:rPr>
      </w:pPr>
      <w:bookmarkStart w:id="2" w:name="_Toc35393621"/>
      <w:bookmarkStart w:id="3" w:name="_Toc35393790"/>
      <w:bookmarkStart w:id="4" w:name="_Toc28359079"/>
      <w:bookmarkStart w:id="5" w:name="_Toc28359002"/>
      <w:bookmarkStart w:id="6" w:name="_Hlk24379207"/>
      <w:r>
        <w:rPr>
          <w:rFonts w:hint="eastAsia" w:cs="宋体" w:asciiTheme="minorEastAsia" w:hAnsiTheme="minorEastAsia" w:eastAsiaTheme="minorEastAsia"/>
          <w:b/>
          <w:bCs/>
          <w:sz w:val="24"/>
        </w:rPr>
        <w:t>一、项目基本情况</w:t>
      </w:r>
      <w:bookmarkEnd w:id="2"/>
      <w:bookmarkEnd w:id="3"/>
      <w:bookmarkEnd w:id="4"/>
      <w:bookmarkEnd w:id="5"/>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项目编号：STZB2022-429</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项目名称：</w:t>
      </w:r>
      <w:bookmarkEnd w:id="6"/>
      <w:r>
        <w:rPr>
          <w:rFonts w:hint="eastAsia" w:cs="宋体" w:asciiTheme="minorEastAsia" w:hAnsiTheme="minorEastAsia" w:eastAsiaTheme="minorEastAsia"/>
          <w:sz w:val="24"/>
        </w:rPr>
        <w:t>山东省消防救援总队2022年装备部门集中采购项目七</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预算金额：1334.799</w:t>
      </w:r>
      <w:r>
        <w:rPr>
          <w:rFonts w:hint="eastAsia" w:cs="宋体" w:asciiTheme="minorEastAsia" w:hAnsiTheme="minorEastAsia" w:eastAsiaTheme="minorEastAsia"/>
          <w:bCs/>
          <w:sz w:val="24"/>
        </w:rPr>
        <w:t>万元</w:t>
      </w:r>
    </w:p>
    <w:p>
      <w:pPr>
        <w:spacing w:line="360" w:lineRule="auto"/>
        <w:ind w:firstLine="480" w:firstLineChars="200"/>
        <w:rPr>
          <w:rFonts w:cs="宋体" w:asciiTheme="minorEastAsia" w:hAnsiTheme="minorEastAsia" w:eastAsiaTheme="minorEastAsia"/>
          <w:bCs/>
          <w:sz w:val="24"/>
        </w:rPr>
      </w:pPr>
      <w:r>
        <w:rPr>
          <w:rFonts w:hint="eastAsia" w:cs="宋体" w:asciiTheme="minorEastAsia" w:hAnsiTheme="minorEastAsia" w:eastAsiaTheme="minorEastAsia"/>
          <w:sz w:val="24"/>
        </w:rPr>
        <w:t>最高限价（如有）：/</w:t>
      </w:r>
      <w:r>
        <w:rPr>
          <w:rFonts w:hint="eastAsia" w:cs="宋体" w:asciiTheme="minorEastAsia" w:hAnsiTheme="minorEastAsia" w:eastAsiaTheme="minorEastAsia"/>
          <w:bCs/>
          <w:sz w:val="24"/>
        </w:rPr>
        <w:t xml:space="preserve">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采购需求：</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1.标的内容一览表：</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本项目共划分3个标包，预算总金额1334.799</w:t>
      </w:r>
      <w:r>
        <w:rPr>
          <w:rFonts w:cs="宋体" w:asciiTheme="minorEastAsia" w:hAnsiTheme="minorEastAsia" w:eastAsiaTheme="minorEastAsia"/>
          <w:sz w:val="24"/>
        </w:rPr>
        <w:t>万元</w:t>
      </w:r>
      <w:r>
        <w:rPr>
          <w:rFonts w:hint="eastAsia" w:cs="宋体" w:asciiTheme="minorEastAsia" w:hAnsiTheme="minorEastAsia" w:eastAsiaTheme="minorEastAsia"/>
          <w:sz w:val="24"/>
        </w:rPr>
        <w:t>，具体情况如下：</w:t>
      </w:r>
    </w:p>
    <w:tbl>
      <w:tblPr>
        <w:tblStyle w:val="76"/>
        <w:tblW w:w="93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1355"/>
        <w:gridCol w:w="968"/>
        <w:gridCol w:w="3415"/>
        <w:gridCol w:w="889"/>
        <w:gridCol w:w="1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0" w:type="dxa"/>
            <w:vAlign w:val="center"/>
          </w:tcPr>
          <w:p>
            <w:pPr>
              <w:pStyle w:val="2"/>
              <w:spacing w:after="200" w:line="276" w:lineRule="auto"/>
              <w:ind w:firstLine="0" w:firstLineChars="0"/>
              <w:jc w:val="center"/>
              <w:rPr>
                <w:rFonts w:ascii="宋体" w:hAnsi="宋体" w:cs="宋体"/>
                <w:b/>
                <w:bCs/>
              </w:rPr>
            </w:pPr>
            <w:bookmarkStart w:id="7" w:name="_Hlk86510211"/>
            <w:r>
              <w:rPr>
                <w:rFonts w:hint="eastAsia" w:ascii="宋体" w:hAnsi="宋体" w:cs="宋体"/>
                <w:b/>
                <w:bCs/>
              </w:rPr>
              <w:t>标包</w:t>
            </w:r>
          </w:p>
        </w:tc>
        <w:tc>
          <w:tcPr>
            <w:tcW w:w="1355"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标包名称</w:t>
            </w:r>
          </w:p>
        </w:tc>
        <w:tc>
          <w:tcPr>
            <w:tcW w:w="968"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序号</w:t>
            </w:r>
          </w:p>
        </w:tc>
        <w:tc>
          <w:tcPr>
            <w:tcW w:w="3415"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标的物名称</w:t>
            </w:r>
          </w:p>
        </w:tc>
        <w:tc>
          <w:tcPr>
            <w:tcW w:w="889"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数量</w:t>
            </w:r>
          </w:p>
        </w:tc>
        <w:tc>
          <w:tcPr>
            <w:tcW w:w="1835" w:type="dxa"/>
            <w:vAlign w:val="center"/>
          </w:tcPr>
          <w:p>
            <w:pPr>
              <w:pStyle w:val="2"/>
              <w:spacing w:after="200" w:line="276" w:lineRule="auto"/>
              <w:ind w:firstLine="0" w:firstLineChars="0"/>
              <w:jc w:val="center"/>
              <w:rPr>
                <w:rFonts w:ascii="Calibri" w:hAnsi="Calibri"/>
                <w:b/>
                <w:bCs/>
              </w:rPr>
            </w:pPr>
            <w:r>
              <w:rPr>
                <w:rFonts w:hint="eastAsia" w:ascii="Calibri" w:hAnsi="Calibri"/>
                <w:b/>
                <w:bCs/>
              </w:rPr>
              <w:t>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1</w:t>
            </w:r>
          </w:p>
        </w:tc>
        <w:tc>
          <w:tcPr>
            <w:tcW w:w="1355" w:type="dxa"/>
            <w:vMerge w:val="restart"/>
            <w:vAlign w:val="center"/>
          </w:tcPr>
          <w:p>
            <w:pPr>
              <w:pStyle w:val="2"/>
              <w:spacing w:after="200" w:line="276" w:lineRule="auto"/>
              <w:ind w:firstLine="0" w:firstLineChars="0"/>
              <w:jc w:val="center"/>
              <w:rPr>
                <w:rFonts w:ascii="Calibri" w:hAnsi="Calibri"/>
              </w:rPr>
            </w:pPr>
            <w:r>
              <w:rPr>
                <w:rFonts w:hint="eastAsia" w:ascii="Calibri" w:hAnsi="Calibri"/>
              </w:rPr>
              <w:t>水域救援类</w:t>
            </w:r>
          </w:p>
          <w:p>
            <w:pPr>
              <w:spacing w:after="200" w:line="276" w:lineRule="auto"/>
              <w:jc w:val="center"/>
              <w:rPr>
                <w:rFonts w:ascii="Calibri" w:hAnsi="Calibri"/>
              </w:rPr>
            </w:pPr>
            <w:r>
              <w:rPr>
                <w:rFonts w:hint="eastAsia" w:ascii="宋体" w:hAnsi="宋体" w:cs="宋体"/>
                <w:szCs w:val="21"/>
              </w:rPr>
              <w:t>装备</w:t>
            </w: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水域救援漂浮救生绳</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255</w:t>
            </w:r>
          </w:p>
        </w:tc>
        <w:tc>
          <w:tcPr>
            <w:tcW w:w="1835" w:type="dxa"/>
            <w:vMerge w:val="restart"/>
            <w:vAlign w:val="center"/>
          </w:tcPr>
          <w:p>
            <w:pPr>
              <w:widowControl/>
              <w:spacing w:after="200" w:line="276" w:lineRule="auto"/>
              <w:jc w:val="center"/>
              <w:textAlignment w:val="center"/>
              <w:rPr>
                <w:rFonts w:ascii="宋体" w:hAnsi="宋体" w:cs="宋体"/>
                <w:szCs w:val="21"/>
              </w:rPr>
            </w:pPr>
            <w:r>
              <w:rPr>
                <w:rFonts w:hint="eastAsia" w:ascii="宋体" w:hAnsi="宋体" w:cs="宋体"/>
                <w:szCs w:val="21"/>
              </w:rPr>
              <w:t>639.739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干式轻型潜水装具</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14</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湿式轻型潜水装具</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42</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救生圈</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172</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干式水域救援服</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194</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湿式水域救援服（连体式）</w:t>
            </w:r>
          </w:p>
        </w:tc>
        <w:tc>
          <w:tcPr>
            <w:tcW w:w="889"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428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水面潜水训练套装</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8</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水下救生手环</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57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水域救援个人携行包</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215</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10</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水域救援手套</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639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水域救援靴</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459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消防员水域救援头盔</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358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水下破拆工具组</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割绳刀</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236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水下通信装置</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冰面救援气垫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充气浮岛</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18</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打捞杆</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58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脚踏绳</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20</w:t>
            </w:r>
          </w:p>
        </w:tc>
        <w:tc>
          <w:tcPr>
            <w:tcW w:w="3415" w:type="dxa"/>
          </w:tcPr>
          <w:p>
            <w:pPr>
              <w:pStyle w:val="2"/>
              <w:tabs>
                <w:tab w:val="left" w:pos="602"/>
              </w:tabs>
              <w:spacing w:after="200" w:line="276" w:lineRule="auto"/>
              <w:ind w:firstLine="0" w:firstLineChars="0"/>
              <w:jc w:val="center"/>
              <w:rPr>
                <w:rFonts w:ascii="宋体" w:hAnsi="宋体" w:cs="宋体"/>
                <w:szCs w:val="21"/>
              </w:rPr>
            </w:pPr>
            <w:r>
              <w:rPr>
                <w:rFonts w:hint="eastAsia" w:ascii="宋体" w:hAnsi="宋体" w:cs="宋体"/>
                <w:szCs w:val="21"/>
              </w:rPr>
              <w:t>紧绳器</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充气式漂浮担架</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板式漂浮担架</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38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200cm锚点扁带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74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120cm锚点扁带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107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100cm锚点扁带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12</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60cm锚点扁带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非充气式漂浮救援板</w:t>
            </w:r>
          </w:p>
        </w:tc>
        <w:tc>
          <w:tcPr>
            <w:tcW w:w="889" w:type="dxa"/>
            <w:vAlign w:val="center"/>
          </w:tcPr>
          <w:p>
            <w:pPr>
              <w:widowControl/>
              <w:spacing w:after="200" w:line="276" w:lineRule="auto"/>
              <w:jc w:val="center"/>
              <w:textAlignment w:val="center"/>
              <w:rPr>
                <w:rFonts w:ascii="宋体" w:hAnsi="宋体" w:cs="宋体"/>
                <w:color w:val="FF0000"/>
                <w:szCs w:val="21"/>
              </w:rPr>
            </w:pPr>
            <w:r>
              <w:rPr>
                <w:rFonts w:hint="eastAsia" w:ascii="宋体" w:hAnsi="宋体" w:cs="宋体"/>
                <w:kern w:val="0"/>
                <w:szCs w:val="21"/>
              </w:rPr>
              <w:t>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28</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抛绳器(射绳枪)</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大号绳索保护垫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30</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中号绳索保护垫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小号绳索保护垫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74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绳索保护器滑轮组</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水域救援拦截网</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水域抛绳包</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387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水域救援牛尾绳</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137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135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救生衣</w:t>
            </w: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含附件激流救生衣</w:t>
            </w:r>
          </w:p>
        </w:tc>
        <w:tc>
          <w:tcPr>
            <w:tcW w:w="889"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723</w:t>
            </w:r>
          </w:p>
        </w:tc>
        <w:tc>
          <w:tcPr>
            <w:tcW w:w="183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510.1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vAlign w:val="center"/>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消防救生衣</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739</w:t>
            </w:r>
          </w:p>
        </w:tc>
        <w:tc>
          <w:tcPr>
            <w:tcW w:w="1835" w:type="dxa"/>
            <w:vMerge w:val="continue"/>
            <w:vAlign w:val="center"/>
          </w:tcPr>
          <w:p>
            <w:pPr>
              <w:pStyle w:val="2"/>
              <w:spacing w:after="200" w:line="276" w:lineRule="auto"/>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3</w:t>
            </w:r>
          </w:p>
        </w:tc>
        <w:tc>
          <w:tcPr>
            <w:tcW w:w="135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舟艇</w:t>
            </w: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3.9米V底充气式机动橡皮舟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6</w:t>
            </w:r>
          </w:p>
        </w:tc>
        <w:tc>
          <w:tcPr>
            <w:tcW w:w="183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184.96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4.2米V底充气式机动橡皮舟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4.7米V底充气式机动橡皮舟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10</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3.9米M底充气式机动橡皮舟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6</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4.2米M底充气式机动橡皮舟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4.7米M底充气式机动橡皮舟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30舟艇舷外机</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8</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40舟艇舷外机</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27</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自扶正救生艇</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2</w:t>
            </w:r>
          </w:p>
        </w:tc>
        <w:tc>
          <w:tcPr>
            <w:tcW w:w="1835" w:type="dxa"/>
            <w:vMerge w:val="continue"/>
          </w:tcPr>
          <w:p>
            <w:pPr>
              <w:pStyle w:val="2"/>
              <w:spacing w:after="200" w:line="276" w:lineRule="auto"/>
              <w:ind w:firstLine="0" w:firstLineChars="0"/>
              <w:rPr>
                <w:rFonts w:ascii="Calibri" w:hAnsi="Calibri"/>
              </w:rPr>
            </w:pPr>
          </w:p>
        </w:tc>
      </w:tr>
    </w:tbl>
    <w:p>
      <w:pPr>
        <w:pStyle w:val="2"/>
      </w:pP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2.简要技术需求及服务要求（适用于各标包）：</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供应商所投产品须符合《中华人民共和国消防法》、《中华人民共和国产品质量法》和《中华人民共和国认证认可条例》等有关法律、行政法规，具体详见采购文件要求。</w:t>
      </w:r>
    </w:p>
    <w:p>
      <w:pPr>
        <w:spacing w:line="360" w:lineRule="auto"/>
        <w:ind w:firstLine="523" w:firstLineChars="218"/>
        <w:rPr>
          <w:rFonts w:cs="宋体" w:asciiTheme="minorEastAsia" w:hAnsiTheme="minorEastAsia" w:eastAsiaTheme="minorEastAsia"/>
          <w:sz w:val="24"/>
        </w:rPr>
      </w:pPr>
      <w:r>
        <w:rPr>
          <w:rFonts w:hint="eastAsia" w:cs="宋体" w:asciiTheme="minorEastAsia" w:hAnsiTheme="minorEastAsia" w:eastAsiaTheme="minorEastAsia"/>
          <w:sz w:val="24"/>
        </w:rPr>
        <w:t>合同履行期限</w:t>
      </w:r>
      <w:bookmarkEnd w:id="7"/>
      <w:r>
        <w:rPr>
          <w:rFonts w:hint="eastAsia" w:cs="宋体" w:asciiTheme="minorEastAsia" w:hAnsiTheme="minorEastAsia" w:eastAsiaTheme="minorEastAsia"/>
          <w:sz w:val="24"/>
        </w:rPr>
        <w:t>：自合同签订之日起180个日历日内将全部货物送至指定地点、完成安装调试并具备验收条件。</w:t>
      </w:r>
      <w:r>
        <w:rPr>
          <w:rFonts w:asciiTheme="minorEastAsia" w:hAnsiTheme="minorEastAsia" w:eastAsiaTheme="minorEastAsia"/>
          <w:bCs/>
          <w:sz w:val="24"/>
        </w:rPr>
        <w:t xml:space="preserve">  </w:t>
      </w:r>
    </w:p>
    <w:p>
      <w:pPr>
        <w:spacing w:line="48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本项目( 不接受 )联合体投标。</w:t>
      </w:r>
    </w:p>
    <w:p>
      <w:pPr>
        <w:spacing w:line="360" w:lineRule="auto"/>
        <w:rPr>
          <w:rFonts w:cs="宋体" w:asciiTheme="minorEastAsia" w:hAnsiTheme="minorEastAsia" w:eastAsiaTheme="minorEastAsia"/>
          <w:b/>
          <w:bCs/>
          <w:sz w:val="24"/>
        </w:rPr>
      </w:pPr>
      <w:bookmarkStart w:id="8" w:name="_Toc35393791"/>
      <w:bookmarkStart w:id="9" w:name="_Toc28359080"/>
      <w:bookmarkStart w:id="10" w:name="_Toc35393622"/>
      <w:bookmarkStart w:id="11" w:name="_Toc28359003"/>
      <w:r>
        <w:rPr>
          <w:rFonts w:hint="eastAsia" w:cs="宋体" w:asciiTheme="minorEastAsia" w:hAnsiTheme="minorEastAsia" w:eastAsiaTheme="minorEastAsia"/>
          <w:b/>
          <w:bCs/>
          <w:sz w:val="24"/>
        </w:rPr>
        <w:t>二、申请人的资格要求</w:t>
      </w:r>
      <w:bookmarkEnd w:id="8"/>
      <w:bookmarkEnd w:id="9"/>
      <w:bookmarkEnd w:id="10"/>
      <w:bookmarkEnd w:id="11"/>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1.满足《中华人民共和国政府采购法》第二十二条规定；</w:t>
      </w:r>
    </w:p>
    <w:p>
      <w:pPr>
        <w:spacing w:line="360" w:lineRule="auto"/>
        <w:ind w:firstLine="480" w:firstLineChars="200"/>
        <w:rPr>
          <w:rFonts w:cs="宋体" w:asciiTheme="minorEastAsia" w:hAnsiTheme="minorEastAsia" w:eastAsiaTheme="minorEastAsia"/>
          <w:sz w:val="24"/>
        </w:rPr>
      </w:pPr>
      <w:bookmarkStart w:id="12" w:name="_Toc28359081"/>
      <w:bookmarkStart w:id="13" w:name="_Toc28359004"/>
      <w:r>
        <w:rPr>
          <w:rFonts w:hint="eastAsia" w:cs="宋体" w:asciiTheme="minorEastAsia" w:hAnsiTheme="minorEastAsia" w:eastAsiaTheme="minorEastAsia"/>
          <w:sz w:val="24"/>
        </w:rPr>
        <w:t>2.落实政府采购政策需满足的资格要求：无；</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3.本项目的特定资格要求：</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1</w:t>
      </w:r>
      <w:r>
        <w:rPr>
          <w:rFonts w:hint="eastAsia" w:cs="宋体" w:asciiTheme="minorEastAsia" w:hAnsiTheme="minorEastAsia" w:eastAsiaTheme="minorEastAsia"/>
          <w:sz w:val="24"/>
        </w:rPr>
        <w:t>）在“信用中国”（www.creditchina.gov.cn）、中国政府采购网（www.ccgp.gov.cn）、等任一网站中被列入失信被执行人、重大税收违法案件当事人名单、政府采购严重违法失信行为记录名单的供应商，不得参加本次政府采购活动；</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2</w:t>
      </w:r>
      <w:r>
        <w:rPr>
          <w:rFonts w:hint="eastAsia" w:cs="宋体" w:asciiTheme="minorEastAsia" w:hAnsiTheme="minorEastAsia" w:eastAsiaTheme="minorEastAsia"/>
          <w:sz w:val="24"/>
        </w:rPr>
        <w:t>）单位负责人为同一人或者存在直接控股、管理关系的不同供应商，不得参加同一合同项下（同一标包）的政府采购活动；</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3</w:t>
      </w:r>
      <w:r>
        <w:rPr>
          <w:rFonts w:hint="eastAsia" w:cs="宋体" w:asciiTheme="minorEastAsia" w:hAnsiTheme="minorEastAsia" w:eastAsiaTheme="minorEastAsia"/>
          <w:sz w:val="24"/>
        </w:rPr>
        <w:t>）为采购项目提供整体设计、规范编制或者项目管理、监理、检测等服务的供应商，不得再参加该采购项目同一合同项下的其他采购活动。</w:t>
      </w:r>
    </w:p>
    <w:p>
      <w:pPr>
        <w:spacing w:line="360" w:lineRule="auto"/>
        <w:rPr>
          <w:rFonts w:cs="宋体" w:asciiTheme="minorEastAsia" w:hAnsiTheme="minorEastAsia" w:eastAsiaTheme="minorEastAsia"/>
          <w:b/>
          <w:bCs/>
          <w:sz w:val="24"/>
        </w:rPr>
      </w:pPr>
      <w:bookmarkStart w:id="14" w:name="_Toc35393792"/>
      <w:bookmarkStart w:id="15" w:name="_Toc35393623"/>
      <w:r>
        <w:rPr>
          <w:rFonts w:hint="eastAsia" w:cs="宋体" w:asciiTheme="minorEastAsia" w:hAnsiTheme="minorEastAsia" w:eastAsiaTheme="minorEastAsia"/>
          <w:b/>
          <w:bCs/>
          <w:sz w:val="24"/>
        </w:rPr>
        <w:t>三、获取招标文件</w:t>
      </w:r>
      <w:bookmarkEnd w:id="12"/>
      <w:bookmarkEnd w:id="13"/>
      <w:bookmarkEnd w:id="14"/>
      <w:bookmarkEnd w:id="15"/>
    </w:p>
    <w:p>
      <w:pPr>
        <w:spacing w:line="360" w:lineRule="auto"/>
        <w:ind w:firstLine="480" w:firstLineChars="200"/>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1、获取时间：202</w:t>
      </w:r>
      <w:r>
        <w:rPr>
          <w:rFonts w:cs="仿宋" w:asciiTheme="minorEastAsia" w:hAnsiTheme="minorEastAsia" w:eastAsiaTheme="minorEastAsia"/>
          <w:kern w:val="0"/>
          <w:sz w:val="24"/>
        </w:rPr>
        <w:t>2</w:t>
      </w:r>
      <w:r>
        <w:rPr>
          <w:rFonts w:hint="eastAsia" w:cs="仿宋" w:asciiTheme="minorEastAsia" w:hAnsiTheme="minorEastAsia" w:eastAsiaTheme="minorEastAsia"/>
          <w:kern w:val="0"/>
          <w:sz w:val="24"/>
        </w:rPr>
        <w:t>年</w:t>
      </w:r>
      <w:r>
        <w:rPr>
          <w:rFonts w:cs="仿宋" w:asciiTheme="minorEastAsia" w:hAnsiTheme="minorEastAsia" w:eastAsiaTheme="minorEastAsia"/>
          <w:kern w:val="0"/>
          <w:sz w:val="24"/>
        </w:rPr>
        <w:t>9</w:t>
      </w:r>
      <w:r>
        <w:rPr>
          <w:rFonts w:hint="eastAsia" w:cs="仿宋" w:asciiTheme="minorEastAsia" w:hAnsiTheme="minorEastAsia" w:eastAsiaTheme="minorEastAsia"/>
          <w:kern w:val="0"/>
          <w:sz w:val="24"/>
        </w:rPr>
        <w:t>月23日至202</w:t>
      </w:r>
      <w:r>
        <w:rPr>
          <w:rFonts w:cs="仿宋" w:asciiTheme="minorEastAsia" w:hAnsiTheme="minorEastAsia" w:eastAsiaTheme="minorEastAsia"/>
          <w:kern w:val="0"/>
          <w:sz w:val="24"/>
        </w:rPr>
        <w:t>2</w:t>
      </w:r>
      <w:r>
        <w:rPr>
          <w:rFonts w:hint="eastAsia" w:cs="仿宋" w:asciiTheme="minorEastAsia" w:hAnsiTheme="minorEastAsia" w:eastAsiaTheme="minorEastAsia"/>
          <w:kern w:val="0"/>
          <w:sz w:val="24"/>
        </w:rPr>
        <w:t>年9月29日，每天上午9:00至11:30，下午13:30至17:00（北京时间，公休日、法定节假日除外）。</w:t>
      </w:r>
    </w:p>
    <w:p>
      <w:pPr>
        <w:spacing w:line="360" w:lineRule="auto"/>
        <w:ind w:firstLine="480" w:firstLineChars="200"/>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2、获取地点：电子邮箱网上获取。</w:t>
      </w:r>
    </w:p>
    <w:p>
      <w:pPr>
        <w:tabs>
          <w:tab w:val="left" w:pos="9741"/>
        </w:tabs>
        <w:spacing w:line="360" w:lineRule="auto"/>
        <w:ind w:firstLine="480" w:firstLineChars="200"/>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3、获取方式：</w:t>
      </w:r>
      <w:r>
        <w:rPr>
          <w:rFonts w:cs="仿宋" w:asciiTheme="minorEastAsia" w:hAnsiTheme="minorEastAsia" w:eastAsiaTheme="minorEastAsia"/>
          <w:kern w:val="0"/>
          <w:sz w:val="24"/>
        </w:rPr>
        <w:t xml:space="preserve"> </w:t>
      </w:r>
    </w:p>
    <w:p>
      <w:pPr>
        <w:tabs>
          <w:tab w:val="left" w:pos="9741"/>
        </w:tabs>
        <w:spacing w:line="360" w:lineRule="auto"/>
        <w:ind w:firstLine="480" w:firstLineChars="200"/>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供应商需将营业执照副本、法人身份证或法人授权委托书及被授权人身份证、资格要求里相关网站信用截图等资料加盖公章等以上资料扫描件、标书费电汇或网银汇款截图（开户单位名称：石拓项目管理有限公司，开户银行：兴业银行济南分行营业部，账 号：376010100101213900</w:t>
      </w:r>
      <w:r>
        <w:rPr>
          <w:rFonts w:hint="eastAsia" w:cs="仿宋" w:asciiTheme="minorEastAsia" w:hAnsiTheme="minorEastAsia" w:eastAsiaTheme="minorEastAsia"/>
          <w:color w:val="FF0000"/>
          <w:kern w:val="0"/>
          <w:sz w:val="24"/>
        </w:rPr>
        <w:t xml:space="preserve"> </w:t>
      </w:r>
      <w:r>
        <w:rPr>
          <w:rFonts w:hint="eastAsia" w:cs="仿宋" w:asciiTheme="minorEastAsia" w:hAnsiTheme="minorEastAsia" w:eastAsiaTheme="minorEastAsia"/>
          <w:kern w:val="0"/>
          <w:sz w:val="24"/>
        </w:rPr>
        <w:t>）发送至石拓项目管理有限公司邮箱shituozb@126.com，邮件名称命名为:XX采购项目投标登记-“供应商单位名称”-标包号；邮件内容写明：供应商联系人及手机号码等联系信息。</w:t>
      </w:r>
    </w:p>
    <w:p>
      <w:pPr>
        <w:snapToGrid w:val="0"/>
        <w:spacing w:line="360" w:lineRule="auto"/>
        <w:ind w:firstLine="480" w:firstLineChars="200"/>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4、招标文件工本费：</w:t>
      </w:r>
      <w:r>
        <w:rPr>
          <w:rFonts w:cs="仿宋" w:asciiTheme="minorEastAsia" w:hAnsiTheme="minorEastAsia" w:eastAsiaTheme="minorEastAsia"/>
          <w:kern w:val="0"/>
          <w:sz w:val="24"/>
        </w:rPr>
        <w:t>5</w:t>
      </w:r>
      <w:r>
        <w:rPr>
          <w:rFonts w:hint="eastAsia" w:cs="仿宋" w:asciiTheme="minorEastAsia" w:hAnsiTheme="minorEastAsia" w:eastAsiaTheme="minorEastAsia"/>
          <w:kern w:val="0"/>
          <w:sz w:val="24"/>
        </w:rPr>
        <w:t>00元/包（文件逾期不售，售出不退）。代理机构提供纸质招标文件，同时免费附赠电子招标文件1份。</w:t>
      </w:r>
      <w:r>
        <w:rPr>
          <w:rFonts w:cs="仿宋" w:asciiTheme="minorEastAsia" w:hAnsiTheme="minorEastAsia" w:eastAsiaTheme="minorEastAsia"/>
          <w:kern w:val="0"/>
          <w:sz w:val="24"/>
        </w:rPr>
        <w:t>如需邮寄（到付）</w:t>
      </w:r>
      <w:r>
        <w:rPr>
          <w:rFonts w:hint="eastAsia" w:cs="仿宋" w:asciiTheme="minorEastAsia" w:hAnsiTheme="minorEastAsia" w:eastAsiaTheme="minorEastAsia"/>
          <w:kern w:val="0"/>
          <w:sz w:val="24"/>
        </w:rPr>
        <w:t>，</w:t>
      </w:r>
      <w:r>
        <w:rPr>
          <w:rFonts w:cs="仿宋" w:asciiTheme="minorEastAsia" w:hAnsiTheme="minorEastAsia" w:eastAsiaTheme="minorEastAsia"/>
          <w:kern w:val="0"/>
          <w:sz w:val="24"/>
        </w:rPr>
        <w:t>代理机构对邮寄过程中的遗失概不负责。</w:t>
      </w:r>
    </w:p>
    <w:p>
      <w:pPr>
        <w:tabs>
          <w:tab w:val="left" w:pos="9741"/>
        </w:tabs>
        <w:spacing w:line="360" w:lineRule="auto"/>
        <w:ind w:firstLine="420" w:firstLineChars="200"/>
        <w:rPr>
          <w:rFonts w:cs="仿宋" w:asciiTheme="minorEastAsia" w:hAnsiTheme="minorEastAsia" w:eastAsiaTheme="minorEastAsia"/>
          <w:kern w:val="0"/>
          <w:sz w:val="24"/>
        </w:rPr>
      </w:pPr>
      <w:r>
        <w:rPr>
          <w:rFonts w:asciiTheme="minorEastAsia" w:hAnsiTheme="minorEastAsia" w:eastAsiaTheme="minorEastAsia"/>
        </w:rPr>
        <w:t>5</w:t>
      </w:r>
      <w:r>
        <w:rPr>
          <w:rFonts w:hint="eastAsia" w:asciiTheme="minorEastAsia" w:hAnsiTheme="minorEastAsia" w:eastAsiaTheme="minorEastAsia"/>
        </w:rPr>
        <w:t>、</w:t>
      </w:r>
      <w:r>
        <w:rPr>
          <w:rFonts w:hint="eastAsia" w:cs="仿宋" w:asciiTheme="minorEastAsia" w:hAnsiTheme="minorEastAsia" w:eastAsiaTheme="minorEastAsia"/>
          <w:kern w:val="0"/>
          <w:sz w:val="24"/>
        </w:rPr>
        <w:t>本项目实行资格后审，获取招标文件成功不代表资格后审通过。</w:t>
      </w:r>
    </w:p>
    <w:p>
      <w:pPr>
        <w:spacing w:line="360" w:lineRule="auto"/>
        <w:rPr>
          <w:rFonts w:cs="宋体" w:asciiTheme="minorEastAsia" w:hAnsiTheme="minorEastAsia" w:eastAsiaTheme="minorEastAsia"/>
          <w:b/>
          <w:bCs/>
          <w:sz w:val="24"/>
        </w:rPr>
      </w:pPr>
      <w:bookmarkStart w:id="16" w:name="_Toc28359005"/>
      <w:bookmarkStart w:id="17" w:name="_Toc28359082"/>
      <w:bookmarkStart w:id="18" w:name="_Toc35393624"/>
      <w:bookmarkStart w:id="19" w:name="_Toc35393793"/>
      <w:r>
        <w:rPr>
          <w:rFonts w:hint="eastAsia" w:cs="宋体" w:asciiTheme="minorEastAsia" w:hAnsiTheme="minorEastAsia" w:eastAsiaTheme="minorEastAsia"/>
          <w:b/>
          <w:bCs/>
          <w:sz w:val="24"/>
        </w:rPr>
        <w:t>四、</w:t>
      </w:r>
      <w:bookmarkEnd w:id="16"/>
      <w:bookmarkEnd w:id="17"/>
      <w:bookmarkEnd w:id="18"/>
      <w:bookmarkEnd w:id="19"/>
      <w:r>
        <w:rPr>
          <w:rFonts w:hint="eastAsia" w:cs="宋体" w:asciiTheme="minorEastAsia" w:hAnsiTheme="minorEastAsia" w:eastAsiaTheme="minorEastAsia"/>
          <w:b/>
          <w:bCs/>
          <w:sz w:val="24"/>
        </w:rPr>
        <w:t>提交投标文件截止时间、开标时间和地点</w:t>
      </w:r>
    </w:p>
    <w:p>
      <w:pPr>
        <w:tabs>
          <w:tab w:val="left" w:pos="9741"/>
        </w:tabs>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提交投标文件截止时间：202</w:t>
      </w:r>
      <w:r>
        <w:rPr>
          <w:rFonts w:cs="宋体" w:asciiTheme="minorEastAsia" w:hAnsiTheme="minorEastAsia" w:eastAsiaTheme="minorEastAsia"/>
          <w:sz w:val="24"/>
        </w:rPr>
        <w:t>2</w:t>
      </w:r>
      <w:r>
        <w:rPr>
          <w:rFonts w:hint="eastAsia" w:cs="宋体" w:asciiTheme="minorEastAsia" w:hAnsiTheme="minorEastAsia" w:eastAsiaTheme="minorEastAsia"/>
          <w:sz w:val="24"/>
        </w:rPr>
        <w:t>年10月18日</w:t>
      </w:r>
      <w:r>
        <w:rPr>
          <w:rFonts w:cs="宋体" w:asciiTheme="minorEastAsia" w:hAnsiTheme="minorEastAsia" w:eastAsiaTheme="minorEastAsia"/>
          <w:sz w:val="24"/>
        </w:rPr>
        <w:t>09</w:t>
      </w:r>
      <w:r>
        <w:rPr>
          <w:rFonts w:hint="eastAsia" w:cs="宋体" w:asciiTheme="minorEastAsia" w:hAnsiTheme="minorEastAsia" w:eastAsiaTheme="minorEastAsia"/>
          <w:sz w:val="24"/>
        </w:rPr>
        <w:t>点</w:t>
      </w:r>
      <w:r>
        <w:rPr>
          <w:rFonts w:cs="宋体" w:asciiTheme="minorEastAsia" w:hAnsiTheme="minorEastAsia" w:eastAsiaTheme="minorEastAsia"/>
          <w:sz w:val="24"/>
        </w:rPr>
        <w:t>3</w:t>
      </w:r>
      <w:r>
        <w:rPr>
          <w:rFonts w:hint="eastAsia" w:cs="宋体" w:asciiTheme="minorEastAsia" w:hAnsiTheme="minorEastAsia" w:eastAsiaTheme="minorEastAsia"/>
          <w:sz w:val="24"/>
        </w:rPr>
        <w:t>0分（北京时间）</w:t>
      </w:r>
    </w:p>
    <w:p>
      <w:pPr>
        <w:tabs>
          <w:tab w:val="left" w:pos="9741"/>
        </w:tabs>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开标时间：202</w:t>
      </w:r>
      <w:r>
        <w:rPr>
          <w:rFonts w:cs="宋体" w:asciiTheme="minorEastAsia" w:hAnsiTheme="minorEastAsia" w:eastAsiaTheme="minorEastAsia"/>
          <w:sz w:val="24"/>
        </w:rPr>
        <w:t>2</w:t>
      </w:r>
      <w:r>
        <w:rPr>
          <w:rFonts w:hint="eastAsia" w:cs="宋体" w:asciiTheme="minorEastAsia" w:hAnsiTheme="minorEastAsia" w:eastAsiaTheme="minorEastAsia"/>
          <w:sz w:val="24"/>
        </w:rPr>
        <w:t>年10月18日</w:t>
      </w:r>
      <w:r>
        <w:rPr>
          <w:rFonts w:cs="宋体" w:asciiTheme="minorEastAsia" w:hAnsiTheme="minorEastAsia" w:eastAsiaTheme="minorEastAsia"/>
          <w:sz w:val="24"/>
        </w:rPr>
        <w:t>09</w:t>
      </w:r>
      <w:r>
        <w:rPr>
          <w:rFonts w:hint="eastAsia" w:cs="宋体" w:asciiTheme="minorEastAsia" w:hAnsiTheme="minorEastAsia" w:eastAsiaTheme="minorEastAsia"/>
          <w:sz w:val="24"/>
        </w:rPr>
        <w:t>点</w:t>
      </w:r>
      <w:r>
        <w:rPr>
          <w:rFonts w:cs="宋体" w:asciiTheme="minorEastAsia" w:hAnsiTheme="minorEastAsia" w:eastAsiaTheme="minorEastAsia"/>
          <w:sz w:val="24"/>
        </w:rPr>
        <w:t>30</w:t>
      </w:r>
      <w:r>
        <w:rPr>
          <w:rFonts w:hint="eastAsia" w:cs="宋体" w:asciiTheme="minorEastAsia" w:hAnsiTheme="minorEastAsia" w:eastAsiaTheme="minorEastAsia"/>
          <w:sz w:val="24"/>
        </w:rPr>
        <w:t>分（北京时间）</w:t>
      </w:r>
    </w:p>
    <w:p>
      <w:pPr>
        <w:tabs>
          <w:tab w:val="left" w:pos="9741"/>
        </w:tabs>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地点：</w:t>
      </w:r>
      <w:r>
        <w:rPr>
          <w:rFonts w:hint="eastAsia" w:cs="仿宋" w:asciiTheme="minorEastAsia" w:hAnsiTheme="minorEastAsia" w:eastAsiaTheme="minorEastAsia"/>
          <w:kern w:val="0"/>
          <w:sz w:val="24"/>
        </w:rPr>
        <w:t>济南市高新区天辰路2177号联合财富广场2号楼3层第八开标室。</w:t>
      </w:r>
    </w:p>
    <w:p>
      <w:pPr>
        <w:spacing w:before="240" w:beforeLines="100" w:line="360" w:lineRule="auto"/>
        <w:rPr>
          <w:rFonts w:cs="宋体" w:asciiTheme="minorEastAsia" w:hAnsiTheme="minorEastAsia" w:eastAsiaTheme="minorEastAsia"/>
          <w:b/>
          <w:bCs/>
          <w:sz w:val="24"/>
        </w:rPr>
      </w:pPr>
      <w:bookmarkStart w:id="20" w:name="_Toc35393794"/>
      <w:bookmarkStart w:id="21" w:name="_Toc28359007"/>
      <w:bookmarkStart w:id="22" w:name="_Toc28359084"/>
      <w:bookmarkStart w:id="23" w:name="_Toc35393625"/>
      <w:r>
        <w:rPr>
          <w:rFonts w:hint="eastAsia" w:cs="宋体" w:asciiTheme="minorEastAsia" w:hAnsiTheme="minorEastAsia" w:eastAsiaTheme="minorEastAsia"/>
          <w:b/>
          <w:bCs/>
          <w:sz w:val="24"/>
        </w:rPr>
        <w:t>五、公告期限</w:t>
      </w:r>
      <w:bookmarkEnd w:id="20"/>
      <w:bookmarkEnd w:id="21"/>
      <w:bookmarkEnd w:id="22"/>
      <w:bookmarkEnd w:id="23"/>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w:t>
      </w:r>
      <w:r>
        <w:rPr>
          <w:rFonts w:cs="宋体" w:asciiTheme="minorEastAsia" w:hAnsiTheme="minorEastAsia" w:eastAsiaTheme="minorEastAsia"/>
          <w:kern w:val="0"/>
          <w:sz w:val="24"/>
        </w:rPr>
        <w:t>5</w:t>
      </w:r>
      <w:r>
        <w:rPr>
          <w:rFonts w:hint="eastAsia" w:cs="宋体" w:asciiTheme="minorEastAsia" w:hAnsiTheme="minorEastAsia" w:eastAsiaTheme="minorEastAsia"/>
          <w:kern w:val="0"/>
          <w:sz w:val="24"/>
        </w:rPr>
        <w:t>个工作日。</w:t>
      </w:r>
    </w:p>
    <w:p>
      <w:pPr>
        <w:spacing w:before="240" w:beforeLines="100"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六、其他补充事宜</w:t>
      </w:r>
    </w:p>
    <w:p>
      <w:pPr>
        <w:tabs>
          <w:tab w:val="left" w:pos="9741"/>
        </w:tabs>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1、公告发布媒体：本次招标公告在中国政府采购网（http://www.ccgp.gov.cn/）网站上发布。</w:t>
      </w:r>
    </w:p>
    <w:p>
      <w:pPr>
        <w:tabs>
          <w:tab w:val="left" w:pos="9741"/>
        </w:tabs>
        <w:spacing w:line="360" w:lineRule="auto"/>
        <w:ind w:firstLine="480" w:firstLineChars="200"/>
        <w:jc w:val="left"/>
        <w:rPr>
          <w:rFonts w:cs="宋体" w:asciiTheme="minorEastAsia" w:hAnsiTheme="minorEastAsia" w:eastAsiaTheme="minorEastAsia"/>
          <w:b/>
          <w:bCs/>
          <w:sz w:val="24"/>
        </w:rPr>
      </w:pPr>
      <w:r>
        <w:rPr>
          <w:rFonts w:hint="eastAsia" w:cs="宋体" w:asciiTheme="minorEastAsia" w:hAnsiTheme="minorEastAsia" w:eastAsiaTheme="minorEastAsia"/>
          <w:sz w:val="24"/>
        </w:rPr>
        <w:t>2、本项目是否专门面向中小企业采购：否</w:t>
      </w:r>
    </w:p>
    <w:p>
      <w:pPr>
        <w:tabs>
          <w:tab w:val="left" w:pos="9741"/>
        </w:tabs>
        <w:spacing w:line="360" w:lineRule="auto"/>
        <w:ind w:firstLine="480" w:firstLineChars="200"/>
        <w:jc w:val="left"/>
        <w:rPr>
          <w:rFonts w:cs="宋体" w:asciiTheme="minorEastAsia" w:hAnsiTheme="minorEastAsia" w:eastAsiaTheme="minorEastAsia"/>
          <w:sz w:val="24"/>
        </w:rPr>
      </w:pPr>
      <w:r>
        <w:rPr>
          <w:rFonts w:cs="宋体" w:asciiTheme="minorEastAsia" w:hAnsiTheme="minorEastAsia" w:eastAsiaTheme="minorEastAsia"/>
          <w:sz w:val="24"/>
        </w:rPr>
        <w:t>3</w:t>
      </w:r>
      <w:r>
        <w:rPr>
          <w:rFonts w:hint="eastAsia" w:cs="宋体" w:asciiTheme="minorEastAsia" w:hAnsiTheme="minorEastAsia" w:eastAsiaTheme="minorEastAsia"/>
          <w:sz w:val="24"/>
        </w:rPr>
        <w:t>、本项目需要落实的政府采购政策</w:t>
      </w:r>
      <w:bookmarkStart w:id="24" w:name="_Toc35393796"/>
      <w:bookmarkStart w:id="25" w:name="_Toc28359085"/>
      <w:bookmarkStart w:id="26" w:name="_Toc28359008"/>
      <w:bookmarkStart w:id="27" w:name="_Toc35393627"/>
      <w:r>
        <w:rPr>
          <w:rFonts w:hint="eastAsia" w:cs="宋体" w:asciiTheme="minorEastAsia" w:hAnsiTheme="minorEastAsia" w:eastAsiaTheme="minorEastAsia"/>
          <w:sz w:val="24"/>
        </w:rPr>
        <w:t>：</w:t>
      </w:r>
    </w:p>
    <w:p>
      <w:pPr>
        <w:tabs>
          <w:tab w:val="left" w:pos="9741"/>
        </w:tabs>
        <w:spacing w:line="360" w:lineRule="auto"/>
        <w:ind w:firstLine="480" w:firstLineChars="200"/>
        <w:jc w:val="left"/>
        <w:rPr>
          <w:rFonts w:cs="宋体" w:asciiTheme="minorEastAsia" w:hAnsiTheme="minorEastAsia" w:eastAsiaTheme="minorEastAsia"/>
          <w:snapToGrid w:val="0"/>
          <w:kern w:val="0"/>
          <w:sz w:val="24"/>
        </w:rPr>
      </w:pPr>
      <w:r>
        <w:rPr>
          <w:rFonts w:hint="eastAsia" w:cs="宋体" w:asciiTheme="minorEastAsia" w:hAnsiTheme="minorEastAsia" w:eastAsiaTheme="minorEastAsia"/>
          <w:snapToGrid w:val="0"/>
          <w:kern w:val="0"/>
          <w:sz w:val="24"/>
        </w:rPr>
        <w:t>《政府采购促进中小企业发展管理办法》（财库〔2020〕46号）、《关于政府采购支持监狱企业发展有关问题的通知》(财库〔2014〕68号)、《关于促进残疾人就业政府采购政策的通知》（财库〔2017〕141号)、《财政部 发展改革委 生态环境部 市场监管总局关于调整优化节能产品、环境标志产品政府采购执行机制的通知》（财库〔2019〕9号）、《商品包装政府采购需求标准（试行）》（财办库〔2020〕123号）、《快递包装政府采购需求标准（试行）》（财办库〔2020〕123号）等。</w:t>
      </w:r>
    </w:p>
    <w:p>
      <w:pPr>
        <w:spacing w:before="240" w:beforeLines="100"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七、</w:t>
      </w:r>
      <w:bookmarkEnd w:id="24"/>
      <w:bookmarkEnd w:id="25"/>
      <w:bookmarkEnd w:id="26"/>
      <w:bookmarkEnd w:id="27"/>
      <w:r>
        <w:rPr>
          <w:rFonts w:hint="eastAsia" w:cs="宋体" w:asciiTheme="minorEastAsia" w:hAnsiTheme="minorEastAsia" w:eastAsiaTheme="minorEastAsia"/>
          <w:b/>
          <w:bCs/>
          <w:sz w:val="24"/>
        </w:rPr>
        <w:t>对本次招标提出询问，请按以下方式联系</w:t>
      </w:r>
    </w:p>
    <w:p>
      <w:pPr>
        <w:spacing w:line="360" w:lineRule="auto"/>
        <w:ind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1.采购人信息</w:t>
      </w:r>
    </w:p>
    <w:p>
      <w:pPr>
        <w:spacing w:line="360" w:lineRule="auto"/>
        <w:ind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名 称：山东省消防救援总队</w:t>
      </w:r>
    </w:p>
    <w:p>
      <w:pPr>
        <w:spacing w:line="360" w:lineRule="auto"/>
        <w:ind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地址：济南市经十东路2218号</w:t>
      </w:r>
    </w:p>
    <w:p>
      <w:pPr>
        <w:spacing w:line="360" w:lineRule="auto"/>
        <w:ind w:left="1079" w:leftChars="371" w:hanging="300" w:hangingChars="125"/>
        <w:jc w:val="left"/>
        <w:rPr>
          <w:rFonts w:asciiTheme="minorEastAsia" w:hAnsiTheme="minorEastAsia" w:eastAsiaTheme="minorEastAsia"/>
          <w:sz w:val="24"/>
        </w:rPr>
      </w:pPr>
      <w:bookmarkStart w:id="28" w:name="_Toc28359009"/>
      <w:bookmarkStart w:id="29" w:name="_Toc28359086"/>
      <w:r>
        <w:rPr>
          <w:rFonts w:hint="eastAsia" w:asciiTheme="minorEastAsia" w:hAnsiTheme="minorEastAsia" w:eastAsiaTheme="minorEastAsia"/>
          <w:sz w:val="24"/>
        </w:rPr>
        <w:t>联系人：王老师</w:t>
      </w:r>
    </w:p>
    <w:p>
      <w:pPr>
        <w:spacing w:line="360" w:lineRule="auto"/>
        <w:ind w:left="1079" w:leftChars="371" w:hanging="300" w:hangingChars="125"/>
        <w:jc w:val="left"/>
        <w:rPr>
          <w:rFonts w:asciiTheme="minorEastAsia" w:hAnsiTheme="minorEastAsia" w:eastAsiaTheme="minorEastAsia"/>
          <w:sz w:val="24"/>
        </w:rPr>
      </w:pPr>
      <w:r>
        <w:rPr>
          <w:rFonts w:hint="eastAsia" w:asciiTheme="minorEastAsia" w:hAnsiTheme="minorEastAsia" w:eastAsiaTheme="minorEastAsia"/>
          <w:sz w:val="24"/>
        </w:rPr>
        <w:t>联系方式：0531-85124234</w:t>
      </w:r>
    </w:p>
    <w:p>
      <w:pPr>
        <w:spacing w:line="360" w:lineRule="auto"/>
        <w:ind w:left="1079" w:leftChars="371" w:hanging="300" w:hangingChars="125"/>
        <w:jc w:val="left"/>
        <w:rPr>
          <w:rFonts w:cs="宋体" w:asciiTheme="minorEastAsia" w:hAnsiTheme="minorEastAsia" w:eastAsiaTheme="minorEastAsia"/>
          <w:sz w:val="24"/>
        </w:rPr>
      </w:pPr>
      <w:r>
        <w:rPr>
          <w:rFonts w:hint="eastAsia" w:cs="宋体" w:asciiTheme="minorEastAsia" w:hAnsiTheme="minorEastAsia" w:eastAsiaTheme="minorEastAsia"/>
          <w:sz w:val="24"/>
        </w:rPr>
        <w:t>2.招标代理机构信息</w:t>
      </w:r>
      <w:bookmarkEnd w:id="28"/>
      <w:bookmarkEnd w:id="29"/>
      <w:r>
        <w:rPr>
          <w:rFonts w:hint="eastAsia" w:cs="宋体" w:asciiTheme="minorEastAsia" w:hAnsiTheme="minorEastAsia" w:eastAsiaTheme="minorEastAsia"/>
          <w:sz w:val="24"/>
        </w:rPr>
        <w:t xml:space="preserve"> </w:t>
      </w:r>
    </w:p>
    <w:p>
      <w:pPr>
        <w:spacing w:line="360" w:lineRule="auto"/>
        <w:ind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名 称：</w:t>
      </w:r>
      <w:r>
        <w:rPr>
          <w:rFonts w:hint="eastAsia" w:cs="仿宋" w:asciiTheme="minorEastAsia" w:hAnsiTheme="minorEastAsia" w:eastAsiaTheme="minorEastAsia"/>
          <w:kern w:val="0"/>
          <w:sz w:val="24"/>
        </w:rPr>
        <w:t>石拓项目管理有限公司</w:t>
      </w:r>
    </w:p>
    <w:p>
      <w:pPr>
        <w:spacing w:line="360" w:lineRule="auto"/>
        <w:ind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地　址：</w:t>
      </w:r>
      <w:r>
        <w:rPr>
          <w:rFonts w:hint="eastAsia" w:cs="仿宋" w:asciiTheme="minorEastAsia" w:hAnsiTheme="minorEastAsia" w:eastAsiaTheme="minorEastAsia"/>
          <w:kern w:val="0"/>
          <w:sz w:val="24"/>
        </w:rPr>
        <w:t>山东省济南市高新区舜华路2000号舜泰广场2号楼4楼</w:t>
      </w:r>
    </w:p>
    <w:p>
      <w:pPr>
        <w:spacing w:line="360" w:lineRule="auto"/>
        <w:ind w:firstLine="720" w:firstLineChars="300"/>
        <w:rPr>
          <w:rFonts w:cs="宋体" w:asciiTheme="minorEastAsia" w:hAnsiTheme="minorEastAsia" w:eastAsiaTheme="minorEastAsia"/>
          <w:color w:val="FF0000"/>
          <w:sz w:val="24"/>
        </w:rPr>
      </w:pPr>
      <w:r>
        <w:rPr>
          <w:rFonts w:hint="eastAsia" w:cs="宋体" w:asciiTheme="minorEastAsia" w:hAnsiTheme="minorEastAsia" w:eastAsiaTheme="minorEastAsia"/>
          <w:sz w:val="24"/>
        </w:rPr>
        <w:t>联系方式：</w:t>
      </w:r>
      <w:bookmarkStart w:id="30" w:name="_Toc28359087"/>
      <w:bookmarkStart w:id="31" w:name="_Toc28359010"/>
      <w:r>
        <w:rPr>
          <w:rFonts w:hint="eastAsia" w:cs="宋体" w:asciiTheme="minorEastAsia" w:hAnsiTheme="minorEastAsia" w:eastAsiaTheme="minorEastAsia"/>
          <w:sz w:val="24"/>
        </w:rPr>
        <w:t>0531-</w:t>
      </w:r>
      <w:r>
        <w:rPr>
          <w:rFonts w:cs="宋体" w:asciiTheme="minorEastAsia" w:hAnsiTheme="minorEastAsia" w:eastAsiaTheme="minorEastAsia"/>
          <w:sz w:val="24"/>
        </w:rPr>
        <w:t>88257927</w:t>
      </w:r>
    </w:p>
    <w:p>
      <w:pPr>
        <w:spacing w:line="360" w:lineRule="auto"/>
        <w:ind w:firstLine="720" w:firstLineChars="300"/>
        <w:rPr>
          <w:rFonts w:cs="宋体" w:asciiTheme="minorEastAsia" w:hAnsiTheme="minorEastAsia" w:eastAsiaTheme="minorEastAsia"/>
          <w:sz w:val="24"/>
          <w:u w:val="single"/>
        </w:rPr>
      </w:pPr>
      <w:r>
        <w:rPr>
          <w:rFonts w:hint="eastAsia" w:cs="宋体" w:asciiTheme="minorEastAsia" w:hAnsiTheme="minorEastAsia" w:eastAsiaTheme="minorEastAsia"/>
          <w:sz w:val="24"/>
        </w:rPr>
        <w:t>3.项目联系方式</w:t>
      </w:r>
      <w:bookmarkEnd w:id="30"/>
      <w:bookmarkEnd w:id="31"/>
    </w:p>
    <w:p>
      <w:pPr>
        <w:pStyle w:val="26"/>
        <w:spacing w:line="240" w:lineRule="auto"/>
        <w:ind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项目联系人：丁萌萌、丁莉</w:t>
      </w:r>
    </w:p>
    <w:p>
      <w:pPr>
        <w:widowControl/>
        <w:spacing w:line="360" w:lineRule="auto"/>
        <w:ind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电　话：0531-</w:t>
      </w:r>
      <w:r>
        <w:rPr>
          <w:rFonts w:cs="宋体" w:asciiTheme="minorEastAsia" w:hAnsiTheme="minorEastAsia" w:eastAsiaTheme="minorEastAsia"/>
          <w:sz w:val="24"/>
        </w:rPr>
        <w:t>88257937</w:t>
      </w:r>
      <w:r>
        <w:rPr>
          <w:rFonts w:hint="eastAsia" w:cs="宋体" w:asciiTheme="minorEastAsia" w:hAnsiTheme="minorEastAsia" w:eastAsiaTheme="minorEastAsia"/>
          <w:sz w:val="24"/>
        </w:rPr>
        <w:t>、</w:t>
      </w:r>
      <w:r>
        <w:rPr>
          <w:rFonts w:cs="宋体" w:asciiTheme="minorEastAsia" w:hAnsiTheme="minorEastAsia" w:eastAsiaTheme="minorEastAsia"/>
          <w:sz w:val="24"/>
        </w:rPr>
        <w:t>88257927</w:t>
      </w:r>
    </w:p>
    <w:p>
      <w:pPr>
        <w:rPr>
          <w:rFonts w:ascii="宋体" w:hAnsi="宋体" w:cs="仿宋"/>
          <w:b/>
          <w:bCs/>
          <w:spacing w:val="-10"/>
          <w:sz w:val="30"/>
          <w:szCs w:val="30"/>
        </w:rPr>
      </w:pPr>
      <w:r>
        <w:rPr>
          <w:rFonts w:hint="eastAsia" w:ascii="宋体" w:hAnsi="宋体" w:cs="仿宋"/>
          <w:b/>
          <w:bCs/>
          <w:spacing w:val="-10"/>
          <w:sz w:val="30"/>
          <w:szCs w:val="30"/>
        </w:rPr>
        <w:br w:type="page"/>
      </w:r>
    </w:p>
    <w:p>
      <w:pPr>
        <w:pStyle w:val="337"/>
        <w:spacing w:after="120" w:afterLines="50"/>
        <w:ind w:firstLine="0"/>
        <w:jc w:val="center"/>
        <w:rPr>
          <w:rFonts w:ascii="宋体" w:hAnsi="宋体" w:eastAsia="宋体" w:cs="仿宋"/>
          <w:b/>
          <w:bCs/>
          <w:spacing w:val="-10"/>
          <w:sz w:val="30"/>
          <w:szCs w:val="30"/>
        </w:rPr>
      </w:pPr>
      <w:r>
        <w:rPr>
          <w:rFonts w:hint="eastAsia" w:ascii="宋体" w:hAnsi="宋体" w:eastAsia="宋体" w:cs="仿宋"/>
          <w:b/>
          <w:bCs/>
          <w:spacing w:val="-10"/>
          <w:sz w:val="30"/>
          <w:szCs w:val="30"/>
        </w:rPr>
        <w:t>在疫情防控期间的重要说明</w:t>
      </w:r>
    </w:p>
    <w:p>
      <w:pPr>
        <w:pStyle w:val="337"/>
      </w:pPr>
    </w:p>
    <w:p>
      <w:pPr>
        <w:pStyle w:val="287"/>
        <w:numPr>
          <w:ilvl w:val="0"/>
          <w:numId w:val="2"/>
        </w:numPr>
        <w:spacing w:line="480" w:lineRule="auto"/>
        <w:ind w:firstLineChars="0"/>
        <w:rPr>
          <w:rFonts w:ascii="宋体" w:hAnsi="宋体" w:cs="宋体"/>
          <w:sz w:val="24"/>
        </w:rPr>
      </w:pPr>
      <w:r>
        <w:rPr>
          <w:rFonts w:hint="eastAsia" w:ascii="宋体" w:hAnsi="宋体" w:cs="宋体"/>
          <w:sz w:val="24"/>
        </w:rPr>
        <w:t>本项目仅限授权代表1人进入开标室参加开标会议。</w:t>
      </w:r>
    </w:p>
    <w:p>
      <w:pPr>
        <w:pStyle w:val="287"/>
        <w:numPr>
          <w:ilvl w:val="0"/>
          <w:numId w:val="2"/>
        </w:numPr>
        <w:spacing w:line="480" w:lineRule="auto"/>
        <w:ind w:firstLineChars="0"/>
        <w:rPr>
          <w:rFonts w:ascii="宋体" w:hAnsi="宋体" w:cs="宋体"/>
          <w:sz w:val="24"/>
        </w:rPr>
      </w:pPr>
      <w:r>
        <w:rPr>
          <w:rFonts w:hint="eastAsia" w:ascii="宋体" w:hAnsi="宋体" w:cs="宋体"/>
          <w:sz w:val="24"/>
        </w:rPr>
        <w:t>开标当天</w:t>
      </w:r>
      <w:r>
        <w:rPr>
          <w:rFonts w:ascii="宋体" w:hAnsi="宋体" w:cs="宋体"/>
          <w:sz w:val="24"/>
        </w:rPr>
        <w:t>8</w:t>
      </w:r>
      <w:r>
        <w:rPr>
          <w:rFonts w:hint="eastAsia" w:ascii="宋体" w:hAnsi="宋体" w:cs="宋体"/>
          <w:sz w:val="24"/>
        </w:rPr>
        <w:t>时</w:t>
      </w:r>
      <w:r>
        <w:rPr>
          <w:rFonts w:ascii="宋体" w:hAnsi="宋体" w:cs="宋体"/>
          <w:sz w:val="24"/>
        </w:rPr>
        <w:t>00</w:t>
      </w:r>
      <w:r>
        <w:rPr>
          <w:rFonts w:hint="eastAsia" w:ascii="宋体" w:hAnsi="宋体" w:cs="宋体"/>
          <w:sz w:val="24"/>
        </w:rPr>
        <w:t>分之后方可进入开标地点，请各供应商授权代表提前到达，积极配合工作人员进行现场体温检测并进行健康信息登记。</w:t>
      </w:r>
    </w:p>
    <w:p>
      <w:pPr>
        <w:pStyle w:val="287"/>
        <w:numPr>
          <w:ilvl w:val="0"/>
          <w:numId w:val="2"/>
        </w:numPr>
        <w:spacing w:line="480" w:lineRule="auto"/>
        <w:ind w:firstLineChars="0"/>
        <w:rPr>
          <w:rFonts w:ascii="宋体" w:hAnsi="宋体" w:cs="宋体"/>
          <w:sz w:val="24"/>
        </w:rPr>
      </w:pPr>
      <w:r>
        <w:rPr>
          <w:rFonts w:hint="eastAsia" w:ascii="宋体" w:hAnsi="宋体" w:cs="宋体"/>
          <w:sz w:val="24"/>
        </w:rPr>
        <w:t>请各供应商依次进行签到，人与人之间要保持1.5米以上安全距离，减少不必要的接触。自行携带签字笔，避免现场交叉使用。</w:t>
      </w:r>
    </w:p>
    <w:p>
      <w:pPr>
        <w:pStyle w:val="287"/>
        <w:numPr>
          <w:ilvl w:val="0"/>
          <w:numId w:val="2"/>
        </w:numPr>
        <w:spacing w:line="480" w:lineRule="auto"/>
        <w:ind w:firstLineChars="0"/>
        <w:rPr>
          <w:rFonts w:ascii="宋体" w:hAnsi="宋体" w:cs="宋体"/>
          <w:sz w:val="24"/>
        </w:rPr>
      </w:pPr>
      <w:r>
        <w:rPr>
          <w:rFonts w:hint="eastAsia" w:ascii="宋体" w:hAnsi="宋体" w:cs="宋体"/>
          <w:sz w:val="24"/>
        </w:rPr>
        <w:t>进入开标活动现场的人员应无感冒、发烧、咳嗽等症状，并按疫情防护要求做好有效防护措施，自行戴好口罩，做好手部卫生消毒。</w:t>
      </w:r>
    </w:p>
    <w:p>
      <w:pPr>
        <w:pStyle w:val="287"/>
        <w:numPr>
          <w:ilvl w:val="0"/>
          <w:numId w:val="2"/>
        </w:numPr>
        <w:spacing w:line="480" w:lineRule="auto"/>
        <w:ind w:firstLineChars="0"/>
        <w:rPr>
          <w:rFonts w:ascii="宋体" w:hAnsi="宋体" w:cs="宋体"/>
          <w:sz w:val="24"/>
        </w:rPr>
      </w:pPr>
      <w:r>
        <w:rPr>
          <w:rFonts w:hint="eastAsia" w:ascii="宋体" w:hAnsi="宋体" w:cs="宋体"/>
          <w:sz w:val="24"/>
        </w:rPr>
        <w:t>出现感冒发烧症状、未按疫情防护要求佩戴口罩者一律不得进入开标活动现场</w:t>
      </w:r>
    </w:p>
    <w:p>
      <w:pPr>
        <w:pStyle w:val="287"/>
        <w:numPr>
          <w:ilvl w:val="0"/>
          <w:numId w:val="2"/>
        </w:numPr>
        <w:spacing w:line="480" w:lineRule="auto"/>
        <w:ind w:firstLineChars="0"/>
        <w:rPr>
          <w:rFonts w:ascii="宋体" w:hAnsi="宋体" w:cs="宋体"/>
          <w:sz w:val="24"/>
        </w:rPr>
      </w:pPr>
      <w:r>
        <w:rPr>
          <w:rFonts w:hint="eastAsia" w:ascii="宋体" w:hAnsi="宋体" w:cs="宋体"/>
          <w:sz w:val="24"/>
        </w:rPr>
        <w:t>请各供应商综合考虑疫情期间交通通行情况，合理做好出行规划，并做好乘坐公共交通期间的防护。</w:t>
      </w:r>
    </w:p>
    <w:p>
      <w:pPr>
        <w:pStyle w:val="287"/>
        <w:numPr>
          <w:ilvl w:val="0"/>
          <w:numId w:val="2"/>
        </w:numPr>
        <w:spacing w:line="480" w:lineRule="auto"/>
        <w:ind w:firstLineChars="0"/>
        <w:rPr>
          <w:rFonts w:ascii="宋体" w:hAnsi="宋体" w:cs="宋体"/>
          <w:sz w:val="24"/>
        </w:rPr>
      </w:pPr>
      <w:r>
        <w:rPr>
          <w:rFonts w:hint="eastAsia" w:ascii="宋体" w:hAnsi="宋体" w:cs="宋体"/>
          <w:sz w:val="24"/>
        </w:rPr>
        <w:t>为了做好供应商的疫情防控工作，参加本项目开标活动的各授权代表应提供电子健康通行码（绿码）进入写字楼。重点疫区人员、外省人员请提供</w:t>
      </w:r>
      <w:r>
        <w:rPr>
          <w:rFonts w:ascii="宋体" w:hAnsi="宋体" w:cs="宋体"/>
          <w:sz w:val="24"/>
        </w:rPr>
        <w:t>48</w:t>
      </w:r>
      <w:r>
        <w:rPr>
          <w:rFonts w:hint="eastAsia" w:ascii="宋体" w:hAnsi="宋体" w:cs="宋体"/>
          <w:sz w:val="24"/>
        </w:rPr>
        <w:t>小时内核酸检测阴性报告。</w:t>
      </w:r>
    </w:p>
    <w:p>
      <w:pPr>
        <w:pStyle w:val="287"/>
        <w:numPr>
          <w:ilvl w:val="0"/>
          <w:numId w:val="2"/>
        </w:numPr>
        <w:spacing w:line="480" w:lineRule="auto"/>
        <w:ind w:firstLineChars="0"/>
        <w:rPr>
          <w:rFonts w:ascii="宋体" w:hAnsi="宋体" w:cs="宋体"/>
          <w:sz w:val="24"/>
        </w:rPr>
      </w:pPr>
      <w:r>
        <w:rPr>
          <w:rFonts w:hint="eastAsia" w:ascii="宋体" w:hAnsi="宋体" w:cs="宋体"/>
          <w:sz w:val="24"/>
        </w:rPr>
        <w:t>承诺开标前14天内无旅行史特别是较重疫区的旅行史，并如实写明近一周的个人身体情况和发热病人接触史，保证不是境外来人员，开标时将承诺交给工作人员。同时，如有不实，承担相应责任。供应商需充分了解供应商当地和项目所在地相关防疫政策，因上述等原因造成供应商无法正常参与投标的由供应商自行承担后果。</w:t>
      </w:r>
    </w:p>
    <w:p>
      <w:pPr>
        <w:rPr>
          <w:rStyle w:val="130"/>
          <w:smallCaps/>
          <w:sz w:val="20"/>
          <w:szCs w:val="20"/>
        </w:rPr>
      </w:pPr>
    </w:p>
    <w:p>
      <w:pPr>
        <w:rPr>
          <w:rFonts w:asciiTheme="minorEastAsia" w:hAnsiTheme="minorEastAsia" w:eastAsiaTheme="minorEastAsia"/>
          <w:sz w:val="32"/>
        </w:rPr>
      </w:pPr>
      <w:r>
        <w:rPr>
          <w:rFonts w:hint="eastAsia" w:asciiTheme="minorEastAsia" w:hAnsiTheme="minorEastAsia" w:eastAsiaTheme="minorEastAsia"/>
          <w:sz w:val="32"/>
        </w:rPr>
        <w:br w:type="page"/>
      </w:r>
    </w:p>
    <w:p>
      <w:pPr>
        <w:widowControl/>
        <w:spacing w:line="360" w:lineRule="auto"/>
        <w:ind w:firstLine="660" w:firstLineChars="300"/>
        <w:rPr>
          <w:rFonts w:asciiTheme="minorEastAsia" w:hAnsiTheme="minorEastAsia" w:eastAsiaTheme="minorEastAsia"/>
          <w:sz w:val="32"/>
        </w:rPr>
      </w:pPr>
      <w:r>
        <w:rPr>
          <w:rFonts w:hint="eastAsia" w:asciiTheme="minorEastAsia" w:hAnsiTheme="minorEastAsia" w:eastAsiaTheme="minorEastAsia"/>
          <w:spacing w:val="-10"/>
          <w:sz w:val="24"/>
        </w:rPr>
        <w:t xml:space="preserve">                          </w:t>
      </w:r>
      <w:r>
        <w:rPr>
          <w:rFonts w:hint="eastAsia" w:asciiTheme="minorEastAsia" w:hAnsiTheme="minorEastAsia" w:eastAsiaTheme="minorEastAsia"/>
          <w:b/>
          <w:bCs/>
          <w:sz w:val="32"/>
        </w:rPr>
        <w:t>第二章</w:t>
      </w:r>
      <w:r>
        <w:rPr>
          <w:rFonts w:asciiTheme="minorEastAsia" w:hAnsiTheme="minorEastAsia" w:eastAsiaTheme="minorEastAsia"/>
          <w:b/>
          <w:bCs/>
          <w:sz w:val="32"/>
        </w:rPr>
        <w:t xml:space="preserve">   </w:t>
      </w:r>
      <w:r>
        <w:rPr>
          <w:rFonts w:hint="eastAsia" w:asciiTheme="minorEastAsia" w:hAnsiTheme="minorEastAsia" w:eastAsiaTheme="minorEastAsia"/>
          <w:b/>
          <w:bCs/>
          <w:sz w:val="32"/>
        </w:rPr>
        <w:t>供应商须知</w:t>
      </w:r>
    </w:p>
    <w:p>
      <w:pPr>
        <w:pStyle w:val="3"/>
        <w:spacing w:before="0" w:after="0"/>
        <w:jc w:val="center"/>
        <w:rPr>
          <w:rFonts w:asciiTheme="minorEastAsia" w:hAnsiTheme="minorEastAsia" w:eastAsiaTheme="minorEastAsia"/>
          <w:bCs w:val="0"/>
          <w:sz w:val="30"/>
          <w:szCs w:val="30"/>
        </w:rPr>
      </w:pPr>
      <w:bookmarkStart w:id="32" w:name="_Toc15495"/>
      <w:r>
        <w:rPr>
          <w:rFonts w:hint="eastAsia" w:asciiTheme="minorEastAsia" w:hAnsiTheme="minorEastAsia" w:eastAsiaTheme="minorEastAsia"/>
          <w:bCs w:val="0"/>
          <w:sz w:val="30"/>
          <w:szCs w:val="30"/>
        </w:rPr>
        <w:t>供应商须知前附表</w:t>
      </w:r>
      <w:bookmarkEnd w:id="32"/>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本表是对“供应商须知”正文的具体补充和修改，如有不一致，以“前附表”为准。</w:t>
      </w:r>
    </w:p>
    <w:tbl>
      <w:tblPr>
        <w:tblStyle w:val="75"/>
        <w:tblW w:w="961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646"/>
        <w:gridCol w:w="1553"/>
        <w:gridCol w:w="741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72" w:hRule="atLeast"/>
          <w:tblHeader/>
          <w:jc w:val="center"/>
        </w:trPr>
        <w:tc>
          <w:tcPr>
            <w:tcW w:w="646" w:type="dxa"/>
            <w:tcBorders>
              <w:right w:val="single" w:color="auto" w:sz="4" w:space="0"/>
            </w:tcBorders>
          </w:tcPr>
          <w:p>
            <w:pPr>
              <w:spacing w:line="360" w:lineRule="auto"/>
              <w:jc w:val="center"/>
              <w:rPr>
                <w:rFonts w:asciiTheme="minorEastAsia" w:hAnsiTheme="minorEastAsia" w:eastAsiaTheme="minorEastAsia"/>
                <w:b/>
                <w:bCs/>
                <w:sz w:val="24"/>
              </w:rPr>
            </w:pPr>
            <w:bookmarkStart w:id="33" w:name="_Toc346372875"/>
            <w:r>
              <w:rPr>
                <w:rFonts w:hint="eastAsia" w:asciiTheme="minorEastAsia" w:hAnsiTheme="minorEastAsia" w:eastAsiaTheme="minorEastAsia"/>
                <w:b/>
                <w:bCs/>
                <w:sz w:val="24"/>
              </w:rPr>
              <w:t>序号</w:t>
            </w:r>
          </w:p>
        </w:tc>
        <w:tc>
          <w:tcPr>
            <w:tcW w:w="1553" w:type="dxa"/>
            <w:tcBorders>
              <w:right w:val="single" w:color="auto" w:sz="4" w:space="0"/>
            </w:tcBorders>
            <w:vAlign w:val="center"/>
          </w:tcPr>
          <w:p>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内容</w:t>
            </w:r>
          </w:p>
        </w:tc>
        <w:tc>
          <w:tcPr>
            <w:tcW w:w="7418" w:type="dxa"/>
            <w:tcBorders>
              <w:left w:val="single" w:color="auto" w:sz="4" w:space="0"/>
            </w:tcBorders>
            <w:vAlign w:val="center"/>
          </w:tcPr>
          <w:p>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说明或要求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05" w:hRule="atLeast"/>
          <w:jc w:val="center"/>
        </w:trPr>
        <w:tc>
          <w:tcPr>
            <w:tcW w:w="64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1553" w:type="dxa"/>
            <w:tcBorders>
              <w:right w:val="single" w:color="auto" w:sz="4" w:space="0"/>
            </w:tcBorders>
            <w:vAlign w:val="center"/>
          </w:tcPr>
          <w:p>
            <w:pPr>
              <w:spacing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rPr>
              <w:t>重要提示</w:t>
            </w:r>
          </w:p>
        </w:tc>
        <w:tc>
          <w:tcPr>
            <w:tcW w:w="7418" w:type="dxa"/>
            <w:tcBorders>
              <w:left w:val="single" w:color="auto" w:sz="4" w:space="0"/>
            </w:tcBorders>
            <w:vAlign w:val="center"/>
          </w:tcPr>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本招标文件中，标注有“★”的条款，为本招标文件中的实质性条款，且属于在招标过程中不会变动的内容。供应商未实质性响应的，将按无效投标处理。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05"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项目信息</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项目名称：</w:t>
            </w:r>
            <w:r>
              <w:rPr>
                <w:rFonts w:hint="eastAsia" w:cs="宋体" w:asciiTheme="minorEastAsia" w:hAnsiTheme="minorEastAsia" w:eastAsiaTheme="minorEastAsia"/>
                <w:sz w:val="24"/>
              </w:rPr>
              <w:t>山东省消防救援总队2022年装备部门集中采购项目七</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项目编号：STZB2022-429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05"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采购人：山东省消防救援总队</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联系人：王老师</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联系方式：0531-85124234</w:t>
            </w:r>
            <w:r>
              <w:rPr>
                <w:rFonts w:asciiTheme="minorEastAsia" w:hAnsiTheme="minorEastAsia" w:eastAsiaTheme="minorEastAsia"/>
                <w:sz w:val="24"/>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6"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代理机构</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代理机构：石拓项目管理有限公司</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联系人：丁萌萌、丁莉</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联系电话：0531-</w:t>
            </w:r>
            <w:r>
              <w:rPr>
                <w:rFonts w:asciiTheme="minorEastAsia" w:hAnsiTheme="minorEastAsia" w:eastAsiaTheme="minorEastAsia"/>
                <w:sz w:val="24"/>
              </w:rPr>
              <w:t>88257937</w:t>
            </w:r>
            <w:r>
              <w:rPr>
                <w:rFonts w:hint="eastAsia" w:asciiTheme="minorEastAsia" w:hAnsiTheme="minorEastAsia" w:eastAsiaTheme="minorEastAsia"/>
                <w:sz w:val="24"/>
              </w:rPr>
              <w:t>、8</w:t>
            </w:r>
            <w:r>
              <w:rPr>
                <w:rFonts w:asciiTheme="minorEastAsia" w:hAnsiTheme="minorEastAsia" w:eastAsiaTheme="minorEastAsia"/>
                <w:sz w:val="24"/>
              </w:rPr>
              <w:t>8257927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247"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资金来源与采购预算</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资金来源：财政资金</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预算总金额：</w:t>
            </w:r>
            <w:r>
              <w:rPr>
                <w:rFonts w:hint="eastAsia" w:cs="宋体" w:asciiTheme="minorEastAsia" w:hAnsiTheme="minorEastAsia" w:eastAsiaTheme="minorEastAsia"/>
                <w:sz w:val="24"/>
              </w:rPr>
              <w:t>1334.799</w:t>
            </w:r>
            <w:r>
              <w:rPr>
                <w:rFonts w:hint="eastAsia" w:asciiTheme="minorEastAsia" w:hAnsiTheme="minorEastAsia" w:eastAsiaTheme="minorEastAsia"/>
                <w:sz w:val="24"/>
              </w:rPr>
              <w:t>万元。分为3个标包，具体划分情况如下：</w:t>
            </w:r>
          </w:p>
          <w:tbl>
            <w:tblPr>
              <w:tblStyle w:val="76"/>
              <w:tblW w:w="6706"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84"/>
              <w:gridCol w:w="720"/>
              <w:gridCol w:w="2575"/>
              <w:gridCol w:w="730"/>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09" w:type="dxa"/>
                  <w:vAlign w:val="center"/>
                </w:tcPr>
                <w:p>
                  <w:pPr>
                    <w:pStyle w:val="2"/>
                    <w:spacing w:after="200" w:line="276" w:lineRule="auto"/>
                    <w:ind w:firstLine="0" w:firstLineChars="0"/>
                    <w:jc w:val="center"/>
                    <w:rPr>
                      <w:rFonts w:ascii="宋体" w:hAnsi="宋体" w:cs="宋体"/>
                      <w:b/>
                      <w:bCs/>
                      <w:sz w:val="18"/>
                      <w:szCs w:val="18"/>
                    </w:rPr>
                  </w:pPr>
                  <w:r>
                    <w:rPr>
                      <w:rFonts w:hint="eastAsia" w:ascii="宋体" w:hAnsi="宋体" w:cs="宋体"/>
                      <w:b/>
                      <w:bCs/>
                      <w:sz w:val="18"/>
                      <w:szCs w:val="18"/>
                    </w:rPr>
                    <w:t>标包</w:t>
                  </w:r>
                </w:p>
              </w:tc>
              <w:tc>
                <w:tcPr>
                  <w:tcW w:w="884" w:type="dxa"/>
                  <w:vAlign w:val="center"/>
                </w:tcPr>
                <w:p>
                  <w:pPr>
                    <w:pStyle w:val="2"/>
                    <w:spacing w:after="80" w:line="240" w:lineRule="auto"/>
                    <w:ind w:firstLine="0" w:firstLineChars="0"/>
                    <w:jc w:val="center"/>
                    <w:rPr>
                      <w:rFonts w:ascii="宋体" w:hAnsi="宋体" w:cs="宋体"/>
                      <w:b/>
                      <w:bCs/>
                      <w:sz w:val="18"/>
                      <w:szCs w:val="18"/>
                    </w:rPr>
                  </w:pPr>
                  <w:r>
                    <w:rPr>
                      <w:rFonts w:hint="eastAsia" w:ascii="宋体" w:hAnsi="宋体" w:cs="宋体"/>
                      <w:b/>
                      <w:bCs/>
                      <w:sz w:val="18"/>
                      <w:szCs w:val="18"/>
                    </w:rPr>
                    <w:t>标包</w:t>
                  </w:r>
                </w:p>
                <w:p>
                  <w:pPr>
                    <w:pStyle w:val="2"/>
                    <w:spacing w:after="80" w:line="240" w:lineRule="auto"/>
                    <w:ind w:firstLine="0" w:firstLineChars="0"/>
                    <w:jc w:val="center"/>
                    <w:rPr>
                      <w:rFonts w:ascii="宋体" w:hAnsi="宋体" w:cs="宋体"/>
                      <w:b/>
                      <w:bCs/>
                      <w:sz w:val="18"/>
                      <w:szCs w:val="18"/>
                    </w:rPr>
                  </w:pPr>
                  <w:r>
                    <w:rPr>
                      <w:rFonts w:hint="eastAsia" w:ascii="宋体" w:hAnsi="宋体" w:cs="宋体"/>
                      <w:b/>
                      <w:bCs/>
                      <w:sz w:val="18"/>
                      <w:szCs w:val="18"/>
                    </w:rPr>
                    <w:t>名称</w:t>
                  </w:r>
                </w:p>
              </w:tc>
              <w:tc>
                <w:tcPr>
                  <w:tcW w:w="720" w:type="dxa"/>
                  <w:vAlign w:val="center"/>
                </w:tcPr>
                <w:p>
                  <w:pPr>
                    <w:pStyle w:val="2"/>
                    <w:spacing w:after="200" w:line="276" w:lineRule="auto"/>
                    <w:ind w:firstLine="0" w:firstLineChars="0"/>
                    <w:jc w:val="center"/>
                    <w:rPr>
                      <w:rFonts w:ascii="宋体" w:hAnsi="宋体" w:cs="宋体"/>
                      <w:b/>
                      <w:bCs/>
                      <w:sz w:val="18"/>
                      <w:szCs w:val="18"/>
                    </w:rPr>
                  </w:pPr>
                  <w:r>
                    <w:rPr>
                      <w:rFonts w:hint="eastAsia" w:ascii="宋体" w:hAnsi="宋体" w:cs="宋体"/>
                      <w:b/>
                      <w:bCs/>
                      <w:sz w:val="18"/>
                      <w:szCs w:val="18"/>
                    </w:rPr>
                    <w:t>序号</w:t>
                  </w:r>
                </w:p>
              </w:tc>
              <w:tc>
                <w:tcPr>
                  <w:tcW w:w="2575" w:type="dxa"/>
                  <w:vAlign w:val="center"/>
                </w:tcPr>
                <w:p>
                  <w:pPr>
                    <w:pStyle w:val="2"/>
                    <w:spacing w:after="200" w:line="276" w:lineRule="auto"/>
                    <w:ind w:firstLine="0" w:firstLineChars="0"/>
                    <w:jc w:val="center"/>
                    <w:rPr>
                      <w:rFonts w:ascii="宋体" w:hAnsi="宋体" w:cs="宋体"/>
                      <w:b/>
                      <w:bCs/>
                      <w:sz w:val="18"/>
                      <w:szCs w:val="18"/>
                    </w:rPr>
                  </w:pPr>
                  <w:r>
                    <w:rPr>
                      <w:rFonts w:hint="eastAsia" w:ascii="宋体" w:hAnsi="宋体" w:cs="宋体"/>
                      <w:b/>
                      <w:bCs/>
                      <w:sz w:val="18"/>
                      <w:szCs w:val="18"/>
                    </w:rPr>
                    <w:t>标的物名称</w:t>
                  </w:r>
                </w:p>
              </w:tc>
              <w:tc>
                <w:tcPr>
                  <w:tcW w:w="730" w:type="dxa"/>
                  <w:vAlign w:val="center"/>
                </w:tcPr>
                <w:p>
                  <w:pPr>
                    <w:pStyle w:val="2"/>
                    <w:spacing w:after="200" w:line="276" w:lineRule="auto"/>
                    <w:ind w:firstLine="0" w:firstLineChars="0"/>
                    <w:jc w:val="center"/>
                    <w:rPr>
                      <w:rFonts w:ascii="宋体" w:hAnsi="宋体" w:cs="宋体"/>
                      <w:b/>
                      <w:bCs/>
                      <w:sz w:val="18"/>
                      <w:szCs w:val="18"/>
                    </w:rPr>
                  </w:pPr>
                  <w:r>
                    <w:rPr>
                      <w:rFonts w:hint="eastAsia" w:ascii="宋体" w:hAnsi="宋体" w:cs="宋体"/>
                      <w:b/>
                      <w:bCs/>
                      <w:sz w:val="18"/>
                      <w:szCs w:val="18"/>
                    </w:rPr>
                    <w:t>数量</w:t>
                  </w:r>
                </w:p>
              </w:tc>
              <w:tc>
                <w:tcPr>
                  <w:tcW w:w="1088" w:type="dxa"/>
                  <w:vAlign w:val="center"/>
                </w:tcPr>
                <w:p>
                  <w:pPr>
                    <w:pStyle w:val="2"/>
                    <w:spacing w:after="200" w:line="276" w:lineRule="auto"/>
                    <w:ind w:firstLine="0" w:firstLineChars="0"/>
                    <w:jc w:val="center"/>
                    <w:rPr>
                      <w:rFonts w:ascii="Calibri" w:hAnsi="Calibri"/>
                      <w:b/>
                      <w:bCs/>
                      <w:sz w:val="18"/>
                      <w:szCs w:val="18"/>
                    </w:rPr>
                  </w:pPr>
                  <w:r>
                    <w:rPr>
                      <w:rFonts w:hint="eastAsia" w:ascii="Calibri" w:hAnsi="Calibri"/>
                      <w:b/>
                      <w:bCs/>
                      <w:sz w:val="18"/>
                      <w:szCs w:val="18"/>
                    </w:rPr>
                    <w:t>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Merge w:val="restart"/>
                  <w:vAlign w:val="center"/>
                </w:tcPr>
                <w:p>
                  <w:pPr>
                    <w:pStyle w:val="2"/>
                    <w:spacing w:after="200" w:line="276" w:lineRule="auto"/>
                    <w:ind w:firstLine="0" w:firstLineChars="0"/>
                    <w:jc w:val="center"/>
                    <w:rPr>
                      <w:rFonts w:ascii="宋体" w:hAnsi="宋体" w:cs="宋体"/>
                      <w:sz w:val="18"/>
                      <w:szCs w:val="18"/>
                    </w:rPr>
                  </w:pPr>
                  <w:r>
                    <w:rPr>
                      <w:rFonts w:hint="eastAsia" w:ascii="宋体" w:hAnsi="宋体" w:cs="宋体"/>
                      <w:sz w:val="18"/>
                      <w:szCs w:val="18"/>
                    </w:rPr>
                    <w:t>1</w:t>
                  </w:r>
                </w:p>
              </w:tc>
              <w:tc>
                <w:tcPr>
                  <w:tcW w:w="884" w:type="dxa"/>
                  <w:vMerge w:val="restart"/>
                  <w:vAlign w:val="center"/>
                </w:tcPr>
                <w:p>
                  <w:pPr>
                    <w:pStyle w:val="2"/>
                    <w:spacing w:after="200" w:line="276" w:lineRule="auto"/>
                    <w:ind w:firstLine="0" w:firstLineChars="0"/>
                    <w:jc w:val="center"/>
                    <w:rPr>
                      <w:rFonts w:ascii="Calibri" w:hAnsi="Calibri"/>
                      <w:sz w:val="18"/>
                      <w:szCs w:val="18"/>
                    </w:rPr>
                  </w:pPr>
                  <w:r>
                    <w:rPr>
                      <w:rFonts w:hint="eastAsia" w:ascii="Calibri" w:hAnsi="Calibri"/>
                      <w:sz w:val="18"/>
                      <w:szCs w:val="18"/>
                    </w:rPr>
                    <w:t>水域救援类</w:t>
                  </w:r>
                  <w:r>
                    <w:rPr>
                      <w:rFonts w:hint="eastAsia" w:ascii="宋体" w:hAnsi="宋体" w:cs="宋体"/>
                      <w:sz w:val="18"/>
                      <w:szCs w:val="18"/>
                    </w:rPr>
                    <w:t>装备</w:t>
                  </w: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水域救援漂浮救生绳</w:t>
                  </w:r>
                </w:p>
              </w:tc>
              <w:tc>
                <w:tcPr>
                  <w:tcW w:w="730" w:type="dxa"/>
                  <w:vAlign w:val="center"/>
                </w:tcPr>
                <w:p>
                  <w:pPr>
                    <w:widowControl/>
                    <w:spacing w:after="200" w:line="240" w:lineRule="auto"/>
                    <w:jc w:val="center"/>
                    <w:textAlignment w:val="center"/>
                    <w:rPr>
                      <w:rFonts w:ascii="宋体" w:hAnsi="宋体" w:cs="宋体"/>
                      <w:sz w:val="18"/>
                      <w:szCs w:val="18"/>
                    </w:rPr>
                  </w:pPr>
                  <w:r>
                    <w:rPr>
                      <w:rFonts w:hint="eastAsia" w:ascii="宋体" w:hAnsi="宋体" w:cs="宋体"/>
                      <w:color w:val="000000"/>
                      <w:kern w:val="0"/>
                      <w:sz w:val="18"/>
                      <w:szCs w:val="18"/>
                      <w:lang w:bidi="ar"/>
                    </w:rPr>
                    <w:t>255</w:t>
                  </w:r>
                </w:p>
              </w:tc>
              <w:tc>
                <w:tcPr>
                  <w:tcW w:w="1088" w:type="dxa"/>
                  <w:vMerge w:val="restart"/>
                  <w:vAlign w:val="center"/>
                </w:tcPr>
                <w:p>
                  <w:pPr>
                    <w:widowControl/>
                    <w:spacing w:after="200" w:line="276" w:lineRule="auto"/>
                    <w:jc w:val="center"/>
                    <w:textAlignment w:val="center"/>
                    <w:rPr>
                      <w:rFonts w:ascii="宋体" w:hAnsi="宋体" w:cs="宋体"/>
                      <w:sz w:val="18"/>
                      <w:szCs w:val="18"/>
                    </w:rPr>
                  </w:pPr>
                  <w:r>
                    <w:rPr>
                      <w:rFonts w:hint="eastAsia" w:ascii="宋体" w:hAnsi="宋体" w:cs="宋体"/>
                      <w:sz w:val="18"/>
                      <w:szCs w:val="18"/>
                    </w:rPr>
                    <w:t>639.739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干式轻型潜水装具</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14</w:t>
                  </w:r>
                </w:p>
              </w:tc>
              <w:tc>
                <w:tcPr>
                  <w:tcW w:w="1088" w:type="dxa"/>
                  <w:vMerge w:val="continue"/>
                  <w:vAlign w:val="center"/>
                </w:tcPr>
                <w:p>
                  <w:pPr>
                    <w:widowControl/>
                    <w:spacing w:after="200" w:line="276" w:lineRule="auto"/>
                    <w:jc w:val="center"/>
                    <w:textAlignment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湿式轻型潜水装具</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42</w:t>
                  </w:r>
                </w:p>
              </w:tc>
              <w:tc>
                <w:tcPr>
                  <w:tcW w:w="1088" w:type="dxa"/>
                  <w:vMerge w:val="continue"/>
                  <w:vAlign w:val="center"/>
                </w:tcPr>
                <w:p>
                  <w:pPr>
                    <w:widowControl/>
                    <w:spacing w:after="200" w:line="276" w:lineRule="auto"/>
                    <w:jc w:val="center"/>
                    <w:textAlignment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救生圈</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172</w:t>
                  </w:r>
                </w:p>
              </w:tc>
              <w:tc>
                <w:tcPr>
                  <w:tcW w:w="1088" w:type="dxa"/>
                  <w:vMerge w:val="continue"/>
                  <w:vAlign w:val="center"/>
                </w:tcPr>
                <w:p>
                  <w:pPr>
                    <w:widowControl/>
                    <w:spacing w:after="200" w:line="276" w:lineRule="auto"/>
                    <w:jc w:val="center"/>
                    <w:textAlignment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5</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干式水域救援服</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194</w:t>
                  </w:r>
                </w:p>
              </w:tc>
              <w:tc>
                <w:tcPr>
                  <w:tcW w:w="1088" w:type="dxa"/>
                  <w:vMerge w:val="continue"/>
                  <w:vAlign w:val="center"/>
                </w:tcPr>
                <w:p>
                  <w:pPr>
                    <w:widowControl/>
                    <w:spacing w:after="200" w:line="276" w:lineRule="auto"/>
                    <w:jc w:val="center"/>
                    <w:textAlignment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湿式水域救援服（连体式）</w:t>
                  </w:r>
                </w:p>
              </w:tc>
              <w:tc>
                <w:tcPr>
                  <w:tcW w:w="73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428</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7</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水面潜水训练套装</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8</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水下救生手环</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57</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9</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水域救援个人携行包</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215</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10</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水域救援手套</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639</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11</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水域救援靴</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459</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12</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消防员水域救援头盔</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358</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13</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水下破拆工具组</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14</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割绳刀</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236</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15</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水下通信装置</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16</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冰面救援气垫</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17</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充气浮岛</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18</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打捞杆</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58</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19</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脚踏绳</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20</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紧绳器</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9</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21</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充气式漂浮担架</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17</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22</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板式漂浮担架</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38</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23</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200cm锚点扁带</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74</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24</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120cm锚点扁带</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107</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25</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100cm锚点扁带</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12</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26</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60cm锚点扁带</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18</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27</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非充气式漂浮救援板</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28</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抛绳器(射绳枪)</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29</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大号绳索保护垫</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14</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30</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中号绳索保护垫</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29</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31</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小号绳索保护垫</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74</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32</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绳索保护器滑轮组</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33</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水域救援拦截网</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28</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34</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水域抛绳包</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387</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9" w:type="dxa"/>
                  <w:vMerge w:val="continue"/>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35</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水域救援牛尾绳</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137</w:t>
                  </w:r>
                </w:p>
              </w:tc>
              <w:tc>
                <w:tcPr>
                  <w:tcW w:w="1088" w:type="dxa"/>
                  <w:vMerge w:val="continue"/>
                </w:tcPr>
                <w:p>
                  <w:pPr>
                    <w:pStyle w:val="2"/>
                    <w:spacing w:after="200" w:line="276" w:lineRule="auto"/>
                    <w:ind w:firstLine="0" w:firstLineChars="0"/>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restart"/>
                  <w:vAlign w:val="center"/>
                </w:tcPr>
                <w:p>
                  <w:pPr>
                    <w:pStyle w:val="2"/>
                    <w:spacing w:after="200" w:line="276" w:lineRule="auto"/>
                    <w:ind w:firstLine="0" w:firstLineChars="0"/>
                    <w:jc w:val="center"/>
                    <w:rPr>
                      <w:rFonts w:ascii="宋体" w:hAnsi="宋体" w:cs="宋体"/>
                      <w:sz w:val="18"/>
                      <w:szCs w:val="18"/>
                    </w:rPr>
                  </w:pPr>
                  <w:r>
                    <w:rPr>
                      <w:rFonts w:hint="eastAsia" w:ascii="宋体" w:hAnsi="宋体" w:cs="宋体"/>
                      <w:sz w:val="18"/>
                      <w:szCs w:val="18"/>
                    </w:rPr>
                    <w:t>2</w:t>
                  </w:r>
                </w:p>
              </w:tc>
              <w:tc>
                <w:tcPr>
                  <w:tcW w:w="884" w:type="dxa"/>
                  <w:vMerge w:val="restart"/>
                  <w:vAlign w:val="center"/>
                </w:tcPr>
                <w:p>
                  <w:pPr>
                    <w:pStyle w:val="2"/>
                    <w:spacing w:after="200" w:line="276" w:lineRule="auto"/>
                    <w:ind w:firstLine="0" w:firstLineChars="0"/>
                    <w:jc w:val="center"/>
                    <w:rPr>
                      <w:rFonts w:ascii="宋体" w:hAnsi="宋体" w:cs="宋体"/>
                      <w:sz w:val="18"/>
                      <w:szCs w:val="18"/>
                    </w:rPr>
                  </w:pPr>
                  <w:r>
                    <w:rPr>
                      <w:rFonts w:hint="eastAsia" w:ascii="宋体" w:hAnsi="宋体" w:cs="宋体"/>
                      <w:sz w:val="18"/>
                      <w:szCs w:val="18"/>
                    </w:rPr>
                    <w:t>救生衣</w:t>
                  </w: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含附件激流救生衣</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723</w:t>
                  </w:r>
                </w:p>
              </w:tc>
              <w:tc>
                <w:tcPr>
                  <w:tcW w:w="1088" w:type="dxa"/>
                  <w:vMerge w:val="restart"/>
                  <w:vAlign w:val="center"/>
                </w:tcPr>
                <w:p>
                  <w:pPr>
                    <w:pStyle w:val="2"/>
                    <w:spacing w:after="200" w:line="276" w:lineRule="auto"/>
                    <w:ind w:firstLine="0" w:firstLineChars="0"/>
                    <w:jc w:val="center"/>
                    <w:rPr>
                      <w:rFonts w:ascii="宋体" w:hAnsi="宋体" w:cs="宋体"/>
                      <w:sz w:val="18"/>
                      <w:szCs w:val="18"/>
                    </w:rPr>
                  </w:pPr>
                  <w:r>
                    <w:rPr>
                      <w:rFonts w:hint="eastAsia" w:ascii="宋体" w:hAnsi="宋体" w:cs="宋体"/>
                      <w:sz w:val="18"/>
                      <w:szCs w:val="18"/>
                    </w:rPr>
                    <w:t>510.1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continue"/>
                  <w:vAlign w:val="center"/>
                </w:tcPr>
                <w:p>
                  <w:pPr>
                    <w:pStyle w:val="2"/>
                    <w:spacing w:after="200" w:line="276" w:lineRule="auto"/>
                    <w:ind w:firstLine="0" w:firstLineChars="0"/>
                    <w:jc w:val="center"/>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消防救生衣</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739</w:t>
                  </w:r>
                </w:p>
              </w:tc>
              <w:tc>
                <w:tcPr>
                  <w:tcW w:w="1088" w:type="dxa"/>
                  <w:vMerge w:val="continue"/>
                  <w:vAlign w:val="center"/>
                </w:tcPr>
                <w:p>
                  <w:pPr>
                    <w:pStyle w:val="2"/>
                    <w:spacing w:after="200" w:line="276" w:lineRule="auto"/>
                    <w:ind w:firstLine="0" w:firstLineChars="0"/>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restart"/>
                  <w:vAlign w:val="center"/>
                </w:tcPr>
                <w:p>
                  <w:pPr>
                    <w:pStyle w:val="2"/>
                    <w:spacing w:after="200" w:line="276" w:lineRule="auto"/>
                    <w:ind w:firstLine="0" w:firstLineChars="0"/>
                    <w:jc w:val="center"/>
                    <w:rPr>
                      <w:rFonts w:ascii="宋体" w:hAnsi="宋体" w:cs="宋体"/>
                      <w:sz w:val="18"/>
                      <w:szCs w:val="18"/>
                    </w:rPr>
                  </w:pPr>
                  <w:r>
                    <w:rPr>
                      <w:rFonts w:hint="eastAsia" w:ascii="宋体" w:hAnsi="宋体" w:cs="宋体"/>
                      <w:sz w:val="18"/>
                      <w:szCs w:val="18"/>
                    </w:rPr>
                    <w:t>3</w:t>
                  </w:r>
                </w:p>
              </w:tc>
              <w:tc>
                <w:tcPr>
                  <w:tcW w:w="884" w:type="dxa"/>
                  <w:vMerge w:val="restart"/>
                  <w:vAlign w:val="center"/>
                </w:tcPr>
                <w:p>
                  <w:pPr>
                    <w:pStyle w:val="2"/>
                    <w:spacing w:after="200" w:line="276" w:lineRule="auto"/>
                    <w:ind w:firstLine="0" w:firstLineChars="0"/>
                    <w:jc w:val="center"/>
                    <w:rPr>
                      <w:rFonts w:ascii="宋体" w:hAnsi="宋体" w:cs="宋体"/>
                      <w:sz w:val="18"/>
                      <w:szCs w:val="18"/>
                    </w:rPr>
                  </w:pPr>
                  <w:r>
                    <w:rPr>
                      <w:rFonts w:hint="eastAsia" w:ascii="宋体" w:hAnsi="宋体" w:cs="宋体"/>
                      <w:sz w:val="18"/>
                      <w:szCs w:val="18"/>
                    </w:rPr>
                    <w:t>舟艇</w:t>
                  </w: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3.9米V底充气式</w:t>
                  </w:r>
                </w:p>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机动橡皮舟</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w:t>
                  </w:r>
                </w:p>
              </w:tc>
              <w:tc>
                <w:tcPr>
                  <w:tcW w:w="1088" w:type="dxa"/>
                  <w:vMerge w:val="restart"/>
                  <w:vAlign w:val="center"/>
                </w:tcPr>
                <w:p>
                  <w:pPr>
                    <w:pStyle w:val="2"/>
                    <w:spacing w:after="200" w:line="276" w:lineRule="auto"/>
                    <w:ind w:firstLine="0" w:firstLineChars="0"/>
                    <w:jc w:val="center"/>
                    <w:rPr>
                      <w:rFonts w:ascii="宋体" w:hAnsi="宋体" w:cs="宋体"/>
                      <w:sz w:val="18"/>
                      <w:szCs w:val="18"/>
                    </w:rPr>
                  </w:pPr>
                  <w:r>
                    <w:rPr>
                      <w:rFonts w:hint="eastAsia" w:ascii="宋体" w:hAnsi="宋体" w:cs="宋体"/>
                      <w:sz w:val="18"/>
                      <w:szCs w:val="18"/>
                    </w:rPr>
                    <w:t>184.96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4.2米V底充气式</w:t>
                  </w:r>
                </w:p>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机动橡皮舟</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13</w:t>
                  </w:r>
                </w:p>
              </w:tc>
              <w:tc>
                <w:tcPr>
                  <w:tcW w:w="1088" w:type="dxa"/>
                  <w:vMerge w:val="continue"/>
                </w:tcPr>
                <w:p>
                  <w:pPr>
                    <w:pStyle w:val="2"/>
                    <w:spacing w:after="200" w:line="276" w:lineRule="auto"/>
                    <w:ind w:firstLine="0" w:firstLineChars="0"/>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4.7米V底充气式</w:t>
                  </w:r>
                </w:p>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机动橡皮舟</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10</w:t>
                  </w:r>
                </w:p>
              </w:tc>
              <w:tc>
                <w:tcPr>
                  <w:tcW w:w="1088" w:type="dxa"/>
                  <w:vMerge w:val="continue"/>
                </w:tcPr>
                <w:p>
                  <w:pPr>
                    <w:pStyle w:val="2"/>
                    <w:spacing w:after="200" w:line="276" w:lineRule="auto"/>
                    <w:ind w:firstLine="0" w:firstLineChars="0"/>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3.9米M底充气式</w:t>
                  </w:r>
                </w:p>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机动橡皮舟</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w:t>
                  </w:r>
                </w:p>
              </w:tc>
              <w:tc>
                <w:tcPr>
                  <w:tcW w:w="1088" w:type="dxa"/>
                  <w:vMerge w:val="continue"/>
                </w:tcPr>
                <w:p>
                  <w:pPr>
                    <w:pStyle w:val="2"/>
                    <w:spacing w:after="200" w:line="276" w:lineRule="auto"/>
                    <w:ind w:firstLine="0" w:firstLineChars="0"/>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5</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4.2米M底充气式</w:t>
                  </w:r>
                </w:p>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机动橡皮舟</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w:t>
                  </w:r>
                </w:p>
              </w:tc>
              <w:tc>
                <w:tcPr>
                  <w:tcW w:w="1088" w:type="dxa"/>
                  <w:vMerge w:val="continue"/>
                </w:tcPr>
                <w:p>
                  <w:pPr>
                    <w:pStyle w:val="2"/>
                    <w:spacing w:after="200" w:line="276" w:lineRule="auto"/>
                    <w:ind w:firstLine="0" w:firstLineChars="0"/>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6</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4.7米M底充气式</w:t>
                  </w:r>
                </w:p>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机动橡皮舟</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w:t>
                  </w:r>
                </w:p>
              </w:tc>
              <w:tc>
                <w:tcPr>
                  <w:tcW w:w="1088" w:type="dxa"/>
                  <w:vMerge w:val="continue"/>
                </w:tcPr>
                <w:p>
                  <w:pPr>
                    <w:pStyle w:val="2"/>
                    <w:spacing w:after="200" w:line="276" w:lineRule="auto"/>
                    <w:ind w:firstLine="0" w:firstLineChars="0"/>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7</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30舟艇舷外机</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13</w:t>
                  </w:r>
                </w:p>
              </w:tc>
              <w:tc>
                <w:tcPr>
                  <w:tcW w:w="1088" w:type="dxa"/>
                  <w:vMerge w:val="continue"/>
                </w:tcPr>
                <w:p>
                  <w:pPr>
                    <w:pStyle w:val="2"/>
                    <w:spacing w:after="200" w:line="276" w:lineRule="auto"/>
                    <w:ind w:firstLine="0" w:firstLineChars="0"/>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vAlign w:val="center"/>
                </w:tcPr>
                <w:p>
                  <w:pPr>
                    <w:pStyle w:val="2"/>
                    <w:spacing w:after="200" w:line="276" w:lineRule="auto"/>
                    <w:ind w:firstLine="0" w:firstLineChars="0"/>
                    <w:jc w:val="center"/>
                    <w:rPr>
                      <w:rFonts w:ascii="宋体" w:hAnsi="宋体" w:cs="宋体"/>
                      <w:sz w:val="18"/>
                      <w:szCs w:val="18"/>
                    </w:rPr>
                  </w:pPr>
                </w:p>
              </w:tc>
              <w:tc>
                <w:tcPr>
                  <w:tcW w:w="72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8</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40舟艇舷外机</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27</w:t>
                  </w:r>
                </w:p>
              </w:tc>
              <w:tc>
                <w:tcPr>
                  <w:tcW w:w="1088" w:type="dxa"/>
                  <w:vMerge w:val="continue"/>
                </w:tcPr>
                <w:p>
                  <w:pPr>
                    <w:pStyle w:val="2"/>
                    <w:spacing w:after="200" w:line="276" w:lineRule="auto"/>
                    <w:ind w:firstLine="0" w:firstLineChars="0"/>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09" w:type="dxa"/>
                  <w:vMerge w:val="continue"/>
                </w:tcPr>
                <w:p>
                  <w:pPr>
                    <w:pStyle w:val="2"/>
                    <w:spacing w:after="200" w:line="276" w:lineRule="auto"/>
                    <w:ind w:firstLine="0" w:firstLineChars="0"/>
                    <w:rPr>
                      <w:rFonts w:ascii="宋体" w:hAnsi="宋体" w:cs="宋体"/>
                      <w:sz w:val="18"/>
                      <w:szCs w:val="18"/>
                    </w:rPr>
                  </w:pPr>
                </w:p>
              </w:tc>
              <w:tc>
                <w:tcPr>
                  <w:tcW w:w="884" w:type="dxa"/>
                  <w:vMerge w:val="continue"/>
                </w:tcPr>
                <w:p>
                  <w:pPr>
                    <w:pStyle w:val="2"/>
                    <w:spacing w:after="200" w:line="276" w:lineRule="auto"/>
                    <w:ind w:firstLine="0" w:firstLineChars="0"/>
                    <w:jc w:val="center"/>
                    <w:rPr>
                      <w:rFonts w:ascii="宋体" w:hAnsi="宋体" w:cs="宋体"/>
                      <w:sz w:val="18"/>
                      <w:szCs w:val="18"/>
                    </w:rPr>
                  </w:pPr>
                </w:p>
              </w:tc>
              <w:tc>
                <w:tcPr>
                  <w:tcW w:w="720"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9</w:t>
                  </w:r>
                </w:p>
              </w:tc>
              <w:tc>
                <w:tcPr>
                  <w:tcW w:w="2575" w:type="dxa"/>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自扶正救生艇</w:t>
                  </w:r>
                </w:p>
              </w:tc>
              <w:tc>
                <w:tcPr>
                  <w:tcW w:w="730" w:type="dxa"/>
                  <w:vAlign w:val="center"/>
                </w:tcPr>
                <w:p>
                  <w:pPr>
                    <w:pStyle w:val="2"/>
                    <w:spacing w:after="200" w:line="240" w:lineRule="auto"/>
                    <w:ind w:firstLine="0" w:firstLineChars="0"/>
                    <w:jc w:val="center"/>
                    <w:rPr>
                      <w:rFonts w:ascii="宋体" w:hAnsi="宋体" w:cs="宋体"/>
                      <w:sz w:val="18"/>
                      <w:szCs w:val="18"/>
                    </w:rPr>
                  </w:pPr>
                  <w:r>
                    <w:rPr>
                      <w:rFonts w:hint="eastAsia" w:ascii="宋体" w:hAnsi="宋体" w:cs="宋体"/>
                      <w:sz w:val="18"/>
                      <w:szCs w:val="18"/>
                    </w:rPr>
                    <w:t>2</w:t>
                  </w:r>
                </w:p>
              </w:tc>
              <w:tc>
                <w:tcPr>
                  <w:tcW w:w="1088" w:type="dxa"/>
                  <w:vMerge w:val="continue"/>
                </w:tcPr>
                <w:p>
                  <w:pPr>
                    <w:pStyle w:val="2"/>
                    <w:spacing w:after="200" w:line="276" w:lineRule="auto"/>
                    <w:ind w:firstLine="0" w:firstLineChars="0"/>
                    <w:rPr>
                      <w:rFonts w:ascii="Calibri" w:hAnsi="Calibri"/>
                      <w:sz w:val="18"/>
                      <w:szCs w:val="18"/>
                    </w:rPr>
                  </w:pPr>
                </w:p>
              </w:tc>
            </w:tr>
          </w:tbl>
          <w:p>
            <w:pPr>
              <w:pStyle w:val="2"/>
              <w:ind w:firstLine="360"/>
              <w:rPr>
                <w:sz w:val="18"/>
                <w:szCs w:val="18"/>
              </w:rPr>
            </w:pPr>
          </w:p>
          <w:p>
            <w:pPr>
              <w:spacing w:line="360" w:lineRule="auto"/>
              <w:ind w:firstLine="482" w:firstLineChars="200"/>
              <w:rPr>
                <w:rFonts w:asciiTheme="minorEastAsia" w:hAnsiTheme="minorEastAsia" w:eastAsiaTheme="minorEastAsia"/>
              </w:rPr>
            </w:pPr>
            <w:r>
              <w:rPr>
                <w:rFonts w:hint="eastAsia" w:ascii="宋体" w:hAnsi="宋体" w:cs="宋体"/>
                <w:b/>
                <w:bCs/>
                <w:snapToGrid w:val="0"/>
                <w:sz w:val="24"/>
              </w:rPr>
              <w:t>注：各包投标报价时不得超过预算金额，否则按无效投标处理。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6</w:t>
            </w:r>
          </w:p>
        </w:tc>
        <w:tc>
          <w:tcPr>
            <w:tcW w:w="1553" w:type="dxa"/>
            <w:vAlign w:val="center"/>
          </w:tcPr>
          <w:p>
            <w:pPr>
              <w:spacing w:line="360" w:lineRule="auto"/>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供应商应提供的资格证明</w:t>
            </w:r>
          </w:p>
          <w:p>
            <w:pPr>
              <w:spacing w:line="360" w:lineRule="auto"/>
              <w:jc w:val="center"/>
              <w:rPr>
                <w:rFonts w:asciiTheme="minorEastAsia" w:hAnsiTheme="minorEastAsia" w:eastAsiaTheme="minorEastAsia"/>
                <w:sz w:val="24"/>
              </w:rPr>
            </w:pPr>
            <w:r>
              <w:rPr>
                <w:rFonts w:hint="eastAsia" w:cs="宋体" w:asciiTheme="minorEastAsia" w:hAnsiTheme="minorEastAsia" w:eastAsiaTheme="minorEastAsia"/>
                <w:kern w:val="0"/>
                <w:sz w:val="24"/>
              </w:rPr>
              <w:t>材料</w:t>
            </w:r>
          </w:p>
        </w:tc>
        <w:tc>
          <w:tcPr>
            <w:tcW w:w="7418" w:type="dxa"/>
            <w:tcBorders>
              <w:right w:val="single" w:color="auto" w:sz="4" w:space="0"/>
            </w:tcBorders>
            <w:vAlign w:val="center"/>
          </w:tcPr>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★供应商资格要求：</w:t>
            </w:r>
          </w:p>
          <w:p>
            <w:pPr>
              <w:spacing w:line="360" w:lineRule="auto"/>
              <w:ind w:firstLine="523" w:firstLineChars="218"/>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详见第一章招标公告。</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供应商应提供能够证明资格要求的下列材料：</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w:t>
            </w:r>
            <w:r>
              <w:rPr>
                <w:rFonts w:hint="eastAsia" w:cs="宋体" w:asciiTheme="minorEastAsia" w:hAnsiTheme="minorEastAsia" w:eastAsiaTheme="minorEastAsia"/>
                <w:kern w:val="0"/>
                <w:sz w:val="24"/>
              </w:rPr>
              <w:tab/>
            </w:r>
            <w:r>
              <w:rPr>
                <w:rFonts w:hint="eastAsia" w:cs="宋体" w:asciiTheme="minorEastAsia" w:hAnsiTheme="minorEastAsia" w:eastAsiaTheme="minorEastAsia"/>
                <w:kern w:val="0"/>
                <w:sz w:val="24"/>
              </w:rPr>
              <w:t>供应商须具有独立承担民事责任的能力，须提供相关证明材料，其中：</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依据《中华人民共和国民法典》对民事主体的划分，按以下要求提供证明材料复印件：</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1）营利法人（企业法人）：市场监督管理部门（原工商行政管理部门）颁发的营业执照</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2）非营利法人：</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事业单位：事业单位登记管理部门颁发的事业单位法人证书</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社会团体：民政部门颁发的社会团体法人登记证书</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基金会：民政部门颁发的基金会法人登记证书</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社会服务机构（民办非企业单位）：民政部门颁发的社会服务机构（民办非企业单位）登记证书</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3）不具有法人资格的专业服务机构：行政主管部门颁发的执业许可证</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4）自然人：自然人身份证明（公安机关颁发的居民身份证）</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规定允许法人或其他组织的非法人分支机构投标且供应商为法人或其他组织的非法人分支机构的，提供法人或其他组织的登记证书或许可证、分支机构自身的登记证书或许可证、法人或其他组织允许其分支机构投标的授权书及最终责任由法人或其他组织承担的承诺书（授权书和承诺书格式自拟）。</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w:t>
            </w:r>
            <w:r>
              <w:rPr>
                <w:rFonts w:hint="eastAsia" w:cs="宋体" w:asciiTheme="minorEastAsia" w:hAnsiTheme="minorEastAsia" w:eastAsiaTheme="minorEastAsia"/>
                <w:kern w:val="0"/>
                <w:sz w:val="24"/>
              </w:rPr>
              <w:tab/>
            </w:r>
            <w:r>
              <w:rPr>
                <w:rFonts w:hint="eastAsia" w:cs="宋体" w:asciiTheme="minorEastAsia" w:hAnsiTheme="minorEastAsia" w:eastAsiaTheme="minorEastAsia"/>
                <w:kern w:val="0"/>
                <w:sz w:val="24"/>
              </w:rPr>
              <w:t>供应商须具有良好的商业信誉和健全的财务会计制度，须提供相关证明材料，其中：</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应商是法人的，应提供供应商须知前附表18规定年份经会计师事务所审计的财务审计报告（要求审计意见不得为保留意见、否定意见或无法（拒绝）表示意见，有会计师事务所盖章和注册会计师的签名及盖章，并附资产负债表、利润表及现金流量表，相关行业对财务报表内容另有规定的，从其规定；如提供合并财务报表，应同时提供母公司报表）的复印件或供应商须知前附表</w:t>
            </w:r>
            <w:bookmarkStart w:id="34" w:name="_Hlk46327329"/>
            <w:r>
              <w:rPr>
                <w:rFonts w:hint="eastAsia" w:cs="宋体" w:asciiTheme="minorEastAsia" w:hAnsiTheme="minorEastAsia" w:eastAsiaTheme="minorEastAsia"/>
                <w:kern w:val="0"/>
                <w:sz w:val="24"/>
              </w:rPr>
              <w:t>18规定时间内银行开具的资信证明复印件（如资信证明中注明复印件或扫描无效的，须提供原件）</w:t>
            </w:r>
            <w:bookmarkEnd w:id="34"/>
            <w:r>
              <w:rPr>
                <w:rFonts w:hint="eastAsia" w:cs="宋体" w:asciiTheme="minorEastAsia" w:hAnsiTheme="minorEastAsia" w:eastAsiaTheme="minorEastAsia"/>
                <w:kern w:val="0"/>
                <w:sz w:val="24"/>
              </w:rPr>
              <w:t>；</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供应商是其他组织或自然人的，应提供供应商须知前附表18规定时间内银行出具的资信证明原件。</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w:t>
            </w:r>
            <w:r>
              <w:rPr>
                <w:rFonts w:hint="eastAsia" w:cs="宋体" w:asciiTheme="minorEastAsia" w:hAnsiTheme="minorEastAsia" w:eastAsiaTheme="minorEastAsia"/>
                <w:kern w:val="0"/>
                <w:sz w:val="24"/>
              </w:rPr>
              <w:tab/>
            </w:r>
            <w:r>
              <w:rPr>
                <w:rFonts w:hint="eastAsia" w:cs="宋体" w:asciiTheme="minorEastAsia" w:hAnsiTheme="minorEastAsia" w:eastAsiaTheme="minorEastAsia"/>
                <w:kern w:val="0"/>
                <w:sz w:val="24"/>
              </w:rPr>
              <w:t xml:space="preserve">供应商须具有履行合同所必需的设备和专业技术能力，须附相关证明材料或书面声明。 </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w:t>
            </w:r>
            <w:r>
              <w:rPr>
                <w:rFonts w:hint="eastAsia" w:cs="宋体" w:asciiTheme="minorEastAsia" w:hAnsiTheme="minorEastAsia" w:eastAsiaTheme="minorEastAsia"/>
                <w:kern w:val="0"/>
                <w:sz w:val="24"/>
              </w:rPr>
              <w:tab/>
            </w:r>
            <w:r>
              <w:rPr>
                <w:rFonts w:hint="eastAsia" w:cs="宋体" w:asciiTheme="minorEastAsia" w:hAnsiTheme="minorEastAsia" w:eastAsiaTheme="minorEastAsia"/>
                <w:kern w:val="0"/>
                <w:sz w:val="24"/>
              </w:rPr>
              <w:t>供应商须具有依法缴纳税收和社会保障资金的良好记录，须提供相关证明材料，其中：</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缴纳税收的证明材料，应提供2021年8月至今任意1个月的税收缴纳记录（0申报时可提供税务部门盖章纳税申报表和不欠税证明）或完税证明（自行编写无效，仅提供个人所得税的不予认可；依法免税的应提供相关政策文件以及供应商满足相关政策文件的证明材料）的复印件；</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缴纳社会保障资金的证明材料，应提供2022年至今任意1个月的社会保障资金缴费的银行单据或所属社保机构开具的证明（自行编写无效，依法不需要缴纳社会保障资金的应提供相关政策文件以及供应商满足相关政策文件的证明材料）的复印件。</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w:t>
            </w:r>
            <w:r>
              <w:rPr>
                <w:rFonts w:hint="eastAsia" w:cs="宋体" w:asciiTheme="minorEastAsia" w:hAnsiTheme="minorEastAsia" w:eastAsiaTheme="minorEastAsia"/>
                <w:kern w:val="0"/>
                <w:sz w:val="24"/>
              </w:rPr>
              <w:tab/>
            </w:r>
            <w:r>
              <w:rPr>
                <w:rFonts w:hint="eastAsia" w:cs="宋体" w:asciiTheme="minorEastAsia" w:hAnsiTheme="minorEastAsia" w:eastAsiaTheme="minorEastAsia"/>
                <w:kern w:val="0"/>
                <w:sz w:val="24"/>
              </w:rPr>
              <w:t>近三年内（本项目递交投标文件截止日前）供应商在经营活动中没有重大违法记录，其中：</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bookmarkStart w:id="35" w:name="_Hlk43805551"/>
            <w:r>
              <w:rPr>
                <w:rFonts w:hint="eastAsia" w:cs="宋体" w:asciiTheme="minorEastAsia" w:hAnsiTheme="minorEastAsia" w:eastAsiaTheme="minorEastAsia"/>
                <w:kern w:val="0"/>
                <w:sz w:val="24"/>
              </w:rPr>
              <w:t>“重大违法记录”是指供应商因违法经营受到刑事处罚或者责令停产停业、吊销许可证或者执照、较大数额罚款等行政处罚，其中“较大数额罚款”</w:t>
            </w:r>
            <w:bookmarkEnd w:id="35"/>
            <w:r>
              <w:rPr>
                <w:rFonts w:hint="eastAsia" w:cs="宋体" w:asciiTheme="minorEastAsia" w:hAnsiTheme="minorEastAsia" w:eastAsiaTheme="minorEastAsia"/>
                <w:kern w:val="0"/>
                <w:sz w:val="24"/>
              </w:rPr>
              <w:t>以《关于&lt;中华人民政府采购法实施条例&gt;第十九条第一款“较大数额罚款”具体适用问题的意见》（财库〔2022〕3号）规定为准，具体为：200万元以上的罚款，法律、行政法规以及国务院有关部门明确相关领域“较大数额罚款”标准高于200万元的，从其规定。</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供应商须提供参与本采购活动前三年内在经营活动中没有重大违法记录的书面声明。</w:t>
            </w:r>
          </w:p>
          <w:p>
            <w:pPr>
              <w:autoSpaceDE w:val="0"/>
              <w:autoSpaceDN w:val="0"/>
              <w:adjustRightInd w:val="0"/>
              <w:snapToGrid w:val="0"/>
              <w:spacing w:line="560" w:lineRule="exact"/>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（6）供应商在“信用中国”网站（www.creditchina.gov.cn）、 “中国政府采购网”网站（www.ccgp.gov.cn）被列入失信被执行人、重大税收违法案件当事人名单的、政府采购严重违法失信行为记录名单（处罚期限尚未届满的）的，不得参与本项目的政府采购活动。</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采购人或采购代理机构依法对供应商的资格进行审查时，将在“信用中国”、 “中国政府采购网”网站上对供应商进行查询并打印查询记录，查询截止时点为：本项目投标截止期当日。对经查询被“信用中国”网站、“中国政府采购网”网站被列入失信被执行人、重大税收违法案件当事人名单的、政府采购严重违法失信行为记录名单（处罚期限尚未届满的）的供应商，其投标将按无效投标处理。</w:t>
            </w:r>
          </w:p>
          <w:p>
            <w:pPr>
              <w:autoSpaceDE w:val="0"/>
              <w:autoSpaceDN w:val="0"/>
              <w:adjustRightInd w:val="0"/>
              <w:snapToGrid w:val="0"/>
              <w:spacing w:line="560" w:lineRule="exact"/>
              <w:ind w:firstLine="600" w:firstLineChars="25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说明：①由采购人、采购代理机构</w:t>
            </w:r>
            <w:r>
              <w:rPr>
                <w:rFonts w:cs="宋体" w:asciiTheme="minorEastAsia" w:hAnsiTheme="minorEastAsia" w:eastAsiaTheme="minorEastAsia"/>
                <w:kern w:val="0"/>
                <w:sz w:val="24"/>
              </w:rPr>
              <w:t>于</w:t>
            </w:r>
            <w:r>
              <w:rPr>
                <w:rFonts w:hint="eastAsia" w:cs="宋体" w:asciiTheme="minorEastAsia" w:hAnsiTheme="minorEastAsia" w:eastAsiaTheme="minorEastAsia"/>
                <w:kern w:val="0"/>
                <w:sz w:val="24"/>
              </w:rPr>
              <w:t>投标截止日</w:t>
            </w:r>
            <w:r>
              <w:rPr>
                <w:rFonts w:cs="宋体" w:asciiTheme="minorEastAsia" w:hAnsiTheme="minorEastAsia" w:eastAsiaTheme="minorEastAsia"/>
                <w:kern w:val="0"/>
                <w:sz w:val="24"/>
              </w:rPr>
              <w:t>在“信用中国”网站（www.creditchina.gov.cn）及中国政府采购网(www.ccgp.gov.cn)查询结果为准</w:t>
            </w:r>
            <w:r>
              <w:rPr>
                <w:rFonts w:hint="eastAsia" w:cs="宋体" w:asciiTheme="minorEastAsia" w:hAnsiTheme="minorEastAsia" w:eastAsiaTheme="minorEastAsia"/>
                <w:kern w:val="0"/>
                <w:sz w:val="24"/>
              </w:rPr>
              <w:t>，如在上述网站查询结果均显示没有相关记录，视为不存在上述不良信用记录。②采购代理机构同时对信用信息查询记录和证据截图或下载存档，并承诺查询记录仅用于本次采购活动过程中，不用于其他目的，供应商不良信用记录以采购人或采购代理机构现场查询结果为准，并如实记录查询情况。供应商自行提供的与网站信息不一致的其他证明材料亦不作为资格审查的依据。在本招标文件规定的查询时间之后，网站信息发生的任何变更均不再作为评标依据；③供应商为分公司的，同时对该分公司所属总公司（总所）进行信用记录查询，该分公司所属总公司（总所）</w:t>
            </w:r>
            <w:r>
              <w:rPr>
                <w:rFonts w:cs="宋体" w:asciiTheme="minorEastAsia" w:hAnsiTheme="minorEastAsia" w:eastAsiaTheme="minorEastAsia"/>
                <w:kern w:val="0"/>
                <w:sz w:val="24"/>
              </w:rPr>
              <w:t>存在</w:t>
            </w:r>
            <w:r>
              <w:rPr>
                <w:rFonts w:hint="eastAsia" w:cs="宋体" w:asciiTheme="minorEastAsia" w:hAnsiTheme="minorEastAsia" w:eastAsiaTheme="minorEastAsia"/>
                <w:kern w:val="0"/>
                <w:sz w:val="24"/>
              </w:rPr>
              <w:t>不良信用</w:t>
            </w:r>
            <w:r>
              <w:rPr>
                <w:rFonts w:cs="宋体" w:asciiTheme="minorEastAsia" w:hAnsiTheme="minorEastAsia" w:eastAsiaTheme="minorEastAsia"/>
                <w:kern w:val="0"/>
                <w:sz w:val="24"/>
              </w:rPr>
              <w:t>记录的</w:t>
            </w:r>
            <w:r>
              <w:rPr>
                <w:rFonts w:hint="eastAsia" w:cs="宋体" w:asciiTheme="minorEastAsia" w:hAnsiTheme="minorEastAsia" w:eastAsiaTheme="minorEastAsia"/>
                <w:kern w:val="0"/>
                <w:sz w:val="24"/>
              </w:rPr>
              <w:t>，视同供应商存在不良信用记录</w:t>
            </w:r>
            <w:r>
              <w:rPr>
                <w:rFonts w:cs="宋体" w:asciiTheme="minorEastAsia" w:hAnsiTheme="minorEastAsia" w:eastAsiaTheme="minorEastAsia"/>
                <w:kern w:val="0"/>
                <w:sz w:val="24"/>
              </w:rPr>
              <w:t>。</w:t>
            </w:r>
          </w:p>
          <w:p>
            <w:pPr>
              <w:autoSpaceDE w:val="0"/>
              <w:autoSpaceDN w:val="0"/>
              <w:adjustRightInd w:val="0"/>
              <w:snapToGri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w:t>
            </w:r>
            <w:r>
              <w:rPr>
                <w:rFonts w:hint="eastAsia" w:cs="宋体" w:asciiTheme="minorEastAsia" w:hAnsiTheme="minorEastAsia" w:eastAsiaTheme="minorEastAsia"/>
                <w:kern w:val="0"/>
                <w:sz w:val="24"/>
              </w:rPr>
              <w:tab/>
            </w:r>
            <w:r>
              <w:rPr>
                <w:rFonts w:hint="eastAsia" w:cs="宋体" w:asciiTheme="minorEastAsia" w:hAnsiTheme="minorEastAsia" w:eastAsiaTheme="minorEastAsia"/>
                <w:kern w:val="0"/>
                <w:sz w:val="24"/>
              </w:rPr>
              <w:t>单位负责人为同一人或者存在直接控股、管理关系的不同供应商，不得参加同一包的投标或者未划分包的同一项目的投标，供应商须提供书面声明。</w:t>
            </w:r>
          </w:p>
          <w:p>
            <w:pPr>
              <w:pStyle w:val="42"/>
              <w:spacing w:line="360" w:lineRule="auto"/>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（8）为采购项目提供过整体设计、规范编制或者项目管理、监理、检测等服务的供应商及其附属机构，不得再参加本采购项目的其他采购活动，供应商须提供书面声明。</w:t>
            </w:r>
          </w:p>
          <w:p>
            <w:pPr>
              <w:spacing w:line="360" w:lineRule="auto"/>
              <w:ind w:firstLine="523" w:firstLineChars="218"/>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备注：供应商对提供的以上资料的真实性负责，供应商若不按要求提供则资格后审不合格。</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9617" w:type="dxa"/>
            <w:gridSpan w:val="3"/>
            <w:tcBorders>
              <w:right w:val="single" w:color="auto" w:sz="4" w:space="0"/>
            </w:tcBorders>
            <w:vAlign w:val="center"/>
          </w:tcPr>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招标文件的答疑、澄清和修改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1553"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对招标文件的疑问</w:t>
            </w:r>
          </w:p>
        </w:tc>
        <w:tc>
          <w:tcPr>
            <w:tcW w:w="7418" w:type="dxa"/>
            <w:tcBorders>
              <w:left w:val="single" w:color="auto" w:sz="4" w:space="0"/>
              <w:right w:val="single" w:color="auto" w:sz="4" w:space="0"/>
            </w:tcBorders>
            <w:vAlign w:val="center"/>
          </w:tcPr>
          <w:p>
            <w:pPr>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提交疑问时间：2</w:t>
            </w:r>
            <w:r>
              <w:rPr>
                <w:rFonts w:asciiTheme="minorEastAsia" w:hAnsiTheme="minorEastAsia" w:eastAsiaTheme="minorEastAsia"/>
                <w:sz w:val="24"/>
              </w:rPr>
              <w:t>022</w:t>
            </w:r>
            <w:r>
              <w:rPr>
                <w:rFonts w:hint="eastAsia" w:asciiTheme="minorEastAsia" w:hAnsiTheme="minorEastAsia" w:eastAsiaTheme="minorEastAsia"/>
                <w:sz w:val="24"/>
              </w:rPr>
              <w:t>年9月29日</w:t>
            </w:r>
            <w:r>
              <w:rPr>
                <w:rFonts w:asciiTheme="minorEastAsia" w:hAnsiTheme="minorEastAsia" w:eastAsiaTheme="minorEastAsia"/>
                <w:sz w:val="24"/>
              </w:rPr>
              <w:t>17</w:t>
            </w:r>
            <w:r>
              <w:rPr>
                <w:rFonts w:hint="eastAsia" w:asciiTheme="minorEastAsia" w:hAnsiTheme="minorEastAsia" w:eastAsiaTheme="minorEastAsia"/>
                <w:sz w:val="24"/>
              </w:rPr>
              <w:t>时</w:t>
            </w:r>
            <w:r>
              <w:rPr>
                <w:rFonts w:asciiTheme="minorEastAsia" w:hAnsiTheme="minorEastAsia" w:eastAsiaTheme="minorEastAsia"/>
                <w:sz w:val="24"/>
              </w:rPr>
              <w:t>00</w:t>
            </w:r>
            <w:r>
              <w:rPr>
                <w:rFonts w:hint="eastAsia" w:asciiTheme="minorEastAsia" w:hAnsiTheme="minorEastAsia" w:eastAsiaTheme="minorEastAsia"/>
                <w:sz w:val="24"/>
              </w:rPr>
              <w:t>分前。</w:t>
            </w:r>
          </w:p>
          <w:p>
            <w:pPr>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提交疑问方式：发电子邮件至shituozb@126.com（</w:t>
            </w:r>
            <w:r>
              <w:rPr>
                <w:rFonts w:asciiTheme="minorEastAsia" w:hAnsiTheme="minorEastAsia" w:eastAsiaTheme="minorEastAsia"/>
                <w:sz w:val="24"/>
              </w:rPr>
              <w:t>word</w:t>
            </w:r>
            <w:r>
              <w:rPr>
                <w:rFonts w:hint="eastAsia" w:asciiTheme="minorEastAsia" w:hAnsiTheme="minorEastAsia" w:eastAsiaTheme="minorEastAsia"/>
                <w:sz w:val="24"/>
              </w:rPr>
              <w:t>文档及加盖公章的扫描件各一份）。</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8</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招标文件的</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澄清</w:t>
            </w:r>
          </w:p>
        </w:tc>
        <w:tc>
          <w:tcPr>
            <w:tcW w:w="7418" w:type="dxa"/>
            <w:vAlign w:val="center"/>
          </w:tcPr>
          <w:p>
            <w:pPr>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答疑、澄清和修改文件时间（如有）：2</w:t>
            </w:r>
            <w:r>
              <w:rPr>
                <w:rFonts w:asciiTheme="minorEastAsia" w:hAnsiTheme="minorEastAsia" w:eastAsiaTheme="minorEastAsia"/>
                <w:sz w:val="24"/>
              </w:rPr>
              <w:t>022</w:t>
            </w:r>
            <w:r>
              <w:rPr>
                <w:rFonts w:hint="eastAsia" w:asciiTheme="minorEastAsia" w:hAnsiTheme="minorEastAsia" w:eastAsiaTheme="minorEastAsia"/>
                <w:sz w:val="24"/>
              </w:rPr>
              <w:t>年</w:t>
            </w:r>
            <w:r>
              <w:rPr>
                <w:rFonts w:asciiTheme="minorEastAsia" w:hAnsiTheme="minorEastAsia" w:eastAsiaTheme="minorEastAsia"/>
                <w:sz w:val="24"/>
              </w:rPr>
              <w:t>9</w:t>
            </w:r>
            <w:r>
              <w:rPr>
                <w:rFonts w:hint="eastAsia" w:asciiTheme="minorEastAsia" w:hAnsiTheme="minorEastAsia" w:eastAsiaTheme="minorEastAsia"/>
                <w:sz w:val="24"/>
              </w:rPr>
              <w:t>月29日</w:t>
            </w:r>
            <w:r>
              <w:rPr>
                <w:rFonts w:asciiTheme="minorEastAsia" w:hAnsiTheme="minorEastAsia" w:eastAsiaTheme="minorEastAsia"/>
                <w:sz w:val="24"/>
              </w:rPr>
              <w:t>1</w:t>
            </w:r>
            <w:r>
              <w:rPr>
                <w:rFonts w:hint="eastAsia" w:asciiTheme="minorEastAsia" w:hAnsiTheme="minorEastAsia" w:eastAsiaTheme="minorEastAsia"/>
                <w:sz w:val="24"/>
              </w:rPr>
              <w:t>8时</w:t>
            </w:r>
            <w:r>
              <w:rPr>
                <w:rFonts w:asciiTheme="minorEastAsia" w:hAnsiTheme="minorEastAsia" w:eastAsiaTheme="minorEastAsia"/>
                <w:sz w:val="24"/>
              </w:rPr>
              <w:t>00</w:t>
            </w:r>
            <w:r>
              <w:rPr>
                <w:rFonts w:hint="eastAsia" w:asciiTheme="minorEastAsia" w:hAnsiTheme="minorEastAsia" w:eastAsiaTheme="minorEastAsia"/>
                <w:sz w:val="24"/>
              </w:rPr>
              <w:t>分前；</w:t>
            </w:r>
          </w:p>
          <w:p>
            <w:pPr>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澄清和修改文件发送方式：发送电子版至各供应商预留的邮箱。</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9</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报价要求</w:t>
            </w:r>
          </w:p>
        </w:tc>
        <w:tc>
          <w:tcPr>
            <w:tcW w:w="7418" w:type="dxa"/>
            <w:vAlign w:val="center"/>
          </w:tcPr>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“报价”详见“供应商须知”第</w:t>
            </w:r>
            <w:r>
              <w:rPr>
                <w:rFonts w:asciiTheme="minorEastAsia" w:hAnsiTheme="minorEastAsia" w:eastAsiaTheme="minorEastAsia"/>
                <w:sz w:val="24"/>
              </w:rPr>
              <w:t>10</w:t>
            </w:r>
            <w:r>
              <w:rPr>
                <w:rFonts w:hint="eastAsia" w:asciiTheme="minorEastAsia" w:hAnsiTheme="minorEastAsia" w:eastAsiaTheme="minorEastAsia"/>
                <w:sz w:val="24"/>
              </w:rPr>
              <w:t>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10</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szCs w:val="32"/>
              </w:rPr>
              <w:t>投标文件份数及编制要求</w:t>
            </w:r>
          </w:p>
        </w:tc>
        <w:tc>
          <w:tcPr>
            <w:tcW w:w="7418" w:type="dxa"/>
            <w:vAlign w:val="center"/>
          </w:tcPr>
          <w:p>
            <w:pPr>
              <w:pStyle w:val="2"/>
              <w:spacing w:line="360" w:lineRule="auto"/>
              <w:ind w:firstLine="600" w:firstLineChars="250"/>
              <w:rPr>
                <w:rFonts w:asciiTheme="minorEastAsia" w:hAnsiTheme="minorEastAsia" w:eastAsiaTheme="minorEastAsia"/>
                <w:kern w:val="2"/>
                <w:sz w:val="24"/>
              </w:rPr>
            </w:pPr>
            <w:r>
              <w:rPr>
                <w:rFonts w:hint="eastAsia" w:asciiTheme="minorEastAsia" w:hAnsiTheme="minorEastAsia" w:eastAsiaTheme="minorEastAsia"/>
                <w:kern w:val="2"/>
                <w:sz w:val="24"/>
              </w:rPr>
              <w:t>投标文件份数：</w:t>
            </w:r>
          </w:p>
          <w:p>
            <w:pPr>
              <w:pStyle w:val="2"/>
              <w:spacing w:line="360" w:lineRule="auto"/>
              <w:ind w:firstLine="600" w:firstLineChars="250"/>
              <w:rPr>
                <w:rFonts w:asciiTheme="minorEastAsia" w:hAnsiTheme="minorEastAsia" w:eastAsiaTheme="minorEastAsia"/>
                <w:bCs/>
                <w:kern w:val="2"/>
                <w:sz w:val="24"/>
              </w:rPr>
            </w:pPr>
            <w:r>
              <w:rPr>
                <w:rFonts w:hint="eastAsia" w:asciiTheme="minorEastAsia" w:hAnsiTheme="minorEastAsia" w:eastAsiaTheme="minorEastAsia"/>
                <w:bCs/>
                <w:kern w:val="2"/>
                <w:sz w:val="24"/>
              </w:rPr>
              <w:t>纸质投标文件</w:t>
            </w:r>
            <w:r>
              <w:rPr>
                <w:rFonts w:asciiTheme="minorEastAsia" w:hAnsiTheme="minorEastAsia" w:eastAsiaTheme="minorEastAsia"/>
                <w:bCs/>
                <w:kern w:val="2"/>
                <w:sz w:val="24"/>
                <w:u w:val="single"/>
              </w:rPr>
              <w:t>5</w:t>
            </w:r>
            <w:r>
              <w:rPr>
                <w:rFonts w:hint="eastAsia" w:asciiTheme="minorEastAsia" w:hAnsiTheme="minorEastAsia" w:eastAsiaTheme="minorEastAsia"/>
                <w:bCs/>
                <w:kern w:val="2"/>
                <w:sz w:val="24"/>
              </w:rPr>
              <w:t>份，其中正本1份和副本</w:t>
            </w:r>
            <w:r>
              <w:rPr>
                <w:rFonts w:hint="eastAsia" w:asciiTheme="minorEastAsia" w:hAnsiTheme="minorEastAsia" w:eastAsiaTheme="minorEastAsia"/>
                <w:bCs/>
                <w:kern w:val="2"/>
                <w:sz w:val="24"/>
                <w:u w:val="single"/>
              </w:rPr>
              <w:t>4</w:t>
            </w:r>
            <w:r>
              <w:rPr>
                <w:rFonts w:hint="eastAsia" w:asciiTheme="minorEastAsia" w:hAnsiTheme="minorEastAsia" w:eastAsiaTheme="minorEastAsia"/>
                <w:bCs/>
                <w:kern w:val="2"/>
                <w:sz w:val="24"/>
              </w:rPr>
              <w:t>份；</w:t>
            </w:r>
          </w:p>
          <w:p>
            <w:pPr>
              <w:pStyle w:val="2"/>
              <w:spacing w:line="360" w:lineRule="auto"/>
              <w:ind w:firstLine="600" w:firstLineChars="250"/>
              <w:rPr>
                <w:rFonts w:asciiTheme="minorEastAsia" w:hAnsiTheme="minorEastAsia" w:eastAsiaTheme="minorEastAsia"/>
                <w:bCs/>
                <w:kern w:val="2"/>
                <w:sz w:val="24"/>
              </w:rPr>
            </w:pPr>
            <w:r>
              <w:rPr>
                <w:rFonts w:hint="eastAsia" w:asciiTheme="minorEastAsia" w:hAnsiTheme="minorEastAsia" w:eastAsiaTheme="minorEastAsia"/>
                <w:kern w:val="2"/>
                <w:sz w:val="24"/>
              </w:rPr>
              <w:t>电子版投标文件份数：</w:t>
            </w:r>
            <w:r>
              <w:rPr>
                <w:rFonts w:hint="eastAsia" w:asciiTheme="minorEastAsia" w:hAnsiTheme="minorEastAsia" w:eastAsiaTheme="minorEastAsia"/>
                <w:kern w:val="2"/>
                <w:sz w:val="24"/>
                <w:u w:val="single"/>
              </w:rPr>
              <w:t>1</w:t>
            </w:r>
            <w:r>
              <w:rPr>
                <w:rFonts w:hint="eastAsia" w:asciiTheme="minorEastAsia" w:hAnsiTheme="minorEastAsia" w:eastAsiaTheme="minorEastAsia"/>
                <w:kern w:val="2"/>
                <w:sz w:val="24"/>
              </w:rPr>
              <w:t>份（（</w:t>
            </w:r>
            <w:r>
              <w:rPr>
                <w:rFonts w:asciiTheme="minorEastAsia" w:hAnsiTheme="minorEastAsia" w:eastAsiaTheme="minorEastAsia"/>
                <w:sz w:val="24"/>
              </w:rPr>
              <w:t>word</w:t>
            </w:r>
            <w:r>
              <w:rPr>
                <w:rFonts w:hint="eastAsia" w:asciiTheme="minorEastAsia" w:hAnsiTheme="minorEastAsia" w:eastAsiaTheme="minorEastAsia"/>
                <w:sz w:val="24"/>
              </w:rPr>
              <w:t>版及加盖公章的PDF扫描件各一份，</w:t>
            </w:r>
            <w:r>
              <w:rPr>
                <w:rFonts w:hint="eastAsia" w:asciiTheme="minorEastAsia" w:hAnsiTheme="minorEastAsia" w:eastAsiaTheme="minorEastAsia"/>
                <w:kern w:val="2"/>
                <w:sz w:val="24"/>
              </w:rPr>
              <w:t>介质为USB接口的移动存储设备）；电子版内容应包含投标文件的全部商务、报价、技术内容及技术资料，其中有英文资料的还应提供中、英文对照文本。</w:t>
            </w:r>
          </w:p>
          <w:p>
            <w:pPr>
              <w:pStyle w:val="2"/>
              <w:spacing w:line="360" w:lineRule="auto"/>
              <w:ind w:firstLine="600" w:firstLineChars="250"/>
              <w:rPr>
                <w:rFonts w:asciiTheme="minorEastAsia" w:hAnsiTheme="minorEastAsia" w:eastAsiaTheme="minorEastAsia"/>
                <w:b/>
                <w:bCs/>
                <w:kern w:val="2"/>
                <w:sz w:val="24"/>
              </w:rPr>
            </w:pPr>
            <w:r>
              <w:rPr>
                <w:rFonts w:hint="eastAsia" w:asciiTheme="minorEastAsia" w:hAnsiTheme="minorEastAsia" w:eastAsiaTheme="minorEastAsia"/>
                <w:bCs/>
                <w:kern w:val="2"/>
                <w:sz w:val="24"/>
              </w:rPr>
              <w:t>开标一览表一式三份单独密封到一个信封内</w:t>
            </w:r>
            <w:r>
              <w:rPr>
                <w:rFonts w:hint="eastAsia" w:asciiTheme="minorEastAsia" w:hAnsiTheme="minorEastAsia" w:eastAsiaTheme="minorEastAsia"/>
                <w:b/>
                <w:bCs/>
                <w:kern w:val="2"/>
                <w:sz w:val="24"/>
              </w:rPr>
              <w:t>。</w:t>
            </w:r>
          </w:p>
          <w:p>
            <w:pPr>
              <w:pStyle w:val="2"/>
              <w:spacing w:line="360" w:lineRule="auto"/>
              <w:ind w:firstLine="600" w:firstLineChars="250"/>
              <w:rPr>
                <w:rFonts w:asciiTheme="minorEastAsia" w:hAnsiTheme="minorEastAsia" w:eastAsiaTheme="minorEastAsia"/>
                <w:kern w:val="2"/>
                <w:sz w:val="24"/>
                <w:u w:val="single"/>
              </w:rPr>
            </w:pPr>
            <w:r>
              <w:rPr>
                <w:rFonts w:hint="eastAsia" w:asciiTheme="minorEastAsia" w:hAnsiTheme="minorEastAsia" w:eastAsiaTheme="minorEastAsia"/>
                <w:kern w:val="2"/>
                <w:sz w:val="24"/>
              </w:rPr>
              <w:t>1）</w:t>
            </w:r>
            <w:r>
              <w:rPr>
                <w:rFonts w:hint="eastAsia" w:asciiTheme="minorEastAsia" w:hAnsiTheme="minorEastAsia" w:eastAsiaTheme="minorEastAsia"/>
                <w:b/>
                <w:bCs/>
                <w:kern w:val="2"/>
                <w:sz w:val="24"/>
              </w:rPr>
              <w:t>纸质投标文件建议双面打印，胶装成册，每页均应标注页码，装订应牢固、不易拆散和换页，投标文件封装背脊打印：</w:t>
            </w:r>
            <w:r>
              <w:rPr>
                <w:rFonts w:hint="eastAsia" w:asciiTheme="minorEastAsia" w:hAnsiTheme="minorEastAsia" w:eastAsiaTheme="minorEastAsia"/>
                <w:b/>
                <w:bCs/>
                <w:kern w:val="2"/>
                <w:sz w:val="24"/>
                <w:u w:val="single"/>
              </w:rPr>
              <w:t>“山东省消防救援总队2022年装备部门集中采购项目七XX包投标文件-供应商名称”。</w:t>
            </w:r>
          </w:p>
          <w:p>
            <w:pPr>
              <w:pStyle w:val="2"/>
              <w:spacing w:line="360" w:lineRule="auto"/>
              <w:ind w:firstLine="600" w:firstLineChars="250"/>
              <w:rPr>
                <w:rFonts w:asciiTheme="minorEastAsia" w:hAnsiTheme="minorEastAsia" w:eastAsiaTheme="minorEastAsia"/>
                <w:b/>
                <w:kern w:val="2"/>
                <w:sz w:val="24"/>
              </w:rPr>
            </w:pPr>
            <w:r>
              <w:rPr>
                <w:rFonts w:hint="eastAsia" w:asciiTheme="minorEastAsia" w:hAnsiTheme="minorEastAsia" w:eastAsiaTheme="minorEastAsia"/>
                <w:kern w:val="2"/>
                <w:sz w:val="24"/>
              </w:rPr>
              <w:t>2）电子版内容应与正本投标文件内容一致；电子版内容应包含投标文件的全部商务、报价、技术内容及技术资料，其中有英文资料的还应提供中、英文对照文本。</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1</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投标文件密封和标记</w:t>
            </w:r>
          </w:p>
        </w:tc>
        <w:tc>
          <w:tcPr>
            <w:tcW w:w="7418" w:type="dxa"/>
            <w:vAlign w:val="center"/>
          </w:tcPr>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投标文件密封和标记：</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供应商应将投标文件正本、副本、电子版及开标一览表分别密封，并在封面明显处注明以下内容：</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1) </w:t>
            </w:r>
            <w:r>
              <w:rPr>
                <w:rFonts w:hint="eastAsia" w:asciiTheme="minorEastAsia" w:hAnsiTheme="minorEastAsia" w:eastAsiaTheme="minorEastAsia"/>
                <w:sz w:val="24"/>
              </w:rPr>
              <w:t>项目编号、项目名称、包号</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2) </w:t>
            </w:r>
            <w:r>
              <w:rPr>
                <w:rFonts w:hint="eastAsia" w:asciiTheme="minorEastAsia" w:hAnsiTheme="minorEastAsia" w:eastAsiaTheme="minorEastAsia"/>
                <w:sz w:val="24"/>
              </w:rPr>
              <w:t>正本或副本或电子版或开标一览表</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3) </w:t>
            </w:r>
            <w:r>
              <w:rPr>
                <w:rFonts w:hint="eastAsia" w:asciiTheme="minorEastAsia" w:hAnsiTheme="minorEastAsia" w:eastAsiaTheme="minorEastAsia"/>
                <w:sz w:val="24"/>
              </w:rPr>
              <w:t>供应商名称（加盖公章）、地址、邮编、电话</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）每一密封件在封口处注明“于</w:t>
            </w:r>
            <w:r>
              <w:rPr>
                <w:rFonts w:asciiTheme="minorEastAsia" w:hAnsiTheme="minorEastAsia" w:eastAsiaTheme="minorEastAsia"/>
                <w:sz w:val="24"/>
              </w:rPr>
              <w:t>2022年</w:t>
            </w:r>
            <w:r>
              <w:rPr>
                <w:rFonts w:hint="eastAsia" w:asciiTheme="minorEastAsia" w:hAnsiTheme="minorEastAsia" w:eastAsiaTheme="minorEastAsia"/>
                <w:sz w:val="24"/>
              </w:rPr>
              <w:t>10月18日</w:t>
            </w:r>
            <w:r>
              <w:rPr>
                <w:rFonts w:asciiTheme="minorEastAsia" w:hAnsiTheme="minorEastAsia" w:eastAsiaTheme="minorEastAsia"/>
                <w:sz w:val="24"/>
              </w:rPr>
              <w:t>09</w:t>
            </w:r>
            <w:r>
              <w:rPr>
                <w:rFonts w:hint="eastAsia" w:asciiTheme="minorEastAsia" w:hAnsiTheme="minorEastAsia" w:eastAsiaTheme="minorEastAsia"/>
                <w:sz w:val="24"/>
              </w:rPr>
              <w:t>时</w:t>
            </w:r>
            <w:r>
              <w:rPr>
                <w:rFonts w:asciiTheme="minorEastAsia" w:hAnsiTheme="minorEastAsia" w:eastAsiaTheme="minorEastAsia"/>
                <w:sz w:val="24"/>
              </w:rPr>
              <w:t>3</w:t>
            </w:r>
            <w:r>
              <w:rPr>
                <w:rFonts w:hint="eastAsia" w:asciiTheme="minorEastAsia" w:hAnsiTheme="minorEastAsia" w:eastAsiaTheme="minorEastAsia"/>
                <w:sz w:val="24"/>
              </w:rPr>
              <w:t>0分之前不准启封”字样。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注：所有副本密封在一个包封内即可。</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2</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投标文件的</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签署</w:t>
            </w:r>
          </w:p>
        </w:tc>
        <w:tc>
          <w:tcPr>
            <w:tcW w:w="7418" w:type="dxa"/>
            <w:vAlign w:val="center"/>
          </w:tcPr>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1）招标文件第六章“投标文件格式”中标示“盖章”处须加盖供应商公章（以自然人身份投标的无须盖章），标示“签字”处须由法定代表人或其委托代理人手签或加盖手签章、人名章。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2）投标文件整体必须加盖骑缝章（骑缝章必须覆盖本册所有文件），或由法定代表人或其委托代理人逐页手签。</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743" w:hRule="atLeast"/>
          <w:jc w:val="center"/>
        </w:trPr>
        <w:tc>
          <w:tcPr>
            <w:tcW w:w="64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13</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投标保证金</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本项目不收取投标保证金。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50"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4</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投标有效期</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★自投标截止之日起</w:t>
            </w:r>
            <w:r>
              <w:rPr>
                <w:rFonts w:hint="eastAsia" w:asciiTheme="minorEastAsia" w:hAnsiTheme="minorEastAsia" w:eastAsiaTheme="minorEastAsia"/>
                <w:sz w:val="24"/>
                <w:u w:val="single"/>
              </w:rPr>
              <w:t>90</w:t>
            </w:r>
            <w:r>
              <w:rPr>
                <w:rFonts w:hint="eastAsia" w:asciiTheme="minorEastAsia" w:hAnsiTheme="minorEastAsia" w:eastAsiaTheme="minorEastAsia"/>
                <w:sz w:val="24"/>
              </w:rPr>
              <w:t>日历天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556"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5</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投标文件递交</w:t>
            </w:r>
          </w:p>
        </w:tc>
        <w:tc>
          <w:tcPr>
            <w:tcW w:w="7418" w:type="dxa"/>
            <w:vAlign w:val="center"/>
          </w:tcPr>
          <w:p>
            <w:pPr>
              <w:pStyle w:val="136"/>
              <w:ind w:left="210" w:leftChars="100" w:firstLine="241" w:firstLineChars="100"/>
              <w:rPr>
                <w:rFonts w:asciiTheme="minorEastAsia" w:hAnsiTheme="minorEastAsia" w:eastAsiaTheme="minorEastAsia"/>
              </w:rPr>
            </w:pPr>
            <w:r>
              <w:rPr>
                <w:rFonts w:hint="eastAsia" w:asciiTheme="minorEastAsia" w:hAnsiTheme="minorEastAsia" w:eastAsiaTheme="minorEastAsia"/>
              </w:rPr>
              <w:t>投标文件递交时间：202</w:t>
            </w:r>
            <w:r>
              <w:rPr>
                <w:rFonts w:asciiTheme="minorEastAsia" w:hAnsiTheme="minorEastAsia" w:eastAsiaTheme="minorEastAsia"/>
              </w:rPr>
              <w:t>2</w:t>
            </w:r>
            <w:r>
              <w:rPr>
                <w:rFonts w:hint="eastAsia" w:asciiTheme="minorEastAsia" w:hAnsiTheme="minorEastAsia" w:eastAsiaTheme="minorEastAsia"/>
              </w:rPr>
              <w:t>年10月18日</w:t>
            </w:r>
            <w:r>
              <w:rPr>
                <w:rFonts w:asciiTheme="minorEastAsia" w:hAnsiTheme="minorEastAsia" w:eastAsiaTheme="minorEastAsia"/>
              </w:rPr>
              <w:t>08</w:t>
            </w:r>
            <w:r>
              <w:rPr>
                <w:rFonts w:hint="eastAsia" w:asciiTheme="minorEastAsia" w:hAnsiTheme="minorEastAsia" w:eastAsiaTheme="minorEastAsia"/>
              </w:rPr>
              <w:t>点00分至</w:t>
            </w:r>
            <w:r>
              <w:rPr>
                <w:rFonts w:asciiTheme="minorEastAsia" w:hAnsiTheme="minorEastAsia" w:eastAsiaTheme="minorEastAsia"/>
              </w:rPr>
              <w:t>09</w:t>
            </w:r>
            <w:r>
              <w:rPr>
                <w:rFonts w:hint="eastAsia" w:asciiTheme="minorEastAsia" w:hAnsiTheme="minorEastAsia" w:eastAsiaTheme="minorEastAsia"/>
              </w:rPr>
              <w:t>点</w:t>
            </w:r>
            <w:r>
              <w:rPr>
                <w:rFonts w:asciiTheme="minorEastAsia" w:hAnsiTheme="minorEastAsia" w:eastAsiaTheme="minorEastAsia"/>
              </w:rPr>
              <w:t>3</w:t>
            </w:r>
            <w:r>
              <w:rPr>
                <w:rFonts w:hint="eastAsia" w:asciiTheme="minorEastAsia" w:hAnsiTheme="minorEastAsia" w:eastAsiaTheme="minorEastAsia"/>
              </w:rPr>
              <w:t>0分（北京时间）；</w:t>
            </w:r>
          </w:p>
          <w:p>
            <w:pPr>
              <w:pStyle w:val="136"/>
              <w:ind w:left="210" w:leftChars="100" w:firstLine="241" w:firstLineChars="100"/>
              <w:rPr>
                <w:rFonts w:asciiTheme="minorEastAsia" w:hAnsiTheme="minorEastAsia" w:eastAsiaTheme="minorEastAsia"/>
              </w:rPr>
            </w:pPr>
            <w:r>
              <w:rPr>
                <w:rFonts w:hint="eastAsia" w:asciiTheme="minorEastAsia" w:hAnsiTheme="minorEastAsia" w:eastAsiaTheme="minorEastAsia"/>
              </w:rPr>
              <w:t>投标文件递交截止时间：详见招标公告；</w:t>
            </w:r>
          </w:p>
          <w:p>
            <w:pPr>
              <w:pStyle w:val="136"/>
              <w:ind w:left="210" w:leftChars="100" w:firstLine="241" w:firstLineChars="100"/>
              <w:rPr>
                <w:rFonts w:asciiTheme="minorEastAsia" w:hAnsiTheme="minorEastAsia" w:eastAsiaTheme="minorEastAsia"/>
              </w:rPr>
            </w:pPr>
            <w:r>
              <w:rPr>
                <w:rFonts w:hint="eastAsia" w:asciiTheme="minorEastAsia" w:hAnsiTheme="minorEastAsia" w:eastAsiaTheme="minorEastAsia"/>
              </w:rPr>
              <w:t>投标文件递交地点：详见招标公告；</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28"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6</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开标时间、</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开标地点</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开标时间：同投标文件递交截止时间；</w:t>
            </w:r>
          </w:p>
          <w:p>
            <w:pPr>
              <w:spacing w:line="360" w:lineRule="auto"/>
              <w:ind w:firstLine="523" w:firstLineChars="218"/>
              <w:rPr>
                <w:rFonts w:cs="宋体" w:asciiTheme="minorEastAsia" w:hAnsiTheme="minorEastAsia" w:eastAsiaTheme="minorEastAsia"/>
                <w:color w:val="FF0000"/>
                <w:sz w:val="24"/>
              </w:rPr>
            </w:pPr>
            <w:r>
              <w:rPr>
                <w:rFonts w:hint="eastAsia" w:asciiTheme="minorEastAsia" w:hAnsiTheme="minorEastAsia" w:eastAsiaTheme="minorEastAsia"/>
                <w:sz w:val="24"/>
              </w:rPr>
              <w:t>地点：同投标文件递交地点。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819"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7</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用于评分的证明材料</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1)执行政府采购优惠政策的有效的证明材料（如有）：</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①《中小企业声明函》；</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② 省级以上监狱管理局、戒毒管理局（含新疆生产建设兵团）出具的属于监狱企业的证明文件；</w:t>
            </w:r>
          </w:p>
          <w:p>
            <w:pPr>
              <w:spacing w:line="360" w:lineRule="auto"/>
              <w:ind w:firstLine="523" w:firstLineChars="218"/>
              <w:rPr>
                <w:rFonts w:asciiTheme="minorEastAsia" w:hAnsiTheme="minorEastAsia" w:eastAsiaTheme="minorEastAsia"/>
                <w:kern w:val="0"/>
                <w:sz w:val="24"/>
              </w:rPr>
            </w:pPr>
            <w:r>
              <w:rPr>
                <w:rFonts w:hint="eastAsia" w:asciiTheme="minorEastAsia" w:hAnsiTheme="minorEastAsia" w:eastAsiaTheme="minorEastAsia"/>
                <w:sz w:val="24"/>
              </w:rPr>
              <w:t>③《残</w:t>
            </w:r>
            <w:r>
              <w:rPr>
                <w:rFonts w:hint="eastAsia" w:asciiTheme="minorEastAsia" w:hAnsiTheme="minorEastAsia" w:eastAsiaTheme="minorEastAsia"/>
                <w:kern w:val="0"/>
                <w:sz w:val="24"/>
              </w:rPr>
              <w:t>疾人福利性单位声明函》；</w:t>
            </w:r>
          </w:p>
          <w:p>
            <w:pPr>
              <w:spacing w:line="360" w:lineRule="auto"/>
              <w:ind w:firstLine="523" w:firstLineChars="218"/>
              <w:rPr>
                <w:rFonts w:asciiTheme="minorEastAsia" w:hAnsiTheme="minorEastAsia" w:eastAsiaTheme="minorEastAsia"/>
                <w:kern w:val="0"/>
                <w:sz w:val="24"/>
              </w:rPr>
            </w:pPr>
            <w:r>
              <w:rPr>
                <w:rFonts w:asciiTheme="minorEastAsia" w:hAnsiTheme="minorEastAsia" w:eastAsiaTheme="minorEastAsia"/>
                <w:kern w:val="0"/>
                <w:sz w:val="24"/>
              </w:rPr>
              <w:fldChar w:fldCharType="begin"/>
            </w:r>
            <w:r>
              <w:rPr>
                <w:rFonts w:asciiTheme="minorEastAsia" w:hAnsiTheme="minorEastAsia" w:eastAsiaTheme="minorEastAsia"/>
                <w:kern w:val="0"/>
                <w:sz w:val="24"/>
              </w:rPr>
              <w:instrText xml:space="preserve"> </w:instrText>
            </w:r>
            <w:r>
              <w:rPr>
                <w:rFonts w:hint="eastAsia" w:asciiTheme="minorEastAsia" w:hAnsiTheme="minorEastAsia" w:eastAsiaTheme="minorEastAsia"/>
                <w:kern w:val="0"/>
                <w:sz w:val="24"/>
              </w:rPr>
              <w:instrText xml:space="preserve">= 4 \* GB3</w:instrText>
            </w:r>
            <w:r>
              <w:rPr>
                <w:rFonts w:asciiTheme="minorEastAsia" w:hAnsiTheme="minorEastAsia" w:eastAsiaTheme="minorEastAsia"/>
                <w:kern w:val="0"/>
                <w:sz w:val="24"/>
              </w:rPr>
              <w:instrText xml:space="preserve"> </w:instrText>
            </w:r>
            <w:r>
              <w:rPr>
                <w:rFonts w:asciiTheme="minorEastAsia" w:hAnsiTheme="minorEastAsia" w:eastAsiaTheme="minorEastAsia"/>
                <w:kern w:val="0"/>
                <w:sz w:val="24"/>
              </w:rPr>
              <w:fldChar w:fldCharType="separate"/>
            </w:r>
            <w:r>
              <w:rPr>
                <w:rFonts w:hint="eastAsia" w:asciiTheme="minorEastAsia" w:hAnsiTheme="minorEastAsia" w:eastAsiaTheme="minorEastAsia"/>
                <w:kern w:val="0"/>
                <w:sz w:val="24"/>
              </w:rPr>
              <w:t>④</w:t>
            </w:r>
            <w:r>
              <w:rPr>
                <w:rFonts w:asciiTheme="minorEastAsia" w:hAnsiTheme="minorEastAsia" w:eastAsiaTheme="minorEastAsia"/>
                <w:kern w:val="0"/>
                <w:sz w:val="24"/>
              </w:rPr>
              <w:fldChar w:fldCharType="end"/>
            </w:r>
            <w:r>
              <w:rPr>
                <w:rFonts w:hint="eastAsia" w:asciiTheme="minorEastAsia" w:hAnsiTheme="minorEastAsia" w:eastAsiaTheme="minorEastAsia"/>
                <w:kern w:val="0"/>
                <w:sz w:val="24"/>
              </w:rPr>
              <w:t>《国家节能产品认证证书》、《中国环境标志产品认证证书》；</w:t>
            </w:r>
          </w:p>
          <w:p>
            <w:pPr>
              <w:spacing w:line="360" w:lineRule="auto"/>
              <w:ind w:firstLine="523" w:firstLineChars="218"/>
              <w:rPr>
                <w:rFonts w:asciiTheme="minorEastAsia" w:hAnsiTheme="minorEastAsia" w:eastAsiaTheme="minorEastAsia"/>
                <w:kern w:val="0"/>
                <w:sz w:val="24"/>
              </w:rPr>
            </w:pPr>
            <w:r>
              <w:rPr>
                <w:rFonts w:hint="eastAsia" w:asciiTheme="minorEastAsia" w:hAnsiTheme="minorEastAsia" w:eastAsiaTheme="minorEastAsia"/>
                <w:kern w:val="0"/>
                <w:sz w:val="24"/>
              </w:rPr>
              <w:fldChar w:fldCharType="begin"/>
            </w:r>
            <w:r>
              <w:rPr>
                <w:rFonts w:hint="eastAsia" w:asciiTheme="minorEastAsia" w:hAnsiTheme="minorEastAsia" w:eastAsiaTheme="minorEastAsia"/>
                <w:kern w:val="0"/>
                <w:sz w:val="24"/>
              </w:rPr>
              <w:instrText xml:space="preserve"> = 5 \* GB3 \* MERGEFORMAT </w:instrText>
            </w:r>
            <w:r>
              <w:rPr>
                <w:rFonts w:hint="eastAsia" w:asciiTheme="minorEastAsia" w:hAnsiTheme="minorEastAsia" w:eastAsiaTheme="minorEastAsia"/>
                <w:kern w:val="0"/>
                <w:sz w:val="24"/>
              </w:rPr>
              <w:fldChar w:fldCharType="separate"/>
            </w:r>
            <w:r>
              <w:rPr>
                <w:rFonts w:asciiTheme="minorEastAsia" w:hAnsiTheme="minorEastAsia" w:eastAsiaTheme="minorEastAsia"/>
                <w:kern w:val="0"/>
                <w:sz w:val="24"/>
              </w:rPr>
              <w:t>⑤</w:t>
            </w:r>
            <w:r>
              <w:rPr>
                <w:rFonts w:hint="eastAsia" w:asciiTheme="minorEastAsia" w:hAnsiTheme="minorEastAsia" w:eastAsiaTheme="minorEastAsia"/>
                <w:kern w:val="0"/>
                <w:sz w:val="24"/>
              </w:rPr>
              <w:fldChar w:fldCharType="end"/>
            </w:r>
            <w:r>
              <w:rPr>
                <w:rFonts w:hint="eastAsia" w:asciiTheme="minorEastAsia" w:hAnsiTheme="minorEastAsia" w:eastAsiaTheme="minorEastAsia"/>
                <w:kern w:val="0"/>
                <w:sz w:val="24"/>
              </w:rPr>
              <w:t>《无线局域网产品认证证书》。</w:t>
            </w:r>
          </w:p>
          <w:p>
            <w:pPr>
              <w:spacing w:line="360" w:lineRule="auto"/>
              <w:ind w:firstLine="523" w:firstLineChars="218"/>
              <w:rPr>
                <w:rFonts w:asciiTheme="minorEastAsia" w:hAnsiTheme="minorEastAsia" w:eastAsiaTheme="minorEastAsia"/>
                <w:color w:val="FF0000"/>
                <w:sz w:val="24"/>
              </w:rPr>
            </w:pPr>
            <w:r>
              <w:rPr>
                <w:rFonts w:hint="eastAsia" w:asciiTheme="minorEastAsia" w:hAnsiTheme="minorEastAsia" w:eastAsiaTheme="minorEastAsia"/>
                <w:sz w:val="24"/>
              </w:rPr>
              <w:t>2)提供评分办法涉及的证明材料</w:t>
            </w:r>
            <w:r>
              <w:rPr>
                <w:rFonts w:hint="eastAsia" w:cs="宋体" w:asciiTheme="minorEastAsia" w:hAnsiTheme="minorEastAsia" w:eastAsiaTheme="minorEastAsia"/>
                <w:sz w:val="24"/>
              </w:rPr>
              <w:t>（详见评分办法）</w:t>
            </w:r>
            <w:r>
              <w:rPr>
                <w:rFonts w:hint="eastAsia" w:asciiTheme="minorEastAsia" w:hAnsiTheme="minorEastAsia" w:eastAsiaTheme="minorEastAsia"/>
                <w:sz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392"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8</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财务状况</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年份要求</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提供2021年度经第三方审计的财务审计报告；如提供银行资信证明，则时间要求：2022年至今。</w:t>
            </w:r>
          </w:p>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如成立时间较短的供应商，可提供成立至今的相关证明材料。</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6" w:type="dxa"/>
            <w:vAlign w:val="center"/>
          </w:tcPr>
          <w:p>
            <w:pPr>
              <w:spacing w:line="360" w:lineRule="auto"/>
              <w:jc w:val="center"/>
              <w:rPr>
                <w:rFonts w:asciiTheme="minorEastAsia" w:hAnsiTheme="minorEastAsia" w:eastAsiaTheme="minorEastAsia"/>
                <w:bCs/>
                <w:sz w:val="24"/>
              </w:rPr>
            </w:pPr>
            <w:r>
              <w:rPr>
                <w:rFonts w:hint="eastAsia" w:asciiTheme="minorEastAsia" w:hAnsiTheme="minorEastAsia" w:eastAsiaTheme="minorEastAsia"/>
                <w:bCs/>
                <w:sz w:val="24"/>
              </w:rPr>
              <w:t>1</w:t>
            </w:r>
            <w:r>
              <w:rPr>
                <w:rFonts w:asciiTheme="minorEastAsia" w:hAnsiTheme="minorEastAsia" w:eastAsiaTheme="minorEastAsia"/>
                <w:bCs/>
                <w:sz w:val="24"/>
              </w:rPr>
              <w:t>9</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评标委员会</w:t>
            </w:r>
          </w:p>
          <w:p>
            <w:pPr>
              <w:spacing w:line="360" w:lineRule="auto"/>
              <w:jc w:val="center"/>
              <w:rPr>
                <w:rFonts w:asciiTheme="minorEastAsia" w:hAnsiTheme="minorEastAsia" w:eastAsiaTheme="minorEastAsia"/>
                <w:bCs/>
                <w:sz w:val="24"/>
              </w:rPr>
            </w:pPr>
            <w:r>
              <w:rPr>
                <w:rFonts w:hint="eastAsia" w:asciiTheme="minorEastAsia" w:hAnsiTheme="minorEastAsia" w:eastAsiaTheme="minorEastAsia"/>
                <w:sz w:val="24"/>
              </w:rPr>
              <w:t>组成</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napToGrid w:val="0"/>
                <w:kern w:val="0"/>
                <w:sz w:val="24"/>
              </w:rPr>
              <w:t>根据本项目的特点组建评标委员会，其成员由有关评标专家和采购人代表等七人或以上单数组成，其中评标专家不得少于成员总数的三分之二。</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6" w:type="dxa"/>
            <w:vAlign w:val="center"/>
          </w:tcPr>
          <w:p>
            <w:pPr>
              <w:spacing w:line="360" w:lineRule="auto"/>
              <w:jc w:val="center"/>
              <w:rPr>
                <w:rFonts w:asciiTheme="minorEastAsia" w:hAnsiTheme="minorEastAsia" w:eastAsiaTheme="minorEastAsia"/>
                <w:bCs/>
                <w:sz w:val="24"/>
              </w:rPr>
            </w:pPr>
            <w:r>
              <w:rPr>
                <w:rFonts w:hint="eastAsia" w:asciiTheme="minorEastAsia" w:hAnsiTheme="minorEastAsia" w:eastAsiaTheme="minorEastAsia"/>
                <w:bCs/>
                <w:sz w:val="24"/>
              </w:rPr>
              <w:t>2</w:t>
            </w:r>
            <w:r>
              <w:rPr>
                <w:rFonts w:asciiTheme="minorEastAsia" w:hAnsiTheme="minorEastAsia" w:eastAsiaTheme="minorEastAsia"/>
                <w:bCs/>
                <w:sz w:val="24"/>
              </w:rPr>
              <w:t>0</w:t>
            </w:r>
          </w:p>
        </w:tc>
        <w:tc>
          <w:tcPr>
            <w:tcW w:w="1553" w:type="dxa"/>
            <w:vAlign w:val="center"/>
          </w:tcPr>
          <w:p>
            <w:pPr>
              <w:spacing w:line="360" w:lineRule="auto"/>
              <w:jc w:val="center"/>
              <w:rPr>
                <w:rFonts w:asciiTheme="minorEastAsia" w:hAnsiTheme="minorEastAsia" w:eastAsiaTheme="minorEastAsia"/>
                <w:bCs/>
                <w:sz w:val="24"/>
              </w:rPr>
            </w:pPr>
            <w:r>
              <w:rPr>
                <w:rFonts w:hint="eastAsia" w:asciiTheme="minorEastAsia" w:hAnsiTheme="minorEastAsia" w:eastAsiaTheme="minorEastAsia"/>
                <w:bCs/>
                <w:sz w:val="24"/>
              </w:rPr>
              <w:t>评标方法</w:t>
            </w:r>
          </w:p>
        </w:tc>
        <w:tc>
          <w:tcPr>
            <w:tcW w:w="7418" w:type="dxa"/>
            <w:vAlign w:val="center"/>
          </w:tcPr>
          <w:p>
            <w:pPr>
              <w:spacing w:line="360" w:lineRule="auto"/>
              <w:ind w:firstLine="523" w:firstLineChars="218"/>
              <w:rPr>
                <w:rFonts w:asciiTheme="minorEastAsia" w:hAnsiTheme="minorEastAsia" w:eastAsiaTheme="minorEastAsia"/>
                <w:sz w:val="24"/>
              </w:rPr>
            </w:pPr>
            <w:r>
              <w:rPr>
                <w:rFonts w:hint="eastAsia" w:asciiTheme="minorEastAsia" w:hAnsiTheme="minorEastAsia" w:eastAsiaTheme="minorEastAsia"/>
                <w:sz w:val="24"/>
              </w:rPr>
              <w:t>本次评标采用综合评分法，评标委员会成员根据第三章“评分办法”进行打分，按照得分由高到低顺序对各包供应商进行排序，提出书面评标报告，推荐中标候选人。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239" w:hRule="atLeast"/>
          <w:jc w:val="center"/>
        </w:trPr>
        <w:tc>
          <w:tcPr>
            <w:tcW w:w="646" w:type="dxa"/>
            <w:vAlign w:val="center"/>
          </w:tcPr>
          <w:p>
            <w:pPr>
              <w:spacing w:line="360" w:lineRule="auto"/>
              <w:jc w:val="center"/>
              <w:rPr>
                <w:rFonts w:asciiTheme="minorEastAsia" w:hAnsiTheme="minorEastAsia" w:eastAsiaTheme="minorEastAsia"/>
                <w:bCs/>
                <w:sz w:val="24"/>
              </w:rPr>
            </w:pPr>
            <w:r>
              <w:rPr>
                <w:rFonts w:hint="eastAsia" w:asciiTheme="minorEastAsia" w:hAnsiTheme="minorEastAsia" w:eastAsiaTheme="minorEastAsia"/>
                <w:bCs/>
                <w:sz w:val="24"/>
              </w:rPr>
              <w:t>2</w:t>
            </w:r>
            <w:r>
              <w:rPr>
                <w:rFonts w:asciiTheme="minorEastAsia" w:hAnsiTheme="minorEastAsia" w:eastAsiaTheme="minorEastAsia"/>
                <w:bCs/>
                <w:sz w:val="24"/>
              </w:rPr>
              <w:t>1</w:t>
            </w:r>
          </w:p>
        </w:tc>
        <w:tc>
          <w:tcPr>
            <w:tcW w:w="1553" w:type="dxa"/>
            <w:vAlign w:val="center"/>
          </w:tcPr>
          <w:p>
            <w:pPr>
              <w:spacing w:line="360" w:lineRule="auto"/>
              <w:jc w:val="center"/>
              <w:rPr>
                <w:rFonts w:asciiTheme="minorEastAsia" w:hAnsiTheme="minorEastAsia" w:eastAsiaTheme="minorEastAsia"/>
                <w:bCs/>
                <w:sz w:val="24"/>
              </w:rPr>
            </w:pPr>
            <w:r>
              <w:rPr>
                <w:rFonts w:hint="eastAsia" w:cs="宋体" w:asciiTheme="minorEastAsia" w:hAnsiTheme="minorEastAsia" w:eastAsiaTheme="minorEastAsia"/>
                <w:sz w:val="24"/>
              </w:rPr>
              <w:t>是否授权评标委员会确定中标人</w:t>
            </w:r>
          </w:p>
        </w:tc>
        <w:tc>
          <w:tcPr>
            <w:tcW w:w="7418" w:type="dxa"/>
            <w:vAlign w:val="center"/>
          </w:tcPr>
          <w:p>
            <w:pPr>
              <w:spacing w:line="360" w:lineRule="auto"/>
              <w:ind w:firstLine="482" w:firstLineChars="200"/>
              <w:rPr>
                <w:rFonts w:cs="宋体" w:asciiTheme="minorEastAsia" w:hAnsiTheme="minorEastAsia" w:eastAsiaTheme="minorEastAsia"/>
                <w:color w:val="FF0000"/>
                <w:sz w:val="24"/>
              </w:rPr>
            </w:pPr>
            <w:r>
              <w:rPr>
                <w:rFonts w:hint="eastAsia" w:cs="宋体" w:asciiTheme="minorEastAsia" w:hAnsiTheme="minorEastAsia" w:eastAsiaTheme="minorEastAsia"/>
                <w:b/>
                <w:bCs/>
                <w:sz w:val="24"/>
              </w:rPr>
              <w:sym w:font="Wingdings 2" w:char="0052"/>
            </w:r>
            <w:r>
              <w:rPr>
                <w:rFonts w:hint="eastAsia" w:cs="宋体" w:asciiTheme="minorEastAsia" w:hAnsiTheme="minorEastAsia" w:eastAsiaTheme="minorEastAsia"/>
                <w:b/>
                <w:bCs/>
                <w:sz w:val="24"/>
              </w:rPr>
              <w:t xml:space="preserve"> 否，评标委员会每包推荐1名中标候选人，由采购人依法确定中标人。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2</w:t>
            </w:r>
          </w:p>
        </w:tc>
        <w:tc>
          <w:tcPr>
            <w:tcW w:w="1553" w:type="dxa"/>
            <w:vAlign w:val="center"/>
          </w:tcPr>
          <w:p>
            <w:pPr>
              <w:spacing w:line="360" w:lineRule="auto"/>
              <w:jc w:val="center"/>
              <w:rPr>
                <w:rFonts w:asciiTheme="minorEastAsia" w:hAnsiTheme="minorEastAsia" w:eastAsiaTheme="minorEastAsia"/>
                <w:sz w:val="24"/>
              </w:rPr>
            </w:pPr>
            <w:r>
              <w:rPr>
                <w:rFonts w:hint="eastAsia" w:cs="宋体" w:asciiTheme="minorEastAsia" w:hAnsiTheme="minorEastAsia" w:eastAsiaTheme="minorEastAsia"/>
                <w:kern w:val="0"/>
                <w:sz w:val="24"/>
              </w:rPr>
              <w:t>相关费用</w:t>
            </w:r>
          </w:p>
        </w:tc>
        <w:tc>
          <w:tcPr>
            <w:tcW w:w="7418" w:type="dxa"/>
            <w:vAlign w:val="center"/>
          </w:tcPr>
          <w:p>
            <w:pPr>
              <w:spacing w:line="360" w:lineRule="auto"/>
              <w:ind w:firstLine="523" w:firstLineChars="218"/>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中标服务费：</w:t>
            </w:r>
          </w:p>
          <w:p>
            <w:pPr>
              <w:spacing w:line="360" w:lineRule="auto"/>
              <w:ind w:firstLine="523" w:firstLineChars="218"/>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中标服务费：中标服务费参照相关收费标准（见附表1）按差额定率累进法计取。由中标人在中标公示发布后三个工作日内向代理公司交纳。</w:t>
            </w:r>
          </w:p>
          <w:p>
            <w:pPr>
              <w:spacing w:line="360" w:lineRule="auto"/>
              <w:ind w:firstLine="523" w:firstLineChars="218"/>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见证费：中标人在签订合同前按中标金额的1‰向公证机关/律师事务所交纳公证费/律师见证费，每包最高不超过5000元，低于500元人民币的按500元人民币收取。</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6" w:type="dxa"/>
            <w:vAlign w:val="center"/>
          </w:tcPr>
          <w:p>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2</w:t>
            </w:r>
            <w:r>
              <w:rPr>
                <w:rFonts w:asciiTheme="minorEastAsia" w:hAnsiTheme="minorEastAsia" w:eastAsiaTheme="minorEastAsia"/>
                <w:b/>
                <w:bCs/>
                <w:sz w:val="24"/>
              </w:rPr>
              <w:t>3</w:t>
            </w:r>
          </w:p>
        </w:tc>
        <w:tc>
          <w:tcPr>
            <w:tcW w:w="1553" w:type="dxa"/>
            <w:vAlign w:val="center"/>
          </w:tcPr>
          <w:p>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是否接受</w:t>
            </w:r>
          </w:p>
          <w:p>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进口产品</w:t>
            </w:r>
          </w:p>
        </w:tc>
        <w:tc>
          <w:tcPr>
            <w:tcW w:w="7418" w:type="dxa"/>
            <w:vAlign w:val="center"/>
          </w:tcPr>
          <w:p>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本项目各包均不接受进口产品。</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9617" w:type="dxa"/>
            <w:gridSpan w:val="3"/>
            <w:vAlign w:val="center"/>
          </w:tcPr>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其他</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4</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b/>
                <w:sz w:val="24"/>
              </w:rPr>
              <w:t>★</w:t>
            </w:r>
            <w:r>
              <w:rPr>
                <w:rFonts w:hint="eastAsia" w:asciiTheme="minorEastAsia" w:hAnsiTheme="minorEastAsia" w:eastAsiaTheme="minorEastAsia"/>
                <w:b/>
                <w:bCs/>
                <w:sz w:val="24"/>
              </w:rPr>
              <w:t>交付期</w:t>
            </w:r>
          </w:p>
        </w:tc>
        <w:tc>
          <w:tcPr>
            <w:tcW w:w="7418" w:type="dxa"/>
            <w:vAlign w:val="center"/>
          </w:tcPr>
          <w:p>
            <w:pPr>
              <w:spacing w:line="360" w:lineRule="auto"/>
              <w:ind w:firstLine="523" w:firstLineChars="218"/>
              <w:rPr>
                <w:rFonts w:asciiTheme="minorEastAsia" w:hAnsiTheme="minorEastAsia" w:eastAsiaTheme="minorEastAsia"/>
                <w:b/>
                <w:sz w:val="24"/>
              </w:rPr>
            </w:pPr>
            <w:bookmarkStart w:id="36" w:name="_Hlk86509928"/>
            <w:r>
              <w:rPr>
                <w:rFonts w:hint="eastAsia" w:cs="宋体" w:asciiTheme="minorEastAsia" w:hAnsiTheme="minorEastAsia" w:eastAsiaTheme="minorEastAsia"/>
                <w:sz w:val="24"/>
              </w:rPr>
              <w:t>自合同签订之日起180个日历日内将全部货物送至指定地点、完成安装调试并具备验收条件。</w:t>
            </w:r>
            <w:r>
              <w:rPr>
                <w:rFonts w:asciiTheme="minorEastAsia" w:hAnsiTheme="minorEastAsia" w:eastAsiaTheme="minorEastAsia"/>
                <w:bCs/>
                <w:sz w:val="24"/>
              </w:rPr>
              <w:t xml:space="preserve">  </w:t>
            </w:r>
            <w:bookmarkEnd w:id="36"/>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48" w:hRule="atLeast"/>
          <w:jc w:val="center"/>
        </w:trPr>
        <w:tc>
          <w:tcPr>
            <w:tcW w:w="64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25</w:t>
            </w:r>
          </w:p>
        </w:tc>
        <w:tc>
          <w:tcPr>
            <w:tcW w:w="155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b/>
                <w:sz w:val="24"/>
              </w:rPr>
              <w:t>★</w:t>
            </w:r>
            <w:r>
              <w:rPr>
                <w:rFonts w:hint="eastAsia" w:asciiTheme="minorEastAsia" w:hAnsiTheme="minorEastAsia" w:eastAsiaTheme="minorEastAsia"/>
                <w:b/>
                <w:bCs/>
                <w:sz w:val="24"/>
              </w:rPr>
              <w:t>质保期</w:t>
            </w:r>
          </w:p>
        </w:tc>
        <w:tc>
          <w:tcPr>
            <w:tcW w:w="7418" w:type="dxa"/>
            <w:vAlign w:val="center"/>
          </w:tcPr>
          <w:p>
            <w:pPr>
              <w:spacing w:line="360" w:lineRule="auto"/>
              <w:ind w:firstLine="523" w:firstLineChars="218"/>
            </w:pPr>
            <w:r>
              <w:rPr>
                <w:rFonts w:hint="eastAsia" w:cs="宋体" w:asciiTheme="minorEastAsia" w:hAnsiTheme="minorEastAsia" w:eastAsiaTheme="minorEastAsia"/>
                <w:sz w:val="24"/>
              </w:rPr>
              <w:t>3年，自货到用户指定地点并验收合格之日起算，质保期内提供免费维修维护服务。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049" w:hRule="atLeast"/>
          <w:jc w:val="center"/>
        </w:trPr>
        <w:tc>
          <w:tcPr>
            <w:tcW w:w="64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6</w:t>
            </w:r>
          </w:p>
        </w:tc>
        <w:tc>
          <w:tcPr>
            <w:tcW w:w="1553"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付款方式</w:t>
            </w:r>
          </w:p>
        </w:tc>
        <w:tc>
          <w:tcPr>
            <w:tcW w:w="7418" w:type="dxa"/>
            <w:tcBorders>
              <w:left w:val="single" w:color="auto" w:sz="4" w:space="0"/>
            </w:tcBorders>
            <w:vAlign w:val="center"/>
          </w:tcPr>
          <w:p>
            <w:pPr>
              <w:adjustRightInd w:val="0"/>
              <w:snapToGrid w:val="0"/>
              <w:spacing w:line="500" w:lineRule="exact"/>
              <w:ind w:firstLine="480" w:firstLineChars="200"/>
              <w:rPr>
                <w:rFonts w:hint="eastAsia" w:cs="宋体" w:asciiTheme="minorEastAsia" w:hAnsiTheme="minorEastAsia" w:eastAsiaTheme="minorEastAsia"/>
                <w:color w:val="000000" w:themeColor="text1"/>
                <w:sz w:val="24"/>
                <w:szCs w:val="22"/>
                <w14:textFill>
                  <w14:solidFill>
                    <w14:schemeClr w14:val="tx1"/>
                  </w14:solidFill>
                </w14:textFill>
              </w:rPr>
            </w:pPr>
            <w:r>
              <w:rPr>
                <w:rFonts w:hint="eastAsia" w:cs="宋体" w:asciiTheme="minorEastAsia" w:hAnsiTheme="minorEastAsia" w:eastAsiaTheme="minorEastAsia"/>
                <w:color w:val="000000" w:themeColor="text1"/>
                <w:sz w:val="24"/>
                <w:szCs w:val="22"/>
                <w14:textFill>
                  <w14:solidFill>
                    <w14:schemeClr w14:val="tx1"/>
                  </w14:solidFill>
                </w14:textFill>
              </w:rPr>
              <w:t>中标后由采购人组织实际用户单位与乙方签订合同，具体付款方式由实际用户单位在以下两种方式任选其一（以下“甲方”指实际用户单位）：</w:t>
            </w:r>
          </w:p>
          <w:p>
            <w:pPr>
              <w:adjustRightInd w:val="0"/>
              <w:snapToGrid w:val="0"/>
              <w:spacing w:line="500" w:lineRule="exact"/>
              <w:ind w:firstLine="480" w:firstLineChars="200"/>
              <w:rPr>
                <w:rFonts w:hint="eastAsia" w:cs="宋体" w:asciiTheme="minorEastAsia" w:hAnsiTheme="minorEastAsia" w:eastAsiaTheme="minorEastAsia"/>
                <w:color w:val="000000" w:themeColor="text1"/>
                <w:sz w:val="24"/>
                <w:szCs w:val="22"/>
                <w14:textFill>
                  <w14:solidFill>
                    <w14:schemeClr w14:val="tx1"/>
                  </w14:solidFill>
                </w14:textFill>
              </w:rPr>
            </w:pPr>
            <w:r>
              <w:rPr>
                <w:rFonts w:hint="eastAsia" w:cs="宋体" w:asciiTheme="minorEastAsia" w:hAnsiTheme="minorEastAsia" w:eastAsiaTheme="minorEastAsia"/>
                <w:color w:val="000000" w:themeColor="text1"/>
                <w:sz w:val="24"/>
                <w:szCs w:val="22"/>
                <w14:textFill>
                  <w14:solidFill>
                    <w14:schemeClr w14:val="tx1"/>
                  </w14:solidFill>
                </w14:textFill>
              </w:rPr>
              <w:t>一、合同签订后，甲方支付至合同价款的40%，货到并验收合格后支付至合同价款的97%，剩余3%质保期满无质量问题后支付。</w:t>
            </w:r>
          </w:p>
          <w:p>
            <w:pPr>
              <w:adjustRightInd w:val="0"/>
              <w:snapToGrid w:val="0"/>
              <w:spacing w:line="500" w:lineRule="exact"/>
              <w:ind w:firstLine="480" w:firstLineChars="200"/>
              <w:rPr>
                <w:rFonts w:cs="宋体" w:asciiTheme="minorEastAsia" w:hAnsiTheme="minorEastAsia" w:eastAsiaTheme="minorEastAsia"/>
                <w:b/>
                <w:kern w:val="0"/>
                <w:sz w:val="24"/>
              </w:rPr>
            </w:pPr>
            <w:r>
              <w:rPr>
                <w:rFonts w:hint="eastAsia" w:cs="宋体" w:asciiTheme="minorEastAsia" w:hAnsiTheme="minorEastAsia" w:eastAsiaTheme="minorEastAsia"/>
                <w:color w:val="000000" w:themeColor="text1"/>
                <w:sz w:val="24"/>
                <w:szCs w:val="22"/>
                <w14:textFill>
                  <w14:solidFill>
                    <w14:schemeClr w14:val="tx1"/>
                  </w14:solidFill>
                </w14:textFill>
              </w:rPr>
              <w:t>二、合同签订后，乙方向甲方支付合同价款3%的履约保证金后，甲方支付至合同价款的40%，货到并验收合格后向乙方支付至合同价款的100%，履约保证金待质保期满无质量问题后无息退还。</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97" w:hRule="atLeast"/>
          <w:jc w:val="center"/>
        </w:trPr>
        <w:tc>
          <w:tcPr>
            <w:tcW w:w="64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7</w:t>
            </w:r>
          </w:p>
        </w:tc>
        <w:tc>
          <w:tcPr>
            <w:tcW w:w="1553"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履约保证金</w:t>
            </w:r>
          </w:p>
        </w:tc>
        <w:tc>
          <w:tcPr>
            <w:tcW w:w="7418" w:type="dxa"/>
            <w:tcBorders>
              <w:left w:val="single" w:color="auto" w:sz="4" w:space="0"/>
            </w:tcBorders>
            <w:vAlign w:val="center"/>
          </w:tcPr>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根据具体所选付款方式执行。</w:t>
            </w:r>
          </w:p>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形式：采用支票、银行汇票、电汇三种形式。</w:t>
            </w:r>
          </w:p>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退还时间：履约保证金在质保期满无质量问题后无息退还。</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97" w:hRule="atLeast"/>
          <w:jc w:val="center"/>
        </w:trPr>
        <w:tc>
          <w:tcPr>
            <w:tcW w:w="64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28</w:t>
            </w:r>
          </w:p>
        </w:tc>
        <w:tc>
          <w:tcPr>
            <w:tcW w:w="1553"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采购标的</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行业归类</w:t>
            </w:r>
          </w:p>
        </w:tc>
        <w:tc>
          <w:tcPr>
            <w:tcW w:w="7418" w:type="dxa"/>
            <w:tcBorders>
              <w:left w:val="single" w:color="auto" w:sz="4" w:space="0"/>
            </w:tcBorders>
          </w:tcPr>
          <w:p>
            <w:pPr>
              <w:spacing w:line="360" w:lineRule="auto"/>
              <w:ind w:firstLine="480" w:firstLineChars="200"/>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采购标的对于的中小企业划分标准所属行业:</w:t>
            </w:r>
            <w:r>
              <w:rPr>
                <w:rFonts w:hint="eastAsia" w:asciiTheme="minorEastAsia" w:hAnsiTheme="minorEastAsia" w:eastAsiaTheme="minorEastAsia"/>
                <w:color w:val="000000"/>
                <w:sz w:val="24"/>
              </w:rPr>
              <w:t xml:space="preserve"> 工业</w:t>
            </w:r>
            <w:r>
              <w:rPr>
                <w:rFonts w:hint="eastAsia" w:asciiTheme="minorEastAsia" w:hAnsiTheme="minorEastAsia" w:eastAsiaTheme="minorEastAsia"/>
                <w:snapToGrid w:val="0"/>
                <w:kern w:val="0"/>
                <w:sz w:val="24"/>
              </w:rPr>
              <w:t>。</w:t>
            </w:r>
          </w:p>
          <w:p>
            <w:pPr>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snapToGrid w:val="0"/>
                <w:kern w:val="0"/>
                <w:sz w:val="24"/>
              </w:rPr>
              <w:t>具体划分标准详见本章附表2。</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977" w:hRule="atLeast"/>
          <w:jc w:val="center"/>
        </w:trPr>
        <w:tc>
          <w:tcPr>
            <w:tcW w:w="64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29</w:t>
            </w:r>
          </w:p>
        </w:tc>
        <w:tc>
          <w:tcPr>
            <w:tcW w:w="1553" w:type="dxa"/>
            <w:tcBorders>
              <w:right w:val="single" w:color="auto" w:sz="4" w:space="0"/>
            </w:tcBorders>
            <w:vAlign w:val="center"/>
          </w:tcPr>
          <w:p>
            <w:pPr>
              <w:spacing w:line="360" w:lineRule="auto"/>
              <w:ind w:firstLine="240" w:firstLineChars="100"/>
              <w:rPr>
                <w:rFonts w:asciiTheme="minorEastAsia" w:hAnsiTheme="minorEastAsia" w:eastAsiaTheme="minorEastAsia"/>
                <w:sz w:val="24"/>
              </w:rPr>
            </w:pPr>
            <w:r>
              <w:rPr>
                <w:rFonts w:hint="eastAsia" w:cs="宋体" w:asciiTheme="minorEastAsia" w:hAnsiTheme="minorEastAsia" w:eastAsiaTheme="minorEastAsia"/>
                <w:bCs/>
                <w:kern w:val="0"/>
                <w:sz w:val="24"/>
              </w:rPr>
              <w:t>核心产品</w:t>
            </w:r>
          </w:p>
        </w:tc>
        <w:tc>
          <w:tcPr>
            <w:tcW w:w="7418" w:type="dxa"/>
            <w:tcBorders>
              <w:left w:val="single" w:color="auto" w:sz="4" w:space="0"/>
            </w:tcBorders>
          </w:tcPr>
          <w:p>
            <w:pPr>
              <w:spacing w:line="360" w:lineRule="auto"/>
              <w:ind w:firstLine="480" w:firstLineChars="200"/>
              <w:rPr>
                <w:rFonts w:asciiTheme="minorEastAsia" w:hAnsiTheme="minorEastAsia" w:eastAsiaTheme="minorEastAsia"/>
                <w:b/>
                <w:bCs/>
                <w:snapToGrid w:val="0"/>
                <w:kern w:val="0"/>
                <w:sz w:val="24"/>
              </w:rPr>
            </w:pPr>
            <w:r>
              <w:rPr>
                <w:rFonts w:hint="eastAsia" w:asciiTheme="minorEastAsia" w:hAnsiTheme="minorEastAsia" w:eastAsiaTheme="minorEastAsia"/>
                <w:snapToGrid w:val="0"/>
                <w:kern w:val="0"/>
                <w:sz w:val="24"/>
              </w:rPr>
              <w:t>本项目1包、2包、3包均</w:t>
            </w:r>
            <w:r>
              <w:rPr>
                <w:rFonts w:hint="eastAsia" w:asciiTheme="minorEastAsia" w:hAnsiTheme="minorEastAsia" w:eastAsiaTheme="minorEastAsia"/>
                <w:b/>
                <w:bCs/>
                <w:snapToGrid w:val="0"/>
                <w:kern w:val="0"/>
                <w:sz w:val="24"/>
              </w:rPr>
              <w:t>为非单一类型产品采购，核心产品已在招标文件第四章《采购内容及项目要求》中列明。</w:t>
            </w:r>
          </w:p>
          <w:p>
            <w:pPr>
              <w:spacing w:line="360" w:lineRule="auto"/>
              <w:ind w:firstLine="482" w:firstLineChars="200"/>
              <w:rPr>
                <w:rFonts w:asciiTheme="minorEastAsia" w:hAnsiTheme="minorEastAsia" w:eastAsiaTheme="minorEastAsia"/>
                <w:b/>
                <w:bCs/>
                <w:snapToGrid w:val="0"/>
                <w:kern w:val="0"/>
                <w:sz w:val="24"/>
              </w:rPr>
            </w:pPr>
            <w:r>
              <w:rPr>
                <w:rFonts w:hint="eastAsia" w:asciiTheme="minorEastAsia" w:hAnsiTheme="minorEastAsia" w:eastAsiaTheme="minorEastAsia"/>
                <w:b/>
                <w:bCs/>
                <w:snapToGrid w:val="0"/>
                <w:kern w:val="0"/>
                <w:sz w:val="24"/>
              </w:rPr>
              <w:t>每包中多家供应商提供的产品（核心产品）品牌相同的，属投报相同品牌产品，按下列规定处理：</w:t>
            </w:r>
          </w:p>
          <w:p>
            <w:pPr>
              <w:spacing w:line="360" w:lineRule="auto"/>
              <w:ind w:firstLine="482" w:firstLineChars="200"/>
              <w:rPr>
                <w:rFonts w:asciiTheme="minorEastAsia" w:hAnsiTheme="minorEastAsia" w:eastAsiaTheme="minorEastAsia"/>
                <w:snapToGrid w:val="0"/>
                <w:kern w:val="0"/>
                <w:sz w:val="24"/>
              </w:rPr>
            </w:pPr>
            <w:r>
              <w:rPr>
                <w:rFonts w:hint="eastAsia" w:asciiTheme="minorEastAsia" w:hAnsiTheme="minorEastAsia" w:eastAsiaTheme="minorEastAsia"/>
                <w:b/>
                <w:bCs/>
                <w:snapToGrid w:val="0"/>
                <w:kern w:val="0"/>
                <w:sz w:val="24"/>
              </w:rPr>
              <w:t>提供相同品牌产品且通过资格审查、符合性审查的不同供应商参加同一合同项下投标的，按一家供应商计算，评审后得分最高的同品牌供应商获得中标人推荐资格；评审得分相同的，由采购人或者采购人委托评标委员会选择投标报价低的方式确定一个供应商获得中标人推荐资格，其他同品牌供应商不作为中标候选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16" w:hRule="atLeast"/>
          <w:jc w:val="center"/>
        </w:trPr>
        <w:tc>
          <w:tcPr>
            <w:tcW w:w="64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30</w:t>
            </w:r>
          </w:p>
        </w:tc>
        <w:tc>
          <w:tcPr>
            <w:tcW w:w="8971" w:type="dxa"/>
            <w:gridSpan w:val="2"/>
            <w:vAlign w:val="center"/>
          </w:tcPr>
          <w:p>
            <w:pPr>
              <w:spacing w:line="360" w:lineRule="auto"/>
              <w:ind w:firstLine="482" w:firstLineChars="200"/>
              <w:rPr>
                <w:rFonts w:cs="宋体" w:asciiTheme="minorEastAsia" w:hAnsiTheme="minorEastAsia" w:eastAsiaTheme="minorEastAsia"/>
                <w:kern w:val="0"/>
                <w:sz w:val="24"/>
              </w:rPr>
            </w:pPr>
            <w:r>
              <w:rPr>
                <w:rFonts w:hint="eastAsia" w:asciiTheme="minorEastAsia" w:hAnsiTheme="minorEastAsia" w:eastAsiaTheme="minorEastAsia"/>
                <w:b/>
                <w:sz w:val="24"/>
              </w:rPr>
              <w:t>供应商应派熟知本项目的技术人员出席开标会议，在评审过程中评标委员会可能会要求供应商代表进行澄清、说明或补正。</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b/>
          <w:bCs/>
          <w:sz w:val="24"/>
        </w:rPr>
      </w:pPr>
    </w:p>
    <w:p>
      <w:pPr>
        <w:spacing w:line="360" w:lineRule="auto"/>
        <w:rPr>
          <w:rFonts w:asciiTheme="minorEastAsia" w:hAnsiTheme="minorEastAsia" w:eastAsiaTheme="minorEastAsia"/>
          <w:b/>
          <w:bCs/>
          <w:sz w:val="24"/>
        </w:rPr>
      </w:pPr>
    </w:p>
    <w:p>
      <w:pPr>
        <w:spacing w:line="360" w:lineRule="auto"/>
        <w:rPr>
          <w:rFonts w:asciiTheme="minorEastAsia" w:hAnsiTheme="minorEastAsia" w:eastAsiaTheme="minorEastAsia"/>
          <w:b/>
          <w:bCs/>
          <w:sz w:val="24"/>
        </w:rPr>
      </w:pPr>
    </w:p>
    <w:p>
      <w:pPr>
        <w:spacing w:line="360" w:lineRule="auto"/>
        <w:rPr>
          <w:rFonts w:asciiTheme="minorEastAsia" w:hAnsiTheme="minorEastAsia" w:eastAsiaTheme="minorEastAsia"/>
          <w:b/>
          <w:bCs/>
          <w:sz w:val="24"/>
        </w:rPr>
      </w:pPr>
      <w:r>
        <w:rPr>
          <w:rFonts w:asciiTheme="minorEastAsia" w:hAnsiTheme="minorEastAsia" w:eastAsiaTheme="minorEastAsia"/>
          <w:b/>
          <w:bCs/>
          <w:sz w:val="24"/>
        </w:rPr>
        <w:t>附表</w:t>
      </w:r>
      <w:r>
        <w:rPr>
          <w:rFonts w:hint="eastAsia" w:asciiTheme="minorEastAsia" w:hAnsiTheme="minorEastAsia" w:eastAsiaTheme="minorEastAsia"/>
          <w:b/>
          <w:bCs/>
          <w:sz w:val="24"/>
        </w:rPr>
        <w:t>1</w:t>
      </w:r>
    </w:p>
    <w:p>
      <w:pPr>
        <w:spacing w:line="360" w:lineRule="auto"/>
        <w:jc w:val="center"/>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招标代理服务费收费标准</w:t>
      </w:r>
    </w:p>
    <w:tbl>
      <w:tblPr>
        <w:tblStyle w:val="75"/>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1"/>
        <w:gridCol w:w="4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4861" w:type="dxa"/>
            <w:tcBorders>
              <w:tl2br w:val="single" w:color="auto" w:sz="2" w:space="0"/>
            </w:tcBorders>
            <w:vAlign w:val="center"/>
          </w:tcPr>
          <w:p>
            <w:pPr>
              <w:widowControl/>
              <w:spacing w:line="360" w:lineRule="auto"/>
              <w:jc w:val="right"/>
              <w:rPr>
                <w:rFonts w:cs="楷体" w:asciiTheme="minorEastAsia" w:hAnsiTheme="minorEastAsia" w:eastAsiaTheme="minorEastAsia"/>
                <w:bCs/>
                <w:kern w:val="0"/>
                <w:sz w:val="24"/>
              </w:rPr>
            </w:pPr>
            <w:r>
              <w:rPr>
                <w:rFonts w:hint="eastAsia" w:cs="楷体" w:asciiTheme="minorEastAsia" w:hAnsiTheme="minorEastAsia" w:eastAsiaTheme="minorEastAsia"/>
                <w:bCs/>
                <w:kern w:val="0"/>
                <w:sz w:val="24"/>
              </w:rPr>
              <w:t>代理服务类型</w:t>
            </w:r>
          </w:p>
          <w:p>
            <w:pPr>
              <w:widowControl/>
              <w:spacing w:line="360" w:lineRule="auto"/>
              <w:jc w:val="left"/>
              <w:rPr>
                <w:rFonts w:cs="楷体" w:asciiTheme="minorEastAsia" w:hAnsiTheme="minorEastAsia" w:eastAsiaTheme="minorEastAsia"/>
                <w:bCs/>
                <w:kern w:val="0"/>
                <w:sz w:val="24"/>
              </w:rPr>
            </w:pPr>
            <w:r>
              <w:rPr>
                <w:rFonts w:hint="eastAsia" w:cs="楷体" w:asciiTheme="minorEastAsia" w:hAnsiTheme="minorEastAsia" w:eastAsiaTheme="minorEastAsia"/>
                <w:bCs/>
                <w:kern w:val="0"/>
                <w:sz w:val="24"/>
              </w:rPr>
              <w:t>中标（成交）</w:t>
            </w:r>
          </w:p>
          <w:p>
            <w:pPr>
              <w:widowControl/>
              <w:spacing w:line="360" w:lineRule="auto"/>
              <w:jc w:val="left"/>
              <w:rPr>
                <w:rFonts w:cs="楷体" w:asciiTheme="minorEastAsia" w:hAnsiTheme="minorEastAsia" w:eastAsiaTheme="minorEastAsia"/>
                <w:kern w:val="0"/>
                <w:sz w:val="24"/>
              </w:rPr>
            </w:pPr>
            <w:r>
              <w:rPr>
                <w:rFonts w:hint="eastAsia" w:cs="楷体" w:asciiTheme="minorEastAsia" w:hAnsiTheme="minorEastAsia" w:eastAsiaTheme="minorEastAsia"/>
                <w:bCs/>
                <w:kern w:val="0"/>
                <w:sz w:val="24"/>
              </w:rPr>
              <w:t>金额（万元）</w:t>
            </w:r>
          </w:p>
        </w:tc>
        <w:tc>
          <w:tcPr>
            <w:tcW w:w="4658" w:type="dxa"/>
            <w:vAlign w:val="center"/>
          </w:tcPr>
          <w:p>
            <w:pPr>
              <w:widowControl/>
              <w:spacing w:line="360" w:lineRule="auto"/>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货物采购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4861" w:type="dxa"/>
            <w:vAlign w:val="center"/>
          </w:tcPr>
          <w:p>
            <w:pPr>
              <w:widowControl/>
              <w:jc w:val="left"/>
              <w:rPr>
                <w:rFonts w:cs="楷体" w:asciiTheme="minorEastAsia" w:hAnsiTheme="minorEastAsia" w:eastAsiaTheme="minorEastAsia"/>
                <w:kern w:val="0"/>
                <w:sz w:val="24"/>
              </w:rPr>
            </w:pPr>
            <w:r>
              <w:rPr>
                <w:rFonts w:hint="eastAsia" w:cs="楷体" w:asciiTheme="minorEastAsia" w:hAnsiTheme="minorEastAsia" w:eastAsiaTheme="minorEastAsia"/>
                <w:kern w:val="0"/>
                <w:sz w:val="24"/>
              </w:rPr>
              <w:t>100以下</w:t>
            </w:r>
          </w:p>
        </w:tc>
        <w:tc>
          <w:tcPr>
            <w:tcW w:w="4658" w:type="dxa"/>
            <w:vAlign w:val="center"/>
          </w:tcPr>
          <w:p>
            <w:pPr>
              <w:widowControl/>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61" w:type="dxa"/>
            <w:vAlign w:val="center"/>
          </w:tcPr>
          <w:p>
            <w:pPr>
              <w:widowControl/>
              <w:jc w:val="left"/>
              <w:rPr>
                <w:rFonts w:cs="楷体" w:asciiTheme="minorEastAsia" w:hAnsiTheme="minorEastAsia" w:eastAsiaTheme="minorEastAsia"/>
                <w:kern w:val="0"/>
                <w:sz w:val="24"/>
              </w:rPr>
            </w:pPr>
            <w:r>
              <w:rPr>
                <w:rFonts w:hint="eastAsia" w:cs="楷体" w:asciiTheme="minorEastAsia" w:hAnsiTheme="minorEastAsia" w:eastAsiaTheme="minorEastAsia"/>
                <w:kern w:val="0"/>
                <w:sz w:val="24"/>
              </w:rPr>
              <w:t>100—500</w:t>
            </w:r>
          </w:p>
        </w:tc>
        <w:tc>
          <w:tcPr>
            <w:tcW w:w="4658" w:type="dxa"/>
            <w:vAlign w:val="center"/>
          </w:tcPr>
          <w:p>
            <w:pPr>
              <w:widowControl/>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61" w:type="dxa"/>
            <w:vAlign w:val="center"/>
          </w:tcPr>
          <w:p>
            <w:pPr>
              <w:widowControl/>
              <w:jc w:val="left"/>
              <w:rPr>
                <w:rFonts w:cs="楷体" w:asciiTheme="minorEastAsia" w:hAnsiTheme="minorEastAsia" w:eastAsiaTheme="minorEastAsia"/>
                <w:kern w:val="0"/>
                <w:sz w:val="24"/>
              </w:rPr>
            </w:pPr>
            <w:r>
              <w:rPr>
                <w:rFonts w:hint="eastAsia" w:cs="楷体" w:asciiTheme="minorEastAsia" w:hAnsiTheme="minorEastAsia" w:eastAsiaTheme="minorEastAsia"/>
                <w:kern w:val="0"/>
                <w:sz w:val="24"/>
              </w:rPr>
              <w:t>500—1000</w:t>
            </w:r>
          </w:p>
        </w:tc>
        <w:tc>
          <w:tcPr>
            <w:tcW w:w="4658" w:type="dxa"/>
            <w:vAlign w:val="center"/>
          </w:tcPr>
          <w:p>
            <w:pPr>
              <w:widowControl/>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4861" w:type="dxa"/>
            <w:vAlign w:val="center"/>
          </w:tcPr>
          <w:p>
            <w:pPr>
              <w:widowControl/>
              <w:jc w:val="left"/>
              <w:rPr>
                <w:rFonts w:cs="楷体" w:asciiTheme="minorEastAsia" w:hAnsiTheme="minorEastAsia" w:eastAsiaTheme="minorEastAsia"/>
                <w:kern w:val="0"/>
                <w:sz w:val="24"/>
              </w:rPr>
            </w:pPr>
            <w:r>
              <w:rPr>
                <w:rFonts w:hint="eastAsia" w:cs="楷体" w:asciiTheme="minorEastAsia" w:hAnsiTheme="minorEastAsia" w:eastAsiaTheme="minorEastAsia"/>
                <w:kern w:val="0"/>
                <w:sz w:val="24"/>
              </w:rPr>
              <w:t>1000—5000</w:t>
            </w:r>
          </w:p>
        </w:tc>
        <w:tc>
          <w:tcPr>
            <w:tcW w:w="4658" w:type="dxa"/>
            <w:vAlign w:val="center"/>
          </w:tcPr>
          <w:p>
            <w:pPr>
              <w:widowControl/>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61" w:type="dxa"/>
            <w:vAlign w:val="center"/>
          </w:tcPr>
          <w:p>
            <w:pPr>
              <w:widowControl/>
              <w:jc w:val="left"/>
              <w:rPr>
                <w:rFonts w:cs="楷体" w:asciiTheme="minorEastAsia" w:hAnsiTheme="minorEastAsia" w:eastAsiaTheme="minorEastAsia"/>
                <w:kern w:val="0"/>
                <w:sz w:val="24"/>
              </w:rPr>
            </w:pPr>
            <w:r>
              <w:rPr>
                <w:rFonts w:hint="eastAsia" w:cs="楷体" w:asciiTheme="minorEastAsia" w:hAnsiTheme="minorEastAsia" w:eastAsiaTheme="minorEastAsia"/>
                <w:kern w:val="0"/>
                <w:sz w:val="24"/>
              </w:rPr>
              <w:t>5000—10000</w:t>
            </w:r>
          </w:p>
        </w:tc>
        <w:tc>
          <w:tcPr>
            <w:tcW w:w="4658" w:type="dxa"/>
            <w:vAlign w:val="center"/>
          </w:tcPr>
          <w:p>
            <w:pPr>
              <w:widowControl/>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4861" w:type="dxa"/>
            <w:vAlign w:val="center"/>
          </w:tcPr>
          <w:p>
            <w:pPr>
              <w:widowControl/>
              <w:jc w:val="left"/>
              <w:rPr>
                <w:rFonts w:cs="楷体" w:asciiTheme="minorEastAsia" w:hAnsiTheme="minorEastAsia" w:eastAsiaTheme="minorEastAsia"/>
                <w:kern w:val="0"/>
                <w:sz w:val="24"/>
              </w:rPr>
            </w:pPr>
            <w:r>
              <w:rPr>
                <w:rFonts w:hint="eastAsia" w:cs="楷体" w:asciiTheme="minorEastAsia" w:hAnsiTheme="minorEastAsia" w:eastAsiaTheme="minorEastAsia"/>
                <w:kern w:val="0"/>
                <w:sz w:val="24"/>
              </w:rPr>
              <w:t>10000——100000</w:t>
            </w:r>
          </w:p>
        </w:tc>
        <w:tc>
          <w:tcPr>
            <w:tcW w:w="4658" w:type="dxa"/>
            <w:vAlign w:val="center"/>
          </w:tcPr>
          <w:p>
            <w:pPr>
              <w:widowControl/>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4861" w:type="dxa"/>
            <w:vAlign w:val="center"/>
          </w:tcPr>
          <w:p>
            <w:pPr>
              <w:widowControl/>
              <w:jc w:val="left"/>
              <w:rPr>
                <w:rFonts w:cs="楷体" w:asciiTheme="minorEastAsia" w:hAnsiTheme="minorEastAsia" w:eastAsiaTheme="minorEastAsia"/>
                <w:kern w:val="0"/>
                <w:sz w:val="24"/>
              </w:rPr>
            </w:pPr>
            <w:r>
              <w:rPr>
                <w:rFonts w:hint="eastAsia" w:cs="楷体" w:asciiTheme="minorEastAsia" w:hAnsiTheme="minorEastAsia" w:eastAsiaTheme="minorEastAsia"/>
                <w:kern w:val="0"/>
                <w:sz w:val="24"/>
              </w:rPr>
              <w:t>100000以上</w:t>
            </w:r>
          </w:p>
        </w:tc>
        <w:tc>
          <w:tcPr>
            <w:tcW w:w="4658" w:type="dxa"/>
            <w:vAlign w:val="center"/>
          </w:tcPr>
          <w:p>
            <w:pPr>
              <w:widowControl/>
              <w:jc w:val="center"/>
              <w:rPr>
                <w:rFonts w:cs="楷体" w:asciiTheme="minorEastAsia" w:hAnsiTheme="minorEastAsia" w:eastAsiaTheme="minorEastAsia"/>
                <w:b/>
                <w:kern w:val="0"/>
                <w:sz w:val="24"/>
              </w:rPr>
            </w:pPr>
            <w:r>
              <w:rPr>
                <w:rFonts w:hint="eastAsia" w:cs="楷体" w:asciiTheme="minorEastAsia" w:hAnsiTheme="minorEastAsia" w:eastAsiaTheme="minorEastAsia"/>
                <w:b/>
                <w:kern w:val="0"/>
                <w:sz w:val="24"/>
              </w:rPr>
              <w:t>0.01％</w:t>
            </w:r>
          </w:p>
        </w:tc>
      </w:tr>
    </w:tbl>
    <w:p>
      <w:pPr>
        <w:tabs>
          <w:tab w:val="left" w:pos="1146"/>
        </w:tabs>
        <w:spacing w:line="560" w:lineRule="exact"/>
        <w:jc w:val="left"/>
        <w:rPr>
          <w:rFonts w:asciiTheme="minorEastAsia" w:hAnsiTheme="minorEastAsia" w:eastAsiaTheme="minorEastAsia"/>
          <w:b/>
          <w:bCs/>
          <w:snapToGrid w:val="0"/>
          <w:kern w:val="0"/>
          <w:sz w:val="24"/>
        </w:rPr>
      </w:pPr>
      <w:r>
        <w:rPr>
          <w:rFonts w:hint="eastAsia" w:asciiTheme="minorEastAsia" w:hAnsiTheme="minorEastAsia" w:eastAsiaTheme="minorEastAsia"/>
          <w:b/>
          <w:bCs/>
          <w:snapToGrid w:val="0"/>
          <w:kern w:val="0"/>
          <w:sz w:val="24"/>
        </w:rPr>
        <w:t>附表2</w:t>
      </w:r>
    </w:p>
    <w:p>
      <w:pPr>
        <w:spacing w:line="432" w:lineRule="auto"/>
        <w:jc w:val="center"/>
        <w:rPr>
          <w:rFonts w:asciiTheme="minorEastAsia" w:hAnsiTheme="minorEastAsia" w:eastAsiaTheme="minorEastAsia"/>
        </w:rPr>
      </w:pPr>
      <w:r>
        <w:rPr>
          <w:rFonts w:hint="eastAsia" w:asciiTheme="minorEastAsia" w:hAnsiTheme="minorEastAsia" w:eastAsiaTheme="minorEastAsia"/>
          <w:b/>
          <w:bCs/>
          <w:color w:val="000000"/>
          <w:sz w:val="32"/>
          <w:szCs w:val="32"/>
        </w:rPr>
        <w:t>关于印发中小企业划型标准规定的通知</w:t>
      </w:r>
      <w:r>
        <w:rPr>
          <w:rFonts w:hint="eastAsia" w:cs="楷体_GB2312" w:asciiTheme="minorEastAsia" w:hAnsiTheme="minorEastAsia" w:eastAsiaTheme="minorEastAsia"/>
          <w:color w:val="000000"/>
        </w:rPr>
        <w:br w:type="textWrapping"/>
      </w:r>
      <w:r>
        <w:rPr>
          <w:rFonts w:cs="楷体_GB2312" w:asciiTheme="minorEastAsia" w:hAnsiTheme="minorEastAsia" w:eastAsiaTheme="minorEastAsia"/>
          <w:color w:val="000000"/>
        </w:rPr>
        <w:t>工信部联企业〔2011〕300号</w:t>
      </w:r>
    </w:p>
    <w:p>
      <w:pPr>
        <w:spacing w:line="432" w:lineRule="auto"/>
        <w:rPr>
          <w:rFonts w:asciiTheme="minorEastAsia" w:hAnsiTheme="minorEastAsia" w:eastAsiaTheme="minorEastAsia"/>
        </w:rPr>
      </w:pPr>
      <w:r>
        <w:rPr>
          <w:rFonts w:hint="eastAsia" w:asciiTheme="minorEastAsia" w:hAnsiTheme="minorEastAsia" w:eastAsiaTheme="minorEastAsia"/>
          <w:color w:val="000000"/>
          <w:sz w:val="24"/>
          <w:szCs w:val="32"/>
        </w:rPr>
        <w:t>各省、自治区、直辖市人民政府，国务院各部委、各直属机构及有关单位：</w:t>
      </w:r>
      <w:r>
        <w:rPr>
          <w:rFonts w:hint="eastAsia" w:asciiTheme="minorEastAsia" w:hAnsiTheme="minorEastAsia" w:eastAsiaTheme="minorEastAsia"/>
          <w:color w:val="000000"/>
          <w:sz w:val="24"/>
          <w:szCs w:val="32"/>
        </w:rPr>
        <w:br w:type="textWrapping"/>
      </w:r>
      <w:r>
        <w:rPr>
          <w:rFonts w:hint="eastAsia" w:asciiTheme="minorEastAsia" w:hAnsiTheme="minorEastAsia" w:eastAsiaTheme="minorEastAsia"/>
          <w:color w:val="000000"/>
          <w:sz w:val="24"/>
          <w:szCs w:val="32"/>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Theme="minorEastAsia" w:hAnsiTheme="minorEastAsia" w:eastAsiaTheme="minorEastAsia"/>
          <w:color w:val="000000"/>
          <w:sz w:val="24"/>
          <w:szCs w:val="32"/>
        </w:rPr>
        <w:br w:type="textWrapping"/>
      </w:r>
      <w:r>
        <w:rPr>
          <w:rFonts w:hint="eastAsia" w:asciiTheme="minorEastAsia" w:hAnsiTheme="minorEastAsia" w:eastAsiaTheme="minorEastAsia"/>
          <w:color w:val="000000"/>
          <w:sz w:val="24"/>
          <w:szCs w:val="32"/>
        </w:rPr>
        <w:t>　　　　　　　　　　　　　　　　　　　　　　 工业和信息化部　国家统计局</w:t>
      </w:r>
      <w:r>
        <w:rPr>
          <w:rFonts w:hint="eastAsia" w:asciiTheme="minorEastAsia" w:hAnsiTheme="minorEastAsia" w:eastAsiaTheme="minorEastAsia"/>
          <w:color w:val="000000"/>
          <w:sz w:val="24"/>
          <w:szCs w:val="32"/>
        </w:rPr>
        <w:br w:type="textWrapping"/>
      </w:r>
      <w:r>
        <w:rPr>
          <w:rFonts w:hint="eastAsia" w:asciiTheme="minorEastAsia" w:hAnsiTheme="minorEastAsia" w:eastAsiaTheme="minorEastAsia"/>
          <w:color w:val="000000"/>
          <w:sz w:val="24"/>
          <w:szCs w:val="32"/>
        </w:rPr>
        <w:t>　　　　　　　　　　　　　　　　　　　　　　国家发展和改革委员会　财政部</w:t>
      </w:r>
      <w:r>
        <w:rPr>
          <w:rFonts w:hint="eastAsia" w:asciiTheme="minorEastAsia" w:hAnsiTheme="minorEastAsia" w:eastAsiaTheme="minorEastAsia"/>
          <w:color w:val="000000"/>
        </w:rPr>
        <w:br w:type="textWrapping"/>
      </w:r>
      <w:r>
        <w:rPr>
          <w:rFonts w:hint="eastAsia" w:asciiTheme="minorEastAsia" w:hAnsiTheme="minorEastAsia" w:eastAsiaTheme="minorEastAsia"/>
          <w:color w:val="000000"/>
        </w:rPr>
        <w:t>　　　　　　　　　　　　　　　　　　　　　</w:t>
      </w:r>
      <w:r>
        <w:rPr>
          <w:rFonts w:hint="eastAsia" w:asciiTheme="minorEastAsia" w:hAnsiTheme="minorEastAsia" w:eastAsiaTheme="minorEastAsia"/>
          <w:color w:val="000000"/>
          <w:sz w:val="24"/>
          <w:szCs w:val="32"/>
        </w:rPr>
        <w:t xml:space="preserve">　　　 </w:t>
      </w:r>
      <w:r>
        <w:rPr>
          <w:rFonts w:asciiTheme="minorEastAsia" w:hAnsiTheme="minorEastAsia" w:eastAsiaTheme="minorEastAsia"/>
          <w:color w:val="000000"/>
          <w:sz w:val="24"/>
          <w:szCs w:val="32"/>
        </w:rPr>
        <w:t xml:space="preserve">     </w:t>
      </w:r>
      <w:r>
        <w:rPr>
          <w:rFonts w:hint="eastAsia" w:asciiTheme="minorEastAsia" w:hAnsiTheme="minorEastAsia" w:eastAsiaTheme="minorEastAsia"/>
          <w:color w:val="000000"/>
          <w:sz w:val="24"/>
          <w:szCs w:val="32"/>
        </w:rPr>
        <w:t>二○一一年六月十八日</w:t>
      </w:r>
    </w:p>
    <w:p>
      <w:pPr>
        <w:spacing w:line="432" w:lineRule="auto"/>
        <w:jc w:val="center"/>
        <w:rPr>
          <w:rFonts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t>中小企业划型标准规定</w:t>
      </w:r>
    </w:p>
    <w:p>
      <w:pPr>
        <w:tabs>
          <w:tab w:val="left" w:pos="1146"/>
        </w:tabs>
        <w:spacing w:line="360" w:lineRule="auto"/>
        <w:ind w:firstLine="480"/>
        <w:jc w:val="left"/>
        <w:rPr>
          <w:rFonts w:asciiTheme="minorEastAsia" w:hAnsiTheme="minorEastAsia" w:eastAsiaTheme="minorEastAsia"/>
          <w:b/>
          <w:sz w:val="30"/>
          <w:szCs w:val="30"/>
        </w:rPr>
      </w:pPr>
      <w:r>
        <w:rPr>
          <w:rFonts w:hint="eastAsia" w:asciiTheme="minorEastAsia" w:hAnsiTheme="minorEastAsia" w:eastAsiaTheme="minorEastAsia"/>
          <w:color w:val="000000"/>
          <w:sz w:val="24"/>
        </w:rPr>
        <w:t>一、根据《中华人民共和国中小企业促进法》和《国务院关于进一步促进中小企业发展的若干意见》(国发〔2009〕36号)，制定本规定。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二、中小企业划分为中型、小型、微型三种类型，具体标准根据企业从业人员、营业收入、资产总额等指标，结合行业特点制定。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四、各行业划型标准为：</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（一）农、林、牧、渔业。营业收入20000万元以下的为中小微型企业。其中，营业收入500万元及以上的为中型企业，营业收入50万元及以上的为小型企业，营业收入50万元以下的为微型企业。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三）建筑业。营业收入80000万元以下或资产总额80000万元以下的为中小微型企业。其中，营业收入3460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（十六）其他未列明行业。从业人员300人以下的为中小微型企业。其中，从业人员100人及以上的为中型企业；从业人员10人及以上的为小型企业；从业人员10人以下的为微型企业。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五、企业类型的划分以统计部门的统计数据为依据。</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六、本规定适用于在中华人民共和国境内依法设立的各类所有制和各种组织形式的企业。个体工商户和本规定以外的行业，参照本规定进行划型。</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八、本规定由工业和信息化部、国家统计局会同有关部门根据《国民经济行业分类》修订情况和企业发展变化情况适时修订。</w:t>
      </w:r>
      <w:r>
        <w:rPr>
          <w:rFonts w:hint="eastAsia" w:asciiTheme="minorEastAsia" w:hAnsiTheme="minorEastAsia" w:eastAsiaTheme="minorEastAsia"/>
          <w:color w:val="000000"/>
          <w:sz w:val="24"/>
        </w:rPr>
        <w:br w:type="textWrapping"/>
      </w:r>
      <w:r>
        <w:rPr>
          <w:rFonts w:hint="eastAsia" w:asciiTheme="minorEastAsia" w:hAnsiTheme="minorEastAsia" w:eastAsiaTheme="minorEastAsia"/>
          <w:color w:val="000000"/>
          <w:sz w:val="24"/>
        </w:rPr>
        <w:t>　　九、本规定由工业和信息化部、国家统计局会同有关部门负责解释。</w:t>
      </w:r>
      <w:r>
        <w:rPr>
          <w:rFonts w:asciiTheme="minorEastAsia" w:hAnsiTheme="minorEastAsia" w:eastAsiaTheme="minorEastAsia"/>
          <w:b/>
          <w:sz w:val="28"/>
        </w:rPr>
        <w:br w:type="page"/>
      </w:r>
      <w:bookmarkEnd w:id="33"/>
      <w:r>
        <w:rPr>
          <w:rFonts w:asciiTheme="minorEastAsia" w:hAnsiTheme="minorEastAsia" w:eastAsiaTheme="minorEastAsia"/>
          <w:b/>
          <w:sz w:val="28"/>
        </w:rPr>
        <w:t xml:space="preserve">                           </w:t>
      </w:r>
      <w:r>
        <w:rPr>
          <w:rFonts w:hint="eastAsia" w:asciiTheme="minorEastAsia" w:hAnsiTheme="minorEastAsia" w:eastAsiaTheme="minorEastAsia"/>
          <w:b/>
          <w:sz w:val="30"/>
          <w:szCs w:val="30"/>
        </w:rPr>
        <w:t>供应商须知正文</w:t>
      </w:r>
    </w:p>
    <w:p>
      <w:pPr>
        <w:pStyle w:val="4"/>
        <w:spacing w:before="120" w:after="120" w:line="360" w:lineRule="exact"/>
        <w:ind w:firstLine="516" w:firstLineChars="214"/>
        <w:rPr>
          <w:rFonts w:asciiTheme="minorEastAsia" w:hAnsiTheme="minorEastAsia" w:eastAsiaTheme="minorEastAsia"/>
          <w:sz w:val="24"/>
          <w:szCs w:val="24"/>
        </w:rPr>
      </w:pPr>
      <w:bookmarkStart w:id="37" w:name="_Toc18862"/>
      <w:r>
        <w:rPr>
          <w:rFonts w:hint="eastAsia" w:asciiTheme="minorEastAsia" w:hAnsiTheme="minorEastAsia" w:eastAsiaTheme="minorEastAsia"/>
          <w:sz w:val="24"/>
          <w:szCs w:val="24"/>
        </w:rPr>
        <w:t>一、说明</w:t>
      </w:r>
      <w:bookmarkEnd w:id="37"/>
    </w:p>
    <w:p>
      <w:pPr>
        <w:pStyle w:val="2"/>
        <w:spacing w:line="560" w:lineRule="exact"/>
        <w:ind w:firstLine="573" w:firstLineChars="238"/>
        <w:rPr>
          <w:rFonts w:asciiTheme="minorEastAsia" w:hAnsiTheme="minorEastAsia" w:eastAsiaTheme="minorEastAsia"/>
          <w:b/>
          <w:bCs/>
          <w:sz w:val="24"/>
        </w:rPr>
      </w:pPr>
      <w:bookmarkStart w:id="38" w:name="_Toc346372877"/>
      <w:bookmarkStart w:id="39" w:name="_Toc346306730"/>
      <w:bookmarkStart w:id="40" w:name="_Toc352332851"/>
      <w:r>
        <w:rPr>
          <w:rFonts w:asciiTheme="minorEastAsia" w:hAnsiTheme="minorEastAsia" w:eastAsiaTheme="minorEastAsia"/>
          <w:b/>
          <w:bCs/>
          <w:sz w:val="24"/>
        </w:rPr>
        <w:t xml:space="preserve">1. </w:t>
      </w:r>
      <w:bookmarkEnd w:id="38"/>
      <w:bookmarkEnd w:id="39"/>
      <w:bookmarkEnd w:id="40"/>
      <w:r>
        <w:rPr>
          <w:rFonts w:hint="eastAsia" w:asciiTheme="minorEastAsia" w:hAnsiTheme="minorEastAsia" w:eastAsiaTheme="minorEastAsia"/>
          <w:b/>
          <w:bCs/>
          <w:sz w:val="24"/>
        </w:rPr>
        <w:t>采购人</w:t>
      </w:r>
    </w:p>
    <w:p>
      <w:pPr>
        <w:pStyle w:val="2"/>
        <w:spacing w:line="560" w:lineRule="exact"/>
        <w:ind w:firstLine="571" w:firstLineChars="238"/>
        <w:rPr>
          <w:rFonts w:cs="TimesNewRomanPSMT" w:asciiTheme="minorEastAsia" w:hAnsiTheme="minorEastAsia" w:eastAsiaTheme="minorEastAsia"/>
          <w:sz w:val="24"/>
        </w:rPr>
      </w:pPr>
      <w:r>
        <w:rPr>
          <w:rFonts w:hint="eastAsia" w:cs="TimesNewRomanPSMT" w:asciiTheme="minorEastAsia" w:hAnsiTheme="minorEastAsia" w:eastAsiaTheme="minorEastAsia"/>
          <w:sz w:val="24"/>
        </w:rPr>
        <w:t>详见供应商须知前附表。</w:t>
      </w:r>
    </w:p>
    <w:p>
      <w:pPr>
        <w:pStyle w:val="2"/>
        <w:spacing w:line="560" w:lineRule="exact"/>
        <w:ind w:firstLine="573" w:firstLineChars="238"/>
        <w:rPr>
          <w:rFonts w:asciiTheme="minorEastAsia" w:hAnsiTheme="minorEastAsia" w:eastAsiaTheme="minorEastAsia"/>
          <w:b/>
          <w:bCs/>
          <w:sz w:val="24"/>
        </w:rPr>
      </w:pPr>
      <w:bookmarkStart w:id="41" w:name="_Toc346306731"/>
      <w:bookmarkStart w:id="42" w:name="_Toc346372878"/>
      <w:bookmarkStart w:id="43" w:name="_Toc352332852"/>
      <w:r>
        <w:rPr>
          <w:rFonts w:asciiTheme="minorEastAsia" w:hAnsiTheme="minorEastAsia" w:eastAsiaTheme="minorEastAsia"/>
          <w:b/>
          <w:bCs/>
          <w:sz w:val="24"/>
        </w:rPr>
        <w:t xml:space="preserve">2. </w:t>
      </w:r>
      <w:bookmarkEnd w:id="41"/>
      <w:bookmarkEnd w:id="42"/>
      <w:bookmarkEnd w:id="43"/>
      <w:r>
        <w:rPr>
          <w:rFonts w:hint="eastAsia" w:asciiTheme="minorEastAsia" w:hAnsiTheme="minorEastAsia" w:eastAsiaTheme="minorEastAsia"/>
          <w:b/>
          <w:bCs/>
          <w:sz w:val="24"/>
        </w:rPr>
        <w:t>代理机构</w:t>
      </w:r>
    </w:p>
    <w:p>
      <w:pPr>
        <w:autoSpaceDE w:val="0"/>
        <w:autoSpaceDN w:val="0"/>
        <w:adjustRightInd w:val="0"/>
        <w:snapToGrid w:val="0"/>
        <w:spacing w:line="560" w:lineRule="exact"/>
        <w:ind w:firstLine="600" w:firstLineChars="250"/>
        <w:jc w:val="left"/>
        <w:rPr>
          <w:rFonts w:cs="TimesNewRomanPSMT" w:asciiTheme="minorEastAsia" w:hAnsiTheme="minorEastAsia" w:eastAsiaTheme="minorEastAsia"/>
          <w:kern w:val="0"/>
          <w:sz w:val="24"/>
        </w:rPr>
      </w:pPr>
      <w:bookmarkStart w:id="44" w:name="_Toc346372879"/>
      <w:bookmarkStart w:id="45" w:name="_Toc346306732"/>
      <w:bookmarkStart w:id="46" w:name="_Toc352332853"/>
      <w:r>
        <w:rPr>
          <w:rFonts w:hint="eastAsia" w:cs="TimesNewRomanPSMT" w:asciiTheme="minorEastAsia" w:hAnsiTheme="minorEastAsia" w:eastAsiaTheme="minorEastAsia"/>
          <w:kern w:val="0"/>
          <w:sz w:val="24"/>
        </w:rPr>
        <w:t>详见供应商须知前附表。</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 xml:space="preserve">3. </w:t>
      </w:r>
      <w:r>
        <w:rPr>
          <w:rFonts w:hint="eastAsia" w:asciiTheme="minorEastAsia" w:hAnsiTheme="minorEastAsia" w:eastAsiaTheme="minorEastAsia"/>
          <w:b/>
          <w:bCs/>
          <w:sz w:val="24"/>
        </w:rPr>
        <w:t>合格供应商</w:t>
      </w:r>
      <w:bookmarkEnd w:id="44"/>
      <w:bookmarkEnd w:id="45"/>
      <w:bookmarkEnd w:id="46"/>
    </w:p>
    <w:p>
      <w:pPr>
        <w:autoSpaceDE w:val="0"/>
        <w:autoSpaceDN w:val="0"/>
        <w:adjustRightInd w:val="0"/>
        <w:snapToGrid w:val="0"/>
        <w:spacing w:line="560" w:lineRule="exact"/>
        <w:ind w:firstLine="600" w:firstLineChars="250"/>
        <w:jc w:val="left"/>
        <w:rPr>
          <w:rFonts w:cs="TimesNewRomanPSMT" w:asciiTheme="minorEastAsia" w:hAnsiTheme="minorEastAsia" w:eastAsiaTheme="minorEastAsia"/>
          <w:kern w:val="0"/>
          <w:sz w:val="24"/>
        </w:rPr>
      </w:pPr>
      <w:r>
        <w:rPr>
          <w:rFonts w:hint="eastAsia" w:cs="TimesNewRomanPSMT" w:asciiTheme="minorEastAsia" w:hAnsiTheme="minorEastAsia" w:eastAsiaTheme="minorEastAsia"/>
          <w:kern w:val="0"/>
          <w:sz w:val="24"/>
        </w:rPr>
        <w:t>详见供应商须知前附表。</w:t>
      </w:r>
      <w:bookmarkStart w:id="47" w:name="_Toc346306733"/>
      <w:bookmarkStart w:id="48" w:name="_Toc352332854"/>
      <w:bookmarkStart w:id="49" w:name="_Toc346372880"/>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 xml:space="preserve">4. </w:t>
      </w:r>
      <w:bookmarkEnd w:id="47"/>
      <w:bookmarkEnd w:id="48"/>
      <w:bookmarkEnd w:id="49"/>
      <w:r>
        <w:rPr>
          <w:rFonts w:hint="eastAsia" w:asciiTheme="minorEastAsia" w:hAnsiTheme="minorEastAsia" w:eastAsiaTheme="minorEastAsia"/>
          <w:b/>
          <w:bCs/>
          <w:sz w:val="24"/>
        </w:rPr>
        <w:t>投标费用</w:t>
      </w:r>
    </w:p>
    <w:p>
      <w:pPr>
        <w:autoSpaceDE w:val="0"/>
        <w:autoSpaceDN w:val="0"/>
        <w:adjustRightInd w:val="0"/>
        <w:snapToGrid w:val="0"/>
        <w:spacing w:line="560" w:lineRule="exact"/>
        <w:ind w:firstLine="480" w:firstLineChars="200"/>
        <w:jc w:val="left"/>
        <w:rPr>
          <w:rFonts w:cs="TimesNewRomanPSMT" w:asciiTheme="minorEastAsia" w:hAnsiTheme="minorEastAsia" w:eastAsiaTheme="minorEastAsia"/>
          <w:kern w:val="0"/>
          <w:sz w:val="24"/>
        </w:rPr>
      </w:pPr>
      <w:r>
        <w:rPr>
          <w:rFonts w:hint="eastAsia" w:cs="TimesNewRomanPSMT" w:asciiTheme="minorEastAsia" w:hAnsiTheme="minorEastAsia" w:eastAsiaTheme="minorEastAsia"/>
          <w:kern w:val="0"/>
          <w:sz w:val="24"/>
        </w:rPr>
        <w:t>无论投标过程中的方法和结果如何，供应商自行承担所有与参加投标有关费用。</w:t>
      </w:r>
    </w:p>
    <w:p>
      <w:pPr>
        <w:pStyle w:val="4"/>
        <w:spacing w:before="120" w:after="120" w:line="360" w:lineRule="exact"/>
        <w:ind w:firstLine="516" w:firstLineChars="214"/>
        <w:rPr>
          <w:rFonts w:asciiTheme="minorEastAsia" w:hAnsiTheme="minorEastAsia" w:eastAsiaTheme="minorEastAsia"/>
          <w:sz w:val="24"/>
          <w:szCs w:val="24"/>
        </w:rPr>
      </w:pPr>
      <w:bookmarkStart w:id="50" w:name="_Toc24788"/>
      <w:r>
        <w:rPr>
          <w:rFonts w:hint="eastAsia" w:asciiTheme="minorEastAsia" w:hAnsiTheme="minorEastAsia" w:eastAsiaTheme="minorEastAsia"/>
          <w:sz w:val="24"/>
          <w:szCs w:val="24"/>
        </w:rPr>
        <w:t>二、招标文件</w:t>
      </w:r>
      <w:bookmarkEnd w:id="50"/>
    </w:p>
    <w:p>
      <w:pPr>
        <w:pStyle w:val="2"/>
        <w:spacing w:line="560" w:lineRule="exact"/>
        <w:ind w:firstLine="573" w:firstLineChars="238"/>
        <w:rPr>
          <w:rFonts w:asciiTheme="minorEastAsia" w:hAnsiTheme="minorEastAsia" w:eastAsiaTheme="minorEastAsia"/>
          <w:b/>
          <w:bCs/>
          <w:sz w:val="24"/>
        </w:rPr>
      </w:pPr>
      <w:bookmarkStart w:id="51" w:name="_Toc346372882"/>
      <w:bookmarkStart w:id="52" w:name="_Toc346306735"/>
      <w:bookmarkStart w:id="53" w:name="_Toc352332856"/>
      <w:r>
        <w:rPr>
          <w:rFonts w:asciiTheme="minorEastAsia" w:hAnsiTheme="minorEastAsia" w:eastAsiaTheme="minorEastAsia"/>
          <w:b/>
          <w:bCs/>
          <w:sz w:val="24"/>
        </w:rPr>
        <w:t xml:space="preserve">5. </w:t>
      </w:r>
      <w:r>
        <w:rPr>
          <w:rFonts w:hint="eastAsia" w:asciiTheme="minorEastAsia" w:hAnsiTheme="minorEastAsia" w:eastAsiaTheme="minorEastAsia"/>
          <w:b/>
          <w:bCs/>
          <w:sz w:val="24"/>
        </w:rPr>
        <w:t>招标文件组成</w:t>
      </w:r>
      <w:bookmarkEnd w:id="51"/>
      <w:bookmarkEnd w:id="52"/>
      <w:bookmarkEnd w:id="53"/>
    </w:p>
    <w:p>
      <w:pPr>
        <w:autoSpaceDE w:val="0"/>
        <w:autoSpaceDN w:val="0"/>
        <w:adjustRightInd w:val="0"/>
        <w:snapToGrid w:val="0"/>
        <w:spacing w:line="560" w:lineRule="exact"/>
        <w:ind w:firstLine="480" w:firstLineChars="200"/>
        <w:jc w:val="left"/>
        <w:rPr>
          <w:rFonts w:cs="TimesNewRomanPSMT" w:asciiTheme="minorEastAsia" w:hAnsiTheme="minorEastAsia" w:eastAsiaTheme="minorEastAsia"/>
          <w:kern w:val="0"/>
          <w:sz w:val="24"/>
        </w:rPr>
      </w:pPr>
      <w:r>
        <w:rPr>
          <w:rFonts w:hint="eastAsia" w:cs="TimesNewRomanPSMT" w:asciiTheme="minorEastAsia" w:hAnsiTheme="minorEastAsia" w:eastAsiaTheme="minorEastAsia"/>
          <w:kern w:val="0"/>
          <w:sz w:val="24"/>
        </w:rPr>
        <w:t>本招标文件由招标文件目录所列内容及按本招标文件要求发出的澄清、答疑和修改组成。</w:t>
      </w:r>
    </w:p>
    <w:p>
      <w:pPr>
        <w:pStyle w:val="2"/>
        <w:spacing w:line="560" w:lineRule="exact"/>
        <w:ind w:firstLine="573" w:firstLineChars="238"/>
        <w:rPr>
          <w:rFonts w:asciiTheme="minorEastAsia" w:hAnsiTheme="minorEastAsia" w:eastAsiaTheme="minorEastAsia"/>
          <w:b/>
          <w:bCs/>
          <w:sz w:val="24"/>
        </w:rPr>
      </w:pPr>
      <w:bookmarkStart w:id="54" w:name="_Toc346306736"/>
      <w:bookmarkStart w:id="55" w:name="_Toc346372883"/>
      <w:bookmarkStart w:id="56" w:name="_Toc352332857"/>
      <w:r>
        <w:rPr>
          <w:rFonts w:asciiTheme="minorEastAsia" w:hAnsiTheme="minorEastAsia" w:eastAsiaTheme="minorEastAsia"/>
          <w:b/>
          <w:bCs/>
          <w:sz w:val="24"/>
        </w:rPr>
        <w:t xml:space="preserve">6. </w:t>
      </w:r>
      <w:r>
        <w:rPr>
          <w:rFonts w:hint="eastAsia" w:asciiTheme="minorEastAsia" w:hAnsiTheme="minorEastAsia" w:eastAsiaTheme="minorEastAsia"/>
          <w:b/>
          <w:bCs/>
          <w:sz w:val="24"/>
        </w:rPr>
        <w:t>招标文件答疑</w:t>
      </w:r>
      <w:bookmarkEnd w:id="54"/>
      <w:bookmarkEnd w:id="55"/>
      <w:bookmarkEnd w:id="56"/>
    </w:p>
    <w:p>
      <w:pPr>
        <w:autoSpaceDE w:val="0"/>
        <w:autoSpaceDN w:val="0"/>
        <w:adjustRightInd w:val="0"/>
        <w:snapToGrid w:val="0"/>
        <w:spacing w:line="560" w:lineRule="exact"/>
        <w:ind w:firstLine="600" w:firstLineChars="250"/>
        <w:jc w:val="left"/>
        <w:rPr>
          <w:rFonts w:cs="TimesNewRomanPSMT" w:asciiTheme="minorEastAsia" w:hAnsiTheme="minorEastAsia" w:eastAsiaTheme="minorEastAsia"/>
          <w:kern w:val="0"/>
          <w:sz w:val="24"/>
        </w:rPr>
      </w:pPr>
      <w:r>
        <w:rPr>
          <w:rFonts w:hint="eastAsia" w:cs="TimesNewRomanPSMT" w:asciiTheme="minorEastAsia" w:hAnsiTheme="minorEastAsia" w:eastAsiaTheme="minorEastAsia"/>
          <w:kern w:val="0"/>
          <w:sz w:val="24"/>
        </w:rPr>
        <w:t>供应商对招标文件如有疑问，应于前附表所述时间以前以书面形式通知到代理机构。在前附表所述时间之前，代理机构将视情况以书面形式予以答复，如有必要可将答复内容包括原提出的问题（但不表明问题的来源），分发给所有取得同一招标文件的供应商。供应商须在收到代理机构的书面答复后</w:t>
      </w:r>
      <w:r>
        <w:rPr>
          <w:rFonts w:cs="TimesNewRomanPSMT" w:asciiTheme="minorEastAsia" w:hAnsiTheme="minorEastAsia" w:eastAsiaTheme="minorEastAsia"/>
          <w:kern w:val="0"/>
          <w:sz w:val="24"/>
        </w:rPr>
        <w:t>24</w:t>
      </w:r>
      <w:r>
        <w:rPr>
          <w:rFonts w:hint="eastAsia" w:cs="TimesNewRomanPSMT" w:asciiTheme="minorEastAsia" w:hAnsiTheme="minorEastAsia" w:eastAsiaTheme="minorEastAsia"/>
          <w:kern w:val="0"/>
          <w:sz w:val="24"/>
        </w:rPr>
        <w:t>小时内书面签章回复。</w:t>
      </w:r>
    </w:p>
    <w:p>
      <w:pPr>
        <w:pStyle w:val="2"/>
        <w:spacing w:line="560" w:lineRule="exact"/>
        <w:ind w:firstLine="573" w:firstLineChars="238"/>
        <w:rPr>
          <w:rFonts w:asciiTheme="minorEastAsia" w:hAnsiTheme="minorEastAsia" w:eastAsiaTheme="minorEastAsia"/>
          <w:b/>
          <w:bCs/>
          <w:sz w:val="24"/>
        </w:rPr>
      </w:pPr>
      <w:bookmarkStart w:id="57" w:name="_Toc352332858"/>
      <w:bookmarkStart w:id="58" w:name="_Toc346372884"/>
      <w:bookmarkStart w:id="59" w:name="_Toc346306737"/>
      <w:r>
        <w:rPr>
          <w:rFonts w:asciiTheme="minorEastAsia" w:hAnsiTheme="minorEastAsia" w:eastAsiaTheme="minorEastAsia"/>
          <w:b/>
          <w:bCs/>
          <w:sz w:val="24"/>
        </w:rPr>
        <w:t xml:space="preserve">7. </w:t>
      </w:r>
      <w:r>
        <w:rPr>
          <w:rFonts w:hint="eastAsia" w:asciiTheme="minorEastAsia" w:hAnsiTheme="minorEastAsia" w:eastAsiaTheme="minorEastAsia"/>
          <w:b/>
          <w:bCs/>
          <w:sz w:val="24"/>
        </w:rPr>
        <w:t>招标文件澄清和修改</w:t>
      </w:r>
      <w:bookmarkEnd w:id="57"/>
      <w:bookmarkEnd w:id="58"/>
      <w:bookmarkEnd w:id="59"/>
    </w:p>
    <w:p>
      <w:pPr>
        <w:autoSpaceDE w:val="0"/>
        <w:autoSpaceDN w:val="0"/>
        <w:adjustRightInd w:val="0"/>
        <w:snapToGrid w:val="0"/>
        <w:spacing w:line="560" w:lineRule="exact"/>
        <w:ind w:firstLine="480" w:firstLineChars="200"/>
        <w:jc w:val="left"/>
        <w:rPr>
          <w:rFonts w:cs="TimesNewRomanPSMT" w:asciiTheme="minorEastAsia" w:hAnsiTheme="minorEastAsia" w:eastAsiaTheme="minorEastAsia"/>
          <w:kern w:val="0"/>
          <w:sz w:val="24"/>
        </w:rPr>
      </w:pPr>
      <w:r>
        <w:rPr>
          <w:rFonts w:cs="TimesNewRomanPSMT" w:asciiTheme="minorEastAsia" w:hAnsiTheme="minorEastAsia" w:eastAsiaTheme="minorEastAsia"/>
          <w:kern w:val="0"/>
          <w:sz w:val="24"/>
        </w:rPr>
        <w:t xml:space="preserve">7.1 </w:t>
      </w:r>
      <w:r>
        <w:rPr>
          <w:rFonts w:hint="eastAsia" w:cs="TimesNewRomanPSMT" w:asciiTheme="minorEastAsia" w:hAnsiTheme="minorEastAsia" w:eastAsiaTheme="minorEastAsia"/>
          <w:kern w:val="0"/>
          <w:sz w:val="24"/>
        </w:rPr>
        <w:t>采购人或者采购代理机构主动对招标文件作出澄清或修改的内容，将在原公告发布媒体上发布澄清更正公告。澄清或者修改的内容可能影响投标文件编制的，采购代理机构将在投标截止时间至少15日前，以书面或公告等形式通知所有获取招标文件的潜在供应商，并对其具有约束力。该澄清或者修改的内容为招标文件的组成部分。</w:t>
      </w:r>
    </w:p>
    <w:p>
      <w:pPr>
        <w:autoSpaceDE w:val="0"/>
        <w:autoSpaceDN w:val="0"/>
        <w:adjustRightInd w:val="0"/>
        <w:snapToGrid w:val="0"/>
        <w:spacing w:line="560" w:lineRule="exact"/>
        <w:ind w:firstLine="480" w:firstLineChars="200"/>
        <w:jc w:val="left"/>
        <w:rPr>
          <w:rFonts w:asciiTheme="minorEastAsia" w:hAnsiTheme="minorEastAsia" w:eastAsiaTheme="minorEastAsia"/>
          <w:sz w:val="24"/>
        </w:rPr>
      </w:pPr>
      <w:r>
        <w:rPr>
          <w:rFonts w:cs="TimesNewRomanPSMT" w:asciiTheme="minorEastAsia" w:hAnsiTheme="minorEastAsia" w:eastAsiaTheme="minorEastAsia"/>
          <w:kern w:val="0"/>
          <w:sz w:val="24"/>
        </w:rPr>
        <w:t xml:space="preserve">7.2 </w:t>
      </w:r>
      <w:r>
        <w:rPr>
          <w:rFonts w:hint="eastAsia" w:cs="TimesNewRomanPSMT" w:asciiTheme="minorEastAsia" w:hAnsiTheme="minorEastAsia" w:eastAsiaTheme="minorEastAsia"/>
          <w:kern w:val="0"/>
          <w:sz w:val="24"/>
        </w:rPr>
        <w:t>供应商在收到上述通知后，应以书面形式向采购人或采购代理机构确认。供应商未回复的，视同已知晓澄清或者修改的内容。</w:t>
      </w:r>
    </w:p>
    <w:p>
      <w:pPr>
        <w:pStyle w:val="4"/>
        <w:spacing w:before="120" w:after="120" w:line="360" w:lineRule="exact"/>
        <w:ind w:firstLine="516" w:firstLineChars="214"/>
        <w:rPr>
          <w:rFonts w:asciiTheme="minorEastAsia" w:hAnsiTheme="minorEastAsia" w:eastAsiaTheme="minorEastAsia"/>
          <w:sz w:val="24"/>
          <w:szCs w:val="24"/>
        </w:rPr>
      </w:pPr>
      <w:bookmarkStart w:id="60" w:name="_Toc22339"/>
      <w:r>
        <w:rPr>
          <w:rFonts w:hint="eastAsia" w:asciiTheme="minorEastAsia" w:hAnsiTheme="minorEastAsia" w:eastAsiaTheme="minorEastAsia"/>
          <w:sz w:val="24"/>
          <w:szCs w:val="24"/>
        </w:rPr>
        <w:t>三、投标文件编写</w:t>
      </w:r>
      <w:bookmarkEnd w:id="60"/>
    </w:p>
    <w:p>
      <w:pPr>
        <w:pStyle w:val="2"/>
        <w:spacing w:line="560" w:lineRule="exact"/>
        <w:ind w:firstLine="573" w:firstLineChars="238"/>
        <w:rPr>
          <w:rFonts w:asciiTheme="minorEastAsia" w:hAnsiTheme="minorEastAsia" w:eastAsiaTheme="minorEastAsia"/>
          <w:b/>
          <w:bCs/>
          <w:sz w:val="24"/>
        </w:rPr>
      </w:pPr>
      <w:bookmarkStart w:id="61" w:name="_Toc346306739"/>
      <w:bookmarkStart w:id="62" w:name="_Toc346372886"/>
      <w:bookmarkStart w:id="63" w:name="_Toc352332860"/>
      <w:r>
        <w:rPr>
          <w:rFonts w:asciiTheme="minorEastAsia" w:hAnsiTheme="minorEastAsia" w:eastAsiaTheme="minorEastAsia"/>
          <w:b/>
          <w:bCs/>
          <w:sz w:val="24"/>
        </w:rPr>
        <w:t xml:space="preserve">8. </w:t>
      </w:r>
      <w:r>
        <w:rPr>
          <w:rFonts w:hint="eastAsia" w:asciiTheme="minorEastAsia" w:hAnsiTheme="minorEastAsia" w:eastAsiaTheme="minorEastAsia"/>
          <w:b/>
          <w:bCs/>
          <w:sz w:val="24"/>
        </w:rPr>
        <w:t>投标语言及计量单位</w:t>
      </w:r>
      <w:bookmarkEnd w:id="61"/>
      <w:bookmarkEnd w:id="62"/>
      <w:bookmarkEnd w:id="63"/>
    </w:p>
    <w:p>
      <w:pPr>
        <w:autoSpaceDE w:val="0"/>
        <w:autoSpaceDN w:val="0"/>
        <w:adjustRightInd w:val="0"/>
        <w:snapToGrid w:val="0"/>
        <w:spacing w:line="560" w:lineRule="exact"/>
        <w:ind w:firstLine="480" w:firstLineChars="200"/>
        <w:jc w:val="left"/>
        <w:rPr>
          <w:rFonts w:cs="TimesNewRomanPSMT" w:asciiTheme="minorEastAsia" w:hAnsiTheme="minorEastAsia" w:eastAsiaTheme="minorEastAsia"/>
          <w:kern w:val="0"/>
          <w:sz w:val="24"/>
        </w:rPr>
      </w:pPr>
      <w:r>
        <w:rPr>
          <w:rFonts w:cs="TimesNewRomanPSMT" w:asciiTheme="minorEastAsia" w:hAnsiTheme="minorEastAsia" w:eastAsiaTheme="minorEastAsia"/>
          <w:kern w:val="0"/>
          <w:sz w:val="24"/>
        </w:rPr>
        <w:t xml:space="preserve">8.1 </w:t>
      </w:r>
      <w:r>
        <w:rPr>
          <w:rFonts w:hint="eastAsia" w:cs="TimesNewRomanPSMT" w:asciiTheme="minorEastAsia" w:hAnsiTheme="minorEastAsia" w:eastAsiaTheme="minorEastAsia"/>
          <w:kern w:val="0"/>
          <w:sz w:val="24"/>
        </w:rPr>
        <w:t>供应商和代理机构就招投标交换的文件和来往信函均使用中文。</w:t>
      </w:r>
    </w:p>
    <w:p>
      <w:pPr>
        <w:autoSpaceDE w:val="0"/>
        <w:autoSpaceDN w:val="0"/>
        <w:adjustRightInd w:val="0"/>
        <w:snapToGrid w:val="0"/>
        <w:spacing w:line="560" w:lineRule="exact"/>
        <w:ind w:firstLine="480" w:firstLineChars="200"/>
        <w:jc w:val="left"/>
        <w:rPr>
          <w:rFonts w:cs="TimesNewRomanPSMT" w:asciiTheme="minorEastAsia" w:hAnsiTheme="minorEastAsia" w:eastAsiaTheme="minorEastAsia"/>
          <w:kern w:val="0"/>
          <w:sz w:val="24"/>
        </w:rPr>
      </w:pPr>
      <w:r>
        <w:rPr>
          <w:rFonts w:cs="TimesNewRomanPSMT" w:asciiTheme="minorEastAsia" w:hAnsiTheme="minorEastAsia" w:eastAsiaTheme="minorEastAsia"/>
          <w:kern w:val="0"/>
          <w:sz w:val="24"/>
        </w:rPr>
        <w:t xml:space="preserve">8.2 </w:t>
      </w:r>
      <w:r>
        <w:rPr>
          <w:rFonts w:hint="eastAsia" w:cs="TimesNewRomanPSMT" w:asciiTheme="minorEastAsia" w:hAnsiTheme="minorEastAsia" w:eastAsiaTheme="minorEastAsia"/>
          <w:kern w:val="0"/>
          <w:sz w:val="24"/>
        </w:rPr>
        <w:t>除招标文件的技术要求中另有规定外，投标文件中所使用的计量单位应使用中华人民共和国法定计量单位。</w:t>
      </w:r>
    </w:p>
    <w:p>
      <w:pPr>
        <w:pStyle w:val="2"/>
        <w:spacing w:line="560" w:lineRule="exact"/>
        <w:ind w:firstLine="573" w:firstLineChars="238"/>
        <w:rPr>
          <w:rFonts w:asciiTheme="minorEastAsia" w:hAnsiTheme="minorEastAsia" w:eastAsiaTheme="minorEastAsia"/>
          <w:b/>
          <w:bCs/>
          <w:sz w:val="24"/>
        </w:rPr>
      </w:pPr>
      <w:bookmarkStart w:id="64" w:name="_Toc352332861"/>
      <w:bookmarkStart w:id="65" w:name="_Toc346306740"/>
      <w:bookmarkStart w:id="66" w:name="_Toc346372887"/>
      <w:r>
        <w:rPr>
          <w:rFonts w:asciiTheme="minorEastAsia" w:hAnsiTheme="minorEastAsia" w:eastAsiaTheme="minorEastAsia"/>
          <w:b/>
          <w:bCs/>
          <w:sz w:val="24"/>
        </w:rPr>
        <w:t xml:space="preserve">9. </w:t>
      </w:r>
      <w:r>
        <w:rPr>
          <w:rFonts w:hint="eastAsia" w:asciiTheme="minorEastAsia" w:hAnsiTheme="minorEastAsia" w:eastAsiaTheme="minorEastAsia"/>
          <w:b/>
          <w:bCs/>
          <w:sz w:val="24"/>
        </w:rPr>
        <w:t>投标文件组成</w:t>
      </w:r>
      <w:bookmarkEnd w:id="64"/>
      <w:bookmarkEnd w:id="65"/>
      <w:bookmarkEnd w:id="66"/>
    </w:p>
    <w:p>
      <w:pPr>
        <w:pStyle w:val="2"/>
        <w:spacing w:line="560" w:lineRule="exact"/>
        <w:ind w:firstLine="573" w:firstLineChars="238"/>
        <w:rPr>
          <w:rFonts w:asciiTheme="minorEastAsia" w:hAnsiTheme="minorEastAsia" w:eastAsiaTheme="minorEastAsia"/>
          <w:b/>
          <w:sz w:val="24"/>
        </w:rPr>
      </w:pPr>
      <w:r>
        <w:rPr>
          <w:rFonts w:hint="eastAsia" w:asciiTheme="minorEastAsia" w:hAnsiTheme="minorEastAsia" w:eastAsiaTheme="minorEastAsia"/>
          <w:b/>
          <w:sz w:val="24"/>
        </w:rPr>
        <w:t>投标文件由商务文件、技术文件、资格证明文件三部分组成。</w:t>
      </w:r>
    </w:p>
    <w:p>
      <w:pPr>
        <w:pStyle w:val="2"/>
        <w:spacing w:line="560" w:lineRule="exact"/>
        <w:ind w:firstLine="573" w:firstLineChars="238"/>
        <w:rPr>
          <w:rFonts w:asciiTheme="minorEastAsia" w:hAnsiTheme="minorEastAsia" w:eastAsiaTheme="minorEastAsia"/>
          <w:b/>
          <w:sz w:val="24"/>
        </w:rPr>
      </w:pPr>
      <w:r>
        <w:rPr>
          <w:rFonts w:asciiTheme="minorEastAsia" w:hAnsiTheme="minorEastAsia" w:eastAsiaTheme="minorEastAsia"/>
          <w:b/>
          <w:sz w:val="24"/>
        </w:rPr>
        <w:t xml:space="preserve">9.1 </w:t>
      </w:r>
      <w:r>
        <w:rPr>
          <w:rFonts w:hint="eastAsia" w:asciiTheme="minorEastAsia" w:hAnsiTheme="minorEastAsia" w:eastAsiaTheme="minorEastAsia"/>
          <w:b/>
          <w:sz w:val="24"/>
        </w:rPr>
        <w:t>商务部分</w:t>
      </w:r>
    </w:p>
    <w:p>
      <w:pPr>
        <w:spacing w:line="560" w:lineRule="exact"/>
        <w:ind w:firstLine="480" w:firstLineChars="200"/>
        <w:rPr>
          <w:rFonts w:asciiTheme="minorEastAsia" w:hAnsiTheme="minorEastAsia" w:eastAsiaTheme="minorEastAsia"/>
          <w:sz w:val="24"/>
          <w:szCs w:val="20"/>
        </w:rPr>
      </w:pPr>
      <w:bookmarkStart w:id="67" w:name="_Toc352332863"/>
      <w:bookmarkStart w:id="68" w:name="_Toc346306742"/>
      <w:bookmarkStart w:id="69" w:name="_Toc346372889"/>
      <w:r>
        <w:rPr>
          <w:rFonts w:hint="eastAsia" w:asciiTheme="minorEastAsia" w:hAnsiTheme="minorEastAsia" w:eastAsiaTheme="minorEastAsia"/>
          <w:sz w:val="24"/>
          <w:szCs w:val="20"/>
        </w:rPr>
        <w:t>（</w:t>
      </w:r>
      <w:r>
        <w:rPr>
          <w:rFonts w:asciiTheme="minorEastAsia" w:hAnsiTheme="minorEastAsia" w:eastAsiaTheme="minorEastAsia"/>
          <w:sz w:val="24"/>
          <w:szCs w:val="20"/>
        </w:rPr>
        <w:t>1</w:t>
      </w:r>
      <w:r>
        <w:rPr>
          <w:rFonts w:hint="eastAsia" w:asciiTheme="minorEastAsia" w:hAnsiTheme="minorEastAsia" w:eastAsiaTheme="minorEastAsia"/>
          <w:sz w:val="24"/>
          <w:szCs w:val="20"/>
        </w:rPr>
        <w:t>）投标函；</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）法定代表人授权委托书；</w:t>
      </w:r>
    </w:p>
    <w:p>
      <w:pPr>
        <w:pStyle w:val="2"/>
        <w:spacing w:line="560" w:lineRule="exact"/>
        <w:ind w:firstLine="480"/>
        <w:rPr>
          <w:rFonts w:asciiTheme="minorEastAsia" w:hAnsiTheme="minorEastAsia" w:eastAsiaTheme="minorEastAsia"/>
          <w:snapToGrid w:val="0"/>
        </w:rPr>
      </w:pPr>
      <w:r>
        <w:rPr>
          <w:rFonts w:hint="eastAsia" w:asciiTheme="minorEastAsia" w:hAnsiTheme="minorEastAsia" w:eastAsiaTheme="minorEastAsia"/>
          <w:sz w:val="24"/>
        </w:rPr>
        <w:t>（3）开标一览表；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（4）分项报价表（如有）；</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（5）主要设备（产品）及配件报价明细表；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（6）质保期内供应的备品备件、易损件、耗材、专用工具价格表；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（7）质保期满后长期供应的备品备件、易损件、耗材、专用工具价格表；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（8）商务响应一览表；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（9）同类业绩一览表；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（10）供应商认为需要加以说明的其他内容。</w:t>
      </w:r>
    </w:p>
    <w:p>
      <w:pPr>
        <w:pStyle w:val="2"/>
        <w:spacing w:line="560" w:lineRule="exact"/>
        <w:ind w:firstLine="573" w:firstLineChars="238"/>
        <w:rPr>
          <w:rFonts w:asciiTheme="minorEastAsia" w:hAnsiTheme="minorEastAsia" w:eastAsiaTheme="minorEastAsia"/>
          <w:b/>
          <w:sz w:val="24"/>
        </w:rPr>
      </w:pPr>
      <w:r>
        <w:rPr>
          <w:rFonts w:asciiTheme="minorEastAsia" w:hAnsiTheme="minorEastAsia" w:eastAsiaTheme="minorEastAsia"/>
          <w:b/>
          <w:sz w:val="24"/>
        </w:rPr>
        <w:t xml:space="preserve">9.2 </w:t>
      </w:r>
      <w:r>
        <w:rPr>
          <w:rFonts w:hint="eastAsia" w:asciiTheme="minorEastAsia" w:hAnsiTheme="minorEastAsia" w:eastAsiaTheme="minorEastAsia"/>
          <w:b/>
          <w:sz w:val="24"/>
        </w:rPr>
        <w:t>技术部分</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（1）投标货物的详细供货范围清单（包括配置情况、主要部件、配套件、备品备件及专用工具等的名称、品牌、型号规格、主要技术参数及性能、数量、单价、制造商全称及制造地点等）及技术响应一览表；</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（2）产品选型（整体设计）（须提供设计说明、整体设计图、结构设计图、功能设计图、三维系统图等）；</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（3）制造能力（包括但不限于自主 研发能力、生产工艺、生产步骤、产品检验等）；</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（4）项目整体实施方案（包括但不限于项目实施进度方案、质量保障措施、项目测试方案、验收方案等）；</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（5）售后服务方案（包括但不限于质保期内售后服务方案、质保期满后服务方案等）；</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（6）培训方案（培训内容包括但不限于培训师资、基本操作、日常维护、培训方式、培训质量保障措施、具备能够处理产品常见问题的能力）；</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7）技术支持资料。技术支持资料可以是制造商白皮书或对外公布的印刷资料或检测机构出具的检测报告或者制造商的其他证明材料。若制造商的证明资料与检测机构出具的检测报告不一致，以检测机构出具的检测报告为准。（需提供全文，如为英文，应提供中英文对照版）。</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（8）投标货物交货时可提供的技术资料清单；</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（9）供应商关于投标货物知识产权的承诺书（如有）；</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（10）需采购人配合的工作和条件；</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（11）供应商和制造商的基本情况；</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（12）供应商认为需说明的其他内容。</w:t>
      </w:r>
    </w:p>
    <w:p>
      <w:pPr>
        <w:spacing w:line="560" w:lineRule="exact"/>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投标文件应按上述目录顺序、内容逐一列出，如内容不全，由评标委员会综合认定。招标文件中未提供格式，供应商可自拟格式。</w:t>
      </w:r>
    </w:p>
    <w:p>
      <w:pPr>
        <w:spacing w:line="560" w:lineRule="exact"/>
        <w:ind w:firstLine="482" w:firstLineChars="200"/>
        <w:rPr>
          <w:rFonts w:asciiTheme="minorEastAsia" w:hAnsiTheme="minorEastAsia" w:eastAsiaTheme="minorEastAsia"/>
          <w:b/>
          <w:kern w:val="0"/>
          <w:sz w:val="24"/>
          <w:szCs w:val="20"/>
        </w:rPr>
      </w:pPr>
      <w:r>
        <w:rPr>
          <w:rFonts w:asciiTheme="minorEastAsia" w:hAnsiTheme="minorEastAsia" w:eastAsiaTheme="minorEastAsia"/>
          <w:b/>
          <w:kern w:val="0"/>
          <w:sz w:val="24"/>
          <w:szCs w:val="20"/>
        </w:rPr>
        <w:t xml:space="preserve">9.3 </w:t>
      </w:r>
      <w:r>
        <w:rPr>
          <w:rFonts w:hint="eastAsia" w:asciiTheme="minorEastAsia" w:hAnsiTheme="minorEastAsia" w:eastAsiaTheme="minorEastAsia"/>
          <w:b/>
          <w:kern w:val="0"/>
          <w:sz w:val="24"/>
          <w:szCs w:val="20"/>
        </w:rPr>
        <w:t>资格证明文件：</w:t>
      </w:r>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1</w:t>
      </w:r>
      <w:r>
        <w:rPr>
          <w:rFonts w:hint="eastAsia" w:asciiTheme="minorEastAsia" w:hAnsiTheme="minorEastAsia" w:eastAsiaTheme="minorEastAsia"/>
          <w:sz w:val="24"/>
        </w:rPr>
        <w:t>）应提供的基本资格条件证明材料，详见供应商须知前附表第6项；</w:t>
      </w:r>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（2）供应商认为需要提交的其他相关证明文件。</w:t>
      </w:r>
    </w:p>
    <w:p>
      <w:pPr>
        <w:pStyle w:val="2"/>
        <w:spacing w:line="56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9.4 投标文件应按上述目录顺序、内容逐一列出，如内容不全，由评标委员会综合认定。招标文件中未提供格式，供应商可自拟格式。</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供应商可将上述三个部分按上述顺序胶装装订在一起，并在首页编制连续页码。因未按上述顺序装订或投标文件未胶装散页导致无法评审等，由此造成的评审问题由供应商自行承担责任。</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 xml:space="preserve">10. </w:t>
      </w:r>
      <w:r>
        <w:rPr>
          <w:rFonts w:hint="eastAsia" w:asciiTheme="minorEastAsia" w:hAnsiTheme="minorEastAsia" w:eastAsiaTheme="minorEastAsia"/>
          <w:b/>
          <w:bCs/>
          <w:sz w:val="24"/>
        </w:rPr>
        <w:t>报价</w:t>
      </w:r>
      <w:bookmarkEnd w:id="67"/>
      <w:bookmarkEnd w:id="68"/>
      <w:bookmarkEnd w:id="69"/>
    </w:p>
    <w:p>
      <w:pPr>
        <w:pStyle w:val="30"/>
        <w:spacing w:after="0"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szCs w:val="20"/>
        </w:rPr>
        <w:t xml:space="preserve">10.1 </w:t>
      </w:r>
      <w:r>
        <w:rPr>
          <w:rFonts w:hint="eastAsia" w:asciiTheme="minorEastAsia" w:hAnsiTheme="minorEastAsia" w:eastAsiaTheme="minorEastAsia"/>
          <w:b/>
          <w:bCs/>
          <w:sz w:val="24"/>
        </w:rPr>
        <w:t>本次投标报价为一次性报价 （到货价），币种为人民币。本项目为交钥匙项目，投标报价是完成本项目所要求购买货物落地、安装调试完成并经验收合格、质保期内维护保养、伴随服务及售后服务的全部费用。投标报价包含但不限于货物及其专用工具、 配品配件及各种辅材 、 附件备件及其他附带辅材/辅件、包装、运输、装卸、保管、伴随服务、相关检验检测、验收、安装调试、产品</w:t>
      </w:r>
      <w:r>
        <w:rPr>
          <w:rFonts w:asciiTheme="minorEastAsia" w:hAnsiTheme="minorEastAsia" w:eastAsiaTheme="minorEastAsia"/>
          <w:b/>
          <w:bCs/>
          <w:sz w:val="24"/>
        </w:rPr>
        <w:t>/</w:t>
      </w:r>
      <w:r>
        <w:rPr>
          <w:rFonts w:hint="eastAsia" w:asciiTheme="minorEastAsia" w:hAnsiTheme="minorEastAsia" w:eastAsiaTheme="minorEastAsia"/>
          <w:b/>
          <w:bCs/>
          <w:sz w:val="24"/>
        </w:rPr>
        <w:t>软件升级、知识产权、技术培训、利润、保险费、相关税费、质保期内维护保养、售后服务、首次保养费用等全部费用。并同时考虑合同的所有责任、义务和除不可抗力以外的一切风险 因素。若投标报价有缺漏项的，缺漏项部分的价格视为已包含在投标报价中，中标后的合同价不作任何调整。</w:t>
      </w:r>
    </w:p>
    <w:p>
      <w:pPr>
        <w:pStyle w:val="2"/>
        <w:spacing w:line="560" w:lineRule="exact"/>
        <w:ind w:firstLine="482"/>
        <w:rPr>
          <w:rFonts w:asciiTheme="minorEastAsia" w:hAnsiTheme="minorEastAsia" w:eastAsiaTheme="minorEastAsia"/>
          <w:b/>
          <w:sz w:val="24"/>
        </w:rPr>
      </w:pPr>
      <w:r>
        <w:rPr>
          <w:rFonts w:asciiTheme="minorEastAsia" w:hAnsiTheme="minorEastAsia" w:eastAsiaTheme="minorEastAsia"/>
          <w:b/>
          <w:sz w:val="24"/>
        </w:rPr>
        <w:t xml:space="preserve">10.2 </w:t>
      </w:r>
      <w:r>
        <w:rPr>
          <w:rFonts w:hint="eastAsia" w:asciiTheme="minorEastAsia" w:hAnsiTheme="minorEastAsia" w:eastAsiaTheme="minorEastAsia"/>
          <w:b/>
          <w:sz w:val="24"/>
        </w:rPr>
        <w:t>供应商限报一种方案报价，采购人不接受可选择的投标方案和报价；供应商对投标报价作出优惠的，其投标文件及开标一览表中的投标报价均应为优惠后的最终报价。供应商对报价若有说明或优惠应在报价明细表和开标一览表中注明，否则该说明或优惠不予认可。</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 xml:space="preserve">0.3 </w:t>
      </w:r>
      <w:r>
        <w:rPr>
          <w:rFonts w:hint="eastAsia" w:asciiTheme="minorEastAsia" w:hAnsiTheme="minorEastAsia" w:eastAsiaTheme="minorEastAsia"/>
          <w:b/>
          <w:sz w:val="24"/>
        </w:rPr>
        <w:t>供应商应按照招标文件附件提供的报价表格格式填写。未提供格式的，供应商可以自拟格式。</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 xml:space="preserve">0.4 </w:t>
      </w:r>
      <w:r>
        <w:rPr>
          <w:rFonts w:hint="eastAsia" w:asciiTheme="minorEastAsia" w:hAnsiTheme="minorEastAsia" w:eastAsiaTheme="minorEastAsia"/>
          <w:b/>
          <w:sz w:val="24"/>
        </w:rPr>
        <w:t>供应商提供的软/硬件产品要求在中华人民共和国境内拥有合法的使用权和版权，采购人应拥有合法的软件使用许可。供应商应在投标文件中对此予以响应。</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10.5 供应商的投标报价明显低于其他通过符合性审查供应商的报价，有可能影响商品质量和不能诚信履约的，评标委员会有权要求其在规定的时间内提供书面文件予以解释说明，并提交相关证明材料；供应商不能证明其报价合理性的，评标委员会应当将其作为无效投标处理。</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10.</w:t>
      </w:r>
      <w:r>
        <w:rPr>
          <w:rFonts w:asciiTheme="minorEastAsia" w:hAnsiTheme="minorEastAsia" w:eastAsiaTheme="minorEastAsia"/>
          <w:b/>
          <w:sz w:val="24"/>
        </w:rPr>
        <w:t xml:space="preserve">6 </w:t>
      </w:r>
      <w:r>
        <w:rPr>
          <w:rFonts w:hint="eastAsia" w:asciiTheme="minorEastAsia" w:hAnsiTheme="minorEastAsia" w:eastAsiaTheme="minorEastAsia"/>
          <w:b/>
          <w:sz w:val="24"/>
        </w:rPr>
        <w:t>单独密封的开标一览表与投标文件正本不符，以开标一览表为准，但开标一览表有明确文字错误的除外。正本与副本有不一致之处，以正本为准。如果大写金额和小写金额不一致时，以大写金额为准。</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 xml:space="preserve">0.7 </w:t>
      </w:r>
      <w:r>
        <w:rPr>
          <w:rFonts w:hint="eastAsia" w:asciiTheme="minorEastAsia" w:hAnsiTheme="minorEastAsia" w:eastAsiaTheme="minorEastAsia"/>
          <w:b/>
          <w:sz w:val="24"/>
        </w:rPr>
        <w:t>如果大写金额和小写金额不一致时，以大写金额为准。</w:t>
      </w:r>
    </w:p>
    <w:p>
      <w:pPr>
        <w:pStyle w:val="2"/>
        <w:spacing w:line="560" w:lineRule="exact"/>
        <w:ind w:firstLine="573" w:firstLineChars="238"/>
        <w:rPr>
          <w:rFonts w:asciiTheme="minorEastAsia" w:hAnsiTheme="minorEastAsia" w:eastAsiaTheme="minorEastAsia"/>
          <w:b/>
          <w:bCs/>
          <w:sz w:val="24"/>
        </w:rPr>
      </w:pPr>
      <w:bookmarkStart w:id="70" w:name="_Toc346306753"/>
      <w:bookmarkStart w:id="71" w:name="_Toc346372900"/>
      <w:bookmarkStart w:id="72" w:name="_Toc352332874"/>
      <w:r>
        <w:rPr>
          <w:rFonts w:hint="eastAsia" w:asciiTheme="minorEastAsia" w:hAnsiTheme="minorEastAsia" w:eastAsiaTheme="minorEastAsia"/>
          <w:b/>
          <w:bCs/>
          <w:sz w:val="24"/>
        </w:rPr>
        <w:t>11.</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投标文件编写</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11.1</w:t>
      </w:r>
      <w:r>
        <w:rPr>
          <w:rFonts w:asciiTheme="minorEastAsia" w:hAnsiTheme="minorEastAsia" w:eastAsiaTheme="minorEastAsia"/>
          <w:sz w:val="24"/>
        </w:rPr>
        <w:t xml:space="preserve"> </w:t>
      </w:r>
      <w:r>
        <w:rPr>
          <w:rFonts w:hint="eastAsia" w:asciiTheme="minorEastAsia" w:hAnsiTheme="minorEastAsia" w:eastAsiaTheme="minorEastAsia"/>
          <w:sz w:val="24"/>
        </w:rPr>
        <w:t>投标文件应按“投标文件组成”进行编写，如有必要，可以增加附页，作为投标文件的组成部分。</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11.2</w:t>
      </w:r>
      <w:r>
        <w:rPr>
          <w:rFonts w:asciiTheme="minorEastAsia" w:hAnsiTheme="minorEastAsia" w:eastAsiaTheme="minorEastAsia"/>
          <w:sz w:val="24"/>
        </w:rPr>
        <w:t xml:space="preserve"> </w:t>
      </w:r>
      <w:r>
        <w:rPr>
          <w:rFonts w:hint="eastAsia" w:asciiTheme="minorEastAsia" w:hAnsiTheme="minorEastAsia" w:eastAsiaTheme="minorEastAsia"/>
          <w:sz w:val="24"/>
        </w:rPr>
        <w:t>投标文件应用不褪色的材料打印或复印。</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11.3</w:t>
      </w:r>
      <w:r>
        <w:rPr>
          <w:rFonts w:asciiTheme="minorEastAsia" w:hAnsiTheme="minorEastAsia" w:eastAsiaTheme="minorEastAsia"/>
          <w:b/>
          <w:sz w:val="24"/>
        </w:rPr>
        <w:t xml:space="preserve"> </w:t>
      </w:r>
      <w:r>
        <w:rPr>
          <w:rFonts w:hint="eastAsia" w:asciiTheme="minorEastAsia" w:hAnsiTheme="minorEastAsia" w:eastAsiaTheme="minorEastAsia"/>
          <w:b/>
          <w:sz w:val="24"/>
        </w:rPr>
        <w:t>投标文件应尽量避免涂改、行间插字或删除。如果出现上述情况，改动之处应加盖单位章或由供应商的法定代表人或其授权的代理人签字确认。</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11.4</w:t>
      </w:r>
      <w:r>
        <w:rPr>
          <w:rFonts w:asciiTheme="minorEastAsia" w:hAnsiTheme="minorEastAsia" w:eastAsiaTheme="minorEastAsia"/>
          <w:b/>
          <w:sz w:val="24"/>
        </w:rPr>
        <w:t xml:space="preserve"> </w:t>
      </w:r>
      <w:r>
        <w:rPr>
          <w:rFonts w:hint="eastAsia" w:asciiTheme="minorEastAsia" w:hAnsiTheme="minorEastAsia" w:eastAsiaTheme="minorEastAsia"/>
          <w:b/>
          <w:sz w:val="24"/>
        </w:rPr>
        <w:t>供应商须如实响应招标文件要求，提交证明其拟提供货物的合格性符合招标文件规定的有效技术支持资料，作为投标文件的一部分。供应商不得复制粘贴招标文件中的参数及要求作为其投标文件的响应情况，否则评标委员会有权作出不利于供应商的认定。</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 xml:space="preserve">1.5 </w:t>
      </w:r>
      <w:r>
        <w:rPr>
          <w:rFonts w:hint="eastAsia" w:asciiTheme="minorEastAsia" w:hAnsiTheme="minorEastAsia" w:eastAsiaTheme="minorEastAsia"/>
          <w:b/>
          <w:sz w:val="24"/>
        </w:rPr>
        <w:t>供应商应提供产品主要技术指标、规格和性能、技术参数值的详细说明，并提供产品制造商的白皮书或制造商对外公布的宣传彩页或加盖制造商公章的其他证明材料或检测机构出具的检测报告，若制造商的证明资料与检测机构出具的检测报告不一致，以检测机构出具的检测报告为准。</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11.</w:t>
      </w:r>
      <w:r>
        <w:rPr>
          <w:rFonts w:asciiTheme="minorEastAsia" w:hAnsiTheme="minorEastAsia" w:eastAsiaTheme="minorEastAsia"/>
          <w:b/>
          <w:sz w:val="24"/>
        </w:rPr>
        <w:t xml:space="preserve">6 </w:t>
      </w:r>
      <w:r>
        <w:rPr>
          <w:rFonts w:hint="eastAsia" w:asciiTheme="minorEastAsia" w:hAnsiTheme="minorEastAsia" w:eastAsiaTheme="minorEastAsia"/>
          <w:b/>
          <w:sz w:val="24"/>
        </w:rPr>
        <w:t>若投标文件中供应商针对商务、技术响应表的响应情况与制造商提供的证明材料不相符，有可能导致其技术响应不满足招标文件要求的，评标委员会有权作出不利于供应商的认定。</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11.</w:t>
      </w:r>
      <w:r>
        <w:rPr>
          <w:rFonts w:asciiTheme="minorEastAsia" w:hAnsiTheme="minorEastAsia" w:eastAsiaTheme="minorEastAsia"/>
          <w:sz w:val="24"/>
        </w:rPr>
        <w:t xml:space="preserve">7 </w:t>
      </w:r>
      <w:r>
        <w:rPr>
          <w:rFonts w:hint="eastAsia" w:asciiTheme="minorEastAsia" w:hAnsiTheme="minorEastAsia" w:eastAsiaTheme="minorEastAsia"/>
          <w:sz w:val="24"/>
        </w:rPr>
        <w:t>供应商提供的支持资料和已印刷的文献（如有关货物/服务的技术部分）可以用另一种语言，但相应内容应附有中文翻译本或中英文对照，在解释投标文件时以中文翻译本为准。若供应商的中文翻译本与英文版明显不符的，则评标委员会有权作出不利于供应商的认定。</w:t>
      </w:r>
    </w:p>
    <w:p>
      <w:pPr>
        <w:pStyle w:val="2"/>
        <w:spacing w:line="56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11.</w:t>
      </w:r>
      <w:r>
        <w:rPr>
          <w:rFonts w:asciiTheme="minorEastAsia" w:hAnsiTheme="minorEastAsia" w:eastAsiaTheme="minorEastAsia"/>
          <w:b/>
          <w:bCs/>
          <w:sz w:val="24"/>
        </w:rPr>
        <w:t>8 供应商须注意：为合理节约政府采购评审成本，提倡诚实信用的报价行为，特别要求供应商应本着诚信精神，在本次</w:t>
      </w:r>
      <w:r>
        <w:rPr>
          <w:rFonts w:hint="eastAsia" w:asciiTheme="minorEastAsia" w:hAnsiTheme="minorEastAsia" w:eastAsiaTheme="minorEastAsia"/>
          <w:b/>
          <w:bCs/>
          <w:sz w:val="24"/>
        </w:rPr>
        <w:t>投标文件</w:t>
      </w:r>
      <w:r>
        <w:rPr>
          <w:rFonts w:asciiTheme="minorEastAsia" w:hAnsiTheme="minorEastAsia" w:eastAsiaTheme="minorEastAsia"/>
          <w:b/>
          <w:bCs/>
          <w:sz w:val="24"/>
        </w:rPr>
        <w:t>的偏离表中，均以审慎的态度明确、清楚地披露各项偏离。若供应商对某一事项是否存在或是否属于偏离不能确定，亦必须在偏离表中清楚地表明该偏离事项，并可以注明不能确定的字样。</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12.</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投标文件签署</w:t>
      </w:r>
    </w:p>
    <w:p>
      <w:pPr>
        <w:pStyle w:val="2"/>
        <w:spacing w:line="560" w:lineRule="exact"/>
        <w:ind w:firstLine="573" w:firstLineChars="238"/>
        <w:rPr>
          <w:rFonts w:asciiTheme="minorEastAsia" w:hAnsiTheme="minorEastAsia" w:eastAsiaTheme="minorEastAsia"/>
          <w:b/>
          <w:sz w:val="24"/>
          <w:u w:val="single"/>
        </w:rPr>
      </w:pPr>
      <w:r>
        <w:rPr>
          <w:rFonts w:hint="eastAsia" w:asciiTheme="minorEastAsia" w:hAnsiTheme="minorEastAsia" w:eastAsiaTheme="minorEastAsia"/>
          <w:b/>
          <w:sz w:val="24"/>
        </w:rPr>
        <w:t>★</w:t>
      </w:r>
      <w:r>
        <w:rPr>
          <w:rFonts w:hint="eastAsia" w:asciiTheme="minorEastAsia" w:hAnsiTheme="minorEastAsia" w:eastAsiaTheme="minorEastAsia"/>
          <w:b/>
          <w:sz w:val="24"/>
          <w:u w:val="single"/>
        </w:rPr>
        <w:t>投标文件应加盖供应商公章（不得使用其他形式如带有“专用章”等字样的印章）并经法定代表人或其委托代理人签署（签字或加盖人名章），由委托代理人签字的投标文件中须附授权委托书。供应商代表必须按招标文件的规定签署投标文件正本（副本可用正本复印件）。未按招标文件要求签署及盖章的投标文件无效。</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13.</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投标文件密封和标记</w:t>
      </w:r>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13.1</w:t>
      </w:r>
      <w:r>
        <w:rPr>
          <w:rFonts w:asciiTheme="minorEastAsia" w:hAnsiTheme="minorEastAsia" w:eastAsiaTheme="minorEastAsia"/>
          <w:sz w:val="24"/>
        </w:rPr>
        <w:t xml:space="preserve"> </w:t>
      </w:r>
      <w:r>
        <w:rPr>
          <w:rFonts w:hint="eastAsia" w:asciiTheme="minorEastAsia" w:hAnsiTheme="minorEastAsia" w:eastAsiaTheme="minorEastAsia"/>
          <w:sz w:val="24"/>
        </w:rPr>
        <w:t>供应商应准备的投标文件份数见供应商须知前附表，供应商应在每一份投标文件上注明“正本”或“副本”字样。</w:t>
      </w:r>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13.2</w:t>
      </w:r>
      <w:r>
        <w:rPr>
          <w:rFonts w:asciiTheme="minorEastAsia" w:hAnsiTheme="minorEastAsia" w:eastAsiaTheme="minorEastAsia"/>
          <w:sz w:val="24"/>
        </w:rPr>
        <w:t xml:space="preserve"> </w:t>
      </w:r>
      <w:r>
        <w:rPr>
          <w:rFonts w:hint="eastAsia" w:asciiTheme="minorEastAsia" w:hAnsiTheme="minorEastAsia" w:eastAsiaTheme="minorEastAsia"/>
          <w:sz w:val="24"/>
        </w:rPr>
        <w:t>投标文件的密封和标记详见供应商须知前附表。</w:t>
      </w:r>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13.3</w:t>
      </w:r>
      <w:r>
        <w:rPr>
          <w:rFonts w:asciiTheme="minorEastAsia" w:hAnsiTheme="minorEastAsia" w:eastAsiaTheme="minorEastAsia"/>
          <w:sz w:val="24"/>
        </w:rPr>
        <w:t xml:space="preserve"> 如果供应商未按上述要求对</w:t>
      </w:r>
      <w:r>
        <w:rPr>
          <w:rFonts w:hint="eastAsia" w:asciiTheme="minorEastAsia" w:hAnsiTheme="minorEastAsia" w:eastAsiaTheme="minorEastAsia"/>
          <w:sz w:val="24"/>
        </w:rPr>
        <w:t>投标文件</w:t>
      </w:r>
      <w:r>
        <w:rPr>
          <w:rFonts w:asciiTheme="minorEastAsia" w:hAnsiTheme="minorEastAsia" w:eastAsiaTheme="minorEastAsia"/>
          <w:sz w:val="24"/>
        </w:rPr>
        <w:t>密封及加写标记，</w:t>
      </w:r>
      <w:r>
        <w:rPr>
          <w:rFonts w:hint="eastAsia" w:asciiTheme="minorEastAsia" w:hAnsiTheme="minorEastAsia" w:eastAsiaTheme="minorEastAsia"/>
          <w:sz w:val="24"/>
        </w:rPr>
        <w:t>采购人及招标代理</w:t>
      </w:r>
      <w:r>
        <w:rPr>
          <w:rFonts w:asciiTheme="minorEastAsia" w:hAnsiTheme="minorEastAsia" w:eastAsiaTheme="minorEastAsia"/>
          <w:sz w:val="24"/>
        </w:rPr>
        <w:t>对</w:t>
      </w:r>
      <w:r>
        <w:rPr>
          <w:rFonts w:hint="eastAsia" w:asciiTheme="minorEastAsia" w:hAnsiTheme="minorEastAsia" w:eastAsiaTheme="minorEastAsia"/>
          <w:sz w:val="24"/>
        </w:rPr>
        <w:t>投标文件</w:t>
      </w:r>
      <w:r>
        <w:rPr>
          <w:rFonts w:asciiTheme="minorEastAsia" w:hAnsiTheme="minorEastAsia" w:eastAsiaTheme="minorEastAsia"/>
          <w:sz w:val="24"/>
        </w:rPr>
        <w:t>的误投和提前启封概不负责。对由此造成提前开封的</w:t>
      </w:r>
      <w:r>
        <w:rPr>
          <w:rFonts w:hint="eastAsia" w:asciiTheme="minorEastAsia" w:hAnsiTheme="minorEastAsia" w:eastAsiaTheme="minorEastAsia"/>
          <w:sz w:val="24"/>
        </w:rPr>
        <w:t>投标文件</w:t>
      </w:r>
      <w:r>
        <w:rPr>
          <w:rFonts w:asciiTheme="minorEastAsia" w:hAnsiTheme="minorEastAsia" w:eastAsiaTheme="minorEastAsia"/>
          <w:sz w:val="24"/>
        </w:rPr>
        <w:t>，</w:t>
      </w:r>
      <w:r>
        <w:rPr>
          <w:rFonts w:hint="eastAsia" w:asciiTheme="minorEastAsia" w:hAnsiTheme="minorEastAsia" w:eastAsiaTheme="minorEastAsia"/>
          <w:sz w:val="24"/>
        </w:rPr>
        <w:t>采购人及招标代理</w:t>
      </w:r>
      <w:r>
        <w:rPr>
          <w:rFonts w:asciiTheme="minorEastAsia" w:hAnsiTheme="minorEastAsia" w:eastAsiaTheme="minorEastAsia"/>
          <w:sz w:val="24"/>
        </w:rPr>
        <w:t>有权予以拒绝，并退回供应商。</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14.</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投标文件装订</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详见供应商须知前附表。</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15.</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投标保证金</w:t>
      </w:r>
    </w:p>
    <w:p>
      <w:pPr>
        <w:pStyle w:val="5"/>
        <w:spacing w:before="0" w:after="0" w:line="500" w:lineRule="exact"/>
        <w:ind w:firstLine="501" w:firstLineChars="209"/>
        <w:rPr>
          <w:rFonts w:asciiTheme="minorEastAsia" w:hAnsiTheme="minorEastAsia" w:eastAsiaTheme="minorEastAsia"/>
          <w:b w:val="0"/>
          <w:bCs w:val="0"/>
          <w:sz w:val="24"/>
        </w:rPr>
      </w:pPr>
      <w:r>
        <w:rPr>
          <w:rFonts w:hint="eastAsia" w:asciiTheme="minorEastAsia" w:hAnsiTheme="minorEastAsia" w:eastAsiaTheme="minorEastAsia"/>
          <w:b w:val="0"/>
          <w:bCs w:val="0"/>
          <w:sz w:val="24"/>
        </w:rPr>
        <w:t>详见供应商须知前附表。</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16.</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投标有效期</w:t>
      </w:r>
    </w:p>
    <w:p>
      <w:pPr>
        <w:pStyle w:val="2"/>
        <w:spacing w:line="560" w:lineRule="exact"/>
        <w:ind w:firstLine="480"/>
        <w:rPr>
          <w:rFonts w:asciiTheme="minorEastAsia" w:hAnsiTheme="minorEastAsia" w:eastAsiaTheme="minorEastAsia"/>
          <w:b/>
          <w:snapToGrid w:val="0"/>
        </w:rPr>
      </w:pPr>
      <w:r>
        <w:rPr>
          <w:rFonts w:hint="eastAsia" w:asciiTheme="minorEastAsia" w:hAnsiTheme="minorEastAsia" w:eastAsiaTheme="minorEastAsia"/>
          <w:sz w:val="24"/>
        </w:rPr>
        <w:t>16.1 本项目</w:t>
      </w:r>
      <w:r>
        <w:rPr>
          <w:rFonts w:hint="eastAsia" w:asciiTheme="minorEastAsia" w:hAnsiTheme="minorEastAsia" w:eastAsiaTheme="minorEastAsia"/>
          <w:sz w:val="24"/>
          <w:szCs w:val="24"/>
        </w:rPr>
        <w:t>投标</w:t>
      </w:r>
      <w:r>
        <w:rPr>
          <w:rFonts w:hint="eastAsia" w:asciiTheme="minorEastAsia" w:hAnsiTheme="minorEastAsia" w:eastAsiaTheme="minorEastAsia"/>
          <w:sz w:val="24"/>
        </w:rPr>
        <w:t>有效期见供应商须知前附表。★</w:t>
      </w:r>
      <w:r>
        <w:rPr>
          <w:rFonts w:hint="eastAsia" w:asciiTheme="minorEastAsia" w:hAnsiTheme="minorEastAsia" w:eastAsiaTheme="minorEastAsia"/>
          <w:b/>
          <w:snapToGrid w:val="0"/>
        </w:rPr>
        <w:t>投标函的有效期比本须知规定的有效期短的，将被视为非响应性投标，采购人有权拒绝。</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16.2 特殊情况下，在</w:t>
      </w:r>
      <w:r>
        <w:rPr>
          <w:rFonts w:hint="eastAsia" w:asciiTheme="minorEastAsia" w:hAnsiTheme="minorEastAsia" w:eastAsiaTheme="minorEastAsia"/>
          <w:snapToGrid w:val="0"/>
        </w:rPr>
        <w:t>投标</w:t>
      </w:r>
      <w:r>
        <w:rPr>
          <w:rFonts w:hint="eastAsia" w:asciiTheme="minorEastAsia" w:hAnsiTheme="minorEastAsia" w:eastAsiaTheme="minorEastAsia"/>
          <w:sz w:val="24"/>
        </w:rPr>
        <w:t>有效期满之前，代理机构可以以书面形式要求供应商同意延长投标有效期。供应商可以以书面形式拒绝或接受上述要求。拒绝延长投标有效期的供应商有权收回投标保证金；同意延长投标有效期的供应商应当相应延长其投标保证金的有效期，但不得修改投标文件的实质性内容。</w:t>
      </w:r>
    </w:p>
    <w:p>
      <w:pPr>
        <w:pStyle w:val="4"/>
        <w:spacing w:before="120" w:after="120" w:line="360" w:lineRule="exact"/>
        <w:ind w:firstLine="516" w:firstLineChars="214"/>
        <w:rPr>
          <w:rFonts w:asciiTheme="minorEastAsia" w:hAnsiTheme="minorEastAsia" w:eastAsiaTheme="minorEastAsia"/>
          <w:sz w:val="24"/>
          <w:szCs w:val="24"/>
        </w:rPr>
      </w:pPr>
      <w:bookmarkStart w:id="73" w:name="_Toc6466"/>
      <w:r>
        <w:rPr>
          <w:rFonts w:hint="eastAsia" w:asciiTheme="minorEastAsia" w:hAnsiTheme="minorEastAsia" w:eastAsiaTheme="minorEastAsia"/>
          <w:sz w:val="24"/>
          <w:szCs w:val="24"/>
        </w:rPr>
        <w:t>四、投标文件递交</w:t>
      </w:r>
      <w:bookmarkEnd w:id="73"/>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17.</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投标文件递交时间和地点</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17.1 投标文件递交时间及地点</w:t>
      </w:r>
      <w:r>
        <w:rPr>
          <w:rFonts w:hint="eastAsia" w:asciiTheme="minorEastAsia" w:hAnsiTheme="minorEastAsia" w:eastAsiaTheme="minorEastAsia"/>
          <w:color w:val="002060"/>
          <w:sz w:val="24"/>
        </w:rPr>
        <w:t>、</w:t>
      </w:r>
      <w:r>
        <w:rPr>
          <w:rFonts w:hint="eastAsia" w:asciiTheme="minorEastAsia" w:hAnsiTheme="minorEastAsia" w:eastAsiaTheme="minorEastAsia"/>
          <w:sz w:val="24"/>
        </w:rPr>
        <w:t>投标文件截止时间详见供应商须知前附表。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17.2 供应商代表必须在递交投标文件截止时间前将投标文件送达指定地点。如因招标文件的修改推迟报价截止日期的，则按代理机构另行通知规定的时间递交。</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17.3 代理机构不接收投标文件递交截止时间后送达的投标文件。</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18.</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投标文件签收</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18.1</w:t>
      </w:r>
      <w:r>
        <w:rPr>
          <w:rFonts w:asciiTheme="minorEastAsia" w:hAnsiTheme="minorEastAsia" w:eastAsiaTheme="minorEastAsia"/>
          <w:sz w:val="24"/>
        </w:rPr>
        <w:t xml:space="preserve"> </w:t>
      </w:r>
      <w:r>
        <w:rPr>
          <w:rFonts w:hint="eastAsia" w:asciiTheme="minorEastAsia" w:hAnsiTheme="minorEastAsia" w:eastAsiaTheme="minorEastAsia"/>
          <w:sz w:val="24"/>
        </w:rPr>
        <w:t>本项目只接受书面形式的报价，其他形式的报价不予接收。</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18.2</w:t>
      </w:r>
      <w:r>
        <w:rPr>
          <w:rFonts w:asciiTheme="minorEastAsia" w:hAnsiTheme="minorEastAsia" w:eastAsiaTheme="minorEastAsia"/>
          <w:sz w:val="24"/>
        </w:rPr>
        <w:t xml:space="preserve"> </w:t>
      </w:r>
      <w:r>
        <w:rPr>
          <w:rFonts w:hint="eastAsia" w:asciiTheme="minorEastAsia" w:hAnsiTheme="minorEastAsia" w:eastAsiaTheme="minorEastAsia"/>
          <w:sz w:val="24"/>
        </w:rPr>
        <w:t>投标文件递交截止时间后对供应商已提交的投标文件不予退还。</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19. 投标文件修改与撤回</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19.1</w:t>
      </w:r>
      <w:r>
        <w:rPr>
          <w:rFonts w:asciiTheme="minorEastAsia" w:hAnsiTheme="minorEastAsia" w:eastAsiaTheme="minorEastAsia"/>
          <w:sz w:val="24"/>
        </w:rPr>
        <w:t xml:space="preserve"> </w:t>
      </w:r>
      <w:r>
        <w:rPr>
          <w:rFonts w:hint="eastAsia" w:asciiTheme="minorEastAsia" w:hAnsiTheme="minorEastAsia" w:eastAsiaTheme="minorEastAsia"/>
          <w:sz w:val="24"/>
        </w:rPr>
        <w:t>供应商在招标文件要求提交投标文件的截止时间前，可以修改或者撤回已提交的投标文件，并以书面形式通知代理机构。</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19.2 投标文件任何修改内容必须由供应商的法定代表人或其委托代理人签字，不得涂抹。经法定代表人或其委托代理人正式签署的修改文件组成投标文件的一部分，份数和密封要求同投标文件一致。</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 xml:space="preserve">9.3 </w:t>
      </w:r>
      <w:r>
        <w:rPr>
          <w:rFonts w:hint="eastAsia" w:asciiTheme="minorEastAsia" w:hAnsiTheme="minorEastAsia" w:eastAsiaTheme="minorEastAsia"/>
          <w:sz w:val="24"/>
        </w:rPr>
        <w:t>投标截止时间后不允许对投标文件做实质性修改。</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 xml:space="preserve">9.4 </w:t>
      </w:r>
      <w:r>
        <w:rPr>
          <w:rFonts w:hint="eastAsia" w:asciiTheme="minorEastAsia" w:hAnsiTheme="minorEastAsia" w:eastAsiaTheme="minorEastAsia"/>
          <w:sz w:val="24"/>
        </w:rPr>
        <w:t>投标有效期内不得撤回投标，否则其投标保证金不予退还。</w:t>
      </w:r>
    </w:p>
    <w:p>
      <w:pPr>
        <w:pStyle w:val="4"/>
        <w:spacing w:before="120" w:after="120" w:line="360" w:lineRule="exact"/>
        <w:ind w:firstLine="516" w:firstLineChars="214"/>
        <w:rPr>
          <w:rFonts w:asciiTheme="minorEastAsia" w:hAnsiTheme="minorEastAsia" w:eastAsiaTheme="minorEastAsia"/>
          <w:sz w:val="24"/>
          <w:szCs w:val="24"/>
        </w:rPr>
      </w:pPr>
      <w:bookmarkStart w:id="74" w:name="_Toc6291"/>
      <w:r>
        <w:rPr>
          <w:rFonts w:hint="eastAsia" w:asciiTheme="minorEastAsia" w:hAnsiTheme="minorEastAsia" w:eastAsiaTheme="minorEastAsia"/>
          <w:sz w:val="24"/>
          <w:szCs w:val="24"/>
        </w:rPr>
        <w:t>五、开标与评标</w:t>
      </w:r>
      <w:bookmarkEnd w:id="74"/>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本次招标的开标、评标由采购人委托的采购代理机构依法组织实施。</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20.</w:t>
      </w:r>
      <w:bookmarkEnd w:id="70"/>
      <w:bookmarkEnd w:id="71"/>
      <w:bookmarkEnd w:id="72"/>
      <w:r>
        <w:rPr>
          <w:rFonts w:asciiTheme="minorEastAsia" w:hAnsiTheme="minorEastAsia" w:eastAsiaTheme="minorEastAsia"/>
          <w:b/>
          <w:bCs/>
          <w:sz w:val="24"/>
        </w:rPr>
        <w:t xml:space="preserve"> </w:t>
      </w:r>
      <w:r>
        <w:rPr>
          <w:rFonts w:hint="eastAsia" w:asciiTheme="minorEastAsia" w:hAnsiTheme="minorEastAsia" w:eastAsiaTheme="minorEastAsia"/>
          <w:b/>
          <w:bCs/>
          <w:sz w:val="24"/>
        </w:rPr>
        <w:t>开标</w:t>
      </w:r>
    </w:p>
    <w:p>
      <w:pPr>
        <w:pStyle w:val="2"/>
        <w:spacing w:line="560" w:lineRule="exact"/>
        <w:ind w:firstLine="480"/>
        <w:rPr>
          <w:rFonts w:asciiTheme="minorEastAsia" w:hAnsiTheme="minorEastAsia" w:eastAsiaTheme="minorEastAsia"/>
          <w:sz w:val="24"/>
        </w:rPr>
      </w:pPr>
      <w:r>
        <w:rPr>
          <w:rFonts w:asciiTheme="minorEastAsia" w:hAnsiTheme="minorEastAsia" w:eastAsiaTheme="minorEastAsia"/>
          <w:sz w:val="24"/>
        </w:rPr>
        <w:t xml:space="preserve">20.1 </w:t>
      </w:r>
      <w:r>
        <w:rPr>
          <w:rFonts w:hint="eastAsia" w:asciiTheme="minorEastAsia" w:hAnsiTheme="minorEastAsia" w:eastAsiaTheme="minorEastAsia"/>
          <w:sz w:val="24"/>
        </w:rPr>
        <w:t>本项目举行开标会议的时间和地点见供应商须知前附表。</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开标会议由代理机构组织并主持。参加供应商代表应签名报到，以证明其出席开标会议，未出席开标会议的视同为默认开标结果。采购人授权代理人、供应商授权代理人、公证员/律师（如有）及有关工作人员参加。</w:t>
      </w:r>
    </w:p>
    <w:p>
      <w:pPr>
        <w:pStyle w:val="2"/>
        <w:spacing w:line="560" w:lineRule="exact"/>
        <w:ind w:firstLine="571" w:firstLineChars="238"/>
        <w:rPr>
          <w:rFonts w:asciiTheme="minorEastAsia" w:hAnsiTheme="minorEastAsia" w:eastAsiaTheme="minorEastAsia"/>
          <w:sz w:val="24"/>
        </w:rPr>
      </w:pPr>
      <w:bookmarkStart w:id="75" w:name="_Toc346306754"/>
      <w:bookmarkStart w:id="76" w:name="_Toc352332875"/>
      <w:bookmarkStart w:id="77" w:name="_Toc346372901"/>
      <w:r>
        <w:rPr>
          <w:rFonts w:hint="eastAsia" w:asciiTheme="minorEastAsia" w:hAnsiTheme="minorEastAsia" w:eastAsiaTheme="minorEastAsia"/>
          <w:sz w:val="24"/>
        </w:rPr>
        <w:t>20.2 供应商或供应商推选的代表和公证员/律师（如有）共同对投标文件的密封情况进行检查，并现场宣布检查结果。</w:t>
      </w:r>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20.3 经检查无误后，由代理机构工作人员现场拆封，由唱标员宣读开标一览表，投标单位授权代表现场。确认供应商若有报价和优惠未被唱出，应在开标时及时声明或提请注意，否则采购代理机构对此不承担任何责任。</w:t>
      </w:r>
    </w:p>
    <w:p>
      <w:pPr>
        <w:pStyle w:val="2"/>
        <w:spacing w:line="560" w:lineRule="exact"/>
        <w:ind w:firstLine="571" w:firstLineChars="238"/>
        <w:rPr>
          <w:rFonts w:asciiTheme="minorEastAsia" w:hAnsiTheme="minorEastAsia" w:eastAsiaTheme="minorEastAsia"/>
          <w:sz w:val="24"/>
        </w:rPr>
      </w:pPr>
      <w:r>
        <w:rPr>
          <w:rFonts w:hint="eastAsia" w:asciiTheme="minorEastAsia" w:hAnsiTheme="minorEastAsia" w:eastAsiaTheme="minorEastAsia"/>
          <w:sz w:val="24"/>
        </w:rPr>
        <w:t>20.4 唱标记录表由参加开标的各供应商代表和相关工作人员签字确认。</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21.</w:t>
      </w:r>
      <w:bookmarkEnd w:id="75"/>
      <w:bookmarkEnd w:id="76"/>
      <w:bookmarkEnd w:id="77"/>
      <w:r>
        <w:rPr>
          <w:rFonts w:asciiTheme="minorEastAsia" w:hAnsiTheme="minorEastAsia" w:eastAsiaTheme="minorEastAsia"/>
          <w:b/>
          <w:bCs/>
          <w:sz w:val="24"/>
        </w:rPr>
        <w:t xml:space="preserve"> </w:t>
      </w:r>
      <w:r>
        <w:rPr>
          <w:rFonts w:hint="eastAsia" w:asciiTheme="minorEastAsia" w:hAnsiTheme="minorEastAsia" w:eastAsiaTheme="minorEastAsia"/>
          <w:b/>
          <w:bCs/>
          <w:sz w:val="24"/>
        </w:rPr>
        <w:t>评标委员会</w:t>
      </w:r>
    </w:p>
    <w:p>
      <w:pPr>
        <w:pStyle w:val="2"/>
        <w:spacing w:line="560" w:lineRule="exact"/>
        <w:ind w:firstLine="571" w:firstLineChars="238"/>
        <w:rPr>
          <w:rFonts w:asciiTheme="minorEastAsia" w:hAnsiTheme="minorEastAsia" w:eastAsiaTheme="minorEastAsia"/>
          <w:sz w:val="24"/>
        </w:rPr>
      </w:pPr>
      <w:bookmarkStart w:id="78" w:name="_Toc346372902"/>
      <w:bookmarkStart w:id="79" w:name="_Toc352332876"/>
      <w:bookmarkStart w:id="80" w:name="_Toc346306755"/>
      <w:r>
        <w:rPr>
          <w:rFonts w:hint="eastAsia" w:asciiTheme="minorEastAsia" w:hAnsiTheme="minorEastAsia" w:eastAsiaTheme="minorEastAsia"/>
          <w:sz w:val="24"/>
        </w:rPr>
        <w:t>评标委员会由七人及以上单数组成，其中评审专家不少于三分之二。评标委员会的组成见供应商须知前附表，评标委员会负责对投标文件进行审查、评审，提出书面评标报告，推荐中标候选人。</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 xml:space="preserve">22. </w:t>
      </w:r>
      <w:r>
        <w:rPr>
          <w:rFonts w:hint="eastAsia" w:asciiTheme="minorEastAsia" w:hAnsiTheme="minorEastAsia" w:eastAsiaTheme="minorEastAsia"/>
          <w:b/>
          <w:bCs/>
          <w:sz w:val="24"/>
        </w:rPr>
        <w:t>评审原则</w:t>
      </w:r>
      <w:bookmarkEnd w:id="78"/>
      <w:bookmarkEnd w:id="79"/>
      <w:bookmarkEnd w:id="80"/>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“客观、公正、审慎”为本次评标的基本原则，评标委员会将按照这一原则公正、平等地对待各供应商，同时在评标过程中遵守以下原则：</w:t>
      </w:r>
    </w:p>
    <w:p>
      <w:pPr>
        <w:pStyle w:val="2"/>
        <w:spacing w:line="560" w:lineRule="exact"/>
        <w:ind w:firstLine="487" w:firstLineChars="203"/>
        <w:rPr>
          <w:rFonts w:cs="宋体" w:asciiTheme="minorEastAsia" w:hAnsiTheme="minorEastAsia" w:eastAsiaTheme="minorEastAsia"/>
          <w:sz w:val="24"/>
        </w:rPr>
      </w:pPr>
      <w:r>
        <w:rPr>
          <w:rFonts w:hint="eastAsia" w:cs="宋体" w:asciiTheme="minorEastAsia" w:hAnsiTheme="minorEastAsia" w:eastAsiaTheme="minorEastAsia"/>
          <w:sz w:val="24"/>
        </w:rPr>
        <w:t>21.1</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客观性原则；评标委员会将严格按照招标文件的规定，对投标文件的评审仅依据投标文件本身，而不依据投标文件以外的任何因素。</w:t>
      </w:r>
    </w:p>
    <w:p>
      <w:pPr>
        <w:pStyle w:val="2"/>
        <w:spacing w:line="560" w:lineRule="exact"/>
        <w:ind w:firstLine="487" w:firstLineChars="203"/>
        <w:rPr>
          <w:rFonts w:cs="宋体" w:asciiTheme="minorEastAsia" w:hAnsiTheme="minorEastAsia" w:eastAsiaTheme="minorEastAsia"/>
          <w:sz w:val="24"/>
        </w:rPr>
      </w:pPr>
      <w:r>
        <w:rPr>
          <w:rFonts w:hint="eastAsia" w:cs="宋体" w:asciiTheme="minorEastAsia" w:hAnsiTheme="minorEastAsia" w:eastAsiaTheme="minorEastAsia"/>
          <w:sz w:val="24"/>
        </w:rPr>
        <w:t>21.2</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公正性原则；评标委员会依据招标文件规定的评标程序、评标方法和评标标准按统一方法、同一标准进行独立评审，并对投标文件的各项指标进行综合分析和比较，而不以单项指标的优劣进行评审。</w:t>
      </w:r>
    </w:p>
    <w:p>
      <w:pPr>
        <w:pStyle w:val="2"/>
        <w:spacing w:line="560" w:lineRule="exact"/>
        <w:ind w:firstLine="487" w:firstLineChars="203"/>
        <w:rPr>
          <w:rFonts w:cs="宋体" w:asciiTheme="minorEastAsia" w:hAnsiTheme="minorEastAsia" w:eastAsiaTheme="minorEastAsia"/>
          <w:sz w:val="24"/>
        </w:rPr>
      </w:pPr>
      <w:r>
        <w:rPr>
          <w:rFonts w:hint="eastAsia" w:cs="宋体" w:asciiTheme="minorEastAsia" w:hAnsiTheme="minorEastAsia" w:eastAsiaTheme="minorEastAsia"/>
          <w:sz w:val="24"/>
        </w:rPr>
        <w:t>21.3</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审慎性原则：评标委员会独立对投标文件进行审阅，依据招标文件规定的评标标准审慎评审。评标委员会的评审不受外界任何因素的干扰和影响，评标委员会成员对出具的评审意见承担个人责任。</w:t>
      </w:r>
    </w:p>
    <w:p>
      <w:pPr>
        <w:pStyle w:val="2"/>
        <w:spacing w:line="560" w:lineRule="exact"/>
        <w:ind w:firstLine="480"/>
        <w:rPr>
          <w:rFonts w:asciiTheme="minorEastAsia" w:hAnsiTheme="minorEastAsia" w:eastAsiaTheme="minorEastAsia"/>
          <w:sz w:val="24"/>
        </w:rPr>
      </w:pPr>
      <w:r>
        <w:rPr>
          <w:rFonts w:asciiTheme="minorEastAsia" w:hAnsiTheme="minorEastAsia" w:eastAsiaTheme="minorEastAsia"/>
          <w:sz w:val="24"/>
        </w:rPr>
        <w:t xml:space="preserve">22.4 </w:t>
      </w:r>
      <w:r>
        <w:rPr>
          <w:rFonts w:hint="eastAsia" w:asciiTheme="minorEastAsia" w:hAnsiTheme="minorEastAsia" w:eastAsiaTheme="minorEastAsia"/>
          <w:sz w:val="24"/>
        </w:rPr>
        <w:t>保密性原则：</w:t>
      </w:r>
      <w:bookmarkStart w:id="81" w:name="_Toc346306756"/>
      <w:bookmarkStart w:id="82" w:name="_Toc346372903"/>
      <w:bookmarkStart w:id="83" w:name="_Toc352332877"/>
      <w:r>
        <w:rPr>
          <w:rFonts w:hint="eastAsia" w:asciiTheme="minorEastAsia" w:hAnsiTheme="minorEastAsia" w:eastAsiaTheme="minorEastAsia"/>
          <w:sz w:val="24"/>
        </w:rPr>
        <w:t>评标委员会及有关工作人员，应当对评标过程及供应商的商业和技术秘密予以保密。</w:t>
      </w:r>
    </w:p>
    <w:p>
      <w:pPr>
        <w:pStyle w:val="2"/>
        <w:spacing w:line="560" w:lineRule="exact"/>
        <w:ind w:firstLine="482"/>
        <w:rPr>
          <w:rFonts w:asciiTheme="minorEastAsia" w:hAnsiTheme="minorEastAsia" w:eastAsiaTheme="minorEastAsia"/>
          <w:b/>
          <w:bCs/>
          <w:sz w:val="24"/>
        </w:rPr>
      </w:pPr>
      <w:r>
        <w:rPr>
          <w:rFonts w:asciiTheme="minorEastAsia" w:hAnsiTheme="minorEastAsia" w:eastAsiaTheme="minorEastAsia"/>
          <w:b/>
          <w:bCs/>
          <w:sz w:val="24"/>
        </w:rPr>
        <w:t xml:space="preserve">23. </w:t>
      </w:r>
      <w:r>
        <w:rPr>
          <w:rFonts w:hint="eastAsia" w:asciiTheme="minorEastAsia" w:hAnsiTheme="minorEastAsia" w:eastAsiaTheme="minorEastAsia"/>
          <w:b/>
          <w:bCs/>
          <w:sz w:val="24"/>
        </w:rPr>
        <w:t>评标方法</w:t>
      </w:r>
      <w:bookmarkEnd w:id="81"/>
      <w:bookmarkEnd w:id="82"/>
      <w:bookmarkEnd w:id="83"/>
    </w:p>
    <w:p>
      <w:pPr>
        <w:pStyle w:val="2"/>
        <w:spacing w:line="560" w:lineRule="exact"/>
        <w:ind w:firstLine="600" w:firstLineChars="250"/>
        <w:rPr>
          <w:rFonts w:asciiTheme="minorEastAsia" w:hAnsiTheme="minorEastAsia" w:eastAsiaTheme="minorEastAsia"/>
          <w:sz w:val="24"/>
        </w:rPr>
      </w:pPr>
      <w:r>
        <w:rPr>
          <w:rFonts w:hint="eastAsia" w:asciiTheme="minorEastAsia" w:hAnsiTheme="minorEastAsia" w:eastAsiaTheme="minorEastAsia"/>
          <w:sz w:val="24"/>
        </w:rPr>
        <w:t>本项目评标方法见供应商须知前附表。</w:t>
      </w:r>
    </w:p>
    <w:p>
      <w:pPr>
        <w:pStyle w:val="2"/>
        <w:spacing w:line="560" w:lineRule="exact"/>
        <w:ind w:firstLine="573" w:firstLineChars="238"/>
        <w:rPr>
          <w:rFonts w:asciiTheme="minorEastAsia" w:hAnsiTheme="minorEastAsia" w:eastAsiaTheme="minorEastAsia"/>
          <w:b/>
          <w:bCs/>
          <w:sz w:val="24"/>
        </w:rPr>
      </w:pPr>
      <w:bookmarkStart w:id="84" w:name="_Toc346372904"/>
      <w:bookmarkStart w:id="85" w:name="_Toc352332878"/>
      <w:bookmarkStart w:id="86" w:name="_Toc346306757"/>
      <w:r>
        <w:rPr>
          <w:rFonts w:asciiTheme="minorEastAsia" w:hAnsiTheme="minorEastAsia" w:eastAsiaTheme="minorEastAsia"/>
          <w:b/>
          <w:bCs/>
          <w:sz w:val="24"/>
        </w:rPr>
        <w:t xml:space="preserve">24. </w:t>
      </w:r>
      <w:r>
        <w:rPr>
          <w:rFonts w:hint="eastAsia" w:asciiTheme="minorEastAsia" w:hAnsiTheme="minorEastAsia" w:eastAsiaTheme="minorEastAsia"/>
          <w:b/>
          <w:bCs/>
          <w:sz w:val="24"/>
        </w:rPr>
        <w:t>初步评审</w:t>
      </w:r>
      <w:bookmarkEnd w:id="84"/>
      <w:bookmarkEnd w:id="85"/>
      <w:bookmarkEnd w:id="86"/>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24.1</w:t>
      </w:r>
      <w:r>
        <w:rPr>
          <w:rFonts w:asciiTheme="minorEastAsia" w:hAnsiTheme="minorEastAsia" w:eastAsiaTheme="minorEastAsia"/>
          <w:sz w:val="24"/>
        </w:rPr>
        <w:t xml:space="preserve"> </w:t>
      </w:r>
      <w:r>
        <w:rPr>
          <w:rFonts w:hint="eastAsia" w:asciiTheme="minorEastAsia" w:hAnsiTheme="minorEastAsia" w:eastAsiaTheme="minorEastAsia"/>
          <w:sz w:val="24"/>
        </w:rPr>
        <w:t>初步评审是对投标文件的资格和符合性进行审查。</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24.1 初步评审是对投标文件的资格和符合性进行审查。在评审活动开始前，采购人及采购代理机构宣布政府采购评审工作纪律。</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24.2 公开招标采购项目开标结束后，采购人或者采购代理机构应当依法对供应商的资格进行审查。资格审查后，合格供应商不足 3 家的，不得评标。供应商的资格审查应依据招标文件和相关法律、法规进行审查。</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24.3 对于通过资格评审的供应商，评标委员会将进行符合性评审，以确定每一供应商投标文件的有效性、完整性和对招标文件的响应情况，看其是否对招标文件的要求做出了实质性的响应，而没有重大偏离。</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★24.</w:t>
      </w:r>
      <w:r>
        <w:rPr>
          <w:rFonts w:asciiTheme="minorEastAsia" w:hAnsiTheme="minorEastAsia" w:eastAsiaTheme="minorEastAsia"/>
          <w:b/>
          <w:sz w:val="24"/>
        </w:rPr>
        <w:t>4</w:t>
      </w:r>
      <w:r>
        <w:rPr>
          <w:rFonts w:hint="eastAsia" w:asciiTheme="minorEastAsia" w:hAnsiTheme="minorEastAsia" w:eastAsiaTheme="minorEastAsia"/>
          <w:b/>
          <w:sz w:val="24"/>
        </w:rPr>
        <w:t xml:space="preserve"> 如出现下列情形之一的，视为对招标文件没有做出实质性响应，按照无效投标处理。</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1）投标文件未经法定代表人签署且未提供有效的法定代表人授权委托书的；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2）未按招标文件规定要求签署、盖章的；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3）未按规定交纳投标保证金的（规定不收取的除外）；</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4）招标文件未明确说明允许投报进口产品，而投报了进口产品的；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5）不符合招标文件中任一带★号条款的；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6）投标文件内容不全或未按规定填写或字迹模糊、辨认不清或涂改未加盖公章确认也未经法定代表人或其委托代理人签字确认的；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7）不按照招标文件规定报价、有多个报价（招标文件另有规定的除外）、有选择性报价、附有条件的报价或者拒绝修正报价的；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8）评标委员会认为供应商的报价明显低于其他通过符合性审查供应商的报价，有可能影响产品质量或者不能诚信履约的，要求供应商在评审现场合理的时间内提供书面说明，必要时提交相关证明材料；但供应商不能证明其报价合理性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9）投标报价超过采购预算或最高限价的；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10）供应商名称与资格预审时不一致且未提供有效证明的（如适用）</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11）应提供而未提供政府强制采购节能产品的；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12）投标有效期不满足招标文件要求的；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13）投标文件中负偏离项数超过了招标文件规定的数量的；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14）投标文件含有采购人不能接受的附加条件的;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15）以他人名义投标或者在投标文件中提供虚假材料的；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16）未响应招标文件规定的其他实质性要求的；</w:t>
      </w:r>
    </w:p>
    <w:p>
      <w:pPr>
        <w:spacing w:after="120" w:line="560" w:lineRule="exact"/>
        <w:ind w:firstLine="602" w:firstLineChars="25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17）法律法规和招标文件规定的其他情形。</w:t>
      </w:r>
    </w:p>
    <w:p>
      <w:pPr>
        <w:spacing w:after="120" w:line="360" w:lineRule="auto"/>
        <w:ind w:firstLine="482" w:firstLineChars="200"/>
        <w:rPr>
          <w:rFonts w:asciiTheme="minorEastAsia" w:hAnsiTheme="minorEastAsia" w:eastAsiaTheme="minorEastAsia"/>
          <w:b/>
          <w:kern w:val="0"/>
          <w:sz w:val="24"/>
          <w:szCs w:val="20"/>
        </w:rPr>
      </w:pPr>
      <w:r>
        <w:rPr>
          <w:rFonts w:hint="eastAsia" w:asciiTheme="minorEastAsia" w:hAnsiTheme="minorEastAsia" w:eastAsiaTheme="minorEastAsia"/>
          <w:b/>
          <w:kern w:val="0"/>
          <w:sz w:val="24"/>
          <w:szCs w:val="20"/>
        </w:rPr>
        <w:t>对投标无效的认定，必须经评标委员会集体做出决定并出具书面意见。</w:t>
      </w:r>
    </w:p>
    <w:p>
      <w:pPr>
        <w:pStyle w:val="42"/>
        <w:spacing w:line="48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4.5</w:t>
      </w:r>
      <w:r>
        <w:rPr>
          <w:rFonts w:hint="eastAsia" w:asciiTheme="minorEastAsia" w:hAnsiTheme="minorEastAsia" w:eastAsiaTheme="minorEastAsia"/>
          <w:sz w:val="24"/>
          <w:szCs w:val="24"/>
        </w:rPr>
        <w:t>评标委员会将否决被确定为非实质性响应的投标文件，供应商不能通过修正或撤销投标文件中的不符之处而使其投标成为实质性响应的投标。</w:t>
      </w:r>
    </w:p>
    <w:p>
      <w:pPr>
        <w:spacing w:after="120" w:line="480" w:lineRule="auto"/>
        <w:ind w:firstLine="480" w:firstLineChars="200"/>
        <w:rPr>
          <w:rFonts w:asciiTheme="minorEastAsia" w:hAnsiTheme="minorEastAsia" w:eastAsiaTheme="minorEastAsia"/>
          <w:kern w:val="0"/>
          <w:sz w:val="24"/>
        </w:rPr>
      </w:pPr>
      <w:r>
        <w:rPr>
          <w:rFonts w:hint="eastAsia" w:asciiTheme="minorEastAsia" w:hAnsiTheme="minorEastAsia" w:eastAsiaTheme="minorEastAsia"/>
          <w:kern w:val="0"/>
          <w:sz w:val="24"/>
        </w:rPr>
        <w:t>24.</w:t>
      </w:r>
      <w:r>
        <w:rPr>
          <w:rFonts w:asciiTheme="minorEastAsia" w:hAnsiTheme="minorEastAsia" w:eastAsiaTheme="minorEastAsia"/>
          <w:kern w:val="0"/>
          <w:sz w:val="24"/>
        </w:rPr>
        <w:t>6</w:t>
      </w:r>
      <w:r>
        <w:rPr>
          <w:rFonts w:hint="eastAsia" w:asciiTheme="minorEastAsia" w:hAnsiTheme="minorEastAsia" w:eastAsiaTheme="minorEastAsia"/>
          <w:kern w:val="0"/>
          <w:sz w:val="24"/>
        </w:rPr>
        <w:t>供应商的投标报价明显低于其他通过符合性审查供应商的报价，有可能影响商品质量和不能诚信履约的，评标委员会有权要求其在规定的时间内提供书面文件予以解释说明，并提交相关证明材料；供应商不能证明其报价合理性的，评标委员会应当将其作为无效投标处理。</w:t>
      </w:r>
    </w:p>
    <w:p>
      <w:pPr>
        <w:spacing w:after="120" w:line="360" w:lineRule="auto"/>
        <w:ind w:firstLine="482" w:firstLineChars="200"/>
        <w:rPr>
          <w:rFonts w:cs="宋体" w:asciiTheme="minorEastAsia" w:hAnsiTheme="minorEastAsia" w:eastAsiaTheme="minorEastAsia"/>
          <w:kern w:val="0"/>
          <w:sz w:val="24"/>
        </w:rPr>
      </w:pPr>
      <w:r>
        <w:rPr>
          <w:rFonts w:hint="eastAsia" w:cs="宋体" w:asciiTheme="minorEastAsia" w:hAnsiTheme="minorEastAsia" w:eastAsiaTheme="minorEastAsia"/>
          <w:b/>
          <w:kern w:val="0"/>
          <w:sz w:val="24"/>
        </w:rPr>
        <w:t>24.</w:t>
      </w:r>
      <w:r>
        <w:rPr>
          <w:rFonts w:cs="宋体" w:asciiTheme="minorEastAsia" w:hAnsiTheme="minorEastAsia" w:eastAsiaTheme="minorEastAsia"/>
          <w:b/>
          <w:kern w:val="0"/>
          <w:sz w:val="24"/>
        </w:rPr>
        <w:t>7</w:t>
      </w:r>
      <w:r>
        <w:rPr>
          <w:rFonts w:hint="eastAsia" w:cs="宋体" w:asciiTheme="minorEastAsia" w:hAnsiTheme="minorEastAsia" w:eastAsiaTheme="minorEastAsia"/>
          <w:b/>
          <w:kern w:val="0"/>
          <w:sz w:val="24"/>
        </w:rPr>
        <w:t xml:space="preserve"> 评标委员会通过上述评审，确定通过初步评审的供应商名单，只有通过初步评审的供应商，才能进入综合评审。符合性审查后，合格供应商不足3家的，不得继续评标。</w:t>
      </w:r>
    </w:p>
    <w:p>
      <w:pPr>
        <w:spacing w:line="560" w:lineRule="exact"/>
        <w:ind w:firstLine="482" w:firstLineChars="200"/>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★24.</w:t>
      </w:r>
      <w:r>
        <w:rPr>
          <w:rFonts w:cs="宋体" w:asciiTheme="minorEastAsia" w:hAnsiTheme="minorEastAsia" w:eastAsiaTheme="minorEastAsia"/>
          <w:b/>
          <w:bCs/>
          <w:kern w:val="0"/>
          <w:sz w:val="24"/>
        </w:rPr>
        <w:t>8</w:t>
      </w:r>
      <w:r>
        <w:rPr>
          <w:rFonts w:hint="eastAsia" w:cs="宋体" w:asciiTheme="minorEastAsia" w:hAnsiTheme="minorEastAsia" w:eastAsiaTheme="minorEastAsia"/>
          <w:b/>
          <w:bCs/>
          <w:kern w:val="0"/>
          <w:sz w:val="24"/>
        </w:rPr>
        <w:t xml:space="preserve"> 提供相同品牌产品的不同供应商参加同一合同项下投标的评审办法执行《中华人民共和国财政部令第 87 号》第 31 条规定。</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25</w:t>
      </w:r>
      <w:r>
        <w:rPr>
          <w:rFonts w:hint="eastAsia" w:asciiTheme="minorEastAsia" w:hAnsiTheme="minorEastAsia" w:eastAsiaTheme="minorEastAsia"/>
          <w:b/>
          <w:bCs/>
          <w:sz w:val="24"/>
        </w:rPr>
        <w:t>. 报价不一致时的修正和处理</w:t>
      </w:r>
    </w:p>
    <w:p>
      <w:pPr>
        <w:pStyle w:val="2"/>
        <w:spacing w:line="560" w:lineRule="exact"/>
        <w:ind w:firstLine="540" w:firstLineChars="224"/>
        <w:rPr>
          <w:rFonts w:asciiTheme="minorEastAsia" w:hAnsiTheme="minorEastAsia" w:eastAsiaTheme="minorEastAsia"/>
          <w:b/>
          <w:sz w:val="24"/>
        </w:rPr>
      </w:pPr>
      <w:r>
        <w:rPr>
          <w:rFonts w:hint="eastAsia" w:asciiTheme="minorEastAsia" w:hAnsiTheme="minorEastAsia" w:eastAsiaTheme="minorEastAsia"/>
          <w:b/>
          <w:sz w:val="24"/>
        </w:rPr>
        <w:t>2</w:t>
      </w:r>
      <w:r>
        <w:rPr>
          <w:rFonts w:asciiTheme="minorEastAsia" w:hAnsiTheme="minorEastAsia" w:eastAsiaTheme="minorEastAsia"/>
          <w:b/>
          <w:sz w:val="24"/>
        </w:rPr>
        <w:t xml:space="preserve">5.1 </w:t>
      </w:r>
      <w:r>
        <w:rPr>
          <w:rFonts w:hint="eastAsia" w:asciiTheme="minorEastAsia" w:hAnsiTheme="minorEastAsia" w:eastAsiaTheme="minorEastAsia"/>
          <w:b/>
          <w:sz w:val="24"/>
        </w:rPr>
        <w:t xml:space="preserve">投标文件报价出现前后不一致的，按照下列规定修正： </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（1）投标文件中开标一览表内容与投标文件中相应内容不一致的，以开标一览表为准；</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（2）大写金额和小写金额不一致的，以大写金额为准；</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（3）单价金额小数点或者百分比有明显错位的，以开标一览表的总价为准，并修改单价；</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 xml:space="preserve">（4）总价金额与按单价汇总金额不一致的，以单价金额计算结果为准。 </w:t>
      </w:r>
    </w:p>
    <w:p>
      <w:pPr>
        <w:pStyle w:val="2"/>
        <w:spacing w:line="560" w:lineRule="exact"/>
        <w:ind w:firstLine="602" w:firstLineChars="250"/>
        <w:rPr>
          <w:rFonts w:asciiTheme="minorEastAsia" w:hAnsiTheme="minorEastAsia" w:eastAsiaTheme="minorEastAsia"/>
          <w:b/>
          <w:sz w:val="24"/>
        </w:rPr>
      </w:pPr>
      <w:r>
        <w:rPr>
          <w:rFonts w:hint="eastAsia" w:asciiTheme="minorEastAsia" w:hAnsiTheme="minorEastAsia" w:eastAsiaTheme="minorEastAsia"/>
          <w:b/>
          <w:sz w:val="24"/>
        </w:rPr>
        <w:t>★（5）</w:t>
      </w:r>
      <w:r>
        <w:rPr>
          <w:rFonts w:asciiTheme="minorEastAsia" w:hAnsiTheme="minorEastAsia" w:eastAsiaTheme="minorEastAsia"/>
          <w:b/>
          <w:sz w:val="24"/>
        </w:rPr>
        <w:t xml:space="preserve"> </w:t>
      </w:r>
      <w:r>
        <w:rPr>
          <w:rFonts w:hint="eastAsia" w:asciiTheme="minorEastAsia" w:hAnsiTheme="minorEastAsia" w:eastAsiaTheme="minorEastAsia"/>
          <w:b/>
          <w:sz w:val="24"/>
        </w:rPr>
        <w:t>同时出现两种以上不一致的，按照前款规定的顺序修正。修正后的报价经供应商确认后产生约束力，供应商不确认的，其投标无效。</w:t>
      </w:r>
    </w:p>
    <w:p>
      <w:pPr>
        <w:pStyle w:val="2"/>
        <w:spacing w:line="56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（6）投标文件的正本与副本不一致的，以正本为准；对不同文字文本投标文件的解释发生异议的，以中文文本为准。</w:t>
      </w:r>
    </w:p>
    <w:p>
      <w:pPr>
        <w:pStyle w:val="2"/>
        <w:spacing w:line="560" w:lineRule="exact"/>
        <w:ind w:firstLine="602" w:firstLineChars="250"/>
        <w:rPr>
          <w:rFonts w:asciiTheme="minorEastAsia" w:hAnsiTheme="minorEastAsia" w:eastAsiaTheme="minorEastAsia"/>
          <w:b/>
          <w:sz w:val="24"/>
        </w:rPr>
      </w:pPr>
      <w:r>
        <w:rPr>
          <w:rFonts w:hint="eastAsia" w:asciiTheme="minorEastAsia" w:hAnsiTheme="minorEastAsia" w:eastAsiaTheme="minorEastAsia"/>
          <w:b/>
          <w:sz w:val="24"/>
        </w:rPr>
        <w:t>同时出现两种以上不一致的，按照上述规定的顺序修正。</w:t>
      </w:r>
    </w:p>
    <w:p>
      <w:pPr>
        <w:pStyle w:val="2"/>
        <w:spacing w:line="560" w:lineRule="exact"/>
        <w:ind w:firstLine="602" w:firstLineChars="250"/>
        <w:rPr>
          <w:rFonts w:asciiTheme="minorEastAsia" w:hAnsiTheme="minorEastAsia" w:eastAsiaTheme="minorEastAsia"/>
          <w:b/>
          <w:sz w:val="24"/>
        </w:rPr>
      </w:pPr>
      <w:r>
        <w:rPr>
          <w:rFonts w:hint="eastAsia" w:asciiTheme="minorEastAsia" w:hAnsiTheme="minorEastAsia" w:eastAsiaTheme="minorEastAsia"/>
          <w:b/>
          <w:sz w:val="24"/>
        </w:rPr>
        <w:t>★ 评标委员会应要求供应商法定代表人或其委托代理人对修正后的报价签字确认，供应商不确认的，其投标无效。</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w:t>
      </w:r>
      <w:r>
        <w:rPr>
          <w:rFonts w:asciiTheme="minorEastAsia" w:hAnsiTheme="minorEastAsia" w:eastAsiaTheme="minorEastAsia"/>
          <w:b/>
          <w:bCs/>
          <w:sz w:val="24"/>
        </w:rPr>
        <w:t>6</w:t>
      </w:r>
      <w:r>
        <w:rPr>
          <w:rFonts w:hint="eastAsia" w:asciiTheme="minorEastAsia" w:hAnsiTheme="minorEastAsia" w:eastAsiaTheme="minorEastAsia"/>
          <w:b/>
          <w:bCs/>
          <w:sz w:val="24"/>
        </w:rPr>
        <w:t>.</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投标文件的澄清</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6</w:t>
      </w:r>
      <w:r>
        <w:rPr>
          <w:rFonts w:hint="eastAsia" w:asciiTheme="minorEastAsia" w:hAnsiTheme="minorEastAsia" w:eastAsiaTheme="minorEastAsia"/>
          <w:sz w:val="24"/>
        </w:rPr>
        <w:t>.1 为有助于对投标文件进行审查、评估和比较，评标委员会有权向供应商询问。供应商有义务以书面形式对其投标文件中含义不明确、同类问题表述不一致或有明显文字错误的内容进行澄清和说明，但澄清和说明的内容不得超出投标文件的范围或改变投标文件的实质性内容。供应商澄清和说明的内容构成投标文件的组成部分；拒不进行澄清、说明或补正的，评标委员会可以视为供应商未实质性响应报价。</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6</w:t>
      </w:r>
      <w:r>
        <w:rPr>
          <w:rFonts w:hint="eastAsia" w:asciiTheme="minorEastAsia" w:hAnsiTheme="minorEastAsia" w:eastAsiaTheme="minorEastAsia"/>
          <w:sz w:val="24"/>
        </w:rPr>
        <w:t>.2 评标委员会不接受供应商主动提出的澄清，采购人也不接受供应商主动承诺给予采购人赠品、回扣或者与采购无关的其他商品、服务。</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w:t>
      </w:r>
      <w:r>
        <w:rPr>
          <w:rFonts w:asciiTheme="minorEastAsia" w:hAnsiTheme="minorEastAsia" w:eastAsiaTheme="minorEastAsia"/>
          <w:b/>
          <w:bCs/>
          <w:sz w:val="24"/>
        </w:rPr>
        <w:t>7</w:t>
      </w:r>
      <w:r>
        <w:rPr>
          <w:rFonts w:hint="eastAsia" w:asciiTheme="minorEastAsia" w:hAnsiTheme="minorEastAsia" w:eastAsiaTheme="minorEastAsia"/>
          <w:b/>
          <w:bCs/>
          <w:sz w:val="24"/>
        </w:rPr>
        <w:t>.</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综合评审</w:t>
      </w:r>
    </w:p>
    <w:p>
      <w:pPr>
        <w:spacing w:line="560" w:lineRule="exact"/>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sz w:val="24"/>
        </w:rPr>
        <w:t>2</w:t>
      </w:r>
      <w:r>
        <w:rPr>
          <w:rFonts w:cs="宋体" w:asciiTheme="minorEastAsia" w:hAnsiTheme="minorEastAsia" w:eastAsiaTheme="minorEastAsia"/>
          <w:sz w:val="24"/>
        </w:rPr>
        <w:t>7.1</w:t>
      </w:r>
      <w:r>
        <w:rPr>
          <w:rFonts w:hint="eastAsia" w:cs="宋体" w:asciiTheme="minorEastAsia" w:hAnsiTheme="minorEastAsia" w:eastAsiaTheme="minorEastAsia"/>
          <w:kern w:val="0"/>
          <w:sz w:val="24"/>
        </w:rPr>
        <w:t>对通过初步评审的供应商，由评标委员会根据招标文件第三章“评标办法”进行综合评审。</w:t>
      </w:r>
    </w:p>
    <w:p>
      <w:pPr>
        <w:spacing w:line="560" w:lineRule="exact"/>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sz w:val="24"/>
        </w:rPr>
        <w:t>2</w:t>
      </w:r>
      <w:r>
        <w:rPr>
          <w:rFonts w:cs="宋体" w:asciiTheme="minorEastAsia" w:hAnsiTheme="minorEastAsia" w:eastAsiaTheme="minorEastAsia"/>
          <w:sz w:val="24"/>
        </w:rPr>
        <w:t>7.2</w:t>
      </w:r>
      <w:r>
        <w:rPr>
          <w:rFonts w:hint="eastAsia" w:cs="宋体" w:asciiTheme="minorEastAsia" w:hAnsiTheme="minorEastAsia" w:eastAsiaTheme="minorEastAsia"/>
          <w:kern w:val="0"/>
          <w:sz w:val="24"/>
        </w:rPr>
        <w:t>评标委员会应当按照招标文件中规定的评标方法和标准，对通过初步评审的投标文件进行商务和技术评估，综合比较与评价。按照汇总得分的由高到低的顺序对各供应商进行排序，提出书面评标报告，推荐中标候选人。</w:t>
      </w:r>
    </w:p>
    <w:p>
      <w:pPr>
        <w:spacing w:line="560" w:lineRule="exact"/>
        <w:ind w:firstLine="600" w:firstLineChars="25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w:t>
      </w:r>
      <w:r>
        <w:rPr>
          <w:rFonts w:cs="宋体" w:asciiTheme="minorEastAsia" w:hAnsiTheme="minorEastAsia" w:eastAsiaTheme="minorEastAsia"/>
          <w:kern w:val="0"/>
          <w:sz w:val="24"/>
        </w:rPr>
        <w:t>7</w:t>
      </w:r>
      <w:r>
        <w:rPr>
          <w:rFonts w:hint="eastAsia" w:cs="宋体" w:asciiTheme="minorEastAsia" w:hAnsiTheme="minorEastAsia" w:eastAsiaTheme="minorEastAsia"/>
          <w:kern w:val="0"/>
          <w:sz w:val="24"/>
        </w:rPr>
        <w:t>.3</w:t>
      </w:r>
      <w:r>
        <w:rPr>
          <w:rFonts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rPr>
        <w:t>评标结果汇总完成后，除下列情形外，任何人不得修改评标结果：</w:t>
      </w:r>
    </w:p>
    <w:p>
      <w:pPr>
        <w:spacing w:line="560" w:lineRule="exact"/>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（1）分值汇总计算错误的；</w:t>
      </w:r>
    </w:p>
    <w:p>
      <w:pPr>
        <w:spacing w:line="560" w:lineRule="exact"/>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（2）分项评分超出评分标准范围的；</w:t>
      </w:r>
    </w:p>
    <w:p>
      <w:pPr>
        <w:spacing w:line="560" w:lineRule="exact"/>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（3）评标委员会成员对客观评审因素评分不一致的；</w:t>
      </w:r>
    </w:p>
    <w:p>
      <w:pPr>
        <w:spacing w:line="560" w:lineRule="exact"/>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（4）经评标委员会认定评分畸高、畸低的。</w:t>
      </w:r>
    </w:p>
    <w:p>
      <w:pPr>
        <w:spacing w:line="560" w:lineRule="exact"/>
        <w:ind w:firstLine="600" w:firstLineChars="25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政府采购优惠政策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 中小企业优惠办法</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28.1.1 根据《财政部工业和信息化部关于印发&lt;政府采购促进中小企业发展管理办法&gt;的通知》(财库〔2020〕46 号)文件以及财库[2022]19 号文件的规定，对符合本办法规定的小微企业报价给予 10%的扣除，用扣除后的价格参加评审；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4%的扣除，用扣除后的价格参加评审。</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28.1.2 按照《关于印发中小企业划型标准规定的通知》（工信部联企业〔2011〕300 号）规定，上述小微企业应为依据中小企业划分标准确定的小型企业和微型企业，但与大企业的负责人为同一人，或者与大企业存在直接控股、管理关系的除外。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28.1.3 供应商提供的货物、工程或者服务符合下列情形，享受上述小微企</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业价格扣除的优惠政策：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（一）在货物采购项目中，货物由小微企业制造，即货物由小微企业生产且使用该小微企业商号或者注册商标；</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（二）在工程采购项目中，工程由小微企业承建，即工程施工单位为小微企业；</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（三）在服务采购项目中，服务由小微企业承接，即提供服务的人员为小微企业依照《中华人民共和国劳动合同法》订立劳动合同的从业人员。</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28.1.4 依据《财政部工业和信息化部关于印发&lt;政府采购促进中小企业发展管理办法&gt;的通知》(财库〔2020〕46 号)规定，中型、小型和微型企业投标的须提供《中小企业声明函》（格式见附件）并对声明函的真实性负责；如果联合体各方均为小型、微型企业的，联合体视同为小型、微型企业，但联合体各方均应按招标文件要求提供《中小企业声明函》。</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28.1.5 在货物采购项目中，供应商提供的货物既有小微企业制造货物，也有大中型企业制造的，不享受本办法规定的小微企业价格优惠政策。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28.1.6 以联合体形式参加政府采购活动，联合体各方均为中小企业的，联合体视同中小企业。其中，联合体各方均为小微企业的，联合体视同小微企业。</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组成联合体或者接受分包的小微企业与联合体内其他企业、分包企业之间存在直接控股、管理关系的，不享受价格扣除优惠政策。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28.1.7 中标、成交供应商享受本办法规定的中小企业扶持政策的，采购人、采购代理机构应当随中标、成交结果公开中标、成交供应商的《中小企业声明函》。</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供应商 提供声明函内容不实的，属于提供虚假材料谋取中标、成交，依照《中华人民共和国政府采购法》等国家有关规定追究相应责任。</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28.2 政府采购支持监狱企业发展的政策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根据《财政部司法部&lt;关于政府采购支持监狱企业发展有关问题的通知》（（财库财库〔2014〕68号）文件规定，对监狱企业生产的产品价格或提供服务的价格给予10%的价格扣除，用扣除后的价格参与评审；监狱企业属于小型、微型企业的，不重复享受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2）参加政府采购活动的监狱企业应当在投标文件中提供监狱企业证明复印件，否则不予认定。监狱企业证明须由省级或以上监狱管理局、戒毒管理局（含新疆生产建设兵团）出具。</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28.3 促进残疾人就业政府采购政策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1）依据《三部门联合发布关于促进残疾人就业政府采购政策的通知》(财库〔2017〕141 号)文件规定，残疾人福利性单位视同小型、微型企业，对残疾人福利性单位的报价给予 10%的扣除，用扣除后的评标价格参与价格得分的计算及评审；残疾人福利性单位属于小型、微型企业的，不重复享受政策。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 残疾人福利性单位评标价格的计算：残疾人福利性单位的评标价格=投标报价×（1—扣除比例）；供应商属于享受政府采购支持政策的“残疾人福利性单位”的，只需提供《残疾人福利性单位声明函》，并对声明的真实性负责。</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中标供应商为残疾人福利性单位的，采购代理机构将随成交结果同时公告其《残疾人福利性单位声明函》。</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3）享受政府采购支持政策的残疾人福利性单位应当同时满足以下条件：</w:t>
      </w:r>
    </w:p>
    <w:p>
      <w:pPr>
        <w:pStyle w:val="2"/>
        <w:spacing w:line="560" w:lineRule="exact"/>
        <w:ind w:firstLine="482"/>
        <w:rPr>
          <w:rFonts w:asciiTheme="minorEastAsia" w:hAnsiTheme="minorEastAsia" w:eastAsiaTheme="minorEastAsia"/>
          <w:b/>
          <w:bCs/>
          <w:sz w:val="24"/>
        </w:rPr>
      </w:pPr>
      <w:r>
        <w:rPr>
          <w:rFonts w:asciiTheme="minorEastAsia" w:hAnsiTheme="minorEastAsia" w:eastAsiaTheme="minorEastAsia"/>
          <w:b/>
          <w:bCs/>
          <w:sz w:val="24"/>
        </w:rPr>
        <w:fldChar w:fldCharType="begin"/>
      </w:r>
      <w:r>
        <w:rPr>
          <w:rFonts w:asciiTheme="minorEastAsia" w:hAnsiTheme="minorEastAsia" w:eastAsiaTheme="minorEastAsia"/>
          <w:b/>
          <w:bCs/>
          <w:sz w:val="24"/>
        </w:rPr>
        <w:instrText xml:space="preserve"> </w:instrText>
      </w:r>
      <w:r>
        <w:rPr>
          <w:rFonts w:hint="eastAsia" w:asciiTheme="minorEastAsia" w:hAnsiTheme="minorEastAsia" w:eastAsiaTheme="minorEastAsia"/>
          <w:b/>
          <w:bCs/>
          <w:sz w:val="24"/>
        </w:rPr>
        <w:instrText xml:space="preserve">= 1 \* GB3</w:instrText>
      </w:r>
      <w:r>
        <w:rPr>
          <w:rFonts w:asciiTheme="minorEastAsia" w:hAnsiTheme="minorEastAsia" w:eastAsiaTheme="minorEastAsia"/>
          <w:b/>
          <w:bCs/>
          <w:sz w:val="24"/>
        </w:rPr>
        <w:instrText xml:space="preserve"> </w:instrText>
      </w:r>
      <w:r>
        <w:rPr>
          <w:rFonts w:asciiTheme="minorEastAsia" w:hAnsiTheme="minorEastAsia" w:eastAsiaTheme="minorEastAsia"/>
          <w:b/>
          <w:bCs/>
          <w:sz w:val="24"/>
        </w:rPr>
        <w:fldChar w:fldCharType="separate"/>
      </w:r>
      <w:r>
        <w:rPr>
          <w:rFonts w:hint="eastAsia" w:asciiTheme="minorEastAsia" w:hAnsiTheme="minorEastAsia" w:eastAsiaTheme="minorEastAsia"/>
          <w:b/>
          <w:bCs/>
          <w:sz w:val="24"/>
        </w:rPr>
        <w:t>①</w:t>
      </w:r>
      <w:r>
        <w:rPr>
          <w:rFonts w:asciiTheme="minorEastAsia" w:hAnsiTheme="minorEastAsia" w:eastAsiaTheme="minorEastAsia"/>
          <w:b/>
          <w:bCs/>
          <w:sz w:val="24"/>
        </w:rPr>
        <w:fldChar w:fldCharType="end"/>
      </w:r>
      <w:r>
        <w:rPr>
          <w:rFonts w:hint="eastAsia" w:asciiTheme="minorEastAsia" w:hAnsiTheme="minorEastAsia" w:eastAsiaTheme="minorEastAsia"/>
          <w:b/>
          <w:bCs/>
          <w:sz w:val="24"/>
        </w:rPr>
        <w:t>安置的残疾人占本单位在职职工人数的比例不低于</w:t>
      </w:r>
      <w:r>
        <w:rPr>
          <w:rFonts w:asciiTheme="minorEastAsia" w:hAnsiTheme="minorEastAsia" w:eastAsiaTheme="minorEastAsia"/>
          <w:b/>
          <w:bCs/>
          <w:sz w:val="24"/>
        </w:rPr>
        <w:t>25%</w:t>
      </w:r>
      <w:r>
        <w:rPr>
          <w:rFonts w:hint="eastAsia" w:asciiTheme="minorEastAsia" w:hAnsiTheme="minorEastAsia" w:eastAsiaTheme="minorEastAsia"/>
          <w:b/>
          <w:bCs/>
          <w:sz w:val="24"/>
        </w:rPr>
        <w:t>（含</w:t>
      </w:r>
      <w:r>
        <w:rPr>
          <w:rFonts w:asciiTheme="minorEastAsia" w:hAnsiTheme="minorEastAsia" w:eastAsiaTheme="minorEastAsia"/>
          <w:b/>
          <w:bCs/>
          <w:sz w:val="24"/>
        </w:rPr>
        <w:t>25%</w:t>
      </w:r>
      <w:r>
        <w:rPr>
          <w:rFonts w:hint="eastAsia" w:asciiTheme="minorEastAsia" w:hAnsiTheme="minorEastAsia" w:eastAsiaTheme="minorEastAsia"/>
          <w:b/>
          <w:bCs/>
          <w:sz w:val="24"/>
        </w:rPr>
        <w:t>），并且安置的残疾人人数不少于10人（含10人）；</w:t>
      </w:r>
    </w:p>
    <w:p>
      <w:pPr>
        <w:pStyle w:val="2"/>
        <w:spacing w:line="560" w:lineRule="exact"/>
        <w:ind w:firstLine="482"/>
        <w:rPr>
          <w:rFonts w:asciiTheme="minorEastAsia" w:hAnsiTheme="minorEastAsia" w:eastAsiaTheme="minorEastAsia"/>
          <w:b/>
          <w:bCs/>
          <w:sz w:val="24"/>
        </w:rPr>
      </w:pPr>
      <w:r>
        <w:rPr>
          <w:rFonts w:asciiTheme="minorEastAsia" w:hAnsiTheme="minorEastAsia" w:eastAsiaTheme="minorEastAsia"/>
          <w:b/>
          <w:bCs/>
          <w:sz w:val="24"/>
        </w:rPr>
        <w:fldChar w:fldCharType="begin"/>
      </w:r>
      <w:r>
        <w:rPr>
          <w:rFonts w:asciiTheme="minorEastAsia" w:hAnsiTheme="minorEastAsia" w:eastAsiaTheme="minorEastAsia"/>
          <w:b/>
          <w:bCs/>
          <w:sz w:val="24"/>
        </w:rPr>
        <w:instrText xml:space="preserve"> </w:instrText>
      </w:r>
      <w:r>
        <w:rPr>
          <w:rFonts w:hint="eastAsia" w:asciiTheme="minorEastAsia" w:hAnsiTheme="minorEastAsia" w:eastAsiaTheme="minorEastAsia"/>
          <w:b/>
          <w:bCs/>
          <w:sz w:val="24"/>
        </w:rPr>
        <w:instrText xml:space="preserve">= 2 \* GB3</w:instrText>
      </w:r>
      <w:r>
        <w:rPr>
          <w:rFonts w:asciiTheme="minorEastAsia" w:hAnsiTheme="minorEastAsia" w:eastAsiaTheme="minorEastAsia"/>
          <w:b/>
          <w:bCs/>
          <w:sz w:val="24"/>
        </w:rPr>
        <w:instrText xml:space="preserve"> </w:instrText>
      </w:r>
      <w:r>
        <w:rPr>
          <w:rFonts w:asciiTheme="minorEastAsia" w:hAnsiTheme="minorEastAsia" w:eastAsiaTheme="minorEastAsia"/>
          <w:b/>
          <w:bCs/>
          <w:sz w:val="24"/>
        </w:rPr>
        <w:fldChar w:fldCharType="separate"/>
      </w:r>
      <w:r>
        <w:rPr>
          <w:rFonts w:hint="eastAsia" w:asciiTheme="minorEastAsia" w:hAnsiTheme="minorEastAsia" w:eastAsiaTheme="minorEastAsia"/>
          <w:b/>
          <w:bCs/>
          <w:sz w:val="24"/>
        </w:rPr>
        <w:t>②</w:t>
      </w:r>
      <w:r>
        <w:rPr>
          <w:rFonts w:asciiTheme="minorEastAsia" w:hAnsiTheme="minorEastAsia" w:eastAsiaTheme="minorEastAsia"/>
          <w:b/>
          <w:bCs/>
          <w:sz w:val="24"/>
        </w:rPr>
        <w:fldChar w:fldCharType="end"/>
      </w:r>
      <w:r>
        <w:rPr>
          <w:rFonts w:hint="eastAsia" w:asciiTheme="minorEastAsia" w:hAnsiTheme="minorEastAsia" w:eastAsiaTheme="minorEastAsia"/>
          <w:b/>
          <w:bCs/>
          <w:sz w:val="24"/>
        </w:rPr>
        <w:t>依法与安置的每位残疾人签订了一年以上（含一年）的劳动合同或服务协议；</w:t>
      </w:r>
    </w:p>
    <w:p>
      <w:pPr>
        <w:pStyle w:val="2"/>
        <w:spacing w:line="560" w:lineRule="exact"/>
        <w:ind w:firstLine="482"/>
        <w:rPr>
          <w:rFonts w:asciiTheme="minorEastAsia" w:hAnsiTheme="minorEastAsia" w:eastAsiaTheme="minorEastAsia"/>
          <w:b/>
          <w:bCs/>
          <w:sz w:val="24"/>
        </w:rPr>
      </w:pPr>
      <w:r>
        <w:rPr>
          <w:rFonts w:asciiTheme="minorEastAsia" w:hAnsiTheme="minorEastAsia" w:eastAsiaTheme="minorEastAsia"/>
          <w:b/>
          <w:bCs/>
          <w:sz w:val="24"/>
        </w:rPr>
        <w:fldChar w:fldCharType="begin"/>
      </w:r>
      <w:r>
        <w:rPr>
          <w:rFonts w:asciiTheme="minorEastAsia" w:hAnsiTheme="minorEastAsia" w:eastAsiaTheme="minorEastAsia"/>
          <w:b/>
          <w:bCs/>
          <w:sz w:val="24"/>
        </w:rPr>
        <w:instrText xml:space="preserve"> </w:instrText>
      </w:r>
      <w:r>
        <w:rPr>
          <w:rFonts w:hint="eastAsia" w:asciiTheme="minorEastAsia" w:hAnsiTheme="minorEastAsia" w:eastAsiaTheme="minorEastAsia"/>
          <w:b/>
          <w:bCs/>
          <w:sz w:val="24"/>
        </w:rPr>
        <w:instrText xml:space="preserve">= 3 \* GB3</w:instrText>
      </w:r>
      <w:r>
        <w:rPr>
          <w:rFonts w:asciiTheme="minorEastAsia" w:hAnsiTheme="minorEastAsia" w:eastAsiaTheme="minorEastAsia"/>
          <w:b/>
          <w:bCs/>
          <w:sz w:val="24"/>
        </w:rPr>
        <w:instrText xml:space="preserve"> </w:instrText>
      </w:r>
      <w:r>
        <w:rPr>
          <w:rFonts w:asciiTheme="minorEastAsia" w:hAnsiTheme="minorEastAsia" w:eastAsiaTheme="minorEastAsia"/>
          <w:b/>
          <w:bCs/>
          <w:sz w:val="24"/>
        </w:rPr>
        <w:fldChar w:fldCharType="separate"/>
      </w:r>
      <w:r>
        <w:rPr>
          <w:rFonts w:hint="eastAsia" w:asciiTheme="minorEastAsia" w:hAnsiTheme="minorEastAsia" w:eastAsiaTheme="minorEastAsia"/>
          <w:b/>
          <w:bCs/>
          <w:sz w:val="24"/>
        </w:rPr>
        <w:t>③</w:t>
      </w:r>
      <w:r>
        <w:rPr>
          <w:rFonts w:asciiTheme="minorEastAsia" w:hAnsiTheme="minorEastAsia" w:eastAsiaTheme="minorEastAsia"/>
          <w:b/>
          <w:bCs/>
          <w:sz w:val="24"/>
        </w:rPr>
        <w:fldChar w:fldCharType="end"/>
      </w:r>
      <w:r>
        <w:rPr>
          <w:rFonts w:hint="eastAsia" w:asciiTheme="minorEastAsia" w:hAnsiTheme="minorEastAsia" w:eastAsiaTheme="minorEastAsia"/>
          <w:b/>
          <w:bCs/>
          <w:sz w:val="24"/>
        </w:rPr>
        <w:t>为安置的每位残疾人按月足额缴纳了基本养老保险、基本医疗保险、失业保险、工伤保险和生育保险等社会保险费；</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④通过银行等金融机构向安置的每位残疾人，按月支付了不低于单位所在区县适用的经省级人民政府批准的月最低工资标准的工资；</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⑤提供本单位制造的货物、承担的工程或者服务（以下简称产品），或者提供其他残疾人福利性单位制造的货物（不包括使用非残疾人福利性单位注册商标的货物）。</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前款所称残疾人是指法定劳动年龄内，持有《中华人民共和国残疾人证》</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或者《中华人民共和国残疾军人证（1至8级）》的自然人，包括具有劳动条件和劳动意愿的精神残疾人。在职职工人数是指与残疾人福利性单位建立劳动关系并依法签订劳动合同或者服务协议的雇员人数。</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4）符合条件的残疾人福利性单位在参加政府采购活动时，应当提供《残疾人福利性单位声明函》（见附件），并对声明的真实性负责。</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5）中标、成交供应商为残疾人福利性单位的，采购代理机构应当随中标、成交结果同时公告其《残疾人福利性单位声明函》，接受社会监督。</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6）供应商提供的《残疾人福利性单位声明函》与事实不符的，依照《政府采购法》第七十七条第一款的规定追究法律责任。</w:t>
      </w:r>
    </w:p>
    <w:p>
      <w:pPr>
        <w:autoSpaceDE w:val="0"/>
        <w:autoSpaceDN w:val="0"/>
        <w:adjustRightInd w:val="0"/>
        <w:snapToGrid w:val="0"/>
        <w:spacing w:line="560" w:lineRule="exact"/>
        <w:ind w:firstLine="602" w:firstLineChars="250"/>
        <w:jc w:val="left"/>
        <w:rPr>
          <w:rFonts w:asciiTheme="minorEastAsia" w:hAnsiTheme="minorEastAsia" w:eastAsiaTheme="minorEastAsia"/>
          <w:b/>
          <w:bCs/>
          <w:sz w:val="24"/>
        </w:rPr>
      </w:pPr>
      <w:r>
        <w:rPr>
          <w:rFonts w:hint="eastAsia" w:cs="宋体" w:asciiTheme="minorEastAsia" w:hAnsiTheme="minorEastAsia" w:eastAsiaTheme="minorEastAsia"/>
          <w:b/>
          <w:bCs/>
          <w:kern w:val="0"/>
          <w:sz w:val="24"/>
        </w:rPr>
        <w:t>特别说明：2</w:t>
      </w:r>
      <w:r>
        <w:rPr>
          <w:rFonts w:cs="宋体" w:asciiTheme="minorEastAsia" w:hAnsiTheme="minorEastAsia" w:eastAsiaTheme="minorEastAsia"/>
          <w:b/>
          <w:bCs/>
          <w:kern w:val="0"/>
          <w:sz w:val="24"/>
        </w:rPr>
        <w:t>8.1</w:t>
      </w:r>
      <w:r>
        <w:rPr>
          <w:rFonts w:hint="eastAsia" w:cs="宋体" w:asciiTheme="minorEastAsia" w:hAnsiTheme="minorEastAsia" w:eastAsiaTheme="minorEastAsia"/>
          <w:b/>
          <w:bCs/>
          <w:kern w:val="0"/>
          <w:sz w:val="24"/>
        </w:rPr>
        <w:t>、2</w:t>
      </w:r>
      <w:r>
        <w:rPr>
          <w:rFonts w:cs="宋体" w:asciiTheme="minorEastAsia" w:hAnsiTheme="minorEastAsia" w:eastAsiaTheme="minorEastAsia"/>
          <w:b/>
          <w:bCs/>
          <w:kern w:val="0"/>
          <w:sz w:val="24"/>
        </w:rPr>
        <w:t>8.2</w:t>
      </w:r>
      <w:r>
        <w:rPr>
          <w:rFonts w:hint="eastAsia" w:cs="宋体" w:asciiTheme="minorEastAsia" w:hAnsiTheme="minorEastAsia" w:eastAsiaTheme="minorEastAsia"/>
          <w:b/>
          <w:bCs/>
          <w:kern w:val="0"/>
          <w:sz w:val="24"/>
        </w:rPr>
        <w:t>、2</w:t>
      </w:r>
      <w:r>
        <w:rPr>
          <w:rFonts w:cs="宋体" w:asciiTheme="minorEastAsia" w:hAnsiTheme="minorEastAsia" w:eastAsiaTheme="minorEastAsia"/>
          <w:b/>
          <w:bCs/>
          <w:kern w:val="0"/>
          <w:sz w:val="24"/>
        </w:rPr>
        <w:t>8.3</w:t>
      </w:r>
      <w:r>
        <w:rPr>
          <w:rFonts w:hint="eastAsia" w:cs="宋体" w:asciiTheme="minorEastAsia" w:hAnsiTheme="minorEastAsia" w:eastAsiaTheme="minorEastAsia"/>
          <w:b/>
          <w:bCs/>
          <w:kern w:val="0"/>
          <w:sz w:val="24"/>
        </w:rPr>
        <w:t>以上三种情况同时出现或两种情况同时出现时均按一种情况计算价格扣除，即不重复扣减，评审价格的计算：评审价格=最后报价×（1-</w:t>
      </w:r>
      <w:r>
        <w:rPr>
          <w:rFonts w:cs="宋体" w:asciiTheme="minorEastAsia" w:hAnsiTheme="minorEastAsia" w:eastAsiaTheme="minorEastAsia"/>
          <w:b/>
          <w:bCs/>
          <w:kern w:val="0"/>
          <w:sz w:val="24"/>
        </w:rPr>
        <w:t>10</w:t>
      </w:r>
      <w:r>
        <w:rPr>
          <w:rFonts w:hint="eastAsia" w:cs="宋体" w:asciiTheme="minorEastAsia" w:hAnsiTheme="minorEastAsia" w:eastAsiaTheme="minorEastAsia"/>
          <w:b/>
          <w:bCs/>
          <w:kern w:val="0"/>
          <w:sz w:val="24"/>
        </w:rPr>
        <w:t>%）。</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28.4 环保节能产品执行政府采购优惠政策</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供应商所报设备（产品）属于《环境标志产品政府采购品目清单》（《财政部 生态环境部关于印发环境标志产品政府采购品目清单的通知》 （财库〔2019〕18号））、《节能产品政府采购品目清单》（财政部 发展改革委《关于印发节能产品政府采购品目清单的通知》（财库〔2019〕19号）内的环保、节能产品的，应在投标文件显著位置列出某项/某些产品属于节能、环保产品，并列明节能、环保产品的生产厂家及产品品牌、型号等；同时，在节能环保产品报价表后，附经市场监管总局公布的认证机构出具的有效的国家节能产品认证证书或中国环境标志产品认证证书，否则，可能会导致所投报的节能环保产品因无法认定而不给予政府采购政策优惠。★ 其中，所报产品为政府强制采购产品的 （ 《 节能产品政府采购品目清单》中以 “★” 标注的产品品目）而未提供国家节能产品认证证书的，按无效投标处理。</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28.5 执行政府采购政策对投标报价进行扣除后的评标价格仅用于评标过程的报价得分计算或评标价格的比较，不作为最终的中标价格。</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w:t>
      </w:r>
      <w:r>
        <w:rPr>
          <w:rFonts w:asciiTheme="minorEastAsia" w:hAnsiTheme="minorEastAsia" w:eastAsiaTheme="minorEastAsia"/>
          <w:b/>
          <w:bCs/>
          <w:sz w:val="24"/>
        </w:rPr>
        <w:t>29</w:t>
      </w:r>
      <w:r>
        <w:rPr>
          <w:rFonts w:hint="eastAsia" w:asciiTheme="minorEastAsia" w:hAnsiTheme="minorEastAsia" w:eastAsiaTheme="minorEastAsia"/>
          <w:b/>
          <w:bCs/>
          <w:sz w:val="24"/>
        </w:rPr>
        <w:t>.违法情形</w:t>
      </w:r>
    </w:p>
    <w:p>
      <w:pPr>
        <w:pStyle w:val="5"/>
        <w:spacing w:before="0" w:after="0" w:line="500" w:lineRule="exact"/>
        <w:ind w:firstLine="501" w:firstLineChars="209"/>
        <w:rPr>
          <w:rFonts w:asciiTheme="minorEastAsia" w:hAnsiTheme="minorEastAsia" w:eastAsiaTheme="minorEastAsia"/>
          <w:b w:val="0"/>
          <w:bCs w:val="0"/>
          <w:sz w:val="24"/>
        </w:rPr>
      </w:pPr>
      <w:r>
        <w:rPr>
          <w:rFonts w:hint="eastAsia" w:asciiTheme="minorEastAsia" w:hAnsiTheme="minorEastAsia" w:eastAsiaTheme="minorEastAsia"/>
          <w:b w:val="0"/>
          <w:bCs w:val="0"/>
          <w:sz w:val="24"/>
        </w:rPr>
        <w:t>供应商出现《中华人民共和国政府采购法实施条例》、《政府采购货物和服务招标投标管理办法》等规定的串通投标或影响招标的违法行为，其投标无效，采购人或评标委员会将书面报告本级财政部门，给采购人、采购代理机构造成损失的，采购人、采购代理机构有索赔的权利，供应商应予以赔偿。</w:t>
      </w:r>
    </w:p>
    <w:p>
      <w:pPr>
        <w:pStyle w:val="2"/>
        <w:spacing w:after="120" w:afterLines="50" w:line="560" w:lineRule="exact"/>
        <w:ind w:firstLine="573" w:firstLineChars="238"/>
        <w:rPr>
          <w:rFonts w:asciiTheme="minorEastAsia" w:hAnsiTheme="minorEastAsia" w:eastAsiaTheme="minorEastAsia"/>
          <w:sz w:val="24"/>
          <w:szCs w:val="32"/>
        </w:rPr>
      </w:pPr>
      <w:r>
        <w:rPr>
          <w:rFonts w:hint="eastAsia" w:asciiTheme="minorEastAsia" w:hAnsiTheme="minorEastAsia" w:eastAsiaTheme="minorEastAsia"/>
          <w:b/>
          <w:bCs/>
          <w:sz w:val="24"/>
        </w:rPr>
        <w:t>30. 特殊情况处置程序</w:t>
      </w:r>
    </w:p>
    <w:p>
      <w:pPr>
        <w:spacing w:line="480" w:lineRule="auto"/>
        <w:ind w:firstLine="480" w:firstLineChars="200"/>
        <w:rPr>
          <w:rFonts w:asciiTheme="minorEastAsia" w:hAnsiTheme="minorEastAsia" w:eastAsiaTheme="minorEastAsia"/>
          <w:kern w:val="0"/>
          <w:sz w:val="24"/>
          <w:szCs w:val="32"/>
        </w:rPr>
      </w:pPr>
      <w:r>
        <w:rPr>
          <w:rFonts w:hint="eastAsia" w:asciiTheme="minorEastAsia" w:hAnsiTheme="minorEastAsia" w:eastAsiaTheme="minorEastAsia"/>
          <w:kern w:val="0"/>
          <w:sz w:val="24"/>
          <w:szCs w:val="32"/>
        </w:rPr>
        <w:t>在评标过程中，评标委员会发生分歧或者评审结论有异议需表决的，按照少数服从多数的原则，由评标委员会全体成员以记名投票方式表决。</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31</w:t>
      </w:r>
      <w:r>
        <w:rPr>
          <w:rFonts w:hint="eastAsia" w:asciiTheme="minorEastAsia" w:hAnsiTheme="minorEastAsia" w:eastAsiaTheme="minorEastAsia"/>
          <w:b/>
          <w:bCs/>
          <w:sz w:val="24"/>
        </w:rPr>
        <w:t>.</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废标</w:t>
      </w:r>
    </w:p>
    <w:p>
      <w:pPr>
        <w:pStyle w:val="2"/>
        <w:spacing w:line="560" w:lineRule="exact"/>
        <w:ind w:firstLine="482"/>
        <w:rPr>
          <w:rFonts w:asciiTheme="minorEastAsia" w:hAnsiTheme="minorEastAsia" w:eastAsiaTheme="minorEastAsia"/>
          <w:b/>
          <w:sz w:val="24"/>
        </w:rPr>
      </w:pPr>
      <w:r>
        <w:rPr>
          <w:rFonts w:asciiTheme="minorEastAsia" w:hAnsiTheme="minorEastAsia" w:eastAsiaTheme="minorEastAsia"/>
          <w:b/>
          <w:sz w:val="24"/>
        </w:rPr>
        <w:t>31.1</w:t>
      </w:r>
      <w:r>
        <w:rPr>
          <w:rFonts w:hint="eastAsia" w:asciiTheme="minorEastAsia" w:hAnsiTheme="minorEastAsia" w:eastAsiaTheme="minorEastAsia"/>
          <w:b/>
          <w:sz w:val="24"/>
        </w:rPr>
        <w:t>有下列情形之一，本项目将予以废标：</w:t>
      </w:r>
    </w:p>
    <w:p>
      <w:pPr>
        <w:pStyle w:val="2"/>
        <w:spacing w:line="560" w:lineRule="exact"/>
        <w:ind w:firstLine="480"/>
        <w:rPr>
          <w:rFonts w:asciiTheme="minorEastAsia" w:hAnsiTheme="minorEastAsia" w:eastAsiaTheme="minorEastAsia"/>
          <w:sz w:val="24"/>
        </w:rPr>
      </w:pPr>
      <w:r>
        <w:rPr>
          <w:rFonts w:hint="eastAsia" w:cs="宋体" w:asciiTheme="minorEastAsia" w:hAnsiTheme="minorEastAsia" w:eastAsiaTheme="minorEastAsia"/>
          <w:sz w:val="24"/>
        </w:rPr>
        <w:t>（</w:t>
      </w:r>
      <w:r>
        <w:rPr>
          <w:rFonts w:asciiTheme="minorEastAsia" w:hAnsiTheme="minorEastAsia" w:eastAsiaTheme="minorEastAsia"/>
          <w:sz w:val="24"/>
        </w:rPr>
        <w:t>1</w:t>
      </w:r>
      <w:r>
        <w:rPr>
          <w:rFonts w:hint="eastAsia" w:asciiTheme="minorEastAsia" w:hAnsiTheme="minorEastAsia" w:eastAsiaTheme="minorEastAsia"/>
          <w:sz w:val="24"/>
        </w:rPr>
        <w:t>） 在投标截止时间结束后参加投标的供应商不足3家的；</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 符合招标文件规定条件的供应商不足3家或者对招标文件作实质性响应的供应商不足3家的；使用综合评分法的采购项目，提供相同品牌产品且通过资格审查、符合性审查的不同供应商参加同一合同项下投标的，按一家供应商计算;</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3</w:t>
      </w:r>
      <w:r>
        <w:rPr>
          <w:rFonts w:hint="eastAsia" w:asciiTheme="minorEastAsia" w:hAnsiTheme="minorEastAsia" w:eastAsiaTheme="minorEastAsia"/>
          <w:sz w:val="24"/>
        </w:rPr>
        <w:t>）出现影响采购公正的违法违规行为的；</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4</w:t>
      </w:r>
      <w:r>
        <w:rPr>
          <w:rFonts w:hint="eastAsia" w:asciiTheme="minorEastAsia" w:hAnsiTheme="minorEastAsia" w:eastAsiaTheme="minorEastAsia"/>
          <w:sz w:val="24"/>
        </w:rPr>
        <w:t>）供应商的报价均超过采购预算的；</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5</w:t>
      </w:r>
      <w:r>
        <w:rPr>
          <w:rFonts w:hint="eastAsia" w:asciiTheme="minorEastAsia" w:hAnsiTheme="minorEastAsia" w:eastAsiaTheme="minorEastAsia"/>
          <w:sz w:val="24"/>
        </w:rPr>
        <w:t>）因重大变故，采购任务取消的；</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6</w:t>
      </w:r>
      <w:r>
        <w:rPr>
          <w:rFonts w:hint="eastAsia" w:asciiTheme="minorEastAsia" w:hAnsiTheme="minorEastAsia" w:eastAsiaTheme="minorEastAsia"/>
          <w:sz w:val="24"/>
        </w:rPr>
        <w:t>）法律、法规及招标文件规定的其他情况。</w:t>
      </w:r>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3</w:t>
      </w:r>
      <w:r>
        <w:rPr>
          <w:rFonts w:asciiTheme="minorEastAsia" w:hAnsiTheme="minorEastAsia" w:eastAsiaTheme="minorEastAsia"/>
          <w:b/>
          <w:bCs/>
          <w:sz w:val="24"/>
        </w:rPr>
        <w:t>2</w:t>
      </w:r>
      <w:r>
        <w:rPr>
          <w:rFonts w:hint="eastAsia" w:asciiTheme="minorEastAsia" w:hAnsiTheme="minorEastAsia" w:eastAsiaTheme="minorEastAsia"/>
          <w:b/>
          <w:bCs/>
          <w:sz w:val="24"/>
        </w:rPr>
        <w:t>. 中标公告</w:t>
      </w:r>
    </w:p>
    <w:p>
      <w:pPr>
        <w:pStyle w:val="2"/>
        <w:spacing w:line="560" w:lineRule="exact"/>
        <w:ind w:firstLine="480"/>
        <w:rPr>
          <w:rFonts w:cs="宋体" w:asciiTheme="minorEastAsia" w:hAnsiTheme="minorEastAsia" w:eastAsiaTheme="minorEastAsia"/>
          <w:sz w:val="24"/>
        </w:rPr>
      </w:pPr>
      <w:bookmarkStart w:id="87" w:name="_Toc508784352"/>
      <w:bookmarkStart w:id="88" w:name="_Toc510973922"/>
      <w:r>
        <w:rPr>
          <w:rFonts w:hint="eastAsia" w:cs="宋体" w:asciiTheme="minorEastAsia" w:hAnsiTheme="minorEastAsia" w:eastAsiaTheme="minorEastAsia"/>
          <w:sz w:val="24"/>
        </w:rPr>
        <w:t>3</w:t>
      </w:r>
      <w:r>
        <w:rPr>
          <w:rFonts w:cs="宋体" w:asciiTheme="minorEastAsia" w:hAnsiTheme="minorEastAsia" w:eastAsiaTheme="minorEastAsia"/>
          <w:sz w:val="24"/>
        </w:rPr>
        <w:t>2</w:t>
      </w:r>
      <w:r>
        <w:rPr>
          <w:rFonts w:hint="eastAsia" w:cs="宋体" w:asciiTheme="minorEastAsia" w:hAnsiTheme="minorEastAsia" w:eastAsiaTheme="minorEastAsia"/>
          <w:sz w:val="24"/>
        </w:rPr>
        <w:t>.1 采购人确定中标人后，采购代理机构将在发布招标公告的同一媒体发布中标公告。</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3</w:t>
      </w:r>
      <w:r>
        <w:rPr>
          <w:rFonts w:cs="宋体" w:asciiTheme="minorEastAsia" w:hAnsiTheme="minorEastAsia" w:eastAsiaTheme="minorEastAsia"/>
          <w:sz w:val="24"/>
        </w:rPr>
        <w:t>2</w:t>
      </w:r>
      <w:r>
        <w:rPr>
          <w:rFonts w:hint="eastAsia" w:cs="宋体" w:asciiTheme="minorEastAsia" w:hAnsiTheme="minorEastAsia" w:eastAsiaTheme="minorEastAsia"/>
          <w:sz w:val="24"/>
        </w:rPr>
        <w:t>.2 中标公告内容应当包括采购人和采购代理机构的名称、地址、联系方式，项目名称和项目编号，中标人名称、地址和中标金额，主要中标标的的名称、规格型号、数量、单价、服务要求以及评审专家名单。</w:t>
      </w:r>
    </w:p>
    <w:p>
      <w:pPr>
        <w:pStyle w:val="4"/>
        <w:widowControl/>
        <w:spacing w:before="120" w:after="120" w:line="360" w:lineRule="exact"/>
        <w:ind w:firstLine="516" w:firstLineChars="214"/>
        <w:rPr>
          <w:rFonts w:cs="宋体" w:asciiTheme="minorEastAsia" w:hAnsiTheme="minorEastAsia" w:eastAsiaTheme="minorEastAsia"/>
          <w:sz w:val="24"/>
          <w:szCs w:val="24"/>
        </w:rPr>
      </w:pPr>
      <w:bookmarkStart w:id="89" w:name="_Toc27432"/>
      <w:r>
        <w:rPr>
          <w:rFonts w:hint="eastAsia" w:cs="宋体" w:asciiTheme="minorEastAsia" w:hAnsiTheme="minorEastAsia" w:eastAsiaTheme="minorEastAsia"/>
          <w:sz w:val="24"/>
          <w:szCs w:val="24"/>
        </w:rPr>
        <w:t>六、询问和质疑</w:t>
      </w:r>
      <w:bookmarkEnd w:id="87"/>
      <w:bookmarkEnd w:id="88"/>
      <w:bookmarkEnd w:id="89"/>
    </w:p>
    <w:p>
      <w:pPr>
        <w:pStyle w:val="2"/>
        <w:spacing w:line="560" w:lineRule="exact"/>
        <w:ind w:firstLine="419" w:firstLineChars="174"/>
        <w:rPr>
          <w:rFonts w:asciiTheme="minorEastAsia" w:hAnsiTheme="minorEastAsia" w:eastAsiaTheme="minorEastAsia"/>
          <w:b/>
          <w:bCs/>
          <w:sz w:val="24"/>
        </w:rPr>
      </w:pPr>
      <w:r>
        <w:rPr>
          <w:rFonts w:hint="eastAsia" w:asciiTheme="minorEastAsia" w:hAnsiTheme="minorEastAsia" w:eastAsiaTheme="minorEastAsia"/>
          <w:b/>
          <w:bCs/>
          <w:sz w:val="24"/>
        </w:rPr>
        <w:t>3</w:t>
      </w:r>
      <w:r>
        <w:rPr>
          <w:rFonts w:asciiTheme="minorEastAsia" w:hAnsiTheme="minorEastAsia" w:eastAsiaTheme="minorEastAsia"/>
          <w:b/>
          <w:bCs/>
          <w:sz w:val="24"/>
        </w:rPr>
        <w:t>3</w:t>
      </w:r>
      <w:r>
        <w:rPr>
          <w:rFonts w:hint="eastAsia" w:asciiTheme="minorEastAsia" w:hAnsiTheme="minorEastAsia" w:eastAsiaTheme="minorEastAsia"/>
          <w:b/>
          <w:bCs/>
          <w:sz w:val="24"/>
        </w:rPr>
        <w:t>. 询问</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供应商可向采购人或者采购代理机构就招标文件的内容依法提出询问，具体按招标公告中载明的联系人、联系方式以电话或书面（电子邮件等）方式与采购代理机构项目负责人联系。采购人或者采购代理机构将在收到询问后3个工作日内作出答复。</w:t>
      </w:r>
    </w:p>
    <w:p>
      <w:pPr>
        <w:pStyle w:val="2"/>
        <w:spacing w:line="560" w:lineRule="exact"/>
        <w:ind w:firstLine="419" w:firstLineChars="174"/>
        <w:rPr>
          <w:rFonts w:asciiTheme="minorEastAsia" w:hAnsiTheme="minorEastAsia" w:eastAsiaTheme="minorEastAsia"/>
          <w:b/>
          <w:bCs/>
          <w:sz w:val="24"/>
        </w:rPr>
      </w:pPr>
      <w:r>
        <w:rPr>
          <w:rFonts w:hint="eastAsia" w:asciiTheme="minorEastAsia" w:hAnsiTheme="minorEastAsia" w:eastAsiaTheme="minorEastAsia"/>
          <w:b/>
          <w:bCs/>
          <w:sz w:val="24"/>
        </w:rPr>
        <w:t>3</w:t>
      </w:r>
      <w:r>
        <w:rPr>
          <w:rFonts w:asciiTheme="minorEastAsia" w:hAnsiTheme="minorEastAsia" w:eastAsiaTheme="minorEastAsia"/>
          <w:b/>
          <w:bCs/>
          <w:sz w:val="24"/>
        </w:rPr>
        <w:t>4</w:t>
      </w:r>
      <w:r>
        <w:rPr>
          <w:rFonts w:hint="eastAsia" w:asciiTheme="minorEastAsia" w:hAnsiTheme="minorEastAsia" w:eastAsiaTheme="minorEastAsia"/>
          <w:b/>
          <w:bCs/>
          <w:sz w:val="24"/>
        </w:rPr>
        <w:t>. 质疑</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3</w:t>
      </w:r>
      <w:r>
        <w:rPr>
          <w:rFonts w:cs="宋体" w:asciiTheme="minorEastAsia" w:hAnsiTheme="minorEastAsia" w:eastAsiaTheme="minorEastAsia"/>
          <w:sz w:val="24"/>
        </w:rPr>
        <w:t>4</w:t>
      </w:r>
      <w:r>
        <w:rPr>
          <w:rFonts w:hint="eastAsia" w:cs="宋体" w:asciiTheme="minorEastAsia" w:hAnsiTheme="minorEastAsia" w:eastAsiaTheme="minorEastAsia"/>
          <w:sz w:val="24"/>
        </w:rPr>
        <w:t>.</w:t>
      </w:r>
      <w:r>
        <w:rPr>
          <w:rFonts w:cs="宋体" w:asciiTheme="minorEastAsia" w:hAnsiTheme="minorEastAsia" w:eastAsiaTheme="minorEastAsia"/>
          <w:sz w:val="24"/>
        </w:rPr>
        <w:t>1</w:t>
      </w:r>
      <w:r>
        <w:rPr>
          <w:rFonts w:hint="eastAsia" w:cs="宋体" w:asciiTheme="minorEastAsia" w:hAnsiTheme="minorEastAsia" w:eastAsiaTheme="minorEastAsia"/>
          <w:sz w:val="24"/>
        </w:rPr>
        <w:t xml:space="preserve"> 供应商认为招标文件、采购过程和中标结果使自己的权益受到损害的，可以在知道或者应知其权益受到损害之日起七个工作日内，以书面形式向采购人或采购代理机构提出询问或质疑。供应商应在法定质疑期内一次性提出针对同一采购程序环节的质疑。</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供应商认为招标文件、招标过程和中标结果使自己的权益受到损害的，可以在知道或者应知其权益受到损害之日起七个工作日内，以书面形式向采购人或采购代理机构提出询问或质疑。供应商应在法定质疑期内一次性提出针对同一采购程序环节的质疑。</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供应商应知其权益受到损害之日，是指：</w:t>
      </w:r>
    </w:p>
    <w:p>
      <w:pPr>
        <w:pStyle w:val="2"/>
        <w:spacing w:line="560" w:lineRule="exact"/>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（1）对可以质疑的招标文件提出质疑的，为收到招标文件之日或者招标文件公告期限届满之日；</w:t>
      </w:r>
    </w:p>
    <w:p>
      <w:pPr>
        <w:pStyle w:val="2"/>
        <w:spacing w:line="560" w:lineRule="exact"/>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（2）对招标过程提出质疑的，为各招标程序环节结束之日；</w:t>
      </w:r>
    </w:p>
    <w:p>
      <w:pPr>
        <w:pStyle w:val="2"/>
        <w:spacing w:line="560" w:lineRule="exact"/>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（3）对中标结果提出质疑的，为中标结果公告期限届满之日。</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3</w:t>
      </w:r>
      <w:r>
        <w:rPr>
          <w:rFonts w:cs="宋体" w:asciiTheme="minorEastAsia" w:hAnsiTheme="minorEastAsia" w:eastAsiaTheme="minorEastAsia"/>
          <w:sz w:val="24"/>
        </w:rPr>
        <w:t>4</w:t>
      </w:r>
      <w:r>
        <w:rPr>
          <w:rFonts w:hint="eastAsia" w:cs="宋体" w:asciiTheme="minorEastAsia" w:hAnsiTheme="minorEastAsia" w:eastAsiaTheme="minorEastAsia"/>
          <w:sz w:val="24"/>
        </w:rPr>
        <w:t>.</w:t>
      </w:r>
      <w:r>
        <w:rPr>
          <w:rFonts w:cs="宋体" w:asciiTheme="minorEastAsia" w:hAnsiTheme="minorEastAsia" w:eastAsiaTheme="minorEastAsia"/>
          <w:sz w:val="24"/>
        </w:rPr>
        <w:t>2</w:t>
      </w:r>
      <w:r>
        <w:rPr>
          <w:rFonts w:hint="eastAsia" w:cs="宋体" w:asciiTheme="minorEastAsia" w:hAnsiTheme="minorEastAsia" w:eastAsiaTheme="minorEastAsia"/>
          <w:sz w:val="24"/>
        </w:rPr>
        <w:t xml:space="preserve"> 采购人或代理机构应当在收到供应商的书面质疑后七个工作日内作出答复，并以书面形式通知质疑供应商和其他有关供应商，但答复的内容不得涉及商业秘密。</w:t>
      </w:r>
    </w:p>
    <w:p>
      <w:pPr>
        <w:pStyle w:val="2"/>
        <w:spacing w:line="560" w:lineRule="exact"/>
        <w:ind w:firstLine="600" w:firstLineChars="250"/>
        <w:rPr>
          <w:rFonts w:cs="宋体" w:asciiTheme="minorEastAsia" w:hAnsiTheme="minorEastAsia" w:eastAsiaTheme="minorEastAsia"/>
          <w:sz w:val="24"/>
        </w:rPr>
      </w:pPr>
      <w:r>
        <w:rPr>
          <w:rFonts w:hint="eastAsia" w:cs="宋体" w:asciiTheme="minorEastAsia" w:hAnsiTheme="minorEastAsia" w:eastAsiaTheme="minorEastAsia"/>
          <w:sz w:val="24"/>
        </w:rPr>
        <w:t>3</w:t>
      </w:r>
      <w:r>
        <w:rPr>
          <w:rFonts w:cs="宋体" w:asciiTheme="minorEastAsia" w:hAnsiTheme="minorEastAsia" w:eastAsiaTheme="minorEastAsia"/>
          <w:sz w:val="24"/>
        </w:rPr>
        <w:t>4</w:t>
      </w:r>
      <w:r>
        <w:rPr>
          <w:rFonts w:hint="eastAsia" w:cs="宋体" w:asciiTheme="minorEastAsia" w:hAnsiTheme="minorEastAsia" w:eastAsiaTheme="minorEastAsia"/>
          <w:sz w:val="24"/>
        </w:rPr>
        <w:t>.</w:t>
      </w:r>
      <w:r>
        <w:rPr>
          <w:rFonts w:cs="宋体" w:asciiTheme="minorEastAsia" w:hAnsiTheme="minorEastAsia" w:eastAsiaTheme="minorEastAsia"/>
          <w:sz w:val="24"/>
        </w:rPr>
        <w:t xml:space="preserve">3 </w:t>
      </w:r>
      <w:r>
        <w:rPr>
          <w:rFonts w:hint="eastAsia" w:cs="宋体" w:asciiTheme="minorEastAsia" w:hAnsiTheme="minorEastAsia" w:eastAsiaTheme="minorEastAsia"/>
          <w:sz w:val="24"/>
        </w:rPr>
        <w:t>采购人或代理机构接收质疑函的联系人、联系电话和通讯地址等信息详见本招标文件第一章“招标公告”中的联系方式相关内容、第二章“供应商须知附表”中载明的采购人、代理机构联系方式和联系人。</w:t>
      </w:r>
    </w:p>
    <w:p>
      <w:pPr>
        <w:pStyle w:val="2"/>
        <w:spacing w:line="560" w:lineRule="exact"/>
        <w:ind w:firstLine="600" w:firstLineChars="250"/>
        <w:rPr>
          <w:rFonts w:cs="宋体" w:asciiTheme="minorEastAsia" w:hAnsiTheme="minorEastAsia" w:eastAsiaTheme="minorEastAsia"/>
          <w:sz w:val="24"/>
        </w:rPr>
      </w:pPr>
      <w:r>
        <w:rPr>
          <w:rFonts w:cs="宋体" w:asciiTheme="minorEastAsia" w:hAnsiTheme="minorEastAsia" w:eastAsiaTheme="minorEastAsia"/>
          <w:sz w:val="24"/>
        </w:rPr>
        <w:t xml:space="preserve">34.4 </w:t>
      </w:r>
      <w:r>
        <w:rPr>
          <w:rFonts w:hint="eastAsia" w:cs="宋体" w:asciiTheme="minorEastAsia" w:hAnsiTheme="minorEastAsia" w:eastAsiaTheme="minorEastAsia"/>
          <w:sz w:val="24"/>
        </w:rPr>
        <w:t>依据《政府采购质疑和投诉办法》（财政部令第</w:t>
      </w:r>
      <w:r>
        <w:rPr>
          <w:rFonts w:cs="宋体" w:asciiTheme="minorEastAsia" w:hAnsiTheme="minorEastAsia" w:eastAsiaTheme="minorEastAsia"/>
          <w:sz w:val="24"/>
        </w:rPr>
        <w:t>94号），</w:t>
      </w:r>
      <w:r>
        <w:rPr>
          <w:rFonts w:hint="eastAsia" w:cs="宋体" w:asciiTheme="minorEastAsia" w:hAnsiTheme="minorEastAsia" w:eastAsiaTheme="minorEastAsia"/>
          <w:sz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代理人提出质疑和投诉，应当提交供应商签署的授权委托书。</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以联合体形式参加政府采购活动的，其投诉应当由组成联合体的所有供应商共同提出。</w:t>
      </w:r>
    </w:p>
    <w:p>
      <w:pPr>
        <w:pStyle w:val="2"/>
        <w:spacing w:line="560" w:lineRule="exact"/>
        <w:ind w:firstLine="600" w:firstLineChars="250"/>
        <w:rPr>
          <w:rFonts w:cs="宋体" w:asciiTheme="minorEastAsia" w:hAnsiTheme="minorEastAsia" w:eastAsiaTheme="minorEastAsia"/>
          <w:sz w:val="24"/>
        </w:rPr>
      </w:pPr>
      <w:r>
        <w:rPr>
          <w:rFonts w:cs="宋体" w:asciiTheme="minorEastAsia" w:hAnsiTheme="minorEastAsia" w:eastAsiaTheme="minorEastAsia"/>
          <w:sz w:val="24"/>
        </w:rPr>
        <w:t>34.5 提出质疑的</w:t>
      </w:r>
      <w:r>
        <w:rPr>
          <w:rFonts w:hint="eastAsia" w:cs="宋体" w:asciiTheme="minorEastAsia" w:hAnsiTheme="minorEastAsia" w:eastAsiaTheme="minorEastAsia"/>
          <w:sz w:val="24"/>
        </w:rPr>
        <w:t>供应商应当是参与所质疑项目采购活动的供应商。</w:t>
      </w:r>
    </w:p>
    <w:p>
      <w:pPr>
        <w:pStyle w:val="2"/>
        <w:spacing w:line="560" w:lineRule="exact"/>
        <w:ind w:firstLine="600" w:firstLineChars="250"/>
        <w:rPr>
          <w:rFonts w:cs="宋体" w:asciiTheme="minorEastAsia" w:hAnsiTheme="minorEastAsia" w:eastAsiaTheme="minorEastAsia"/>
          <w:sz w:val="24"/>
        </w:rPr>
      </w:pPr>
      <w:r>
        <w:rPr>
          <w:rFonts w:cs="宋体" w:asciiTheme="minorEastAsia" w:hAnsiTheme="minorEastAsia" w:eastAsiaTheme="minorEastAsia"/>
          <w:sz w:val="24"/>
        </w:rPr>
        <w:t>34.6 潜在</w:t>
      </w:r>
      <w:r>
        <w:rPr>
          <w:rFonts w:hint="eastAsia" w:cs="宋体" w:asciiTheme="minorEastAsia" w:hAnsiTheme="minorEastAsia" w:eastAsiaTheme="minorEastAsia"/>
          <w:sz w:val="24"/>
        </w:rPr>
        <w:t>供应商已依法获取其可质疑的招标文件的，可以对该文件提出质疑。对招标文件提出质疑的，应当在获取招标文件或者招标文件公告期限届满之日起</w:t>
      </w:r>
      <w:r>
        <w:rPr>
          <w:rFonts w:cs="宋体" w:asciiTheme="minorEastAsia" w:hAnsiTheme="minorEastAsia" w:eastAsiaTheme="minorEastAsia"/>
          <w:sz w:val="24"/>
        </w:rPr>
        <w:t>7个工作日内提出。</w:t>
      </w:r>
    </w:p>
    <w:p>
      <w:pPr>
        <w:pStyle w:val="2"/>
        <w:spacing w:line="560" w:lineRule="exact"/>
        <w:ind w:firstLine="600" w:firstLineChars="250"/>
        <w:rPr>
          <w:rFonts w:cs="宋体" w:asciiTheme="minorEastAsia" w:hAnsiTheme="minorEastAsia" w:eastAsiaTheme="minorEastAsia"/>
          <w:sz w:val="24"/>
        </w:rPr>
      </w:pPr>
      <w:r>
        <w:rPr>
          <w:rFonts w:cs="宋体" w:asciiTheme="minorEastAsia" w:hAnsiTheme="minorEastAsia" w:eastAsiaTheme="minorEastAsia"/>
          <w:sz w:val="24"/>
        </w:rPr>
        <w:t xml:space="preserve">34.7 </w:t>
      </w:r>
      <w:r>
        <w:rPr>
          <w:rFonts w:hint="eastAsia" w:cs="宋体" w:asciiTheme="minorEastAsia" w:hAnsiTheme="minorEastAsia" w:eastAsiaTheme="minorEastAsia"/>
          <w:sz w:val="24"/>
        </w:rPr>
        <w:t>供应商提出质疑应当提交质疑函和必要的证明材料。质疑函应当包括下列内容：</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1</w:t>
      </w:r>
      <w:r>
        <w:rPr>
          <w:rFonts w:hint="eastAsia" w:cs="宋体" w:asciiTheme="minorEastAsia" w:hAnsiTheme="minorEastAsia" w:eastAsiaTheme="minorEastAsia"/>
          <w:sz w:val="24"/>
        </w:rPr>
        <w:t>）供应商的姓名或者名称、地址、邮编、联系人及联系电话；</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2</w:t>
      </w:r>
      <w:r>
        <w:rPr>
          <w:rFonts w:hint="eastAsia" w:cs="宋体" w:asciiTheme="minorEastAsia" w:hAnsiTheme="minorEastAsia" w:eastAsiaTheme="minorEastAsia"/>
          <w:sz w:val="24"/>
        </w:rPr>
        <w:t>）质疑项目的名称、编号；</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3</w:t>
      </w:r>
      <w:r>
        <w:rPr>
          <w:rFonts w:hint="eastAsia" w:cs="宋体" w:asciiTheme="minorEastAsia" w:hAnsiTheme="minorEastAsia" w:eastAsiaTheme="minorEastAsia"/>
          <w:sz w:val="24"/>
        </w:rPr>
        <w:t>）具体、明确的质疑事项和与质疑事项相关的请求；</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4</w:t>
      </w:r>
      <w:r>
        <w:rPr>
          <w:rFonts w:hint="eastAsia" w:cs="宋体" w:asciiTheme="minorEastAsia" w:hAnsiTheme="minorEastAsia" w:eastAsiaTheme="minorEastAsia"/>
          <w:sz w:val="24"/>
        </w:rPr>
        <w:t>）事实依据；</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5</w:t>
      </w:r>
      <w:r>
        <w:rPr>
          <w:rFonts w:hint="eastAsia" w:cs="宋体" w:asciiTheme="minorEastAsia" w:hAnsiTheme="minorEastAsia" w:eastAsiaTheme="minorEastAsia"/>
          <w:sz w:val="24"/>
        </w:rPr>
        <w:t>）必要的法律依据；</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6</w:t>
      </w:r>
      <w:r>
        <w:rPr>
          <w:rFonts w:hint="eastAsia" w:cs="宋体" w:asciiTheme="minorEastAsia" w:hAnsiTheme="minorEastAsia" w:eastAsiaTheme="minorEastAsia"/>
          <w:sz w:val="24"/>
        </w:rPr>
        <w:t>）提出质疑的日期。</w:t>
      </w:r>
      <w:r>
        <w:rPr>
          <w:rFonts w:cs="宋体" w:asciiTheme="minorEastAsia" w:hAnsiTheme="minorEastAsia" w:eastAsiaTheme="minorEastAsia"/>
          <w:sz w:val="24"/>
        </w:rPr>
        <w:t xml:space="preserve"> </w:t>
      </w:r>
    </w:p>
    <w:p>
      <w:pPr>
        <w:pStyle w:val="2"/>
        <w:spacing w:line="560" w:lineRule="exact"/>
        <w:ind w:firstLine="600" w:firstLineChars="250"/>
        <w:rPr>
          <w:rFonts w:cs="宋体" w:asciiTheme="minorEastAsia" w:hAnsiTheme="minorEastAsia" w:eastAsiaTheme="minorEastAsia"/>
          <w:sz w:val="24"/>
        </w:rPr>
      </w:pPr>
      <w:r>
        <w:rPr>
          <w:rFonts w:hint="eastAsia" w:cs="宋体" w:asciiTheme="minorEastAsia" w:hAnsiTheme="minorEastAsia" w:eastAsiaTheme="minorEastAsia"/>
          <w:sz w:val="24"/>
        </w:rPr>
        <w:t>供应商为自然人的，应当由本人签字；供应商为法人或者其他组织的，应当由法定代表人、主要负责人，或者其授权代表签字或者盖章，并加盖公章。</w:t>
      </w:r>
    </w:p>
    <w:p>
      <w:pPr>
        <w:pStyle w:val="2"/>
        <w:spacing w:line="560" w:lineRule="exact"/>
        <w:ind w:firstLine="600" w:firstLineChars="250"/>
        <w:rPr>
          <w:rFonts w:cs="宋体" w:asciiTheme="minorEastAsia" w:hAnsiTheme="minorEastAsia" w:eastAsiaTheme="minorEastAsia"/>
          <w:sz w:val="24"/>
        </w:rPr>
      </w:pPr>
      <w:r>
        <w:rPr>
          <w:rFonts w:cs="宋体" w:asciiTheme="minorEastAsia" w:hAnsiTheme="minorEastAsia" w:eastAsiaTheme="minorEastAsia"/>
          <w:sz w:val="24"/>
        </w:rPr>
        <w:t xml:space="preserve">34.8 </w:t>
      </w:r>
      <w:r>
        <w:rPr>
          <w:rFonts w:hint="eastAsia" w:cs="宋体" w:asciiTheme="minorEastAsia" w:hAnsiTheme="minorEastAsia" w:eastAsiaTheme="minorEastAsia"/>
          <w:sz w:val="24"/>
        </w:rPr>
        <w:t>采购人、采购代理机构认为供应商质疑不成立，或者成立但未对中标、成交结果构成影响的，继续开展采购活动；认为供应商质疑成立且影响或者可能影响中标、成交结果的，按照下列情况处理：</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1</w:t>
      </w:r>
      <w:r>
        <w:rPr>
          <w:rFonts w:hint="eastAsia" w:cs="宋体" w:asciiTheme="minorEastAsia" w:hAnsiTheme="minorEastAsia" w:eastAsiaTheme="minorEastAsia"/>
          <w:sz w:val="24"/>
        </w:rPr>
        <w:t>）对招标文件提出的质疑，依法通过澄清或者修改可以继续开展采购活动的，澄清或者修改招标文件后继续开展采购活动；否则应当修改招标文件后重新开展采购活动。</w:t>
      </w:r>
      <w:r>
        <w:rPr>
          <w:rFonts w:cs="宋体" w:asciiTheme="minorEastAsia" w:hAnsiTheme="minorEastAsia" w:eastAsiaTheme="minorEastAsia"/>
          <w:sz w:val="24"/>
        </w:rPr>
        <w:t xml:space="preserve"> </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cs="宋体" w:asciiTheme="minorEastAsia" w:hAnsiTheme="minorEastAsia" w:eastAsiaTheme="minorEastAsia"/>
          <w:sz w:val="24"/>
        </w:rPr>
        <w:t>2）对</w:t>
      </w:r>
      <w:r>
        <w:rPr>
          <w:rFonts w:hint="eastAsia" w:cs="宋体" w:asciiTheme="minorEastAsia" w:hAnsiTheme="minorEastAsia" w:eastAsiaTheme="minorEastAsia"/>
          <w:sz w:val="24"/>
        </w:rPr>
        <w:t>招标</w:t>
      </w:r>
      <w:r>
        <w:rPr>
          <w:rFonts w:cs="宋体" w:asciiTheme="minorEastAsia" w:hAnsiTheme="minorEastAsia" w:eastAsiaTheme="minorEastAsia"/>
          <w:sz w:val="24"/>
        </w:rPr>
        <w:t>过程或者</w:t>
      </w:r>
      <w:r>
        <w:rPr>
          <w:rFonts w:hint="eastAsia" w:cs="宋体" w:asciiTheme="minorEastAsia" w:hAnsiTheme="minorEastAsia" w:eastAsiaTheme="minorEastAsia"/>
          <w:sz w:val="24"/>
        </w:rPr>
        <w:t>中标</w:t>
      </w:r>
      <w:r>
        <w:rPr>
          <w:rFonts w:cs="宋体" w:asciiTheme="minorEastAsia" w:hAnsiTheme="minorEastAsia" w:eastAsiaTheme="minorEastAsia"/>
          <w:sz w:val="24"/>
        </w:rPr>
        <w:t>结果提出的质疑，合格供应商符合法定数量时，可以从合格的</w:t>
      </w:r>
      <w:r>
        <w:rPr>
          <w:rFonts w:hint="eastAsia" w:cs="宋体" w:asciiTheme="minorEastAsia" w:hAnsiTheme="minorEastAsia" w:eastAsiaTheme="minorEastAsia"/>
          <w:sz w:val="24"/>
        </w:rPr>
        <w:t>中标</w:t>
      </w:r>
      <w:r>
        <w:rPr>
          <w:rFonts w:cs="宋体" w:asciiTheme="minorEastAsia" w:hAnsiTheme="minorEastAsia" w:eastAsiaTheme="minorEastAsia"/>
          <w:sz w:val="24"/>
        </w:rPr>
        <w:t>候选供应商中另行确定</w:t>
      </w:r>
      <w:r>
        <w:rPr>
          <w:rFonts w:hint="eastAsia" w:cs="宋体" w:asciiTheme="minorEastAsia" w:hAnsiTheme="minorEastAsia" w:eastAsiaTheme="minorEastAsia"/>
          <w:sz w:val="24"/>
        </w:rPr>
        <w:t>中标</w:t>
      </w:r>
      <w:r>
        <w:rPr>
          <w:rFonts w:cs="宋体" w:asciiTheme="minorEastAsia" w:hAnsiTheme="minorEastAsia" w:eastAsiaTheme="minorEastAsia"/>
          <w:sz w:val="24"/>
        </w:rPr>
        <w:t>候选供应商的，应当依法另行确定</w:t>
      </w:r>
      <w:r>
        <w:rPr>
          <w:rFonts w:hint="eastAsia" w:cs="宋体" w:asciiTheme="minorEastAsia" w:hAnsiTheme="minorEastAsia" w:eastAsiaTheme="minorEastAsia"/>
          <w:sz w:val="24"/>
        </w:rPr>
        <w:t>中标</w:t>
      </w:r>
      <w:r>
        <w:rPr>
          <w:rFonts w:cs="宋体" w:asciiTheme="minorEastAsia" w:hAnsiTheme="minorEastAsia" w:eastAsiaTheme="minorEastAsia"/>
          <w:sz w:val="24"/>
        </w:rPr>
        <w:t>候选供应商；否则应当重新开展采购活动。</w:t>
      </w:r>
    </w:p>
    <w:p>
      <w:pPr>
        <w:pStyle w:val="2"/>
        <w:spacing w:line="560" w:lineRule="exact"/>
        <w:ind w:firstLine="600" w:firstLineChars="250"/>
        <w:rPr>
          <w:rFonts w:cs="宋体" w:asciiTheme="minorEastAsia" w:hAnsiTheme="minorEastAsia" w:eastAsiaTheme="minorEastAsia"/>
          <w:sz w:val="24"/>
        </w:rPr>
      </w:pPr>
      <w:r>
        <w:rPr>
          <w:rFonts w:hint="eastAsia" w:cs="宋体" w:asciiTheme="minorEastAsia" w:hAnsiTheme="minorEastAsia" w:eastAsiaTheme="minorEastAsia"/>
          <w:sz w:val="24"/>
        </w:rPr>
        <w:t>3</w:t>
      </w:r>
      <w:r>
        <w:rPr>
          <w:rFonts w:cs="宋体" w:asciiTheme="minorEastAsia" w:hAnsiTheme="minorEastAsia" w:eastAsiaTheme="minorEastAsia"/>
          <w:sz w:val="24"/>
        </w:rPr>
        <w:t>4</w:t>
      </w:r>
      <w:r>
        <w:rPr>
          <w:rFonts w:hint="eastAsia" w:cs="宋体" w:asciiTheme="minorEastAsia" w:hAnsiTheme="minorEastAsia" w:eastAsiaTheme="minorEastAsia"/>
          <w:sz w:val="24"/>
        </w:rPr>
        <w:t>.</w:t>
      </w:r>
      <w:r>
        <w:rPr>
          <w:rFonts w:cs="宋体" w:asciiTheme="minorEastAsia" w:hAnsiTheme="minorEastAsia" w:eastAsiaTheme="minorEastAsia"/>
          <w:sz w:val="24"/>
        </w:rPr>
        <w:t>9</w:t>
      </w:r>
      <w:r>
        <w:rPr>
          <w:rFonts w:hint="eastAsia" w:cs="宋体" w:asciiTheme="minorEastAsia" w:hAnsiTheme="minorEastAsia" w:eastAsiaTheme="minorEastAsia"/>
          <w:sz w:val="24"/>
        </w:rPr>
        <w:t xml:space="preserve"> 质疑供应商对采购人、代理机构的答复不满意或者采购人、代理机构未在规定的时间内作出答复的，可以在答复期满后十五个工作日内向同级政府采购监督管理部门投诉。</w:t>
      </w:r>
    </w:p>
    <w:p>
      <w:pPr>
        <w:pStyle w:val="4"/>
        <w:spacing w:before="120" w:after="120" w:line="360" w:lineRule="exact"/>
        <w:ind w:firstLine="516" w:firstLineChars="214"/>
        <w:rPr>
          <w:rFonts w:asciiTheme="minorEastAsia" w:hAnsiTheme="minorEastAsia" w:eastAsiaTheme="minorEastAsia"/>
          <w:sz w:val="24"/>
          <w:szCs w:val="24"/>
        </w:rPr>
      </w:pPr>
      <w:bookmarkStart w:id="90" w:name="_Toc508784353"/>
      <w:bookmarkStart w:id="91" w:name="_Toc510973923"/>
      <w:bookmarkStart w:id="92" w:name="_Toc24704"/>
      <w:r>
        <w:rPr>
          <w:rFonts w:hint="eastAsia" w:cs="宋体" w:asciiTheme="minorEastAsia" w:hAnsiTheme="minorEastAsia" w:eastAsiaTheme="minorEastAsia"/>
          <w:sz w:val="24"/>
          <w:szCs w:val="24"/>
        </w:rPr>
        <w:t>七、授予合同</w:t>
      </w:r>
      <w:bookmarkEnd w:id="90"/>
      <w:bookmarkEnd w:id="91"/>
      <w:bookmarkEnd w:id="92"/>
    </w:p>
    <w:p>
      <w:pPr>
        <w:pStyle w:val="2"/>
        <w:spacing w:line="560" w:lineRule="exact"/>
        <w:ind w:firstLine="573" w:firstLineChars="238"/>
        <w:rPr>
          <w:rFonts w:asciiTheme="minorEastAsia" w:hAnsiTheme="minorEastAsia" w:eastAsiaTheme="minorEastAsia"/>
          <w:b/>
          <w:bCs/>
          <w:sz w:val="24"/>
        </w:rPr>
      </w:pPr>
      <w:bookmarkStart w:id="93" w:name="_Toc352332884"/>
      <w:bookmarkStart w:id="94" w:name="_Toc346306763"/>
      <w:bookmarkStart w:id="95" w:name="_Toc346372910"/>
      <w:r>
        <w:rPr>
          <w:rFonts w:asciiTheme="minorEastAsia" w:hAnsiTheme="minorEastAsia" w:eastAsiaTheme="minorEastAsia"/>
          <w:b/>
          <w:bCs/>
          <w:sz w:val="24"/>
        </w:rPr>
        <w:t xml:space="preserve">35. </w:t>
      </w:r>
      <w:bookmarkEnd w:id="93"/>
      <w:bookmarkEnd w:id="94"/>
      <w:bookmarkEnd w:id="95"/>
      <w:r>
        <w:rPr>
          <w:rFonts w:hint="eastAsia" w:asciiTheme="minorEastAsia" w:hAnsiTheme="minorEastAsia" w:eastAsiaTheme="minorEastAsia"/>
          <w:b/>
          <w:bCs/>
          <w:sz w:val="24"/>
        </w:rPr>
        <w:t>中标通知书</w:t>
      </w:r>
    </w:p>
    <w:p>
      <w:pPr>
        <w:pStyle w:val="2"/>
        <w:spacing w:line="560" w:lineRule="exact"/>
        <w:ind w:firstLine="600" w:firstLineChars="250"/>
        <w:rPr>
          <w:rFonts w:cs="宋体" w:asciiTheme="minorEastAsia" w:hAnsiTheme="minorEastAsia" w:eastAsiaTheme="minorEastAsia"/>
          <w:sz w:val="24"/>
        </w:rPr>
      </w:pPr>
      <w:bookmarkStart w:id="96" w:name="_Toc352332885"/>
      <w:bookmarkStart w:id="97" w:name="_Toc346372911"/>
      <w:bookmarkStart w:id="98" w:name="_Toc346306764"/>
      <w:r>
        <w:rPr>
          <w:rFonts w:hint="eastAsia" w:cs="宋体" w:asciiTheme="minorEastAsia" w:hAnsiTheme="minorEastAsia" w:eastAsiaTheme="minorEastAsia"/>
          <w:sz w:val="24"/>
        </w:rPr>
        <w:t>3</w:t>
      </w:r>
      <w:r>
        <w:rPr>
          <w:rFonts w:cs="宋体" w:asciiTheme="minorEastAsia" w:hAnsiTheme="minorEastAsia" w:eastAsiaTheme="minorEastAsia"/>
          <w:sz w:val="24"/>
        </w:rPr>
        <w:t>5</w:t>
      </w:r>
      <w:r>
        <w:rPr>
          <w:rFonts w:hint="eastAsia" w:cs="宋体" w:asciiTheme="minorEastAsia" w:hAnsiTheme="minorEastAsia" w:eastAsiaTheme="minorEastAsia"/>
          <w:sz w:val="24"/>
        </w:rPr>
        <w:t>.1在发布中标结果的同时，采购人或采购代理机构向中标人签发《中标通知书》。</w:t>
      </w:r>
    </w:p>
    <w:p>
      <w:pPr>
        <w:pStyle w:val="2"/>
        <w:spacing w:line="560" w:lineRule="exact"/>
        <w:ind w:firstLine="600" w:firstLineChars="250"/>
        <w:rPr>
          <w:rFonts w:cs="宋体" w:asciiTheme="minorEastAsia" w:hAnsiTheme="minorEastAsia" w:eastAsiaTheme="minorEastAsia"/>
          <w:sz w:val="24"/>
        </w:rPr>
      </w:pPr>
      <w:r>
        <w:rPr>
          <w:rFonts w:hint="eastAsia" w:cs="宋体" w:asciiTheme="minorEastAsia" w:hAnsiTheme="minorEastAsia" w:eastAsiaTheme="minorEastAsia"/>
          <w:sz w:val="24"/>
        </w:rPr>
        <w:t>3</w:t>
      </w:r>
      <w:r>
        <w:rPr>
          <w:rFonts w:cs="宋体" w:asciiTheme="minorEastAsia" w:hAnsiTheme="minorEastAsia" w:eastAsiaTheme="minorEastAsia"/>
          <w:sz w:val="24"/>
        </w:rPr>
        <w:t>5</w:t>
      </w:r>
      <w:r>
        <w:rPr>
          <w:rFonts w:hint="eastAsia" w:cs="宋体" w:asciiTheme="minorEastAsia" w:hAnsiTheme="minorEastAsia" w:eastAsiaTheme="minorEastAsia"/>
          <w:sz w:val="24"/>
        </w:rPr>
        <w:t>.2 中标通知书是合同的一个组成部分。</w:t>
      </w:r>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 xml:space="preserve">36.  </w:t>
      </w:r>
      <w:r>
        <w:rPr>
          <w:rFonts w:hint="eastAsia" w:asciiTheme="minorEastAsia" w:hAnsiTheme="minorEastAsia" w:eastAsiaTheme="minorEastAsia"/>
          <w:b/>
          <w:bCs/>
          <w:sz w:val="24"/>
        </w:rPr>
        <w:t>签订合同</w:t>
      </w:r>
      <w:bookmarkEnd w:id="96"/>
      <w:bookmarkEnd w:id="97"/>
      <w:bookmarkEnd w:id="98"/>
    </w:p>
    <w:p>
      <w:pPr>
        <w:pStyle w:val="2"/>
        <w:spacing w:line="560" w:lineRule="exact"/>
        <w:ind w:firstLine="480"/>
        <w:rPr>
          <w:rFonts w:cs="宋体" w:asciiTheme="minorEastAsia" w:hAnsiTheme="minorEastAsia" w:eastAsiaTheme="minorEastAsia"/>
          <w:sz w:val="24"/>
        </w:rPr>
      </w:pPr>
      <w:bookmarkStart w:id="99" w:name="_Toc475090309"/>
      <w:r>
        <w:rPr>
          <w:rFonts w:hint="eastAsia" w:cs="宋体" w:asciiTheme="minorEastAsia" w:hAnsiTheme="minorEastAsia" w:eastAsiaTheme="minorEastAsia"/>
          <w:sz w:val="24"/>
        </w:rPr>
        <w:t>3</w:t>
      </w:r>
      <w:r>
        <w:rPr>
          <w:rFonts w:cs="宋体" w:asciiTheme="minorEastAsia" w:hAnsiTheme="minorEastAsia" w:eastAsiaTheme="minorEastAsia"/>
          <w:sz w:val="24"/>
        </w:rPr>
        <w:t>6</w:t>
      </w:r>
      <w:r>
        <w:rPr>
          <w:rFonts w:hint="eastAsia" w:cs="宋体" w:asciiTheme="minorEastAsia" w:hAnsiTheme="minorEastAsia" w:eastAsiaTheme="minorEastAsia"/>
          <w:sz w:val="24"/>
        </w:rPr>
        <w:t>.1</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中标通知书发出之日起</w:t>
      </w:r>
      <w:r>
        <w:rPr>
          <w:rFonts w:cs="宋体" w:asciiTheme="minorEastAsia" w:hAnsiTheme="minorEastAsia" w:eastAsiaTheme="minorEastAsia"/>
          <w:sz w:val="24"/>
        </w:rPr>
        <w:t>30</w:t>
      </w:r>
      <w:r>
        <w:rPr>
          <w:rFonts w:hint="eastAsia" w:cs="宋体" w:asciiTheme="minorEastAsia" w:hAnsiTheme="minorEastAsia" w:eastAsiaTheme="minorEastAsia"/>
          <w:sz w:val="24"/>
        </w:rPr>
        <w:t>日内，双方按照招标文件确定的事项签订合同。中标通知书发出后，中标供应商按招标文件要求提交履约保证金后，双方按规定签订合同。</w:t>
      </w:r>
      <w:bookmarkEnd w:id="99"/>
    </w:p>
    <w:p>
      <w:pPr>
        <w:pStyle w:val="2"/>
        <w:spacing w:line="560" w:lineRule="exact"/>
        <w:ind w:firstLine="480"/>
        <w:rPr>
          <w:rFonts w:cs="宋体" w:asciiTheme="minorEastAsia" w:hAnsiTheme="minorEastAsia" w:eastAsiaTheme="minorEastAsia"/>
          <w:sz w:val="24"/>
        </w:rPr>
      </w:pPr>
      <w:bookmarkStart w:id="100" w:name="_Toc475090310"/>
      <w:r>
        <w:rPr>
          <w:rFonts w:hint="eastAsia" w:cs="宋体" w:asciiTheme="minorEastAsia" w:hAnsiTheme="minorEastAsia" w:eastAsiaTheme="minorEastAsia"/>
          <w:sz w:val="24"/>
        </w:rPr>
        <w:t>3</w:t>
      </w:r>
      <w:r>
        <w:rPr>
          <w:rFonts w:cs="宋体" w:asciiTheme="minorEastAsia" w:hAnsiTheme="minorEastAsia" w:eastAsiaTheme="minorEastAsia"/>
          <w:sz w:val="24"/>
        </w:rPr>
        <w:t>6</w:t>
      </w:r>
      <w:r>
        <w:rPr>
          <w:rFonts w:hint="eastAsia" w:cs="宋体" w:asciiTheme="minorEastAsia" w:hAnsiTheme="minorEastAsia" w:eastAsiaTheme="minorEastAsia"/>
          <w:sz w:val="24"/>
        </w:rPr>
        <w:t>.2</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招标文件、中标供应商的投标文件以及评审过程中的有关澄清、承诺文件均为合同的组成部分。</w:t>
      </w:r>
      <w:bookmarkEnd w:id="100"/>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3</w:t>
      </w:r>
      <w:r>
        <w:rPr>
          <w:rFonts w:cs="宋体" w:asciiTheme="minorEastAsia" w:hAnsiTheme="minorEastAsia" w:eastAsiaTheme="minorEastAsia"/>
          <w:sz w:val="24"/>
        </w:rPr>
        <w:t>6</w:t>
      </w:r>
      <w:r>
        <w:rPr>
          <w:rFonts w:hint="eastAsia" w:cs="宋体" w:asciiTheme="minorEastAsia" w:hAnsiTheme="minorEastAsia" w:eastAsiaTheme="minorEastAsia"/>
          <w:sz w:val="24"/>
        </w:rPr>
        <w:t>.3 中标供应商拒绝或不能如期与采购人签订合同的，采购人可以依法确定排名紧随其后的中标候选供应商为中标供应商，也可以重新开展政府采购活动。</w:t>
      </w:r>
    </w:p>
    <w:p>
      <w:pPr>
        <w:pStyle w:val="4"/>
        <w:widowControl/>
        <w:spacing w:before="120" w:after="120" w:line="360" w:lineRule="exact"/>
        <w:ind w:firstLine="516" w:firstLineChars="214"/>
        <w:rPr>
          <w:rFonts w:cs="宋体" w:asciiTheme="minorEastAsia" w:hAnsiTheme="minorEastAsia" w:eastAsiaTheme="minorEastAsia"/>
          <w:sz w:val="24"/>
          <w:szCs w:val="24"/>
        </w:rPr>
      </w:pPr>
      <w:bookmarkStart w:id="101" w:name="_Toc510973924"/>
      <w:bookmarkStart w:id="102" w:name="_Toc23840"/>
      <w:r>
        <w:rPr>
          <w:rFonts w:hint="eastAsia" w:cs="宋体" w:asciiTheme="minorEastAsia" w:hAnsiTheme="minorEastAsia" w:eastAsiaTheme="minorEastAsia"/>
          <w:sz w:val="24"/>
          <w:szCs w:val="24"/>
        </w:rPr>
        <w:t>八、</w:t>
      </w:r>
      <w:bookmarkEnd w:id="101"/>
      <w:r>
        <w:rPr>
          <w:rFonts w:hint="eastAsia" w:cs="宋体" w:asciiTheme="minorEastAsia" w:hAnsiTheme="minorEastAsia" w:eastAsiaTheme="minorEastAsia"/>
          <w:sz w:val="24"/>
          <w:szCs w:val="24"/>
        </w:rPr>
        <w:t>履约保证金</w:t>
      </w:r>
      <w:bookmarkEnd w:id="102"/>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3</w:t>
      </w:r>
      <w:r>
        <w:rPr>
          <w:rFonts w:asciiTheme="minorEastAsia" w:hAnsiTheme="minorEastAsia" w:eastAsiaTheme="minorEastAsia"/>
          <w:b/>
          <w:bCs/>
          <w:sz w:val="24"/>
        </w:rPr>
        <w:t>7</w:t>
      </w:r>
      <w:r>
        <w:rPr>
          <w:rFonts w:hint="eastAsia" w:asciiTheme="minorEastAsia" w:hAnsiTheme="minorEastAsia" w:eastAsiaTheme="minorEastAsia"/>
          <w:b/>
          <w:bCs/>
          <w:sz w:val="24"/>
        </w:rPr>
        <w:t>. 履约保证金</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本项目中标人应按采购人要求提交履约保证金，除非招标文件“供应商须知前附表”明确说明不要求中标人提交履约保证金。履约保证金的形式和金额见招标文件 “供应商须知附表”。</w:t>
      </w:r>
    </w:p>
    <w:p>
      <w:pPr>
        <w:pStyle w:val="4"/>
        <w:spacing w:before="120" w:after="120" w:line="360" w:lineRule="exact"/>
        <w:ind w:firstLine="516" w:firstLineChars="214"/>
        <w:rPr>
          <w:rFonts w:cs="宋体" w:asciiTheme="minorEastAsia" w:hAnsiTheme="minorEastAsia" w:eastAsiaTheme="minorEastAsia"/>
          <w:sz w:val="24"/>
          <w:szCs w:val="24"/>
        </w:rPr>
      </w:pPr>
      <w:bookmarkStart w:id="103" w:name="_Toc21839"/>
      <w:bookmarkStart w:id="104" w:name="_Toc510973925"/>
      <w:bookmarkStart w:id="105" w:name="_Toc508784354"/>
      <w:bookmarkStart w:id="106" w:name="_Toc9592"/>
      <w:r>
        <w:rPr>
          <w:rFonts w:hint="eastAsia" w:cs="宋体" w:asciiTheme="minorEastAsia" w:hAnsiTheme="minorEastAsia" w:eastAsiaTheme="minorEastAsia"/>
          <w:sz w:val="24"/>
          <w:szCs w:val="24"/>
        </w:rPr>
        <w:t>九、</w:t>
      </w:r>
      <w:bookmarkEnd w:id="103"/>
      <w:bookmarkEnd w:id="104"/>
      <w:bookmarkEnd w:id="105"/>
      <w:r>
        <w:rPr>
          <w:rFonts w:hint="eastAsia" w:cs="宋体" w:asciiTheme="minorEastAsia" w:hAnsiTheme="minorEastAsia" w:eastAsiaTheme="minorEastAsia"/>
          <w:sz w:val="24"/>
          <w:szCs w:val="24"/>
        </w:rPr>
        <w:t>投标相关费用</w:t>
      </w:r>
      <w:bookmarkEnd w:id="106"/>
    </w:p>
    <w:p>
      <w:pPr>
        <w:pStyle w:val="2"/>
        <w:spacing w:line="560" w:lineRule="exact"/>
        <w:ind w:firstLine="573" w:firstLineChars="238"/>
        <w:rPr>
          <w:rFonts w:asciiTheme="minorEastAsia" w:hAnsiTheme="minorEastAsia" w:eastAsiaTheme="minorEastAsia"/>
          <w:b/>
          <w:bCs/>
          <w:sz w:val="24"/>
        </w:rPr>
      </w:pPr>
      <w:r>
        <w:rPr>
          <w:rFonts w:hint="eastAsia" w:asciiTheme="minorEastAsia" w:hAnsiTheme="minorEastAsia" w:eastAsiaTheme="minorEastAsia"/>
          <w:b/>
          <w:bCs/>
          <w:sz w:val="24"/>
        </w:rPr>
        <w:t>3</w:t>
      </w:r>
      <w:r>
        <w:rPr>
          <w:rFonts w:asciiTheme="minorEastAsia" w:hAnsiTheme="minorEastAsia" w:eastAsiaTheme="minorEastAsia"/>
          <w:b/>
          <w:bCs/>
          <w:sz w:val="24"/>
        </w:rPr>
        <w:t>8</w:t>
      </w:r>
      <w:r>
        <w:rPr>
          <w:rFonts w:hint="eastAsia" w:asciiTheme="minorEastAsia" w:hAnsiTheme="minorEastAsia" w:eastAsiaTheme="minorEastAsia"/>
          <w:b/>
          <w:bCs/>
          <w:sz w:val="24"/>
        </w:rPr>
        <w:t>.</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中标服务费</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本项目</w:t>
      </w:r>
      <w:r>
        <w:rPr>
          <w:rFonts w:hint="eastAsia" w:asciiTheme="minorEastAsia" w:hAnsiTheme="minorEastAsia" w:eastAsiaTheme="minorEastAsia"/>
          <w:sz w:val="24"/>
          <w:szCs w:val="24"/>
        </w:rPr>
        <w:t>中标</w:t>
      </w:r>
      <w:r>
        <w:rPr>
          <w:rFonts w:hint="eastAsia" w:cs="宋体" w:asciiTheme="minorEastAsia" w:hAnsiTheme="minorEastAsia" w:eastAsiaTheme="minorEastAsia"/>
          <w:sz w:val="24"/>
        </w:rPr>
        <w:t>服务费由采购代理机构向中标供应商收取。</w:t>
      </w:r>
      <w:r>
        <w:rPr>
          <w:rFonts w:hint="eastAsia" w:asciiTheme="minorEastAsia" w:hAnsiTheme="minorEastAsia" w:eastAsiaTheme="minorEastAsia"/>
          <w:sz w:val="24"/>
          <w:szCs w:val="24"/>
        </w:rPr>
        <w:t>中标</w:t>
      </w:r>
      <w:r>
        <w:rPr>
          <w:rFonts w:hint="eastAsia" w:cs="宋体" w:asciiTheme="minorEastAsia" w:hAnsiTheme="minorEastAsia" w:eastAsiaTheme="minorEastAsia"/>
          <w:sz w:val="24"/>
        </w:rPr>
        <w:t>服务费的计算标准详见本招标文件第二章供应商须知前附表。</w:t>
      </w:r>
    </w:p>
    <w:p>
      <w:pPr>
        <w:pStyle w:val="2"/>
        <w:spacing w:line="56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3</w:t>
      </w:r>
      <w:r>
        <w:rPr>
          <w:rFonts w:asciiTheme="minorEastAsia" w:hAnsiTheme="minorEastAsia" w:eastAsiaTheme="minorEastAsia"/>
          <w:b/>
          <w:bCs/>
          <w:sz w:val="24"/>
        </w:rPr>
        <w:t>9</w:t>
      </w:r>
      <w:r>
        <w:rPr>
          <w:rFonts w:hint="eastAsia" w:asciiTheme="minorEastAsia" w:hAnsiTheme="minorEastAsia" w:eastAsiaTheme="minorEastAsia"/>
          <w:b/>
          <w:bCs/>
          <w:sz w:val="24"/>
        </w:rPr>
        <w:t>.</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见证律师费</w:t>
      </w:r>
    </w:p>
    <w:p>
      <w:pPr>
        <w:pStyle w:val="2"/>
        <w:spacing w:line="560" w:lineRule="exact"/>
        <w:ind w:firstLineChars="0"/>
        <w:rPr>
          <w:rFonts w:cs="宋体" w:asciiTheme="minorEastAsia" w:hAnsiTheme="minorEastAsia" w:eastAsiaTheme="minorEastAsia"/>
          <w:sz w:val="24"/>
        </w:rPr>
      </w:pPr>
      <w:r>
        <w:rPr>
          <w:rFonts w:hint="eastAsia" w:cs="宋体" w:asciiTheme="minorEastAsia" w:hAnsiTheme="minorEastAsia" w:eastAsiaTheme="minorEastAsia"/>
          <w:sz w:val="24"/>
        </w:rPr>
        <w:t>本项目</w:t>
      </w:r>
      <w:r>
        <w:rPr>
          <w:rFonts w:hint="eastAsia" w:asciiTheme="minorEastAsia" w:hAnsiTheme="minorEastAsia" w:eastAsiaTheme="minorEastAsia"/>
          <w:sz w:val="24"/>
          <w:szCs w:val="24"/>
        </w:rPr>
        <w:t>见证律师</w:t>
      </w:r>
      <w:r>
        <w:rPr>
          <w:rFonts w:hint="eastAsia" w:cs="宋体" w:asciiTheme="minorEastAsia" w:hAnsiTheme="minorEastAsia" w:eastAsiaTheme="minorEastAsia"/>
          <w:sz w:val="24"/>
        </w:rPr>
        <w:t>费由见证律师事务所向中标供应商收取。</w:t>
      </w:r>
      <w:r>
        <w:rPr>
          <w:rFonts w:hint="eastAsia" w:asciiTheme="minorEastAsia" w:hAnsiTheme="minorEastAsia" w:eastAsiaTheme="minorEastAsia"/>
          <w:sz w:val="24"/>
          <w:szCs w:val="24"/>
        </w:rPr>
        <w:t>具体</w:t>
      </w:r>
      <w:r>
        <w:rPr>
          <w:rFonts w:hint="eastAsia" w:cs="宋体" w:asciiTheme="minorEastAsia" w:hAnsiTheme="minorEastAsia" w:eastAsiaTheme="minorEastAsia"/>
          <w:sz w:val="24"/>
        </w:rPr>
        <w:t>详见本招标文件第二章供应商须知前附表。</w:t>
      </w:r>
    </w:p>
    <w:p>
      <w:pPr>
        <w:pStyle w:val="4"/>
        <w:spacing w:before="120" w:after="120" w:line="360" w:lineRule="exact"/>
        <w:ind w:firstLine="516" w:firstLineChars="214"/>
        <w:rPr>
          <w:rFonts w:cs="宋体" w:asciiTheme="minorEastAsia" w:hAnsiTheme="minorEastAsia" w:eastAsiaTheme="minorEastAsia"/>
          <w:sz w:val="24"/>
          <w:szCs w:val="24"/>
        </w:rPr>
      </w:pPr>
      <w:bookmarkStart w:id="107" w:name="_Toc21810"/>
      <w:r>
        <w:rPr>
          <w:rFonts w:hint="eastAsia" w:cs="宋体" w:asciiTheme="minorEastAsia" w:hAnsiTheme="minorEastAsia" w:eastAsiaTheme="minorEastAsia"/>
          <w:sz w:val="24"/>
          <w:szCs w:val="24"/>
        </w:rPr>
        <w:t>十、其它</w:t>
      </w:r>
      <w:bookmarkEnd w:id="107"/>
    </w:p>
    <w:p>
      <w:pPr>
        <w:pStyle w:val="2"/>
        <w:spacing w:line="560" w:lineRule="exact"/>
        <w:ind w:firstLine="480"/>
        <w:rPr>
          <w:rFonts w:cs="宋体" w:asciiTheme="minorEastAsia" w:hAnsiTheme="minorEastAsia" w:eastAsiaTheme="minorEastAsia"/>
          <w:sz w:val="24"/>
        </w:rPr>
      </w:pPr>
      <w:r>
        <w:rPr>
          <w:rFonts w:cs="宋体" w:asciiTheme="minorEastAsia" w:hAnsiTheme="minorEastAsia" w:eastAsiaTheme="minorEastAsia"/>
          <w:sz w:val="24"/>
        </w:rPr>
        <w:t>40</w:t>
      </w:r>
      <w:r>
        <w:rPr>
          <w:rFonts w:hint="eastAsia" w:cs="宋体" w:asciiTheme="minorEastAsia" w:hAnsiTheme="minorEastAsia" w:eastAsiaTheme="minorEastAsia"/>
          <w:sz w:val="24"/>
        </w:rPr>
        <w:t>、供应商有下列情形之一的，依照政府采购法第七十七条第一款、第七十九条的规定追究法律责任：</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（1）提供虚假材料谋取中标、成交的；</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（2）采取不正当手段诋毁、排挤其他供应商的；</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（3）与采购人、其他供应商或者采购代理机构恶意串通的；</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（4）向采购人、采购代理机构行贿或者提供其他不正当利益的；</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（5）在招标采购过程中与采购人进行协商谈判的；</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（6）拒绝有关部门监督检查或者提供虚假情况的；</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（7）向评标委员会行贿或者提供其他不正当利益；</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（8）中标后无正当理由拒不与采购人签订政府采购合同；</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（9）未按照采购文件确定的事项签订政府采购合同；</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（10）将政府采购合同转包；</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（11）提供假冒伪劣产品；</w:t>
      </w:r>
    </w:p>
    <w:p>
      <w:pPr>
        <w:pStyle w:val="2"/>
        <w:spacing w:line="560" w:lineRule="exact"/>
        <w:ind w:firstLine="480"/>
        <w:rPr>
          <w:rFonts w:cs="宋体" w:asciiTheme="minorEastAsia" w:hAnsiTheme="minorEastAsia" w:eastAsiaTheme="minorEastAsia"/>
          <w:sz w:val="24"/>
        </w:rPr>
      </w:pPr>
      <w:r>
        <w:rPr>
          <w:rFonts w:hint="eastAsia" w:cs="宋体" w:asciiTheme="minorEastAsia" w:hAnsiTheme="minorEastAsia" w:eastAsiaTheme="minorEastAsia"/>
          <w:sz w:val="24"/>
        </w:rPr>
        <w:t>（12）擅自变更、中止或者终止政府采购合同。</w:t>
      </w:r>
    </w:p>
    <w:p>
      <w:pPr>
        <w:pStyle w:val="2"/>
        <w:spacing w:line="560" w:lineRule="exact"/>
        <w:ind w:firstLineChars="0"/>
        <w:rPr>
          <w:rFonts w:cs="宋体" w:asciiTheme="minorEastAsia" w:hAnsiTheme="minorEastAsia" w:eastAsiaTheme="minorEastAsia"/>
          <w:sz w:val="24"/>
        </w:rPr>
      </w:pPr>
      <w:r>
        <w:rPr>
          <w:rFonts w:hint="eastAsia" w:cs="宋体" w:asciiTheme="minorEastAsia" w:hAnsiTheme="minorEastAsia" w:eastAsiaTheme="minorEastAsia"/>
          <w:sz w:val="24"/>
        </w:rPr>
        <w:t>供应商有前款第（1）至（5）项、第（7）项情形之一的，中标无效。</w:t>
      </w:r>
    </w:p>
    <w:p>
      <w:pPr>
        <w:pStyle w:val="4"/>
        <w:spacing w:before="120" w:after="120" w:line="360" w:lineRule="exact"/>
        <w:ind w:firstLine="516" w:firstLineChars="214"/>
        <w:rPr>
          <w:rFonts w:asciiTheme="minorEastAsia" w:hAnsiTheme="minorEastAsia" w:eastAsiaTheme="minorEastAsia"/>
          <w:sz w:val="24"/>
          <w:szCs w:val="24"/>
        </w:rPr>
      </w:pPr>
      <w:bookmarkStart w:id="108" w:name="_Toc510973926"/>
      <w:bookmarkStart w:id="109" w:name="_Toc8560"/>
      <w:bookmarkStart w:id="110" w:name="_Toc508784355"/>
      <w:r>
        <w:rPr>
          <w:rFonts w:hint="eastAsia" w:cs="宋体" w:asciiTheme="minorEastAsia" w:hAnsiTheme="minorEastAsia" w:eastAsiaTheme="minorEastAsia"/>
          <w:sz w:val="24"/>
          <w:szCs w:val="24"/>
        </w:rPr>
        <w:t>十一、解释权</w:t>
      </w:r>
      <w:bookmarkEnd w:id="108"/>
      <w:bookmarkEnd w:id="109"/>
      <w:bookmarkEnd w:id="110"/>
    </w:p>
    <w:p>
      <w:pPr>
        <w:pStyle w:val="2"/>
        <w:spacing w:line="560" w:lineRule="exact"/>
        <w:ind w:firstLine="573" w:firstLineChars="238"/>
        <w:rPr>
          <w:rFonts w:asciiTheme="minorEastAsia" w:hAnsiTheme="minorEastAsia" w:eastAsiaTheme="minorEastAsia"/>
          <w:b/>
          <w:bCs/>
          <w:sz w:val="24"/>
        </w:rPr>
      </w:pPr>
      <w:r>
        <w:rPr>
          <w:rFonts w:asciiTheme="minorEastAsia" w:hAnsiTheme="minorEastAsia" w:eastAsiaTheme="minorEastAsia"/>
          <w:b/>
          <w:bCs/>
          <w:sz w:val="24"/>
        </w:rPr>
        <w:t>40</w:t>
      </w:r>
      <w:r>
        <w:rPr>
          <w:rFonts w:hint="eastAsia" w:asciiTheme="minorEastAsia" w:hAnsiTheme="minorEastAsia" w:eastAsiaTheme="minorEastAsia"/>
          <w:b/>
          <w:bCs/>
          <w:sz w:val="24"/>
        </w:rPr>
        <w:t>. 解释权</w:t>
      </w:r>
    </w:p>
    <w:p>
      <w:pPr>
        <w:pStyle w:val="2"/>
        <w:spacing w:line="560" w:lineRule="exact"/>
        <w:ind w:firstLine="480"/>
        <w:rPr>
          <w:rFonts w:asciiTheme="minorEastAsia" w:hAnsiTheme="minorEastAsia" w:eastAsiaTheme="minorEastAsia"/>
          <w:sz w:val="24"/>
        </w:rPr>
      </w:pPr>
      <w:r>
        <w:rPr>
          <w:rFonts w:cs="宋体" w:asciiTheme="minorEastAsia" w:hAnsiTheme="minorEastAsia" w:eastAsiaTheme="minorEastAsia"/>
          <w:sz w:val="24"/>
        </w:rPr>
        <w:t>40.1</w:t>
      </w:r>
      <w:r>
        <w:rPr>
          <w:rFonts w:hint="eastAsia" w:cs="宋体" w:asciiTheme="minorEastAsia" w:hAnsiTheme="minorEastAsia" w:eastAsiaTheme="minorEastAsia"/>
          <w:sz w:val="24"/>
        </w:rPr>
        <w:t>.本招标文件的最终解释权归代理机构，当对一个问题有多种解释时以代理机构的书面解释为准。招标文件未做明示，而又有相关法律、法规规定的，代理机构对此所做解释以相关的法律、法规规定为依据。</w:t>
      </w:r>
    </w:p>
    <w:p>
      <w:pPr>
        <w:pStyle w:val="3"/>
        <w:spacing w:before="120" w:after="120" w:line="240" w:lineRule="auto"/>
        <w:jc w:val="center"/>
        <w:rPr>
          <w:rFonts w:asciiTheme="minorEastAsia" w:hAnsiTheme="minorEastAsia" w:eastAsiaTheme="minorEastAsia"/>
          <w:kern w:val="2"/>
          <w:sz w:val="32"/>
        </w:rPr>
      </w:pPr>
      <w:r>
        <w:rPr>
          <w:rFonts w:asciiTheme="minorEastAsia" w:hAnsiTheme="minorEastAsia" w:eastAsiaTheme="minorEastAsia"/>
          <w:kern w:val="2"/>
          <w:sz w:val="32"/>
        </w:rPr>
        <w:br w:type="page"/>
      </w:r>
      <w:bookmarkStart w:id="111" w:name="_Toc2404"/>
      <w:r>
        <w:rPr>
          <w:rFonts w:hint="eastAsia" w:asciiTheme="minorEastAsia" w:hAnsiTheme="minorEastAsia" w:eastAsiaTheme="minorEastAsia"/>
          <w:kern w:val="2"/>
          <w:sz w:val="32"/>
        </w:rPr>
        <w:t>第三章</w:t>
      </w:r>
      <w:r>
        <w:rPr>
          <w:rFonts w:asciiTheme="minorEastAsia" w:hAnsiTheme="minorEastAsia" w:eastAsiaTheme="minorEastAsia"/>
          <w:kern w:val="2"/>
          <w:sz w:val="32"/>
        </w:rPr>
        <w:t xml:space="preserve">   </w:t>
      </w:r>
      <w:r>
        <w:rPr>
          <w:rFonts w:hint="eastAsia" w:asciiTheme="minorEastAsia" w:hAnsiTheme="minorEastAsia" w:eastAsiaTheme="minorEastAsia"/>
          <w:kern w:val="2"/>
          <w:sz w:val="32"/>
        </w:rPr>
        <w:t>评分办法</w:t>
      </w:r>
      <w:bookmarkEnd w:id="111"/>
    </w:p>
    <w:p>
      <w:pPr>
        <w:pStyle w:val="3"/>
        <w:spacing w:before="0" w:after="0"/>
        <w:jc w:val="left"/>
        <w:rPr>
          <w:rFonts w:asciiTheme="minorEastAsia" w:hAnsiTheme="minorEastAsia" w:eastAsiaTheme="minorEastAsia"/>
          <w:bCs w:val="0"/>
          <w:sz w:val="24"/>
          <w:szCs w:val="24"/>
        </w:rPr>
      </w:pPr>
      <w:bookmarkStart w:id="112" w:name="_Toc3756"/>
      <w:bookmarkStart w:id="113" w:name="_Hlk77253287"/>
      <w:r>
        <w:rPr>
          <w:rFonts w:hint="eastAsia" w:asciiTheme="minorEastAsia" w:hAnsiTheme="minorEastAsia" w:eastAsiaTheme="minorEastAsia"/>
          <w:bCs w:val="0"/>
          <w:sz w:val="24"/>
          <w:szCs w:val="24"/>
        </w:rPr>
        <w:t>一、评标方法</w:t>
      </w:r>
      <w:bookmarkEnd w:id="112"/>
    </w:p>
    <w:p>
      <w:pPr>
        <w:spacing w:line="540" w:lineRule="exact"/>
        <w:ind w:firstLine="475" w:firstLineChars="198"/>
        <w:rPr>
          <w:rFonts w:asciiTheme="minorEastAsia" w:hAnsiTheme="minorEastAsia" w:eastAsiaTheme="minorEastAsia"/>
          <w:sz w:val="24"/>
        </w:rPr>
      </w:pPr>
      <w:r>
        <w:rPr>
          <w:rFonts w:hint="eastAsia" w:asciiTheme="minorEastAsia" w:hAnsiTheme="minorEastAsia" w:eastAsiaTheme="minorEastAsia"/>
          <w:sz w:val="24"/>
        </w:rPr>
        <w:t>1.1本项目评标方法采用综合评分法。评标委员会将依据各供应商投标文件，对其商务、技术</w:t>
      </w:r>
      <w:r>
        <w:rPr>
          <w:rFonts w:asciiTheme="minorEastAsia" w:hAnsiTheme="minorEastAsia" w:eastAsiaTheme="minorEastAsia"/>
          <w:sz w:val="24"/>
        </w:rPr>
        <w:t>、价格</w:t>
      </w:r>
      <w:r>
        <w:rPr>
          <w:rFonts w:hint="eastAsia" w:asciiTheme="minorEastAsia" w:hAnsiTheme="minorEastAsia" w:eastAsiaTheme="minorEastAsia"/>
          <w:sz w:val="24"/>
        </w:rPr>
        <w:t>、服务</w:t>
      </w:r>
      <w:r>
        <w:rPr>
          <w:rFonts w:asciiTheme="minorEastAsia" w:hAnsiTheme="minorEastAsia" w:eastAsiaTheme="minorEastAsia"/>
          <w:sz w:val="24"/>
        </w:rPr>
        <w:t>等各项因素进行评价</w:t>
      </w:r>
      <w:r>
        <w:rPr>
          <w:rFonts w:hint="eastAsia" w:asciiTheme="minorEastAsia" w:hAnsiTheme="minorEastAsia" w:eastAsiaTheme="minorEastAsia"/>
          <w:sz w:val="24"/>
        </w:rPr>
        <w:t>并按评分细则进行打分</w:t>
      </w:r>
      <w:r>
        <w:rPr>
          <w:rFonts w:asciiTheme="minorEastAsia" w:hAnsiTheme="minorEastAsia" w:eastAsiaTheme="minorEastAsia"/>
          <w:sz w:val="24"/>
        </w:rPr>
        <w:t>。每一供应商的最终得分为所有</w:t>
      </w:r>
      <w:r>
        <w:rPr>
          <w:rFonts w:hint="eastAsia" w:asciiTheme="minorEastAsia" w:hAnsiTheme="minorEastAsia" w:eastAsiaTheme="minorEastAsia"/>
          <w:sz w:val="24"/>
        </w:rPr>
        <w:t>评标委员会成员</w:t>
      </w:r>
      <w:r>
        <w:rPr>
          <w:rFonts w:asciiTheme="minorEastAsia" w:hAnsiTheme="minorEastAsia" w:eastAsiaTheme="minorEastAsia"/>
          <w:sz w:val="24"/>
        </w:rPr>
        <w:t>评分的算术平均值。</w:t>
      </w:r>
    </w:p>
    <w:p>
      <w:pPr>
        <w:spacing w:line="540" w:lineRule="exact"/>
        <w:ind w:firstLine="475" w:firstLineChars="198"/>
        <w:rPr>
          <w:rFonts w:asciiTheme="minorEastAsia" w:hAnsiTheme="minorEastAsia" w:eastAsiaTheme="minorEastAsia"/>
          <w:sz w:val="24"/>
        </w:rPr>
      </w:pPr>
      <w:r>
        <w:rPr>
          <w:rFonts w:hint="eastAsia" w:asciiTheme="minorEastAsia" w:hAnsiTheme="minorEastAsia" w:eastAsiaTheme="minorEastAsia"/>
          <w:sz w:val="24"/>
        </w:rPr>
        <w:t>1.2评标委员会按各供应商最终得分由高到低顺序排列。得分相同的，按报价由低到高顺序排列。得分且报价相同的，按技术指标优劣顺序排列，按招标文件规定的中标候选人数推荐中标候选人。</w:t>
      </w:r>
    </w:p>
    <w:p>
      <w:pPr>
        <w:pStyle w:val="3"/>
        <w:numPr>
          <w:ilvl w:val="0"/>
          <w:numId w:val="3"/>
        </w:numPr>
        <w:spacing w:before="240" w:beforeLines="100" w:after="0" w:line="579" w:lineRule="auto"/>
        <w:jc w:val="left"/>
        <w:rPr>
          <w:rFonts w:asciiTheme="minorEastAsia" w:hAnsiTheme="minorEastAsia" w:eastAsiaTheme="minorEastAsia"/>
          <w:bCs w:val="0"/>
          <w:sz w:val="24"/>
          <w:szCs w:val="24"/>
        </w:rPr>
      </w:pPr>
      <w:bookmarkStart w:id="114" w:name="_Toc7645"/>
      <w:r>
        <w:rPr>
          <w:rFonts w:hint="eastAsia" w:asciiTheme="minorEastAsia" w:hAnsiTheme="minorEastAsia" w:eastAsiaTheme="minorEastAsia"/>
          <w:bCs w:val="0"/>
          <w:sz w:val="24"/>
          <w:szCs w:val="24"/>
        </w:rPr>
        <w:t>评分细则</w:t>
      </w:r>
      <w:bookmarkEnd w:id="114"/>
    </w:p>
    <w:tbl>
      <w:tblPr>
        <w:tblStyle w:val="75"/>
        <w:tblW w:w="5221" w:type="pct"/>
        <w:tblInd w:w="-157"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60"/>
        <w:gridCol w:w="833"/>
        <w:gridCol w:w="1475"/>
        <w:gridCol w:w="701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6" w:hRule="atLeast"/>
        </w:trPr>
        <w:tc>
          <w:tcPr>
            <w:tcW w:w="422" w:type="pct"/>
            <w:vAlign w:val="center"/>
          </w:tcPr>
          <w:p>
            <w:pPr>
              <w:widowControl/>
              <w:spacing w:before="120" w:beforeLines="50" w:line="360"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内容</w:t>
            </w:r>
          </w:p>
        </w:tc>
        <w:tc>
          <w:tcPr>
            <w:tcW w:w="409" w:type="pct"/>
            <w:vAlign w:val="center"/>
          </w:tcPr>
          <w:p>
            <w:pPr>
              <w:widowControl/>
              <w:spacing w:before="120" w:beforeLines="50" w:line="360"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分值</w:t>
            </w:r>
          </w:p>
        </w:tc>
        <w:tc>
          <w:tcPr>
            <w:tcW w:w="724" w:type="pct"/>
            <w:vAlign w:val="center"/>
          </w:tcPr>
          <w:p>
            <w:pPr>
              <w:widowControl/>
              <w:spacing w:before="120" w:beforeLines="50" w:line="360"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评分因素</w:t>
            </w:r>
          </w:p>
        </w:tc>
        <w:tc>
          <w:tcPr>
            <w:tcW w:w="3444" w:type="pct"/>
            <w:vAlign w:val="center"/>
          </w:tcPr>
          <w:p>
            <w:pPr>
              <w:widowControl/>
              <w:spacing w:before="120" w:beforeLines="50" w:line="360" w:lineRule="auto"/>
              <w:jc w:val="center"/>
              <w:rPr>
                <w:rFonts w:asciiTheme="minorEastAsia" w:hAnsiTheme="minorEastAsia" w:eastAsiaTheme="minorEastAsia"/>
                <w:b/>
                <w:kern w:val="0"/>
                <w:sz w:val="24"/>
              </w:rPr>
            </w:pPr>
            <w:r>
              <w:rPr>
                <w:rFonts w:asciiTheme="minorEastAsia" w:hAnsiTheme="minorEastAsia" w:eastAsiaTheme="minorEastAsia"/>
                <w:b/>
                <w:kern w:val="0"/>
                <w:sz w:val="24"/>
              </w:rPr>
              <w:t>评分标准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9" w:hRule="atLeast"/>
        </w:trPr>
        <w:tc>
          <w:tcPr>
            <w:tcW w:w="422" w:type="pct"/>
            <w:vAlign w:val="center"/>
          </w:tcPr>
          <w:p>
            <w:pPr>
              <w:widowControl/>
              <w:spacing w:before="120" w:beforeLines="50"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价格</w:t>
            </w:r>
          </w:p>
          <w:p>
            <w:pPr>
              <w:widowControl/>
              <w:spacing w:before="120" w:beforeLines="50"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部分</w:t>
            </w:r>
          </w:p>
        </w:tc>
        <w:tc>
          <w:tcPr>
            <w:tcW w:w="409" w:type="pc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30分</w:t>
            </w:r>
          </w:p>
        </w:tc>
        <w:tc>
          <w:tcPr>
            <w:tcW w:w="724" w:type="pc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报价</w:t>
            </w:r>
          </w:p>
        </w:tc>
        <w:tc>
          <w:tcPr>
            <w:tcW w:w="3444" w:type="pct"/>
            <w:vAlign w:val="center"/>
          </w:tcPr>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以满足招标文件要求且投标报价最低的供应商的价格为评标基准价，其价格分为满分。其他供应商的价格分统一按照下列公式计算：投标报价得分＝（投标基准价/投标报价）×30%×100。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1120" w:hRule="atLeast"/>
        </w:trPr>
        <w:tc>
          <w:tcPr>
            <w:tcW w:w="422" w:type="pct"/>
            <w:vMerge w:val="restar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商务</w:t>
            </w:r>
          </w:p>
          <w:p>
            <w:pPr>
              <w:pStyle w:val="42"/>
              <w:jc w:val="center"/>
              <w:rPr>
                <w:rFonts w:asciiTheme="minorEastAsia" w:hAnsiTheme="minorEastAsia" w:eastAsiaTheme="minorEastAsia"/>
                <w:sz w:val="21"/>
              </w:rPr>
            </w:pPr>
            <w:r>
              <w:rPr>
                <w:rFonts w:hint="eastAsia" w:asciiTheme="minorEastAsia" w:hAnsiTheme="minorEastAsia" w:eastAsiaTheme="minorEastAsia"/>
                <w:sz w:val="21"/>
              </w:rPr>
              <w:t>部分</w:t>
            </w:r>
          </w:p>
        </w:tc>
        <w:tc>
          <w:tcPr>
            <w:tcW w:w="409" w:type="pct"/>
            <w:vMerge w:val="restar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5分</w:t>
            </w:r>
          </w:p>
        </w:tc>
        <w:tc>
          <w:tcPr>
            <w:tcW w:w="724" w:type="pc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业绩</w:t>
            </w:r>
          </w:p>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（2分)</w:t>
            </w:r>
          </w:p>
        </w:tc>
        <w:tc>
          <w:tcPr>
            <w:tcW w:w="3444" w:type="pct"/>
            <w:vAlign w:val="center"/>
          </w:tcPr>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根据供应商2019年1月1日至今承担</w:t>
            </w:r>
            <w:r>
              <w:rPr>
                <w:rFonts w:hint="eastAsia" w:asciiTheme="minorEastAsia" w:hAnsiTheme="minorEastAsia" w:eastAsiaTheme="minorEastAsia"/>
                <w:kern w:val="0"/>
                <w:szCs w:val="21"/>
                <w:lang w:eastAsia="zh-Hans"/>
              </w:rPr>
              <w:t>同类</w:t>
            </w:r>
            <w:r>
              <w:rPr>
                <w:rFonts w:hint="eastAsia" w:asciiTheme="minorEastAsia" w:hAnsiTheme="minorEastAsia" w:eastAsiaTheme="minorEastAsia"/>
                <w:kern w:val="0"/>
                <w:szCs w:val="21"/>
              </w:rPr>
              <w:t>项目的业绩情况评分。</w:t>
            </w:r>
          </w:p>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同类项目的业绩是指含：</w:t>
            </w:r>
            <w:r>
              <w:rPr>
                <w:rFonts w:hint="eastAsia" w:asciiTheme="minorEastAsia" w:hAnsiTheme="minorEastAsia" w:eastAsiaTheme="minorEastAsia"/>
                <w:kern w:val="0"/>
                <w:szCs w:val="21"/>
                <w:u w:val="single"/>
              </w:rPr>
              <w:t>各包核心产品同类销售业绩</w:t>
            </w:r>
            <w:r>
              <w:rPr>
                <w:rFonts w:hint="eastAsia" w:asciiTheme="minorEastAsia" w:hAnsiTheme="minorEastAsia" w:eastAsiaTheme="minorEastAsia"/>
                <w:kern w:val="0"/>
                <w:szCs w:val="21"/>
              </w:rPr>
              <w:t>，每提供一项得1分，本项最高得2分。</w:t>
            </w:r>
          </w:p>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注：供应商需在投标文件中提供</w:t>
            </w:r>
            <w:r>
              <w:rPr>
                <w:rFonts w:asciiTheme="minorEastAsia" w:hAnsiTheme="minorEastAsia" w:eastAsiaTheme="minorEastAsia"/>
                <w:kern w:val="0"/>
                <w:szCs w:val="21"/>
              </w:rPr>
              <w:t>中标（成交）通知书</w:t>
            </w:r>
            <w:r>
              <w:rPr>
                <w:rFonts w:hint="eastAsia" w:asciiTheme="minorEastAsia" w:hAnsiTheme="minorEastAsia" w:eastAsiaTheme="minorEastAsia"/>
                <w:kern w:val="0"/>
                <w:szCs w:val="21"/>
              </w:rPr>
              <w:t>、合同关键页（含签订合同双方的单位名称、合同项目名称、项目金额与含签订合同双方的落款盖章、签订日期的关键页）及用户验收证明复印件并加盖供应商公章作为同类业绩评价证明资料，以上内容缺一不得分。时间以验收证明文件落款日期为准（合同签订主体为投标供应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422"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409"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724" w:type="pc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认证体系(1.5分）</w:t>
            </w:r>
          </w:p>
        </w:tc>
        <w:tc>
          <w:tcPr>
            <w:tcW w:w="3444" w:type="pct"/>
            <w:vAlign w:val="center"/>
          </w:tcPr>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供应商提供经认监委批准的认证机构颁发的有效的：</w:t>
            </w:r>
          </w:p>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质量管理体系认证证书得0.5分；</w:t>
            </w:r>
          </w:p>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环境管理体系认证证书得0.5分；</w:t>
            </w:r>
          </w:p>
          <w:p>
            <w:pPr>
              <w:widowControl/>
              <w:spacing w:before="120" w:beforeLines="50"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职业健康安全体系认证证书得0.5分。</w:t>
            </w:r>
          </w:p>
          <w:p>
            <w:pPr>
              <w:widowControl/>
              <w:spacing w:before="120" w:beforeLines="50" w:line="360" w:lineRule="auto"/>
              <w:jc w:val="left"/>
              <w:rPr>
                <w:rFonts w:asciiTheme="minorEastAsia" w:hAnsiTheme="minorEastAsia" w:eastAsiaTheme="minorEastAsia"/>
                <w:kern w:val="0"/>
                <w:szCs w:val="21"/>
              </w:rPr>
            </w:pPr>
            <w:r>
              <w:rPr>
                <w:rFonts w:hint="eastAsia" w:ascii="宋体" w:hAnsi="宋体"/>
                <w:b/>
                <w:bCs/>
                <w:color w:val="000000"/>
                <w:sz w:val="22"/>
                <w:szCs w:val="22"/>
              </w:rPr>
              <w:t>注：本项累计最高得1.5分，需提供有效期内的有效证书复印件，无或其它不得分。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2" w:hRule="atLeast"/>
        </w:trPr>
        <w:tc>
          <w:tcPr>
            <w:tcW w:w="422"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409" w:type="pct"/>
            <w:vMerge w:val="continue"/>
            <w:vAlign w:val="center"/>
          </w:tcPr>
          <w:p>
            <w:pPr>
              <w:widowControl/>
              <w:spacing w:before="120" w:beforeLines="50" w:line="360" w:lineRule="auto"/>
              <w:jc w:val="center"/>
              <w:rPr>
                <w:rFonts w:asciiTheme="minorEastAsia" w:hAnsiTheme="minorEastAsia" w:eastAsiaTheme="minorEastAsia"/>
                <w:color w:val="92D050"/>
                <w:kern w:val="0"/>
                <w:szCs w:val="21"/>
              </w:rPr>
            </w:pPr>
          </w:p>
        </w:tc>
        <w:tc>
          <w:tcPr>
            <w:tcW w:w="724" w:type="pct"/>
            <w:tcBorders>
              <w:bottom w:val="single" w:color="auto" w:sz="4" w:space="0"/>
            </w:tcBorders>
            <w:vAlign w:val="center"/>
          </w:tcPr>
          <w:p>
            <w:pPr>
              <w:spacing w:line="270" w:lineRule="exact"/>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节能与环境标志产品</w:t>
            </w:r>
          </w:p>
          <w:p>
            <w:pPr>
              <w:spacing w:line="270" w:lineRule="exact"/>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w:t>
            </w:r>
            <w:r>
              <w:rPr>
                <w:rFonts w:asciiTheme="minorEastAsia" w:hAnsiTheme="minorEastAsia" w:eastAsiaTheme="minorEastAsia"/>
                <w:kern w:val="0"/>
                <w:szCs w:val="21"/>
              </w:rPr>
              <w:t>1</w:t>
            </w:r>
            <w:r>
              <w:rPr>
                <w:rFonts w:hint="eastAsia" w:asciiTheme="minorEastAsia" w:hAnsiTheme="minorEastAsia" w:eastAsiaTheme="minorEastAsia"/>
                <w:kern w:val="0"/>
                <w:szCs w:val="21"/>
              </w:rPr>
              <w:t>分）</w:t>
            </w:r>
          </w:p>
        </w:tc>
        <w:tc>
          <w:tcPr>
            <w:tcW w:w="3444" w:type="pct"/>
            <w:tcBorders>
              <w:bottom w:val="single" w:color="auto" w:sz="4" w:space="0"/>
            </w:tcBorders>
            <w:vAlign w:val="center"/>
          </w:tcPr>
          <w:p>
            <w:pPr>
              <w:widowControl/>
              <w:adjustRightInd w:val="0"/>
              <w:snapToGrid w:val="0"/>
              <w:spacing w:line="360" w:lineRule="auto"/>
              <w:jc w:val="left"/>
              <w:rPr>
                <w:rFonts w:ascii="宋体" w:hAnsi="宋体" w:cs="宋体"/>
                <w:bCs/>
                <w:szCs w:val="21"/>
              </w:rPr>
            </w:pPr>
            <w:r>
              <w:rPr>
                <w:rFonts w:hint="eastAsia" w:ascii="宋体" w:hAnsi="宋体" w:cs="宋体"/>
                <w:bCs/>
                <w:szCs w:val="21"/>
              </w:rPr>
              <w:t>所投产品在财政部、发展改革委、生态环境部等部门最新发布的《节能产品政府采购品目清单》或《环境标志产品政府采购品目清单》的清单范围内优先采购的节能产品、环境标志产品类别，每具有一项类别加0.5分，最多加1分，否则不加分。</w:t>
            </w:r>
          </w:p>
          <w:p>
            <w:pPr>
              <w:widowControl/>
              <w:adjustRightInd w:val="0"/>
              <w:snapToGrid w:val="0"/>
              <w:spacing w:line="360" w:lineRule="auto"/>
              <w:jc w:val="left"/>
              <w:rPr>
                <w:rFonts w:ascii="宋体" w:hAnsi="宋体" w:cs="宋体"/>
                <w:bCs/>
                <w:szCs w:val="21"/>
              </w:rPr>
            </w:pPr>
            <w:r>
              <w:rPr>
                <w:rFonts w:hint="eastAsia" w:ascii="宋体" w:hAnsi="宋体" w:cs="宋体"/>
                <w:bCs/>
                <w:szCs w:val="21"/>
              </w:rPr>
              <w:t>备注：</w:t>
            </w:r>
          </w:p>
          <w:p>
            <w:pPr>
              <w:widowControl/>
              <w:adjustRightInd w:val="0"/>
              <w:snapToGrid w:val="0"/>
              <w:spacing w:line="360" w:lineRule="auto"/>
              <w:jc w:val="left"/>
              <w:rPr>
                <w:rFonts w:ascii="宋体" w:hAnsi="宋体" w:cs="宋体"/>
                <w:bCs/>
                <w:szCs w:val="21"/>
              </w:rPr>
            </w:pPr>
            <w:r>
              <w:rPr>
                <w:rFonts w:hint="eastAsia" w:ascii="宋体" w:hAnsi="宋体" w:cs="宋体"/>
                <w:bCs/>
                <w:szCs w:val="21"/>
              </w:rPr>
              <w:t>1）所投产品同时为节能产品和环境标志产品的，只得其中一项分，不重复计算。</w:t>
            </w:r>
          </w:p>
          <w:p>
            <w:pPr>
              <w:widowControl/>
              <w:spacing w:before="120" w:beforeLines="50" w:line="360" w:lineRule="auto"/>
              <w:jc w:val="left"/>
              <w:rPr>
                <w:rFonts w:asciiTheme="minorEastAsia" w:hAnsiTheme="minorEastAsia" w:eastAsiaTheme="minorEastAsia"/>
              </w:rPr>
            </w:pPr>
            <w:r>
              <w:rPr>
                <w:rFonts w:hint="eastAsia" w:ascii="宋体" w:hAnsi="宋体" w:cs="宋体"/>
                <w:bCs/>
                <w:szCs w:val="21"/>
              </w:rPr>
              <w:t>2）应提供具有国家确定的认证机构出具的、处于有效期之内的节能产品或环境标志产品认证证书及型号所在附页复印件加盖投标人单位公章。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22" w:type="pct"/>
            <w:vMerge w:val="continue"/>
            <w:vAlign w:val="center"/>
          </w:tcPr>
          <w:p>
            <w:pPr>
              <w:widowControl/>
              <w:tabs>
                <w:tab w:val="left" w:pos="515"/>
              </w:tabs>
              <w:jc w:val="left"/>
              <w:rPr>
                <w:rFonts w:asciiTheme="minorEastAsia" w:hAnsiTheme="minorEastAsia" w:eastAsiaTheme="minorEastAsia"/>
                <w:kern w:val="0"/>
                <w:szCs w:val="21"/>
              </w:rPr>
            </w:pPr>
          </w:p>
        </w:tc>
        <w:tc>
          <w:tcPr>
            <w:tcW w:w="409" w:type="pct"/>
            <w:vMerge w:val="continue"/>
            <w:vAlign w:val="center"/>
          </w:tcPr>
          <w:p>
            <w:pPr>
              <w:widowControl/>
              <w:spacing w:before="120" w:beforeLines="50" w:line="360" w:lineRule="auto"/>
              <w:jc w:val="center"/>
              <w:rPr>
                <w:rFonts w:asciiTheme="minorEastAsia" w:hAnsiTheme="minorEastAsia" w:eastAsiaTheme="minorEastAsia"/>
                <w:color w:val="92D050"/>
                <w:kern w:val="0"/>
                <w:szCs w:val="21"/>
              </w:rPr>
            </w:pPr>
          </w:p>
        </w:tc>
        <w:tc>
          <w:tcPr>
            <w:tcW w:w="724" w:type="pct"/>
            <w:tcBorders>
              <w:top w:val="single" w:color="auto" w:sz="4" w:space="0"/>
            </w:tcBorders>
            <w:vAlign w:val="center"/>
          </w:tcPr>
          <w:p>
            <w:pPr>
              <w:spacing w:line="270" w:lineRule="exact"/>
              <w:rPr>
                <w:rFonts w:asciiTheme="minorEastAsia" w:hAnsiTheme="minorEastAsia" w:eastAsiaTheme="minorEastAsia"/>
                <w:kern w:val="0"/>
                <w:szCs w:val="21"/>
              </w:rPr>
            </w:pPr>
            <w:r>
              <w:rPr>
                <w:rFonts w:hint="eastAsia" w:asciiTheme="minorEastAsia" w:hAnsiTheme="minorEastAsia" w:eastAsiaTheme="minorEastAsia"/>
                <w:kern w:val="0"/>
                <w:szCs w:val="21"/>
              </w:rPr>
              <w:t>无线局域网认证产品（0</w:t>
            </w:r>
            <w:r>
              <w:rPr>
                <w:rFonts w:asciiTheme="minorEastAsia" w:hAnsiTheme="minorEastAsia" w:eastAsiaTheme="minorEastAsia"/>
                <w:kern w:val="0"/>
                <w:szCs w:val="21"/>
              </w:rPr>
              <w:t>.5</w:t>
            </w:r>
            <w:r>
              <w:rPr>
                <w:rFonts w:hint="eastAsia" w:asciiTheme="minorEastAsia" w:hAnsiTheme="minorEastAsia" w:eastAsiaTheme="minorEastAsia"/>
                <w:kern w:val="0"/>
                <w:szCs w:val="21"/>
              </w:rPr>
              <w:t>分）</w:t>
            </w:r>
          </w:p>
        </w:tc>
        <w:tc>
          <w:tcPr>
            <w:tcW w:w="3444" w:type="pct"/>
            <w:tcBorders>
              <w:top w:val="single" w:color="auto" w:sz="4" w:space="0"/>
            </w:tcBorders>
            <w:vAlign w:val="center"/>
          </w:tcPr>
          <w:p>
            <w:pPr>
              <w:widowControl/>
              <w:adjustRightInd w:val="0"/>
              <w:snapToGrid w:val="0"/>
              <w:spacing w:line="360" w:lineRule="auto"/>
              <w:jc w:val="left"/>
              <w:rPr>
                <w:rFonts w:ascii="宋体" w:hAnsi="宋体" w:cs="宋体"/>
                <w:bCs/>
                <w:szCs w:val="21"/>
              </w:rPr>
            </w:pPr>
            <w:r>
              <w:rPr>
                <w:rFonts w:hint="eastAsia" w:ascii="宋体" w:hAnsi="宋体" w:cs="宋体"/>
                <w:bCs/>
                <w:szCs w:val="21"/>
              </w:rPr>
              <w:t>所投产品在财政部、国家发展改革委、信息产业部等部门最新发布的《无线局域网认证产品政府采购清单》的清单范围内优先采购的无线局域网产品，得0.5分。</w:t>
            </w:r>
          </w:p>
          <w:p>
            <w:pPr>
              <w:pStyle w:val="42"/>
              <w:spacing w:line="360" w:lineRule="auto"/>
              <w:rPr>
                <w:rFonts w:asciiTheme="minorEastAsia" w:hAnsiTheme="minorEastAsia" w:eastAsiaTheme="minorEastAsia"/>
                <w:sz w:val="21"/>
              </w:rPr>
            </w:pPr>
            <w:r>
              <w:rPr>
                <w:rFonts w:hint="eastAsia" w:hAnsi="宋体" w:cs="宋体"/>
                <w:bCs/>
                <w:sz w:val="21"/>
              </w:rPr>
              <w:t>备注：应提供依据国家确定的认证机构出具的、处于有效期之内的认证证书复印件加盖投标人单位公章。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47" w:hRule="atLeast"/>
        </w:trPr>
        <w:tc>
          <w:tcPr>
            <w:tcW w:w="422" w:type="pct"/>
            <w:vMerge w:val="restar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技术</w:t>
            </w:r>
          </w:p>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部分</w:t>
            </w:r>
          </w:p>
        </w:tc>
        <w:tc>
          <w:tcPr>
            <w:tcW w:w="409" w:type="pct"/>
            <w:vMerge w:val="restar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65分</w:t>
            </w:r>
          </w:p>
        </w:tc>
        <w:tc>
          <w:tcPr>
            <w:tcW w:w="724" w:type="pct"/>
            <w:vMerge w:val="restar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技术性能指标响应情况</w:t>
            </w:r>
          </w:p>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（38分）</w:t>
            </w:r>
          </w:p>
        </w:tc>
        <w:tc>
          <w:tcPr>
            <w:tcW w:w="3444" w:type="pct"/>
            <w:tcBorders>
              <w:bottom w:val="single" w:color="auto" w:sz="4" w:space="0"/>
            </w:tcBorders>
            <w:vAlign w:val="center"/>
          </w:tcPr>
          <w:p>
            <w:pPr>
              <w:spacing w:line="360" w:lineRule="auto"/>
              <w:rPr>
                <w:rFonts w:asciiTheme="minorEastAsia" w:hAnsiTheme="minorEastAsia" w:eastAsiaTheme="minorEastAsia"/>
                <w:szCs w:val="21"/>
              </w:rPr>
            </w:pPr>
            <w:r>
              <w:rPr>
                <w:rFonts w:hint="eastAsia" w:asciiTheme="minorEastAsia" w:hAnsiTheme="minorEastAsia" w:eastAsiaTheme="minorEastAsia"/>
                <w:kern w:val="0"/>
                <w:szCs w:val="21"/>
              </w:rPr>
              <w:t>1包：</w:t>
            </w:r>
            <w:r>
              <w:rPr>
                <w:rFonts w:hint="eastAsia" w:asciiTheme="minorEastAsia" w:hAnsiTheme="minorEastAsia" w:eastAsiaTheme="minorEastAsia"/>
                <w:szCs w:val="21"/>
              </w:rPr>
              <w:t>技术指标要求总共392条：其中★0项，#38项，一般技术指标354项。1 项标注#指标负偏离扣0.6分；1项一般技术指标负偏离扣0.0429  分。【38*0.6+354*0.0429=38】；</w:t>
            </w:r>
          </w:p>
          <w:p>
            <w:pPr>
              <w:spacing w:line="360" w:lineRule="auto"/>
              <w:rPr>
                <w:rFonts w:cs="Arial" w:asciiTheme="minorEastAsia" w:hAnsiTheme="minorEastAsia" w:eastAsiaTheme="minorEastAsia"/>
                <w:b/>
                <w:szCs w:val="21"/>
              </w:rPr>
            </w:pPr>
            <w:r>
              <w:rPr>
                <w:rFonts w:hint="eastAsia" w:asciiTheme="minorEastAsia" w:hAnsiTheme="minorEastAsia" w:eastAsiaTheme="minorEastAsia"/>
                <w:kern w:val="0"/>
                <w:szCs w:val="21"/>
              </w:rPr>
              <w:t>2包：</w:t>
            </w:r>
            <w:r>
              <w:rPr>
                <w:rFonts w:hint="eastAsia" w:asciiTheme="minorEastAsia" w:hAnsiTheme="minorEastAsia" w:eastAsiaTheme="minorEastAsia"/>
                <w:szCs w:val="21"/>
              </w:rPr>
              <w:t>技术指标要求总共28条：其中★0项，# 2项，一般技术指标26项。1 项标注#指标负偏离扣11.4分；1项一般技术指标负偏离扣0.5846分。【2*11.4+26*0.5846=38】；</w:t>
            </w:r>
          </w:p>
          <w:p>
            <w:pPr>
              <w:spacing w:line="360" w:lineRule="auto"/>
              <w:rPr>
                <w:rFonts w:cs="Arial" w:asciiTheme="minorEastAsia" w:hAnsiTheme="minorEastAsia" w:eastAsiaTheme="minorEastAsia"/>
                <w:b/>
                <w:szCs w:val="21"/>
              </w:rPr>
            </w:pPr>
            <w:r>
              <w:rPr>
                <w:rFonts w:hint="eastAsia" w:asciiTheme="minorEastAsia" w:hAnsiTheme="minorEastAsia" w:eastAsiaTheme="minorEastAsia"/>
                <w:b/>
                <w:bCs/>
                <w:kern w:val="0"/>
                <w:szCs w:val="21"/>
              </w:rPr>
              <w:t>3包：</w:t>
            </w:r>
            <w:r>
              <w:rPr>
                <w:rFonts w:hint="eastAsia" w:asciiTheme="minorEastAsia" w:hAnsiTheme="minorEastAsia" w:eastAsiaTheme="minorEastAsia"/>
                <w:szCs w:val="21"/>
              </w:rPr>
              <w:t>技术指标要求总共112条：其中★0项，#13项，一般技术指标99项。1 项标注#指标负偏离扣1.7538分；1项一般技术指标负偏离扣0.1535分。【13*1.7538+99*0.1535=38】；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96" w:hRule="atLeast"/>
        </w:trPr>
        <w:tc>
          <w:tcPr>
            <w:tcW w:w="422"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409"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724"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3444" w:type="pct"/>
            <w:tcBorders>
              <w:top w:val="single" w:color="auto" w:sz="4" w:space="0"/>
            </w:tcBorders>
            <w:vAlign w:val="center"/>
          </w:tcPr>
          <w:p>
            <w:pPr>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注：</w:t>
            </w:r>
          </w:p>
          <w:p>
            <w:pPr>
              <w:spacing w:line="48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招标文件中第四章“采购内容及项目要求”中标示星号 “★” 的条款均为实质性条款，任何不满足实质性条款的投标将被否决；标注“</w:t>
            </w:r>
            <w:r>
              <w:rPr>
                <w:rFonts w:cs="Arial" w:asciiTheme="minorEastAsia" w:hAnsiTheme="minorEastAsia" w:eastAsiaTheme="minorEastAsia"/>
                <w:b/>
                <w:szCs w:val="21"/>
              </w:rPr>
              <w:t>#</w:t>
            </w:r>
            <w:r>
              <w:rPr>
                <w:rFonts w:hint="eastAsia" w:cs="Arial" w:asciiTheme="minorEastAsia" w:hAnsiTheme="minorEastAsia" w:eastAsiaTheme="minorEastAsia"/>
                <w:b/>
                <w:szCs w:val="21"/>
              </w:rPr>
              <w:t>”的为重要技术指标；其他未标注的为一般性技术指标。</w:t>
            </w:r>
          </w:p>
          <w:p>
            <w:pPr>
              <w:spacing w:line="48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1、标注★、#的重要的技术指标以国家认证认可具有检测资质检测机构出具的检验检测报告数据为准（采购需求另有规定除外），报告中未体现的“#”项指标或未按招标文件要求提供检验检测报告及证明材料的，按照负偏离进行扣分；报告中未体现的“★”项指标或未按招标文件要求提供检验检测报告及证明材料的，按照不满足实质性条款，投标将被否决；</w:t>
            </w:r>
          </w:p>
          <w:p>
            <w:pPr>
              <w:spacing w:line="48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2、未标注#的一般技术指标按照供应商提供的《技术偏离表》或制造商公开发布的印刷资料或国家认证认可具有检测资质检测机构出具的检验报告。若制造商公开发布的印刷资料与国家认证认可具有检测资质检测机构出具的检验报告不一致，以检测机构出具的检验报告为准（采购需求另有规定除外）。</w:t>
            </w:r>
          </w:p>
          <w:p>
            <w:pPr>
              <w:spacing w:line="48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3、检验报告证明材料要求（采购需求另有规定除外）：</w:t>
            </w:r>
          </w:p>
          <w:p>
            <w:pPr>
              <w:spacing w:line="48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3.1国家认证认可具有检测资质检测机构出具的检验报告须同时提供以下证明材料：</w:t>
            </w:r>
          </w:p>
          <w:p>
            <w:pPr>
              <w:spacing w:line="48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（1）加盖CMA或CNAS资质认定标志的检验报告复印件加盖供应商公章</w:t>
            </w:r>
          </w:p>
          <w:p>
            <w:pPr>
              <w:spacing w:line="48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（2） 国家认证认可具有检测资质检测机构：提供“全国认证认可信息公共服务平台http://cx.cnca.cn/CertECloud/index/index/page”检测机构结果查询截图，不能提供查询结果截图的，供应商须提供说明函。</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Align w:val="center"/>
          </w:tcPr>
          <w:p>
            <w:pPr>
              <w:pStyle w:val="334"/>
              <w:spacing w:line="480" w:lineRule="exact"/>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设备（产品）选型（整体设计）</w:t>
            </w:r>
          </w:p>
          <w:p>
            <w:pPr>
              <w:pStyle w:val="334"/>
              <w:spacing w:line="480" w:lineRule="exact"/>
              <w:ind w:firstLine="0" w:firstLineChars="0"/>
              <w:jc w:val="center"/>
              <w:rPr>
                <w:rFonts w:asciiTheme="minorEastAsia" w:hAnsiTheme="minorEastAsia" w:eastAsiaTheme="minorEastAsia"/>
                <w:szCs w:val="21"/>
              </w:rPr>
            </w:pPr>
            <w:r>
              <w:rPr>
                <w:rFonts w:hint="eastAsia" w:asciiTheme="minorEastAsia" w:hAnsiTheme="minorEastAsia" w:eastAsiaTheme="minorEastAsia"/>
                <w:sz w:val="21"/>
                <w:szCs w:val="21"/>
              </w:rPr>
              <w:t>（5分）</w:t>
            </w:r>
          </w:p>
        </w:tc>
        <w:tc>
          <w:tcPr>
            <w:tcW w:w="3444" w:type="pct"/>
            <w:vAlign w:val="center"/>
          </w:tcPr>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结合本项目采购需求及实际应用场景环境等要求，对投标人提供产品整体选型、各部件的结构设计、产品功能设计、各部件间适配性、系统配置、产品工艺等内容进行综合评审（须提供设计说明、整体设计图、结构设计图、功能设计图等）；</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投标产品的产品整体选型具有针对性、对各使用场景适用性高，各部件结构设计科学合理，功能设计科学合理，内部结构选用制作材料可靠性高、性能稳定，产品配置与采购需求吻合，产品工艺满足采购需求，且描述清晰、性能稳定可靠的，得5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投标产品的产品整体选型较合理，对于各种适用场景具有较高适用性，各部件结构设计较合理，功能设计较合理，内部结构选用制作材料可靠性较高、性能较稳定，产品配置与采购需求较为吻合，产品工艺相关描述较清晰，性能较稳定、可靠性较高的，得2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投标产品的产品整体选型基本合理，对于各种适用场景具有一定适用性，各部件结构设计合理性略有欠缺，功能设计合理性略有欠缺，内部结构选用制作材料可靠性较高、性能略有不足，产品配置与采购需求较为吻合，产品工艺的相关描述基本清晰，性能基本稳定、具有基本的可靠性，得1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投标产品的产品整体选型性能配置及适用性较差，各部件结构设计有较大缺陷，功能设计有较大缺陷，产品配置不明确，产品工艺相关信息描述简单，得0.5分。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投标产品的产品整体选型性能配置及适用性、各部件结构设计、功能设计、产品配置、产品工艺无法满足本项目要求的，得0分。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供应商或制造商专业技术生产能力</w:t>
            </w:r>
          </w:p>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（5分）</w:t>
            </w:r>
          </w:p>
        </w:tc>
        <w:tc>
          <w:tcPr>
            <w:tcW w:w="3444" w:type="pct"/>
            <w:vAlign w:val="center"/>
          </w:tcPr>
          <w:p>
            <w:pPr>
              <w:pStyle w:val="334"/>
              <w:spacing w:line="480" w:lineRule="exact"/>
              <w:ind w:firstLine="0" w:firstLineChars="0"/>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根据投标人所投</w:t>
            </w:r>
            <w:r>
              <w:rPr>
                <w:rFonts w:hint="eastAsia" w:asciiTheme="minorEastAsia" w:hAnsiTheme="minorEastAsia" w:eastAsiaTheme="minorEastAsia"/>
                <w:sz w:val="21"/>
                <w:szCs w:val="21"/>
              </w:rPr>
              <w:t>的核心产品及其他产品</w:t>
            </w:r>
            <w:r>
              <w:rPr>
                <w:rFonts w:hint="eastAsia" w:asciiTheme="minorEastAsia" w:hAnsiTheme="minorEastAsia" w:eastAsiaTheme="minorEastAsia"/>
                <w:sz w:val="21"/>
                <w:szCs w:val="21"/>
                <w:lang w:val="zh-CN"/>
              </w:rPr>
              <w:t xml:space="preserve">制造商专业技术生产能力（包括但不限于自主研发能力、生产工艺、生产步骤、产品检验等）进行评审： </w:t>
            </w:r>
          </w:p>
          <w:p>
            <w:pPr>
              <w:pStyle w:val="334"/>
              <w:spacing w:line="480" w:lineRule="exact"/>
              <w:ind w:firstLine="0" w:firstLineChars="0"/>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投标人所投的核心产品及其他产品制造商具备自主研发能力及先进的生产工艺，提供完整工艺流程图并配有详细的图片和文字说明，生产步骤完整周详，能够提供各环节完整的生产车间环境及详细的实际生产实景照片，具有严格的产品检验流程，检验</w:t>
            </w:r>
            <w:r>
              <w:rPr>
                <w:rFonts w:hint="eastAsia" w:asciiTheme="minorEastAsia" w:hAnsiTheme="minorEastAsia" w:eastAsiaTheme="minorEastAsia"/>
                <w:sz w:val="21"/>
                <w:szCs w:val="21"/>
              </w:rPr>
              <w:t>产品</w:t>
            </w:r>
            <w:r>
              <w:rPr>
                <w:rFonts w:hint="eastAsia" w:asciiTheme="minorEastAsia" w:hAnsiTheme="minorEastAsia" w:eastAsiaTheme="minorEastAsia"/>
                <w:sz w:val="21"/>
                <w:szCs w:val="21"/>
                <w:lang w:val="zh-CN"/>
              </w:rPr>
              <w:t>配置齐全、检验步骤严密无纰漏，得</w:t>
            </w:r>
            <w:r>
              <w:rPr>
                <w:rFonts w:hint="eastAsia" w:asciiTheme="minorEastAsia" w:hAnsiTheme="minorEastAsia" w:eastAsiaTheme="minorEastAsia"/>
                <w:sz w:val="21"/>
                <w:szCs w:val="21"/>
              </w:rPr>
              <w:t>5</w:t>
            </w:r>
            <w:r>
              <w:rPr>
                <w:rFonts w:hint="eastAsia" w:asciiTheme="minorEastAsia" w:hAnsiTheme="minorEastAsia" w:eastAsiaTheme="minorEastAsia"/>
                <w:sz w:val="21"/>
                <w:szCs w:val="21"/>
                <w:lang w:val="zh-CN"/>
              </w:rPr>
              <w:t xml:space="preserve">分； </w:t>
            </w:r>
          </w:p>
          <w:p>
            <w:pPr>
              <w:pStyle w:val="334"/>
              <w:spacing w:line="480" w:lineRule="exact"/>
              <w:ind w:firstLine="0" w:firstLineChars="0"/>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投标人所投的核心产品及其他产品制造商具备一定的自主研发能力及较先进的生产工艺，提供较完整的工艺流程图并配有较详细的图片和文字说明，生产步骤较完整，能够提供各环节较完整的生产车间环境及较详细的实际生产实景照片，具有较严格的产品检验流程，检验</w:t>
            </w:r>
            <w:r>
              <w:rPr>
                <w:rFonts w:hint="eastAsia" w:asciiTheme="minorEastAsia" w:hAnsiTheme="minorEastAsia" w:eastAsiaTheme="minorEastAsia"/>
                <w:sz w:val="21"/>
                <w:szCs w:val="21"/>
              </w:rPr>
              <w:t>产品</w:t>
            </w:r>
            <w:r>
              <w:rPr>
                <w:rFonts w:hint="eastAsia" w:asciiTheme="minorEastAsia" w:hAnsiTheme="minorEastAsia" w:eastAsiaTheme="minorEastAsia"/>
                <w:sz w:val="21"/>
                <w:szCs w:val="21"/>
                <w:lang w:val="zh-CN"/>
              </w:rPr>
              <w:t>配置较齐全、检验步骤较严密，得</w:t>
            </w:r>
            <w:r>
              <w:rPr>
                <w:rFonts w:hint="eastAsia" w:asciiTheme="minorEastAsia" w:hAnsiTheme="minorEastAsia" w:eastAsiaTheme="minorEastAsia"/>
                <w:sz w:val="21"/>
                <w:szCs w:val="21"/>
              </w:rPr>
              <w:t>2</w:t>
            </w:r>
            <w:r>
              <w:rPr>
                <w:rFonts w:hint="eastAsia" w:asciiTheme="minorEastAsia" w:hAnsiTheme="minorEastAsia" w:eastAsiaTheme="minorEastAsia"/>
                <w:sz w:val="21"/>
                <w:szCs w:val="21"/>
                <w:lang w:val="zh-CN"/>
              </w:rPr>
              <w:t>分；</w:t>
            </w:r>
          </w:p>
          <w:p>
            <w:pPr>
              <w:pStyle w:val="334"/>
              <w:spacing w:line="480" w:lineRule="exact"/>
              <w:ind w:firstLine="0" w:firstLineChars="0"/>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投标人所投的核心产品及其他产品制造商具有一定自主研发能力，提供部分生产工艺流程说明，生产步骤基本完善并提供生产车间环境及实际生产照片，产品检验流程及具体检验步骤基本完整，检验</w:t>
            </w:r>
            <w:r>
              <w:rPr>
                <w:rFonts w:hint="eastAsia" w:asciiTheme="minorEastAsia" w:hAnsiTheme="minorEastAsia" w:eastAsiaTheme="minorEastAsia"/>
                <w:sz w:val="21"/>
                <w:szCs w:val="21"/>
              </w:rPr>
              <w:t>产品</w:t>
            </w:r>
            <w:r>
              <w:rPr>
                <w:rFonts w:hint="eastAsia" w:asciiTheme="minorEastAsia" w:hAnsiTheme="minorEastAsia" w:eastAsiaTheme="minorEastAsia"/>
                <w:sz w:val="21"/>
                <w:szCs w:val="21"/>
                <w:lang w:val="zh-CN"/>
              </w:rPr>
              <w:t>配置基本齐全，得</w:t>
            </w:r>
            <w:r>
              <w:rPr>
                <w:rFonts w:hint="eastAsia" w:asciiTheme="minorEastAsia" w:hAnsiTheme="minorEastAsia" w:eastAsiaTheme="minorEastAsia"/>
                <w:sz w:val="21"/>
                <w:szCs w:val="21"/>
              </w:rPr>
              <w:t>1</w:t>
            </w:r>
            <w:r>
              <w:rPr>
                <w:rFonts w:hint="eastAsia" w:asciiTheme="minorEastAsia" w:hAnsiTheme="minorEastAsia" w:eastAsiaTheme="minorEastAsia"/>
                <w:sz w:val="21"/>
                <w:szCs w:val="21"/>
                <w:lang w:val="zh-CN"/>
              </w:rPr>
              <w:t>分；</w:t>
            </w:r>
          </w:p>
          <w:p>
            <w:pPr>
              <w:pStyle w:val="334"/>
              <w:spacing w:line="480" w:lineRule="exact"/>
              <w:ind w:firstLine="0" w:firstLineChars="0"/>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投标人所投的核心产品及其他产品制造商不具备自主研发能力，生产工艺简单粗糙，生产步骤完善程度较差，未能提供生产车间环境及实际生产照片，产品检验流程及具体检验步骤不完整，检验</w:t>
            </w:r>
            <w:r>
              <w:rPr>
                <w:rFonts w:hint="eastAsia" w:asciiTheme="minorEastAsia" w:hAnsiTheme="minorEastAsia" w:eastAsiaTheme="minorEastAsia"/>
                <w:sz w:val="21"/>
                <w:szCs w:val="21"/>
              </w:rPr>
              <w:t>产品</w:t>
            </w:r>
            <w:r>
              <w:rPr>
                <w:rFonts w:hint="eastAsia" w:asciiTheme="minorEastAsia" w:hAnsiTheme="minorEastAsia" w:eastAsiaTheme="minorEastAsia"/>
                <w:sz w:val="21"/>
                <w:szCs w:val="21"/>
                <w:lang w:val="zh-CN"/>
              </w:rPr>
              <w:t>配置不齐全，得</w:t>
            </w:r>
            <w:r>
              <w:rPr>
                <w:rFonts w:hint="eastAsia" w:asciiTheme="minorEastAsia" w:hAnsiTheme="minorEastAsia" w:eastAsiaTheme="minorEastAsia"/>
                <w:sz w:val="21"/>
                <w:szCs w:val="21"/>
              </w:rPr>
              <w:t>0.5</w:t>
            </w:r>
            <w:r>
              <w:rPr>
                <w:rFonts w:hint="eastAsia" w:asciiTheme="minorEastAsia" w:hAnsiTheme="minorEastAsia" w:eastAsiaTheme="minorEastAsia"/>
                <w:sz w:val="21"/>
                <w:szCs w:val="21"/>
                <w:lang w:val="zh-CN"/>
              </w:rPr>
              <w:t>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未提供投标人所投的核心产品及其他产品制造商专业技术生产能力证明材料，本项得0分。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42"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restart"/>
            <w:vAlign w:val="center"/>
          </w:tcPr>
          <w:p>
            <w:pPr>
              <w:pStyle w:val="334"/>
              <w:spacing w:line="480" w:lineRule="exact"/>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项目整体实施方案</w:t>
            </w:r>
          </w:p>
          <w:p>
            <w:pPr>
              <w:pStyle w:val="334"/>
              <w:spacing w:line="480" w:lineRule="exact"/>
              <w:ind w:firstLine="0" w:firstLineChars="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（7分）</w:t>
            </w:r>
          </w:p>
        </w:tc>
        <w:tc>
          <w:tcPr>
            <w:tcW w:w="3444" w:type="pct"/>
            <w:vAlign w:val="center"/>
          </w:tcPr>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项目具体实施进度方案（3分）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对投标人的项目具体实施进度方案（①进度计划；②进度偏差解决措施；③进度事故应急措施）等进行综合评审：</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提供完整项目具体实施进度方案，内容齐全，描述细致且针对性、可行性强，得3分；每有一项内容缺失或与本项目无关的扣1分；每有一项内容笼统、描述粗略，针对性、可行性不足，扣0.5分，扣完为止。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4"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continue"/>
            <w:vAlign w:val="center"/>
          </w:tcPr>
          <w:p>
            <w:pPr>
              <w:pStyle w:val="334"/>
              <w:spacing w:line="480" w:lineRule="exact"/>
              <w:ind w:firstLine="0" w:firstLineChars="0"/>
              <w:jc w:val="center"/>
              <w:rPr>
                <w:rFonts w:asciiTheme="minorEastAsia" w:hAnsiTheme="minorEastAsia" w:eastAsiaTheme="minorEastAsia"/>
                <w:sz w:val="21"/>
                <w:szCs w:val="21"/>
              </w:rPr>
            </w:pPr>
          </w:p>
        </w:tc>
        <w:tc>
          <w:tcPr>
            <w:tcW w:w="3444" w:type="pct"/>
            <w:vAlign w:val="center"/>
          </w:tcPr>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质量保障措施（2分）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对供应商的质量保障措施（①货物质量标准；②质量保障管理措施；③质量保障控制措施④质量事故应急措施）等进行综合评审：</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提供完整质量保障措施，内容齐全，描述细致且针对性、可行性强，得2分；每有一项内容缺失或与本项目无关的扣0.5分；每有一项内容笼统、描述粗略，针对性、可行性不足，扣0.2分，扣完为止。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53"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continue"/>
            <w:vAlign w:val="center"/>
          </w:tcPr>
          <w:p>
            <w:pPr>
              <w:pStyle w:val="334"/>
              <w:spacing w:line="480" w:lineRule="exact"/>
              <w:ind w:firstLine="0" w:firstLineChars="0"/>
              <w:jc w:val="center"/>
              <w:rPr>
                <w:rFonts w:asciiTheme="minorEastAsia" w:hAnsiTheme="minorEastAsia" w:eastAsiaTheme="minorEastAsia"/>
                <w:sz w:val="21"/>
                <w:szCs w:val="21"/>
              </w:rPr>
            </w:pPr>
          </w:p>
        </w:tc>
        <w:tc>
          <w:tcPr>
            <w:tcW w:w="3444" w:type="pct"/>
            <w:vAlign w:val="center"/>
          </w:tcPr>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测试验收响应方案（2分）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对供应商的测试验收响应方案（①测试验收依据和相关的技术标准；②测试验收的组织形式、程序及注意事项）等进行综合评审：</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提供完整测试验收方案，内容齐全，描述细致且针对性、可行性强，得2分；每有一项内容缺失或与本项目无关的扣1分；每有一项内容笼统、描述粗略，针对性、可行性不足，扣0.5分，扣完为止。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restart"/>
            <w:vAlign w:val="center"/>
          </w:tcPr>
          <w:p>
            <w:pPr>
              <w:widowControl/>
              <w:spacing w:before="120" w:beforeLines="50"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售后服务整体方案（10分）</w:t>
            </w:r>
          </w:p>
        </w:tc>
        <w:tc>
          <w:tcPr>
            <w:tcW w:w="3444" w:type="pct"/>
            <w:vAlign w:val="center"/>
          </w:tcPr>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质保期（2分）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质保期在满足本项目质保期基础要求的基础上进行评审：每增加6个月得1分，最多得2分。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3444" w:type="pct"/>
            <w:vAlign w:val="center"/>
          </w:tcPr>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售后服务响应时间承诺（1分）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根据供应商承诺的售后服务通知响应时间、到达现场响应效率及问题处理效率进行评分：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供应商承诺在接报后响应时间≤0.5小时，到达现场时间≤3小时，处理完成时间≤24小时的得1分；其它情况不得分；</w:t>
            </w:r>
          </w:p>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提供承诺函并加盖供应商公章，未提供不得分。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continue"/>
            <w:vAlign w:val="center"/>
          </w:tcPr>
          <w:p>
            <w:pPr>
              <w:widowControl/>
              <w:spacing w:before="120" w:beforeLines="50" w:line="360" w:lineRule="auto"/>
              <w:jc w:val="center"/>
              <w:rPr>
                <w:rFonts w:asciiTheme="minorEastAsia" w:hAnsiTheme="minorEastAsia" w:eastAsiaTheme="minorEastAsia"/>
                <w:color w:val="00B050"/>
                <w:szCs w:val="21"/>
              </w:rPr>
            </w:pPr>
          </w:p>
        </w:tc>
        <w:tc>
          <w:tcPr>
            <w:tcW w:w="3444" w:type="pct"/>
            <w:vAlign w:val="center"/>
          </w:tcPr>
          <w:p>
            <w:pPr>
              <w:pStyle w:val="334"/>
              <w:spacing w:line="480" w:lineRule="exact"/>
              <w:ind w:firstLine="0" w:firstLineChars="0"/>
              <w:rPr>
                <w:rFonts w:asciiTheme="minorEastAsia" w:hAnsiTheme="minorEastAsia" w:eastAsiaTheme="minorEastAsia"/>
                <w:sz w:val="21"/>
                <w:szCs w:val="21"/>
              </w:rPr>
            </w:pPr>
            <w:r>
              <w:rPr>
                <w:rFonts w:hint="eastAsia" w:asciiTheme="minorEastAsia" w:hAnsiTheme="minorEastAsia" w:eastAsiaTheme="minorEastAsia"/>
                <w:sz w:val="21"/>
                <w:szCs w:val="21"/>
              </w:rPr>
              <w:t>质保期内服务方案（2分）</w:t>
            </w:r>
          </w:p>
          <w:p>
            <w:pPr>
              <w:pStyle w:val="334"/>
              <w:spacing w:line="48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对投标人的质保期内售后服务方案（①售后服务机构情况；②售后维修人员配备情况③零配件供应情况；④针对产品的使用环境、使用频率及更新等进行回访、巡检、维护、保养等方案）进行综合评审： </w:t>
            </w:r>
          </w:p>
          <w:p>
            <w:pPr>
              <w:pStyle w:val="334"/>
              <w:spacing w:line="48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提供完整质保期内售后服务方案，内容齐全，描述细致且针对性、可行性强，得2分；每有一项内容缺失或与本项目无关的扣0.5分；每有一项内容笼统、描述粗略，针对性、可行性不足，扣0.2分，扣完为止。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3444" w:type="pct"/>
            <w:vAlign w:val="center"/>
          </w:tcPr>
          <w:p>
            <w:pPr>
              <w:pStyle w:val="334"/>
              <w:spacing w:line="48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质保期满后售后服务方案（2分）</w:t>
            </w:r>
          </w:p>
          <w:p>
            <w:pPr>
              <w:pStyle w:val="334"/>
              <w:spacing w:line="48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投标人的质保期满后售后服务方案（①售后服务机构情况；②售后维修人员配备情况③零配件供应情况、工时费等；④针对产品的使用环境、使用频率及更新等进行回访、巡检、维护、保养等方案）进行综合评审： </w:t>
            </w:r>
          </w:p>
          <w:p>
            <w:pPr>
              <w:pStyle w:val="334"/>
              <w:spacing w:line="480" w:lineRule="exact"/>
              <w:ind w:firstLine="210" w:firstLineChars="100"/>
            </w:pPr>
            <w:r>
              <w:rPr>
                <w:rFonts w:hint="eastAsia" w:asciiTheme="minorEastAsia" w:hAnsiTheme="minorEastAsia" w:eastAsiaTheme="minorEastAsia"/>
                <w:sz w:val="21"/>
                <w:szCs w:val="21"/>
              </w:rPr>
              <w:t>提供完整质保期满后售后服务方案，内容齐全，描述细致且针对性、可行性强，得2分；每有一项内容缺失或与本项目无关的扣0.5分；每有一项内容笼统、描述粗略，针对性、可行性不足，扣0.2分，扣完为止。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86" w:hRule="atLeast"/>
        </w:trPr>
        <w:tc>
          <w:tcPr>
            <w:tcW w:w="422"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409" w:type="pct"/>
            <w:vMerge w:val="continue"/>
            <w:vAlign w:val="center"/>
          </w:tcPr>
          <w:p>
            <w:pPr>
              <w:widowControl/>
              <w:spacing w:before="120" w:beforeLines="50" w:line="360" w:lineRule="auto"/>
              <w:rPr>
                <w:rFonts w:asciiTheme="minorEastAsia" w:hAnsiTheme="minorEastAsia" w:eastAsiaTheme="minorEastAsia"/>
                <w:kern w:val="0"/>
                <w:sz w:val="24"/>
              </w:rPr>
            </w:pPr>
          </w:p>
        </w:tc>
        <w:tc>
          <w:tcPr>
            <w:tcW w:w="724" w:type="pct"/>
            <w:vMerge w:val="continue"/>
            <w:vAlign w:val="center"/>
          </w:tcPr>
          <w:p>
            <w:pPr>
              <w:widowControl/>
              <w:spacing w:before="120" w:beforeLines="50" w:line="360" w:lineRule="auto"/>
              <w:jc w:val="center"/>
              <w:rPr>
                <w:rFonts w:asciiTheme="minorEastAsia" w:hAnsiTheme="minorEastAsia" w:eastAsiaTheme="minorEastAsia"/>
                <w:kern w:val="0"/>
                <w:szCs w:val="21"/>
              </w:rPr>
            </w:pPr>
          </w:p>
        </w:tc>
        <w:tc>
          <w:tcPr>
            <w:tcW w:w="3444" w:type="pct"/>
            <w:vAlign w:val="center"/>
          </w:tcPr>
          <w:p>
            <w:pPr>
              <w:pStyle w:val="334"/>
              <w:spacing w:line="48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培训方案（3分）</w:t>
            </w:r>
          </w:p>
          <w:p>
            <w:pPr>
              <w:pStyle w:val="334"/>
              <w:spacing w:line="48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对投标人的培训方案（①培训时间及内容计划；②培训人员安排；③培训内容重点难点）等进行综合评审：</w:t>
            </w:r>
          </w:p>
          <w:p>
            <w:pPr>
              <w:pStyle w:val="334"/>
              <w:spacing w:line="480" w:lineRule="exact"/>
              <w:ind w:firstLine="210" w:firstLineChars="100"/>
            </w:pPr>
            <w:r>
              <w:rPr>
                <w:rFonts w:hint="eastAsia" w:asciiTheme="minorEastAsia" w:hAnsiTheme="minorEastAsia" w:eastAsiaTheme="minorEastAsia"/>
                <w:sz w:val="21"/>
                <w:szCs w:val="21"/>
              </w:rPr>
              <w:t>提供完整培训方案，内容齐全，描述细致且针对性、可行性强，得3分；每有一项内容缺失或与本项目无关的扣1分；每有一项内容笼统、描述粗略，针对性、可行性不足，扣0.5分，扣完为止。</w:t>
            </w:r>
          </w:p>
        </w:tc>
      </w:tr>
    </w:tbl>
    <w:p>
      <w:pPr>
        <w:pStyle w:val="2"/>
        <w:ind w:firstLine="0" w:firstLineChars="0"/>
        <w:rPr>
          <w:rFonts w:asciiTheme="minorEastAsia" w:hAnsiTheme="minorEastAsia" w:eastAsiaTheme="minorEastAsia"/>
          <w:b/>
          <w:bCs/>
          <w:sz w:val="24"/>
          <w:szCs w:val="24"/>
        </w:rPr>
      </w:pPr>
    </w:p>
    <w:p>
      <w:pPr>
        <w:pStyle w:val="2"/>
        <w:spacing w:line="360" w:lineRule="auto"/>
        <w:ind w:firstLine="482"/>
        <w:rPr>
          <w:rFonts w:ascii="宋体" w:hAnsi="宋体"/>
          <w:b/>
          <w:bCs/>
          <w:sz w:val="24"/>
        </w:rPr>
      </w:pPr>
      <w:r>
        <w:rPr>
          <w:rFonts w:hint="eastAsia" w:ascii="宋体" w:hAnsi="宋体"/>
          <w:b/>
          <w:bCs/>
          <w:sz w:val="24"/>
        </w:rPr>
        <w:t>注：</w:t>
      </w:r>
    </w:p>
    <w:p>
      <w:pPr>
        <w:pStyle w:val="2"/>
        <w:spacing w:line="360" w:lineRule="auto"/>
        <w:ind w:firstLine="482"/>
        <w:rPr>
          <w:rFonts w:ascii="宋体" w:hAnsi="宋体"/>
          <w:b/>
          <w:bCs/>
          <w:sz w:val="24"/>
        </w:rPr>
      </w:pPr>
      <w:r>
        <w:rPr>
          <w:rFonts w:hint="eastAsia" w:ascii="宋体" w:hAnsi="宋体"/>
          <w:b/>
          <w:bCs/>
          <w:sz w:val="24"/>
        </w:rPr>
        <w:t>1.评分标准中要求供应商投标文件提供的资料复印件均须加盖公章，否则不予认可。</w:t>
      </w:r>
    </w:p>
    <w:p>
      <w:pPr>
        <w:spacing w:line="360" w:lineRule="auto"/>
        <w:ind w:firstLine="482" w:firstLineChars="200"/>
        <w:rPr>
          <w:rFonts w:asciiTheme="minorEastAsia" w:hAnsiTheme="minorEastAsia" w:eastAsiaTheme="minorEastAsia"/>
          <w:b/>
          <w:bCs/>
        </w:rPr>
      </w:pPr>
      <w:r>
        <w:rPr>
          <w:rFonts w:hint="eastAsia" w:ascii="宋体" w:hAnsi="宋体"/>
          <w:b/>
          <w:bCs/>
          <w:sz w:val="24"/>
        </w:rPr>
        <w:t>2.本细则只针对有效投标文件予以评分，</w:t>
      </w:r>
      <w:r>
        <w:rPr>
          <w:rFonts w:hint="eastAsia" w:ascii="宋体" w:hAnsi="宋体"/>
          <w:b/>
          <w:bCs/>
          <w:color w:val="000000"/>
          <w:sz w:val="24"/>
        </w:rPr>
        <w:t>投标报价得分四舍五入后，</w:t>
      </w:r>
      <w:r>
        <w:rPr>
          <w:rFonts w:hint="eastAsia" w:ascii="宋体" w:hAnsi="宋体"/>
          <w:b/>
          <w:bCs/>
          <w:sz w:val="24"/>
        </w:rPr>
        <w:t>评分计算均保留小数点后两位有效数字。</w:t>
      </w:r>
    </w:p>
    <w:p>
      <w:pPr>
        <w:pStyle w:val="3"/>
        <w:spacing w:before="0" w:after="0"/>
        <w:jc w:val="left"/>
        <w:rPr>
          <w:rFonts w:asciiTheme="minorEastAsia" w:hAnsiTheme="minorEastAsia" w:eastAsiaTheme="minorEastAsia"/>
          <w:bCs w:val="0"/>
          <w:sz w:val="24"/>
          <w:szCs w:val="24"/>
        </w:rPr>
      </w:pPr>
      <w:bookmarkStart w:id="115" w:name="_Toc20451"/>
      <w:r>
        <w:rPr>
          <w:rFonts w:hint="eastAsia" w:asciiTheme="minorEastAsia" w:hAnsiTheme="minorEastAsia" w:eastAsiaTheme="minorEastAsia"/>
          <w:bCs w:val="0"/>
          <w:sz w:val="24"/>
          <w:szCs w:val="24"/>
        </w:rPr>
        <w:t>三、评审执行的政府采购政策</w:t>
      </w:r>
      <w:bookmarkEnd w:id="115"/>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（一）中小微型企业政府采购政策</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1、为了发挥政府采购的政策功能，促进符合国家经济和社会发展政策目标，产品、服务、信誉较好的中小企业发展，按照《政府采购促进中小企业发展管理办法》规定，对符合规定的小型和微型企业的价格给予</w:t>
      </w:r>
      <w:r>
        <w:rPr>
          <w:rFonts w:asciiTheme="minorEastAsia" w:hAnsiTheme="minorEastAsia" w:eastAsiaTheme="minorEastAsia"/>
          <w:kern w:val="0"/>
          <w:sz w:val="24"/>
          <w:szCs w:val="20"/>
        </w:rPr>
        <w:t>10</w:t>
      </w:r>
      <w:r>
        <w:rPr>
          <w:rFonts w:hint="eastAsia" w:asciiTheme="minorEastAsia" w:hAnsiTheme="minorEastAsia" w:eastAsiaTheme="minorEastAsia"/>
          <w:kern w:val="0"/>
          <w:sz w:val="24"/>
          <w:szCs w:val="20"/>
        </w:rPr>
        <w:t>%的扣除，用扣除后的价格参与评审。评审价格仅为评定价格，不作为最终的成交价格。</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2、接受大中型企业与小微企业组成联合体或者允许大中型企业向一家或者多家小微企业分包的采购项目，对于联合协议或者分包意向协议约定小微企业的合同份额占到合同总金额 30%以上的 ，则在评审过程中评标价格可给予联合体_4_%的价格扣除。如果联合体各方均为小型、微型企业的，联合体视同为小型、微型企业，但联合体各方均应按招标文件要求提供中小企业声明函。</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3、评审价格的计算：评审价格=投标报价×（1-扣除幅度）。</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（二）监狱企业政府采购政策</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对监狱企业的价格给予[</w:t>
      </w:r>
      <w:r>
        <w:rPr>
          <w:rFonts w:asciiTheme="minorEastAsia" w:hAnsiTheme="minorEastAsia" w:eastAsiaTheme="minorEastAsia"/>
          <w:kern w:val="0"/>
          <w:sz w:val="24"/>
          <w:szCs w:val="20"/>
        </w:rPr>
        <w:t>10</w:t>
      </w:r>
      <w:r>
        <w:rPr>
          <w:rFonts w:hint="eastAsia" w:asciiTheme="minorEastAsia" w:hAnsiTheme="minorEastAsia" w:eastAsiaTheme="minorEastAsia"/>
          <w:kern w:val="0"/>
          <w:sz w:val="24"/>
          <w:szCs w:val="20"/>
        </w:rPr>
        <w:t>%×（监狱企业产品合计报价/总报价）]的扣除，用扣除后的价格参与评审；参加政府采购活动的监狱企业应当在响应文件中提供监狱企业证明，否则不予认定。</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（三）残疾人福利性单位政府采购政策</w:t>
      </w:r>
    </w:p>
    <w:p>
      <w:pPr>
        <w:widowControl/>
        <w:spacing w:line="360" w:lineRule="auto"/>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对残疾人福利性单位的价格给予[10%×（残疾人福利性单位产品合计报价/总报价）]的扣除，用扣除后的价格参与评审。符合条件的残疾人福利性单位在参加政府采购活动时，应当提供财库〔2017〕141 号规定的《残疾人福利性单位声明函》，并对声明的真实性负责。未提供的，评审时不享受残疾人福利性单位政府采购政策。</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（四）节能、环保产品</w:t>
      </w:r>
    </w:p>
    <w:p>
      <w:pPr>
        <w:widowControl/>
        <w:spacing w:line="360" w:lineRule="auto"/>
        <w:ind w:firstLine="480" w:firstLineChars="200"/>
        <w:jc w:val="left"/>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如供应商提供的产品属于《环境标志产品政府采购品目清单》（《财政部生态环境部关于印发环境标志产品政府采购品目清单的通知》（财库〔2019〕18号））、《节能产品政府采购品目清单》（财政部 发展改革委《关于印发节能产品政府采购品目清单的通知》（财库〔2019〕19 号）范围的环保、节能产品，应在投标文件中附经市场监管总局公布的认证机构出具的有效的国家节能产品认证证书或中国环境标志产品认证证书，并在报价表中注明。 其中 ， 所报产品为政府强制采购产品的（《节能产品政府采购品目清单》中以 “★” 标注的产品品目）而未提供国家节能产品认证证书的，按无效投标处理。</w:t>
      </w:r>
    </w:p>
    <w:p>
      <w:pPr>
        <w:pStyle w:val="42"/>
      </w:pPr>
      <w:r>
        <w:br w:type="page"/>
      </w:r>
    </w:p>
    <w:p>
      <w:pPr>
        <w:pStyle w:val="3"/>
        <w:spacing w:before="120" w:after="120" w:line="240" w:lineRule="auto"/>
        <w:jc w:val="center"/>
        <w:rPr>
          <w:rFonts w:asciiTheme="minorEastAsia" w:hAnsiTheme="minorEastAsia" w:eastAsiaTheme="minorEastAsia"/>
          <w:kern w:val="2"/>
          <w:sz w:val="32"/>
        </w:rPr>
      </w:pPr>
      <w:bookmarkStart w:id="116" w:name="_Toc9460"/>
      <w:r>
        <w:rPr>
          <w:rFonts w:hint="eastAsia" w:asciiTheme="minorEastAsia" w:hAnsiTheme="minorEastAsia" w:eastAsiaTheme="minorEastAsia"/>
          <w:kern w:val="2"/>
          <w:sz w:val="32"/>
        </w:rPr>
        <w:t>第四章</w:t>
      </w:r>
      <w:r>
        <w:rPr>
          <w:rFonts w:asciiTheme="minorEastAsia" w:hAnsiTheme="minorEastAsia" w:eastAsiaTheme="minorEastAsia"/>
          <w:kern w:val="2"/>
          <w:sz w:val="32"/>
        </w:rPr>
        <w:t xml:space="preserve">   </w:t>
      </w:r>
      <w:r>
        <w:rPr>
          <w:rFonts w:hint="eastAsia" w:asciiTheme="minorEastAsia" w:hAnsiTheme="minorEastAsia" w:eastAsiaTheme="minorEastAsia"/>
          <w:kern w:val="2"/>
          <w:sz w:val="32"/>
        </w:rPr>
        <w:t>采购内容及项目要求</w:t>
      </w:r>
      <w:bookmarkEnd w:id="116"/>
    </w:p>
    <w:p>
      <w:pPr>
        <w:pStyle w:val="3"/>
        <w:spacing w:before="0" w:after="0" w:line="600" w:lineRule="auto"/>
        <w:jc w:val="left"/>
        <w:rPr>
          <w:rFonts w:asciiTheme="minorEastAsia" w:hAnsiTheme="minorEastAsia" w:eastAsiaTheme="minorEastAsia"/>
          <w:bCs w:val="0"/>
          <w:sz w:val="24"/>
          <w:szCs w:val="24"/>
        </w:rPr>
      </w:pPr>
      <w:bookmarkStart w:id="117" w:name="_Toc1672"/>
      <w:r>
        <w:rPr>
          <w:rFonts w:hint="eastAsia" w:asciiTheme="minorEastAsia" w:hAnsiTheme="minorEastAsia" w:eastAsiaTheme="minorEastAsia"/>
          <w:bCs w:val="0"/>
          <w:sz w:val="24"/>
          <w:szCs w:val="24"/>
        </w:rPr>
        <w:t>一、采购内容</w:t>
      </w:r>
      <w:bookmarkEnd w:id="117"/>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山东省消防救援总队2022年装备部门集中采购项目七，预算总金额1334.799</w:t>
      </w:r>
      <w:r>
        <w:rPr>
          <w:rFonts w:cs="宋体" w:asciiTheme="minorEastAsia" w:hAnsiTheme="minorEastAsia" w:eastAsiaTheme="minorEastAsia"/>
          <w:sz w:val="24"/>
        </w:rPr>
        <w:t>万元</w:t>
      </w:r>
      <w:r>
        <w:rPr>
          <w:rFonts w:hint="eastAsia" w:cs="宋体" w:asciiTheme="minorEastAsia" w:hAnsiTheme="minorEastAsia" w:eastAsiaTheme="minorEastAsia"/>
          <w:sz w:val="24"/>
        </w:rPr>
        <w:t>，</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共划分3个标包，具体情况如下：</w:t>
      </w:r>
    </w:p>
    <w:tbl>
      <w:tblPr>
        <w:tblStyle w:val="76"/>
        <w:tblW w:w="93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1355"/>
        <w:gridCol w:w="968"/>
        <w:gridCol w:w="3415"/>
        <w:gridCol w:w="889"/>
        <w:gridCol w:w="1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0"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标包</w:t>
            </w:r>
          </w:p>
        </w:tc>
        <w:tc>
          <w:tcPr>
            <w:tcW w:w="1355"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标包名称</w:t>
            </w:r>
          </w:p>
        </w:tc>
        <w:tc>
          <w:tcPr>
            <w:tcW w:w="968"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序号</w:t>
            </w:r>
          </w:p>
        </w:tc>
        <w:tc>
          <w:tcPr>
            <w:tcW w:w="3415"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标的物名称</w:t>
            </w:r>
          </w:p>
        </w:tc>
        <w:tc>
          <w:tcPr>
            <w:tcW w:w="889" w:type="dxa"/>
            <w:vAlign w:val="center"/>
          </w:tcPr>
          <w:p>
            <w:pPr>
              <w:pStyle w:val="2"/>
              <w:spacing w:after="200" w:line="276" w:lineRule="auto"/>
              <w:ind w:firstLine="0" w:firstLineChars="0"/>
              <w:jc w:val="center"/>
              <w:rPr>
                <w:rFonts w:ascii="宋体" w:hAnsi="宋体" w:cs="宋体"/>
                <w:b/>
                <w:bCs/>
              </w:rPr>
            </w:pPr>
            <w:r>
              <w:rPr>
                <w:rFonts w:hint="eastAsia" w:ascii="宋体" w:hAnsi="宋体" w:cs="宋体"/>
                <w:b/>
                <w:bCs/>
              </w:rPr>
              <w:t>数量</w:t>
            </w:r>
          </w:p>
        </w:tc>
        <w:tc>
          <w:tcPr>
            <w:tcW w:w="1835" w:type="dxa"/>
            <w:vAlign w:val="center"/>
          </w:tcPr>
          <w:p>
            <w:pPr>
              <w:pStyle w:val="2"/>
              <w:spacing w:after="200" w:line="276" w:lineRule="auto"/>
              <w:ind w:firstLine="0" w:firstLineChars="0"/>
              <w:jc w:val="center"/>
              <w:rPr>
                <w:rFonts w:ascii="Calibri" w:hAnsi="Calibri"/>
                <w:b/>
                <w:bCs/>
              </w:rPr>
            </w:pPr>
            <w:r>
              <w:rPr>
                <w:rFonts w:hint="eastAsia" w:ascii="Calibri" w:hAnsi="Calibri"/>
                <w:b/>
                <w:bCs/>
              </w:rPr>
              <w:t>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1</w:t>
            </w:r>
          </w:p>
        </w:tc>
        <w:tc>
          <w:tcPr>
            <w:tcW w:w="1355" w:type="dxa"/>
            <w:vMerge w:val="restart"/>
            <w:vAlign w:val="center"/>
          </w:tcPr>
          <w:p>
            <w:pPr>
              <w:pStyle w:val="2"/>
              <w:spacing w:after="200" w:line="276" w:lineRule="auto"/>
              <w:ind w:firstLine="0" w:firstLineChars="0"/>
              <w:jc w:val="center"/>
              <w:rPr>
                <w:rFonts w:ascii="Calibri" w:hAnsi="Calibri"/>
              </w:rPr>
            </w:pPr>
            <w:r>
              <w:rPr>
                <w:rFonts w:hint="eastAsia" w:ascii="Calibri" w:hAnsi="Calibri"/>
              </w:rPr>
              <w:t>水域救援类</w:t>
            </w:r>
          </w:p>
          <w:p>
            <w:pPr>
              <w:spacing w:after="200" w:line="276" w:lineRule="auto"/>
              <w:jc w:val="center"/>
              <w:rPr>
                <w:rFonts w:ascii="Calibri" w:hAnsi="Calibri"/>
              </w:rPr>
            </w:pPr>
            <w:r>
              <w:rPr>
                <w:rFonts w:hint="eastAsia" w:ascii="宋体" w:hAnsi="宋体" w:cs="宋体"/>
                <w:szCs w:val="21"/>
              </w:rPr>
              <w:t>装备</w:t>
            </w: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水域救援漂浮救生绳</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255</w:t>
            </w:r>
          </w:p>
        </w:tc>
        <w:tc>
          <w:tcPr>
            <w:tcW w:w="1835" w:type="dxa"/>
            <w:vMerge w:val="restart"/>
            <w:vAlign w:val="center"/>
          </w:tcPr>
          <w:p>
            <w:pPr>
              <w:widowControl/>
              <w:spacing w:after="200" w:line="276" w:lineRule="auto"/>
              <w:jc w:val="center"/>
              <w:textAlignment w:val="center"/>
              <w:rPr>
                <w:rFonts w:ascii="宋体" w:hAnsi="宋体" w:cs="宋体"/>
                <w:szCs w:val="21"/>
              </w:rPr>
            </w:pPr>
            <w:r>
              <w:rPr>
                <w:rFonts w:hint="eastAsia" w:ascii="宋体" w:hAnsi="宋体" w:cs="宋体"/>
                <w:szCs w:val="21"/>
              </w:rPr>
              <w:t>639.739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干式轻型潜水装具</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14</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湿式轻型潜水装具</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42</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救生圈</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172</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干式水域救援服</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194</w:t>
            </w:r>
          </w:p>
        </w:tc>
        <w:tc>
          <w:tcPr>
            <w:tcW w:w="1835" w:type="dxa"/>
            <w:vMerge w:val="continue"/>
            <w:vAlign w:val="center"/>
          </w:tcPr>
          <w:p>
            <w:pPr>
              <w:widowControl/>
              <w:spacing w:after="200" w:line="276" w:lineRule="auto"/>
              <w:jc w:val="center"/>
              <w:textAlignment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湿式水域救援服（连体式）</w:t>
            </w:r>
          </w:p>
        </w:tc>
        <w:tc>
          <w:tcPr>
            <w:tcW w:w="889"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428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水面潜水训练套装</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8</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水下救生手环</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57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水域救援个人携行包</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215</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10</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水域救援手套</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639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水域救援靴</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459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消防员水域救援头盔</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358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b/>
                <w:bCs/>
                <w:szCs w:val="21"/>
              </w:rPr>
            </w:pPr>
            <w:r>
              <w:rPr>
                <w:rFonts w:hint="eastAsia" w:ascii="宋体" w:hAnsi="宋体" w:cs="宋体"/>
                <w:b/>
                <w:bCs/>
                <w:szCs w:val="21"/>
              </w:rPr>
              <w:t>13</w:t>
            </w:r>
          </w:p>
        </w:tc>
        <w:tc>
          <w:tcPr>
            <w:tcW w:w="3415" w:type="dxa"/>
          </w:tcPr>
          <w:p>
            <w:pPr>
              <w:pStyle w:val="2"/>
              <w:spacing w:after="200" w:line="276" w:lineRule="auto"/>
              <w:ind w:firstLine="0" w:firstLineChars="0"/>
              <w:jc w:val="center"/>
              <w:rPr>
                <w:rFonts w:ascii="宋体" w:hAnsi="宋体" w:cs="宋体"/>
                <w:b/>
                <w:bCs/>
                <w:szCs w:val="21"/>
              </w:rPr>
            </w:pPr>
            <w:r>
              <w:rPr>
                <w:rFonts w:hint="eastAsia" w:ascii="宋体" w:hAnsi="宋体" w:cs="宋体"/>
                <w:b/>
                <w:bCs/>
                <w:szCs w:val="21"/>
              </w:rPr>
              <w:t>水下破拆工具组（核心产品）</w:t>
            </w:r>
          </w:p>
        </w:tc>
        <w:tc>
          <w:tcPr>
            <w:tcW w:w="889" w:type="dxa"/>
            <w:vAlign w:val="center"/>
          </w:tcPr>
          <w:p>
            <w:pPr>
              <w:widowControl/>
              <w:spacing w:after="200" w:line="276" w:lineRule="auto"/>
              <w:jc w:val="center"/>
              <w:textAlignment w:val="center"/>
              <w:rPr>
                <w:rFonts w:ascii="宋体" w:hAnsi="宋体" w:cs="宋体"/>
                <w:b/>
                <w:bCs/>
                <w:szCs w:val="21"/>
              </w:rPr>
            </w:pPr>
            <w:r>
              <w:rPr>
                <w:rFonts w:hint="eastAsia" w:ascii="宋体" w:hAnsi="宋体" w:cs="宋体"/>
                <w:b/>
                <w:bCs/>
                <w:color w:val="000000"/>
                <w:kern w:val="0"/>
                <w:szCs w:val="21"/>
                <w:lang w:bidi="ar"/>
              </w:rPr>
              <w:t>2</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割绳刀</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236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水下通信装置</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冰面救援气垫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充气浮岛</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18</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打捞杆</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58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脚踏绳</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20</w:t>
            </w:r>
          </w:p>
        </w:tc>
        <w:tc>
          <w:tcPr>
            <w:tcW w:w="3415" w:type="dxa"/>
          </w:tcPr>
          <w:p>
            <w:pPr>
              <w:pStyle w:val="2"/>
              <w:tabs>
                <w:tab w:val="left" w:pos="602"/>
              </w:tabs>
              <w:spacing w:after="200" w:line="276" w:lineRule="auto"/>
              <w:ind w:firstLine="0" w:firstLineChars="0"/>
              <w:jc w:val="center"/>
              <w:rPr>
                <w:rFonts w:ascii="宋体" w:hAnsi="宋体" w:cs="宋体"/>
                <w:szCs w:val="21"/>
              </w:rPr>
            </w:pPr>
            <w:r>
              <w:rPr>
                <w:rFonts w:hint="eastAsia" w:ascii="宋体" w:hAnsi="宋体" w:cs="宋体"/>
                <w:szCs w:val="21"/>
              </w:rPr>
              <w:t>紧绳器</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充气式漂浮担架</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板式漂浮担架</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38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200cm锚点扁带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74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120cm锚点扁带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107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100cm锚点扁带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12</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60cm锚点扁带</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非充气式漂浮救援板</w:t>
            </w:r>
          </w:p>
        </w:tc>
        <w:tc>
          <w:tcPr>
            <w:tcW w:w="889"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28</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抛绳器(射绳枪)</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6</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大号绳索保护垫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30</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中号绳索保护垫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29</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小号绳索保护垫</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74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绳索保护器滑轮组</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4</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水域救援拦截网</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28</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水域抛绳包</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387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90" w:type="dxa"/>
            <w:vMerge w:val="continue"/>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水域救援牛尾绳</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137</w:t>
            </w:r>
          </w:p>
        </w:tc>
        <w:tc>
          <w:tcPr>
            <w:tcW w:w="1835" w:type="dxa"/>
            <w:vMerge w:val="continue"/>
          </w:tcPr>
          <w:p>
            <w:pPr>
              <w:pStyle w:val="2"/>
              <w:spacing w:after="200" w:line="276" w:lineRule="auto"/>
              <w:ind w:firstLine="0" w:firstLineChars="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135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救生衣</w:t>
            </w:r>
          </w:p>
        </w:tc>
        <w:tc>
          <w:tcPr>
            <w:tcW w:w="968" w:type="dxa"/>
          </w:tcPr>
          <w:p>
            <w:pPr>
              <w:pStyle w:val="2"/>
              <w:spacing w:after="200" w:line="276" w:lineRule="auto"/>
              <w:ind w:firstLine="0" w:firstLineChars="0"/>
              <w:jc w:val="center"/>
              <w:rPr>
                <w:rFonts w:ascii="宋体" w:hAnsi="宋体" w:cs="宋体"/>
                <w:b/>
                <w:bCs/>
                <w:szCs w:val="21"/>
              </w:rPr>
            </w:pPr>
            <w:r>
              <w:rPr>
                <w:rFonts w:hint="eastAsia" w:ascii="宋体" w:hAnsi="宋体" w:cs="宋体"/>
                <w:b/>
                <w:bCs/>
                <w:szCs w:val="21"/>
              </w:rPr>
              <w:t>1</w:t>
            </w:r>
          </w:p>
        </w:tc>
        <w:tc>
          <w:tcPr>
            <w:tcW w:w="3415" w:type="dxa"/>
          </w:tcPr>
          <w:p>
            <w:pPr>
              <w:pStyle w:val="2"/>
              <w:spacing w:after="200" w:line="276" w:lineRule="auto"/>
              <w:ind w:firstLine="0" w:firstLineChars="0"/>
              <w:jc w:val="center"/>
              <w:rPr>
                <w:rFonts w:ascii="宋体" w:hAnsi="宋体" w:cs="宋体"/>
                <w:b/>
                <w:bCs/>
                <w:szCs w:val="21"/>
              </w:rPr>
            </w:pPr>
            <w:r>
              <w:rPr>
                <w:rFonts w:hint="eastAsia" w:ascii="宋体" w:hAnsi="宋体" w:cs="宋体"/>
                <w:b/>
                <w:bCs/>
                <w:szCs w:val="21"/>
              </w:rPr>
              <w:t>含附件激流救生衣（核心产品）</w:t>
            </w:r>
          </w:p>
        </w:tc>
        <w:tc>
          <w:tcPr>
            <w:tcW w:w="889" w:type="dxa"/>
            <w:vAlign w:val="center"/>
          </w:tcPr>
          <w:p>
            <w:pPr>
              <w:pStyle w:val="2"/>
              <w:spacing w:after="200" w:line="276" w:lineRule="auto"/>
              <w:ind w:firstLine="0" w:firstLineChars="0"/>
              <w:jc w:val="center"/>
              <w:rPr>
                <w:rFonts w:ascii="宋体" w:hAnsi="宋体" w:cs="宋体"/>
                <w:b/>
                <w:bCs/>
                <w:szCs w:val="21"/>
              </w:rPr>
            </w:pPr>
            <w:r>
              <w:rPr>
                <w:rFonts w:hint="eastAsia" w:ascii="宋体" w:hAnsi="宋体" w:cs="宋体"/>
                <w:b/>
                <w:bCs/>
                <w:szCs w:val="21"/>
              </w:rPr>
              <w:t>723</w:t>
            </w:r>
          </w:p>
        </w:tc>
        <w:tc>
          <w:tcPr>
            <w:tcW w:w="183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510.1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vAlign w:val="center"/>
          </w:tcPr>
          <w:p>
            <w:pPr>
              <w:pStyle w:val="2"/>
              <w:spacing w:after="200" w:line="276" w:lineRule="auto"/>
              <w:ind w:firstLine="0" w:firstLineChars="0"/>
              <w:jc w:val="center"/>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消防救生衣</w:t>
            </w:r>
          </w:p>
        </w:tc>
        <w:tc>
          <w:tcPr>
            <w:tcW w:w="889" w:type="dxa"/>
            <w:vAlign w:val="center"/>
          </w:tcPr>
          <w:p>
            <w:pPr>
              <w:widowControl/>
              <w:spacing w:after="200" w:line="276" w:lineRule="auto"/>
              <w:jc w:val="center"/>
              <w:textAlignment w:val="center"/>
              <w:rPr>
                <w:rFonts w:ascii="宋体" w:hAnsi="宋体" w:cs="宋体"/>
                <w:szCs w:val="21"/>
              </w:rPr>
            </w:pPr>
            <w:r>
              <w:rPr>
                <w:rFonts w:hint="eastAsia" w:ascii="宋体" w:hAnsi="宋体" w:cs="宋体"/>
                <w:color w:val="000000"/>
                <w:kern w:val="0"/>
                <w:szCs w:val="21"/>
                <w:lang w:bidi="ar"/>
              </w:rPr>
              <w:t>739</w:t>
            </w:r>
          </w:p>
        </w:tc>
        <w:tc>
          <w:tcPr>
            <w:tcW w:w="1835" w:type="dxa"/>
            <w:vMerge w:val="continue"/>
            <w:vAlign w:val="center"/>
          </w:tcPr>
          <w:p>
            <w:pPr>
              <w:pStyle w:val="2"/>
              <w:spacing w:after="200" w:line="276" w:lineRule="auto"/>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3</w:t>
            </w:r>
          </w:p>
        </w:tc>
        <w:tc>
          <w:tcPr>
            <w:tcW w:w="135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舟艇</w:t>
            </w: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1</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3.9米V底充气式机动橡皮舟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6</w:t>
            </w:r>
          </w:p>
        </w:tc>
        <w:tc>
          <w:tcPr>
            <w:tcW w:w="1835" w:type="dxa"/>
            <w:vMerge w:val="restart"/>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184.96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2</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4.2米V底充气式机动橡皮舟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3</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4.7米V底充气式机动橡皮舟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10</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4</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3.9米M底充气式机动橡皮舟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6</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5</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4.2米M底充气式机动橡皮舟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6</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4.7米M底充气式机动橡皮舟</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szCs w:val="21"/>
              </w:rPr>
            </w:pPr>
            <w:r>
              <w:rPr>
                <w:rFonts w:hint="eastAsia" w:ascii="宋体" w:hAnsi="宋体" w:cs="宋体"/>
                <w:szCs w:val="21"/>
              </w:rPr>
              <w:t>7</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30舟艇舷外机</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13</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vAlign w:val="center"/>
          </w:tcPr>
          <w:p>
            <w:pPr>
              <w:pStyle w:val="2"/>
              <w:spacing w:after="200" w:line="276" w:lineRule="auto"/>
              <w:ind w:firstLine="0" w:firstLineChars="0"/>
              <w:jc w:val="center"/>
              <w:rPr>
                <w:rFonts w:ascii="宋体" w:hAnsi="宋体" w:cs="宋体"/>
                <w:szCs w:val="21"/>
              </w:rPr>
            </w:pPr>
          </w:p>
        </w:tc>
        <w:tc>
          <w:tcPr>
            <w:tcW w:w="968" w:type="dxa"/>
            <w:vAlign w:val="center"/>
          </w:tcPr>
          <w:p>
            <w:pPr>
              <w:pStyle w:val="2"/>
              <w:spacing w:after="200" w:line="276" w:lineRule="auto"/>
              <w:ind w:firstLine="0" w:firstLineChars="0"/>
              <w:jc w:val="center"/>
              <w:rPr>
                <w:rFonts w:ascii="宋体" w:hAnsi="宋体" w:cs="宋体"/>
                <w:b/>
                <w:bCs/>
                <w:szCs w:val="21"/>
              </w:rPr>
            </w:pPr>
            <w:r>
              <w:rPr>
                <w:rFonts w:hint="eastAsia" w:ascii="宋体" w:hAnsi="宋体" w:cs="宋体"/>
                <w:b/>
                <w:bCs/>
                <w:szCs w:val="21"/>
              </w:rPr>
              <w:t>8</w:t>
            </w:r>
          </w:p>
        </w:tc>
        <w:tc>
          <w:tcPr>
            <w:tcW w:w="3415" w:type="dxa"/>
          </w:tcPr>
          <w:p>
            <w:pPr>
              <w:pStyle w:val="2"/>
              <w:spacing w:after="200" w:line="276" w:lineRule="auto"/>
              <w:ind w:firstLine="0" w:firstLineChars="0"/>
              <w:jc w:val="center"/>
              <w:rPr>
                <w:rFonts w:ascii="宋体" w:hAnsi="宋体" w:cs="宋体"/>
                <w:b/>
                <w:bCs/>
                <w:szCs w:val="21"/>
              </w:rPr>
            </w:pPr>
            <w:r>
              <w:rPr>
                <w:rFonts w:hint="eastAsia" w:ascii="宋体" w:hAnsi="宋体" w:cs="宋体"/>
                <w:b/>
                <w:bCs/>
                <w:szCs w:val="21"/>
              </w:rPr>
              <w:t>40舟艇舷外机（核心产品）</w:t>
            </w:r>
          </w:p>
        </w:tc>
        <w:tc>
          <w:tcPr>
            <w:tcW w:w="889" w:type="dxa"/>
            <w:vAlign w:val="center"/>
          </w:tcPr>
          <w:p>
            <w:pPr>
              <w:widowControl/>
              <w:spacing w:after="200" w:line="276"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27</w:t>
            </w:r>
          </w:p>
        </w:tc>
        <w:tc>
          <w:tcPr>
            <w:tcW w:w="1835" w:type="dxa"/>
            <w:vMerge w:val="continue"/>
          </w:tcPr>
          <w:p>
            <w:pPr>
              <w:pStyle w:val="2"/>
              <w:spacing w:after="200" w:line="276" w:lineRule="auto"/>
              <w:ind w:firstLine="0" w:firstLineChars="0"/>
              <w:rPr>
                <w:rFonts w:ascii="Calibri" w:hAnsi="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90" w:type="dxa"/>
            <w:vMerge w:val="continue"/>
          </w:tcPr>
          <w:p>
            <w:pPr>
              <w:pStyle w:val="2"/>
              <w:spacing w:after="200" w:line="276" w:lineRule="auto"/>
              <w:ind w:firstLine="0" w:firstLineChars="0"/>
              <w:rPr>
                <w:rFonts w:ascii="宋体" w:hAnsi="宋体" w:cs="宋体"/>
                <w:szCs w:val="21"/>
              </w:rPr>
            </w:pPr>
          </w:p>
        </w:tc>
        <w:tc>
          <w:tcPr>
            <w:tcW w:w="1355" w:type="dxa"/>
            <w:vMerge w:val="continue"/>
          </w:tcPr>
          <w:p>
            <w:pPr>
              <w:pStyle w:val="2"/>
              <w:spacing w:after="200" w:line="276" w:lineRule="auto"/>
              <w:ind w:firstLine="0" w:firstLineChars="0"/>
              <w:jc w:val="center"/>
              <w:rPr>
                <w:rFonts w:ascii="宋体" w:hAnsi="宋体" w:cs="宋体"/>
                <w:szCs w:val="21"/>
              </w:rPr>
            </w:pPr>
          </w:p>
        </w:tc>
        <w:tc>
          <w:tcPr>
            <w:tcW w:w="968"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9</w:t>
            </w:r>
          </w:p>
        </w:tc>
        <w:tc>
          <w:tcPr>
            <w:tcW w:w="3415" w:type="dxa"/>
          </w:tcPr>
          <w:p>
            <w:pPr>
              <w:pStyle w:val="2"/>
              <w:spacing w:after="200" w:line="276" w:lineRule="auto"/>
              <w:ind w:firstLine="0" w:firstLineChars="0"/>
              <w:jc w:val="center"/>
              <w:rPr>
                <w:rFonts w:ascii="宋体" w:hAnsi="宋体" w:cs="宋体"/>
                <w:szCs w:val="21"/>
              </w:rPr>
            </w:pPr>
            <w:r>
              <w:rPr>
                <w:rFonts w:hint="eastAsia" w:ascii="宋体" w:hAnsi="宋体" w:cs="宋体"/>
                <w:szCs w:val="21"/>
              </w:rPr>
              <w:t>自扶正救生艇</w:t>
            </w:r>
          </w:p>
        </w:tc>
        <w:tc>
          <w:tcPr>
            <w:tcW w:w="889" w:type="dxa"/>
            <w:vAlign w:val="center"/>
          </w:tcPr>
          <w:p>
            <w:pPr>
              <w:widowControl/>
              <w:spacing w:after="200" w:line="276" w:lineRule="auto"/>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2</w:t>
            </w:r>
          </w:p>
        </w:tc>
        <w:tc>
          <w:tcPr>
            <w:tcW w:w="1835" w:type="dxa"/>
            <w:vMerge w:val="continue"/>
          </w:tcPr>
          <w:p>
            <w:pPr>
              <w:pStyle w:val="2"/>
              <w:spacing w:after="200" w:line="276" w:lineRule="auto"/>
              <w:ind w:firstLine="0" w:firstLineChars="0"/>
              <w:rPr>
                <w:rFonts w:ascii="Calibri" w:hAnsi="Calibri"/>
              </w:rPr>
            </w:pPr>
          </w:p>
        </w:tc>
      </w:tr>
    </w:tbl>
    <w:p>
      <w:pPr>
        <w:spacing w:after="240" w:afterLines="100" w:line="520" w:lineRule="exact"/>
        <w:rPr>
          <w:rFonts w:asciiTheme="minorEastAsia" w:hAnsiTheme="minorEastAsia" w:eastAsiaTheme="minorEastAsia"/>
          <w:b/>
          <w:sz w:val="24"/>
        </w:rPr>
      </w:pPr>
    </w:p>
    <w:p>
      <w:pPr>
        <w:spacing w:after="240" w:afterLines="100" w:line="520" w:lineRule="exact"/>
        <w:ind w:firstLine="482" w:firstLineChars="200"/>
        <w:rPr>
          <w:rFonts w:cs="宋体" w:asciiTheme="minorEastAsia" w:hAnsiTheme="minorEastAsia" w:eastAsiaTheme="minorEastAsia"/>
          <w:b/>
          <w:sz w:val="24"/>
          <w:u w:val="single"/>
        </w:rPr>
      </w:pPr>
      <w:r>
        <w:rPr>
          <w:rFonts w:hint="eastAsia" w:asciiTheme="minorEastAsia" w:hAnsiTheme="minorEastAsia" w:eastAsiaTheme="minorEastAsia"/>
          <w:b/>
          <w:sz w:val="24"/>
        </w:rPr>
        <w:t>★</w:t>
      </w:r>
      <w:r>
        <w:rPr>
          <w:rFonts w:hint="eastAsia" w:asciiTheme="minorEastAsia" w:hAnsiTheme="minorEastAsia" w:eastAsiaTheme="minorEastAsia"/>
          <w:b/>
          <w:bCs/>
          <w:sz w:val="24"/>
          <w:u w:val="single"/>
        </w:rPr>
        <w:t>各标包投标报价均不得超过预算金额，否则按无效投标处理；</w:t>
      </w:r>
      <w:r>
        <w:rPr>
          <w:rFonts w:hint="eastAsia" w:cs="宋体" w:asciiTheme="minorEastAsia" w:hAnsiTheme="minorEastAsia" w:eastAsiaTheme="minorEastAsia"/>
          <w:b/>
          <w:sz w:val="24"/>
          <w:u w:val="single"/>
        </w:rPr>
        <w:t>供应商须对本项目每标包进行整体响应投标，不得对项目分解后进行响应。</w:t>
      </w:r>
    </w:p>
    <w:p>
      <w:pPr>
        <w:pStyle w:val="3"/>
        <w:spacing w:before="0" w:after="0" w:line="600" w:lineRule="auto"/>
        <w:jc w:val="left"/>
        <w:rPr>
          <w:rFonts w:asciiTheme="minorEastAsia" w:hAnsiTheme="minorEastAsia" w:eastAsiaTheme="minorEastAsia"/>
          <w:bCs w:val="0"/>
          <w:sz w:val="24"/>
          <w:szCs w:val="24"/>
        </w:rPr>
      </w:pPr>
      <w:bookmarkStart w:id="118" w:name="_Toc6371"/>
      <w:r>
        <w:rPr>
          <w:rFonts w:hint="eastAsia" w:asciiTheme="minorEastAsia" w:hAnsiTheme="minorEastAsia" w:eastAsiaTheme="minorEastAsia"/>
          <w:bCs w:val="0"/>
          <w:sz w:val="24"/>
          <w:szCs w:val="24"/>
        </w:rPr>
        <w:t>二 、总体说明</w:t>
      </w:r>
      <w:bookmarkEnd w:id="118"/>
    </w:p>
    <w:p>
      <w:pPr>
        <w:pStyle w:val="42"/>
        <w:spacing w:line="360" w:lineRule="auto"/>
        <w:ind w:firstLine="480" w:firstLineChars="200"/>
        <w:rPr>
          <w:rFonts w:cs="宋体" w:asciiTheme="minorEastAsia" w:hAnsiTheme="minorEastAsia" w:eastAsiaTheme="minorEastAsia"/>
          <w:kern w:val="2"/>
          <w:sz w:val="24"/>
          <w:szCs w:val="24"/>
        </w:rPr>
      </w:pPr>
      <w:r>
        <w:rPr>
          <w:rFonts w:cs="宋体" w:asciiTheme="minorEastAsia" w:hAnsiTheme="minorEastAsia" w:eastAsiaTheme="minorEastAsia"/>
          <w:kern w:val="2"/>
          <w:sz w:val="24"/>
          <w:szCs w:val="24"/>
        </w:rPr>
        <w:t>1.</w:t>
      </w:r>
      <w:r>
        <w:rPr>
          <w:rFonts w:hint="eastAsia" w:cs="宋体" w:asciiTheme="minorEastAsia" w:hAnsiTheme="minorEastAsia" w:eastAsiaTheme="minorEastAsia"/>
          <w:kern w:val="2"/>
          <w:sz w:val="24"/>
          <w:szCs w:val="24"/>
        </w:rPr>
        <w:t>供应商所报价格应该包括项目产品及其配件/耗材，并能提供良好的配件/耗材供应服务。供应商应按照生产厂家的出厂标准供货，供应商所提供的货物均应为质量完全符合国家或行业标准的全新产品，并以此标准进行验收；供应商在交货时必须提供该产品的合格证。</w:t>
      </w:r>
    </w:p>
    <w:p>
      <w:pPr>
        <w:pStyle w:val="42"/>
        <w:spacing w:line="360" w:lineRule="auto"/>
        <w:ind w:firstLine="480" w:firstLineChars="200"/>
        <w:rPr>
          <w:rFonts w:cs="宋体" w:asciiTheme="minorEastAsia" w:hAnsiTheme="minorEastAsia" w:eastAsiaTheme="minorEastAsia"/>
          <w:kern w:val="2"/>
          <w:sz w:val="24"/>
          <w:szCs w:val="24"/>
        </w:rPr>
      </w:pPr>
      <w:r>
        <w:rPr>
          <w:rFonts w:cs="宋体" w:asciiTheme="minorEastAsia" w:hAnsiTheme="minorEastAsia" w:eastAsiaTheme="minorEastAsia"/>
          <w:kern w:val="2"/>
          <w:sz w:val="24"/>
          <w:szCs w:val="24"/>
        </w:rPr>
        <w:t>2.</w:t>
      </w:r>
      <w:r>
        <w:rPr>
          <w:rFonts w:hint="eastAsia" w:cs="宋体" w:asciiTheme="minorEastAsia" w:hAnsiTheme="minorEastAsia" w:eastAsiaTheme="minorEastAsia"/>
          <w:kern w:val="2"/>
          <w:sz w:val="24"/>
          <w:szCs w:val="24"/>
        </w:rPr>
        <w:t>供应商所投产品应充分体现先进技术要求，产品配置力求合理、整体性能优良，实现目标、技术集成的合理性、实用性、兼容性、配套产品的完整性和未来的可扩展性。</w:t>
      </w:r>
    </w:p>
    <w:p>
      <w:pPr>
        <w:pStyle w:val="42"/>
        <w:spacing w:line="360" w:lineRule="auto"/>
        <w:ind w:firstLine="482" w:firstLineChars="200"/>
        <w:rPr>
          <w:rFonts w:cs="宋体" w:asciiTheme="minorEastAsia" w:hAnsiTheme="minorEastAsia" w:eastAsiaTheme="minorEastAsia"/>
          <w:b/>
          <w:bCs/>
          <w:kern w:val="2"/>
          <w:sz w:val="24"/>
          <w:szCs w:val="24"/>
        </w:rPr>
      </w:pPr>
      <w:r>
        <w:rPr>
          <w:rFonts w:cs="宋体" w:asciiTheme="minorEastAsia" w:hAnsiTheme="minorEastAsia" w:eastAsiaTheme="minorEastAsia"/>
          <w:b/>
          <w:bCs/>
          <w:kern w:val="2"/>
          <w:sz w:val="24"/>
          <w:szCs w:val="24"/>
        </w:rPr>
        <w:t>3.</w:t>
      </w:r>
      <w:r>
        <w:rPr>
          <w:rFonts w:hint="eastAsia" w:cs="宋体" w:asciiTheme="minorEastAsia" w:hAnsiTheme="minorEastAsia" w:eastAsiaTheme="minorEastAsia"/>
          <w:b/>
          <w:bCs/>
          <w:kern w:val="2"/>
          <w:sz w:val="24"/>
          <w:szCs w:val="24"/>
        </w:rPr>
        <w:t>设备（产品）技术及规格要求中标示“★”的条款为实质性条款，必须逐条响应，有任何一条负偏离的，将导致无效投标。</w:t>
      </w:r>
    </w:p>
    <w:p>
      <w:pPr>
        <w:pStyle w:val="42"/>
        <w:spacing w:line="360" w:lineRule="auto"/>
        <w:ind w:firstLine="482" w:firstLineChars="200"/>
        <w:rPr>
          <w:rFonts w:cs="宋体" w:asciiTheme="minorEastAsia" w:hAnsiTheme="minorEastAsia" w:eastAsiaTheme="minorEastAsia"/>
          <w:b/>
          <w:bCs/>
          <w:kern w:val="2"/>
          <w:sz w:val="24"/>
          <w:szCs w:val="24"/>
        </w:rPr>
      </w:pPr>
      <w:r>
        <w:rPr>
          <w:rFonts w:cs="宋体" w:asciiTheme="minorEastAsia" w:hAnsiTheme="minorEastAsia" w:eastAsiaTheme="minorEastAsia"/>
          <w:b/>
          <w:bCs/>
          <w:kern w:val="2"/>
          <w:sz w:val="24"/>
          <w:szCs w:val="24"/>
        </w:rPr>
        <w:t>4.</w:t>
      </w:r>
      <w:r>
        <w:rPr>
          <w:rFonts w:hint="eastAsia" w:cs="宋体" w:asciiTheme="minorEastAsia" w:hAnsiTheme="minorEastAsia" w:eastAsiaTheme="minorEastAsia"/>
          <w:b/>
          <w:bCs/>
          <w:kern w:val="2"/>
          <w:sz w:val="24"/>
          <w:szCs w:val="24"/>
        </w:rPr>
        <w:t>设备（产品）技术及规格要求中标注“#”的为重要技术参数；其他未标注的为一般性技术参数，但均不作为无效投标条款。</w:t>
      </w:r>
    </w:p>
    <w:p>
      <w:pPr>
        <w:pStyle w:val="3"/>
        <w:spacing w:before="0" w:after="0" w:line="600" w:lineRule="auto"/>
        <w:jc w:val="left"/>
        <w:rPr>
          <w:rFonts w:asciiTheme="minorEastAsia" w:hAnsiTheme="minorEastAsia" w:eastAsiaTheme="minorEastAsia"/>
          <w:bCs w:val="0"/>
          <w:sz w:val="24"/>
          <w:szCs w:val="24"/>
        </w:rPr>
      </w:pPr>
      <w:bookmarkStart w:id="119" w:name="_Toc28727"/>
      <w:r>
        <w:rPr>
          <w:rFonts w:hint="eastAsia" w:asciiTheme="minorEastAsia" w:hAnsiTheme="minorEastAsia" w:eastAsiaTheme="minorEastAsia"/>
          <w:bCs w:val="0"/>
          <w:sz w:val="24"/>
          <w:szCs w:val="24"/>
        </w:rPr>
        <w:t>三、基本要求</w:t>
      </w:r>
      <w:bookmarkEnd w:id="119"/>
    </w:p>
    <w:p>
      <w:pPr>
        <w:pStyle w:val="3"/>
        <w:spacing w:before="120" w:beforeLines="50" w:after="0" w:line="579" w:lineRule="auto"/>
        <w:ind w:firstLine="482" w:firstLineChars="200"/>
        <w:jc w:val="left"/>
        <w:rPr>
          <w:rFonts w:cs="宋体" w:asciiTheme="minorEastAsia" w:hAnsiTheme="minorEastAsia" w:eastAsiaTheme="minorEastAsia"/>
          <w:kern w:val="2"/>
          <w:sz w:val="24"/>
          <w:szCs w:val="24"/>
        </w:rPr>
      </w:pPr>
      <w:bookmarkStart w:id="120" w:name="_Toc25599"/>
      <w:bookmarkStart w:id="121" w:name="_Toc18872"/>
      <w:bookmarkStart w:id="122" w:name="_Toc6809"/>
      <w:r>
        <w:rPr>
          <w:rFonts w:cs="宋体" w:asciiTheme="minorEastAsia" w:hAnsiTheme="minorEastAsia" w:eastAsiaTheme="minorEastAsia"/>
          <w:kern w:val="2"/>
          <w:sz w:val="24"/>
          <w:szCs w:val="24"/>
        </w:rPr>
        <w:t>1.</w:t>
      </w:r>
      <w:r>
        <w:rPr>
          <w:rFonts w:hint="eastAsia" w:cs="宋体" w:asciiTheme="minorEastAsia" w:hAnsiTheme="minorEastAsia" w:eastAsiaTheme="minorEastAsia"/>
          <w:kern w:val="2"/>
          <w:sz w:val="24"/>
          <w:szCs w:val="24"/>
        </w:rPr>
        <w:t>交货/付期（</w:t>
      </w:r>
      <w:r>
        <w:rPr>
          <w:rFonts w:hint="eastAsia" w:cs="宋体" w:asciiTheme="minorEastAsia" w:hAnsiTheme="minorEastAsia" w:eastAsiaTheme="minorEastAsia"/>
          <w:sz w:val="24"/>
        </w:rPr>
        <w:t>合同履行期限</w:t>
      </w:r>
      <w:r>
        <w:rPr>
          <w:rFonts w:hint="eastAsia" w:cs="宋体" w:asciiTheme="minorEastAsia" w:hAnsiTheme="minorEastAsia" w:eastAsiaTheme="minorEastAsia"/>
          <w:kern w:val="2"/>
          <w:sz w:val="24"/>
          <w:szCs w:val="24"/>
        </w:rPr>
        <w:t>）：</w:t>
      </w:r>
      <w:bookmarkEnd w:id="120"/>
      <w:bookmarkEnd w:id="121"/>
      <w:bookmarkEnd w:id="122"/>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★自合同签订之日起180个日历日内将全部货物送至指定地点、完成安装调试并具备验收条件</w:t>
      </w:r>
      <w:r>
        <w:rPr>
          <w:rFonts w:hint="eastAsia" w:cs="宋体" w:asciiTheme="minorEastAsia" w:hAnsiTheme="minorEastAsia" w:eastAsiaTheme="minorEastAsia"/>
          <w:b/>
          <w:bCs/>
          <w:kern w:val="2"/>
          <w:sz w:val="24"/>
          <w:szCs w:val="24"/>
        </w:rPr>
        <w:t>(适用于各包)</w:t>
      </w:r>
      <w:r>
        <w:rPr>
          <w:rFonts w:hint="eastAsia" w:cs="宋体" w:asciiTheme="minorEastAsia" w:hAnsiTheme="minorEastAsia" w:eastAsiaTheme="minorEastAsia"/>
          <w:kern w:val="2"/>
          <w:sz w:val="24"/>
          <w:szCs w:val="24"/>
        </w:rPr>
        <w:t>。</w:t>
      </w:r>
    </w:p>
    <w:p>
      <w:pPr>
        <w:pStyle w:val="42"/>
        <w:spacing w:line="360" w:lineRule="auto"/>
        <w:ind w:firstLine="480" w:firstLineChars="200"/>
        <w:rPr>
          <w:rFonts w:cs="宋体" w:asciiTheme="minorEastAsia" w:hAnsiTheme="minorEastAsia" w:eastAsiaTheme="minorEastAsia"/>
          <w:kern w:val="2"/>
          <w:sz w:val="24"/>
          <w:szCs w:val="24"/>
        </w:rPr>
      </w:pPr>
      <w:r>
        <w:rPr>
          <w:rFonts w:cs="宋体" w:asciiTheme="minorEastAsia" w:hAnsiTheme="minorEastAsia" w:eastAsiaTheme="minorEastAsia"/>
          <w:kern w:val="2"/>
          <w:sz w:val="24"/>
          <w:szCs w:val="24"/>
        </w:rPr>
        <w:t>2.</w:t>
      </w:r>
      <w:r>
        <w:rPr>
          <w:rFonts w:hint="eastAsia" w:cs="宋体" w:asciiTheme="minorEastAsia" w:hAnsiTheme="minorEastAsia" w:eastAsiaTheme="minorEastAsia"/>
          <w:kern w:val="2"/>
          <w:sz w:val="24"/>
          <w:szCs w:val="24"/>
        </w:rPr>
        <w:t>交货（交付）地点：</w:t>
      </w:r>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所有产品的交货（交付）地点均由采购人指定（山东省境内）。</w:t>
      </w:r>
    </w:p>
    <w:p>
      <w:pPr>
        <w:pStyle w:val="42"/>
        <w:spacing w:line="360" w:lineRule="auto"/>
        <w:ind w:firstLine="480" w:firstLineChars="200"/>
        <w:rPr>
          <w:rFonts w:cs="宋体" w:asciiTheme="minorEastAsia" w:hAnsiTheme="minorEastAsia" w:eastAsiaTheme="minorEastAsia"/>
          <w:kern w:val="2"/>
          <w:sz w:val="24"/>
          <w:szCs w:val="24"/>
        </w:rPr>
      </w:pPr>
      <w:r>
        <w:rPr>
          <w:rFonts w:cs="宋体" w:asciiTheme="minorEastAsia" w:hAnsiTheme="minorEastAsia" w:eastAsiaTheme="minorEastAsia"/>
          <w:kern w:val="2"/>
          <w:sz w:val="24"/>
          <w:szCs w:val="24"/>
        </w:rPr>
        <w:t>3.</w:t>
      </w:r>
      <w:r>
        <w:rPr>
          <w:rFonts w:hint="eastAsia" w:cs="宋体" w:asciiTheme="minorEastAsia" w:hAnsiTheme="minorEastAsia" w:eastAsiaTheme="minorEastAsia"/>
          <w:kern w:val="2"/>
          <w:sz w:val="24"/>
          <w:szCs w:val="24"/>
        </w:rPr>
        <w:t>质量保证期：</w:t>
      </w:r>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（1）★质量保证期：3年，自货到用户指定地点并验收合格之日起算，质保期内提供免费维修维护服务</w:t>
      </w:r>
      <w:r>
        <w:rPr>
          <w:rFonts w:hint="eastAsia" w:cs="宋体" w:asciiTheme="minorEastAsia" w:hAnsiTheme="minorEastAsia" w:eastAsiaTheme="minorEastAsia"/>
          <w:b/>
          <w:bCs/>
          <w:kern w:val="2"/>
          <w:sz w:val="24"/>
          <w:szCs w:val="24"/>
        </w:rPr>
        <w:t>(适用于各包）</w:t>
      </w:r>
      <w:r>
        <w:rPr>
          <w:rFonts w:hint="eastAsia" w:cs="宋体" w:asciiTheme="minorEastAsia" w:hAnsiTheme="minorEastAsia" w:eastAsiaTheme="minorEastAsia"/>
          <w:kern w:val="2"/>
          <w:sz w:val="24"/>
          <w:szCs w:val="24"/>
        </w:rPr>
        <w:t>。</w:t>
      </w:r>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2）质量保证期内，如果证实货物是有缺陷的，包括潜在的缺陷或者使用不符合要求的材料等，中标人应立即免费维修或者更换有缺陷的货物或者部件，保证达到合同规定的技术以及性能要求。如果中标人在收到通知后</w:t>
      </w:r>
      <w:r>
        <w:rPr>
          <w:rFonts w:cs="宋体" w:asciiTheme="minorEastAsia" w:hAnsiTheme="minorEastAsia" w:eastAsiaTheme="minorEastAsia"/>
          <w:kern w:val="2"/>
          <w:sz w:val="24"/>
          <w:szCs w:val="24"/>
        </w:rPr>
        <w:t>5</w:t>
      </w:r>
      <w:r>
        <w:rPr>
          <w:rFonts w:hint="eastAsia" w:cs="宋体" w:asciiTheme="minorEastAsia" w:hAnsiTheme="minorEastAsia" w:eastAsiaTheme="minorEastAsia"/>
          <w:kern w:val="2"/>
          <w:sz w:val="24"/>
          <w:szCs w:val="24"/>
        </w:rPr>
        <w:t>天内没有弥补缺陷，采购人可自行采取必要的补救措施，但风险和费用由中标人承担，采购人同时保留通过法律途径进行索赔的权利。</w:t>
      </w:r>
    </w:p>
    <w:p>
      <w:pPr>
        <w:pStyle w:val="42"/>
        <w:spacing w:line="360" w:lineRule="auto"/>
        <w:ind w:firstLine="480" w:firstLineChars="200"/>
        <w:rPr>
          <w:rFonts w:cs="宋体" w:asciiTheme="minorEastAsia" w:hAnsiTheme="minorEastAsia" w:eastAsiaTheme="minorEastAsia"/>
          <w:kern w:val="2"/>
          <w:sz w:val="24"/>
          <w:szCs w:val="24"/>
        </w:rPr>
      </w:pPr>
      <w:r>
        <w:rPr>
          <w:rFonts w:cs="宋体" w:asciiTheme="minorEastAsia" w:hAnsiTheme="minorEastAsia" w:eastAsiaTheme="minorEastAsia"/>
          <w:kern w:val="2"/>
          <w:sz w:val="24"/>
          <w:szCs w:val="24"/>
        </w:rPr>
        <w:t>4.</w:t>
      </w:r>
      <w:r>
        <w:rPr>
          <w:rFonts w:hint="eastAsia" w:cs="宋体" w:asciiTheme="minorEastAsia" w:hAnsiTheme="minorEastAsia" w:eastAsiaTheme="minorEastAsia"/>
          <w:kern w:val="2"/>
          <w:sz w:val="24"/>
          <w:szCs w:val="24"/>
        </w:rPr>
        <w:t>付款方式：</w:t>
      </w:r>
    </w:p>
    <w:p>
      <w:pPr>
        <w:adjustRightInd w:val="0"/>
        <w:snapToGrid w:val="0"/>
        <w:spacing w:line="500" w:lineRule="exact"/>
        <w:ind w:firstLine="480" w:firstLineChars="200"/>
        <w:rPr>
          <w:rFonts w:hint="eastAsia" w:cs="宋体" w:asciiTheme="minorEastAsia" w:hAnsiTheme="minorEastAsia" w:eastAsiaTheme="minorEastAsia"/>
          <w:color w:val="000000" w:themeColor="text1"/>
          <w:sz w:val="24"/>
          <w:szCs w:val="22"/>
          <w14:textFill>
            <w14:solidFill>
              <w14:schemeClr w14:val="tx1"/>
            </w14:solidFill>
          </w14:textFill>
        </w:rPr>
      </w:pPr>
      <w:r>
        <w:rPr>
          <w:rFonts w:hint="eastAsia" w:cs="宋体" w:asciiTheme="minorEastAsia" w:hAnsiTheme="minorEastAsia" w:eastAsiaTheme="minorEastAsia"/>
          <w:color w:val="000000" w:themeColor="text1"/>
          <w:sz w:val="24"/>
          <w:szCs w:val="22"/>
          <w14:textFill>
            <w14:solidFill>
              <w14:schemeClr w14:val="tx1"/>
            </w14:solidFill>
          </w14:textFill>
        </w:rPr>
        <w:t>中标后由采购人组织实际用户单位与乙方签订合同，具体付款方式由实际用户单位在以下两种方式任选其一（以下“甲方”指实际用户单位）：</w:t>
      </w:r>
    </w:p>
    <w:p>
      <w:pPr>
        <w:adjustRightInd w:val="0"/>
        <w:snapToGrid w:val="0"/>
        <w:spacing w:line="500" w:lineRule="exact"/>
        <w:ind w:firstLine="480" w:firstLineChars="200"/>
        <w:rPr>
          <w:rFonts w:hint="eastAsia" w:cs="宋体" w:asciiTheme="minorEastAsia" w:hAnsiTheme="minorEastAsia" w:eastAsiaTheme="minorEastAsia"/>
          <w:color w:val="000000" w:themeColor="text1"/>
          <w:sz w:val="24"/>
          <w:szCs w:val="22"/>
          <w14:textFill>
            <w14:solidFill>
              <w14:schemeClr w14:val="tx1"/>
            </w14:solidFill>
          </w14:textFill>
        </w:rPr>
      </w:pPr>
      <w:r>
        <w:rPr>
          <w:rFonts w:cs="宋体" w:asciiTheme="minorEastAsia" w:hAnsiTheme="minorEastAsia" w:eastAsiaTheme="minorEastAsia"/>
          <w:color w:val="000000" w:themeColor="text1"/>
          <w:sz w:val="24"/>
          <w:szCs w:val="22"/>
          <w14:textFill>
            <w14:solidFill>
              <w14:schemeClr w14:val="tx1"/>
            </w14:solidFill>
          </w14:textFill>
        </w:rPr>
        <w:t>4.1</w:t>
      </w:r>
      <w:r>
        <w:rPr>
          <w:rFonts w:hint="eastAsia" w:cs="宋体" w:asciiTheme="minorEastAsia" w:hAnsiTheme="minorEastAsia" w:eastAsiaTheme="minorEastAsia"/>
          <w:color w:val="000000" w:themeColor="text1"/>
          <w:sz w:val="24"/>
          <w:szCs w:val="22"/>
          <w14:textFill>
            <w14:solidFill>
              <w14:schemeClr w14:val="tx1"/>
            </w14:solidFill>
          </w14:textFill>
        </w:rPr>
        <w:t xml:space="preserve"> 合同签订后，甲方支付至合同价款的40%，货到并验收合格后支付至合同价款的97%，剩余3%质保期满无质量问题后支付。</w:t>
      </w:r>
    </w:p>
    <w:p>
      <w:pPr>
        <w:pStyle w:val="42"/>
        <w:spacing w:line="360" w:lineRule="auto"/>
        <w:ind w:firstLine="480" w:firstLineChars="200"/>
        <w:rPr>
          <w:rFonts w:cs="宋体" w:asciiTheme="minorEastAsia" w:hAnsiTheme="minorEastAsia" w:eastAsiaTheme="minorEastAsia"/>
          <w:color w:val="000000" w:themeColor="text1"/>
          <w:sz w:val="24"/>
          <w:szCs w:val="22"/>
          <w14:textFill>
            <w14:solidFill>
              <w14:schemeClr w14:val="tx1"/>
            </w14:solidFill>
          </w14:textFill>
        </w:rPr>
      </w:pPr>
      <w:r>
        <w:rPr>
          <w:rFonts w:hint="eastAsia" w:cs="宋体" w:asciiTheme="minorEastAsia" w:hAnsiTheme="minorEastAsia" w:eastAsiaTheme="minorEastAsia"/>
          <w:color w:val="000000" w:themeColor="text1"/>
          <w:sz w:val="24"/>
          <w:szCs w:val="22"/>
          <w14:textFill>
            <w14:solidFill>
              <w14:schemeClr w14:val="tx1"/>
            </w14:solidFill>
          </w14:textFill>
        </w:rPr>
        <w:t>/4</w:t>
      </w:r>
      <w:r>
        <w:rPr>
          <w:rFonts w:cs="宋体" w:asciiTheme="minorEastAsia" w:hAnsiTheme="minorEastAsia" w:eastAsiaTheme="minorEastAsia"/>
          <w:color w:val="000000" w:themeColor="text1"/>
          <w:sz w:val="24"/>
          <w:szCs w:val="22"/>
          <w14:textFill>
            <w14:solidFill>
              <w14:schemeClr w14:val="tx1"/>
            </w14:solidFill>
          </w14:textFill>
        </w:rPr>
        <w:t>.1</w:t>
      </w:r>
      <w:r>
        <w:rPr>
          <w:rFonts w:hint="eastAsia" w:cs="宋体" w:asciiTheme="minorEastAsia" w:hAnsiTheme="minorEastAsia" w:eastAsiaTheme="minorEastAsia"/>
          <w:color w:val="000000" w:themeColor="text1"/>
          <w:sz w:val="24"/>
          <w:szCs w:val="22"/>
          <w14:textFill>
            <w14:solidFill>
              <w14:schemeClr w14:val="tx1"/>
            </w14:solidFill>
          </w14:textFill>
        </w:rPr>
        <w:t xml:space="preserve"> 合同签订后，乙方向甲方支付合同价款3%的履约保证金后，甲方支付至合同价款的40%，货到并验收合格后向乙方支付至合同价款的100%，履约保证金待质保期满无质量问题后无息退还。</w:t>
      </w:r>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5</w:t>
      </w:r>
      <w:r>
        <w:rPr>
          <w:rFonts w:cs="宋体" w:asciiTheme="minorEastAsia" w:hAnsiTheme="minorEastAsia" w:eastAsiaTheme="minorEastAsia"/>
          <w:kern w:val="2"/>
          <w:sz w:val="24"/>
          <w:szCs w:val="24"/>
        </w:rPr>
        <w:t>.</w:t>
      </w:r>
      <w:r>
        <w:rPr>
          <w:rFonts w:hint="eastAsia" w:cs="宋体" w:asciiTheme="minorEastAsia" w:hAnsiTheme="minorEastAsia" w:eastAsiaTheme="minorEastAsia"/>
          <w:kern w:val="2"/>
          <w:sz w:val="24"/>
          <w:szCs w:val="24"/>
        </w:rPr>
        <w:t>售后服务培训：</w:t>
      </w:r>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如产品出现问题，卖方应在接采购人通知0.5小时内做出响应，3小时内到达现场，24 小时内解决问题，不能在规定时间内处理完成的要提供备品（机）备件确保不影响采购人正常使用。</w:t>
      </w:r>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6.若采购内容清单名称与技术参数名称不符时，以技术参数名称为准。</w:t>
      </w:r>
    </w:p>
    <w:p>
      <w:pPr>
        <w:adjustRightInd w:val="0"/>
        <w:snapToGrid w:val="0"/>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★7.供应商所投产品必须符合《中华人民共和国消防法》、《中华人民共和国产品质量法》和《中华人民共和国认证认可条例》等有关法律、行政法规，投标时提供《承诺函》并加盖供应商公章。</w:t>
      </w:r>
    </w:p>
    <w:p>
      <w:pPr>
        <w:pStyle w:val="2"/>
        <w:spacing w:line="360" w:lineRule="auto"/>
        <w:ind w:firstLine="48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★8.供应商所投产品属于国家强制性产品认证的消防产品必须提供国家强制性3C认证证书复印件并加盖供应商公章。</w:t>
      </w:r>
    </w:p>
    <w:p/>
    <w:p>
      <w:pPr>
        <w:pStyle w:val="3"/>
        <w:spacing w:before="0" w:after="0" w:line="600" w:lineRule="auto"/>
        <w:jc w:val="left"/>
        <w:rPr>
          <w:rFonts w:asciiTheme="minorEastAsia" w:hAnsiTheme="minorEastAsia" w:eastAsiaTheme="minorEastAsia"/>
          <w:bCs w:val="0"/>
          <w:sz w:val="24"/>
          <w:szCs w:val="24"/>
        </w:rPr>
      </w:pPr>
      <w:bookmarkStart w:id="123" w:name="_Toc27792"/>
      <w:r>
        <w:rPr>
          <w:rFonts w:hint="eastAsia" w:asciiTheme="minorEastAsia" w:hAnsiTheme="minorEastAsia" w:eastAsiaTheme="minorEastAsia"/>
          <w:bCs w:val="0"/>
          <w:sz w:val="24"/>
          <w:szCs w:val="24"/>
        </w:rPr>
        <w:t>四、设备（产品）技术及规格要求</w:t>
      </w:r>
      <w:bookmarkEnd w:id="123"/>
    </w:p>
    <w:bookmarkEnd w:id="113"/>
    <w:p>
      <w:pPr>
        <w:spacing w:after="240" w:afterLines="100" w:line="360" w:lineRule="auto"/>
        <w:ind w:firstLine="562" w:firstLineChars="200"/>
        <w:jc w:val="center"/>
        <w:rPr>
          <w:rFonts w:ascii="宋体" w:hAnsi="宋体" w:cs="宋体"/>
          <w:b/>
          <w:bCs/>
          <w:sz w:val="28"/>
          <w:szCs w:val="28"/>
        </w:rPr>
      </w:pPr>
      <w:r>
        <w:rPr>
          <w:rFonts w:hint="eastAsia" w:ascii="宋体" w:hAnsi="宋体" w:cs="宋体"/>
          <w:b/>
          <w:bCs/>
          <w:sz w:val="28"/>
          <w:szCs w:val="28"/>
        </w:rPr>
        <w:t>1包：水域救援类装备（核心产品：水下破拆工具组）</w:t>
      </w:r>
    </w:p>
    <w:p>
      <w:pPr>
        <w:tabs>
          <w:tab w:val="center" w:pos="4365"/>
          <w:tab w:val="left" w:pos="6221"/>
        </w:tabs>
        <w:spacing w:line="360" w:lineRule="auto"/>
        <w:ind w:firstLine="482" w:firstLineChars="200"/>
        <w:jc w:val="left"/>
        <w:rPr>
          <w:rFonts w:ascii="宋体" w:hAnsi="宋体" w:cs="宋体"/>
          <w:b/>
          <w:bCs/>
          <w:sz w:val="24"/>
        </w:rPr>
      </w:pPr>
      <w:r>
        <w:rPr>
          <w:rFonts w:hint="eastAsia" w:ascii="宋体" w:hAnsi="宋体" w:cs="宋体"/>
          <w:b/>
          <w:bCs/>
          <w:sz w:val="24"/>
        </w:rPr>
        <w:t>1-1  水域救援漂浮救生绳</w:t>
      </w:r>
      <w:r>
        <w:rPr>
          <w:rFonts w:hint="eastAsia" w:ascii="宋体" w:hAnsi="宋体"/>
          <w:b/>
          <w:sz w:val="24"/>
        </w:rPr>
        <w:t>【技术指标计8项】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是</w:t>
      </w:r>
      <w:r>
        <w:rPr>
          <w:rFonts w:hint="eastAsia" w:ascii="宋体" w:hAnsi="宋体" w:cs="宋体"/>
          <w:sz w:val="24"/>
          <w:shd w:val="clear" w:color="auto" w:fill="FFFFFF"/>
        </w:rPr>
        <w:t>防汛抢险救灾、救生救援、海上救生、河边、海滩等救</w:t>
      </w:r>
      <w:r>
        <w:rPr>
          <w:rFonts w:hint="eastAsia" w:ascii="宋体" w:hAnsi="宋体" w:cs="宋体"/>
          <w:sz w:val="24"/>
        </w:rPr>
        <w:t>生设备场地，实施救援的器材。</w:t>
      </w:r>
    </w:p>
    <w:p>
      <w:pPr>
        <w:adjustRightInd w:val="0"/>
        <w:snapToGrid w:val="0"/>
        <w:spacing w:line="360" w:lineRule="auto"/>
        <w:ind w:firstLine="482" w:firstLineChars="200"/>
        <w:rPr>
          <w:rFonts w:ascii="宋体" w:hAnsi="宋体" w:cs="宋体"/>
          <w:sz w:val="24"/>
          <w:shd w:val="clear" w:color="auto" w:fill="FFFFFF"/>
        </w:rPr>
      </w:pPr>
      <w:r>
        <w:rPr>
          <w:rFonts w:hint="eastAsia" w:ascii="宋体" w:hAnsi="宋体" w:cs="宋体"/>
          <w:b/>
          <w:bCs/>
          <w:sz w:val="24"/>
        </w:rPr>
        <w:t xml:space="preserve">3. </w:t>
      </w:r>
      <w:r>
        <w:rPr>
          <w:rFonts w:hint="eastAsia" w:ascii="宋体" w:hAnsi="宋体" w:cs="宋体"/>
          <w:sz w:val="24"/>
        </w:rPr>
        <w:t>材质：</w:t>
      </w:r>
      <w:r>
        <w:rPr>
          <w:rFonts w:hint="eastAsia" w:ascii="宋体" w:hAnsi="宋体" w:cs="宋体"/>
          <w:sz w:val="24"/>
          <w:shd w:val="clear" w:color="auto" w:fill="FFFFFF"/>
        </w:rPr>
        <w:t>高强丙纶长丝线+高强度反光发光丝。</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shd w:val="clear" w:color="auto" w:fill="FFFFFF"/>
        </w:rPr>
        <w:t xml:space="preserve">4. </w:t>
      </w:r>
      <w:r>
        <w:rPr>
          <w:rFonts w:hint="eastAsia" w:ascii="宋体" w:hAnsi="宋体" w:cs="宋体"/>
          <w:sz w:val="24"/>
          <w:shd w:val="clear" w:color="auto" w:fill="FFFFFF"/>
        </w:rPr>
        <w:t>可以漂浮于水面，绳体带荧光物质，强光照射</w:t>
      </w:r>
      <w:r>
        <w:rPr>
          <w:rFonts w:hint="eastAsia" w:ascii="宋体" w:hAnsi="宋体" w:cs="宋体"/>
          <w:sz w:val="24"/>
        </w:rPr>
        <w:t>后置于黑暗处可发光；醒目橘红色，不吸水。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5. </w:t>
      </w:r>
      <w:r>
        <w:rPr>
          <w:rFonts w:hint="eastAsia" w:ascii="宋体" w:hAnsi="宋体" w:cs="宋体"/>
          <w:sz w:val="24"/>
        </w:rPr>
        <w:t>直径：12±0.5mm。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6. </w:t>
      </w:r>
      <w:r>
        <w:rPr>
          <w:rFonts w:hint="eastAsia" w:ascii="宋体" w:hAnsi="宋体" w:cs="宋体"/>
          <w:sz w:val="24"/>
        </w:rPr>
        <w:t>破断负荷≥18kN。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长度：≥50m。</w:t>
      </w:r>
    </w:p>
    <w:p>
      <w:pPr>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产品具有清晰耐久标志（执行标准、型号、规格；生产厂的名称或商标；生产厂的识别编号、制造时间）</w:t>
      </w:r>
      <w:r>
        <w:rPr>
          <w:rFonts w:hint="eastAsia" w:ascii="宋体" w:hAnsi="宋体" w:cs="宋体"/>
          <w:bCs/>
          <w:sz w:val="24"/>
        </w:rPr>
        <w:t>和RFID芯片（内容根据采购方需要填写）</w:t>
      </w:r>
      <w:r>
        <w:rPr>
          <w:rFonts w:hint="eastAsia" w:ascii="宋体" w:hAnsi="宋体" w:cs="宋体"/>
          <w:sz w:val="24"/>
        </w:rPr>
        <w:t>。</w:t>
      </w:r>
    </w:p>
    <w:p>
      <w:pPr>
        <w:tabs>
          <w:tab w:val="center" w:pos="4365"/>
          <w:tab w:val="left" w:pos="6221"/>
        </w:tabs>
        <w:spacing w:before="120" w:beforeLines="50" w:after="120" w:afterLines="50" w:line="360" w:lineRule="auto"/>
        <w:ind w:firstLine="482" w:firstLineChars="200"/>
        <w:jc w:val="left"/>
        <w:rPr>
          <w:rFonts w:ascii="宋体" w:hAnsi="宋体" w:cs="宋体"/>
          <w:b/>
          <w:bCs/>
          <w:sz w:val="24"/>
        </w:rPr>
      </w:pPr>
      <w:r>
        <w:rPr>
          <w:rFonts w:hint="eastAsia" w:ascii="宋体" w:hAnsi="宋体" w:cs="宋体"/>
          <w:b/>
          <w:bCs/>
          <w:sz w:val="24"/>
        </w:rPr>
        <w:t>1-2  干式轻型潜水装具</w:t>
      </w:r>
      <w:r>
        <w:rPr>
          <w:rFonts w:hint="eastAsia" w:ascii="宋体" w:hAnsi="宋体"/>
          <w:b/>
          <w:sz w:val="24"/>
        </w:rPr>
        <w:t>【技术指标计55项】</w:t>
      </w:r>
    </w:p>
    <w:p>
      <w:pPr>
        <w:spacing w:line="360" w:lineRule="auto"/>
        <w:ind w:firstLine="482" w:firstLineChars="200"/>
        <w:rPr>
          <w:rFonts w:ascii="宋体" w:hAnsi="宋体" w:cs="宋体"/>
          <w:sz w:val="24"/>
        </w:rPr>
      </w:pPr>
      <w:r>
        <w:rPr>
          <w:rFonts w:hint="eastAsia" w:ascii="宋体" w:hAnsi="宋体" w:cs="宋体"/>
          <w:b/>
          <w:bCs/>
          <w:kern w:val="0"/>
          <w:sz w:val="24"/>
        </w:rPr>
        <w:t xml:space="preserve">1. </w:t>
      </w:r>
      <w:r>
        <w:rPr>
          <w:rFonts w:hint="eastAsia" w:ascii="宋体" w:hAnsi="宋体" w:cs="宋体"/>
          <w:kern w:val="0"/>
          <w:sz w:val="24"/>
        </w:rPr>
        <w:t>符合JT/T207-2008 《69-Ⅲ型轻潜水装具》标准的有关要求，主要部件提供国家消防装备质量监督检验中心或其他国家认证认可具有检测资质检测机构出具的有效检验检测报告复印件或扫描件，</w:t>
      </w:r>
      <w:r>
        <w:rPr>
          <w:rFonts w:hint="eastAsia" w:ascii="宋体" w:hAnsi="宋体" w:cs="宋体"/>
          <w:sz w:val="24"/>
        </w:rPr>
        <w:t>用于寒冷水域或污染水域的水下救援使用。</w:t>
      </w:r>
    </w:p>
    <w:p>
      <w:pPr>
        <w:spacing w:line="360" w:lineRule="auto"/>
        <w:ind w:firstLine="482" w:firstLineChars="200"/>
        <w:rPr>
          <w:rFonts w:ascii="宋体" w:hAnsi="宋体" w:cs="宋体"/>
          <w:kern w:val="0"/>
          <w:sz w:val="24"/>
        </w:rPr>
      </w:pPr>
      <w:r>
        <w:rPr>
          <w:rFonts w:hint="eastAsia" w:ascii="宋体" w:hAnsi="宋体" w:cs="宋体"/>
          <w:b/>
          <w:bCs/>
          <w:kern w:val="0"/>
          <w:sz w:val="24"/>
        </w:rPr>
        <w:t>2. 每套至少包括</w:t>
      </w:r>
      <w:r>
        <w:rPr>
          <w:rFonts w:hint="eastAsia" w:ascii="宋体" w:hAnsi="宋体" w:cs="宋体"/>
          <w:kern w:val="0"/>
          <w:sz w:val="24"/>
        </w:rPr>
        <w:t>：呼吸调节器1套、浮力背心1套、面镜1副、呼吸管1根，气瓶1个、潜水配重带及扣1套、潜水铅块6块、脚蹼1双、潜水手电1个、三联表1个、潜水靴1双、潜水手套1副、干式潜水服1套（含保暖底衣）潜水刀1把、头套1个、潜水手表1个、装备箱1个.</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3. 呼吸调节器</w:t>
      </w:r>
    </w:p>
    <w:p>
      <w:pPr>
        <w:spacing w:line="360" w:lineRule="auto"/>
        <w:ind w:firstLine="482" w:firstLineChars="200"/>
        <w:rPr>
          <w:rFonts w:ascii="宋体" w:hAnsi="宋体" w:cs="宋体"/>
          <w:kern w:val="0"/>
          <w:sz w:val="24"/>
        </w:rPr>
      </w:pPr>
      <w:r>
        <w:rPr>
          <w:rFonts w:hint="eastAsia" w:ascii="宋体" w:hAnsi="宋体" w:cs="宋体"/>
          <w:b/>
          <w:bCs/>
          <w:kern w:val="0"/>
          <w:sz w:val="24"/>
        </w:rPr>
        <w:t># 3.1</w:t>
      </w:r>
      <w:r>
        <w:rPr>
          <w:rFonts w:hint="eastAsia" w:ascii="宋体" w:hAnsi="宋体" w:cs="宋体"/>
          <w:kern w:val="0"/>
          <w:sz w:val="24"/>
        </w:rPr>
        <w:t xml:space="preserve"> 活塞式一级调节器工作压力≥200Bar；工作流量不低于2000L/min 标准的活塞式，配备1个高压端口、4个低压端口。</w:t>
      </w:r>
    </w:p>
    <w:p>
      <w:pPr>
        <w:spacing w:line="360" w:lineRule="auto"/>
        <w:ind w:firstLine="482" w:firstLineChars="200"/>
        <w:rPr>
          <w:rFonts w:ascii="宋体" w:hAnsi="宋体" w:cs="宋体"/>
          <w:kern w:val="0"/>
          <w:sz w:val="24"/>
        </w:rPr>
      </w:pPr>
      <w:r>
        <w:rPr>
          <w:rFonts w:hint="eastAsia" w:ascii="宋体" w:hAnsi="宋体" w:cs="宋体"/>
          <w:b/>
          <w:bCs/>
          <w:kern w:val="0"/>
          <w:sz w:val="24"/>
        </w:rPr>
        <w:t>3.2</w:t>
      </w:r>
      <w:r>
        <w:rPr>
          <w:rFonts w:hint="eastAsia" w:ascii="宋体" w:hAnsi="宋体" w:cs="宋体"/>
          <w:kern w:val="0"/>
          <w:sz w:val="24"/>
        </w:rPr>
        <w:t xml:space="preserve"> 二级头：平衡式二级头，可配合一级头使用。</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4. </w:t>
      </w:r>
      <w:r>
        <w:rPr>
          <w:rFonts w:hint="eastAsia" w:ascii="宋体" w:hAnsi="宋体" w:cs="宋体"/>
          <w:kern w:val="0"/>
          <w:sz w:val="24"/>
        </w:rPr>
        <w:t xml:space="preserve">配有备用二级头 </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5. 脚蹼</w:t>
      </w:r>
    </w:p>
    <w:p>
      <w:pPr>
        <w:spacing w:line="360" w:lineRule="auto"/>
        <w:ind w:firstLine="482" w:firstLineChars="200"/>
        <w:rPr>
          <w:rFonts w:ascii="宋体" w:hAnsi="宋体" w:cs="宋体"/>
          <w:kern w:val="0"/>
          <w:sz w:val="24"/>
        </w:rPr>
      </w:pPr>
      <w:r>
        <w:rPr>
          <w:rFonts w:hint="eastAsia" w:ascii="宋体" w:hAnsi="宋体" w:cs="宋体"/>
          <w:b/>
          <w:bCs/>
          <w:kern w:val="0"/>
          <w:sz w:val="24"/>
        </w:rPr>
        <w:t>5.1</w:t>
      </w:r>
      <w:r>
        <w:rPr>
          <w:rFonts w:hint="eastAsia" w:ascii="宋体" w:hAnsi="宋体" w:cs="宋体"/>
          <w:kern w:val="0"/>
          <w:sz w:val="24"/>
        </w:rPr>
        <w:t>脚蹼，橡胶+TPR复合材质，为加强推进力和高效踢动需求，踢动时最大程度降低垂直上方的阻力。弹簧鞋带、调节式快卸搭扣，可单手便利脱除脚蹼，四导流槽，为技术潜水提供所需动力。</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6. 浮力背心</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6.1 </w:t>
      </w:r>
      <w:r>
        <w:rPr>
          <w:rFonts w:hint="eastAsia" w:ascii="宋体" w:hAnsi="宋体" w:cs="宋体"/>
          <w:kern w:val="0"/>
          <w:sz w:val="24"/>
        </w:rPr>
        <w:t>不少于3个排气阀；前胸不少于2个塑料挂物扣；可调节腰带并配有紧急呼吸用的口承装置。</w:t>
      </w:r>
    </w:p>
    <w:p>
      <w:pPr>
        <w:spacing w:line="360" w:lineRule="auto"/>
        <w:ind w:firstLine="482" w:firstLineChars="200"/>
        <w:rPr>
          <w:rFonts w:ascii="宋体" w:hAnsi="宋体" w:cs="宋体"/>
          <w:kern w:val="0"/>
          <w:sz w:val="24"/>
        </w:rPr>
      </w:pPr>
      <w:r>
        <w:rPr>
          <w:rFonts w:hint="eastAsia" w:ascii="宋体" w:hAnsi="宋体" w:cs="宋体"/>
          <w:b/>
          <w:bCs/>
          <w:kern w:val="0"/>
          <w:sz w:val="24"/>
        </w:rPr>
        <w:t>6.2</w:t>
      </w:r>
      <w:r>
        <w:rPr>
          <w:rFonts w:hint="eastAsia" w:ascii="宋体" w:hAnsi="宋体" w:cs="宋体"/>
          <w:kern w:val="0"/>
          <w:sz w:val="24"/>
        </w:rPr>
        <w:t xml:space="preserve"> 水下浮力≥200kg。</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7. 潜水面镜</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7.1 </w:t>
      </w:r>
      <w:r>
        <w:rPr>
          <w:rFonts w:hint="eastAsia" w:ascii="宋体" w:hAnsi="宋体" w:cs="宋体"/>
          <w:kern w:val="0"/>
          <w:sz w:val="24"/>
        </w:rPr>
        <w:t>一体单镜片，大视野视角。</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7.2 </w:t>
      </w:r>
      <w:r>
        <w:rPr>
          <w:rFonts w:hint="eastAsia" w:ascii="宋体" w:hAnsi="宋体" w:cs="宋体"/>
          <w:kern w:val="0"/>
          <w:sz w:val="24"/>
        </w:rPr>
        <w:t>硅胶裙边，可调节硅胶面镜带。</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8. 呼吸管</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8.1 </w:t>
      </w:r>
      <w:r>
        <w:rPr>
          <w:rFonts w:hint="eastAsia" w:ascii="宋体" w:hAnsi="宋体" w:cs="宋体"/>
          <w:kern w:val="0"/>
          <w:sz w:val="24"/>
        </w:rPr>
        <w:t>半干式呼吸管。</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8.2 </w:t>
      </w:r>
      <w:r>
        <w:rPr>
          <w:rFonts w:hint="eastAsia" w:ascii="宋体" w:hAnsi="宋体" w:cs="宋体"/>
          <w:kern w:val="0"/>
          <w:sz w:val="24"/>
        </w:rPr>
        <w:t>食用级硅胶咬嘴 符合食品级GB4806.6-2016规定。</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9. 气瓶</w:t>
      </w:r>
    </w:p>
    <w:p>
      <w:pPr>
        <w:spacing w:line="360" w:lineRule="auto"/>
        <w:ind w:firstLine="482" w:firstLineChars="200"/>
        <w:rPr>
          <w:rFonts w:ascii="宋体" w:hAnsi="宋体" w:cs="宋体"/>
          <w:kern w:val="0"/>
          <w:sz w:val="24"/>
        </w:rPr>
      </w:pPr>
      <w:r>
        <w:rPr>
          <w:rFonts w:hint="eastAsia" w:ascii="宋体" w:hAnsi="宋体" w:cs="宋体"/>
          <w:b/>
          <w:bCs/>
          <w:kern w:val="0"/>
          <w:sz w:val="24"/>
        </w:rPr>
        <w:t>9.1</w:t>
      </w:r>
      <w:r>
        <w:rPr>
          <w:rFonts w:hint="eastAsia" w:ascii="宋体" w:hAnsi="宋体" w:cs="宋体"/>
          <w:kern w:val="0"/>
          <w:sz w:val="24"/>
        </w:rPr>
        <w:t xml:space="preserve"> 材质参考：防锈及防爆全铝合,铜制瓶头,需配防爆安全阀；标准美制螺牙。</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9.2 </w:t>
      </w:r>
      <w:r>
        <w:rPr>
          <w:rFonts w:hint="eastAsia" w:ascii="宋体" w:hAnsi="宋体" w:cs="宋体"/>
          <w:kern w:val="0"/>
          <w:sz w:val="24"/>
        </w:rPr>
        <w:t>容量≥12L。</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9.3 </w:t>
      </w:r>
      <w:r>
        <w:rPr>
          <w:rFonts w:hint="eastAsia" w:ascii="宋体" w:hAnsi="宋体" w:cs="宋体"/>
          <w:kern w:val="0"/>
          <w:sz w:val="24"/>
        </w:rPr>
        <w:t>工作压力200Bar。</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10. 潜水配重</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10.1 </w:t>
      </w:r>
      <w:r>
        <w:rPr>
          <w:rFonts w:hint="eastAsia" w:ascii="宋体" w:hAnsi="宋体" w:cs="宋体"/>
          <w:kern w:val="0"/>
          <w:sz w:val="24"/>
        </w:rPr>
        <w:t>包胶配重每块重量不小于2kg。每组不少于6块；</w:t>
      </w:r>
    </w:p>
    <w:p>
      <w:pPr>
        <w:spacing w:line="360" w:lineRule="auto"/>
        <w:ind w:firstLine="482" w:firstLineChars="200"/>
        <w:rPr>
          <w:rFonts w:ascii="宋体" w:hAnsi="宋体" w:cs="宋体"/>
          <w:kern w:val="0"/>
          <w:sz w:val="24"/>
        </w:rPr>
      </w:pPr>
      <w:r>
        <w:rPr>
          <w:rFonts w:hint="eastAsia" w:ascii="宋体" w:hAnsi="宋体" w:cs="宋体"/>
          <w:b/>
          <w:bCs/>
          <w:kern w:val="0"/>
          <w:sz w:val="24"/>
        </w:rPr>
        <w:t>10.2</w:t>
      </w:r>
      <w:r>
        <w:rPr>
          <w:rFonts w:hint="eastAsia" w:ascii="宋体" w:hAnsi="宋体" w:cs="宋体"/>
          <w:kern w:val="0"/>
          <w:sz w:val="24"/>
        </w:rPr>
        <w:t xml:space="preserve"> 不低于1.5M/卷的腰带搭配不锈钢金属皮带扣。</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11. 潜水手电</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11.1 </w:t>
      </w:r>
      <w:r>
        <w:rPr>
          <w:rFonts w:hint="eastAsia" w:ascii="宋体" w:hAnsi="宋体" w:cs="宋体"/>
          <w:kern w:val="0"/>
          <w:sz w:val="24"/>
        </w:rPr>
        <w:t>战术手电设计。</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11.2 </w:t>
      </w:r>
      <w:r>
        <w:rPr>
          <w:rFonts w:hint="eastAsia" w:ascii="宋体" w:hAnsi="宋体" w:cs="宋体"/>
          <w:kern w:val="0"/>
          <w:sz w:val="24"/>
        </w:rPr>
        <w:t>亮度1200流明，不间断工作3小时 防水150M；</w:t>
      </w:r>
    </w:p>
    <w:p>
      <w:pPr>
        <w:spacing w:line="360" w:lineRule="auto"/>
        <w:ind w:firstLine="482" w:firstLineChars="200"/>
        <w:rPr>
          <w:rFonts w:ascii="宋体" w:hAnsi="宋体" w:cs="宋体"/>
          <w:kern w:val="0"/>
          <w:sz w:val="24"/>
        </w:rPr>
      </w:pPr>
      <w:r>
        <w:rPr>
          <w:rFonts w:hint="eastAsia" w:ascii="宋体" w:hAnsi="宋体" w:cs="宋体"/>
          <w:b/>
          <w:bCs/>
          <w:kern w:val="0"/>
          <w:sz w:val="24"/>
        </w:rPr>
        <w:t>11.3</w:t>
      </w:r>
      <w:r>
        <w:rPr>
          <w:rFonts w:hint="eastAsia" w:ascii="宋体" w:hAnsi="宋体" w:cs="宋体"/>
          <w:kern w:val="0"/>
          <w:sz w:val="24"/>
        </w:rPr>
        <w:t xml:space="preserve"> 具有绿/红灯电量提示功能。</w:t>
      </w:r>
    </w:p>
    <w:p>
      <w:pPr>
        <w:spacing w:line="360" w:lineRule="auto"/>
        <w:ind w:firstLine="482" w:firstLineChars="200"/>
        <w:rPr>
          <w:rFonts w:ascii="宋体" w:hAnsi="宋体" w:cs="宋体"/>
          <w:kern w:val="0"/>
          <w:sz w:val="24"/>
        </w:rPr>
      </w:pPr>
      <w:r>
        <w:rPr>
          <w:rFonts w:hint="eastAsia" w:ascii="宋体" w:hAnsi="宋体" w:cs="宋体"/>
          <w:b/>
          <w:bCs/>
          <w:kern w:val="0"/>
          <w:sz w:val="24"/>
        </w:rPr>
        <w:t>12.</w:t>
      </w:r>
      <w:r>
        <w:rPr>
          <w:rFonts w:hint="eastAsia" w:ascii="宋体" w:hAnsi="宋体" w:cs="宋体"/>
          <w:kern w:val="0"/>
          <w:sz w:val="24"/>
        </w:rPr>
        <w:t xml:space="preserve"> </w:t>
      </w:r>
      <w:r>
        <w:rPr>
          <w:rFonts w:hint="eastAsia" w:ascii="宋体" w:hAnsi="宋体" w:cs="宋体"/>
          <w:b/>
          <w:bCs/>
          <w:kern w:val="0"/>
          <w:sz w:val="24"/>
        </w:rPr>
        <w:t>三联表</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12.1 </w:t>
      </w:r>
      <w:r>
        <w:rPr>
          <w:rFonts w:hint="eastAsia" w:ascii="宋体" w:hAnsi="宋体" w:cs="宋体"/>
          <w:kern w:val="0"/>
          <w:sz w:val="24"/>
        </w:rPr>
        <w:t xml:space="preserve"> 带有深度表和压力表的仪表板，还有配套的专用指北针。</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12.2 </w:t>
      </w:r>
      <w:r>
        <w:rPr>
          <w:rFonts w:hint="eastAsia" w:ascii="宋体" w:hAnsi="宋体" w:cs="宋体"/>
          <w:kern w:val="0"/>
          <w:sz w:val="24"/>
        </w:rPr>
        <w:t xml:space="preserve"> 三个表的盘面在同一面，方便数据读取。</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 12.3 </w:t>
      </w:r>
      <w:r>
        <w:rPr>
          <w:rFonts w:hint="eastAsia" w:ascii="宋体" w:hAnsi="宋体" w:cs="宋体"/>
          <w:kern w:val="0"/>
          <w:sz w:val="24"/>
        </w:rPr>
        <w:t xml:space="preserve"> 压力表读数≥450Bar。</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 12.4 </w:t>
      </w:r>
      <w:r>
        <w:rPr>
          <w:rFonts w:hint="eastAsia" w:ascii="宋体" w:hAnsi="宋体" w:cs="宋体"/>
          <w:kern w:val="0"/>
          <w:sz w:val="24"/>
        </w:rPr>
        <w:t xml:space="preserve"> 深度表读数≥80米。</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13. 潜水靴</w:t>
      </w:r>
    </w:p>
    <w:p>
      <w:pPr>
        <w:spacing w:line="360" w:lineRule="auto"/>
        <w:ind w:firstLine="482" w:firstLineChars="200"/>
        <w:rPr>
          <w:rFonts w:ascii="宋体" w:hAnsi="宋体" w:cs="宋体"/>
          <w:kern w:val="0"/>
          <w:sz w:val="24"/>
        </w:rPr>
      </w:pPr>
      <w:r>
        <w:rPr>
          <w:rFonts w:hint="eastAsia" w:ascii="宋体" w:hAnsi="宋体" w:cs="宋体"/>
          <w:b/>
          <w:bCs/>
          <w:kern w:val="0"/>
          <w:sz w:val="24"/>
        </w:rPr>
        <w:t>13.1</w:t>
      </w:r>
      <w:r>
        <w:rPr>
          <w:rFonts w:hint="eastAsia" w:ascii="宋体" w:hAnsi="宋体" w:cs="宋体"/>
          <w:kern w:val="0"/>
          <w:sz w:val="24"/>
        </w:rPr>
        <w:t xml:space="preserve"> 总厚度5MM氯丁橡胶，拉链侧开，方便穿脱。</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13.2 </w:t>
      </w:r>
      <w:r>
        <w:rPr>
          <w:rFonts w:hint="eastAsia" w:ascii="宋体" w:hAnsi="宋体" w:cs="宋体"/>
          <w:kern w:val="0"/>
          <w:sz w:val="24"/>
        </w:rPr>
        <w:t xml:space="preserve"> 鞋字底部及四周均有橡胶硫化工艺，鞋尖部增加防撞功能，鞋跟后部，橡胶突出点，可以挂脚蹼，增加服贴度。</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14. 潜水手套</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14.1 </w:t>
      </w:r>
      <w:r>
        <w:rPr>
          <w:rFonts w:hint="eastAsia" w:ascii="宋体" w:hAnsi="宋体" w:cs="宋体"/>
          <w:kern w:val="0"/>
          <w:sz w:val="24"/>
        </w:rPr>
        <w:t>厚度：≥3mm。</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14.2 </w:t>
      </w:r>
      <w:r>
        <w:rPr>
          <w:rFonts w:hint="eastAsia" w:ascii="宋体" w:hAnsi="宋体" w:cs="宋体"/>
          <w:kern w:val="0"/>
          <w:sz w:val="24"/>
        </w:rPr>
        <w:t>材料：氯丁橡胶材料。</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14.3 </w:t>
      </w:r>
      <w:r>
        <w:rPr>
          <w:rFonts w:hint="eastAsia" w:ascii="宋体" w:hAnsi="宋体" w:cs="宋体"/>
          <w:kern w:val="0"/>
          <w:sz w:val="24"/>
        </w:rPr>
        <w:t>五指型，手指灵活、防磨防滑以及优越的保温效果。</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15. 干式潜水服</w:t>
      </w:r>
    </w:p>
    <w:p>
      <w:pPr>
        <w:spacing w:line="360" w:lineRule="auto"/>
        <w:ind w:firstLine="482" w:firstLineChars="200"/>
        <w:rPr>
          <w:rFonts w:ascii="宋体" w:hAnsi="宋体" w:cs="宋体"/>
          <w:kern w:val="0"/>
          <w:sz w:val="24"/>
        </w:rPr>
      </w:pPr>
      <w:r>
        <w:rPr>
          <w:rFonts w:hint="eastAsia" w:ascii="宋体" w:hAnsi="宋体" w:cs="宋体"/>
          <w:b/>
          <w:bCs/>
          <w:kern w:val="0"/>
          <w:sz w:val="24"/>
        </w:rPr>
        <w:t>15.1</w:t>
      </w:r>
      <w:r>
        <w:rPr>
          <w:rFonts w:hint="eastAsia" w:ascii="宋体" w:hAnsi="宋体" w:cs="宋体"/>
          <w:kern w:val="0"/>
          <w:sz w:val="24"/>
        </w:rPr>
        <w:t xml:space="preserve">  整体采用三层超轻质纤维材料叠加制造，材料外表可以消除水流摩擦，内部人体学工程设计和 PU 贴胶工艺，可保持潜水衣内部干燥。</w:t>
      </w:r>
    </w:p>
    <w:p>
      <w:pPr>
        <w:spacing w:line="360" w:lineRule="auto"/>
        <w:ind w:firstLine="482" w:firstLineChars="200"/>
        <w:rPr>
          <w:rFonts w:ascii="宋体" w:hAnsi="宋体" w:cs="宋体"/>
          <w:kern w:val="0"/>
          <w:sz w:val="24"/>
        </w:rPr>
      </w:pPr>
      <w:r>
        <w:rPr>
          <w:rFonts w:hint="eastAsia" w:ascii="宋体" w:hAnsi="宋体" w:cs="宋体"/>
          <w:b/>
          <w:bCs/>
          <w:kern w:val="0"/>
          <w:sz w:val="24"/>
        </w:rPr>
        <w:t>15.2</w:t>
      </w:r>
      <w:r>
        <w:rPr>
          <w:rFonts w:hint="eastAsia" w:ascii="宋体" w:hAnsi="宋体" w:cs="宋体"/>
          <w:kern w:val="0"/>
          <w:sz w:val="24"/>
        </w:rPr>
        <w:t xml:space="preserve">  凯夫拉防护肩膀，膝盖和肩膀后面增强的设计，耐磨且灵活。</w:t>
      </w:r>
    </w:p>
    <w:p>
      <w:pPr>
        <w:spacing w:line="360" w:lineRule="auto"/>
        <w:ind w:firstLine="482" w:firstLineChars="200"/>
        <w:rPr>
          <w:rFonts w:ascii="宋体" w:hAnsi="宋体" w:cs="宋体"/>
          <w:kern w:val="0"/>
          <w:sz w:val="24"/>
        </w:rPr>
      </w:pPr>
      <w:r>
        <w:rPr>
          <w:rFonts w:hint="eastAsia" w:ascii="宋体" w:hAnsi="宋体" w:cs="宋体"/>
          <w:b/>
          <w:bCs/>
          <w:kern w:val="0"/>
          <w:sz w:val="24"/>
        </w:rPr>
        <w:t>15.3</w:t>
      </w:r>
      <w:r>
        <w:rPr>
          <w:rFonts w:hint="eastAsia" w:ascii="宋体" w:hAnsi="宋体" w:cs="宋体"/>
          <w:kern w:val="0"/>
          <w:sz w:val="24"/>
        </w:rPr>
        <w:t xml:space="preserve">  两个前置塑料防水拉链，可调腰带和裆带，可调式预装弹力大而舒适的吊带，方便调整穿着,适合不同人体体型。</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15.4  </w:t>
      </w:r>
      <w:r>
        <w:rPr>
          <w:rFonts w:hint="eastAsia" w:ascii="宋体" w:hAnsi="宋体" w:cs="宋体"/>
          <w:kern w:val="0"/>
          <w:sz w:val="24"/>
        </w:rPr>
        <w:t>硬质鞋底，厚度4mm,加固的鞋背配以魔术贴完美闭合。</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15.5 </w:t>
      </w:r>
      <w:r>
        <w:rPr>
          <w:rFonts w:hint="eastAsia" w:ascii="宋体" w:hAnsi="宋体" w:cs="宋体"/>
          <w:kern w:val="0"/>
          <w:sz w:val="24"/>
        </w:rPr>
        <w:t xml:space="preserve"> 在身体侧分别有2个口袋，配有 D 型环可挂潜水手电、工具袋等。</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15.6 </w:t>
      </w:r>
      <w:r>
        <w:rPr>
          <w:rFonts w:hint="eastAsia" w:ascii="宋体" w:hAnsi="宋体" w:cs="宋体"/>
          <w:kern w:val="0"/>
          <w:sz w:val="24"/>
        </w:rPr>
        <w:t xml:space="preserve"> 颈部周围干燥密封，罩盖完全覆盖，避免水分暴露。</w:t>
      </w:r>
    </w:p>
    <w:p>
      <w:pPr>
        <w:spacing w:line="360" w:lineRule="auto"/>
        <w:ind w:firstLine="482" w:firstLineChars="200"/>
        <w:rPr>
          <w:rFonts w:ascii="宋体" w:hAnsi="宋体" w:cs="宋体"/>
          <w:kern w:val="0"/>
          <w:sz w:val="24"/>
        </w:rPr>
      </w:pPr>
      <w:r>
        <w:rPr>
          <w:rFonts w:hint="eastAsia" w:ascii="宋体" w:hAnsi="宋体" w:cs="宋体"/>
          <w:b/>
          <w:bCs/>
          <w:kern w:val="0"/>
          <w:sz w:val="24"/>
        </w:rPr>
        <w:t>15.7</w:t>
      </w:r>
      <w:r>
        <w:rPr>
          <w:rFonts w:hint="eastAsia" w:ascii="宋体" w:hAnsi="宋体" w:cs="宋体"/>
          <w:kern w:val="0"/>
          <w:sz w:val="24"/>
        </w:rPr>
        <w:t xml:space="preserve">  冬天可加保暖内衣使用，夏天可单独使用。</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16. 保暖底衣</w:t>
      </w:r>
    </w:p>
    <w:p>
      <w:pPr>
        <w:spacing w:line="360" w:lineRule="auto"/>
        <w:ind w:firstLine="482" w:firstLineChars="200"/>
        <w:rPr>
          <w:rFonts w:ascii="宋体" w:hAnsi="宋体" w:cs="宋体"/>
          <w:kern w:val="0"/>
          <w:sz w:val="24"/>
        </w:rPr>
      </w:pPr>
      <w:r>
        <w:rPr>
          <w:rFonts w:hint="eastAsia" w:ascii="宋体" w:hAnsi="宋体" w:cs="宋体"/>
          <w:b/>
          <w:bCs/>
          <w:kern w:val="0"/>
          <w:sz w:val="24"/>
        </w:rPr>
        <w:t>16.1</w:t>
      </w:r>
      <w:r>
        <w:rPr>
          <w:rFonts w:hint="eastAsia" w:ascii="宋体" w:hAnsi="宋体" w:cs="宋体"/>
          <w:kern w:val="0"/>
          <w:sz w:val="24"/>
        </w:rPr>
        <w:t xml:space="preserve"> 内里为200GSM保暖棉，提供良好保温效果。</w:t>
      </w:r>
    </w:p>
    <w:p>
      <w:pPr>
        <w:spacing w:line="360" w:lineRule="auto"/>
        <w:ind w:firstLine="482" w:firstLineChars="200"/>
        <w:rPr>
          <w:rFonts w:ascii="宋体" w:hAnsi="宋体" w:cs="宋体"/>
          <w:kern w:val="0"/>
          <w:sz w:val="24"/>
        </w:rPr>
      </w:pPr>
      <w:r>
        <w:rPr>
          <w:rFonts w:hint="eastAsia" w:ascii="宋体" w:hAnsi="宋体" w:cs="宋体"/>
          <w:b/>
          <w:bCs/>
          <w:kern w:val="0"/>
          <w:sz w:val="24"/>
        </w:rPr>
        <w:t>16.2</w:t>
      </w:r>
      <w:r>
        <w:rPr>
          <w:rFonts w:hint="eastAsia" w:ascii="宋体" w:hAnsi="宋体" w:cs="宋体"/>
          <w:kern w:val="0"/>
          <w:sz w:val="24"/>
        </w:rPr>
        <w:t xml:space="preserve"> 外表面420D防泼水布料，菱形格车缝设计，与身体完美贴合。</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16.3 </w:t>
      </w:r>
      <w:r>
        <w:rPr>
          <w:rFonts w:hint="eastAsia" w:ascii="宋体" w:hAnsi="宋体" w:cs="宋体"/>
          <w:kern w:val="0"/>
          <w:sz w:val="24"/>
        </w:rPr>
        <w:t>前置拉链，方便穿着。</w:t>
      </w:r>
    </w:p>
    <w:p>
      <w:pPr>
        <w:spacing w:line="360" w:lineRule="auto"/>
        <w:ind w:firstLine="482" w:firstLineChars="200"/>
        <w:rPr>
          <w:rFonts w:ascii="宋体" w:hAnsi="宋体" w:cs="宋体"/>
          <w:kern w:val="0"/>
          <w:sz w:val="24"/>
        </w:rPr>
      </w:pPr>
      <w:r>
        <w:rPr>
          <w:rFonts w:hint="eastAsia" w:ascii="宋体" w:hAnsi="宋体" w:cs="宋体"/>
          <w:b/>
          <w:bCs/>
          <w:kern w:val="0"/>
          <w:sz w:val="24"/>
        </w:rPr>
        <w:t>16.4</w:t>
      </w:r>
      <w:r>
        <w:rPr>
          <w:rFonts w:hint="eastAsia" w:ascii="宋体" w:hAnsi="宋体" w:cs="宋体"/>
          <w:kern w:val="0"/>
          <w:sz w:val="24"/>
        </w:rPr>
        <w:t xml:space="preserve"> 腰部配有固定腰带。</w:t>
      </w:r>
    </w:p>
    <w:p>
      <w:pPr>
        <w:spacing w:line="360" w:lineRule="auto"/>
        <w:ind w:firstLine="482" w:firstLineChars="200"/>
        <w:rPr>
          <w:rFonts w:ascii="宋体" w:hAnsi="宋体" w:cs="宋体"/>
          <w:kern w:val="0"/>
          <w:sz w:val="24"/>
        </w:rPr>
      </w:pPr>
      <w:r>
        <w:rPr>
          <w:rFonts w:hint="eastAsia" w:ascii="宋体" w:hAnsi="宋体" w:cs="宋体"/>
          <w:b/>
          <w:bCs/>
          <w:kern w:val="0"/>
          <w:sz w:val="24"/>
        </w:rPr>
        <w:t xml:space="preserve">16.5 </w:t>
      </w:r>
      <w:r>
        <w:rPr>
          <w:rFonts w:hint="eastAsia" w:ascii="宋体" w:hAnsi="宋体" w:cs="宋体"/>
          <w:kern w:val="0"/>
          <w:sz w:val="24"/>
        </w:rPr>
        <w:t>脚腕处有踩脚设计，防止裤管上下滑动。</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17. 潜水刀</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 xml:space="preserve">17.1 </w:t>
      </w:r>
      <w:r>
        <w:rPr>
          <w:rFonts w:hint="eastAsia" w:ascii="宋体" w:hAnsi="宋体" w:cs="宋体"/>
          <w:kern w:val="0"/>
          <w:sz w:val="24"/>
        </w:rPr>
        <w:t>总长度≥25.0cm，刀刃长度≥12.0cm，刀刃带钩口。</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 xml:space="preserve">17.2 </w:t>
      </w:r>
      <w:r>
        <w:rPr>
          <w:rFonts w:hint="eastAsia" w:ascii="宋体" w:hAnsi="宋体" w:cs="宋体"/>
          <w:kern w:val="0"/>
          <w:sz w:val="24"/>
        </w:rPr>
        <w:t>TPR柔软性手柄，钛合金材质。</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17.3</w:t>
      </w:r>
      <w:r>
        <w:rPr>
          <w:rFonts w:hint="eastAsia" w:ascii="宋体" w:hAnsi="宋体" w:cs="宋体"/>
          <w:kern w:val="0"/>
          <w:sz w:val="24"/>
        </w:rPr>
        <w:t xml:space="preserve"> 带有不少于2根绑带。</w:t>
      </w:r>
    </w:p>
    <w:p>
      <w:pPr>
        <w:adjustRightInd w:val="0"/>
        <w:snapToGrid w:val="0"/>
        <w:spacing w:line="360" w:lineRule="auto"/>
        <w:ind w:firstLine="482" w:firstLineChars="200"/>
        <w:rPr>
          <w:rFonts w:ascii="宋体" w:hAnsi="宋体" w:cs="宋体"/>
          <w:b/>
          <w:bCs/>
          <w:kern w:val="0"/>
          <w:sz w:val="24"/>
        </w:rPr>
      </w:pPr>
      <w:r>
        <w:rPr>
          <w:rFonts w:hint="eastAsia" w:ascii="宋体" w:hAnsi="宋体" w:cs="宋体"/>
          <w:b/>
          <w:bCs/>
          <w:kern w:val="0"/>
          <w:sz w:val="24"/>
        </w:rPr>
        <w:t>18. 潜水头套</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 xml:space="preserve">18.1 </w:t>
      </w:r>
      <w:r>
        <w:rPr>
          <w:rFonts w:hint="eastAsia" w:ascii="宋体" w:hAnsi="宋体" w:cs="宋体"/>
          <w:kern w:val="0"/>
          <w:sz w:val="24"/>
        </w:rPr>
        <w:t>厚度：≥3mm。</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 xml:space="preserve">18.2 </w:t>
      </w:r>
      <w:r>
        <w:rPr>
          <w:rFonts w:hint="eastAsia" w:ascii="宋体" w:hAnsi="宋体" w:cs="宋体"/>
          <w:kern w:val="0"/>
          <w:sz w:val="24"/>
        </w:rPr>
        <w:t>材料：SCR氯丁橡胶材料。</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18.3</w:t>
      </w:r>
      <w:r>
        <w:rPr>
          <w:rFonts w:hint="eastAsia" w:ascii="宋体" w:hAnsi="宋体" w:cs="宋体"/>
          <w:kern w:val="0"/>
          <w:sz w:val="24"/>
        </w:rPr>
        <w:t xml:space="preserve"> 头顶有不少于2个透气孔。</w:t>
      </w:r>
    </w:p>
    <w:p>
      <w:pPr>
        <w:adjustRightInd w:val="0"/>
        <w:snapToGrid w:val="0"/>
        <w:spacing w:line="360" w:lineRule="auto"/>
        <w:ind w:firstLine="482" w:firstLineChars="200"/>
        <w:rPr>
          <w:rFonts w:ascii="宋体" w:hAnsi="宋体" w:cs="宋体"/>
          <w:b/>
          <w:bCs/>
          <w:kern w:val="0"/>
          <w:sz w:val="24"/>
        </w:rPr>
      </w:pPr>
      <w:r>
        <w:rPr>
          <w:rFonts w:hint="eastAsia" w:ascii="宋体" w:hAnsi="宋体" w:cs="宋体"/>
          <w:b/>
          <w:bCs/>
          <w:kern w:val="0"/>
          <w:sz w:val="24"/>
        </w:rPr>
        <w:t xml:space="preserve">19. 潜水电脑表 </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19.1</w:t>
      </w:r>
      <w:r>
        <w:rPr>
          <w:rFonts w:hint="eastAsia" w:ascii="宋体" w:hAnsi="宋体" w:cs="宋体"/>
          <w:kern w:val="0"/>
          <w:sz w:val="24"/>
        </w:rPr>
        <w:t xml:space="preserve">  中文界面 LED显示屏。</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 xml:space="preserve">19.2 </w:t>
      </w:r>
      <w:r>
        <w:rPr>
          <w:rFonts w:hint="eastAsia" w:ascii="宋体" w:hAnsi="宋体" w:cs="宋体"/>
          <w:kern w:val="0"/>
          <w:sz w:val="24"/>
        </w:rPr>
        <w:t xml:space="preserve"> 潜水深度≥90M。</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 xml:space="preserve">19.3 </w:t>
      </w:r>
      <w:r>
        <w:rPr>
          <w:rFonts w:hint="eastAsia" w:ascii="宋体" w:hAnsi="宋体" w:cs="宋体"/>
          <w:kern w:val="0"/>
          <w:sz w:val="24"/>
        </w:rPr>
        <w:t xml:space="preserve"> 潜水日志存储≥200条。</w:t>
      </w:r>
    </w:p>
    <w:p>
      <w:pPr>
        <w:adjustRightInd w:val="0"/>
        <w:snapToGrid w:val="0"/>
        <w:spacing w:line="360" w:lineRule="auto"/>
        <w:ind w:firstLine="482" w:firstLineChars="200"/>
        <w:rPr>
          <w:rFonts w:ascii="宋体" w:hAnsi="宋体" w:cs="宋体"/>
          <w:b/>
          <w:bCs/>
          <w:kern w:val="0"/>
          <w:sz w:val="24"/>
        </w:rPr>
      </w:pPr>
      <w:r>
        <w:rPr>
          <w:rFonts w:hint="eastAsia" w:ascii="宋体" w:hAnsi="宋体" w:cs="宋体"/>
          <w:b/>
          <w:bCs/>
          <w:kern w:val="0"/>
          <w:sz w:val="24"/>
        </w:rPr>
        <w:t>20. 潜水装备包</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 xml:space="preserve">20.1 </w:t>
      </w:r>
      <w:r>
        <w:rPr>
          <w:rFonts w:hint="eastAsia" w:ascii="宋体" w:hAnsi="宋体" w:cs="宋体"/>
          <w:kern w:val="0"/>
          <w:sz w:val="24"/>
        </w:rPr>
        <w:t>容量≥100L。</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20.2</w:t>
      </w:r>
      <w:r>
        <w:rPr>
          <w:rFonts w:hint="eastAsia" w:ascii="宋体" w:hAnsi="宋体" w:cs="宋体"/>
          <w:kern w:val="0"/>
          <w:sz w:val="24"/>
        </w:rPr>
        <w:t xml:space="preserve"> 大锯齿尼龙拉链 顺滑不卡齿 。</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20.3</w:t>
      </w:r>
      <w:r>
        <w:rPr>
          <w:rFonts w:hint="eastAsia" w:ascii="宋体" w:hAnsi="宋体" w:cs="宋体"/>
          <w:kern w:val="0"/>
          <w:sz w:val="24"/>
        </w:rPr>
        <w:t xml:space="preserve"> 1680D耐磨牛津布，抗撕烈。</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kern w:val="0"/>
          <w:sz w:val="24"/>
        </w:rPr>
        <w:t>20.4</w:t>
      </w:r>
      <w:r>
        <w:rPr>
          <w:rFonts w:hint="eastAsia" w:ascii="宋体" w:hAnsi="宋体" w:cs="宋体"/>
          <w:kern w:val="0"/>
          <w:sz w:val="24"/>
        </w:rPr>
        <w:t xml:space="preserve"> 大拖轮航空铝拉杆可放下整套潜水装备。</w:t>
      </w:r>
    </w:p>
    <w:p>
      <w:pPr>
        <w:adjustRightInd w:val="0"/>
        <w:snapToGrid w:val="0"/>
        <w:spacing w:line="360" w:lineRule="auto"/>
        <w:ind w:firstLine="482" w:firstLineChars="200"/>
        <w:rPr>
          <w:rFonts w:ascii="宋体" w:hAnsi="宋体" w:cs="宋体"/>
          <w:bCs/>
          <w:sz w:val="24"/>
        </w:rPr>
      </w:pPr>
      <w:r>
        <w:rPr>
          <w:rFonts w:hint="eastAsia" w:ascii="宋体" w:hAnsi="宋体" w:cs="宋体"/>
          <w:b/>
          <w:sz w:val="24"/>
        </w:rPr>
        <w:t>20.5</w:t>
      </w:r>
      <w:r>
        <w:rPr>
          <w:rFonts w:hint="eastAsia" w:ascii="宋体" w:hAnsi="宋体" w:cs="宋体"/>
          <w:bCs/>
          <w:sz w:val="24"/>
        </w:rPr>
        <w:t xml:space="preserve">  产品具有清晰耐久标志（执行标准、型号、规格；生产厂的名称或商标；生产厂的识别编号、制造时间）和RFID芯片（内容根据采购方需要填写）。</w:t>
      </w:r>
    </w:p>
    <w:p>
      <w:pPr>
        <w:tabs>
          <w:tab w:val="center" w:pos="4365"/>
          <w:tab w:val="left" w:pos="6221"/>
        </w:tabs>
        <w:spacing w:before="120" w:beforeLines="50" w:after="120" w:afterLines="50" w:line="360" w:lineRule="auto"/>
        <w:ind w:firstLine="482" w:firstLineChars="200"/>
        <w:jc w:val="left"/>
        <w:rPr>
          <w:rFonts w:ascii="宋体" w:hAnsi="宋体" w:cs="宋体"/>
          <w:b/>
          <w:bCs/>
          <w:sz w:val="24"/>
        </w:rPr>
      </w:pPr>
      <w:r>
        <w:rPr>
          <w:rFonts w:hint="eastAsia" w:ascii="宋体" w:hAnsi="宋体" w:cs="宋体"/>
          <w:b/>
          <w:bCs/>
          <w:sz w:val="24"/>
        </w:rPr>
        <w:t>1-3  湿式轻型潜水装具</w:t>
      </w:r>
      <w:r>
        <w:rPr>
          <w:rFonts w:hint="eastAsia" w:ascii="宋体" w:hAnsi="宋体"/>
          <w:b/>
          <w:sz w:val="24"/>
        </w:rPr>
        <w:t>【技术指标计47项】</w:t>
      </w:r>
    </w:p>
    <w:p>
      <w:pPr>
        <w:pStyle w:val="190"/>
        <w:ind w:firstLine="482"/>
        <w:rPr>
          <w:rFonts w:ascii="宋体" w:hAnsi="宋体" w:cs="宋体"/>
          <w:color w:val="auto"/>
          <w:sz w:val="24"/>
          <w:szCs w:val="24"/>
        </w:rPr>
      </w:pPr>
      <w:r>
        <w:rPr>
          <w:rFonts w:hint="eastAsia" w:ascii="宋体" w:hAnsi="宋体" w:cs="宋体"/>
          <w:b/>
          <w:bCs/>
          <w:color w:val="auto"/>
          <w:sz w:val="24"/>
          <w:szCs w:val="24"/>
        </w:rPr>
        <w:t>1.符合</w:t>
      </w:r>
      <w:r>
        <w:rPr>
          <w:rFonts w:hint="eastAsia" w:ascii="宋体" w:hAnsi="宋体" w:cs="宋体"/>
          <w:color w:val="auto"/>
          <w:sz w:val="24"/>
          <w:szCs w:val="24"/>
        </w:rPr>
        <w:t>JT/T207-2008 《69-Ⅲ型轻潜水装具》标准的有关要求，主要部件提供国家消防装备质量监督检验中心或其他国家认证认可具有检测资质检测机构出具的有效检验检测报告复印件或扫描件，主要用于夏季或较为洁净水域的水下救援使用。</w:t>
      </w:r>
    </w:p>
    <w:p>
      <w:pPr>
        <w:pStyle w:val="190"/>
        <w:ind w:firstLine="482"/>
        <w:rPr>
          <w:rFonts w:ascii="宋体" w:hAnsi="宋体" w:cs="宋体"/>
          <w:color w:val="auto"/>
          <w:sz w:val="24"/>
          <w:szCs w:val="24"/>
        </w:rPr>
      </w:pPr>
      <w:r>
        <w:rPr>
          <w:rFonts w:hint="eastAsia" w:ascii="宋体" w:hAnsi="宋体" w:cs="宋体"/>
          <w:b/>
          <w:bCs/>
          <w:color w:val="auto"/>
          <w:sz w:val="24"/>
          <w:szCs w:val="24"/>
        </w:rPr>
        <w:t>2.每套至少包括：</w:t>
      </w:r>
      <w:r>
        <w:rPr>
          <w:rFonts w:hint="eastAsia" w:ascii="宋体" w:hAnsi="宋体" w:cs="宋体"/>
          <w:color w:val="auto"/>
          <w:sz w:val="24"/>
          <w:szCs w:val="24"/>
        </w:rPr>
        <w:t>呼吸调节器1套、浮力背心1套、面镜1副、呼吸管1根，气瓶1个、潜水配重带及扣1套、潜水铅块6块、脚蹼1双、潜水手电1个、三联表1个、潜水靴1双、潜水手套1副、湿式潜水服1套、潜水刀1把、头套1个、潜水手表1个、及装备箱1个。</w:t>
      </w:r>
    </w:p>
    <w:p>
      <w:pPr>
        <w:pStyle w:val="190"/>
        <w:ind w:left="420" w:leftChars="200" w:firstLine="0" w:firstLineChars="0"/>
        <w:rPr>
          <w:rFonts w:ascii="宋体" w:hAnsi="宋体" w:cs="宋体"/>
          <w:b/>
          <w:bCs/>
          <w:color w:val="auto"/>
          <w:sz w:val="24"/>
          <w:szCs w:val="24"/>
        </w:rPr>
      </w:pPr>
      <w:r>
        <w:rPr>
          <w:rFonts w:hint="eastAsia" w:ascii="宋体" w:hAnsi="宋体" w:cs="宋体"/>
          <w:b/>
          <w:bCs/>
          <w:color w:val="auto"/>
          <w:sz w:val="24"/>
          <w:szCs w:val="24"/>
        </w:rPr>
        <w:t>3. 呼吸调节器</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 3.1 </w:t>
      </w:r>
      <w:r>
        <w:rPr>
          <w:rFonts w:hint="eastAsia" w:ascii="宋体" w:hAnsi="宋体" w:cs="宋体"/>
          <w:color w:val="auto"/>
          <w:sz w:val="24"/>
          <w:szCs w:val="24"/>
        </w:rPr>
        <w:t>活塞式一级调节器工作压力≥200Bar；工作流量不低于2000L/min 标准的活塞式，配备1个高压端口、4个低压端口。</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3.2 </w:t>
      </w:r>
      <w:r>
        <w:rPr>
          <w:rFonts w:hint="eastAsia" w:ascii="宋体" w:hAnsi="宋体" w:cs="宋体"/>
          <w:color w:val="auto"/>
          <w:sz w:val="24"/>
          <w:szCs w:val="24"/>
        </w:rPr>
        <w:t>二级头：平衡式二级头，可配合一级头使用。</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3.3 </w:t>
      </w:r>
      <w:r>
        <w:rPr>
          <w:rFonts w:hint="eastAsia" w:ascii="宋体" w:hAnsi="宋体" w:cs="宋体"/>
          <w:color w:val="auto"/>
          <w:sz w:val="24"/>
          <w:szCs w:val="24"/>
        </w:rPr>
        <w:t xml:space="preserve">配有备用二级头 </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 xml:space="preserve">4. 脚蹼 </w:t>
      </w:r>
    </w:p>
    <w:p>
      <w:pPr>
        <w:pStyle w:val="190"/>
        <w:ind w:firstLine="482"/>
        <w:rPr>
          <w:rFonts w:ascii="宋体" w:hAnsi="宋体" w:cs="宋体"/>
          <w:color w:val="auto"/>
          <w:sz w:val="24"/>
          <w:szCs w:val="24"/>
        </w:rPr>
      </w:pPr>
      <w:r>
        <w:rPr>
          <w:rFonts w:hint="eastAsia" w:ascii="宋体" w:hAnsi="宋体" w:cs="宋体"/>
          <w:b/>
          <w:bCs/>
          <w:color w:val="auto"/>
          <w:sz w:val="24"/>
          <w:szCs w:val="24"/>
        </w:rPr>
        <w:t>4.1</w:t>
      </w:r>
      <w:r>
        <w:rPr>
          <w:rFonts w:hint="eastAsia" w:ascii="宋体" w:hAnsi="宋体" w:cs="宋体"/>
          <w:color w:val="auto"/>
          <w:sz w:val="24"/>
          <w:szCs w:val="24"/>
        </w:rPr>
        <w:t xml:space="preserve"> 脚蹼，橡胶+TPR复合材质，为加强推进力和高效踢动需求，踢动时最大程度降低垂直上方的阻力。弹簧鞋带、调节式快卸搭扣，可单手便利脱除脚蹼，四导流槽，为技术潜水提供所需动力。</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5. 浮力背心</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5.1 </w:t>
      </w:r>
      <w:r>
        <w:rPr>
          <w:rFonts w:hint="eastAsia" w:ascii="宋体" w:hAnsi="宋体" w:cs="宋体"/>
          <w:color w:val="auto"/>
          <w:sz w:val="24"/>
          <w:szCs w:val="24"/>
        </w:rPr>
        <w:t>不少于3个排气阀；前胸不少于2个塑料挂物扣；可调节腰带并配有紧急呼吸用的口承装置。</w:t>
      </w:r>
    </w:p>
    <w:p>
      <w:pPr>
        <w:pStyle w:val="190"/>
        <w:ind w:firstLine="482"/>
        <w:rPr>
          <w:rFonts w:ascii="宋体" w:hAnsi="宋体" w:cs="宋体"/>
          <w:color w:val="auto"/>
          <w:sz w:val="24"/>
          <w:szCs w:val="24"/>
        </w:rPr>
      </w:pPr>
      <w:r>
        <w:rPr>
          <w:rFonts w:hint="eastAsia" w:ascii="宋体" w:hAnsi="宋体" w:cs="宋体"/>
          <w:b/>
          <w:bCs/>
          <w:color w:val="auto"/>
          <w:sz w:val="24"/>
          <w:szCs w:val="24"/>
        </w:rPr>
        <w:t>5.2</w:t>
      </w:r>
      <w:r>
        <w:rPr>
          <w:rFonts w:hint="eastAsia" w:ascii="宋体" w:hAnsi="宋体" w:cs="宋体"/>
          <w:color w:val="auto"/>
          <w:sz w:val="24"/>
          <w:szCs w:val="24"/>
        </w:rPr>
        <w:t xml:space="preserve"> 下浮力≥200kg。</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6. 潜水面镜</w:t>
      </w:r>
    </w:p>
    <w:p>
      <w:pPr>
        <w:pStyle w:val="190"/>
        <w:ind w:firstLine="482"/>
        <w:rPr>
          <w:rFonts w:ascii="宋体" w:hAnsi="宋体" w:cs="宋体"/>
          <w:color w:val="auto"/>
          <w:sz w:val="24"/>
          <w:szCs w:val="24"/>
        </w:rPr>
      </w:pPr>
      <w:r>
        <w:rPr>
          <w:rFonts w:hint="eastAsia" w:ascii="宋体" w:hAnsi="宋体" w:cs="宋体"/>
          <w:b/>
          <w:bCs/>
          <w:color w:val="auto"/>
          <w:sz w:val="24"/>
          <w:szCs w:val="24"/>
        </w:rPr>
        <w:t>6.1</w:t>
      </w:r>
      <w:r>
        <w:rPr>
          <w:rFonts w:hint="eastAsia" w:ascii="宋体" w:hAnsi="宋体" w:cs="宋体"/>
          <w:color w:val="auto"/>
          <w:sz w:val="24"/>
          <w:szCs w:val="24"/>
        </w:rPr>
        <w:t xml:space="preserve"> 一体单镜片，大视野视角。</w:t>
      </w:r>
    </w:p>
    <w:p>
      <w:pPr>
        <w:pStyle w:val="190"/>
        <w:ind w:firstLine="482"/>
        <w:rPr>
          <w:rFonts w:ascii="宋体" w:hAnsi="宋体" w:cs="宋体"/>
          <w:color w:val="auto"/>
          <w:sz w:val="24"/>
          <w:szCs w:val="24"/>
        </w:rPr>
      </w:pPr>
      <w:r>
        <w:rPr>
          <w:rFonts w:hint="eastAsia" w:ascii="宋体" w:hAnsi="宋体" w:cs="宋体"/>
          <w:b/>
          <w:bCs/>
          <w:color w:val="auto"/>
          <w:sz w:val="24"/>
          <w:szCs w:val="24"/>
        </w:rPr>
        <w:t>6.2</w:t>
      </w:r>
      <w:r>
        <w:rPr>
          <w:rFonts w:hint="eastAsia" w:ascii="宋体" w:hAnsi="宋体" w:cs="宋体"/>
          <w:color w:val="auto"/>
          <w:sz w:val="24"/>
          <w:szCs w:val="24"/>
        </w:rPr>
        <w:t xml:space="preserve">  硅胶裙边，可调节硅胶面镜带。</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7. 呼吸管</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7.1 </w:t>
      </w:r>
      <w:r>
        <w:rPr>
          <w:rFonts w:hint="eastAsia" w:ascii="宋体" w:hAnsi="宋体" w:cs="宋体"/>
          <w:color w:val="auto"/>
          <w:sz w:val="24"/>
          <w:szCs w:val="24"/>
        </w:rPr>
        <w:t>半干式呼吸管。</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7.2 </w:t>
      </w:r>
      <w:r>
        <w:rPr>
          <w:rFonts w:hint="eastAsia" w:ascii="宋体" w:hAnsi="宋体" w:cs="宋体"/>
          <w:color w:val="auto"/>
          <w:sz w:val="24"/>
          <w:szCs w:val="24"/>
        </w:rPr>
        <w:t>食用级硅胶咬嘴 符合食品级GB4806.6-2016规定。</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8. 气瓶</w:t>
      </w:r>
    </w:p>
    <w:p>
      <w:pPr>
        <w:pStyle w:val="190"/>
        <w:ind w:firstLine="482"/>
        <w:rPr>
          <w:rFonts w:ascii="宋体" w:hAnsi="宋体" w:cs="宋体"/>
          <w:color w:val="auto"/>
          <w:sz w:val="24"/>
          <w:szCs w:val="24"/>
        </w:rPr>
      </w:pPr>
      <w:r>
        <w:rPr>
          <w:rFonts w:hint="eastAsia" w:ascii="宋体" w:hAnsi="宋体" w:cs="宋体"/>
          <w:b/>
          <w:bCs/>
          <w:color w:val="auto"/>
          <w:sz w:val="24"/>
          <w:szCs w:val="24"/>
        </w:rPr>
        <w:t>8.1</w:t>
      </w:r>
      <w:r>
        <w:rPr>
          <w:rFonts w:hint="eastAsia" w:ascii="宋体" w:hAnsi="宋体" w:cs="宋体"/>
          <w:color w:val="auto"/>
          <w:sz w:val="24"/>
          <w:szCs w:val="24"/>
        </w:rPr>
        <w:t xml:space="preserve"> 材质参考：防锈及防爆全铝合,铜制瓶头,需配防爆安全阀；标准美制螺牙。</w:t>
      </w:r>
    </w:p>
    <w:p>
      <w:pPr>
        <w:pStyle w:val="190"/>
        <w:ind w:firstLine="482"/>
        <w:rPr>
          <w:rFonts w:ascii="宋体" w:hAnsi="宋体" w:cs="宋体"/>
          <w:color w:val="auto"/>
          <w:sz w:val="24"/>
          <w:szCs w:val="24"/>
        </w:rPr>
      </w:pPr>
      <w:r>
        <w:rPr>
          <w:rFonts w:hint="eastAsia" w:ascii="宋体" w:hAnsi="宋体" w:cs="宋体"/>
          <w:b/>
          <w:bCs/>
          <w:color w:val="auto"/>
          <w:sz w:val="24"/>
          <w:szCs w:val="24"/>
        </w:rPr>
        <w:t>8.2</w:t>
      </w:r>
      <w:r>
        <w:rPr>
          <w:rFonts w:hint="eastAsia" w:ascii="宋体" w:hAnsi="宋体" w:cs="宋体"/>
          <w:color w:val="auto"/>
          <w:sz w:val="24"/>
          <w:szCs w:val="24"/>
        </w:rPr>
        <w:t xml:space="preserve"> 容量≥12L。</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8.3 </w:t>
      </w:r>
      <w:r>
        <w:rPr>
          <w:rFonts w:hint="eastAsia" w:ascii="宋体" w:hAnsi="宋体" w:cs="宋体"/>
          <w:color w:val="auto"/>
          <w:sz w:val="24"/>
          <w:szCs w:val="24"/>
        </w:rPr>
        <w:t>工作压力200Bar。</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9. 潜水配重</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9.1 </w:t>
      </w:r>
      <w:r>
        <w:rPr>
          <w:rFonts w:hint="eastAsia" w:ascii="宋体" w:hAnsi="宋体" w:cs="宋体"/>
          <w:color w:val="auto"/>
          <w:sz w:val="24"/>
          <w:szCs w:val="24"/>
        </w:rPr>
        <w:t>包胶配重每块重量不小于2kg。每组不少于6块；</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9.2 </w:t>
      </w:r>
      <w:r>
        <w:rPr>
          <w:rFonts w:hint="eastAsia" w:ascii="宋体" w:hAnsi="宋体" w:cs="宋体"/>
          <w:color w:val="auto"/>
          <w:sz w:val="24"/>
          <w:szCs w:val="24"/>
        </w:rPr>
        <w:t>不低于1.5M/卷的腰带搭配不锈钢金属皮带扣。</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10. 潜水手电</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10.1 </w:t>
      </w:r>
      <w:r>
        <w:rPr>
          <w:rFonts w:hint="eastAsia" w:ascii="宋体" w:hAnsi="宋体" w:cs="宋体"/>
          <w:color w:val="auto"/>
          <w:sz w:val="24"/>
          <w:szCs w:val="24"/>
        </w:rPr>
        <w:t>战术手电设计。</w:t>
      </w:r>
    </w:p>
    <w:p>
      <w:pPr>
        <w:pStyle w:val="190"/>
        <w:ind w:firstLine="482"/>
        <w:rPr>
          <w:rFonts w:ascii="宋体" w:hAnsi="宋体" w:cs="宋体"/>
          <w:color w:val="auto"/>
          <w:sz w:val="24"/>
          <w:szCs w:val="24"/>
        </w:rPr>
      </w:pPr>
      <w:r>
        <w:rPr>
          <w:rFonts w:hint="eastAsia" w:ascii="宋体" w:hAnsi="宋体" w:cs="宋体"/>
          <w:b/>
          <w:bCs/>
          <w:color w:val="auto"/>
          <w:sz w:val="24"/>
          <w:szCs w:val="24"/>
        </w:rPr>
        <w:t>10.2</w:t>
      </w:r>
      <w:r>
        <w:rPr>
          <w:rFonts w:hint="eastAsia" w:ascii="宋体" w:hAnsi="宋体" w:cs="宋体"/>
          <w:color w:val="auto"/>
          <w:sz w:val="24"/>
          <w:szCs w:val="24"/>
        </w:rPr>
        <w:t xml:space="preserve"> 亮度1200流明，不间断工作3小时 防水150M；</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10.3 </w:t>
      </w:r>
      <w:r>
        <w:rPr>
          <w:rFonts w:hint="eastAsia" w:ascii="宋体" w:hAnsi="宋体" w:cs="宋体"/>
          <w:color w:val="auto"/>
          <w:sz w:val="24"/>
          <w:szCs w:val="24"/>
        </w:rPr>
        <w:t>具有绿/红灯电量提示功能。</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11. 三联表</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11.1 </w:t>
      </w:r>
      <w:r>
        <w:rPr>
          <w:rFonts w:hint="eastAsia" w:ascii="宋体" w:hAnsi="宋体" w:cs="宋体"/>
          <w:color w:val="auto"/>
          <w:sz w:val="24"/>
          <w:szCs w:val="24"/>
        </w:rPr>
        <w:t>带有深度表和压力表的仪表板，还有配套的专用指北针。</w:t>
      </w:r>
    </w:p>
    <w:p>
      <w:pPr>
        <w:pStyle w:val="190"/>
        <w:ind w:firstLine="482"/>
        <w:rPr>
          <w:rFonts w:ascii="宋体" w:hAnsi="宋体" w:cs="宋体"/>
          <w:color w:val="auto"/>
          <w:sz w:val="24"/>
          <w:szCs w:val="24"/>
        </w:rPr>
      </w:pPr>
      <w:r>
        <w:rPr>
          <w:rFonts w:hint="eastAsia" w:ascii="宋体" w:hAnsi="宋体" w:cs="宋体"/>
          <w:b/>
          <w:bCs/>
          <w:color w:val="auto"/>
          <w:sz w:val="24"/>
          <w:szCs w:val="24"/>
        </w:rPr>
        <w:t>11.2</w:t>
      </w:r>
      <w:r>
        <w:rPr>
          <w:rFonts w:hint="eastAsia" w:ascii="宋体" w:hAnsi="宋体" w:cs="宋体"/>
          <w:color w:val="auto"/>
          <w:sz w:val="24"/>
          <w:szCs w:val="24"/>
        </w:rPr>
        <w:t xml:space="preserve"> 三个表的盘面在同一面，方便数据读取。</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 11.3 </w:t>
      </w:r>
      <w:r>
        <w:rPr>
          <w:rFonts w:hint="eastAsia" w:ascii="宋体" w:hAnsi="宋体" w:cs="宋体"/>
          <w:color w:val="auto"/>
          <w:sz w:val="24"/>
          <w:szCs w:val="24"/>
        </w:rPr>
        <w:t>压力表读数≥450Bar。</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 11.4 </w:t>
      </w:r>
      <w:r>
        <w:rPr>
          <w:rFonts w:hint="eastAsia" w:ascii="宋体" w:hAnsi="宋体" w:cs="宋体"/>
          <w:color w:val="auto"/>
          <w:sz w:val="24"/>
          <w:szCs w:val="24"/>
        </w:rPr>
        <w:t>深度表读数≥80米。</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12. 潜水靴</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12.1 </w:t>
      </w:r>
      <w:r>
        <w:rPr>
          <w:rFonts w:hint="eastAsia" w:ascii="宋体" w:hAnsi="宋体" w:cs="宋体"/>
          <w:color w:val="auto"/>
          <w:sz w:val="24"/>
          <w:szCs w:val="24"/>
        </w:rPr>
        <w:t>总厚度5MM氯丁橡胶。</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12.2 </w:t>
      </w:r>
      <w:r>
        <w:rPr>
          <w:rFonts w:hint="eastAsia" w:ascii="宋体" w:hAnsi="宋体" w:cs="宋体"/>
          <w:color w:val="auto"/>
          <w:sz w:val="24"/>
          <w:szCs w:val="24"/>
        </w:rPr>
        <w:t>鞋字底部及四周均有橡胶硫化工艺，鞋尖部增加防撞功能，鞋跟后部，橡胶突出点，可以挂脚蹼，增加服帖度。</w:t>
      </w:r>
    </w:p>
    <w:p>
      <w:pPr>
        <w:pStyle w:val="190"/>
        <w:ind w:firstLine="482"/>
        <w:rPr>
          <w:rFonts w:ascii="宋体" w:hAnsi="宋体" w:cs="宋体"/>
          <w:color w:val="auto"/>
          <w:sz w:val="24"/>
          <w:szCs w:val="24"/>
        </w:rPr>
      </w:pPr>
      <w:r>
        <w:rPr>
          <w:rFonts w:hint="eastAsia" w:ascii="宋体" w:hAnsi="宋体" w:cs="宋体"/>
          <w:b/>
          <w:bCs/>
          <w:color w:val="auto"/>
          <w:sz w:val="24"/>
          <w:szCs w:val="24"/>
        </w:rPr>
        <w:t>12.3</w:t>
      </w:r>
      <w:r>
        <w:rPr>
          <w:rFonts w:hint="eastAsia" w:ascii="宋体" w:hAnsi="宋体" w:cs="宋体"/>
          <w:color w:val="auto"/>
          <w:sz w:val="24"/>
          <w:szCs w:val="24"/>
        </w:rPr>
        <w:t xml:space="preserve"> 拉链侧开，偏于穿脱。</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13. 潜水手套</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13.1 </w:t>
      </w:r>
      <w:r>
        <w:rPr>
          <w:rFonts w:hint="eastAsia" w:ascii="宋体" w:hAnsi="宋体" w:cs="宋体"/>
          <w:color w:val="auto"/>
          <w:sz w:val="24"/>
          <w:szCs w:val="24"/>
        </w:rPr>
        <w:t>厚度：≥3mm。</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13.2 </w:t>
      </w:r>
      <w:r>
        <w:rPr>
          <w:rFonts w:hint="eastAsia" w:ascii="宋体" w:hAnsi="宋体" w:cs="宋体"/>
          <w:color w:val="auto"/>
          <w:sz w:val="24"/>
          <w:szCs w:val="24"/>
        </w:rPr>
        <w:t>材料：SCR氯丁橡胶材料。</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13.3 </w:t>
      </w:r>
      <w:r>
        <w:rPr>
          <w:rFonts w:hint="eastAsia" w:ascii="宋体" w:hAnsi="宋体" w:cs="宋体"/>
          <w:color w:val="auto"/>
          <w:sz w:val="24"/>
          <w:szCs w:val="24"/>
        </w:rPr>
        <w:t>五指型，手指灵活、防磨防滑以及优越的保温效果。</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14. 湿式潜水服</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14.1 </w:t>
      </w:r>
      <w:r>
        <w:rPr>
          <w:rFonts w:hint="eastAsia" w:ascii="宋体" w:hAnsi="宋体" w:cs="宋体"/>
          <w:color w:val="auto"/>
          <w:sz w:val="24"/>
          <w:szCs w:val="24"/>
        </w:rPr>
        <w:t>连体设计，总厚度3MM。</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14.2 </w:t>
      </w:r>
      <w:r>
        <w:rPr>
          <w:rFonts w:hint="eastAsia" w:ascii="宋体" w:hAnsi="宋体" w:cs="宋体"/>
          <w:color w:val="auto"/>
          <w:sz w:val="24"/>
          <w:szCs w:val="24"/>
        </w:rPr>
        <w:t>后背拉链开口方式，手腕及脚腕处均有拉链。</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14.3 </w:t>
      </w:r>
      <w:r>
        <w:rPr>
          <w:rFonts w:hint="eastAsia" w:ascii="宋体" w:hAnsi="宋体" w:cs="宋体"/>
          <w:color w:val="auto"/>
          <w:sz w:val="24"/>
          <w:szCs w:val="24"/>
        </w:rPr>
        <w:t>手肘及膝盖处，增加耐磨材质加强处理。</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15. 潜水刀</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15.1 </w:t>
      </w:r>
      <w:r>
        <w:rPr>
          <w:rFonts w:hint="eastAsia" w:ascii="宋体" w:hAnsi="宋体" w:cs="宋体"/>
          <w:color w:val="auto"/>
          <w:sz w:val="24"/>
          <w:szCs w:val="24"/>
        </w:rPr>
        <w:t>总长度≥25.0cm，刀刃长度≥12.50cm，刀刃带钩口。</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15.2 </w:t>
      </w:r>
      <w:r>
        <w:rPr>
          <w:rFonts w:hint="eastAsia" w:ascii="宋体" w:hAnsi="宋体" w:cs="宋体"/>
          <w:color w:val="auto"/>
          <w:sz w:val="24"/>
          <w:szCs w:val="24"/>
        </w:rPr>
        <w:t>TPR柔软性手柄，钛合金材质。</w:t>
      </w:r>
    </w:p>
    <w:p>
      <w:pPr>
        <w:pStyle w:val="190"/>
        <w:ind w:firstLine="482"/>
        <w:rPr>
          <w:rFonts w:ascii="宋体" w:hAnsi="宋体" w:cs="宋体"/>
          <w:color w:val="auto"/>
          <w:sz w:val="24"/>
          <w:szCs w:val="24"/>
        </w:rPr>
      </w:pPr>
      <w:r>
        <w:rPr>
          <w:rFonts w:hint="eastAsia" w:ascii="宋体" w:hAnsi="宋体" w:cs="宋体"/>
          <w:b/>
          <w:bCs/>
          <w:color w:val="auto"/>
          <w:sz w:val="24"/>
          <w:szCs w:val="24"/>
        </w:rPr>
        <w:t>15.3</w:t>
      </w:r>
      <w:r>
        <w:rPr>
          <w:rFonts w:hint="eastAsia" w:ascii="宋体" w:hAnsi="宋体" w:cs="宋体"/>
          <w:color w:val="auto"/>
          <w:sz w:val="24"/>
          <w:szCs w:val="24"/>
        </w:rPr>
        <w:t xml:space="preserve"> 带有不少于2根绑带。</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16. 潜水头套</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16.1 </w:t>
      </w:r>
      <w:r>
        <w:rPr>
          <w:rFonts w:hint="eastAsia" w:ascii="宋体" w:hAnsi="宋体" w:cs="宋体"/>
          <w:color w:val="auto"/>
          <w:sz w:val="24"/>
          <w:szCs w:val="24"/>
        </w:rPr>
        <w:t>厚度≥3mm。</w:t>
      </w:r>
    </w:p>
    <w:p>
      <w:pPr>
        <w:pStyle w:val="190"/>
        <w:ind w:firstLine="482"/>
        <w:rPr>
          <w:rFonts w:ascii="宋体" w:hAnsi="宋体" w:cs="宋体"/>
          <w:color w:val="auto"/>
          <w:sz w:val="24"/>
          <w:szCs w:val="24"/>
        </w:rPr>
      </w:pPr>
      <w:r>
        <w:rPr>
          <w:rFonts w:hint="eastAsia" w:ascii="宋体" w:hAnsi="宋体" w:cs="宋体"/>
          <w:b/>
          <w:bCs/>
          <w:color w:val="auto"/>
          <w:sz w:val="24"/>
          <w:szCs w:val="24"/>
        </w:rPr>
        <w:t>16.2</w:t>
      </w:r>
      <w:r>
        <w:rPr>
          <w:rFonts w:hint="eastAsia" w:ascii="宋体" w:hAnsi="宋体" w:cs="宋体"/>
          <w:color w:val="auto"/>
          <w:sz w:val="24"/>
          <w:szCs w:val="24"/>
        </w:rPr>
        <w:t xml:space="preserve"> 材料：SCR氯丁橡胶材料。</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16.3 </w:t>
      </w:r>
      <w:r>
        <w:rPr>
          <w:rFonts w:hint="eastAsia" w:ascii="宋体" w:hAnsi="宋体" w:cs="宋体"/>
          <w:color w:val="auto"/>
          <w:sz w:val="24"/>
          <w:szCs w:val="24"/>
        </w:rPr>
        <w:t>头顶有不少于2个透气孔。</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 xml:space="preserve">17. 潜水电脑表 </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17.1 </w:t>
      </w:r>
      <w:r>
        <w:rPr>
          <w:rFonts w:hint="eastAsia" w:ascii="宋体" w:hAnsi="宋体" w:cs="宋体"/>
          <w:color w:val="auto"/>
          <w:sz w:val="24"/>
          <w:szCs w:val="24"/>
        </w:rPr>
        <w:t>中文界面 LED显示屏；</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17.2 </w:t>
      </w:r>
      <w:r>
        <w:rPr>
          <w:rFonts w:hint="eastAsia" w:ascii="宋体" w:hAnsi="宋体" w:cs="宋体"/>
          <w:color w:val="auto"/>
          <w:sz w:val="24"/>
          <w:szCs w:val="24"/>
        </w:rPr>
        <w:t>潜水深度≥90M 。</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17.3 </w:t>
      </w:r>
      <w:r>
        <w:rPr>
          <w:rFonts w:hint="eastAsia" w:ascii="宋体" w:hAnsi="宋体" w:cs="宋体"/>
          <w:color w:val="auto"/>
          <w:sz w:val="24"/>
          <w:szCs w:val="24"/>
        </w:rPr>
        <w:t>潜水日志存储≥200条。</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18. 潜水装备包</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18.1 </w:t>
      </w:r>
      <w:r>
        <w:rPr>
          <w:rFonts w:hint="eastAsia" w:ascii="宋体" w:hAnsi="宋体" w:cs="宋体"/>
          <w:color w:val="auto"/>
          <w:sz w:val="24"/>
          <w:szCs w:val="24"/>
        </w:rPr>
        <w:t>容量≥100L。</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18.2 </w:t>
      </w:r>
      <w:r>
        <w:rPr>
          <w:rFonts w:hint="eastAsia" w:ascii="宋体" w:hAnsi="宋体" w:cs="宋体"/>
          <w:color w:val="auto"/>
          <w:sz w:val="24"/>
          <w:szCs w:val="24"/>
        </w:rPr>
        <w:t>大锯齿尼龙拉链 顺滑不卡齿 。</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18.3 </w:t>
      </w:r>
      <w:r>
        <w:rPr>
          <w:rFonts w:hint="eastAsia" w:ascii="宋体" w:hAnsi="宋体" w:cs="宋体"/>
          <w:color w:val="auto"/>
          <w:sz w:val="24"/>
          <w:szCs w:val="24"/>
        </w:rPr>
        <w:t>1680D耐磨牛津布，抗撕烈。</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18.4 </w:t>
      </w:r>
      <w:r>
        <w:rPr>
          <w:rFonts w:hint="eastAsia" w:ascii="宋体" w:hAnsi="宋体" w:cs="宋体"/>
          <w:color w:val="auto"/>
          <w:sz w:val="24"/>
          <w:szCs w:val="24"/>
        </w:rPr>
        <w:t>大拖轮航空铝拉杆 可放下整套潜水装备。</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19. </w:t>
      </w:r>
      <w:r>
        <w:rPr>
          <w:rFonts w:hint="eastAsia" w:ascii="宋体" w:hAnsi="宋体" w:cs="宋体"/>
          <w:color w:val="auto"/>
          <w:sz w:val="24"/>
          <w:szCs w:val="24"/>
        </w:rPr>
        <w:t>产品具有清晰耐久标志（执行标准、型号、规格；生产厂的名称或商标；生产厂的识别编号、制造时间）和RFID芯片（内容根据采购方需要填写）。</w:t>
      </w:r>
    </w:p>
    <w:p>
      <w:pPr>
        <w:spacing w:line="360" w:lineRule="auto"/>
        <w:ind w:firstLine="482" w:firstLineChars="200"/>
        <w:rPr>
          <w:rFonts w:ascii="宋体" w:hAnsi="宋体" w:cs="宋体"/>
          <w:sz w:val="24"/>
        </w:rPr>
      </w:pPr>
      <w:r>
        <w:rPr>
          <w:rFonts w:hint="eastAsia" w:ascii="宋体" w:hAnsi="宋体"/>
          <w:b/>
          <w:sz w:val="24"/>
        </w:rPr>
        <w:t>1-4 救生圈【技术指标计10项】</w:t>
      </w:r>
    </w:p>
    <w:p>
      <w:pPr>
        <w:spacing w:line="360" w:lineRule="auto"/>
        <w:ind w:firstLine="482" w:firstLineChars="200"/>
        <w:rPr>
          <w:rFonts w:ascii="宋体" w:hAnsi="宋体" w:cs="宋体"/>
          <w:bCs/>
          <w:sz w:val="24"/>
        </w:rPr>
      </w:pPr>
      <w:r>
        <w:rPr>
          <w:rFonts w:hint="eastAsia" w:ascii="宋体" w:hAnsi="宋体" w:cs="宋体"/>
          <w:b/>
          <w:sz w:val="24"/>
        </w:rPr>
        <w:t xml:space="preserve">1. </w:t>
      </w:r>
      <w:r>
        <w:rPr>
          <w:rFonts w:hint="eastAsia" w:ascii="宋体" w:hAnsi="宋体" w:cs="宋体"/>
          <w:bCs/>
          <w:sz w:val="24"/>
        </w:rPr>
        <w:t>符合国家GB4302-2008《船用救生圈》标准，提供国家消防装备质量监督检验中心或其他国家认证认可具有检测资质检测机构出具的有效检验检测报告复印件或扫描件。</w:t>
      </w:r>
    </w:p>
    <w:p>
      <w:pPr>
        <w:spacing w:line="360" w:lineRule="auto"/>
        <w:ind w:firstLine="482" w:firstLineChars="200"/>
        <w:rPr>
          <w:rFonts w:ascii="宋体" w:hAnsi="宋体" w:cs="宋体"/>
          <w:bCs/>
          <w:sz w:val="24"/>
        </w:rPr>
      </w:pPr>
      <w:r>
        <w:rPr>
          <w:rFonts w:hint="eastAsia" w:ascii="宋体" w:hAnsi="宋体" w:cs="宋体"/>
          <w:b/>
          <w:sz w:val="24"/>
        </w:rPr>
        <w:t xml:space="preserve">2. </w:t>
      </w:r>
      <w:r>
        <w:rPr>
          <w:rFonts w:hint="eastAsia" w:ascii="宋体" w:hAnsi="宋体" w:cs="宋体"/>
          <w:bCs/>
          <w:sz w:val="24"/>
        </w:rPr>
        <w:t>用于水域救生中使被困人员漂浮于水面。</w:t>
      </w:r>
    </w:p>
    <w:p>
      <w:pPr>
        <w:spacing w:line="360" w:lineRule="auto"/>
        <w:ind w:firstLine="482" w:firstLineChars="200"/>
        <w:rPr>
          <w:rFonts w:ascii="宋体" w:hAnsi="宋体" w:cs="宋体"/>
          <w:bCs/>
          <w:sz w:val="24"/>
        </w:rPr>
      </w:pPr>
      <w:r>
        <w:rPr>
          <w:rFonts w:hint="eastAsia" w:ascii="宋体" w:hAnsi="宋体" w:cs="宋体"/>
          <w:b/>
          <w:sz w:val="24"/>
        </w:rPr>
        <w:t xml:space="preserve">3. </w:t>
      </w:r>
      <w:r>
        <w:rPr>
          <w:rFonts w:hint="eastAsia" w:ascii="宋体" w:hAnsi="宋体" w:cs="宋体"/>
          <w:bCs/>
          <w:sz w:val="24"/>
        </w:rPr>
        <w:t>外径：≤800mm、内径：≤400mm、厚度：≤105mm。</w:t>
      </w:r>
    </w:p>
    <w:p>
      <w:pPr>
        <w:spacing w:line="360" w:lineRule="auto"/>
        <w:ind w:firstLine="482" w:firstLineChars="200"/>
        <w:rPr>
          <w:rFonts w:ascii="宋体" w:hAnsi="宋体" w:cs="宋体"/>
          <w:bCs/>
          <w:sz w:val="24"/>
        </w:rPr>
      </w:pPr>
      <w:r>
        <w:rPr>
          <w:rFonts w:hint="eastAsia" w:ascii="宋体" w:hAnsi="宋体" w:cs="宋体"/>
          <w:b/>
          <w:sz w:val="24"/>
        </w:rPr>
        <w:t xml:space="preserve">4. </w:t>
      </w:r>
      <w:r>
        <w:rPr>
          <w:rFonts w:hint="eastAsia" w:ascii="宋体" w:hAnsi="宋体" w:cs="宋体"/>
          <w:bCs/>
          <w:sz w:val="24"/>
        </w:rPr>
        <w:t>沿救生圈四个相等间距位置缠绕逆向反光带，宽度：≥50mm。</w:t>
      </w:r>
    </w:p>
    <w:p>
      <w:pPr>
        <w:spacing w:line="360" w:lineRule="auto"/>
        <w:ind w:firstLine="482" w:firstLineChars="200"/>
        <w:rPr>
          <w:rFonts w:ascii="宋体" w:hAnsi="宋体" w:cs="宋体"/>
          <w:bCs/>
          <w:sz w:val="24"/>
        </w:rPr>
      </w:pPr>
      <w:r>
        <w:rPr>
          <w:rFonts w:hint="eastAsia" w:ascii="宋体" w:hAnsi="宋体" w:cs="宋体"/>
          <w:b/>
          <w:sz w:val="24"/>
        </w:rPr>
        <w:t>5.</w:t>
      </w:r>
      <w:r>
        <w:rPr>
          <w:rFonts w:hint="eastAsia" w:ascii="宋体" w:hAnsi="宋体" w:cs="宋体"/>
          <w:bCs/>
          <w:sz w:val="24"/>
        </w:rPr>
        <w:t xml:space="preserve"> 耐高低温，无褶皱、破裂、膨胀，从规定高度投落后，无开裂或破损。</w:t>
      </w:r>
    </w:p>
    <w:p>
      <w:pPr>
        <w:spacing w:line="360" w:lineRule="auto"/>
        <w:ind w:firstLine="482" w:firstLineChars="200"/>
        <w:rPr>
          <w:rFonts w:ascii="宋体" w:hAnsi="宋体" w:cs="宋体"/>
          <w:bCs/>
          <w:sz w:val="24"/>
        </w:rPr>
      </w:pPr>
      <w:r>
        <w:rPr>
          <w:rFonts w:hint="eastAsia" w:ascii="宋体" w:hAnsi="宋体" w:cs="宋体"/>
          <w:b/>
          <w:sz w:val="24"/>
        </w:rPr>
        <w:t xml:space="preserve"># 6. </w:t>
      </w:r>
      <w:r>
        <w:rPr>
          <w:rFonts w:hint="eastAsia" w:ascii="宋体" w:hAnsi="宋体" w:cs="宋体"/>
          <w:bCs/>
          <w:sz w:val="24"/>
        </w:rPr>
        <w:t>浮力：支承14.5kg的铁块在淡水中持续漂浮24h。</w:t>
      </w:r>
    </w:p>
    <w:p>
      <w:pPr>
        <w:spacing w:line="360" w:lineRule="auto"/>
        <w:ind w:firstLine="482" w:firstLineChars="200"/>
        <w:rPr>
          <w:rFonts w:ascii="宋体" w:hAnsi="宋体" w:cs="宋体"/>
          <w:bCs/>
          <w:sz w:val="24"/>
        </w:rPr>
      </w:pPr>
      <w:r>
        <w:rPr>
          <w:rFonts w:hint="eastAsia" w:ascii="宋体" w:hAnsi="宋体" w:cs="宋体"/>
          <w:b/>
          <w:sz w:val="24"/>
        </w:rPr>
        <w:t>7.</w:t>
      </w:r>
      <w:r>
        <w:rPr>
          <w:rFonts w:hint="eastAsia" w:ascii="宋体" w:hAnsi="宋体" w:cs="宋体"/>
          <w:bCs/>
          <w:sz w:val="24"/>
        </w:rPr>
        <w:t xml:space="preserve"> 颜色：橘红色，带救援绳。</w:t>
      </w:r>
    </w:p>
    <w:p>
      <w:pPr>
        <w:spacing w:line="360" w:lineRule="auto"/>
        <w:ind w:firstLine="482" w:firstLineChars="200"/>
        <w:rPr>
          <w:rFonts w:ascii="宋体" w:hAnsi="宋体" w:cs="宋体"/>
          <w:bCs/>
          <w:sz w:val="24"/>
        </w:rPr>
      </w:pPr>
      <w:r>
        <w:rPr>
          <w:rFonts w:hint="eastAsia" w:ascii="宋体" w:hAnsi="宋体" w:cs="宋体"/>
          <w:b/>
          <w:sz w:val="24"/>
        </w:rPr>
        <w:t>8.</w:t>
      </w:r>
      <w:r>
        <w:rPr>
          <w:rFonts w:hint="eastAsia" w:ascii="宋体" w:hAnsi="宋体" w:cs="宋体"/>
          <w:bCs/>
          <w:sz w:val="24"/>
        </w:rPr>
        <w:t xml:space="preserve"> 可浮把手索：≥4倍救生圈外径，直径：≥9.5mm。</w:t>
      </w:r>
    </w:p>
    <w:p>
      <w:pPr>
        <w:spacing w:line="360" w:lineRule="auto"/>
        <w:ind w:firstLine="482" w:firstLineChars="200"/>
        <w:rPr>
          <w:rFonts w:ascii="宋体" w:hAnsi="宋体" w:cs="宋体"/>
          <w:bCs/>
          <w:sz w:val="24"/>
        </w:rPr>
      </w:pPr>
      <w:r>
        <w:rPr>
          <w:rFonts w:hint="eastAsia" w:ascii="宋体" w:hAnsi="宋体" w:cs="宋体"/>
          <w:b/>
          <w:sz w:val="24"/>
        </w:rPr>
        <w:t xml:space="preserve"># 9. </w:t>
      </w:r>
      <w:r>
        <w:rPr>
          <w:rFonts w:hint="eastAsia" w:ascii="宋体" w:hAnsi="宋体" w:cs="宋体"/>
          <w:bCs/>
          <w:sz w:val="24"/>
        </w:rPr>
        <w:t>重量：≥2.5 kg。</w:t>
      </w:r>
    </w:p>
    <w:p>
      <w:pPr>
        <w:spacing w:line="360" w:lineRule="auto"/>
        <w:ind w:firstLine="482" w:firstLineChars="200"/>
        <w:rPr>
          <w:rFonts w:ascii="宋体" w:hAnsi="宋体" w:cs="宋体"/>
          <w:bCs/>
          <w:sz w:val="24"/>
        </w:rPr>
      </w:pPr>
      <w:r>
        <w:rPr>
          <w:rFonts w:hint="eastAsia" w:ascii="宋体" w:hAnsi="宋体" w:cs="宋体"/>
          <w:b/>
          <w:sz w:val="24"/>
        </w:rPr>
        <w:t xml:space="preserve">10. </w:t>
      </w:r>
      <w:r>
        <w:rPr>
          <w:rFonts w:hint="eastAsia" w:ascii="宋体" w:hAnsi="宋体" w:cs="宋体"/>
          <w:bCs/>
          <w:sz w:val="24"/>
        </w:rPr>
        <w:t>永久性标签要求：标签包括如下内容:制造厂名称、地址和注册商标；产品名称及型号；生产日期和批号；产品执行标准的代号和</w:t>
      </w:r>
      <w:r>
        <w:rPr>
          <w:rFonts w:hint="eastAsia" w:ascii="宋体" w:hAnsi="宋体" w:cs="宋体"/>
          <w:sz w:val="24"/>
        </w:rPr>
        <w:t>RFID芯片（内容根据采购方需要填写）</w:t>
      </w:r>
      <w:r>
        <w:rPr>
          <w:rFonts w:hint="eastAsia" w:ascii="宋体" w:hAnsi="宋体" w:cs="宋体"/>
          <w:bCs/>
          <w:sz w:val="24"/>
        </w:rPr>
        <w:t>。</w:t>
      </w:r>
    </w:p>
    <w:p>
      <w:pPr>
        <w:spacing w:before="120" w:beforeLines="50" w:after="120" w:afterLines="50" w:line="360" w:lineRule="auto"/>
        <w:ind w:firstLine="482" w:firstLineChars="200"/>
        <w:rPr>
          <w:rFonts w:ascii="宋体" w:hAnsi="宋体"/>
          <w:b/>
          <w:sz w:val="24"/>
        </w:rPr>
      </w:pPr>
      <w:r>
        <w:rPr>
          <w:rFonts w:hint="eastAsia" w:ascii="宋体" w:hAnsi="宋体"/>
          <w:b/>
          <w:sz w:val="24"/>
        </w:rPr>
        <w:t>1-5  干式水域救援服【技术指标计10项】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shd w:val="clear" w:color="auto" w:fill="FFFFFF"/>
        </w:rPr>
      </w:pPr>
      <w:r>
        <w:rPr>
          <w:rFonts w:hint="eastAsia" w:ascii="宋体" w:hAnsi="宋体" w:cs="宋体"/>
          <w:b/>
          <w:bCs/>
          <w:sz w:val="24"/>
        </w:rPr>
        <w:t xml:space="preserve">2. </w:t>
      </w:r>
      <w:r>
        <w:rPr>
          <w:rStyle w:val="124"/>
          <w:rFonts w:hint="eastAsia" w:ascii="宋体" w:hAnsi="宋体" w:cs="宋体"/>
          <w:color w:val="auto"/>
          <w:sz w:val="24"/>
          <w:shd w:val="clear" w:color="auto" w:fill="FFFFFF"/>
        </w:rPr>
        <w:t>消防员水域救援</w:t>
      </w:r>
      <w:r>
        <w:rPr>
          <w:rFonts w:hint="eastAsia" w:ascii="宋体" w:hAnsi="宋体" w:cs="宋体"/>
          <w:sz w:val="24"/>
          <w:shd w:val="clear" w:color="auto" w:fill="FFFFFF"/>
        </w:rPr>
        <w:t>行动中，保护身体的个人防护专用器材。</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采用连体结构，三层防水透气复合尼龙布材料复合为一层，领口、袖口采用环状罗纹锥形结构，可保证不同体形人员穿着，男士小便拉链口设计，并设有保护盖，如厕时不用脱下整件衣服，大腿两侧设置立体排水孔工具袋。</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领口、袖口、袜套都采用乳胶材质，防水密封设计，领口拉直后可以保持直立，且领口、袖口都有收紧作用，附带一体的乳胶袜套可以防水并且确保脚部更为保暖，集成式腰部束紧设计,左右两侧可调节舒适度，设有可拆卸、可调节Y型背带，穿戴时更贴身牢固。</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在经常磨损的区域例如臀部、肘部和膝部选用高于500D的芳纶双层材料做耐磨、防割等加固处理。</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主要性能：保温性能：经保温性能试验后，受试者的体表（手、脚和腰部皮肤表面）温度均未降至10℃以下，体温下降＜1.5℃，且受试者能捡一支直径8mm的铅笔并书写。</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7. </w:t>
      </w:r>
      <w:r>
        <w:rPr>
          <w:rFonts w:hint="eastAsia" w:ascii="宋体" w:hAnsi="宋体" w:cs="宋体"/>
          <w:sz w:val="24"/>
        </w:rPr>
        <w:t>防渗漏性能：≤0.1kg。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温度适用性能：10 个高低温循环后（高温70℃，低温-20℃），产品无皱缩、破裂、胀大、分解等现象或机械性能的改变。</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9.</w:t>
      </w:r>
      <w:r>
        <w:rPr>
          <w:rFonts w:hint="eastAsia" w:ascii="宋体" w:hAnsi="宋体" w:cs="宋体"/>
          <w:sz w:val="24"/>
        </w:rPr>
        <w:t xml:space="preserve"> 服装具有防水透气性能，撕破力≥150N，接缝抗拉强度≥100N。</w:t>
      </w:r>
    </w:p>
    <w:p>
      <w:pPr>
        <w:adjustRightInd w:val="0"/>
        <w:snapToGrid w:val="0"/>
        <w:spacing w:line="360" w:lineRule="auto"/>
        <w:ind w:firstLine="482" w:firstLineChars="200"/>
        <w:rPr>
          <w:rFonts w:ascii="宋体" w:hAnsi="宋体" w:cs="宋体"/>
          <w:kern w:val="0"/>
          <w:sz w:val="24"/>
        </w:rPr>
      </w:pPr>
      <w:r>
        <w:rPr>
          <w:rFonts w:hint="eastAsia" w:ascii="宋体" w:hAnsi="宋体" w:cs="宋体"/>
          <w:b/>
          <w:bCs/>
          <w:sz w:val="24"/>
        </w:rPr>
        <w:t xml:space="preserve">10. </w:t>
      </w:r>
      <w:r>
        <w:rPr>
          <w:rFonts w:hint="eastAsia" w:ascii="宋体" w:hAnsi="宋体" w:cs="宋体"/>
          <w:sz w:val="24"/>
        </w:rPr>
        <w:t>产品具有清晰耐用永久标志（执行标准、型号、规格：生产厂名称或商标：生产厂的识别编号、制造时间）和RFID芯片（内容根据采购方需要填写）。前后标识根据采购方需求定制。</w:t>
      </w:r>
    </w:p>
    <w:p>
      <w:pPr>
        <w:widowControl/>
        <w:spacing w:line="360" w:lineRule="auto"/>
        <w:ind w:firstLine="482" w:firstLineChars="200"/>
        <w:rPr>
          <w:rFonts w:ascii="宋体" w:hAnsi="宋体" w:cs="宋体"/>
          <w:b/>
          <w:bCs/>
          <w:kern w:val="0"/>
          <w:sz w:val="24"/>
          <w:shd w:val="clear" w:color="auto" w:fill="FFFFFF"/>
        </w:rPr>
      </w:pPr>
      <w:r>
        <w:rPr>
          <w:rFonts w:hint="eastAsia" w:ascii="宋体" w:hAnsi="宋体" w:cs="宋体"/>
          <w:b/>
          <w:bCs/>
          <w:kern w:val="0"/>
          <w:sz w:val="24"/>
          <w:shd w:val="clear" w:color="auto" w:fill="FFFFFF"/>
        </w:rPr>
        <w:t>1-6连体式湿式水域救援防护服</w:t>
      </w:r>
      <w:r>
        <w:rPr>
          <w:rFonts w:hint="eastAsia" w:ascii="宋体" w:hAnsi="宋体"/>
          <w:b/>
          <w:bCs/>
          <w:sz w:val="24"/>
        </w:rPr>
        <w:t>【技术指标计5项】</w:t>
      </w:r>
    </w:p>
    <w:p>
      <w:pPr>
        <w:widowControl/>
        <w:numPr>
          <w:ilvl w:val="0"/>
          <w:numId w:val="4"/>
        </w:numPr>
        <w:spacing w:line="360" w:lineRule="auto"/>
        <w:ind w:firstLine="480" w:firstLineChars="200"/>
        <w:rPr>
          <w:rFonts w:ascii="宋体" w:hAnsi="宋体" w:cs="宋体"/>
          <w:kern w:val="0"/>
          <w:sz w:val="24"/>
          <w:shd w:val="clear" w:color="auto" w:fill="FFFFFF"/>
        </w:rPr>
      </w:pPr>
      <w:r>
        <w:rPr>
          <w:rFonts w:hint="eastAsia" w:ascii="宋体" w:hAnsi="宋体" w:cs="宋体"/>
          <w:kern w:val="0"/>
          <w:sz w:val="24"/>
          <w:shd w:val="clear" w:color="auto" w:fill="FFFFFF"/>
        </w:rPr>
        <w:t>总体要求参照GB 24540-2009《防护服装 酸碱类化学品防护服国家标准》和GB/T 19976-2005 《纺织品 顶破强力的测定》的要求。提供国家消防装备质量监督检验中心或其他国家认证认可具有检测资质检测机构出具的有效检验检测报告复印件或扫描件。</w:t>
      </w:r>
    </w:p>
    <w:p>
      <w:pPr>
        <w:widowControl/>
        <w:numPr>
          <w:ilvl w:val="0"/>
          <w:numId w:val="4"/>
        </w:numPr>
        <w:spacing w:line="360" w:lineRule="auto"/>
        <w:ind w:firstLine="480" w:firstLineChars="200"/>
        <w:rPr>
          <w:rFonts w:ascii="宋体" w:hAnsi="宋体" w:cs="宋体"/>
          <w:kern w:val="0"/>
          <w:sz w:val="24"/>
          <w:shd w:val="clear" w:color="auto" w:fill="FFFFFF"/>
        </w:rPr>
      </w:pPr>
      <w:r>
        <w:rPr>
          <w:rFonts w:hint="eastAsia" w:ascii="宋体" w:hAnsi="宋体" w:cs="宋体"/>
          <w:kern w:val="0"/>
          <w:sz w:val="24"/>
          <w:shd w:val="clear" w:color="auto" w:fill="FFFFFF"/>
        </w:rPr>
        <w:t>用于消防员急流洪水和水域救援行动中，保护身体的个人防护专用器材。</w:t>
      </w:r>
    </w:p>
    <w:p>
      <w:pPr>
        <w:widowControl/>
        <w:numPr>
          <w:ilvl w:val="0"/>
          <w:numId w:val="4"/>
        </w:numPr>
        <w:spacing w:line="360" w:lineRule="auto"/>
        <w:ind w:firstLine="480" w:firstLineChars="200"/>
        <w:rPr>
          <w:rFonts w:ascii="宋体" w:hAnsi="宋体" w:cs="宋体"/>
          <w:kern w:val="0"/>
          <w:sz w:val="24"/>
          <w:shd w:val="clear" w:color="auto" w:fill="FFFFFF"/>
        </w:rPr>
      </w:pPr>
      <w:r>
        <w:rPr>
          <w:rFonts w:hint="eastAsia" w:ascii="宋体" w:hAnsi="宋体" w:cs="宋体"/>
          <w:kern w:val="0"/>
          <w:sz w:val="24"/>
          <w:shd w:val="clear" w:color="auto" w:fill="FFFFFF"/>
        </w:rPr>
        <w:t>连体套头式设计，前开重型拉链，手腕拉链，脚踝拉链。双面盲缝拼接工艺，缝纫拼接部位滴胶工艺，防水性能极强。膝盖、手肘、臀部处采用黑色耐磨面料。</w:t>
      </w:r>
    </w:p>
    <w:p>
      <w:pPr>
        <w:widowControl/>
        <w:numPr>
          <w:ilvl w:val="0"/>
          <w:numId w:val="4"/>
        </w:numPr>
        <w:spacing w:line="360" w:lineRule="auto"/>
        <w:ind w:firstLine="480" w:firstLineChars="200"/>
        <w:rPr>
          <w:rFonts w:ascii="宋体" w:hAnsi="宋体" w:cs="宋体"/>
          <w:kern w:val="0"/>
          <w:sz w:val="24"/>
          <w:shd w:val="clear" w:color="auto" w:fill="FFFFFF"/>
        </w:rPr>
      </w:pPr>
      <w:r>
        <w:rPr>
          <w:rFonts w:hint="eastAsia" w:ascii="宋体" w:hAnsi="宋体" w:cs="宋体"/>
          <w:kern w:val="0"/>
          <w:sz w:val="24"/>
          <w:shd w:val="clear" w:color="auto" w:fill="FFFFFF"/>
        </w:rPr>
        <w:t>主要性能：橡胶材质，具有防寒作用，厚度≥3mm。</w:t>
      </w:r>
    </w:p>
    <w:p>
      <w:pPr>
        <w:widowControl/>
        <w:numPr>
          <w:ilvl w:val="0"/>
          <w:numId w:val="4"/>
        </w:numPr>
        <w:spacing w:line="360" w:lineRule="auto"/>
        <w:ind w:firstLine="480" w:firstLineChars="200"/>
        <w:rPr>
          <w:rFonts w:ascii="宋体" w:hAnsi="宋体" w:cs="宋体"/>
          <w:kern w:val="0"/>
          <w:sz w:val="24"/>
          <w:shd w:val="clear" w:color="auto" w:fill="FFFFFF"/>
        </w:rPr>
      </w:pPr>
      <w:r>
        <w:rPr>
          <w:rFonts w:hint="eastAsia" w:ascii="宋体" w:hAnsi="宋体" w:cs="宋体"/>
          <w:kern w:val="0"/>
          <w:sz w:val="24"/>
          <w:shd w:val="clear" w:color="auto" w:fill="FFFFFF"/>
        </w:rPr>
        <w:t>产品具有清晰耐久标志（执行标准、型号、规格；生产厂的名称或商标；生产厂的识别编号、制造时间）和RFID芯片（内容根据采购方需要填写）。前后标识根据采购方需求定制。</w:t>
      </w:r>
    </w:p>
    <w:p>
      <w:pPr>
        <w:spacing w:line="360" w:lineRule="auto"/>
        <w:ind w:firstLine="482" w:firstLineChars="200"/>
        <w:rPr>
          <w:rFonts w:ascii="宋体" w:hAnsi="宋体"/>
          <w:b/>
          <w:sz w:val="24"/>
        </w:rPr>
      </w:pPr>
      <w:r>
        <w:rPr>
          <w:rFonts w:hint="eastAsia" w:ascii="宋体" w:hAnsi="宋体"/>
          <w:b/>
          <w:sz w:val="24"/>
        </w:rPr>
        <w:t>1-7 水面潜水训练套装【技术指标计8项】</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1. </w:t>
      </w:r>
      <w:r>
        <w:rPr>
          <w:rFonts w:hint="eastAsia" w:ascii="宋体" w:hAnsi="宋体" w:cs="宋体"/>
          <w:color w:val="auto"/>
          <w:sz w:val="24"/>
          <w:szCs w:val="24"/>
        </w:rPr>
        <w:t>符合JT/T207-2008 《69-Ⅲ型轻潜水装具》标准的有关要求，主要用于潜水员的日常训练使用，由潜水面镜、呼吸管、脚蹼、打水板组成。</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2. 潜水面镜</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2.1 </w:t>
      </w:r>
      <w:r>
        <w:rPr>
          <w:rFonts w:hint="eastAsia" w:ascii="宋体" w:hAnsi="宋体" w:cs="宋体"/>
          <w:color w:val="auto"/>
          <w:sz w:val="24"/>
          <w:szCs w:val="24"/>
        </w:rPr>
        <w:t>一体单镜片，大视野视角。</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2.2 </w:t>
      </w:r>
      <w:r>
        <w:rPr>
          <w:rFonts w:hint="eastAsia" w:ascii="宋体" w:hAnsi="宋体" w:cs="宋体"/>
          <w:color w:val="auto"/>
          <w:sz w:val="24"/>
          <w:szCs w:val="24"/>
        </w:rPr>
        <w:t>硅胶裙边，可调节硅胶面镜带。</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3. 呼吸管</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3.1 </w:t>
      </w:r>
      <w:r>
        <w:rPr>
          <w:rFonts w:hint="eastAsia" w:ascii="宋体" w:hAnsi="宋体" w:cs="宋体"/>
          <w:color w:val="auto"/>
          <w:sz w:val="24"/>
          <w:szCs w:val="24"/>
        </w:rPr>
        <w:t>半干式呼吸管。</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3.2 </w:t>
      </w:r>
      <w:r>
        <w:rPr>
          <w:rFonts w:hint="eastAsia" w:ascii="宋体" w:hAnsi="宋体" w:cs="宋体"/>
          <w:color w:val="auto"/>
          <w:sz w:val="24"/>
          <w:szCs w:val="24"/>
        </w:rPr>
        <w:t>食用级硅胶咬嘴 符合食品级GB4806.6-2016规定。</w:t>
      </w:r>
    </w:p>
    <w:p>
      <w:pPr>
        <w:pStyle w:val="190"/>
        <w:ind w:firstLine="482"/>
        <w:rPr>
          <w:rFonts w:ascii="宋体" w:hAnsi="宋体" w:cs="宋体"/>
          <w:b/>
          <w:bCs/>
          <w:color w:val="auto"/>
          <w:sz w:val="24"/>
          <w:szCs w:val="24"/>
        </w:rPr>
      </w:pPr>
      <w:r>
        <w:rPr>
          <w:rFonts w:hint="eastAsia" w:ascii="宋体" w:hAnsi="宋体" w:cs="宋体"/>
          <w:b/>
          <w:bCs/>
          <w:color w:val="auto"/>
          <w:sz w:val="24"/>
          <w:szCs w:val="24"/>
        </w:rPr>
        <w:t>4. 脚蹼</w:t>
      </w:r>
    </w:p>
    <w:p>
      <w:pPr>
        <w:pStyle w:val="190"/>
        <w:ind w:firstLine="482"/>
        <w:rPr>
          <w:rFonts w:ascii="宋体" w:hAnsi="宋体" w:cs="宋体"/>
          <w:color w:val="auto"/>
          <w:sz w:val="24"/>
          <w:szCs w:val="24"/>
        </w:rPr>
      </w:pPr>
      <w:r>
        <w:rPr>
          <w:rFonts w:hint="eastAsia" w:ascii="宋体" w:hAnsi="宋体" w:cs="宋体"/>
          <w:b/>
          <w:bCs/>
          <w:color w:val="auto"/>
          <w:sz w:val="24"/>
          <w:szCs w:val="24"/>
        </w:rPr>
        <w:t>4.1</w:t>
      </w:r>
      <w:r>
        <w:rPr>
          <w:rFonts w:hint="eastAsia" w:ascii="宋体" w:hAnsi="宋体" w:cs="宋体"/>
          <w:color w:val="auto"/>
          <w:sz w:val="24"/>
          <w:szCs w:val="24"/>
        </w:rPr>
        <w:t xml:space="preserve"> 脚蹼，橡胶+TPR复合材质，为加强推进力和高效踢动需求，踢动时最大程度降低垂直上方的阻力。弹簧鞋带、调节式快卸搭扣，可单手便利脱除脚蹼，四导流槽，为技术潜水提供所需动力。</w:t>
      </w:r>
    </w:p>
    <w:p>
      <w:pPr>
        <w:pStyle w:val="190"/>
        <w:ind w:firstLine="482"/>
        <w:rPr>
          <w:rFonts w:ascii="宋体" w:hAnsi="宋体" w:cs="宋体"/>
          <w:color w:val="auto"/>
          <w:sz w:val="24"/>
          <w:szCs w:val="24"/>
        </w:rPr>
      </w:pPr>
      <w:r>
        <w:rPr>
          <w:rFonts w:hint="eastAsia" w:ascii="宋体" w:hAnsi="宋体" w:cs="宋体"/>
          <w:b/>
          <w:bCs/>
          <w:color w:val="auto"/>
          <w:sz w:val="24"/>
          <w:szCs w:val="24"/>
        </w:rPr>
        <w:t>5.打水板</w:t>
      </w:r>
    </w:p>
    <w:p>
      <w:pPr>
        <w:pStyle w:val="190"/>
        <w:ind w:firstLine="482"/>
        <w:rPr>
          <w:rFonts w:ascii="宋体" w:hAnsi="宋体" w:cs="宋体"/>
          <w:color w:val="auto"/>
          <w:sz w:val="24"/>
          <w:szCs w:val="24"/>
        </w:rPr>
      </w:pPr>
      <w:r>
        <w:rPr>
          <w:rFonts w:hint="eastAsia" w:ascii="宋体" w:hAnsi="宋体" w:cs="宋体"/>
          <w:b/>
          <w:bCs/>
          <w:color w:val="auto"/>
          <w:sz w:val="24"/>
          <w:szCs w:val="24"/>
        </w:rPr>
        <w:t xml:space="preserve">5.1 </w:t>
      </w:r>
      <w:r>
        <w:rPr>
          <w:rFonts w:hint="eastAsia" w:ascii="宋体" w:hAnsi="宋体" w:cs="宋体"/>
          <w:color w:val="auto"/>
          <w:sz w:val="24"/>
          <w:szCs w:val="24"/>
        </w:rPr>
        <w:t>打水板，A字型板，数量≥2个，颜色：火焰蓝或按照需求方提供，参考尺寸：≥450×310×30mm，材质：EVA发泡材料或更优材质，每块打水板设置抓孔≥2个。</w:t>
      </w:r>
    </w:p>
    <w:p>
      <w:pPr>
        <w:pStyle w:val="30"/>
        <w:widowControl/>
        <w:spacing w:before="120" w:beforeLines="50" w:afterLines="50" w:line="360" w:lineRule="auto"/>
        <w:ind w:firstLine="482" w:firstLineChars="200"/>
        <w:rPr>
          <w:rFonts w:ascii="宋体" w:hAnsi="宋体" w:cs="宋体"/>
          <w:sz w:val="24"/>
        </w:rPr>
      </w:pPr>
      <w:r>
        <w:rPr>
          <w:rFonts w:hint="eastAsia" w:ascii="宋体" w:hAnsi="宋体" w:cs="宋体"/>
          <w:b/>
          <w:bCs/>
          <w:sz w:val="24"/>
        </w:rPr>
        <w:t>6</w:t>
      </w:r>
      <w:r>
        <w:rPr>
          <w:rFonts w:hint="eastAsia" w:cs="宋体"/>
          <w:b/>
          <w:bCs/>
          <w:sz w:val="24"/>
        </w:rPr>
        <w:t xml:space="preserve">. </w:t>
      </w:r>
      <w:r>
        <w:rPr>
          <w:rFonts w:hint="eastAsia" w:ascii="宋体" w:hAnsi="宋体" w:cs="宋体"/>
          <w:sz w:val="24"/>
        </w:rPr>
        <w:t>产品具有清晰耐久标志（执行标准、型号、规格；生产厂的名称或商标；生产厂的识别编号、制造时间）和RFID芯片（内容根据采购方需要填写）。</w:t>
      </w:r>
    </w:p>
    <w:p>
      <w:pPr>
        <w:spacing w:line="360" w:lineRule="auto"/>
        <w:ind w:firstLine="482" w:firstLineChars="200"/>
        <w:rPr>
          <w:rFonts w:ascii="宋体" w:hAnsi="宋体" w:cs="宋体"/>
          <w:b/>
          <w:bCs/>
          <w:sz w:val="24"/>
        </w:rPr>
      </w:pPr>
      <w:r>
        <w:rPr>
          <w:rFonts w:hint="eastAsia" w:ascii="宋体" w:hAnsi="宋体" w:cs="宋体"/>
          <w:b/>
          <w:bCs/>
          <w:sz w:val="24"/>
        </w:rPr>
        <w:t>1-8  水下救生手环</w:t>
      </w:r>
      <w:r>
        <w:rPr>
          <w:rFonts w:hint="eastAsia" w:ascii="宋体" w:hAnsi="宋体"/>
          <w:b/>
          <w:bCs/>
          <w:sz w:val="24"/>
        </w:rPr>
        <w:t>【技术指标计9项】</w:t>
      </w:r>
    </w:p>
    <w:p>
      <w:pPr>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整套装备包括腕带、气仓和气囊，用于溺水自救。</w:t>
      </w:r>
    </w:p>
    <w:p>
      <w:pPr>
        <w:spacing w:line="360" w:lineRule="auto"/>
        <w:ind w:firstLine="482" w:firstLineChars="200"/>
        <w:rPr>
          <w:rFonts w:ascii="宋体" w:hAnsi="宋体" w:cs="宋体"/>
          <w:sz w:val="24"/>
        </w:rPr>
      </w:pPr>
      <w:r>
        <w:rPr>
          <w:rFonts w:hint="eastAsia" w:ascii="宋体" w:hAnsi="宋体" w:cs="宋体"/>
          <w:b/>
          <w:bCs/>
          <w:sz w:val="24"/>
        </w:rPr>
        <w:t xml:space="preserve"># 3. </w:t>
      </w:r>
      <w:r>
        <w:rPr>
          <w:rFonts w:hint="eastAsia" w:ascii="宋体" w:hAnsi="宋体" w:cs="宋体"/>
          <w:sz w:val="24"/>
        </w:rPr>
        <w:t>气囊材质：TPU复合布料或其他更优材质，承重≥120KG。</w:t>
      </w:r>
    </w:p>
    <w:p>
      <w:pPr>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气瓶材质：镀镍铁瓶，充装气体：二氧化碳，数量≥3个。</w:t>
      </w:r>
    </w:p>
    <w:p>
      <w:pPr>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充气时间：≤1.5s。</w:t>
      </w:r>
    </w:p>
    <w:p>
      <w:pPr>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使用温度：0-50℃。</w:t>
      </w:r>
    </w:p>
    <w:p>
      <w:pPr>
        <w:spacing w:line="360" w:lineRule="auto"/>
        <w:ind w:firstLine="482" w:firstLineChars="200"/>
        <w:rPr>
          <w:rFonts w:ascii="宋体" w:hAnsi="宋体" w:cs="宋体"/>
          <w:sz w:val="24"/>
        </w:rPr>
      </w:pPr>
      <w:r>
        <w:rPr>
          <w:rFonts w:hint="eastAsia" w:ascii="宋体" w:hAnsi="宋体" w:cs="宋体"/>
          <w:b/>
          <w:bCs/>
          <w:sz w:val="24"/>
        </w:rPr>
        <w:t># 7.</w:t>
      </w:r>
      <w:r>
        <w:rPr>
          <w:rFonts w:hint="eastAsia" w:ascii="宋体" w:hAnsi="宋体" w:cs="宋体"/>
          <w:sz w:val="24"/>
        </w:rPr>
        <w:t xml:space="preserve"> 重量：≤200g。</w:t>
      </w:r>
    </w:p>
    <w:p>
      <w:pPr>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配备纸质版和电子版中文使用维护保养说明书，配备专用器材储运包，防水、防尘、防刮擦。</w:t>
      </w:r>
    </w:p>
    <w:p>
      <w:pPr>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永久性标签内容包括:制造厂名称、地址、联系方式和注册商标；产品名称及型号；生产日期和批号；产品执行标准的代号和RFID芯片（内容根据采购方需要填写）。</w:t>
      </w:r>
    </w:p>
    <w:p>
      <w:pPr>
        <w:spacing w:line="360" w:lineRule="auto"/>
        <w:ind w:firstLine="482" w:firstLineChars="200"/>
        <w:rPr>
          <w:rFonts w:ascii="宋体" w:hAnsi="宋体" w:cs="宋体"/>
          <w:kern w:val="0"/>
          <w:sz w:val="24"/>
        </w:rPr>
      </w:pPr>
      <w:r>
        <w:rPr>
          <w:rFonts w:hint="eastAsia" w:ascii="宋体" w:hAnsi="宋体"/>
          <w:b/>
          <w:bCs/>
          <w:sz w:val="24"/>
        </w:rPr>
        <w:t>1-9  水域救援个人携行包【技术指标计7项】</w:t>
      </w:r>
    </w:p>
    <w:p>
      <w:pPr>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总体要求符合国家相关标准。提供国家消防装备质量监督检验中心或其他国家认证认可具有检测资质检测机构出具的有效检验检测报告复印件或扫描件。</w:t>
      </w:r>
    </w:p>
    <w:p>
      <w:pPr>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PVC材料，针织密度≥1100 g/m²。</w:t>
      </w:r>
    </w:p>
    <w:p>
      <w:pPr>
        <w:spacing w:line="360" w:lineRule="auto"/>
        <w:ind w:firstLine="482" w:firstLineChars="200"/>
        <w:rPr>
          <w:rFonts w:ascii="宋体" w:hAnsi="宋体" w:cs="宋体"/>
          <w:sz w:val="24"/>
        </w:rPr>
      </w:pPr>
      <w:r>
        <w:rPr>
          <w:rFonts w:hint="eastAsia" w:ascii="宋体" w:hAnsi="宋体" w:cs="宋体"/>
          <w:b/>
          <w:bCs/>
          <w:sz w:val="24"/>
        </w:rPr>
        <w:t xml:space="preserve"># 3. </w:t>
      </w:r>
      <w:r>
        <w:rPr>
          <w:rFonts w:hint="eastAsia" w:ascii="宋体" w:hAnsi="宋体" w:cs="宋体"/>
          <w:sz w:val="24"/>
        </w:rPr>
        <w:t>容量≥38L，重量≤2000g。</w:t>
      </w:r>
    </w:p>
    <w:p>
      <w:pPr>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可开合能快速拿取设备，背包内部有组织的放置设备，内部有隔层和装备环。</w:t>
      </w:r>
    </w:p>
    <w:p>
      <w:pPr>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胸带配有紧急哨，顶部配有提拉环。侧部把手≥1个，背部配有反光条。</w:t>
      </w:r>
    </w:p>
    <w:p>
      <w:pPr>
        <w:spacing w:line="360" w:lineRule="auto"/>
        <w:ind w:firstLine="482" w:firstLineChars="200"/>
        <w:rPr>
          <w:rFonts w:ascii="宋体" w:hAnsi="宋体" w:cs="宋体"/>
          <w:sz w:val="24"/>
        </w:rPr>
      </w:pPr>
      <w:r>
        <w:rPr>
          <w:rFonts w:hint="eastAsia" w:ascii="宋体" w:hAnsi="宋体" w:cs="宋体"/>
          <w:b/>
          <w:bCs/>
          <w:sz w:val="24"/>
        </w:rPr>
        <w:t xml:space="preserve">6. </w:t>
      </w:r>
      <w:r>
        <w:rPr>
          <w:rFonts w:hint="eastAsia" w:ascii="宋体" w:hAnsi="宋体" w:cs="宋体"/>
          <w:sz w:val="24"/>
        </w:rPr>
        <w:t>金属部件和金属零件应无棱角、毛刺，不得有裂纹、明显压痕和划伤等缺陷，其边缘应呈弧形。</w:t>
      </w:r>
    </w:p>
    <w:p>
      <w:pPr>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Pr>
        <w:spacing w:line="360" w:lineRule="auto"/>
        <w:ind w:firstLine="482" w:firstLineChars="200"/>
        <w:rPr>
          <w:rFonts w:ascii="宋体" w:hAnsi="宋体"/>
          <w:b/>
          <w:bCs/>
          <w:sz w:val="24"/>
        </w:rPr>
      </w:pPr>
      <w:r>
        <w:rPr>
          <w:rFonts w:hint="eastAsia" w:ascii="宋体" w:hAnsi="宋体"/>
          <w:b/>
          <w:bCs/>
          <w:sz w:val="24"/>
        </w:rPr>
        <w:t>1-10  消防员水域救援手套【技术指标计12项】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w:t>
      </w:r>
      <w:r>
        <w:rPr>
          <w:rFonts w:hint="eastAsia" w:ascii="宋体" w:hAnsi="宋体" w:cs="宋体"/>
          <w:sz w:val="24"/>
          <w:shd w:val="clear" w:color="auto" w:fill="FFFFFF"/>
        </w:rPr>
        <w:t>XF633-2006《</w:t>
      </w:r>
      <w:r>
        <w:rPr>
          <w:rStyle w:val="124"/>
          <w:rFonts w:hint="eastAsia" w:ascii="宋体" w:hAnsi="宋体" w:cs="宋体"/>
          <w:color w:val="auto"/>
          <w:sz w:val="24"/>
          <w:shd w:val="clear" w:color="auto" w:fill="FFFFFF"/>
        </w:rPr>
        <w:t>消防员</w:t>
      </w:r>
      <w:r>
        <w:rPr>
          <w:rFonts w:hint="eastAsia" w:ascii="宋体" w:hAnsi="宋体" w:cs="宋体"/>
          <w:sz w:val="24"/>
          <w:shd w:val="clear" w:color="auto" w:fill="FFFFFF"/>
        </w:rPr>
        <w:t>抢险救援防护服》标准</w:t>
      </w:r>
      <w:r>
        <w:rPr>
          <w:rFonts w:hint="eastAsia" w:ascii="宋体" w:hAnsi="宋体" w:cs="宋体"/>
          <w:sz w:val="24"/>
        </w:rPr>
        <w:t>。提供国家消防装备质量监督检验中心或其他国家认证认可具有检测资质检测机构出具的有效检验检测报告复印件或扫描件。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由外层、防护保暖复合层组合制成，手套的掌心和手指部分缝有用于增强外层耐磨性的材料。</w:t>
      </w:r>
    </w:p>
    <w:p>
      <w:pPr>
        <w:adjustRightInd w:val="0"/>
        <w:snapToGrid w:val="0"/>
        <w:spacing w:line="360" w:lineRule="auto"/>
        <w:ind w:firstLine="482" w:firstLineChars="200"/>
        <w:rPr>
          <w:rFonts w:ascii="宋体" w:hAnsi="宋体" w:cs="宋体"/>
          <w:sz w:val="24"/>
          <w:shd w:val="clear" w:color="auto" w:fill="FFFFFF"/>
        </w:rPr>
      </w:pPr>
      <w:r>
        <w:rPr>
          <w:rFonts w:hint="eastAsia" w:ascii="宋体" w:hAnsi="宋体" w:cs="宋体"/>
          <w:b/>
          <w:bCs/>
          <w:sz w:val="24"/>
        </w:rPr>
        <w:t xml:space="preserve">3. </w:t>
      </w:r>
      <w:r>
        <w:rPr>
          <w:rFonts w:hint="eastAsia" w:ascii="宋体" w:hAnsi="宋体" w:cs="宋体"/>
          <w:sz w:val="24"/>
        </w:rPr>
        <w:t>主要用于</w:t>
      </w:r>
      <w:r>
        <w:rPr>
          <w:rFonts w:hint="eastAsia" w:ascii="宋体" w:hAnsi="宋体" w:cs="宋体"/>
          <w:sz w:val="24"/>
          <w:shd w:val="clear" w:color="auto" w:fill="FFFFFF"/>
        </w:rPr>
        <w:t>水域救援作业时，保护消防员手部，操作绳索及其他救援工具时提供防护。</w:t>
      </w:r>
    </w:p>
    <w:p>
      <w:pPr>
        <w:pStyle w:val="69"/>
        <w:spacing w:beforeAutospacing="0" w:afterAutospacing="0" w:line="360" w:lineRule="auto"/>
        <w:ind w:firstLine="482" w:firstLineChars="200"/>
        <w:jc w:val="both"/>
      </w:pPr>
      <w:r>
        <w:rPr>
          <w:rFonts w:hint="eastAsia"/>
          <w:b/>
          <w:bCs/>
          <w:shd w:val="clear" w:color="auto" w:fill="FFFFFF"/>
        </w:rPr>
        <w:t xml:space="preserve">4. </w:t>
      </w:r>
      <w:r>
        <w:rPr>
          <w:rFonts w:hint="eastAsia"/>
        </w:rPr>
        <w:t>特殊的合成皮革材料可以为手掌和手指处提供良好的抓握性和耐磨保护性。</w:t>
      </w:r>
    </w:p>
    <w:p>
      <w:pPr>
        <w:pStyle w:val="69"/>
        <w:spacing w:beforeAutospacing="0" w:afterAutospacing="0" w:line="360" w:lineRule="auto"/>
        <w:ind w:firstLine="482" w:firstLineChars="200"/>
        <w:jc w:val="both"/>
      </w:pPr>
      <w:r>
        <w:rPr>
          <w:rFonts w:hint="eastAsia"/>
          <w:b/>
          <w:bCs/>
        </w:rPr>
        <w:t>5.</w:t>
      </w:r>
      <w:r>
        <w:rPr>
          <w:rFonts w:hint="eastAsia"/>
        </w:rPr>
        <w:t xml:space="preserve"> 手套的耐磨性能：在9KPa的压力下，经8000次循环摩擦后不能击穿。</w:t>
      </w:r>
    </w:p>
    <w:p>
      <w:pPr>
        <w:pStyle w:val="69"/>
        <w:spacing w:beforeAutospacing="0" w:afterAutospacing="0" w:line="360" w:lineRule="auto"/>
        <w:ind w:firstLine="482" w:firstLineChars="200"/>
        <w:jc w:val="both"/>
      </w:pPr>
      <w:r>
        <w:rPr>
          <w:rFonts w:hint="eastAsia"/>
          <w:b/>
          <w:bCs/>
        </w:rPr>
        <w:t xml:space="preserve">6. </w:t>
      </w:r>
      <w:r>
        <w:rPr>
          <w:rFonts w:hint="eastAsia"/>
        </w:rPr>
        <w:t>灵巧性能：手套徒手控制百分比102%。</w:t>
      </w:r>
    </w:p>
    <w:p>
      <w:pPr>
        <w:pStyle w:val="69"/>
        <w:spacing w:beforeAutospacing="0" w:afterAutospacing="0" w:line="360" w:lineRule="auto"/>
        <w:ind w:firstLine="482" w:firstLineChars="200"/>
        <w:jc w:val="both"/>
      </w:pPr>
      <w:r>
        <w:rPr>
          <w:rFonts w:hint="eastAsia"/>
          <w:b/>
          <w:bCs/>
        </w:rPr>
        <w:t xml:space="preserve">7. </w:t>
      </w:r>
      <w:r>
        <w:rPr>
          <w:rFonts w:hint="eastAsia"/>
        </w:rPr>
        <w:t>穿戴性能：手套穿戴时间15s。</w:t>
      </w:r>
    </w:p>
    <w:p>
      <w:pPr>
        <w:pStyle w:val="69"/>
        <w:spacing w:beforeAutospacing="0" w:afterAutospacing="0" w:line="360" w:lineRule="auto"/>
        <w:ind w:firstLine="482" w:firstLineChars="200"/>
        <w:jc w:val="both"/>
      </w:pPr>
      <w:r>
        <w:rPr>
          <w:rFonts w:hint="eastAsia"/>
          <w:b/>
          <w:bCs/>
        </w:rPr>
        <w:t>8</w:t>
      </w:r>
      <w:r>
        <w:rPr>
          <w:rFonts w:hint="eastAsia"/>
        </w:rPr>
        <w:t>. 手套的背面采用2mm的氯丁橡胶层，提供良具有保暖、抗冲击性能。</w:t>
      </w:r>
    </w:p>
    <w:p>
      <w:pPr>
        <w:pStyle w:val="69"/>
        <w:spacing w:beforeAutospacing="0" w:afterAutospacing="0" w:line="360" w:lineRule="auto"/>
        <w:ind w:firstLine="482" w:firstLineChars="200"/>
        <w:jc w:val="both"/>
      </w:pPr>
      <w:r>
        <w:rPr>
          <w:rFonts w:hint="eastAsia"/>
          <w:b/>
          <w:bCs/>
        </w:rPr>
        <w:t xml:space="preserve">9. </w:t>
      </w:r>
      <w:r>
        <w:rPr>
          <w:rFonts w:hint="eastAsia"/>
        </w:rPr>
        <w:t>手掌和手指正面，合成皮革的加固处理。</w:t>
      </w:r>
    </w:p>
    <w:p>
      <w:pPr>
        <w:pStyle w:val="69"/>
        <w:spacing w:beforeAutospacing="0" w:afterAutospacing="0" w:line="360" w:lineRule="auto"/>
        <w:ind w:firstLine="482" w:firstLineChars="200"/>
        <w:jc w:val="both"/>
      </w:pPr>
      <w:r>
        <w:rPr>
          <w:rFonts w:hint="eastAsia"/>
          <w:b/>
          <w:bCs/>
        </w:rPr>
        <w:t>10.</w:t>
      </w:r>
      <w:r>
        <w:rPr>
          <w:rFonts w:hint="eastAsia"/>
        </w:rPr>
        <w:t xml:space="preserve"> 在经常性磨损区域都做加固垫。</w:t>
      </w:r>
    </w:p>
    <w:p>
      <w:pPr>
        <w:pStyle w:val="69"/>
        <w:spacing w:beforeAutospacing="0" w:afterAutospacing="0" w:line="360" w:lineRule="auto"/>
        <w:ind w:firstLine="482" w:firstLineChars="200"/>
        <w:jc w:val="both"/>
      </w:pPr>
      <w:r>
        <w:rPr>
          <w:rFonts w:hint="eastAsia"/>
          <w:b/>
          <w:bCs/>
        </w:rPr>
        <w:t xml:space="preserve">11. </w:t>
      </w:r>
      <w:r>
        <w:rPr>
          <w:rFonts w:hint="eastAsia"/>
        </w:rPr>
        <w:t>在手腕处设有魔术贴织带，可以快速调节和固定。</w:t>
      </w:r>
    </w:p>
    <w:p>
      <w:pPr>
        <w:pStyle w:val="190"/>
        <w:ind w:firstLine="482"/>
        <w:rPr>
          <w:rFonts w:ascii="宋体" w:hAnsi="宋体" w:cs="宋体"/>
          <w:sz w:val="24"/>
          <w:szCs w:val="24"/>
        </w:rPr>
      </w:pPr>
      <w:r>
        <w:rPr>
          <w:rFonts w:hint="eastAsia" w:ascii="宋体" w:hAnsi="宋体" w:cs="宋体"/>
          <w:b/>
          <w:bCs/>
          <w:sz w:val="24"/>
          <w:szCs w:val="24"/>
        </w:rPr>
        <w:t xml:space="preserve">12. </w:t>
      </w:r>
      <w:r>
        <w:rPr>
          <w:rFonts w:hint="eastAsia" w:ascii="宋体" w:hAnsi="宋体" w:cs="宋体"/>
          <w:sz w:val="24"/>
          <w:szCs w:val="24"/>
        </w:rPr>
        <w:t>产品具有清晰耐用永久标志（执行标准、型号、规格：生产厂名称或商标：生产厂的识别编号、制造时间）和RFID芯片（内容根据采购方需要填写）。</w:t>
      </w:r>
    </w:p>
    <w:p>
      <w:pPr>
        <w:spacing w:line="360" w:lineRule="auto"/>
        <w:ind w:firstLine="482" w:firstLineChars="200"/>
        <w:rPr>
          <w:rFonts w:ascii="宋体" w:hAnsi="宋体" w:cs="宋体"/>
          <w:kern w:val="0"/>
          <w:sz w:val="24"/>
        </w:rPr>
      </w:pPr>
      <w:r>
        <w:rPr>
          <w:rFonts w:hint="eastAsia" w:ascii="宋体" w:hAnsi="宋体"/>
          <w:b/>
          <w:bCs/>
          <w:sz w:val="24"/>
        </w:rPr>
        <w:t>1-11  消防员水域救援靴【技术指标计8项】</w:t>
      </w:r>
    </w:p>
    <w:p>
      <w:pPr>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xml:space="preserve"> 消防员急流洪水和水域救援行动中，保护脚部、脚踝不受伤害的防护装备。</w:t>
      </w:r>
    </w:p>
    <w:p>
      <w:pPr>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舒适、速干面料，高帮水域救援靴。</w:t>
      </w:r>
    </w:p>
    <w:p>
      <w:pPr>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鞋两侧有滤水孔，方便排水。</w:t>
      </w:r>
    </w:p>
    <w:p>
      <w:pPr>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 xml:space="preserve">鞋垫材质：氯丁橡胶，厚度≥7mm。  </w:t>
      </w:r>
    </w:p>
    <w:p>
      <w:pPr>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鞋底适应水面和陆地的各种地形，防滑防刺。</w:t>
      </w:r>
    </w:p>
    <w:p>
      <w:pPr>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脚跟处凸起设计，方便与脚蹼搭配使用。</w:t>
      </w:r>
    </w:p>
    <w:p>
      <w:pPr>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产品具有清晰耐久标志（执行标准、型号、规格；生产厂的名称或商标；生产厂的识别编号、制造时间）和RFID芯片（内容根据采购方需要填写）。</w:t>
      </w:r>
    </w:p>
    <w:p>
      <w:pPr>
        <w:spacing w:line="360" w:lineRule="auto"/>
        <w:ind w:firstLine="482" w:firstLineChars="200"/>
        <w:rPr>
          <w:rFonts w:ascii="宋体" w:hAnsi="宋体"/>
          <w:b/>
          <w:bCs/>
          <w:sz w:val="24"/>
        </w:rPr>
      </w:pPr>
      <w:r>
        <w:rPr>
          <w:rFonts w:hint="eastAsia" w:ascii="宋体" w:hAnsi="宋体"/>
          <w:b/>
          <w:bCs/>
          <w:sz w:val="24"/>
        </w:rPr>
        <w:t>1-12 消防员水域救援头盔【技术指标计12项】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 xml:space="preserve"> 符合国家现行有关标准、规范。提供国家消防装备质量监督检验中心或其他国家认证认可具有检测资质检测机构出具的有效检验检测报告复印件或扫描件。</w:t>
      </w:r>
    </w:p>
    <w:p>
      <w:pPr>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xml:space="preserve"> </w:t>
      </w:r>
      <w:r>
        <w:rPr>
          <w:rFonts w:hint="eastAsia" w:ascii="宋体" w:hAnsi="宋体" w:cs="宋体"/>
          <w:sz w:val="24"/>
          <w:shd w:val="clear" w:color="auto" w:fill="FFFFFF"/>
        </w:rPr>
        <w:t>主要由盔壳、缓冲垫、系带、帽衬调节、护耳部件等组成；</w:t>
      </w:r>
      <w:r>
        <w:rPr>
          <w:rStyle w:val="124"/>
          <w:rFonts w:hint="eastAsia" w:ascii="宋体" w:hAnsi="宋体" w:cs="宋体"/>
          <w:color w:val="auto"/>
          <w:sz w:val="24"/>
          <w:shd w:val="clear" w:color="auto" w:fill="FFFFFF"/>
        </w:rPr>
        <w:t>消防员</w:t>
      </w:r>
      <w:r>
        <w:rPr>
          <w:rFonts w:hint="eastAsia" w:ascii="宋体" w:hAnsi="宋体" w:cs="宋体"/>
          <w:sz w:val="24"/>
          <w:shd w:val="clear" w:color="auto" w:fill="FFFFFF"/>
        </w:rPr>
        <w:t>急流洪水和</w:t>
      </w:r>
      <w:r>
        <w:rPr>
          <w:rStyle w:val="124"/>
          <w:rFonts w:hint="eastAsia" w:ascii="宋体" w:hAnsi="宋体" w:cs="宋体"/>
          <w:color w:val="auto"/>
          <w:sz w:val="24"/>
          <w:shd w:val="clear" w:color="auto" w:fill="FFFFFF"/>
        </w:rPr>
        <w:t>水域救援</w:t>
      </w:r>
      <w:r>
        <w:rPr>
          <w:rFonts w:hint="eastAsia" w:ascii="宋体" w:hAnsi="宋体" w:cs="宋体"/>
          <w:sz w:val="24"/>
          <w:shd w:val="clear" w:color="auto" w:fill="FFFFFF"/>
        </w:rPr>
        <w:t>行动中，保护头部不受伤害的防护装备。</w:t>
      </w:r>
    </w:p>
    <w:p>
      <w:pPr>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材质：外壳采用采用ABS树脂材质、内衬采用EVA泡沫缓冲垫层或更高性能材质制成。</w:t>
      </w:r>
    </w:p>
    <w:p>
      <w:pPr>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通风口≥8个、设计有排水槽。</w:t>
      </w:r>
    </w:p>
    <w:p>
      <w:pPr>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下颚带护垫快速调节带，可快速调节至适合尺寸。</w:t>
      </w:r>
    </w:p>
    <w:p>
      <w:pPr>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佩戴装置：旋钮式调节器，可单手快速调节头围。</w:t>
      </w:r>
    </w:p>
    <w:p>
      <w:pPr>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开口式护耳，通风口能够有效保障听力不受影响。</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盔体两侧设多功能模块化滑轨，配有照明灯安装装置。</w:t>
      </w:r>
    </w:p>
    <w:p>
      <w:pPr>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多种尺码可供选择：54-65cm。</w:t>
      </w:r>
    </w:p>
    <w:p>
      <w:pPr>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 xml:space="preserve"> 漂浮性能：经过4h的漂浮性能实验，头盔能始终漂浮在水面上。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 xml:space="preserve"> 重量≤550g。</w:t>
      </w:r>
    </w:p>
    <w:p>
      <w:pPr>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xml:space="preserve"> 外观标识按照应急管理部消防救援局最新消防头盔标识统型要求执行。</w:t>
      </w:r>
    </w:p>
    <w:p>
      <w:pPr>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 xml:space="preserve"> 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1-13  水下破拆工具组【技术指标计14项】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总体要求符合GB 32459-2015《消防应急救援装备手动破拆工具通用技术条件》的标准要求，提供国家消防装备质量监督检验中心或其他国家认证认可具有检测资质检测机构出具的有效检验检测报告复印件或扫描件。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xml:space="preserve"> 整套装备由电动液压泵、液压管、剪切器、扩张器、剪扩器、救援顶杆、浮力装置组成，主要水下救援现场剪切、扩张、撑顶作业。</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3. </w:t>
      </w:r>
      <w:r>
        <w:rPr>
          <w:rFonts w:hint="eastAsia" w:ascii="宋体" w:hAnsi="宋体" w:cs="宋体"/>
          <w:sz w:val="24"/>
        </w:rPr>
        <w:t>电动液压泵：采用防污染接口，重量≤24Kg，作业噪音≤65分贝；采用防爆充电池，充电时间≤90min，工作时间≥45min。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4.</w:t>
      </w:r>
      <w:r>
        <w:rPr>
          <w:rFonts w:hint="eastAsia" w:ascii="宋体" w:hAnsi="宋体" w:cs="宋体"/>
          <w:sz w:val="24"/>
        </w:rPr>
        <w:t xml:space="preserve"> 液压剪切器：最大剪切圆钢直径≥30mm（Q235钢材），最大开口距离≥160mm，剪切力≥400kN，重量≤14Kg。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5. </w:t>
      </w:r>
      <w:r>
        <w:rPr>
          <w:rFonts w:hint="eastAsia" w:ascii="宋体" w:hAnsi="宋体" w:cs="宋体"/>
          <w:sz w:val="24"/>
        </w:rPr>
        <w:t>液压扩张器：最大扩张力≥80kN，最大开口距离≥600mm，重量≤17Kg。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6.</w:t>
      </w:r>
      <w:r>
        <w:rPr>
          <w:rFonts w:hint="eastAsia" w:ascii="宋体" w:hAnsi="宋体" w:cs="宋体"/>
          <w:sz w:val="24"/>
        </w:rPr>
        <w:t xml:space="preserve"> 液压剪扩器：最大剪切圆钢直径≥30mm（Q235钢材），最大扩张力≥59KN，开口距离≥360mm，重量≤16kg。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控制手柄：长度≥2m，重量≤1.5Kg，可单手完成工具的连接。</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液压油管：长度≥2m，重量≤1.2Kg，可单手带压插拔。</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9. </w:t>
      </w:r>
      <w:r>
        <w:rPr>
          <w:rFonts w:hint="eastAsia" w:ascii="宋体" w:hAnsi="宋体" w:cs="宋体"/>
          <w:sz w:val="24"/>
        </w:rPr>
        <w:t>液压顶杆：一级顶撑：≥200kN；二级顶撑力：≥120kN；闭合长度：≤500mm；行程长度：≥500mm；伸展后长度：≥1000mm。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10. </w:t>
      </w:r>
      <w:r>
        <w:rPr>
          <w:rFonts w:hint="eastAsia" w:ascii="宋体" w:hAnsi="宋体" w:cs="宋体"/>
          <w:sz w:val="24"/>
        </w:rPr>
        <w:t>最深作业深度：≥80米。</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xml:space="preserve"> 浮力装置：重量≤5Kg；配有配重包、连接绳、安全吊索和紧固件等。</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 xml:space="preserve"> 运输箱：具有可伸缩拉杆、带有轮子，箱体整体防水、抗压、防震、防腐蚀。</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13. </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14. </w:t>
      </w:r>
      <w:r>
        <w:rPr>
          <w:rFonts w:hint="eastAsia" w:ascii="宋体" w:hAnsi="宋体" w:cs="宋体"/>
          <w:sz w:val="24"/>
        </w:rPr>
        <w:t>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1-14  割绳刀【技术指标计10项】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刀具由刀柄、刀身、刀鞘组成，适于快速除脱网绳、水草或藤蔓等绞缠物。</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采用钛合金制造或其他高强度材质制造，应具有良好的机械性能和抗蚀性能。</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整刀长度≥15cm，刀片长度≥7cm，可做户外应急刀使用，也可做水域割绳刀使用；具备刮、切、刺、削、砍、割绳等功能。</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防滑刀柄一体注塑防滑材质，耐热、耐低温、耐化学侵蚀。</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6. </w:t>
      </w:r>
      <w:r>
        <w:rPr>
          <w:rFonts w:hint="eastAsia" w:ascii="宋体" w:hAnsi="宋体" w:cs="宋体"/>
          <w:sz w:val="24"/>
        </w:rPr>
        <w:t>刀体平头设计。</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一面刀齿，一面锯齿，锯齿面带有割绳钩。</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刀身与刀鞘采用双按压机制结合。</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刀身和刀鞘都带有挂绳孔。</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w:t>
      </w:r>
      <w:r>
        <w:rPr>
          <w:rFonts w:hint="eastAsia" w:ascii="宋体" w:hAnsi="宋体" w:cs="宋体"/>
          <w:sz w:val="24"/>
        </w:rPr>
        <w:t xml:space="preserve"> 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1-15  水下通信装置【技术指标计27项】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 xml:space="preserve"> 总体要求符合国家现行有关标准、规范。</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整套设备由水面控制台、潜水全面罩、水下对讲组成。</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 xml:space="preserve">无线超声波水面设备，水面与水底潜水员通讯系统。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4.</w:t>
      </w:r>
      <w:r>
        <w:rPr>
          <w:rFonts w:hint="eastAsia" w:ascii="宋体" w:hAnsi="宋体" w:cs="宋体"/>
          <w:sz w:val="24"/>
        </w:rPr>
        <w:t xml:space="preserve"> 工作范围≥250m。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具备接受和发射功能，可与水底不限数量的无线耳麦系统潜水员实现沟通。</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可直接与水下通讯端一键通传输 PTT 步话对讲机交流，自动接收，频率32.768KHz 或 41KHz。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 xml:space="preserve">使用 6V DC 铅电池供电，续航时间≥48h，也可使用 12V 直流电源供电。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自带低电量警示系统低电压下耐用≥1.5h，电压低于 4.8V时，发出警报信号。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 xml:space="preserve">重量≤2.5KG 。 </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10. 全面罩</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10.1 </w:t>
      </w:r>
      <w:r>
        <w:rPr>
          <w:rFonts w:hint="eastAsia" w:ascii="宋体" w:hAnsi="宋体" w:cs="宋体"/>
          <w:sz w:val="24"/>
        </w:rPr>
        <w:t>≥2 套。</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10.2</w:t>
      </w:r>
      <w:r>
        <w:rPr>
          <w:rFonts w:hint="eastAsia" w:ascii="宋体" w:hAnsi="宋体" w:cs="宋体"/>
          <w:sz w:val="24"/>
        </w:rPr>
        <w:t xml:space="preserve">  聚碳酸酯材质，可见光透过率为≥90%。</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10.3</w:t>
      </w:r>
      <w:r>
        <w:rPr>
          <w:rFonts w:hint="eastAsia" w:ascii="宋体" w:hAnsi="宋体" w:cs="宋体"/>
          <w:sz w:val="24"/>
        </w:rPr>
        <w:t xml:space="preserve">  面镜内部表面涂有树脂硅，可以抵抗直径 6.35mm 的钢 珠以 540km/hr 的速度打击，平衡调节集成调节器，二级头可快速拆卸。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10.4</w:t>
      </w:r>
      <w:r>
        <w:rPr>
          <w:rFonts w:hint="eastAsia" w:ascii="宋体" w:hAnsi="宋体" w:cs="宋体"/>
          <w:sz w:val="24"/>
        </w:rPr>
        <w:t xml:space="preserve">  全景式视窗，调节器保护罩和硅胶导流板，可以吸收强烈水流冲击。</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10.5</w:t>
      </w:r>
      <w:r>
        <w:rPr>
          <w:rFonts w:hint="eastAsia" w:ascii="宋体" w:hAnsi="宋体" w:cs="宋体"/>
          <w:sz w:val="24"/>
        </w:rPr>
        <w:t xml:space="preserve">  定向排气阀可调整呼出的气流方向，减少气泡对通讯效果的影响。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10.6</w:t>
      </w:r>
      <w:r>
        <w:rPr>
          <w:rFonts w:hint="eastAsia" w:ascii="宋体" w:hAnsi="宋体" w:cs="宋体"/>
          <w:sz w:val="24"/>
        </w:rPr>
        <w:t xml:space="preserve">  口鼻袋腔室，单向空气循环系统，防止潜水员二氧化碳呼吸沉积，面镜视窗不起雾。</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10.7  </w:t>
      </w:r>
      <w:r>
        <w:rPr>
          <w:rFonts w:hint="eastAsia" w:ascii="宋体" w:hAnsi="宋体" w:cs="宋体"/>
          <w:sz w:val="24"/>
        </w:rPr>
        <w:t>3D 耳压平衡调节系统：上/下，宽/窄，近/远。需要时将面罩推向面部，使鼻塞形成鼻腔密封，完成外部排放耳压。</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10.8  </w:t>
      </w:r>
      <w:r>
        <w:rPr>
          <w:rFonts w:hint="eastAsia" w:ascii="宋体" w:hAnsi="宋体" w:cs="宋体"/>
          <w:sz w:val="24"/>
        </w:rPr>
        <w:t>水面呼吸阀：面镜头带直接跟面罩相连。</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10.9  </w:t>
      </w:r>
      <w:r>
        <w:rPr>
          <w:rFonts w:hint="eastAsia" w:ascii="宋体" w:hAnsi="宋体" w:cs="宋体"/>
          <w:sz w:val="24"/>
        </w:rPr>
        <w:t xml:space="preserve">面罩延展边框，可配合水下通讯收发系统，预留水下通讯组件端口，可与水下通讯系统配件使用。 </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11. 耳麦系统</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11.1</w:t>
      </w:r>
      <w:r>
        <w:rPr>
          <w:rFonts w:hint="eastAsia" w:ascii="宋体" w:hAnsi="宋体" w:cs="宋体"/>
          <w:sz w:val="24"/>
        </w:rPr>
        <w:t xml:space="preserve">耳麦系统≥2 套 。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11.2 </w:t>
      </w:r>
      <w:r>
        <w:rPr>
          <w:rFonts w:hint="eastAsia" w:ascii="宋体" w:hAnsi="宋体" w:cs="宋体"/>
          <w:sz w:val="24"/>
        </w:rPr>
        <w:t xml:space="preserve">耳麦系统，结合全面罩，可隔离通道通讯，保证水下通讯任务的私密性。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11.3</w:t>
      </w:r>
      <w:r>
        <w:rPr>
          <w:rFonts w:hint="eastAsia" w:ascii="宋体" w:hAnsi="宋体" w:cs="宋体"/>
          <w:sz w:val="24"/>
        </w:rPr>
        <w:t xml:space="preserve"> 免提通讯模式。允许潜水员非手动的免提模式通讯。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11.4 </w:t>
      </w:r>
      <w:r>
        <w:rPr>
          <w:rFonts w:hint="eastAsia" w:ascii="宋体" w:hAnsi="宋体" w:cs="宋体"/>
          <w:sz w:val="24"/>
        </w:rPr>
        <w:t>免提通讯模式系统在水下救援作业中在紧急情况下可使用。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11.5 </w:t>
      </w:r>
      <w:r>
        <w:rPr>
          <w:rFonts w:hint="eastAsia" w:ascii="宋体" w:hAnsi="宋体" w:cs="宋体"/>
          <w:sz w:val="24"/>
        </w:rPr>
        <w:t>通讯范围：≥250 m，工作深度：≥80 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11.6</w:t>
      </w:r>
      <w:r>
        <w:rPr>
          <w:rFonts w:hint="eastAsia" w:ascii="宋体" w:hAnsi="宋体" w:cs="宋体"/>
          <w:sz w:val="24"/>
        </w:rPr>
        <w:t xml:space="preserve"> 双耳机；音量控制开关，双按钮设计，一键激活免提通讯模式。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12. </w:t>
      </w:r>
      <w:r>
        <w:rPr>
          <w:rFonts w:hint="eastAsia" w:ascii="宋体" w:hAnsi="宋体" w:cs="宋体"/>
          <w:sz w:val="24"/>
        </w:rPr>
        <w:t xml:space="preserve">工作续航≥ 30h，配备两块可充电电池及 USB充电装置。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 xml:space="preserve"> 专用收纳带收纳箱，防水、防尘、防碰撞。</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14. </w:t>
      </w:r>
      <w:r>
        <w:rPr>
          <w:rFonts w:hint="eastAsia" w:ascii="宋体" w:hAnsi="宋体" w:cs="宋体"/>
          <w:sz w:val="24"/>
        </w:rPr>
        <w:t>产品具有清晰耐久标志（执行标准、型号、规格；生产厂的名称或商标；生产厂的识别编号、制造时间）和RFID芯片。（内容根据采购方需要填写）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1-16  冰面救援气垫【技术指标计9项】</w:t>
      </w:r>
      <w:r>
        <w:rPr>
          <w:rFonts w:hint="eastAsia" w:ascii="宋体" w:hAnsi="宋体" w:cs="宋体"/>
          <w:sz w:val="24"/>
        </w:rPr>
        <w:t xml:space="preserve"> </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用于在冰面救援时使用，船体两端开放式设计，可越过被困人员头部，直接实行拖拽救援。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制作材质：织物、PVC或其他更优材质。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参考尺寸(长×宽)：2200×900mm。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5. </w:t>
      </w:r>
      <w:r>
        <w:rPr>
          <w:rFonts w:hint="eastAsia" w:ascii="宋体" w:hAnsi="宋体" w:cs="宋体"/>
          <w:sz w:val="24"/>
        </w:rPr>
        <w:t>浮力：≥900kg，救生拉手在船两侧均与分布，救生拉手≥6个。前、后端牵引绳环≥4个，拉力≥200N。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6. </w:t>
      </w:r>
      <w:r>
        <w:rPr>
          <w:rFonts w:hint="eastAsia" w:ascii="宋体" w:hAnsi="宋体" w:cs="宋体"/>
          <w:sz w:val="24"/>
        </w:rPr>
        <w:t>充气时间：≤3分钟，充气软管长度≥2m，数量≥1根，充气接口可适配空气呼吸器气瓶接口。</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重量≤25kg，配备充气装置，收纳包，维修备件。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永久性标签内容包括:制造厂名称、地址和注册商标；产品名称及型号；生产日期和批号；产品执行标准的代号和RFID芯片（内容根据采购方需要填写）。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1-17  充气浮岛（浮桥）【技术指标计12项】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符合国家相关标准的有关要求，提供国家消防装备质量监督检验中心或其他国家认证认可具有检测资质检测机构出具的有效检验检测报告复印件或扫描件。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主要用于在较平静水面搭建水上救生浮岛，用来临时存放救生设备或人员中转时使用。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平时可收纳存放，救援现场用打气泵充气后即可形成救生浮岛平台。</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材质拉丝布或更优材质制成，四周装有D型环和橡胶把手，可通过D型环实现浮岛的拼接。</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每套由2个充气浮岛组成，单个尺寸≥4m×2m,纵向或横向都可拼接。</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6. </w:t>
      </w:r>
      <w:r>
        <w:rPr>
          <w:rFonts w:hint="eastAsia" w:ascii="宋体" w:hAnsi="宋体" w:cs="宋体"/>
          <w:sz w:val="24"/>
        </w:rPr>
        <w:t>每个浮岛底部设有水袋，数量≥4个。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配备浆片、充气泵、便携包、维修工具包等附件。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浮桥四周有高强度反光带，以提高可视性。</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浮桥的前端有D型环和安全钩，数量≥4个。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w:t>
      </w:r>
      <w:r>
        <w:rPr>
          <w:rFonts w:hint="eastAsia" w:ascii="宋体" w:hAnsi="宋体" w:cs="宋体"/>
          <w:sz w:val="24"/>
        </w:rPr>
        <w:t xml:space="preserve"> 浮桥两侧有连接肩带，方便多个浮桥进行拼接。</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xml:space="preserve"> 专用收纳带收纳，附件：电动充气泵、气瓶减压阀、气瓶转换充气接口。</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12. </w:t>
      </w:r>
      <w:r>
        <w:rPr>
          <w:rFonts w:hint="eastAsia" w:ascii="宋体" w:hAnsi="宋体" w:cs="宋体"/>
          <w:sz w:val="24"/>
        </w:rPr>
        <w:t>产品具有清晰耐久标志（执行标准、型号、规格；生产厂的名称或商标；生产厂的识别编号、制造时间）和RFID芯片（内容根据采购方需要填写）。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1-18  打捞杆【技术指标计12项】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打捞杆由伸缩杆、浮力球、浮力圈、爪钩、单钩、弹性捕获器、D形扣、身体套索组成，用于在冰面、泥潭沼泽、码头、轮船等，救援人员对落水人员进行远距离施救。</w:t>
      </w:r>
    </w:p>
    <w:p>
      <w:pPr>
        <w:adjustRightInd w:val="0"/>
        <w:snapToGrid w:val="0"/>
        <w:spacing w:line="360" w:lineRule="auto"/>
        <w:ind w:left="420" w:leftChars="200"/>
        <w:rPr>
          <w:rFonts w:ascii="宋体" w:hAnsi="宋体" w:cs="宋体"/>
          <w:sz w:val="24"/>
        </w:rPr>
      </w:pPr>
      <w:r>
        <w:rPr>
          <w:rFonts w:hint="eastAsia" w:ascii="宋体" w:hAnsi="宋体" w:cs="宋体"/>
          <w:b/>
          <w:bCs/>
          <w:sz w:val="24"/>
        </w:rPr>
        <w:t># 3.</w:t>
      </w:r>
      <w:r>
        <w:rPr>
          <w:rFonts w:hint="eastAsia" w:ascii="宋体" w:hAnsi="宋体" w:cs="宋体"/>
          <w:sz w:val="24"/>
        </w:rPr>
        <w:t>伸缩杆：超轻碳纤维材质或其他材质制成，可漂浮,收缩长度≤2.4m，伸开长度≥18m，重量≤4.8Kg。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浮力球：用于增加伸缩杆的浮力，也可作独力的浮力设备使用，浮力≥7kg，重量≤540g。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浮力圈：不锈钢、尼龙带、泡沫混合体，浮力≥7kg，重量≤540g。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爪钩：不锈钢材质、长≥290mm，抓钩间距≥230mm,爪钩半径≥120mm,重量≤560g。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单钩：不锈钢材质、长≥290mm，钩口宽≥110mm，重量≤240g。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弹性捕获器：不锈钢材质、张开距离≥520mm，重量≤0.4kg。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D形扣：不锈钢材质、钳口内宽≥70mm，长度≥300mm。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w:t>
      </w:r>
      <w:r>
        <w:rPr>
          <w:rFonts w:hint="eastAsia" w:ascii="宋体" w:hAnsi="宋体" w:cs="宋体"/>
          <w:sz w:val="24"/>
        </w:rPr>
        <w:t>身体套索：铝合金材质，弧长≥1100mm，弧宽≥440mm。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配备纸质版和电子版中文使用维护保养说明书，配备专用器材储运箱，防水、防尘、防刮擦。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1-19  脚踏绳【技术指标计9项】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用于绳索作业，是绳索救援中的重要附件，与上升器连接配合，用于绳索攀爬、垂直、上升。</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尼龙、涤纶或其他高强材质，长度可轻松快速调节。</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脚踏环采用半硬式结构。</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5. </w:t>
      </w:r>
      <w:r>
        <w:rPr>
          <w:rFonts w:hint="eastAsia" w:ascii="宋体" w:hAnsi="宋体" w:cs="宋体"/>
          <w:sz w:val="24"/>
        </w:rPr>
        <w:t>最大长度≥125cm,承重≥130Kg，重量≤85g。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绳头、编织带末端采用热熔、缝合处理。</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金属环、调节环等硬质物体无毛刺，在使用过程中不会对绳体、编织带造成伤害。</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配备纸质版和电子版中文使用维护保养说明书，配备专用器材储运包（盒），防水、防尘、防刮擦。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1-20  紧绳器【技术指标计10项】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在高空作业、水域救援、山岳救助中使用，双向滑轮拖拽省力系统，仅需要颠倒两端悬挂的方向（上/下）就可以制作成6:1或7:1的机械省力系统。</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滑轮材质：侧板、滑轮:铝合金；轮轴：不锈钢，边角平滑、无毛刺，轴承平滑无卡顿。</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内置鸡爪绳制动装置。</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5.</w:t>
      </w:r>
      <w:r>
        <w:rPr>
          <w:rFonts w:hint="eastAsia" w:ascii="宋体" w:hAnsi="宋体" w:cs="宋体"/>
          <w:sz w:val="24"/>
        </w:rPr>
        <w:t xml:space="preserve"> 断裂负荷≥16KN，使用载荷：人荷载≥3KN，物体载荷≥5KN，滑轮直径≥25mm，使用绳索：8-11mm。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6. </w:t>
      </w:r>
      <w:r>
        <w:rPr>
          <w:rFonts w:hint="eastAsia" w:ascii="宋体" w:hAnsi="宋体" w:cs="宋体"/>
          <w:sz w:val="24"/>
        </w:rPr>
        <w:t>可作为短距离下放系统、也可作为短距离收紧系统。</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可建立6:1拖拽系统，翻转可建立 7:1拖拽系统。</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提供专用储物包，便于携带和储存。</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 xml:space="preserve"> 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 </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1-21  充气漂浮担架</w:t>
      </w:r>
      <w:r>
        <w:rPr>
          <w:rFonts w:hint="eastAsia" w:ascii="宋体" w:hAnsi="宋体"/>
          <w:b/>
          <w:bCs/>
          <w:sz w:val="24"/>
        </w:rPr>
        <w:t>【技术指标计10项】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具有水上救生、冰面救援和伤员转运多种功能。</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主体采用牛津布或更优材质，底面增设耐磨材料，正面增设防滑材料，侧面有反光条，一体龙骨。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配置伤员躯干、腰部、下肢可调式快速连接插扣的固定带，头部固定器连接D环≥4个，牵引吊装环≥6个，搬运把手≥6个。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充排气阀带有自锁功能，安全阀能防止过量充气。</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参考外形尺寸 (长×宽×高)：≤2100mm×680mm×120mm。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7. </w:t>
      </w:r>
      <w:r>
        <w:rPr>
          <w:rFonts w:hint="eastAsia" w:ascii="宋体" w:hAnsi="宋体" w:cs="宋体"/>
          <w:sz w:val="24"/>
        </w:rPr>
        <w:t>承重：≥100KG；重量：≤15kg；空气需求量：≤170L；躯干固定织带宽度：≥40mm。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配置：高压打气筒1个、携行包1个、安全绳≥1根。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 </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1-22  板式漂浮担架【技术指标计8项】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xml:space="preserve"> 具有水上救生、冰面救援和伤员转运多种功能。</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主要由漂浮板、绑带、头部固定器组成。</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4.</w:t>
      </w:r>
      <w:r>
        <w:rPr>
          <w:rFonts w:hint="eastAsia" w:ascii="宋体" w:hAnsi="宋体" w:cs="宋体"/>
          <w:sz w:val="24"/>
        </w:rPr>
        <w:t xml:space="preserve"> 承重≥150Kg，工程塑料滚塑而成，在转运过程中可进行CPR和心脏按压抢救，在X光照射中不影响成像效果。</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重量≤8Kg，长度≥1.80m，宽度≥0.45m，厚度≥45mm。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漂浮板周边提供多个提手口，可供多人提、扛、抬。</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b/>
          <w:bCs/>
          <w:sz w:val="24"/>
        </w:rPr>
      </w:pPr>
      <w:r>
        <w:rPr>
          <w:rFonts w:hint="eastAsia" w:ascii="宋体" w:hAnsi="宋体"/>
          <w:b/>
          <w:bCs/>
          <w:sz w:val="24"/>
        </w:rPr>
        <w:t xml:space="preserve">1-23  </w:t>
      </w:r>
      <w:r>
        <w:rPr>
          <w:rFonts w:hint="eastAsia" w:ascii="宋体" w:hAnsi="宋体" w:cs="宋体"/>
          <w:b/>
          <w:bCs/>
          <w:sz w:val="24"/>
        </w:rPr>
        <w:t>200cm锚点扁带</w:t>
      </w:r>
      <w:r>
        <w:rPr>
          <w:rFonts w:hint="eastAsia" w:ascii="宋体" w:hAnsi="宋体"/>
          <w:b/>
          <w:bCs/>
          <w:sz w:val="24"/>
        </w:rPr>
        <w:t>【技术指标计4项】</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w:t>
      </w:r>
      <w:r>
        <w:rPr>
          <w:rFonts w:hint="eastAsia" w:ascii="宋体" w:hAnsi="宋体" w:cs="宋体"/>
          <w:sz w:val="24"/>
        </w:rPr>
        <w:t>总体要求符合国家（国际）现行有关标准、规范，提供国家消防装备质量监督检验中心或其他国家认证认可具有检测资质检测机构出具的有效检验检测报告复印件或扫描件。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尼龙、涤纶等高强材质的封闭的圆环，机缝锁口，缝制线顺直、整齐、牢固，明暗针，针织密度3cm≥12针。</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3.</w:t>
      </w:r>
      <w:r>
        <w:rPr>
          <w:rFonts w:hint="eastAsia" w:ascii="宋体" w:hAnsi="宋体" w:cs="宋体"/>
          <w:sz w:val="24"/>
        </w:rPr>
        <w:t>强度≥22KN，宽度≥16mm，厚度≥1.8mm，圆环长度≥200cm。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 xml:space="preserve">1-24 </w:t>
      </w:r>
      <w:r>
        <w:rPr>
          <w:rFonts w:hint="eastAsia" w:ascii="宋体" w:hAnsi="宋体" w:cs="宋体"/>
          <w:b/>
          <w:bCs/>
          <w:sz w:val="24"/>
        </w:rPr>
        <w:t>120cm扁带</w:t>
      </w:r>
      <w:r>
        <w:rPr>
          <w:rFonts w:hint="eastAsia" w:ascii="宋体" w:hAnsi="宋体"/>
          <w:b/>
          <w:bCs/>
          <w:sz w:val="24"/>
        </w:rPr>
        <w:t>【技术指标计5项】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总体要求符合国家（国际）现行有关标准、规范，提供国家消防装备质量监督检验中心或其他国家认证认可具有检测资质检测机构出具的有效检验检测报告复印件或扫描件。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用于绳索作业，是绳索救援中的重要附件，与快挂配合使用，用于绳索锚点的制作、绳索交叉固定、制动器的制作。</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尼龙、涤纶等高强材质的封闭圆环，机缝锁口，缝制线顺直、整齐、牢固，明暗针，针织密度3cm≥12针。</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4.</w:t>
      </w:r>
      <w:r>
        <w:rPr>
          <w:rFonts w:hint="eastAsia" w:ascii="宋体" w:hAnsi="宋体" w:cs="宋体"/>
          <w:sz w:val="24"/>
        </w:rPr>
        <w:t>强度≥22KN，宽度≥16mm，厚度≥1.8mm，圆环长度≥120cm。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 xml:space="preserve">1-25 </w:t>
      </w:r>
      <w:r>
        <w:rPr>
          <w:rFonts w:hint="eastAsia" w:ascii="宋体" w:hAnsi="宋体" w:cs="宋体"/>
          <w:b/>
          <w:bCs/>
          <w:sz w:val="24"/>
        </w:rPr>
        <w:t>100cm锚点扁带</w:t>
      </w:r>
      <w:r>
        <w:rPr>
          <w:rFonts w:hint="eastAsia" w:ascii="宋体" w:hAnsi="宋体"/>
          <w:b/>
          <w:bCs/>
          <w:sz w:val="24"/>
        </w:rPr>
        <w:t>【技术指标计4项】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总体要求符合国家（国际）现行有关标准、规范，提供国家消防装备质量监督检验中心或其他国家认证认可具有检测资质检测机构出具的有效检验检测报告复印件或扫描件。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尼龙、涤纶等高强材质的封闭的圆环，机缝锁口，缝制线顺直、整齐、牢固，明暗针，针织密度3cm≥12针。</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3.</w:t>
      </w:r>
      <w:r>
        <w:rPr>
          <w:rFonts w:hint="eastAsia" w:ascii="宋体" w:hAnsi="宋体" w:cs="宋体"/>
          <w:sz w:val="24"/>
        </w:rPr>
        <w:t>强度≥22KN，宽度≥16mm，厚度≥1.8mm，圆环长度≥100cm。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 xml:space="preserve">1-26 </w:t>
      </w:r>
      <w:r>
        <w:rPr>
          <w:rFonts w:hint="eastAsia" w:ascii="宋体" w:hAnsi="宋体" w:cs="宋体"/>
          <w:b/>
          <w:bCs/>
          <w:sz w:val="24"/>
        </w:rPr>
        <w:t>60cm锚点扁带</w:t>
      </w:r>
      <w:r>
        <w:rPr>
          <w:rFonts w:hint="eastAsia" w:ascii="宋体" w:hAnsi="宋体"/>
          <w:b/>
          <w:bCs/>
          <w:sz w:val="24"/>
        </w:rPr>
        <w:t>【技术指标计4项】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总体要求符合国家（国际）现行有关标准、规范，提供国家消防装备质量监督检验中心或其他国家认证认可具有检测资质检测机构出具的有效检验检测报告复印件或扫描件。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尼龙、涤纶等高强材质的封闭的圆环，机缝锁口，缝制线顺直、整齐、牢固，明暗针，针织密度3cm≥12针.</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3.</w:t>
      </w:r>
      <w:r>
        <w:rPr>
          <w:rFonts w:hint="eastAsia" w:ascii="宋体" w:hAnsi="宋体" w:cs="宋体"/>
          <w:sz w:val="24"/>
        </w:rPr>
        <w:t>强度≥22KN，宽度≥16mm，厚度≥1.8mm，圆环长度≥60cm。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b/>
          <w:bCs/>
          <w:sz w:val="24"/>
        </w:rPr>
      </w:pPr>
      <w:r>
        <w:rPr>
          <w:rFonts w:hint="eastAsia" w:ascii="宋体" w:hAnsi="宋体"/>
          <w:b/>
          <w:bCs/>
          <w:sz w:val="24"/>
        </w:rPr>
        <w:t xml:space="preserve">1-27  </w:t>
      </w:r>
      <w:r>
        <w:rPr>
          <w:rFonts w:hint="eastAsia" w:ascii="宋体" w:hAnsi="宋体" w:cs="宋体"/>
          <w:b/>
          <w:bCs/>
          <w:sz w:val="24"/>
        </w:rPr>
        <w:t>非充气式漂浮救援板</w:t>
      </w:r>
      <w:r>
        <w:rPr>
          <w:rFonts w:hint="eastAsia" w:ascii="宋体" w:hAnsi="宋体"/>
          <w:b/>
          <w:bCs/>
          <w:sz w:val="24"/>
        </w:rPr>
        <w:t>【技术指标计8项】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总体要求符合中国船舶救生设备标准要求，提供国家消防装备质量监督检验中心或其他国家认证认可具有检测资质检测机构出具的有效检验检测报告复印件或扫描件。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由板面、救生拉手组成，主要用于水上、冰面、山间峡谷等水域通过牵引漂浮板，救起更多落水人员，也可以和水上摩托艇等机动器材配合使用。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不吸水材料一体成型，正面和底面有防滑面。</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长度≥150cm，宽度≥80cm，厚度≥15cm，重量≤15Kg，水面漂浮载重≥150Kg。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救生拉手在船两侧均匀分布，救生拉手≥10个，桨板≥2把。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前端牵引绳环≥3个，拉力≥200N。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配备纸质版和电子版中文使用维护保养说明书，配备专用器材储运包，防水、防尘、防刮擦。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1-28  抛绳器（射绳枪）【技术指标计14项】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总体要求符合GB-T 27906-2011《救生抛投器》标准，提供国家消防装备质量监督检验中心或其他国家认证认可具有检测资质检测机构出具的有效检验检测报告复印件或扫描件。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整套装备由发射机械装置、内置贮气气瓶、发射器高压充气装置、绳管及抛绳、快速自动充气装置等组成。</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主要用于远距离抛投救生绳、救生圈或锚钩等。</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机壳材料防腐、耐高压材质制造，抛投器外部配备压力表，可显示充气压力，压力表的量程应能满足工作要求，准确度不得低于1.6级。</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枪体工作压力≥8MPa，安全阀的开启力≥9.4MPa。</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6. </w:t>
      </w:r>
      <w:r>
        <w:rPr>
          <w:rFonts w:hint="eastAsia" w:ascii="宋体" w:hAnsi="宋体" w:cs="宋体"/>
          <w:sz w:val="24"/>
        </w:rPr>
        <w:t>抛射距离≥150m。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抛射偏差角：陆用抛射≥3.6°，水用抛射≥3.3°。</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发射气瓶及枪体气密性：工作压力下浸水5min无泄漏。</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 xml:space="preserve"> 抛绳直径≥3mm，长度不低于额定抛投距离的1.15倍，绳桶≥2个，抛绳的外观应无破损、断裂、拉丝、盘结。</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 xml:space="preserve"> 破断强度：抛绳≥2.35kN。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整体质量≤12kg。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 配件要求：高压气瓶≥5个，快速收绳器≥1套。</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 xml:space="preserve"> 配备纸质版和电子版中文使用维护保养说明书，配备专用器材储运箱，防水、防尘、防撞击。</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14.</w:t>
      </w:r>
      <w:r>
        <w:rPr>
          <w:rFonts w:hint="eastAsia" w:ascii="宋体" w:hAnsi="宋体" w:cs="宋体"/>
          <w:sz w:val="24"/>
        </w:rPr>
        <w:t xml:space="preserve"> 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1-29、30、31  绳索保护垫（大、中、小）【技术指标计7项】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总体要求符合国家（国际）现行有关标准、规范，提供国家消防装备质量监督检验中心或其他国家认证认可具有检测资质检测机构出具的有效检验检测报告复印件或扫描件。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xml:space="preserve"> 用于绳索作业，是绳索救援中的重要附件，适合绳索作业时保护绳索免受棱角的磨损，提高救援作业的安全性。</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w:t>
      </w:r>
      <w:r>
        <w:rPr>
          <w:rFonts w:hint="eastAsia" w:ascii="宋体" w:hAnsi="宋体" w:cs="宋体"/>
          <w:b/>
          <w:bCs/>
          <w:sz w:val="24"/>
        </w:rPr>
        <w:t>长度≥650mm，宽度≥750mm，厚度≥2mm，（大小可根据需求定制）</w:t>
      </w:r>
      <w:r>
        <w:rPr>
          <w:rFonts w:hint="eastAsia" w:ascii="宋体" w:hAnsi="宋体" w:cs="宋体"/>
          <w:sz w:val="24"/>
        </w:rPr>
        <w:t>，重量≤0.6kg。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高强尼龙帆布或其他耐磨材质，矩形，双层结构，柔软、防水。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四个角带有金属网眼，可以多个串联使用。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配备纸质版和电子版中文使用维护保养说明书，配备专用器材储运包，防水、防尘、防刮擦。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1-32  绳索保护器滑轮组【技术指标计8项】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总体要求符合国家（国际）现行有关标准、规范，提供国家消防装备质量监督检验中心或其他国家认证认可具有检测资质检测机构出具的有效检验检测报告复印件或扫描件。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用于保护绳索，避免建筑物的棱角、墙角、岩石等粗糙尖锐突起部份预防磨损绳索，每套由2个组成。</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材质：铝合金冲压一体成型，尼龙滚轮，装有滚动轴承；边角平滑、无毛刺，轴承平滑无卡顿。</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四轴结构，链条式设计，可组合不同长度，满足不同要求。</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单个有效承重≥200KG，重量≤1000g，长度≥400mm。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可通过绳索直径：9-13mm。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1-33 水域救援拦截网【技术指标计9项】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总体要求符合国家现行有关标准、规范，提供国家消防装备质量监督检验中心或其他国家认证认可具有检测资质检测机构出具的有效检验检测报告复印件或扫描件。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参考外形尺寸(长×宽)：≤5000mm×1200mm。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网孔规格：≤200×200mm。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网带宽度：≥1.5英寸，静态负荷：≥4KN，动态负荷：≥6KN。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边带颜色：橙色，经纬带颜色：荧黄。</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6. </w:t>
      </w:r>
      <w:r>
        <w:rPr>
          <w:rFonts w:hint="eastAsia" w:ascii="宋体" w:hAnsi="宋体" w:cs="宋体"/>
          <w:sz w:val="24"/>
        </w:rPr>
        <w:t>网四角带有塑胶握把。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配备D型主锁，可快速实现多网组合连接，满足大面积水域救援需要。</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收纳包（箱）结构设计合理，实用性强。</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 xml:space="preserve"> 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1-34  水域抛绳包【技术指标计9项】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长度：≥20米。</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直径：≥8mm。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4.</w:t>
      </w:r>
      <w:r>
        <w:rPr>
          <w:rFonts w:hint="eastAsia" w:ascii="宋体" w:hAnsi="宋体" w:cs="宋体"/>
          <w:sz w:val="24"/>
        </w:rPr>
        <w:t xml:space="preserve"> 抗拉强度达≥7kN。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绳索采用高强度橙色反光浮力绳制作。</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绳包采用高强耐磨防水材质制作。</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绳包由排水、速干设计。</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反光条，提高弱光环境下的能见度。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 xml:space="preserve"> 永久性标签要求：标签包括如下内容:制造厂名称、地址和注册商标；产品名称及型号；生产日期和批号；产品执行标准的代号。</w:t>
      </w:r>
    </w:p>
    <w:p>
      <w:pPr>
        <w:adjustRightInd w:val="0"/>
        <w:snapToGrid w:val="0"/>
        <w:spacing w:line="360" w:lineRule="auto"/>
        <w:ind w:firstLine="482" w:firstLineChars="200"/>
        <w:rPr>
          <w:rFonts w:ascii="宋体" w:hAnsi="宋体" w:cs="宋体"/>
          <w:sz w:val="24"/>
        </w:rPr>
      </w:pPr>
      <w:r>
        <w:rPr>
          <w:rFonts w:hint="eastAsia" w:ascii="宋体" w:hAnsi="宋体"/>
          <w:b/>
          <w:bCs/>
          <w:sz w:val="24"/>
        </w:rPr>
        <w:t>1-35  水域救援牛尾绳【技术指标计8项】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xml:space="preserve"> 由D形钩、不锈钢O形环、绳带组成，可与救援救生衣的快脱装置配合使用，也可在水域救援中协助拖曳救生艇。</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外覆尼龙织带，内部采用高强弹力绳材质。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D形钩采用航空铝材料，O形环采用不锈钢材质。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绳长：50cm（拉伸长度：85cm）。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不锈钢O形环上的带有魔术贴，可与救生衣背部的雌贴相贴。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7.</w:t>
      </w:r>
      <w:r>
        <w:rPr>
          <w:rFonts w:hint="eastAsia" w:ascii="宋体" w:hAnsi="宋体" w:cs="宋体"/>
          <w:sz w:val="24"/>
        </w:rPr>
        <w:t xml:space="preserve"> 拉力：≥4.8kN。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永久性标签要求：标签包括如下内容:制造厂名称、地址和注册商标；产品名称及型号；生产日期和批号；产品执行标准的代号。</w:t>
      </w:r>
    </w:p>
    <w:p>
      <w:pPr>
        <w:spacing w:after="240" w:afterLines="100" w:line="360" w:lineRule="auto"/>
        <w:ind w:firstLine="562" w:firstLineChars="200"/>
        <w:jc w:val="center"/>
        <w:rPr>
          <w:rFonts w:ascii="宋体" w:hAnsi="宋体" w:cs="宋体"/>
          <w:b/>
          <w:bCs/>
          <w:sz w:val="28"/>
          <w:szCs w:val="28"/>
        </w:rPr>
      </w:pPr>
      <w:r>
        <w:rPr>
          <w:rFonts w:hint="eastAsia" w:ascii="宋体" w:hAnsi="宋体" w:cs="宋体"/>
          <w:b/>
          <w:bCs/>
          <w:sz w:val="28"/>
          <w:szCs w:val="28"/>
        </w:rPr>
        <w:t>2包：救生衣（核心产品：含附件消防激流救生衣）</w:t>
      </w:r>
    </w:p>
    <w:p>
      <w:pPr>
        <w:tabs>
          <w:tab w:val="center" w:pos="4365"/>
          <w:tab w:val="left" w:pos="6221"/>
        </w:tabs>
        <w:spacing w:after="120" w:afterLines="50" w:line="360" w:lineRule="auto"/>
        <w:ind w:firstLine="482" w:firstLineChars="200"/>
        <w:jc w:val="left"/>
        <w:rPr>
          <w:rFonts w:ascii="宋体" w:hAnsi="宋体" w:cs="宋体"/>
          <w:kern w:val="0"/>
          <w:sz w:val="24"/>
        </w:rPr>
      </w:pPr>
      <w:r>
        <w:rPr>
          <w:rFonts w:hint="eastAsia" w:ascii="宋体" w:hAnsi="宋体" w:cs="宋体"/>
          <w:b/>
          <w:bCs/>
          <w:sz w:val="24"/>
        </w:rPr>
        <w:t xml:space="preserve">2-1 </w:t>
      </w:r>
      <w:r>
        <w:rPr>
          <w:rFonts w:hint="eastAsia" w:ascii="宋体" w:hAnsi="宋体" w:cs="宋体"/>
          <w:b/>
          <w:bCs/>
          <w:kern w:val="0"/>
          <w:sz w:val="24"/>
        </w:rPr>
        <w:t>含附件激流救生衣</w:t>
      </w:r>
      <w:r>
        <w:rPr>
          <w:rFonts w:hint="eastAsia" w:ascii="宋体" w:hAnsi="宋体"/>
          <w:b/>
          <w:bCs/>
          <w:sz w:val="24"/>
        </w:rPr>
        <w:t>【技术指标计13项】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参照GB4303—2008《船用救生衣》标准的相关要求，投标文件提供国家消防装备质量监督检验中心或其他国家认证认可具有检测资质检测机构出具的有效检验检测报告复印件或扫描件。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xml:space="preserve"> 消防救援人员专用激流救生衣、适用于所有河流、湖泊和海洋的专用防护装备。</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通码设计，多条固定带设计，可调节至适用胸围范围75-142cm使用者，肩部可调节，两侧腋下、腰带、档带两侧双向可调节，使得救生衣调至最适合的人体尺寸。</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通道式可调肩带，多余织带可隐藏至通道内，通道外侧增加2个对称挂点，可以挂置割绳刀、口哨等配套救援装备。</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5. </w:t>
      </w:r>
      <w:r>
        <w:rPr>
          <w:rFonts w:hint="eastAsia" w:ascii="宋体" w:hAnsi="宋体" w:cs="宋体"/>
          <w:sz w:val="24"/>
        </w:rPr>
        <w:t>通道增加高亮反光片，便于夜间辨识度。不少于7点调节，腰部不少于4条，肩部2条，底部1条。</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前端两个防割材料排水口袋，救援战术拓展外挂点≥10个，背面松紧带式荧光棒插槽，救生衣领后配有轻型可拖拽把手。</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后背设计有可脱卸式大口袋1个；后置口袋设计有排水网孔，大口袋可以放通讯设备或环保水袋，方便救援人员通讯同时给与饮水补充，口袋上设计魔术贴，可贴队标，方便统一辨认。</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救生衣胸襟使用双插扣及拉链加强，胸襟两侧高亮反光条。</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拉链上部配有拉链弹性保护套索。</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 </w:t>
      </w:r>
      <w:r>
        <w:rPr>
          <w:rFonts w:hint="eastAsia" w:ascii="宋体" w:hAnsi="宋体" w:cs="宋体"/>
          <w:sz w:val="24"/>
        </w:rPr>
        <w:t>环绕胸部的快速释放救生带附带不锈钢O型环，环绕腰部的抛绳包快速释放带，救生衣腰部两侧向下位置2个快速释放救生带设计，挂载两套抛绳包。</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11.</w:t>
      </w:r>
      <w:r>
        <w:rPr>
          <w:rFonts w:hint="eastAsia" w:ascii="宋体" w:hAnsi="宋体" w:cs="宋体"/>
          <w:sz w:val="24"/>
        </w:rPr>
        <w:t xml:space="preserve"> 任何方式入水，5s内能使人体处于直立状态，人嘴高于水面≥120mm，浮力≥150N。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 xml:space="preserve"> 配有定位终端模块、指挥终端模块、定位性能：定位精度：3-5米；防护等级：IP68；定位模式：北斗、GPS、LBS、WIFI定位；连续工作时间：≥15天；两种开机模式：遇水开机、远程遥控开机。</w:t>
      </w:r>
    </w:p>
    <w:p>
      <w:pPr>
        <w:pStyle w:val="190"/>
        <w:ind w:firstLine="482"/>
        <w:rPr>
          <w:rFonts w:ascii="宋体" w:hAnsi="宋体" w:cs="宋体"/>
          <w:color w:val="auto"/>
          <w:sz w:val="24"/>
          <w:szCs w:val="24"/>
        </w:rPr>
      </w:pPr>
      <w:r>
        <w:rPr>
          <w:rFonts w:hint="eastAsia" w:ascii="宋体" w:hAnsi="宋体" w:cs="宋体"/>
          <w:b/>
          <w:bCs/>
          <w:color w:val="auto"/>
          <w:sz w:val="24"/>
          <w:szCs w:val="24"/>
        </w:rPr>
        <w:t>13.</w:t>
      </w:r>
      <w:r>
        <w:rPr>
          <w:rFonts w:hint="eastAsia" w:ascii="宋体" w:hAnsi="宋体" w:cs="宋体"/>
          <w:color w:val="auto"/>
          <w:sz w:val="24"/>
          <w:szCs w:val="24"/>
        </w:rPr>
        <w:t xml:space="preserve"> 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Pr>
        <w:spacing w:line="360" w:lineRule="auto"/>
        <w:ind w:firstLine="482" w:firstLineChars="200"/>
        <w:rPr>
          <w:rFonts w:ascii="宋体" w:hAnsi="宋体" w:cs="宋体"/>
          <w:kern w:val="0"/>
          <w:sz w:val="24"/>
        </w:rPr>
      </w:pPr>
      <w:r>
        <w:rPr>
          <w:rFonts w:hint="eastAsia" w:ascii="宋体" w:hAnsi="宋体"/>
          <w:b/>
          <w:sz w:val="24"/>
        </w:rPr>
        <w:t>2-2 消防救生衣【技术指标计15项】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符合GB4303—2008《船用救生衣》标准的相关要求，投标文件提供国家消防装备质量监督检验中心或其他国家认证认可具有检测资质检测机构出具的有效检验检测报告复印件或扫描件。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带有荧光标志、快速连接扣、应急口哨，是消防救援人员水上救援和自救，以防溺水的专用装备。</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耐高低温稳定性：承受10个高低温循环后，浮力材料应无结构上的改变。</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浸水1d后及7d后，在柴油中浸溃过的浮力材料的浮力减小≤10%，未在柴油中浸渍过的浮力材料的浮力减小≤5%，不有皱缩、开裂、膨胀、分解等损坏迹象。</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浮力材料抗拉破断强度≥140kPa，经历10个高低温循环和浸渍柴油24h之后抗拉破断强度的减少≤25%。</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救生衣包布颜色应为橙红色。救生衣的系固应采用扣件形式。</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救生衣应具备用于不同的救生衣在水中相互连接、系固的可释放浮绳或其他装置。具备用于将穿着者从水中拉到救生筏上或救助艇中的提拉装置或附件。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8. </w:t>
      </w:r>
      <w:r>
        <w:rPr>
          <w:rFonts w:hint="eastAsia" w:ascii="宋体" w:hAnsi="宋体" w:cs="宋体"/>
          <w:sz w:val="24"/>
        </w:rPr>
        <w:t>救生衣所适用的胸围的范围：700—1350mm。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9. </w:t>
      </w:r>
      <w:r>
        <w:rPr>
          <w:rFonts w:hint="eastAsia" w:ascii="宋体" w:hAnsi="宋体" w:cs="宋体"/>
          <w:sz w:val="24"/>
        </w:rPr>
        <w:t>穿着人员在水中处于静平衡状态时，水面以上的救生衣外表面所贴逆向反光带的总面积应≥400cm²。</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10. </w:t>
      </w:r>
      <w:r>
        <w:rPr>
          <w:rFonts w:hint="eastAsia" w:ascii="宋体" w:hAnsi="宋体" w:cs="宋体"/>
          <w:sz w:val="24"/>
        </w:rPr>
        <w:t>每件救生衣应配备细索系牢的哨笛1只。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xml:space="preserve"> 救生衣在淡水中浸24h后，其浮力损失不超过5%。</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12. </w:t>
      </w:r>
      <w:r>
        <w:rPr>
          <w:rFonts w:hint="eastAsia" w:ascii="宋体" w:hAnsi="宋体" w:cs="宋体"/>
          <w:sz w:val="24"/>
        </w:rPr>
        <w:t>救生衣过火2s后，不持续燃烧或继续熔化。</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 xml:space="preserve"> 教生衣衣身以及每一圈提环均应能承受3200N的作用力30 min而不损坏。肩部应能承受900 N的作用力30 min 而不损坏。</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14.</w:t>
      </w:r>
      <w:r>
        <w:rPr>
          <w:rFonts w:hint="eastAsia" w:ascii="宋体" w:hAnsi="宋体" w:cs="宋体"/>
          <w:sz w:val="24"/>
        </w:rPr>
        <w:t xml:space="preserve"> 浮力≥150N。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15. </w:t>
      </w:r>
      <w:r>
        <w:rPr>
          <w:rFonts w:hint="eastAsia" w:ascii="宋体" w:hAnsi="宋体" w:cs="宋体"/>
          <w:sz w:val="24"/>
        </w:rPr>
        <w:t>产品具有清晰耐用永久标志（执行标准、型号、规格、生产厂名称或商标、生产厂的识别编号、制造时间）和RFID芯片（内容根据采购方需要填写）。前后标识根据采购方需求定制，需提供满足上述要求的指挥员和战斗员两种设计方案。</w:t>
      </w:r>
    </w:p>
    <w:p/>
    <w:p>
      <w:pPr>
        <w:adjustRightInd w:val="0"/>
        <w:snapToGrid w:val="0"/>
        <w:spacing w:line="360" w:lineRule="auto"/>
        <w:ind w:firstLine="562" w:firstLineChars="200"/>
        <w:jc w:val="center"/>
        <w:rPr>
          <w:rFonts w:ascii="宋体" w:hAnsi="宋体" w:cs="宋体"/>
          <w:sz w:val="24"/>
        </w:rPr>
      </w:pPr>
      <w:r>
        <w:rPr>
          <w:rFonts w:hint="eastAsia" w:ascii="宋体" w:hAnsi="宋体" w:cs="宋体"/>
          <w:b/>
          <w:bCs/>
          <w:sz w:val="28"/>
          <w:szCs w:val="28"/>
        </w:rPr>
        <w:t>3包：舟艇（核心产品：40舟艇舷外机）</w:t>
      </w:r>
    </w:p>
    <w:p>
      <w:pPr>
        <w:tabs>
          <w:tab w:val="center" w:pos="4365"/>
          <w:tab w:val="left" w:pos="6221"/>
        </w:tabs>
        <w:spacing w:line="360" w:lineRule="auto"/>
        <w:ind w:firstLine="482" w:firstLineChars="200"/>
        <w:jc w:val="left"/>
        <w:rPr>
          <w:rFonts w:ascii="宋体" w:hAnsi="宋体" w:cs="宋体"/>
          <w:sz w:val="24"/>
        </w:rPr>
      </w:pPr>
      <w:r>
        <w:rPr>
          <w:rFonts w:hint="eastAsia" w:ascii="宋体" w:hAnsi="宋体" w:cs="宋体"/>
          <w:b/>
          <w:bCs/>
          <w:sz w:val="24"/>
        </w:rPr>
        <w:t>3-1  3.9米V底充气式机动橡皮舟</w:t>
      </w:r>
      <w:r>
        <w:rPr>
          <w:rFonts w:hint="eastAsia" w:ascii="宋体" w:hAnsi="宋体"/>
          <w:b/>
          <w:bCs/>
          <w:sz w:val="24"/>
        </w:rPr>
        <w:t>【技术指标计13项</w:t>
      </w:r>
      <w:r>
        <w:rPr>
          <w:rFonts w:hint="eastAsia" w:ascii="宋体" w:hAnsi="宋体"/>
          <w:b/>
          <w:sz w:val="24"/>
        </w:rPr>
        <w:t>】</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总体要求参照国家GJB 6915—2009《舟槽式冲锋舟规范》要求，提供国家消防装备质量监督检验中心或其他国家认证认可具有检测资质检测机构出具的有效检验检测报告复印件或扫描件。</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整套装备由皮艇、船桨组成，主要用于水域救援。</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充气船体，V形硬质船底，材料防老化、防紫外线。</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船底部有充气舷梁，具有排水阀门。</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总长≥390cm。</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总宽≥150cm。</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气室直径≥45cm。</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气室数量≥4+1个。</w:t>
      </w:r>
    </w:p>
    <w:p>
      <w:pPr>
        <w:numPr>
          <w:ilvl w:val="0"/>
          <w:numId w:val="5"/>
        </w:numPr>
        <w:adjustRightInd w:val="0"/>
        <w:snapToGrid w:val="0"/>
        <w:spacing w:line="360" w:lineRule="auto"/>
        <w:ind w:firstLine="480" w:firstLineChars="200"/>
        <w:rPr>
          <w:rFonts w:ascii="宋体" w:hAnsi="宋体" w:cs="宋体"/>
          <w:sz w:val="24"/>
        </w:rPr>
      </w:pPr>
      <w:r>
        <w:rPr>
          <w:rFonts w:hint="eastAsia" w:ascii="宋体" w:hAnsi="宋体" w:cs="宋体"/>
          <w:sz w:val="24"/>
        </w:rPr>
        <w:t>净重≤120kg。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 xml:space="preserve"> 最大载重≥800kg。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xml:space="preserve"> 配件要求：船桨≥4把。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 xml:space="preserve"> 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13. </w:t>
      </w:r>
      <w:r>
        <w:rPr>
          <w:rFonts w:hint="eastAsia" w:ascii="宋体" w:hAnsi="宋体" w:cs="宋体"/>
          <w:sz w:val="24"/>
        </w:rPr>
        <w:t>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3-2   4.2米V底充气式机动橡皮舟</w:t>
      </w:r>
      <w:r>
        <w:rPr>
          <w:rFonts w:hint="eastAsia" w:ascii="宋体" w:hAnsi="宋体"/>
          <w:b/>
          <w:bCs/>
          <w:sz w:val="24"/>
        </w:rPr>
        <w:t>【技术指标计13项】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总体要求参照国家GJB 6915—2009《舟槽式冲锋舟规范》要求，提供国家消防装备质量监督检验中心或其他国家认证认可具有检测资质检测机构出具的有效检验检测报告复印件或扫描件。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整套装备由皮艇、船桨组成，主要用于水域救援。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充气船体，V形硬质船底，材料防老化、防紫外线。</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船底部有充气舷梁，具有排水阀门。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总长≥420cm。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总宽≥160cm。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气室直径≥48cm。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气室数量≥4+1个。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净重≤150kg。</w:t>
      </w:r>
    </w:p>
    <w:p>
      <w:pPr>
        <w:adjustRightInd w:val="0"/>
        <w:snapToGrid w:val="0"/>
        <w:spacing w:line="360" w:lineRule="auto"/>
        <w:ind w:left="420" w:leftChars="200"/>
        <w:rPr>
          <w:rFonts w:ascii="宋体" w:hAnsi="宋体" w:cs="宋体"/>
          <w:sz w:val="24"/>
        </w:rPr>
      </w:pPr>
      <w:r>
        <w:rPr>
          <w:rFonts w:hint="eastAsia" w:ascii="宋体" w:hAnsi="宋体" w:cs="宋体"/>
          <w:b/>
          <w:bCs/>
          <w:sz w:val="24"/>
        </w:rPr>
        <w:t># 10.</w:t>
      </w:r>
      <w:r>
        <w:rPr>
          <w:rFonts w:hint="eastAsia" w:ascii="宋体" w:hAnsi="宋体" w:cs="宋体"/>
          <w:sz w:val="24"/>
        </w:rPr>
        <w:t>最大载重≥900kg。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配件要求：船桨≥4把。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3-3   4.7米V底充气式机动橡皮舟</w:t>
      </w:r>
      <w:r>
        <w:rPr>
          <w:rFonts w:hint="eastAsia" w:ascii="宋体" w:hAnsi="宋体"/>
          <w:b/>
          <w:bCs/>
          <w:sz w:val="24"/>
        </w:rPr>
        <w:t>【技术指标计13项】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总体要求参照国家GJB 6915—2009《舟槽式冲锋舟规范》要求，提供国家消防装备质量监督检验中心或其他国家认证认可具有检测资质检测机构出具的有效检验检测报告复印件或扫描件。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 整套装备由皮艇、船桨组成，主要用于水域救援。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 xml:space="preserve"> 充气船体，V形硬质船底，材料防老化、防紫外线。</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 xml:space="preserve"> 船底部有充气舷梁，具有排水阀门。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 xml:space="preserve"> 总长≥470cm。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 xml:space="preserve"> 总宽≥180cm。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 xml:space="preserve"> 气室直径≥48cm。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 xml:space="preserve"> 气室数量≥4+1个。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 xml:space="preserve"> 净重≤160kg。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 xml:space="preserve"> 最大载重≥1000kg。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xml:space="preserve"> 配件要求：船桨≥4把。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 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 xml:space="preserve"> 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3-4  3.9米M底充气式机动橡皮舟</w:t>
      </w:r>
      <w:r>
        <w:rPr>
          <w:rFonts w:hint="eastAsia" w:ascii="宋体" w:hAnsi="宋体"/>
          <w:b/>
          <w:bCs/>
          <w:sz w:val="24"/>
        </w:rPr>
        <w:t>【技术指标计13项】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总体要求参照国家GJB 6915—2009《舟槽式冲锋舟规范》要求，提供国家消防装备质量监督检验中心或其他国家认证认可具有检测资质检测机构出具的有效检验检测报告复印件或扫描件。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整套装备由皮艇、船桨组成，主要用于水域救援。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充气船体，M形硬质船底，材料防老化、防紫外线。</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船底部有充气舷梁，具有排水阀门。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总长≥390cm。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总宽≥150cm。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气室直径≥45cm。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气室数量≥4+1个。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净重≤120kg。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最大载重≥800kg。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配件要求：船桨≥4把。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3-5   4.2米M底充气式机动橡皮舟</w:t>
      </w:r>
      <w:r>
        <w:rPr>
          <w:rFonts w:hint="eastAsia" w:ascii="宋体" w:hAnsi="宋体"/>
          <w:b/>
          <w:bCs/>
          <w:sz w:val="24"/>
        </w:rPr>
        <w:t>【技术指标计13项】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总体要求参照国家GJB 6915—2009《舟槽式冲锋舟规范》要求，提供国家消防装备质量监督检验中心或其他国家认证认可具有检测资质检测机构出具的有效检验检测报告复印件或扫描件。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整套装备由皮艇、船桨组成，主要用于水域救援。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充气船体，M形硬质船底，材料防老化、防紫外线。</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船底部有充气舷梁，具有排水阀门。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总长≥420cm。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总宽≥160cm。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气室直径≥48cm。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气室数量≥4+1个。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净重≤150kg。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最大载重≥900kg。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配件要求：船桨≥4把。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3-6   4.7米M底充气式机动橡皮舟</w:t>
      </w:r>
      <w:r>
        <w:rPr>
          <w:rFonts w:hint="eastAsia" w:ascii="宋体" w:hAnsi="宋体"/>
          <w:b/>
          <w:bCs/>
          <w:sz w:val="24"/>
        </w:rPr>
        <w:t>【技术指标计13项】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总体要求参照国家GJB 6915—2009《舟槽式冲锋舟规范》要求，提供国家消防装备质量监督检验中心或其他国家认证认可具有检测资质检测机构出具的有效检验检测报告复印件或扫描件。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整套装备由皮艇、船桨组成，主要用于水域救援。</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3.</w:t>
      </w:r>
      <w:r>
        <w:rPr>
          <w:rFonts w:hint="eastAsia" w:ascii="宋体" w:hAnsi="宋体" w:cs="宋体"/>
          <w:sz w:val="24"/>
        </w:rPr>
        <w:t>充气船体，M形硬质船底，材料防老化、防紫外线。</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船底部有充气舷梁，具有排水阀门。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总长≥470cm。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总宽≥180cm。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气室直径≥48cm。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气室数量≥4+1个。</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净重≤160kg。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最大载重≥1000kg。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配件要求：船桨≥4把。</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永久性标签内容包括:制造厂名称、地址、联系方式和注册商标；产品名称及型号；生产日期和批号；产品执行标准的代号和RFID芯片（内容根据采购方需要填写）。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b/>
          <w:sz w:val="24"/>
        </w:rPr>
        <w:t xml:space="preserve">3-7  </w:t>
      </w:r>
      <w:r>
        <w:rPr>
          <w:rFonts w:hint="eastAsia" w:ascii="宋体" w:hAnsi="宋体" w:cs="宋体"/>
          <w:b/>
          <w:bCs/>
          <w:sz w:val="24"/>
        </w:rPr>
        <w:t>30舟艇弦外机</w:t>
      </w:r>
      <w:r>
        <w:rPr>
          <w:rFonts w:hint="eastAsia" w:ascii="宋体" w:hAnsi="宋体"/>
          <w:b/>
          <w:bCs/>
          <w:sz w:val="24"/>
        </w:rPr>
        <w:t>【技术指标计10项】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符合国家CB/T 4505-2020舷外机通用技术规范有关标准、规范,提供国家消防装备质量监督检验中心或其他国家认证认可具有检测资质检测机构出具的有效检验检测报告复印件或扫描件，加盖厂家或进口产品代理印章。</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主要用途：配合舟艇使用，为舟艇提供动力。</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3.</w:t>
      </w:r>
      <w:r>
        <w:rPr>
          <w:rFonts w:hint="eastAsia" w:ascii="宋体" w:hAnsi="宋体" w:cs="宋体"/>
          <w:sz w:val="24"/>
        </w:rPr>
        <w:t>舟艇舷外机功率≥30hp；排气量:≥490cc。</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水冷两冲程或四冲程发动机。</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重量:≤60kg。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艉板长轴：550mm，短轴:420mm，可根据需方要求提供。</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具备钥匙脱离熄火、油门自回位功能。</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配件要求：备用钥匙1把，简易维修工具1套，备用火花塞1个，漏斗1个（汽油/机油），备用水泵叶轮，螺旋桨、挂机护罩各1个，24L油箱及油管1套。</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3-8   40舟艇弦外机</w:t>
      </w:r>
      <w:r>
        <w:rPr>
          <w:rFonts w:hint="eastAsia" w:ascii="宋体" w:hAnsi="宋体"/>
          <w:b/>
          <w:bCs/>
          <w:sz w:val="24"/>
        </w:rPr>
        <w:t>【技术指标计10项】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w:t>
      </w:r>
      <w:r>
        <w:rPr>
          <w:rFonts w:hint="eastAsia" w:ascii="宋体" w:hAnsi="宋体" w:cs="宋体"/>
          <w:sz w:val="24"/>
        </w:rPr>
        <w:t>符合国家CB/T 4505-2020舷外机通用技术规范有关标准、规范,提供国家消防装备质量监督检验中心或其他国家认证认可具有检测资质检测机构出具的有效检验检测报告复印件或扫描件，加盖厂家或进口产品代理印章。</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2.</w:t>
      </w:r>
      <w:r>
        <w:rPr>
          <w:rFonts w:hint="eastAsia" w:ascii="宋体" w:hAnsi="宋体" w:cs="宋体"/>
          <w:sz w:val="24"/>
        </w:rPr>
        <w:t>主要用途：配合舟艇使用，为舟艇提供动力。</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3.</w:t>
      </w:r>
      <w:r>
        <w:rPr>
          <w:rFonts w:hint="eastAsia" w:ascii="宋体" w:hAnsi="宋体" w:cs="宋体"/>
          <w:sz w:val="24"/>
        </w:rPr>
        <w:t>舟艇舷外机功率≥40hp；排气量:≥700cc。</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4.</w:t>
      </w:r>
      <w:r>
        <w:rPr>
          <w:rFonts w:hint="eastAsia" w:ascii="宋体" w:hAnsi="宋体" w:cs="宋体"/>
          <w:sz w:val="24"/>
        </w:rPr>
        <w:t>水冷两冲程或四冲程发动机。</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5.</w:t>
      </w:r>
      <w:r>
        <w:rPr>
          <w:rFonts w:hint="eastAsia" w:ascii="宋体" w:hAnsi="宋体" w:cs="宋体"/>
          <w:sz w:val="24"/>
        </w:rPr>
        <w:t>重量:≤85kg。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6.</w:t>
      </w:r>
      <w:r>
        <w:rPr>
          <w:rFonts w:hint="eastAsia" w:ascii="宋体" w:hAnsi="宋体" w:cs="宋体"/>
          <w:sz w:val="24"/>
        </w:rPr>
        <w:t>艉板长轴：550mm，短轴:420mm，可根据需方要求提供。</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7.</w:t>
      </w:r>
      <w:r>
        <w:rPr>
          <w:rFonts w:hint="eastAsia" w:ascii="宋体" w:hAnsi="宋体" w:cs="宋体"/>
          <w:sz w:val="24"/>
        </w:rPr>
        <w:t>具备钥匙脱离熄火、油门自回位功能。</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8.</w:t>
      </w:r>
      <w:r>
        <w:rPr>
          <w:rFonts w:hint="eastAsia" w:ascii="宋体" w:hAnsi="宋体" w:cs="宋体"/>
          <w:sz w:val="24"/>
        </w:rPr>
        <w:t>配件要求：备用钥匙1把，简易维修工具1套，备用火花塞1个，漏斗1个（汽油/机油），备用水泵叶轮，螺旋桨、挂机护罩各1个，24L油箱及油管1套。</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9.</w:t>
      </w:r>
      <w:r>
        <w:rPr>
          <w:rFonts w:hint="eastAsia" w:ascii="宋体" w:hAnsi="宋体" w:cs="宋体"/>
          <w:sz w:val="24"/>
        </w:rPr>
        <w:t>配备纸质版和电子版中文使用维护保养说明书。</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10.</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adjustRightInd w:val="0"/>
        <w:snapToGrid w:val="0"/>
        <w:spacing w:line="360" w:lineRule="auto"/>
        <w:ind w:firstLine="482" w:firstLineChars="200"/>
        <w:rPr>
          <w:rFonts w:ascii="宋体" w:hAnsi="宋体" w:cs="宋体"/>
          <w:sz w:val="24"/>
        </w:rPr>
      </w:pPr>
      <w:r>
        <w:rPr>
          <w:rFonts w:hint="eastAsia" w:ascii="宋体" w:hAnsi="宋体"/>
          <w:b/>
          <w:sz w:val="24"/>
        </w:rPr>
        <w:t>3-9   自扶正救生艇【技术指标计14项】</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1. </w:t>
      </w:r>
      <w:r>
        <w:rPr>
          <w:rFonts w:hint="eastAsia" w:ascii="宋体" w:hAnsi="宋体" w:cs="宋体"/>
          <w:sz w:val="24"/>
        </w:rPr>
        <w:t>符合国家现行有关标准、规范，提供国家消防装备质量监督检验中心或其他国家认证认可具有检测资质检测机构出具的有效检验检测报告复印件或扫描件。</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2. </w:t>
      </w:r>
      <w:r>
        <w:rPr>
          <w:rFonts w:hint="eastAsia" w:ascii="宋体" w:hAnsi="宋体" w:cs="宋体"/>
          <w:sz w:val="24"/>
        </w:rPr>
        <w:t>可对落水人员进行施救，也可拖拽救生圈以及浮水绳等救援器材至救援区域。可在波浪中稳定行进、转弯，抗风浪前行。</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3. </w:t>
      </w:r>
      <w:r>
        <w:rPr>
          <w:rFonts w:hint="eastAsia" w:ascii="宋体" w:hAnsi="宋体" w:cs="宋体"/>
          <w:sz w:val="24"/>
        </w:rPr>
        <w:t>玻璃钢、玻璃纤维、凯夫拉、PE等材料外壳，适合各类水域，外壳耐撞，无安全隐患，即便壳体损坏也可正常使用。</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4. </w:t>
      </w:r>
      <w:r>
        <w:rPr>
          <w:rFonts w:hint="eastAsia" w:ascii="宋体" w:hAnsi="宋体" w:cs="宋体"/>
          <w:sz w:val="24"/>
        </w:rPr>
        <w:t>支持抛投入水，抛投高度：≥10m，具备自动扶正功能。</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5.</w:t>
      </w:r>
      <w:r>
        <w:rPr>
          <w:rFonts w:hint="eastAsia" w:ascii="宋体" w:hAnsi="宋体" w:cs="宋体"/>
          <w:sz w:val="24"/>
        </w:rPr>
        <w:t xml:space="preserve"> 水上空载速度：≥5m/s。</w:t>
      </w:r>
      <w:r>
        <w:rPr>
          <w:rFonts w:hint="eastAsia" w:ascii="宋体" w:hAnsi="宋体" w:cs="宋体"/>
          <w:sz w:val="24"/>
        </w:rPr>
        <w:tab/>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6.</w:t>
      </w:r>
      <w:r>
        <w:rPr>
          <w:rFonts w:hint="eastAsia" w:ascii="宋体" w:hAnsi="宋体" w:cs="宋体"/>
          <w:sz w:val="24"/>
        </w:rPr>
        <w:t xml:space="preserve"> 载人速度：≥2m/s。</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7. </w:t>
      </w:r>
      <w:r>
        <w:rPr>
          <w:rFonts w:hint="eastAsia" w:ascii="宋体" w:hAnsi="宋体" w:cs="宋体"/>
          <w:sz w:val="24"/>
        </w:rPr>
        <w:t>电机驱动、喷射泵驱动，推力≥10kg。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8. </w:t>
      </w:r>
      <w:r>
        <w:rPr>
          <w:rFonts w:hint="eastAsia" w:ascii="宋体" w:hAnsi="宋体" w:cs="宋体"/>
          <w:sz w:val="24"/>
        </w:rPr>
        <w:t>遥控距离：≥ 800m。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xml:space="preserve"># 9. </w:t>
      </w:r>
      <w:r>
        <w:rPr>
          <w:rFonts w:hint="eastAsia" w:ascii="宋体" w:hAnsi="宋体" w:cs="宋体"/>
          <w:sz w:val="24"/>
        </w:rPr>
        <w:t>有效浮力：≥1500N。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 10.</w:t>
      </w:r>
      <w:r>
        <w:rPr>
          <w:rFonts w:hint="eastAsia" w:ascii="宋体" w:hAnsi="宋体" w:cs="宋体"/>
          <w:sz w:val="24"/>
        </w:rPr>
        <w:t xml:space="preserve"> 拖拽力：≥ 200kg。</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11.</w:t>
      </w:r>
      <w:r>
        <w:rPr>
          <w:rFonts w:hint="eastAsia" w:ascii="宋体" w:hAnsi="宋体" w:cs="宋体"/>
          <w:sz w:val="24"/>
        </w:rPr>
        <w:t xml:space="preserve"> 电池连续工作时间：≥45min。</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12.</w:t>
      </w:r>
      <w:r>
        <w:rPr>
          <w:rFonts w:hint="eastAsia" w:ascii="宋体" w:hAnsi="宋体" w:cs="宋体"/>
          <w:sz w:val="24"/>
        </w:rPr>
        <w:t xml:space="preserve"> 抗风浪等级：≥2m。</w:t>
      </w:r>
    </w:p>
    <w:p>
      <w:pPr>
        <w:adjustRightInd w:val="0"/>
        <w:snapToGrid w:val="0"/>
        <w:spacing w:line="360" w:lineRule="auto"/>
        <w:ind w:firstLine="482" w:firstLineChars="200"/>
        <w:rPr>
          <w:rFonts w:ascii="宋体" w:hAnsi="宋体" w:cs="宋体"/>
          <w:sz w:val="24"/>
        </w:rPr>
      </w:pPr>
      <w:r>
        <w:rPr>
          <w:rFonts w:hint="eastAsia" w:ascii="宋体" w:hAnsi="宋体" w:cs="宋体"/>
          <w:b/>
          <w:bCs/>
          <w:sz w:val="24"/>
        </w:rPr>
        <w:t>13.</w:t>
      </w:r>
      <w:r>
        <w:rPr>
          <w:rFonts w:hint="eastAsia" w:ascii="宋体" w:hAnsi="宋体" w:cs="宋体"/>
          <w:sz w:val="24"/>
        </w:rPr>
        <w:t xml:space="preserve"> 配备纸质版和电子版中文使用维护保养说明书，专用器材储运箱，防水、防尘、防撞击。</w:t>
      </w:r>
    </w:p>
    <w:p>
      <w:pPr>
        <w:spacing w:line="360" w:lineRule="auto"/>
        <w:ind w:firstLine="482" w:firstLineChars="200"/>
        <w:rPr>
          <w:rFonts w:ascii="宋体" w:hAnsi="宋体" w:cs="宋体"/>
          <w:sz w:val="24"/>
        </w:rPr>
      </w:pPr>
      <w:r>
        <w:rPr>
          <w:rFonts w:hint="eastAsia" w:ascii="宋体" w:hAnsi="宋体" w:cs="宋体"/>
          <w:b/>
          <w:bCs/>
          <w:sz w:val="24"/>
        </w:rPr>
        <w:t xml:space="preserve">14. </w:t>
      </w:r>
      <w:r>
        <w:rPr>
          <w:rFonts w:hint="eastAsia" w:ascii="宋体" w:hAnsi="宋体" w:cs="宋体"/>
          <w:sz w:val="24"/>
        </w:rPr>
        <w:t>永久性标签要求：标签包括如下内容:制造厂名称、地址和注册商标；产品名称及型号；生产日期和批号；产品执行标准的代号和RFID芯片（内容根据采购方需要填写）。</w:t>
      </w:r>
    </w:p>
    <w:p>
      <w:pPr>
        <w:ind w:firstLine="482" w:firstLineChars="200"/>
        <w:rPr>
          <w:rFonts w:ascii="宋体" w:hAnsi="宋体" w:cs="仿宋"/>
          <w:b/>
          <w:bCs/>
          <w:sz w:val="24"/>
          <w:szCs w:val="22"/>
        </w:rPr>
      </w:pPr>
      <w:r>
        <w:rPr>
          <w:rFonts w:hint="eastAsia" w:ascii="宋体" w:hAnsi="宋体" w:cs="仿宋"/>
          <w:b/>
          <w:bCs/>
          <w:sz w:val="24"/>
          <w:szCs w:val="22"/>
        </w:rPr>
        <w:t>备注：</w:t>
      </w:r>
      <w:r>
        <w:rPr>
          <w:rFonts w:hint="eastAsia" w:ascii="宋体" w:hAnsi="宋体" w:cs="仿宋"/>
          <w:b/>
          <w:bCs/>
          <w:sz w:val="24"/>
        </w:rPr>
        <w:t>以上各包技术指标细化量化统计如下：</w:t>
      </w:r>
    </w:p>
    <w:tbl>
      <w:tblPr>
        <w:tblStyle w:val="76"/>
        <w:tblW w:w="9597"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1500"/>
        <w:gridCol w:w="1876"/>
        <w:gridCol w:w="2652"/>
        <w:gridCol w:w="1297"/>
        <w:gridCol w:w="1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966" w:type="dxa"/>
            <w:vAlign w:val="center"/>
          </w:tcPr>
          <w:p>
            <w:pPr>
              <w:spacing w:after="200" w:line="240" w:lineRule="auto"/>
              <w:jc w:val="center"/>
              <w:rPr>
                <w:rFonts w:ascii="宋体" w:hAnsi="宋体" w:cs="仿宋"/>
                <w:b/>
                <w:bCs/>
                <w:sz w:val="24"/>
              </w:rPr>
            </w:pPr>
            <w:r>
              <w:rPr>
                <w:rFonts w:hint="eastAsia" w:ascii="宋体" w:hAnsi="宋体" w:cs="仿宋"/>
                <w:b/>
                <w:bCs/>
                <w:sz w:val="24"/>
              </w:rPr>
              <w:t>标包号</w:t>
            </w:r>
          </w:p>
        </w:tc>
        <w:tc>
          <w:tcPr>
            <w:tcW w:w="1500" w:type="dxa"/>
            <w:vAlign w:val="center"/>
          </w:tcPr>
          <w:p>
            <w:pPr>
              <w:spacing w:after="200" w:line="240" w:lineRule="auto"/>
              <w:jc w:val="center"/>
              <w:rPr>
                <w:rFonts w:ascii="宋体" w:hAnsi="宋体" w:cs="仿宋"/>
                <w:b/>
                <w:bCs/>
                <w:sz w:val="24"/>
              </w:rPr>
            </w:pPr>
            <w:r>
              <w:rPr>
                <w:rFonts w:hint="eastAsia" w:ascii="宋体" w:hAnsi="宋体" w:cs="仿宋"/>
                <w:b/>
                <w:bCs/>
                <w:sz w:val="24"/>
              </w:rPr>
              <w:t>“★”技术指标项数</w:t>
            </w:r>
          </w:p>
          <w:p>
            <w:pPr>
              <w:spacing w:after="200" w:line="240" w:lineRule="auto"/>
              <w:jc w:val="center"/>
              <w:rPr>
                <w:rFonts w:ascii="宋体" w:hAnsi="宋体" w:cs="仿宋"/>
                <w:b/>
                <w:bCs/>
                <w:sz w:val="24"/>
              </w:rPr>
            </w:pPr>
            <w:r>
              <w:rPr>
                <w:rFonts w:hint="eastAsia" w:ascii="宋体" w:hAnsi="宋体" w:cs="仿宋"/>
                <w:b/>
                <w:bCs/>
                <w:sz w:val="24"/>
              </w:rPr>
              <w:t>（A）</w:t>
            </w:r>
          </w:p>
        </w:tc>
        <w:tc>
          <w:tcPr>
            <w:tcW w:w="1876" w:type="dxa"/>
            <w:vAlign w:val="center"/>
          </w:tcPr>
          <w:p>
            <w:pPr>
              <w:spacing w:after="200" w:line="240" w:lineRule="auto"/>
              <w:jc w:val="center"/>
              <w:rPr>
                <w:rFonts w:ascii="宋体" w:hAnsi="宋体" w:cs="仿宋"/>
                <w:b/>
                <w:bCs/>
                <w:sz w:val="24"/>
              </w:rPr>
            </w:pPr>
            <w:r>
              <w:rPr>
                <w:rFonts w:hint="eastAsia" w:ascii="宋体" w:hAnsi="宋体" w:cs="仿宋"/>
                <w:b/>
                <w:bCs/>
                <w:sz w:val="24"/>
              </w:rPr>
              <w:t>“#”技术指标项数</w:t>
            </w:r>
          </w:p>
          <w:p>
            <w:pPr>
              <w:spacing w:after="200" w:line="240" w:lineRule="auto"/>
              <w:jc w:val="center"/>
              <w:rPr>
                <w:rFonts w:ascii="宋体" w:hAnsi="宋体" w:cs="仿宋"/>
                <w:b/>
                <w:bCs/>
                <w:sz w:val="24"/>
              </w:rPr>
            </w:pPr>
            <w:r>
              <w:rPr>
                <w:rFonts w:hint="eastAsia" w:ascii="宋体" w:hAnsi="宋体" w:cs="仿宋"/>
                <w:b/>
                <w:bCs/>
                <w:sz w:val="24"/>
              </w:rPr>
              <w:t>（B）</w:t>
            </w:r>
          </w:p>
        </w:tc>
        <w:tc>
          <w:tcPr>
            <w:tcW w:w="2652" w:type="dxa"/>
            <w:vAlign w:val="center"/>
          </w:tcPr>
          <w:p>
            <w:pPr>
              <w:spacing w:after="200" w:line="240" w:lineRule="auto"/>
              <w:jc w:val="center"/>
              <w:rPr>
                <w:rFonts w:ascii="宋体" w:hAnsi="宋体" w:cs="仿宋"/>
                <w:b/>
                <w:bCs/>
                <w:sz w:val="24"/>
              </w:rPr>
            </w:pPr>
            <w:r>
              <w:rPr>
                <w:rFonts w:hint="eastAsia" w:ascii="宋体" w:hAnsi="宋体" w:cs="仿宋"/>
                <w:b/>
                <w:bCs/>
                <w:sz w:val="24"/>
              </w:rPr>
              <w:t>一般技术指标项数</w:t>
            </w:r>
          </w:p>
          <w:p>
            <w:pPr>
              <w:spacing w:after="200" w:line="240" w:lineRule="auto"/>
              <w:jc w:val="center"/>
              <w:rPr>
                <w:rFonts w:ascii="宋体" w:hAnsi="宋体" w:cs="仿宋"/>
                <w:b/>
                <w:bCs/>
                <w:sz w:val="24"/>
              </w:rPr>
            </w:pPr>
            <w:r>
              <w:rPr>
                <w:rFonts w:hint="eastAsia" w:ascii="宋体" w:hAnsi="宋体" w:cs="仿宋"/>
                <w:b/>
                <w:bCs/>
                <w:sz w:val="24"/>
              </w:rPr>
              <w:t>（即未作符号标记）</w:t>
            </w:r>
          </w:p>
          <w:p>
            <w:pPr>
              <w:spacing w:after="200" w:line="240" w:lineRule="auto"/>
              <w:jc w:val="center"/>
              <w:rPr>
                <w:rFonts w:ascii="宋体" w:hAnsi="宋体" w:cs="仿宋"/>
                <w:b/>
                <w:bCs/>
                <w:sz w:val="24"/>
              </w:rPr>
            </w:pPr>
            <w:r>
              <w:rPr>
                <w:rFonts w:hint="eastAsia" w:ascii="宋体" w:hAnsi="宋体" w:cs="仿宋"/>
                <w:b/>
                <w:bCs/>
                <w:sz w:val="24"/>
              </w:rPr>
              <w:t>（C）</w:t>
            </w:r>
          </w:p>
        </w:tc>
        <w:tc>
          <w:tcPr>
            <w:tcW w:w="1297" w:type="dxa"/>
            <w:vAlign w:val="center"/>
          </w:tcPr>
          <w:p>
            <w:pPr>
              <w:spacing w:after="200" w:line="240" w:lineRule="auto"/>
              <w:jc w:val="center"/>
              <w:rPr>
                <w:rFonts w:ascii="宋体" w:hAnsi="宋体" w:cs="仿宋"/>
                <w:b/>
                <w:bCs/>
                <w:sz w:val="24"/>
              </w:rPr>
            </w:pPr>
            <w:r>
              <w:rPr>
                <w:rFonts w:hint="eastAsia" w:ascii="宋体" w:hAnsi="宋体" w:cs="仿宋"/>
                <w:b/>
                <w:bCs/>
                <w:sz w:val="24"/>
              </w:rPr>
              <w:t>技术指标总项数</w:t>
            </w:r>
          </w:p>
          <w:p>
            <w:pPr>
              <w:spacing w:after="200" w:line="240" w:lineRule="auto"/>
              <w:jc w:val="center"/>
              <w:rPr>
                <w:rFonts w:ascii="宋体" w:hAnsi="宋体" w:cs="仿宋"/>
                <w:b/>
                <w:bCs/>
                <w:sz w:val="24"/>
              </w:rPr>
            </w:pPr>
            <w:r>
              <w:rPr>
                <w:rFonts w:hint="eastAsia" w:ascii="宋体" w:hAnsi="宋体" w:cs="仿宋"/>
                <w:b/>
                <w:bCs/>
                <w:sz w:val="24"/>
              </w:rPr>
              <w:t>=A+B+C</w:t>
            </w:r>
          </w:p>
        </w:tc>
        <w:tc>
          <w:tcPr>
            <w:tcW w:w="1306" w:type="dxa"/>
            <w:vAlign w:val="center"/>
          </w:tcPr>
          <w:p>
            <w:pPr>
              <w:spacing w:after="200" w:line="240" w:lineRule="auto"/>
              <w:jc w:val="center"/>
              <w:rPr>
                <w:rFonts w:ascii="宋体" w:hAnsi="宋体" w:cs="仿宋"/>
                <w:b/>
                <w:bCs/>
                <w:sz w:val="24"/>
              </w:rPr>
            </w:pPr>
            <w:r>
              <w:rPr>
                <w:rFonts w:hint="eastAsia" w:ascii="宋体" w:hAnsi="宋体" w:cs="仿宋"/>
                <w:b/>
                <w:bCs/>
                <w:sz w:val="24"/>
              </w:rPr>
              <w:t>计分技术指标项数</w:t>
            </w:r>
          </w:p>
          <w:p>
            <w:pPr>
              <w:spacing w:after="200" w:line="240" w:lineRule="auto"/>
              <w:jc w:val="center"/>
              <w:rPr>
                <w:rFonts w:ascii="宋体" w:hAnsi="宋体" w:cs="仿宋"/>
                <w:b/>
                <w:bCs/>
                <w:sz w:val="24"/>
              </w:rPr>
            </w:pPr>
            <w:r>
              <w:rPr>
                <w:rFonts w:hint="eastAsia" w:ascii="宋体" w:hAnsi="宋体" w:cs="仿宋"/>
                <w:b/>
                <w:bCs/>
                <w:sz w:val="24"/>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966" w:type="dxa"/>
          </w:tcPr>
          <w:p>
            <w:pPr>
              <w:spacing w:after="200" w:line="360" w:lineRule="auto"/>
              <w:jc w:val="center"/>
              <w:rPr>
                <w:rFonts w:ascii="宋体" w:hAnsi="宋体" w:cs="仿宋"/>
                <w:sz w:val="24"/>
              </w:rPr>
            </w:pPr>
            <w:r>
              <w:rPr>
                <w:rFonts w:hint="eastAsia" w:ascii="宋体" w:hAnsi="宋体" w:cs="仿宋"/>
                <w:sz w:val="24"/>
              </w:rPr>
              <w:t>1</w:t>
            </w:r>
          </w:p>
        </w:tc>
        <w:tc>
          <w:tcPr>
            <w:tcW w:w="1500" w:type="dxa"/>
          </w:tcPr>
          <w:p>
            <w:pPr>
              <w:spacing w:after="200" w:line="240" w:lineRule="auto"/>
              <w:jc w:val="center"/>
              <w:rPr>
                <w:rFonts w:ascii="宋体" w:hAnsi="宋体" w:cs="仿宋"/>
                <w:sz w:val="24"/>
              </w:rPr>
            </w:pPr>
            <w:r>
              <w:rPr>
                <w:rFonts w:hint="eastAsia" w:ascii="宋体" w:hAnsi="宋体" w:cs="仿宋"/>
                <w:sz w:val="24"/>
              </w:rPr>
              <w:t>0</w:t>
            </w:r>
          </w:p>
        </w:tc>
        <w:tc>
          <w:tcPr>
            <w:tcW w:w="1876" w:type="dxa"/>
          </w:tcPr>
          <w:p>
            <w:pPr>
              <w:spacing w:after="200" w:line="240" w:lineRule="auto"/>
              <w:jc w:val="center"/>
              <w:rPr>
                <w:rFonts w:ascii="宋体" w:hAnsi="宋体" w:cs="仿宋"/>
                <w:sz w:val="24"/>
              </w:rPr>
            </w:pPr>
            <w:r>
              <w:rPr>
                <w:rFonts w:hint="eastAsia" w:ascii="宋体" w:hAnsi="宋体" w:cs="仿宋"/>
                <w:sz w:val="24"/>
              </w:rPr>
              <w:t>38</w:t>
            </w:r>
          </w:p>
        </w:tc>
        <w:tc>
          <w:tcPr>
            <w:tcW w:w="2652" w:type="dxa"/>
          </w:tcPr>
          <w:p>
            <w:pPr>
              <w:spacing w:after="200" w:line="240" w:lineRule="auto"/>
              <w:jc w:val="center"/>
              <w:rPr>
                <w:rFonts w:ascii="宋体" w:hAnsi="宋体" w:cs="仿宋"/>
                <w:sz w:val="24"/>
              </w:rPr>
            </w:pPr>
            <w:r>
              <w:rPr>
                <w:rFonts w:hint="eastAsia" w:ascii="宋体" w:hAnsi="宋体" w:cs="仿宋"/>
                <w:sz w:val="24"/>
              </w:rPr>
              <w:t>354</w:t>
            </w:r>
          </w:p>
        </w:tc>
        <w:tc>
          <w:tcPr>
            <w:tcW w:w="1297" w:type="dxa"/>
          </w:tcPr>
          <w:p>
            <w:pPr>
              <w:spacing w:after="200" w:line="240" w:lineRule="auto"/>
              <w:jc w:val="center"/>
              <w:rPr>
                <w:rFonts w:ascii="宋体" w:hAnsi="宋体" w:cs="仿宋"/>
                <w:sz w:val="24"/>
              </w:rPr>
            </w:pPr>
            <w:r>
              <w:rPr>
                <w:rFonts w:hint="eastAsia" w:ascii="宋体" w:hAnsi="宋体" w:cs="仿宋"/>
                <w:sz w:val="24"/>
              </w:rPr>
              <w:t>392</w:t>
            </w:r>
          </w:p>
        </w:tc>
        <w:tc>
          <w:tcPr>
            <w:tcW w:w="1306" w:type="dxa"/>
          </w:tcPr>
          <w:p>
            <w:pPr>
              <w:spacing w:after="200" w:line="240" w:lineRule="auto"/>
              <w:jc w:val="center"/>
              <w:rPr>
                <w:rFonts w:ascii="宋体" w:hAnsi="宋体" w:cs="仿宋"/>
                <w:sz w:val="24"/>
              </w:rPr>
            </w:pPr>
            <w:r>
              <w:rPr>
                <w:rFonts w:hint="eastAsia" w:ascii="宋体" w:hAnsi="宋体" w:cs="仿宋"/>
                <w:sz w:val="24"/>
              </w:rPr>
              <w:t>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966" w:type="dxa"/>
          </w:tcPr>
          <w:p>
            <w:pPr>
              <w:spacing w:after="200" w:line="360" w:lineRule="auto"/>
              <w:jc w:val="center"/>
              <w:rPr>
                <w:rFonts w:ascii="宋体" w:hAnsi="宋体" w:cs="仿宋"/>
                <w:sz w:val="24"/>
              </w:rPr>
            </w:pPr>
            <w:r>
              <w:rPr>
                <w:rFonts w:hint="eastAsia" w:ascii="宋体" w:hAnsi="宋体" w:cs="仿宋"/>
                <w:sz w:val="24"/>
              </w:rPr>
              <w:t>2</w:t>
            </w:r>
          </w:p>
        </w:tc>
        <w:tc>
          <w:tcPr>
            <w:tcW w:w="1500" w:type="dxa"/>
          </w:tcPr>
          <w:p>
            <w:pPr>
              <w:spacing w:after="200" w:line="240" w:lineRule="auto"/>
              <w:jc w:val="center"/>
              <w:rPr>
                <w:rFonts w:ascii="宋体" w:hAnsi="宋体" w:cs="仿宋"/>
                <w:sz w:val="24"/>
              </w:rPr>
            </w:pPr>
            <w:r>
              <w:rPr>
                <w:rFonts w:hint="eastAsia" w:ascii="宋体" w:hAnsi="宋体" w:cs="仿宋"/>
                <w:sz w:val="24"/>
              </w:rPr>
              <w:t>0</w:t>
            </w:r>
          </w:p>
        </w:tc>
        <w:tc>
          <w:tcPr>
            <w:tcW w:w="1876" w:type="dxa"/>
          </w:tcPr>
          <w:p>
            <w:pPr>
              <w:spacing w:after="200" w:line="240" w:lineRule="auto"/>
              <w:jc w:val="center"/>
              <w:rPr>
                <w:rFonts w:ascii="宋体" w:hAnsi="宋体" w:cs="仿宋"/>
                <w:sz w:val="24"/>
              </w:rPr>
            </w:pPr>
            <w:r>
              <w:rPr>
                <w:rFonts w:hint="eastAsia" w:ascii="宋体" w:hAnsi="宋体" w:cs="仿宋"/>
                <w:sz w:val="24"/>
              </w:rPr>
              <w:t>2</w:t>
            </w:r>
          </w:p>
        </w:tc>
        <w:tc>
          <w:tcPr>
            <w:tcW w:w="2652" w:type="dxa"/>
          </w:tcPr>
          <w:p>
            <w:pPr>
              <w:spacing w:after="200" w:line="240" w:lineRule="auto"/>
              <w:jc w:val="center"/>
              <w:rPr>
                <w:rFonts w:ascii="宋体" w:hAnsi="宋体" w:cs="仿宋"/>
                <w:sz w:val="24"/>
              </w:rPr>
            </w:pPr>
            <w:r>
              <w:rPr>
                <w:rFonts w:hint="eastAsia" w:ascii="宋体" w:hAnsi="宋体" w:cs="仿宋"/>
                <w:sz w:val="24"/>
              </w:rPr>
              <w:t>26</w:t>
            </w:r>
          </w:p>
        </w:tc>
        <w:tc>
          <w:tcPr>
            <w:tcW w:w="1297" w:type="dxa"/>
          </w:tcPr>
          <w:p>
            <w:pPr>
              <w:spacing w:after="200" w:line="240" w:lineRule="auto"/>
              <w:jc w:val="center"/>
              <w:rPr>
                <w:rFonts w:ascii="宋体" w:hAnsi="宋体" w:cs="仿宋"/>
                <w:sz w:val="24"/>
              </w:rPr>
            </w:pPr>
            <w:r>
              <w:rPr>
                <w:rFonts w:hint="eastAsia" w:ascii="宋体" w:hAnsi="宋体" w:cs="仿宋"/>
                <w:sz w:val="24"/>
              </w:rPr>
              <w:t>28</w:t>
            </w:r>
          </w:p>
        </w:tc>
        <w:tc>
          <w:tcPr>
            <w:tcW w:w="1306" w:type="dxa"/>
          </w:tcPr>
          <w:p>
            <w:pPr>
              <w:spacing w:after="200" w:line="240" w:lineRule="auto"/>
              <w:jc w:val="center"/>
              <w:rPr>
                <w:rFonts w:ascii="宋体" w:hAnsi="宋体" w:cs="仿宋"/>
                <w:sz w:val="24"/>
              </w:rPr>
            </w:pPr>
            <w:r>
              <w:rPr>
                <w:rFonts w:hint="eastAsia" w:ascii="宋体" w:hAnsi="宋体" w:cs="仿宋"/>
                <w:sz w:val="24"/>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966" w:type="dxa"/>
          </w:tcPr>
          <w:p>
            <w:pPr>
              <w:spacing w:after="200" w:line="360" w:lineRule="auto"/>
              <w:jc w:val="center"/>
              <w:rPr>
                <w:rFonts w:ascii="宋体" w:hAnsi="宋体" w:cs="仿宋"/>
                <w:sz w:val="24"/>
              </w:rPr>
            </w:pPr>
            <w:r>
              <w:rPr>
                <w:rFonts w:hint="eastAsia" w:ascii="宋体" w:hAnsi="宋体" w:cs="仿宋"/>
                <w:sz w:val="24"/>
              </w:rPr>
              <w:t>3</w:t>
            </w:r>
          </w:p>
        </w:tc>
        <w:tc>
          <w:tcPr>
            <w:tcW w:w="1500" w:type="dxa"/>
          </w:tcPr>
          <w:p>
            <w:pPr>
              <w:spacing w:after="200" w:line="240" w:lineRule="auto"/>
              <w:jc w:val="center"/>
              <w:rPr>
                <w:rFonts w:ascii="宋体" w:hAnsi="宋体" w:cs="仿宋"/>
                <w:sz w:val="24"/>
              </w:rPr>
            </w:pPr>
            <w:r>
              <w:rPr>
                <w:rFonts w:hint="eastAsia" w:ascii="宋体" w:hAnsi="宋体" w:cs="仿宋"/>
                <w:sz w:val="24"/>
              </w:rPr>
              <w:t>0</w:t>
            </w:r>
          </w:p>
        </w:tc>
        <w:tc>
          <w:tcPr>
            <w:tcW w:w="1876" w:type="dxa"/>
          </w:tcPr>
          <w:p>
            <w:pPr>
              <w:spacing w:after="200" w:line="240" w:lineRule="auto"/>
              <w:jc w:val="center"/>
              <w:rPr>
                <w:rFonts w:ascii="宋体" w:hAnsi="宋体" w:cs="仿宋"/>
                <w:sz w:val="24"/>
              </w:rPr>
            </w:pPr>
            <w:r>
              <w:rPr>
                <w:rFonts w:hint="eastAsia" w:ascii="宋体" w:hAnsi="宋体" w:cs="仿宋"/>
                <w:sz w:val="24"/>
              </w:rPr>
              <w:t>13</w:t>
            </w:r>
          </w:p>
        </w:tc>
        <w:tc>
          <w:tcPr>
            <w:tcW w:w="2652" w:type="dxa"/>
          </w:tcPr>
          <w:p>
            <w:pPr>
              <w:spacing w:after="200" w:line="240" w:lineRule="auto"/>
              <w:jc w:val="center"/>
              <w:rPr>
                <w:rFonts w:ascii="宋体" w:hAnsi="宋体" w:cs="仿宋"/>
                <w:sz w:val="24"/>
              </w:rPr>
            </w:pPr>
            <w:r>
              <w:rPr>
                <w:rFonts w:hint="eastAsia" w:ascii="宋体" w:hAnsi="宋体" w:cs="仿宋"/>
                <w:sz w:val="24"/>
              </w:rPr>
              <w:t>99</w:t>
            </w:r>
          </w:p>
        </w:tc>
        <w:tc>
          <w:tcPr>
            <w:tcW w:w="1297" w:type="dxa"/>
          </w:tcPr>
          <w:p>
            <w:pPr>
              <w:spacing w:after="200" w:line="240" w:lineRule="auto"/>
              <w:jc w:val="center"/>
              <w:rPr>
                <w:rFonts w:ascii="宋体" w:hAnsi="宋体" w:cs="仿宋"/>
                <w:sz w:val="24"/>
              </w:rPr>
            </w:pPr>
            <w:r>
              <w:rPr>
                <w:rFonts w:hint="eastAsia" w:ascii="宋体" w:hAnsi="宋体" w:cs="仿宋"/>
                <w:sz w:val="24"/>
              </w:rPr>
              <w:t>112</w:t>
            </w:r>
          </w:p>
        </w:tc>
        <w:tc>
          <w:tcPr>
            <w:tcW w:w="1306" w:type="dxa"/>
          </w:tcPr>
          <w:p>
            <w:pPr>
              <w:spacing w:after="200" w:line="240" w:lineRule="auto"/>
              <w:jc w:val="center"/>
              <w:rPr>
                <w:rFonts w:ascii="宋体" w:hAnsi="宋体" w:cs="仿宋"/>
                <w:sz w:val="24"/>
              </w:rPr>
            </w:pPr>
            <w:r>
              <w:rPr>
                <w:rFonts w:hint="eastAsia" w:ascii="宋体" w:hAnsi="宋体" w:cs="仿宋"/>
                <w:sz w:val="24"/>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597" w:type="dxa"/>
            <w:gridSpan w:val="6"/>
          </w:tcPr>
          <w:p>
            <w:pPr>
              <w:spacing w:after="200" w:line="360" w:lineRule="auto"/>
              <w:ind w:firstLine="442" w:firstLineChars="200"/>
              <w:rPr>
                <w:rFonts w:ascii="宋体" w:hAnsi="宋体" w:cs="仿宋"/>
                <w:sz w:val="18"/>
                <w:szCs w:val="18"/>
              </w:rPr>
            </w:pPr>
            <w:r>
              <w:rPr>
                <w:rFonts w:hint="eastAsia" w:ascii="宋体" w:hAnsi="宋体" w:cs="仿宋"/>
                <w:b/>
                <w:bCs/>
                <w:sz w:val="22"/>
                <w:szCs w:val="22"/>
              </w:rPr>
              <w:t>其中“★”实质性指标为废标项，即一项否决；“#”为重要技术指标项；未作符号标记的项为一般技术指标项，评标委员会根据评分标准按技术指标项数进行评分。</w:t>
            </w:r>
          </w:p>
        </w:tc>
      </w:tr>
    </w:tbl>
    <w:p/>
    <w:p/>
    <w:p>
      <w:pPr>
        <w:widowControl/>
        <w:jc w:val="left"/>
        <w:rPr>
          <w:rFonts w:asciiTheme="minorEastAsia" w:hAnsiTheme="minorEastAsia" w:eastAsiaTheme="minorEastAsia"/>
          <w:b/>
          <w:bCs/>
          <w:sz w:val="32"/>
          <w:szCs w:val="44"/>
        </w:rPr>
      </w:pPr>
      <w:r>
        <w:rPr>
          <w:rFonts w:asciiTheme="minorEastAsia" w:hAnsiTheme="minorEastAsia" w:eastAsiaTheme="minorEastAsia"/>
          <w:sz w:val="32"/>
        </w:rPr>
        <w:br w:type="page"/>
      </w:r>
    </w:p>
    <w:p>
      <w:pPr>
        <w:pStyle w:val="3"/>
        <w:spacing w:before="120" w:after="120" w:line="360" w:lineRule="auto"/>
        <w:jc w:val="center"/>
        <w:rPr>
          <w:rFonts w:asciiTheme="minorEastAsia" w:hAnsiTheme="minorEastAsia" w:eastAsiaTheme="minorEastAsia"/>
          <w:kern w:val="2"/>
          <w:sz w:val="32"/>
        </w:rPr>
      </w:pPr>
      <w:bookmarkStart w:id="124" w:name="_Toc29588"/>
      <w:r>
        <w:rPr>
          <w:rFonts w:hint="eastAsia" w:asciiTheme="minorEastAsia" w:hAnsiTheme="minorEastAsia" w:eastAsiaTheme="minorEastAsia"/>
          <w:kern w:val="2"/>
          <w:sz w:val="32"/>
        </w:rPr>
        <w:t>第五章</w:t>
      </w:r>
      <w:r>
        <w:rPr>
          <w:rFonts w:asciiTheme="minorEastAsia" w:hAnsiTheme="minorEastAsia" w:eastAsiaTheme="minorEastAsia"/>
          <w:kern w:val="2"/>
          <w:sz w:val="32"/>
        </w:rPr>
        <w:t xml:space="preserve">   </w:t>
      </w:r>
      <w:r>
        <w:rPr>
          <w:rFonts w:hint="eastAsia" w:asciiTheme="minorEastAsia" w:hAnsiTheme="minorEastAsia" w:eastAsiaTheme="minorEastAsia"/>
          <w:kern w:val="2"/>
          <w:sz w:val="32"/>
        </w:rPr>
        <w:t>合同条款及格式</w:t>
      </w:r>
      <w:bookmarkEnd w:id="124"/>
    </w:p>
    <w:p>
      <w:pPr>
        <w:tabs>
          <w:tab w:val="right" w:pos="8460"/>
        </w:tabs>
        <w:wordWrap w:val="0"/>
        <w:jc w:val="right"/>
        <w:rPr>
          <w:rFonts w:asciiTheme="minorEastAsia" w:hAnsiTheme="minorEastAsia" w:eastAsiaTheme="minorEastAsia"/>
          <w:b/>
          <w:sz w:val="30"/>
          <w:szCs w:val="30"/>
        </w:rPr>
      </w:pPr>
    </w:p>
    <w:p>
      <w:pPr>
        <w:rPr>
          <w:rFonts w:asciiTheme="minorEastAsia" w:hAnsiTheme="minorEastAsia" w:eastAsiaTheme="minorEastAsia"/>
          <w:sz w:val="44"/>
        </w:rPr>
      </w:pPr>
    </w:p>
    <w:p>
      <w:pPr>
        <w:spacing w:line="600" w:lineRule="exact"/>
        <w:jc w:val="center"/>
        <w:rPr>
          <w:rFonts w:asciiTheme="minorEastAsia" w:hAnsiTheme="minorEastAsia" w:eastAsiaTheme="minorEastAsia"/>
          <w:b/>
          <w:bCs/>
          <w:sz w:val="52"/>
          <w:szCs w:val="52"/>
        </w:rPr>
      </w:pPr>
      <w:r>
        <w:rPr>
          <w:rFonts w:hint="eastAsia" w:asciiTheme="minorEastAsia" w:hAnsiTheme="minorEastAsia" w:eastAsiaTheme="minorEastAsia"/>
          <w:b/>
          <w:bCs/>
          <w:sz w:val="52"/>
          <w:szCs w:val="52"/>
        </w:rPr>
        <w:t>政 府 采 购 合 同</w:t>
      </w:r>
    </w:p>
    <w:p>
      <w:pPr>
        <w:spacing w:line="600" w:lineRule="exact"/>
        <w:jc w:val="center"/>
        <w:rPr>
          <w:rFonts w:asciiTheme="minorEastAsia" w:hAnsiTheme="minorEastAsia" w:eastAsiaTheme="minorEastAsia"/>
          <w:b/>
          <w:bCs/>
          <w:sz w:val="52"/>
          <w:szCs w:val="52"/>
        </w:rPr>
      </w:pPr>
    </w:p>
    <w:p>
      <w:pPr>
        <w:pStyle w:val="42"/>
        <w:rPr>
          <w:rFonts w:asciiTheme="minorEastAsia" w:hAnsiTheme="minorEastAsia" w:eastAsiaTheme="minorEastAsia"/>
        </w:rPr>
      </w:pPr>
    </w:p>
    <w:p>
      <w:pPr>
        <w:pStyle w:val="42"/>
        <w:rPr>
          <w:rFonts w:asciiTheme="minorEastAsia" w:hAnsiTheme="minorEastAsia" w:eastAsiaTheme="minorEastAsia"/>
        </w:rPr>
      </w:pP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                                                                                   </w:t>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 </w:t>
      </w:r>
    </w:p>
    <w:p>
      <w:pPr>
        <w:spacing w:line="480" w:lineRule="auto"/>
        <w:ind w:firstLine="1400" w:firstLineChars="500"/>
        <w:rPr>
          <w:rFonts w:cs="华文中宋" w:asciiTheme="minorEastAsia" w:hAnsiTheme="minorEastAsia" w:eastAsiaTheme="minorEastAsia"/>
          <w:b/>
          <w:bCs/>
          <w:sz w:val="28"/>
          <w:szCs w:val="28"/>
        </w:rPr>
      </w:pPr>
      <w:r>
        <w:rPr>
          <w:rFonts w:hint="eastAsia" w:asciiTheme="minorEastAsia" w:hAnsiTheme="minorEastAsia" w:eastAsiaTheme="minorEastAsia"/>
          <w:sz w:val="28"/>
          <w:szCs w:val="28"/>
        </w:rPr>
        <w:t xml:space="preserve">项目名称: </w:t>
      </w:r>
    </w:p>
    <w:p>
      <w:pPr>
        <w:spacing w:line="480" w:lineRule="auto"/>
        <w:ind w:firstLine="1400" w:firstLineChars="500"/>
        <w:rPr>
          <w:rFonts w:asciiTheme="minorEastAsia" w:hAnsiTheme="minorEastAsia" w:eastAsiaTheme="minorEastAsia"/>
          <w:sz w:val="28"/>
          <w:szCs w:val="28"/>
        </w:rPr>
      </w:pPr>
      <w:r>
        <w:rPr>
          <w:rFonts w:hint="eastAsia" w:asciiTheme="minorEastAsia" w:hAnsiTheme="minorEastAsia" w:eastAsiaTheme="minorEastAsia"/>
          <w:sz w:val="28"/>
          <w:szCs w:val="28"/>
        </w:rPr>
        <w:t>合同编号:</w:t>
      </w:r>
    </w:p>
    <w:p>
      <w:pPr>
        <w:spacing w:line="480" w:lineRule="auto"/>
        <w:ind w:firstLine="1400" w:firstLineChars="500"/>
        <w:rPr>
          <w:rFonts w:cs="华文中宋" w:asciiTheme="minorEastAsia" w:hAnsiTheme="minorEastAsia" w:eastAsiaTheme="minorEastAsia"/>
          <w:b/>
          <w:bCs/>
          <w:sz w:val="28"/>
          <w:szCs w:val="28"/>
        </w:rPr>
      </w:pPr>
      <w:r>
        <w:rPr>
          <w:rFonts w:hint="eastAsia" w:asciiTheme="minorEastAsia" w:hAnsiTheme="minorEastAsia" w:eastAsiaTheme="minorEastAsia"/>
          <w:sz w:val="28"/>
          <w:szCs w:val="28"/>
        </w:rPr>
        <w:t xml:space="preserve">采购编号: </w:t>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 </w:t>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 </w:t>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 </w:t>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 </w:t>
      </w:r>
    </w:p>
    <w:p>
      <w:pPr>
        <w:spacing w:line="600" w:lineRule="exact"/>
        <w:rPr>
          <w:rFonts w:asciiTheme="minorEastAsia" w:hAnsiTheme="minorEastAsia" w:eastAsiaTheme="minorEastAsia"/>
          <w:sz w:val="24"/>
        </w:rPr>
      </w:pPr>
    </w:p>
    <w:p>
      <w:pPr>
        <w:spacing w:line="600" w:lineRule="exact"/>
        <w:ind w:firstLine="1680" w:firstLineChars="60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甲    方: </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   </w:t>
      </w:r>
    </w:p>
    <w:p>
      <w:pPr>
        <w:spacing w:line="600" w:lineRule="exact"/>
        <w:ind w:firstLine="1680" w:firstLineChars="600"/>
        <w:rPr>
          <w:rFonts w:asciiTheme="minorEastAsia" w:hAnsiTheme="minorEastAsia" w:eastAsiaTheme="minorEastAsia"/>
          <w:sz w:val="24"/>
        </w:rPr>
      </w:pPr>
      <w:r>
        <w:rPr>
          <w:rFonts w:hint="eastAsia" w:asciiTheme="minorEastAsia" w:hAnsiTheme="minorEastAsia" w:eastAsiaTheme="minorEastAsia"/>
          <w:sz w:val="28"/>
          <w:szCs w:val="28"/>
        </w:rPr>
        <w:t xml:space="preserve">乙    方: </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         </w:t>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 </w:t>
      </w:r>
    </w:p>
    <w:p>
      <w:pPr>
        <w:pStyle w:val="42"/>
        <w:rPr>
          <w:rFonts w:asciiTheme="minorEastAsia" w:hAnsiTheme="minorEastAsia" w:eastAsiaTheme="minorEastAsia"/>
        </w:rPr>
      </w:pPr>
    </w:p>
    <w:p>
      <w:pPr>
        <w:pStyle w:val="33"/>
        <w:tabs>
          <w:tab w:val="left" w:pos="1980"/>
          <w:tab w:val="left" w:pos="2160"/>
          <w:tab w:val="left" w:pos="2340"/>
          <w:tab w:val="left" w:pos="6400"/>
        </w:tabs>
        <w:spacing w:line="360" w:lineRule="auto"/>
        <w:ind w:left="0" w:leftChars="0" w:firstLine="0" w:firstLineChars="0"/>
        <w:jc w:val="center"/>
        <w:textAlignment w:val="center"/>
        <w:rPr>
          <w:rFonts w:asciiTheme="minorEastAsia" w:hAnsiTheme="minorEastAsia" w:eastAsiaTheme="minorEastAsia"/>
          <w:sz w:val="28"/>
        </w:rPr>
      </w:pPr>
    </w:p>
    <w:p>
      <w:pPr>
        <w:pStyle w:val="33"/>
        <w:tabs>
          <w:tab w:val="left" w:pos="1980"/>
          <w:tab w:val="left" w:pos="2160"/>
          <w:tab w:val="left" w:pos="2340"/>
          <w:tab w:val="left" w:pos="6400"/>
        </w:tabs>
        <w:spacing w:line="360" w:lineRule="auto"/>
        <w:ind w:left="0" w:leftChars="0" w:firstLine="0" w:firstLineChars="0"/>
        <w:jc w:val="center"/>
        <w:textAlignment w:val="center"/>
        <w:rPr>
          <w:rFonts w:asciiTheme="minorEastAsia" w:hAnsiTheme="minorEastAsia" w:eastAsiaTheme="minorEastAsia"/>
          <w:sz w:val="28"/>
        </w:rPr>
      </w:pPr>
      <w:r>
        <w:rPr>
          <w:rFonts w:hint="eastAsia" w:asciiTheme="minorEastAsia" w:hAnsiTheme="minorEastAsia" w:eastAsiaTheme="minorEastAsia"/>
          <w:sz w:val="28"/>
        </w:rPr>
        <w:t>签署日期：     年   月   日</w:t>
      </w:r>
    </w:p>
    <w:p>
      <w:pPr>
        <w:rPr>
          <w:rFonts w:asciiTheme="minorEastAsia" w:hAnsiTheme="minorEastAsia" w:eastAsiaTheme="minorEastAsia"/>
          <w:sz w:val="28"/>
        </w:rPr>
      </w:pPr>
      <w:r>
        <w:rPr>
          <w:rFonts w:hint="eastAsia" w:asciiTheme="minorEastAsia" w:hAnsiTheme="minorEastAsia" w:eastAsiaTheme="minorEastAsia"/>
          <w:sz w:val="28"/>
        </w:rPr>
        <w:br w:type="page"/>
      </w:r>
    </w:p>
    <w:p>
      <w:pPr>
        <w:widowControl/>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u w:val="single"/>
        </w:rPr>
        <w:t>山东省消防救援总队</w:t>
      </w:r>
      <w:r>
        <w:rPr>
          <w:rFonts w:hint="eastAsia" w:ascii="宋体" w:hAnsi="宋体" w:cs="仿宋"/>
          <w:kern w:val="0"/>
          <w:sz w:val="24"/>
        </w:rPr>
        <w:t>所需的</w:t>
      </w:r>
      <w:r>
        <w:rPr>
          <w:rFonts w:hint="eastAsia" w:ascii="宋体" w:hAnsi="宋体" w:cs="宋体"/>
          <w:sz w:val="24"/>
          <w:u w:val="single"/>
        </w:rPr>
        <w:t xml:space="preserve">                             </w:t>
      </w:r>
      <w:r>
        <w:rPr>
          <w:rFonts w:hint="eastAsia" w:ascii="宋体" w:hAnsi="宋体" w:cs="仿宋"/>
          <w:kern w:val="0"/>
          <w:sz w:val="24"/>
        </w:rPr>
        <w:t>(项目名称)经</w:t>
      </w:r>
      <w:r>
        <w:rPr>
          <w:rFonts w:hint="eastAsia" w:ascii="宋体" w:hAnsi="宋体" w:cs="仿宋"/>
          <w:kern w:val="0"/>
          <w:sz w:val="24"/>
          <w:u w:val="single"/>
        </w:rPr>
        <w:t>石拓项目管理有限公司</w:t>
      </w:r>
      <w:r>
        <w:rPr>
          <w:rFonts w:ascii="宋体" w:hAnsi="宋体" w:cs="仿宋"/>
          <w:kern w:val="0"/>
          <w:sz w:val="24"/>
          <w:u w:val="single"/>
        </w:rPr>
        <w:t>组织</w:t>
      </w:r>
      <w:r>
        <w:rPr>
          <w:rFonts w:hint="eastAsia" w:ascii="宋体" w:hAnsi="宋体" w:cs="仿宋"/>
          <w:kern w:val="0"/>
          <w:sz w:val="24"/>
        </w:rPr>
        <w:t>在国内以公开招标方式进行采购。经评标委员会评议甲方确认</w:t>
      </w:r>
      <w:r>
        <w:rPr>
          <w:rFonts w:hint="eastAsia" w:ascii="宋体" w:hAnsi="宋体" w:cs="仿宋"/>
          <w:kern w:val="0"/>
          <w:sz w:val="24"/>
          <w:u w:val="single"/>
        </w:rPr>
        <w:t xml:space="preserve">       </w:t>
      </w:r>
      <w:r>
        <w:rPr>
          <w:rFonts w:hint="eastAsia" w:ascii="宋体" w:hAnsi="宋体" w:cs="仿宋"/>
          <w:kern w:val="0"/>
          <w:sz w:val="24"/>
        </w:rPr>
        <w:t>（乙方）为</w:t>
      </w:r>
      <w:r>
        <w:rPr>
          <w:rFonts w:hint="eastAsia" w:ascii="宋体" w:hAnsi="宋体" w:cs="仿宋"/>
          <w:kern w:val="0"/>
          <w:sz w:val="24"/>
          <w:u w:val="single"/>
        </w:rPr>
        <w:t xml:space="preserve">    </w:t>
      </w:r>
      <w:r>
        <w:rPr>
          <w:rFonts w:hint="eastAsia" w:ascii="宋体" w:hAnsi="宋体" w:cs="仿宋"/>
          <w:kern w:val="0"/>
          <w:sz w:val="24"/>
        </w:rPr>
        <w:t>包中标人。甲、乙双方根据《中华人民共和国政府采购法》、《中华人民共和国民法典》和其他法律、法规的规定，并按照公正、平等、自愿、诚实信用的原则，同意按照以下条款和条件，签署本合同。</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25" w:name="_Toc88474520"/>
      <w:bookmarkStart w:id="126" w:name="_Toc79414167"/>
      <w:bookmarkStart w:id="127" w:name="_Toc106018178"/>
      <w:bookmarkStart w:id="128" w:name="_Toc22291"/>
      <w:r>
        <w:rPr>
          <w:rFonts w:hint="eastAsia" w:ascii="宋体" w:hAnsi="宋体" w:eastAsia="宋体" w:cs="仿宋"/>
          <w:bCs w:val="0"/>
          <w:sz w:val="24"/>
          <w:szCs w:val="24"/>
        </w:rPr>
        <w:t>合同文件</w:t>
      </w:r>
      <w:bookmarkEnd w:id="125"/>
      <w:bookmarkEnd w:id="126"/>
      <w:bookmarkEnd w:id="127"/>
      <w:bookmarkEnd w:id="128"/>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本合同所附下列文件是构成本合同不可分割的部分：</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（一）本项目招标文件</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（二）乙方投标文件</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（三）合同格式及合同条款</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（四）中标人在评标过程中做出的有关澄清、说明或者补正文件</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（五）中标通知书</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（六）本合同附件</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29" w:name="_Toc29410"/>
      <w:bookmarkStart w:id="130" w:name="_Toc106018179"/>
      <w:bookmarkStart w:id="131" w:name="_Toc88474521"/>
      <w:bookmarkStart w:id="132" w:name="_Toc79414168"/>
      <w:r>
        <w:rPr>
          <w:rFonts w:hint="eastAsia" w:ascii="宋体" w:hAnsi="宋体" w:eastAsia="宋体" w:cs="仿宋"/>
          <w:bCs w:val="0"/>
          <w:sz w:val="24"/>
          <w:szCs w:val="24"/>
        </w:rPr>
        <w:t>合同的范围和条件</w:t>
      </w:r>
      <w:bookmarkEnd w:id="129"/>
      <w:bookmarkEnd w:id="130"/>
      <w:bookmarkEnd w:id="131"/>
      <w:bookmarkEnd w:id="132"/>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本合同的范围和条件应与上述合同文件的规定相一致。</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33" w:name="_Toc106018180"/>
      <w:bookmarkStart w:id="134" w:name="_Toc79414169"/>
      <w:bookmarkStart w:id="135" w:name="_Toc88474522"/>
      <w:bookmarkStart w:id="136" w:name="_Toc31931"/>
      <w:r>
        <w:rPr>
          <w:rFonts w:hint="eastAsia" w:ascii="宋体" w:hAnsi="宋体" w:eastAsia="宋体" w:cs="仿宋"/>
          <w:bCs w:val="0"/>
          <w:sz w:val="24"/>
          <w:szCs w:val="24"/>
        </w:rPr>
        <w:t>货物内容、数量及规格</w:t>
      </w:r>
      <w:bookmarkEnd w:id="133"/>
      <w:bookmarkEnd w:id="134"/>
      <w:bookmarkEnd w:id="135"/>
      <w:bookmarkEnd w:id="136"/>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本合同所提供的货物为</w:t>
      </w:r>
      <w:r>
        <w:rPr>
          <w:rFonts w:hint="eastAsia" w:ascii="宋体" w:hAnsi="宋体" w:cs="仿宋"/>
          <w:sz w:val="24"/>
          <w:u w:val="single"/>
        </w:rPr>
        <w:t xml:space="preserve">               </w:t>
      </w:r>
      <w:r>
        <w:rPr>
          <w:rFonts w:hint="eastAsia" w:ascii="宋体" w:hAnsi="宋体" w:cs="仿宋"/>
          <w:sz w:val="24"/>
        </w:rPr>
        <w:t>及其所含备品备件，并包括乙方投标文件承诺的优惠条款。（详见附件一：投标文件及报价明细表）。</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37" w:name="_Toc106018181"/>
      <w:bookmarkStart w:id="138" w:name="_Toc30419"/>
      <w:bookmarkStart w:id="139" w:name="_Toc88474523"/>
      <w:r>
        <w:rPr>
          <w:rFonts w:hint="eastAsia" w:ascii="宋体" w:hAnsi="宋体" w:eastAsia="宋体" w:cs="仿宋"/>
          <w:bCs w:val="0"/>
          <w:sz w:val="24"/>
          <w:szCs w:val="24"/>
        </w:rPr>
        <w:t>合同金额</w:t>
      </w:r>
      <w:bookmarkEnd w:id="137"/>
      <w:bookmarkEnd w:id="138"/>
      <w:bookmarkEnd w:id="139"/>
    </w:p>
    <w:p>
      <w:pPr>
        <w:adjustRightInd w:val="0"/>
        <w:snapToGrid w:val="0"/>
        <w:spacing w:line="360" w:lineRule="auto"/>
        <w:ind w:firstLine="480" w:firstLineChars="200"/>
        <w:jc w:val="left"/>
        <w:rPr>
          <w:rFonts w:ascii="宋体" w:hAnsi="宋体" w:cs="仿宋"/>
          <w:sz w:val="24"/>
        </w:rPr>
      </w:pPr>
      <w:bookmarkStart w:id="140" w:name="_Toc79414171"/>
      <w:bookmarkStart w:id="141" w:name="_Toc88474524"/>
      <w:r>
        <w:rPr>
          <w:rFonts w:hint="eastAsia" w:ascii="宋体" w:hAnsi="宋体" w:cs="仿宋"/>
          <w:sz w:val="24"/>
        </w:rPr>
        <w:t xml:space="preserve">合同金额为人民币 </w:t>
      </w:r>
      <w:r>
        <w:rPr>
          <w:rFonts w:hint="eastAsia" w:ascii="宋体" w:hAnsi="宋体" w:cs="仿宋"/>
          <w:sz w:val="24"/>
          <w:u w:val="single"/>
        </w:rPr>
        <w:t xml:space="preserve">              </w:t>
      </w:r>
      <w:r>
        <w:rPr>
          <w:rFonts w:hint="eastAsia" w:ascii="宋体" w:hAnsi="宋体" w:cs="仿宋"/>
          <w:sz w:val="24"/>
        </w:rPr>
        <w:t xml:space="preserve">元，大写： </w:t>
      </w:r>
      <w:r>
        <w:rPr>
          <w:rFonts w:hint="eastAsia" w:ascii="宋体" w:hAnsi="宋体" w:cs="仿宋"/>
          <w:sz w:val="24"/>
          <w:u w:val="single"/>
        </w:rPr>
        <w:t xml:space="preserve">              </w:t>
      </w:r>
      <w:r>
        <w:rPr>
          <w:rFonts w:hint="eastAsia" w:ascii="宋体" w:hAnsi="宋体" w:cs="仿宋"/>
          <w:sz w:val="24"/>
        </w:rPr>
        <w:t>。</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（详见附件一：投标文件及报价明细表）。</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乙方开户名称：</w:t>
      </w:r>
      <w:r>
        <w:rPr>
          <w:rFonts w:hint="eastAsia" w:ascii="宋体" w:hAnsi="宋体" w:cs="仿宋"/>
          <w:sz w:val="24"/>
          <w:u w:val="single"/>
        </w:rPr>
        <w:t xml:space="preserve">              </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开户银行：</w:t>
      </w:r>
      <w:r>
        <w:rPr>
          <w:rFonts w:hint="eastAsia" w:ascii="宋体" w:hAnsi="宋体" w:cs="仿宋"/>
          <w:sz w:val="24"/>
          <w:u w:val="single"/>
        </w:rPr>
        <w:t xml:space="preserve">                  </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银行账号：</w:t>
      </w:r>
      <w:r>
        <w:rPr>
          <w:rFonts w:hint="eastAsia" w:ascii="宋体" w:hAnsi="宋体" w:cs="仿宋"/>
          <w:sz w:val="24"/>
          <w:u w:val="single"/>
        </w:rPr>
        <w:t xml:space="preserve">                  </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价格说明：</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1）本项目为交钥匙项目，合同金额是完成本项目所要求购买货物落地、安装调试完成并经验收合格、质保期内维护保养、伴随服务及售后服务的全部费用。合同金额包含但不限于货物及其专用工具、配品配件及各种辅材、附件备件及其他附带辅材/辅件、包装、运输、装卸、保管、伴随服务、相关检验检测、验收、安装调试、产品/软件升级、知识产权、技术培训、利润、保险费、相关税费、质保期内维护保养、售后服务等全部费用。并同时考虑合同的所有责任、义务和除不可抗力以外的一切风险因素。若投标报价有缺漏项的，缺漏项部分的价格视为已包含在投标报价中，中标后的合同价不作任何调整。</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（2）中标后不允许擅自改变采购内容、质量标准、期限与追加项目预算。</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（3）中标单价在合同执行过程中是固定不变的，不得以任何理由予以变更。参数中有关产品/软件升级的相关费用均应包含在单价中，中标人不得以产品/软件升级为由另行索要费用。</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（4）实际供货数量如有变化，价格依据合同清单价格结算，单价不再发生变化</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r>
        <w:rPr>
          <w:rFonts w:hint="eastAsia" w:ascii="宋体" w:hAnsi="宋体" w:eastAsia="宋体" w:cs="仿宋"/>
          <w:bCs w:val="0"/>
          <w:sz w:val="24"/>
          <w:szCs w:val="24"/>
        </w:rPr>
        <w:t xml:space="preserve"> </w:t>
      </w:r>
      <w:bookmarkStart w:id="142" w:name="_Toc29529"/>
      <w:bookmarkStart w:id="143" w:name="_Toc106018182"/>
      <w:r>
        <w:rPr>
          <w:rFonts w:hint="eastAsia" w:ascii="宋体" w:hAnsi="宋体" w:eastAsia="宋体" w:cs="仿宋"/>
          <w:bCs w:val="0"/>
          <w:sz w:val="24"/>
          <w:szCs w:val="24"/>
        </w:rPr>
        <w:t>付款</w:t>
      </w:r>
      <w:bookmarkEnd w:id="140"/>
      <w:bookmarkEnd w:id="141"/>
      <w:r>
        <w:rPr>
          <w:rFonts w:hint="eastAsia" w:ascii="宋体" w:hAnsi="宋体" w:eastAsia="宋体" w:cs="仿宋"/>
          <w:bCs w:val="0"/>
          <w:sz w:val="24"/>
          <w:szCs w:val="24"/>
        </w:rPr>
        <w:t>方式</w:t>
      </w:r>
      <w:bookmarkEnd w:id="142"/>
      <w:bookmarkEnd w:id="143"/>
    </w:p>
    <w:p>
      <w:pPr>
        <w:adjustRightInd w:val="0"/>
        <w:snapToGrid w:val="0"/>
        <w:spacing w:line="500" w:lineRule="exact"/>
        <w:ind w:firstLine="480" w:firstLineChars="200"/>
        <w:rPr>
          <w:rFonts w:hint="eastAsia" w:cs="宋体" w:asciiTheme="minorEastAsia" w:hAnsiTheme="minorEastAsia" w:eastAsiaTheme="minorEastAsia"/>
          <w:color w:val="000000" w:themeColor="text1"/>
          <w:sz w:val="24"/>
          <w:szCs w:val="22"/>
          <w14:textFill>
            <w14:solidFill>
              <w14:schemeClr w14:val="tx1"/>
            </w14:solidFill>
          </w14:textFill>
        </w:rPr>
      </w:pPr>
      <w:r>
        <w:rPr>
          <w:rFonts w:hint="eastAsia" w:cs="宋体" w:asciiTheme="minorEastAsia" w:hAnsiTheme="minorEastAsia" w:eastAsiaTheme="minorEastAsia"/>
          <w:color w:val="000000" w:themeColor="text1"/>
          <w:sz w:val="24"/>
          <w:szCs w:val="22"/>
          <w14:textFill>
            <w14:solidFill>
              <w14:schemeClr w14:val="tx1"/>
            </w14:solidFill>
          </w14:textFill>
        </w:rPr>
        <w:t>中标后由采购人组织实际用户单位与乙方签订合同，具体付款方式由实际用户单位在以下两种方式任选其一（以下“甲方”指实际用户单位）：</w:t>
      </w:r>
    </w:p>
    <w:p>
      <w:pPr>
        <w:pStyle w:val="2"/>
        <w:rPr>
          <w:rFonts w:hint="eastAsia"/>
        </w:rPr>
      </w:pPr>
    </w:p>
    <w:p>
      <w:pPr>
        <w:pStyle w:val="42"/>
        <w:spacing w:line="360" w:lineRule="auto"/>
        <w:ind w:firstLine="480" w:firstLineChars="200"/>
        <w:rPr>
          <w:rFonts w:cs="宋体" w:asciiTheme="minorEastAsia" w:hAnsiTheme="minorEastAsia" w:eastAsiaTheme="minorEastAsia"/>
          <w:kern w:val="2"/>
          <w:sz w:val="24"/>
          <w:szCs w:val="24"/>
        </w:rPr>
      </w:pPr>
      <w:bookmarkStart w:id="144" w:name="_Hlk114816928"/>
      <w:r>
        <w:rPr>
          <w:rFonts w:hint="eastAsia" w:cs="宋体" w:asciiTheme="minorEastAsia" w:hAnsiTheme="minorEastAsia" w:eastAsiaTheme="minorEastAsia"/>
          <w:kern w:val="2"/>
          <w:sz w:val="24"/>
          <w:szCs w:val="24"/>
        </w:rPr>
        <w:t>（一）合同签订后，甲方支付至合同价款的40%</w:t>
      </w:r>
      <w:r>
        <w:rPr>
          <w:rFonts w:hint="eastAsia" w:cs="宋体" w:asciiTheme="minorEastAsia" w:hAnsiTheme="minorEastAsia" w:eastAsiaTheme="minorEastAsia"/>
          <w:color w:val="000000" w:themeColor="text1"/>
          <w:sz w:val="24"/>
          <w:szCs w:val="22"/>
          <w14:textFill>
            <w14:solidFill>
              <w14:schemeClr w14:val="tx1"/>
            </w14:solidFill>
          </w14:textFill>
        </w:rPr>
        <w:t>即人民币（大写）_______元整（¥ 【  】元）</w:t>
      </w:r>
      <w:r>
        <w:rPr>
          <w:rFonts w:hint="eastAsia" w:cs="宋体" w:asciiTheme="minorEastAsia" w:hAnsiTheme="minorEastAsia" w:eastAsiaTheme="minorEastAsia"/>
          <w:kern w:val="2"/>
          <w:sz w:val="24"/>
          <w:szCs w:val="24"/>
        </w:rPr>
        <w:t>，货到并验收合格后支付至合同价款的97%</w:t>
      </w:r>
      <w:r>
        <w:rPr>
          <w:rFonts w:hint="eastAsia" w:cs="宋体" w:asciiTheme="minorEastAsia" w:hAnsiTheme="minorEastAsia" w:eastAsiaTheme="minorEastAsia"/>
          <w:color w:val="000000" w:themeColor="text1"/>
          <w:sz w:val="24"/>
          <w:szCs w:val="22"/>
          <w14:textFill>
            <w14:solidFill>
              <w14:schemeClr w14:val="tx1"/>
            </w14:solidFill>
          </w14:textFill>
        </w:rPr>
        <w:t>即人民币（大写）_______元整（¥ 【  】元）</w:t>
      </w:r>
      <w:r>
        <w:rPr>
          <w:rFonts w:hint="eastAsia" w:cs="宋体" w:asciiTheme="minorEastAsia" w:hAnsiTheme="minorEastAsia" w:eastAsiaTheme="minorEastAsia"/>
          <w:kern w:val="2"/>
          <w:sz w:val="24"/>
          <w:szCs w:val="24"/>
        </w:rPr>
        <w:t>，剩余3%质保期满无质量问题后支付。</w:t>
      </w:r>
    </w:p>
    <w:p>
      <w:pPr>
        <w:pStyle w:val="42"/>
        <w:spacing w:line="360" w:lineRule="auto"/>
        <w:ind w:firstLine="480" w:firstLineChars="200"/>
        <w:rPr>
          <w:rFonts w:cs="宋体" w:asciiTheme="minorEastAsia" w:hAnsiTheme="minorEastAsia" w:eastAsiaTheme="minorEastAsia"/>
          <w:kern w:val="2"/>
          <w:sz w:val="24"/>
          <w:szCs w:val="24"/>
        </w:rPr>
      </w:pPr>
      <w:r>
        <w:rPr>
          <w:rFonts w:hint="eastAsia" w:cs="宋体" w:asciiTheme="minorEastAsia" w:hAnsiTheme="minorEastAsia" w:eastAsiaTheme="minorEastAsia"/>
          <w:kern w:val="2"/>
          <w:sz w:val="24"/>
          <w:szCs w:val="24"/>
        </w:rPr>
        <w:t>/（一）合同签订后，乙方向甲方支付合同价款3%的履约保证金后，甲方支付至合同价款的40%</w:t>
      </w:r>
      <w:r>
        <w:rPr>
          <w:rFonts w:hint="eastAsia" w:cs="宋体" w:asciiTheme="minorEastAsia" w:hAnsiTheme="minorEastAsia" w:eastAsiaTheme="minorEastAsia"/>
          <w:color w:val="000000" w:themeColor="text1"/>
          <w:sz w:val="24"/>
          <w:szCs w:val="22"/>
          <w14:textFill>
            <w14:solidFill>
              <w14:schemeClr w14:val="tx1"/>
            </w14:solidFill>
          </w14:textFill>
        </w:rPr>
        <w:t>即人民币（大写）_______元整（¥ 【  】元）</w:t>
      </w:r>
      <w:r>
        <w:rPr>
          <w:rFonts w:hint="eastAsia" w:cs="宋体" w:asciiTheme="minorEastAsia" w:hAnsiTheme="minorEastAsia" w:eastAsiaTheme="minorEastAsia"/>
          <w:kern w:val="2"/>
          <w:sz w:val="24"/>
          <w:szCs w:val="24"/>
        </w:rPr>
        <w:t>，货到并验收合格后向乙方支付至合同价款的100%</w:t>
      </w:r>
      <w:r>
        <w:rPr>
          <w:rFonts w:hint="eastAsia" w:cs="宋体" w:asciiTheme="minorEastAsia" w:hAnsiTheme="minorEastAsia" w:eastAsiaTheme="minorEastAsia"/>
          <w:color w:val="000000" w:themeColor="text1"/>
          <w:sz w:val="24"/>
          <w:szCs w:val="22"/>
          <w14:textFill>
            <w14:solidFill>
              <w14:schemeClr w14:val="tx1"/>
            </w14:solidFill>
          </w14:textFill>
        </w:rPr>
        <w:t>即人民币（大写）_______元整（¥ 【  】元）</w:t>
      </w:r>
      <w:r>
        <w:rPr>
          <w:rFonts w:hint="eastAsia" w:cs="宋体" w:asciiTheme="minorEastAsia" w:hAnsiTheme="minorEastAsia" w:eastAsiaTheme="minorEastAsia"/>
          <w:kern w:val="2"/>
          <w:sz w:val="24"/>
          <w:szCs w:val="24"/>
        </w:rPr>
        <w:t>，履约保证金待质保期满无质量问题后无息退还。</w:t>
      </w:r>
    </w:p>
    <w:bookmarkEnd w:id="144"/>
    <w:p>
      <w:pPr>
        <w:pStyle w:val="234"/>
        <w:snapToGrid w:val="0"/>
        <w:spacing w:line="360" w:lineRule="auto"/>
        <w:ind w:firstLine="480" w:firstLineChars="200"/>
        <w:rPr>
          <w:rFonts w:ascii="Arial" w:hAnsi="Arial" w:cs="Arial"/>
          <w:color w:val="auto"/>
        </w:rPr>
      </w:pPr>
      <w:r>
        <w:rPr>
          <w:rFonts w:hint="eastAsia" w:ascii="Arial" w:hAnsi="Arial" w:cs="Arial"/>
          <w:color w:val="auto"/>
        </w:rPr>
        <w:t>（二）</w:t>
      </w:r>
      <w:r>
        <w:rPr>
          <w:rFonts w:ascii="Arial" w:hAnsi="Arial" w:cs="Arial"/>
          <w:color w:val="auto"/>
        </w:rPr>
        <w:t>甲方</w:t>
      </w:r>
      <w:r>
        <w:rPr>
          <w:rFonts w:hint="eastAsia" w:ascii="Arial" w:hAnsi="Arial" w:cs="Arial"/>
          <w:color w:val="auto"/>
        </w:rPr>
        <w:t>账户</w:t>
      </w:r>
      <w:r>
        <w:rPr>
          <w:rFonts w:ascii="Arial" w:hAnsi="Arial" w:cs="Arial"/>
          <w:color w:val="auto"/>
        </w:rPr>
        <w:t>信息如下：</w:t>
      </w:r>
    </w:p>
    <w:p>
      <w:pPr>
        <w:pStyle w:val="2"/>
        <w:adjustRightInd w:val="0"/>
        <w:snapToGrid w:val="0"/>
        <w:spacing w:line="360" w:lineRule="auto"/>
        <w:ind w:firstLine="480"/>
        <w:jc w:val="left"/>
        <w:rPr>
          <w:rFonts w:ascii="Arial" w:hAnsi="Arial" w:cs="Arial"/>
          <w:sz w:val="24"/>
          <w:szCs w:val="24"/>
        </w:rPr>
      </w:pPr>
      <w:r>
        <w:rPr>
          <w:rFonts w:hint="eastAsia" w:ascii="Arial" w:hAnsi="Arial" w:cs="Arial"/>
          <w:sz w:val="24"/>
          <w:szCs w:val="24"/>
        </w:rPr>
        <w:t>账户名称：</w:t>
      </w:r>
      <w:r>
        <w:rPr>
          <w:rFonts w:hint="eastAsia" w:ascii="Arial" w:hAnsi="Arial" w:cs="Arial"/>
          <w:sz w:val="24"/>
          <w:szCs w:val="24"/>
        </w:rPr>
        <w:tab/>
      </w:r>
    </w:p>
    <w:p>
      <w:pPr>
        <w:pStyle w:val="2"/>
        <w:adjustRightInd w:val="0"/>
        <w:snapToGrid w:val="0"/>
        <w:spacing w:line="360" w:lineRule="auto"/>
        <w:ind w:firstLine="480"/>
        <w:jc w:val="left"/>
        <w:rPr>
          <w:rFonts w:ascii="Arial" w:hAnsi="Arial" w:cs="Arial"/>
          <w:sz w:val="24"/>
          <w:szCs w:val="24"/>
        </w:rPr>
      </w:pPr>
      <w:r>
        <w:rPr>
          <w:rFonts w:hint="eastAsia" w:ascii="Arial" w:hAnsi="Arial" w:cs="Arial"/>
          <w:sz w:val="24"/>
          <w:szCs w:val="24"/>
        </w:rPr>
        <w:t>开户银行：</w:t>
      </w:r>
    </w:p>
    <w:p>
      <w:pPr>
        <w:pStyle w:val="2"/>
        <w:adjustRightInd w:val="0"/>
        <w:snapToGrid w:val="0"/>
        <w:spacing w:line="360" w:lineRule="auto"/>
        <w:ind w:firstLine="480"/>
        <w:jc w:val="left"/>
        <w:rPr>
          <w:rFonts w:ascii="Arial" w:hAnsi="Arial" w:cs="Arial"/>
          <w:sz w:val="24"/>
          <w:szCs w:val="24"/>
        </w:rPr>
      </w:pPr>
      <w:r>
        <w:rPr>
          <w:rFonts w:hint="eastAsia" w:ascii="Arial" w:hAnsi="Arial" w:cs="Arial"/>
          <w:sz w:val="24"/>
          <w:szCs w:val="24"/>
        </w:rPr>
        <w:t>银行账号：</w:t>
      </w:r>
      <w:r>
        <w:rPr>
          <w:rFonts w:hint="eastAsia" w:ascii="Arial" w:hAnsi="Arial" w:cs="Arial"/>
          <w:sz w:val="24"/>
          <w:szCs w:val="24"/>
        </w:rPr>
        <w:tab/>
      </w:r>
    </w:p>
    <w:p>
      <w:pPr>
        <w:pStyle w:val="234"/>
        <w:snapToGrid w:val="0"/>
        <w:spacing w:line="360" w:lineRule="auto"/>
        <w:ind w:firstLine="480" w:firstLineChars="200"/>
        <w:rPr>
          <w:rFonts w:ascii="Arial" w:hAnsi="Arial" w:cs="Arial"/>
          <w:color w:val="auto"/>
        </w:rPr>
      </w:pPr>
      <w:r>
        <w:rPr>
          <w:rFonts w:hint="eastAsia" w:ascii="Arial" w:hAnsi="Arial" w:cs="Arial"/>
          <w:color w:val="auto"/>
        </w:rPr>
        <w:t>（三）</w:t>
      </w:r>
      <w:r>
        <w:rPr>
          <w:rFonts w:ascii="Arial" w:hAnsi="Arial" w:cs="Arial"/>
          <w:color w:val="auto"/>
        </w:rPr>
        <w:t>甲方开票信息如下：</w:t>
      </w:r>
    </w:p>
    <w:p>
      <w:pPr>
        <w:pStyle w:val="234"/>
        <w:snapToGrid w:val="0"/>
        <w:spacing w:line="360" w:lineRule="auto"/>
        <w:ind w:firstLine="480" w:firstLineChars="200"/>
        <w:rPr>
          <w:rFonts w:ascii="Arial" w:hAnsi="Arial" w:cs="Arial"/>
          <w:color w:val="auto"/>
        </w:rPr>
      </w:pPr>
      <w:r>
        <w:rPr>
          <w:rFonts w:ascii="Arial" w:hAnsi="Arial" w:cs="Arial"/>
          <w:color w:val="auto"/>
        </w:rPr>
        <w:t>开票类型：增值税普通发票/增值税专用发票（只能选择一种）</w:t>
      </w:r>
    </w:p>
    <w:p>
      <w:pPr>
        <w:pStyle w:val="234"/>
        <w:snapToGrid w:val="0"/>
        <w:spacing w:line="360" w:lineRule="auto"/>
        <w:ind w:firstLine="480" w:firstLineChars="200"/>
        <w:rPr>
          <w:rFonts w:ascii="Arial" w:hAnsi="Arial" w:cs="Arial"/>
          <w:color w:val="auto"/>
        </w:rPr>
      </w:pPr>
      <w:r>
        <w:rPr>
          <w:rFonts w:ascii="Arial" w:hAnsi="Arial" w:cs="Arial"/>
          <w:color w:val="auto"/>
        </w:rPr>
        <w:t>单位名称：</w:t>
      </w:r>
      <w:r>
        <w:rPr>
          <w:rFonts w:hint="eastAsia" w:ascii="Arial" w:hAnsi="Arial" w:cs="Arial"/>
          <w:color w:val="auto"/>
        </w:rPr>
        <w:t xml:space="preserve">【 </w:t>
      </w:r>
      <w:r>
        <w:rPr>
          <w:rFonts w:ascii="Arial" w:hAnsi="Arial" w:cs="Arial"/>
          <w:color w:val="auto"/>
        </w:rPr>
        <w:t xml:space="preserve">           </w:t>
      </w:r>
      <w:r>
        <w:rPr>
          <w:rFonts w:hint="eastAsia" w:ascii="Arial" w:hAnsi="Arial" w:cs="Arial"/>
          <w:color w:val="auto"/>
        </w:rPr>
        <w:t>】</w:t>
      </w:r>
    </w:p>
    <w:p>
      <w:pPr>
        <w:pStyle w:val="234"/>
        <w:snapToGrid w:val="0"/>
        <w:spacing w:line="360" w:lineRule="auto"/>
        <w:ind w:firstLine="480" w:firstLineChars="200"/>
        <w:rPr>
          <w:rFonts w:ascii="Arial" w:hAnsi="Arial" w:cs="Arial"/>
          <w:color w:val="auto"/>
        </w:rPr>
      </w:pPr>
      <w:r>
        <w:rPr>
          <w:rFonts w:ascii="Arial" w:hAnsi="Arial" w:cs="Arial"/>
          <w:color w:val="auto"/>
        </w:rPr>
        <w:t>纳税人识别号：</w:t>
      </w:r>
      <w:r>
        <w:rPr>
          <w:rFonts w:hint="eastAsia" w:ascii="Arial" w:hAnsi="Arial" w:cs="Arial"/>
          <w:color w:val="auto"/>
        </w:rPr>
        <w:t xml:space="preserve">【 </w:t>
      </w:r>
      <w:r>
        <w:rPr>
          <w:rFonts w:ascii="Arial" w:hAnsi="Arial" w:cs="Arial"/>
          <w:color w:val="auto"/>
        </w:rPr>
        <w:t xml:space="preserve">       </w:t>
      </w:r>
      <w:r>
        <w:rPr>
          <w:rFonts w:hint="eastAsia" w:ascii="Arial" w:hAnsi="Arial" w:cs="Arial"/>
          <w:color w:val="auto"/>
        </w:rPr>
        <w:t>】</w:t>
      </w:r>
    </w:p>
    <w:p>
      <w:pPr>
        <w:pStyle w:val="234"/>
        <w:snapToGrid w:val="0"/>
        <w:spacing w:line="360" w:lineRule="auto"/>
        <w:ind w:firstLine="480" w:firstLineChars="200"/>
        <w:rPr>
          <w:rFonts w:ascii="Arial" w:hAnsi="Arial" w:cs="Arial"/>
          <w:color w:val="auto"/>
        </w:rPr>
      </w:pPr>
      <w:r>
        <w:rPr>
          <w:rFonts w:hint="eastAsia" w:ascii="Arial" w:hAnsi="Arial" w:cs="Arial"/>
          <w:color w:val="auto"/>
        </w:rPr>
        <w:t>（四）</w:t>
      </w:r>
      <w:r>
        <w:rPr>
          <w:rFonts w:ascii="Arial" w:hAnsi="Arial" w:cs="Arial"/>
          <w:color w:val="auto"/>
        </w:rPr>
        <w:t>付款方式</w:t>
      </w:r>
      <w:r>
        <w:rPr>
          <w:rFonts w:hint="eastAsia" w:ascii="Arial" w:hAnsi="Arial" w:cs="Arial"/>
          <w:color w:val="auto"/>
        </w:rPr>
        <w:t>：采用支票、银行汇票、电汇三种形式</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45" w:name="_Toc26701"/>
      <w:bookmarkStart w:id="146" w:name="_Toc88474525"/>
      <w:bookmarkStart w:id="147" w:name="_Toc79414172"/>
      <w:bookmarkStart w:id="148" w:name="_Toc106018183"/>
      <w:r>
        <w:rPr>
          <w:rFonts w:hint="eastAsia" w:ascii="宋体" w:hAnsi="宋体" w:eastAsia="宋体" w:cs="仿宋"/>
          <w:bCs w:val="0"/>
          <w:sz w:val="24"/>
          <w:szCs w:val="24"/>
        </w:rPr>
        <w:t>交付日期、地点</w:t>
      </w:r>
      <w:bookmarkEnd w:id="145"/>
      <w:bookmarkEnd w:id="146"/>
      <w:bookmarkEnd w:id="147"/>
      <w:bookmarkEnd w:id="148"/>
    </w:p>
    <w:p>
      <w:pPr>
        <w:pStyle w:val="234"/>
        <w:snapToGrid w:val="0"/>
        <w:spacing w:line="360" w:lineRule="auto"/>
        <w:ind w:firstLine="480" w:firstLineChars="200"/>
        <w:rPr>
          <w:rFonts w:hAnsi="宋体" w:cs="仿宋"/>
          <w:color w:val="auto"/>
          <w:kern w:val="2"/>
        </w:rPr>
      </w:pPr>
      <w:r>
        <w:rPr>
          <w:rFonts w:ascii="Arial" w:hAnsi="Arial" w:cs="Arial"/>
          <w:color w:val="auto"/>
        </w:rPr>
        <w:t>（</w:t>
      </w:r>
      <w:r>
        <w:rPr>
          <w:rFonts w:hAnsi="宋体" w:cs="仿宋"/>
          <w:color w:val="auto"/>
          <w:kern w:val="2"/>
        </w:rPr>
        <w:t>一）</w:t>
      </w:r>
      <w:r>
        <w:rPr>
          <w:rFonts w:hint="eastAsia" w:hAnsi="宋体" w:cs="仿宋"/>
          <w:color w:val="auto"/>
          <w:kern w:val="2"/>
        </w:rPr>
        <w:t>交付日期：合同签订后</w:t>
      </w:r>
      <w:r>
        <w:rPr>
          <w:rFonts w:hint="eastAsia" w:hAnsi="宋体" w:cs="仿宋"/>
          <w:color w:val="auto"/>
          <w:kern w:val="2"/>
          <w:u w:val="single"/>
        </w:rPr>
        <w:t xml:space="preserve">   </w:t>
      </w:r>
      <w:r>
        <w:rPr>
          <w:rFonts w:hint="eastAsia" w:hAnsi="宋体" w:cs="仿宋"/>
          <w:color w:val="auto"/>
          <w:kern w:val="2"/>
        </w:rPr>
        <w:t>日历日内将全部货物送至指定地点、完成安装调试并具备验收条件。</w:t>
      </w:r>
    </w:p>
    <w:p>
      <w:pPr>
        <w:pStyle w:val="234"/>
        <w:snapToGrid w:val="0"/>
        <w:spacing w:line="360" w:lineRule="auto"/>
        <w:ind w:firstLine="480" w:firstLineChars="200"/>
        <w:rPr>
          <w:rFonts w:hAnsi="宋体" w:cs="仿宋"/>
          <w:color w:val="auto"/>
          <w:kern w:val="2"/>
        </w:rPr>
      </w:pPr>
      <w:r>
        <w:rPr>
          <w:rFonts w:hAnsi="宋体" w:cs="仿宋"/>
          <w:color w:val="auto"/>
          <w:kern w:val="2"/>
        </w:rPr>
        <w:t>（</w:t>
      </w:r>
      <w:r>
        <w:rPr>
          <w:rFonts w:hint="eastAsia" w:hAnsi="宋体" w:cs="仿宋"/>
          <w:color w:val="auto"/>
          <w:kern w:val="2"/>
        </w:rPr>
        <w:t>二</w:t>
      </w:r>
      <w:r>
        <w:rPr>
          <w:rFonts w:hAnsi="宋体" w:cs="仿宋"/>
          <w:color w:val="auto"/>
          <w:kern w:val="2"/>
        </w:rPr>
        <w:t>）</w:t>
      </w:r>
      <w:r>
        <w:rPr>
          <w:rFonts w:hint="eastAsia" w:hAnsi="宋体" w:cs="仿宋"/>
          <w:color w:val="auto"/>
          <w:kern w:val="2"/>
        </w:rPr>
        <w:t>交付地点：甲方指定地点。</w:t>
      </w:r>
    </w:p>
    <w:p>
      <w:pPr>
        <w:pStyle w:val="234"/>
        <w:snapToGrid w:val="0"/>
        <w:spacing w:line="360" w:lineRule="auto"/>
        <w:ind w:firstLine="480" w:firstLineChars="200"/>
        <w:rPr>
          <w:rFonts w:hAnsi="宋体" w:cs="仿宋"/>
          <w:color w:val="auto"/>
          <w:kern w:val="2"/>
        </w:rPr>
      </w:pPr>
      <w:r>
        <w:rPr>
          <w:rFonts w:hAnsi="宋体" w:cs="仿宋"/>
          <w:color w:val="auto"/>
          <w:kern w:val="2"/>
        </w:rPr>
        <w:t>（三）</w:t>
      </w:r>
      <w:r>
        <w:rPr>
          <w:rFonts w:hint="eastAsia" w:hAnsi="宋体" w:cs="仿宋"/>
          <w:color w:val="auto"/>
          <w:kern w:val="2"/>
        </w:rPr>
        <w:t>风险负担：货物毁损、灭失的风险在该货物通过甲乙双方联合验收交付前由乙方承担，通过联合验收交付后由甲方承担；因质量问题验收不合格造成的一切损失及风险由乙方承担。</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49" w:name="_Toc2318"/>
      <w:bookmarkStart w:id="150" w:name="_Toc79414173"/>
      <w:bookmarkStart w:id="151" w:name="_Toc106018184"/>
      <w:bookmarkStart w:id="152" w:name="_Toc88474526"/>
      <w:r>
        <w:rPr>
          <w:rFonts w:hint="eastAsia" w:ascii="宋体" w:hAnsi="宋体" w:eastAsia="宋体" w:cs="仿宋"/>
          <w:bCs w:val="0"/>
          <w:sz w:val="24"/>
          <w:szCs w:val="24"/>
        </w:rPr>
        <w:t>质量</w:t>
      </w:r>
      <w:bookmarkEnd w:id="149"/>
      <w:bookmarkEnd w:id="150"/>
      <w:bookmarkEnd w:id="151"/>
      <w:bookmarkEnd w:id="152"/>
    </w:p>
    <w:p>
      <w:pPr>
        <w:pStyle w:val="234"/>
        <w:snapToGrid w:val="0"/>
        <w:spacing w:line="360" w:lineRule="auto"/>
        <w:ind w:firstLine="480" w:firstLineChars="200"/>
        <w:rPr>
          <w:rFonts w:ascii="Arial" w:hAnsi="Arial" w:cs="Arial"/>
          <w:color w:val="auto"/>
        </w:rPr>
      </w:pPr>
      <w:r>
        <w:rPr>
          <w:rFonts w:ascii="Arial" w:hAnsi="Arial" w:cs="Arial"/>
          <w:color w:val="auto"/>
        </w:rPr>
        <w:t>（一）乙方必须按照中标样品、技术文件和本合同约定的技术状态进行原材料和外购件的采购、加工、装配、检验，以保证零部件的完整性。</w:t>
      </w:r>
    </w:p>
    <w:p>
      <w:pPr>
        <w:pStyle w:val="234"/>
        <w:snapToGrid w:val="0"/>
        <w:spacing w:line="360" w:lineRule="auto"/>
        <w:ind w:firstLine="480" w:firstLineChars="200"/>
        <w:rPr>
          <w:rFonts w:ascii="Arial" w:hAnsi="Arial" w:cs="Arial"/>
          <w:color w:val="auto"/>
        </w:rPr>
      </w:pPr>
      <w:r>
        <w:rPr>
          <w:rFonts w:ascii="Arial" w:hAnsi="Arial" w:cs="Arial"/>
          <w:color w:val="auto"/>
        </w:rPr>
        <w:t>（二）乙方须提供全新的装备，确保装备表面无划伤、无碰撞痕迹，且权属清楚，不得侵害他人知识产权。</w:t>
      </w:r>
    </w:p>
    <w:p>
      <w:pPr>
        <w:pStyle w:val="234"/>
        <w:snapToGrid w:val="0"/>
        <w:spacing w:line="360" w:lineRule="auto"/>
        <w:ind w:firstLine="480" w:firstLineChars="200"/>
        <w:rPr>
          <w:rFonts w:ascii="Arial" w:hAnsi="Arial" w:cs="Arial"/>
          <w:color w:val="auto"/>
        </w:rPr>
      </w:pPr>
      <w:r>
        <w:rPr>
          <w:rFonts w:ascii="Arial" w:hAnsi="Arial" w:cs="Arial"/>
          <w:color w:val="auto"/>
        </w:rPr>
        <w:t>（三）质保期为</w:t>
      </w:r>
      <w:r>
        <w:rPr>
          <w:rFonts w:hint="eastAsia" w:ascii="Arial" w:hAnsi="Arial" w:cs="Arial"/>
          <w:color w:val="auto"/>
        </w:rPr>
        <w:t>【</w:t>
      </w:r>
      <w:r>
        <w:rPr>
          <w:rFonts w:ascii="Arial" w:hAnsi="Arial" w:cs="Arial"/>
          <w:color w:val="auto"/>
        </w:rPr>
        <w:t xml:space="preserve"> </w:t>
      </w:r>
      <w:r>
        <w:rPr>
          <w:rFonts w:hint="eastAsia" w:ascii="Arial" w:hAnsi="Arial" w:cs="Arial"/>
          <w:color w:val="auto"/>
        </w:rPr>
        <w:t>】</w:t>
      </w:r>
      <w:r>
        <w:rPr>
          <w:rFonts w:ascii="Arial" w:hAnsi="Arial" w:cs="Arial"/>
          <w:color w:val="auto"/>
        </w:rPr>
        <w:t>（以</w:t>
      </w:r>
      <w:r>
        <w:rPr>
          <w:rFonts w:hint="eastAsia" w:ascii="Arial" w:hAnsi="Arial" w:cs="Arial"/>
          <w:color w:val="auto"/>
        </w:rPr>
        <w:t>供应商</w:t>
      </w:r>
      <w:r>
        <w:rPr>
          <w:rFonts w:ascii="Arial" w:hAnsi="Arial" w:cs="Arial"/>
          <w:color w:val="auto"/>
        </w:rPr>
        <w:t>的应答为准），自产品最终验收合格之日开始计算。</w:t>
      </w:r>
    </w:p>
    <w:p>
      <w:pPr>
        <w:pStyle w:val="234"/>
        <w:snapToGrid w:val="0"/>
        <w:spacing w:line="360" w:lineRule="auto"/>
        <w:ind w:firstLine="480" w:firstLineChars="200"/>
        <w:rPr>
          <w:rFonts w:ascii="Arial" w:hAnsi="Arial" w:cs="Arial"/>
          <w:color w:val="auto"/>
        </w:rPr>
      </w:pPr>
      <w:r>
        <w:rPr>
          <w:rFonts w:ascii="Arial" w:hAnsi="Arial" w:cs="Arial"/>
          <w:color w:val="auto"/>
        </w:rPr>
        <w:t>在质保期内装备发生一切故障，乙方应采取相应方式</w:t>
      </w:r>
      <w:r>
        <w:rPr>
          <w:rFonts w:hint="eastAsia" w:ascii="Arial" w:hAnsi="Arial" w:cs="Arial"/>
          <w:color w:val="auto"/>
        </w:rPr>
        <w:t>排除</w:t>
      </w:r>
      <w:r>
        <w:rPr>
          <w:rFonts w:ascii="Arial" w:hAnsi="Arial" w:cs="Arial"/>
          <w:color w:val="auto"/>
        </w:rPr>
        <w:t>故障，包括但不限于维修或更换装备，由此产生的一切费用（包括但不限于零部件的成本费用及安装、维修、更换费用等），由乙方自行承担。</w:t>
      </w:r>
      <w:r>
        <w:rPr>
          <w:rFonts w:hint="eastAsia" w:ascii="Arial" w:hAnsi="Arial" w:cs="Arial"/>
          <w:color w:val="auto"/>
        </w:rPr>
        <w:t>装备维修期间，乙方有义务提供周转备用品供甲方使用。</w:t>
      </w:r>
      <w:r>
        <w:rPr>
          <w:rFonts w:ascii="Arial" w:hAnsi="Arial" w:cs="Arial"/>
          <w:color w:val="auto"/>
        </w:rPr>
        <w:t>在乙方承诺的质保期外的期限内发生故障，乙方应提供有偿服务；涉及零部件更换的，甲方应向乙方支付相应零部件的成本费（以</w:t>
      </w:r>
      <w:r>
        <w:rPr>
          <w:rFonts w:hint="eastAsia" w:ascii="Arial" w:hAnsi="Arial" w:cs="Arial"/>
          <w:color w:val="auto"/>
        </w:rPr>
        <w:t>供应商</w:t>
      </w:r>
      <w:r>
        <w:rPr>
          <w:rFonts w:ascii="Arial" w:hAnsi="Arial" w:cs="Arial"/>
          <w:color w:val="auto"/>
        </w:rPr>
        <w:t>的应答为准）</w:t>
      </w:r>
      <w:r>
        <w:rPr>
          <w:rFonts w:hint="eastAsia" w:ascii="Arial" w:hAnsi="Arial" w:cs="Arial"/>
          <w:color w:val="auto"/>
        </w:rPr>
        <w:t>以及维修工时费</w:t>
      </w:r>
      <w:r>
        <w:rPr>
          <w:rFonts w:hint="eastAsia" w:ascii="Arial" w:hAnsi="Arial" w:cs="Arial"/>
          <w:color w:val="auto"/>
          <w:u w:val="single"/>
        </w:rPr>
        <w:t xml:space="preserve">    </w:t>
      </w:r>
      <w:r>
        <w:rPr>
          <w:rFonts w:hint="eastAsia" w:ascii="Arial" w:hAnsi="Arial" w:cs="Arial"/>
          <w:color w:val="auto"/>
        </w:rPr>
        <w:t>/天/次</w:t>
      </w:r>
      <w:r>
        <w:rPr>
          <w:rFonts w:ascii="Arial" w:hAnsi="Arial" w:cs="Arial"/>
          <w:color w:val="auto"/>
        </w:rPr>
        <w:t>。若在该期限内出现零部件降价的情况，则甲乙双方按照该零部件的市场价格实际进行结算。</w:t>
      </w:r>
    </w:p>
    <w:p>
      <w:pPr>
        <w:pStyle w:val="234"/>
        <w:snapToGrid w:val="0"/>
        <w:spacing w:line="360" w:lineRule="auto"/>
        <w:ind w:firstLine="480" w:firstLineChars="200"/>
        <w:rPr>
          <w:rFonts w:ascii="Arial" w:hAnsi="Arial" w:cs="Arial"/>
          <w:color w:val="auto"/>
        </w:rPr>
      </w:pPr>
      <w:r>
        <w:rPr>
          <w:rFonts w:ascii="Arial" w:hAnsi="Arial" w:cs="Arial"/>
          <w:color w:val="auto"/>
        </w:rPr>
        <w:t>（四）乙方提供的装备必须符合或优于国家（行业）标准。</w:t>
      </w:r>
    </w:p>
    <w:p>
      <w:pPr>
        <w:pStyle w:val="234"/>
        <w:snapToGrid w:val="0"/>
        <w:spacing w:line="360" w:lineRule="auto"/>
        <w:ind w:firstLine="480" w:firstLineChars="200"/>
        <w:rPr>
          <w:rFonts w:ascii="Arial" w:hAnsi="Arial" w:cs="Arial"/>
          <w:color w:val="auto"/>
        </w:rPr>
      </w:pPr>
      <w:r>
        <w:rPr>
          <w:rFonts w:ascii="Arial" w:hAnsi="Arial" w:cs="Arial"/>
          <w:color w:val="auto"/>
        </w:rPr>
        <w:t>（五）乙方保证在质保期内和乙方承诺的质保期外</w:t>
      </w:r>
      <w:r>
        <w:rPr>
          <w:rFonts w:hint="eastAsia" w:ascii="Arial" w:hAnsi="Arial" w:cs="Arial"/>
          <w:color w:val="auto"/>
          <w:u w:val="single"/>
        </w:rPr>
        <w:t xml:space="preserve"> </w:t>
      </w:r>
      <w:r>
        <w:rPr>
          <w:rFonts w:ascii="Arial" w:hAnsi="Arial" w:cs="Arial"/>
          <w:color w:val="auto"/>
          <w:u w:val="single"/>
        </w:rPr>
        <w:t xml:space="preserve">    </w:t>
      </w:r>
      <w:r>
        <w:rPr>
          <w:rFonts w:ascii="Arial" w:hAnsi="Arial" w:cs="Arial"/>
          <w:color w:val="auto"/>
        </w:rPr>
        <w:t>年的期限内向甲方</w:t>
      </w:r>
      <w:r>
        <w:rPr>
          <w:rFonts w:hint="eastAsia" w:ascii="Arial" w:hAnsi="Arial" w:cs="Arial"/>
          <w:color w:val="auto"/>
        </w:rPr>
        <w:t>提供</w:t>
      </w:r>
      <w:r>
        <w:rPr>
          <w:rFonts w:ascii="Arial" w:hAnsi="Arial" w:cs="Arial"/>
          <w:color w:val="auto"/>
        </w:rPr>
        <w:t>本合同项下所有装备所需的足够数量的零部件；当甲方向乙方发出书面通知，要求乙方提供相应零部件时，乙方应当在甲方指定的期限内送达甲方的指定地点，由此产生的费用由乙方承担。</w:t>
      </w:r>
    </w:p>
    <w:p>
      <w:pPr>
        <w:pStyle w:val="234"/>
        <w:snapToGrid w:val="0"/>
        <w:spacing w:line="360" w:lineRule="auto"/>
        <w:ind w:firstLine="480" w:firstLineChars="200"/>
        <w:rPr>
          <w:rFonts w:ascii="Arial" w:hAnsi="Arial" w:cs="Arial"/>
          <w:color w:val="auto"/>
        </w:rPr>
      </w:pPr>
      <w:r>
        <w:rPr>
          <w:rFonts w:ascii="Arial" w:hAnsi="Arial" w:cs="Arial"/>
          <w:color w:val="auto"/>
        </w:rPr>
        <w:t>（六）甲方在使用过程中因装备设计、制造、材质等质量问题给甲方造成损失的，乙方应承担一切赔偿责任。</w:t>
      </w:r>
    </w:p>
    <w:p>
      <w:pPr>
        <w:pStyle w:val="234"/>
        <w:snapToGrid w:val="0"/>
        <w:spacing w:line="360" w:lineRule="auto"/>
        <w:ind w:firstLine="480" w:firstLineChars="200"/>
        <w:rPr>
          <w:rFonts w:ascii="Arial" w:hAnsi="Arial" w:cs="Arial"/>
          <w:color w:val="auto"/>
        </w:rPr>
      </w:pPr>
      <w:r>
        <w:rPr>
          <w:rFonts w:ascii="Arial" w:hAnsi="Arial" w:cs="Arial"/>
          <w:color w:val="auto"/>
        </w:rPr>
        <w:t>（七）在甲方未办理装备正式交接手续前发生的一切人为和意外情况，以及装备毁损灭失等造成的损失均由乙方自行承担,因运输、保险、管理等所发生的一切费用均由乙方负责。</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53" w:name="_Toc106018185"/>
      <w:bookmarkStart w:id="154" w:name="_Toc10849"/>
      <w:bookmarkStart w:id="155" w:name="_Toc79414174"/>
      <w:bookmarkStart w:id="156" w:name="_Toc88474527"/>
      <w:r>
        <w:rPr>
          <w:rFonts w:hint="eastAsia" w:ascii="宋体" w:hAnsi="宋体" w:eastAsia="宋体" w:cs="仿宋"/>
          <w:bCs w:val="0"/>
          <w:sz w:val="24"/>
          <w:szCs w:val="24"/>
        </w:rPr>
        <w:t>包装</w:t>
      </w:r>
      <w:bookmarkEnd w:id="153"/>
      <w:bookmarkEnd w:id="154"/>
      <w:bookmarkEnd w:id="155"/>
      <w:bookmarkEnd w:id="156"/>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货物的包装应按照国家或业务主管部门的技术规定执行，国家或业务主管部门无技术规定的，应当按双方约定采取足以保护货物安全、完好的包装方式。</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57" w:name="_Toc88474528"/>
      <w:bookmarkStart w:id="158" w:name="_Toc79414175"/>
      <w:bookmarkStart w:id="159" w:name="_Toc106018186"/>
      <w:bookmarkStart w:id="160" w:name="_Toc29781"/>
      <w:r>
        <w:rPr>
          <w:rFonts w:hint="eastAsia" w:ascii="宋体" w:hAnsi="宋体" w:eastAsia="宋体" w:cs="仿宋"/>
          <w:bCs w:val="0"/>
          <w:sz w:val="24"/>
          <w:szCs w:val="24"/>
        </w:rPr>
        <w:t>运输要求</w:t>
      </w:r>
      <w:bookmarkEnd w:id="157"/>
      <w:bookmarkEnd w:id="158"/>
      <w:bookmarkEnd w:id="159"/>
      <w:bookmarkEnd w:id="160"/>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1、运输方式及线路：乙方将装备运抵</w:t>
      </w:r>
      <w:r>
        <w:rPr>
          <w:rFonts w:hint="eastAsia" w:ascii="宋体" w:hAnsi="宋体" w:cs="仿宋"/>
          <w:b/>
          <w:kern w:val="0"/>
          <w:sz w:val="24"/>
          <w:u w:val="single"/>
        </w:rPr>
        <w:t>甲方指定地点</w:t>
      </w:r>
      <w:r>
        <w:rPr>
          <w:rFonts w:hint="eastAsia" w:ascii="宋体" w:hAnsi="宋体" w:cs="仿宋"/>
          <w:kern w:val="0"/>
          <w:sz w:val="24"/>
        </w:rPr>
        <w:t>，运输过程中，保证装备以出厂检验标准到达用户手中；整个运输过程如需经水路及陆路运输两种方式的，长时间经历海上运输的，应对装备进行防腐保护，保证装备在海面运输过程中免受海水侵蚀。</w:t>
      </w:r>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2、装备出厂前，乙方应对装备进行详细检查，保证装备外观及所有可见配置完好无缺；国内至最终用户指定地点，运输乙方选用正规物流运输公司，为装备办理运输保险，选用驾驶经验丰富、技术能力强、责任心强的驾驶员进行运输，同时派遣服务工程师全程跟随运输，保证装备安全顺利运抵甲方指定地点。</w:t>
      </w:r>
    </w:p>
    <w:p>
      <w:pPr>
        <w:pStyle w:val="2"/>
        <w:adjustRightInd w:val="0"/>
        <w:snapToGrid w:val="0"/>
        <w:spacing w:line="360" w:lineRule="auto"/>
        <w:ind w:firstLine="480"/>
        <w:jc w:val="left"/>
        <w:rPr>
          <w:rFonts w:ascii="宋体" w:hAnsi="宋体" w:cs="仿宋"/>
          <w:sz w:val="24"/>
          <w:szCs w:val="24"/>
        </w:rPr>
      </w:pPr>
      <w:r>
        <w:rPr>
          <w:rFonts w:hint="eastAsia" w:ascii="宋体" w:hAnsi="宋体" w:cs="仿宋"/>
          <w:sz w:val="24"/>
          <w:szCs w:val="24"/>
        </w:rPr>
        <w:t>3、运输风险及相关费用由乙方承担。</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61" w:name="_Toc8865"/>
      <w:r>
        <w:rPr>
          <w:rFonts w:hint="eastAsia" w:ascii="宋体" w:hAnsi="宋体" w:eastAsia="宋体" w:cs="仿宋"/>
          <w:bCs w:val="0"/>
          <w:sz w:val="24"/>
          <w:szCs w:val="24"/>
        </w:rPr>
        <w:t>保险条款</w:t>
      </w:r>
      <w:bookmarkEnd w:id="161"/>
    </w:p>
    <w:p>
      <w:pPr>
        <w:pStyle w:val="2"/>
        <w:adjustRightInd w:val="0"/>
        <w:snapToGrid w:val="0"/>
        <w:spacing w:line="360" w:lineRule="auto"/>
        <w:ind w:firstLine="480"/>
        <w:jc w:val="left"/>
        <w:rPr>
          <w:sz w:val="24"/>
          <w:szCs w:val="24"/>
        </w:rPr>
      </w:pPr>
      <w:r>
        <w:rPr>
          <w:rFonts w:hint="eastAsia"/>
          <w:sz w:val="24"/>
          <w:szCs w:val="24"/>
        </w:rPr>
        <w:t>货物交付运输前，采购人已经支付部分或全部款项的，中标人应当办理以采购人为受益人的货物“一切险”，投保金额不少于采购人已经支付款项总额，保险保至项目最终交货时点。</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62" w:name="_Toc106018187"/>
      <w:bookmarkStart w:id="163" w:name="_Toc29039"/>
      <w:bookmarkStart w:id="164" w:name="_Toc79414176"/>
      <w:bookmarkStart w:id="165" w:name="_Toc88474529"/>
      <w:r>
        <w:rPr>
          <w:rFonts w:hint="eastAsia" w:ascii="宋体" w:hAnsi="宋体" w:eastAsia="宋体" w:cs="仿宋"/>
          <w:bCs w:val="0"/>
          <w:sz w:val="24"/>
          <w:szCs w:val="24"/>
        </w:rPr>
        <w:t>知识产权</w:t>
      </w:r>
      <w:bookmarkEnd w:id="162"/>
      <w:bookmarkEnd w:id="163"/>
      <w:bookmarkEnd w:id="164"/>
      <w:bookmarkEnd w:id="165"/>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乙方应保证甲方在中国境内使用货物或货物的任何一部分时，免受第三方提出的侵犯其知识产权的诉讼。如因乙方提供货物存在知识产权瑕疵，产生的一切不利法律责任（包括但不限于甲方损失、第三方侵权等）均由乙方承担。</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66" w:name="_Toc106018188"/>
      <w:bookmarkStart w:id="167" w:name="_Toc88474530"/>
      <w:bookmarkStart w:id="168" w:name="_Toc15710"/>
      <w:bookmarkStart w:id="169" w:name="_Toc79414177"/>
      <w:r>
        <w:rPr>
          <w:rFonts w:hint="eastAsia" w:ascii="宋体" w:hAnsi="宋体" w:eastAsia="宋体" w:cs="仿宋"/>
          <w:bCs w:val="0"/>
          <w:sz w:val="24"/>
          <w:szCs w:val="24"/>
        </w:rPr>
        <w:t>验收</w:t>
      </w:r>
      <w:bookmarkEnd w:id="166"/>
      <w:bookmarkEnd w:id="167"/>
      <w:bookmarkEnd w:id="168"/>
      <w:bookmarkEnd w:id="169"/>
    </w:p>
    <w:p>
      <w:pPr>
        <w:adjustRightInd w:val="0"/>
        <w:snapToGrid w:val="0"/>
        <w:spacing w:line="360" w:lineRule="auto"/>
        <w:ind w:firstLine="480" w:firstLineChars="200"/>
        <w:jc w:val="left"/>
        <w:rPr>
          <w:rFonts w:ascii="Arial" w:hAnsi="Arial" w:cs="Arial"/>
          <w:sz w:val="24"/>
        </w:rPr>
      </w:pPr>
      <w:r>
        <w:rPr>
          <w:rFonts w:hint="eastAsia" w:ascii="Arial" w:hAnsi="Arial" w:cs="Arial"/>
          <w:sz w:val="24"/>
        </w:rPr>
        <w:t>1、货物到达交货地点后，甲方和乙方在30日内共同开箱检验货物的规格、质量和数量等状况，如货物需要安装、调试、培训由乙方负责，邀请第三方专业机构、专家实施所有验收活动由甲方提请并组织，以上产生的费用由乙方承担。安装调试后 10 日内，甲、乙双方应按照合同要求验收，验收合格后甲乙双方及邀请的第三方专业机构、专家共同在《采购项目验收单》上签字确认。</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2、验收标准：</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（1）装备应符合相应的法律法规、国家标准（无国家标准的按部标、行业标准）、合同要求（包括不限于投标文件承诺）。</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（2）交付装备必须具备出厂合格证。</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（3）交付验收时，乙方应提交装备技术文本、软件、视频、配件、配套工具等。</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4）交付验收时，根据装备类别，属于消防装备品目的，应提供国家消防装备质量检验中心出具的检测报告原件，不属于消防装备品目的，应提供国家认证认可的检验机构出具的检测报告原件，否则甲方有权拒绝验收。</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（5）交付装备为全新装备，拒绝接受用于经过试验、检测、破坏性测试等程序的非全新装备。</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（6）装备质量、规格要求达不到本项目招标文件及投标文件约定条款的，乙方应该在甲方要求期限内整改并再次进行验收，再次验收不合格的甲方有权拒收，并解除合同。</w:t>
      </w:r>
    </w:p>
    <w:p>
      <w:pPr>
        <w:tabs>
          <w:tab w:val="left" w:pos="955"/>
        </w:tabs>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3.验收结束后，对装备存在的质量问题，甲方向乙方提出书面异议，乙方在接到书面异议后，应当在</w:t>
      </w:r>
      <w:r>
        <w:rPr>
          <w:rFonts w:hint="eastAsia" w:ascii="宋体" w:hAnsi="宋体" w:cs="仿宋"/>
          <w:kern w:val="0"/>
          <w:sz w:val="24"/>
          <w:u w:val="single"/>
        </w:rPr>
        <w:t xml:space="preserve">     </w:t>
      </w:r>
      <w:r>
        <w:rPr>
          <w:rFonts w:hint="eastAsia" w:ascii="宋体" w:hAnsi="宋体" w:cs="仿宋"/>
          <w:kern w:val="0"/>
          <w:sz w:val="24"/>
        </w:rPr>
        <w:t>日内负责处理。如果乙方在投标文件及询标过程中做出的书面说明及承诺中，有明确质量保证期的，适用质量保证期；</w:t>
      </w:r>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4.本合同为甲方进行履约验收的主要依据。甲方应专门成立履约验收小组,于乙方交付项目时组织验收，验收应严格按照招标文件和采购合同进行，保证采购项目与招标文件和采购合同内容的一致。（本项目验收依据详见附件二：投标文件技术偏离表）</w:t>
      </w:r>
    </w:p>
    <w:p>
      <w:pPr>
        <w:adjustRightInd w:val="0"/>
        <w:snapToGrid w:val="0"/>
        <w:spacing w:line="360" w:lineRule="auto"/>
        <w:ind w:firstLine="480" w:firstLineChars="200"/>
        <w:jc w:val="left"/>
        <w:rPr>
          <w:rFonts w:ascii="宋体" w:hAnsi="宋体" w:cs="仿宋"/>
          <w:kern w:val="0"/>
          <w:sz w:val="24"/>
          <w:u w:val="single"/>
        </w:rPr>
      </w:pPr>
      <w:r>
        <w:rPr>
          <w:rFonts w:hint="eastAsia" w:ascii="宋体" w:hAnsi="宋体" w:cs="仿宋"/>
          <w:kern w:val="0"/>
          <w:sz w:val="24"/>
        </w:rPr>
        <w:t>5.</w:t>
      </w:r>
      <w:r>
        <w:rPr>
          <w:rFonts w:hint="eastAsia"/>
        </w:rPr>
        <w:t xml:space="preserve"> </w:t>
      </w:r>
      <w:r>
        <w:rPr>
          <w:rFonts w:hint="eastAsia" w:ascii="宋体" w:hAnsi="宋体" w:cs="仿宋"/>
          <w:kern w:val="0"/>
          <w:sz w:val="24"/>
        </w:rPr>
        <w:t>其他补充事项 ：</w:t>
      </w:r>
      <w:r>
        <w:rPr>
          <w:rFonts w:hint="eastAsia" w:ascii="宋体" w:hAnsi="宋体" w:cs="仿宋"/>
          <w:kern w:val="0"/>
          <w:sz w:val="24"/>
          <w:u w:val="single"/>
        </w:rPr>
        <w:t xml:space="preserve">                                                       </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70" w:name="_Toc8251"/>
      <w:bookmarkStart w:id="171" w:name="_Toc106018190"/>
      <w:bookmarkStart w:id="172" w:name="_Toc88474531"/>
      <w:r>
        <w:rPr>
          <w:rFonts w:ascii="宋体" w:hAnsi="宋体" w:eastAsia="宋体" w:cs="仿宋"/>
          <w:bCs w:val="0"/>
          <w:sz w:val="24"/>
          <w:szCs w:val="24"/>
        </w:rPr>
        <w:t>售后技术服务</w:t>
      </w:r>
      <w:bookmarkEnd w:id="170"/>
      <w:bookmarkEnd w:id="171"/>
      <w:bookmarkEnd w:id="172"/>
    </w:p>
    <w:p>
      <w:pPr>
        <w:pStyle w:val="234"/>
        <w:snapToGrid w:val="0"/>
        <w:spacing w:line="360" w:lineRule="auto"/>
        <w:ind w:firstLine="480" w:firstLineChars="200"/>
        <w:rPr>
          <w:rFonts w:ascii="Arial" w:hAnsi="Arial" w:cs="Arial"/>
          <w:color w:val="auto"/>
        </w:rPr>
      </w:pPr>
      <w:r>
        <w:rPr>
          <w:rFonts w:hAnsi="宋体" w:cs="仿宋"/>
        </w:rPr>
        <w:t>1</w:t>
      </w:r>
      <w:r>
        <w:rPr>
          <w:rFonts w:hint="eastAsia" w:hAnsi="宋体" w:cs="仿宋"/>
        </w:rPr>
        <w:t>.</w:t>
      </w:r>
      <w:r>
        <w:rPr>
          <w:rFonts w:ascii="Arial" w:hAnsi="Arial" w:cs="Arial"/>
          <w:color w:val="auto"/>
        </w:rPr>
        <w:t>乙方为甲方提供售后技术服务，装备在质保期内出现一切故障，乙方应当自接到甲方报修通知之时起</w:t>
      </w:r>
      <w:r>
        <w:rPr>
          <w:rFonts w:hint="eastAsia" w:ascii="Arial" w:hAnsi="Arial" w:cs="Arial"/>
          <w:color w:val="auto"/>
        </w:rPr>
        <w:t xml:space="preserve">【 </w:t>
      </w:r>
      <w:r>
        <w:rPr>
          <w:rFonts w:ascii="Arial" w:hAnsi="Arial" w:cs="Arial"/>
          <w:color w:val="auto"/>
        </w:rPr>
        <w:t xml:space="preserve">  </w:t>
      </w:r>
      <w:r>
        <w:rPr>
          <w:rFonts w:hint="eastAsia" w:ascii="Arial" w:hAnsi="Arial" w:cs="Arial"/>
          <w:color w:val="auto"/>
        </w:rPr>
        <w:t>】</w:t>
      </w:r>
      <w:r>
        <w:rPr>
          <w:rFonts w:ascii="Arial" w:hAnsi="Arial" w:cs="Arial"/>
          <w:color w:val="auto"/>
        </w:rPr>
        <w:t>小时内响应，</w:t>
      </w:r>
      <w:r>
        <w:rPr>
          <w:rFonts w:hint="eastAsia" w:ascii="Arial" w:hAnsi="Arial" w:cs="Arial"/>
          <w:color w:val="auto"/>
        </w:rPr>
        <w:t xml:space="preserve">【 </w:t>
      </w:r>
      <w:r>
        <w:rPr>
          <w:rFonts w:ascii="Arial" w:hAnsi="Arial" w:cs="Arial"/>
          <w:color w:val="auto"/>
        </w:rPr>
        <w:t xml:space="preserve">  </w:t>
      </w:r>
      <w:r>
        <w:rPr>
          <w:rFonts w:hint="eastAsia" w:ascii="Arial" w:hAnsi="Arial" w:cs="Arial"/>
          <w:color w:val="auto"/>
        </w:rPr>
        <w:t>】</w:t>
      </w:r>
      <w:r>
        <w:rPr>
          <w:rFonts w:ascii="Arial" w:hAnsi="Arial" w:cs="Arial"/>
          <w:color w:val="auto"/>
        </w:rPr>
        <w:t>小时内到达现场，</w:t>
      </w:r>
      <w:r>
        <w:rPr>
          <w:rFonts w:hint="eastAsia" w:ascii="Arial" w:hAnsi="Arial" w:cs="Arial"/>
          <w:color w:val="auto"/>
        </w:rPr>
        <w:t xml:space="preserve">【 </w:t>
      </w:r>
      <w:r>
        <w:rPr>
          <w:rFonts w:ascii="Arial" w:hAnsi="Arial" w:cs="Arial"/>
          <w:color w:val="auto"/>
        </w:rPr>
        <w:t xml:space="preserve">   </w:t>
      </w:r>
      <w:r>
        <w:rPr>
          <w:rFonts w:hint="eastAsia" w:ascii="Arial" w:hAnsi="Arial" w:cs="Arial"/>
          <w:color w:val="auto"/>
        </w:rPr>
        <w:t>】</w:t>
      </w:r>
      <w:r>
        <w:rPr>
          <w:rFonts w:ascii="Arial" w:hAnsi="Arial" w:cs="Arial"/>
          <w:color w:val="auto"/>
        </w:rPr>
        <w:t>小时之内排除故障。（以</w:t>
      </w:r>
      <w:r>
        <w:rPr>
          <w:rFonts w:hint="eastAsia" w:ascii="Arial" w:hAnsi="Arial" w:cs="Arial"/>
          <w:color w:val="auto"/>
        </w:rPr>
        <w:t>供应商</w:t>
      </w:r>
      <w:r>
        <w:rPr>
          <w:rFonts w:ascii="Arial" w:hAnsi="Arial" w:cs="Arial"/>
          <w:color w:val="auto"/>
        </w:rPr>
        <w:t>的应答为准）</w:t>
      </w:r>
    </w:p>
    <w:p>
      <w:pPr>
        <w:pStyle w:val="234"/>
        <w:snapToGrid w:val="0"/>
        <w:spacing w:line="360" w:lineRule="auto"/>
        <w:ind w:firstLine="480" w:firstLineChars="200"/>
        <w:rPr>
          <w:rFonts w:ascii="Arial" w:hAnsi="Arial" w:cs="Arial"/>
          <w:color w:val="auto"/>
        </w:rPr>
      </w:pPr>
      <w:r>
        <w:rPr>
          <w:rFonts w:hAnsi="宋体" w:cs="仿宋"/>
        </w:rPr>
        <w:t>2</w:t>
      </w:r>
      <w:r>
        <w:rPr>
          <w:rFonts w:hint="eastAsia" w:hAnsi="宋体" w:cs="仿宋"/>
        </w:rPr>
        <w:t>.</w:t>
      </w:r>
      <w:r>
        <w:rPr>
          <w:rFonts w:ascii="Arial" w:hAnsi="Arial" w:cs="Arial"/>
          <w:color w:val="auto"/>
        </w:rPr>
        <w:t>乙方应保证甲方为装备的正常使用和维修所提出的零备件、工具等订货的供应。对</w:t>
      </w:r>
      <w:r>
        <w:rPr>
          <w:rFonts w:hint="eastAsia" w:ascii="Arial" w:hAnsi="Arial" w:cs="Arial"/>
          <w:color w:val="auto"/>
        </w:rPr>
        <w:t>甲方</w:t>
      </w:r>
      <w:r>
        <w:rPr>
          <w:rFonts w:ascii="Arial" w:hAnsi="Arial" w:cs="Arial"/>
          <w:color w:val="auto"/>
        </w:rPr>
        <w:t>提出的紧急订货，乙方应及时协助处理。</w:t>
      </w:r>
    </w:p>
    <w:p>
      <w:pPr>
        <w:pStyle w:val="234"/>
        <w:snapToGrid w:val="0"/>
        <w:spacing w:line="360" w:lineRule="auto"/>
        <w:ind w:firstLine="480" w:firstLineChars="200"/>
        <w:rPr>
          <w:rFonts w:ascii="Arial" w:hAnsi="Arial" w:cs="Arial"/>
          <w:color w:val="auto"/>
        </w:rPr>
      </w:pPr>
      <w:r>
        <w:rPr>
          <w:rFonts w:hint="eastAsia" w:hAnsi="宋体" w:cs="仿宋"/>
        </w:rPr>
        <w:t>3</w:t>
      </w:r>
      <w:r>
        <w:rPr>
          <w:rFonts w:hAnsi="宋体" w:cs="仿宋"/>
        </w:rPr>
        <w:t>.</w:t>
      </w:r>
      <w:r>
        <w:rPr>
          <w:rFonts w:ascii="Arial" w:hAnsi="Arial" w:cs="Arial"/>
          <w:color w:val="auto"/>
        </w:rPr>
        <w:t>若乙方发现本合同项下的装备的设计、制造、材质等质量问题涉及已出厂</w:t>
      </w:r>
      <w:r>
        <w:rPr>
          <w:rFonts w:hint="eastAsia" w:ascii="Arial" w:hAnsi="Arial" w:cs="Arial"/>
          <w:color w:val="auto"/>
        </w:rPr>
        <w:t>使用的</w:t>
      </w:r>
      <w:r>
        <w:rPr>
          <w:rFonts w:ascii="Arial" w:hAnsi="Arial" w:cs="Arial"/>
          <w:color w:val="auto"/>
        </w:rPr>
        <w:t>装备时，乙方应及时通知甲方并召回装备，同时在发出通知之日起二十个工作日内予以解决。</w:t>
      </w:r>
    </w:p>
    <w:p>
      <w:pPr>
        <w:pStyle w:val="234"/>
        <w:snapToGrid w:val="0"/>
        <w:spacing w:line="360" w:lineRule="auto"/>
        <w:ind w:firstLine="480" w:firstLineChars="200"/>
        <w:rPr>
          <w:rFonts w:ascii="Arial" w:hAnsi="Arial" w:cs="Arial"/>
          <w:color w:val="auto"/>
        </w:rPr>
      </w:pPr>
      <w:r>
        <w:rPr>
          <w:rFonts w:hint="eastAsia" w:hAnsi="宋体" w:cs="仿宋"/>
        </w:rPr>
        <w:t>4</w:t>
      </w:r>
      <w:r>
        <w:rPr>
          <w:rFonts w:hAnsi="宋体" w:cs="仿宋"/>
        </w:rPr>
        <w:t>.</w:t>
      </w:r>
      <w:r>
        <w:rPr>
          <w:rFonts w:ascii="Arial" w:hAnsi="Arial" w:cs="Arial"/>
          <w:color w:val="auto"/>
        </w:rPr>
        <w:t>乙方应按法律、法规的规定和本合同约定，积极做好特殊紧急情况下的专项技术服务工作。</w:t>
      </w:r>
    </w:p>
    <w:p>
      <w:pPr>
        <w:adjustRightInd w:val="0"/>
        <w:snapToGrid w:val="0"/>
        <w:spacing w:line="360" w:lineRule="auto"/>
        <w:ind w:firstLine="480" w:firstLineChars="200"/>
        <w:jc w:val="left"/>
        <w:rPr>
          <w:rFonts w:ascii="Arial" w:hAnsi="Arial" w:cs="Arial"/>
          <w:sz w:val="24"/>
        </w:rPr>
      </w:pPr>
      <w:r>
        <w:rPr>
          <w:rFonts w:hint="eastAsia" w:ascii="宋体" w:hAnsi="宋体" w:cs="仿宋"/>
          <w:color w:val="000000"/>
          <w:kern w:val="0"/>
          <w:sz w:val="24"/>
        </w:rPr>
        <w:t>5</w:t>
      </w:r>
      <w:r>
        <w:rPr>
          <w:rFonts w:ascii="宋体" w:hAnsi="宋体" w:cs="仿宋"/>
          <w:color w:val="000000"/>
          <w:kern w:val="0"/>
          <w:sz w:val="24"/>
        </w:rPr>
        <w:t>.</w:t>
      </w:r>
      <w:r>
        <w:rPr>
          <w:rFonts w:ascii="Arial" w:hAnsi="Arial" w:cs="Arial"/>
          <w:sz w:val="24"/>
        </w:rPr>
        <w:t>本合同项下的装备在使用过程中，经有关人员发现并经相关部门鉴定装备存在安全隐患或质量缺陷，继续使用可能造成生命、财产损失情况发生，乙方应在收到甲方书面通知之日起二十个工作日内无条件退换装备</w:t>
      </w:r>
      <w:r>
        <w:rPr>
          <w:rFonts w:hint="eastAsia" w:ascii="Arial" w:hAnsi="Arial" w:cs="Arial"/>
          <w:sz w:val="24"/>
        </w:rPr>
        <w:t>。</w:t>
      </w:r>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color w:val="000000"/>
          <w:kern w:val="0"/>
          <w:sz w:val="24"/>
        </w:rPr>
        <w:t>6</w:t>
      </w:r>
      <w:r>
        <w:rPr>
          <w:rFonts w:ascii="宋体" w:hAnsi="宋体" w:cs="仿宋"/>
          <w:color w:val="000000"/>
          <w:kern w:val="0"/>
          <w:sz w:val="24"/>
        </w:rPr>
        <w:t>.</w:t>
      </w:r>
      <w:r>
        <w:rPr>
          <w:rFonts w:hint="eastAsia" w:ascii="宋体" w:hAnsi="宋体" w:cs="仿宋"/>
          <w:kern w:val="0"/>
          <w:sz w:val="24"/>
        </w:rPr>
        <w:t xml:space="preserve">乙方应按公开招标文件、投标文件(响应文件)及乙方在投标过程中做出的书面说明或承诺提供及时、快速、优质的售后服务。（详见附件三：乙方投标文件售后服务承诺材料） </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73" w:name="_Toc5277"/>
      <w:bookmarkStart w:id="174" w:name="_Toc106018191"/>
      <w:bookmarkStart w:id="175" w:name="_Toc88474532"/>
      <w:bookmarkStart w:id="176" w:name="_Toc79414179"/>
      <w:bookmarkStart w:id="177" w:name="_Toc8586"/>
      <w:r>
        <w:rPr>
          <w:rFonts w:hint="eastAsia" w:ascii="宋体" w:hAnsi="宋体" w:eastAsia="宋体" w:cs="仿宋"/>
          <w:bCs w:val="0"/>
          <w:sz w:val="24"/>
          <w:szCs w:val="24"/>
        </w:rPr>
        <w:t>违约责任</w:t>
      </w:r>
      <w:bookmarkEnd w:id="173"/>
      <w:bookmarkEnd w:id="174"/>
      <w:bookmarkEnd w:id="175"/>
      <w:bookmarkEnd w:id="176"/>
      <w:bookmarkEnd w:id="177"/>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1.除不可抗力外，如果乙方没有按照本合同约定的期限、地点和方式履行相关合同义务，甲方可要求乙方支付违约金，每迟延履行一日按本合同总价款的</w:t>
      </w:r>
      <w:r>
        <w:rPr>
          <w:rFonts w:hint="eastAsia" w:ascii="宋体" w:hAnsi="宋体" w:cs="仿宋"/>
          <w:kern w:val="0"/>
          <w:sz w:val="24"/>
          <w:u w:val="single"/>
        </w:rPr>
        <w:t xml:space="preserve"> 0.1 </w:t>
      </w:r>
      <w:r>
        <w:rPr>
          <w:rFonts w:hint="eastAsia" w:ascii="宋体" w:hAnsi="宋体" w:cs="仿宋"/>
          <w:kern w:val="0"/>
          <w:sz w:val="24"/>
        </w:rPr>
        <w:t>%计算违约金，最高限额为本合同总价的</w:t>
      </w:r>
      <w:r>
        <w:rPr>
          <w:rFonts w:hint="eastAsia" w:ascii="宋体" w:hAnsi="宋体" w:cs="仿宋"/>
          <w:kern w:val="0"/>
          <w:sz w:val="24"/>
          <w:u w:val="single"/>
        </w:rPr>
        <w:t>10</w:t>
      </w:r>
      <w:r>
        <w:rPr>
          <w:rFonts w:hint="eastAsia" w:ascii="宋体" w:hAnsi="宋体" w:cs="仿宋"/>
          <w:kern w:val="0"/>
          <w:sz w:val="24"/>
        </w:rPr>
        <w:t xml:space="preserve"> %；违约金计算数额达到前述最高限额之日起，甲方有权在要求乙方支付违约金的同时，书面通知乙方解除本合同，合同解除后三日内乙方应全额退还甲方已付款项；</w:t>
      </w:r>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2.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4.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5.如果出现政府采购监督管理部门在处理投诉事项期间，书面通知甲方暂停采购活动的情形，或者询问或质疑事项可能影响中标结果的，导致甲方中止履行合同的情形，均不视为甲方违约；</w:t>
      </w:r>
    </w:p>
    <w:p>
      <w:pPr>
        <w:adjustRightInd w:val="0"/>
        <w:snapToGrid w:val="0"/>
        <w:spacing w:line="360" w:lineRule="auto"/>
        <w:ind w:firstLine="480" w:firstLineChars="200"/>
        <w:jc w:val="left"/>
        <w:rPr>
          <w:rFonts w:hint="eastAsia" w:ascii="宋体" w:hAnsi="宋体" w:cs="仿宋"/>
          <w:kern w:val="0"/>
          <w:sz w:val="24"/>
        </w:rPr>
      </w:pPr>
      <w:bookmarkStart w:id="178" w:name="_Hlk62024834"/>
      <w:r>
        <w:rPr>
          <w:rFonts w:hint="eastAsia" w:ascii="宋体" w:hAnsi="宋体" w:cs="仿宋"/>
          <w:kern w:val="0"/>
          <w:sz w:val="24"/>
        </w:rPr>
        <w:t>6.如国家政策或消防救援队伍政策、规定或其他具体情况发生变化时，甲方有权终止履行合同，均不视为甲方违约。</w:t>
      </w:r>
    </w:p>
    <w:p>
      <w:pPr>
        <w:pStyle w:val="2"/>
        <w:spacing w:line="360" w:lineRule="auto"/>
        <w:rPr>
          <w:rFonts w:hint="default" w:ascii="宋体" w:hAnsi="宋体" w:eastAsia="宋体" w:cs="仿宋"/>
          <w:kern w:val="0"/>
          <w:sz w:val="24"/>
          <w:szCs w:val="24"/>
          <w:lang w:val="en-US" w:eastAsia="zh-CN" w:bidi="ar-SA"/>
        </w:rPr>
      </w:pPr>
      <w:r>
        <w:rPr>
          <w:rFonts w:hint="eastAsia" w:ascii="宋体" w:hAnsi="宋体" w:eastAsia="宋体" w:cs="仿宋"/>
          <w:kern w:val="0"/>
          <w:sz w:val="24"/>
          <w:szCs w:val="24"/>
          <w:lang w:val="en-US" w:eastAsia="zh-CN" w:bidi="ar-SA"/>
        </w:rPr>
        <w:t>7.如乙方因其自身原因单方通知甲方解除本合同，或乙方明确表示不再履行本合同，或乙方的行为致使甲方无法实现本合同目的的，甲方有权解除或终止本合同，但乙方应向甲方返还甲方已支付的款项，并向甲方支付合同价款30%的违约金</w:t>
      </w:r>
      <w:r>
        <w:rPr>
          <w:rFonts w:hint="eastAsia" w:ascii="宋体" w:hAnsi="宋体" w:cs="仿宋"/>
          <w:kern w:val="0"/>
          <w:sz w:val="24"/>
          <w:szCs w:val="24"/>
          <w:lang w:val="en-US" w:eastAsia="zh-CN" w:bidi="ar-SA"/>
        </w:rPr>
        <w:t>。</w:t>
      </w:r>
    </w:p>
    <w:bookmarkEnd w:id="178"/>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79" w:name="_Toc106018192"/>
      <w:bookmarkStart w:id="180" w:name="_Toc79414180"/>
      <w:bookmarkStart w:id="181" w:name="_Toc88474533"/>
      <w:bookmarkStart w:id="182" w:name="_Toc19897"/>
      <w:r>
        <w:rPr>
          <w:rFonts w:hint="eastAsia" w:ascii="宋体" w:hAnsi="宋体" w:eastAsia="宋体" w:cs="仿宋"/>
          <w:bCs w:val="0"/>
          <w:sz w:val="24"/>
          <w:szCs w:val="24"/>
        </w:rPr>
        <w:t>合同争议的解决</w:t>
      </w:r>
      <w:bookmarkEnd w:id="179"/>
      <w:bookmarkEnd w:id="180"/>
      <w:bookmarkEnd w:id="181"/>
      <w:bookmarkEnd w:id="182"/>
    </w:p>
    <w:p>
      <w:pPr>
        <w:adjustRightInd w:val="0"/>
        <w:snapToGrid w:val="0"/>
        <w:spacing w:line="360" w:lineRule="auto"/>
        <w:ind w:firstLine="480" w:firstLineChars="200"/>
        <w:jc w:val="left"/>
        <w:rPr>
          <w:rFonts w:ascii="宋体" w:hAnsi="宋体" w:cs="仿宋"/>
          <w:kern w:val="0"/>
          <w:sz w:val="24"/>
        </w:rPr>
      </w:pPr>
      <w:r>
        <w:rPr>
          <w:rFonts w:hint="eastAsia" w:ascii="宋体" w:hAnsi="宋体" w:cs="仿宋"/>
          <w:kern w:val="0"/>
          <w:sz w:val="24"/>
        </w:rPr>
        <w:t>本合同履行过程中发生的任何争议，双方当事人均可通过和解或者调解解决；不愿和解、调解或者和解、调解不成的，向甲方住所地的人民法院起诉。</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83" w:name="_Toc22540"/>
      <w:bookmarkStart w:id="184" w:name="_Toc106018193"/>
      <w:bookmarkStart w:id="185" w:name="_Toc88474534"/>
      <w:bookmarkStart w:id="186" w:name="_Toc79414181"/>
      <w:r>
        <w:rPr>
          <w:rFonts w:hint="eastAsia" w:ascii="宋体" w:hAnsi="宋体" w:eastAsia="宋体" w:cs="仿宋"/>
          <w:bCs w:val="0"/>
          <w:sz w:val="24"/>
          <w:szCs w:val="24"/>
        </w:rPr>
        <w:t>合同生效</w:t>
      </w:r>
      <w:bookmarkEnd w:id="183"/>
      <w:bookmarkEnd w:id="184"/>
      <w:bookmarkEnd w:id="185"/>
      <w:bookmarkEnd w:id="186"/>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本合同经甲乙双方签字盖章之日起生效。</w:t>
      </w:r>
    </w:p>
    <w:p>
      <w:pPr>
        <w:pStyle w:val="4"/>
        <w:numPr>
          <w:ilvl w:val="0"/>
          <w:numId w:val="6"/>
        </w:numPr>
        <w:adjustRightInd w:val="0"/>
        <w:snapToGrid w:val="0"/>
        <w:spacing w:before="0" w:after="0" w:line="360" w:lineRule="auto"/>
        <w:ind w:left="0" w:firstLine="482" w:firstLineChars="200"/>
        <w:jc w:val="left"/>
        <w:rPr>
          <w:rFonts w:ascii="宋体" w:hAnsi="宋体" w:eastAsia="宋体" w:cs="仿宋"/>
          <w:bCs w:val="0"/>
          <w:sz w:val="24"/>
          <w:szCs w:val="24"/>
        </w:rPr>
      </w:pPr>
      <w:bookmarkStart w:id="187" w:name="_Toc88474535"/>
      <w:bookmarkStart w:id="188" w:name="_Toc106018194"/>
      <w:bookmarkStart w:id="189" w:name="_Toc28368"/>
      <w:bookmarkStart w:id="190" w:name="_Toc79414182"/>
      <w:r>
        <w:rPr>
          <w:rFonts w:hint="eastAsia" w:ascii="宋体" w:hAnsi="宋体" w:eastAsia="宋体" w:cs="仿宋"/>
          <w:bCs w:val="0"/>
          <w:sz w:val="24"/>
          <w:szCs w:val="24"/>
        </w:rPr>
        <w:t>合同保存</w:t>
      </w:r>
      <w:bookmarkEnd w:id="187"/>
      <w:bookmarkEnd w:id="188"/>
      <w:bookmarkEnd w:id="189"/>
      <w:bookmarkEnd w:id="190"/>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 xml:space="preserve">本合同一式 </w:t>
      </w:r>
      <w:r>
        <w:rPr>
          <w:rFonts w:hint="eastAsia" w:ascii="宋体" w:hAnsi="宋体" w:cs="仿宋"/>
          <w:sz w:val="24"/>
          <w:u w:val="single"/>
        </w:rPr>
        <w:t xml:space="preserve">     </w:t>
      </w:r>
      <w:r>
        <w:rPr>
          <w:rFonts w:hint="eastAsia" w:ascii="宋体" w:hAnsi="宋体" w:cs="仿宋"/>
          <w:sz w:val="24"/>
        </w:rPr>
        <w:t>份，甲方</w:t>
      </w:r>
      <w:r>
        <w:rPr>
          <w:rFonts w:hint="eastAsia" w:ascii="宋体" w:hAnsi="宋体" w:cs="仿宋"/>
          <w:sz w:val="24"/>
          <w:u w:val="single"/>
        </w:rPr>
        <w:t xml:space="preserve">     </w:t>
      </w:r>
      <w:r>
        <w:rPr>
          <w:rFonts w:hint="eastAsia" w:ascii="宋体" w:hAnsi="宋体" w:cs="仿宋"/>
          <w:sz w:val="24"/>
        </w:rPr>
        <w:t>份，乙方</w:t>
      </w:r>
      <w:r>
        <w:rPr>
          <w:rFonts w:hint="eastAsia" w:ascii="宋体" w:hAnsi="宋体" w:cs="仿宋"/>
          <w:sz w:val="24"/>
          <w:u w:val="single"/>
        </w:rPr>
        <w:t xml:space="preserve">     </w:t>
      </w:r>
      <w:r>
        <w:rPr>
          <w:rFonts w:hint="eastAsia" w:ascii="宋体" w:hAnsi="宋体" w:cs="仿宋"/>
          <w:sz w:val="24"/>
        </w:rPr>
        <w:t>份，采购代理机构</w:t>
      </w:r>
      <w:r>
        <w:rPr>
          <w:rFonts w:hint="eastAsia" w:ascii="宋体" w:hAnsi="宋体" w:cs="仿宋"/>
          <w:sz w:val="24"/>
          <w:u w:val="single"/>
        </w:rPr>
        <w:t xml:space="preserve">      </w:t>
      </w:r>
      <w:r>
        <w:rPr>
          <w:rFonts w:hint="eastAsia" w:ascii="宋体" w:hAnsi="宋体" w:cs="仿宋"/>
          <w:sz w:val="24"/>
        </w:rPr>
        <w:t>份。</w:t>
      </w:r>
    </w:p>
    <w:p>
      <w:pPr>
        <w:adjustRightInd w:val="0"/>
        <w:snapToGrid w:val="0"/>
        <w:spacing w:line="360" w:lineRule="auto"/>
        <w:ind w:firstLine="480" w:firstLineChars="200"/>
        <w:jc w:val="left"/>
        <w:rPr>
          <w:rFonts w:ascii="宋体" w:hAnsi="宋体" w:cs="楷体_GB2312"/>
          <w:sz w:val="24"/>
        </w:rPr>
      </w:pP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甲方</w:t>
      </w:r>
      <w:r>
        <w:rPr>
          <w:rFonts w:hint="eastAsia" w:ascii="宋体" w:hAnsi="宋体" w:cs="仿宋"/>
          <w:b/>
          <w:sz w:val="24"/>
        </w:rPr>
        <w:t>：</w:t>
      </w:r>
      <w:r>
        <w:rPr>
          <w:rFonts w:hint="eastAsia" w:ascii="宋体" w:hAnsi="宋体" w:cs="仿宋"/>
          <w:sz w:val="24"/>
        </w:rPr>
        <w:t xml:space="preserve">                                  乙方：</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单位名称(公章)：                        单位名称(公章)：</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地址：                                  地址：</w:t>
      </w:r>
    </w:p>
    <w:p>
      <w:pPr>
        <w:adjustRightInd w:val="0"/>
        <w:snapToGrid w:val="0"/>
        <w:spacing w:line="360" w:lineRule="auto"/>
        <w:ind w:firstLine="480" w:firstLineChars="200"/>
        <w:jc w:val="left"/>
        <w:rPr>
          <w:rFonts w:ascii="宋体" w:hAnsi="宋体" w:cs="仿宋"/>
          <w:sz w:val="24"/>
        </w:rPr>
      </w:pPr>
      <w:r>
        <w:rPr>
          <w:rFonts w:hint="eastAsia" w:ascii="宋体" w:hAnsi="宋体" w:cs="仿宋"/>
          <w:sz w:val="24"/>
        </w:rPr>
        <w:t>法定代表人或授权代理人：（签字或盖章）  法定代表人或授权代理人：（签字或盖章）</w:t>
      </w:r>
    </w:p>
    <w:p>
      <w:pPr>
        <w:pStyle w:val="334"/>
        <w:adjustRightInd w:val="0"/>
        <w:snapToGrid w:val="0"/>
        <w:spacing w:line="360" w:lineRule="auto"/>
        <w:ind w:firstLine="480"/>
        <w:rPr>
          <w:rFonts w:ascii="宋体" w:hAnsi="宋体" w:cs="宋体"/>
          <w:sz w:val="28"/>
          <w:szCs w:val="28"/>
        </w:rPr>
      </w:pPr>
      <w:r>
        <w:rPr>
          <w:rFonts w:hint="eastAsia" w:ascii="宋体" w:hAnsi="宋体" w:cs="仿宋"/>
        </w:rPr>
        <w:t>签订日期：                              签订日期：</w:t>
      </w:r>
    </w:p>
    <w:p/>
    <w:p/>
    <w:p/>
    <w:p>
      <w:pPr>
        <w:rPr>
          <w:rFonts w:asciiTheme="minorEastAsia" w:hAnsiTheme="minorEastAsia" w:eastAsiaTheme="minorEastAsia"/>
          <w:sz w:val="32"/>
        </w:rPr>
      </w:pPr>
      <w:r>
        <w:rPr>
          <w:rFonts w:hint="eastAsia" w:asciiTheme="minorEastAsia" w:hAnsiTheme="minorEastAsia" w:eastAsiaTheme="minorEastAsia"/>
          <w:sz w:val="32"/>
        </w:rPr>
        <w:br w:type="page"/>
      </w:r>
    </w:p>
    <w:p>
      <w:pPr>
        <w:pStyle w:val="3"/>
        <w:spacing w:before="120" w:after="120" w:line="360" w:lineRule="auto"/>
        <w:jc w:val="center"/>
        <w:rPr>
          <w:rFonts w:asciiTheme="minorEastAsia" w:hAnsiTheme="minorEastAsia" w:eastAsiaTheme="minorEastAsia"/>
          <w:kern w:val="2"/>
          <w:sz w:val="32"/>
        </w:rPr>
      </w:pPr>
      <w:bookmarkStart w:id="191" w:name="_Toc17722"/>
      <w:r>
        <w:rPr>
          <w:rFonts w:hint="eastAsia" w:asciiTheme="minorEastAsia" w:hAnsiTheme="minorEastAsia" w:eastAsiaTheme="minorEastAsia"/>
          <w:kern w:val="2"/>
          <w:sz w:val="32"/>
        </w:rPr>
        <w:t>第六章</w:t>
      </w:r>
      <w:r>
        <w:rPr>
          <w:rFonts w:asciiTheme="minorEastAsia" w:hAnsiTheme="minorEastAsia" w:eastAsiaTheme="minorEastAsia"/>
          <w:kern w:val="2"/>
          <w:sz w:val="32"/>
        </w:rPr>
        <w:t xml:space="preserve">   </w:t>
      </w:r>
      <w:r>
        <w:rPr>
          <w:rFonts w:hint="eastAsia" w:asciiTheme="minorEastAsia" w:hAnsiTheme="minorEastAsia" w:eastAsiaTheme="minorEastAsia"/>
          <w:kern w:val="2"/>
          <w:sz w:val="32"/>
        </w:rPr>
        <w:t>投标文件格式</w:t>
      </w:r>
      <w:bookmarkEnd w:id="191"/>
    </w:p>
    <w:p>
      <w:pPr>
        <w:spacing w:line="480" w:lineRule="auto"/>
        <w:jc w:val="center"/>
        <w:rPr>
          <w:rFonts w:asciiTheme="minorEastAsia" w:hAnsiTheme="minorEastAsia" w:eastAsiaTheme="minorEastAsia"/>
          <w:sz w:val="30"/>
          <w:szCs w:val="30"/>
        </w:rPr>
      </w:pPr>
      <w:r>
        <w:rPr>
          <w:rFonts w:hint="eastAsia" w:asciiTheme="minorEastAsia" w:hAnsiTheme="minorEastAsia" w:eastAsiaTheme="minorEastAsia"/>
          <w:b/>
          <w:sz w:val="30"/>
          <w:szCs w:val="30"/>
        </w:rPr>
        <w:t>投标文件封面格式</w:t>
      </w:r>
    </w:p>
    <w:p>
      <w:pPr>
        <w:pBdr>
          <w:top w:val="single" w:color="auto" w:sz="4" w:space="1"/>
          <w:left w:val="single" w:color="auto" w:sz="4" w:space="4"/>
          <w:bottom w:val="single" w:color="auto" w:sz="4" w:space="31"/>
          <w:right w:val="single" w:color="auto" w:sz="4" w:space="4"/>
        </w:pBdr>
        <w:spacing w:line="480" w:lineRule="auto"/>
        <w:jc w:val="right"/>
        <w:rPr>
          <w:rFonts w:asciiTheme="minorEastAsia" w:hAnsiTheme="minorEastAsia" w:eastAsiaTheme="minorEastAsia"/>
          <w:b/>
          <w:sz w:val="32"/>
          <w:szCs w:val="30"/>
        </w:rPr>
      </w:pPr>
    </w:p>
    <w:p>
      <w:pPr>
        <w:pBdr>
          <w:top w:val="single" w:color="auto" w:sz="4" w:space="1"/>
          <w:left w:val="single" w:color="auto" w:sz="4" w:space="4"/>
          <w:bottom w:val="single" w:color="auto" w:sz="4" w:space="31"/>
          <w:right w:val="single" w:color="auto" w:sz="4" w:space="4"/>
        </w:pBdr>
        <w:wordWrap w:val="0"/>
        <w:spacing w:line="480" w:lineRule="auto"/>
        <w:jc w:val="right"/>
        <w:rPr>
          <w:rFonts w:asciiTheme="minorEastAsia" w:hAnsiTheme="minorEastAsia" w:eastAsiaTheme="minorEastAsia"/>
          <w:b/>
          <w:sz w:val="32"/>
          <w:szCs w:val="30"/>
        </w:rPr>
      </w:pPr>
      <w:r>
        <w:rPr>
          <w:rFonts w:hint="eastAsia" w:asciiTheme="minorEastAsia" w:hAnsiTheme="minorEastAsia" w:eastAsiaTheme="minorEastAsia"/>
          <w:b/>
          <w:sz w:val="32"/>
          <w:szCs w:val="30"/>
        </w:rPr>
        <w:t xml:space="preserve">（正/副本）    </w:t>
      </w:r>
    </w:p>
    <w:p>
      <w:pPr>
        <w:pBdr>
          <w:top w:val="single" w:color="auto" w:sz="4" w:space="1"/>
          <w:left w:val="single" w:color="auto" w:sz="4" w:space="4"/>
          <w:bottom w:val="single" w:color="auto" w:sz="4" w:space="31"/>
          <w:right w:val="single" w:color="auto" w:sz="4" w:space="4"/>
        </w:pBdr>
        <w:jc w:val="center"/>
        <w:rPr>
          <w:rFonts w:asciiTheme="minorEastAsia" w:hAnsiTheme="minorEastAsia" w:eastAsiaTheme="minorEastAsia"/>
          <w:b/>
          <w:sz w:val="28"/>
          <w:szCs w:val="30"/>
        </w:rPr>
      </w:pPr>
      <w:r>
        <w:rPr>
          <w:rFonts w:hint="eastAsia" w:asciiTheme="minorEastAsia" w:hAnsiTheme="minorEastAsia" w:eastAsiaTheme="minorEastAsia"/>
          <w:b/>
          <w:sz w:val="28"/>
          <w:szCs w:val="30"/>
        </w:rPr>
        <w:t xml:space="preserve">                                         </w:t>
      </w:r>
    </w:p>
    <w:p>
      <w:pPr>
        <w:pBdr>
          <w:top w:val="single" w:color="auto" w:sz="4" w:space="1"/>
          <w:left w:val="single" w:color="auto" w:sz="4" w:space="4"/>
          <w:bottom w:val="single" w:color="auto" w:sz="4" w:space="31"/>
          <w:right w:val="single" w:color="auto" w:sz="4" w:space="4"/>
        </w:pBdr>
        <w:spacing w:line="480" w:lineRule="auto"/>
        <w:ind w:firstLine="1720" w:firstLineChars="612"/>
        <w:rPr>
          <w:rFonts w:asciiTheme="minorEastAsia" w:hAnsiTheme="minorEastAsia" w:eastAsiaTheme="minorEastAsia"/>
          <w:b/>
          <w:sz w:val="28"/>
          <w:szCs w:val="30"/>
          <w:u w:val="single"/>
        </w:rPr>
      </w:pPr>
      <w:r>
        <w:rPr>
          <w:rFonts w:hint="eastAsia" w:asciiTheme="minorEastAsia" w:hAnsiTheme="minorEastAsia" w:eastAsiaTheme="minorEastAsia"/>
          <w:b/>
          <w:sz w:val="28"/>
          <w:szCs w:val="30"/>
        </w:rPr>
        <w:t>项目编号：</w:t>
      </w:r>
      <w:r>
        <w:rPr>
          <w:rFonts w:hint="eastAsia" w:asciiTheme="minorEastAsia" w:hAnsiTheme="minorEastAsia" w:eastAsiaTheme="minorEastAsia"/>
          <w:b/>
          <w:sz w:val="28"/>
          <w:szCs w:val="30"/>
          <w:u w:val="single"/>
        </w:rPr>
        <w:t>_</w:t>
      </w:r>
      <w:r>
        <w:rPr>
          <w:rFonts w:hint="eastAsia" w:asciiTheme="minorEastAsia" w:hAnsiTheme="minorEastAsia" w:eastAsiaTheme="minorEastAsia"/>
          <w:b/>
          <w:sz w:val="28"/>
          <w:szCs w:val="30"/>
        </w:rPr>
        <w:t>__</w:t>
      </w:r>
      <w:r>
        <w:rPr>
          <w:rFonts w:hint="eastAsia" w:asciiTheme="minorEastAsia" w:hAnsiTheme="minorEastAsia" w:eastAsiaTheme="minorEastAsia"/>
          <w:b/>
          <w:sz w:val="28"/>
          <w:szCs w:val="30"/>
          <w:u w:val="single"/>
        </w:rPr>
        <w:t xml:space="preserve">__  _              </w:t>
      </w:r>
      <w:r>
        <w:rPr>
          <w:rFonts w:hint="eastAsia" w:asciiTheme="minorEastAsia" w:hAnsiTheme="minorEastAsia" w:eastAsiaTheme="minorEastAsia"/>
          <w:b/>
          <w:sz w:val="28"/>
          <w:szCs w:val="30"/>
        </w:rPr>
        <w:t>__</w:t>
      </w:r>
    </w:p>
    <w:p>
      <w:pPr>
        <w:pBdr>
          <w:top w:val="single" w:color="auto" w:sz="4" w:space="1"/>
          <w:left w:val="single" w:color="auto" w:sz="4" w:space="4"/>
          <w:bottom w:val="single" w:color="auto" w:sz="4" w:space="31"/>
          <w:right w:val="single" w:color="auto" w:sz="4" w:space="4"/>
        </w:pBdr>
        <w:ind w:firstLine="1720" w:firstLineChars="612"/>
        <w:jc w:val="left"/>
        <w:rPr>
          <w:rFonts w:asciiTheme="minorEastAsia" w:hAnsiTheme="minorEastAsia" w:eastAsiaTheme="minorEastAsia"/>
          <w:sz w:val="28"/>
          <w:szCs w:val="30"/>
          <w:u w:val="single"/>
        </w:rPr>
      </w:pPr>
      <w:r>
        <w:rPr>
          <w:rFonts w:hint="eastAsia" w:asciiTheme="minorEastAsia" w:hAnsiTheme="minorEastAsia" w:eastAsiaTheme="minorEastAsia"/>
          <w:b/>
          <w:sz w:val="28"/>
          <w:szCs w:val="30"/>
        </w:rPr>
        <w:t>项目名称：</w:t>
      </w:r>
      <w:r>
        <w:rPr>
          <w:rFonts w:hint="eastAsia" w:asciiTheme="minorEastAsia" w:hAnsiTheme="minorEastAsia" w:eastAsiaTheme="minorEastAsia"/>
          <w:b/>
          <w:sz w:val="28"/>
          <w:szCs w:val="30"/>
          <w:u w:val="single"/>
        </w:rPr>
        <w:t>_</w:t>
      </w:r>
      <w:r>
        <w:rPr>
          <w:rFonts w:hint="eastAsia" w:asciiTheme="minorEastAsia" w:hAnsiTheme="minorEastAsia" w:eastAsiaTheme="minorEastAsia"/>
          <w:b/>
          <w:sz w:val="28"/>
          <w:szCs w:val="30"/>
        </w:rPr>
        <w:t>__</w:t>
      </w:r>
      <w:r>
        <w:rPr>
          <w:rFonts w:hint="eastAsia" w:asciiTheme="minorEastAsia" w:hAnsiTheme="minorEastAsia" w:eastAsiaTheme="minorEastAsia"/>
          <w:b/>
          <w:sz w:val="28"/>
          <w:szCs w:val="30"/>
          <w:u w:val="single"/>
        </w:rPr>
        <w:t xml:space="preserve">__  _            </w:t>
      </w:r>
      <w:r>
        <w:rPr>
          <w:rFonts w:hint="eastAsia" w:asciiTheme="minorEastAsia" w:hAnsiTheme="minorEastAsia" w:eastAsiaTheme="minorEastAsia"/>
          <w:b/>
          <w:sz w:val="28"/>
          <w:szCs w:val="30"/>
        </w:rPr>
        <w:t>__</w:t>
      </w:r>
      <w:r>
        <w:rPr>
          <w:rFonts w:hint="eastAsia" w:asciiTheme="minorEastAsia" w:hAnsiTheme="minorEastAsia" w:eastAsiaTheme="minorEastAsia"/>
          <w:b/>
          <w:sz w:val="28"/>
          <w:szCs w:val="30"/>
          <w:u w:val="single"/>
        </w:rPr>
        <w:br w:type="textWrapping"/>
      </w:r>
      <w:r>
        <w:rPr>
          <w:rFonts w:hint="eastAsia" w:asciiTheme="minorEastAsia" w:hAnsiTheme="minorEastAsia" w:eastAsiaTheme="minorEastAsia"/>
          <w:sz w:val="28"/>
          <w:szCs w:val="30"/>
          <w:u w:val="single"/>
        </w:rPr>
        <w:t xml:space="preserve">   </w:t>
      </w:r>
    </w:p>
    <w:p>
      <w:pPr>
        <w:pBdr>
          <w:top w:val="single" w:color="auto" w:sz="4" w:space="1"/>
          <w:left w:val="single" w:color="auto" w:sz="4" w:space="4"/>
          <w:bottom w:val="single" w:color="auto" w:sz="4" w:space="31"/>
          <w:right w:val="single" w:color="auto" w:sz="4" w:space="4"/>
        </w:pBdr>
        <w:spacing w:line="480" w:lineRule="auto"/>
        <w:ind w:firstLine="1720" w:firstLineChars="612"/>
        <w:rPr>
          <w:rFonts w:asciiTheme="minorEastAsia" w:hAnsiTheme="minorEastAsia" w:eastAsiaTheme="minorEastAsia"/>
          <w:b/>
          <w:sz w:val="28"/>
          <w:szCs w:val="30"/>
          <w:u w:val="single"/>
        </w:rPr>
      </w:pPr>
      <w:r>
        <w:rPr>
          <w:rFonts w:hint="eastAsia" w:asciiTheme="minorEastAsia" w:hAnsiTheme="minorEastAsia" w:eastAsiaTheme="minorEastAsia"/>
          <w:b/>
          <w:sz w:val="28"/>
          <w:szCs w:val="30"/>
        </w:rPr>
        <w:t>包    号：</w:t>
      </w:r>
      <w:r>
        <w:rPr>
          <w:rFonts w:hint="eastAsia" w:asciiTheme="minorEastAsia" w:hAnsiTheme="minorEastAsia" w:eastAsiaTheme="minorEastAsia"/>
          <w:b/>
          <w:sz w:val="28"/>
          <w:szCs w:val="30"/>
          <w:u w:val="single"/>
        </w:rPr>
        <w:t>_</w:t>
      </w:r>
      <w:r>
        <w:rPr>
          <w:rFonts w:hint="eastAsia" w:asciiTheme="minorEastAsia" w:hAnsiTheme="minorEastAsia" w:eastAsiaTheme="minorEastAsia"/>
          <w:b/>
          <w:sz w:val="28"/>
          <w:szCs w:val="30"/>
        </w:rPr>
        <w:t>__</w:t>
      </w:r>
      <w:r>
        <w:rPr>
          <w:rFonts w:hint="eastAsia" w:asciiTheme="minorEastAsia" w:hAnsiTheme="minorEastAsia" w:eastAsiaTheme="minorEastAsia"/>
          <w:b/>
          <w:sz w:val="28"/>
          <w:szCs w:val="30"/>
          <w:u w:val="single"/>
        </w:rPr>
        <w:t xml:space="preserve">__  _            </w:t>
      </w:r>
      <w:r>
        <w:rPr>
          <w:rFonts w:hint="eastAsia" w:asciiTheme="minorEastAsia" w:hAnsiTheme="minorEastAsia" w:eastAsiaTheme="minorEastAsia"/>
          <w:b/>
          <w:sz w:val="28"/>
          <w:szCs w:val="30"/>
        </w:rPr>
        <w:t>__</w:t>
      </w:r>
      <w:r>
        <w:rPr>
          <w:rFonts w:hint="eastAsia" w:asciiTheme="minorEastAsia" w:hAnsiTheme="minorEastAsia" w:eastAsiaTheme="minorEastAsia"/>
          <w:b/>
          <w:sz w:val="28"/>
          <w:szCs w:val="30"/>
          <w:u w:val="single"/>
        </w:rPr>
        <w:t xml:space="preserve"> </w:t>
      </w:r>
      <w:r>
        <w:rPr>
          <w:rFonts w:asciiTheme="minorEastAsia" w:hAnsiTheme="minorEastAsia" w:eastAsiaTheme="minorEastAsia"/>
          <w:b/>
          <w:sz w:val="28"/>
          <w:szCs w:val="30"/>
          <w:u w:val="single"/>
        </w:rPr>
        <w:t xml:space="preserve"> </w:t>
      </w:r>
      <w:r>
        <w:rPr>
          <w:rFonts w:hint="eastAsia" w:asciiTheme="minorEastAsia" w:hAnsiTheme="minorEastAsia" w:eastAsiaTheme="minorEastAsia"/>
          <w:b/>
          <w:sz w:val="28"/>
          <w:szCs w:val="30"/>
          <w:u w:val="single"/>
        </w:rPr>
        <w:t xml:space="preserve">        </w:t>
      </w:r>
    </w:p>
    <w:p>
      <w:pPr>
        <w:pBdr>
          <w:top w:val="single" w:color="auto" w:sz="4" w:space="1"/>
          <w:left w:val="single" w:color="auto" w:sz="4" w:space="4"/>
          <w:bottom w:val="single" w:color="auto" w:sz="4" w:space="31"/>
          <w:right w:val="single" w:color="auto" w:sz="4" w:space="4"/>
        </w:pBdr>
        <w:spacing w:line="440" w:lineRule="exact"/>
        <w:jc w:val="center"/>
        <w:rPr>
          <w:rFonts w:asciiTheme="minorEastAsia" w:hAnsiTheme="minorEastAsia" w:eastAsiaTheme="minorEastAsia"/>
          <w:sz w:val="36"/>
          <w:szCs w:val="28"/>
        </w:rPr>
      </w:pPr>
    </w:p>
    <w:p>
      <w:pPr>
        <w:pBdr>
          <w:top w:val="single" w:color="auto" w:sz="4" w:space="1"/>
          <w:left w:val="single" w:color="auto" w:sz="4" w:space="4"/>
          <w:bottom w:val="single" w:color="auto" w:sz="4" w:space="31"/>
          <w:right w:val="single" w:color="auto" w:sz="4" w:space="4"/>
        </w:pBdr>
        <w:spacing w:line="360" w:lineRule="auto"/>
        <w:jc w:val="center"/>
        <w:rPr>
          <w:rFonts w:asciiTheme="minorEastAsia" w:hAnsiTheme="minorEastAsia" w:eastAsiaTheme="minorEastAsia"/>
          <w:b/>
          <w:bCs/>
          <w:sz w:val="72"/>
          <w:szCs w:val="52"/>
        </w:rPr>
      </w:pPr>
      <w:r>
        <w:rPr>
          <w:rFonts w:hint="eastAsia" w:asciiTheme="minorEastAsia" w:hAnsiTheme="minorEastAsia" w:eastAsiaTheme="minorEastAsia"/>
          <w:b/>
          <w:bCs/>
          <w:sz w:val="72"/>
          <w:szCs w:val="52"/>
        </w:rPr>
        <w:t>投 标</w:t>
      </w:r>
      <w:r>
        <w:rPr>
          <w:rFonts w:asciiTheme="minorEastAsia" w:hAnsiTheme="minorEastAsia" w:eastAsiaTheme="minorEastAsia"/>
          <w:b/>
          <w:bCs/>
          <w:sz w:val="72"/>
          <w:szCs w:val="52"/>
        </w:rPr>
        <w:t xml:space="preserve"> 文 件</w:t>
      </w:r>
    </w:p>
    <w:p>
      <w:pPr>
        <w:pBdr>
          <w:top w:val="single" w:color="auto" w:sz="4" w:space="1"/>
          <w:left w:val="single" w:color="auto" w:sz="4" w:space="4"/>
          <w:bottom w:val="single" w:color="auto" w:sz="4" w:space="31"/>
          <w:right w:val="single" w:color="auto" w:sz="4" w:space="4"/>
        </w:pBdr>
        <w:spacing w:line="440" w:lineRule="exact"/>
        <w:rPr>
          <w:rFonts w:asciiTheme="minorEastAsia" w:hAnsiTheme="minorEastAsia" w:eastAsiaTheme="minorEastAsia"/>
          <w:sz w:val="28"/>
          <w:szCs w:val="28"/>
        </w:rPr>
      </w:pPr>
    </w:p>
    <w:p>
      <w:pPr>
        <w:pBdr>
          <w:top w:val="single" w:color="auto" w:sz="4" w:space="1"/>
          <w:left w:val="single" w:color="auto" w:sz="4" w:space="4"/>
          <w:bottom w:val="single" w:color="auto" w:sz="4" w:space="31"/>
          <w:right w:val="single" w:color="auto" w:sz="4" w:space="4"/>
        </w:pBdr>
        <w:spacing w:line="440" w:lineRule="exact"/>
        <w:rPr>
          <w:rFonts w:asciiTheme="minorEastAsia" w:hAnsiTheme="minorEastAsia" w:eastAsiaTheme="minorEastAsia"/>
          <w:sz w:val="28"/>
          <w:szCs w:val="28"/>
        </w:rPr>
      </w:pPr>
    </w:p>
    <w:p>
      <w:pPr>
        <w:pBdr>
          <w:top w:val="single" w:color="auto" w:sz="4" w:space="1"/>
          <w:left w:val="single" w:color="auto" w:sz="4" w:space="4"/>
          <w:bottom w:val="single" w:color="auto" w:sz="4" w:space="31"/>
          <w:right w:val="single" w:color="auto" w:sz="4" w:space="4"/>
        </w:pBdr>
        <w:spacing w:line="440" w:lineRule="exact"/>
        <w:rPr>
          <w:rFonts w:asciiTheme="minorEastAsia" w:hAnsiTheme="minorEastAsia" w:eastAsiaTheme="minorEastAsia"/>
          <w:sz w:val="28"/>
          <w:szCs w:val="28"/>
        </w:rPr>
      </w:pPr>
    </w:p>
    <w:p>
      <w:pPr>
        <w:pBdr>
          <w:top w:val="single" w:color="auto" w:sz="4" w:space="1"/>
          <w:left w:val="single" w:color="auto" w:sz="4" w:space="4"/>
          <w:bottom w:val="single" w:color="auto" w:sz="4" w:space="31"/>
          <w:right w:val="single" w:color="auto" w:sz="4" w:space="4"/>
        </w:pBdr>
        <w:spacing w:line="440" w:lineRule="exact"/>
        <w:rPr>
          <w:rFonts w:asciiTheme="minorEastAsia" w:hAnsiTheme="minorEastAsia" w:eastAsiaTheme="minorEastAsia"/>
          <w:sz w:val="28"/>
          <w:szCs w:val="28"/>
        </w:rPr>
      </w:pPr>
    </w:p>
    <w:p>
      <w:pPr>
        <w:pBdr>
          <w:top w:val="single" w:color="auto" w:sz="4" w:space="1"/>
          <w:left w:val="single" w:color="auto" w:sz="4" w:space="4"/>
          <w:bottom w:val="single" w:color="auto" w:sz="4" w:space="31"/>
          <w:right w:val="single" w:color="auto" w:sz="4" w:space="4"/>
        </w:pBdr>
        <w:spacing w:line="440" w:lineRule="exact"/>
        <w:rPr>
          <w:rFonts w:asciiTheme="minorEastAsia" w:hAnsiTheme="minorEastAsia" w:eastAsiaTheme="minorEastAsia"/>
          <w:sz w:val="28"/>
          <w:szCs w:val="28"/>
        </w:rPr>
      </w:pPr>
    </w:p>
    <w:p>
      <w:pPr>
        <w:pBdr>
          <w:top w:val="single" w:color="auto" w:sz="4" w:space="1"/>
          <w:left w:val="single" w:color="auto" w:sz="4" w:space="4"/>
          <w:bottom w:val="single" w:color="auto" w:sz="4" w:space="31"/>
          <w:right w:val="single" w:color="auto" w:sz="4" w:space="4"/>
        </w:pBdr>
        <w:spacing w:line="360" w:lineRule="auto"/>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供应商：</w:t>
      </w:r>
      <w:r>
        <w:rPr>
          <w:rFonts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u w:val="single"/>
        </w:rPr>
        <w:t xml:space="preserve">     </w:t>
      </w:r>
      <w:r>
        <w:rPr>
          <w:rFonts w:asciiTheme="minorEastAsia" w:hAnsiTheme="minorEastAsia" w:eastAsiaTheme="minorEastAsia"/>
          <w:sz w:val="28"/>
          <w:szCs w:val="28"/>
        </w:rPr>
        <w:t>(盖单位章)</w:t>
      </w:r>
    </w:p>
    <w:p>
      <w:pPr>
        <w:pBdr>
          <w:top w:val="single" w:color="auto" w:sz="4" w:space="1"/>
          <w:left w:val="single" w:color="auto" w:sz="4" w:space="4"/>
          <w:bottom w:val="single" w:color="auto" w:sz="4" w:space="31"/>
          <w:right w:val="single" w:color="auto" w:sz="4" w:space="4"/>
        </w:pBdr>
        <w:spacing w:line="360" w:lineRule="auto"/>
        <w:ind w:firstLine="2130" w:firstLineChars="761"/>
        <w:rPr>
          <w:rFonts w:asciiTheme="minorEastAsia" w:hAnsiTheme="minorEastAsia" w:eastAsiaTheme="minorEastAsia"/>
          <w:sz w:val="28"/>
          <w:szCs w:val="30"/>
        </w:rPr>
      </w:pPr>
      <w:r>
        <w:rPr>
          <w:rFonts w:hint="eastAsia" w:asciiTheme="minorEastAsia" w:hAnsiTheme="minorEastAsia" w:eastAsiaTheme="minorEastAsia"/>
          <w:sz w:val="28"/>
          <w:szCs w:val="30"/>
        </w:rPr>
        <w:t>地  址</w:t>
      </w:r>
      <w:r>
        <w:rPr>
          <w:rFonts w:asciiTheme="minorEastAsia" w:hAnsiTheme="minorEastAsia" w:eastAsiaTheme="minorEastAsia"/>
          <w:sz w:val="28"/>
          <w:szCs w:val="30"/>
        </w:rPr>
        <w:t>：</w:t>
      </w:r>
      <w:r>
        <w:rPr>
          <w:rFonts w:hint="eastAsia" w:asciiTheme="minorEastAsia" w:hAnsiTheme="minorEastAsia" w:eastAsiaTheme="minorEastAsia"/>
          <w:b/>
          <w:sz w:val="30"/>
          <w:szCs w:val="30"/>
          <w:u w:val="single"/>
        </w:rPr>
        <w:t>_</w:t>
      </w:r>
      <w:r>
        <w:rPr>
          <w:rFonts w:hint="eastAsia" w:asciiTheme="minorEastAsia" w:hAnsiTheme="minorEastAsia" w:eastAsiaTheme="minorEastAsia"/>
          <w:b/>
          <w:sz w:val="30"/>
          <w:szCs w:val="30"/>
        </w:rPr>
        <w:t>__</w:t>
      </w:r>
      <w:r>
        <w:rPr>
          <w:rFonts w:hint="eastAsia" w:asciiTheme="minorEastAsia" w:hAnsiTheme="minorEastAsia" w:eastAsiaTheme="minorEastAsia"/>
          <w:b/>
          <w:sz w:val="30"/>
          <w:szCs w:val="30"/>
          <w:u w:val="single"/>
        </w:rPr>
        <w:t xml:space="preserve">__  _            </w:t>
      </w:r>
      <w:r>
        <w:rPr>
          <w:rFonts w:hint="eastAsia" w:asciiTheme="minorEastAsia" w:hAnsiTheme="minorEastAsia" w:eastAsiaTheme="minorEastAsia"/>
          <w:b/>
          <w:sz w:val="30"/>
          <w:szCs w:val="30"/>
        </w:rPr>
        <w:t>_</w:t>
      </w:r>
      <w:r>
        <w:rPr>
          <w:rFonts w:hint="eastAsia" w:asciiTheme="minorEastAsia" w:hAnsiTheme="minorEastAsia" w:eastAsiaTheme="minorEastAsia"/>
          <w:b/>
          <w:sz w:val="30"/>
          <w:szCs w:val="30"/>
          <w:u w:val="single"/>
        </w:rPr>
        <w:t xml:space="preserve">  </w:t>
      </w:r>
      <w:r>
        <w:rPr>
          <w:rFonts w:hint="eastAsia" w:asciiTheme="minorEastAsia" w:hAnsiTheme="minorEastAsia" w:eastAsiaTheme="minorEastAsia"/>
          <w:b/>
          <w:sz w:val="30"/>
          <w:szCs w:val="30"/>
        </w:rPr>
        <w:t>_</w:t>
      </w:r>
      <w:r>
        <w:rPr>
          <w:rFonts w:asciiTheme="minorEastAsia" w:hAnsiTheme="minorEastAsia" w:eastAsiaTheme="minorEastAsia"/>
          <w:sz w:val="28"/>
          <w:szCs w:val="28"/>
          <w:u w:val="single"/>
        </w:rPr>
        <w:t xml:space="preserve"> </w:t>
      </w:r>
    </w:p>
    <w:p>
      <w:pPr>
        <w:pBdr>
          <w:top w:val="single" w:color="auto" w:sz="4" w:space="1"/>
          <w:left w:val="single" w:color="auto" w:sz="4" w:space="4"/>
          <w:bottom w:val="single" w:color="auto" w:sz="4" w:space="31"/>
          <w:right w:val="single" w:color="auto" w:sz="4" w:space="4"/>
        </w:pBdr>
        <w:spacing w:line="360" w:lineRule="auto"/>
        <w:ind w:firstLine="2130" w:firstLineChars="761"/>
        <w:rPr>
          <w:rFonts w:asciiTheme="minorEastAsia" w:hAnsiTheme="minorEastAsia" w:eastAsiaTheme="minorEastAsia"/>
          <w:sz w:val="28"/>
          <w:szCs w:val="30"/>
        </w:rPr>
      </w:pPr>
      <w:r>
        <w:rPr>
          <w:rFonts w:hint="eastAsia" w:asciiTheme="minorEastAsia" w:hAnsiTheme="minorEastAsia" w:eastAsiaTheme="minorEastAsia"/>
          <w:sz w:val="28"/>
          <w:szCs w:val="30"/>
        </w:rPr>
        <w:t>电  话：</w:t>
      </w:r>
      <w:r>
        <w:rPr>
          <w:rFonts w:hint="eastAsia" w:asciiTheme="minorEastAsia" w:hAnsiTheme="minorEastAsia" w:eastAsiaTheme="minorEastAsia"/>
          <w:b/>
          <w:sz w:val="30"/>
          <w:szCs w:val="30"/>
          <w:u w:val="single"/>
        </w:rPr>
        <w:t>_</w:t>
      </w:r>
      <w:r>
        <w:rPr>
          <w:rFonts w:hint="eastAsia" w:asciiTheme="minorEastAsia" w:hAnsiTheme="minorEastAsia" w:eastAsiaTheme="minorEastAsia"/>
          <w:b/>
          <w:sz w:val="30"/>
          <w:szCs w:val="30"/>
        </w:rPr>
        <w:t>__</w:t>
      </w:r>
      <w:r>
        <w:rPr>
          <w:rFonts w:hint="eastAsia" w:asciiTheme="minorEastAsia" w:hAnsiTheme="minorEastAsia" w:eastAsiaTheme="minorEastAsia"/>
          <w:b/>
          <w:sz w:val="30"/>
          <w:szCs w:val="30"/>
          <w:u w:val="single"/>
        </w:rPr>
        <w:t xml:space="preserve">__  _            _  _  </w:t>
      </w:r>
    </w:p>
    <w:p>
      <w:pPr>
        <w:pBdr>
          <w:top w:val="single" w:color="auto" w:sz="4" w:space="1"/>
          <w:left w:val="single" w:color="auto" w:sz="4" w:space="4"/>
          <w:bottom w:val="single" w:color="auto" w:sz="4" w:space="31"/>
          <w:right w:val="single" w:color="auto" w:sz="4" w:space="4"/>
        </w:pBdr>
        <w:jc w:val="center"/>
        <w:rPr>
          <w:rFonts w:asciiTheme="minorEastAsia" w:hAnsiTheme="minorEastAsia" w:eastAsiaTheme="minorEastAsia"/>
          <w:sz w:val="28"/>
          <w:szCs w:val="28"/>
        </w:rPr>
      </w:pPr>
      <w:r>
        <w:rPr>
          <w:rFonts w:asciiTheme="minorEastAsia" w:hAnsiTheme="minorEastAsia" w:eastAsiaTheme="minorEastAsia"/>
          <w:sz w:val="28"/>
          <w:szCs w:val="28"/>
        </w:rPr>
        <w:t>年</w:t>
      </w:r>
      <w:r>
        <w:rPr>
          <w:rFonts w:asciiTheme="minorEastAsia" w:hAnsiTheme="minorEastAsia" w:eastAsiaTheme="minorEastAsia"/>
          <w:sz w:val="28"/>
          <w:szCs w:val="28"/>
          <w:u w:val="single"/>
        </w:rPr>
        <w:t xml:space="preserve">    </w:t>
      </w:r>
      <w:r>
        <w:rPr>
          <w:rFonts w:asciiTheme="minorEastAsia" w:hAnsiTheme="minorEastAsia" w:eastAsiaTheme="minorEastAsia"/>
          <w:sz w:val="28"/>
          <w:szCs w:val="28"/>
        </w:rPr>
        <w:t>月</w:t>
      </w:r>
      <w:r>
        <w:rPr>
          <w:rFonts w:asciiTheme="minorEastAsia" w:hAnsiTheme="minorEastAsia" w:eastAsiaTheme="minorEastAsia"/>
          <w:sz w:val="28"/>
          <w:szCs w:val="28"/>
          <w:u w:val="single"/>
        </w:rPr>
        <w:t xml:space="preserve">    </w:t>
      </w:r>
      <w:r>
        <w:rPr>
          <w:rFonts w:asciiTheme="minorEastAsia" w:hAnsiTheme="minorEastAsia" w:eastAsiaTheme="minorEastAsia"/>
          <w:sz w:val="28"/>
          <w:szCs w:val="28"/>
        </w:rPr>
        <w:t>日</w:t>
      </w:r>
    </w:p>
    <w:p>
      <w:pPr>
        <w:pBdr>
          <w:top w:val="single" w:color="auto" w:sz="4" w:space="1"/>
          <w:left w:val="single" w:color="auto" w:sz="4" w:space="4"/>
          <w:bottom w:val="single" w:color="auto" w:sz="4" w:space="31"/>
          <w:right w:val="single" w:color="auto" w:sz="4" w:space="4"/>
        </w:pBdr>
        <w:jc w:val="center"/>
        <w:rPr>
          <w:rFonts w:asciiTheme="minorEastAsia" w:hAnsiTheme="minorEastAsia" w:eastAsiaTheme="minorEastAsia"/>
          <w:sz w:val="28"/>
          <w:szCs w:val="28"/>
        </w:rPr>
      </w:pPr>
    </w:p>
    <w:p>
      <w:pPr>
        <w:pBdr>
          <w:top w:val="single" w:color="auto" w:sz="4" w:space="1"/>
          <w:left w:val="single" w:color="auto" w:sz="4" w:space="4"/>
          <w:bottom w:val="single" w:color="auto" w:sz="4" w:space="31"/>
          <w:right w:val="single" w:color="auto" w:sz="4" w:space="4"/>
        </w:pBdr>
        <w:jc w:val="center"/>
        <w:rPr>
          <w:rFonts w:asciiTheme="minorEastAsia" w:hAnsiTheme="minorEastAsia" w:eastAsiaTheme="minorEastAsia"/>
        </w:rPr>
      </w:pPr>
    </w:p>
    <w:p>
      <w:pPr>
        <w:pStyle w:val="3"/>
        <w:spacing w:before="0" w:after="0"/>
        <w:jc w:val="left"/>
        <w:rPr>
          <w:rFonts w:asciiTheme="minorEastAsia" w:hAnsiTheme="minorEastAsia" w:eastAsiaTheme="minorEastAsia"/>
          <w:b w:val="0"/>
          <w:bCs w:val="0"/>
          <w:sz w:val="24"/>
          <w:szCs w:val="24"/>
        </w:rPr>
      </w:pPr>
      <w:r>
        <w:rPr>
          <w:rFonts w:asciiTheme="minorEastAsia" w:hAnsiTheme="minorEastAsia" w:eastAsiaTheme="minorEastAsia"/>
          <w:b w:val="0"/>
          <w:bCs w:val="0"/>
          <w:sz w:val="24"/>
          <w:szCs w:val="24"/>
        </w:rPr>
        <w:br w:type="page"/>
      </w:r>
      <w:bookmarkStart w:id="192" w:name="_Toc32268"/>
      <w:r>
        <w:rPr>
          <w:rFonts w:hint="eastAsia" w:asciiTheme="minorEastAsia" w:hAnsiTheme="minorEastAsia" w:eastAsiaTheme="minorEastAsia"/>
          <w:bCs w:val="0"/>
          <w:sz w:val="24"/>
          <w:szCs w:val="24"/>
        </w:rPr>
        <w:t>附件一：投标函</w:t>
      </w:r>
      <w:bookmarkEnd w:id="192"/>
    </w:p>
    <w:p>
      <w:pPr>
        <w:pStyle w:val="2"/>
        <w:spacing w:line="460" w:lineRule="exact"/>
        <w:ind w:firstLine="643"/>
        <w:jc w:val="center"/>
        <w:rPr>
          <w:rFonts w:asciiTheme="minorEastAsia" w:hAnsiTheme="minorEastAsia" w:eastAsiaTheme="minorEastAsia"/>
          <w:b/>
          <w:bCs/>
          <w:kern w:val="2"/>
          <w:sz w:val="32"/>
          <w:szCs w:val="44"/>
        </w:rPr>
      </w:pPr>
      <w:r>
        <w:rPr>
          <w:rFonts w:hint="eastAsia" w:asciiTheme="minorEastAsia" w:hAnsiTheme="minorEastAsia" w:eastAsiaTheme="minorEastAsia"/>
          <w:b/>
          <w:bCs/>
          <w:kern w:val="2"/>
          <w:sz w:val="32"/>
          <w:szCs w:val="44"/>
        </w:rPr>
        <w:t>投标函</w:t>
      </w:r>
    </w:p>
    <w:p>
      <w:pPr>
        <w:pStyle w:val="2"/>
        <w:spacing w:line="500" w:lineRule="exact"/>
        <w:ind w:firstLine="480"/>
        <w:rPr>
          <w:rFonts w:asciiTheme="minorEastAsia" w:hAnsiTheme="minorEastAsia" w:eastAsiaTheme="minorEastAsia"/>
          <w:sz w:val="24"/>
        </w:rPr>
      </w:pPr>
    </w:p>
    <w:p>
      <w:pPr>
        <w:pStyle w:val="2"/>
        <w:spacing w:line="500" w:lineRule="exact"/>
        <w:ind w:firstLine="480"/>
        <w:rPr>
          <w:rFonts w:asciiTheme="minorEastAsia" w:hAnsiTheme="minorEastAsia" w:eastAsiaTheme="minorEastAsia"/>
          <w:sz w:val="24"/>
        </w:rPr>
      </w:pPr>
      <w:r>
        <w:rPr>
          <w:rFonts w:hint="eastAsia" w:asciiTheme="minorEastAsia" w:hAnsiTheme="minorEastAsia" w:eastAsiaTheme="minorEastAsia"/>
          <w:sz w:val="24"/>
          <w:u w:val="single"/>
        </w:rPr>
        <w:t>石拓项目管理有限公司</w:t>
      </w:r>
      <w:r>
        <w:rPr>
          <w:rFonts w:hint="eastAsia" w:asciiTheme="minorEastAsia" w:hAnsiTheme="minorEastAsia" w:eastAsiaTheme="minorEastAsia"/>
          <w:sz w:val="24"/>
        </w:rPr>
        <w:t>：</w:t>
      </w:r>
    </w:p>
    <w:p>
      <w:pPr>
        <w:pStyle w:val="2"/>
        <w:spacing w:line="500" w:lineRule="exact"/>
        <w:ind w:left="-2" w:firstLine="480"/>
        <w:rPr>
          <w:rFonts w:asciiTheme="minorEastAsia" w:hAnsiTheme="minorEastAsia" w:eastAsiaTheme="minorEastAsia"/>
          <w:sz w:val="24"/>
        </w:rPr>
      </w:pPr>
      <w:r>
        <w:rPr>
          <w:rFonts w:hint="eastAsia" w:asciiTheme="minorEastAsia" w:hAnsiTheme="minorEastAsia" w:eastAsiaTheme="minorEastAsia"/>
          <w:sz w:val="24"/>
        </w:rPr>
        <w:t>经研究，我方决定参加项目编号为</w:t>
      </w:r>
      <w:r>
        <w:rPr>
          <w:rFonts w:hint="eastAsia" w:asciiTheme="minorEastAsia" w:hAnsiTheme="minorEastAsia" w:eastAsiaTheme="minorEastAsia"/>
          <w:sz w:val="24"/>
          <w:u w:val="single"/>
        </w:rPr>
        <w:t>STZB2022-429</w:t>
      </w:r>
      <w:r>
        <w:rPr>
          <w:rFonts w:hint="eastAsia" w:asciiTheme="minorEastAsia" w:hAnsiTheme="minorEastAsia" w:eastAsiaTheme="minorEastAsia"/>
          <w:sz w:val="24"/>
        </w:rPr>
        <w:t>的</w:t>
      </w:r>
      <w:r>
        <w:rPr>
          <w:rFonts w:hint="eastAsia" w:asciiTheme="minorEastAsia" w:hAnsiTheme="minorEastAsia" w:eastAsiaTheme="minorEastAsia"/>
          <w:sz w:val="24"/>
          <w:u w:val="single"/>
        </w:rPr>
        <w:t xml:space="preserve">_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（项目名称）</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包项目并报价。为此，我方郑重声明以下及点，并负法律责任：</w:t>
      </w:r>
    </w:p>
    <w:p>
      <w:pPr>
        <w:pStyle w:val="2"/>
        <w:spacing w:line="500" w:lineRule="exact"/>
        <w:ind w:left="-2" w:firstLine="48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、我方提交的投标文件，正本1份，副本</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份；电子版</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份。</w:t>
      </w:r>
    </w:p>
    <w:p>
      <w:pPr>
        <w:pStyle w:val="2"/>
        <w:spacing w:line="500" w:lineRule="exact"/>
        <w:ind w:left="-2" w:firstLine="48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、如果我方的投标文件被接受，我方将履行招标文件中规定的每一项要求，并按我方投标文件中的承诺按期、保质、保量提供货物。</w:t>
      </w:r>
    </w:p>
    <w:p>
      <w:pPr>
        <w:pStyle w:val="2"/>
        <w:spacing w:line="500" w:lineRule="exact"/>
        <w:ind w:left="-2" w:firstLine="48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、我方理解，最低报价不是中标的唯一条件，你方有选择中标人的权利。</w:t>
      </w:r>
    </w:p>
    <w:p>
      <w:pPr>
        <w:pStyle w:val="2"/>
        <w:spacing w:line="500" w:lineRule="exact"/>
        <w:ind w:left="-2" w:firstLine="48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、我方愿按《中华人民共和国民法典》履行自己的全部责任。</w:t>
      </w:r>
    </w:p>
    <w:p>
      <w:pPr>
        <w:pStyle w:val="2"/>
        <w:spacing w:line="500" w:lineRule="exact"/>
        <w:ind w:left="-2" w:firstLine="48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、我方同意按招标文件规定交纳中标服务费及相关费用，遵守贵机构有关招标的各项规定。</w:t>
      </w:r>
    </w:p>
    <w:p>
      <w:pPr>
        <w:pStyle w:val="2"/>
        <w:spacing w:line="500" w:lineRule="exact"/>
        <w:ind w:left="-2" w:firstLine="48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、我方的投标文件自开标之日起有效期为</w:t>
      </w:r>
      <w:r>
        <w:rPr>
          <w:rFonts w:hint="eastAsia" w:asciiTheme="minorEastAsia" w:hAnsiTheme="minorEastAsia" w:eastAsiaTheme="minorEastAsia"/>
          <w:sz w:val="24"/>
          <w:u w:val="single"/>
        </w:rPr>
        <w:t>90</w:t>
      </w:r>
      <w:r>
        <w:rPr>
          <w:rFonts w:hint="eastAsia" w:asciiTheme="minorEastAsia" w:hAnsiTheme="minorEastAsia" w:eastAsiaTheme="minorEastAsia"/>
          <w:sz w:val="24"/>
        </w:rPr>
        <w:t>日历天。</w:t>
      </w:r>
    </w:p>
    <w:p>
      <w:pPr>
        <w:pStyle w:val="2"/>
        <w:spacing w:line="500" w:lineRule="exact"/>
        <w:ind w:left="-2" w:firstLine="480"/>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、与本投标有关的一切正式往来通讯请寄：</w:t>
      </w:r>
    </w:p>
    <w:p>
      <w:pPr>
        <w:pStyle w:val="2"/>
        <w:spacing w:line="500" w:lineRule="exact"/>
        <w:ind w:left="571" w:leftChars="272" w:firstLine="480"/>
        <w:rPr>
          <w:rFonts w:asciiTheme="minorEastAsia" w:hAnsiTheme="minorEastAsia" w:eastAsiaTheme="minorEastAsia"/>
          <w:sz w:val="24"/>
        </w:rPr>
      </w:pP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供应商代表姓名、职务（印刷体）：</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供应商单位全称（公章）</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开户银行名称：</w:t>
      </w:r>
      <w:r>
        <w:rPr>
          <w:rFonts w:asciiTheme="minorEastAsia" w:hAnsiTheme="minorEastAsia" w:eastAsiaTheme="minorEastAsia"/>
          <w:sz w:val="24"/>
        </w:rPr>
        <w:t xml:space="preserve"> </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开户银行账号：</w:t>
      </w:r>
      <w:r>
        <w:rPr>
          <w:rFonts w:asciiTheme="minorEastAsia" w:hAnsiTheme="minorEastAsia" w:eastAsiaTheme="minorEastAsia"/>
          <w:sz w:val="24"/>
        </w:rPr>
        <w:t xml:space="preserve"> </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开户银行地址：</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法定代表人或授权代理人签字或盖章：</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地</w:t>
      </w:r>
      <w:r>
        <w:rPr>
          <w:rFonts w:asciiTheme="minorEastAsia" w:hAnsiTheme="minorEastAsia" w:eastAsiaTheme="minorEastAsia"/>
          <w:sz w:val="24"/>
        </w:rPr>
        <w:t xml:space="preserve">    </w:t>
      </w:r>
      <w:r>
        <w:rPr>
          <w:rFonts w:hint="eastAsia" w:asciiTheme="minorEastAsia" w:hAnsiTheme="minorEastAsia" w:eastAsiaTheme="minorEastAsia"/>
          <w:sz w:val="24"/>
        </w:rPr>
        <w:t>址：</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邮政编码：</w:t>
      </w:r>
    </w:p>
    <w:p>
      <w:pPr>
        <w:pStyle w:val="2"/>
        <w:spacing w:line="500" w:lineRule="exact"/>
        <w:ind w:left="571" w:leftChars="272" w:firstLine="480"/>
        <w:rPr>
          <w:rFonts w:asciiTheme="minorEastAsia" w:hAnsiTheme="minorEastAsia" w:eastAsiaTheme="minorEastAsia"/>
          <w:sz w:val="24"/>
        </w:rPr>
      </w:pPr>
      <w:r>
        <w:rPr>
          <w:rFonts w:hint="eastAsia" w:asciiTheme="minorEastAsia" w:hAnsiTheme="minorEastAsia" w:eastAsiaTheme="minorEastAsia"/>
          <w:sz w:val="24"/>
        </w:rPr>
        <w:t>电</w:t>
      </w:r>
      <w:r>
        <w:rPr>
          <w:rFonts w:asciiTheme="minorEastAsia" w:hAnsiTheme="minorEastAsia" w:eastAsiaTheme="minorEastAsia"/>
          <w:sz w:val="24"/>
        </w:rPr>
        <w:t xml:space="preserve">    </w:t>
      </w:r>
      <w:r>
        <w:rPr>
          <w:rFonts w:hint="eastAsia" w:asciiTheme="minorEastAsia" w:hAnsiTheme="minorEastAsia" w:eastAsiaTheme="minorEastAsia"/>
          <w:sz w:val="24"/>
        </w:rPr>
        <w:t>话：</w:t>
      </w:r>
    </w:p>
    <w:p>
      <w:pPr>
        <w:pStyle w:val="2"/>
        <w:spacing w:line="500" w:lineRule="exact"/>
        <w:ind w:left="6660" w:firstLine="480"/>
        <w:rPr>
          <w:rFonts w:asciiTheme="minorEastAsia" w:hAnsiTheme="minorEastAsia" w:eastAsiaTheme="minorEastAsia"/>
          <w:sz w:val="24"/>
        </w:rPr>
      </w:pPr>
      <w:r>
        <w:rPr>
          <w:rFonts w:hint="eastAsia" w:asciiTheme="minorEastAsia" w:hAnsiTheme="minorEastAsia" w:eastAsiaTheme="minorEastAsia"/>
          <w:sz w:val="24"/>
        </w:rPr>
        <w:t>年</w:t>
      </w:r>
      <w:r>
        <w:rPr>
          <w:rFonts w:asciiTheme="minorEastAsia" w:hAnsiTheme="minorEastAsia" w:eastAsiaTheme="minorEastAsia"/>
          <w:sz w:val="24"/>
        </w:rPr>
        <w:t xml:space="preserve">   </w:t>
      </w:r>
      <w:r>
        <w:rPr>
          <w:rFonts w:hint="eastAsia" w:asciiTheme="minorEastAsia" w:hAnsiTheme="minorEastAsia" w:eastAsiaTheme="minorEastAsia"/>
          <w:sz w:val="24"/>
        </w:rPr>
        <w:t>月</w:t>
      </w:r>
      <w:r>
        <w:rPr>
          <w:rFonts w:asciiTheme="minorEastAsia" w:hAnsiTheme="minorEastAsia" w:eastAsiaTheme="minorEastAsia"/>
          <w:sz w:val="24"/>
        </w:rPr>
        <w:t xml:space="preserve">   </w:t>
      </w:r>
      <w:r>
        <w:rPr>
          <w:rFonts w:hint="eastAsia" w:asciiTheme="minorEastAsia" w:hAnsiTheme="minorEastAsia" w:eastAsiaTheme="minorEastAsia"/>
          <w:sz w:val="24"/>
        </w:rPr>
        <w:t>日</w:t>
      </w:r>
    </w:p>
    <w:p>
      <w:pPr>
        <w:pStyle w:val="3"/>
        <w:spacing w:before="0" w:after="0"/>
        <w:jc w:val="left"/>
        <w:rPr>
          <w:rFonts w:asciiTheme="minorEastAsia" w:hAnsiTheme="minorEastAsia" w:eastAsiaTheme="minorEastAsia"/>
          <w:b w:val="0"/>
          <w:bCs w:val="0"/>
          <w:sz w:val="24"/>
          <w:szCs w:val="21"/>
        </w:rPr>
      </w:pPr>
      <w:r>
        <w:rPr>
          <w:rFonts w:asciiTheme="minorEastAsia" w:hAnsiTheme="minorEastAsia" w:eastAsiaTheme="minorEastAsia"/>
          <w:sz w:val="24"/>
        </w:rPr>
        <w:br w:type="page"/>
      </w:r>
      <w:bookmarkStart w:id="193" w:name="_Toc15063"/>
      <w:r>
        <w:rPr>
          <w:rFonts w:hint="eastAsia" w:asciiTheme="minorEastAsia" w:hAnsiTheme="minorEastAsia" w:eastAsiaTheme="minorEastAsia"/>
          <w:bCs w:val="0"/>
          <w:sz w:val="24"/>
          <w:szCs w:val="24"/>
        </w:rPr>
        <w:t>附件二：授权委托书</w:t>
      </w:r>
      <w:bookmarkEnd w:id="193"/>
    </w:p>
    <w:p>
      <w:pPr>
        <w:pStyle w:val="2"/>
        <w:rPr>
          <w:rFonts w:asciiTheme="minorEastAsia" w:hAnsiTheme="minorEastAsia" w:eastAsiaTheme="minorEastAsia"/>
        </w:rPr>
      </w:pPr>
    </w:p>
    <w:p>
      <w:pPr>
        <w:pStyle w:val="2"/>
        <w:spacing w:line="460" w:lineRule="exact"/>
        <w:ind w:firstLine="643"/>
        <w:jc w:val="center"/>
        <w:rPr>
          <w:rFonts w:asciiTheme="minorEastAsia" w:hAnsiTheme="minorEastAsia" w:eastAsiaTheme="minorEastAsia"/>
          <w:b/>
          <w:sz w:val="32"/>
        </w:rPr>
      </w:pPr>
      <w:r>
        <w:rPr>
          <w:rFonts w:hint="eastAsia" w:asciiTheme="minorEastAsia" w:hAnsiTheme="minorEastAsia" w:eastAsiaTheme="minorEastAsia"/>
          <w:b/>
          <w:sz w:val="32"/>
        </w:rPr>
        <w:t>法定代表人授权委托书</w:t>
      </w:r>
    </w:p>
    <w:p>
      <w:pPr>
        <w:pStyle w:val="2"/>
        <w:spacing w:line="460" w:lineRule="exact"/>
        <w:ind w:firstLine="643"/>
        <w:jc w:val="center"/>
        <w:rPr>
          <w:rFonts w:asciiTheme="minorEastAsia" w:hAnsiTheme="minorEastAsia" w:eastAsiaTheme="minorEastAsia"/>
          <w:b/>
          <w:sz w:val="32"/>
        </w:rPr>
      </w:pP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石拓项目管理有限公司：</w:t>
      </w:r>
    </w:p>
    <w:p>
      <w:pPr>
        <w:pStyle w:val="2"/>
        <w:spacing w:line="560" w:lineRule="exact"/>
        <w:ind w:firstLine="480"/>
        <w:rPr>
          <w:rFonts w:asciiTheme="minorEastAsia" w:hAnsiTheme="minorEastAsia" w:eastAsiaTheme="minorEastAsia"/>
          <w:sz w:val="24"/>
        </w:rPr>
      </w:pPr>
    </w:p>
    <w:p>
      <w:pPr>
        <w:pStyle w:val="2"/>
        <w:spacing w:line="560" w:lineRule="exact"/>
        <w:ind w:firstLine="480"/>
        <w:rPr>
          <w:rFonts w:asciiTheme="minorEastAsia" w:hAnsiTheme="minorEastAsia" w:eastAsiaTheme="minorEastAsia"/>
          <w:sz w:val="24"/>
        </w:rPr>
      </w:pPr>
      <w:r>
        <w:rPr>
          <w:rFonts w:asciiTheme="minorEastAsia" w:hAnsiTheme="minorEastAsia" w:eastAsiaTheme="minorEastAsia"/>
          <w:sz w:val="24"/>
          <w:u w:val="single"/>
        </w:rPr>
        <w:t xml:space="preserve">                       </w:t>
      </w:r>
      <w:r>
        <w:rPr>
          <w:rFonts w:hint="eastAsia" w:asciiTheme="minorEastAsia" w:hAnsiTheme="minorEastAsia" w:eastAsiaTheme="minorEastAsia"/>
          <w:sz w:val="24"/>
        </w:rPr>
        <w:t>（供应商名称）法定代表人</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授权我公司</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（职务或职称）</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（姓名）为我单位本次投标授权代理人，全权处理此次政府采购项目（项目编号：STZB2022-429）招标活动的一切事宜。</w:t>
      </w:r>
    </w:p>
    <w:p>
      <w:pPr>
        <w:pStyle w:val="2"/>
        <w:spacing w:line="560" w:lineRule="exact"/>
        <w:ind w:firstLine="480"/>
        <w:rPr>
          <w:rFonts w:asciiTheme="minorEastAsia" w:hAnsiTheme="minorEastAsia" w:eastAsiaTheme="minorEastAsia"/>
          <w:sz w:val="24"/>
        </w:rPr>
      </w:pP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特此授权。</w:t>
      </w:r>
    </w:p>
    <w:p>
      <w:pPr>
        <w:pStyle w:val="2"/>
        <w:spacing w:line="560" w:lineRule="exact"/>
        <w:ind w:firstLine="480"/>
        <w:rPr>
          <w:rFonts w:asciiTheme="minorEastAsia" w:hAnsiTheme="minorEastAsia" w:eastAsiaTheme="minorEastAsia"/>
          <w:sz w:val="24"/>
        </w:rPr>
      </w:pPr>
    </w:p>
    <w:p>
      <w:pPr>
        <w:pStyle w:val="2"/>
        <w:spacing w:line="560" w:lineRule="exact"/>
        <w:rPr>
          <w:rFonts w:asciiTheme="minorEastAsia" w:hAnsiTheme="minorEastAsia" w:eastAsiaTheme="minorEastAsia"/>
        </w:rPr>
      </w:pPr>
      <w:r>
        <w:rPr>
          <w:rFonts w:hint="eastAsia" w:asciiTheme="minorEastAsia" w:hAnsiTheme="minorEastAsia" w:eastAsiaTheme="minorEastAsia"/>
        </w:rPr>
        <w:t>（附法定代表人身份证明复印件）           （附授权代理人身份证明复印件）</w:t>
      </w:r>
    </w:p>
    <w:p>
      <w:pPr>
        <w:pStyle w:val="2"/>
        <w:spacing w:line="560" w:lineRule="exact"/>
        <w:ind w:firstLine="480"/>
        <w:rPr>
          <w:rFonts w:asciiTheme="minorEastAsia" w:hAnsiTheme="minorEastAsia" w:eastAsiaTheme="minorEastAsia"/>
          <w:sz w:val="24"/>
        </w:rPr>
      </w:pPr>
    </w:p>
    <w:p>
      <w:pPr>
        <w:pStyle w:val="2"/>
        <w:spacing w:line="560" w:lineRule="exact"/>
        <w:ind w:firstLine="480"/>
        <w:rPr>
          <w:rFonts w:asciiTheme="minorEastAsia" w:hAnsiTheme="minorEastAsia" w:eastAsiaTheme="minorEastAsia"/>
          <w:sz w:val="24"/>
        </w:rPr>
      </w:pPr>
    </w:p>
    <w:p>
      <w:pPr>
        <w:pStyle w:val="2"/>
        <w:spacing w:line="560" w:lineRule="exact"/>
        <w:ind w:firstLine="480"/>
        <w:rPr>
          <w:rFonts w:asciiTheme="minorEastAsia" w:hAnsiTheme="minorEastAsia" w:eastAsiaTheme="minorEastAsia"/>
          <w:sz w:val="24"/>
        </w:rPr>
      </w:pP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供应商单位全称（公章）：</w:t>
      </w:r>
      <w:r>
        <w:rPr>
          <w:rFonts w:asciiTheme="minorEastAsia" w:hAnsiTheme="minorEastAsia" w:eastAsiaTheme="minorEastAsia"/>
          <w:sz w:val="24"/>
          <w:u w:val="single"/>
        </w:rPr>
        <w:t xml:space="preserve">                 </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法定代表人签字或盖章：</w:t>
      </w:r>
      <w:r>
        <w:rPr>
          <w:rFonts w:asciiTheme="minorEastAsia" w:hAnsiTheme="minorEastAsia" w:eastAsiaTheme="minorEastAsia"/>
          <w:sz w:val="24"/>
          <w:u w:val="single"/>
        </w:rPr>
        <w:t xml:space="preserve">                  </w:t>
      </w:r>
    </w:p>
    <w:p>
      <w:pPr>
        <w:pStyle w:val="2"/>
        <w:spacing w:line="560" w:lineRule="exact"/>
        <w:ind w:firstLine="480"/>
        <w:rPr>
          <w:rFonts w:asciiTheme="minorEastAsia" w:hAnsiTheme="minorEastAsia" w:eastAsiaTheme="minorEastAsia"/>
          <w:sz w:val="24"/>
        </w:rPr>
      </w:pPr>
      <w:r>
        <w:rPr>
          <w:rFonts w:hint="eastAsia" w:asciiTheme="minorEastAsia" w:hAnsiTheme="minorEastAsia" w:eastAsiaTheme="minorEastAsia"/>
          <w:sz w:val="24"/>
        </w:rPr>
        <w:t>授权代理人签字：</w:t>
      </w:r>
      <w:r>
        <w:rPr>
          <w:rFonts w:asciiTheme="minorEastAsia" w:hAnsiTheme="minorEastAsia" w:eastAsiaTheme="minorEastAsia"/>
          <w:sz w:val="24"/>
          <w:u w:val="single"/>
        </w:rPr>
        <w:t xml:space="preserve">                  </w:t>
      </w:r>
    </w:p>
    <w:p>
      <w:pPr>
        <w:pStyle w:val="2"/>
        <w:spacing w:line="560" w:lineRule="exact"/>
        <w:ind w:firstLine="480"/>
        <w:rPr>
          <w:rFonts w:asciiTheme="minorEastAsia" w:hAnsiTheme="minorEastAsia" w:eastAsiaTheme="minorEastAsia"/>
          <w:sz w:val="24"/>
        </w:rPr>
      </w:pPr>
    </w:p>
    <w:p>
      <w:pPr>
        <w:pStyle w:val="2"/>
        <w:spacing w:line="560" w:lineRule="exact"/>
        <w:ind w:firstLine="480"/>
        <w:rPr>
          <w:rFonts w:asciiTheme="minorEastAsia" w:hAnsiTheme="minorEastAsia" w:eastAsiaTheme="minorEastAsia"/>
          <w:sz w:val="24"/>
        </w:rPr>
      </w:pPr>
    </w:p>
    <w:p>
      <w:pPr>
        <w:pStyle w:val="2"/>
        <w:spacing w:line="560" w:lineRule="exact"/>
        <w:ind w:firstLine="480"/>
        <w:rPr>
          <w:rFonts w:asciiTheme="minorEastAsia" w:hAnsiTheme="minorEastAsia" w:eastAsiaTheme="minorEastAsia"/>
          <w:sz w:val="24"/>
        </w:rPr>
      </w:pPr>
    </w:p>
    <w:p>
      <w:pPr>
        <w:pStyle w:val="2"/>
        <w:spacing w:line="560" w:lineRule="exact"/>
        <w:ind w:left="5880" w:right="283" w:rightChars="135" w:firstLine="480"/>
        <w:jc w:val="right"/>
        <w:rPr>
          <w:rFonts w:asciiTheme="minorEastAsia" w:hAnsiTheme="minorEastAsia" w:eastAsiaTheme="minorEastAsia"/>
          <w:sz w:val="24"/>
        </w:rPr>
      </w:pPr>
      <w:r>
        <w:rPr>
          <w:rFonts w:hint="eastAsia" w:asciiTheme="minorEastAsia" w:hAnsiTheme="minorEastAsia" w:eastAsiaTheme="minorEastAsia"/>
          <w:sz w:val="24"/>
        </w:rPr>
        <w:t>年</w:t>
      </w:r>
      <w:r>
        <w:rPr>
          <w:rFonts w:asciiTheme="minorEastAsia" w:hAnsiTheme="minorEastAsia" w:eastAsiaTheme="minorEastAsia"/>
          <w:sz w:val="24"/>
        </w:rPr>
        <w:t xml:space="preserve">    </w:t>
      </w:r>
      <w:r>
        <w:rPr>
          <w:rFonts w:hint="eastAsia" w:asciiTheme="minorEastAsia" w:hAnsiTheme="minorEastAsia" w:eastAsiaTheme="minorEastAsia"/>
          <w:sz w:val="24"/>
        </w:rPr>
        <w:t>月</w:t>
      </w:r>
      <w:r>
        <w:rPr>
          <w:rFonts w:asciiTheme="minorEastAsia" w:hAnsiTheme="minorEastAsia" w:eastAsiaTheme="minorEastAsia"/>
          <w:sz w:val="24"/>
        </w:rPr>
        <w:t xml:space="preserve">    </w:t>
      </w:r>
      <w:r>
        <w:rPr>
          <w:rFonts w:hint="eastAsia" w:asciiTheme="minorEastAsia" w:hAnsiTheme="minorEastAsia" w:eastAsiaTheme="minorEastAsia"/>
          <w:sz w:val="24"/>
        </w:rPr>
        <w:t>日</w:t>
      </w:r>
    </w:p>
    <w:p>
      <w:pPr>
        <w:rPr>
          <w:rFonts w:asciiTheme="minorEastAsia" w:hAnsiTheme="minorEastAsia" w:eastAsiaTheme="minorEastAsia"/>
          <w:sz w:val="24"/>
        </w:rPr>
      </w:pPr>
      <w:r>
        <w:rPr>
          <w:rFonts w:hint="eastAsia" w:asciiTheme="minorEastAsia" w:hAnsiTheme="minorEastAsia" w:eastAsiaTheme="minorEastAsia"/>
          <w:sz w:val="24"/>
        </w:rPr>
        <w:br w:type="page"/>
      </w:r>
    </w:p>
    <w:p/>
    <w:p>
      <w:pPr>
        <w:pStyle w:val="47"/>
        <w:spacing w:line="360" w:lineRule="auto"/>
        <w:ind w:right="-1" w:firstLine="0" w:firstLineChars="0"/>
        <w:jc w:val="center"/>
        <w:rPr>
          <w:rFonts w:ascii="宋体" w:hAnsi="宋体"/>
          <w:b/>
          <w:sz w:val="28"/>
          <w:szCs w:val="28"/>
        </w:rPr>
      </w:pPr>
      <w:bookmarkStart w:id="194" w:name="_Toc29098"/>
      <w:r>
        <w:rPr>
          <w:rFonts w:hint="eastAsia" w:ascii="宋体" w:hAnsi="宋体"/>
          <w:b/>
          <w:sz w:val="28"/>
          <w:szCs w:val="28"/>
        </w:rPr>
        <w:t>法定代表人身份证明</w:t>
      </w:r>
      <w:bookmarkEnd w:id="194"/>
    </w:p>
    <w:p>
      <w:pPr>
        <w:spacing w:line="360" w:lineRule="auto"/>
        <w:rPr>
          <w:rFonts w:asciiTheme="minorEastAsia" w:hAnsiTheme="minorEastAsia" w:eastAsiaTheme="minorEastAsia"/>
          <w:kern w:val="0"/>
          <w:sz w:val="24"/>
          <w:szCs w:val="20"/>
        </w:rPr>
      </w:pPr>
    </w:p>
    <w:p>
      <w:pPr>
        <w:spacing w:line="360" w:lineRule="auto"/>
        <w:rPr>
          <w:rFonts w:asciiTheme="minorEastAsia" w:hAnsiTheme="minorEastAsia" w:eastAsiaTheme="minorEastAsia"/>
          <w:kern w:val="0"/>
          <w:sz w:val="24"/>
          <w:szCs w:val="20"/>
        </w:rPr>
      </w:pPr>
    </w:p>
    <w:p>
      <w:pPr>
        <w:spacing w:line="360" w:lineRule="auto"/>
        <w:rPr>
          <w:rFonts w:asciiTheme="minorEastAsia" w:hAnsiTheme="minorEastAsia" w:eastAsiaTheme="minorEastAsia"/>
          <w:kern w:val="0"/>
          <w:sz w:val="24"/>
          <w:szCs w:val="20"/>
          <w:u w:val="single"/>
        </w:rPr>
      </w:pPr>
      <w:r>
        <w:rPr>
          <w:rFonts w:hint="eastAsia" w:asciiTheme="minorEastAsia" w:hAnsiTheme="minorEastAsia" w:eastAsiaTheme="minorEastAsia"/>
          <w:kern w:val="0"/>
          <w:sz w:val="24"/>
          <w:szCs w:val="20"/>
        </w:rPr>
        <w:t>供应商名称：</w:t>
      </w:r>
      <w:r>
        <w:rPr>
          <w:rFonts w:hint="eastAsia" w:asciiTheme="minorEastAsia" w:hAnsiTheme="minorEastAsia" w:eastAsiaTheme="minorEastAsia"/>
          <w:kern w:val="0"/>
          <w:sz w:val="24"/>
          <w:szCs w:val="20"/>
          <w:u w:val="single"/>
        </w:rPr>
        <w:t xml:space="preserve">                                    </w:t>
      </w:r>
    </w:p>
    <w:p>
      <w:pPr>
        <w:spacing w:line="360" w:lineRule="auto"/>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姓名：</w:t>
      </w:r>
      <w:r>
        <w:rPr>
          <w:rFonts w:hint="eastAsia" w:asciiTheme="minorEastAsia" w:hAnsiTheme="minorEastAsia" w:eastAsiaTheme="minorEastAsia"/>
          <w:kern w:val="0"/>
          <w:sz w:val="24"/>
          <w:szCs w:val="20"/>
          <w:u w:val="single"/>
        </w:rPr>
        <w:t xml:space="preserve">            </w:t>
      </w:r>
      <w:r>
        <w:rPr>
          <w:rFonts w:hint="eastAsia" w:asciiTheme="minorEastAsia" w:hAnsiTheme="minorEastAsia" w:eastAsiaTheme="minorEastAsia"/>
          <w:kern w:val="0"/>
          <w:sz w:val="24"/>
          <w:szCs w:val="20"/>
        </w:rPr>
        <w:t>（法定代表人姓名）</w:t>
      </w:r>
    </w:p>
    <w:p>
      <w:pPr>
        <w:spacing w:line="360" w:lineRule="auto"/>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性别：</w:t>
      </w:r>
      <w:r>
        <w:rPr>
          <w:rFonts w:hint="eastAsia" w:asciiTheme="minorEastAsia" w:hAnsiTheme="minorEastAsia" w:eastAsiaTheme="minorEastAsia"/>
          <w:kern w:val="0"/>
          <w:sz w:val="24"/>
          <w:szCs w:val="20"/>
          <w:u w:val="single"/>
        </w:rPr>
        <w:t xml:space="preserve">   </w:t>
      </w:r>
      <w:r>
        <w:rPr>
          <w:rFonts w:hint="eastAsia" w:asciiTheme="minorEastAsia" w:hAnsiTheme="minorEastAsia" w:eastAsiaTheme="minorEastAsia"/>
          <w:kern w:val="0"/>
          <w:sz w:val="24"/>
          <w:szCs w:val="20"/>
        </w:rPr>
        <w:t xml:space="preserve">        </w:t>
      </w:r>
    </w:p>
    <w:p>
      <w:pPr>
        <w:spacing w:line="360" w:lineRule="auto"/>
        <w:rPr>
          <w:rFonts w:asciiTheme="minorEastAsia" w:hAnsiTheme="minorEastAsia" w:eastAsiaTheme="minorEastAsia"/>
          <w:kern w:val="0"/>
          <w:sz w:val="24"/>
          <w:szCs w:val="20"/>
          <w:u w:val="single"/>
        </w:rPr>
      </w:pPr>
      <w:r>
        <w:rPr>
          <w:rFonts w:hint="eastAsia" w:asciiTheme="minorEastAsia" w:hAnsiTheme="minorEastAsia" w:eastAsiaTheme="minorEastAsia"/>
          <w:kern w:val="0"/>
          <w:sz w:val="24"/>
          <w:szCs w:val="20"/>
        </w:rPr>
        <w:t xml:space="preserve">年龄：      </w:t>
      </w:r>
      <w:r>
        <w:rPr>
          <w:rFonts w:hint="eastAsia" w:asciiTheme="minorEastAsia" w:hAnsiTheme="minorEastAsia" w:eastAsiaTheme="minorEastAsia"/>
          <w:kern w:val="0"/>
          <w:sz w:val="24"/>
          <w:szCs w:val="20"/>
          <w:u w:val="single"/>
        </w:rPr>
        <w:t xml:space="preserve">  </w:t>
      </w:r>
    </w:p>
    <w:p>
      <w:pPr>
        <w:spacing w:line="360" w:lineRule="auto"/>
        <w:rPr>
          <w:rFonts w:asciiTheme="minorEastAsia" w:hAnsiTheme="minorEastAsia" w:eastAsiaTheme="minorEastAsia"/>
          <w:kern w:val="0"/>
          <w:sz w:val="24"/>
          <w:szCs w:val="20"/>
          <w:u w:val="single"/>
        </w:rPr>
      </w:pPr>
      <w:r>
        <w:rPr>
          <w:rFonts w:hint="eastAsia" w:asciiTheme="minorEastAsia" w:hAnsiTheme="minorEastAsia" w:eastAsiaTheme="minorEastAsia"/>
          <w:kern w:val="0"/>
          <w:sz w:val="24"/>
          <w:szCs w:val="20"/>
        </w:rPr>
        <w:t xml:space="preserve">职务：    </w:t>
      </w:r>
      <w:r>
        <w:rPr>
          <w:rFonts w:hint="eastAsia" w:asciiTheme="minorEastAsia" w:hAnsiTheme="minorEastAsia" w:eastAsiaTheme="minorEastAsia"/>
          <w:kern w:val="0"/>
          <w:sz w:val="24"/>
          <w:szCs w:val="20"/>
          <w:u w:val="single"/>
        </w:rPr>
        <w:t xml:space="preserve">    </w:t>
      </w:r>
    </w:p>
    <w:p>
      <w:pPr>
        <w:spacing w:line="360" w:lineRule="auto"/>
        <w:rPr>
          <w:rFonts w:asciiTheme="minorEastAsia" w:hAnsiTheme="minorEastAsia" w:eastAsiaTheme="minorEastAsia"/>
          <w:kern w:val="0"/>
          <w:sz w:val="24"/>
          <w:szCs w:val="20"/>
          <w:u w:val="single"/>
        </w:rPr>
      </w:pPr>
      <w:r>
        <w:rPr>
          <w:rFonts w:hint="eastAsia" w:asciiTheme="minorEastAsia" w:hAnsiTheme="minorEastAsia" w:eastAsiaTheme="minorEastAsia"/>
          <w:kern w:val="0"/>
          <w:sz w:val="24"/>
          <w:szCs w:val="20"/>
        </w:rPr>
        <w:t>系</w:t>
      </w:r>
      <w:r>
        <w:rPr>
          <w:rFonts w:hint="eastAsia" w:asciiTheme="minorEastAsia" w:hAnsiTheme="minorEastAsia" w:eastAsiaTheme="minorEastAsia"/>
          <w:kern w:val="0"/>
          <w:sz w:val="24"/>
          <w:szCs w:val="20"/>
          <w:u w:val="single"/>
        </w:rPr>
        <w:t xml:space="preserve">                   （供应商名称）的法定代表人。</w:t>
      </w:r>
    </w:p>
    <w:p>
      <w:pPr>
        <w:spacing w:line="360" w:lineRule="auto"/>
        <w:ind w:firstLine="480" w:firstLineChars="200"/>
        <w:rPr>
          <w:rFonts w:asciiTheme="minorEastAsia" w:hAnsiTheme="minorEastAsia" w:eastAsiaTheme="minorEastAsia"/>
          <w:kern w:val="0"/>
          <w:sz w:val="24"/>
          <w:szCs w:val="20"/>
          <w:u w:val="single"/>
        </w:rPr>
      </w:pPr>
    </w:p>
    <w:p>
      <w:pPr>
        <w:tabs>
          <w:tab w:val="left" w:pos="2575"/>
        </w:tabs>
        <w:spacing w:line="360" w:lineRule="auto"/>
        <w:ind w:firstLine="480" w:firstLineChars="200"/>
        <w:rPr>
          <w:rFonts w:asciiTheme="minorEastAsia" w:hAnsiTheme="minorEastAsia" w:eastAsiaTheme="minorEastAsia"/>
          <w:kern w:val="0"/>
          <w:sz w:val="24"/>
          <w:szCs w:val="20"/>
        </w:rPr>
      </w:pPr>
      <w:r>
        <w:rPr>
          <w:rFonts w:hint="eastAsia" w:asciiTheme="minorEastAsia" w:hAnsiTheme="minorEastAsia" w:eastAsiaTheme="minorEastAsia"/>
          <w:kern w:val="0"/>
          <w:sz w:val="24"/>
          <w:szCs w:val="20"/>
        </w:rPr>
        <w:t>特此证明。</w:t>
      </w:r>
      <w:r>
        <w:rPr>
          <w:rFonts w:hint="eastAsia" w:asciiTheme="minorEastAsia" w:hAnsiTheme="minorEastAsia" w:eastAsiaTheme="minorEastAsia"/>
          <w:kern w:val="0"/>
          <w:sz w:val="24"/>
          <w:szCs w:val="20"/>
        </w:rPr>
        <w:tab/>
      </w:r>
    </w:p>
    <w:p>
      <w:pPr>
        <w:pStyle w:val="337"/>
        <w:spacing w:line="360" w:lineRule="auto"/>
        <w:rPr>
          <w:rFonts w:cs="Times New Roman" w:asciiTheme="minorEastAsia" w:hAnsiTheme="minorEastAsia" w:eastAsiaTheme="minorEastAsia"/>
          <w:kern w:val="0"/>
          <w:sz w:val="24"/>
          <w:szCs w:val="20"/>
          <w:u w:val="single"/>
        </w:rPr>
      </w:pPr>
    </w:p>
    <w:p>
      <w:pPr>
        <w:spacing w:line="360" w:lineRule="auto"/>
        <w:rPr>
          <w:rFonts w:asciiTheme="minorEastAsia" w:hAnsiTheme="minorEastAsia" w:eastAsiaTheme="minorEastAsia"/>
          <w:kern w:val="0"/>
          <w:sz w:val="24"/>
          <w:szCs w:val="20"/>
          <w:u w:val="single"/>
        </w:rPr>
      </w:pPr>
      <w:r>
        <w:rPr>
          <w:rFonts w:hint="eastAsia" w:asciiTheme="minorEastAsia" w:hAnsiTheme="minorEastAsia" w:eastAsiaTheme="minorEastAsia"/>
          <w:kern w:val="0"/>
          <w:sz w:val="24"/>
          <w:szCs w:val="20"/>
        </w:rPr>
        <w:t>附：法定代表人身份证复印件。</w:t>
      </w:r>
    </w:p>
    <w:p>
      <w:pPr>
        <w:spacing w:line="360" w:lineRule="auto"/>
        <w:rPr>
          <w:rFonts w:asciiTheme="minorEastAsia" w:hAnsiTheme="minorEastAsia" w:eastAsiaTheme="minorEastAsia"/>
          <w:kern w:val="0"/>
          <w:sz w:val="24"/>
          <w:szCs w:val="20"/>
          <w:u w:val="single"/>
        </w:rPr>
      </w:pPr>
    </w:p>
    <w:p>
      <w:pPr>
        <w:pStyle w:val="337"/>
        <w:spacing w:line="360" w:lineRule="auto"/>
        <w:rPr>
          <w:rFonts w:cs="Times New Roman" w:asciiTheme="minorEastAsia" w:hAnsiTheme="minorEastAsia" w:eastAsiaTheme="minorEastAsia"/>
          <w:kern w:val="0"/>
          <w:sz w:val="24"/>
          <w:szCs w:val="20"/>
          <w:u w:val="single"/>
        </w:rPr>
      </w:pPr>
    </w:p>
    <w:p>
      <w:pPr>
        <w:spacing w:line="360" w:lineRule="auto"/>
        <w:rPr>
          <w:rFonts w:asciiTheme="minorEastAsia" w:hAnsiTheme="minorEastAsia" w:eastAsiaTheme="minorEastAsia"/>
          <w:kern w:val="0"/>
          <w:sz w:val="24"/>
          <w:szCs w:val="20"/>
          <w:u w:val="single"/>
        </w:rPr>
      </w:pPr>
      <w:r>
        <w:rPr>
          <w:rFonts w:hint="eastAsia" w:asciiTheme="minorEastAsia" w:hAnsiTheme="minorEastAsia" w:eastAsiaTheme="minorEastAsia"/>
          <w:kern w:val="0"/>
          <w:sz w:val="24"/>
          <w:szCs w:val="20"/>
        </w:rPr>
        <w:t xml:space="preserve">                                             供应商</w:t>
      </w:r>
      <w:r>
        <w:rPr>
          <w:rFonts w:hint="eastAsia" w:asciiTheme="minorEastAsia" w:hAnsiTheme="minorEastAsia" w:eastAsiaTheme="minorEastAsia"/>
          <w:kern w:val="0"/>
          <w:sz w:val="24"/>
          <w:szCs w:val="20"/>
          <w:u w:val="single"/>
        </w:rPr>
        <w:t>：                 （盖单位章）</w:t>
      </w:r>
    </w:p>
    <w:p>
      <w:pPr>
        <w:spacing w:line="360" w:lineRule="auto"/>
        <w:rPr>
          <w:rFonts w:asciiTheme="minorEastAsia" w:hAnsiTheme="minorEastAsia" w:eastAsiaTheme="minorEastAsia"/>
          <w:kern w:val="0"/>
          <w:sz w:val="24"/>
          <w:szCs w:val="20"/>
          <w:u w:val="single"/>
        </w:rPr>
      </w:pPr>
    </w:p>
    <w:p>
      <w:pPr>
        <w:spacing w:line="360" w:lineRule="auto"/>
        <w:rPr>
          <w:rFonts w:asciiTheme="minorEastAsia" w:hAnsiTheme="minorEastAsia" w:eastAsiaTheme="minorEastAsia"/>
          <w:kern w:val="0"/>
          <w:sz w:val="24"/>
          <w:szCs w:val="20"/>
          <w:u w:val="single"/>
        </w:rPr>
      </w:pPr>
      <w:r>
        <w:rPr>
          <w:rFonts w:hint="eastAsia" w:asciiTheme="minorEastAsia" w:hAnsiTheme="minorEastAsia" w:eastAsiaTheme="minorEastAsia"/>
          <w:kern w:val="0"/>
          <w:sz w:val="24"/>
          <w:szCs w:val="20"/>
        </w:rPr>
        <w:t xml:space="preserve">                                                        </w:t>
      </w:r>
      <w:r>
        <w:rPr>
          <w:rFonts w:hint="eastAsia" w:asciiTheme="minorEastAsia" w:hAnsiTheme="minorEastAsia" w:eastAsiaTheme="minorEastAsia"/>
          <w:kern w:val="0"/>
          <w:sz w:val="24"/>
          <w:szCs w:val="20"/>
          <w:u w:val="single"/>
        </w:rPr>
        <w:t xml:space="preserve">   年    月    日</w:t>
      </w:r>
    </w:p>
    <w:p>
      <w:pPr>
        <w:pStyle w:val="47"/>
        <w:spacing w:line="360" w:lineRule="auto"/>
        <w:ind w:right="-1" w:firstLine="0" w:firstLineChars="0"/>
        <w:jc w:val="left"/>
        <w:outlineLvl w:val="1"/>
        <w:rPr>
          <w:rFonts w:asciiTheme="minorEastAsia" w:hAnsiTheme="minorEastAsia" w:eastAsiaTheme="minorEastAsia"/>
          <w:sz w:val="24"/>
          <w:szCs w:val="20"/>
          <w:u w:val="single"/>
        </w:rPr>
      </w:pPr>
    </w:p>
    <w:p>
      <w:pPr>
        <w:pStyle w:val="2"/>
        <w:spacing w:line="560" w:lineRule="exact"/>
        <w:ind w:firstLine="480"/>
        <w:rPr>
          <w:rFonts w:asciiTheme="minorEastAsia" w:hAnsiTheme="minorEastAsia" w:eastAsiaTheme="minorEastAsia"/>
          <w:sz w:val="24"/>
          <w:u w:val="single"/>
        </w:rPr>
        <w:sectPr>
          <w:headerReference r:id="rId7" w:type="default"/>
          <w:footerReference r:id="rId8" w:type="default"/>
          <w:pgSz w:w="11907" w:h="16840"/>
          <w:pgMar w:top="1418" w:right="1120" w:bottom="1418" w:left="1247" w:header="851" w:footer="822" w:gutter="0"/>
          <w:cols w:space="720" w:num="1"/>
          <w:docGrid w:linePitch="290" w:charSpace="-3931"/>
        </w:sectPr>
      </w:pPr>
    </w:p>
    <w:p>
      <w:pPr>
        <w:pStyle w:val="3"/>
        <w:spacing w:before="0" w:after="0"/>
        <w:jc w:val="left"/>
        <w:rPr>
          <w:rFonts w:asciiTheme="minorEastAsia" w:hAnsiTheme="minorEastAsia" w:eastAsiaTheme="minorEastAsia"/>
          <w:bCs w:val="0"/>
          <w:sz w:val="24"/>
          <w:szCs w:val="24"/>
        </w:rPr>
      </w:pPr>
      <w:bookmarkStart w:id="195" w:name="_Toc15463"/>
      <w:r>
        <w:rPr>
          <w:rFonts w:hint="eastAsia" w:asciiTheme="minorEastAsia" w:hAnsiTheme="minorEastAsia" w:eastAsiaTheme="minorEastAsia"/>
          <w:bCs w:val="0"/>
          <w:sz w:val="24"/>
          <w:szCs w:val="24"/>
        </w:rPr>
        <w:t>附件三：开标一览表</w:t>
      </w:r>
      <w:bookmarkEnd w:id="195"/>
    </w:p>
    <w:p>
      <w:pPr>
        <w:widowControl/>
        <w:jc w:val="center"/>
        <w:rPr>
          <w:rFonts w:asciiTheme="minorEastAsia" w:hAnsiTheme="minorEastAsia" w:eastAsiaTheme="minorEastAsia"/>
          <w:b/>
          <w:sz w:val="32"/>
        </w:rPr>
      </w:pPr>
      <w:r>
        <w:rPr>
          <w:rFonts w:hint="eastAsia" w:asciiTheme="minorEastAsia" w:hAnsiTheme="minorEastAsia" w:eastAsiaTheme="minorEastAsia"/>
          <w:b/>
          <w:sz w:val="32"/>
        </w:rPr>
        <w:t>开标一览表</w:t>
      </w:r>
    </w:p>
    <w:p>
      <w:pPr>
        <w:spacing w:line="360" w:lineRule="auto"/>
        <w:rPr>
          <w:rFonts w:asciiTheme="minorEastAsia" w:hAnsiTheme="minorEastAsia" w:eastAsiaTheme="minorEastAsia"/>
          <w:b/>
          <w:color w:val="FF0000"/>
          <w:sz w:val="24"/>
        </w:rPr>
      </w:pPr>
      <w:r>
        <w:rPr>
          <w:rFonts w:hint="eastAsia" w:asciiTheme="minorEastAsia" w:hAnsiTheme="minorEastAsia" w:eastAsiaTheme="minorEastAsia"/>
          <w:b/>
          <w:sz w:val="24"/>
        </w:rPr>
        <w:t xml:space="preserve">项目名称： </w:t>
      </w: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项目编号：</w:t>
      </w:r>
      <w:r>
        <w:rPr>
          <w:rFonts w:asciiTheme="minorEastAsia" w:hAnsiTheme="minorEastAsia" w:eastAsiaTheme="minorEastAsia"/>
          <w:b/>
          <w:sz w:val="24"/>
        </w:rPr>
        <w:t xml:space="preserve"> </w:t>
      </w:r>
    </w:p>
    <w:p>
      <w:pPr>
        <w:pStyle w:val="42"/>
        <w:rPr>
          <w:rFonts w:asciiTheme="minorEastAsia" w:hAnsiTheme="minorEastAsia" w:eastAsiaTheme="minorEastAsia"/>
          <w:u w:val="single"/>
        </w:rPr>
      </w:pPr>
      <w:r>
        <w:rPr>
          <w:rFonts w:hint="eastAsia" w:asciiTheme="minorEastAsia" w:hAnsiTheme="minorEastAsia" w:eastAsiaTheme="minorEastAsia"/>
          <w:b/>
          <w:sz w:val="24"/>
        </w:rPr>
        <w:t xml:space="preserve">包    号： </w:t>
      </w:r>
      <w:r>
        <w:rPr>
          <w:rFonts w:asciiTheme="minorEastAsia" w:hAnsiTheme="minorEastAsia" w:eastAsiaTheme="minorEastAsia"/>
          <w:b/>
          <w:sz w:val="24"/>
        </w:rPr>
        <w:t xml:space="preserve">                                             </w:t>
      </w:r>
      <w:r>
        <w:rPr>
          <w:rFonts w:hint="eastAsia" w:hAnsi="宋体" w:cs="宋体"/>
          <w:b/>
          <w:sz w:val="24"/>
          <w:szCs w:val="24"/>
        </w:rPr>
        <w:t>单位：元（人民币）</w:t>
      </w:r>
    </w:p>
    <w:tbl>
      <w:tblPr>
        <w:tblStyle w:val="75"/>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5"/>
        <w:gridCol w:w="7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1945" w:type="dxa"/>
            <w:vAlign w:val="center"/>
          </w:tcPr>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供应商名称</w:t>
            </w:r>
          </w:p>
        </w:tc>
        <w:tc>
          <w:tcPr>
            <w:tcW w:w="7425" w:type="dxa"/>
            <w:vAlign w:val="center"/>
          </w:tcPr>
          <w:p>
            <w:pPr>
              <w:spacing w:line="360" w:lineRule="auto"/>
              <w:jc w:val="center"/>
              <w:rPr>
                <w:rFonts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9" w:hRule="atLeast"/>
          <w:jc w:val="center"/>
        </w:trPr>
        <w:tc>
          <w:tcPr>
            <w:tcW w:w="1945" w:type="dxa"/>
            <w:vAlign w:val="center"/>
          </w:tcPr>
          <w:p>
            <w:pPr>
              <w:tabs>
                <w:tab w:val="left" w:pos="1337"/>
              </w:tabs>
              <w:ind w:left="27" w:leftChars="13"/>
              <w:jc w:val="center"/>
              <w:rPr>
                <w:rFonts w:asciiTheme="minorEastAsia" w:hAnsiTheme="minorEastAsia" w:eastAsiaTheme="minorEastAsia"/>
                <w:sz w:val="24"/>
              </w:rPr>
            </w:pPr>
            <w:r>
              <w:rPr>
                <w:rFonts w:hint="eastAsia" w:asciiTheme="minorEastAsia" w:hAnsiTheme="minorEastAsia" w:eastAsiaTheme="minorEastAsia"/>
                <w:sz w:val="24"/>
              </w:rPr>
              <w:t>投标总价</w:t>
            </w:r>
          </w:p>
        </w:tc>
        <w:tc>
          <w:tcPr>
            <w:tcW w:w="7425" w:type="dxa"/>
            <w:vAlign w:val="center"/>
          </w:tcPr>
          <w:p>
            <w:pPr>
              <w:tabs>
                <w:tab w:val="left" w:pos="1337"/>
              </w:tabs>
              <w:ind w:left="191"/>
              <w:rPr>
                <w:rFonts w:asciiTheme="minorEastAsia" w:hAnsiTheme="minorEastAsia" w:eastAsiaTheme="minorEastAsia"/>
                <w:sz w:val="24"/>
                <w:u w:val="single"/>
              </w:rPr>
            </w:pPr>
            <w:r>
              <w:rPr>
                <w:rFonts w:hint="eastAsia" w:asciiTheme="minorEastAsia" w:hAnsiTheme="minorEastAsia" w:eastAsiaTheme="minorEastAsia"/>
                <w:sz w:val="24"/>
              </w:rPr>
              <w:t>大写：</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w:t>
            </w:r>
          </w:p>
          <w:p>
            <w:pPr>
              <w:tabs>
                <w:tab w:val="left" w:pos="1337"/>
              </w:tabs>
              <w:ind w:left="191"/>
              <w:rPr>
                <w:rFonts w:asciiTheme="minorEastAsia" w:hAnsiTheme="minorEastAsia" w:eastAsiaTheme="minorEastAsia"/>
                <w:sz w:val="24"/>
                <w:u w:val="single"/>
              </w:rPr>
            </w:pPr>
          </w:p>
          <w:p>
            <w:pPr>
              <w:tabs>
                <w:tab w:val="left" w:pos="1337"/>
              </w:tabs>
              <w:ind w:left="191"/>
              <w:rPr>
                <w:rFonts w:asciiTheme="minorEastAsia" w:hAnsiTheme="minorEastAsia" w:eastAsiaTheme="minorEastAsia"/>
                <w:sz w:val="24"/>
                <w:u w:val="single"/>
              </w:rPr>
            </w:pPr>
            <w:r>
              <w:rPr>
                <w:rFonts w:hint="eastAsia" w:asciiTheme="minorEastAsia" w:hAnsiTheme="minorEastAsia" w:eastAsiaTheme="minorEastAsia"/>
                <w:sz w:val="24"/>
              </w:rPr>
              <w:t>小写：</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7" w:hRule="atLeast"/>
          <w:jc w:val="center"/>
        </w:trPr>
        <w:tc>
          <w:tcPr>
            <w:tcW w:w="1945" w:type="dxa"/>
            <w:vAlign w:val="center"/>
          </w:tcPr>
          <w:p>
            <w:pPr>
              <w:tabs>
                <w:tab w:val="left" w:pos="1337"/>
              </w:tabs>
              <w:ind w:left="27" w:leftChars="13"/>
              <w:jc w:val="center"/>
              <w:rPr>
                <w:rFonts w:asciiTheme="minorEastAsia" w:hAnsiTheme="minorEastAsia" w:eastAsiaTheme="minorEastAsia"/>
                <w:sz w:val="24"/>
              </w:rPr>
            </w:pPr>
            <w:r>
              <w:rPr>
                <w:rFonts w:hint="eastAsia" w:asciiTheme="minorEastAsia" w:hAnsiTheme="minorEastAsia" w:eastAsiaTheme="minorEastAsia"/>
                <w:sz w:val="24"/>
              </w:rPr>
              <w:t>交付日期</w:t>
            </w:r>
          </w:p>
        </w:tc>
        <w:tc>
          <w:tcPr>
            <w:tcW w:w="7425" w:type="dxa"/>
            <w:vAlign w:val="center"/>
          </w:tcPr>
          <w:p>
            <w:pPr>
              <w:tabs>
                <w:tab w:val="left" w:pos="1337"/>
              </w:tabs>
              <w:spacing w:line="360" w:lineRule="auto"/>
              <w:ind w:left="191"/>
              <w:rPr>
                <w:rFonts w:asciiTheme="minorEastAsia" w:hAnsiTheme="minorEastAsia" w:eastAsiaTheme="minorEastAsia"/>
                <w:bCs/>
                <w:sz w:val="24"/>
                <w:u w:val="single"/>
              </w:rPr>
            </w:pPr>
            <w:r>
              <w:rPr>
                <w:rFonts w:hint="eastAsia" w:asciiTheme="minorEastAsia" w:hAnsiTheme="minorEastAsia" w:eastAsiaTheme="minorEastAsia"/>
                <w:bCs/>
                <w:sz w:val="24"/>
              </w:rPr>
              <w:t>合同签订后</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rPr>
              <w:t>日历日内将全部货物送至指定地点、完成安装调试并具备验收条件。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5" w:hRule="atLeast"/>
          <w:jc w:val="center"/>
        </w:trPr>
        <w:tc>
          <w:tcPr>
            <w:tcW w:w="1945" w:type="dxa"/>
            <w:vAlign w:val="center"/>
          </w:tcPr>
          <w:p>
            <w:pPr>
              <w:tabs>
                <w:tab w:val="left" w:pos="1337"/>
              </w:tabs>
              <w:ind w:left="27" w:leftChars="13"/>
              <w:jc w:val="center"/>
              <w:rPr>
                <w:rFonts w:asciiTheme="minorEastAsia" w:hAnsiTheme="minorEastAsia" w:eastAsiaTheme="minorEastAsia"/>
                <w:sz w:val="24"/>
              </w:rPr>
            </w:pPr>
            <w:r>
              <w:rPr>
                <w:rFonts w:hint="eastAsia" w:asciiTheme="minorEastAsia" w:hAnsiTheme="minorEastAsia" w:eastAsiaTheme="minorEastAsia"/>
                <w:sz w:val="24"/>
              </w:rPr>
              <w:t>质保期</w:t>
            </w:r>
          </w:p>
        </w:tc>
        <w:tc>
          <w:tcPr>
            <w:tcW w:w="7425" w:type="dxa"/>
            <w:vAlign w:val="center"/>
          </w:tcPr>
          <w:p>
            <w:pPr>
              <w:tabs>
                <w:tab w:val="left" w:pos="1337"/>
              </w:tabs>
              <w:spacing w:line="360" w:lineRule="auto"/>
              <w:ind w:left="191"/>
              <w:rPr>
                <w:rFonts w:asciiTheme="minorEastAsia" w:hAnsiTheme="minorEastAsia" w:eastAsiaTheme="minorEastAsia"/>
                <w:sz w:val="24"/>
                <w:u w:val="single"/>
              </w:rPr>
            </w:pP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年。自货到用户指定地点并验收合格之日起算，质保期内提供免费维修维护服务。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2" w:hRule="atLeast"/>
          <w:jc w:val="center"/>
        </w:trPr>
        <w:tc>
          <w:tcPr>
            <w:tcW w:w="1945" w:type="dxa"/>
            <w:vAlign w:val="center"/>
          </w:tcPr>
          <w:p>
            <w:pPr>
              <w:tabs>
                <w:tab w:val="left" w:pos="1337"/>
              </w:tabs>
              <w:ind w:left="27" w:leftChars="13"/>
              <w:jc w:val="center"/>
              <w:rPr>
                <w:rFonts w:asciiTheme="minorEastAsia" w:hAnsiTheme="minorEastAsia" w:eastAsiaTheme="minorEastAsia"/>
                <w:sz w:val="24"/>
              </w:rPr>
            </w:pPr>
            <w:r>
              <w:rPr>
                <w:rFonts w:hint="eastAsia" w:asciiTheme="minorEastAsia" w:hAnsiTheme="minorEastAsia" w:eastAsiaTheme="minorEastAsia"/>
                <w:sz w:val="24"/>
              </w:rPr>
              <w:t>对招标文件的认同程度</w:t>
            </w:r>
          </w:p>
        </w:tc>
        <w:tc>
          <w:tcPr>
            <w:tcW w:w="7425" w:type="dxa"/>
            <w:vAlign w:val="center"/>
          </w:tcPr>
          <w:p>
            <w:pPr>
              <w:tabs>
                <w:tab w:val="left" w:pos="1337"/>
              </w:tabs>
              <w:ind w:left="191"/>
              <w:jc w:val="center"/>
              <w:rPr>
                <w:rFonts w:asciiTheme="minorEastAsia" w:hAnsiTheme="minorEastAsia" w:eastAsiaTheme="minorEastAsia"/>
                <w:sz w:val="24"/>
              </w:rPr>
            </w:pPr>
          </w:p>
        </w:tc>
      </w:tr>
    </w:tbl>
    <w:p>
      <w:pPr>
        <w:spacing w:line="360" w:lineRule="exact"/>
        <w:ind w:right="187"/>
        <w:rPr>
          <w:rFonts w:asciiTheme="minorEastAsia" w:hAnsiTheme="minorEastAsia" w:eastAsiaTheme="minorEastAsia"/>
          <w:bCs/>
          <w:sz w:val="24"/>
          <w:u w:val="single"/>
        </w:rPr>
      </w:pPr>
      <w:r>
        <w:rPr>
          <w:rFonts w:hint="eastAsia" w:asciiTheme="minorEastAsia" w:hAnsiTheme="minorEastAsia" w:eastAsiaTheme="minorEastAsia"/>
          <w:sz w:val="24"/>
        </w:rPr>
        <w:t>供应商名称</w:t>
      </w:r>
      <w:r>
        <w:rPr>
          <w:rFonts w:hint="eastAsia" w:asciiTheme="minorEastAsia" w:hAnsiTheme="minorEastAsia" w:eastAsiaTheme="minorEastAsia"/>
          <w:bCs/>
          <w:sz w:val="24"/>
        </w:rPr>
        <w:t>（公章）：</w:t>
      </w:r>
      <w:r>
        <w:rPr>
          <w:rFonts w:asciiTheme="minorEastAsia" w:hAnsiTheme="minorEastAsia" w:eastAsiaTheme="minorEastAsia"/>
          <w:bCs/>
          <w:sz w:val="24"/>
          <w:u w:val="single"/>
        </w:rPr>
        <w:t xml:space="preserve">               </w:t>
      </w:r>
    </w:p>
    <w:p>
      <w:pPr>
        <w:spacing w:line="360" w:lineRule="exact"/>
        <w:ind w:right="187"/>
        <w:rPr>
          <w:rFonts w:asciiTheme="minorEastAsia" w:hAnsiTheme="minorEastAsia" w:eastAsiaTheme="minorEastAsia"/>
          <w:bCs/>
          <w:sz w:val="24"/>
        </w:rPr>
      </w:pPr>
      <w:r>
        <w:rPr>
          <w:rFonts w:hint="eastAsia" w:asciiTheme="minorEastAsia" w:hAnsiTheme="minorEastAsia" w:eastAsiaTheme="minorEastAsia"/>
          <w:bCs/>
          <w:sz w:val="24"/>
        </w:rPr>
        <w:t>法定代表人或授权代理人</w:t>
      </w:r>
      <w:r>
        <w:rPr>
          <w:rFonts w:hint="eastAsia" w:asciiTheme="minorEastAsia" w:hAnsiTheme="minorEastAsia" w:eastAsiaTheme="minorEastAsia"/>
          <w:sz w:val="24"/>
        </w:rPr>
        <w:t>签字或盖章</w:t>
      </w:r>
      <w:r>
        <w:rPr>
          <w:rFonts w:hint="eastAsia" w:asciiTheme="minorEastAsia" w:hAnsiTheme="minorEastAsia" w:eastAsiaTheme="minorEastAsia"/>
          <w:bCs/>
          <w:sz w:val="24"/>
        </w:rPr>
        <w:t>：</w:t>
      </w:r>
      <w:r>
        <w:rPr>
          <w:rFonts w:asciiTheme="minorEastAsia" w:hAnsiTheme="minorEastAsia" w:eastAsiaTheme="minorEastAsia"/>
          <w:bCs/>
          <w:sz w:val="24"/>
          <w:u w:val="single"/>
        </w:rPr>
        <w:t xml:space="preserve">       </w:t>
      </w:r>
      <w:r>
        <w:rPr>
          <w:rFonts w:asciiTheme="minorEastAsia" w:hAnsiTheme="minorEastAsia" w:eastAsiaTheme="minorEastAsia"/>
          <w:bCs/>
          <w:sz w:val="24"/>
        </w:rPr>
        <w:t xml:space="preserve">     </w:t>
      </w:r>
    </w:p>
    <w:p>
      <w:pPr>
        <w:spacing w:line="400" w:lineRule="exact"/>
        <w:ind w:firstLine="630" w:firstLineChars="300"/>
        <w:rPr>
          <w:rFonts w:asciiTheme="minorEastAsia" w:hAnsiTheme="minorEastAsia" w:eastAsiaTheme="minorEastAsia"/>
          <w:bCs/>
          <w:sz w:val="24"/>
        </w:rPr>
      </w:pPr>
      <w:r>
        <w:rPr>
          <w:rFonts w:asciiTheme="minorEastAsia" w:hAnsiTheme="minorEastAsia" w:eastAsiaTheme="minorEastAsia"/>
        </w:rPr>
        <w:t xml:space="preserve">                                                            </w:t>
      </w:r>
      <w:r>
        <w:rPr>
          <w:rFonts w:hint="eastAsia" w:asciiTheme="minorEastAsia" w:hAnsiTheme="minorEastAsia" w:eastAsiaTheme="minorEastAsia"/>
          <w:bCs/>
          <w:sz w:val="24"/>
        </w:rPr>
        <w:t>年</w:t>
      </w:r>
      <w:r>
        <w:rPr>
          <w:rFonts w:asciiTheme="minorEastAsia" w:hAnsiTheme="minorEastAsia" w:eastAsiaTheme="minorEastAsia"/>
          <w:bCs/>
          <w:sz w:val="24"/>
        </w:rPr>
        <w:t xml:space="preserve">   </w:t>
      </w:r>
      <w:r>
        <w:rPr>
          <w:rFonts w:hint="eastAsia" w:asciiTheme="minorEastAsia" w:hAnsiTheme="minorEastAsia" w:eastAsiaTheme="minorEastAsia"/>
          <w:bCs/>
          <w:sz w:val="24"/>
        </w:rPr>
        <w:t>月</w:t>
      </w:r>
      <w:r>
        <w:rPr>
          <w:rFonts w:asciiTheme="minorEastAsia" w:hAnsiTheme="minorEastAsia" w:eastAsiaTheme="minorEastAsia"/>
          <w:bCs/>
          <w:sz w:val="24"/>
        </w:rPr>
        <w:t xml:space="preserve">   </w:t>
      </w:r>
      <w:r>
        <w:rPr>
          <w:rFonts w:hint="eastAsia" w:asciiTheme="minorEastAsia" w:hAnsiTheme="minorEastAsia" w:eastAsiaTheme="minorEastAsia"/>
          <w:bCs/>
          <w:sz w:val="24"/>
        </w:rPr>
        <w:t>日</w:t>
      </w:r>
    </w:p>
    <w:p>
      <w:pPr>
        <w:pStyle w:val="42"/>
      </w:pPr>
    </w:p>
    <w:p>
      <w:pPr>
        <w:spacing w:line="400" w:lineRule="exact"/>
        <w:ind w:left="723" w:hanging="723" w:hangingChars="300"/>
        <w:rPr>
          <w:rFonts w:asciiTheme="minorEastAsia" w:hAnsiTheme="minorEastAsia" w:eastAsiaTheme="minorEastAsia"/>
          <w:b/>
          <w:sz w:val="24"/>
        </w:rPr>
      </w:pPr>
      <w:r>
        <w:rPr>
          <w:rFonts w:hint="eastAsia" w:asciiTheme="minorEastAsia" w:hAnsiTheme="minorEastAsia" w:eastAsiaTheme="minorEastAsia"/>
          <w:b/>
          <w:sz w:val="24"/>
        </w:rPr>
        <w:t>注：1、</w:t>
      </w:r>
      <w:r>
        <w:rPr>
          <w:rFonts w:hint="eastAsia" w:ascii="宋体" w:hAnsi="宋体"/>
          <w:b/>
          <w:snapToGrid w:val="0"/>
          <w:kern w:val="0"/>
          <w:sz w:val="24"/>
        </w:rPr>
        <w:t>本唱标单需分包制作，</w:t>
      </w:r>
      <w:r>
        <w:rPr>
          <w:rFonts w:hint="eastAsia" w:asciiTheme="minorEastAsia" w:hAnsiTheme="minorEastAsia" w:eastAsiaTheme="minorEastAsia"/>
          <w:b/>
          <w:sz w:val="24"/>
        </w:rPr>
        <w:t>除需在投标文件中装订外，还需另外一式三份单独密封，</w:t>
      </w:r>
      <w:r>
        <w:rPr>
          <w:rFonts w:hint="eastAsia" w:ascii="宋体" w:hAnsi="宋体"/>
          <w:b/>
          <w:snapToGrid w:val="0"/>
          <w:kern w:val="0"/>
          <w:sz w:val="24"/>
        </w:rPr>
        <w:t>与投标文件同时递交，各项内容务必填写详细，可以填满，但不允许添加附页</w:t>
      </w:r>
      <w:r>
        <w:rPr>
          <w:rFonts w:hint="eastAsia" w:asciiTheme="minorEastAsia" w:hAnsiTheme="minorEastAsia" w:eastAsiaTheme="minorEastAsia"/>
          <w:b/>
          <w:sz w:val="24"/>
        </w:rPr>
        <w:t>；</w:t>
      </w:r>
    </w:p>
    <w:p>
      <w:pPr>
        <w:pStyle w:val="73"/>
        <w:ind w:firstLine="482"/>
        <w:rPr>
          <w:rFonts w:asciiTheme="minorEastAsia" w:hAnsiTheme="minorEastAsia" w:eastAsiaTheme="minorEastAsia"/>
          <w:b/>
          <w:kern w:val="2"/>
          <w:sz w:val="24"/>
        </w:rPr>
      </w:pPr>
      <w:r>
        <w:rPr>
          <w:rFonts w:asciiTheme="minorEastAsia" w:hAnsiTheme="minorEastAsia" w:eastAsiaTheme="minorEastAsia"/>
          <w:b/>
          <w:kern w:val="2"/>
          <w:sz w:val="24"/>
        </w:rPr>
        <w:t>2</w:t>
      </w:r>
      <w:r>
        <w:rPr>
          <w:rFonts w:hint="eastAsia" w:asciiTheme="minorEastAsia" w:hAnsiTheme="minorEastAsia" w:eastAsiaTheme="minorEastAsia"/>
          <w:b/>
          <w:kern w:val="2"/>
          <w:sz w:val="24"/>
        </w:rPr>
        <w:t>、本表报价要求详见招标文件第二部分供应商须知正文第10款；</w:t>
      </w:r>
    </w:p>
    <w:p>
      <w:pPr>
        <w:pStyle w:val="73"/>
        <w:ind w:firstLine="482"/>
        <w:rPr>
          <w:rFonts w:asciiTheme="minorEastAsia" w:hAnsiTheme="minorEastAsia" w:eastAsiaTheme="minorEastAsia"/>
          <w:b/>
          <w:kern w:val="2"/>
          <w:sz w:val="24"/>
        </w:rPr>
      </w:pPr>
      <w:r>
        <w:rPr>
          <w:rFonts w:asciiTheme="minorEastAsia" w:hAnsiTheme="minorEastAsia" w:eastAsiaTheme="minorEastAsia"/>
          <w:b/>
          <w:kern w:val="2"/>
          <w:sz w:val="24"/>
        </w:rPr>
        <w:t>3</w:t>
      </w:r>
      <w:r>
        <w:rPr>
          <w:rFonts w:hint="eastAsia" w:asciiTheme="minorEastAsia" w:hAnsiTheme="minorEastAsia" w:eastAsiaTheme="minorEastAsia"/>
          <w:b/>
          <w:kern w:val="2"/>
          <w:sz w:val="24"/>
        </w:rPr>
        <w:t>、本表必须按给定格式填写完整，不允许空白，如无相应内容，填“无”；</w:t>
      </w:r>
    </w:p>
    <w:p>
      <w:pPr>
        <w:pStyle w:val="73"/>
        <w:ind w:firstLine="482"/>
        <w:rPr>
          <w:rFonts w:asciiTheme="minorEastAsia" w:hAnsiTheme="minorEastAsia" w:eastAsiaTheme="minorEastAsia"/>
          <w:b/>
          <w:kern w:val="2"/>
          <w:sz w:val="24"/>
        </w:rPr>
      </w:pPr>
      <w:r>
        <w:rPr>
          <w:rFonts w:asciiTheme="minorEastAsia" w:hAnsiTheme="minorEastAsia" w:eastAsiaTheme="minorEastAsia"/>
          <w:b/>
          <w:kern w:val="2"/>
          <w:sz w:val="24"/>
        </w:rPr>
        <w:t>4</w:t>
      </w:r>
      <w:r>
        <w:rPr>
          <w:rFonts w:hint="eastAsia" w:asciiTheme="minorEastAsia" w:hAnsiTheme="minorEastAsia" w:eastAsiaTheme="minorEastAsia"/>
          <w:b/>
          <w:kern w:val="2"/>
          <w:sz w:val="24"/>
        </w:rPr>
        <w:t>、其中本表投标总价须与报价明细表中总价合计一致。</w:t>
      </w:r>
    </w:p>
    <w:p/>
    <w:p>
      <w:pPr>
        <w:pStyle w:val="73"/>
        <w:ind w:firstLine="420"/>
      </w:pPr>
    </w:p>
    <w:p/>
    <w:p>
      <w:pPr>
        <w:pStyle w:val="73"/>
        <w:ind w:firstLine="420"/>
      </w:pPr>
    </w:p>
    <w:p/>
    <w:p>
      <w:pPr>
        <w:pStyle w:val="73"/>
        <w:ind w:firstLine="420"/>
      </w:pPr>
    </w:p>
    <w:p/>
    <w:p>
      <w:pPr>
        <w:pStyle w:val="3"/>
        <w:spacing w:before="0" w:after="0"/>
        <w:jc w:val="left"/>
        <w:rPr>
          <w:rFonts w:asciiTheme="minorEastAsia" w:hAnsiTheme="minorEastAsia" w:eastAsiaTheme="minorEastAsia"/>
          <w:bCs w:val="0"/>
          <w:sz w:val="24"/>
          <w:szCs w:val="24"/>
        </w:rPr>
      </w:pPr>
      <w:bookmarkStart w:id="196" w:name="_Toc72321852"/>
      <w:bookmarkStart w:id="197" w:name="_Toc1747"/>
      <w:r>
        <w:rPr>
          <w:rFonts w:hint="eastAsia" w:asciiTheme="minorEastAsia" w:hAnsiTheme="minorEastAsia" w:eastAsiaTheme="minorEastAsia"/>
          <w:bCs w:val="0"/>
          <w:sz w:val="24"/>
          <w:szCs w:val="24"/>
        </w:rPr>
        <w:t>附件四：</w:t>
      </w:r>
      <w:bookmarkEnd w:id="196"/>
      <w:r>
        <w:rPr>
          <w:rFonts w:hint="eastAsia" w:asciiTheme="minorEastAsia" w:hAnsiTheme="minorEastAsia" w:eastAsiaTheme="minorEastAsia"/>
          <w:bCs w:val="0"/>
          <w:sz w:val="24"/>
          <w:szCs w:val="24"/>
        </w:rPr>
        <w:t>报价明细表</w:t>
      </w:r>
      <w:bookmarkEnd w:id="197"/>
    </w:p>
    <w:p>
      <w:pPr>
        <w:widowControl/>
        <w:jc w:val="center"/>
        <w:rPr>
          <w:rFonts w:asciiTheme="minorEastAsia" w:hAnsiTheme="minorEastAsia" w:eastAsiaTheme="minorEastAsia"/>
          <w:b/>
          <w:sz w:val="32"/>
        </w:rPr>
      </w:pPr>
      <w:bookmarkStart w:id="198" w:name="_Toc322102942"/>
      <w:bookmarkStart w:id="199" w:name="_Toc72321855"/>
      <w:r>
        <w:rPr>
          <w:rFonts w:hint="eastAsia" w:asciiTheme="minorEastAsia" w:hAnsiTheme="minorEastAsia" w:eastAsiaTheme="minorEastAsia"/>
          <w:b/>
          <w:sz w:val="32"/>
        </w:rPr>
        <w:t>报价明细表</w:t>
      </w:r>
    </w:p>
    <w:p>
      <w:pPr>
        <w:spacing w:line="360" w:lineRule="auto"/>
        <w:rPr>
          <w:rFonts w:asciiTheme="minorEastAsia" w:hAnsiTheme="minorEastAsia" w:eastAsiaTheme="minorEastAsia"/>
          <w:bCs/>
          <w:sz w:val="24"/>
        </w:rPr>
      </w:pPr>
    </w:p>
    <w:p>
      <w:pPr>
        <w:spacing w:line="360" w:lineRule="auto"/>
        <w:rPr>
          <w:rFonts w:asciiTheme="minorEastAsia" w:hAnsiTheme="minorEastAsia" w:eastAsiaTheme="minorEastAsia"/>
          <w:b/>
          <w:color w:val="FF0000"/>
          <w:sz w:val="24"/>
        </w:rPr>
      </w:pPr>
      <w:r>
        <w:rPr>
          <w:rFonts w:hint="eastAsia" w:asciiTheme="minorEastAsia" w:hAnsiTheme="minorEastAsia" w:eastAsiaTheme="minorEastAsia"/>
          <w:b/>
          <w:sz w:val="24"/>
        </w:rPr>
        <w:t xml:space="preserve">项目名称： </w:t>
      </w: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项目编号：</w:t>
      </w:r>
      <w:r>
        <w:rPr>
          <w:rFonts w:asciiTheme="minorEastAsia" w:hAnsiTheme="minorEastAsia" w:eastAsiaTheme="minorEastAsia"/>
          <w:b/>
          <w:sz w:val="24"/>
        </w:rPr>
        <w:t xml:space="preserve"> </w:t>
      </w:r>
    </w:p>
    <w:p>
      <w:pPr>
        <w:pStyle w:val="42"/>
        <w:rPr>
          <w:rFonts w:hAnsi="宋体" w:cs="宋体"/>
          <w:b/>
          <w:sz w:val="24"/>
        </w:rPr>
      </w:pPr>
      <w:r>
        <w:rPr>
          <w:rFonts w:hint="eastAsia" w:asciiTheme="minorEastAsia" w:hAnsiTheme="minorEastAsia" w:eastAsiaTheme="minorEastAsia"/>
          <w:b/>
          <w:sz w:val="24"/>
        </w:rPr>
        <w:t xml:space="preserve">包    号： </w:t>
      </w:r>
      <w:r>
        <w:rPr>
          <w:rFonts w:hint="eastAsia" w:hAnsi="宋体" w:cs="宋体"/>
          <w:b/>
          <w:sz w:val="24"/>
          <w:szCs w:val="24"/>
        </w:rPr>
        <w:t xml:space="preserve">                                  单位：元（人民币）</w:t>
      </w:r>
    </w:p>
    <w:tbl>
      <w:tblPr>
        <w:tblStyle w:val="75"/>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327"/>
        <w:gridCol w:w="914"/>
        <w:gridCol w:w="1620"/>
        <w:gridCol w:w="980"/>
        <w:gridCol w:w="1089"/>
        <w:gridCol w:w="774"/>
        <w:gridCol w:w="804"/>
        <w:gridCol w:w="812"/>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32" w:hRule="atLeast"/>
          <w:jc w:val="center"/>
        </w:trPr>
        <w:tc>
          <w:tcPr>
            <w:tcW w:w="664" w:type="dxa"/>
            <w:tcBorders>
              <w:bottom w:val="single" w:color="auto" w:sz="4" w:space="0"/>
            </w:tcBorders>
            <w:vAlign w:val="center"/>
          </w:tcPr>
          <w:p>
            <w:pPr>
              <w:tabs>
                <w:tab w:val="left" w:pos="1337"/>
              </w:tabs>
              <w:spacing w:line="360" w:lineRule="auto"/>
              <w:ind w:left="-42" w:right="-1"/>
              <w:jc w:val="center"/>
              <w:rPr>
                <w:rFonts w:ascii="宋体" w:hAnsi="宋体" w:cs="宋体"/>
                <w:b/>
                <w:bCs/>
                <w:sz w:val="24"/>
              </w:rPr>
            </w:pPr>
            <w:r>
              <w:rPr>
                <w:rFonts w:hint="eastAsia" w:ascii="宋体" w:hAnsi="宋体" w:cs="宋体"/>
                <w:b/>
                <w:bCs/>
                <w:sz w:val="24"/>
              </w:rPr>
              <w:t>序号</w:t>
            </w:r>
          </w:p>
        </w:tc>
        <w:tc>
          <w:tcPr>
            <w:tcW w:w="1327" w:type="dxa"/>
            <w:tcBorders>
              <w:bottom w:val="single" w:color="auto" w:sz="4" w:space="0"/>
            </w:tcBorders>
            <w:vAlign w:val="center"/>
          </w:tcPr>
          <w:p>
            <w:pPr>
              <w:tabs>
                <w:tab w:val="left" w:pos="1337"/>
              </w:tabs>
              <w:spacing w:line="360" w:lineRule="auto"/>
              <w:ind w:right="-1"/>
              <w:jc w:val="center"/>
              <w:rPr>
                <w:rFonts w:ascii="宋体" w:hAnsi="宋体" w:cs="宋体"/>
                <w:b/>
                <w:bCs/>
                <w:sz w:val="24"/>
              </w:rPr>
            </w:pPr>
            <w:r>
              <w:rPr>
                <w:rFonts w:hint="eastAsia" w:ascii="宋体" w:hAnsi="宋体" w:cs="宋体"/>
                <w:b/>
                <w:bCs/>
                <w:sz w:val="24"/>
              </w:rPr>
              <w:t>货物名称</w:t>
            </w:r>
          </w:p>
        </w:tc>
        <w:tc>
          <w:tcPr>
            <w:tcW w:w="914" w:type="dxa"/>
            <w:tcBorders>
              <w:bottom w:val="single" w:color="auto" w:sz="4" w:space="0"/>
            </w:tcBorders>
            <w:vAlign w:val="center"/>
          </w:tcPr>
          <w:p>
            <w:pPr>
              <w:tabs>
                <w:tab w:val="left" w:pos="1337"/>
              </w:tabs>
              <w:spacing w:line="360" w:lineRule="auto"/>
              <w:ind w:left="-42" w:right="-1"/>
              <w:jc w:val="center"/>
              <w:rPr>
                <w:rFonts w:ascii="宋体" w:hAnsi="宋体" w:cs="宋体"/>
                <w:b/>
                <w:bCs/>
                <w:sz w:val="24"/>
              </w:rPr>
            </w:pPr>
            <w:r>
              <w:rPr>
                <w:rFonts w:hint="eastAsia" w:ascii="宋体" w:hAnsi="宋体" w:cs="宋体"/>
                <w:b/>
                <w:bCs/>
                <w:sz w:val="24"/>
              </w:rPr>
              <w:t>品牌</w:t>
            </w:r>
          </w:p>
        </w:tc>
        <w:tc>
          <w:tcPr>
            <w:tcW w:w="1620" w:type="dxa"/>
            <w:tcBorders>
              <w:bottom w:val="single" w:color="auto" w:sz="4" w:space="0"/>
            </w:tcBorders>
            <w:vAlign w:val="center"/>
          </w:tcPr>
          <w:p>
            <w:pPr>
              <w:tabs>
                <w:tab w:val="left" w:pos="1337"/>
              </w:tabs>
              <w:spacing w:line="360" w:lineRule="auto"/>
              <w:ind w:left="-42" w:right="-1"/>
              <w:jc w:val="center"/>
              <w:rPr>
                <w:rFonts w:ascii="宋体" w:hAnsi="宋体" w:cs="宋体"/>
                <w:b/>
                <w:bCs/>
                <w:sz w:val="24"/>
              </w:rPr>
            </w:pPr>
            <w:r>
              <w:rPr>
                <w:rFonts w:hint="eastAsia" w:ascii="宋体" w:hAnsi="宋体" w:cs="宋体"/>
                <w:b/>
                <w:bCs/>
                <w:sz w:val="24"/>
              </w:rPr>
              <w:t>型号及规格</w:t>
            </w:r>
          </w:p>
        </w:tc>
        <w:tc>
          <w:tcPr>
            <w:tcW w:w="980" w:type="dxa"/>
            <w:tcBorders>
              <w:bottom w:val="single" w:color="auto" w:sz="4" w:space="0"/>
            </w:tcBorders>
            <w:vAlign w:val="center"/>
          </w:tcPr>
          <w:p>
            <w:pPr>
              <w:tabs>
                <w:tab w:val="left" w:pos="1337"/>
              </w:tabs>
              <w:spacing w:line="360" w:lineRule="auto"/>
              <w:ind w:left="-42" w:right="-1"/>
              <w:jc w:val="center"/>
              <w:rPr>
                <w:rFonts w:ascii="宋体" w:hAnsi="宋体" w:cs="宋体"/>
                <w:b/>
                <w:bCs/>
                <w:sz w:val="24"/>
              </w:rPr>
            </w:pPr>
            <w:r>
              <w:rPr>
                <w:rFonts w:hint="eastAsia" w:ascii="宋体" w:hAnsi="宋体" w:cs="宋体"/>
                <w:b/>
                <w:bCs/>
                <w:sz w:val="24"/>
              </w:rPr>
              <w:t>制造商</w:t>
            </w:r>
          </w:p>
        </w:tc>
        <w:tc>
          <w:tcPr>
            <w:tcW w:w="1089" w:type="dxa"/>
            <w:tcBorders>
              <w:bottom w:val="single" w:color="auto" w:sz="4" w:space="0"/>
            </w:tcBorders>
            <w:vAlign w:val="center"/>
          </w:tcPr>
          <w:p>
            <w:pPr>
              <w:tabs>
                <w:tab w:val="left" w:pos="1337"/>
              </w:tabs>
              <w:spacing w:line="360" w:lineRule="auto"/>
              <w:ind w:right="-1"/>
              <w:jc w:val="center"/>
              <w:rPr>
                <w:rFonts w:ascii="宋体" w:hAnsi="宋体" w:cs="宋体"/>
                <w:b/>
                <w:bCs/>
                <w:sz w:val="24"/>
              </w:rPr>
            </w:pPr>
            <w:r>
              <w:rPr>
                <w:rFonts w:hint="eastAsia" w:ascii="宋体" w:hAnsi="宋体" w:cs="宋体"/>
                <w:b/>
                <w:bCs/>
                <w:sz w:val="24"/>
              </w:rPr>
              <w:t>原产地</w:t>
            </w:r>
          </w:p>
        </w:tc>
        <w:tc>
          <w:tcPr>
            <w:tcW w:w="774" w:type="dxa"/>
            <w:tcBorders>
              <w:bottom w:val="single" w:color="auto" w:sz="4" w:space="0"/>
            </w:tcBorders>
            <w:vAlign w:val="center"/>
          </w:tcPr>
          <w:p>
            <w:pPr>
              <w:tabs>
                <w:tab w:val="left" w:pos="1337"/>
              </w:tabs>
              <w:spacing w:line="360" w:lineRule="auto"/>
              <w:ind w:right="-1"/>
              <w:jc w:val="center"/>
              <w:rPr>
                <w:rFonts w:ascii="宋体" w:hAnsi="宋体" w:cs="宋体"/>
                <w:b/>
                <w:bCs/>
                <w:sz w:val="24"/>
              </w:rPr>
            </w:pPr>
            <w:r>
              <w:rPr>
                <w:rFonts w:hint="eastAsia" w:ascii="宋体" w:hAnsi="宋体" w:cs="宋体"/>
                <w:b/>
                <w:bCs/>
                <w:sz w:val="24"/>
              </w:rPr>
              <w:t>单价</w:t>
            </w:r>
          </w:p>
        </w:tc>
        <w:tc>
          <w:tcPr>
            <w:tcW w:w="804" w:type="dxa"/>
            <w:tcBorders>
              <w:bottom w:val="single" w:color="auto" w:sz="4" w:space="0"/>
            </w:tcBorders>
            <w:vAlign w:val="center"/>
          </w:tcPr>
          <w:p>
            <w:pPr>
              <w:tabs>
                <w:tab w:val="left" w:pos="1337"/>
              </w:tabs>
              <w:spacing w:line="360" w:lineRule="auto"/>
              <w:ind w:right="-1"/>
              <w:jc w:val="center"/>
              <w:rPr>
                <w:rFonts w:ascii="宋体" w:hAnsi="宋体" w:cs="宋体"/>
                <w:b/>
                <w:bCs/>
                <w:sz w:val="24"/>
              </w:rPr>
            </w:pPr>
            <w:r>
              <w:rPr>
                <w:rFonts w:hint="eastAsia" w:ascii="宋体" w:hAnsi="宋体" w:cs="宋体"/>
                <w:b/>
                <w:bCs/>
                <w:sz w:val="24"/>
              </w:rPr>
              <w:t>数量</w:t>
            </w:r>
          </w:p>
        </w:tc>
        <w:tc>
          <w:tcPr>
            <w:tcW w:w="812" w:type="dxa"/>
            <w:tcBorders>
              <w:bottom w:val="single" w:color="auto" w:sz="4" w:space="0"/>
            </w:tcBorders>
            <w:vAlign w:val="center"/>
          </w:tcPr>
          <w:p>
            <w:pPr>
              <w:tabs>
                <w:tab w:val="left" w:pos="1337"/>
              </w:tabs>
              <w:spacing w:line="360" w:lineRule="auto"/>
              <w:ind w:right="-1"/>
              <w:jc w:val="center"/>
              <w:rPr>
                <w:rFonts w:ascii="宋体" w:hAnsi="宋体" w:cs="宋体"/>
                <w:b/>
                <w:bCs/>
                <w:sz w:val="24"/>
              </w:rPr>
            </w:pPr>
            <w:r>
              <w:rPr>
                <w:rFonts w:hint="eastAsia" w:ascii="宋体" w:hAnsi="宋体" w:cs="宋体"/>
                <w:b/>
                <w:bCs/>
                <w:sz w:val="24"/>
              </w:rPr>
              <w:t>总价</w:t>
            </w:r>
          </w:p>
        </w:tc>
        <w:tc>
          <w:tcPr>
            <w:tcW w:w="825" w:type="dxa"/>
            <w:tcBorders>
              <w:bottom w:val="single" w:color="auto" w:sz="4" w:space="0"/>
            </w:tcBorders>
            <w:vAlign w:val="center"/>
          </w:tcPr>
          <w:p>
            <w:pPr>
              <w:tabs>
                <w:tab w:val="left" w:pos="1337"/>
              </w:tabs>
              <w:spacing w:line="360" w:lineRule="auto"/>
              <w:ind w:right="-1"/>
              <w:jc w:val="center"/>
              <w:rPr>
                <w:rFonts w:ascii="宋体" w:hAnsi="宋体" w:cs="宋体"/>
                <w:b/>
                <w:bCs/>
                <w:sz w:val="24"/>
              </w:rPr>
            </w:pPr>
            <w:r>
              <w:rPr>
                <w:rFonts w:hint="eastAsia" w:ascii="宋体" w:hAnsi="宋体" w:cs="宋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664" w:type="dxa"/>
            <w:vAlign w:val="center"/>
          </w:tcPr>
          <w:p>
            <w:pPr>
              <w:tabs>
                <w:tab w:val="left" w:pos="1337"/>
              </w:tabs>
              <w:spacing w:line="360" w:lineRule="auto"/>
              <w:ind w:right="-1"/>
              <w:jc w:val="center"/>
              <w:rPr>
                <w:rFonts w:ascii="宋体" w:hAnsi="宋体" w:cs="宋体"/>
                <w:sz w:val="24"/>
              </w:rPr>
            </w:pPr>
            <w:r>
              <w:rPr>
                <w:rFonts w:hint="eastAsia" w:ascii="宋体" w:hAnsi="宋体" w:cs="宋体"/>
                <w:sz w:val="24"/>
              </w:rPr>
              <w:t>1</w:t>
            </w:r>
          </w:p>
        </w:tc>
        <w:tc>
          <w:tcPr>
            <w:tcW w:w="1327" w:type="dxa"/>
            <w:vAlign w:val="center"/>
          </w:tcPr>
          <w:p>
            <w:pPr>
              <w:tabs>
                <w:tab w:val="left" w:pos="1337"/>
              </w:tabs>
              <w:spacing w:line="360" w:lineRule="auto"/>
              <w:ind w:right="-1"/>
              <w:jc w:val="center"/>
              <w:rPr>
                <w:rFonts w:ascii="宋体" w:hAnsi="宋体" w:cs="宋体"/>
                <w:sz w:val="24"/>
              </w:rPr>
            </w:pPr>
          </w:p>
        </w:tc>
        <w:tc>
          <w:tcPr>
            <w:tcW w:w="914" w:type="dxa"/>
            <w:vAlign w:val="center"/>
          </w:tcPr>
          <w:p>
            <w:pPr>
              <w:tabs>
                <w:tab w:val="left" w:pos="1337"/>
              </w:tabs>
              <w:spacing w:line="360" w:lineRule="auto"/>
              <w:ind w:right="-1"/>
              <w:jc w:val="center"/>
              <w:rPr>
                <w:rFonts w:ascii="宋体" w:hAnsi="宋体" w:cs="宋体"/>
                <w:sz w:val="24"/>
              </w:rPr>
            </w:pPr>
          </w:p>
        </w:tc>
        <w:tc>
          <w:tcPr>
            <w:tcW w:w="1620" w:type="dxa"/>
            <w:vAlign w:val="center"/>
          </w:tcPr>
          <w:p>
            <w:pPr>
              <w:tabs>
                <w:tab w:val="left" w:pos="1337"/>
              </w:tabs>
              <w:spacing w:line="360" w:lineRule="auto"/>
              <w:ind w:right="-1"/>
              <w:jc w:val="center"/>
              <w:rPr>
                <w:rFonts w:ascii="宋体" w:hAnsi="宋体" w:cs="宋体"/>
                <w:sz w:val="24"/>
              </w:rPr>
            </w:pPr>
          </w:p>
        </w:tc>
        <w:tc>
          <w:tcPr>
            <w:tcW w:w="980" w:type="dxa"/>
            <w:vAlign w:val="center"/>
          </w:tcPr>
          <w:p>
            <w:pPr>
              <w:tabs>
                <w:tab w:val="left" w:pos="1337"/>
              </w:tabs>
              <w:spacing w:line="360" w:lineRule="auto"/>
              <w:ind w:right="-1"/>
              <w:jc w:val="center"/>
              <w:rPr>
                <w:rFonts w:ascii="宋体" w:hAnsi="宋体" w:cs="宋体"/>
                <w:sz w:val="24"/>
              </w:rPr>
            </w:pPr>
          </w:p>
        </w:tc>
        <w:tc>
          <w:tcPr>
            <w:tcW w:w="1089" w:type="dxa"/>
            <w:vAlign w:val="center"/>
          </w:tcPr>
          <w:p>
            <w:pPr>
              <w:tabs>
                <w:tab w:val="left" w:pos="1337"/>
              </w:tabs>
              <w:spacing w:line="360" w:lineRule="auto"/>
              <w:ind w:right="-1"/>
              <w:jc w:val="center"/>
              <w:rPr>
                <w:rFonts w:ascii="宋体" w:hAnsi="宋体" w:cs="宋体"/>
                <w:sz w:val="24"/>
              </w:rPr>
            </w:pPr>
          </w:p>
        </w:tc>
        <w:tc>
          <w:tcPr>
            <w:tcW w:w="774" w:type="dxa"/>
            <w:vAlign w:val="center"/>
          </w:tcPr>
          <w:p>
            <w:pPr>
              <w:tabs>
                <w:tab w:val="left" w:pos="1337"/>
              </w:tabs>
              <w:spacing w:line="360" w:lineRule="auto"/>
              <w:ind w:right="-1"/>
              <w:jc w:val="center"/>
              <w:rPr>
                <w:rFonts w:ascii="宋体" w:hAnsi="宋体" w:cs="宋体"/>
                <w:sz w:val="24"/>
              </w:rPr>
            </w:pPr>
          </w:p>
        </w:tc>
        <w:tc>
          <w:tcPr>
            <w:tcW w:w="804" w:type="dxa"/>
            <w:vAlign w:val="center"/>
          </w:tcPr>
          <w:p>
            <w:pPr>
              <w:tabs>
                <w:tab w:val="left" w:pos="1337"/>
              </w:tabs>
              <w:spacing w:line="360" w:lineRule="auto"/>
              <w:ind w:right="-1"/>
              <w:jc w:val="center"/>
              <w:rPr>
                <w:rFonts w:ascii="宋体" w:hAnsi="宋体" w:cs="宋体"/>
                <w:sz w:val="24"/>
              </w:rPr>
            </w:pPr>
          </w:p>
        </w:tc>
        <w:tc>
          <w:tcPr>
            <w:tcW w:w="812" w:type="dxa"/>
            <w:vAlign w:val="center"/>
          </w:tcPr>
          <w:p>
            <w:pPr>
              <w:tabs>
                <w:tab w:val="left" w:pos="1337"/>
              </w:tabs>
              <w:spacing w:line="360" w:lineRule="auto"/>
              <w:ind w:right="-1"/>
              <w:jc w:val="center"/>
              <w:rPr>
                <w:rFonts w:ascii="宋体" w:hAnsi="宋体" w:cs="宋体"/>
                <w:sz w:val="24"/>
              </w:rPr>
            </w:pPr>
          </w:p>
        </w:tc>
        <w:tc>
          <w:tcPr>
            <w:tcW w:w="825" w:type="dxa"/>
            <w:vAlign w:val="center"/>
          </w:tcPr>
          <w:p>
            <w:pPr>
              <w:tabs>
                <w:tab w:val="left" w:pos="1337"/>
              </w:tabs>
              <w:spacing w:line="360" w:lineRule="auto"/>
              <w:ind w:right="-1"/>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664" w:type="dxa"/>
            <w:vAlign w:val="center"/>
          </w:tcPr>
          <w:p>
            <w:pPr>
              <w:tabs>
                <w:tab w:val="left" w:pos="1337"/>
              </w:tabs>
              <w:spacing w:line="360" w:lineRule="auto"/>
              <w:ind w:right="-1"/>
              <w:jc w:val="center"/>
              <w:rPr>
                <w:rFonts w:ascii="宋体" w:hAnsi="宋体" w:cs="宋体"/>
                <w:sz w:val="24"/>
              </w:rPr>
            </w:pPr>
            <w:r>
              <w:rPr>
                <w:rFonts w:hint="eastAsia" w:ascii="宋体" w:hAnsi="宋体" w:cs="宋体"/>
                <w:sz w:val="24"/>
              </w:rPr>
              <w:t>2</w:t>
            </w:r>
          </w:p>
        </w:tc>
        <w:tc>
          <w:tcPr>
            <w:tcW w:w="1327" w:type="dxa"/>
            <w:vAlign w:val="center"/>
          </w:tcPr>
          <w:p>
            <w:pPr>
              <w:tabs>
                <w:tab w:val="left" w:pos="1337"/>
              </w:tabs>
              <w:spacing w:line="360" w:lineRule="auto"/>
              <w:ind w:right="-1"/>
              <w:jc w:val="center"/>
              <w:rPr>
                <w:rFonts w:ascii="宋体" w:hAnsi="宋体" w:cs="宋体"/>
                <w:sz w:val="24"/>
              </w:rPr>
            </w:pPr>
          </w:p>
        </w:tc>
        <w:tc>
          <w:tcPr>
            <w:tcW w:w="914" w:type="dxa"/>
            <w:vAlign w:val="center"/>
          </w:tcPr>
          <w:p>
            <w:pPr>
              <w:tabs>
                <w:tab w:val="left" w:pos="1337"/>
              </w:tabs>
              <w:spacing w:line="360" w:lineRule="auto"/>
              <w:ind w:right="-1"/>
              <w:jc w:val="center"/>
              <w:rPr>
                <w:rFonts w:ascii="宋体" w:hAnsi="宋体" w:cs="宋体"/>
                <w:sz w:val="24"/>
              </w:rPr>
            </w:pPr>
          </w:p>
        </w:tc>
        <w:tc>
          <w:tcPr>
            <w:tcW w:w="1620" w:type="dxa"/>
            <w:vAlign w:val="center"/>
          </w:tcPr>
          <w:p>
            <w:pPr>
              <w:tabs>
                <w:tab w:val="left" w:pos="1337"/>
              </w:tabs>
              <w:spacing w:line="360" w:lineRule="auto"/>
              <w:ind w:right="-1"/>
              <w:jc w:val="center"/>
              <w:rPr>
                <w:rFonts w:ascii="宋体" w:hAnsi="宋体" w:cs="宋体"/>
                <w:sz w:val="24"/>
              </w:rPr>
            </w:pPr>
          </w:p>
        </w:tc>
        <w:tc>
          <w:tcPr>
            <w:tcW w:w="980" w:type="dxa"/>
            <w:vAlign w:val="center"/>
          </w:tcPr>
          <w:p>
            <w:pPr>
              <w:tabs>
                <w:tab w:val="left" w:pos="1337"/>
              </w:tabs>
              <w:spacing w:line="360" w:lineRule="auto"/>
              <w:ind w:right="-1"/>
              <w:jc w:val="center"/>
              <w:rPr>
                <w:rFonts w:ascii="宋体" w:hAnsi="宋体" w:cs="宋体"/>
                <w:sz w:val="24"/>
              </w:rPr>
            </w:pPr>
          </w:p>
        </w:tc>
        <w:tc>
          <w:tcPr>
            <w:tcW w:w="1089" w:type="dxa"/>
            <w:vAlign w:val="center"/>
          </w:tcPr>
          <w:p>
            <w:pPr>
              <w:tabs>
                <w:tab w:val="left" w:pos="1337"/>
              </w:tabs>
              <w:spacing w:line="360" w:lineRule="auto"/>
              <w:ind w:right="-1"/>
              <w:jc w:val="center"/>
              <w:rPr>
                <w:rFonts w:ascii="宋体" w:hAnsi="宋体" w:cs="宋体"/>
                <w:sz w:val="24"/>
              </w:rPr>
            </w:pPr>
          </w:p>
        </w:tc>
        <w:tc>
          <w:tcPr>
            <w:tcW w:w="774" w:type="dxa"/>
            <w:vAlign w:val="center"/>
          </w:tcPr>
          <w:p>
            <w:pPr>
              <w:tabs>
                <w:tab w:val="left" w:pos="1337"/>
              </w:tabs>
              <w:spacing w:line="360" w:lineRule="auto"/>
              <w:ind w:right="-1"/>
              <w:jc w:val="center"/>
              <w:rPr>
                <w:rFonts w:ascii="宋体" w:hAnsi="宋体" w:cs="宋体"/>
                <w:sz w:val="24"/>
              </w:rPr>
            </w:pPr>
          </w:p>
        </w:tc>
        <w:tc>
          <w:tcPr>
            <w:tcW w:w="804" w:type="dxa"/>
            <w:vAlign w:val="center"/>
          </w:tcPr>
          <w:p>
            <w:pPr>
              <w:tabs>
                <w:tab w:val="left" w:pos="1337"/>
              </w:tabs>
              <w:spacing w:line="360" w:lineRule="auto"/>
              <w:ind w:right="-1"/>
              <w:jc w:val="center"/>
              <w:rPr>
                <w:rFonts w:ascii="宋体" w:hAnsi="宋体" w:cs="宋体"/>
                <w:sz w:val="24"/>
              </w:rPr>
            </w:pPr>
          </w:p>
        </w:tc>
        <w:tc>
          <w:tcPr>
            <w:tcW w:w="812" w:type="dxa"/>
            <w:vAlign w:val="center"/>
          </w:tcPr>
          <w:p>
            <w:pPr>
              <w:tabs>
                <w:tab w:val="left" w:pos="1337"/>
              </w:tabs>
              <w:spacing w:line="360" w:lineRule="auto"/>
              <w:ind w:right="-1"/>
              <w:jc w:val="center"/>
              <w:rPr>
                <w:rFonts w:ascii="宋体" w:hAnsi="宋体" w:cs="宋体"/>
                <w:sz w:val="24"/>
              </w:rPr>
            </w:pPr>
          </w:p>
        </w:tc>
        <w:tc>
          <w:tcPr>
            <w:tcW w:w="825" w:type="dxa"/>
            <w:vAlign w:val="center"/>
          </w:tcPr>
          <w:p>
            <w:pPr>
              <w:tabs>
                <w:tab w:val="left" w:pos="1337"/>
              </w:tabs>
              <w:spacing w:line="360" w:lineRule="auto"/>
              <w:ind w:right="-1"/>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664" w:type="dxa"/>
            <w:vAlign w:val="center"/>
          </w:tcPr>
          <w:p>
            <w:pPr>
              <w:tabs>
                <w:tab w:val="left" w:pos="1337"/>
              </w:tabs>
              <w:spacing w:line="360" w:lineRule="auto"/>
              <w:ind w:right="-1"/>
              <w:jc w:val="center"/>
              <w:rPr>
                <w:rFonts w:ascii="宋体" w:hAnsi="宋体" w:cs="宋体"/>
                <w:sz w:val="24"/>
              </w:rPr>
            </w:pPr>
            <w:r>
              <w:rPr>
                <w:rFonts w:hint="eastAsia" w:ascii="宋体" w:hAnsi="宋体" w:cs="宋体"/>
                <w:sz w:val="24"/>
              </w:rPr>
              <w:t>3</w:t>
            </w:r>
          </w:p>
        </w:tc>
        <w:tc>
          <w:tcPr>
            <w:tcW w:w="1327" w:type="dxa"/>
            <w:vAlign w:val="center"/>
          </w:tcPr>
          <w:p>
            <w:pPr>
              <w:tabs>
                <w:tab w:val="left" w:pos="1337"/>
              </w:tabs>
              <w:spacing w:line="360" w:lineRule="auto"/>
              <w:ind w:right="-1"/>
              <w:jc w:val="center"/>
              <w:rPr>
                <w:rFonts w:ascii="宋体" w:hAnsi="宋体" w:cs="宋体"/>
                <w:sz w:val="24"/>
              </w:rPr>
            </w:pPr>
          </w:p>
        </w:tc>
        <w:tc>
          <w:tcPr>
            <w:tcW w:w="914" w:type="dxa"/>
            <w:vAlign w:val="center"/>
          </w:tcPr>
          <w:p>
            <w:pPr>
              <w:tabs>
                <w:tab w:val="left" w:pos="1337"/>
              </w:tabs>
              <w:spacing w:line="360" w:lineRule="auto"/>
              <w:ind w:right="-1"/>
              <w:jc w:val="center"/>
              <w:rPr>
                <w:rFonts w:ascii="宋体" w:hAnsi="宋体" w:cs="宋体"/>
                <w:sz w:val="24"/>
              </w:rPr>
            </w:pPr>
          </w:p>
        </w:tc>
        <w:tc>
          <w:tcPr>
            <w:tcW w:w="1620" w:type="dxa"/>
            <w:vAlign w:val="center"/>
          </w:tcPr>
          <w:p>
            <w:pPr>
              <w:tabs>
                <w:tab w:val="left" w:pos="1337"/>
              </w:tabs>
              <w:spacing w:line="360" w:lineRule="auto"/>
              <w:ind w:right="-1"/>
              <w:jc w:val="center"/>
              <w:rPr>
                <w:rFonts w:ascii="宋体" w:hAnsi="宋体" w:cs="宋体"/>
                <w:sz w:val="24"/>
              </w:rPr>
            </w:pPr>
          </w:p>
        </w:tc>
        <w:tc>
          <w:tcPr>
            <w:tcW w:w="980" w:type="dxa"/>
            <w:vAlign w:val="center"/>
          </w:tcPr>
          <w:p>
            <w:pPr>
              <w:tabs>
                <w:tab w:val="left" w:pos="1337"/>
              </w:tabs>
              <w:spacing w:line="360" w:lineRule="auto"/>
              <w:ind w:right="-1"/>
              <w:jc w:val="center"/>
              <w:rPr>
                <w:rFonts w:ascii="宋体" w:hAnsi="宋体" w:cs="宋体"/>
                <w:sz w:val="24"/>
              </w:rPr>
            </w:pPr>
          </w:p>
        </w:tc>
        <w:tc>
          <w:tcPr>
            <w:tcW w:w="1089" w:type="dxa"/>
            <w:vAlign w:val="center"/>
          </w:tcPr>
          <w:p>
            <w:pPr>
              <w:tabs>
                <w:tab w:val="left" w:pos="1337"/>
              </w:tabs>
              <w:spacing w:line="360" w:lineRule="auto"/>
              <w:ind w:right="-1"/>
              <w:jc w:val="center"/>
              <w:rPr>
                <w:rFonts w:ascii="宋体" w:hAnsi="宋体" w:cs="宋体"/>
                <w:sz w:val="24"/>
              </w:rPr>
            </w:pPr>
          </w:p>
        </w:tc>
        <w:tc>
          <w:tcPr>
            <w:tcW w:w="774" w:type="dxa"/>
            <w:vAlign w:val="center"/>
          </w:tcPr>
          <w:p>
            <w:pPr>
              <w:tabs>
                <w:tab w:val="left" w:pos="1337"/>
              </w:tabs>
              <w:spacing w:line="360" w:lineRule="auto"/>
              <w:ind w:right="-1"/>
              <w:jc w:val="center"/>
              <w:rPr>
                <w:rFonts w:ascii="宋体" w:hAnsi="宋体" w:cs="宋体"/>
                <w:sz w:val="24"/>
              </w:rPr>
            </w:pPr>
          </w:p>
        </w:tc>
        <w:tc>
          <w:tcPr>
            <w:tcW w:w="804" w:type="dxa"/>
            <w:vAlign w:val="center"/>
          </w:tcPr>
          <w:p>
            <w:pPr>
              <w:tabs>
                <w:tab w:val="left" w:pos="1337"/>
              </w:tabs>
              <w:spacing w:line="360" w:lineRule="auto"/>
              <w:ind w:right="-1"/>
              <w:jc w:val="center"/>
              <w:rPr>
                <w:rFonts w:ascii="宋体" w:hAnsi="宋体" w:cs="宋体"/>
                <w:sz w:val="24"/>
              </w:rPr>
            </w:pPr>
          </w:p>
        </w:tc>
        <w:tc>
          <w:tcPr>
            <w:tcW w:w="812" w:type="dxa"/>
            <w:vAlign w:val="center"/>
          </w:tcPr>
          <w:p>
            <w:pPr>
              <w:tabs>
                <w:tab w:val="left" w:pos="1337"/>
              </w:tabs>
              <w:spacing w:line="360" w:lineRule="auto"/>
              <w:ind w:right="-1"/>
              <w:jc w:val="center"/>
              <w:rPr>
                <w:rFonts w:ascii="宋体" w:hAnsi="宋体" w:cs="宋体"/>
                <w:sz w:val="24"/>
              </w:rPr>
            </w:pPr>
          </w:p>
        </w:tc>
        <w:tc>
          <w:tcPr>
            <w:tcW w:w="825" w:type="dxa"/>
            <w:vAlign w:val="center"/>
          </w:tcPr>
          <w:p>
            <w:pPr>
              <w:tabs>
                <w:tab w:val="left" w:pos="1337"/>
              </w:tabs>
              <w:spacing w:line="360" w:lineRule="auto"/>
              <w:ind w:right="-1"/>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664" w:type="dxa"/>
            <w:vAlign w:val="center"/>
          </w:tcPr>
          <w:p>
            <w:pPr>
              <w:tabs>
                <w:tab w:val="left" w:pos="1337"/>
              </w:tabs>
              <w:spacing w:line="360" w:lineRule="auto"/>
              <w:ind w:right="-1"/>
              <w:jc w:val="center"/>
              <w:rPr>
                <w:rFonts w:ascii="宋体" w:hAnsi="宋体" w:cs="宋体"/>
                <w:sz w:val="24"/>
              </w:rPr>
            </w:pPr>
            <w:r>
              <w:rPr>
                <w:rFonts w:hint="eastAsia" w:ascii="宋体" w:hAnsi="宋体" w:cs="宋体"/>
                <w:sz w:val="24"/>
              </w:rPr>
              <w:t>4</w:t>
            </w:r>
          </w:p>
        </w:tc>
        <w:tc>
          <w:tcPr>
            <w:tcW w:w="1327" w:type="dxa"/>
            <w:vAlign w:val="center"/>
          </w:tcPr>
          <w:p>
            <w:pPr>
              <w:tabs>
                <w:tab w:val="left" w:pos="1337"/>
              </w:tabs>
              <w:spacing w:line="360" w:lineRule="auto"/>
              <w:ind w:right="-1"/>
              <w:jc w:val="center"/>
              <w:rPr>
                <w:rFonts w:ascii="宋体" w:hAnsi="宋体" w:cs="宋体"/>
                <w:sz w:val="24"/>
              </w:rPr>
            </w:pPr>
          </w:p>
        </w:tc>
        <w:tc>
          <w:tcPr>
            <w:tcW w:w="914" w:type="dxa"/>
            <w:vAlign w:val="center"/>
          </w:tcPr>
          <w:p>
            <w:pPr>
              <w:tabs>
                <w:tab w:val="left" w:pos="1337"/>
              </w:tabs>
              <w:spacing w:line="360" w:lineRule="auto"/>
              <w:ind w:right="-1"/>
              <w:jc w:val="center"/>
              <w:rPr>
                <w:rFonts w:ascii="宋体" w:hAnsi="宋体" w:cs="宋体"/>
                <w:sz w:val="24"/>
              </w:rPr>
            </w:pPr>
          </w:p>
        </w:tc>
        <w:tc>
          <w:tcPr>
            <w:tcW w:w="1620" w:type="dxa"/>
            <w:vAlign w:val="center"/>
          </w:tcPr>
          <w:p>
            <w:pPr>
              <w:tabs>
                <w:tab w:val="left" w:pos="1337"/>
              </w:tabs>
              <w:spacing w:line="360" w:lineRule="auto"/>
              <w:ind w:right="-1"/>
              <w:jc w:val="center"/>
              <w:rPr>
                <w:rFonts w:ascii="宋体" w:hAnsi="宋体" w:cs="宋体"/>
                <w:sz w:val="24"/>
              </w:rPr>
            </w:pPr>
          </w:p>
        </w:tc>
        <w:tc>
          <w:tcPr>
            <w:tcW w:w="980" w:type="dxa"/>
            <w:vAlign w:val="center"/>
          </w:tcPr>
          <w:p>
            <w:pPr>
              <w:tabs>
                <w:tab w:val="left" w:pos="1337"/>
              </w:tabs>
              <w:spacing w:line="360" w:lineRule="auto"/>
              <w:ind w:right="-1"/>
              <w:jc w:val="center"/>
              <w:rPr>
                <w:rFonts w:ascii="宋体" w:hAnsi="宋体" w:cs="宋体"/>
                <w:sz w:val="24"/>
              </w:rPr>
            </w:pPr>
          </w:p>
        </w:tc>
        <w:tc>
          <w:tcPr>
            <w:tcW w:w="1089" w:type="dxa"/>
            <w:vAlign w:val="center"/>
          </w:tcPr>
          <w:p>
            <w:pPr>
              <w:tabs>
                <w:tab w:val="left" w:pos="1337"/>
              </w:tabs>
              <w:spacing w:line="360" w:lineRule="auto"/>
              <w:ind w:right="-1"/>
              <w:jc w:val="center"/>
              <w:rPr>
                <w:rFonts w:ascii="宋体" w:hAnsi="宋体" w:cs="宋体"/>
                <w:sz w:val="24"/>
              </w:rPr>
            </w:pPr>
          </w:p>
        </w:tc>
        <w:tc>
          <w:tcPr>
            <w:tcW w:w="774" w:type="dxa"/>
            <w:vAlign w:val="center"/>
          </w:tcPr>
          <w:p>
            <w:pPr>
              <w:tabs>
                <w:tab w:val="left" w:pos="1337"/>
              </w:tabs>
              <w:spacing w:line="360" w:lineRule="auto"/>
              <w:ind w:right="-1"/>
              <w:jc w:val="center"/>
              <w:rPr>
                <w:rFonts w:ascii="宋体" w:hAnsi="宋体" w:cs="宋体"/>
                <w:sz w:val="24"/>
              </w:rPr>
            </w:pPr>
          </w:p>
        </w:tc>
        <w:tc>
          <w:tcPr>
            <w:tcW w:w="804" w:type="dxa"/>
            <w:vAlign w:val="center"/>
          </w:tcPr>
          <w:p>
            <w:pPr>
              <w:tabs>
                <w:tab w:val="left" w:pos="1337"/>
              </w:tabs>
              <w:spacing w:line="360" w:lineRule="auto"/>
              <w:ind w:right="-1"/>
              <w:jc w:val="center"/>
              <w:rPr>
                <w:rFonts w:ascii="宋体" w:hAnsi="宋体" w:cs="宋体"/>
                <w:sz w:val="24"/>
              </w:rPr>
            </w:pPr>
          </w:p>
        </w:tc>
        <w:tc>
          <w:tcPr>
            <w:tcW w:w="812" w:type="dxa"/>
            <w:vAlign w:val="center"/>
          </w:tcPr>
          <w:p>
            <w:pPr>
              <w:tabs>
                <w:tab w:val="left" w:pos="1337"/>
              </w:tabs>
              <w:spacing w:line="360" w:lineRule="auto"/>
              <w:ind w:right="-1"/>
              <w:jc w:val="center"/>
              <w:rPr>
                <w:rFonts w:ascii="宋体" w:hAnsi="宋体" w:cs="宋体"/>
                <w:sz w:val="24"/>
              </w:rPr>
            </w:pPr>
          </w:p>
        </w:tc>
        <w:tc>
          <w:tcPr>
            <w:tcW w:w="825" w:type="dxa"/>
            <w:vAlign w:val="center"/>
          </w:tcPr>
          <w:p>
            <w:pPr>
              <w:tabs>
                <w:tab w:val="left" w:pos="1337"/>
              </w:tabs>
              <w:spacing w:line="360" w:lineRule="auto"/>
              <w:ind w:right="-1"/>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664" w:type="dxa"/>
            <w:vAlign w:val="center"/>
          </w:tcPr>
          <w:p>
            <w:pPr>
              <w:tabs>
                <w:tab w:val="left" w:pos="1337"/>
              </w:tabs>
              <w:spacing w:line="360" w:lineRule="auto"/>
              <w:ind w:right="-1"/>
              <w:jc w:val="center"/>
              <w:rPr>
                <w:rFonts w:ascii="宋体" w:hAnsi="宋体" w:cs="宋体"/>
                <w:sz w:val="24"/>
              </w:rPr>
            </w:pPr>
            <w:r>
              <w:rPr>
                <w:rFonts w:hint="eastAsia" w:ascii="宋体" w:hAnsi="宋体" w:cs="宋体"/>
                <w:sz w:val="24"/>
              </w:rPr>
              <w:t>5</w:t>
            </w:r>
          </w:p>
        </w:tc>
        <w:tc>
          <w:tcPr>
            <w:tcW w:w="1327" w:type="dxa"/>
            <w:vAlign w:val="center"/>
          </w:tcPr>
          <w:p>
            <w:pPr>
              <w:tabs>
                <w:tab w:val="left" w:pos="1337"/>
              </w:tabs>
              <w:spacing w:line="360" w:lineRule="auto"/>
              <w:ind w:right="-1"/>
              <w:jc w:val="center"/>
              <w:rPr>
                <w:rFonts w:ascii="宋体" w:hAnsi="宋体" w:cs="宋体"/>
                <w:sz w:val="24"/>
              </w:rPr>
            </w:pPr>
            <w:r>
              <w:rPr>
                <w:rFonts w:hint="eastAsia" w:ascii="宋体" w:hAnsi="宋体"/>
                <w:snapToGrid w:val="0"/>
                <w:kern w:val="0"/>
                <w:sz w:val="24"/>
              </w:rPr>
              <w:t>……</w:t>
            </w:r>
          </w:p>
        </w:tc>
        <w:tc>
          <w:tcPr>
            <w:tcW w:w="914" w:type="dxa"/>
            <w:vAlign w:val="center"/>
          </w:tcPr>
          <w:p>
            <w:pPr>
              <w:tabs>
                <w:tab w:val="left" w:pos="1337"/>
              </w:tabs>
              <w:spacing w:line="360" w:lineRule="auto"/>
              <w:ind w:right="-1"/>
              <w:jc w:val="center"/>
              <w:rPr>
                <w:rFonts w:ascii="宋体" w:hAnsi="宋体" w:cs="宋体"/>
                <w:sz w:val="24"/>
              </w:rPr>
            </w:pPr>
          </w:p>
        </w:tc>
        <w:tc>
          <w:tcPr>
            <w:tcW w:w="1620" w:type="dxa"/>
            <w:vAlign w:val="center"/>
          </w:tcPr>
          <w:p>
            <w:pPr>
              <w:tabs>
                <w:tab w:val="left" w:pos="1337"/>
              </w:tabs>
              <w:spacing w:line="360" w:lineRule="auto"/>
              <w:ind w:right="-1"/>
              <w:jc w:val="center"/>
              <w:rPr>
                <w:rFonts w:ascii="宋体" w:hAnsi="宋体" w:cs="宋体"/>
                <w:sz w:val="24"/>
              </w:rPr>
            </w:pPr>
          </w:p>
        </w:tc>
        <w:tc>
          <w:tcPr>
            <w:tcW w:w="980" w:type="dxa"/>
            <w:vAlign w:val="center"/>
          </w:tcPr>
          <w:p>
            <w:pPr>
              <w:tabs>
                <w:tab w:val="left" w:pos="1337"/>
              </w:tabs>
              <w:spacing w:line="360" w:lineRule="auto"/>
              <w:ind w:right="-1"/>
              <w:jc w:val="center"/>
              <w:rPr>
                <w:rFonts w:ascii="宋体" w:hAnsi="宋体" w:cs="宋体"/>
                <w:sz w:val="24"/>
              </w:rPr>
            </w:pPr>
          </w:p>
        </w:tc>
        <w:tc>
          <w:tcPr>
            <w:tcW w:w="1089" w:type="dxa"/>
            <w:vAlign w:val="center"/>
          </w:tcPr>
          <w:p>
            <w:pPr>
              <w:tabs>
                <w:tab w:val="left" w:pos="1337"/>
              </w:tabs>
              <w:spacing w:line="360" w:lineRule="auto"/>
              <w:ind w:right="-1"/>
              <w:jc w:val="center"/>
              <w:rPr>
                <w:rFonts w:ascii="宋体" w:hAnsi="宋体" w:cs="宋体"/>
                <w:sz w:val="24"/>
              </w:rPr>
            </w:pPr>
          </w:p>
        </w:tc>
        <w:tc>
          <w:tcPr>
            <w:tcW w:w="774" w:type="dxa"/>
            <w:vAlign w:val="center"/>
          </w:tcPr>
          <w:p>
            <w:pPr>
              <w:tabs>
                <w:tab w:val="left" w:pos="1337"/>
              </w:tabs>
              <w:spacing w:line="360" w:lineRule="auto"/>
              <w:ind w:right="-1"/>
              <w:jc w:val="center"/>
              <w:rPr>
                <w:rFonts w:ascii="宋体" w:hAnsi="宋体" w:cs="宋体"/>
                <w:sz w:val="24"/>
              </w:rPr>
            </w:pPr>
          </w:p>
        </w:tc>
        <w:tc>
          <w:tcPr>
            <w:tcW w:w="804" w:type="dxa"/>
            <w:vAlign w:val="center"/>
          </w:tcPr>
          <w:p>
            <w:pPr>
              <w:tabs>
                <w:tab w:val="left" w:pos="1337"/>
              </w:tabs>
              <w:spacing w:line="360" w:lineRule="auto"/>
              <w:ind w:right="-1"/>
              <w:jc w:val="center"/>
              <w:rPr>
                <w:rFonts w:ascii="宋体" w:hAnsi="宋体" w:cs="宋体"/>
                <w:sz w:val="24"/>
              </w:rPr>
            </w:pPr>
          </w:p>
        </w:tc>
        <w:tc>
          <w:tcPr>
            <w:tcW w:w="812" w:type="dxa"/>
            <w:vAlign w:val="center"/>
          </w:tcPr>
          <w:p>
            <w:pPr>
              <w:tabs>
                <w:tab w:val="left" w:pos="1337"/>
              </w:tabs>
              <w:spacing w:line="360" w:lineRule="auto"/>
              <w:ind w:right="-1"/>
              <w:jc w:val="center"/>
              <w:rPr>
                <w:rFonts w:ascii="宋体" w:hAnsi="宋体" w:cs="宋体"/>
                <w:sz w:val="24"/>
              </w:rPr>
            </w:pPr>
          </w:p>
        </w:tc>
        <w:tc>
          <w:tcPr>
            <w:tcW w:w="825" w:type="dxa"/>
            <w:vAlign w:val="center"/>
          </w:tcPr>
          <w:p>
            <w:pPr>
              <w:tabs>
                <w:tab w:val="left" w:pos="1337"/>
              </w:tabs>
              <w:spacing w:line="360" w:lineRule="auto"/>
              <w:ind w:right="-1"/>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991" w:type="dxa"/>
            <w:gridSpan w:val="2"/>
            <w:vMerge w:val="restart"/>
            <w:tcBorders>
              <w:left w:val="single" w:color="auto" w:sz="4" w:space="0"/>
            </w:tcBorders>
            <w:vAlign w:val="center"/>
          </w:tcPr>
          <w:p>
            <w:pPr>
              <w:tabs>
                <w:tab w:val="left" w:pos="1337"/>
              </w:tabs>
              <w:spacing w:line="360" w:lineRule="auto"/>
              <w:ind w:right="-1"/>
              <w:jc w:val="center"/>
              <w:rPr>
                <w:rFonts w:ascii="宋体" w:hAnsi="宋体" w:cs="宋体"/>
                <w:sz w:val="24"/>
              </w:rPr>
            </w:pPr>
            <w:r>
              <w:rPr>
                <w:rFonts w:hint="eastAsia" w:ascii="宋体" w:hAnsi="宋体" w:cs="宋体"/>
                <w:sz w:val="24"/>
              </w:rPr>
              <w:t>总价合计</w:t>
            </w:r>
          </w:p>
        </w:tc>
        <w:tc>
          <w:tcPr>
            <w:tcW w:w="7823" w:type="dxa"/>
            <w:gridSpan w:val="8"/>
            <w:vAlign w:val="center"/>
          </w:tcPr>
          <w:p>
            <w:pPr>
              <w:tabs>
                <w:tab w:val="left" w:pos="1337"/>
              </w:tabs>
              <w:spacing w:line="360" w:lineRule="auto"/>
              <w:ind w:right="-1"/>
              <w:rPr>
                <w:rFonts w:ascii="宋体" w:hAnsi="宋体" w:cs="宋体"/>
                <w:sz w:val="24"/>
              </w:rPr>
            </w:pPr>
            <w:r>
              <w:rPr>
                <w:rFonts w:hint="eastAsia" w:ascii="宋体" w:hAnsi="宋体" w:cs="宋体"/>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1991" w:type="dxa"/>
            <w:gridSpan w:val="2"/>
            <w:vMerge w:val="continue"/>
            <w:tcBorders>
              <w:left w:val="single" w:color="auto" w:sz="4" w:space="0"/>
            </w:tcBorders>
            <w:vAlign w:val="center"/>
          </w:tcPr>
          <w:p>
            <w:pPr>
              <w:tabs>
                <w:tab w:val="left" w:pos="1337"/>
              </w:tabs>
              <w:spacing w:line="360" w:lineRule="auto"/>
              <w:ind w:right="-1"/>
              <w:jc w:val="center"/>
              <w:rPr>
                <w:rFonts w:ascii="宋体" w:hAnsi="宋体" w:cs="宋体"/>
                <w:sz w:val="24"/>
              </w:rPr>
            </w:pPr>
          </w:p>
        </w:tc>
        <w:tc>
          <w:tcPr>
            <w:tcW w:w="7823" w:type="dxa"/>
            <w:gridSpan w:val="8"/>
            <w:vAlign w:val="center"/>
          </w:tcPr>
          <w:p>
            <w:pPr>
              <w:tabs>
                <w:tab w:val="left" w:pos="1337"/>
              </w:tabs>
              <w:spacing w:line="360" w:lineRule="auto"/>
              <w:ind w:right="-1"/>
              <w:rPr>
                <w:rFonts w:ascii="宋体" w:hAnsi="宋体" w:cs="宋体"/>
                <w:sz w:val="24"/>
              </w:rPr>
            </w:pPr>
            <w:r>
              <w:rPr>
                <w:rFonts w:hint="eastAsia" w:ascii="宋体" w:hAnsi="宋体" w:cs="宋体"/>
                <w:sz w:val="24"/>
              </w:rPr>
              <w:t>大写：</w:t>
            </w:r>
          </w:p>
        </w:tc>
      </w:tr>
    </w:tbl>
    <w:p>
      <w:pPr>
        <w:spacing w:line="360" w:lineRule="auto"/>
        <w:ind w:right="-1"/>
        <w:rPr>
          <w:rFonts w:ascii="宋体" w:hAnsi="宋体" w:cs="宋体"/>
          <w:bCs/>
          <w:sz w:val="24"/>
        </w:rPr>
      </w:pPr>
      <w:r>
        <w:rPr>
          <w:rFonts w:hint="eastAsia" w:ascii="宋体" w:hAnsi="宋体" w:cs="宋体"/>
          <w:bCs/>
          <w:sz w:val="24"/>
        </w:rPr>
        <w:t>供应商名称（公章）：</w:t>
      </w:r>
      <w:r>
        <w:rPr>
          <w:rFonts w:hint="eastAsia" w:ascii="宋体" w:hAnsi="宋体" w:cs="宋体"/>
          <w:bCs/>
          <w:sz w:val="24"/>
          <w:u w:val="single"/>
        </w:rPr>
        <w:t xml:space="preserve">            </w:t>
      </w:r>
      <w:r>
        <w:rPr>
          <w:rFonts w:hint="eastAsia" w:ascii="宋体" w:hAnsi="宋体" w:cs="宋体"/>
          <w:bCs/>
          <w:sz w:val="24"/>
        </w:rPr>
        <w:t xml:space="preserve"> </w:t>
      </w:r>
    </w:p>
    <w:p>
      <w:pPr>
        <w:spacing w:line="360" w:lineRule="auto"/>
        <w:ind w:right="-1"/>
        <w:rPr>
          <w:rFonts w:ascii="宋体" w:hAnsi="宋体" w:cs="宋体"/>
          <w:sz w:val="24"/>
        </w:rPr>
      </w:pPr>
      <w:r>
        <w:rPr>
          <w:rFonts w:hint="eastAsia" w:ascii="宋体" w:hAnsi="宋体" w:cs="宋体"/>
          <w:sz w:val="24"/>
        </w:rPr>
        <w:t>法定代表人或授权代表（签字或盖章）：</w:t>
      </w:r>
      <w:r>
        <w:rPr>
          <w:rFonts w:hint="eastAsia" w:ascii="宋体" w:hAnsi="宋体" w:cs="宋体"/>
          <w:sz w:val="24"/>
          <w:u w:val="single"/>
        </w:rPr>
        <w:t xml:space="preserve">        </w:t>
      </w:r>
    </w:p>
    <w:p>
      <w:pPr>
        <w:spacing w:line="360" w:lineRule="auto"/>
        <w:ind w:right="-1"/>
        <w:jc w:val="right"/>
        <w:rPr>
          <w:sz w:val="24"/>
        </w:rPr>
      </w:pPr>
      <w:r>
        <w:rPr>
          <w:rFonts w:hint="eastAsia" w:ascii="宋体" w:hAnsi="宋体" w:cs="宋体"/>
          <w:sz w:val="24"/>
        </w:rPr>
        <w:t xml:space="preserve">                                       年  月  日</w:t>
      </w:r>
    </w:p>
    <w:p>
      <w:pPr>
        <w:rPr>
          <w:b/>
          <w:bCs/>
          <w:szCs w:val="21"/>
        </w:rPr>
      </w:pPr>
      <w:r>
        <w:rPr>
          <w:rFonts w:hint="eastAsia"/>
          <w:b/>
          <w:bCs/>
          <w:szCs w:val="21"/>
        </w:rPr>
        <w:t>注：</w:t>
      </w:r>
    </w:p>
    <w:p>
      <w:pPr>
        <w:spacing w:line="360" w:lineRule="exact"/>
        <w:rPr>
          <w:rFonts w:ascii="宋体" w:hAnsi="宋体"/>
          <w:b/>
          <w:snapToGrid w:val="0"/>
          <w:kern w:val="0"/>
          <w:szCs w:val="21"/>
        </w:rPr>
      </w:pPr>
      <w:r>
        <w:rPr>
          <w:rFonts w:hint="eastAsia" w:ascii="宋体" w:hAnsi="宋体"/>
          <w:b/>
          <w:snapToGrid w:val="0"/>
          <w:kern w:val="0"/>
          <w:szCs w:val="21"/>
        </w:rPr>
        <w:t>1、本表报价要求详见招标文件第二部分供应商须知正文第10款；</w:t>
      </w:r>
    </w:p>
    <w:p>
      <w:pPr>
        <w:spacing w:line="360" w:lineRule="exact"/>
        <w:rPr>
          <w:rFonts w:ascii="宋体" w:hAnsi="宋体"/>
          <w:b/>
          <w:snapToGrid w:val="0"/>
          <w:kern w:val="0"/>
          <w:szCs w:val="21"/>
        </w:rPr>
      </w:pPr>
      <w:r>
        <w:rPr>
          <w:rFonts w:hint="eastAsia" w:ascii="宋体" w:hAnsi="宋体"/>
          <w:b/>
          <w:snapToGrid w:val="0"/>
          <w:kern w:val="0"/>
          <w:szCs w:val="21"/>
        </w:rPr>
        <w:t>2、本表根据实际需要可按相同形式扩展，货物名称据实填写，装订在投标文件中。</w:t>
      </w:r>
    </w:p>
    <w:p>
      <w:pPr>
        <w:pStyle w:val="73"/>
        <w:ind w:firstLine="0" w:firstLineChars="0"/>
        <w:rPr>
          <w:rFonts w:ascii="宋体" w:hAnsi="宋体"/>
          <w:b/>
          <w:snapToGrid w:val="0"/>
          <w:szCs w:val="21"/>
        </w:rPr>
      </w:pPr>
      <w:r>
        <w:rPr>
          <w:rFonts w:hint="eastAsia" w:ascii="宋体" w:hAnsi="宋体"/>
          <w:b/>
          <w:snapToGrid w:val="0"/>
          <w:szCs w:val="21"/>
        </w:rPr>
        <w:t>3、其中本表总价合计须与开标一览表中投标总价一致。</w:t>
      </w:r>
    </w:p>
    <w:p/>
    <w:p>
      <w:pPr>
        <w:widowControl/>
        <w:jc w:val="left"/>
        <w:rPr>
          <w:rFonts w:ascii="宋体" w:hAnsi="宋体"/>
          <w:b/>
          <w:snapToGrid w:val="0"/>
          <w:kern w:val="0"/>
          <w:sz w:val="32"/>
        </w:rPr>
      </w:pPr>
      <w:r>
        <w:rPr>
          <w:rFonts w:ascii="宋体" w:hAnsi="宋体"/>
          <w:b/>
          <w:snapToGrid w:val="0"/>
          <w:sz w:val="32"/>
        </w:rPr>
        <w:br w:type="page"/>
      </w:r>
    </w:p>
    <w:p>
      <w:pPr>
        <w:rPr>
          <w:rFonts w:ascii="仿宋" w:hAnsi="仿宋" w:eastAsia="仿宋" w:cs="仿宋"/>
          <w:bCs/>
          <w:sz w:val="24"/>
          <w:szCs w:val="21"/>
        </w:rPr>
      </w:pPr>
    </w:p>
    <w:p>
      <w:pPr>
        <w:pStyle w:val="3"/>
        <w:spacing w:before="0" w:after="0"/>
        <w:jc w:val="left"/>
        <w:rPr>
          <w:rFonts w:asciiTheme="minorEastAsia" w:hAnsiTheme="minorEastAsia" w:eastAsiaTheme="minorEastAsia"/>
          <w:bCs w:val="0"/>
          <w:sz w:val="24"/>
          <w:szCs w:val="24"/>
        </w:rPr>
      </w:pPr>
      <w:bookmarkStart w:id="200" w:name="_Toc5479"/>
      <w:r>
        <w:rPr>
          <w:rFonts w:hint="eastAsia" w:asciiTheme="minorEastAsia" w:hAnsiTheme="minorEastAsia" w:eastAsiaTheme="minorEastAsia"/>
          <w:bCs w:val="0"/>
          <w:sz w:val="24"/>
          <w:szCs w:val="24"/>
        </w:rPr>
        <w:t>附件五：质保期内供应的备品备件、易损件、专用工具价格表</w:t>
      </w:r>
      <w:bookmarkEnd w:id="200"/>
    </w:p>
    <w:p>
      <w:pPr>
        <w:pStyle w:val="30"/>
        <w:spacing w:after="0" w:line="360" w:lineRule="auto"/>
        <w:jc w:val="center"/>
        <w:rPr>
          <w:rFonts w:ascii="宋体" w:hAnsi="宋体"/>
          <w:b/>
          <w:snapToGrid w:val="0"/>
          <w:sz w:val="32"/>
        </w:rPr>
      </w:pPr>
      <w:r>
        <w:rPr>
          <w:rFonts w:hint="eastAsia" w:ascii="宋体" w:hAnsi="宋体"/>
          <w:b/>
          <w:snapToGrid w:val="0"/>
          <w:sz w:val="32"/>
        </w:rPr>
        <w:t>质保期内供应的备品备件、易损件、专用工具价格表</w:t>
      </w:r>
    </w:p>
    <w:p>
      <w:pPr>
        <w:spacing w:line="360" w:lineRule="auto"/>
        <w:rPr>
          <w:rFonts w:asciiTheme="minorEastAsia" w:hAnsiTheme="minorEastAsia" w:eastAsiaTheme="minorEastAsia"/>
          <w:b/>
          <w:color w:val="FF0000"/>
          <w:sz w:val="24"/>
        </w:rPr>
      </w:pPr>
      <w:r>
        <w:rPr>
          <w:rFonts w:hint="eastAsia" w:asciiTheme="minorEastAsia" w:hAnsiTheme="minorEastAsia" w:eastAsiaTheme="minorEastAsia"/>
          <w:b/>
          <w:sz w:val="24"/>
        </w:rPr>
        <w:t xml:space="preserve">项目名称： </w:t>
      </w: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项目编号：</w:t>
      </w:r>
      <w:r>
        <w:rPr>
          <w:rFonts w:asciiTheme="minorEastAsia" w:hAnsiTheme="minorEastAsia" w:eastAsiaTheme="minorEastAsia"/>
          <w:b/>
          <w:sz w:val="24"/>
        </w:rPr>
        <w:t xml:space="preserve"> </w:t>
      </w:r>
    </w:p>
    <w:p>
      <w:pPr>
        <w:pStyle w:val="42"/>
        <w:rPr>
          <w:rFonts w:hAnsi="宋体" w:cs="宋体"/>
          <w:b/>
          <w:sz w:val="24"/>
        </w:rPr>
      </w:pPr>
      <w:r>
        <w:rPr>
          <w:rFonts w:hint="eastAsia" w:asciiTheme="minorEastAsia" w:hAnsiTheme="minorEastAsia" w:eastAsiaTheme="minorEastAsia"/>
          <w:b/>
          <w:sz w:val="24"/>
        </w:rPr>
        <w:t xml:space="preserve">包    号： </w:t>
      </w:r>
      <w:r>
        <w:rPr>
          <w:rFonts w:hint="eastAsia" w:hAnsi="宋体" w:cs="宋体"/>
          <w:b/>
          <w:sz w:val="24"/>
          <w:szCs w:val="24"/>
        </w:rPr>
        <w:t xml:space="preserve">                                  单位：元（人民币）</w:t>
      </w:r>
    </w:p>
    <w:tbl>
      <w:tblPr>
        <w:tblStyle w:val="75"/>
        <w:tblW w:w="1029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36"/>
        <w:gridCol w:w="1857"/>
        <w:gridCol w:w="1006"/>
        <w:gridCol w:w="1006"/>
        <w:gridCol w:w="1006"/>
        <w:gridCol w:w="1006"/>
        <w:gridCol w:w="1124"/>
        <w:gridCol w:w="866"/>
        <w:gridCol w:w="1087"/>
        <w:gridCol w:w="80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19" w:hRule="atLeast"/>
          <w:jc w:val="center"/>
        </w:trPr>
        <w:tc>
          <w:tcPr>
            <w:tcW w:w="536"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序号</w:t>
            </w:r>
          </w:p>
        </w:tc>
        <w:tc>
          <w:tcPr>
            <w:tcW w:w="1857"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szCs w:val="21"/>
              </w:rPr>
            </w:pPr>
            <w:r>
              <w:rPr>
                <w:rFonts w:hint="eastAsia" w:ascii="宋体" w:hAnsi="宋体"/>
                <w:b/>
                <w:bCs/>
                <w:snapToGrid w:val="0"/>
                <w:szCs w:val="21"/>
              </w:rPr>
              <w:t>备品备件／</w:t>
            </w:r>
          </w:p>
          <w:p>
            <w:pPr>
              <w:pStyle w:val="2"/>
              <w:adjustRightInd w:val="0"/>
              <w:snapToGrid w:val="0"/>
              <w:spacing w:line="300" w:lineRule="exact"/>
              <w:ind w:firstLine="0" w:firstLineChars="0"/>
              <w:jc w:val="center"/>
              <w:rPr>
                <w:rFonts w:ascii="宋体" w:hAnsi="宋体"/>
                <w:b/>
                <w:bCs/>
                <w:snapToGrid w:val="0"/>
                <w:szCs w:val="21"/>
              </w:rPr>
            </w:pPr>
            <w:r>
              <w:rPr>
                <w:rFonts w:hint="eastAsia" w:ascii="宋体" w:hAnsi="宋体"/>
                <w:b/>
                <w:bCs/>
                <w:snapToGrid w:val="0"/>
                <w:szCs w:val="21"/>
              </w:rPr>
              <w:t>易损件／</w:t>
            </w:r>
          </w:p>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专用工具名称</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szCs w:val="21"/>
              </w:rPr>
            </w:pPr>
            <w:r>
              <w:rPr>
                <w:rFonts w:hint="eastAsia" w:ascii="宋体" w:hAnsi="宋体"/>
                <w:b/>
                <w:bCs/>
                <w:snapToGrid w:val="0"/>
                <w:szCs w:val="21"/>
              </w:rPr>
              <w:t>品牌</w:t>
            </w:r>
          </w:p>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型号</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szCs w:val="21"/>
              </w:rPr>
            </w:pPr>
            <w:r>
              <w:rPr>
                <w:rFonts w:hint="eastAsia" w:ascii="宋体" w:hAnsi="宋体"/>
                <w:b/>
                <w:bCs/>
                <w:snapToGrid w:val="0"/>
                <w:szCs w:val="21"/>
              </w:rPr>
              <w:t>生产</w:t>
            </w:r>
          </w:p>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企业</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规格</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数量</w:t>
            </w:r>
          </w:p>
        </w:tc>
        <w:tc>
          <w:tcPr>
            <w:tcW w:w="1124"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单位</w:t>
            </w:r>
          </w:p>
        </w:tc>
        <w:tc>
          <w:tcPr>
            <w:tcW w:w="866"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单价</w:t>
            </w:r>
          </w:p>
        </w:tc>
        <w:tc>
          <w:tcPr>
            <w:tcW w:w="1087"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总价</w:t>
            </w:r>
          </w:p>
        </w:tc>
        <w:tc>
          <w:tcPr>
            <w:tcW w:w="805" w:type="dxa"/>
            <w:tcBorders>
              <w:tl2br w:val="nil"/>
              <w:tr2bl w:val="nil"/>
            </w:tcBorders>
            <w:vAlign w:val="center"/>
          </w:tcPr>
          <w:p>
            <w:pPr>
              <w:pStyle w:val="2"/>
              <w:adjustRightInd w:val="0"/>
              <w:snapToGrid w:val="0"/>
              <w:spacing w:line="300" w:lineRule="exact"/>
              <w:ind w:firstLine="0" w:firstLineChars="0"/>
              <w:jc w:val="center"/>
              <w:rPr>
                <w:rFonts w:ascii="宋体" w:hAnsi="宋体"/>
                <w:b/>
                <w:bCs/>
                <w:snapToGrid w:val="0"/>
              </w:rPr>
            </w:pPr>
            <w:r>
              <w:rPr>
                <w:rFonts w:hint="eastAsia" w:ascii="宋体" w:hAnsi="宋体"/>
                <w:b/>
                <w:bCs/>
                <w:snapToGrid w:val="0"/>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2393" w:type="dxa"/>
            <w:gridSpan w:val="2"/>
            <w:vMerge w:val="restart"/>
            <w:tcBorders>
              <w:tl2br w:val="nil"/>
              <w:tr2bl w:val="nil"/>
            </w:tcBorders>
            <w:vAlign w:val="center"/>
          </w:tcPr>
          <w:p>
            <w:pPr>
              <w:tabs>
                <w:tab w:val="left" w:pos="1337"/>
              </w:tabs>
              <w:spacing w:line="360" w:lineRule="auto"/>
              <w:ind w:right="-1"/>
              <w:jc w:val="center"/>
              <w:rPr>
                <w:rFonts w:ascii="宋体" w:hAnsi="宋体"/>
                <w:snapToGrid w:val="0"/>
                <w:kern w:val="0"/>
                <w:sz w:val="24"/>
              </w:rPr>
            </w:pPr>
            <w:r>
              <w:rPr>
                <w:rFonts w:hint="eastAsia" w:ascii="宋体" w:hAnsi="宋体"/>
                <w:snapToGrid w:val="0"/>
                <w:kern w:val="0"/>
                <w:sz w:val="24"/>
              </w:rPr>
              <w:t>总价合计</w:t>
            </w:r>
          </w:p>
        </w:tc>
        <w:tc>
          <w:tcPr>
            <w:tcW w:w="7906" w:type="dxa"/>
            <w:gridSpan w:val="8"/>
            <w:tcBorders>
              <w:tl2br w:val="nil"/>
              <w:tr2bl w:val="nil"/>
            </w:tcBorders>
            <w:vAlign w:val="center"/>
          </w:tcPr>
          <w:p>
            <w:pPr>
              <w:tabs>
                <w:tab w:val="left" w:pos="1337"/>
              </w:tabs>
              <w:spacing w:line="360" w:lineRule="auto"/>
              <w:ind w:right="-1"/>
              <w:rPr>
                <w:rFonts w:ascii="宋体" w:hAnsi="宋体"/>
                <w:snapToGrid w:val="0"/>
                <w:kern w:val="0"/>
                <w:sz w:val="24"/>
              </w:rPr>
            </w:pPr>
            <w:r>
              <w:rPr>
                <w:rFonts w:hint="eastAsia" w:ascii="宋体" w:hAnsi="宋体"/>
                <w:snapToGrid w:val="0"/>
                <w:kern w:val="0"/>
                <w:sz w:val="24"/>
              </w:rPr>
              <w:t>小写：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2393" w:type="dxa"/>
            <w:gridSpan w:val="2"/>
            <w:vMerge w:val="continue"/>
            <w:tcBorders>
              <w:tl2br w:val="nil"/>
              <w:tr2bl w:val="nil"/>
            </w:tcBorders>
            <w:vAlign w:val="center"/>
          </w:tcPr>
          <w:p>
            <w:pPr>
              <w:tabs>
                <w:tab w:val="left" w:pos="1337"/>
              </w:tabs>
              <w:spacing w:line="360" w:lineRule="auto"/>
              <w:ind w:right="-1"/>
              <w:jc w:val="center"/>
              <w:rPr>
                <w:rFonts w:ascii="宋体" w:hAnsi="宋体"/>
                <w:snapToGrid w:val="0"/>
                <w:kern w:val="0"/>
                <w:sz w:val="24"/>
              </w:rPr>
            </w:pPr>
          </w:p>
        </w:tc>
        <w:tc>
          <w:tcPr>
            <w:tcW w:w="7906" w:type="dxa"/>
            <w:gridSpan w:val="8"/>
            <w:tcBorders>
              <w:tl2br w:val="nil"/>
              <w:tr2bl w:val="nil"/>
            </w:tcBorders>
            <w:vAlign w:val="center"/>
          </w:tcPr>
          <w:p>
            <w:pPr>
              <w:tabs>
                <w:tab w:val="left" w:pos="1337"/>
              </w:tabs>
              <w:spacing w:line="360" w:lineRule="auto"/>
              <w:ind w:right="-1"/>
              <w:rPr>
                <w:rFonts w:ascii="宋体" w:hAnsi="宋体"/>
                <w:snapToGrid w:val="0"/>
                <w:kern w:val="0"/>
                <w:sz w:val="24"/>
              </w:rPr>
            </w:pPr>
            <w:r>
              <w:rPr>
                <w:rFonts w:hint="eastAsia" w:ascii="宋体" w:hAnsi="宋体"/>
                <w:snapToGrid w:val="0"/>
                <w:kern w:val="0"/>
                <w:sz w:val="24"/>
              </w:rPr>
              <w:t>大写：</w:t>
            </w:r>
          </w:p>
        </w:tc>
      </w:tr>
    </w:tbl>
    <w:p>
      <w:pPr>
        <w:spacing w:line="360" w:lineRule="exact"/>
        <w:ind w:firstLine="240" w:firstLineChars="100"/>
        <w:rPr>
          <w:rFonts w:ascii="宋体" w:hAnsi="宋体"/>
          <w:snapToGrid w:val="0"/>
          <w:kern w:val="0"/>
          <w:sz w:val="24"/>
        </w:rPr>
      </w:pPr>
      <w:r>
        <w:rPr>
          <w:rFonts w:hint="eastAsia" w:ascii="宋体" w:hAnsi="宋体"/>
          <w:snapToGrid w:val="0"/>
          <w:kern w:val="0"/>
          <w:sz w:val="24"/>
        </w:rPr>
        <w:t>说明：本表费用应包含在投标总价中。</w:t>
      </w:r>
    </w:p>
    <w:p>
      <w:pPr>
        <w:spacing w:line="360" w:lineRule="exact"/>
        <w:rPr>
          <w:rFonts w:ascii="宋体" w:hAnsi="宋体"/>
          <w:snapToGrid w:val="0"/>
          <w:kern w:val="0"/>
          <w:sz w:val="24"/>
        </w:rPr>
      </w:pPr>
    </w:p>
    <w:p>
      <w:pPr>
        <w:spacing w:line="360" w:lineRule="auto"/>
        <w:ind w:right="-1"/>
        <w:rPr>
          <w:rFonts w:ascii="宋体" w:hAnsi="宋体"/>
          <w:snapToGrid w:val="0"/>
          <w:kern w:val="0"/>
          <w:sz w:val="24"/>
        </w:rPr>
      </w:pPr>
      <w:bookmarkStart w:id="201" w:name="_Toc14994"/>
      <w:bookmarkStart w:id="202" w:name="_Toc17231"/>
      <w:r>
        <w:rPr>
          <w:rFonts w:hint="eastAsia" w:ascii="宋体" w:hAnsi="宋体"/>
          <w:snapToGrid w:val="0"/>
          <w:kern w:val="0"/>
          <w:sz w:val="24"/>
        </w:rPr>
        <w:t xml:space="preserve">供应商名称（公章）：             </w:t>
      </w:r>
    </w:p>
    <w:p>
      <w:pPr>
        <w:spacing w:line="360" w:lineRule="auto"/>
        <w:ind w:right="-1"/>
        <w:rPr>
          <w:rFonts w:ascii="宋体" w:hAnsi="宋体"/>
          <w:snapToGrid w:val="0"/>
          <w:kern w:val="0"/>
          <w:sz w:val="24"/>
        </w:rPr>
      </w:pPr>
      <w:r>
        <w:rPr>
          <w:rFonts w:hint="eastAsia" w:ascii="宋体" w:hAnsi="宋体"/>
          <w:snapToGrid w:val="0"/>
          <w:kern w:val="0"/>
          <w:sz w:val="24"/>
        </w:rPr>
        <w:t xml:space="preserve">法定代表人或授权代表（签字或盖章）：        </w:t>
      </w:r>
    </w:p>
    <w:p>
      <w:pPr>
        <w:spacing w:line="360" w:lineRule="auto"/>
        <w:ind w:right="-1"/>
        <w:jc w:val="right"/>
        <w:rPr>
          <w:rFonts w:ascii="宋体" w:hAnsi="宋体"/>
          <w:snapToGrid w:val="0"/>
          <w:kern w:val="0"/>
          <w:sz w:val="24"/>
        </w:rPr>
      </w:pPr>
      <w:r>
        <w:rPr>
          <w:rFonts w:hint="eastAsia" w:ascii="宋体" w:hAnsi="宋体"/>
          <w:snapToGrid w:val="0"/>
          <w:kern w:val="0"/>
          <w:sz w:val="24"/>
        </w:rPr>
        <w:t xml:space="preserve">  年  月  日</w:t>
      </w:r>
    </w:p>
    <w:p>
      <w:pPr>
        <w:pStyle w:val="30"/>
        <w:spacing w:after="0" w:line="460" w:lineRule="exact"/>
        <w:ind w:left="1260" w:hanging="420"/>
        <w:jc w:val="center"/>
      </w:pPr>
    </w:p>
    <w:bookmarkEnd w:id="201"/>
    <w:bookmarkEnd w:id="202"/>
    <w:p>
      <w:pPr>
        <w:pStyle w:val="3"/>
        <w:spacing w:before="0" w:after="0"/>
        <w:rPr>
          <w:rFonts w:asciiTheme="minorEastAsia" w:hAnsiTheme="minorEastAsia" w:eastAsiaTheme="minorEastAsia"/>
          <w:b w:val="0"/>
          <w:snapToGrid w:val="0"/>
          <w:sz w:val="24"/>
          <w:szCs w:val="21"/>
        </w:rPr>
      </w:pPr>
      <w:bookmarkStart w:id="203" w:name="_Toc20114"/>
      <w:r>
        <w:rPr>
          <w:rFonts w:hint="eastAsia" w:asciiTheme="minorEastAsia" w:hAnsiTheme="minorEastAsia" w:eastAsiaTheme="minorEastAsia"/>
          <w:bCs w:val="0"/>
          <w:sz w:val="24"/>
          <w:szCs w:val="24"/>
        </w:rPr>
        <w:t>附件六：质保期满后长期供应的备品备件、易损件、专用工具价格表</w:t>
      </w:r>
      <w:bookmarkEnd w:id="203"/>
    </w:p>
    <w:p>
      <w:pPr>
        <w:pStyle w:val="42"/>
        <w:spacing w:before="120" w:beforeLines="50" w:after="120" w:afterLines="50"/>
        <w:jc w:val="center"/>
        <w:rPr>
          <w:rFonts w:hAnsi="宋体"/>
          <w:b/>
          <w:snapToGrid w:val="0"/>
          <w:sz w:val="32"/>
        </w:rPr>
      </w:pPr>
      <w:r>
        <w:rPr>
          <w:rFonts w:hint="eastAsia" w:hAnsi="宋体"/>
          <w:b/>
          <w:snapToGrid w:val="0"/>
          <w:sz w:val="32"/>
        </w:rPr>
        <w:t>质保期满后长期供应的备品备件、易损件、专用工具价格表</w:t>
      </w:r>
    </w:p>
    <w:p>
      <w:pPr>
        <w:spacing w:line="360" w:lineRule="auto"/>
        <w:rPr>
          <w:rFonts w:asciiTheme="minorEastAsia" w:hAnsiTheme="minorEastAsia" w:eastAsiaTheme="minorEastAsia"/>
          <w:b/>
          <w:color w:val="FF0000"/>
          <w:sz w:val="24"/>
        </w:rPr>
      </w:pPr>
      <w:r>
        <w:rPr>
          <w:rFonts w:hint="eastAsia" w:asciiTheme="minorEastAsia" w:hAnsiTheme="minorEastAsia" w:eastAsiaTheme="minorEastAsia"/>
          <w:b/>
          <w:sz w:val="24"/>
        </w:rPr>
        <w:t xml:space="preserve">项目名称： </w:t>
      </w: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项目编号：</w:t>
      </w:r>
      <w:r>
        <w:rPr>
          <w:rFonts w:asciiTheme="minorEastAsia" w:hAnsiTheme="minorEastAsia" w:eastAsiaTheme="minorEastAsia"/>
          <w:b/>
          <w:sz w:val="24"/>
        </w:rPr>
        <w:t xml:space="preserve"> </w:t>
      </w:r>
    </w:p>
    <w:p>
      <w:pPr>
        <w:pStyle w:val="42"/>
        <w:rPr>
          <w:rFonts w:hAnsi="宋体" w:cs="宋体"/>
          <w:b/>
          <w:sz w:val="24"/>
        </w:rPr>
      </w:pPr>
      <w:r>
        <w:rPr>
          <w:rFonts w:hint="eastAsia" w:asciiTheme="minorEastAsia" w:hAnsiTheme="minorEastAsia" w:eastAsiaTheme="minorEastAsia"/>
          <w:b/>
          <w:sz w:val="24"/>
        </w:rPr>
        <w:t xml:space="preserve">包    号： </w:t>
      </w:r>
      <w:r>
        <w:rPr>
          <w:rFonts w:hint="eastAsia" w:hAnsi="宋体" w:cs="宋体"/>
          <w:b/>
          <w:sz w:val="24"/>
          <w:szCs w:val="24"/>
        </w:rPr>
        <w:t xml:space="preserve">                                  单位：元（人民币）</w:t>
      </w:r>
    </w:p>
    <w:tbl>
      <w:tblPr>
        <w:tblStyle w:val="75"/>
        <w:tblW w:w="1029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36"/>
        <w:gridCol w:w="1857"/>
        <w:gridCol w:w="1006"/>
        <w:gridCol w:w="1006"/>
        <w:gridCol w:w="1006"/>
        <w:gridCol w:w="1006"/>
        <w:gridCol w:w="1124"/>
        <w:gridCol w:w="866"/>
        <w:gridCol w:w="1087"/>
        <w:gridCol w:w="80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19" w:hRule="atLeast"/>
          <w:jc w:val="center"/>
        </w:trPr>
        <w:tc>
          <w:tcPr>
            <w:tcW w:w="536"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序号</w:t>
            </w:r>
          </w:p>
        </w:tc>
        <w:tc>
          <w:tcPr>
            <w:tcW w:w="1857"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备品备件／易损件／专用工具名称</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szCs w:val="21"/>
              </w:rPr>
            </w:pPr>
            <w:r>
              <w:rPr>
                <w:rFonts w:hint="eastAsia" w:ascii="宋体" w:hAnsi="宋体"/>
                <w:snapToGrid w:val="0"/>
                <w:szCs w:val="21"/>
              </w:rPr>
              <w:t>品牌</w:t>
            </w:r>
          </w:p>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型号</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szCs w:val="21"/>
              </w:rPr>
            </w:pPr>
            <w:r>
              <w:rPr>
                <w:rFonts w:hint="eastAsia" w:ascii="宋体" w:hAnsi="宋体"/>
                <w:snapToGrid w:val="0"/>
                <w:szCs w:val="21"/>
              </w:rPr>
              <w:t>生产</w:t>
            </w:r>
          </w:p>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企业</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规格</w:t>
            </w:r>
          </w:p>
        </w:tc>
        <w:tc>
          <w:tcPr>
            <w:tcW w:w="1006"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数量</w:t>
            </w:r>
          </w:p>
        </w:tc>
        <w:tc>
          <w:tcPr>
            <w:tcW w:w="1124"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单位</w:t>
            </w:r>
          </w:p>
        </w:tc>
        <w:tc>
          <w:tcPr>
            <w:tcW w:w="866"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单价</w:t>
            </w:r>
          </w:p>
        </w:tc>
        <w:tc>
          <w:tcPr>
            <w:tcW w:w="1087"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总价</w:t>
            </w:r>
          </w:p>
        </w:tc>
        <w:tc>
          <w:tcPr>
            <w:tcW w:w="805" w:type="dxa"/>
            <w:tcBorders>
              <w:tl2br w:val="nil"/>
              <w:tr2bl w:val="nil"/>
            </w:tcBorders>
            <w:vAlign w:val="center"/>
          </w:tcPr>
          <w:p>
            <w:pPr>
              <w:pStyle w:val="2"/>
              <w:adjustRightInd w:val="0"/>
              <w:snapToGrid w:val="0"/>
              <w:spacing w:line="300" w:lineRule="exact"/>
              <w:ind w:firstLine="0" w:firstLineChars="0"/>
              <w:jc w:val="center"/>
              <w:rPr>
                <w:rFonts w:ascii="宋体" w:hAnsi="宋体"/>
                <w:snapToGrid w:val="0"/>
              </w:rPr>
            </w:pPr>
            <w:r>
              <w:rPr>
                <w:rFonts w:hint="eastAsia" w:ascii="宋体" w:hAnsi="宋体"/>
                <w:snapToGrid w:val="0"/>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36" w:type="dxa"/>
            <w:tcBorders>
              <w:tl2br w:val="nil"/>
              <w:tr2bl w:val="nil"/>
            </w:tcBorders>
          </w:tcPr>
          <w:p>
            <w:pPr>
              <w:spacing w:line="520" w:lineRule="exact"/>
              <w:rPr>
                <w:rFonts w:ascii="宋体" w:hAnsi="宋体"/>
                <w:snapToGrid w:val="0"/>
                <w:kern w:val="0"/>
                <w:sz w:val="24"/>
              </w:rPr>
            </w:pPr>
          </w:p>
        </w:tc>
        <w:tc>
          <w:tcPr>
            <w:tcW w:w="1857"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006" w:type="dxa"/>
            <w:tcBorders>
              <w:tl2br w:val="nil"/>
              <w:tr2bl w:val="nil"/>
            </w:tcBorders>
          </w:tcPr>
          <w:p>
            <w:pPr>
              <w:spacing w:line="520" w:lineRule="exact"/>
              <w:rPr>
                <w:rFonts w:ascii="宋体" w:hAnsi="宋体"/>
                <w:snapToGrid w:val="0"/>
                <w:kern w:val="0"/>
                <w:sz w:val="24"/>
              </w:rPr>
            </w:pPr>
          </w:p>
        </w:tc>
        <w:tc>
          <w:tcPr>
            <w:tcW w:w="1124" w:type="dxa"/>
            <w:tcBorders>
              <w:tl2br w:val="nil"/>
              <w:tr2bl w:val="nil"/>
            </w:tcBorders>
          </w:tcPr>
          <w:p>
            <w:pPr>
              <w:spacing w:line="520" w:lineRule="exact"/>
              <w:rPr>
                <w:rFonts w:ascii="宋体" w:hAnsi="宋体"/>
                <w:snapToGrid w:val="0"/>
                <w:kern w:val="0"/>
                <w:sz w:val="24"/>
              </w:rPr>
            </w:pPr>
          </w:p>
        </w:tc>
        <w:tc>
          <w:tcPr>
            <w:tcW w:w="866" w:type="dxa"/>
            <w:tcBorders>
              <w:tl2br w:val="nil"/>
              <w:tr2bl w:val="nil"/>
            </w:tcBorders>
          </w:tcPr>
          <w:p>
            <w:pPr>
              <w:spacing w:line="520" w:lineRule="exact"/>
              <w:rPr>
                <w:rFonts w:ascii="宋体" w:hAnsi="宋体"/>
                <w:snapToGrid w:val="0"/>
                <w:kern w:val="0"/>
                <w:sz w:val="24"/>
              </w:rPr>
            </w:pPr>
          </w:p>
        </w:tc>
        <w:tc>
          <w:tcPr>
            <w:tcW w:w="1087" w:type="dxa"/>
            <w:tcBorders>
              <w:tl2br w:val="nil"/>
              <w:tr2bl w:val="nil"/>
            </w:tcBorders>
          </w:tcPr>
          <w:p>
            <w:pPr>
              <w:spacing w:line="520" w:lineRule="exact"/>
              <w:rPr>
                <w:rFonts w:ascii="宋体" w:hAnsi="宋体"/>
                <w:snapToGrid w:val="0"/>
                <w:kern w:val="0"/>
                <w:sz w:val="24"/>
              </w:rPr>
            </w:pPr>
          </w:p>
        </w:tc>
        <w:tc>
          <w:tcPr>
            <w:tcW w:w="805" w:type="dxa"/>
            <w:tcBorders>
              <w:tl2br w:val="nil"/>
              <w:tr2bl w:val="nil"/>
            </w:tcBorders>
          </w:tcPr>
          <w:p>
            <w:pPr>
              <w:spacing w:line="520" w:lineRule="exact"/>
              <w:rPr>
                <w:rFonts w:ascii="宋体" w:hAnsi="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2393" w:type="dxa"/>
            <w:gridSpan w:val="2"/>
            <w:vMerge w:val="restart"/>
            <w:tcBorders>
              <w:tl2br w:val="nil"/>
              <w:tr2bl w:val="nil"/>
            </w:tcBorders>
            <w:vAlign w:val="center"/>
          </w:tcPr>
          <w:p>
            <w:pPr>
              <w:tabs>
                <w:tab w:val="left" w:pos="1337"/>
              </w:tabs>
              <w:spacing w:line="360" w:lineRule="auto"/>
              <w:ind w:right="-1"/>
              <w:jc w:val="center"/>
              <w:rPr>
                <w:rFonts w:ascii="宋体" w:hAnsi="宋体"/>
                <w:snapToGrid w:val="0"/>
                <w:kern w:val="0"/>
                <w:sz w:val="24"/>
              </w:rPr>
            </w:pPr>
            <w:r>
              <w:rPr>
                <w:rFonts w:hint="eastAsia" w:ascii="宋体" w:hAnsi="宋体"/>
                <w:snapToGrid w:val="0"/>
                <w:kern w:val="0"/>
                <w:sz w:val="24"/>
              </w:rPr>
              <w:t>总价合计</w:t>
            </w:r>
          </w:p>
        </w:tc>
        <w:tc>
          <w:tcPr>
            <w:tcW w:w="7906" w:type="dxa"/>
            <w:gridSpan w:val="8"/>
            <w:tcBorders>
              <w:tl2br w:val="nil"/>
              <w:tr2bl w:val="nil"/>
            </w:tcBorders>
            <w:vAlign w:val="center"/>
          </w:tcPr>
          <w:p>
            <w:pPr>
              <w:tabs>
                <w:tab w:val="left" w:pos="1337"/>
              </w:tabs>
              <w:spacing w:line="360" w:lineRule="auto"/>
              <w:ind w:right="-1"/>
              <w:rPr>
                <w:rFonts w:ascii="宋体" w:hAnsi="宋体"/>
                <w:snapToGrid w:val="0"/>
                <w:kern w:val="0"/>
                <w:sz w:val="24"/>
              </w:rPr>
            </w:pPr>
            <w:r>
              <w:rPr>
                <w:rFonts w:hint="eastAsia" w:ascii="宋体" w:hAnsi="宋体"/>
                <w:snapToGrid w:val="0"/>
                <w:kern w:val="0"/>
                <w:sz w:val="24"/>
              </w:rPr>
              <w:t>小写：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2" w:hRule="atLeast"/>
          <w:jc w:val="center"/>
        </w:trPr>
        <w:tc>
          <w:tcPr>
            <w:tcW w:w="2393" w:type="dxa"/>
            <w:gridSpan w:val="2"/>
            <w:vMerge w:val="continue"/>
            <w:tcBorders>
              <w:tl2br w:val="nil"/>
              <w:tr2bl w:val="nil"/>
            </w:tcBorders>
            <w:vAlign w:val="center"/>
          </w:tcPr>
          <w:p>
            <w:pPr>
              <w:tabs>
                <w:tab w:val="left" w:pos="1337"/>
              </w:tabs>
              <w:spacing w:line="360" w:lineRule="auto"/>
              <w:ind w:right="-1"/>
              <w:jc w:val="center"/>
              <w:rPr>
                <w:rFonts w:ascii="宋体" w:hAnsi="宋体"/>
                <w:snapToGrid w:val="0"/>
                <w:kern w:val="0"/>
                <w:sz w:val="24"/>
              </w:rPr>
            </w:pPr>
          </w:p>
        </w:tc>
        <w:tc>
          <w:tcPr>
            <w:tcW w:w="7906" w:type="dxa"/>
            <w:gridSpan w:val="8"/>
            <w:tcBorders>
              <w:tl2br w:val="nil"/>
              <w:tr2bl w:val="nil"/>
            </w:tcBorders>
            <w:vAlign w:val="center"/>
          </w:tcPr>
          <w:p>
            <w:pPr>
              <w:tabs>
                <w:tab w:val="left" w:pos="1337"/>
              </w:tabs>
              <w:spacing w:line="360" w:lineRule="auto"/>
              <w:ind w:right="-1"/>
              <w:rPr>
                <w:rFonts w:ascii="宋体" w:hAnsi="宋体"/>
                <w:snapToGrid w:val="0"/>
                <w:kern w:val="0"/>
                <w:sz w:val="24"/>
              </w:rPr>
            </w:pPr>
            <w:r>
              <w:rPr>
                <w:rFonts w:hint="eastAsia" w:ascii="宋体" w:hAnsi="宋体"/>
                <w:snapToGrid w:val="0"/>
                <w:kern w:val="0"/>
                <w:sz w:val="24"/>
              </w:rPr>
              <w:t>大写：</w:t>
            </w:r>
          </w:p>
        </w:tc>
      </w:tr>
    </w:tbl>
    <w:p>
      <w:pPr>
        <w:spacing w:line="360" w:lineRule="exact"/>
        <w:ind w:firstLine="240" w:firstLineChars="100"/>
        <w:rPr>
          <w:rFonts w:ascii="宋体" w:hAnsi="宋体"/>
          <w:snapToGrid w:val="0"/>
          <w:kern w:val="0"/>
          <w:sz w:val="24"/>
        </w:rPr>
      </w:pPr>
      <w:r>
        <w:rPr>
          <w:rFonts w:hint="eastAsia" w:ascii="宋体" w:hAnsi="宋体"/>
          <w:snapToGrid w:val="0"/>
          <w:kern w:val="0"/>
          <w:sz w:val="24"/>
        </w:rPr>
        <w:t>说明：本表费用不包含在投标总价中。</w:t>
      </w:r>
    </w:p>
    <w:p>
      <w:pPr>
        <w:spacing w:line="360" w:lineRule="auto"/>
        <w:ind w:right="-1"/>
        <w:rPr>
          <w:rFonts w:ascii="宋体" w:hAnsi="宋体" w:cs="宋体"/>
          <w:bCs/>
          <w:sz w:val="28"/>
          <w:szCs w:val="28"/>
        </w:rPr>
      </w:pPr>
    </w:p>
    <w:p>
      <w:pPr>
        <w:spacing w:line="360" w:lineRule="auto"/>
        <w:ind w:right="-1"/>
        <w:rPr>
          <w:rFonts w:ascii="宋体" w:hAnsi="宋体"/>
          <w:snapToGrid w:val="0"/>
          <w:kern w:val="0"/>
          <w:sz w:val="24"/>
        </w:rPr>
      </w:pPr>
      <w:r>
        <w:rPr>
          <w:rFonts w:hint="eastAsia" w:ascii="宋体" w:hAnsi="宋体"/>
          <w:snapToGrid w:val="0"/>
          <w:kern w:val="0"/>
          <w:sz w:val="24"/>
        </w:rPr>
        <w:t xml:space="preserve">供应商名称（公章）：             </w:t>
      </w:r>
    </w:p>
    <w:p>
      <w:pPr>
        <w:spacing w:line="360" w:lineRule="auto"/>
        <w:ind w:right="-1"/>
        <w:rPr>
          <w:rFonts w:ascii="宋体" w:hAnsi="宋体" w:cs="宋体"/>
          <w:bCs/>
          <w:sz w:val="28"/>
          <w:szCs w:val="28"/>
          <w:u w:val="single"/>
        </w:rPr>
      </w:pPr>
      <w:r>
        <w:rPr>
          <w:rFonts w:hint="eastAsia" w:ascii="宋体" w:hAnsi="宋体"/>
          <w:snapToGrid w:val="0"/>
          <w:kern w:val="0"/>
          <w:sz w:val="24"/>
        </w:rPr>
        <w:t xml:space="preserve">法定代表人或授权代表（签字或盖章）：  </w:t>
      </w:r>
      <w:r>
        <w:rPr>
          <w:rFonts w:hint="eastAsia" w:ascii="宋体" w:hAnsi="宋体" w:cs="宋体"/>
          <w:sz w:val="28"/>
          <w:szCs w:val="28"/>
          <w:u w:val="single"/>
        </w:rPr>
        <w:t xml:space="preserve">      </w:t>
      </w:r>
    </w:p>
    <w:p>
      <w:pPr>
        <w:jc w:val="right"/>
        <w:rPr>
          <w:rFonts w:ascii="宋体" w:hAnsi="宋体"/>
          <w:snapToGrid w:val="0"/>
          <w:kern w:val="0"/>
          <w:sz w:val="24"/>
        </w:rPr>
      </w:pPr>
      <w:r>
        <w:rPr>
          <w:rFonts w:hint="eastAsia" w:ascii="宋体" w:hAnsi="宋体"/>
          <w:snapToGrid w:val="0"/>
          <w:kern w:val="0"/>
          <w:sz w:val="24"/>
        </w:rPr>
        <w:t xml:space="preserve">  年  月  日</w:t>
      </w:r>
    </w:p>
    <w:p>
      <w:pPr>
        <w:pStyle w:val="47"/>
        <w:spacing w:line="360" w:lineRule="auto"/>
        <w:ind w:right="-1" w:firstLine="0" w:firstLineChars="0"/>
        <w:jc w:val="left"/>
        <w:outlineLvl w:val="1"/>
        <w:rPr>
          <w:rFonts w:ascii="宋体" w:hAnsi="宋体" w:cs="宋体"/>
          <w:sz w:val="30"/>
          <w:szCs w:val="30"/>
        </w:rPr>
      </w:pPr>
    </w:p>
    <w:bookmarkEnd w:id="198"/>
    <w:bookmarkEnd w:id="199"/>
    <w:p>
      <w:pPr>
        <w:widowControl/>
        <w:jc w:val="left"/>
        <w:rPr>
          <w:rFonts w:asciiTheme="minorEastAsia" w:hAnsiTheme="minorEastAsia" w:eastAsiaTheme="minorEastAsia"/>
          <w:bCs/>
          <w:snapToGrid w:val="0"/>
          <w:kern w:val="0"/>
          <w:sz w:val="24"/>
          <w:szCs w:val="21"/>
        </w:rPr>
      </w:pPr>
      <w:bookmarkStart w:id="204" w:name="_Toc72321857"/>
      <w:r>
        <w:rPr>
          <w:rFonts w:asciiTheme="minorEastAsia" w:hAnsiTheme="minorEastAsia" w:eastAsiaTheme="minorEastAsia"/>
          <w:b/>
          <w:snapToGrid w:val="0"/>
          <w:sz w:val="24"/>
          <w:szCs w:val="21"/>
        </w:rPr>
        <w:br w:type="page"/>
      </w:r>
    </w:p>
    <w:p>
      <w:pPr>
        <w:pStyle w:val="3"/>
        <w:spacing w:before="0" w:after="0"/>
        <w:jc w:val="left"/>
        <w:rPr>
          <w:rFonts w:asciiTheme="minorEastAsia" w:hAnsiTheme="minorEastAsia" w:eastAsiaTheme="minorEastAsia"/>
          <w:bCs w:val="0"/>
          <w:sz w:val="24"/>
          <w:szCs w:val="24"/>
        </w:rPr>
      </w:pPr>
      <w:bookmarkStart w:id="205" w:name="_Toc10511"/>
      <w:r>
        <w:rPr>
          <w:rFonts w:hint="eastAsia" w:asciiTheme="minorEastAsia" w:hAnsiTheme="minorEastAsia" w:eastAsiaTheme="minorEastAsia"/>
          <w:bCs w:val="0"/>
          <w:sz w:val="24"/>
          <w:szCs w:val="24"/>
        </w:rPr>
        <w:t>附件七：商务偏离表</w:t>
      </w:r>
      <w:bookmarkEnd w:id="204"/>
      <w:bookmarkEnd w:id="205"/>
    </w:p>
    <w:p>
      <w:pPr>
        <w:pStyle w:val="20"/>
        <w:spacing w:before="0" w:after="0"/>
        <w:rPr>
          <w:rFonts w:asciiTheme="minorEastAsia" w:hAnsiTheme="minorEastAsia" w:eastAsiaTheme="minorEastAsia"/>
          <w:snapToGrid w:val="0"/>
          <w:kern w:val="0"/>
          <w:sz w:val="18"/>
          <w:szCs w:val="18"/>
        </w:rPr>
      </w:pPr>
    </w:p>
    <w:p>
      <w:pPr>
        <w:pStyle w:val="27"/>
        <w:jc w:val="center"/>
        <w:rPr>
          <w:rFonts w:asciiTheme="minorEastAsia" w:hAnsiTheme="minorEastAsia" w:eastAsiaTheme="minorEastAsia"/>
          <w:b/>
          <w:snapToGrid w:val="0"/>
          <w:sz w:val="28"/>
          <w:szCs w:val="18"/>
        </w:rPr>
      </w:pPr>
      <w:bookmarkStart w:id="206" w:name="_Toc494525280"/>
      <w:r>
        <w:rPr>
          <w:rFonts w:hint="eastAsia" w:asciiTheme="minorEastAsia" w:hAnsiTheme="minorEastAsia" w:eastAsiaTheme="minorEastAsia"/>
          <w:b/>
          <w:snapToGrid w:val="0"/>
          <w:sz w:val="28"/>
          <w:szCs w:val="18"/>
        </w:rPr>
        <w:t>商务偏离表</w:t>
      </w:r>
      <w:bookmarkEnd w:id="206"/>
    </w:p>
    <w:p>
      <w:pPr>
        <w:pStyle w:val="27"/>
        <w:jc w:val="center"/>
        <w:rPr>
          <w:rFonts w:asciiTheme="minorEastAsia" w:hAnsiTheme="minorEastAsia" w:eastAsiaTheme="minorEastAsia"/>
        </w:rPr>
      </w:pPr>
    </w:p>
    <w:p>
      <w:pPr>
        <w:pStyle w:val="33"/>
        <w:spacing w:line="360" w:lineRule="exact"/>
        <w:ind w:left="0" w:leftChars="0" w:firstLine="0" w:firstLineChars="0"/>
        <w:rPr>
          <w:rFonts w:asciiTheme="minorEastAsia" w:hAnsiTheme="minorEastAsia" w:eastAsiaTheme="minorEastAsia"/>
          <w:bCs/>
          <w:snapToGrid w:val="0"/>
          <w:sz w:val="24"/>
        </w:rPr>
      </w:pPr>
      <w:r>
        <w:rPr>
          <w:rFonts w:hint="eastAsia" w:asciiTheme="minorEastAsia" w:hAnsiTheme="minorEastAsia" w:eastAsiaTheme="minorEastAsia"/>
          <w:bCs/>
          <w:snapToGrid w:val="0"/>
          <w:sz w:val="24"/>
        </w:rPr>
        <w:t>项目名称：</w:t>
      </w:r>
      <w:r>
        <w:rPr>
          <w:rFonts w:asciiTheme="minorEastAsia" w:hAnsiTheme="minorEastAsia" w:eastAsiaTheme="minorEastAsia"/>
          <w:bCs/>
          <w:snapToGrid w:val="0"/>
          <w:sz w:val="24"/>
        </w:rPr>
        <w:t xml:space="preserve"> </w:t>
      </w:r>
    </w:p>
    <w:p>
      <w:pPr>
        <w:pStyle w:val="33"/>
        <w:spacing w:line="360" w:lineRule="exact"/>
        <w:ind w:left="0" w:leftChars="0" w:firstLine="0" w:firstLineChars="0"/>
        <w:rPr>
          <w:rFonts w:asciiTheme="minorEastAsia" w:hAnsiTheme="minorEastAsia" w:eastAsiaTheme="minorEastAsia"/>
          <w:bCs/>
          <w:snapToGrid w:val="0"/>
          <w:sz w:val="24"/>
        </w:rPr>
      </w:pPr>
      <w:r>
        <w:rPr>
          <w:rFonts w:hint="eastAsia" w:asciiTheme="minorEastAsia" w:hAnsiTheme="minorEastAsia" w:eastAsiaTheme="minorEastAsia"/>
          <w:bCs/>
          <w:snapToGrid w:val="0"/>
          <w:sz w:val="24"/>
        </w:rPr>
        <w:t>项目编号：</w:t>
      </w:r>
    </w:p>
    <w:p>
      <w:pPr>
        <w:pStyle w:val="33"/>
        <w:spacing w:line="360" w:lineRule="exact"/>
        <w:ind w:left="0" w:leftChars="0" w:firstLine="0" w:firstLineChars="0"/>
        <w:rPr>
          <w:rFonts w:asciiTheme="minorEastAsia" w:hAnsiTheme="minorEastAsia" w:eastAsiaTheme="minorEastAsia"/>
          <w:b/>
          <w:bCs/>
          <w:snapToGrid w:val="0"/>
        </w:rPr>
      </w:pPr>
      <w:r>
        <w:rPr>
          <w:rFonts w:hint="eastAsia" w:asciiTheme="minorEastAsia" w:hAnsiTheme="minorEastAsia" w:eastAsiaTheme="minorEastAsia"/>
          <w:bCs/>
          <w:snapToGrid w:val="0"/>
          <w:sz w:val="24"/>
        </w:rPr>
        <w:t>包    号：</w:t>
      </w:r>
      <w:r>
        <w:rPr>
          <w:rFonts w:hint="eastAsia" w:asciiTheme="minorEastAsia" w:hAnsiTheme="minorEastAsia" w:eastAsiaTheme="minorEastAsia"/>
          <w:bCs/>
          <w:snapToGrid w:val="0"/>
        </w:rPr>
        <w:t xml:space="preserve">                                                   </w:t>
      </w:r>
    </w:p>
    <w:tbl>
      <w:tblPr>
        <w:tblStyle w:val="75"/>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469"/>
        <w:gridCol w:w="1594"/>
        <w:gridCol w:w="1592"/>
        <w:gridCol w:w="1460"/>
        <w:gridCol w:w="1462"/>
        <w:gridCol w:w="1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39"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序号</w:t>
            </w:r>
          </w:p>
        </w:tc>
        <w:tc>
          <w:tcPr>
            <w:tcW w:w="1469"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招标文件</w:t>
            </w:r>
          </w:p>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条款号</w:t>
            </w:r>
          </w:p>
        </w:tc>
        <w:tc>
          <w:tcPr>
            <w:tcW w:w="1594"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招标文件的商务条款</w:t>
            </w:r>
          </w:p>
        </w:tc>
        <w:tc>
          <w:tcPr>
            <w:tcW w:w="1592"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投标文件的商务条款</w:t>
            </w:r>
          </w:p>
        </w:tc>
        <w:tc>
          <w:tcPr>
            <w:tcW w:w="1460"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投标文件对应的页码</w:t>
            </w:r>
          </w:p>
        </w:tc>
        <w:tc>
          <w:tcPr>
            <w:tcW w:w="1462"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偏差内容</w:t>
            </w:r>
          </w:p>
        </w:tc>
        <w:tc>
          <w:tcPr>
            <w:tcW w:w="1118"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jc w:val="center"/>
              <w:rPr>
                <w:rFonts w:asciiTheme="minorEastAsia" w:hAnsiTheme="minorEastAsia" w:eastAsiaTheme="minorEastAsia"/>
                <w:snapToGrid w:val="0"/>
                <w:kern w:val="0"/>
                <w:sz w:val="24"/>
              </w:rPr>
            </w:pPr>
          </w:p>
        </w:tc>
        <w:tc>
          <w:tcPr>
            <w:tcW w:w="1469" w:type="dxa"/>
            <w:vAlign w:val="center"/>
          </w:tcPr>
          <w:p>
            <w:pPr>
              <w:tabs>
                <w:tab w:val="left" w:pos="1337"/>
              </w:tabs>
              <w:jc w:val="center"/>
              <w:rPr>
                <w:rFonts w:asciiTheme="minorEastAsia" w:hAnsiTheme="minorEastAsia" w:eastAsiaTheme="minorEastAsia"/>
                <w:snapToGrid w:val="0"/>
                <w:kern w:val="0"/>
                <w:sz w:val="24"/>
              </w:rPr>
            </w:pPr>
          </w:p>
        </w:tc>
        <w:tc>
          <w:tcPr>
            <w:tcW w:w="1594" w:type="dxa"/>
            <w:vAlign w:val="center"/>
          </w:tcPr>
          <w:p>
            <w:pPr>
              <w:tabs>
                <w:tab w:val="left" w:pos="1337"/>
              </w:tabs>
              <w:jc w:val="center"/>
              <w:rPr>
                <w:rFonts w:asciiTheme="minorEastAsia" w:hAnsiTheme="minorEastAsia" w:eastAsiaTheme="minorEastAsia"/>
                <w:snapToGrid w:val="0"/>
                <w:kern w:val="0"/>
                <w:sz w:val="24"/>
              </w:rPr>
            </w:pPr>
          </w:p>
        </w:tc>
        <w:tc>
          <w:tcPr>
            <w:tcW w:w="1592" w:type="dxa"/>
            <w:vAlign w:val="center"/>
          </w:tcPr>
          <w:p>
            <w:pPr>
              <w:tabs>
                <w:tab w:val="left" w:pos="1337"/>
              </w:tabs>
              <w:jc w:val="center"/>
              <w:rPr>
                <w:rFonts w:asciiTheme="minorEastAsia" w:hAnsiTheme="minorEastAsia" w:eastAsiaTheme="minorEastAsia"/>
                <w:snapToGrid w:val="0"/>
                <w:kern w:val="0"/>
                <w:sz w:val="24"/>
              </w:rPr>
            </w:pPr>
          </w:p>
        </w:tc>
        <w:tc>
          <w:tcPr>
            <w:tcW w:w="1460" w:type="dxa"/>
            <w:vAlign w:val="center"/>
          </w:tcPr>
          <w:p>
            <w:pPr>
              <w:tabs>
                <w:tab w:val="left" w:pos="1337"/>
              </w:tabs>
              <w:jc w:val="center"/>
              <w:rPr>
                <w:rFonts w:asciiTheme="minorEastAsia" w:hAnsiTheme="minorEastAsia" w:eastAsiaTheme="minorEastAsia"/>
                <w:snapToGrid w:val="0"/>
                <w:kern w:val="0"/>
                <w:sz w:val="24"/>
              </w:rPr>
            </w:pPr>
          </w:p>
        </w:tc>
        <w:tc>
          <w:tcPr>
            <w:tcW w:w="1462" w:type="dxa"/>
            <w:vAlign w:val="center"/>
          </w:tcPr>
          <w:p>
            <w:pPr>
              <w:tabs>
                <w:tab w:val="left" w:pos="1337"/>
              </w:tabs>
              <w:jc w:val="center"/>
              <w:rPr>
                <w:rFonts w:asciiTheme="minorEastAsia" w:hAnsiTheme="minorEastAsia" w:eastAsiaTheme="minorEastAsia"/>
                <w:snapToGrid w:val="0"/>
                <w:kern w:val="0"/>
                <w:sz w:val="24"/>
              </w:rPr>
            </w:pPr>
          </w:p>
        </w:tc>
        <w:tc>
          <w:tcPr>
            <w:tcW w:w="1118"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jc w:val="center"/>
              <w:rPr>
                <w:rFonts w:asciiTheme="minorEastAsia" w:hAnsiTheme="minorEastAsia" w:eastAsiaTheme="minorEastAsia"/>
                <w:snapToGrid w:val="0"/>
                <w:kern w:val="0"/>
                <w:sz w:val="24"/>
              </w:rPr>
            </w:pPr>
          </w:p>
        </w:tc>
        <w:tc>
          <w:tcPr>
            <w:tcW w:w="1469" w:type="dxa"/>
            <w:vAlign w:val="center"/>
          </w:tcPr>
          <w:p>
            <w:pPr>
              <w:tabs>
                <w:tab w:val="left" w:pos="1337"/>
              </w:tabs>
              <w:jc w:val="center"/>
              <w:rPr>
                <w:rFonts w:asciiTheme="minorEastAsia" w:hAnsiTheme="minorEastAsia" w:eastAsiaTheme="minorEastAsia"/>
                <w:snapToGrid w:val="0"/>
                <w:kern w:val="0"/>
                <w:sz w:val="24"/>
              </w:rPr>
            </w:pPr>
          </w:p>
        </w:tc>
        <w:tc>
          <w:tcPr>
            <w:tcW w:w="1594" w:type="dxa"/>
            <w:vAlign w:val="center"/>
          </w:tcPr>
          <w:p>
            <w:pPr>
              <w:tabs>
                <w:tab w:val="left" w:pos="1337"/>
              </w:tabs>
              <w:jc w:val="center"/>
              <w:rPr>
                <w:rFonts w:asciiTheme="minorEastAsia" w:hAnsiTheme="minorEastAsia" w:eastAsiaTheme="minorEastAsia"/>
                <w:snapToGrid w:val="0"/>
                <w:kern w:val="0"/>
                <w:sz w:val="24"/>
              </w:rPr>
            </w:pPr>
          </w:p>
        </w:tc>
        <w:tc>
          <w:tcPr>
            <w:tcW w:w="1592" w:type="dxa"/>
            <w:vAlign w:val="center"/>
          </w:tcPr>
          <w:p>
            <w:pPr>
              <w:tabs>
                <w:tab w:val="left" w:pos="1337"/>
              </w:tabs>
              <w:jc w:val="center"/>
              <w:rPr>
                <w:rFonts w:asciiTheme="minorEastAsia" w:hAnsiTheme="minorEastAsia" w:eastAsiaTheme="minorEastAsia"/>
                <w:snapToGrid w:val="0"/>
                <w:kern w:val="0"/>
                <w:sz w:val="24"/>
              </w:rPr>
            </w:pPr>
          </w:p>
        </w:tc>
        <w:tc>
          <w:tcPr>
            <w:tcW w:w="1460" w:type="dxa"/>
            <w:vAlign w:val="center"/>
          </w:tcPr>
          <w:p>
            <w:pPr>
              <w:tabs>
                <w:tab w:val="left" w:pos="1337"/>
              </w:tabs>
              <w:jc w:val="center"/>
              <w:rPr>
                <w:rFonts w:asciiTheme="minorEastAsia" w:hAnsiTheme="minorEastAsia" w:eastAsiaTheme="minorEastAsia"/>
                <w:snapToGrid w:val="0"/>
                <w:kern w:val="0"/>
                <w:sz w:val="24"/>
              </w:rPr>
            </w:pPr>
          </w:p>
        </w:tc>
        <w:tc>
          <w:tcPr>
            <w:tcW w:w="1462" w:type="dxa"/>
            <w:vAlign w:val="center"/>
          </w:tcPr>
          <w:p>
            <w:pPr>
              <w:tabs>
                <w:tab w:val="left" w:pos="1337"/>
              </w:tabs>
              <w:jc w:val="center"/>
              <w:rPr>
                <w:rFonts w:asciiTheme="minorEastAsia" w:hAnsiTheme="minorEastAsia" w:eastAsiaTheme="minorEastAsia"/>
                <w:snapToGrid w:val="0"/>
                <w:kern w:val="0"/>
                <w:sz w:val="24"/>
              </w:rPr>
            </w:pPr>
          </w:p>
        </w:tc>
        <w:tc>
          <w:tcPr>
            <w:tcW w:w="1118"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jc w:val="center"/>
              <w:rPr>
                <w:rFonts w:asciiTheme="minorEastAsia" w:hAnsiTheme="minorEastAsia" w:eastAsiaTheme="minorEastAsia"/>
                <w:snapToGrid w:val="0"/>
                <w:kern w:val="0"/>
                <w:sz w:val="24"/>
              </w:rPr>
            </w:pPr>
          </w:p>
        </w:tc>
        <w:tc>
          <w:tcPr>
            <w:tcW w:w="1469" w:type="dxa"/>
            <w:vAlign w:val="center"/>
          </w:tcPr>
          <w:p>
            <w:pPr>
              <w:tabs>
                <w:tab w:val="left" w:pos="1337"/>
              </w:tabs>
              <w:jc w:val="center"/>
              <w:rPr>
                <w:rFonts w:asciiTheme="minorEastAsia" w:hAnsiTheme="minorEastAsia" w:eastAsiaTheme="minorEastAsia"/>
                <w:snapToGrid w:val="0"/>
                <w:kern w:val="0"/>
                <w:sz w:val="24"/>
              </w:rPr>
            </w:pPr>
          </w:p>
        </w:tc>
        <w:tc>
          <w:tcPr>
            <w:tcW w:w="1594" w:type="dxa"/>
            <w:vAlign w:val="center"/>
          </w:tcPr>
          <w:p>
            <w:pPr>
              <w:tabs>
                <w:tab w:val="left" w:pos="1337"/>
              </w:tabs>
              <w:jc w:val="center"/>
              <w:rPr>
                <w:rFonts w:asciiTheme="minorEastAsia" w:hAnsiTheme="minorEastAsia" w:eastAsiaTheme="minorEastAsia"/>
                <w:snapToGrid w:val="0"/>
                <w:kern w:val="0"/>
                <w:sz w:val="24"/>
              </w:rPr>
            </w:pPr>
          </w:p>
        </w:tc>
        <w:tc>
          <w:tcPr>
            <w:tcW w:w="1592" w:type="dxa"/>
            <w:vAlign w:val="center"/>
          </w:tcPr>
          <w:p>
            <w:pPr>
              <w:tabs>
                <w:tab w:val="left" w:pos="1337"/>
              </w:tabs>
              <w:jc w:val="center"/>
              <w:rPr>
                <w:rFonts w:asciiTheme="minorEastAsia" w:hAnsiTheme="minorEastAsia" w:eastAsiaTheme="minorEastAsia"/>
                <w:snapToGrid w:val="0"/>
                <w:kern w:val="0"/>
                <w:sz w:val="24"/>
              </w:rPr>
            </w:pPr>
          </w:p>
        </w:tc>
        <w:tc>
          <w:tcPr>
            <w:tcW w:w="1460" w:type="dxa"/>
            <w:vAlign w:val="center"/>
          </w:tcPr>
          <w:p>
            <w:pPr>
              <w:tabs>
                <w:tab w:val="left" w:pos="1337"/>
              </w:tabs>
              <w:jc w:val="center"/>
              <w:rPr>
                <w:rFonts w:asciiTheme="minorEastAsia" w:hAnsiTheme="minorEastAsia" w:eastAsiaTheme="minorEastAsia"/>
                <w:snapToGrid w:val="0"/>
                <w:kern w:val="0"/>
                <w:sz w:val="24"/>
              </w:rPr>
            </w:pPr>
          </w:p>
        </w:tc>
        <w:tc>
          <w:tcPr>
            <w:tcW w:w="1462" w:type="dxa"/>
            <w:vAlign w:val="center"/>
          </w:tcPr>
          <w:p>
            <w:pPr>
              <w:tabs>
                <w:tab w:val="left" w:pos="1337"/>
              </w:tabs>
              <w:jc w:val="center"/>
              <w:rPr>
                <w:rFonts w:asciiTheme="minorEastAsia" w:hAnsiTheme="minorEastAsia" w:eastAsiaTheme="minorEastAsia"/>
                <w:snapToGrid w:val="0"/>
                <w:kern w:val="0"/>
                <w:sz w:val="24"/>
              </w:rPr>
            </w:pPr>
          </w:p>
        </w:tc>
        <w:tc>
          <w:tcPr>
            <w:tcW w:w="1118"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jc w:val="center"/>
              <w:rPr>
                <w:rFonts w:asciiTheme="minorEastAsia" w:hAnsiTheme="minorEastAsia" w:eastAsiaTheme="minorEastAsia"/>
                <w:snapToGrid w:val="0"/>
                <w:kern w:val="0"/>
                <w:sz w:val="24"/>
              </w:rPr>
            </w:pPr>
          </w:p>
        </w:tc>
        <w:tc>
          <w:tcPr>
            <w:tcW w:w="1469" w:type="dxa"/>
            <w:vAlign w:val="center"/>
          </w:tcPr>
          <w:p>
            <w:pPr>
              <w:tabs>
                <w:tab w:val="left" w:pos="1337"/>
              </w:tabs>
              <w:jc w:val="center"/>
              <w:rPr>
                <w:rFonts w:asciiTheme="minorEastAsia" w:hAnsiTheme="minorEastAsia" w:eastAsiaTheme="minorEastAsia"/>
                <w:snapToGrid w:val="0"/>
                <w:kern w:val="0"/>
                <w:sz w:val="24"/>
              </w:rPr>
            </w:pPr>
          </w:p>
        </w:tc>
        <w:tc>
          <w:tcPr>
            <w:tcW w:w="1594" w:type="dxa"/>
            <w:vAlign w:val="center"/>
          </w:tcPr>
          <w:p>
            <w:pPr>
              <w:tabs>
                <w:tab w:val="left" w:pos="1337"/>
              </w:tabs>
              <w:jc w:val="center"/>
              <w:rPr>
                <w:rFonts w:asciiTheme="minorEastAsia" w:hAnsiTheme="minorEastAsia" w:eastAsiaTheme="minorEastAsia"/>
                <w:snapToGrid w:val="0"/>
                <w:kern w:val="0"/>
                <w:sz w:val="24"/>
              </w:rPr>
            </w:pPr>
          </w:p>
        </w:tc>
        <w:tc>
          <w:tcPr>
            <w:tcW w:w="1592" w:type="dxa"/>
            <w:vAlign w:val="center"/>
          </w:tcPr>
          <w:p>
            <w:pPr>
              <w:tabs>
                <w:tab w:val="left" w:pos="1337"/>
              </w:tabs>
              <w:jc w:val="center"/>
              <w:rPr>
                <w:rFonts w:asciiTheme="minorEastAsia" w:hAnsiTheme="minorEastAsia" w:eastAsiaTheme="minorEastAsia"/>
                <w:snapToGrid w:val="0"/>
                <w:kern w:val="0"/>
                <w:sz w:val="24"/>
              </w:rPr>
            </w:pPr>
          </w:p>
        </w:tc>
        <w:tc>
          <w:tcPr>
            <w:tcW w:w="1460" w:type="dxa"/>
            <w:vAlign w:val="center"/>
          </w:tcPr>
          <w:p>
            <w:pPr>
              <w:tabs>
                <w:tab w:val="left" w:pos="1337"/>
              </w:tabs>
              <w:jc w:val="center"/>
              <w:rPr>
                <w:rFonts w:asciiTheme="minorEastAsia" w:hAnsiTheme="minorEastAsia" w:eastAsiaTheme="minorEastAsia"/>
                <w:snapToGrid w:val="0"/>
                <w:kern w:val="0"/>
                <w:sz w:val="24"/>
              </w:rPr>
            </w:pPr>
          </w:p>
        </w:tc>
        <w:tc>
          <w:tcPr>
            <w:tcW w:w="1462" w:type="dxa"/>
            <w:vAlign w:val="center"/>
          </w:tcPr>
          <w:p>
            <w:pPr>
              <w:tabs>
                <w:tab w:val="left" w:pos="1337"/>
              </w:tabs>
              <w:jc w:val="center"/>
              <w:rPr>
                <w:rFonts w:asciiTheme="minorEastAsia" w:hAnsiTheme="minorEastAsia" w:eastAsiaTheme="minorEastAsia"/>
                <w:snapToGrid w:val="0"/>
                <w:kern w:val="0"/>
                <w:sz w:val="24"/>
              </w:rPr>
            </w:pPr>
          </w:p>
        </w:tc>
        <w:tc>
          <w:tcPr>
            <w:tcW w:w="1118"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jc w:val="center"/>
              <w:rPr>
                <w:rFonts w:asciiTheme="minorEastAsia" w:hAnsiTheme="minorEastAsia" w:eastAsiaTheme="minorEastAsia"/>
                <w:snapToGrid w:val="0"/>
                <w:kern w:val="0"/>
                <w:sz w:val="24"/>
              </w:rPr>
            </w:pPr>
          </w:p>
        </w:tc>
        <w:tc>
          <w:tcPr>
            <w:tcW w:w="1469" w:type="dxa"/>
            <w:vAlign w:val="center"/>
          </w:tcPr>
          <w:p>
            <w:pPr>
              <w:tabs>
                <w:tab w:val="left" w:pos="1337"/>
              </w:tabs>
              <w:jc w:val="center"/>
              <w:rPr>
                <w:rFonts w:asciiTheme="minorEastAsia" w:hAnsiTheme="minorEastAsia" w:eastAsiaTheme="minorEastAsia"/>
                <w:snapToGrid w:val="0"/>
                <w:kern w:val="0"/>
                <w:sz w:val="24"/>
              </w:rPr>
            </w:pPr>
          </w:p>
        </w:tc>
        <w:tc>
          <w:tcPr>
            <w:tcW w:w="1594" w:type="dxa"/>
            <w:vAlign w:val="center"/>
          </w:tcPr>
          <w:p>
            <w:pPr>
              <w:tabs>
                <w:tab w:val="left" w:pos="1337"/>
              </w:tabs>
              <w:jc w:val="center"/>
              <w:rPr>
                <w:rFonts w:asciiTheme="minorEastAsia" w:hAnsiTheme="minorEastAsia" w:eastAsiaTheme="minorEastAsia"/>
                <w:snapToGrid w:val="0"/>
                <w:kern w:val="0"/>
                <w:sz w:val="24"/>
              </w:rPr>
            </w:pPr>
          </w:p>
        </w:tc>
        <w:tc>
          <w:tcPr>
            <w:tcW w:w="1592" w:type="dxa"/>
            <w:vAlign w:val="center"/>
          </w:tcPr>
          <w:p>
            <w:pPr>
              <w:tabs>
                <w:tab w:val="left" w:pos="1337"/>
              </w:tabs>
              <w:jc w:val="center"/>
              <w:rPr>
                <w:rFonts w:asciiTheme="minorEastAsia" w:hAnsiTheme="minorEastAsia" w:eastAsiaTheme="minorEastAsia"/>
                <w:snapToGrid w:val="0"/>
                <w:kern w:val="0"/>
                <w:sz w:val="24"/>
              </w:rPr>
            </w:pPr>
          </w:p>
        </w:tc>
        <w:tc>
          <w:tcPr>
            <w:tcW w:w="1460" w:type="dxa"/>
            <w:vAlign w:val="center"/>
          </w:tcPr>
          <w:p>
            <w:pPr>
              <w:tabs>
                <w:tab w:val="left" w:pos="1337"/>
              </w:tabs>
              <w:jc w:val="center"/>
              <w:rPr>
                <w:rFonts w:asciiTheme="minorEastAsia" w:hAnsiTheme="minorEastAsia" w:eastAsiaTheme="minorEastAsia"/>
                <w:snapToGrid w:val="0"/>
                <w:kern w:val="0"/>
                <w:sz w:val="24"/>
              </w:rPr>
            </w:pPr>
          </w:p>
        </w:tc>
        <w:tc>
          <w:tcPr>
            <w:tcW w:w="1462" w:type="dxa"/>
            <w:vAlign w:val="center"/>
          </w:tcPr>
          <w:p>
            <w:pPr>
              <w:tabs>
                <w:tab w:val="left" w:pos="1337"/>
              </w:tabs>
              <w:jc w:val="center"/>
              <w:rPr>
                <w:rFonts w:asciiTheme="minorEastAsia" w:hAnsiTheme="minorEastAsia" w:eastAsiaTheme="minorEastAsia"/>
                <w:snapToGrid w:val="0"/>
                <w:kern w:val="0"/>
                <w:sz w:val="24"/>
              </w:rPr>
            </w:pPr>
          </w:p>
        </w:tc>
        <w:tc>
          <w:tcPr>
            <w:tcW w:w="1118"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jc w:val="center"/>
              <w:rPr>
                <w:rFonts w:asciiTheme="minorEastAsia" w:hAnsiTheme="minorEastAsia" w:eastAsiaTheme="minorEastAsia"/>
                <w:snapToGrid w:val="0"/>
                <w:kern w:val="0"/>
                <w:sz w:val="24"/>
              </w:rPr>
            </w:pPr>
          </w:p>
        </w:tc>
        <w:tc>
          <w:tcPr>
            <w:tcW w:w="1469" w:type="dxa"/>
            <w:vAlign w:val="center"/>
          </w:tcPr>
          <w:p>
            <w:pPr>
              <w:tabs>
                <w:tab w:val="left" w:pos="1337"/>
              </w:tabs>
              <w:jc w:val="center"/>
              <w:rPr>
                <w:rFonts w:asciiTheme="minorEastAsia" w:hAnsiTheme="minorEastAsia" w:eastAsiaTheme="minorEastAsia"/>
                <w:snapToGrid w:val="0"/>
                <w:kern w:val="0"/>
                <w:sz w:val="24"/>
              </w:rPr>
            </w:pPr>
          </w:p>
        </w:tc>
        <w:tc>
          <w:tcPr>
            <w:tcW w:w="1594" w:type="dxa"/>
            <w:vAlign w:val="center"/>
          </w:tcPr>
          <w:p>
            <w:pPr>
              <w:tabs>
                <w:tab w:val="left" w:pos="1337"/>
              </w:tabs>
              <w:jc w:val="center"/>
              <w:rPr>
                <w:rFonts w:asciiTheme="minorEastAsia" w:hAnsiTheme="minorEastAsia" w:eastAsiaTheme="minorEastAsia"/>
                <w:snapToGrid w:val="0"/>
                <w:kern w:val="0"/>
                <w:sz w:val="24"/>
              </w:rPr>
            </w:pPr>
          </w:p>
        </w:tc>
        <w:tc>
          <w:tcPr>
            <w:tcW w:w="1592" w:type="dxa"/>
            <w:vAlign w:val="center"/>
          </w:tcPr>
          <w:p>
            <w:pPr>
              <w:tabs>
                <w:tab w:val="left" w:pos="1337"/>
              </w:tabs>
              <w:jc w:val="center"/>
              <w:rPr>
                <w:rFonts w:asciiTheme="minorEastAsia" w:hAnsiTheme="minorEastAsia" w:eastAsiaTheme="minorEastAsia"/>
                <w:snapToGrid w:val="0"/>
                <w:kern w:val="0"/>
                <w:sz w:val="24"/>
              </w:rPr>
            </w:pPr>
          </w:p>
        </w:tc>
        <w:tc>
          <w:tcPr>
            <w:tcW w:w="1460" w:type="dxa"/>
            <w:vAlign w:val="center"/>
          </w:tcPr>
          <w:p>
            <w:pPr>
              <w:tabs>
                <w:tab w:val="left" w:pos="1337"/>
              </w:tabs>
              <w:jc w:val="center"/>
              <w:rPr>
                <w:rFonts w:asciiTheme="minorEastAsia" w:hAnsiTheme="minorEastAsia" w:eastAsiaTheme="minorEastAsia"/>
                <w:snapToGrid w:val="0"/>
                <w:kern w:val="0"/>
                <w:sz w:val="24"/>
              </w:rPr>
            </w:pPr>
          </w:p>
        </w:tc>
        <w:tc>
          <w:tcPr>
            <w:tcW w:w="1462" w:type="dxa"/>
            <w:vAlign w:val="center"/>
          </w:tcPr>
          <w:p>
            <w:pPr>
              <w:tabs>
                <w:tab w:val="left" w:pos="1337"/>
              </w:tabs>
              <w:jc w:val="center"/>
              <w:rPr>
                <w:rFonts w:asciiTheme="minorEastAsia" w:hAnsiTheme="minorEastAsia" w:eastAsiaTheme="minorEastAsia"/>
                <w:snapToGrid w:val="0"/>
                <w:kern w:val="0"/>
                <w:sz w:val="24"/>
              </w:rPr>
            </w:pPr>
          </w:p>
        </w:tc>
        <w:tc>
          <w:tcPr>
            <w:tcW w:w="1118"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jc w:val="center"/>
              <w:rPr>
                <w:rFonts w:asciiTheme="minorEastAsia" w:hAnsiTheme="minorEastAsia" w:eastAsiaTheme="minorEastAsia"/>
                <w:snapToGrid w:val="0"/>
                <w:kern w:val="0"/>
                <w:sz w:val="24"/>
              </w:rPr>
            </w:pPr>
          </w:p>
        </w:tc>
        <w:tc>
          <w:tcPr>
            <w:tcW w:w="1469" w:type="dxa"/>
            <w:vAlign w:val="center"/>
          </w:tcPr>
          <w:p>
            <w:pPr>
              <w:tabs>
                <w:tab w:val="left" w:pos="1337"/>
              </w:tabs>
              <w:jc w:val="center"/>
              <w:rPr>
                <w:rFonts w:asciiTheme="minorEastAsia" w:hAnsiTheme="minorEastAsia" w:eastAsiaTheme="minorEastAsia"/>
                <w:snapToGrid w:val="0"/>
                <w:kern w:val="0"/>
                <w:sz w:val="24"/>
              </w:rPr>
            </w:pPr>
          </w:p>
        </w:tc>
        <w:tc>
          <w:tcPr>
            <w:tcW w:w="1594" w:type="dxa"/>
            <w:vAlign w:val="center"/>
          </w:tcPr>
          <w:p>
            <w:pPr>
              <w:tabs>
                <w:tab w:val="left" w:pos="1337"/>
              </w:tabs>
              <w:jc w:val="center"/>
              <w:rPr>
                <w:rFonts w:asciiTheme="minorEastAsia" w:hAnsiTheme="minorEastAsia" w:eastAsiaTheme="minorEastAsia"/>
                <w:snapToGrid w:val="0"/>
                <w:kern w:val="0"/>
                <w:sz w:val="24"/>
              </w:rPr>
            </w:pPr>
          </w:p>
        </w:tc>
        <w:tc>
          <w:tcPr>
            <w:tcW w:w="1592" w:type="dxa"/>
            <w:vAlign w:val="center"/>
          </w:tcPr>
          <w:p>
            <w:pPr>
              <w:tabs>
                <w:tab w:val="left" w:pos="1337"/>
              </w:tabs>
              <w:jc w:val="center"/>
              <w:rPr>
                <w:rFonts w:asciiTheme="minorEastAsia" w:hAnsiTheme="minorEastAsia" w:eastAsiaTheme="minorEastAsia"/>
                <w:snapToGrid w:val="0"/>
                <w:kern w:val="0"/>
                <w:sz w:val="24"/>
              </w:rPr>
            </w:pPr>
          </w:p>
        </w:tc>
        <w:tc>
          <w:tcPr>
            <w:tcW w:w="1460" w:type="dxa"/>
            <w:vAlign w:val="center"/>
          </w:tcPr>
          <w:p>
            <w:pPr>
              <w:tabs>
                <w:tab w:val="left" w:pos="1337"/>
              </w:tabs>
              <w:jc w:val="center"/>
              <w:rPr>
                <w:rFonts w:asciiTheme="minorEastAsia" w:hAnsiTheme="minorEastAsia" w:eastAsiaTheme="minorEastAsia"/>
                <w:snapToGrid w:val="0"/>
                <w:kern w:val="0"/>
                <w:sz w:val="24"/>
              </w:rPr>
            </w:pPr>
          </w:p>
        </w:tc>
        <w:tc>
          <w:tcPr>
            <w:tcW w:w="1462" w:type="dxa"/>
            <w:vAlign w:val="center"/>
          </w:tcPr>
          <w:p>
            <w:pPr>
              <w:tabs>
                <w:tab w:val="left" w:pos="1337"/>
              </w:tabs>
              <w:jc w:val="center"/>
              <w:rPr>
                <w:rFonts w:asciiTheme="minorEastAsia" w:hAnsiTheme="minorEastAsia" w:eastAsiaTheme="minorEastAsia"/>
                <w:snapToGrid w:val="0"/>
                <w:kern w:val="0"/>
                <w:sz w:val="24"/>
              </w:rPr>
            </w:pPr>
          </w:p>
        </w:tc>
        <w:tc>
          <w:tcPr>
            <w:tcW w:w="1118" w:type="dxa"/>
            <w:vAlign w:val="center"/>
          </w:tcPr>
          <w:p>
            <w:pPr>
              <w:tabs>
                <w:tab w:val="left" w:pos="1337"/>
              </w:tabs>
              <w:jc w:val="center"/>
              <w:rPr>
                <w:rFonts w:asciiTheme="minorEastAsia" w:hAnsiTheme="minorEastAsia" w:eastAsiaTheme="minorEastAsia"/>
                <w:snapToGrid w:val="0"/>
                <w:kern w:val="0"/>
                <w:sz w:val="24"/>
              </w:rPr>
            </w:pPr>
          </w:p>
        </w:tc>
      </w:tr>
    </w:tbl>
    <w:p>
      <w:pPr>
        <w:spacing w:line="360" w:lineRule="auto"/>
        <w:rPr>
          <w:rFonts w:asciiTheme="minorEastAsia" w:hAnsiTheme="minorEastAsia" w:eastAsiaTheme="minorEastAsia"/>
          <w:b/>
          <w:bCs/>
          <w:snapToGrid w:val="0"/>
          <w:kern w:val="0"/>
          <w:sz w:val="24"/>
        </w:rPr>
      </w:pPr>
      <w:r>
        <w:rPr>
          <w:rFonts w:hint="eastAsia" w:asciiTheme="minorEastAsia" w:hAnsiTheme="minorEastAsia" w:eastAsiaTheme="minorEastAsia"/>
          <w:b/>
          <w:bCs/>
          <w:snapToGrid w:val="0"/>
          <w:kern w:val="0"/>
          <w:sz w:val="24"/>
        </w:rPr>
        <w:t>说明：</w:t>
      </w:r>
    </w:p>
    <w:p>
      <w:pPr>
        <w:spacing w:line="360" w:lineRule="auto"/>
        <w:ind w:firstLine="482" w:firstLineChars="200"/>
        <w:rPr>
          <w:rFonts w:asciiTheme="minorEastAsia" w:hAnsiTheme="minorEastAsia" w:eastAsiaTheme="minorEastAsia"/>
          <w:b/>
          <w:bCs/>
          <w:snapToGrid w:val="0"/>
          <w:kern w:val="0"/>
          <w:sz w:val="24"/>
        </w:rPr>
      </w:pPr>
      <w:r>
        <w:rPr>
          <w:rFonts w:hint="eastAsia" w:asciiTheme="minorEastAsia" w:hAnsiTheme="minorEastAsia" w:eastAsiaTheme="minorEastAsia"/>
          <w:b/>
          <w:bCs/>
          <w:snapToGrid w:val="0"/>
          <w:kern w:val="0"/>
          <w:sz w:val="24"/>
        </w:rPr>
        <w:t>①请填写招标文件已列明并要求供应商响应的如付款方式、交货期、质保期、培训方式、售后服务等商务条款，并逐一作出承诺。</w:t>
      </w:r>
    </w:p>
    <w:p>
      <w:pPr>
        <w:spacing w:line="360" w:lineRule="auto"/>
        <w:ind w:firstLine="482" w:firstLineChars="200"/>
        <w:rPr>
          <w:rFonts w:asciiTheme="minorEastAsia" w:hAnsiTheme="minorEastAsia" w:eastAsiaTheme="minorEastAsia"/>
          <w:b/>
          <w:bCs/>
          <w:snapToGrid w:val="0"/>
          <w:kern w:val="0"/>
          <w:sz w:val="24"/>
        </w:rPr>
      </w:pPr>
      <w:r>
        <w:rPr>
          <w:rFonts w:hint="eastAsia" w:asciiTheme="minorEastAsia" w:hAnsiTheme="minorEastAsia" w:eastAsiaTheme="minorEastAsia"/>
          <w:b/>
          <w:bCs/>
          <w:snapToGrid w:val="0"/>
          <w:kern w:val="0"/>
          <w:sz w:val="24"/>
        </w:rPr>
        <w:t>②请供应商在填写本表时，对应招标文件要求如实填写</w:t>
      </w:r>
      <w:r>
        <w:rPr>
          <w:rFonts w:asciiTheme="minorEastAsia" w:hAnsiTheme="minorEastAsia" w:eastAsiaTheme="minorEastAsia"/>
          <w:b/>
          <w:bCs/>
          <w:snapToGrid w:val="0"/>
          <w:kern w:val="0"/>
          <w:sz w:val="24"/>
        </w:rPr>
        <w:t>,</w:t>
      </w:r>
      <w:r>
        <w:rPr>
          <w:rFonts w:hint="eastAsia" w:asciiTheme="minorEastAsia" w:hAnsiTheme="minorEastAsia" w:eastAsiaTheme="minorEastAsia"/>
          <w:b/>
          <w:bCs/>
          <w:snapToGrid w:val="0"/>
          <w:kern w:val="0"/>
          <w:sz w:val="24"/>
        </w:rPr>
        <w:t>并必须用具体数字或文字来表述，不能复制招标文件要求或仅填写“（不）偏离”或虚假应标。若供应商自行承诺的售后服务承诺与此表不一致的，则评标委员会有权作出不利于供应商的认定。</w:t>
      </w:r>
    </w:p>
    <w:p>
      <w:pPr>
        <w:spacing w:line="360" w:lineRule="exact"/>
        <w:ind w:right="187"/>
        <w:rPr>
          <w:rFonts w:asciiTheme="minorEastAsia" w:hAnsiTheme="minorEastAsia" w:eastAsiaTheme="minorEastAsia"/>
          <w:bCs/>
          <w:snapToGrid w:val="0"/>
          <w:kern w:val="0"/>
          <w:sz w:val="24"/>
        </w:rPr>
      </w:pPr>
    </w:p>
    <w:p>
      <w:pPr>
        <w:spacing w:line="360" w:lineRule="exact"/>
        <w:ind w:right="187"/>
        <w:rPr>
          <w:rFonts w:asciiTheme="minorEastAsia" w:hAnsiTheme="minorEastAsia" w:eastAsiaTheme="minorEastAsia"/>
          <w:bCs/>
          <w:snapToGrid w:val="0"/>
          <w:kern w:val="0"/>
          <w:sz w:val="24"/>
          <w:u w:val="single"/>
        </w:rPr>
      </w:pPr>
      <w:r>
        <w:rPr>
          <w:rFonts w:hint="eastAsia" w:asciiTheme="minorEastAsia" w:hAnsiTheme="minorEastAsia" w:eastAsiaTheme="minorEastAsia"/>
          <w:snapToGrid w:val="0"/>
          <w:kern w:val="0"/>
          <w:sz w:val="24"/>
        </w:rPr>
        <w:t>供应商名称</w:t>
      </w:r>
      <w:r>
        <w:rPr>
          <w:rFonts w:hint="eastAsia" w:asciiTheme="minorEastAsia" w:hAnsiTheme="minorEastAsia" w:eastAsiaTheme="minorEastAsia"/>
          <w:bCs/>
          <w:snapToGrid w:val="0"/>
          <w:kern w:val="0"/>
          <w:sz w:val="24"/>
        </w:rPr>
        <w:t>（公章）：</w:t>
      </w:r>
    </w:p>
    <w:p>
      <w:pPr>
        <w:spacing w:line="360" w:lineRule="exact"/>
        <w:ind w:right="187"/>
        <w:rPr>
          <w:rFonts w:asciiTheme="minorEastAsia" w:hAnsiTheme="minorEastAsia" w:eastAsiaTheme="minorEastAsia"/>
          <w:bCs/>
          <w:snapToGrid w:val="0"/>
          <w:kern w:val="0"/>
          <w:sz w:val="24"/>
          <w:u w:val="single"/>
        </w:rPr>
      </w:pPr>
    </w:p>
    <w:p>
      <w:pPr>
        <w:spacing w:line="300" w:lineRule="exact"/>
        <w:ind w:right="187"/>
        <w:rPr>
          <w:rFonts w:asciiTheme="minorEastAsia" w:hAnsiTheme="minorEastAsia" w:eastAsiaTheme="minorEastAsia"/>
          <w:b/>
          <w:bCs/>
          <w:snapToGrid w:val="0"/>
          <w:kern w:val="0"/>
          <w:sz w:val="24"/>
        </w:rPr>
      </w:pPr>
      <w:r>
        <w:rPr>
          <w:rFonts w:hint="eastAsia" w:asciiTheme="minorEastAsia" w:hAnsiTheme="minorEastAsia" w:eastAsiaTheme="minorEastAsia"/>
          <w:bCs/>
          <w:snapToGrid w:val="0"/>
          <w:kern w:val="0"/>
          <w:sz w:val="24"/>
        </w:rPr>
        <w:t>法定代表人或授权代理人签字</w:t>
      </w:r>
      <w:r>
        <w:rPr>
          <w:rFonts w:hint="eastAsia" w:cs="宋体" w:asciiTheme="minorEastAsia" w:hAnsiTheme="minorEastAsia" w:eastAsiaTheme="minorEastAsia"/>
          <w:snapToGrid w:val="0"/>
          <w:kern w:val="0"/>
          <w:sz w:val="24"/>
        </w:rPr>
        <w:t>或盖章</w:t>
      </w:r>
      <w:r>
        <w:rPr>
          <w:rFonts w:hint="eastAsia" w:asciiTheme="minorEastAsia" w:hAnsiTheme="minorEastAsia" w:eastAsiaTheme="minorEastAsia"/>
          <w:bCs/>
          <w:snapToGrid w:val="0"/>
          <w:kern w:val="0"/>
          <w:sz w:val="24"/>
        </w:rPr>
        <w:t>：</w:t>
      </w:r>
    </w:p>
    <w:p>
      <w:pPr>
        <w:pStyle w:val="33"/>
        <w:spacing w:line="240" w:lineRule="auto"/>
        <w:ind w:left="0" w:leftChars="0" w:firstLine="0" w:firstLineChars="0"/>
        <w:jc w:val="center"/>
        <w:rPr>
          <w:rFonts w:asciiTheme="minorEastAsia" w:hAnsiTheme="minorEastAsia" w:eastAsiaTheme="minorEastAsia"/>
          <w:snapToGrid w:val="0"/>
          <w:sz w:val="24"/>
        </w:rPr>
      </w:pPr>
      <w:r>
        <w:rPr>
          <w:rFonts w:hint="eastAsia" w:asciiTheme="minorEastAsia" w:hAnsiTheme="minorEastAsia" w:eastAsiaTheme="minorEastAsia"/>
          <w:snapToGrid w:val="0"/>
        </w:rPr>
        <w:t xml:space="preserve">                                                       </w:t>
      </w:r>
      <w:r>
        <w:rPr>
          <w:rFonts w:hint="eastAsia" w:asciiTheme="minorEastAsia" w:hAnsiTheme="minorEastAsia" w:eastAsiaTheme="minorEastAsia"/>
          <w:snapToGrid w:val="0"/>
          <w:sz w:val="24"/>
        </w:rPr>
        <w:t xml:space="preserve">   年    月    日</w:t>
      </w:r>
    </w:p>
    <w:p>
      <w:pPr>
        <w:pStyle w:val="3"/>
        <w:spacing w:before="0" w:after="0"/>
        <w:jc w:val="left"/>
        <w:rPr>
          <w:rFonts w:asciiTheme="minorEastAsia" w:hAnsiTheme="minorEastAsia" w:eastAsiaTheme="minorEastAsia"/>
          <w:b w:val="0"/>
          <w:snapToGrid w:val="0"/>
          <w:sz w:val="24"/>
          <w:szCs w:val="21"/>
        </w:rPr>
      </w:pPr>
      <w:r>
        <w:rPr>
          <w:rFonts w:asciiTheme="minorEastAsia" w:hAnsiTheme="minorEastAsia" w:eastAsiaTheme="minorEastAsia"/>
          <w:snapToGrid w:val="0"/>
        </w:rPr>
        <w:br w:type="page"/>
      </w:r>
      <w:bookmarkStart w:id="207" w:name="_Toc10633"/>
      <w:bookmarkStart w:id="208" w:name="_Toc72321858"/>
      <w:r>
        <w:rPr>
          <w:rFonts w:hint="eastAsia" w:asciiTheme="minorEastAsia" w:hAnsiTheme="minorEastAsia" w:eastAsiaTheme="minorEastAsia"/>
          <w:bCs w:val="0"/>
          <w:sz w:val="24"/>
          <w:szCs w:val="24"/>
        </w:rPr>
        <w:t>附件八：技术偏离表</w:t>
      </w:r>
      <w:bookmarkEnd w:id="207"/>
      <w:bookmarkEnd w:id="208"/>
    </w:p>
    <w:p>
      <w:pPr>
        <w:pStyle w:val="30"/>
        <w:spacing w:after="0" w:line="460" w:lineRule="exact"/>
        <w:jc w:val="center"/>
        <w:rPr>
          <w:rFonts w:asciiTheme="minorEastAsia" w:hAnsiTheme="minorEastAsia" w:eastAsiaTheme="minorEastAsia"/>
          <w:b/>
          <w:snapToGrid w:val="0"/>
          <w:sz w:val="28"/>
          <w:szCs w:val="18"/>
        </w:rPr>
      </w:pPr>
      <w:r>
        <w:rPr>
          <w:rFonts w:hint="eastAsia" w:asciiTheme="minorEastAsia" w:hAnsiTheme="minorEastAsia" w:eastAsiaTheme="minorEastAsia"/>
          <w:b/>
          <w:snapToGrid w:val="0"/>
          <w:sz w:val="28"/>
          <w:szCs w:val="18"/>
        </w:rPr>
        <w:t>技术偏离表</w:t>
      </w:r>
    </w:p>
    <w:p>
      <w:pPr>
        <w:pStyle w:val="27"/>
        <w:rPr>
          <w:rFonts w:asciiTheme="minorEastAsia" w:hAnsiTheme="minorEastAsia" w:eastAsiaTheme="minorEastAsia"/>
        </w:rPr>
      </w:pPr>
    </w:p>
    <w:p>
      <w:pPr>
        <w:pStyle w:val="33"/>
        <w:spacing w:line="360" w:lineRule="exact"/>
        <w:ind w:left="0" w:leftChars="0" w:firstLine="0" w:firstLineChars="0"/>
        <w:rPr>
          <w:rFonts w:asciiTheme="minorEastAsia" w:hAnsiTheme="minorEastAsia" w:eastAsiaTheme="minorEastAsia"/>
          <w:bCs/>
          <w:snapToGrid w:val="0"/>
          <w:sz w:val="24"/>
        </w:rPr>
      </w:pPr>
      <w:r>
        <w:rPr>
          <w:rFonts w:hint="eastAsia" w:asciiTheme="minorEastAsia" w:hAnsiTheme="minorEastAsia" w:eastAsiaTheme="minorEastAsia"/>
          <w:bCs/>
          <w:snapToGrid w:val="0"/>
          <w:sz w:val="24"/>
        </w:rPr>
        <w:t>项目名称：</w:t>
      </w:r>
      <w:r>
        <w:rPr>
          <w:rFonts w:asciiTheme="minorEastAsia" w:hAnsiTheme="minorEastAsia" w:eastAsiaTheme="minorEastAsia"/>
          <w:bCs/>
          <w:snapToGrid w:val="0"/>
          <w:sz w:val="24"/>
        </w:rPr>
        <w:t xml:space="preserve"> </w:t>
      </w:r>
    </w:p>
    <w:p>
      <w:pPr>
        <w:pStyle w:val="33"/>
        <w:spacing w:line="360" w:lineRule="exact"/>
        <w:ind w:left="0" w:leftChars="0" w:firstLine="0" w:firstLineChars="0"/>
        <w:rPr>
          <w:rFonts w:asciiTheme="minorEastAsia" w:hAnsiTheme="minorEastAsia" w:eastAsiaTheme="minorEastAsia"/>
          <w:bCs/>
          <w:snapToGrid w:val="0"/>
        </w:rPr>
      </w:pPr>
      <w:r>
        <w:rPr>
          <w:rFonts w:hint="eastAsia" w:asciiTheme="minorEastAsia" w:hAnsiTheme="minorEastAsia" w:eastAsiaTheme="minorEastAsia"/>
          <w:bCs/>
          <w:snapToGrid w:val="0"/>
          <w:sz w:val="24"/>
        </w:rPr>
        <w:t>项目编号：</w:t>
      </w:r>
      <w:r>
        <w:rPr>
          <w:rFonts w:hint="eastAsia" w:asciiTheme="minorEastAsia" w:hAnsiTheme="minorEastAsia" w:eastAsiaTheme="minorEastAsia"/>
          <w:bCs/>
          <w:snapToGrid w:val="0"/>
        </w:rPr>
        <w:t xml:space="preserve"> </w:t>
      </w:r>
    </w:p>
    <w:p>
      <w:pPr>
        <w:pStyle w:val="33"/>
        <w:spacing w:line="360" w:lineRule="exact"/>
        <w:ind w:left="0" w:leftChars="0" w:firstLine="0" w:firstLineChars="0"/>
        <w:rPr>
          <w:rFonts w:asciiTheme="minorEastAsia" w:hAnsiTheme="minorEastAsia" w:eastAsiaTheme="minorEastAsia"/>
          <w:b/>
          <w:bCs/>
          <w:snapToGrid w:val="0"/>
        </w:rPr>
      </w:pPr>
      <w:r>
        <w:rPr>
          <w:rFonts w:hint="eastAsia" w:asciiTheme="minorEastAsia" w:hAnsiTheme="minorEastAsia" w:eastAsiaTheme="minorEastAsia"/>
          <w:bCs/>
          <w:snapToGrid w:val="0"/>
          <w:sz w:val="24"/>
        </w:rPr>
        <w:t xml:space="preserve">包    号：   </w:t>
      </w:r>
      <w:r>
        <w:rPr>
          <w:rFonts w:hint="eastAsia" w:asciiTheme="minorEastAsia" w:hAnsiTheme="minorEastAsia" w:eastAsiaTheme="minorEastAsia"/>
          <w:bCs/>
          <w:snapToGrid w:val="0"/>
        </w:rPr>
        <w:t xml:space="preserve">                                               </w:t>
      </w:r>
      <w:r>
        <w:rPr>
          <w:rFonts w:hint="eastAsia" w:asciiTheme="minorEastAsia" w:hAnsiTheme="minorEastAsia" w:eastAsiaTheme="minorEastAsia"/>
          <w:bCs/>
          <w:snapToGrid w:val="0"/>
          <w:sz w:val="24"/>
        </w:rPr>
        <w:t xml:space="preserve"> </w:t>
      </w:r>
    </w:p>
    <w:tbl>
      <w:tblPr>
        <w:tblStyle w:val="75"/>
        <w:tblW w:w="9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1128"/>
        <w:gridCol w:w="1332"/>
        <w:gridCol w:w="1320"/>
        <w:gridCol w:w="1284"/>
        <w:gridCol w:w="1932"/>
        <w:gridCol w:w="943"/>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588"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序号</w:t>
            </w:r>
          </w:p>
        </w:tc>
        <w:tc>
          <w:tcPr>
            <w:tcW w:w="1128"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货物</w:t>
            </w:r>
          </w:p>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名称</w:t>
            </w:r>
          </w:p>
        </w:tc>
        <w:tc>
          <w:tcPr>
            <w:tcW w:w="1332"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招标文件</w:t>
            </w:r>
          </w:p>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条款号</w:t>
            </w:r>
          </w:p>
        </w:tc>
        <w:tc>
          <w:tcPr>
            <w:tcW w:w="1320"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招标文件</w:t>
            </w:r>
          </w:p>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技术要求</w:t>
            </w:r>
          </w:p>
        </w:tc>
        <w:tc>
          <w:tcPr>
            <w:tcW w:w="1284"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投标文件</w:t>
            </w:r>
          </w:p>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实际情况</w:t>
            </w:r>
          </w:p>
        </w:tc>
        <w:tc>
          <w:tcPr>
            <w:tcW w:w="1932"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投标文件对应的页码及条目号</w:t>
            </w:r>
          </w:p>
        </w:tc>
        <w:tc>
          <w:tcPr>
            <w:tcW w:w="943"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偏差情况</w:t>
            </w:r>
          </w:p>
        </w:tc>
        <w:tc>
          <w:tcPr>
            <w:tcW w:w="1341" w:type="dxa"/>
            <w:vAlign w:val="center"/>
          </w:tcPr>
          <w:p>
            <w:pPr>
              <w:tabs>
                <w:tab w:val="left" w:pos="1337"/>
              </w:tabs>
              <w:jc w:val="center"/>
              <w:rPr>
                <w:rFonts w:asciiTheme="minorEastAsia" w:hAnsiTheme="minorEastAsia" w:eastAsiaTheme="minorEastAsia"/>
                <w:bCs/>
                <w:snapToGrid w:val="0"/>
                <w:kern w:val="0"/>
                <w:sz w:val="24"/>
              </w:rPr>
            </w:pPr>
            <w:r>
              <w:rPr>
                <w:rFonts w:hint="eastAsia" w:asciiTheme="minorEastAsia" w:hAnsiTheme="minorEastAsia" w:eastAsiaTheme="minorEastAsia"/>
                <w:bCs/>
                <w:snapToGrid w:val="0"/>
                <w:kern w:val="0"/>
                <w:sz w:val="24"/>
              </w:rPr>
              <w:t>佐证证明材料页码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588" w:type="dxa"/>
            <w:vAlign w:val="center"/>
          </w:tcPr>
          <w:p>
            <w:pPr>
              <w:tabs>
                <w:tab w:val="left" w:pos="1337"/>
              </w:tabs>
              <w:jc w:val="center"/>
              <w:rPr>
                <w:rFonts w:asciiTheme="minorEastAsia" w:hAnsiTheme="minorEastAsia" w:eastAsiaTheme="minorEastAsia"/>
                <w:snapToGrid w:val="0"/>
                <w:kern w:val="0"/>
                <w:sz w:val="24"/>
              </w:rPr>
            </w:pPr>
          </w:p>
        </w:tc>
        <w:tc>
          <w:tcPr>
            <w:tcW w:w="1128" w:type="dxa"/>
            <w:vAlign w:val="center"/>
          </w:tcPr>
          <w:p>
            <w:pPr>
              <w:tabs>
                <w:tab w:val="left" w:pos="1337"/>
              </w:tabs>
              <w:jc w:val="center"/>
              <w:rPr>
                <w:rFonts w:asciiTheme="minorEastAsia" w:hAnsiTheme="minorEastAsia" w:eastAsiaTheme="minorEastAsia"/>
                <w:snapToGrid w:val="0"/>
                <w:kern w:val="0"/>
                <w:sz w:val="24"/>
              </w:rPr>
            </w:pPr>
          </w:p>
        </w:tc>
        <w:tc>
          <w:tcPr>
            <w:tcW w:w="1332" w:type="dxa"/>
            <w:vAlign w:val="center"/>
          </w:tcPr>
          <w:p>
            <w:pPr>
              <w:tabs>
                <w:tab w:val="left" w:pos="1337"/>
              </w:tabs>
              <w:jc w:val="center"/>
              <w:rPr>
                <w:rFonts w:asciiTheme="minorEastAsia" w:hAnsiTheme="minorEastAsia" w:eastAsiaTheme="minorEastAsia"/>
                <w:snapToGrid w:val="0"/>
                <w:kern w:val="0"/>
                <w:sz w:val="24"/>
              </w:rPr>
            </w:pPr>
          </w:p>
        </w:tc>
        <w:tc>
          <w:tcPr>
            <w:tcW w:w="1320" w:type="dxa"/>
            <w:vAlign w:val="center"/>
          </w:tcPr>
          <w:p>
            <w:pPr>
              <w:tabs>
                <w:tab w:val="left" w:pos="1337"/>
              </w:tabs>
              <w:jc w:val="center"/>
              <w:rPr>
                <w:rFonts w:asciiTheme="minorEastAsia" w:hAnsiTheme="minorEastAsia" w:eastAsiaTheme="minorEastAsia"/>
                <w:snapToGrid w:val="0"/>
                <w:kern w:val="0"/>
                <w:sz w:val="24"/>
              </w:rPr>
            </w:pPr>
          </w:p>
        </w:tc>
        <w:tc>
          <w:tcPr>
            <w:tcW w:w="1284" w:type="dxa"/>
            <w:vAlign w:val="center"/>
          </w:tcPr>
          <w:p>
            <w:pPr>
              <w:tabs>
                <w:tab w:val="left" w:pos="1337"/>
              </w:tabs>
              <w:jc w:val="center"/>
              <w:rPr>
                <w:rFonts w:asciiTheme="minorEastAsia" w:hAnsiTheme="minorEastAsia" w:eastAsiaTheme="minorEastAsia"/>
                <w:snapToGrid w:val="0"/>
                <w:kern w:val="0"/>
                <w:sz w:val="24"/>
              </w:rPr>
            </w:pPr>
          </w:p>
        </w:tc>
        <w:tc>
          <w:tcPr>
            <w:tcW w:w="1932" w:type="dxa"/>
            <w:vAlign w:val="center"/>
          </w:tcPr>
          <w:p>
            <w:pPr>
              <w:tabs>
                <w:tab w:val="left" w:pos="1337"/>
              </w:tabs>
              <w:jc w:val="center"/>
              <w:rPr>
                <w:rFonts w:asciiTheme="minorEastAsia" w:hAnsiTheme="minorEastAsia" w:eastAsiaTheme="minorEastAsia"/>
                <w:snapToGrid w:val="0"/>
                <w:kern w:val="0"/>
                <w:sz w:val="24"/>
              </w:rPr>
            </w:pPr>
          </w:p>
        </w:tc>
        <w:tc>
          <w:tcPr>
            <w:tcW w:w="943" w:type="dxa"/>
            <w:vAlign w:val="center"/>
          </w:tcPr>
          <w:p>
            <w:pPr>
              <w:tabs>
                <w:tab w:val="left" w:pos="1337"/>
              </w:tabs>
              <w:jc w:val="center"/>
              <w:rPr>
                <w:rFonts w:asciiTheme="minorEastAsia" w:hAnsiTheme="minorEastAsia" w:eastAsiaTheme="minorEastAsia"/>
                <w:snapToGrid w:val="0"/>
                <w:kern w:val="0"/>
                <w:sz w:val="24"/>
              </w:rPr>
            </w:pPr>
          </w:p>
        </w:tc>
        <w:tc>
          <w:tcPr>
            <w:tcW w:w="1341"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588" w:type="dxa"/>
            <w:vAlign w:val="center"/>
          </w:tcPr>
          <w:p>
            <w:pPr>
              <w:tabs>
                <w:tab w:val="left" w:pos="1337"/>
              </w:tabs>
              <w:jc w:val="center"/>
              <w:rPr>
                <w:rFonts w:asciiTheme="minorEastAsia" w:hAnsiTheme="minorEastAsia" w:eastAsiaTheme="minorEastAsia"/>
                <w:snapToGrid w:val="0"/>
                <w:kern w:val="0"/>
                <w:sz w:val="24"/>
              </w:rPr>
            </w:pPr>
          </w:p>
        </w:tc>
        <w:tc>
          <w:tcPr>
            <w:tcW w:w="1128" w:type="dxa"/>
            <w:vAlign w:val="center"/>
          </w:tcPr>
          <w:p>
            <w:pPr>
              <w:tabs>
                <w:tab w:val="left" w:pos="1337"/>
              </w:tabs>
              <w:jc w:val="center"/>
              <w:rPr>
                <w:rFonts w:asciiTheme="minorEastAsia" w:hAnsiTheme="minorEastAsia" w:eastAsiaTheme="minorEastAsia"/>
                <w:snapToGrid w:val="0"/>
                <w:kern w:val="0"/>
                <w:sz w:val="24"/>
              </w:rPr>
            </w:pPr>
          </w:p>
        </w:tc>
        <w:tc>
          <w:tcPr>
            <w:tcW w:w="1332" w:type="dxa"/>
            <w:vAlign w:val="center"/>
          </w:tcPr>
          <w:p>
            <w:pPr>
              <w:tabs>
                <w:tab w:val="left" w:pos="1337"/>
              </w:tabs>
              <w:jc w:val="center"/>
              <w:rPr>
                <w:rFonts w:asciiTheme="minorEastAsia" w:hAnsiTheme="minorEastAsia" w:eastAsiaTheme="minorEastAsia"/>
                <w:snapToGrid w:val="0"/>
                <w:kern w:val="0"/>
                <w:sz w:val="24"/>
              </w:rPr>
            </w:pPr>
          </w:p>
        </w:tc>
        <w:tc>
          <w:tcPr>
            <w:tcW w:w="1320" w:type="dxa"/>
            <w:vAlign w:val="center"/>
          </w:tcPr>
          <w:p>
            <w:pPr>
              <w:tabs>
                <w:tab w:val="left" w:pos="1337"/>
              </w:tabs>
              <w:jc w:val="center"/>
              <w:rPr>
                <w:rFonts w:asciiTheme="minorEastAsia" w:hAnsiTheme="minorEastAsia" w:eastAsiaTheme="minorEastAsia"/>
                <w:snapToGrid w:val="0"/>
                <w:kern w:val="0"/>
                <w:sz w:val="24"/>
              </w:rPr>
            </w:pPr>
          </w:p>
        </w:tc>
        <w:tc>
          <w:tcPr>
            <w:tcW w:w="1284" w:type="dxa"/>
            <w:vAlign w:val="center"/>
          </w:tcPr>
          <w:p>
            <w:pPr>
              <w:tabs>
                <w:tab w:val="left" w:pos="1337"/>
              </w:tabs>
              <w:jc w:val="center"/>
              <w:rPr>
                <w:rFonts w:asciiTheme="minorEastAsia" w:hAnsiTheme="minorEastAsia" w:eastAsiaTheme="minorEastAsia"/>
                <w:snapToGrid w:val="0"/>
                <w:kern w:val="0"/>
                <w:sz w:val="24"/>
              </w:rPr>
            </w:pPr>
          </w:p>
        </w:tc>
        <w:tc>
          <w:tcPr>
            <w:tcW w:w="1932" w:type="dxa"/>
            <w:vAlign w:val="center"/>
          </w:tcPr>
          <w:p>
            <w:pPr>
              <w:tabs>
                <w:tab w:val="left" w:pos="1337"/>
              </w:tabs>
              <w:jc w:val="center"/>
              <w:rPr>
                <w:rFonts w:asciiTheme="minorEastAsia" w:hAnsiTheme="minorEastAsia" w:eastAsiaTheme="minorEastAsia"/>
                <w:snapToGrid w:val="0"/>
                <w:kern w:val="0"/>
                <w:sz w:val="24"/>
              </w:rPr>
            </w:pPr>
          </w:p>
        </w:tc>
        <w:tc>
          <w:tcPr>
            <w:tcW w:w="943" w:type="dxa"/>
            <w:vAlign w:val="center"/>
          </w:tcPr>
          <w:p>
            <w:pPr>
              <w:tabs>
                <w:tab w:val="left" w:pos="1337"/>
              </w:tabs>
              <w:jc w:val="center"/>
              <w:rPr>
                <w:rFonts w:asciiTheme="minorEastAsia" w:hAnsiTheme="minorEastAsia" w:eastAsiaTheme="minorEastAsia"/>
                <w:snapToGrid w:val="0"/>
                <w:kern w:val="0"/>
                <w:sz w:val="24"/>
              </w:rPr>
            </w:pPr>
          </w:p>
        </w:tc>
        <w:tc>
          <w:tcPr>
            <w:tcW w:w="1341"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88" w:type="dxa"/>
            <w:vAlign w:val="center"/>
          </w:tcPr>
          <w:p>
            <w:pPr>
              <w:tabs>
                <w:tab w:val="left" w:pos="1337"/>
              </w:tabs>
              <w:jc w:val="center"/>
              <w:rPr>
                <w:rFonts w:asciiTheme="minorEastAsia" w:hAnsiTheme="minorEastAsia" w:eastAsiaTheme="minorEastAsia"/>
                <w:snapToGrid w:val="0"/>
                <w:kern w:val="0"/>
                <w:sz w:val="24"/>
              </w:rPr>
            </w:pPr>
          </w:p>
        </w:tc>
        <w:tc>
          <w:tcPr>
            <w:tcW w:w="1128" w:type="dxa"/>
            <w:vAlign w:val="center"/>
          </w:tcPr>
          <w:p>
            <w:pPr>
              <w:tabs>
                <w:tab w:val="left" w:pos="1337"/>
              </w:tabs>
              <w:jc w:val="center"/>
              <w:rPr>
                <w:rFonts w:asciiTheme="minorEastAsia" w:hAnsiTheme="minorEastAsia" w:eastAsiaTheme="minorEastAsia"/>
                <w:snapToGrid w:val="0"/>
                <w:kern w:val="0"/>
                <w:sz w:val="24"/>
              </w:rPr>
            </w:pPr>
          </w:p>
        </w:tc>
        <w:tc>
          <w:tcPr>
            <w:tcW w:w="1332" w:type="dxa"/>
            <w:vAlign w:val="center"/>
          </w:tcPr>
          <w:p>
            <w:pPr>
              <w:tabs>
                <w:tab w:val="left" w:pos="1337"/>
              </w:tabs>
              <w:jc w:val="center"/>
              <w:rPr>
                <w:rFonts w:asciiTheme="minorEastAsia" w:hAnsiTheme="minorEastAsia" w:eastAsiaTheme="minorEastAsia"/>
                <w:snapToGrid w:val="0"/>
                <w:kern w:val="0"/>
                <w:sz w:val="24"/>
              </w:rPr>
            </w:pPr>
          </w:p>
        </w:tc>
        <w:tc>
          <w:tcPr>
            <w:tcW w:w="1320" w:type="dxa"/>
            <w:vAlign w:val="center"/>
          </w:tcPr>
          <w:p>
            <w:pPr>
              <w:tabs>
                <w:tab w:val="left" w:pos="1337"/>
              </w:tabs>
              <w:jc w:val="center"/>
              <w:rPr>
                <w:rFonts w:asciiTheme="minorEastAsia" w:hAnsiTheme="minorEastAsia" w:eastAsiaTheme="minorEastAsia"/>
                <w:snapToGrid w:val="0"/>
                <w:kern w:val="0"/>
                <w:sz w:val="24"/>
              </w:rPr>
            </w:pPr>
          </w:p>
        </w:tc>
        <w:tc>
          <w:tcPr>
            <w:tcW w:w="1284" w:type="dxa"/>
            <w:vAlign w:val="center"/>
          </w:tcPr>
          <w:p>
            <w:pPr>
              <w:tabs>
                <w:tab w:val="left" w:pos="1337"/>
              </w:tabs>
              <w:jc w:val="center"/>
              <w:rPr>
                <w:rFonts w:asciiTheme="minorEastAsia" w:hAnsiTheme="minorEastAsia" w:eastAsiaTheme="minorEastAsia"/>
                <w:snapToGrid w:val="0"/>
                <w:kern w:val="0"/>
                <w:sz w:val="24"/>
              </w:rPr>
            </w:pPr>
          </w:p>
        </w:tc>
        <w:tc>
          <w:tcPr>
            <w:tcW w:w="1932" w:type="dxa"/>
            <w:vAlign w:val="center"/>
          </w:tcPr>
          <w:p>
            <w:pPr>
              <w:tabs>
                <w:tab w:val="left" w:pos="1337"/>
              </w:tabs>
              <w:jc w:val="center"/>
              <w:rPr>
                <w:rFonts w:asciiTheme="minorEastAsia" w:hAnsiTheme="minorEastAsia" w:eastAsiaTheme="minorEastAsia"/>
                <w:snapToGrid w:val="0"/>
                <w:kern w:val="0"/>
                <w:sz w:val="24"/>
              </w:rPr>
            </w:pPr>
          </w:p>
        </w:tc>
        <w:tc>
          <w:tcPr>
            <w:tcW w:w="943" w:type="dxa"/>
            <w:vAlign w:val="center"/>
          </w:tcPr>
          <w:p>
            <w:pPr>
              <w:tabs>
                <w:tab w:val="left" w:pos="1337"/>
              </w:tabs>
              <w:jc w:val="center"/>
              <w:rPr>
                <w:rFonts w:asciiTheme="minorEastAsia" w:hAnsiTheme="minorEastAsia" w:eastAsiaTheme="minorEastAsia"/>
                <w:snapToGrid w:val="0"/>
                <w:kern w:val="0"/>
                <w:sz w:val="24"/>
              </w:rPr>
            </w:pPr>
          </w:p>
        </w:tc>
        <w:tc>
          <w:tcPr>
            <w:tcW w:w="1341"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88" w:type="dxa"/>
            <w:vAlign w:val="center"/>
          </w:tcPr>
          <w:p>
            <w:pPr>
              <w:tabs>
                <w:tab w:val="left" w:pos="1337"/>
              </w:tabs>
              <w:jc w:val="center"/>
              <w:rPr>
                <w:rFonts w:asciiTheme="minorEastAsia" w:hAnsiTheme="minorEastAsia" w:eastAsiaTheme="minorEastAsia"/>
                <w:snapToGrid w:val="0"/>
                <w:kern w:val="0"/>
                <w:sz w:val="24"/>
              </w:rPr>
            </w:pPr>
          </w:p>
        </w:tc>
        <w:tc>
          <w:tcPr>
            <w:tcW w:w="1128" w:type="dxa"/>
            <w:vAlign w:val="center"/>
          </w:tcPr>
          <w:p>
            <w:pPr>
              <w:tabs>
                <w:tab w:val="left" w:pos="1337"/>
              </w:tabs>
              <w:jc w:val="center"/>
              <w:rPr>
                <w:rFonts w:asciiTheme="minorEastAsia" w:hAnsiTheme="minorEastAsia" w:eastAsiaTheme="minorEastAsia"/>
                <w:snapToGrid w:val="0"/>
                <w:kern w:val="0"/>
                <w:sz w:val="24"/>
              </w:rPr>
            </w:pPr>
          </w:p>
        </w:tc>
        <w:tc>
          <w:tcPr>
            <w:tcW w:w="1332" w:type="dxa"/>
            <w:vAlign w:val="center"/>
          </w:tcPr>
          <w:p>
            <w:pPr>
              <w:tabs>
                <w:tab w:val="left" w:pos="1337"/>
              </w:tabs>
              <w:jc w:val="center"/>
              <w:rPr>
                <w:rFonts w:asciiTheme="minorEastAsia" w:hAnsiTheme="minorEastAsia" w:eastAsiaTheme="minorEastAsia"/>
                <w:snapToGrid w:val="0"/>
                <w:kern w:val="0"/>
                <w:sz w:val="24"/>
              </w:rPr>
            </w:pPr>
          </w:p>
        </w:tc>
        <w:tc>
          <w:tcPr>
            <w:tcW w:w="1320" w:type="dxa"/>
            <w:vAlign w:val="center"/>
          </w:tcPr>
          <w:p>
            <w:pPr>
              <w:tabs>
                <w:tab w:val="left" w:pos="1337"/>
              </w:tabs>
              <w:jc w:val="center"/>
              <w:rPr>
                <w:rFonts w:asciiTheme="minorEastAsia" w:hAnsiTheme="minorEastAsia" w:eastAsiaTheme="minorEastAsia"/>
                <w:snapToGrid w:val="0"/>
                <w:kern w:val="0"/>
                <w:sz w:val="24"/>
              </w:rPr>
            </w:pPr>
          </w:p>
        </w:tc>
        <w:tc>
          <w:tcPr>
            <w:tcW w:w="1284" w:type="dxa"/>
            <w:vAlign w:val="center"/>
          </w:tcPr>
          <w:p>
            <w:pPr>
              <w:tabs>
                <w:tab w:val="left" w:pos="1337"/>
              </w:tabs>
              <w:jc w:val="center"/>
              <w:rPr>
                <w:rFonts w:asciiTheme="minorEastAsia" w:hAnsiTheme="minorEastAsia" w:eastAsiaTheme="minorEastAsia"/>
                <w:snapToGrid w:val="0"/>
                <w:kern w:val="0"/>
                <w:sz w:val="24"/>
              </w:rPr>
            </w:pPr>
          </w:p>
        </w:tc>
        <w:tc>
          <w:tcPr>
            <w:tcW w:w="1932" w:type="dxa"/>
            <w:vAlign w:val="center"/>
          </w:tcPr>
          <w:p>
            <w:pPr>
              <w:tabs>
                <w:tab w:val="left" w:pos="1337"/>
              </w:tabs>
              <w:jc w:val="center"/>
              <w:rPr>
                <w:rFonts w:asciiTheme="minorEastAsia" w:hAnsiTheme="minorEastAsia" w:eastAsiaTheme="minorEastAsia"/>
                <w:snapToGrid w:val="0"/>
                <w:kern w:val="0"/>
                <w:sz w:val="24"/>
              </w:rPr>
            </w:pPr>
          </w:p>
        </w:tc>
        <w:tc>
          <w:tcPr>
            <w:tcW w:w="943" w:type="dxa"/>
            <w:vAlign w:val="center"/>
          </w:tcPr>
          <w:p>
            <w:pPr>
              <w:tabs>
                <w:tab w:val="left" w:pos="1337"/>
              </w:tabs>
              <w:jc w:val="center"/>
              <w:rPr>
                <w:rFonts w:asciiTheme="minorEastAsia" w:hAnsiTheme="minorEastAsia" w:eastAsiaTheme="minorEastAsia"/>
                <w:snapToGrid w:val="0"/>
                <w:kern w:val="0"/>
                <w:sz w:val="24"/>
              </w:rPr>
            </w:pPr>
          </w:p>
        </w:tc>
        <w:tc>
          <w:tcPr>
            <w:tcW w:w="1341"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88" w:type="dxa"/>
            <w:vAlign w:val="center"/>
          </w:tcPr>
          <w:p>
            <w:pPr>
              <w:tabs>
                <w:tab w:val="left" w:pos="1337"/>
              </w:tabs>
              <w:jc w:val="center"/>
              <w:rPr>
                <w:rFonts w:asciiTheme="minorEastAsia" w:hAnsiTheme="minorEastAsia" w:eastAsiaTheme="minorEastAsia"/>
                <w:snapToGrid w:val="0"/>
                <w:kern w:val="0"/>
                <w:sz w:val="24"/>
              </w:rPr>
            </w:pPr>
          </w:p>
        </w:tc>
        <w:tc>
          <w:tcPr>
            <w:tcW w:w="1128" w:type="dxa"/>
            <w:vAlign w:val="center"/>
          </w:tcPr>
          <w:p>
            <w:pPr>
              <w:tabs>
                <w:tab w:val="left" w:pos="1337"/>
              </w:tabs>
              <w:jc w:val="center"/>
              <w:rPr>
                <w:rFonts w:asciiTheme="minorEastAsia" w:hAnsiTheme="minorEastAsia" w:eastAsiaTheme="minorEastAsia"/>
                <w:snapToGrid w:val="0"/>
                <w:kern w:val="0"/>
                <w:sz w:val="24"/>
              </w:rPr>
            </w:pPr>
          </w:p>
        </w:tc>
        <w:tc>
          <w:tcPr>
            <w:tcW w:w="1332" w:type="dxa"/>
            <w:vAlign w:val="center"/>
          </w:tcPr>
          <w:p>
            <w:pPr>
              <w:tabs>
                <w:tab w:val="left" w:pos="1337"/>
              </w:tabs>
              <w:jc w:val="center"/>
              <w:rPr>
                <w:rFonts w:asciiTheme="minorEastAsia" w:hAnsiTheme="minorEastAsia" w:eastAsiaTheme="minorEastAsia"/>
                <w:snapToGrid w:val="0"/>
                <w:kern w:val="0"/>
                <w:sz w:val="24"/>
              </w:rPr>
            </w:pPr>
          </w:p>
        </w:tc>
        <w:tc>
          <w:tcPr>
            <w:tcW w:w="1320" w:type="dxa"/>
            <w:vAlign w:val="center"/>
          </w:tcPr>
          <w:p>
            <w:pPr>
              <w:tabs>
                <w:tab w:val="left" w:pos="1337"/>
              </w:tabs>
              <w:jc w:val="center"/>
              <w:rPr>
                <w:rFonts w:asciiTheme="minorEastAsia" w:hAnsiTheme="minorEastAsia" w:eastAsiaTheme="minorEastAsia"/>
                <w:snapToGrid w:val="0"/>
                <w:kern w:val="0"/>
                <w:sz w:val="24"/>
              </w:rPr>
            </w:pPr>
          </w:p>
        </w:tc>
        <w:tc>
          <w:tcPr>
            <w:tcW w:w="1284" w:type="dxa"/>
            <w:vAlign w:val="center"/>
          </w:tcPr>
          <w:p>
            <w:pPr>
              <w:tabs>
                <w:tab w:val="left" w:pos="1337"/>
              </w:tabs>
              <w:jc w:val="center"/>
              <w:rPr>
                <w:rFonts w:asciiTheme="minorEastAsia" w:hAnsiTheme="minorEastAsia" w:eastAsiaTheme="minorEastAsia"/>
                <w:snapToGrid w:val="0"/>
                <w:kern w:val="0"/>
                <w:sz w:val="24"/>
              </w:rPr>
            </w:pPr>
          </w:p>
        </w:tc>
        <w:tc>
          <w:tcPr>
            <w:tcW w:w="1932" w:type="dxa"/>
            <w:vAlign w:val="center"/>
          </w:tcPr>
          <w:p>
            <w:pPr>
              <w:tabs>
                <w:tab w:val="left" w:pos="1337"/>
              </w:tabs>
              <w:jc w:val="center"/>
              <w:rPr>
                <w:rFonts w:asciiTheme="minorEastAsia" w:hAnsiTheme="minorEastAsia" w:eastAsiaTheme="minorEastAsia"/>
                <w:snapToGrid w:val="0"/>
                <w:kern w:val="0"/>
                <w:sz w:val="24"/>
              </w:rPr>
            </w:pPr>
          </w:p>
        </w:tc>
        <w:tc>
          <w:tcPr>
            <w:tcW w:w="943" w:type="dxa"/>
            <w:vAlign w:val="center"/>
          </w:tcPr>
          <w:p>
            <w:pPr>
              <w:tabs>
                <w:tab w:val="left" w:pos="1337"/>
              </w:tabs>
              <w:jc w:val="center"/>
              <w:rPr>
                <w:rFonts w:asciiTheme="minorEastAsia" w:hAnsiTheme="minorEastAsia" w:eastAsiaTheme="minorEastAsia"/>
                <w:snapToGrid w:val="0"/>
                <w:kern w:val="0"/>
                <w:sz w:val="24"/>
              </w:rPr>
            </w:pPr>
          </w:p>
        </w:tc>
        <w:tc>
          <w:tcPr>
            <w:tcW w:w="1341"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88" w:type="dxa"/>
            <w:vAlign w:val="center"/>
          </w:tcPr>
          <w:p>
            <w:pPr>
              <w:tabs>
                <w:tab w:val="left" w:pos="1337"/>
              </w:tabs>
              <w:jc w:val="center"/>
              <w:rPr>
                <w:rFonts w:asciiTheme="minorEastAsia" w:hAnsiTheme="minorEastAsia" w:eastAsiaTheme="minorEastAsia"/>
                <w:snapToGrid w:val="0"/>
                <w:kern w:val="0"/>
                <w:sz w:val="24"/>
              </w:rPr>
            </w:pPr>
          </w:p>
        </w:tc>
        <w:tc>
          <w:tcPr>
            <w:tcW w:w="1128" w:type="dxa"/>
            <w:vAlign w:val="center"/>
          </w:tcPr>
          <w:p>
            <w:pPr>
              <w:tabs>
                <w:tab w:val="left" w:pos="1337"/>
              </w:tabs>
              <w:jc w:val="center"/>
              <w:rPr>
                <w:rFonts w:asciiTheme="minorEastAsia" w:hAnsiTheme="minorEastAsia" w:eastAsiaTheme="minorEastAsia"/>
                <w:snapToGrid w:val="0"/>
                <w:kern w:val="0"/>
                <w:sz w:val="24"/>
              </w:rPr>
            </w:pPr>
          </w:p>
        </w:tc>
        <w:tc>
          <w:tcPr>
            <w:tcW w:w="1332" w:type="dxa"/>
            <w:vAlign w:val="center"/>
          </w:tcPr>
          <w:p>
            <w:pPr>
              <w:tabs>
                <w:tab w:val="left" w:pos="1337"/>
              </w:tabs>
              <w:jc w:val="center"/>
              <w:rPr>
                <w:rFonts w:asciiTheme="minorEastAsia" w:hAnsiTheme="minorEastAsia" w:eastAsiaTheme="minorEastAsia"/>
                <w:snapToGrid w:val="0"/>
                <w:kern w:val="0"/>
                <w:sz w:val="24"/>
              </w:rPr>
            </w:pPr>
          </w:p>
        </w:tc>
        <w:tc>
          <w:tcPr>
            <w:tcW w:w="1320" w:type="dxa"/>
            <w:vAlign w:val="center"/>
          </w:tcPr>
          <w:p>
            <w:pPr>
              <w:tabs>
                <w:tab w:val="left" w:pos="1337"/>
              </w:tabs>
              <w:jc w:val="center"/>
              <w:rPr>
                <w:rFonts w:asciiTheme="minorEastAsia" w:hAnsiTheme="minorEastAsia" w:eastAsiaTheme="minorEastAsia"/>
                <w:snapToGrid w:val="0"/>
                <w:kern w:val="0"/>
                <w:sz w:val="24"/>
              </w:rPr>
            </w:pPr>
          </w:p>
        </w:tc>
        <w:tc>
          <w:tcPr>
            <w:tcW w:w="1284" w:type="dxa"/>
            <w:vAlign w:val="center"/>
          </w:tcPr>
          <w:p>
            <w:pPr>
              <w:tabs>
                <w:tab w:val="left" w:pos="1337"/>
              </w:tabs>
              <w:jc w:val="center"/>
              <w:rPr>
                <w:rFonts w:asciiTheme="minorEastAsia" w:hAnsiTheme="minorEastAsia" w:eastAsiaTheme="minorEastAsia"/>
                <w:snapToGrid w:val="0"/>
                <w:kern w:val="0"/>
                <w:sz w:val="24"/>
              </w:rPr>
            </w:pPr>
          </w:p>
        </w:tc>
        <w:tc>
          <w:tcPr>
            <w:tcW w:w="1932" w:type="dxa"/>
            <w:vAlign w:val="center"/>
          </w:tcPr>
          <w:p>
            <w:pPr>
              <w:tabs>
                <w:tab w:val="left" w:pos="1337"/>
              </w:tabs>
              <w:jc w:val="center"/>
              <w:rPr>
                <w:rFonts w:asciiTheme="minorEastAsia" w:hAnsiTheme="minorEastAsia" w:eastAsiaTheme="minorEastAsia"/>
                <w:snapToGrid w:val="0"/>
                <w:kern w:val="0"/>
                <w:sz w:val="24"/>
              </w:rPr>
            </w:pPr>
          </w:p>
        </w:tc>
        <w:tc>
          <w:tcPr>
            <w:tcW w:w="943" w:type="dxa"/>
            <w:vAlign w:val="center"/>
          </w:tcPr>
          <w:p>
            <w:pPr>
              <w:tabs>
                <w:tab w:val="left" w:pos="1337"/>
              </w:tabs>
              <w:jc w:val="center"/>
              <w:rPr>
                <w:rFonts w:asciiTheme="minorEastAsia" w:hAnsiTheme="minorEastAsia" w:eastAsiaTheme="minorEastAsia"/>
                <w:snapToGrid w:val="0"/>
                <w:kern w:val="0"/>
                <w:sz w:val="24"/>
              </w:rPr>
            </w:pPr>
          </w:p>
        </w:tc>
        <w:tc>
          <w:tcPr>
            <w:tcW w:w="1341" w:type="dxa"/>
            <w:vAlign w:val="center"/>
          </w:tcPr>
          <w:p>
            <w:pPr>
              <w:tabs>
                <w:tab w:val="left" w:pos="1337"/>
              </w:tabs>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88" w:type="dxa"/>
            <w:vAlign w:val="center"/>
          </w:tcPr>
          <w:p>
            <w:pPr>
              <w:tabs>
                <w:tab w:val="left" w:pos="1337"/>
              </w:tabs>
              <w:jc w:val="center"/>
              <w:rPr>
                <w:rFonts w:asciiTheme="minorEastAsia" w:hAnsiTheme="minorEastAsia" w:eastAsiaTheme="minorEastAsia"/>
                <w:snapToGrid w:val="0"/>
                <w:kern w:val="0"/>
                <w:sz w:val="24"/>
              </w:rPr>
            </w:pPr>
          </w:p>
        </w:tc>
        <w:tc>
          <w:tcPr>
            <w:tcW w:w="1128" w:type="dxa"/>
            <w:vAlign w:val="center"/>
          </w:tcPr>
          <w:p>
            <w:pPr>
              <w:tabs>
                <w:tab w:val="left" w:pos="1337"/>
              </w:tabs>
              <w:jc w:val="center"/>
              <w:rPr>
                <w:rFonts w:asciiTheme="minorEastAsia" w:hAnsiTheme="minorEastAsia" w:eastAsiaTheme="minorEastAsia"/>
                <w:snapToGrid w:val="0"/>
                <w:kern w:val="0"/>
                <w:sz w:val="24"/>
              </w:rPr>
            </w:pPr>
          </w:p>
        </w:tc>
        <w:tc>
          <w:tcPr>
            <w:tcW w:w="1332" w:type="dxa"/>
            <w:vAlign w:val="center"/>
          </w:tcPr>
          <w:p>
            <w:pPr>
              <w:tabs>
                <w:tab w:val="left" w:pos="1337"/>
              </w:tabs>
              <w:jc w:val="center"/>
              <w:rPr>
                <w:rFonts w:asciiTheme="minorEastAsia" w:hAnsiTheme="minorEastAsia" w:eastAsiaTheme="minorEastAsia"/>
                <w:snapToGrid w:val="0"/>
                <w:kern w:val="0"/>
                <w:sz w:val="24"/>
              </w:rPr>
            </w:pPr>
          </w:p>
        </w:tc>
        <w:tc>
          <w:tcPr>
            <w:tcW w:w="1320" w:type="dxa"/>
            <w:vAlign w:val="center"/>
          </w:tcPr>
          <w:p>
            <w:pPr>
              <w:tabs>
                <w:tab w:val="left" w:pos="1337"/>
              </w:tabs>
              <w:jc w:val="center"/>
              <w:rPr>
                <w:rFonts w:asciiTheme="minorEastAsia" w:hAnsiTheme="minorEastAsia" w:eastAsiaTheme="minorEastAsia"/>
                <w:snapToGrid w:val="0"/>
                <w:kern w:val="0"/>
                <w:sz w:val="24"/>
              </w:rPr>
            </w:pPr>
          </w:p>
        </w:tc>
        <w:tc>
          <w:tcPr>
            <w:tcW w:w="1284" w:type="dxa"/>
            <w:vAlign w:val="center"/>
          </w:tcPr>
          <w:p>
            <w:pPr>
              <w:tabs>
                <w:tab w:val="left" w:pos="1337"/>
              </w:tabs>
              <w:jc w:val="center"/>
              <w:rPr>
                <w:rFonts w:asciiTheme="minorEastAsia" w:hAnsiTheme="minorEastAsia" w:eastAsiaTheme="minorEastAsia"/>
                <w:snapToGrid w:val="0"/>
                <w:kern w:val="0"/>
                <w:sz w:val="24"/>
              </w:rPr>
            </w:pPr>
          </w:p>
        </w:tc>
        <w:tc>
          <w:tcPr>
            <w:tcW w:w="1932" w:type="dxa"/>
            <w:vAlign w:val="center"/>
          </w:tcPr>
          <w:p>
            <w:pPr>
              <w:tabs>
                <w:tab w:val="left" w:pos="1337"/>
              </w:tabs>
              <w:jc w:val="center"/>
              <w:rPr>
                <w:rFonts w:asciiTheme="minorEastAsia" w:hAnsiTheme="minorEastAsia" w:eastAsiaTheme="minorEastAsia"/>
                <w:snapToGrid w:val="0"/>
                <w:kern w:val="0"/>
                <w:sz w:val="24"/>
              </w:rPr>
            </w:pPr>
          </w:p>
        </w:tc>
        <w:tc>
          <w:tcPr>
            <w:tcW w:w="943" w:type="dxa"/>
            <w:vAlign w:val="center"/>
          </w:tcPr>
          <w:p>
            <w:pPr>
              <w:tabs>
                <w:tab w:val="left" w:pos="1337"/>
              </w:tabs>
              <w:jc w:val="center"/>
              <w:rPr>
                <w:rFonts w:asciiTheme="minorEastAsia" w:hAnsiTheme="minorEastAsia" w:eastAsiaTheme="minorEastAsia"/>
                <w:snapToGrid w:val="0"/>
                <w:kern w:val="0"/>
                <w:sz w:val="24"/>
              </w:rPr>
            </w:pPr>
          </w:p>
        </w:tc>
        <w:tc>
          <w:tcPr>
            <w:tcW w:w="1341" w:type="dxa"/>
            <w:vAlign w:val="center"/>
          </w:tcPr>
          <w:p>
            <w:pPr>
              <w:tabs>
                <w:tab w:val="left" w:pos="1337"/>
              </w:tabs>
              <w:jc w:val="center"/>
              <w:rPr>
                <w:rFonts w:asciiTheme="minorEastAsia" w:hAnsiTheme="minorEastAsia" w:eastAsiaTheme="minorEastAsia"/>
                <w:snapToGrid w:val="0"/>
                <w:kern w:val="0"/>
                <w:sz w:val="24"/>
              </w:rPr>
            </w:pPr>
          </w:p>
        </w:tc>
      </w:tr>
    </w:tbl>
    <w:p>
      <w:pPr>
        <w:spacing w:line="360" w:lineRule="exact"/>
        <w:ind w:firstLine="480" w:firstLineChars="200"/>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说明：</w:t>
      </w:r>
    </w:p>
    <w:p>
      <w:pPr>
        <w:spacing w:line="360" w:lineRule="auto"/>
        <w:ind w:firstLine="480" w:firstLineChars="200"/>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①供应商请按招标文件中的技术要求逐一填写，供应商不得自行增减或删除、修改任何指标，也不能直接复制粘贴招标文件中的要求，必须填写真实数据，否则评标委员会将作出不利于供应商的认定。</w:t>
      </w:r>
    </w:p>
    <w:p>
      <w:pPr>
        <w:spacing w:line="360" w:lineRule="auto"/>
        <w:ind w:firstLine="480" w:firstLineChars="200"/>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②此表后还须附设备主要技术指标、规格和性能、技术参数值的详细说明，并提供制造商的印刷资料或者检测机构出具的检测报告作为佐证，否则评标委员会将作出不利于供应商的认定。</w:t>
      </w:r>
    </w:p>
    <w:p>
      <w:pPr>
        <w:spacing w:line="360" w:lineRule="exact"/>
        <w:ind w:right="187"/>
        <w:rPr>
          <w:rFonts w:asciiTheme="minorEastAsia" w:hAnsiTheme="minorEastAsia" w:eastAsiaTheme="minorEastAsia"/>
          <w:bCs/>
          <w:snapToGrid w:val="0"/>
          <w:kern w:val="0"/>
          <w:sz w:val="24"/>
          <w:u w:val="single"/>
        </w:rPr>
      </w:pPr>
      <w:r>
        <w:rPr>
          <w:rFonts w:hint="eastAsia" w:asciiTheme="minorEastAsia" w:hAnsiTheme="minorEastAsia" w:eastAsiaTheme="minorEastAsia"/>
          <w:snapToGrid w:val="0"/>
          <w:kern w:val="0"/>
          <w:sz w:val="24"/>
        </w:rPr>
        <w:t>供应商名称</w:t>
      </w:r>
      <w:r>
        <w:rPr>
          <w:rFonts w:hint="eastAsia" w:asciiTheme="minorEastAsia" w:hAnsiTheme="minorEastAsia" w:eastAsiaTheme="minorEastAsia"/>
          <w:bCs/>
          <w:snapToGrid w:val="0"/>
          <w:kern w:val="0"/>
          <w:sz w:val="24"/>
        </w:rPr>
        <w:t>（公章）：</w:t>
      </w:r>
    </w:p>
    <w:p>
      <w:pPr>
        <w:spacing w:line="360" w:lineRule="exact"/>
        <w:ind w:right="187"/>
        <w:rPr>
          <w:rFonts w:asciiTheme="minorEastAsia" w:hAnsiTheme="minorEastAsia" w:eastAsiaTheme="minorEastAsia"/>
          <w:bCs/>
          <w:snapToGrid w:val="0"/>
          <w:kern w:val="0"/>
          <w:sz w:val="24"/>
          <w:u w:val="single"/>
        </w:rPr>
      </w:pPr>
    </w:p>
    <w:p>
      <w:pPr>
        <w:spacing w:line="300" w:lineRule="exact"/>
        <w:ind w:right="187"/>
        <w:rPr>
          <w:rFonts w:asciiTheme="minorEastAsia" w:hAnsiTheme="minorEastAsia" w:eastAsiaTheme="minorEastAsia"/>
          <w:b/>
          <w:bCs/>
          <w:snapToGrid w:val="0"/>
          <w:kern w:val="0"/>
          <w:sz w:val="24"/>
        </w:rPr>
      </w:pPr>
      <w:r>
        <w:rPr>
          <w:rFonts w:hint="eastAsia" w:asciiTheme="minorEastAsia" w:hAnsiTheme="minorEastAsia" w:eastAsiaTheme="minorEastAsia"/>
          <w:bCs/>
          <w:snapToGrid w:val="0"/>
          <w:kern w:val="0"/>
          <w:sz w:val="24"/>
        </w:rPr>
        <w:t>法定代表人或授权代理人签字</w:t>
      </w:r>
      <w:r>
        <w:rPr>
          <w:rFonts w:hint="eastAsia" w:cs="宋体" w:asciiTheme="minorEastAsia" w:hAnsiTheme="minorEastAsia" w:eastAsiaTheme="minorEastAsia"/>
          <w:snapToGrid w:val="0"/>
          <w:kern w:val="0"/>
          <w:sz w:val="24"/>
        </w:rPr>
        <w:t>或盖章</w:t>
      </w:r>
      <w:r>
        <w:rPr>
          <w:rFonts w:hint="eastAsia" w:asciiTheme="minorEastAsia" w:hAnsiTheme="minorEastAsia" w:eastAsiaTheme="minorEastAsia"/>
          <w:bCs/>
          <w:snapToGrid w:val="0"/>
          <w:kern w:val="0"/>
          <w:sz w:val="24"/>
        </w:rPr>
        <w:t>：</w:t>
      </w:r>
    </w:p>
    <w:p>
      <w:pPr>
        <w:pStyle w:val="33"/>
        <w:spacing w:line="240" w:lineRule="auto"/>
        <w:ind w:left="0" w:leftChars="0" w:firstLine="0" w:firstLineChars="0"/>
        <w:jc w:val="right"/>
        <w:rPr>
          <w:rFonts w:asciiTheme="minorEastAsia" w:hAnsiTheme="minorEastAsia" w:eastAsiaTheme="minorEastAsia"/>
          <w:snapToGrid w:val="0"/>
        </w:rPr>
        <w:sectPr>
          <w:pgSz w:w="11907" w:h="16840"/>
          <w:pgMar w:top="1418" w:right="1418" w:bottom="1418" w:left="1418" w:header="851" w:footer="851" w:gutter="0"/>
          <w:cols w:space="720" w:num="1"/>
          <w:docGrid w:linePitch="290" w:charSpace="-3931"/>
        </w:sectPr>
      </w:pPr>
      <w:r>
        <w:rPr>
          <w:rFonts w:hint="eastAsia" w:asciiTheme="minorEastAsia" w:hAnsiTheme="minorEastAsia" w:eastAsiaTheme="minorEastAsia"/>
          <w:snapToGrid w:val="0"/>
        </w:rPr>
        <w:t>年  月  日</w:t>
      </w:r>
    </w:p>
    <w:p>
      <w:pPr>
        <w:pStyle w:val="3"/>
        <w:spacing w:before="0" w:after="0"/>
        <w:jc w:val="left"/>
        <w:rPr>
          <w:rFonts w:cs="宋体" w:asciiTheme="minorEastAsia" w:hAnsiTheme="minorEastAsia" w:eastAsiaTheme="minorEastAsia"/>
          <w:sz w:val="30"/>
          <w:szCs w:val="30"/>
        </w:rPr>
      </w:pPr>
      <w:bookmarkStart w:id="209" w:name="_Toc21112"/>
      <w:bookmarkStart w:id="210" w:name="_Toc72321859"/>
      <w:r>
        <w:rPr>
          <w:rFonts w:hint="eastAsia" w:asciiTheme="minorEastAsia" w:hAnsiTheme="minorEastAsia" w:eastAsiaTheme="minorEastAsia"/>
          <w:bCs w:val="0"/>
          <w:sz w:val="24"/>
          <w:szCs w:val="24"/>
        </w:rPr>
        <w:t>附件九：2019年1月1日至今同类业绩一览表</w:t>
      </w:r>
      <w:bookmarkEnd w:id="209"/>
      <w:bookmarkEnd w:id="210"/>
    </w:p>
    <w:p>
      <w:pPr>
        <w:adjustRightInd w:val="0"/>
        <w:snapToGrid w:val="0"/>
        <w:spacing w:line="400" w:lineRule="exact"/>
        <w:ind w:right="-65" w:rightChars="-31"/>
        <w:jc w:val="center"/>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sz w:val="28"/>
          <w:szCs w:val="28"/>
        </w:rPr>
        <w:t>201</w:t>
      </w:r>
      <w:r>
        <w:rPr>
          <w:rFonts w:cs="宋体" w:asciiTheme="minorEastAsia" w:hAnsiTheme="minorEastAsia" w:eastAsiaTheme="minorEastAsia"/>
          <w:b/>
          <w:bCs/>
          <w:sz w:val="28"/>
          <w:szCs w:val="28"/>
        </w:rPr>
        <w:t>9</w:t>
      </w:r>
      <w:r>
        <w:rPr>
          <w:rFonts w:hint="eastAsia" w:cs="宋体" w:asciiTheme="minorEastAsia" w:hAnsiTheme="minorEastAsia" w:eastAsiaTheme="minorEastAsia"/>
          <w:b/>
          <w:bCs/>
          <w:sz w:val="28"/>
          <w:szCs w:val="28"/>
        </w:rPr>
        <w:t>年1月1日至今</w:t>
      </w:r>
      <w:r>
        <w:rPr>
          <w:rFonts w:hint="eastAsia" w:cs="宋体" w:asciiTheme="minorEastAsia" w:hAnsiTheme="minorEastAsia" w:eastAsiaTheme="minorEastAsia"/>
          <w:b/>
          <w:bCs/>
          <w:color w:val="000000"/>
          <w:sz w:val="28"/>
          <w:szCs w:val="28"/>
        </w:rPr>
        <w:t>同类业绩一览表</w:t>
      </w:r>
    </w:p>
    <w:p>
      <w:pPr>
        <w:pStyle w:val="30"/>
        <w:rPr>
          <w:rFonts w:asciiTheme="minorEastAsia" w:hAnsiTheme="minorEastAsia" w:eastAsiaTheme="minorEastAsia"/>
        </w:rPr>
      </w:pPr>
    </w:p>
    <w:p>
      <w:pPr>
        <w:pStyle w:val="33"/>
        <w:spacing w:line="360" w:lineRule="exact"/>
        <w:ind w:left="0" w:leftChars="0" w:firstLine="0" w:firstLineChars="0"/>
        <w:rPr>
          <w:rFonts w:asciiTheme="minorEastAsia" w:hAnsiTheme="minorEastAsia" w:eastAsiaTheme="minorEastAsia"/>
          <w:bCs/>
          <w:snapToGrid w:val="0"/>
          <w:sz w:val="24"/>
        </w:rPr>
      </w:pPr>
      <w:r>
        <w:rPr>
          <w:rFonts w:hint="eastAsia" w:asciiTheme="minorEastAsia" w:hAnsiTheme="minorEastAsia" w:eastAsiaTheme="minorEastAsia"/>
          <w:bCs/>
          <w:snapToGrid w:val="0"/>
          <w:sz w:val="24"/>
        </w:rPr>
        <w:t>项目名称：</w:t>
      </w:r>
      <w:r>
        <w:rPr>
          <w:rFonts w:asciiTheme="minorEastAsia" w:hAnsiTheme="minorEastAsia" w:eastAsiaTheme="minorEastAsia"/>
          <w:bCs/>
          <w:snapToGrid w:val="0"/>
          <w:sz w:val="24"/>
        </w:rPr>
        <w:t xml:space="preserve"> </w:t>
      </w:r>
    </w:p>
    <w:p>
      <w:pPr>
        <w:pStyle w:val="33"/>
        <w:spacing w:line="360" w:lineRule="exact"/>
        <w:ind w:left="0" w:leftChars="0" w:firstLine="0" w:firstLineChars="0"/>
        <w:rPr>
          <w:rFonts w:asciiTheme="minorEastAsia" w:hAnsiTheme="minorEastAsia" w:eastAsiaTheme="minorEastAsia"/>
          <w:bCs/>
          <w:snapToGrid w:val="0"/>
          <w:sz w:val="24"/>
        </w:rPr>
      </w:pPr>
      <w:r>
        <w:rPr>
          <w:rFonts w:hint="eastAsia" w:asciiTheme="minorEastAsia" w:hAnsiTheme="minorEastAsia" w:eastAsiaTheme="minorEastAsia"/>
          <w:bCs/>
          <w:snapToGrid w:val="0"/>
          <w:sz w:val="24"/>
        </w:rPr>
        <w:t>项目编号：</w:t>
      </w:r>
    </w:p>
    <w:p>
      <w:pPr>
        <w:pStyle w:val="33"/>
        <w:spacing w:line="360" w:lineRule="exact"/>
        <w:ind w:left="0" w:leftChars="0" w:firstLine="0" w:firstLineChars="0"/>
        <w:rPr>
          <w:rFonts w:asciiTheme="minorEastAsia" w:hAnsiTheme="minorEastAsia" w:eastAsiaTheme="minorEastAsia"/>
          <w:b/>
          <w:bCs/>
          <w:snapToGrid w:val="0"/>
        </w:rPr>
      </w:pPr>
      <w:r>
        <w:rPr>
          <w:rFonts w:hint="eastAsia" w:asciiTheme="minorEastAsia" w:hAnsiTheme="minorEastAsia" w:eastAsiaTheme="minorEastAsia"/>
          <w:bCs/>
          <w:snapToGrid w:val="0"/>
          <w:sz w:val="24"/>
        </w:rPr>
        <w:t>包    号：</w:t>
      </w:r>
      <w:r>
        <w:rPr>
          <w:rFonts w:hint="eastAsia" w:asciiTheme="minorEastAsia" w:hAnsiTheme="minorEastAsia" w:eastAsiaTheme="minorEastAsia"/>
          <w:bCs/>
          <w:snapToGrid w:val="0"/>
        </w:rPr>
        <w:t xml:space="preserve">                                                   </w:t>
      </w:r>
      <w:r>
        <w:rPr>
          <w:rFonts w:hint="eastAsia" w:asciiTheme="minorEastAsia" w:hAnsiTheme="minorEastAsia" w:eastAsiaTheme="minorEastAsia"/>
          <w:bCs/>
          <w:snapToGrid w:val="0"/>
          <w:sz w:val="24"/>
        </w:rPr>
        <w:t xml:space="preserve"> </w:t>
      </w:r>
    </w:p>
    <w:tbl>
      <w:tblPr>
        <w:tblStyle w:val="75"/>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962"/>
        <w:gridCol w:w="960"/>
        <w:gridCol w:w="964"/>
        <w:gridCol w:w="1136"/>
        <w:gridCol w:w="1050"/>
        <w:gridCol w:w="1186"/>
        <w:gridCol w:w="1282"/>
        <w:gridCol w:w="1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016"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货物名称</w:t>
            </w:r>
          </w:p>
        </w:tc>
        <w:tc>
          <w:tcPr>
            <w:tcW w:w="962"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品牌</w:t>
            </w:r>
          </w:p>
        </w:tc>
        <w:tc>
          <w:tcPr>
            <w:tcW w:w="960"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型号</w:t>
            </w:r>
          </w:p>
        </w:tc>
        <w:tc>
          <w:tcPr>
            <w:tcW w:w="964"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数量</w:t>
            </w:r>
          </w:p>
        </w:tc>
        <w:tc>
          <w:tcPr>
            <w:tcW w:w="1136"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价格</w:t>
            </w:r>
          </w:p>
        </w:tc>
        <w:tc>
          <w:tcPr>
            <w:tcW w:w="1050"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合同完成时间</w:t>
            </w:r>
          </w:p>
        </w:tc>
        <w:tc>
          <w:tcPr>
            <w:tcW w:w="1186"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购买</w:t>
            </w:r>
          </w:p>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单位</w:t>
            </w:r>
          </w:p>
        </w:tc>
        <w:tc>
          <w:tcPr>
            <w:tcW w:w="1282"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联系人</w:t>
            </w:r>
          </w:p>
        </w:tc>
        <w:tc>
          <w:tcPr>
            <w:tcW w:w="1252" w:type="dxa"/>
            <w:vAlign w:val="center"/>
          </w:tcPr>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联系</w:t>
            </w:r>
          </w:p>
          <w:p>
            <w:pPr>
              <w:tabs>
                <w:tab w:val="left" w:pos="720"/>
                <w:tab w:val="left" w:pos="1440"/>
                <w:tab w:val="left" w:pos="1620"/>
              </w:tabs>
              <w:ind w:right="187"/>
              <w:jc w:val="center"/>
              <w:rPr>
                <w:rFonts w:asciiTheme="minorEastAsia" w:hAnsiTheme="minorEastAsia" w:eastAsiaTheme="minorEastAsia"/>
                <w:bCs/>
                <w:snapToGrid w:val="0"/>
                <w:kern w:val="0"/>
                <w:sz w:val="22"/>
              </w:rPr>
            </w:pPr>
            <w:r>
              <w:rPr>
                <w:rFonts w:hint="eastAsia" w:asciiTheme="minorEastAsia" w:hAnsiTheme="minorEastAsia" w:eastAsiaTheme="minorEastAsia"/>
                <w:bCs/>
                <w:snapToGrid w:val="0"/>
                <w:kern w:val="0"/>
                <w:sz w:val="22"/>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sz w:val="24"/>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sz w:val="24"/>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sz w:val="24"/>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sz w:val="24"/>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1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962"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0" w:type="dxa"/>
            <w:vAlign w:val="center"/>
          </w:tcPr>
          <w:p>
            <w:pPr>
              <w:tabs>
                <w:tab w:val="left" w:pos="720"/>
                <w:tab w:val="left" w:pos="1440"/>
                <w:tab w:val="left" w:pos="1620"/>
              </w:tabs>
              <w:spacing w:line="360" w:lineRule="auto"/>
              <w:ind w:right="187"/>
              <w:jc w:val="center"/>
              <w:rPr>
                <w:rFonts w:asciiTheme="minorEastAsia" w:hAnsiTheme="minorEastAsia" w:eastAsiaTheme="minorEastAsia"/>
                <w:snapToGrid w:val="0"/>
                <w:kern w:val="0"/>
              </w:rPr>
            </w:pPr>
          </w:p>
        </w:tc>
        <w:tc>
          <w:tcPr>
            <w:tcW w:w="964"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3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050"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186"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8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c>
          <w:tcPr>
            <w:tcW w:w="1252" w:type="dxa"/>
          </w:tcPr>
          <w:p>
            <w:pPr>
              <w:tabs>
                <w:tab w:val="left" w:pos="720"/>
                <w:tab w:val="left" w:pos="1440"/>
                <w:tab w:val="left" w:pos="1620"/>
              </w:tabs>
              <w:spacing w:line="360" w:lineRule="auto"/>
              <w:ind w:right="187"/>
              <w:rPr>
                <w:rFonts w:asciiTheme="minorEastAsia" w:hAnsiTheme="minorEastAsia" w:eastAsiaTheme="minorEastAsia"/>
                <w:snapToGrid w:val="0"/>
                <w:kern w:val="0"/>
              </w:rPr>
            </w:pPr>
          </w:p>
        </w:tc>
      </w:tr>
    </w:tbl>
    <w:p>
      <w:pPr>
        <w:pStyle w:val="33"/>
        <w:spacing w:line="400" w:lineRule="exact"/>
        <w:ind w:left="0" w:leftChars="0" w:firstLine="0" w:firstLineChars="0"/>
        <w:rPr>
          <w:rFonts w:asciiTheme="minorEastAsia" w:hAnsiTheme="minorEastAsia" w:eastAsiaTheme="minorEastAsia"/>
          <w:b/>
          <w:bCs/>
          <w:snapToGrid w:val="0"/>
          <w:sz w:val="21"/>
        </w:rPr>
      </w:pPr>
      <w:r>
        <w:rPr>
          <w:rFonts w:hint="eastAsia" w:asciiTheme="minorEastAsia" w:hAnsiTheme="minorEastAsia" w:eastAsiaTheme="minorEastAsia"/>
          <w:b/>
          <w:bCs/>
          <w:snapToGrid w:val="0"/>
          <w:sz w:val="21"/>
        </w:rPr>
        <w:t>请在此表后附合同或其他相关证明材料复印件加盖公章。具体要求详见评标办法。</w:t>
      </w:r>
    </w:p>
    <w:p>
      <w:pPr>
        <w:spacing w:line="360" w:lineRule="exact"/>
        <w:ind w:right="187"/>
        <w:rPr>
          <w:rFonts w:asciiTheme="minorEastAsia" w:hAnsiTheme="minorEastAsia" w:eastAsiaTheme="minorEastAsia"/>
          <w:bCs/>
          <w:snapToGrid w:val="0"/>
          <w:kern w:val="0"/>
          <w:sz w:val="24"/>
        </w:rPr>
      </w:pPr>
    </w:p>
    <w:p>
      <w:pPr>
        <w:spacing w:line="360" w:lineRule="exact"/>
        <w:ind w:right="187"/>
        <w:rPr>
          <w:rFonts w:asciiTheme="minorEastAsia" w:hAnsiTheme="minorEastAsia" w:eastAsiaTheme="minorEastAsia"/>
          <w:bCs/>
          <w:snapToGrid w:val="0"/>
          <w:kern w:val="0"/>
          <w:sz w:val="24"/>
          <w:u w:val="single"/>
        </w:rPr>
      </w:pPr>
      <w:r>
        <w:rPr>
          <w:rFonts w:hint="eastAsia" w:asciiTheme="minorEastAsia" w:hAnsiTheme="minorEastAsia" w:eastAsiaTheme="minorEastAsia"/>
          <w:snapToGrid w:val="0"/>
          <w:kern w:val="0"/>
          <w:sz w:val="24"/>
        </w:rPr>
        <w:t>供应商名称</w:t>
      </w:r>
      <w:r>
        <w:rPr>
          <w:rFonts w:hint="eastAsia" w:asciiTheme="minorEastAsia" w:hAnsiTheme="minorEastAsia" w:eastAsiaTheme="minorEastAsia"/>
          <w:bCs/>
          <w:snapToGrid w:val="0"/>
          <w:kern w:val="0"/>
          <w:sz w:val="24"/>
        </w:rPr>
        <w:t>（公章）：</w:t>
      </w:r>
    </w:p>
    <w:p>
      <w:pPr>
        <w:spacing w:line="360" w:lineRule="exact"/>
        <w:ind w:right="187"/>
        <w:rPr>
          <w:rFonts w:asciiTheme="minorEastAsia" w:hAnsiTheme="minorEastAsia" w:eastAsiaTheme="minorEastAsia"/>
          <w:bCs/>
          <w:snapToGrid w:val="0"/>
          <w:kern w:val="0"/>
          <w:sz w:val="24"/>
          <w:u w:val="single"/>
        </w:rPr>
      </w:pPr>
    </w:p>
    <w:p>
      <w:pPr>
        <w:spacing w:line="300" w:lineRule="exact"/>
        <w:ind w:right="187"/>
        <w:rPr>
          <w:rFonts w:asciiTheme="minorEastAsia" w:hAnsiTheme="minorEastAsia" w:eastAsiaTheme="minorEastAsia"/>
          <w:b/>
          <w:bCs/>
          <w:snapToGrid w:val="0"/>
          <w:kern w:val="0"/>
          <w:sz w:val="24"/>
        </w:rPr>
      </w:pPr>
      <w:r>
        <w:rPr>
          <w:rFonts w:hint="eastAsia" w:asciiTheme="minorEastAsia" w:hAnsiTheme="minorEastAsia" w:eastAsiaTheme="minorEastAsia"/>
          <w:bCs/>
          <w:snapToGrid w:val="0"/>
          <w:kern w:val="0"/>
          <w:sz w:val="24"/>
        </w:rPr>
        <w:t>法定代表人或授权代理人签字</w:t>
      </w:r>
      <w:r>
        <w:rPr>
          <w:rFonts w:hint="eastAsia" w:cs="宋体" w:asciiTheme="minorEastAsia" w:hAnsiTheme="minorEastAsia" w:eastAsiaTheme="minorEastAsia"/>
          <w:snapToGrid w:val="0"/>
          <w:kern w:val="0"/>
          <w:sz w:val="24"/>
        </w:rPr>
        <w:t>或盖章</w:t>
      </w:r>
      <w:r>
        <w:rPr>
          <w:rFonts w:hint="eastAsia" w:asciiTheme="minorEastAsia" w:hAnsiTheme="minorEastAsia" w:eastAsiaTheme="minorEastAsia"/>
          <w:bCs/>
          <w:snapToGrid w:val="0"/>
          <w:kern w:val="0"/>
          <w:sz w:val="24"/>
        </w:rPr>
        <w:t>：</w:t>
      </w:r>
    </w:p>
    <w:p>
      <w:pPr>
        <w:pStyle w:val="33"/>
        <w:spacing w:line="240" w:lineRule="auto"/>
        <w:ind w:left="0" w:leftChars="0" w:firstLine="0" w:firstLineChars="0"/>
        <w:jc w:val="right"/>
        <w:rPr>
          <w:rFonts w:asciiTheme="minorEastAsia" w:hAnsiTheme="minorEastAsia" w:eastAsiaTheme="minorEastAsia"/>
          <w:bCs/>
          <w:snapToGrid w:val="0"/>
        </w:rPr>
      </w:pPr>
      <w:r>
        <w:rPr>
          <w:rFonts w:hint="eastAsia" w:asciiTheme="minorEastAsia" w:hAnsiTheme="minorEastAsia" w:eastAsiaTheme="minorEastAsia"/>
          <w:bCs/>
          <w:snapToGrid w:val="0"/>
        </w:rPr>
        <w:t>年  月  日</w:t>
      </w:r>
    </w:p>
    <w:p>
      <w:pPr>
        <w:widowControl/>
        <w:jc w:val="left"/>
        <w:rPr>
          <w:rFonts w:asciiTheme="minorEastAsia" w:hAnsiTheme="minorEastAsia" w:eastAsiaTheme="minorEastAsia"/>
          <w:bCs/>
          <w:snapToGrid w:val="0"/>
          <w:kern w:val="0"/>
          <w:sz w:val="24"/>
          <w:szCs w:val="20"/>
        </w:rPr>
      </w:pPr>
      <w:r>
        <w:rPr>
          <w:rFonts w:asciiTheme="minorEastAsia" w:hAnsiTheme="minorEastAsia" w:eastAsiaTheme="minorEastAsia"/>
          <w:bCs/>
          <w:snapToGrid w:val="0"/>
          <w:kern w:val="0"/>
        </w:rPr>
        <w:br w:type="page"/>
      </w:r>
    </w:p>
    <w:p>
      <w:pPr>
        <w:pStyle w:val="3"/>
        <w:spacing w:before="0" w:after="0"/>
        <w:jc w:val="left"/>
        <w:rPr>
          <w:rFonts w:asciiTheme="minorEastAsia" w:hAnsiTheme="minorEastAsia" w:eastAsiaTheme="minorEastAsia"/>
          <w:bCs w:val="0"/>
          <w:sz w:val="24"/>
          <w:szCs w:val="24"/>
        </w:rPr>
      </w:pPr>
      <w:bookmarkStart w:id="211" w:name="_Toc2564"/>
      <w:bookmarkStart w:id="212" w:name="_Toc72321860"/>
      <w:r>
        <w:rPr>
          <w:rFonts w:hint="eastAsia" w:asciiTheme="minorEastAsia" w:hAnsiTheme="minorEastAsia" w:eastAsiaTheme="minorEastAsia"/>
          <w:bCs w:val="0"/>
          <w:sz w:val="24"/>
          <w:szCs w:val="24"/>
        </w:rPr>
        <w:t>附件十：相关声明</w:t>
      </w:r>
      <w:bookmarkEnd w:id="211"/>
      <w:bookmarkEnd w:id="212"/>
    </w:p>
    <w:p>
      <w:pPr>
        <w:spacing w:line="360" w:lineRule="exact"/>
        <w:ind w:right="187"/>
        <w:rPr>
          <w:rFonts w:asciiTheme="minorEastAsia" w:hAnsiTheme="minorEastAsia" w:eastAsiaTheme="minorEastAsia"/>
          <w:bCs/>
          <w:snapToGrid w:val="0"/>
          <w:kern w:val="0"/>
          <w:sz w:val="28"/>
          <w:szCs w:val="28"/>
        </w:rPr>
      </w:pPr>
    </w:p>
    <w:p>
      <w:pPr>
        <w:pStyle w:val="30"/>
        <w:spacing w:after="0" w:line="460" w:lineRule="exact"/>
        <w:jc w:val="center"/>
        <w:rPr>
          <w:rFonts w:asciiTheme="minorEastAsia" w:hAnsiTheme="minorEastAsia" w:eastAsiaTheme="minorEastAsia"/>
          <w:b/>
          <w:snapToGrid w:val="0"/>
          <w:sz w:val="28"/>
          <w:szCs w:val="18"/>
        </w:rPr>
      </w:pPr>
      <w:r>
        <w:rPr>
          <w:rFonts w:hint="eastAsia" w:cs="宋体" w:asciiTheme="minorEastAsia" w:hAnsiTheme="minorEastAsia" w:eastAsiaTheme="minorEastAsia"/>
          <w:b/>
          <w:bCs/>
          <w:kern w:val="2"/>
          <w:sz w:val="28"/>
          <w:szCs w:val="28"/>
        </w:rPr>
        <w:t>参加政府采购活动前三年内，在经营活动中没有重大违法记录的书面声明</w:t>
      </w:r>
    </w:p>
    <w:p>
      <w:pPr>
        <w:spacing w:line="360" w:lineRule="exact"/>
        <w:jc w:val="left"/>
        <w:rPr>
          <w:rFonts w:asciiTheme="minorEastAsia" w:hAnsiTheme="minorEastAsia" w:eastAsiaTheme="minorEastAsia"/>
          <w:snapToGrid w:val="0"/>
          <w:kern w:val="0"/>
          <w:sz w:val="24"/>
          <w:u w:val="single"/>
        </w:rPr>
      </w:pPr>
    </w:p>
    <w:p>
      <w:pPr>
        <w:spacing w:line="3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u w:val="single"/>
        </w:rPr>
        <w:t>山东省消防救援总队</w:t>
      </w:r>
      <w:r>
        <w:rPr>
          <w:rFonts w:hint="eastAsia" w:asciiTheme="minorEastAsia" w:hAnsiTheme="minorEastAsia" w:eastAsiaTheme="minorEastAsia"/>
          <w:snapToGrid w:val="0"/>
          <w:kern w:val="0"/>
          <w:sz w:val="24"/>
        </w:rPr>
        <w:t>：</w:t>
      </w:r>
    </w:p>
    <w:p>
      <w:pPr>
        <w:spacing w:line="500" w:lineRule="exact"/>
        <w:ind w:firstLine="480" w:firstLineChars="200"/>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我单位郑重声明：自本项目开标之日起向前追溯三年，我单位没有以下重大违法记录：因违法经营受到刑事处罚或者责令停产停业、吊销许可证或者执照、较大数额罚款等行政处罚。</w:t>
      </w:r>
    </w:p>
    <w:p>
      <w:pPr>
        <w:spacing w:line="500" w:lineRule="exact"/>
        <w:ind w:firstLine="480" w:firstLineChars="200"/>
        <w:jc w:val="left"/>
        <w:rPr>
          <w:rFonts w:asciiTheme="minorEastAsia" w:hAnsiTheme="minorEastAsia" w:eastAsiaTheme="minorEastAsia"/>
          <w:snapToGrid w:val="0"/>
          <w:kern w:val="0"/>
          <w:sz w:val="24"/>
        </w:rPr>
      </w:pPr>
    </w:p>
    <w:p>
      <w:pPr>
        <w:spacing w:line="500" w:lineRule="exact"/>
        <w:ind w:firstLine="480" w:firstLineChars="200"/>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注：</w:t>
      </w:r>
    </w:p>
    <w:p>
      <w:pPr>
        <w:spacing w:line="500" w:lineRule="exact"/>
        <w:ind w:firstLine="482" w:firstLineChars="200"/>
        <w:jc w:val="left"/>
        <w:rPr>
          <w:rFonts w:asciiTheme="minorEastAsia" w:hAnsiTheme="minorEastAsia" w:eastAsiaTheme="minorEastAsia"/>
          <w:b/>
          <w:snapToGrid w:val="0"/>
          <w:kern w:val="0"/>
          <w:sz w:val="24"/>
        </w:rPr>
      </w:pPr>
      <w:r>
        <w:rPr>
          <w:rFonts w:asciiTheme="minorEastAsia" w:hAnsiTheme="minorEastAsia" w:eastAsiaTheme="minorEastAsia"/>
          <w:b/>
          <w:snapToGrid w:val="0"/>
          <w:kern w:val="0"/>
          <w:sz w:val="24"/>
        </w:rPr>
        <w:t>1.</w:t>
      </w:r>
      <w:r>
        <w:rPr>
          <w:rFonts w:hint="eastAsia" w:asciiTheme="minorEastAsia" w:hAnsiTheme="minorEastAsia" w:eastAsiaTheme="minorEastAsia"/>
          <w:b/>
          <w:snapToGrid w:val="0"/>
          <w:kern w:val="0"/>
          <w:sz w:val="24"/>
        </w:rPr>
        <w:t>如不提供本声明函，将作无效投标处理。</w:t>
      </w:r>
    </w:p>
    <w:p>
      <w:pPr>
        <w:spacing w:line="500" w:lineRule="exact"/>
        <w:ind w:firstLine="480" w:firstLineChars="200"/>
        <w:jc w:val="left"/>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2.</w:t>
      </w:r>
      <w:r>
        <w:rPr>
          <w:rFonts w:hint="eastAsia" w:asciiTheme="minorEastAsia" w:hAnsiTheme="minorEastAsia" w:eastAsiaTheme="minorEastAsia"/>
          <w:snapToGrid w:val="0"/>
          <w:kern w:val="0"/>
          <w:sz w:val="24"/>
        </w:rPr>
        <w:t>投标供应商对其所声明内容的真实性负责。在评审过程中乃至确定中标结果后，如发现投标供应商所声明内容不真实，则其投标将作无效投标处理，并承担相应的法律责任。</w:t>
      </w:r>
    </w:p>
    <w:p>
      <w:pPr>
        <w:rPr>
          <w:rFonts w:asciiTheme="minorEastAsia" w:hAnsiTheme="minorEastAsia" w:eastAsiaTheme="minorEastAsia"/>
          <w:snapToGrid w:val="0"/>
          <w:kern w:val="0"/>
          <w:sz w:val="24"/>
        </w:rPr>
      </w:pPr>
    </w:p>
    <w:p>
      <w:pPr>
        <w:rPr>
          <w:rFonts w:asciiTheme="minorEastAsia" w:hAnsiTheme="minorEastAsia" w:eastAsiaTheme="minorEastAsia"/>
          <w:snapToGrid w:val="0"/>
          <w:kern w:val="0"/>
          <w:sz w:val="24"/>
        </w:rPr>
      </w:pPr>
    </w:p>
    <w:p>
      <w:pPr>
        <w:rPr>
          <w:rFonts w:asciiTheme="minorEastAsia" w:hAnsiTheme="minorEastAsia" w:eastAsiaTheme="minorEastAsia"/>
          <w:snapToGrid w:val="0"/>
          <w:kern w:val="0"/>
          <w:sz w:val="24"/>
        </w:rPr>
      </w:pPr>
    </w:p>
    <w:p>
      <w:pPr>
        <w:tabs>
          <w:tab w:val="left" w:pos="2977"/>
          <w:tab w:val="left" w:pos="3261"/>
        </w:tabs>
        <w:spacing w:line="360" w:lineRule="auto"/>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供应商名称：（公章）</w:t>
      </w:r>
    </w:p>
    <w:p>
      <w:pPr>
        <w:spacing w:line="360" w:lineRule="auto"/>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法定代表人或其委托代理人签字或盖章：</w:t>
      </w:r>
    </w:p>
    <w:p>
      <w:pPr>
        <w:spacing w:line="360" w:lineRule="exact"/>
        <w:jc w:val="left"/>
        <w:rPr>
          <w:rFonts w:asciiTheme="minorEastAsia" w:hAnsiTheme="minorEastAsia" w:eastAsiaTheme="minorEastAsia"/>
          <w:snapToGrid w:val="0"/>
          <w:kern w:val="0"/>
          <w:sz w:val="24"/>
        </w:rPr>
      </w:pPr>
    </w:p>
    <w:p>
      <w:pPr>
        <w:spacing w:line="360" w:lineRule="auto"/>
        <w:jc w:val="righ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年  月  日</w:t>
      </w:r>
    </w:p>
    <w:p>
      <w:pPr>
        <w:widowControl/>
        <w:jc w:val="left"/>
        <w:rPr>
          <w:rFonts w:asciiTheme="minorEastAsia" w:hAnsiTheme="minorEastAsia" w:eastAsiaTheme="minorEastAsia"/>
          <w:b/>
          <w:bCs/>
          <w:snapToGrid w:val="0"/>
          <w:kern w:val="0"/>
          <w:sz w:val="24"/>
        </w:rPr>
      </w:pPr>
      <w:r>
        <w:rPr>
          <w:rFonts w:asciiTheme="minorEastAsia" w:hAnsiTheme="minorEastAsia" w:eastAsiaTheme="minorEastAsia"/>
          <w:b/>
          <w:bCs/>
          <w:snapToGrid w:val="0"/>
          <w:kern w:val="0"/>
          <w:sz w:val="24"/>
        </w:rPr>
        <w:br w:type="page"/>
      </w:r>
    </w:p>
    <w:p>
      <w:pPr>
        <w:spacing w:line="360" w:lineRule="exact"/>
        <w:ind w:right="187"/>
        <w:jc w:val="center"/>
        <w:rPr>
          <w:rFonts w:asciiTheme="minorEastAsia" w:hAnsiTheme="minorEastAsia" w:eastAsiaTheme="minorEastAsia"/>
          <w:b/>
          <w:bCs/>
          <w:snapToGrid w:val="0"/>
          <w:kern w:val="0"/>
          <w:sz w:val="24"/>
        </w:rPr>
        <w:sectPr>
          <w:headerReference r:id="rId9" w:type="default"/>
          <w:pgSz w:w="11907" w:h="16840"/>
          <w:pgMar w:top="1418" w:right="1418" w:bottom="1418" w:left="1418" w:header="851" w:footer="822" w:gutter="0"/>
          <w:cols w:space="720" w:num="1"/>
          <w:docGrid w:type="lines" w:linePitch="290" w:charSpace="-3931"/>
        </w:sectPr>
      </w:pPr>
    </w:p>
    <w:p>
      <w:pPr>
        <w:autoSpaceDE w:val="0"/>
        <w:autoSpaceDN w:val="0"/>
        <w:adjustRightInd w:val="0"/>
        <w:jc w:val="center"/>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履行合同所必需的设备和专业技术能力的声明函</w:t>
      </w:r>
    </w:p>
    <w:p>
      <w:pPr>
        <w:spacing w:line="360" w:lineRule="exact"/>
        <w:jc w:val="left"/>
        <w:rPr>
          <w:rFonts w:asciiTheme="minorEastAsia" w:hAnsiTheme="minorEastAsia" w:eastAsiaTheme="minorEastAsia"/>
          <w:snapToGrid w:val="0"/>
          <w:kern w:val="0"/>
          <w:sz w:val="24"/>
          <w:u w:val="single"/>
        </w:rPr>
      </w:pPr>
    </w:p>
    <w:p>
      <w:pPr>
        <w:spacing w:line="3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u w:val="single"/>
        </w:rPr>
        <w:t xml:space="preserve">山东省消防救援总队 </w:t>
      </w:r>
      <w:r>
        <w:rPr>
          <w:rFonts w:hint="eastAsia" w:asciiTheme="minorEastAsia" w:hAnsiTheme="minorEastAsia" w:eastAsiaTheme="minorEastAsia"/>
          <w:snapToGrid w:val="0"/>
          <w:kern w:val="0"/>
          <w:sz w:val="24"/>
        </w:rPr>
        <w:t>：</w:t>
      </w:r>
    </w:p>
    <w:p>
      <w:pPr>
        <w:autoSpaceDE w:val="0"/>
        <w:autoSpaceDN w:val="0"/>
        <w:adjustRightInd w:val="0"/>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本单位郑重声明，根据《中华人民共和国政府采购法》第二十二条的规定，本单位参加</w:t>
      </w:r>
      <w:r>
        <w:rPr>
          <w:rFonts w:cs="宋体" w:asciiTheme="minorEastAsia" w:hAnsiTheme="minorEastAsia" w:eastAsiaTheme="minorEastAsia"/>
          <w:kern w:val="0"/>
          <w:sz w:val="24"/>
        </w:rPr>
        <w:t>______</w:t>
      </w:r>
      <w:r>
        <w:rPr>
          <w:rFonts w:hint="eastAsia" w:cs="宋体" w:asciiTheme="minorEastAsia" w:hAnsiTheme="minorEastAsia" w:eastAsiaTheme="minorEastAsia"/>
          <w:kern w:val="0"/>
          <w:sz w:val="24"/>
        </w:rPr>
        <w:t>单位的</w:t>
      </w:r>
      <w:r>
        <w:rPr>
          <w:rFonts w:cs="宋体" w:asciiTheme="minorEastAsia" w:hAnsiTheme="minorEastAsia" w:eastAsiaTheme="minorEastAsia"/>
          <w:kern w:val="0"/>
          <w:sz w:val="24"/>
        </w:rPr>
        <w:t>______</w:t>
      </w:r>
      <w:r>
        <w:rPr>
          <w:rFonts w:hint="eastAsia" w:cs="宋体" w:asciiTheme="minorEastAsia" w:hAnsiTheme="minorEastAsia" w:eastAsiaTheme="minorEastAsia"/>
          <w:kern w:val="0"/>
          <w:sz w:val="24"/>
        </w:rPr>
        <w:t>项目采购活动，我单位具有履行合同所必需的设备和专业技术能力。</w:t>
      </w:r>
    </w:p>
    <w:p>
      <w:pPr>
        <w:autoSpaceDE w:val="0"/>
        <w:autoSpaceDN w:val="0"/>
        <w:adjustRightInd w:val="0"/>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本单位对上述声明的真实性负责。如有虚假，将依法承担相应责任。</w:t>
      </w:r>
    </w:p>
    <w:p>
      <w:pPr>
        <w:autoSpaceDE w:val="0"/>
        <w:autoSpaceDN w:val="0"/>
        <w:adjustRightInd w:val="0"/>
        <w:ind w:firstLine="4080" w:firstLineChars="1700"/>
        <w:jc w:val="left"/>
        <w:rPr>
          <w:rFonts w:cs="宋体" w:asciiTheme="minorEastAsia" w:hAnsiTheme="minorEastAsia" w:eastAsiaTheme="minorEastAsia"/>
          <w:kern w:val="0"/>
          <w:sz w:val="24"/>
        </w:rPr>
      </w:pPr>
    </w:p>
    <w:p>
      <w:pPr>
        <w:spacing w:line="500" w:lineRule="exact"/>
        <w:ind w:firstLine="480" w:firstLineChars="200"/>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注：</w:t>
      </w:r>
    </w:p>
    <w:p>
      <w:pPr>
        <w:spacing w:line="500" w:lineRule="exact"/>
        <w:ind w:firstLine="482" w:firstLineChars="200"/>
        <w:jc w:val="left"/>
        <w:rPr>
          <w:rFonts w:asciiTheme="minorEastAsia" w:hAnsiTheme="minorEastAsia" w:eastAsiaTheme="minorEastAsia"/>
          <w:b/>
          <w:snapToGrid w:val="0"/>
          <w:kern w:val="0"/>
          <w:sz w:val="24"/>
        </w:rPr>
      </w:pPr>
      <w:r>
        <w:rPr>
          <w:rFonts w:asciiTheme="minorEastAsia" w:hAnsiTheme="minorEastAsia" w:eastAsiaTheme="minorEastAsia"/>
          <w:b/>
          <w:snapToGrid w:val="0"/>
          <w:kern w:val="0"/>
          <w:sz w:val="24"/>
        </w:rPr>
        <w:t>1.</w:t>
      </w:r>
      <w:r>
        <w:rPr>
          <w:rFonts w:hint="eastAsia" w:asciiTheme="minorEastAsia" w:hAnsiTheme="minorEastAsia" w:eastAsiaTheme="minorEastAsia"/>
          <w:b/>
          <w:snapToGrid w:val="0"/>
          <w:kern w:val="0"/>
          <w:sz w:val="24"/>
        </w:rPr>
        <w:t>如不提供本声明函，将作无效投标处理。</w:t>
      </w:r>
    </w:p>
    <w:p>
      <w:pPr>
        <w:spacing w:line="500" w:lineRule="exact"/>
        <w:ind w:firstLine="480" w:firstLineChars="200"/>
        <w:jc w:val="left"/>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2.</w:t>
      </w:r>
      <w:r>
        <w:rPr>
          <w:rFonts w:hint="eastAsia" w:asciiTheme="minorEastAsia" w:hAnsiTheme="minorEastAsia" w:eastAsiaTheme="minorEastAsia"/>
          <w:snapToGrid w:val="0"/>
          <w:kern w:val="0"/>
          <w:sz w:val="24"/>
        </w:rPr>
        <w:t>投标供应商对其所声明内容的真实性负责。在评审过程中乃至确定中标结果后，如发现投标供应商所声明内容不真实，则其投标将作无效投标处理，并承担相应的法律责任。</w:t>
      </w:r>
    </w:p>
    <w:p>
      <w:pPr>
        <w:rPr>
          <w:rFonts w:asciiTheme="minorEastAsia" w:hAnsiTheme="minorEastAsia" w:eastAsiaTheme="minorEastAsia"/>
          <w:snapToGrid w:val="0"/>
          <w:kern w:val="0"/>
          <w:sz w:val="24"/>
        </w:rPr>
      </w:pPr>
    </w:p>
    <w:p>
      <w:pPr>
        <w:rPr>
          <w:rFonts w:asciiTheme="minorEastAsia" w:hAnsiTheme="minorEastAsia" w:eastAsiaTheme="minorEastAsia"/>
          <w:snapToGrid w:val="0"/>
          <w:kern w:val="0"/>
          <w:sz w:val="24"/>
        </w:rPr>
      </w:pPr>
    </w:p>
    <w:p>
      <w:pPr>
        <w:rPr>
          <w:rFonts w:asciiTheme="minorEastAsia" w:hAnsiTheme="minorEastAsia" w:eastAsiaTheme="minorEastAsia"/>
          <w:snapToGrid w:val="0"/>
          <w:kern w:val="0"/>
          <w:sz w:val="24"/>
        </w:rPr>
      </w:pPr>
    </w:p>
    <w:p>
      <w:pPr>
        <w:tabs>
          <w:tab w:val="left" w:pos="2977"/>
          <w:tab w:val="left" w:pos="3261"/>
        </w:tabs>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供应商单位全称：（盖单位章）</w:t>
      </w:r>
    </w:p>
    <w:p>
      <w:pPr>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 xml:space="preserve">                        法定代表人或其委托代理人：（签字或盖章）</w:t>
      </w:r>
    </w:p>
    <w:p>
      <w:pPr>
        <w:spacing w:line="360" w:lineRule="exact"/>
        <w:jc w:val="left"/>
        <w:rPr>
          <w:rFonts w:asciiTheme="minorEastAsia" w:hAnsiTheme="minorEastAsia" w:eastAsiaTheme="minorEastAsia"/>
          <w:sz w:val="24"/>
        </w:rPr>
      </w:pPr>
    </w:p>
    <w:p>
      <w:pPr>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 xml:space="preserve">年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 </w:t>
      </w:r>
      <w:r>
        <w:rPr>
          <w:rFonts w:asciiTheme="minorEastAsia" w:hAnsiTheme="minorEastAsia" w:eastAsiaTheme="minorEastAsia"/>
          <w:sz w:val="24"/>
        </w:rPr>
        <w:t xml:space="preserve"> </w:t>
      </w:r>
      <w:r>
        <w:rPr>
          <w:rFonts w:hint="eastAsia" w:asciiTheme="minorEastAsia" w:hAnsiTheme="minorEastAsia" w:eastAsiaTheme="minorEastAsia"/>
          <w:sz w:val="24"/>
        </w:rPr>
        <w:t>日</w:t>
      </w:r>
    </w:p>
    <w:p>
      <w:pPr>
        <w:widowControl/>
        <w:jc w:val="left"/>
        <w:rPr>
          <w:rFonts w:asciiTheme="minorEastAsia" w:hAnsiTheme="minorEastAsia" w:eastAsiaTheme="minorEastAsia"/>
          <w:b/>
          <w:bCs/>
          <w:sz w:val="28"/>
          <w:szCs w:val="28"/>
        </w:rPr>
      </w:pPr>
      <w:r>
        <w:rPr>
          <w:rFonts w:asciiTheme="minorEastAsia" w:hAnsiTheme="minorEastAsia" w:eastAsiaTheme="minorEastAsia"/>
          <w:b/>
          <w:bCs/>
          <w:sz w:val="28"/>
          <w:szCs w:val="28"/>
        </w:rPr>
        <w:br w:type="page"/>
      </w:r>
    </w:p>
    <w:p>
      <w:pPr>
        <w:spacing w:line="360" w:lineRule="exact"/>
        <w:ind w:right="187"/>
        <w:jc w:val="center"/>
        <w:rPr>
          <w:rFonts w:asciiTheme="minorEastAsia" w:hAnsiTheme="minorEastAsia" w:eastAsiaTheme="minorEastAsia"/>
          <w:b/>
          <w:bCs/>
          <w:sz w:val="28"/>
          <w:szCs w:val="28"/>
        </w:rPr>
      </w:pPr>
    </w:p>
    <w:p>
      <w:pPr>
        <w:spacing w:line="360" w:lineRule="exact"/>
        <w:ind w:right="187"/>
        <w:jc w:val="center"/>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供应商无直接控股、管理关系参与报价的声明</w:t>
      </w:r>
    </w:p>
    <w:p>
      <w:pPr>
        <w:spacing w:line="360" w:lineRule="exact"/>
        <w:jc w:val="left"/>
        <w:rPr>
          <w:rFonts w:asciiTheme="minorEastAsia" w:hAnsiTheme="minorEastAsia" w:eastAsiaTheme="minorEastAsia"/>
          <w:sz w:val="24"/>
        </w:rPr>
      </w:pPr>
    </w:p>
    <w:p>
      <w:pPr>
        <w:spacing w:before="290" w:beforeLines="100" w:after="290" w:afterLines="100" w:line="360" w:lineRule="exact"/>
        <w:ind w:right="187"/>
        <w:jc w:val="left"/>
        <w:rPr>
          <w:rFonts w:asciiTheme="minorEastAsia" w:hAnsiTheme="minorEastAsia" w:eastAsiaTheme="minorEastAsia"/>
          <w:sz w:val="24"/>
        </w:rPr>
      </w:pPr>
      <w:r>
        <w:rPr>
          <w:rFonts w:hint="eastAsia" w:asciiTheme="minorEastAsia" w:hAnsiTheme="minorEastAsia" w:eastAsiaTheme="minorEastAsia"/>
          <w:sz w:val="24"/>
          <w:u w:val="single"/>
        </w:rPr>
        <w:t>山东省消防救援总队</w:t>
      </w:r>
      <w:r>
        <w:rPr>
          <w:rFonts w:hint="eastAsia" w:asciiTheme="minorEastAsia" w:hAnsiTheme="minorEastAsia" w:eastAsiaTheme="minorEastAsia"/>
          <w:sz w:val="24"/>
        </w:rPr>
        <w:t>：</w:t>
      </w:r>
    </w:p>
    <w:p>
      <w:pPr>
        <w:spacing w:line="50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我单位郑重声明：参加本项目报价的供应商中不存在与我单位负责人为同一人或者存在直接控股、管理关系的供应商。</w:t>
      </w:r>
    </w:p>
    <w:p>
      <w:pPr>
        <w:spacing w:line="500" w:lineRule="exact"/>
        <w:ind w:firstLine="480" w:firstLineChars="200"/>
        <w:jc w:val="left"/>
        <w:rPr>
          <w:rFonts w:asciiTheme="minorEastAsia" w:hAnsiTheme="minorEastAsia" w:eastAsiaTheme="minorEastAsia"/>
          <w:sz w:val="24"/>
        </w:rPr>
      </w:pPr>
    </w:p>
    <w:p>
      <w:pPr>
        <w:spacing w:line="50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 xml:space="preserve">注：  </w:t>
      </w:r>
    </w:p>
    <w:p>
      <w:pPr>
        <w:spacing w:line="50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1.如不提供本声明函或不按本格式提供声明函，将作无效报价处理。</w:t>
      </w:r>
    </w:p>
    <w:p>
      <w:pPr>
        <w:spacing w:line="50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2.供应商对其所声明内容的真实性负责。在评审过程中乃至确定中标结果后，如发现供应商所声明内容不真实，则其报价将作无效报价处理，并承担相应的法律责任。</w:t>
      </w:r>
    </w:p>
    <w:p>
      <w:pPr>
        <w:rPr>
          <w:rFonts w:asciiTheme="minorEastAsia" w:hAnsiTheme="minorEastAsia" w:eastAsiaTheme="minorEastAsia"/>
          <w:sz w:val="24"/>
        </w:rPr>
      </w:pPr>
    </w:p>
    <w:p>
      <w:pPr>
        <w:rPr>
          <w:rFonts w:asciiTheme="minorEastAsia" w:hAnsiTheme="minorEastAsia" w:eastAsiaTheme="minorEastAsia"/>
          <w:sz w:val="24"/>
        </w:rPr>
      </w:pPr>
    </w:p>
    <w:p>
      <w:pPr>
        <w:rPr>
          <w:rFonts w:asciiTheme="minorEastAsia" w:hAnsiTheme="minorEastAsia" w:eastAsiaTheme="minorEastAsia"/>
          <w:sz w:val="24"/>
        </w:rPr>
      </w:pPr>
    </w:p>
    <w:p>
      <w:pPr>
        <w:tabs>
          <w:tab w:val="left" w:pos="2977"/>
          <w:tab w:val="left" w:pos="3261"/>
        </w:tabs>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 xml:space="preserve">                        供应商单位全称：（盖单位章）</w:t>
      </w:r>
    </w:p>
    <w:p>
      <w:pPr>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 xml:space="preserve">                        法定代表人或其委托代理人：（签字或盖章）</w:t>
      </w:r>
    </w:p>
    <w:p>
      <w:pPr>
        <w:spacing w:line="360" w:lineRule="exact"/>
        <w:jc w:val="left"/>
        <w:rPr>
          <w:rFonts w:asciiTheme="minorEastAsia" w:hAnsiTheme="minorEastAsia" w:eastAsiaTheme="minorEastAsia"/>
          <w:sz w:val="24"/>
        </w:rPr>
      </w:pPr>
    </w:p>
    <w:p>
      <w:pPr>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 xml:space="preserve">年 </w:t>
      </w:r>
      <w:r>
        <w:rPr>
          <w:rFonts w:asciiTheme="minorEastAsia" w:hAnsiTheme="minorEastAsia" w:eastAsiaTheme="minorEastAsia"/>
          <w:sz w:val="24"/>
        </w:rPr>
        <w:t xml:space="preserve"> </w:t>
      </w:r>
      <w:r>
        <w:rPr>
          <w:rFonts w:hint="eastAsia" w:asciiTheme="minorEastAsia" w:hAnsiTheme="minorEastAsia" w:eastAsiaTheme="minorEastAsia"/>
          <w:sz w:val="24"/>
        </w:rPr>
        <w:t>月  日</w:t>
      </w:r>
    </w:p>
    <w:p>
      <w:pPr>
        <w:pStyle w:val="42"/>
      </w:pPr>
      <w:r>
        <w:br w:type="page"/>
      </w:r>
    </w:p>
    <w:p>
      <w:pPr>
        <w:spacing w:line="360" w:lineRule="exact"/>
        <w:ind w:right="187"/>
        <w:jc w:val="center"/>
        <w:rPr>
          <w:rFonts w:asciiTheme="minorEastAsia" w:hAnsiTheme="minorEastAsia" w:eastAsiaTheme="minorEastAsia"/>
          <w:b/>
          <w:bCs/>
          <w:sz w:val="28"/>
          <w:szCs w:val="28"/>
        </w:rPr>
      </w:pPr>
    </w:p>
    <w:p>
      <w:pPr>
        <w:spacing w:line="360" w:lineRule="exact"/>
        <w:ind w:right="187"/>
        <w:jc w:val="center"/>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不存在禁止参加政府采购活动情形的书面声明</w:t>
      </w:r>
    </w:p>
    <w:p>
      <w:pPr>
        <w:spacing w:before="290" w:beforeLines="100" w:after="290" w:afterLines="100" w:line="360" w:lineRule="exact"/>
        <w:ind w:right="187"/>
        <w:jc w:val="left"/>
        <w:rPr>
          <w:rFonts w:asciiTheme="minorEastAsia" w:hAnsiTheme="minorEastAsia" w:eastAsiaTheme="minorEastAsia"/>
          <w:sz w:val="24"/>
        </w:rPr>
      </w:pPr>
      <w:r>
        <w:rPr>
          <w:rFonts w:hint="eastAsia" w:asciiTheme="minorEastAsia" w:hAnsiTheme="minorEastAsia" w:eastAsiaTheme="minorEastAsia"/>
          <w:sz w:val="24"/>
          <w:u w:val="single"/>
        </w:rPr>
        <w:t>山东省消防救援总队</w:t>
      </w:r>
      <w:r>
        <w:rPr>
          <w:rFonts w:hint="eastAsia" w:asciiTheme="minorEastAsia" w:hAnsiTheme="minorEastAsia" w:eastAsiaTheme="minorEastAsia"/>
          <w:sz w:val="24"/>
        </w:rPr>
        <w:t>：</w:t>
      </w:r>
    </w:p>
    <w:p>
      <w:pPr>
        <w:spacing w:line="500" w:lineRule="exact"/>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《中华人民共和国政府采购法实施条例》第十八条第二款“为采购项目提供整体设计、规范编制或者项目管理、监理、检测等服务的供应商，不得再参加该采购项目的其他采动。”</w:t>
      </w:r>
    </w:p>
    <w:p>
      <w:pPr>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我单位郑重声明：我单位不存在上述禁止参加政府采购活动的情形。</w:t>
      </w:r>
    </w:p>
    <w:p>
      <w:pPr>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如有瞒报、虚报，我公司自行承担因此产生的所有法律责任。</w:t>
      </w:r>
    </w:p>
    <w:p>
      <w:pPr>
        <w:spacing w:line="360" w:lineRule="exact"/>
        <w:ind w:right="187"/>
        <w:rPr>
          <w:rFonts w:asciiTheme="minorEastAsia" w:hAnsiTheme="minorEastAsia" w:eastAsiaTheme="minorEastAsia"/>
          <w:b/>
          <w:bCs/>
          <w:snapToGrid w:val="0"/>
          <w:kern w:val="0"/>
          <w:sz w:val="24"/>
        </w:rPr>
      </w:pPr>
    </w:p>
    <w:p>
      <w:pPr>
        <w:pStyle w:val="24"/>
        <w:rPr>
          <w:rFonts w:asciiTheme="minorEastAsia" w:hAnsiTheme="minorEastAsia" w:eastAsiaTheme="minorEastAsia"/>
        </w:rPr>
      </w:pPr>
    </w:p>
    <w:p>
      <w:pPr>
        <w:rPr>
          <w:rFonts w:asciiTheme="minorEastAsia" w:hAnsiTheme="minorEastAsia" w:eastAsiaTheme="minorEastAsia"/>
        </w:rPr>
      </w:pP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1.如不提供本声明函或不按本格式提供声明函，将作无效报价处理。</w:t>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2.供应商对其所声明内容的真实性负责。在评审过程中乃至确定中标结果后，如发现供应商所声明内容不真实，则其报价将作无效报价处理，并承担相应的法律责任。</w:t>
      </w:r>
    </w:p>
    <w:p>
      <w:pPr>
        <w:spacing w:line="360" w:lineRule="exact"/>
        <w:ind w:right="187"/>
        <w:rPr>
          <w:rFonts w:asciiTheme="minorEastAsia" w:hAnsiTheme="minorEastAsia" w:eastAsiaTheme="minorEastAsia"/>
          <w:b/>
          <w:bCs/>
          <w:snapToGrid w:val="0"/>
          <w:kern w:val="0"/>
          <w:sz w:val="24"/>
        </w:rPr>
      </w:pPr>
    </w:p>
    <w:p>
      <w:pPr>
        <w:tabs>
          <w:tab w:val="left" w:pos="2977"/>
          <w:tab w:val="left" w:pos="3261"/>
        </w:tabs>
        <w:spacing w:line="360" w:lineRule="auto"/>
        <w:jc w:val="left"/>
        <w:rPr>
          <w:rFonts w:asciiTheme="minorEastAsia" w:hAnsiTheme="minorEastAsia" w:eastAsiaTheme="minorEastAsia"/>
          <w:sz w:val="24"/>
        </w:rPr>
      </w:pPr>
    </w:p>
    <w:p>
      <w:pPr>
        <w:tabs>
          <w:tab w:val="left" w:pos="2977"/>
          <w:tab w:val="left" w:pos="3261"/>
        </w:tabs>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供应商单位全称：（盖单位章）</w:t>
      </w:r>
    </w:p>
    <w:p>
      <w:pPr>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 xml:space="preserve">                        法定代表人或其委托代理人：（签字或盖章）</w:t>
      </w:r>
    </w:p>
    <w:p>
      <w:pPr>
        <w:spacing w:line="360" w:lineRule="exact"/>
        <w:jc w:val="left"/>
        <w:rPr>
          <w:rFonts w:asciiTheme="minorEastAsia" w:hAnsiTheme="minorEastAsia" w:eastAsiaTheme="minorEastAsia"/>
          <w:sz w:val="24"/>
        </w:rPr>
      </w:pPr>
    </w:p>
    <w:p>
      <w:pPr>
        <w:spacing w:line="360" w:lineRule="auto"/>
        <w:jc w:val="right"/>
        <w:rPr>
          <w:rFonts w:asciiTheme="minorEastAsia" w:hAnsiTheme="minorEastAsia" w:eastAsiaTheme="minorEastAsia"/>
          <w:sz w:val="24"/>
        </w:rPr>
      </w:pPr>
      <w:r>
        <w:rPr>
          <w:rFonts w:hint="eastAsia" w:asciiTheme="minorEastAsia" w:hAnsiTheme="minorEastAsia" w:eastAsiaTheme="minorEastAsia"/>
          <w:sz w:val="24"/>
        </w:rPr>
        <w:t>年  月  日</w:t>
      </w:r>
    </w:p>
    <w:p>
      <w:pPr>
        <w:pStyle w:val="30"/>
        <w:rPr>
          <w:rFonts w:asciiTheme="minorEastAsia" w:hAnsiTheme="minorEastAsia" w:eastAsiaTheme="minorEastAsia"/>
        </w:rPr>
      </w:pPr>
      <w:r>
        <w:rPr>
          <w:rFonts w:asciiTheme="minorEastAsia" w:hAnsiTheme="minorEastAsia" w:eastAsiaTheme="minorEastAsia"/>
        </w:rPr>
        <w:br w:type="page"/>
      </w:r>
    </w:p>
    <w:p>
      <w:pPr>
        <w:pStyle w:val="3"/>
        <w:spacing w:before="0" w:after="0"/>
        <w:jc w:val="left"/>
        <w:rPr>
          <w:rFonts w:asciiTheme="minorEastAsia" w:hAnsiTheme="minorEastAsia" w:eastAsiaTheme="minorEastAsia"/>
          <w:bCs w:val="0"/>
          <w:sz w:val="24"/>
          <w:szCs w:val="24"/>
        </w:rPr>
      </w:pPr>
      <w:bookmarkStart w:id="213" w:name="_Toc30731"/>
      <w:bookmarkStart w:id="214" w:name="_Toc72321861"/>
      <w:bookmarkStart w:id="215" w:name="_Toc475472023"/>
      <w:r>
        <w:rPr>
          <w:rFonts w:hint="eastAsia" w:asciiTheme="minorEastAsia" w:hAnsiTheme="minorEastAsia" w:eastAsiaTheme="minorEastAsia"/>
          <w:bCs w:val="0"/>
          <w:sz w:val="24"/>
          <w:szCs w:val="24"/>
        </w:rPr>
        <w:t>附件十一：政策性功能</w:t>
      </w:r>
      <w:bookmarkEnd w:id="213"/>
      <w:bookmarkEnd w:id="214"/>
      <w:bookmarkEnd w:id="215"/>
    </w:p>
    <w:p>
      <w:pPr>
        <w:autoSpaceDE w:val="0"/>
        <w:autoSpaceDN w:val="0"/>
        <w:spacing w:line="360" w:lineRule="auto"/>
        <w:jc w:val="center"/>
        <w:rPr>
          <w:rFonts w:ascii="宋体" w:hAnsi="宋体" w:cs="宋体"/>
          <w:b/>
          <w:sz w:val="24"/>
        </w:rPr>
      </w:pPr>
      <w:r>
        <w:rPr>
          <w:rFonts w:hint="eastAsia" w:ascii="宋体" w:hAnsi="宋体" w:cs="宋体"/>
          <w:b/>
          <w:sz w:val="24"/>
        </w:rPr>
        <w:t>政策性功能（有分包注明包号）</w:t>
      </w:r>
    </w:p>
    <w:p>
      <w:pPr>
        <w:tabs>
          <w:tab w:val="left" w:pos="955"/>
        </w:tabs>
        <w:spacing w:line="460" w:lineRule="exact"/>
        <w:rPr>
          <w:b/>
          <w:bCs/>
          <w:sz w:val="24"/>
        </w:rPr>
      </w:pPr>
      <w:r>
        <w:rPr>
          <w:rFonts w:hint="eastAsia"/>
          <w:b/>
          <w:bCs/>
          <w:sz w:val="24"/>
        </w:rPr>
        <w:t>国家政策说明：</w:t>
      </w:r>
    </w:p>
    <w:p>
      <w:pPr>
        <w:tabs>
          <w:tab w:val="left" w:pos="955"/>
        </w:tabs>
        <w:spacing w:line="460" w:lineRule="exact"/>
        <w:ind w:firstLine="482" w:firstLineChars="200"/>
        <w:rPr>
          <w:sz w:val="24"/>
        </w:rPr>
      </w:pPr>
      <w:r>
        <w:rPr>
          <w:rFonts w:hint="eastAsia"/>
          <w:b/>
          <w:sz w:val="24"/>
        </w:rPr>
        <w:t>根据相关政策，政府采购项目，支持监狱企业、中小企业发展，支持残疾人就业</w:t>
      </w:r>
      <w:r>
        <w:rPr>
          <w:b/>
          <w:sz w:val="24"/>
        </w:rPr>
        <w:t>单位</w:t>
      </w:r>
      <w:r>
        <w:rPr>
          <w:rFonts w:hint="eastAsia"/>
          <w:b/>
          <w:sz w:val="24"/>
        </w:rPr>
        <w:t>给予价格扣除后参与综合评审，政府采购政策加分标准：</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1.供应商为监狱企业或所报产品为监狱企业产品并需要价格扣除的，应当提供省级以上监狱管理局、戒毒管理局（含新疆生产建设兵团）出具的属于监狱企业的证明文件彩色扫描件加盖公章，并且填写《监狱企业、小型和微型企业、残疾人福利性单位产品报价说明表》（格式见招标文件附件，填写要求按附件中表下附注）。</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 xml:space="preserve">2. 政府采购活动中，供应商提供的货物、工程或者服务符合下列情形的，享受中小企业扶持政策： </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 xml:space="preserve">2.1 货物采购项目中，货物由中小企业制造，即货物由中小企业生产且使用该中小企业商号或者注册商标。 </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 xml:space="preserve">2.2 在工程采购项目中，工程由中小企业承建，即工程施工单位为中小企业。 </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 xml:space="preserve">2.3 在服务采购项目中，服务由中小企业承接，即提供服务的人员为中小企业依照《中华人民共和国劳动合同法》订立劳动合同的从业人员。 </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2.4 在货物采购项目中，供应商提供的货物既有中小企业制造货物，也有大型企业制造货物的，不享受《政府采购促进中小企业发展管理办法》（财库﹝2020﹞46号）规定的中小企业扶持政策。</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 xml:space="preserve">2.5 以联合体形式参加政府采购活动，联合体各方均为中小企业的，联合体视同中小企业。其中，联合体各方均为小微企业的，联合体视同小微企业。 </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2.6 组成联合体或者接受分包的小微企业与联合体内其他企业、分包企业之间存在直接控股、管理关系的，不享受价格扣除优惠政策。</w:t>
      </w:r>
    </w:p>
    <w:p>
      <w:pPr>
        <w:widowControl/>
        <w:adjustRightInd w:val="0"/>
        <w:snapToGrid w:val="0"/>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 xml:space="preserve">2.7 对于经主管预算单位统筹后未预留份额专门面向中小企业采购的采购项目，以及预留份额项目中的非预留部分采购包，采购人、采购代理机构应当对符合《政府采购促进中小企业发展管理办法》（财库﹝2020﹞46号）规定的小微企业报价给予10%（工程项目为5%）的扣除，用扣除后的价格参加评审。中小企业参加政府采购活动，应当出具《中小企业声明函》，并且填写《监狱企业、小型和微型企业、残疾人福利性单位产品报价说明表》，否则不得享受相关中小企业扶持政策。 </w:t>
      </w:r>
    </w:p>
    <w:p>
      <w:pPr>
        <w:widowControl/>
        <w:adjustRightInd w:val="0"/>
        <w:snapToGrid w:val="0"/>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2.8 接受大中型企业与小微企业组成联合体或者允许大中型企业向一家或者多家小微企业分包的采购项目，对于联合协议或者分包意向协议约定小微企业的合同份额占到合同总金额30%以上的，采购人、招标代理机构应当对联合体或者大中型企业的报价给予 3%的扣除，用扣除后的价格参加评审。</w:t>
      </w:r>
    </w:p>
    <w:p>
      <w:pPr>
        <w:widowControl/>
        <w:adjustRightInd w:val="0"/>
        <w:snapToGrid w:val="0"/>
        <w:spacing w:line="360" w:lineRule="auto"/>
        <w:ind w:firstLine="480" w:firstLineChars="200"/>
        <w:jc w:val="left"/>
      </w:pPr>
      <w:r>
        <w:rPr>
          <w:rFonts w:hint="eastAsia" w:ascii="宋体" w:hAnsi="宋体" w:cs="宋体"/>
          <w:kern w:val="0"/>
          <w:sz w:val="24"/>
          <w:lang w:bidi="ar"/>
        </w:rPr>
        <w:t>2.9 价格扣除比例对小型企业和微型企业同等对待，不作区分。</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 xml:space="preserve">3. 按照《财政部 民政部 中国残疾人联合会关于促进残疾人就业政府采购政策的通知》（财库〔2017〕141号）的规定，在政府采购活动中，残疾人福利性单位视同小型、微型企业，享受评审中价格扣除的政府采购政策。如供应商为残疾人福利性单位，应当提供《残疾人福利性单位声明函》（格式见招标文件附件）。 </w:t>
      </w:r>
    </w:p>
    <w:p>
      <w:pPr>
        <w:adjustRightInd w:val="0"/>
        <w:snapToGrid w:val="0"/>
        <w:spacing w:line="360" w:lineRule="auto"/>
        <w:ind w:firstLine="482" w:firstLineChars="200"/>
        <w:jc w:val="left"/>
        <w:rPr>
          <w:rFonts w:ascii="宋体" w:hAnsi="宋体" w:cs="宋体"/>
          <w:kern w:val="0"/>
          <w:sz w:val="24"/>
          <w:lang w:bidi="ar"/>
        </w:rPr>
      </w:pPr>
      <w:r>
        <w:rPr>
          <w:rFonts w:hint="eastAsia" w:ascii="宋体" w:hAnsi="宋体" w:cs="宋体"/>
          <w:b/>
          <w:bCs/>
          <w:kern w:val="0"/>
          <w:sz w:val="24"/>
          <w:lang w:bidi="ar"/>
        </w:rPr>
        <w:t>评审时，小型和微型企业应提供中小企业声明函并加盖公章，否则不给于价格扣除。残疾人福利性单位、监狱企业同时属于小型、微型企业的，不重复享受政策。</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节能环保产品的有关政策：</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1、政府采购优先采购节能产品和环境标志产品。是指列入财政部国家发展改革委制定的《节能产品政府采购品目清单》和财政部、生态环境部制定的《环境标志产品政府采购品目清单》的产品，并具有国家确定的认证机构出具的、处于有效期之内的节能产品、环境标志产品认证证书。</w:t>
      </w:r>
    </w:p>
    <w:p>
      <w:pPr>
        <w:widowControl/>
        <w:spacing w:line="360" w:lineRule="auto"/>
        <w:jc w:val="left"/>
        <w:rPr>
          <w:rFonts w:ascii="宋体" w:hAnsi="宋体" w:cs="宋体"/>
          <w:kern w:val="0"/>
          <w:sz w:val="24"/>
          <w:lang w:bidi="ar"/>
        </w:rPr>
      </w:pPr>
      <w:r>
        <w:rPr>
          <w:rFonts w:hint="eastAsia" w:ascii="宋体" w:hAnsi="宋体" w:cs="宋体"/>
          <w:kern w:val="0"/>
          <w:sz w:val="24"/>
          <w:lang w:bidi="ar"/>
        </w:rPr>
        <w:t>2、属于政府强制采购节能产品的，必须按照《财政部、发展改革委、生态环境部、市场监管总局--关于调整优化节能产品、环境标志产品政府采购执行机制的通知》填报，否则按无效投标处理。</w:t>
      </w:r>
    </w:p>
    <w:p>
      <w:pPr>
        <w:pStyle w:val="30"/>
        <w:spacing w:after="0" w:line="360" w:lineRule="auto"/>
        <w:ind w:firstLine="480" w:firstLineChars="200"/>
        <w:jc w:val="left"/>
        <w:rPr>
          <w:rFonts w:ascii="宋体" w:hAnsi="宋体" w:cs="宋体"/>
          <w:sz w:val="24"/>
          <w:lang w:bidi="ar"/>
        </w:rPr>
      </w:pPr>
      <w:r>
        <w:rPr>
          <w:rFonts w:hint="eastAsia" w:ascii="宋体" w:hAnsi="宋体" w:cs="宋体"/>
          <w:sz w:val="24"/>
          <w:lang w:bidi="ar"/>
        </w:rPr>
        <w:t>无线局域网产品的有关政策：</w:t>
      </w:r>
    </w:p>
    <w:p>
      <w:r>
        <w:rPr>
          <w:rFonts w:hint="eastAsia" w:ascii="宋体" w:hAnsi="宋体" w:cs="宋体"/>
          <w:sz w:val="24"/>
          <w:lang w:bidi="ar"/>
        </w:rPr>
        <w:t>采购产品属于财政部、国家发展和改革委员会、信息产业部《关于印发无线局域网产品政府采购实施意见的通知》（财库〔2005〕366号）“无线局域网认证产品政府采购清单”内符合国家无线局域网安全标准（GB 15629.11/1102）并通过国家产品认证的计算机、通信设备、打印机、复印机、投影仪等产品，投标产品在清单目录内的，先采购“无线局域网认证产品政府采购清单”内的产品，提供依据国家确定的认证机构出具的、处于有效期之内的认证证书复印件。</w:t>
      </w:r>
    </w:p>
    <w:p>
      <w:pPr>
        <w:rPr>
          <w:rFonts w:asciiTheme="minorEastAsia" w:hAnsiTheme="minorEastAsia" w:eastAsiaTheme="minorEastAsia"/>
          <w:sz w:val="24"/>
        </w:rPr>
      </w:pPr>
      <w:r>
        <w:rPr>
          <w:rFonts w:hint="eastAsia" w:asciiTheme="minorEastAsia" w:hAnsiTheme="minorEastAsia" w:eastAsiaTheme="minorEastAsia"/>
          <w:sz w:val="24"/>
        </w:rPr>
        <w:br w:type="page"/>
      </w:r>
    </w:p>
    <w:p/>
    <w:p>
      <w:pPr>
        <w:pStyle w:val="30"/>
        <w:spacing w:after="0" w:line="460" w:lineRule="exact"/>
        <w:ind w:right="283" w:rightChars="135"/>
        <w:jc w:val="center"/>
        <w:rPr>
          <w:rFonts w:cs="方正仿宋_GB2312" w:asciiTheme="minorEastAsia" w:hAnsiTheme="minorEastAsia" w:eastAsiaTheme="minorEastAsia"/>
          <w:b/>
          <w:sz w:val="30"/>
          <w:szCs w:val="30"/>
        </w:rPr>
      </w:pPr>
      <w:bookmarkStart w:id="216" w:name="_Toc470090775"/>
      <w:bookmarkStart w:id="217" w:name="_Toc19348"/>
      <w:bookmarkStart w:id="218" w:name="_Toc444769214"/>
      <w:r>
        <w:rPr>
          <w:rFonts w:hint="eastAsia" w:cs="宋体"/>
          <w:b/>
          <w:bCs/>
          <w:sz w:val="32"/>
          <w:szCs w:val="32"/>
        </w:rPr>
        <w:t>以下国家政策，如无，则不需要提供</w:t>
      </w:r>
    </w:p>
    <w:p>
      <w:pPr>
        <w:pStyle w:val="30"/>
        <w:spacing w:after="0" w:line="460" w:lineRule="exact"/>
        <w:ind w:right="283" w:rightChars="135"/>
        <w:jc w:val="center"/>
        <w:rPr>
          <w:rFonts w:cs="方正仿宋_GB2312" w:asciiTheme="minorEastAsia" w:hAnsiTheme="minorEastAsia" w:eastAsiaTheme="minorEastAsia"/>
          <w:b/>
          <w:sz w:val="30"/>
          <w:szCs w:val="30"/>
        </w:rPr>
      </w:pPr>
    </w:p>
    <w:p>
      <w:pPr>
        <w:pStyle w:val="30"/>
        <w:spacing w:after="0" w:line="460" w:lineRule="exact"/>
        <w:ind w:right="283" w:rightChars="135"/>
        <w:jc w:val="center"/>
        <w:rPr>
          <w:rFonts w:cs="方正仿宋_GB2312" w:asciiTheme="minorEastAsia" w:hAnsiTheme="minorEastAsia" w:eastAsiaTheme="minorEastAsia"/>
          <w:b/>
          <w:sz w:val="30"/>
          <w:szCs w:val="30"/>
        </w:rPr>
      </w:pPr>
      <w:r>
        <w:rPr>
          <w:rFonts w:hint="eastAsia" w:cs="方正仿宋_GB2312" w:asciiTheme="minorEastAsia" w:hAnsiTheme="minorEastAsia" w:eastAsiaTheme="minorEastAsia"/>
          <w:b/>
          <w:sz w:val="30"/>
          <w:szCs w:val="30"/>
        </w:rPr>
        <w:t xml:space="preserve">（一）中小企业声明函 </w:t>
      </w:r>
    </w:p>
    <w:p>
      <w:pPr>
        <w:pStyle w:val="69"/>
        <w:adjustRightInd w:val="0"/>
        <w:snapToGrid w:val="0"/>
        <w:spacing w:line="360" w:lineRule="auto"/>
        <w:rPr>
          <w:rFonts w:asciiTheme="minorEastAsia" w:hAnsiTheme="minorEastAsia" w:eastAsiaTheme="minorEastAsia"/>
        </w:rPr>
      </w:pPr>
      <w:r>
        <w:rPr>
          <w:rFonts w:hint="eastAsia" w:asciiTheme="minorEastAsia" w:hAnsiTheme="minorEastAsia" w:eastAsiaTheme="minorEastAsia"/>
        </w:rPr>
        <w:t xml:space="preserve"> 本公司（联合体）郑重声明，根据《政府采购促进中小企业发展管理办法》（财库﹝2020﹞46 号）的规定，本公司参加（单位名称）的（项目名称）采购活动，提供的货物全部由符合政策要求的中小企业制造。相关企业（含联合体（如有）中的中小企业、签订分包意向协议的中小企业）的具体情况如下：   </w:t>
      </w:r>
    </w:p>
    <w:p>
      <w:pPr>
        <w:pStyle w:val="69"/>
        <w:adjustRightInd w:val="0"/>
        <w:snapToGrid w:val="0"/>
        <w:spacing w:line="360" w:lineRule="auto"/>
        <w:rPr>
          <w:rFonts w:asciiTheme="minorEastAsia" w:hAnsiTheme="minorEastAsia" w:eastAsiaTheme="minorEastAsia"/>
        </w:rPr>
      </w:pPr>
      <w:r>
        <w:rPr>
          <w:rFonts w:hint="eastAsia" w:asciiTheme="minorEastAsia" w:hAnsiTheme="minorEastAsia" w:eastAsiaTheme="minorEastAsia"/>
        </w:rPr>
        <w:t xml:space="preserve">1. </w:t>
      </w:r>
      <w:r>
        <w:rPr>
          <w:rFonts w:hint="eastAsia" w:asciiTheme="minorEastAsia" w:hAnsiTheme="minorEastAsia" w:eastAsiaTheme="minorEastAsia"/>
          <w:u w:val="single"/>
        </w:rPr>
        <w:t>（标的名称）</w:t>
      </w:r>
      <w:r>
        <w:rPr>
          <w:rFonts w:hint="eastAsia" w:asciiTheme="minorEastAsia" w:hAnsiTheme="minorEastAsia" w:eastAsiaTheme="minorEastAsia"/>
        </w:rPr>
        <w:t xml:space="preserve">，属于 </w:t>
      </w:r>
      <w:r>
        <w:rPr>
          <w:rFonts w:hint="eastAsia" w:asciiTheme="minorEastAsia" w:hAnsiTheme="minorEastAsia" w:eastAsiaTheme="minorEastAsia"/>
          <w:u w:val="single"/>
        </w:rPr>
        <w:t>（招标文件中明确的所属行业）</w:t>
      </w:r>
      <w:r>
        <w:rPr>
          <w:rFonts w:hint="eastAsia" w:asciiTheme="minorEastAsia" w:hAnsiTheme="minorEastAsia" w:eastAsiaTheme="minorEastAsia"/>
        </w:rPr>
        <w:t xml:space="preserve">行业；承建（承接）企业为 </w:t>
      </w:r>
      <w:r>
        <w:rPr>
          <w:rFonts w:hint="eastAsia" w:asciiTheme="minorEastAsia" w:hAnsiTheme="minorEastAsia" w:eastAsiaTheme="minorEastAsia"/>
          <w:u w:val="single"/>
        </w:rPr>
        <w:t>（企业名称）</w:t>
      </w:r>
      <w:r>
        <w:rPr>
          <w:rFonts w:hint="eastAsia" w:asciiTheme="minorEastAsia" w:hAnsiTheme="minorEastAsia" w:eastAsiaTheme="minorEastAsia"/>
        </w:rPr>
        <w:t xml:space="preserve">，从业人员人，营业收入为万元，资产总额为万元，属于 </w:t>
      </w:r>
      <w:r>
        <w:rPr>
          <w:rFonts w:hint="eastAsia" w:asciiTheme="minorEastAsia" w:hAnsiTheme="minorEastAsia" w:eastAsiaTheme="minorEastAsia"/>
          <w:u w:val="single"/>
        </w:rPr>
        <w:t>（中型企业、小型企业、微型企业）</w:t>
      </w:r>
      <w:r>
        <w:rPr>
          <w:rFonts w:hint="eastAsia" w:asciiTheme="minorEastAsia" w:hAnsiTheme="minorEastAsia" w:eastAsiaTheme="minorEastAsia"/>
        </w:rPr>
        <w:t xml:space="preserve">； </w:t>
      </w:r>
    </w:p>
    <w:p>
      <w:pPr>
        <w:pStyle w:val="69"/>
        <w:adjustRightInd w:val="0"/>
        <w:snapToGrid w:val="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   2. </w:t>
      </w:r>
      <w:r>
        <w:rPr>
          <w:rFonts w:hint="eastAsia" w:asciiTheme="minorEastAsia" w:hAnsiTheme="minorEastAsia" w:eastAsiaTheme="minorEastAsia"/>
          <w:u w:val="single"/>
        </w:rPr>
        <w:t>（标的名称）</w:t>
      </w:r>
      <w:r>
        <w:rPr>
          <w:rFonts w:hint="eastAsia" w:asciiTheme="minorEastAsia" w:hAnsiTheme="minorEastAsia" w:eastAsiaTheme="minorEastAsia"/>
        </w:rPr>
        <w:t xml:space="preserve"> ，属于 </w:t>
      </w:r>
      <w:r>
        <w:rPr>
          <w:rFonts w:hint="eastAsia" w:asciiTheme="minorEastAsia" w:hAnsiTheme="minorEastAsia" w:eastAsiaTheme="minorEastAsia"/>
          <w:u w:val="single"/>
        </w:rPr>
        <w:t>（招标文件中明确的所属行业）</w:t>
      </w:r>
      <w:r>
        <w:rPr>
          <w:rFonts w:hint="eastAsia" w:asciiTheme="minorEastAsia" w:hAnsiTheme="minorEastAsia" w:eastAsiaTheme="minorEastAsia"/>
        </w:rPr>
        <w:t xml:space="preserve">行业；承建（承接）企业为 </w:t>
      </w:r>
      <w:r>
        <w:rPr>
          <w:rFonts w:hint="eastAsia" w:asciiTheme="minorEastAsia" w:hAnsiTheme="minorEastAsia" w:eastAsiaTheme="minorEastAsia"/>
          <w:u w:val="single"/>
        </w:rPr>
        <w:t>（企业名称）</w:t>
      </w:r>
      <w:r>
        <w:rPr>
          <w:rFonts w:hint="eastAsia" w:asciiTheme="minorEastAsia" w:hAnsiTheme="minorEastAsia" w:eastAsiaTheme="minorEastAsia"/>
        </w:rPr>
        <w:t xml:space="preserve">，从业人员人，营业收入为万元，资产总额为万元，属于 </w:t>
      </w:r>
      <w:r>
        <w:rPr>
          <w:rFonts w:hint="eastAsia" w:asciiTheme="minorEastAsia" w:hAnsiTheme="minorEastAsia" w:eastAsiaTheme="minorEastAsia"/>
          <w:u w:val="single"/>
        </w:rPr>
        <w:t>（中型企业、小型企业、微型企业）</w:t>
      </w:r>
      <w:r>
        <w:rPr>
          <w:rFonts w:hint="eastAsia" w:asciiTheme="minorEastAsia" w:hAnsiTheme="minorEastAsia" w:eastAsiaTheme="minorEastAsia"/>
        </w:rPr>
        <w:t xml:space="preserve">； </w:t>
      </w:r>
    </w:p>
    <w:p>
      <w:pPr>
        <w:pStyle w:val="69"/>
        <w:adjustRightInd w:val="0"/>
        <w:snapToGrid w:val="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   …… </w:t>
      </w:r>
    </w:p>
    <w:p>
      <w:pPr>
        <w:pStyle w:val="69"/>
        <w:adjustRightInd w:val="0"/>
        <w:snapToGrid w:val="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   以上企业，不属于大企业的分支机构，不存在控股股东为大企业的情形，也不存在与大企业的负责人为同一人的情形。</w:t>
      </w:r>
    </w:p>
    <w:p>
      <w:pPr>
        <w:pStyle w:val="69"/>
        <w:adjustRightInd w:val="0"/>
        <w:snapToGrid w:val="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   本企业对上述声明内容的真实性负责。如有虚假，将依法承担相应责任。 </w:t>
      </w:r>
    </w:p>
    <w:p>
      <w:pPr>
        <w:pStyle w:val="69"/>
        <w:adjustRightInd w:val="0"/>
        <w:snapToGrid w:val="0"/>
        <w:spacing w:before="0" w:beforeAutospacing="0" w:after="0" w:afterAutospacing="0" w:line="360" w:lineRule="auto"/>
        <w:rPr>
          <w:rFonts w:asciiTheme="minorEastAsia" w:hAnsiTheme="minorEastAsia" w:eastAsiaTheme="minorEastAsia"/>
        </w:rPr>
      </w:pPr>
    </w:p>
    <w:p>
      <w:pPr>
        <w:pStyle w:val="69"/>
        <w:adjustRightInd w:val="0"/>
        <w:snapToGrid w:val="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企业名称 （盖章）：</w:t>
      </w:r>
    </w:p>
    <w:p>
      <w:pPr>
        <w:pStyle w:val="69"/>
        <w:adjustRightInd w:val="0"/>
        <w:snapToGrid w:val="0"/>
        <w:spacing w:before="0" w:beforeAutospacing="0" w:after="0" w:afterAutospacing="0" w:line="360" w:lineRule="auto"/>
        <w:jc w:val="center"/>
        <w:rPr>
          <w:rFonts w:asciiTheme="minorEastAsia" w:hAnsiTheme="minorEastAsia" w:eastAsiaTheme="minorEastAsia"/>
        </w:rPr>
      </w:pPr>
    </w:p>
    <w:p>
      <w:pPr>
        <w:pStyle w:val="69"/>
        <w:adjustRightInd w:val="0"/>
        <w:snapToGrid w:val="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日期：</w:t>
      </w:r>
    </w:p>
    <w:p>
      <w:pPr>
        <w:autoSpaceDE w:val="0"/>
        <w:autoSpaceDN w:val="0"/>
        <w:adjustRightInd w:val="0"/>
        <w:spacing w:line="360" w:lineRule="auto"/>
        <w:ind w:firstLine="480" w:firstLineChars="200"/>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注：1、从业人员、营业收入、资产总额填报上一年度数据，无上一年度数据的新成立企业可不填报。</w:t>
      </w:r>
    </w:p>
    <w:p>
      <w:pPr>
        <w:spacing w:line="48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注：不符合相应条件的供应商无需提供。</w:t>
      </w:r>
    </w:p>
    <w:p>
      <w:pPr>
        <w:pStyle w:val="24"/>
        <w:rPr>
          <w:rFonts w:asciiTheme="minorEastAsia" w:hAnsiTheme="minorEastAsia" w:eastAsiaTheme="minorEastAsia"/>
        </w:rPr>
      </w:pPr>
      <w:r>
        <w:rPr>
          <w:rFonts w:asciiTheme="minorEastAsia" w:hAnsiTheme="minorEastAsia" w:eastAsiaTheme="minorEastAsia"/>
        </w:rPr>
        <w:br w:type="page"/>
      </w:r>
    </w:p>
    <w:p>
      <w:pPr>
        <w:pStyle w:val="30"/>
        <w:spacing w:after="0" w:line="460" w:lineRule="exact"/>
        <w:ind w:right="283" w:rightChars="135"/>
        <w:jc w:val="center"/>
        <w:rPr>
          <w:rFonts w:cs="方正仿宋_GB2312" w:asciiTheme="minorEastAsia" w:hAnsiTheme="minorEastAsia" w:eastAsiaTheme="minorEastAsia"/>
          <w:b/>
          <w:sz w:val="30"/>
          <w:szCs w:val="30"/>
        </w:rPr>
      </w:pPr>
      <w:r>
        <w:rPr>
          <w:rFonts w:hint="eastAsia" w:cs="方正仿宋_GB2312" w:asciiTheme="minorEastAsia" w:hAnsiTheme="minorEastAsia" w:eastAsiaTheme="minorEastAsia"/>
          <w:b/>
          <w:sz w:val="30"/>
          <w:szCs w:val="30"/>
        </w:rPr>
        <w:t>（二）残疾人福利性单位声明函</w:t>
      </w:r>
    </w:p>
    <w:p>
      <w:pPr>
        <w:pStyle w:val="30"/>
        <w:spacing w:after="0" w:line="460" w:lineRule="exact"/>
        <w:ind w:right="283" w:rightChars="135"/>
        <w:jc w:val="center"/>
        <w:rPr>
          <w:rFonts w:cs="方正仿宋_GB2312" w:asciiTheme="minorEastAsia" w:hAnsiTheme="minorEastAsia" w:eastAsiaTheme="minorEastAsia"/>
          <w:b/>
          <w:sz w:val="30"/>
          <w:szCs w:val="30"/>
        </w:rPr>
      </w:pPr>
    </w:p>
    <w:p>
      <w:pPr>
        <w:spacing w:line="588" w:lineRule="exact"/>
        <w:ind w:firstLine="504" w:firstLineChars="200"/>
        <w:rPr>
          <w:rFonts w:cs="方正仿宋_GB2312" w:asciiTheme="minorEastAsia" w:hAnsiTheme="minorEastAsia" w:eastAsiaTheme="minorEastAsia"/>
          <w:spacing w:val="6"/>
          <w:sz w:val="24"/>
        </w:rPr>
      </w:pPr>
      <w:r>
        <w:rPr>
          <w:rFonts w:hint="eastAsia" w:cs="方正仿宋_GB2312" w:asciiTheme="minorEastAsia" w:hAnsiTheme="minorEastAsia" w:eastAsiaTheme="minorEastAsia"/>
          <w:spacing w:val="6"/>
          <w:sz w:val="24"/>
        </w:rPr>
        <w:t>本单位郑重声明，根据《财政部 民政部 中国残疾人联合会关于促进残疾人就业政府采购政策的通知》（财库</w:t>
      </w:r>
      <w:r>
        <w:rPr>
          <w:rFonts w:hint="eastAsia" w:cs="方正仿宋_GB2312" w:asciiTheme="minorEastAsia" w:hAnsiTheme="minorEastAsia" w:eastAsiaTheme="minorEastAsia"/>
          <w:sz w:val="24"/>
        </w:rPr>
        <w:t>〔2018〕141</w:t>
      </w:r>
      <w:r>
        <w:rPr>
          <w:rFonts w:hint="eastAsia" w:cs="方正仿宋_GB2312" w:asciiTheme="minorEastAsia" w:hAnsiTheme="minorEastAsia" w:eastAsiaTheme="minor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cs="方正仿宋_GB2312" w:asciiTheme="minorEastAsia" w:hAnsiTheme="minorEastAsia" w:eastAsiaTheme="minorEastAsia"/>
          <w:spacing w:val="6"/>
          <w:sz w:val="24"/>
        </w:rPr>
      </w:pPr>
      <w:r>
        <w:rPr>
          <w:rFonts w:hint="eastAsia" w:cs="方正仿宋_GB2312" w:asciiTheme="minorEastAsia" w:hAnsiTheme="minorEastAsia" w:eastAsiaTheme="minorEastAsia"/>
          <w:spacing w:val="6"/>
          <w:sz w:val="24"/>
        </w:rPr>
        <w:t>本单位对上述声明的真实性负责。如有虚假，将依法承担相应责任。</w:t>
      </w:r>
    </w:p>
    <w:p>
      <w:pPr>
        <w:spacing w:line="588" w:lineRule="exact"/>
        <w:ind w:firstLine="504" w:firstLineChars="200"/>
        <w:rPr>
          <w:rFonts w:cs="方正仿宋_GB2312" w:asciiTheme="minorEastAsia" w:hAnsiTheme="minorEastAsia" w:eastAsiaTheme="minorEastAsia"/>
          <w:spacing w:val="6"/>
          <w:sz w:val="24"/>
        </w:rPr>
      </w:pPr>
    </w:p>
    <w:p>
      <w:pPr>
        <w:spacing w:line="588" w:lineRule="exact"/>
        <w:ind w:firstLine="504" w:firstLineChars="200"/>
        <w:rPr>
          <w:rFonts w:cs="方正仿宋_GB2312" w:asciiTheme="minorEastAsia" w:hAnsiTheme="minorEastAsia" w:eastAsiaTheme="minorEastAsia"/>
          <w:spacing w:val="6"/>
          <w:sz w:val="24"/>
        </w:rPr>
      </w:pPr>
    </w:p>
    <w:p>
      <w:pPr>
        <w:spacing w:line="588" w:lineRule="exact"/>
        <w:ind w:firstLine="504" w:firstLineChars="200"/>
        <w:rPr>
          <w:rFonts w:cs="方正仿宋_GB2312" w:asciiTheme="minorEastAsia" w:hAnsiTheme="minorEastAsia" w:eastAsiaTheme="minorEastAsia"/>
          <w:spacing w:val="6"/>
          <w:sz w:val="24"/>
        </w:rPr>
      </w:pPr>
    </w:p>
    <w:p>
      <w:pPr>
        <w:spacing w:line="588" w:lineRule="exact"/>
        <w:ind w:firstLine="504" w:firstLineChars="200"/>
        <w:rPr>
          <w:rFonts w:cs="方正仿宋_GB2312" w:asciiTheme="minorEastAsia" w:hAnsiTheme="minorEastAsia" w:eastAsiaTheme="minorEastAsia"/>
          <w:spacing w:val="6"/>
          <w:sz w:val="24"/>
        </w:rPr>
      </w:pPr>
    </w:p>
    <w:p>
      <w:pPr>
        <w:pStyle w:val="20"/>
        <w:spacing w:before="0" w:after="0" w:line="360" w:lineRule="auto"/>
        <w:ind w:firstLine="3120" w:firstLineChars="1300"/>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供应商名称：（公章）                  </w:t>
      </w:r>
    </w:p>
    <w:p>
      <w:pPr>
        <w:spacing w:line="588" w:lineRule="exact"/>
        <w:rPr>
          <w:rFonts w:cs="方正仿宋_GB2312" w:asciiTheme="minorEastAsia" w:hAnsiTheme="minorEastAsia" w:eastAsiaTheme="minorEastAsia"/>
          <w:spacing w:val="6"/>
          <w:sz w:val="24"/>
        </w:rPr>
      </w:pPr>
      <w:r>
        <w:rPr>
          <w:rFonts w:hint="eastAsia" w:cs="方正仿宋_GB2312" w:asciiTheme="minorEastAsia" w:hAnsiTheme="minorEastAsia" w:eastAsiaTheme="minorEastAsia"/>
          <w:sz w:val="24"/>
        </w:rPr>
        <w:t xml:space="preserve">                          法定代表人或授权代理人（签字或盖章）：</w:t>
      </w:r>
    </w:p>
    <w:p>
      <w:pPr>
        <w:tabs>
          <w:tab w:val="left" w:pos="4860"/>
        </w:tabs>
        <w:spacing w:line="588" w:lineRule="exact"/>
        <w:ind w:right="1560" w:firstLine="504" w:firstLineChars="200"/>
        <w:jc w:val="center"/>
        <w:rPr>
          <w:rFonts w:cs="方正仿宋_GB2312" w:asciiTheme="minorEastAsia" w:hAnsiTheme="minorEastAsia" w:eastAsiaTheme="minorEastAsia"/>
          <w:spacing w:val="6"/>
          <w:sz w:val="24"/>
        </w:rPr>
      </w:pPr>
      <w:r>
        <w:rPr>
          <w:rFonts w:hint="eastAsia" w:cs="方正仿宋_GB2312" w:asciiTheme="minorEastAsia" w:hAnsiTheme="minorEastAsia" w:eastAsiaTheme="minorEastAsia"/>
          <w:spacing w:val="6"/>
          <w:sz w:val="24"/>
        </w:rPr>
        <w:t xml:space="preserve">         日  期：   </w:t>
      </w:r>
      <w:r>
        <w:rPr>
          <w:rFonts w:cs="方正仿宋_GB2312" w:asciiTheme="minorEastAsia" w:hAnsiTheme="minorEastAsia" w:eastAsiaTheme="minorEastAsia"/>
          <w:spacing w:val="6"/>
          <w:sz w:val="24"/>
        </w:rPr>
        <w:t xml:space="preserve"> </w:t>
      </w:r>
      <w:r>
        <w:rPr>
          <w:rFonts w:hint="eastAsia" w:cs="方正仿宋_GB2312" w:asciiTheme="minorEastAsia" w:hAnsiTheme="minorEastAsia" w:eastAsiaTheme="minorEastAsia"/>
          <w:spacing w:val="6"/>
          <w:sz w:val="24"/>
        </w:rPr>
        <w:t xml:space="preserve"> 年   月  日 </w:t>
      </w:r>
    </w:p>
    <w:p>
      <w:pPr>
        <w:spacing w:line="480" w:lineRule="exact"/>
        <w:ind w:firstLine="480" w:firstLineChars="200"/>
        <w:rPr>
          <w:rFonts w:cs="方正仿宋_GB2312" w:asciiTheme="minorEastAsia" w:hAnsiTheme="minorEastAsia" w:eastAsiaTheme="minorEastAsia"/>
          <w:sz w:val="24"/>
        </w:rPr>
      </w:pPr>
    </w:p>
    <w:p>
      <w:pPr>
        <w:pStyle w:val="24"/>
        <w:rPr>
          <w:rFonts w:asciiTheme="minorEastAsia" w:hAnsiTheme="minorEastAsia" w:eastAsiaTheme="minorEastAsia"/>
        </w:rPr>
      </w:pPr>
    </w:p>
    <w:p>
      <w:pPr>
        <w:spacing w:line="480" w:lineRule="exact"/>
        <w:ind w:firstLine="3120" w:firstLineChars="1300"/>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注：不符合可不提供该声明函。</w:t>
      </w:r>
    </w:p>
    <w:p>
      <w:pPr>
        <w:pStyle w:val="24"/>
        <w:rPr>
          <w:rFonts w:asciiTheme="minorEastAsia" w:hAnsiTheme="minorEastAsia" w:eastAsiaTheme="minorEastAsia"/>
        </w:rPr>
      </w:pPr>
      <w:r>
        <w:rPr>
          <w:rFonts w:asciiTheme="minorEastAsia" w:hAnsiTheme="minorEastAsia" w:eastAsiaTheme="minorEastAsia"/>
        </w:rPr>
        <w:br w:type="page"/>
      </w:r>
    </w:p>
    <w:bookmarkEnd w:id="216"/>
    <w:bookmarkEnd w:id="217"/>
    <w:bookmarkEnd w:id="218"/>
    <w:p>
      <w:pPr>
        <w:spacing w:line="460" w:lineRule="exact"/>
        <w:ind w:firstLine="437"/>
        <w:jc w:val="center"/>
        <w:rPr>
          <w:rFonts w:asciiTheme="minorEastAsia" w:hAnsiTheme="minorEastAsia" w:eastAsiaTheme="minorEastAsia"/>
          <w:b/>
          <w:bCs/>
          <w:snapToGrid w:val="0"/>
          <w:kern w:val="0"/>
          <w:sz w:val="28"/>
          <w:szCs w:val="28"/>
        </w:rPr>
      </w:pPr>
      <w:r>
        <w:rPr>
          <w:rFonts w:hint="eastAsia" w:asciiTheme="minorEastAsia" w:hAnsiTheme="minorEastAsia" w:eastAsiaTheme="minorEastAsia"/>
          <w:b/>
          <w:bCs/>
          <w:snapToGrid w:val="0"/>
          <w:kern w:val="0"/>
          <w:sz w:val="28"/>
          <w:szCs w:val="28"/>
        </w:rPr>
        <w:t>（三）环境标志产品明细表</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项目名称：</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 xml:space="preserve">项目编号：  </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 xml:space="preserve">包    号：            </w:t>
      </w:r>
    </w:p>
    <w:tbl>
      <w:tblPr>
        <w:tblStyle w:val="75"/>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305"/>
        <w:gridCol w:w="1280"/>
        <w:gridCol w:w="680"/>
        <w:gridCol w:w="776"/>
        <w:gridCol w:w="1388"/>
        <w:gridCol w:w="1245"/>
        <w:gridCol w:w="982"/>
        <w:gridCol w:w="733"/>
        <w:gridCol w:w="1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62" w:type="dxa"/>
            <w:vMerge w:val="restart"/>
          </w:tcPr>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序号</w:t>
            </w:r>
          </w:p>
        </w:tc>
        <w:tc>
          <w:tcPr>
            <w:tcW w:w="1305" w:type="dxa"/>
            <w:vMerge w:val="restart"/>
          </w:tcPr>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产品</w:t>
            </w:r>
          </w:p>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名称</w:t>
            </w:r>
          </w:p>
        </w:tc>
        <w:tc>
          <w:tcPr>
            <w:tcW w:w="1280" w:type="dxa"/>
            <w:vMerge w:val="restart"/>
          </w:tcPr>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企业</w:t>
            </w:r>
          </w:p>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名称</w:t>
            </w:r>
          </w:p>
        </w:tc>
        <w:tc>
          <w:tcPr>
            <w:tcW w:w="680" w:type="dxa"/>
            <w:vMerge w:val="restart"/>
          </w:tcPr>
          <w:p>
            <w:pPr>
              <w:jc w:val="center"/>
              <w:rPr>
                <w:rFonts w:ascii="宋体" w:hAnsi="宋体" w:cs="宋体"/>
                <w:szCs w:val="21"/>
              </w:rPr>
            </w:pPr>
            <w:bookmarkStart w:id="219" w:name="_Toc525981977"/>
            <w:bookmarkStart w:id="220" w:name="_Toc2422276"/>
            <w:bookmarkStart w:id="221" w:name="_Toc2409889"/>
            <w:bookmarkStart w:id="222" w:name="_Toc529794365"/>
            <w:bookmarkStart w:id="223" w:name="_Toc524353263"/>
            <w:bookmarkStart w:id="224" w:name="_Toc535415106"/>
            <w:bookmarkStart w:id="225" w:name="_Toc526000096"/>
            <w:r>
              <w:rPr>
                <w:rFonts w:hint="eastAsia" w:ascii="宋体" w:hAnsi="宋体" w:cs="宋体"/>
                <w:szCs w:val="21"/>
              </w:rPr>
              <w:t>注册</w:t>
            </w:r>
          </w:p>
          <w:p>
            <w:pPr>
              <w:jc w:val="center"/>
              <w:rPr>
                <w:rFonts w:asciiTheme="minorEastAsia" w:hAnsiTheme="minorEastAsia" w:eastAsiaTheme="minorEastAsia"/>
                <w:snapToGrid w:val="0"/>
                <w:kern w:val="0"/>
                <w:szCs w:val="21"/>
              </w:rPr>
            </w:pPr>
            <w:r>
              <w:rPr>
                <w:rFonts w:hint="eastAsia" w:ascii="宋体" w:hAnsi="宋体" w:cs="宋体"/>
                <w:szCs w:val="21"/>
              </w:rPr>
              <w:t>商标</w:t>
            </w:r>
            <w:bookmarkEnd w:id="219"/>
            <w:bookmarkEnd w:id="220"/>
            <w:bookmarkEnd w:id="221"/>
            <w:bookmarkEnd w:id="222"/>
            <w:bookmarkEnd w:id="223"/>
            <w:bookmarkEnd w:id="224"/>
            <w:bookmarkEnd w:id="225"/>
          </w:p>
        </w:tc>
        <w:tc>
          <w:tcPr>
            <w:tcW w:w="776" w:type="dxa"/>
            <w:vMerge w:val="restart"/>
          </w:tcPr>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规格</w:t>
            </w:r>
          </w:p>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型号</w:t>
            </w:r>
          </w:p>
        </w:tc>
        <w:tc>
          <w:tcPr>
            <w:tcW w:w="1388" w:type="dxa"/>
            <w:vMerge w:val="restart"/>
          </w:tcPr>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中国环境标志认证证书编号</w:t>
            </w:r>
          </w:p>
        </w:tc>
        <w:tc>
          <w:tcPr>
            <w:tcW w:w="1245" w:type="dxa"/>
            <w:vMerge w:val="restart"/>
          </w:tcPr>
          <w:p>
            <w:pPr>
              <w:ind w:left="1"/>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认证证书有效截止日期</w:t>
            </w:r>
          </w:p>
        </w:tc>
        <w:tc>
          <w:tcPr>
            <w:tcW w:w="2727" w:type="dxa"/>
            <w:gridSpan w:val="3"/>
          </w:tcPr>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vMerge w:val="continue"/>
          </w:tcPr>
          <w:p>
            <w:pPr>
              <w:jc w:val="center"/>
              <w:rPr>
                <w:rFonts w:asciiTheme="minorEastAsia" w:hAnsiTheme="minorEastAsia" w:eastAsiaTheme="minorEastAsia"/>
                <w:snapToGrid w:val="0"/>
                <w:kern w:val="0"/>
                <w:szCs w:val="21"/>
              </w:rPr>
            </w:pPr>
          </w:p>
        </w:tc>
        <w:tc>
          <w:tcPr>
            <w:tcW w:w="1305" w:type="dxa"/>
            <w:vMerge w:val="continue"/>
          </w:tcPr>
          <w:p>
            <w:pPr>
              <w:jc w:val="center"/>
              <w:rPr>
                <w:rFonts w:asciiTheme="minorEastAsia" w:hAnsiTheme="minorEastAsia" w:eastAsiaTheme="minorEastAsia"/>
                <w:snapToGrid w:val="0"/>
                <w:kern w:val="0"/>
                <w:szCs w:val="21"/>
              </w:rPr>
            </w:pPr>
          </w:p>
        </w:tc>
        <w:tc>
          <w:tcPr>
            <w:tcW w:w="1280" w:type="dxa"/>
            <w:vMerge w:val="continue"/>
          </w:tcPr>
          <w:p>
            <w:pPr>
              <w:jc w:val="center"/>
              <w:rPr>
                <w:rFonts w:asciiTheme="minorEastAsia" w:hAnsiTheme="minorEastAsia" w:eastAsiaTheme="minorEastAsia"/>
                <w:snapToGrid w:val="0"/>
                <w:kern w:val="0"/>
                <w:szCs w:val="21"/>
              </w:rPr>
            </w:pPr>
          </w:p>
        </w:tc>
        <w:tc>
          <w:tcPr>
            <w:tcW w:w="680" w:type="dxa"/>
            <w:vMerge w:val="continue"/>
          </w:tcPr>
          <w:p>
            <w:pPr>
              <w:jc w:val="center"/>
              <w:rPr>
                <w:rFonts w:asciiTheme="minorEastAsia" w:hAnsiTheme="minorEastAsia" w:eastAsiaTheme="minorEastAsia"/>
                <w:snapToGrid w:val="0"/>
                <w:kern w:val="0"/>
                <w:szCs w:val="21"/>
              </w:rPr>
            </w:pPr>
          </w:p>
        </w:tc>
        <w:tc>
          <w:tcPr>
            <w:tcW w:w="776" w:type="dxa"/>
            <w:vMerge w:val="continue"/>
          </w:tcPr>
          <w:p>
            <w:pPr>
              <w:jc w:val="center"/>
              <w:rPr>
                <w:rFonts w:asciiTheme="minorEastAsia" w:hAnsiTheme="minorEastAsia" w:eastAsiaTheme="minorEastAsia"/>
                <w:snapToGrid w:val="0"/>
                <w:kern w:val="0"/>
                <w:szCs w:val="21"/>
              </w:rPr>
            </w:pPr>
          </w:p>
        </w:tc>
        <w:tc>
          <w:tcPr>
            <w:tcW w:w="1388" w:type="dxa"/>
            <w:vMerge w:val="continue"/>
          </w:tcPr>
          <w:p>
            <w:pPr>
              <w:jc w:val="center"/>
              <w:rPr>
                <w:rFonts w:asciiTheme="minorEastAsia" w:hAnsiTheme="minorEastAsia" w:eastAsiaTheme="minorEastAsia"/>
                <w:snapToGrid w:val="0"/>
                <w:kern w:val="0"/>
                <w:szCs w:val="21"/>
              </w:rPr>
            </w:pPr>
          </w:p>
        </w:tc>
        <w:tc>
          <w:tcPr>
            <w:tcW w:w="1245" w:type="dxa"/>
            <w:vMerge w:val="continue"/>
          </w:tcPr>
          <w:p>
            <w:pPr>
              <w:jc w:val="center"/>
              <w:rPr>
                <w:rFonts w:asciiTheme="minorEastAsia" w:hAnsiTheme="minorEastAsia" w:eastAsiaTheme="minorEastAsia"/>
                <w:snapToGrid w:val="0"/>
                <w:kern w:val="0"/>
                <w:szCs w:val="21"/>
              </w:rPr>
            </w:pPr>
          </w:p>
        </w:tc>
        <w:tc>
          <w:tcPr>
            <w:tcW w:w="982" w:type="dxa"/>
          </w:tcPr>
          <w:p>
            <w:pPr>
              <w:ind w:left="-105" w:leftChars="-50" w:right="-97" w:rightChars="-46"/>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单价</w:t>
            </w:r>
            <w:r>
              <w:rPr>
                <w:rFonts w:asciiTheme="minorEastAsia" w:hAnsiTheme="minorEastAsia" w:eastAsiaTheme="minorEastAsia"/>
                <w:snapToGrid w:val="0"/>
                <w:kern w:val="0"/>
                <w:szCs w:val="21"/>
              </w:rPr>
              <w:t>(</w:t>
            </w:r>
            <w:r>
              <w:rPr>
                <w:rFonts w:hint="eastAsia" w:asciiTheme="minorEastAsia" w:hAnsiTheme="minorEastAsia" w:eastAsiaTheme="minorEastAsia"/>
                <w:snapToGrid w:val="0"/>
                <w:kern w:val="0"/>
                <w:szCs w:val="21"/>
              </w:rPr>
              <w:t>元</w:t>
            </w:r>
            <w:r>
              <w:rPr>
                <w:rFonts w:asciiTheme="minorEastAsia" w:hAnsiTheme="minorEastAsia" w:eastAsiaTheme="minorEastAsia"/>
                <w:snapToGrid w:val="0"/>
                <w:kern w:val="0"/>
                <w:szCs w:val="21"/>
              </w:rPr>
              <w:t>)</w:t>
            </w:r>
          </w:p>
        </w:tc>
        <w:tc>
          <w:tcPr>
            <w:tcW w:w="733" w:type="dxa"/>
          </w:tcPr>
          <w:p>
            <w:pPr>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数量</w:t>
            </w:r>
          </w:p>
        </w:tc>
        <w:tc>
          <w:tcPr>
            <w:tcW w:w="1012" w:type="dxa"/>
          </w:tcPr>
          <w:p>
            <w:pPr>
              <w:ind w:left="-92" w:leftChars="-44" w:right="-92" w:rightChars="-44"/>
              <w:jc w:val="center"/>
              <w:rPr>
                <w:rFonts w:asciiTheme="minorEastAsia" w:hAnsiTheme="minorEastAsia" w:eastAsiaTheme="minorEastAsia"/>
                <w:snapToGrid w:val="0"/>
                <w:kern w:val="0"/>
                <w:szCs w:val="21"/>
              </w:rPr>
            </w:pPr>
            <w:r>
              <w:rPr>
                <w:rFonts w:hint="eastAsia" w:asciiTheme="minorEastAsia" w:hAnsiTheme="minorEastAsia" w:eastAsiaTheme="minorEastAsia"/>
                <w:snapToGrid w:val="0"/>
                <w:kern w:val="0"/>
                <w:szCs w:val="21"/>
              </w:rPr>
              <w:t>小计</w:t>
            </w:r>
            <w:r>
              <w:rPr>
                <w:rFonts w:asciiTheme="minorEastAsia" w:hAnsiTheme="minorEastAsia" w:eastAsiaTheme="minorEastAsia"/>
                <w:snapToGrid w:val="0"/>
                <w:kern w:val="0"/>
                <w:szCs w:val="21"/>
              </w:rPr>
              <w:t>(</w:t>
            </w:r>
            <w:r>
              <w:rPr>
                <w:rFonts w:hint="eastAsia" w:asciiTheme="minorEastAsia" w:hAnsiTheme="minorEastAsia" w:eastAsiaTheme="minorEastAsia"/>
                <w:snapToGrid w:val="0"/>
                <w:kern w:val="0"/>
                <w:szCs w:val="21"/>
              </w:rPr>
              <w:t>元</w:t>
            </w:r>
            <w:r>
              <w:rPr>
                <w:rFonts w:asciiTheme="minorEastAsia" w:hAnsiTheme="minorEastAsia" w:eastAsiaTheme="minorEastAsia"/>
                <w:snapToGrid w:val="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562"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1</w:t>
            </w:r>
          </w:p>
        </w:tc>
        <w:tc>
          <w:tcPr>
            <w:tcW w:w="1305" w:type="dxa"/>
          </w:tcPr>
          <w:p>
            <w:pPr>
              <w:jc w:val="center"/>
              <w:rPr>
                <w:rFonts w:asciiTheme="minorEastAsia" w:hAnsiTheme="minorEastAsia" w:eastAsiaTheme="minorEastAsia"/>
                <w:snapToGrid w:val="0"/>
                <w:kern w:val="0"/>
                <w:sz w:val="24"/>
              </w:rPr>
            </w:pPr>
          </w:p>
        </w:tc>
        <w:tc>
          <w:tcPr>
            <w:tcW w:w="1280" w:type="dxa"/>
          </w:tcPr>
          <w:p>
            <w:pPr>
              <w:jc w:val="center"/>
              <w:rPr>
                <w:rFonts w:asciiTheme="minorEastAsia" w:hAnsiTheme="minorEastAsia" w:eastAsiaTheme="minorEastAsia"/>
                <w:snapToGrid w:val="0"/>
                <w:kern w:val="0"/>
                <w:sz w:val="24"/>
              </w:rPr>
            </w:pPr>
          </w:p>
        </w:tc>
        <w:tc>
          <w:tcPr>
            <w:tcW w:w="680" w:type="dxa"/>
          </w:tcPr>
          <w:p>
            <w:pPr>
              <w:jc w:val="center"/>
              <w:rPr>
                <w:rFonts w:asciiTheme="minorEastAsia" w:hAnsiTheme="minorEastAsia" w:eastAsiaTheme="minorEastAsia"/>
                <w:snapToGrid w:val="0"/>
                <w:kern w:val="0"/>
                <w:sz w:val="24"/>
              </w:rPr>
            </w:pPr>
          </w:p>
        </w:tc>
        <w:tc>
          <w:tcPr>
            <w:tcW w:w="776" w:type="dxa"/>
          </w:tcPr>
          <w:p>
            <w:pPr>
              <w:jc w:val="center"/>
              <w:rPr>
                <w:rFonts w:asciiTheme="minorEastAsia" w:hAnsiTheme="minorEastAsia" w:eastAsiaTheme="minorEastAsia"/>
                <w:snapToGrid w:val="0"/>
                <w:kern w:val="0"/>
                <w:sz w:val="24"/>
              </w:rPr>
            </w:pPr>
          </w:p>
        </w:tc>
        <w:tc>
          <w:tcPr>
            <w:tcW w:w="1388" w:type="dxa"/>
          </w:tcPr>
          <w:p>
            <w:pPr>
              <w:jc w:val="center"/>
              <w:rPr>
                <w:rFonts w:asciiTheme="minorEastAsia" w:hAnsiTheme="minorEastAsia" w:eastAsiaTheme="minorEastAsia"/>
                <w:snapToGrid w:val="0"/>
                <w:kern w:val="0"/>
                <w:sz w:val="24"/>
              </w:rPr>
            </w:pPr>
          </w:p>
        </w:tc>
        <w:tc>
          <w:tcPr>
            <w:tcW w:w="1245" w:type="dxa"/>
          </w:tcPr>
          <w:p>
            <w:pPr>
              <w:jc w:val="center"/>
              <w:rPr>
                <w:rFonts w:asciiTheme="minorEastAsia" w:hAnsiTheme="minorEastAsia" w:eastAsiaTheme="minorEastAsia"/>
                <w:snapToGrid w:val="0"/>
                <w:kern w:val="0"/>
                <w:sz w:val="24"/>
              </w:rPr>
            </w:pPr>
          </w:p>
        </w:tc>
        <w:tc>
          <w:tcPr>
            <w:tcW w:w="982" w:type="dxa"/>
          </w:tcPr>
          <w:p>
            <w:pPr>
              <w:jc w:val="center"/>
              <w:rPr>
                <w:rFonts w:asciiTheme="minorEastAsia" w:hAnsiTheme="minorEastAsia" w:eastAsiaTheme="minorEastAsia"/>
                <w:snapToGrid w:val="0"/>
                <w:kern w:val="0"/>
                <w:sz w:val="24"/>
              </w:rPr>
            </w:pPr>
          </w:p>
        </w:tc>
        <w:tc>
          <w:tcPr>
            <w:tcW w:w="733" w:type="dxa"/>
          </w:tcPr>
          <w:p>
            <w:pPr>
              <w:jc w:val="center"/>
              <w:rPr>
                <w:rFonts w:asciiTheme="minorEastAsia" w:hAnsiTheme="minorEastAsia" w:eastAsiaTheme="minorEastAsia"/>
                <w:snapToGrid w:val="0"/>
                <w:kern w:val="0"/>
                <w:sz w:val="24"/>
              </w:rPr>
            </w:pPr>
          </w:p>
        </w:tc>
        <w:tc>
          <w:tcPr>
            <w:tcW w:w="1012" w:type="dxa"/>
          </w:tcPr>
          <w:p>
            <w:pPr>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62"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2</w:t>
            </w:r>
          </w:p>
        </w:tc>
        <w:tc>
          <w:tcPr>
            <w:tcW w:w="1305" w:type="dxa"/>
          </w:tcPr>
          <w:p>
            <w:pPr>
              <w:jc w:val="center"/>
              <w:rPr>
                <w:rFonts w:asciiTheme="minorEastAsia" w:hAnsiTheme="minorEastAsia" w:eastAsiaTheme="minorEastAsia"/>
                <w:snapToGrid w:val="0"/>
                <w:kern w:val="0"/>
                <w:sz w:val="24"/>
              </w:rPr>
            </w:pPr>
          </w:p>
        </w:tc>
        <w:tc>
          <w:tcPr>
            <w:tcW w:w="1280" w:type="dxa"/>
          </w:tcPr>
          <w:p>
            <w:pPr>
              <w:jc w:val="center"/>
              <w:rPr>
                <w:rFonts w:asciiTheme="minorEastAsia" w:hAnsiTheme="minorEastAsia" w:eastAsiaTheme="minorEastAsia"/>
                <w:snapToGrid w:val="0"/>
                <w:kern w:val="0"/>
                <w:sz w:val="24"/>
              </w:rPr>
            </w:pPr>
          </w:p>
        </w:tc>
        <w:tc>
          <w:tcPr>
            <w:tcW w:w="680" w:type="dxa"/>
          </w:tcPr>
          <w:p>
            <w:pPr>
              <w:jc w:val="center"/>
              <w:rPr>
                <w:rFonts w:asciiTheme="minorEastAsia" w:hAnsiTheme="minorEastAsia" w:eastAsiaTheme="minorEastAsia"/>
                <w:snapToGrid w:val="0"/>
                <w:kern w:val="0"/>
                <w:sz w:val="24"/>
              </w:rPr>
            </w:pPr>
          </w:p>
        </w:tc>
        <w:tc>
          <w:tcPr>
            <w:tcW w:w="776" w:type="dxa"/>
          </w:tcPr>
          <w:p>
            <w:pPr>
              <w:jc w:val="center"/>
              <w:rPr>
                <w:rFonts w:asciiTheme="minorEastAsia" w:hAnsiTheme="minorEastAsia" w:eastAsiaTheme="minorEastAsia"/>
                <w:snapToGrid w:val="0"/>
                <w:kern w:val="0"/>
                <w:sz w:val="24"/>
              </w:rPr>
            </w:pPr>
          </w:p>
        </w:tc>
        <w:tc>
          <w:tcPr>
            <w:tcW w:w="1388" w:type="dxa"/>
          </w:tcPr>
          <w:p>
            <w:pPr>
              <w:jc w:val="center"/>
              <w:rPr>
                <w:rFonts w:asciiTheme="minorEastAsia" w:hAnsiTheme="minorEastAsia" w:eastAsiaTheme="minorEastAsia"/>
                <w:snapToGrid w:val="0"/>
                <w:kern w:val="0"/>
                <w:sz w:val="24"/>
              </w:rPr>
            </w:pPr>
          </w:p>
        </w:tc>
        <w:tc>
          <w:tcPr>
            <w:tcW w:w="1245" w:type="dxa"/>
          </w:tcPr>
          <w:p>
            <w:pPr>
              <w:jc w:val="center"/>
              <w:rPr>
                <w:rFonts w:asciiTheme="minorEastAsia" w:hAnsiTheme="minorEastAsia" w:eastAsiaTheme="minorEastAsia"/>
                <w:snapToGrid w:val="0"/>
                <w:kern w:val="0"/>
                <w:sz w:val="24"/>
              </w:rPr>
            </w:pPr>
          </w:p>
        </w:tc>
        <w:tc>
          <w:tcPr>
            <w:tcW w:w="982" w:type="dxa"/>
          </w:tcPr>
          <w:p>
            <w:pPr>
              <w:jc w:val="center"/>
              <w:rPr>
                <w:rFonts w:asciiTheme="minorEastAsia" w:hAnsiTheme="minorEastAsia" w:eastAsiaTheme="minorEastAsia"/>
                <w:snapToGrid w:val="0"/>
                <w:kern w:val="0"/>
                <w:sz w:val="24"/>
              </w:rPr>
            </w:pPr>
          </w:p>
        </w:tc>
        <w:tc>
          <w:tcPr>
            <w:tcW w:w="733" w:type="dxa"/>
          </w:tcPr>
          <w:p>
            <w:pPr>
              <w:jc w:val="center"/>
              <w:rPr>
                <w:rFonts w:asciiTheme="minorEastAsia" w:hAnsiTheme="minorEastAsia" w:eastAsiaTheme="minorEastAsia"/>
                <w:snapToGrid w:val="0"/>
                <w:kern w:val="0"/>
                <w:sz w:val="24"/>
              </w:rPr>
            </w:pPr>
          </w:p>
        </w:tc>
        <w:tc>
          <w:tcPr>
            <w:tcW w:w="1012" w:type="dxa"/>
          </w:tcPr>
          <w:p>
            <w:pPr>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62"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3</w:t>
            </w:r>
          </w:p>
        </w:tc>
        <w:tc>
          <w:tcPr>
            <w:tcW w:w="1305" w:type="dxa"/>
          </w:tcPr>
          <w:p>
            <w:pPr>
              <w:jc w:val="center"/>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w:t>
            </w:r>
          </w:p>
        </w:tc>
        <w:tc>
          <w:tcPr>
            <w:tcW w:w="1280" w:type="dxa"/>
          </w:tcPr>
          <w:p>
            <w:pPr>
              <w:jc w:val="center"/>
              <w:rPr>
                <w:rFonts w:asciiTheme="minorEastAsia" w:hAnsiTheme="minorEastAsia" w:eastAsiaTheme="minorEastAsia"/>
                <w:snapToGrid w:val="0"/>
                <w:kern w:val="0"/>
                <w:sz w:val="24"/>
              </w:rPr>
            </w:pPr>
          </w:p>
        </w:tc>
        <w:tc>
          <w:tcPr>
            <w:tcW w:w="680" w:type="dxa"/>
          </w:tcPr>
          <w:p>
            <w:pPr>
              <w:jc w:val="center"/>
              <w:rPr>
                <w:rFonts w:asciiTheme="minorEastAsia" w:hAnsiTheme="minorEastAsia" w:eastAsiaTheme="minorEastAsia"/>
                <w:snapToGrid w:val="0"/>
                <w:kern w:val="0"/>
                <w:sz w:val="24"/>
              </w:rPr>
            </w:pPr>
          </w:p>
        </w:tc>
        <w:tc>
          <w:tcPr>
            <w:tcW w:w="776" w:type="dxa"/>
          </w:tcPr>
          <w:p>
            <w:pPr>
              <w:jc w:val="center"/>
              <w:rPr>
                <w:rFonts w:asciiTheme="minorEastAsia" w:hAnsiTheme="minorEastAsia" w:eastAsiaTheme="minorEastAsia"/>
                <w:snapToGrid w:val="0"/>
                <w:kern w:val="0"/>
                <w:sz w:val="24"/>
              </w:rPr>
            </w:pPr>
          </w:p>
        </w:tc>
        <w:tc>
          <w:tcPr>
            <w:tcW w:w="1388" w:type="dxa"/>
          </w:tcPr>
          <w:p>
            <w:pPr>
              <w:jc w:val="center"/>
              <w:rPr>
                <w:rFonts w:asciiTheme="minorEastAsia" w:hAnsiTheme="minorEastAsia" w:eastAsiaTheme="minorEastAsia"/>
                <w:snapToGrid w:val="0"/>
                <w:kern w:val="0"/>
                <w:sz w:val="24"/>
              </w:rPr>
            </w:pPr>
          </w:p>
        </w:tc>
        <w:tc>
          <w:tcPr>
            <w:tcW w:w="1245" w:type="dxa"/>
          </w:tcPr>
          <w:p>
            <w:pPr>
              <w:jc w:val="center"/>
              <w:rPr>
                <w:rFonts w:asciiTheme="minorEastAsia" w:hAnsiTheme="minorEastAsia" w:eastAsiaTheme="minorEastAsia"/>
                <w:snapToGrid w:val="0"/>
                <w:kern w:val="0"/>
                <w:sz w:val="24"/>
              </w:rPr>
            </w:pPr>
          </w:p>
        </w:tc>
        <w:tc>
          <w:tcPr>
            <w:tcW w:w="982" w:type="dxa"/>
          </w:tcPr>
          <w:p>
            <w:pPr>
              <w:jc w:val="center"/>
              <w:rPr>
                <w:rFonts w:asciiTheme="minorEastAsia" w:hAnsiTheme="minorEastAsia" w:eastAsiaTheme="minorEastAsia"/>
                <w:snapToGrid w:val="0"/>
                <w:kern w:val="0"/>
                <w:sz w:val="24"/>
              </w:rPr>
            </w:pPr>
          </w:p>
        </w:tc>
        <w:tc>
          <w:tcPr>
            <w:tcW w:w="733" w:type="dxa"/>
          </w:tcPr>
          <w:p>
            <w:pPr>
              <w:jc w:val="center"/>
              <w:rPr>
                <w:rFonts w:asciiTheme="minorEastAsia" w:hAnsiTheme="minorEastAsia" w:eastAsiaTheme="minorEastAsia"/>
                <w:snapToGrid w:val="0"/>
                <w:kern w:val="0"/>
                <w:sz w:val="24"/>
              </w:rPr>
            </w:pPr>
          </w:p>
        </w:tc>
        <w:tc>
          <w:tcPr>
            <w:tcW w:w="1012" w:type="dxa"/>
          </w:tcPr>
          <w:p>
            <w:pPr>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2"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4</w:t>
            </w:r>
          </w:p>
        </w:tc>
        <w:tc>
          <w:tcPr>
            <w:tcW w:w="1305" w:type="dxa"/>
          </w:tcPr>
          <w:p>
            <w:pPr>
              <w:jc w:val="center"/>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合计</w:t>
            </w:r>
          </w:p>
        </w:tc>
        <w:tc>
          <w:tcPr>
            <w:tcW w:w="4124" w:type="dxa"/>
            <w:gridSpan w:val="4"/>
          </w:tcPr>
          <w:p>
            <w:pPr>
              <w:jc w:val="center"/>
              <w:rPr>
                <w:rFonts w:asciiTheme="minorEastAsia" w:hAnsiTheme="minorEastAsia" w:eastAsiaTheme="minorEastAsia"/>
                <w:snapToGrid w:val="0"/>
                <w:kern w:val="0"/>
                <w:sz w:val="24"/>
              </w:rPr>
            </w:pPr>
          </w:p>
        </w:tc>
        <w:tc>
          <w:tcPr>
            <w:tcW w:w="3972" w:type="dxa"/>
            <w:gridSpan w:val="4"/>
          </w:tcPr>
          <w:p>
            <w:pPr>
              <w:jc w:val="center"/>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在本包总报价的占比：%。</w:t>
            </w:r>
          </w:p>
        </w:tc>
      </w:tr>
    </w:tbl>
    <w:p>
      <w:pPr>
        <w:spacing w:line="360" w:lineRule="auto"/>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说明：</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1.环境标志产品根据财政部、生态环境部最新公布的环境标志产品政府采购品目清单确定。附完整的环境标志产品认证证书（包含所投产品型号所在附页）复印件并加盖公章。</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2.如所投产品为环保产品，必须按规定格式逐项填写，型号必须与证书型号完全一致，否则评审时不予加分。如所投产品不是环保产品，则逐项填写“无”或“没有相应指标”等明确的回答文字。</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3.此表可根据需要同格式扩展。</w:t>
      </w:r>
    </w:p>
    <w:p>
      <w:pPr>
        <w:spacing w:line="460" w:lineRule="exact"/>
        <w:jc w:val="left"/>
        <w:rPr>
          <w:rFonts w:asciiTheme="minorEastAsia" w:hAnsiTheme="minorEastAsia" w:eastAsiaTheme="minorEastAsia"/>
          <w:snapToGrid w:val="0"/>
          <w:kern w:val="0"/>
          <w:sz w:val="24"/>
        </w:rPr>
      </w:pP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供应商名称（盖章）：</w:t>
      </w:r>
    </w:p>
    <w:p>
      <w:pPr>
        <w:tabs>
          <w:tab w:val="left" w:pos="1490"/>
          <w:tab w:val="right" w:pos="9191"/>
        </w:tabs>
        <w:spacing w:line="360" w:lineRule="auto"/>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法定代表人或授权代理人签字或盖章：</w:t>
      </w:r>
      <w:r>
        <w:rPr>
          <w:rFonts w:hint="eastAsia" w:asciiTheme="minorEastAsia" w:hAnsiTheme="minorEastAsia" w:eastAsiaTheme="minorEastAsia"/>
          <w:snapToGrid w:val="0"/>
          <w:kern w:val="0"/>
          <w:sz w:val="24"/>
        </w:rPr>
        <w:tab/>
      </w:r>
    </w:p>
    <w:p>
      <w:pPr>
        <w:tabs>
          <w:tab w:val="left" w:pos="1490"/>
          <w:tab w:val="right" w:pos="9191"/>
        </w:tabs>
        <w:spacing w:line="360" w:lineRule="auto"/>
        <w:ind w:firstLine="6360" w:firstLineChars="2650"/>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ab/>
      </w:r>
      <w:r>
        <w:rPr>
          <w:rFonts w:hint="eastAsia" w:asciiTheme="minorEastAsia" w:hAnsiTheme="minorEastAsia" w:eastAsiaTheme="minorEastAsia"/>
          <w:snapToGrid w:val="0"/>
          <w:kern w:val="0"/>
          <w:sz w:val="24"/>
        </w:rPr>
        <w:t xml:space="preserve">年 </w:t>
      </w:r>
      <w:r>
        <w:rPr>
          <w:rFonts w:asciiTheme="minorEastAsia" w:hAnsiTheme="minorEastAsia" w:eastAsiaTheme="minorEastAsia"/>
          <w:snapToGrid w:val="0"/>
          <w:kern w:val="0"/>
          <w:sz w:val="24"/>
        </w:rPr>
        <w:t xml:space="preserve">  </w:t>
      </w:r>
      <w:r>
        <w:rPr>
          <w:rFonts w:hint="eastAsia" w:asciiTheme="minorEastAsia" w:hAnsiTheme="minorEastAsia" w:eastAsiaTheme="minorEastAsia"/>
          <w:snapToGrid w:val="0"/>
          <w:kern w:val="0"/>
          <w:sz w:val="24"/>
        </w:rPr>
        <w:t xml:space="preserve">月 </w:t>
      </w:r>
      <w:r>
        <w:rPr>
          <w:rFonts w:asciiTheme="minorEastAsia" w:hAnsiTheme="minorEastAsia" w:eastAsiaTheme="minorEastAsia"/>
          <w:snapToGrid w:val="0"/>
          <w:kern w:val="0"/>
          <w:sz w:val="24"/>
        </w:rPr>
        <w:t xml:space="preserve">  </w:t>
      </w:r>
      <w:r>
        <w:rPr>
          <w:rFonts w:hint="eastAsia" w:asciiTheme="minorEastAsia" w:hAnsiTheme="minorEastAsia" w:eastAsiaTheme="minorEastAsia"/>
          <w:snapToGrid w:val="0"/>
          <w:kern w:val="0"/>
          <w:sz w:val="24"/>
        </w:rPr>
        <w:t>日</w:t>
      </w:r>
    </w:p>
    <w:p>
      <w:pPr>
        <w:pStyle w:val="3"/>
        <w:spacing w:before="0" w:after="0"/>
        <w:jc w:val="left"/>
        <w:rPr>
          <w:rFonts w:asciiTheme="minorEastAsia" w:hAnsiTheme="minorEastAsia" w:eastAsiaTheme="minorEastAsia"/>
          <w:snapToGrid w:val="0"/>
          <w:sz w:val="24"/>
          <w:szCs w:val="24"/>
        </w:rPr>
      </w:pPr>
      <w:r>
        <w:rPr>
          <w:rFonts w:asciiTheme="minorEastAsia" w:hAnsiTheme="minorEastAsia" w:eastAsiaTheme="minorEastAsia"/>
          <w:snapToGrid w:val="0"/>
        </w:rPr>
        <w:br w:type="page"/>
      </w:r>
    </w:p>
    <w:p>
      <w:pPr>
        <w:spacing w:line="460" w:lineRule="exact"/>
        <w:jc w:val="center"/>
        <w:rPr>
          <w:rFonts w:asciiTheme="minorEastAsia" w:hAnsiTheme="minorEastAsia" w:eastAsiaTheme="minorEastAsia"/>
          <w:b/>
          <w:bCs/>
          <w:snapToGrid w:val="0"/>
          <w:kern w:val="0"/>
          <w:sz w:val="28"/>
          <w:szCs w:val="28"/>
        </w:rPr>
      </w:pPr>
      <w:r>
        <w:rPr>
          <w:rFonts w:hint="eastAsia" w:asciiTheme="minorEastAsia" w:hAnsiTheme="minorEastAsia" w:eastAsiaTheme="minorEastAsia"/>
          <w:b/>
          <w:bCs/>
          <w:snapToGrid w:val="0"/>
          <w:kern w:val="0"/>
          <w:sz w:val="28"/>
          <w:szCs w:val="28"/>
        </w:rPr>
        <w:t>（四）节能产品明细表</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项目名称：</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项目编号：</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 xml:space="preserve">包    号：               </w:t>
      </w:r>
    </w:p>
    <w:tbl>
      <w:tblPr>
        <w:tblStyle w:val="75"/>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250"/>
        <w:gridCol w:w="1024"/>
        <w:gridCol w:w="720"/>
        <w:gridCol w:w="808"/>
        <w:gridCol w:w="1432"/>
        <w:gridCol w:w="1741"/>
        <w:gridCol w:w="711"/>
        <w:gridCol w:w="853"/>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vMerge w:val="restart"/>
          </w:tcPr>
          <w:p>
            <w:pPr>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序号</w:t>
            </w:r>
          </w:p>
        </w:tc>
        <w:tc>
          <w:tcPr>
            <w:tcW w:w="1250" w:type="dxa"/>
            <w:vMerge w:val="restart"/>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产品</w:t>
            </w:r>
          </w:p>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名称</w:t>
            </w:r>
          </w:p>
        </w:tc>
        <w:tc>
          <w:tcPr>
            <w:tcW w:w="1024" w:type="dxa"/>
            <w:vMerge w:val="restart"/>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制造商</w:t>
            </w:r>
          </w:p>
        </w:tc>
        <w:tc>
          <w:tcPr>
            <w:tcW w:w="720" w:type="dxa"/>
            <w:vMerge w:val="restart"/>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品牌</w:t>
            </w:r>
          </w:p>
        </w:tc>
        <w:tc>
          <w:tcPr>
            <w:tcW w:w="808" w:type="dxa"/>
            <w:vMerge w:val="restart"/>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产品型号</w:t>
            </w:r>
          </w:p>
        </w:tc>
        <w:tc>
          <w:tcPr>
            <w:tcW w:w="1432" w:type="dxa"/>
            <w:vMerge w:val="restart"/>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节能标志认证证书号</w:t>
            </w:r>
          </w:p>
        </w:tc>
        <w:tc>
          <w:tcPr>
            <w:tcW w:w="1741" w:type="dxa"/>
            <w:vMerge w:val="restart"/>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节能产品认证证书有效截止日期</w:t>
            </w:r>
          </w:p>
        </w:tc>
        <w:tc>
          <w:tcPr>
            <w:tcW w:w="2419" w:type="dxa"/>
            <w:gridSpan w:val="3"/>
          </w:tcPr>
          <w:p>
            <w:pPr>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价格</w:t>
            </w:r>
          </w:p>
          <w:p>
            <w:pPr>
              <w:jc w:val="center"/>
              <w:rPr>
                <w:rFonts w:asciiTheme="minorEastAsia" w:hAnsiTheme="minorEastAsia" w:eastAsiaTheme="minorEastAsia"/>
                <w:snapToGrid w:val="0"/>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vMerge w:val="continue"/>
          </w:tcPr>
          <w:p>
            <w:pPr>
              <w:jc w:val="center"/>
              <w:rPr>
                <w:rFonts w:asciiTheme="minorEastAsia" w:hAnsiTheme="minorEastAsia" w:eastAsiaTheme="minorEastAsia"/>
                <w:snapToGrid w:val="0"/>
                <w:kern w:val="0"/>
                <w:sz w:val="22"/>
                <w:szCs w:val="22"/>
              </w:rPr>
            </w:pPr>
          </w:p>
        </w:tc>
        <w:tc>
          <w:tcPr>
            <w:tcW w:w="1250" w:type="dxa"/>
            <w:vMerge w:val="continue"/>
          </w:tcPr>
          <w:p>
            <w:pPr>
              <w:jc w:val="center"/>
              <w:rPr>
                <w:rFonts w:asciiTheme="minorEastAsia" w:hAnsiTheme="minorEastAsia" w:eastAsiaTheme="minorEastAsia"/>
                <w:snapToGrid w:val="0"/>
                <w:kern w:val="0"/>
                <w:sz w:val="22"/>
                <w:szCs w:val="22"/>
              </w:rPr>
            </w:pPr>
          </w:p>
        </w:tc>
        <w:tc>
          <w:tcPr>
            <w:tcW w:w="1024" w:type="dxa"/>
            <w:vMerge w:val="continue"/>
          </w:tcPr>
          <w:p>
            <w:pPr>
              <w:jc w:val="center"/>
              <w:rPr>
                <w:rFonts w:asciiTheme="minorEastAsia" w:hAnsiTheme="minorEastAsia" w:eastAsiaTheme="minorEastAsia"/>
                <w:snapToGrid w:val="0"/>
                <w:kern w:val="0"/>
                <w:sz w:val="22"/>
                <w:szCs w:val="22"/>
              </w:rPr>
            </w:pPr>
          </w:p>
        </w:tc>
        <w:tc>
          <w:tcPr>
            <w:tcW w:w="720" w:type="dxa"/>
            <w:vMerge w:val="continue"/>
          </w:tcPr>
          <w:p>
            <w:pPr>
              <w:jc w:val="center"/>
              <w:rPr>
                <w:rFonts w:asciiTheme="minorEastAsia" w:hAnsiTheme="minorEastAsia" w:eastAsiaTheme="minorEastAsia"/>
                <w:snapToGrid w:val="0"/>
                <w:kern w:val="0"/>
                <w:sz w:val="22"/>
                <w:szCs w:val="22"/>
              </w:rPr>
            </w:pPr>
          </w:p>
        </w:tc>
        <w:tc>
          <w:tcPr>
            <w:tcW w:w="808" w:type="dxa"/>
            <w:vMerge w:val="continue"/>
          </w:tcPr>
          <w:p>
            <w:pPr>
              <w:jc w:val="center"/>
              <w:rPr>
                <w:rFonts w:asciiTheme="minorEastAsia" w:hAnsiTheme="minorEastAsia" w:eastAsiaTheme="minorEastAsia"/>
                <w:snapToGrid w:val="0"/>
                <w:kern w:val="0"/>
                <w:sz w:val="22"/>
                <w:szCs w:val="22"/>
              </w:rPr>
            </w:pPr>
          </w:p>
        </w:tc>
        <w:tc>
          <w:tcPr>
            <w:tcW w:w="1432" w:type="dxa"/>
            <w:vMerge w:val="continue"/>
          </w:tcPr>
          <w:p>
            <w:pPr>
              <w:jc w:val="center"/>
              <w:rPr>
                <w:rFonts w:asciiTheme="minorEastAsia" w:hAnsiTheme="minorEastAsia" w:eastAsiaTheme="minorEastAsia"/>
                <w:snapToGrid w:val="0"/>
                <w:kern w:val="0"/>
                <w:sz w:val="22"/>
                <w:szCs w:val="22"/>
              </w:rPr>
            </w:pPr>
          </w:p>
        </w:tc>
        <w:tc>
          <w:tcPr>
            <w:tcW w:w="1741" w:type="dxa"/>
            <w:vMerge w:val="continue"/>
          </w:tcPr>
          <w:p>
            <w:pPr>
              <w:jc w:val="center"/>
              <w:rPr>
                <w:rFonts w:asciiTheme="minorEastAsia" w:hAnsiTheme="minorEastAsia" w:eastAsiaTheme="minorEastAsia"/>
                <w:snapToGrid w:val="0"/>
                <w:kern w:val="0"/>
                <w:sz w:val="22"/>
                <w:szCs w:val="22"/>
              </w:rPr>
            </w:pPr>
          </w:p>
        </w:tc>
        <w:tc>
          <w:tcPr>
            <w:tcW w:w="711" w:type="dxa"/>
          </w:tcPr>
          <w:p>
            <w:pPr>
              <w:ind w:left="-105" w:leftChars="-50" w:right="-97" w:rightChars="-46"/>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单价</w:t>
            </w:r>
            <w:r>
              <w:rPr>
                <w:rFonts w:asciiTheme="minorEastAsia" w:hAnsiTheme="minorEastAsia" w:eastAsiaTheme="minorEastAsia"/>
                <w:snapToGrid w:val="0"/>
                <w:kern w:val="0"/>
                <w:sz w:val="22"/>
                <w:szCs w:val="22"/>
              </w:rPr>
              <w:t>(</w:t>
            </w:r>
            <w:r>
              <w:rPr>
                <w:rFonts w:hint="eastAsia" w:asciiTheme="minorEastAsia" w:hAnsiTheme="minorEastAsia" w:eastAsiaTheme="minorEastAsia"/>
                <w:snapToGrid w:val="0"/>
                <w:kern w:val="0"/>
                <w:sz w:val="22"/>
                <w:szCs w:val="22"/>
              </w:rPr>
              <w:t>元</w:t>
            </w:r>
            <w:r>
              <w:rPr>
                <w:rFonts w:asciiTheme="minorEastAsia" w:hAnsiTheme="minorEastAsia" w:eastAsiaTheme="minorEastAsia"/>
                <w:snapToGrid w:val="0"/>
                <w:kern w:val="0"/>
                <w:sz w:val="22"/>
                <w:szCs w:val="22"/>
              </w:rPr>
              <w:t>)</w:t>
            </w:r>
          </w:p>
        </w:tc>
        <w:tc>
          <w:tcPr>
            <w:tcW w:w="853" w:type="dxa"/>
          </w:tcPr>
          <w:p>
            <w:pPr>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数量</w:t>
            </w:r>
          </w:p>
        </w:tc>
        <w:tc>
          <w:tcPr>
            <w:tcW w:w="855" w:type="dxa"/>
          </w:tcPr>
          <w:p>
            <w:pPr>
              <w:ind w:left="-92" w:leftChars="-44" w:right="-92" w:rightChars="-44"/>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小计</w:t>
            </w:r>
            <w:r>
              <w:rPr>
                <w:rFonts w:asciiTheme="minorEastAsia" w:hAnsiTheme="minorEastAsia" w:eastAsiaTheme="minorEastAsia"/>
                <w:snapToGrid w:val="0"/>
                <w:kern w:val="0"/>
                <w:sz w:val="22"/>
                <w:szCs w:val="22"/>
              </w:rPr>
              <w:t>(</w:t>
            </w:r>
            <w:r>
              <w:rPr>
                <w:rFonts w:hint="eastAsia" w:asciiTheme="minorEastAsia" w:hAnsiTheme="minorEastAsia" w:eastAsiaTheme="minorEastAsia"/>
                <w:snapToGrid w:val="0"/>
                <w:kern w:val="0"/>
                <w:sz w:val="22"/>
                <w:szCs w:val="22"/>
              </w:rPr>
              <w:t>元</w:t>
            </w:r>
            <w:r>
              <w:rPr>
                <w:rFonts w:asciiTheme="minorEastAsia" w:hAnsiTheme="minorEastAsia" w:eastAsiaTheme="minorEastAsia"/>
                <w:snapToGrid w:val="0"/>
                <w:kern w:val="0"/>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9"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1</w:t>
            </w:r>
          </w:p>
        </w:tc>
        <w:tc>
          <w:tcPr>
            <w:tcW w:w="1250" w:type="dxa"/>
          </w:tcPr>
          <w:p>
            <w:pPr>
              <w:jc w:val="center"/>
              <w:rPr>
                <w:rFonts w:asciiTheme="minorEastAsia" w:hAnsiTheme="minorEastAsia" w:eastAsiaTheme="minorEastAsia"/>
                <w:snapToGrid w:val="0"/>
                <w:kern w:val="0"/>
                <w:sz w:val="24"/>
              </w:rPr>
            </w:pPr>
          </w:p>
        </w:tc>
        <w:tc>
          <w:tcPr>
            <w:tcW w:w="1024" w:type="dxa"/>
          </w:tcPr>
          <w:p>
            <w:pPr>
              <w:jc w:val="center"/>
              <w:rPr>
                <w:rFonts w:asciiTheme="minorEastAsia" w:hAnsiTheme="minorEastAsia" w:eastAsiaTheme="minorEastAsia"/>
                <w:snapToGrid w:val="0"/>
                <w:kern w:val="0"/>
                <w:sz w:val="24"/>
              </w:rPr>
            </w:pPr>
          </w:p>
        </w:tc>
        <w:tc>
          <w:tcPr>
            <w:tcW w:w="720" w:type="dxa"/>
          </w:tcPr>
          <w:p>
            <w:pPr>
              <w:jc w:val="center"/>
              <w:rPr>
                <w:rFonts w:asciiTheme="minorEastAsia" w:hAnsiTheme="minorEastAsia" w:eastAsiaTheme="minorEastAsia"/>
                <w:snapToGrid w:val="0"/>
                <w:kern w:val="0"/>
                <w:sz w:val="24"/>
              </w:rPr>
            </w:pPr>
          </w:p>
        </w:tc>
        <w:tc>
          <w:tcPr>
            <w:tcW w:w="808" w:type="dxa"/>
          </w:tcPr>
          <w:p>
            <w:pPr>
              <w:jc w:val="center"/>
              <w:rPr>
                <w:rFonts w:asciiTheme="minorEastAsia" w:hAnsiTheme="minorEastAsia" w:eastAsiaTheme="minorEastAsia"/>
                <w:snapToGrid w:val="0"/>
                <w:kern w:val="0"/>
                <w:sz w:val="24"/>
              </w:rPr>
            </w:pPr>
          </w:p>
        </w:tc>
        <w:tc>
          <w:tcPr>
            <w:tcW w:w="1432" w:type="dxa"/>
          </w:tcPr>
          <w:p>
            <w:pPr>
              <w:jc w:val="center"/>
              <w:rPr>
                <w:rFonts w:asciiTheme="minorEastAsia" w:hAnsiTheme="minorEastAsia" w:eastAsiaTheme="minorEastAsia"/>
                <w:snapToGrid w:val="0"/>
                <w:kern w:val="0"/>
                <w:sz w:val="24"/>
              </w:rPr>
            </w:pPr>
          </w:p>
        </w:tc>
        <w:tc>
          <w:tcPr>
            <w:tcW w:w="1741" w:type="dxa"/>
          </w:tcPr>
          <w:p>
            <w:pPr>
              <w:jc w:val="center"/>
              <w:rPr>
                <w:rFonts w:asciiTheme="minorEastAsia" w:hAnsiTheme="minorEastAsia" w:eastAsiaTheme="minorEastAsia"/>
                <w:snapToGrid w:val="0"/>
                <w:kern w:val="0"/>
                <w:sz w:val="24"/>
              </w:rPr>
            </w:pPr>
          </w:p>
        </w:tc>
        <w:tc>
          <w:tcPr>
            <w:tcW w:w="711" w:type="dxa"/>
          </w:tcPr>
          <w:p>
            <w:pPr>
              <w:jc w:val="center"/>
              <w:rPr>
                <w:rFonts w:asciiTheme="minorEastAsia" w:hAnsiTheme="minorEastAsia" w:eastAsiaTheme="minorEastAsia"/>
                <w:snapToGrid w:val="0"/>
                <w:kern w:val="0"/>
                <w:sz w:val="24"/>
              </w:rPr>
            </w:pPr>
          </w:p>
        </w:tc>
        <w:tc>
          <w:tcPr>
            <w:tcW w:w="853" w:type="dxa"/>
          </w:tcPr>
          <w:p>
            <w:pPr>
              <w:jc w:val="center"/>
              <w:rPr>
                <w:rFonts w:asciiTheme="minorEastAsia" w:hAnsiTheme="minorEastAsia" w:eastAsiaTheme="minorEastAsia"/>
                <w:snapToGrid w:val="0"/>
                <w:kern w:val="0"/>
                <w:sz w:val="24"/>
              </w:rPr>
            </w:pPr>
          </w:p>
        </w:tc>
        <w:tc>
          <w:tcPr>
            <w:tcW w:w="855" w:type="dxa"/>
          </w:tcPr>
          <w:p>
            <w:pPr>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9"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2</w:t>
            </w:r>
          </w:p>
        </w:tc>
        <w:tc>
          <w:tcPr>
            <w:tcW w:w="1250" w:type="dxa"/>
          </w:tcPr>
          <w:p>
            <w:pPr>
              <w:jc w:val="center"/>
              <w:rPr>
                <w:rFonts w:asciiTheme="minorEastAsia" w:hAnsiTheme="minorEastAsia" w:eastAsiaTheme="minorEastAsia"/>
                <w:snapToGrid w:val="0"/>
                <w:kern w:val="0"/>
                <w:sz w:val="24"/>
              </w:rPr>
            </w:pPr>
          </w:p>
        </w:tc>
        <w:tc>
          <w:tcPr>
            <w:tcW w:w="1024" w:type="dxa"/>
          </w:tcPr>
          <w:p>
            <w:pPr>
              <w:jc w:val="center"/>
              <w:rPr>
                <w:rFonts w:asciiTheme="minorEastAsia" w:hAnsiTheme="minorEastAsia" w:eastAsiaTheme="minorEastAsia"/>
                <w:snapToGrid w:val="0"/>
                <w:kern w:val="0"/>
                <w:sz w:val="24"/>
              </w:rPr>
            </w:pPr>
          </w:p>
        </w:tc>
        <w:tc>
          <w:tcPr>
            <w:tcW w:w="720" w:type="dxa"/>
          </w:tcPr>
          <w:p>
            <w:pPr>
              <w:jc w:val="center"/>
              <w:rPr>
                <w:rFonts w:asciiTheme="minorEastAsia" w:hAnsiTheme="minorEastAsia" w:eastAsiaTheme="minorEastAsia"/>
                <w:snapToGrid w:val="0"/>
                <w:kern w:val="0"/>
                <w:sz w:val="24"/>
              </w:rPr>
            </w:pPr>
          </w:p>
        </w:tc>
        <w:tc>
          <w:tcPr>
            <w:tcW w:w="808" w:type="dxa"/>
          </w:tcPr>
          <w:p>
            <w:pPr>
              <w:jc w:val="center"/>
              <w:rPr>
                <w:rFonts w:asciiTheme="minorEastAsia" w:hAnsiTheme="minorEastAsia" w:eastAsiaTheme="minorEastAsia"/>
                <w:snapToGrid w:val="0"/>
                <w:kern w:val="0"/>
                <w:sz w:val="24"/>
              </w:rPr>
            </w:pPr>
          </w:p>
        </w:tc>
        <w:tc>
          <w:tcPr>
            <w:tcW w:w="1432" w:type="dxa"/>
          </w:tcPr>
          <w:p>
            <w:pPr>
              <w:jc w:val="center"/>
              <w:rPr>
                <w:rFonts w:asciiTheme="minorEastAsia" w:hAnsiTheme="minorEastAsia" w:eastAsiaTheme="minorEastAsia"/>
                <w:snapToGrid w:val="0"/>
                <w:kern w:val="0"/>
                <w:sz w:val="24"/>
              </w:rPr>
            </w:pPr>
          </w:p>
        </w:tc>
        <w:tc>
          <w:tcPr>
            <w:tcW w:w="1741" w:type="dxa"/>
          </w:tcPr>
          <w:p>
            <w:pPr>
              <w:jc w:val="center"/>
              <w:rPr>
                <w:rFonts w:asciiTheme="minorEastAsia" w:hAnsiTheme="minorEastAsia" w:eastAsiaTheme="minorEastAsia"/>
                <w:snapToGrid w:val="0"/>
                <w:kern w:val="0"/>
                <w:sz w:val="24"/>
              </w:rPr>
            </w:pPr>
          </w:p>
        </w:tc>
        <w:tc>
          <w:tcPr>
            <w:tcW w:w="711" w:type="dxa"/>
          </w:tcPr>
          <w:p>
            <w:pPr>
              <w:jc w:val="center"/>
              <w:rPr>
                <w:rFonts w:asciiTheme="minorEastAsia" w:hAnsiTheme="minorEastAsia" w:eastAsiaTheme="minorEastAsia"/>
                <w:snapToGrid w:val="0"/>
                <w:kern w:val="0"/>
                <w:sz w:val="24"/>
              </w:rPr>
            </w:pPr>
          </w:p>
        </w:tc>
        <w:tc>
          <w:tcPr>
            <w:tcW w:w="853" w:type="dxa"/>
          </w:tcPr>
          <w:p>
            <w:pPr>
              <w:jc w:val="center"/>
              <w:rPr>
                <w:rFonts w:asciiTheme="minorEastAsia" w:hAnsiTheme="minorEastAsia" w:eastAsiaTheme="minorEastAsia"/>
                <w:snapToGrid w:val="0"/>
                <w:kern w:val="0"/>
                <w:sz w:val="24"/>
              </w:rPr>
            </w:pPr>
          </w:p>
        </w:tc>
        <w:tc>
          <w:tcPr>
            <w:tcW w:w="855" w:type="dxa"/>
          </w:tcPr>
          <w:p>
            <w:pPr>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9"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3</w:t>
            </w:r>
          </w:p>
        </w:tc>
        <w:tc>
          <w:tcPr>
            <w:tcW w:w="1250" w:type="dxa"/>
          </w:tcPr>
          <w:p>
            <w:pPr>
              <w:jc w:val="center"/>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w:t>
            </w:r>
          </w:p>
        </w:tc>
        <w:tc>
          <w:tcPr>
            <w:tcW w:w="1024" w:type="dxa"/>
          </w:tcPr>
          <w:p>
            <w:pPr>
              <w:jc w:val="center"/>
              <w:rPr>
                <w:rFonts w:asciiTheme="minorEastAsia" w:hAnsiTheme="minorEastAsia" w:eastAsiaTheme="minorEastAsia"/>
                <w:snapToGrid w:val="0"/>
                <w:kern w:val="0"/>
                <w:sz w:val="24"/>
              </w:rPr>
            </w:pPr>
          </w:p>
        </w:tc>
        <w:tc>
          <w:tcPr>
            <w:tcW w:w="720" w:type="dxa"/>
          </w:tcPr>
          <w:p>
            <w:pPr>
              <w:jc w:val="center"/>
              <w:rPr>
                <w:rFonts w:asciiTheme="minorEastAsia" w:hAnsiTheme="minorEastAsia" w:eastAsiaTheme="minorEastAsia"/>
                <w:snapToGrid w:val="0"/>
                <w:kern w:val="0"/>
                <w:sz w:val="24"/>
              </w:rPr>
            </w:pPr>
          </w:p>
        </w:tc>
        <w:tc>
          <w:tcPr>
            <w:tcW w:w="808" w:type="dxa"/>
          </w:tcPr>
          <w:p>
            <w:pPr>
              <w:jc w:val="center"/>
              <w:rPr>
                <w:rFonts w:asciiTheme="minorEastAsia" w:hAnsiTheme="minorEastAsia" w:eastAsiaTheme="minorEastAsia"/>
                <w:snapToGrid w:val="0"/>
                <w:kern w:val="0"/>
                <w:sz w:val="24"/>
              </w:rPr>
            </w:pPr>
          </w:p>
        </w:tc>
        <w:tc>
          <w:tcPr>
            <w:tcW w:w="1432" w:type="dxa"/>
          </w:tcPr>
          <w:p>
            <w:pPr>
              <w:jc w:val="center"/>
              <w:rPr>
                <w:rFonts w:asciiTheme="minorEastAsia" w:hAnsiTheme="minorEastAsia" w:eastAsiaTheme="minorEastAsia"/>
                <w:snapToGrid w:val="0"/>
                <w:kern w:val="0"/>
                <w:sz w:val="24"/>
              </w:rPr>
            </w:pPr>
          </w:p>
        </w:tc>
        <w:tc>
          <w:tcPr>
            <w:tcW w:w="1741" w:type="dxa"/>
          </w:tcPr>
          <w:p>
            <w:pPr>
              <w:jc w:val="center"/>
              <w:rPr>
                <w:rFonts w:asciiTheme="minorEastAsia" w:hAnsiTheme="minorEastAsia" w:eastAsiaTheme="minorEastAsia"/>
                <w:snapToGrid w:val="0"/>
                <w:kern w:val="0"/>
                <w:sz w:val="24"/>
              </w:rPr>
            </w:pPr>
          </w:p>
        </w:tc>
        <w:tc>
          <w:tcPr>
            <w:tcW w:w="711" w:type="dxa"/>
          </w:tcPr>
          <w:p>
            <w:pPr>
              <w:jc w:val="center"/>
              <w:rPr>
                <w:rFonts w:asciiTheme="minorEastAsia" w:hAnsiTheme="minorEastAsia" w:eastAsiaTheme="minorEastAsia"/>
                <w:snapToGrid w:val="0"/>
                <w:kern w:val="0"/>
                <w:sz w:val="24"/>
              </w:rPr>
            </w:pPr>
          </w:p>
        </w:tc>
        <w:tc>
          <w:tcPr>
            <w:tcW w:w="853" w:type="dxa"/>
          </w:tcPr>
          <w:p>
            <w:pPr>
              <w:jc w:val="center"/>
              <w:rPr>
                <w:rFonts w:asciiTheme="minorEastAsia" w:hAnsiTheme="minorEastAsia" w:eastAsiaTheme="minorEastAsia"/>
                <w:snapToGrid w:val="0"/>
                <w:kern w:val="0"/>
                <w:sz w:val="24"/>
              </w:rPr>
            </w:pPr>
          </w:p>
        </w:tc>
        <w:tc>
          <w:tcPr>
            <w:tcW w:w="855" w:type="dxa"/>
          </w:tcPr>
          <w:p>
            <w:pPr>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9" w:type="dxa"/>
          </w:tcPr>
          <w:p>
            <w:pPr>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4</w:t>
            </w:r>
          </w:p>
        </w:tc>
        <w:tc>
          <w:tcPr>
            <w:tcW w:w="1250" w:type="dxa"/>
          </w:tcPr>
          <w:p>
            <w:pPr>
              <w:jc w:val="center"/>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合计</w:t>
            </w:r>
          </w:p>
        </w:tc>
        <w:tc>
          <w:tcPr>
            <w:tcW w:w="3984" w:type="dxa"/>
            <w:gridSpan w:val="4"/>
          </w:tcPr>
          <w:p>
            <w:pPr>
              <w:jc w:val="center"/>
              <w:rPr>
                <w:rFonts w:asciiTheme="minorEastAsia" w:hAnsiTheme="minorEastAsia" w:eastAsiaTheme="minorEastAsia"/>
                <w:snapToGrid w:val="0"/>
                <w:kern w:val="0"/>
                <w:sz w:val="24"/>
              </w:rPr>
            </w:pPr>
          </w:p>
        </w:tc>
        <w:tc>
          <w:tcPr>
            <w:tcW w:w="4160" w:type="dxa"/>
            <w:gridSpan w:val="4"/>
          </w:tcPr>
          <w:p>
            <w:pPr>
              <w:jc w:val="center"/>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在本包总报价的占比：</w:t>
            </w:r>
            <w:r>
              <w:rPr>
                <w:rFonts w:hint="eastAsia" w:asciiTheme="minorEastAsia" w:hAnsiTheme="minorEastAsia" w:eastAsiaTheme="minorEastAsia"/>
                <w:snapToGrid w:val="0"/>
                <w:kern w:val="0"/>
                <w:sz w:val="24"/>
                <w:u w:val="single"/>
              </w:rPr>
              <w:t xml:space="preserve"> </w:t>
            </w:r>
            <w:r>
              <w:rPr>
                <w:rFonts w:asciiTheme="minorEastAsia" w:hAnsiTheme="minorEastAsia" w:eastAsiaTheme="minorEastAsia"/>
                <w:snapToGrid w:val="0"/>
                <w:kern w:val="0"/>
                <w:sz w:val="24"/>
                <w:u w:val="single"/>
              </w:rPr>
              <w:t xml:space="preserve">   </w:t>
            </w:r>
            <w:r>
              <w:rPr>
                <w:rFonts w:hint="eastAsia" w:asciiTheme="minorEastAsia" w:hAnsiTheme="minorEastAsia" w:eastAsiaTheme="minorEastAsia"/>
                <w:snapToGrid w:val="0"/>
                <w:kern w:val="0"/>
                <w:sz w:val="24"/>
              </w:rPr>
              <w:t>%。</w:t>
            </w:r>
          </w:p>
        </w:tc>
      </w:tr>
    </w:tbl>
    <w:p>
      <w:pPr>
        <w:spacing w:line="460" w:lineRule="exac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注：</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1.节能产品根据财政部、国家发展改革委最新公布的节能产品政府采购品目清单确定。并附完整的节能产品认证证书（包含所投产品型号所在附页）复印件并加盖公章。</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2.如所投产品为节能产品（强制采购产品除外），必须按规定格式逐项填写，型号必须与证书型号完全一致，否则评审时不予加分。如所投产品不是节能产品，则逐项填写“无”或“没有相应指标”等明确的回答文字。</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3.此表可根据需要同格式扩展。</w:t>
      </w:r>
    </w:p>
    <w:p>
      <w:pPr>
        <w:spacing w:line="460" w:lineRule="exact"/>
        <w:jc w:val="left"/>
        <w:rPr>
          <w:rFonts w:asciiTheme="minorEastAsia" w:hAnsiTheme="minorEastAsia" w:eastAsiaTheme="minorEastAsia"/>
          <w:snapToGrid w:val="0"/>
          <w:kern w:val="0"/>
          <w:sz w:val="24"/>
        </w:rPr>
      </w:pPr>
    </w:p>
    <w:p>
      <w:pPr>
        <w:spacing w:line="460" w:lineRule="exact"/>
        <w:jc w:val="left"/>
        <w:rPr>
          <w:rFonts w:asciiTheme="minorEastAsia" w:hAnsiTheme="minorEastAsia" w:eastAsiaTheme="minorEastAsia"/>
          <w:snapToGrid w:val="0"/>
          <w:kern w:val="0"/>
          <w:sz w:val="24"/>
        </w:rPr>
      </w:pP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供应商名称（盖章）：</w:t>
      </w:r>
    </w:p>
    <w:p>
      <w:pPr>
        <w:spacing w:line="360" w:lineRule="auto"/>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法定代表人或授权代理人签字或盖章：</w:t>
      </w:r>
    </w:p>
    <w:p>
      <w:pPr>
        <w:spacing w:line="360" w:lineRule="auto"/>
        <w:ind w:firstLine="6360" w:firstLineChars="2650"/>
        <w:jc w:val="righ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 xml:space="preserve">年 </w:t>
      </w:r>
      <w:r>
        <w:rPr>
          <w:rFonts w:asciiTheme="minorEastAsia" w:hAnsiTheme="minorEastAsia" w:eastAsiaTheme="minorEastAsia"/>
          <w:snapToGrid w:val="0"/>
          <w:kern w:val="0"/>
          <w:sz w:val="24"/>
        </w:rPr>
        <w:t xml:space="preserve">  </w:t>
      </w:r>
      <w:r>
        <w:rPr>
          <w:rFonts w:hint="eastAsia" w:asciiTheme="minorEastAsia" w:hAnsiTheme="minorEastAsia" w:eastAsiaTheme="minorEastAsia"/>
          <w:snapToGrid w:val="0"/>
          <w:kern w:val="0"/>
          <w:sz w:val="24"/>
        </w:rPr>
        <w:t xml:space="preserve">月 </w:t>
      </w:r>
      <w:r>
        <w:rPr>
          <w:rFonts w:asciiTheme="minorEastAsia" w:hAnsiTheme="minorEastAsia" w:eastAsiaTheme="minorEastAsia"/>
          <w:snapToGrid w:val="0"/>
          <w:kern w:val="0"/>
          <w:sz w:val="24"/>
        </w:rPr>
        <w:t xml:space="preserve">  </w:t>
      </w:r>
      <w:r>
        <w:rPr>
          <w:rFonts w:hint="eastAsia" w:asciiTheme="minorEastAsia" w:hAnsiTheme="minorEastAsia" w:eastAsiaTheme="minorEastAsia"/>
          <w:snapToGrid w:val="0"/>
          <w:kern w:val="0"/>
          <w:sz w:val="24"/>
        </w:rPr>
        <w:t>日</w:t>
      </w:r>
    </w:p>
    <w:p>
      <w:pPr>
        <w:pStyle w:val="3"/>
        <w:spacing w:before="0" w:after="0"/>
        <w:jc w:val="left"/>
        <w:rPr>
          <w:rFonts w:asciiTheme="minorEastAsia" w:hAnsiTheme="minorEastAsia" w:eastAsiaTheme="minorEastAsia"/>
          <w:snapToGrid w:val="0"/>
          <w:sz w:val="24"/>
          <w:szCs w:val="24"/>
        </w:rPr>
      </w:pPr>
      <w:r>
        <w:rPr>
          <w:rFonts w:asciiTheme="minorEastAsia" w:hAnsiTheme="minorEastAsia" w:eastAsiaTheme="minorEastAsia"/>
          <w:snapToGrid w:val="0"/>
        </w:rPr>
        <w:br w:type="page"/>
      </w:r>
    </w:p>
    <w:p>
      <w:pPr>
        <w:spacing w:line="460" w:lineRule="exact"/>
        <w:jc w:val="center"/>
        <w:rPr>
          <w:rFonts w:asciiTheme="minorEastAsia" w:hAnsiTheme="minorEastAsia" w:eastAsiaTheme="minorEastAsia"/>
          <w:b/>
          <w:bCs/>
          <w:snapToGrid w:val="0"/>
          <w:kern w:val="0"/>
          <w:sz w:val="28"/>
          <w:szCs w:val="28"/>
        </w:rPr>
      </w:pPr>
      <w:r>
        <w:rPr>
          <w:rFonts w:hint="eastAsia" w:asciiTheme="minorEastAsia" w:hAnsiTheme="minorEastAsia" w:eastAsiaTheme="minorEastAsia"/>
          <w:b/>
          <w:bCs/>
          <w:snapToGrid w:val="0"/>
          <w:kern w:val="0"/>
          <w:sz w:val="28"/>
          <w:szCs w:val="28"/>
        </w:rPr>
        <w:t>（五）政府强制采购节能产品明细表</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项目名称：</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项目编号：</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 xml:space="preserve">包    号：               </w:t>
      </w:r>
    </w:p>
    <w:tbl>
      <w:tblPr>
        <w:tblStyle w:val="75"/>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992"/>
        <w:gridCol w:w="992"/>
        <w:gridCol w:w="1418"/>
        <w:gridCol w:w="1809"/>
        <w:gridCol w:w="2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序号</w:t>
            </w:r>
          </w:p>
        </w:tc>
        <w:tc>
          <w:tcPr>
            <w:tcW w:w="1276" w:type="dxa"/>
            <w:vAlign w:val="center"/>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产品名称</w:t>
            </w:r>
          </w:p>
        </w:tc>
        <w:tc>
          <w:tcPr>
            <w:tcW w:w="992" w:type="dxa"/>
            <w:vAlign w:val="center"/>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制造商</w:t>
            </w:r>
          </w:p>
        </w:tc>
        <w:tc>
          <w:tcPr>
            <w:tcW w:w="992" w:type="dxa"/>
            <w:vAlign w:val="center"/>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品牌</w:t>
            </w:r>
          </w:p>
        </w:tc>
        <w:tc>
          <w:tcPr>
            <w:tcW w:w="1418" w:type="dxa"/>
            <w:vAlign w:val="center"/>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产品型号</w:t>
            </w:r>
          </w:p>
        </w:tc>
        <w:tc>
          <w:tcPr>
            <w:tcW w:w="1809" w:type="dxa"/>
            <w:vAlign w:val="center"/>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节能标志</w:t>
            </w:r>
          </w:p>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认证证书号</w:t>
            </w:r>
          </w:p>
        </w:tc>
        <w:tc>
          <w:tcPr>
            <w:tcW w:w="2166" w:type="dxa"/>
            <w:vAlign w:val="center"/>
          </w:tcPr>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节能产品认证</w:t>
            </w:r>
          </w:p>
          <w:p>
            <w:pPr>
              <w:spacing w:line="360" w:lineRule="auto"/>
              <w:jc w:val="center"/>
              <w:rPr>
                <w:rFonts w:asciiTheme="minorEastAsia" w:hAnsiTheme="minorEastAsia" w:eastAsiaTheme="minorEastAsia"/>
                <w:snapToGrid w:val="0"/>
                <w:kern w:val="0"/>
                <w:sz w:val="22"/>
                <w:szCs w:val="22"/>
              </w:rPr>
            </w:pPr>
            <w:r>
              <w:rPr>
                <w:rFonts w:hint="eastAsia" w:asciiTheme="minorEastAsia" w:hAnsiTheme="minorEastAsia" w:eastAsiaTheme="minorEastAsia"/>
                <w:snapToGrid w:val="0"/>
                <w:kern w:val="0"/>
                <w:sz w:val="22"/>
                <w:szCs w:val="22"/>
              </w:rPr>
              <w:t>证书有效截止日期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7" w:type="dxa"/>
            <w:vAlign w:val="center"/>
          </w:tcPr>
          <w:p>
            <w:pPr>
              <w:spacing w:line="360" w:lineRule="auto"/>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1</w:t>
            </w:r>
          </w:p>
        </w:tc>
        <w:tc>
          <w:tcPr>
            <w:tcW w:w="1276"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1418" w:type="dxa"/>
            <w:vAlign w:val="center"/>
          </w:tcPr>
          <w:p>
            <w:pPr>
              <w:spacing w:line="360" w:lineRule="auto"/>
              <w:jc w:val="center"/>
              <w:rPr>
                <w:rFonts w:asciiTheme="minorEastAsia" w:hAnsiTheme="minorEastAsia" w:eastAsiaTheme="minorEastAsia"/>
                <w:snapToGrid w:val="0"/>
                <w:kern w:val="0"/>
                <w:sz w:val="24"/>
              </w:rPr>
            </w:pPr>
          </w:p>
        </w:tc>
        <w:tc>
          <w:tcPr>
            <w:tcW w:w="1809" w:type="dxa"/>
            <w:vAlign w:val="center"/>
          </w:tcPr>
          <w:p>
            <w:pPr>
              <w:spacing w:line="360" w:lineRule="auto"/>
              <w:jc w:val="center"/>
              <w:rPr>
                <w:rFonts w:asciiTheme="minorEastAsia" w:hAnsiTheme="minorEastAsia" w:eastAsiaTheme="minorEastAsia"/>
                <w:snapToGrid w:val="0"/>
                <w:kern w:val="0"/>
                <w:sz w:val="24"/>
              </w:rPr>
            </w:pPr>
          </w:p>
        </w:tc>
        <w:tc>
          <w:tcPr>
            <w:tcW w:w="2166" w:type="dxa"/>
            <w:vAlign w:val="center"/>
          </w:tcPr>
          <w:p>
            <w:pPr>
              <w:spacing w:line="360" w:lineRule="auto"/>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7" w:type="dxa"/>
            <w:vAlign w:val="center"/>
          </w:tcPr>
          <w:p>
            <w:pPr>
              <w:spacing w:line="360" w:lineRule="auto"/>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2</w:t>
            </w:r>
          </w:p>
        </w:tc>
        <w:tc>
          <w:tcPr>
            <w:tcW w:w="1276"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1418" w:type="dxa"/>
            <w:vAlign w:val="center"/>
          </w:tcPr>
          <w:p>
            <w:pPr>
              <w:spacing w:line="360" w:lineRule="auto"/>
              <w:jc w:val="center"/>
              <w:rPr>
                <w:rFonts w:asciiTheme="minorEastAsia" w:hAnsiTheme="minorEastAsia" w:eastAsiaTheme="minorEastAsia"/>
                <w:snapToGrid w:val="0"/>
                <w:kern w:val="0"/>
                <w:sz w:val="24"/>
              </w:rPr>
            </w:pPr>
          </w:p>
        </w:tc>
        <w:tc>
          <w:tcPr>
            <w:tcW w:w="1809" w:type="dxa"/>
            <w:vAlign w:val="center"/>
          </w:tcPr>
          <w:p>
            <w:pPr>
              <w:spacing w:line="360" w:lineRule="auto"/>
              <w:jc w:val="center"/>
              <w:rPr>
                <w:rFonts w:asciiTheme="minorEastAsia" w:hAnsiTheme="minorEastAsia" w:eastAsiaTheme="minorEastAsia"/>
                <w:snapToGrid w:val="0"/>
                <w:kern w:val="0"/>
                <w:sz w:val="24"/>
              </w:rPr>
            </w:pPr>
          </w:p>
        </w:tc>
        <w:tc>
          <w:tcPr>
            <w:tcW w:w="2166" w:type="dxa"/>
            <w:vAlign w:val="center"/>
          </w:tcPr>
          <w:p>
            <w:pPr>
              <w:spacing w:line="360" w:lineRule="auto"/>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7" w:type="dxa"/>
            <w:vAlign w:val="center"/>
          </w:tcPr>
          <w:p>
            <w:pPr>
              <w:spacing w:line="360" w:lineRule="auto"/>
              <w:jc w:val="center"/>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t>3</w:t>
            </w:r>
          </w:p>
        </w:tc>
        <w:tc>
          <w:tcPr>
            <w:tcW w:w="1276"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1418" w:type="dxa"/>
            <w:vAlign w:val="center"/>
          </w:tcPr>
          <w:p>
            <w:pPr>
              <w:spacing w:line="360" w:lineRule="auto"/>
              <w:jc w:val="center"/>
              <w:rPr>
                <w:rFonts w:asciiTheme="minorEastAsia" w:hAnsiTheme="minorEastAsia" w:eastAsiaTheme="minorEastAsia"/>
                <w:snapToGrid w:val="0"/>
                <w:kern w:val="0"/>
                <w:sz w:val="24"/>
              </w:rPr>
            </w:pPr>
          </w:p>
        </w:tc>
        <w:tc>
          <w:tcPr>
            <w:tcW w:w="1809" w:type="dxa"/>
            <w:vAlign w:val="center"/>
          </w:tcPr>
          <w:p>
            <w:pPr>
              <w:spacing w:line="360" w:lineRule="auto"/>
              <w:jc w:val="center"/>
              <w:rPr>
                <w:rFonts w:asciiTheme="minorEastAsia" w:hAnsiTheme="minorEastAsia" w:eastAsiaTheme="minorEastAsia"/>
                <w:snapToGrid w:val="0"/>
                <w:kern w:val="0"/>
                <w:sz w:val="24"/>
              </w:rPr>
            </w:pPr>
          </w:p>
        </w:tc>
        <w:tc>
          <w:tcPr>
            <w:tcW w:w="2166" w:type="dxa"/>
            <w:vAlign w:val="center"/>
          </w:tcPr>
          <w:p>
            <w:pPr>
              <w:spacing w:line="360" w:lineRule="auto"/>
              <w:jc w:val="center"/>
              <w:rPr>
                <w:rFonts w:asciiTheme="minorEastAsia" w:hAnsiTheme="minorEastAsia" w:eastAsia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7" w:type="dxa"/>
            <w:vAlign w:val="center"/>
          </w:tcPr>
          <w:p>
            <w:pPr>
              <w:spacing w:line="360" w:lineRule="auto"/>
              <w:jc w:val="center"/>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w:t>
            </w:r>
          </w:p>
        </w:tc>
        <w:tc>
          <w:tcPr>
            <w:tcW w:w="1276"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992" w:type="dxa"/>
            <w:vAlign w:val="center"/>
          </w:tcPr>
          <w:p>
            <w:pPr>
              <w:spacing w:line="360" w:lineRule="auto"/>
              <w:jc w:val="center"/>
              <w:rPr>
                <w:rFonts w:asciiTheme="minorEastAsia" w:hAnsiTheme="minorEastAsia" w:eastAsiaTheme="minorEastAsia"/>
                <w:snapToGrid w:val="0"/>
                <w:kern w:val="0"/>
                <w:sz w:val="24"/>
              </w:rPr>
            </w:pPr>
          </w:p>
        </w:tc>
        <w:tc>
          <w:tcPr>
            <w:tcW w:w="1418" w:type="dxa"/>
            <w:vAlign w:val="center"/>
          </w:tcPr>
          <w:p>
            <w:pPr>
              <w:spacing w:line="360" w:lineRule="auto"/>
              <w:jc w:val="center"/>
              <w:rPr>
                <w:rFonts w:asciiTheme="minorEastAsia" w:hAnsiTheme="minorEastAsia" w:eastAsiaTheme="minorEastAsia"/>
                <w:snapToGrid w:val="0"/>
                <w:kern w:val="0"/>
                <w:sz w:val="24"/>
              </w:rPr>
            </w:pPr>
          </w:p>
        </w:tc>
        <w:tc>
          <w:tcPr>
            <w:tcW w:w="1809" w:type="dxa"/>
            <w:vAlign w:val="center"/>
          </w:tcPr>
          <w:p>
            <w:pPr>
              <w:spacing w:line="360" w:lineRule="auto"/>
              <w:jc w:val="center"/>
              <w:rPr>
                <w:rFonts w:asciiTheme="minorEastAsia" w:hAnsiTheme="minorEastAsia" w:eastAsiaTheme="minorEastAsia"/>
                <w:snapToGrid w:val="0"/>
                <w:kern w:val="0"/>
                <w:sz w:val="24"/>
              </w:rPr>
            </w:pPr>
          </w:p>
        </w:tc>
        <w:tc>
          <w:tcPr>
            <w:tcW w:w="2166" w:type="dxa"/>
            <w:vAlign w:val="center"/>
          </w:tcPr>
          <w:p>
            <w:pPr>
              <w:spacing w:line="360" w:lineRule="auto"/>
              <w:jc w:val="center"/>
              <w:rPr>
                <w:rFonts w:asciiTheme="minorEastAsia" w:hAnsiTheme="minorEastAsia" w:eastAsiaTheme="minorEastAsia"/>
                <w:snapToGrid w:val="0"/>
                <w:kern w:val="0"/>
                <w:sz w:val="24"/>
              </w:rPr>
            </w:pPr>
          </w:p>
        </w:tc>
      </w:tr>
    </w:tbl>
    <w:p>
      <w:pPr>
        <w:spacing w:line="360" w:lineRule="auto"/>
        <w:ind w:firstLine="482" w:firstLineChars="200"/>
        <w:rPr>
          <w:rFonts w:ascii="宋体" w:hAnsi="宋体" w:cs="宋体"/>
          <w:b/>
          <w:bCs/>
          <w:sz w:val="24"/>
        </w:rPr>
      </w:pPr>
      <w:r>
        <w:rPr>
          <w:rFonts w:hint="eastAsia" w:ascii="宋体" w:hAnsi="宋体" w:cs="宋体"/>
          <w:b/>
          <w:bCs/>
          <w:sz w:val="24"/>
        </w:rPr>
        <w:t>说明：1、政府采购强制节能产品根据财政部、国家发展改革委最新公布的节能产品政府采购品目清单确定。</w:t>
      </w:r>
    </w:p>
    <w:p>
      <w:pPr>
        <w:pStyle w:val="30"/>
        <w:spacing w:line="360" w:lineRule="auto"/>
        <w:ind w:firstLine="1205" w:firstLineChars="500"/>
        <w:rPr>
          <w:rFonts w:ascii="宋体" w:hAnsi="宋体" w:cs="宋体"/>
          <w:sz w:val="24"/>
        </w:rPr>
      </w:pPr>
      <w:r>
        <w:rPr>
          <w:rFonts w:hint="eastAsia" w:ascii="宋体" w:hAnsi="宋体" w:cs="宋体"/>
          <w:b/>
          <w:bCs/>
          <w:sz w:val="24"/>
        </w:rPr>
        <w:t>2、如所投产品为政府强制采购节能产品，必须按规定格式逐项填写并提供节能产品认证证书复印件加盖单位公章，及财政部、国家发展改革委最新公布的节能产品政府采购品目清单，否则按无效标处理。</w:t>
      </w:r>
    </w:p>
    <w:p>
      <w:pPr>
        <w:spacing w:line="360" w:lineRule="auto"/>
        <w:rPr>
          <w:rFonts w:asciiTheme="minorEastAsia" w:hAnsiTheme="minorEastAsia" w:eastAsiaTheme="minorEastAsia"/>
          <w:snapToGrid w:val="0"/>
          <w:kern w:val="0"/>
          <w:sz w:val="24"/>
        </w:rPr>
      </w:pPr>
    </w:p>
    <w:p>
      <w:pPr>
        <w:spacing w:line="460" w:lineRule="exact"/>
        <w:jc w:val="left"/>
        <w:rPr>
          <w:rFonts w:asciiTheme="minorEastAsia" w:hAnsiTheme="minorEastAsia" w:eastAsiaTheme="minorEastAsia"/>
          <w:snapToGrid w:val="0"/>
          <w:kern w:val="0"/>
          <w:sz w:val="24"/>
        </w:rPr>
      </w:pP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供应商名称（盖章）：</w:t>
      </w:r>
    </w:p>
    <w:p>
      <w:pPr>
        <w:spacing w:line="360" w:lineRule="auto"/>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法定代表人或授权代理人签字或盖章：</w:t>
      </w:r>
    </w:p>
    <w:p>
      <w:pPr>
        <w:spacing w:line="360" w:lineRule="auto"/>
        <w:ind w:firstLine="6000" w:firstLineChars="2500"/>
        <w:rPr>
          <w:rFonts w:asciiTheme="minorEastAsia" w:hAnsiTheme="minorEastAsia" w:eastAsiaTheme="minorEastAsia"/>
          <w:snapToGrid w:val="0"/>
          <w:kern w:val="0"/>
          <w:sz w:val="24"/>
        </w:rPr>
      </w:pPr>
    </w:p>
    <w:p>
      <w:pPr>
        <w:spacing w:line="360" w:lineRule="auto"/>
        <w:ind w:firstLine="6000" w:firstLineChars="2500"/>
        <w:jc w:val="righ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 xml:space="preserve">年 </w:t>
      </w:r>
      <w:r>
        <w:rPr>
          <w:rFonts w:asciiTheme="minorEastAsia" w:hAnsiTheme="minorEastAsia" w:eastAsiaTheme="minorEastAsia"/>
          <w:snapToGrid w:val="0"/>
          <w:kern w:val="0"/>
          <w:sz w:val="24"/>
        </w:rPr>
        <w:t xml:space="preserve">   </w:t>
      </w:r>
      <w:r>
        <w:rPr>
          <w:rFonts w:hint="eastAsia" w:asciiTheme="minorEastAsia" w:hAnsiTheme="minorEastAsia" w:eastAsiaTheme="minorEastAsia"/>
          <w:snapToGrid w:val="0"/>
          <w:kern w:val="0"/>
          <w:sz w:val="24"/>
        </w:rPr>
        <w:t xml:space="preserve">月 </w:t>
      </w:r>
      <w:r>
        <w:rPr>
          <w:rFonts w:asciiTheme="minorEastAsia" w:hAnsiTheme="minorEastAsia" w:eastAsiaTheme="minorEastAsia"/>
          <w:snapToGrid w:val="0"/>
          <w:kern w:val="0"/>
          <w:sz w:val="24"/>
        </w:rPr>
        <w:t xml:space="preserve">  </w:t>
      </w:r>
      <w:r>
        <w:rPr>
          <w:rFonts w:hint="eastAsia" w:asciiTheme="minorEastAsia" w:hAnsiTheme="minorEastAsia" w:eastAsiaTheme="minorEastAsia"/>
          <w:snapToGrid w:val="0"/>
          <w:kern w:val="0"/>
          <w:sz w:val="24"/>
        </w:rPr>
        <w:t>日</w:t>
      </w:r>
    </w:p>
    <w:p>
      <w:pPr>
        <w:spacing w:line="360" w:lineRule="auto"/>
        <w:ind w:firstLine="6000" w:firstLineChars="2500"/>
        <w:jc w:val="right"/>
        <w:rPr>
          <w:rFonts w:asciiTheme="minorEastAsia" w:hAnsiTheme="minorEastAsia" w:eastAsiaTheme="minorEastAsia"/>
          <w:snapToGrid w:val="0"/>
          <w:kern w:val="0"/>
          <w:sz w:val="24"/>
        </w:rPr>
      </w:pPr>
      <w:r>
        <w:rPr>
          <w:rFonts w:asciiTheme="minorEastAsia" w:hAnsiTheme="minorEastAsia" w:eastAsiaTheme="minorEastAsia"/>
          <w:snapToGrid w:val="0"/>
          <w:kern w:val="0"/>
          <w:sz w:val="24"/>
        </w:rPr>
        <w:br w:type="page"/>
      </w:r>
    </w:p>
    <w:p>
      <w:pPr>
        <w:spacing w:line="312" w:lineRule="auto"/>
        <w:ind w:left="749" w:right="491"/>
        <w:rPr>
          <w:sz w:val="24"/>
        </w:rPr>
      </w:pPr>
      <w:r>
        <w:rPr>
          <w:rFonts w:hint="eastAsia"/>
          <w:b/>
          <w:sz w:val="28"/>
          <w:szCs w:val="22"/>
        </w:rPr>
        <w:t>（六）</w:t>
      </w:r>
      <w:r>
        <w:rPr>
          <w:b/>
          <w:sz w:val="28"/>
          <w:szCs w:val="22"/>
        </w:rPr>
        <w:t>监狱企业、小型和微型企业、残疾人福利性单位报价</w:t>
      </w:r>
      <w:r>
        <w:rPr>
          <w:rFonts w:hint="eastAsia"/>
          <w:b/>
          <w:sz w:val="28"/>
          <w:szCs w:val="22"/>
        </w:rPr>
        <w:t>明细</w:t>
      </w:r>
      <w:r>
        <w:rPr>
          <w:rFonts w:hint="eastAsia"/>
          <w:sz w:val="28"/>
          <w:szCs w:val="28"/>
        </w:rPr>
        <w:t xml:space="preserve"> </w:t>
      </w:r>
      <w:r>
        <w:rPr>
          <w:rFonts w:hint="eastAsia"/>
          <w:sz w:val="24"/>
        </w:rPr>
        <w:t xml:space="preserve">  </w:t>
      </w:r>
    </w:p>
    <w:tbl>
      <w:tblPr>
        <w:tblStyle w:val="75"/>
        <w:tblW w:w="9733"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1347"/>
        <w:gridCol w:w="1552"/>
        <w:gridCol w:w="968"/>
        <w:gridCol w:w="728"/>
        <w:gridCol w:w="888"/>
        <w:gridCol w:w="816"/>
        <w:gridCol w:w="808"/>
        <w:gridCol w:w="720"/>
        <w:gridCol w:w="800"/>
        <w:gridCol w:w="6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485" w:type="dxa"/>
            <w:vMerge w:val="restart"/>
            <w:vAlign w:val="center"/>
          </w:tcPr>
          <w:p>
            <w:pPr>
              <w:pStyle w:val="338"/>
              <w:spacing w:before="212" w:line="242" w:lineRule="auto"/>
              <w:ind w:right="98"/>
              <w:jc w:val="center"/>
              <w:rPr>
                <w:sz w:val="22"/>
                <w:szCs w:val="22"/>
              </w:rPr>
            </w:pPr>
            <w:r>
              <w:rPr>
                <w:sz w:val="22"/>
                <w:szCs w:val="22"/>
              </w:rPr>
              <w:t>序号</w:t>
            </w:r>
          </w:p>
        </w:tc>
        <w:tc>
          <w:tcPr>
            <w:tcW w:w="1347" w:type="dxa"/>
            <w:vMerge w:val="restart"/>
            <w:vAlign w:val="center"/>
          </w:tcPr>
          <w:p>
            <w:pPr>
              <w:pStyle w:val="338"/>
              <w:spacing w:before="212" w:line="242" w:lineRule="auto"/>
              <w:ind w:left="106" w:right="98"/>
              <w:jc w:val="center"/>
              <w:rPr>
                <w:sz w:val="22"/>
                <w:szCs w:val="22"/>
              </w:rPr>
            </w:pPr>
            <w:r>
              <w:rPr>
                <w:sz w:val="22"/>
                <w:szCs w:val="22"/>
              </w:rPr>
              <w:t>货 物（服务、工程） 名称</w:t>
            </w:r>
          </w:p>
        </w:tc>
        <w:tc>
          <w:tcPr>
            <w:tcW w:w="1552" w:type="dxa"/>
            <w:vMerge w:val="restart"/>
            <w:vAlign w:val="center"/>
          </w:tcPr>
          <w:p>
            <w:pPr>
              <w:pStyle w:val="338"/>
              <w:spacing w:before="212" w:line="242" w:lineRule="auto"/>
              <w:ind w:left="106" w:right="98"/>
              <w:jc w:val="center"/>
              <w:rPr>
                <w:sz w:val="22"/>
                <w:szCs w:val="22"/>
              </w:rPr>
            </w:pPr>
            <w:r>
              <w:rPr>
                <w:sz w:val="22"/>
                <w:szCs w:val="22"/>
              </w:rPr>
              <w:t>型号规格（工程、服务类项目不需填写）</w:t>
            </w:r>
          </w:p>
        </w:tc>
        <w:tc>
          <w:tcPr>
            <w:tcW w:w="968" w:type="dxa"/>
            <w:vMerge w:val="restart"/>
            <w:vAlign w:val="center"/>
          </w:tcPr>
          <w:p>
            <w:pPr>
              <w:pStyle w:val="338"/>
              <w:spacing w:before="212" w:line="242" w:lineRule="auto"/>
              <w:ind w:right="98"/>
              <w:jc w:val="center"/>
              <w:rPr>
                <w:sz w:val="22"/>
                <w:szCs w:val="22"/>
              </w:rPr>
            </w:pPr>
            <w:r>
              <w:rPr>
                <w:sz w:val="22"/>
                <w:szCs w:val="22"/>
              </w:rPr>
              <w:t>制造商 名称</w:t>
            </w:r>
          </w:p>
        </w:tc>
        <w:tc>
          <w:tcPr>
            <w:tcW w:w="728" w:type="dxa"/>
            <w:vMerge w:val="restart"/>
            <w:vAlign w:val="center"/>
          </w:tcPr>
          <w:p>
            <w:pPr>
              <w:pStyle w:val="338"/>
              <w:spacing w:before="212" w:line="242" w:lineRule="auto"/>
              <w:ind w:right="98"/>
              <w:jc w:val="center"/>
              <w:rPr>
                <w:sz w:val="22"/>
                <w:szCs w:val="22"/>
              </w:rPr>
            </w:pPr>
            <w:r>
              <w:rPr>
                <w:sz w:val="22"/>
                <w:szCs w:val="22"/>
              </w:rPr>
              <w:t>数量</w:t>
            </w:r>
          </w:p>
        </w:tc>
        <w:tc>
          <w:tcPr>
            <w:tcW w:w="1704" w:type="dxa"/>
            <w:gridSpan w:val="2"/>
            <w:vAlign w:val="center"/>
          </w:tcPr>
          <w:p>
            <w:pPr>
              <w:pStyle w:val="338"/>
              <w:spacing w:before="212" w:line="242" w:lineRule="auto"/>
              <w:ind w:left="106" w:right="98"/>
              <w:jc w:val="center"/>
              <w:rPr>
                <w:sz w:val="22"/>
                <w:szCs w:val="22"/>
              </w:rPr>
            </w:pPr>
            <w:r>
              <w:rPr>
                <w:sz w:val="22"/>
                <w:szCs w:val="22"/>
              </w:rPr>
              <w:t>小型、微型</w:t>
            </w:r>
          </w:p>
          <w:p>
            <w:pPr>
              <w:pStyle w:val="338"/>
              <w:spacing w:before="212" w:line="242" w:lineRule="auto"/>
              <w:ind w:left="106" w:right="98"/>
              <w:jc w:val="center"/>
              <w:rPr>
                <w:sz w:val="22"/>
                <w:szCs w:val="22"/>
              </w:rPr>
            </w:pPr>
            <w:r>
              <w:rPr>
                <w:sz w:val="22"/>
                <w:szCs w:val="22"/>
              </w:rPr>
              <w:t>企业报价</w:t>
            </w:r>
          </w:p>
        </w:tc>
        <w:tc>
          <w:tcPr>
            <w:tcW w:w="1528" w:type="dxa"/>
            <w:gridSpan w:val="2"/>
            <w:vAlign w:val="center"/>
          </w:tcPr>
          <w:p>
            <w:pPr>
              <w:pStyle w:val="338"/>
              <w:spacing w:before="212" w:line="242" w:lineRule="auto"/>
              <w:ind w:right="98"/>
              <w:jc w:val="center"/>
              <w:rPr>
                <w:sz w:val="22"/>
                <w:szCs w:val="22"/>
              </w:rPr>
            </w:pPr>
            <w:r>
              <w:rPr>
                <w:sz w:val="22"/>
                <w:szCs w:val="22"/>
              </w:rPr>
              <w:t>监狱企业报价</w:t>
            </w:r>
          </w:p>
        </w:tc>
        <w:tc>
          <w:tcPr>
            <w:tcW w:w="1421" w:type="dxa"/>
            <w:gridSpan w:val="2"/>
            <w:vAlign w:val="center"/>
          </w:tcPr>
          <w:p>
            <w:pPr>
              <w:pStyle w:val="338"/>
              <w:spacing w:before="212" w:line="242" w:lineRule="auto"/>
              <w:ind w:right="98"/>
              <w:jc w:val="center"/>
              <w:rPr>
                <w:sz w:val="22"/>
                <w:szCs w:val="22"/>
              </w:rPr>
            </w:pPr>
            <w:r>
              <w:rPr>
                <w:sz w:val="22"/>
                <w:szCs w:val="22"/>
              </w:rPr>
              <w:t>残疾人福利性单位报价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485" w:type="dxa"/>
            <w:vMerge w:val="continue"/>
            <w:tcBorders>
              <w:top w:val="nil"/>
            </w:tcBorders>
            <w:vAlign w:val="center"/>
          </w:tcPr>
          <w:p>
            <w:pPr>
              <w:jc w:val="center"/>
              <w:rPr>
                <w:sz w:val="22"/>
                <w:szCs w:val="22"/>
              </w:rPr>
            </w:pPr>
          </w:p>
        </w:tc>
        <w:tc>
          <w:tcPr>
            <w:tcW w:w="1347" w:type="dxa"/>
            <w:vMerge w:val="continue"/>
            <w:tcBorders>
              <w:top w:val="nil"/>
            </w:tcBorders>
            <w:vAlign w:val="center"/>
          </w:tcPr>
          <w:p>
            <w:pPr>
              <w:jc w:val="center"/>
              <w:rPr>
                <w:sz w:val="22"/>
                <w:szCs w:val="22"/>
              </w:rPr>
            </w:pPr>
          </w:p>
        </w:tc>
        <w:tc>
          <w:tcPr>
            <w:tcW w:w="1552" w:type="dxa"/>
            <w:vMerge w:val="continue"/>
            <w:tcBorders>
              <w:top w:val="nil"/>
            </w:tcBorders>
            <w:vAlign w:val="center"/>
          </w:tcPr>
          <w:p>
            <w:pPr>
              <w:jc w:val="center"/>
              <w:rPr>
                <w:sz w:val="22"/>
                <w:szCs w:val="22"/>
              </w:rPr>
            </w:pPr>
          </w:p>
        </w:tc>
        <w:tc>
          <w:tcPr>
            <w:tcW w:w="968" w:type="dxa"/>
            <w:vMerge w:val="continue"/>
            <w:tcBorders>
              <w:top w:val="nil"/>
            </w:tcBorders>
            <w:vAlign w:val="center"/>
          </w:tcPr>
          <w:p>
            <w:pPr>
              <w:jc w:val="center"/>
              <w:rPr>
                <w:sz w:val="22"/>
                <w:szCs w:val="22"/>
              </w:rPr>
            </w:pPr>
          </w:p>
        </w:tc>
        <w:tc>
          <w:tcPr>
            <w:tcW w:w="728" w:type="dxa"/>
            <w:vMerge w:val="continue"/>
            <w:tcBorders>
              <w:top w:val="nil"/>
            </w:tcBorders>
            <w:vAlign w:val="center"/>
          </w:tcPr>
          <w:p>
            <w:pPr>
              <w:jc w:val="center"/>
              <w:rPr>
                <w:sz w:val="22"/>
                <w:szCs w:val="22"/>
              </w:rPr>
            </w:pPr>
          </w:p>
        </w:tc>
        <w:tc>
          <w:tcPr>
            <w:tcW w:w="888" w:type="dxa"/>
            <w:vAlign w:val="center"/>
          </w:tcPr>
          <w:p>
            <w:pPr>
              <w:pStyle w:val="338"/>
              <w:spacing w:before="139"/>
              <w:jc w:val="center"/>
              <w:rPr>
                <w:sz w:val="22"/>
                <w:szCs w:val="22"/>
              </w:rPr>
            </w:pPr>
            <w:r>
              <w:rPr>
                <w:sz w:val="22"/>
                <w:szCs w:val="22"/>
              </w:rPr>
              <w:t>单价</w:t>
            </w:r>
          </w:p>
        </w:tc>
        <w:tc>
          <w:tcPr>
            <w:tcW w:w="816" w:type="dxa"/>
            <w:vAlign w:val="center"/>
          </w:tcPr>
          <w:p>
            <w:pPr>
              <w:pStyle w:val="338"/>
              <w:spacing w:before="139"/>
              <w:jc w:val="center"/>
              <w:rPr>
                <w:sz w:val="22"/>
                <w:szCs w:val="22"/>
              </w:rPr>
            </w:pPr>
            <w:r>
              <w:rPr>
                <w:sz w:val="22"/>
                <w:szCs w:val="22"/>
              </w:rPr>
              <w:t>小计</w:t>
            </w:r>
          </w:p>
        </w:tc>
        <w:tc>
          <w:tcPr>
            <w:tcW w:w="808" w:type="dxa"/>
            <w:vAlign w:val="center"/>
          </w:tcPr>
          <w:p>
            <w:pPr>
              <w:pStyle w:val="338"/>
              <w:spacing w:before="139"/>
              <w:jc w:val="center"/>
              <w:rPr>
                <w:sz w:val="22"/>
                <w:szCs w:val="22"/>
              </w:rPr>
            </w:pPr>
            <w:r>
              <w:rPr>
                <w:sz w:val="22"/>
                <w:szCs w:val="22"/>
              </w:rPr>
              <w:t>单价</w:t>
            </w:r>
          </w:p>
        </w:tc>
        <w:tc>
          <w:tcPr>
            <w:tcW w:w="720" w:type="dxa"/>
            <w:vAlign w:val="center"/>
          </w:tcPr>
          <w:p>
            <w:pPr>
              <w:pStyle w:val="338"/>
              <w:spacing w:before="139"/>
              <w:jc w:val="center"/>
              <w:rPr>
                <w:sz w:val="22"/>
                <w:szCs w:val="22"/>
              </w:rPr>
            </w:pPr>
            <w:r>
              <w:rPr>
                <w:sz w:val="22"/>
                <w:szCs w:val="22"/>
              </w:rPr>
              <w:t>小计</w:t>
            </w:r>
          </w:p>
        </w:tc>
        <w:tc>
          <w:tcPr>
            <w:tcW w:w="800" w:type="dxa"/>
            <w:vAlign w:val="center"/>
          </w:tcPr>
          <w:p>
            <w:pPr>
              <w:pStyle w:val="338"/>
              <w:spacing w:before="139"/>
              <w:jc w:val="center"/>
              <w:rPr>
                <w:sz w:val="22"/>
                <w:szCs w:val="22"/>
              </w:rPr>
            </w:pPr>
            <w:r>
              <w:rPr>
                <w:sz w:val="22"/>
                <w:szCs w:val="22"/>
              </w:rPr>
              <w:t>单价</w:t>
            </w:r>
          </w:p>
        </w:tc>
        <w:tc>
          <w:tcPr>
            <w:tcW w:w="621" w:type="dxa"/>
            <w:vAlign w:val="center"/>
          </w:tcPr>
          <w:p>
            <w:pPr>
              <w:pStyle w:val="338"/>
              <w:spacing w:before="139"/>
              <w:jc w:val="center"/>
              <w:rPr>
                <w:sz w:val="22"/>
                <w:szCs w:val="22"/>
              </w:rPr>
            </w:pPr>
            <w:r>
              <w:rPr>
                <w:sz w:val="22"/>
                <w:szCs w:val="22"/>
              </w:rPr>
              <w:t>小计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485" w:type="dxa"/>
          </w:tcPr>
          <w:p>
            <w:pPr>
              <w:pStyle w:val="338"/>
              <w:rPr>
                <w:sz w:val="20"/>
              </w:rPr>
            </w:pPr>
          </w:p>
        </w:tc>
        <w:tc>
          <w:tcPr>
            <w:tcW w:w="1347" w:type="dxa"/>
          </w:tcPr>
          <w:p>
            <w:pPr>
              <w:pStyle w:val="338"/>
              <w:rPr>
                <w:sz w:val="20"/>
              </w:rPr>
            </w:pPr>
          </w:p>
        </w:tc>
        <w:tc>
          <w:tcPr>
            <w:tcW w:w="1552" w:type="dxa"/>
          </w:tcPr>
          <w:p>
            <w:pPr>
              <w:pStyle w:val="338"/>
              <w:rPr>
                <w:sz w:val="20"/>
              </w:rPr>
            </w:pPr>
          </w:p>
        </w:tc>
        <w:tc>
          <w:tcPr>
            <w:tcW w:w="968" w:type="dxa"/>
          </w:tcPr>
          <w:p>
            <w:pPr>
              <w:pStyle w:val="338"/>
              <w:rPr>
                <w:sz w:val="20"/>
              </w:rPr>
            </w:pPr>
          </w:p>
        </w:tc>
        <w:tc>
          <w:tcPr>
            <w:tcW w:w="728" w:type="dxa"/>
          </w:tcPr>
          <w:p>
            <w:pPr>
              <w:pStyle w:val="338"/>
              <w:rPr>
                <w:sz w:val="20"/>
              </w:rPr>
            </w:pPr>
          </w:p>
        </w:tc>
        <w:tc>
          <w:tcPr>
            <w:tcW w:w="888" w:type="dxa"/>
          </w:tcPr>
          <w:p>
            <w:pPr>
              <w:pStyle w:val="338"/>
              <w:rPr>
                <w:sz w:val="20"/>
              </w:rPr>
            </w:pPr>
          </w:p>
        </w:tc>
        <w:tc>
          <w:tcPr>
            <w:tcW w:w="816" w:type="dxa"/>
          </w:tcPr>
          <w:p>
            <w:pPr>
              <w:pStyle w:val="338"/>
              <w:rPr>
                <w:sz w:val="20"/>
              </w:rPr>
            </w:pPr>
          </w:p>
        </w:tc>
        <w:tc>
          <w:tcPr>
            <w:tcW w:w="808" w:type="dxa"/>
          </w:tcPr>
          <w:p>
            <w:pPr>
              <w:pStyle w:val="338"/>
              <w:rPr>
                <w:sz w:val="20"/>
              </w:rPr>
            </w:pPr>
          </w:p>
        </w:tc>
        <w:tc>
          <w:tcPr>
            <w:tcW w:w="720" w:type="dxa"/>
          </w:tcPr>
          <w:p>
            <w:pPr>
              <w:pStyle w:val="338"/>
              <w:rPr>
                <w:sz w:val="20"/>
              </w:rPr>
            </w:pPr>
          </w:p>
        </w:tc>
        <w:tc>
          <w:tcPr>
            <w:tcW w:w="800" w:type="dxa"/>
          </w:tcPr>
          <w:p>
            <w:pPr>
              <w:pStyle w:val="338"/>
              <w:rPr>
                <w:sz w:val="20"/>
              </w:rPr>
            </w:pPr>
          </w:p>
        </w:tc>
        <w:tc>
          <w:tcPr>
            <w:tcW w:w="621" w:type="dxa"/>
          </w:tcPr>
          <w:p>
            <w:pPr>
              <w:pStyle w:val="338"/>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85" w:type="dxa"/>
          </w:tcPr>
          <w:p>
            <w:pPr>
              <w:pStyle w:val="338"/>
              <w:rPr>
                <w:sz w:val="20"/>
              </w:rPr>
            </w:pPr>
          </w:p>
        </w:tc>
        <w:tc>
          <w:tcPr>
            <w:tcW w:w="1347" w:type="dxa"/>
          </w:tcPr>
          <w:p>
            <w:pPr>
              <w:pStyle w:val="338"/>
              <w:rPr>
                <w:sz w:val="20"/>
              </w:rPr>
            </w:pPr>
          </w:p>
        </w:tc>
        <w:tc>
          <w:tcPr>
            <w:tcW w:w="1552" w:type="dxa"/>
          </w:tcPr>
          <w:p>
            <w:pPr>
              <w:pStyle w:val="338"/>
              <w:rPr>
                <w:sz w:val="20"/>
              </w:rPr>
            </w:pPr>
          </w:p>
        </w:tc>
        <w:tc>
          <w:tcPr>
            <w:tcW w:w="968" w:type="dxa"/>
          </w:tcPr>
          <w:p>
            <w:pPr>
              <w:pStyle w:val="338"/>
              <w:rPr>
                <w:sz w:val="20"/>
              </w:rPr>
            </w:pPr>
          </w:p>
        </w:tc>
        <w:tc>
          <w:tcPr>
            <w:tcW w:w="728" w:type="dxa"/>
          </w:tcPr>
          <w:p>
            <w:pPr>
              <w:pStyle w:val="338"/>
              <w:rPr>
                <w:sz w:val="20"/>
              </w:rPr>
            </w:pPr>
          </w:p>
        </w:tc>
        <w:tc>
          <w:tcPr>
            <w:tcW w:w="888" w:type="dxa"/>
          </w:tcPr>
          <w:p>
            <w:pPr>
              <w:pStyle w:val="338"/>
              <w:rPr>
                <w:sz w:val="20"/>
              </w:rPr>
            </w:pPr>
          </w:p>
        </w:tc>
        <w:tc>
          <w:tcPr>
            <w:tcW w:w="816" w:type="dxa"/>
          </w:tcPr>
          <w:p>
            <w:pPr>
              <w:pStyle w:val="338"/>
              <w:rPr>
                <w:sz w:val="20"/>
              </w:rPr>
            </w:pPr>
          </w:p>
        </w:tc>
        <w:tc>
          <w:tcPr>
            <w:tcW w:w="808" w:type="dxa"/>
          </w:tcPr>
          <w:p>
            <w:pPr>
              <w:pStyle w:val="338"/>
              <w:rPr>
                <w:sz w:val="20"/>
              </w:rPr>
            </w:pPr>
          </w:p>
        </w:tc>
        <w:tc>
          <w:tcPr>
            <w:tcW w:w="720" w:type="dxa"/>
          </w:tcPr>
          <w:p>
            <w:pPr>
              <w:pStyle w:val="338"/>
              <w:rPr>
                <w:sz w:val="20"/>
              </w:rPr>
            </w:pPr>
          </w:p>
        </w:tc>
        <w:tc>
          <w:tcPr>
            <w:tcW w:w="800" w:type="dxa"/>
          </w:tcPr>
          <w:p>
            <w:pPr>
              <w:pStyle w:val="338"/>
              <w:rPr>
                <w:sz w:val="20"/>
              </w:rPr>
            </w:pPr>
          </w:p>
        </w:tc>
        <w:tc>
          <w:tcPr>
            <w:tcW w:w="621" w:type="dxa"/>
          </w:tcPr>
          <w:p>
            <w:pPr>
              <w:pStyle w:val="338"/>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0" w:hRule="atLeast"/>
        </w:trPr>
        <w:tc>
          <w:tcPr>
            <w:tcW w:w="5080" w:type="dxa"/>
            <w:gridSpan w:val="5"/>
          </w:tcPr>
          <w:p>
            <w:pPr>
              <w:pStyle w:val="338"/>
              <w:spacing w:before="212" w:line="242" w:lineRule="auto"/>
              <w:ind w:left="106" w:right="98"/>
              <w:jc w:val="center"/>
              <w:rPr>
                <w:sz w:val="22"/>
                <w:szCs w:val="22"/>
              </w:rPr>
            </w:pPr>
            <w:r>
              <w:rPr>
                <w:sz w:val="22"/>
                <w:szCs w:val="22"/>
              </w:rPr>
              <w:t>小型、微型企业、监狱、残疾人福利性单位</w:t>
            </w:r>
          </w:p>
          <w:p>
            <w:pPr>
              <w:pStyle w:val="338"/>
              <w:spacing w:before="212" w:line="242" w:lineRule="auto"/>
              <w:ind w:left="106" w:right="98"/>
              <w:jc w:val="center"/>
              <w:rPr>
                <w:sz w:val="24"/>
              </w:rPr>
            </w:pPr>
            <w:r>
              <w:rPr>
                <w:sz w:val="22"/>
                <w:szCs w:val="22"/>
              </w:rPr>
              <w:t>提供服务报价总计</w:t>
            </w:r>
          </w:p>
        </w:tc>
        <w:tc>
          <w:tcPr>
            <w:tcW w:w="1704" w:type="dxa"/>
            <w:gridSpan w:val="2"/>
          </w:tcPr>
          <w:p>
            <w:pPr>
              <w:pStyle w:val="338"/>
              <w:rPr>
                <w:sz w:val="20"/>
              </w:rPr>
            </w:pPr>
          </w:p>
        </w:tc>
        <w:tc>
          <w:tcPr>
            <w:tcW w:w="1528" w:type="dxa"/>
            <w:gridSpan w:val="2"/>
          </w:tcPr>
          <w:p>
            <w:pPr>
              <w:pStyle w:val="338"/>
              <w:rPr>
                <w:sz w:val="20"/>
              </w:rPr>
            </w:pPr>
          </w:p>
        </w:tc>
        <w:tc>
          <w:tcPr>
            <w:tcW w:w="1421" w:type="dxa"/>
            <w:gridSpan w:val="2"/>
          </w:tcPr>
          <w:p>
            <w:pPr>
              <w:pStyle w:val="338"/>
              <w:rPr>
                <w:sz w:val="20"/>
              </w:rPr>
            </w:pPr>
          </w:p>
        </w:tc>
      </w:tr>
    </w:tbl>
    <w:p>
      <w:pPr>
        <w:spacing w:line="360" w:lineRule="auto"/>
        <w:ind w:firstLine="482" w:firstLineChars="200"/>
        <w:rPr>
          <w:rFonts w:ascii="宋体" w:hAnsi="宋体" w:cs="宋体"/>
          <w:b/>
          <w:bCs/>
          <w:sz w:val="24"/>
        </w:rPr>
      </w:pPr>
      <w:r>
        <w:rPr>
          <w:rFonts w:hint="eastAsia" w:ascii="宋体" w:hAnsi="宋体" w:cs="宋体"/>
          <w:b/>
          <w:bCs/>
          <w:sz w:val="24"/>
        </w:rPr>
        <w:t>附注：</w:t>
      </w:r>
    </w:p>
    <w:p>
      <w:pPr>
        <w:spacing w:line="360" w:lineRule="auto"/>
        <w:ind w:firstLine="482" w:firstLineChars="200"/>
        <w:rPr>
          <w:rFonts w:ascii="宋体" w:hAnsi="宋体" w:cs="宋体"/>
          <w:b/>
          <w:bCs/>
          <w:sz w:val="24"/>
        </w:rPr>
      </w:pPr>
      <w:r>
        <w:rPr>
          <w:rFonts w:hint="eastAsia" w:ascii="宋体" w:hAnsi="宋体" w:cs="宋体"/>
          <w:b/>
          <w:bCs/>
          <w:sz w:val="24"/>
        </w:rPr>
        <w:t>1、填入的小型、微型企业报价必须是该企业制造（货物）、承建（工程）、承接（服务）。</w:t>
      </w:r>
    </w:p>
    <w:p>
      <w:pPr>
        <w:spacing w:line="360" w:lineRule="auto"/>
        <w:ind w:firstLine="482" w:firstLineChars="200"/>
        <w:rPr>
          <w:rFonts w:ascii="宋体" w:hAnsi="宋体" w:cs="宋体"/>
          <w:b/>
          <w:bCs/>
          <w:sz w:val="24"/>
        </w:rPr>
      </w:pPr>
      <w:r>
        <w:rPr>
          <w:rFonts w:hint="eastAsia" w:ascii="宋体" w:hAnsi="宋体" w:cs="宋体"/>
          <w:b/>
          <w:bCs/>
          <w:sz w:val="24"/>
        </w:rPr>
        <w:t>2、填入的监狱企业报价、残疾人福利性单位报价内容须是该企业制造生产且使用该企业商号或者注册商标的产品（或代理的其它监狱企业、残疾人福利性单位生产的产品）。</w:t>
      </w:r>
    </w:p>
    <w:p>
      <w:pPr>
        <w:spacing w:line="360" w:lineRule="auto"/>
        <w:ind w:firstLine="482" w:firstLineChars="200"/>
        <w:rPr>
          <w:rFonts w:ascii="宋体" w:hAnsi="宋体" w:cs="宋体"/>
          <w:b/>
          <w:bCs/>
          <w:sz w:val="24"/>
        </w:rPr>
      </w:pPr>
      <w:r>
        <w:rPr>
          <w:rFonts w:hint="eastAsia" w:ascii="宋体" w:hAnsi="宋体" w:cs="宋体"/>
          <w:b/>
          <w:bCs/>
          <w:sz w:val="24"/>
        </w:rPr>
        <w:t>3、填写本表的监狱企业应当在招标文件（投标文件中）提供由省级以上监狱管理局、戒毒管理局（含新疆生产建设兵团）出具的属于监狱企业证明文件彩色扫描件加盖公章。代理监狱企业生产产品的，须提供所代理企业的监狱企业证明。</w:t>
      </w:r>
    </w:p>
    <w:p>
      <w:pPr>
        <w:spacing w:line="360" w:lineRule="auto"/>
        <w:ind w:firstLine="482" w:firstLineChars="200"/>
        <w:rPr>
          <w:rFonts w:ascii="宋体" w:hAnsi="宋体" w:cs="宋体"/>
          <w:b/>
          <w:bCs/>
          <w:sz w:val="24"/>
        </w:rPr>
      </w:pPr>
      <w:r>
        <w:rPr>
          <w:rFonts w:hint="eastAsia" w:ascii="宋体" w:hAnsi="宋体" w:cs="宋体"/>
          <w:b/>
          <w:bCs/>
          <w:sz w:val="24"/>
        </w:rPr>
        <w:t>4、填写本表的小型和微型企业应当出具《中小企业声明函》。</w:t>
      </w:r>
    </w:p>
    <w:p>
      <w:pPr>
        <w:spacing w:line="360" w:lineRule="auto"/>
        <w:ind w:firstLine="482" w:firstLineChars="200"/>
        <w:rPr>
          <w:rFonts w:ascii="宋体" w:hAnsi="宋体" w:cs="宋体"/>
          <w:b/>
          <w:bCs/>
          <w:sz w:val="24"/>
        </w:rPr>
      </w:pPr>
      <w:r>
        <w:rPr>
          <w:rFonts w:hint="eastAsia" w:ascii="宋体" w:hAnsi="宋体" w:cs="宋体"/>
          <w:b/>
          <w:bCs/>
          <w:sz w:val="24"/>
        </w:rPr>
        <w:t>5、填写本表的残疾人福利性单位应当提供《残疾人福利性单位声明》。代理残疾人福利性单位企业生产产品的应当提供所代理企业的残疾人福利性单位声明。</w:t>
      </w:r>
    </w:p>
    <w:p>
      <w:pPr>
        <w:spacing w:line="360" w:lineRule="auto"/>
        <w:ind w:firstLine="482" w:firstLineChars="200"/>
        <w:rPr>
          <w:rFonts w:asciiTheme="minorEastAsia" w:hAnsiTheme="minorEastAsia" w:eastAsiaTheme="minorEastAsia"/>
          <w:snapToGrid w:val="0"/>
          <w:kern w:val="0"/>
          <w:sz w:val="24"/>
        </w:rPr>
      </w:pPr>
      <w:r>
        <w:rPr>
          <w:rFonts w:hint="eastAsia" w:ascii="宋体" w:hAnsi="宋体" w:cs="宋体"/>
          <w:b/>
          <w:bCs/>
          <w:sz w:val="24"/>
        </w:rPr>
        <w:t>6、不填报本表，不需提供《监狱企业证明文件》、《中小企业声明函》、《残疾人福利性单位声明函》，但评审时不享受政府采购政策的价格折扣或价格加分。</w:t>
      </w:r>
    </w:p>
    <w:p>
      <w:pPr>
        <w:spacing w:line="460" w:lineRule="exact"/>
        <w:jc w:val="lef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供应商名称（盖章）：</w:t>
      </w:r>
    </w:p>
    <w:p>
      <w:pPr>
        <w:spacing w:line="460" w:lineRule="exac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法定代表人或授权代理人签字或盖章：</w:t>
      </w:r>
    </w:p>
    <w:p>
      <w:pPr>
        <w:widowControl/>
        <w:jc w:val="right"/>
        <w:rPr>
          <w:rFonts w:asciiTheme="minorEastAsia" w:hAnsiTheme="minorEastAsia" w:eastAsiaTheme="minorEastAsia"/>
          <w:snapToGrid w:val="0"/>
          <w:kern w:val="0"/>
          <w:sz w:val="24"/>
        </w:rPr>
      </w:pPr>
      <w:r>
        <w:rPr>
          <w:rFonts w:hint="eastAsia" w:asciiTheme="minorEastAsia" w:hAnsiTheme="minorEastAsia" w:eastAsiaTheme="minorEastAsia"/>
          <w:snapToGrid w:val="0"/>
          <w:kern w:val="0"/>
          <w:sz w:val="24"/>
        </w:rPr>
        <w:t>年  月   日</w:t>
      </w:r>
    </w:p>
    <w:p>
      <w:pPr>
        <w:pStyle w:val="30"/>
        <w:spacing w:after="0" w:line="360" w:lineRule="auto"/>
        <w:jc w:val="center"/>
        <w:rPr>
          <w:b/>
          <w:kern w:val="2"/>
          <w:sz w:val="28"/>
          <w:szCs w:val="22"/>
        </w:rPr>
      </w:pPr>
      <w:r>
        <w:rPr>
          <w:rFonts w:asciiTheme="minorEastAsia" w:hAnsiTheme="minorEastAsia" w:eastAsiaTheme="minorEastAsia"/>
          <w:snapToGrid w:val="0"/>
        </w:rPr>
        <w:br w:type="page"/>
      </w:r>
      <w:bookmarkStart w:id="226" w:name="_Toc63355331"/>
      <w:bookmarkStart w:id="227" w:name="_Toc72321863"/>
      <w:r>
        <w:rPr>
          <w:rFonts w:hint="eastAsia"/>
          <w:b/>
          <w:kern w:val="2"/>
          <w:sz w:val="28"/>
          <w:szCs w:val="22"/>
        </w:rPr>
        <w:t>（七）无线局域网产品的有关政策：</w:t>
      </w:r>
    </w:p>
    <w:p>
      <w:pPr>
        <w:pStyle w:val="30"/>
        <w:spacing w:after="0" w:line="360" w:lineRule="auto"/>
        <w:ind w:firstLine="480" w:firstLineChars="200"/>
        <w:jc w:val="left"/>
        <w:rPr>
          <w:rFonts w:ascii="宋体" w:hAnsi="宋体" w:cs="宋体"/>
          <w:sz w:val="24"/>
          <w:lang w:bidi="ar"/>
        </w:rPr>
      </w:pPr>
      <w:r>
        <w:rPr>
          <w:rFonts w:hint="eastAsia" w:ascii="宋体" w:hAnsi="宋体" w:cs="宋体"/>
          <w:sz w:val="24"/>
          <w:lang w:bidi="ar"/>
        </w:rPr>
        <w:t>采购产品属于财政部、国家发展和改革委员会、信息产业部《关于印发无线局域网产品政府采购实施意见的通知》（财库〔2005〕366号）“无线局域网认证产品政府采购清单”内符合国家无线局域网安全标准（GB 15629.11/1102）并通过国家产品认证的计算机、通信设备、打印机、复印机、投影仪等产品，投标产品在清单目录内的，先采购“无线局域网认证产品政府采购清单”内的产品，提供依据国家确定的认证机构出具的、处于有效期之内的认证证书影印件。</w:t>
      </w:r>
    </w:p>
    <w:p>
      <w:pPr>
        <w:ind w:firstLine="480" w:firstLineChars="200"/>
      </w:pPr>
      <w:r>
        <w:rPr>
          <w:rFonts w:hint="eastAsia" w:ascii="宋体" w:hAnsi="宋体" w:cs="宋体"/>
          <w:sz w:val="24"/>
          <w:lang w:bidi="ar"/>
        </w:rPr>
        <w:t>附：</w:t>
      </w:r>
    </w:p>
    <w:p>
      <w:pPr>
        <w:pStyle w:val="42"/>
        <w:jc w:val="center"/>
        <w:rPr>
          <w:rFonts w:ascii="Times New Roman" w:hAnsi="Times New Roman"/>
          <w:b/>
          <w:kern w:val="2"/>
          <w:sz w:val="28"/>
          <w:szCs w:val="22"/>
        </w:rPr>
      </w:pPr>
      <w:r>
        <w:rPr>
          <w:rFonts w:hint="eastAsia" w:ascii="Times New Roman" w:hAnsi="Times New Roman"/>
          <w:b/>
          <w:kern w:val="2"/>
          <w:sz w:val="28"/>
          <w:szCs w:val="22"/>
        </w:rPr>
        <w:t>无线局域网认证产品政府采购清单</w:t>
      </w:r>
    </w:p>
    <w:p>
      <w:pPr>
        <w:rPr>
          <w:sz w:val="24"/>
        </w:rPr>
      </w:pPr>
    </w:p>
    <w:p>
      <w:pPr>
        <w:rPr>
          <w:sz w:val="24"/>
        </w:rPr>
      </w:pPr>
      <w:r>
        <w:rPr>
          <w:rFonts w:hint="eastAsia"/>
          <w:sz w:val="24"/>
        </w:rPr>
        <w:t>一、无线网络适配器</w:t>
      </w:r>
    </w:p>
    <w:tbl>
      <w:tblPr>
        <w:tblStyle w:val="75"/>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1267"/>
        <w:gridCol w:w="2274"/>
        <w:gridCol w:w="2394"/>
        <w:gridCol w:w="1434"/>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1" w:type="pct"/>
            <w:vAlign w:val="center"/>
          </w:tcPr>
          <w:p>
            <w:pPr>
              <w:widowControl/>
              <w:spacing w:line="380" w:lineRule="exact"/>
              <w:rPr>
                <w:rFonts w:ascii="宋体" w:hAnsi="宋体"/>
                <w:b/>
                <w:kern w:val="0"/>
                <w:sz w:val="22"/>
              </w:rPr>
            </w:pPr>
            <w:r>
              <w:rPr>
                <w:rFonts w:hint="eastAsia" w:ascii="宋体" w:hAnsi="宋体"/>
                <w:b/>
                <w:kern w:val="0"/>
                <w:sz w:val="22"/>
              </w:rPr>
              <w:t>厂家</w:t>
            </w:r>
          </w:p>
        </w:tc>
        <w:tc>
          <w:tcPr>
            <w:tcW w:w="644" w:type="pct"/>
            <w:vAlign w:val="center"/>
          </w:tcPr>
          <w:p>
            <w:pPr>
              <w:widowControl/>
              <w:spacing w:line="380" w:lineRule="exact"/>
              <w:jc w:val="center"/>
              <w:rPr>
                <w:rFonts w:ascii="宋体" w:hAnsi="宋体"/>
                <w:b/>
                <w:kern w:val="0"/>
                <w:sz w:val="22"/>
              </w:rPr>
            </w:pPr>
            <w:r>
              <w:rPr>
                <w:rFonts w:hint="eastAsia" w:ascii="宋体" w:hAnsi="宋体"/>
                <w:b/>
                <w:kern w:val="0"/>
                <w:sz w:val="22"/>
              </w:rPr>
              <w:t>规格型号</w:t>
            </w:r>
          </w:p>
        </w:tc>
        <w:tc>
          <w:tcPr>
            <w:tcW w:w="1156" w:type="pct"/>
            <w:vAlign w:val="center"/>
          </w:tcPr>
          <w:p>
            <w:pPr>
              <w:widowControl/>
              <w:spacing w:line="380" w:lineRule="exact"/>
              <w:jc w:val="center"/>
              <w:rPr>
                <w:rFonts w:ascii="宋体" w:hAnsi="宋体"/>
                <w:b/>
                <w:kern w:val="0"/>
                <w:sz w:val="22"/>
              </w:rPr>
            </w:pPr>
            <w:r>
              <w:rPr>
                <w:rFonts w:hint="eastAsia" w:ascii="宋体" w:hAnsi="宋体"/>
                <w:b/>
                <w:kern w:val="0"/>
                <w:sz w:val="22"/>
              </w:rPr>
              <w:t>依据标准</w:t>
            </w:r>
          </w:p>
        </w:tc>
        <w:tc>
          <w:tcPr>
            <w:tcW w:w="1217" w:type="pct"/>
            <w:vAlign w:val="center"/>
          </w:tcPr>
          <w:p>
            <w:pPr>
              <w:widowControl/>
              <w:spacing w:line="380" w:lineRule="exact"/>
              <w:jc w:val="center"/>
              <w:rPr>
                <w:rFonts w:ascii="宋体" w:hAnsi="宋体"/>
                <w:b/>
                <w:kern w:val="0"/>
                <w:sz w:val="20"/>
              </w:rPr>
            </w:pPr>
            <w:r>
              <w:rPr>
                <w:rFonts w:hint="eastAsia" w:ascii="宋体" w:hAnsi="宋体"/>
                <w:b/>
                <w:kern w:val="0"/>
                <w:sz w:val="20"/>
              </w:rPr>
              <w:t>证书编号</w:t>
            </w:r>
          </w:p>
        </w:tc>
        <w:tc>
          <w:tcPr>
            <w:tcW w:w="729" w:type="pct"/>
            <w:vAlign w:val="center"/>
          </w:tcPr>
          <w:p>
            <w:pPr>
              <w:widowControl/>
              <w:spacing w:line="380" w:lineRule="exact"/>
              <w:jc w:val="center"/>
              <w:rPr>
                <w:rFonts w:ascii="宋体" w:hAnsi="宋体"/>
                <w:b/>
                <w:kern w:val="0"/>
                <w:sz w:val="20"/>
              </w:rPr>
            </w:pPr>
            <w:r>
              <w:rPr>
                <w:rFonts w:hint="eastAsia" w:ascii="宋体" w:hAnsi="宋体"/>
                <w:b/>
                <w:kern w:val="0"/>
                <w:sz w:val="20"/>
              </w:rPr>
              <w:t>颁证日期</w:t>
            </w:r>
          </w:p>
        </w:tc>
        <w:tc>
          <w:tcPr>
            <w:tcW w:w="730" w:type="pct"/>
            <w:vAlign w:val="center"/>
          </w:tcPr>
          <w:p>
            <w:pPr>
              <w:widowControl/>
              <w:spacing w:line="380" w:lineRule="exact"/>
              <w:jc w:val="center"/>
              <w:rPr>
                <w:rFonts w:ascii="宋体" w:hAnsi="宋体"/>
                <w:b/>
                <w:kern w:val="0"/>
                <w:sz w:val="20"/>
              </w:rPr>
            </w:pPr>
            <w:r>
              <w:rPr>
                <w:rFonts w:hint="eastAsia" w:ascii="宋体" w:hAnsi="宋体"/>
                <w:b/>
                <w:kern w:val="0"/>
                <w:sz w:val="20"/>
              </w:rPr>
              <w:t>换证日期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1" w:type="pct"/>
            <w:vMerge w:val="restart"/>
            <w:vAlign w:val="center"/>
          </w:tcPr>
          <w:p>
            <w:pPr>
              <w:jc w:val="center"/>
              <w:rPr>
                <w:rFonts w:ascii="宋体" w:hAnsi="宋体"/>
                <w:kern w:val="0"/>
                <w:sz w:val="22"/>
              </w:rPr>
            </w:pPr>
            <w:r>
              <w:rPr>
                <w:rFonts w:hint="eastAsia" w:ascii="宋体" w:hAnsi="宋体"/>
                <w:kern w:val="0"/>
                <w:sz w:val="22"/>
              </w:rPr>
              <w:t>西安西电捷通无线网络通信有限公司</w:t>
            </w:r>
          </w:p>
        </w:tc>
        <w:tc>
          <w:tcPr>
            <w:tcW w:w="644" w:type="pct"/>
            <w:vAlign w:val="center"/>
          </w:tcPr>
          <w:p>
            <w:pPr>
              <w:jc w:val="center"/>
              <w:rPr>
                <w:rFonts w:ascii="宋体" w:hAnsi="宋体"/>
                <w:kern w:val="0"/>
                <w:sz w:val="22"/>
              </w:rPr>
            </w:pPr>
            <w:r>
              <w:rPr>
                <w:rFonts w:hint="eastAsia" w:ascii="宋体" w:hAnsi="宋体"/>
                <w:kern w:val="0"/>
                <w:sz w:val="22"/>
              </w:rPr>
              <w:t>IWN C2400ICA</w:t>
            </w:r>
          </w:p>
        </w:tc>
        <w:tc>
          <w:tcPr>
            <w:tcW w:w="1156"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jc w:val="center"/>
              <w:rPr>
                <w:rFonts w:ascii="宋体" w:hAnsi="宋体"/>
                <w:kern w:val="0"/>
                <w:sz w:val="22"/>
              </w:rPr>
            </w:pPr>
            <w:r>
              <w:rPr>
                <w:rFonts w:hint="eastAsia" w:ascii="宋体" w:hAnsi="宋体"/>
                <w:kern w:val="0"/>
                <w:sz w:val="22"/>
              </w:rPr>
              <w:t>GB15629.11-2003</w:t>
            </w:r>
          </w:p>
          <w:p>
            <w:pPr>
              <w:jc w:val="center"/>
              <w:rPr>
                <w:rFonts w:ascii="宋体" w:hAnsi="宋体"/>
                <w:kern w:val="0"/>
                <w:sz w:val="22"/>
              </w:rPr>
            </w:pPr>
            <w:r>
              <w:rPr>
                <w:rFonts w:hint="eastAsia" w:ascii="宋体" w:hAnsi="宋体"/>
                <w:kern w:val="0"/>
                <w:sz w:val="22"/>
              </w:rPr>
              <w:t>GB15629.1102-2003</w:t>
            </w:r>
          </w:p>
        </w:tc>
        <w:tc>
          <w:tcPr>
            <w:tcW w:w="1217" w:type="pct"/>
            <w:vAlign w:val="center"/>
          </w:tcPr>
          <w:p>
            <w:pPr>
              <w:jc w:val="center"/>
              <w:rPr>
                <w:rFonts w:ascii="宋体" w:hAnsi="宋体"/>
                <w:kern w:val="0"/>
                <w:sz w:val="22"/>
              </w:rPr>
            </w:pPr>
            <w:r>
              <w:rPr>
                <w:rFonts w:hint="eastAsia" w:ascii="宋体" w:hAnsi="宋体"/>
                <w:kern w:val="0"/>
                <w:sz w:val="22"/>
              </w:rPr>
              <w:t>CESI01104P10004R0M</w:t>
            </w:r>
          </w:p>
        </w:tc>
        <w:tc>
          <w:tcPr>
            <w:tcW w:w="729" w:type="pct"/>
            <w:vAlign w:val="center"/>
          </w:tcPr>
          <w:p>
            <w:pPr>
              <w:jc w:val="center"/>
              <w:rPr>
                <w:rFonts w:ascii="宋体" w:hAnsi="宋体"/>
                <w:kern w:val="0"/>
                <w:sz w:val="22"/>
              </w:rPr>
            </w:pPr>
            <w:r>
              <w:rPr>
                <w:rFonts w:hint="eastAsia" w:ascii="宋体" w:hAnsi="宋体"/>
                <w:kern w:val="0"/>
                <w:sz w:val="22"/>
              </w:rPr>
              <w:t>2004-04-07</w:t>
            </w:r>
          </w:p>
        </w:tc>
        <w:tc>
          <w:tcPr>
            <w:tcW w:w="730" w:type="pct"/>
            <w:vAlign w:val="center"/>
          </w:tcPr>
          <w:p>
            <w:pPr>
              <w:jc w:val="center"/>
              <w:rPr>
                <w:rFonts w:ascii="宋体" w:hAnsi="宋体"/>
                <w:kern w:val="0"/>
                <w:sz w:val="22"/>
              </w:rPr>
            </w:pPr>
            <w:r>
              <w:rPr>
                <w:rFonts w:hint="eastAsia" w:ascii="宋体" w:hAnsi="宋体"/>
                <w:kern w:val="0"/>
                <w:sz w:val="22"/>
              </w:rPr>
              <w:t>2005-10-31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1" w:type="pct"/>
            <w:vMerge w:val="continue"/>
            <w:vAlign w:val="center"/>
          </w:tcPr>
          <w:p>
            <w:pPr>
              <w:jc w:val="center"/>
              <w:rPr>
                <w:rFonts w:ascii="宋体" w:hAnsi="宋体"/>
                <w:kern w:val="0"/>
                <w:sz w:val="22"/>
              </w:rPr>
            </w:pPr>
          </w:p>
        </w:tc>
        <w:tc>
          <w:tcPr>
            <w:tcW w:w="644" w:type="pct"/>
            <w:vAlign w:val="center"/>
          </w:tcPr>
          <w:p>
            <w:pPr>
              <w:jc w:val="center"/>
              <w:rPr>
                <w:rFonts w:ascii="宋体" w:hAnsi="宋体"/>
                <w:kern w:val="0"/>
                <w:sz w:val="22"/>
              </w:rPr>
            </w:pPr>
            <w:r>
              <w:rPr>
                <w:rFonts w:hint="eastAsia" w:ascii="宋体" w:hAnsi="宋体"/>
                <w:kern w:val="0"/>
                <w:sz w:val="22"/>
              </w:rPr>
              <w:t>IWN C2430ICA</w:t>
            </w:r>
          </w:p>
        </w:tc>
        <w:tc>
          <w:tcPr>
            <w:tcW w:w="1156"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jc w:val="center"/>
              <w:rPr>
                <w:rFonts w:ascii="宋体" w:hAnsi="宋体"/>
                <w:kern w:val="0"/>
                <w:sz w:val="22"/>
              </w:rPr>
            </w:pPr>
            <w:r>
              <w:rPr>
                <w:rFonts w:hint="eastAsia" w:ascii="宋体" w:hAnsi="宋体"/>
                <w:kern w:val="0"/>
                <w:sz w:val="22"/>
              </w:rPr>
              <w:t>GB15629.11-2003</w:t>
            </w:r>
          </w:p>
          <w:p>
            <w:pPr>
              <w:jc w:val="center"/>
              <w:rPr>
                <w:rFonts w:ascii="宋体" w:hAnsi="宋体"/>
                <w:kern w:val="0"/>
                <w:sz w:val="22"/>
              </w:rPr>
            </w:pPr>
            <w:r>
              <w:rPr>
                <w:rFonts w:hint="eastAsia" w:ascii="宋体" w:hAnsi="宋体"/>
                <w:kern w:val="0"/>
                <w:sz w:val="22"/>
              </w:rPr>
              <w:t>GB15629.1102-2003</w:t>
            </w:r>
          </w:p>
        </w:tc>
        <w:tc>
          <w:tcPr>
            <w:tcW w:w="1217" w:type="pct"/>
            <w:vAlign w:val="center"/>
          </w:tcPr>
          <w:p>
            <w:pPr>
              <w:jc w:val="center"/>
              <w:rPr>
                <w:rFonts w:ascii="宋体" w:hAnsi="宋体"/>
                <w:kern w:val="0"/>
                <w:sz w:val="22"/>
              </w:rPr>
            </w:pPr>
            <w:r>
              <w:rPr>
                <w:rFonts w:hint="eastAsia" w:ascii="宋体" w:hAnsi="宋体"/>
                <w:kern w:val="0"/>
                <w:sz w:val="22"/>
              </w:rPr>
              <w:t>CESI01104P10005R0M</w:t>
            </w:r>
          </w:p>
        </w:tc>
        <w:tc>
          <w:tcPr>
            <w:tcW w:w="729" w:type="pct"/>
            <w:vAlign w:val="center"/>
          </w:tcPr>
          <w:p>
            <w:pPr>
              <w:jc w:val="center"/>
              <w:rPr>
                <w:rFonts w:ascii="宋体" w:hAnsi="宋体"/>
                <w:kern w:val="0"/>
                <w:sz w:val="22"/>
              </w:rPr>
            </w:pPr>
            <w:r>
              <w:rPr>
                <w:rFonts w:hint="eastAsia" w:ascii="宋体" w:hAnsi="宋体"/>
                <w:kern w:val="0"/>
                <w:sz w:val="22"/>
              </w:rPr>
              <w:t>2004-04-07</w:t>
            </w:r>
          </w:p>
        </w:tc>
        <w:tc>
          <w:tcPr>
            <w:tcW w:w="730" w:type="pct"/>
            <w:vAlign w:val="center"/>
          </w:tcPr>
          <w:p>
            <w:pPr>
              <w:jc w:val="center"/>
              <w:rPr>
                <w:rFonts w:ascii="宋体" w:hAnsi="宋体"/>
                <w:kern w:val="0"/>
                <w:sz w:val="22"/>
              </w:rPr>
            </w:pPr>
            <w:r>
              <w:rPr>
                <w:rFonts w:hint="eastAsia" w:ascii="宋体" w:hAnsi="宋体"/>
                <w:kern w:val="0"/>
                <w:sz w:val="22"/>
              </w:rPr>
              <w:t>2005-10-31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1" w:type="pct"/>
            <w:vMerge w:val="continue"/>
            <w:vAlign w:val="center"/>
          </w:tcPr>
          <w:p>
            <w:pPr>
              <w:jc w:val="center"/>
              <w:rPr>
                <w:rFonts w:ascii="宋体" w:hAnsi="宋体"/>
                <w:kern w:val="0"/>
                <w:sz w:val="22"/>
              </w:rPr>
            </w:pPr>
          </w:p>
        </w:tc>
        <w:tc>
          <w:tcPr>
            <w:tcW w:w="644" w:type="pct"/>
            <w:vAlign w:val="center"/>
          </w:tcPr>
          <w:p>
            <w:pPr>
              <w:jc w:val="center"/>
              <w:rPr>
                <w:rFonts w:ascii="宋体" w:hAnsi="宋体"/>
                <w:kern w:val="0"/>
                <w:sz w:val="22"/>
              </w:rPr>
            </w:pPr>
            <w:r>
              <w:rPr>
                <w:rFonts w:hint="eastAsia" w:ascii="宋体" w:hAnsi="宋体"/>
                <w:kern w:val="0"/>
                <w:sz w:val="22"/>
              </w:rPr>
              <w:t>IWN C2430IUA</w:t>
            </w:r>
          </w:p>
        </w:tc>
        <w:tc>
          <w:tcPr>
            <w:tcW w:w="1156"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jc w:val="center"/>
              <w:rPr>
                <w:rFonts w:ascii="宋体" w:hAnsi="宋体"/>
                <w:kern w:val="0"/>
                <w:sz w:val="22"/>
              </w:rPr>
            </w:pPr>
            <w:r>
              <w:rPr>
                <w:rFonts w:hint="eastAsia" w:ascii="宋体" w:hAnsi="宋体"/>
                <w:kern w:val="0"/>
                <w:sz w:val="22"/>
              </w:rPr>
              <w:t>GB15629.11-2003</w:t>
            </w:r>
          </w:p>
          <w:p>
            <w:pPr>
              <w:jc w:val="center"/>
              <w:rPr>
                <w:rFonts w:ascii="宋体" w:hAnsi="宋体"/>
                <w:kern w:val="0"/>
                <w:sz w:val="22"/>
              </w:rPr>
            </w:pPr>
            <w:r>
              <w:rPr>
                <w:rFonts w:hint="eastAsia" w:ascii="宋体" w:hAnsi="宋体"/>
                <w:kern w:val="0"/>
                <w:sz w:val="22"/>
              </w:rPr>
              <w:t>GB15629.1102-2003</w:t>
            </w:r>
          </w:p>
        </w:tc>
        <w:tc>
          <w:tcPr>
            <w:tcW w:w="1217" w:type="pct"/>
            <w:vAlign w:val="center"/>
          </w:tcPr>
          <w:p>
            <w:pPr>
              <w:jc w:val="center"/>
              <w:rPr>
                <w:rFonts w:ascii="宋体" w:hAnsi="宋体"/>
                <w:kern w:val="0"/>
                <w:sz w:val="22"/>
              </w:rPr>
            </w:pPr>
            <w:r>
              <w:rPr>
                <w:rFonts w:hint="eastAsia" w:ascii="宋体" w:hAnsi="宋体"/>
                <w:kern w:val="0"/>
                <w:sz w:val="22"/>
              </w:rPr>
              <w:t>CESI01104P10006R0M</w:t>
            </w:r>
          </w:p>
        </w:tc>
        <w:tc>
          <w:tcPr>
            <w:tcW w:w="729" w:type="pct"/>
            <w:vAlign w:val="center"/>
          </w:tcPr>
          <w:p>
            <w:pPr>
              <w:jc w:val="center"/>
              <w:rPr>
                <w:rFonts w:ascii="宋体" w:hAnsi="宋体"/>
                <w:kern w:val="0"/>
                <w:sz w:val="22"/>
              </w:rPr>
            </w:pPr>
            <w:r>
              <w:rPr>
                <w:rFonts w:hint="eastAsia" w:ascii="宋体" w:hAnsi="宋体"/>
                <w:kern w:val="0"/>
                <w:sz w:val="22"/>
              </w:rPr>
              <w:t>2004-04-07</w:t>
            </w:r>
          </w:p>
        </w:tc>
        <w:tc>
          <w:tcPr>
            <w:tcW w:w="730" w:type="pct"/>
            <w:vAlign w:val="center"/>
          </w:tcPr>
          <w:p>
            <w:pPr>
              <w:jc w:val="center"/>
              <w:rPr>
                <w:rFonts w:ascii="宋体" w:hAnsi="宋体"/>
                <w:kern w:val="0"/>
                <w:sz w:val="22"/>
              </w:rPr>
            </w:pPr>
            <w:r>
              <w:rPr>
                <w:rFonts w:hint="eastAsia" w:ascii="宋体" w:hAnsi="宋体"/>
                <w:kern w:val="0"/>
                <w:sz w:val="22"/>
              </w:rPr>
              <w:t>2005-10-31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1" w:type="pct"/>
            <w:vAlign w:val="center"/>
          </w:tcPr>
          <w:p>
            <w:pPr>
              <w:jc w:val="center"/>
              <w:rPr>
                <w:rFonts w:ascii="宋体" w:hAnsi="宋体"/>
                <w:kern w:val="0"/>
                <w:sz w:val="22"/>
              </w:rPr>
            </w:pPr>
            <w:r>
              <w:rPr>
                <w:rFonts w:hint="eastAsia" w:ascii="宋体" w:hAnsi="宋体"/>
                <w:kern w:val="0"/>
                <w:sz w:val="22"/>
              </w:rPr>
              <w:t>深圳市明华澳汉科技股份有限公司</w:t>
            </w:r>
          </w:p>
        </w:tc>
        <w:tc>
          <w:tcPr>
            <w:tcW w:w="644" w:type="pct"/>
            <w:vAlign w:val="center"/>
          </w:tcPr>
          <w:p>
            <w:pPr>
              <w:jc w:val="center"/>
              <w:rPr>
                <w:rFonts w:ascii="宋体" w:hAnsi="宋体"/>
                <w:kern w:val="0"/>
                <w:sz w:val="22"/>
              </w:rPr>
            </w:pPr>
            <w:r>
              <w:rPr>
                <w:rFonts w:hint="eastAsia" w:ascii="宋体" w:hAnsi="宋体"/>
                <w:kern w:val="0"/>
                <w:sz w:val="22"/>
              </w:rPr>
              <w:t>WL-STA1</w:t>
            </w:r>
          </w:p>
        </w:tc>
        <w:tc>
          <w:tcPr>
            <w:tcW w:w="1156"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rPr>
                <w:kern w:val="0"/>
              </w:rPr>
            </w:pPr>
            <w:r>
              <w:rPr>
                <w:rFonts w:hint="eastAsia"/>
                <w:kern w:val="0"/>
              </w:rPr>
              <w:t>GB15629.11-2003</w:t>
            </w:r>
          </w:p>
          <w:p>
            <w:pPr>
              <w:jc w:val="center"/>
              <w:rPr>
                <w:rFonts w:ascii="宋体" w:hAnsi="宋体"/>
                <w:kern w:val="0"/>
                <w:sz w:val="22"/>
              </w:rPr>
            </w:pPr>
            <w:r>
              <w:rPr>
                <w:rFonts w:hint="eastAsia" w:ascii="宋体" w:hAnsi="宋体"/>
                <w:kern w:val="0"/>
                <w:sz w:val="22"/>
              </w:rPr>
              <w:t>GB15629.1102-2003</w:t>
            </w:r>
          </w:p>
        </w:tc>
        <w:tc>
          <w:tcPr>
            <w:tcW w:w="1217" w:type="pct"/>
            <w:vAlign w:val="center"/>
          </w:tcPr>
          <w:p>
            <w:pPr>
              <w:jc w:val="center"/>
              <w:rPr>
                <w:rFonts w:ascii="宋体" w:hAnsi="宋体"/>
                <w:kern w:val="0"/>
                <w:sz w:val="22"/>
              </w:rPr>
            </w:pPr>
            <w:r>
              <w:rPr>
                <w:rFonts w:hint="eastAsia" w:ascii="宋体" w:hAnsi="宋体"/>
                <w:kern w:val="0"/>
                <w:sz w:val="22"/>
              </w:rPr>
              <w:t>CESI01104P10008R0M</w:t>
            </w:r>
          </w:p>
        </w:tc>
        <w:tc>
          <w:tcPr>
            <w:tcW w:w="729" w:type="pct"/>
            <w:vAlign w:val="center"/>
          </w:tcPr>
          <w:p>
            <w:pPr>
              <w:jc w:val="center"/>
              <w:rPr>
                <w:rFonts w:ascii="宋体" w:hAnsi="宋体"/>
                <w:kern w:val="0"/>
                <w:sz w:val="22"/>
              </w:rPr>
            </w:pPr>
            <w:r>
              <w:rPr>
                <w:rFonts w:hint="eastAsia" w:ascii="宋体" w:hAnsi="宋体"/>
                <w:kern w:val="0"/>
                <w:sz w:val="22"/>
              </w:rPr>
              <w:t>2004-04-07</w:t>
            </w:r>
          </w:p>
        </w:tc>
        <w:tc>
          <w:tcPr>
            <w:tcW w:w="730" w:type="pct"/>
            <w:vAlign w:val="center"/>
          </w:tcPr>
          <w:p>
            <w:pPr>
              <w:jc w:val="center"/>
              <w:rPr>
                <w:rFonts w:ascii="宋体" w:hAnsi="宋体"/>
                <w:kern w:val="0"/>
                <w:sz w:val="22"/>
              </w:rPr>
            </w:pPr>
            <w:r>
              <w:rPr>
                <w:rFonts w:hint="eastAsia" w:ascii="宋体" w:hAnsi="宋体"/>
                <w:kern w:val="0"/>
                <w:sz w:val="22"/>
              </w:rPr>
              <w:t>2005-10-31</w:t>
            </w:r>
          </w:p>
        </w:tc>
      </w:tr>
    </w:tbl>
    <w:p>
      <w:pPr>
        <w:spacing w:line="300" w:lineRule="exact"/>
        <w:rPr>
          <w:rFonts w:ascii="仿宋_GB2312" w:hAnsi="华文宋体"/>
          <w:b/>
          <w:sz w:val="30"/>
          <w:szCs w:val="30"/>
        </w:rPr>
      </w:pPr>
    </w:p>
    <w:p>
      <w:pPr>
        <w:spacing w:line="300" w:lineRule="exact"/>
        <w:rPr>
          <w:rFonts w:ascii="宋体" w:hAnsi="宋体"/>
          <w:kern w:val="0"/>
          <w:sz w:val="24"/>
        </w:rPr>
      </w:pPr>
      <w:r>
        <w:rPr>
          <w:rFonts w:hint="eastAsia" w:ascii="仿宋_GB2312" w:hAnsi="华文宋体"/>
          <w:b/>
          <w:sz w:val="24"/>
        </w:rPr>
        <w:t>二、</w:t>
      </w:r>
      <w:r>
        <w:rPr>
          <w:rFonts w:hint="eastAsia" w:ascii="宋体" w:hAnsi="宋体"/>
          <w:kern w:val="0"/>
          <w:sz w:val="24"/>
        </w:rPr>
        <w:t>接入认证服务器（无线鉴别服务器）</w:t>
      </w:r>
    </w:p>
    <w:p>
      <w:pPr>
        <w:spacing w:line="300" w:lineRule="exact"/>
        <w:rPr>
          <w:rFonts w:ascii="仿宋_GB2312" w:hAnsi="华文宋体"/>
          <w:b/>
          <w:szCs w:val="21"/>
        </w:rPr>
      </w:pPr>
    </w:p>
    <w:tbl>
      <w:tblPr>
        <w:tblStyle w:val="75"/>
        <w:tblW w:w="52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1274"/>
        <w:gridCol w:w="2273"/>
        <w:gridCol w:w="2394"/>
        <w:gridCol w:w="1433"/>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7" w:type="pct"/>
            <w:vAlign w:val="center"/>
          </w:tcPr>
          <w:p>
            <w:pPr>
              <w:widowControl/>
              <w:spacing w:line="300" w:lineRule="exact"/>
              <w:rPr>
                <w:rFonts w:ascii="宋体" w:hAnsi="宋体"/>
                <w:b/>
                <w:kern w:val="0"/>
                <w:sz w:val="22"/>
              </w:rPr>
            </w:pPr>
            <w:r>
              <w:rPr>
                <w:rFonts w:hint="eastAsia" w:ascii="宋体" w:hAnsi="宋体"/>
                <w:b/>
                <w:kern w:val="0"/>
                <w:sz w:val="22"/>
              </w:rPr>
              <w:t>厂家</w:t>
            </w:r>
          </w:p>
        </w:tc>
        <w:tc>
          <w:tcPr>
            <w:tcW w:w="655" w:type="pct"/>
            <w:vAlign w:val="center"/>
          </w:tcPr>
          <w:p>
            <w:pPr>
              <w:widowControl/>
              <w:spacing w:line="300" w:lineRule="exact"/>
              <w:jc w:val="center"/>
              <w:rPr>
                <w:rFonts w:ascii="宋体" w:hAnsi="宋体"/>
                <w:b/>
                <w:kern w:val="0"/>
                <w:sz w:val="22"/>
              </w:rPr>
            </w:pPr>
            <w:r>
              <w:rPr>
                <w:rFonts w:hint="eastAsia" w:ascii="宋体" w:hAnsi="宋体"/>
                <w:b/>
                <w:kern w:val="0"/>
                <w:sz w:val="22"/>
              </w:rPr>
              <w:t>规格型号</w:t>
            </w:r>
          </w:p>
        </w:tc>
        <w:tc>
          <w:tcPr>
            <w:tcW w:w="1169" w:type="pct"/>
            <w:vAlign w:val="center"/>
          </w:tcPr>
          <w:p>
            <w:pPr>
              <w:widowControl/>
              <w:spacing w:line="300" w:lineRule="exact"/>
              <w:jc w:val="center"/>
              <w:rPr>
                <w:rFonts w:ascii="宋体" w:hAnsi="宋体"/>
                <w:b/>
                <w:kern w:val="0"/>
                <w:sz w:val="22"/>
              </w:rPr>
            </w:pPr>
            <w:r>
              <w:rPr>
                <w:rFonts w:hint="eastAsia" w:ascii="宋体" w:hAnsi="宋体"/>
                <w:b/>
                <w:kern w:val="0"/>
                <w:sz w:val="22"/>
              </w:rPr>
              <w:t>依据标准</w:t>
            </w:r>
          </w:p>
        </w:tc>
        <w:tc>
          <w:tcPr>
            <w:tcW w:w="1231" w:type="pct"/>
            <w:vAlign w:val="center"/>
          </w:tcPr>
          <w:p>
            <w:pPr>
              <w:widowControl/>
              <w:spacing w:line="300" w:lineRule="exact"/>
              <w:jc w:val="center"/>
              <w:rPr>
                <w:rFonts w:ascii="宋体" w:hAnsi="宋体"/>
                <w:b/>
                <w:kern w:val="0"/>
                <w:sz w:val="20"/>
              </w:rPr>
            </w:pPr>
            <w:r>
              <w:rPr>
                <w:rFonts w:hint="eastAsia" w:ascii="宋体" w:hAnsi="宋体"/>
                <w:b/>
                <w:kern w:val="0"/>
                <w:sz w:val="20"/>
              </w:rPr>
              <w:t>证书编号</w:t>
            </w:r>
          </w:p>
        </w:tc>
        <w:tc>
          <w:tcPr>
            <w:tcW w:w="737" w:type="pct"/>
            <w:vAlign w:val="center"/>
          </w:tcPr>
          <w:p>
            <w:pPr>
              <w:widowControl/>
              <w:spacing w:line="300" w:lineRule="exact"/>
              <w:jc w:val="center"/>
              <w:rPr>
                <w:rFonts w:ascii="宋体" w:hAnsi="宋体"/>
                <w:b/>
                <w:kern w:val="0"/>
                <w:sz w:val="20"/>
              </w:rPr>
            </w:pPr>
            <w:r>
              <w:rPr>
                <w:rFonts w:hint="eastAsia" w:ascii="宋体" w:hAnsi="宋体"/>
                <w:b/>
                <w:kern w:val="0"/>
                <w:sz w:val="20"/>
              </w:rPr>
              <w:t>颁证日期</w:t>
            </w:r>
          </w:p>
        </w:tc>
        <w:tc>
          <w:tcPr>
            <w:tcW w:w="737" w:type="pct"/>
            <w:vAlign w:val="center"/>
          </w:tcPr>
          <w:p>
            <w:pPr>
              <w:widowControl/>
              <w:spacing w:line="300" w:lineRule="exact"/>
              <w:jc w:val="center"/>
              <w:rPr>
                <w:rFonts w:ascii="宋体" w:hAnsi="宋体"/>
                <w:b/>
                <w:kern w:val="0"/>
                <w:sz w:val="20"/>
              </w:rPr>
            </w:pPr>
            <w:r>
              <w:rPr>
                <w:rFonts w:hint="eastAsia" w:ascii="宋体" w:hAnsi="宋体"/>
                <w:b/>
                <w:kern w:val="0"/>
                <w:sz w:val="20"/>
              </w:rPr>
              <w:t>换证日期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7" w:type="pct"/>
            <w:vAlign w:val="center"/>
          </w:tcPr>
          <w:p>
            <w:pPr>
              <w:widowControl/>
              <w:jc w:val="center"/>
              <w:rPr>
                <w:rFonts w:ascii="宋体" w:hAnsi="宋体"/>
                <w:kern w:val="0"/>
                <w:sz w:val="22"/>
              </w:rPr>
            </w:pPr>
            <w:r>
              <w:rPr>
                <w:rFonts w:hint="eastAsia" w:ascii="宋体" w:hAnsi="宋体"/>
                <w:kern w:val="0"/>
                <w:sz w:val="22"/>
              </w:rPr>
              <w:t>西安西电捷通无线网络通信有限公司</w:t>
            </w:r>
          </w:p>
        </w:tc>
        <w:tc>
          <w:tcPr>
            <w:tcW w:w="655" w:type="pct"/>
            <w:vAlign w:val="center"/>
          </w:tcPr>
          <w:p>
            <w:pPr>
              <w:jc w:val="center"/>
              <w:rPr>
                <w:rFonts w:ascii="宋体" w:hAnsi="宋体"/>
                <w:kern w:val="0"/>
                <w:sz w:val="22"/>
              </w:rPr>
            </w:pPr>
            <w:r>
              <w:rPr>
                <w:rFonts w:hint="eastAsia" w:ascii="宋体" w:hAnsi="宋体"/>
                <w:kern w:val="0"/>
                <w:sz w:val="22"/>
              </w:rPr>
              <w:t>IWN AS-5000</w:t>
            </w:r>
          </w:p>
          <w:p>
            <w:pPr>
              <w:jc w:val="center"/>
              <w:rPr>
                <w:rFonts w:ascii="宋体" w:hAnsi="宋体"/>
                <w:kern w:val="0"/>
                <w:sz w:val="22"/>
              </w:rPr>
            </w:pPr>
            <w:r>
              <w:rPr>
                <w:rFonts w:hint="eastAsia" w:ascii="宋体" w:hAnsi="宋体"/>
                <w:kern w:val="0"/>
                <w:sz w:val="22"/>
              </w:rPr>
              <w:t>DC5V</w:t>
            </w:r>
          </w:p>
          <w:p>
            <w:pPr>
              <w:jc w:val="center"/>
              <w:rPr>
                <w:rFonts w:ascii="宋体" w:hAnsi="宋体"/>
                <w:kern w:val="0"/>
                <w:sz w:val="22"/>
              </w:rPr>
            </w:pPr>
            <w:r>
              <w:rPr>
                <w:rFonts w:hint="eastAsia" w:ascii="宋体" w:hAnsi="宋体"/>
                <w:kern w:val="0"/>
                <w:sz w:val="22"/>
              </w:rPr>
              <w:t>2.0A</w:t>
            </w:r>
          </w:p>
        </w:tc>
        <w:tc>
          <w:tcPr>
            <w:tcW w:w="1169"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jc w:val="center"/>
              <w:rPr>
                <w:rFonts w:ascii="宋体" w:hAnsi="宋体"/>
                <w:kern w:val="0"/>
                <w:sz w:val="22"/>
              </w:rPr>
            </w:pPr>
            <w:r>
              <w:rPr>
                <w:rFonts w:hint="eastAsia" w:ascii="宋体" w:hAnsi="宋体"/>
                <w:kern w:val="0"/>
                <w:sz w:val="22"/>
              </w:rPr>
              <w:t>GB15629.11-2003</w:t>
            </w:r>
          </w:p>
          <w:p>
            <w:pPr>
              <w:jc w:val="center"/>
              <w:rPr>
                <w:rFonts w:ascii="宋体" w:hAnsi="宋体"/>
                <w:kern w:val="0"/>
                <w:sz w:val="22"/>
              </w:rPr>
            </w:pPr>
            <w:r>
              <w:rPr>
                <w:rFonts w:hint="eastAsia" w:ascii="宋体" w:hAnsi="宋体"/>
                <w:kern w:val="0"/>
                <w:sz w:val="22"/>
              </w:rPr>
              <w:t>GB15629.1102-2003</w:t>
            </w:r>
          </w:p>
        </w:tc>
        <w:tc>
          <w:tcPr>
            <w:tcW w:w="1231" w:type="pct"/>
            <w:vAlign w:val="center"/>
          </w:tcPr>
          <w:p>
            <w:pPr>
              <w:jc w:val="center"/>
              <w:rPr>
                <w:rFonts w:ascii="宋体" w:hAnsi="宋体"/>
                <w:kern w:val="0"/>
                <w:sz w:val="22"/>
              </w:rPr>
            </w:pPr>
            <w:r>
              <w:rPr>
                <w:rFonts w:hint="eastAsia" w:ascii="宋体" w:hAnsi="宋体"/>
                <w:kern w:val="0"/>
                <w:sz w:val="22"/>
              </w:rPr>
              <w:t>CESI01104P10002R0M</w:t>
            </w:r>
          </w:p>
        </w:tc>
        <w:tc>
          <w:tcPr>
            <w:tcW w:w="737" w:type="pct"/>
            <w:vAlign w:val="center"/>
          </w:tcPr>
          <w:p>
            <w:pPr>
              <w:jc w:val="center"/>
              <w:rPr>
                <w:rFonts w:ascii="宋体" w:hAnsi="宋体"/>
                <w:kern w:val="0"/>
                <w:sz w:val="22"/>
              </w:rPr>
            </w:pPr>
            <w:r>
              <w:rPr>
                <w:rFonts w:hint="eastAsia" w:ascii="宋体" w:hAnsi="宋体"/>
                <w:kern w:val="0"/>
                <w:sz w:val="22"/>
              </w:rPr>
              <w:t>2004-04-07</w:t>
            </w:r>
          </w:p>
        </w:tc>
        <w:tc>
          <w:tcPr>
            <w:tcW w:w="737" w:type="pct"/>
            <w:vAlign w:val="center"/>
          </w:tcPr>
          <w:p>
            <w:pPr>
              <w:jc w:val="center"/>
              <w:rPr>
                <w:rFonts w:ascii="宋体" w:hAnsi="宋体"/>
                <w:kern w:val="0"/>
                <w:sz w:val="22"/>
              </w:rPr>
            </w:pPr>
            <w:r>
              <w:rPr>
                <w:rFonts w:hint="eastAsia" w:ascii="宋体" w:hAnsi="宋体"/>
                <w:kern w:val="0"/>
                <w:sz w:val="22"/>
              </w:rPr>
              <w:t>2005-10-31</w:t>
            </w:r>
          </w:p>
        </w:tc>
      </w:tr>
    </w:tbl>
    <w:p/>
    <w:p>
      <w:pPr>
        <w:rPr>
          <w:sz w:val="24"/>
        </w:rPr>
      </w:pPr>
      <w:r>
        <w:rPr>
          <w:rFonts w:hint="eastAsia"/>
          <w:sz w:val="24"/>
        </w:rPr>
        <w:t>三、无线接入点</w:t>
      </w:r>
    </w:p>
    <w:p>
      <w:pPr>
        <w:spacing w:line="300" w:lineRule="exact"/>
        <w:rPr>
          <w:szCs w:val="21"/>
        </w:rPr>
      </w:pPr>
    </w:p>
    <w:tbl>
      <w:tblPr>
        <w:tblStyle w:val="75"/>
        <w:tblW w:w="52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4"/>
        <w:gridCol w:w="1102"/>
        <w:gridCol w:w="2273"/>
        <w:gridCol w:w="2394"/>
        <w:gridCol w:w="1433"/>
        <w:gridCol w:w="1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585" w:type="pct"/>
            <w:vAlign w:val="center"/>
          </w:tcPr>
          <w:p>
            <w:pPr>
              <w:widowControl/>
              <w:spacing w:line="300" w:lineRule="exact"/>
              <w:rPr>
                <w:rFonts w:ascii="宋体" w:hAnsi="宋体"/>
                <w:b/>
                <w:kern w:val="0"/>
                <w:sz w:val="22"/>
              </w:rPr>
            </w:pPr>
            <w:r>
              <w:rPr>
                <w:rFonts w:hint="eastAsia" w:ascii="宋体" w:hAnsi="宋体"/>
                <w:b/>
                <w:kern w:val="0"/>
                <w:sz w:val="22"/>
              </w:rPr>
              <w:t>厂家</w:t>
            </w:r>
          </w:p>
        </w:tc>
        <w:tc>
          <w:tcPr>
            <w:tcW w:w="563" w:type="pct"/>
            <w:vAlign w:val="center"/>
          </w:tcPr>
          <w:p>
            <w:pPr>
              <w:widowControl/>
              <w:spacing w:line="300" w:lineRule="exact"/>
              <w:jc w:val="center"/>
              <w:rPr>
                <w:rFonts w:ascii="宋体" w:hAnsi="宋体"/>
                <w:b/>
                <w:kern w:val="0"/>
                <w:sz w:val="22"/>
              </w:rPr>
            </w:pPr>
            <w:r>
              <w:rPr>
                <w:rFonts w:hint="eastAsia" w:ascii="宋体" w:hAnsi="宋体"/>
                <w:b/>
                <w:kern w:val="0"/>
                <w:sz w:val="22"/>
              </w:rPr>
              <w:t>规格型号</w:t>
            </w:r>
          </w:p>
        </w:tc>
        <w:tc>
          <w:tcPr>
            <w:tcW w:w="1161" w:type="pct"/>
            <w:vAlign w:val="center"/>
          </w:tcPr>
          <w:p>
            <w:pPr>
              <w:widowControl/>
              <w:spacing w:line="300" w:lineRule="exact"/>
              <w:jc w:val="center"/>
              <w:rPr>
                <w:rFonts w:ascii="宋体" w:hAnsi="宋体"/>
                <w:b/>
                <w:kern w:val="0"/>
                <w:sz w:val="22"/>
              </w:rPr>
            </w:pPr>
            <w:r>
              <w:rPr>
                <w:rFonts w:hint="eastAsia" w:ascii="宋体" w:hAnsi="宋体"/>
                <w:b/>
                <w:kern w:val="0"/>
                <w:sz w:val="22"/>
              </w:rPr>
              <w:t>依据标准</w:t>
            </w:r>
          </w:p>
        </w:tc>
        <w:tc>
          <w:tcPr>
            <w:tcW w:w="1223" w:type="pct"/>
            <w:vAlign w:val="center"/>
          </w:tcPr>
          <w:p>
            <w:pPr>
              <w:widowControl/>
              <w:spacing w:line="300" w:lineRule="exact"/>
              <w:jc w:val="center"/>
              <w:rPr>
                <w:rFonts w:ascii="宋体" w:hAnsi="宋体"/>
                <w:b/>
                <w:kern w:val="0"/>
                <w:sz w:val="20"/>
              </w:rPr>
            </w:pPr>
            <w:r>
              <w:rPr>
                <w:rFonts w:hint="eastAsia" w:ascii="宋体" w:hAnsi="宋体"/>
                <w:b/>
                <w:kern w:val="0"/>
                <w:sz w:val="20"/>
              </w:rPr>
              <w:t>证书编号</w:t>
            </w:r>
          </w:p>
        </w:tc>
        <w:tc>
          <w:tcPr>
            <w:tcW w:w="732" w:type="pct"/>
            <w:vAlign w:val="center"/>
          </w:tcPr>
          <w:p>
            <w:pPr>
              <w:widowControl/>
              <w:spacing w:line="300" w:lineRule="exact"/>
              <w:jc w:val="center"/>
              <w:rPr>
                <w:rFonts w:ascii="宋体" w:hAnsi="宋体"/>
                <w:b/>
                <w:kern w:val="0"/>
                <w:sz w:val="20"/>
              </w:rPr>
            </w:pPr>
            <w:r>
              <w:rPr>
                <w:rFonts w:hint="eastAsia" w:ascii="宋体" w:hAnsi="宋体"/>
                <w:b/>
                <w:kern w:val="0"/>
                <w:sz w:val="20"/>
              </w:rPr>
              <w:t>颁证日期</w:t>
            </w:r>
          </w:p>
        </w:tc>
        <w:tc>
          <w:tcPr>
            <w:tcW w:w="733" w:type="pct"/>
            <w:vAlign w:val="center"/>
          </w:tcPr>
          <w:p>
            <w:pPr>
              <w:widowControl/>
              <w:spacing w:line="300" w:lineRule="exact"/>
              <w:jc w:val="center"/>
              <w:rPr>
                <w:rFonts w:ascii="宋体" w:hAnsi="宋体"/>
                <w:b/>
                <w:kern w:val="0"/>
                <w:sz w:val="20"/>
              </w:rPr>
            </w:pPr>
            <w:r>
              <w:rPr>
                <w:rFonts w:hint="eastAsia" w:ascii="宋体" w:hAnsi="宋体"/>
                <w:b/>
                <w:kern w:val="0"/>
                <w:sz w:val="20"/>
              </w:rPr>
              <w:t>换证日期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268" w:hRule="atLeast"/>
        </w:trPr>
        <w:tc>
          <w:tcPr>
            <w:tcW w:w="585" w:type="pct"/>
            <w:vAlign w:val="center"/>
          </w:tcPr>
          <w:p>
            <w:pPr>
              <w:jc w:val="center"/>
              <w:rPr>
                <w:rFonts w:ascii="宋体" w:hAnsi="宋体"/>
                <w:kern w:val="0"/>
                <w:sz w:val="22"/>
              </w:rPr>
            </w:pPr>
            <w:r>
              <w:rPr>
                <w:rFonts w:hint="eastAsia" w:ascii="宋体" w:hAnsi="宋体"/>
                <w:kern w:val="0"/>
                <w:sz w:val="22"/>
              </w:rPr>
              <w:t>深圳市明华澳汉科技股份有限公司</w:t>
            </w:r>
          </w:p>
        </w:tc>
        <w:tc>
          <w:tcPr>
            <w:tcW w:w="563" w:type="pct"/>
            <w:vAlign w:val="center"/>
          </w:tcPr>
          <w:p>
            <w:pPr>
              <w:jc w:val="center"/>
              <w:rPr>
                <w:rFonts w:ascii="宋体" w:hAnsi="宋体"/>
                <w:kern w:val="0"/>
                <w:sz w:val="22"/>
              </w:rPr>
            </w:pPr>
            <w:r>
              <w:rPr>
                <w:rFonts w:hint="eastAsia" w:ascii="宋体" w:hAnsi="宋体"/>
                <w:kern w:val="0"/>
                <w:sz w:val="22"/>
              </w:rPr>
              <w:t>WL-AP1</w:t>
            </w:r>
          </w:p>
          <w:p>
            <w:pPr>
              <w:jc w:val="center"/>
              <w:rPr>
                <w:rFonts w:ascii="宋体" w:hAnsi="宋体"/>
                <w:kern w:val="0"/>
                <w:sz w:val="22"/>
              </w:rPr>
            </w:pPr>
            <w:r>
              <w:rPr>
                <w:rFonts w:hint="eastAsia" w:ascii="宋体" w:hAnsi="宋体"/>
                <w:kern w:val="0"/>
                <w:sz w:val="22"/>
              </w:rPr>
              <w:t>DC5V</w:t>
            </w:r>
          </w:p>
          <w:p>
            <w:pPr>
              <w:jc w:val="center"/>
              <w:rPr>
                <w:rFonts w:ascii="宋体" w:hAnsi="宋体"/>
                <w:kern w:val="0"/>
                <w:sz w:val="22"/>
              </w:rPr>
            </w:pPr>
            <w:r>
              <w:rPr>
                <w:rFonts w:hint="eastAsia" w:ascii="宋体" w:hAnsi="宋体"/>
                <w:kern w:val="0"/>
                <w:sz w:val="22"/>
              </w:rPr>
              <w:t>2.0A</w:t>
            </w:r>
          </w:p>
        </w:tc>
        <w:tc>
          <w:tcPr>
            <w:tcW w:w="1161"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jc w:val="center"/>
              <w:rPr>
                <w:rFonts w:ascii="宋体" w:hAnsi="宋体"/>
                <w:kern w:val="0"/>
                <w:sz w:val="22"/>
              </w:rPr>
            </w:pPr>
            <w:r>
              <w:rPr>
                <w:rFonts w:hint="eastAsia" w:ascii="宋体" w:hAnsi="宋体"/>
                <w:kern w:val="0"/>
                <w:sz w:val="22"/>
              </w:rPr>
              <w:t>GB15629.11-2003</w:t>
            </w:r>
          </w:p>
          <w:p>
            <w:pPr>
              <w:jc w:val="center"/>
              <w:rPr>
                <w:rFonts w:ascii="宋体" w:hAnsi="宋体"/>
                <w:kern w:val="0"/>
                <w:sz w:val="22"/>
              </w:rPr>
            </w:pPr>
            <w:r>
              <w:rPr>
                <w:rFonts w:hint="eastAsia" w:ascii="宋体" w:hAnsi="宋体"/>
                <w:kern w:val="0"/>
                <w:sz w:val="22"/>
              </w:rPr>
              <w:t>GB15629.1102-2003</w:t>
            </w:r>
          </w:p>
        </w:tc>
        <w:tc>
          <w:tcPr>
            <w:tcW w:w="1223" w:type="pct"/>
            <w:vAlign w:val="center"/>
          </w:tcPr>
          <w:p>
            <w:pPr>
              <w:jc w:val="center"/>
              <w:rPr>
                <w:rFonts w:ascii="宋体" w:hAnsi="宋体"/>
                <w:kern w:val="0"/>
                <w:sz w:val="22"/>
              </w:rPr>
            </w:pPr>
            <w:r>
              <w:rPr>
                <w:rFonts w:hint="eastAsia" w:ascii="宋体" w:hAnsi="宋体"/>
                <w:kern w:val="0"/>
                <w:sz w:val="22"/>
              </w:rPr>
              <w:t>CESI01104P10007R0M</w:t>
            </w:r>
          </w:p>
        </w:tc>
        <w:tc>
          <w:tcPr>
            <w:tcW w:w="732" w:type="pct"/>
            <w:vAlign w:val="center"/>
          </w:tcPr>
          <w:p>
            <w:pPr>
              <w:jc w:val="center"/>
              <w:rPr>
                <w:rFonts w:ascii="宋体" w:hAnsi="宋体"/>
                <w:kern w:val="0"/>
                <w:sz w:val="22"/>
              </w:rPr>
            </w:pPr>
            <w:r>
              <w:rPr>
                <w:rFonts w:hint="eastAsia" w:ascii="宋体" w:hAnsi="宋体"/>
                <w:kern w:val="0"/>
                <w:sz w:val="22"/>
              </w:rPr>
              <w:t>2004-04-07</w:t>
            </w:r>
          </w:p>
        </w:tc>
        <w:tc>
          <w:tcPr>
            <w:tcW w:w="733" w:type="pct"/>
            <w:vAlign w:val="center"/>
          </w:tcPr>
          <w:p>
            <w:pPr>
              <w:jc w:val="center"/>
              <w:rPr>
                <w:rFonts w:ascii="宋体" w:hAnsi="宋体"/>
                <w:kern w:val="0"/>
                <w:sz w:val="22"/>
              </w:rPr>
            </w:pPr>
            <w:r>
              <w:rPr>
                <w:rFonts w:hint="eastAsia" w:ascii="宋体" w:hAnsi="宋体"/>
                <w:kern w:val="0"/>
                <w:sz w:val="22"/>
              </w:rPr>
              <w:t>2005-10-31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8" w:hRule="atLeast"/>
        </w:trPr>
        <w:tc>
          <w:tcPr>
            <w:tcW w:w="585" w:type="pct"/>
            <w:vAlign w:val="center"/>
          </w:tcPr>
          <w:p>
            <w:pPr>
              <w:jc w:val="center"/>
              <w:rPr>
                <w:rFonts w:ascii="宋体" w:hAnsi="宋体"/>
                <w:kern w:val="0"/>
                <w:sz w:val="22"/>
              </w:rPr>
            </w:pPr>
            <w:r>
              <w:rPr>
                <w:rFonts w:hint="eastAsia" w:ascii="宋体" w:hAnsi="宋体"/>
                <w:kern w:val="0"/>
                <w:sz w:val="22"/>
              </w:rPr>
              <w:t>西安西电捷通无线网络通信有限公司</w:t>
            </w:r>
          </w:p>
        </w:tc>
        <w:tc>
          <w:tcPr>
            <w:tcW w:w="563" w:type="pct"/>
            <w:vAlign w:val="center"/>
          </w:tcPr>
          <w:p>
            <w:pPr>
              <w:jc w:val="center"/>
              <w:rPr>
                <w:rFonts w:ascii="宋体" w:hAnsi="宋体"/>
                <w:kern w:val="0"/>
                <w:sz w:val="22"/>
              </w:rPr>
            </w:pPr>
            <w:r>
              <w:rPr>
                <w:rFonts w:hint="eastAsia" w:ascii="宋体" w:hAnsi="宋体"/>
                <w:kern w:val="0"/>
                <w:sz w:val="22"/>
              </w:rPr>
              <w:t>IWN A2410</w:t>
            </w:r>
          </w:p>
          <w:p>
            <w:pPr>
              <w:jc w:val="center"/>
              <w:rPr>
                <w:rFonts w:ascii="宋体" w:hAnsi="宋体"/>
                <w:kern w:val="0"/>
                <w:sz w:val="22"/>
              </w:rPr>
            </w:pPr>
            <w:r>
              <w:rPr>
                <w:rFonts w:hint="eastAsia" w:ascii="宋体" w:hAnsi="宋体"/>
                <w:kern w:val="0"/>
                <w:sz w:val="22"/>
              </w:rPr>
              <w:t>DC5V</w:t>
            </w:r>
          </w:p>
          <w:p>
            <w:pPr>
              <w:jc w:val="center"/>
              <w:rPr>
                <w:rFonts w:ascii="宋体" w:hAnsi="宋体"/>
                <w:kern w:val="0"/>
                <w:sz w:val="22"/>
              </w:rPr>
            </w:pPr>
            <w:r>
              <w:rPr>
                <w:rFonts w:hint="eastAsia" w:ascii="宋体" w:hAnsi="宋体"/>
                <w:kern w:val="0"/>
                <w:sz w:val="22"/>
              </w:rPr>
              <w:t>2.0A</w:t>
            </w:r>
          </w:p>
        </w:tc>
        <w:tc>
          <w:tcPr>
            <w:tcW w:w="1161"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jc w:val="center"/>
              <w:rPr>
                <w:rFonts w:ascii="宋体" w:hAnsi="宋体"/>
                <w:kern w:val="0"/>
                <w:sz w:val="22"/>
              </w:rPr>
            </w:pPr>
            <w:r>
              <w:rPr>
                <w:rFonts w:hint="eastAsia" w:ascii="宋体" w:hAnsi="宋体"/>
                <w:kern w:val="0"/>
                <w:sz w:val="22"/>
              </w:rPr>
              <w:t>GB15629.11-2003</w:t>
            </w:r>
          </w:p>
          <w:p>
            <w:pPr>
              <w:jc w:val="center"/>
              <w:rPr>
                <w:rFonts w:ascii="宋体" w:hAnsi="宋体"/>
                <w:kern w:val="0"/>
                <w:sz w:val="22"/>
              </w:rPr>
            </w:pPr>
            <w:r>
              <w:rPr>
                <w:rFonts w:hint="eastAsia" w:ascii="宋体" w:hAnsi="宋体"/>
                <w:kern w:val="0"/>
                <w:sz w:val="22"/>
              </w:rPr>
              <w:t>GB15629.1102-2003</w:t>
            </w:r>
          </w:p>
        </w:tc>
        <w:tc>
          <w:tcPr>
            <w:tcW w:w="1223" w:type="pct"/>
            <w:vAlign w:val="center"/>
          </w:tcPr>
          <w:p>
            <w:pPr>
              <w:jc w:val="center"/>
              <w:rPr>
                <w:rFonts w:ascii="宋体" w:hAnsi="宋体"/>
                <w:kern w:val="0"/>
                <w:sz w:val="22"/>
              </w:rPr>
            </w:pPr>
            <w:r>
              <w:rPr>
                <w:rFonts w:hint="eastAsia" w:ascii="宋体" w:hAnsi="宋体"/>
                <w:kern w:val="0"/>
                <w:sz w:val="22"/>
              </w:rPr>
              <w:t>CESI01104P10003R0M</w:t>
            </w:r>
          </w:p>
        </w:tc>
        <w:tc>
          <w:tcPr>
            <w:tcW w:w="732" w:type="pct"/>
            <w:vAlign w:val="center"/>
          </w:tcPr>
          <w:p>
            <w:pPr>
              <w:jc w:val="center"/>
              <w:rPr>
                <w:rFonts w:ascii="宋体" w:hAnsi="宋体"/>
                <w:kern w:val="0"/>
                <w:sz w:val="22"/>
              </w:rPr>
            </w:pPr>
            <w:r>
              <w:rPr>
                <w:rFonts w:hint="eastAsia" w:ascii="宋体" w:hAnsi="宋体"/>
                <w:kern w:val="0"/>
                <w:sz w:val="22"/>
              </w:rPr>
              <w:t>2004-04-07</w:t>
            </w:r>
          </w:p>
        </w:tc>
        <w:tc>
          <w:tcPr>
            <w:tcW w:w="733" w:type="pct"/>
            <w:vAlign w:val="center"/>
          </w:tcPr>
          <w:p>
            <w:pPr>
              <w:jc w:val="center"/>
              <w:rPr>
                <w:rFonts w:ascii="宋体" w:hAnsi="宋体"/>
                <w:kern w:val="0"/>
                <w:sz w:val="22"/>
              </w:rPr>
            </w:pPr>
            <w:r>
              <w:rPr>
                <w:rFonts w:hint="eastAsia" w:ascii="宋体" w:hAnsi="宋体"/>
                <w:kern w:val="0"/>
                <w:sz w:val="22"/>
              </w:rPr>
              <w:t>2005-10-31</w:t>
            </w:r>
          </w:p>
        </w:tc>
      </w:tr>
    </w:tbl>
    <w:p/>
    <w:p>
      <w:pPr>
        <w:rPr>
          <w:sz w:val="24"/>
        </w:rPr>
      </w:pPr>
      <w:r>
        <w:rPr>
          <w:rFonts w:hint="eastAsia"/>
          <w:sz w:val="24"/>
        </w:rPr>
        <w:t>四、计算机</w:t>
      </w:r>
    </w:p>
    <w:p>
      <w:pPr>
        <w:rPr>
          <w:sz w:val="18"/>
          <w:szCs w:val="18"/>
        </w:rPr>
      </w:pPr>
    </w:p>
    <w:tbl>
      <w:tblPr>
        <w:tblStyle w:val="7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386"/>
        <w:gridCol w:w="2492"/>
        <w:gridCol w:w="2097"/>
        <w:gridCol w:w="1093"/>
        <w:gridCol w:w="1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1" w:hRule="atLeast"/>
        </w:trPr>
        <w:tc>
          <w:tcPr>
            <w:tcW w:w="510" w:type="pct"/>
            <w:vAlign w:val="center"/>
          </w:tcPr>
          <w:p>
            <w:pPr>
              <w:jc w:val="center"/>
              <w:rPr>
                <w:rFonts w:ascii="宋体" w:hAnsi="宋体"/>
                <w:kern w:val="0"/>
                <w:sz w:val="22"/>
              </w:rPr>
            </w:pPr>
            <w:r>
              <w:rPr>
                <w:rFonts w:hint="eastAsia" w:ascii="宋体" w:hAnsi="宋体"/>
                <w:kern w:val="0"/>
                <w:sz w:val="22"/>
              </w:rPr>
              <w:t>北大方正集团有限公司</w:t>
            </w:r>
          </w:p>
        </w:tc>
        <w:tc>
          <w:tcPr>
            <w:tcW w:w="747" w:type="pct"/>
            <w:vAlign w:val="center"/>
          </w:tcPr>
          <w:p>
            <w:pPr>
              <w:jc w:val="center"/>
              <w:rPr>
                <w:rFonts w:ascii="宋体" w:hAnsi="宋体"/>
                <w:kern w:val="0"/>
                <w:sz w:val="22"/>
              </w:rPr>
            </w:pPr>
            <w:r>
              <w:rPr>
                <w:rFonts w:hint="eastAsia" w:ascii="宋体" w:hAnsi="宋体"/>
                <w:kern w:val="0"/>
                <w:sz w:val="22"/>
              </w:rPr>
              <w:t>NB700</w:t>
            </w:r>
          </w:p>
        </w:tc>
        <w:tc>
          <w:tcPr>
            <w:tcW w:w="1343" w:type="pct"/>
            <w:vAlign w:val="center"/>
          </w:tcPr>
          <w:p>
            <w:pPr>
              <w:jc w:val="center"/>
              <w:rPr>
                <w:rFonts w:ascii="宋体" w:hAnsi="宋体"/>
                <w:kern w:val="0"/>
                <w:sz w:val="22"/>
              </w:rPr>
            </w:pPr>
            <w:r>
              <w:rPr>
                <w:rFonts w:hint="eastAsia" w:ascii="宋体" w:hAnsi="宋体"/>
                <w:kern w:val="0"/>
                <w:sz w:val="22"/>
              </w:rPr>
              <w:t>GB4943-2001</w:t>
            </w:r>
          </w:p>
          <w:p>
            <w:pPr>
              <w:jc w:val="center"/>
              <w:rPr>
                <w:rFonts w:ascii="宋体" w:hAnsi="宋体"/>
                <w:kern w:val="0"/>
                <w:sz w:val="22"/>
              </w:rPr>
            </w:pPr>
            <w:r>
              <w:rPr>
                <w:rFonts w:hint="eastAsia" w:ascii="宋体" w:hAnsi="宋体"/>
                <w:kern w:val="0"/>
                <w:sz w:val="22"/>
              </w:rPr>
              <w:t>GB9254-1998</w:t>
            </w:r>
          </w:p>
          <w:p>
            <w:pPr>
              <w:jc w:val="center"/>
              <w:rPr>
                <w:rFonts w:ascii="宋体" w:hAnsi="宋体"/>
                <w:kern w:val="0"/>
                <w:sz w:val="22"/>
              </w:rPr>
            </w:pPr>
            <w:r>
              <w:rPr>
                <w:rFonts w:hint="eastAsia" w:ascii="宋体" w:hAnsi="宋体"/>
                <w:kern w:val="0"/>
                <w:sz w:val="22"/>
              </w:rPr>
              <w:t>GB17625.1-2003</w:t>
            </w:r>
          </w:p>
          <w:p>
            <w:pPr>
              <w:jc w:val="center"/>
              <w:rPr>
                <w:rFonts w:ascii="宋体" w:hAnsi="宋体"/>
                <w:kern w:val="0"/>
                <w:sz w:val="22"/>
              </w:rPr>
            </w:pPr>
            <w:r>
              <w:rPr>
                <w:rFonts w:hint="eastAsia" w:ascii="宋体" w:hAnsi="宋体"/>
                <w:kern w:val="0"/>
                <w:sz w:val="22"/>
              </w:rPr>
              <w:t>GB15629.11-2003</w:t>
            </w:r>
          </w:p>
          <w:p>
            <w:pPr>
              <w:jc w:val="center"/>
              <w:rPr>
                <w:rFonts w:ascii="宋体" w:hAnsi="宋体"/>
                <w:kern w:val="0"/>
                <w:sz w:val="22"/>
              </w:rPr>
            </w:pPr>
            <w:r>
              <w:rPr>
                <w:rFonts w:hint="eastAsia" w:ascii="宋体" w:hAnsi="宋体"/>
                <w:kern w:val="0"/>
                <w:sz w:val="22"/>
              </w:rPr>
              <w:t>GB15629.1102-2003</w:t>
            </w:r>
          </w:p>
        </w:tc>
        <w:tc>
          <w:tcPr>
            <w:tcW w:w="1131" w:type="pct"/>
            <w:vAlign w:val="center"/>
          </w:tcPr>
          <w:p>
            <w:pPr>
              <w:jc w:val="center"/>
              <w:rPr>
                <w:rFonts w:ascii="宋体" w:hAnsi="宋体"/>
                <w:kern w:val="0"/>
                <w:sz w:val="22"/>
              </w:rPr>
            </w:pPr>
            <w:r>
              <w:rPr>
                <w:rFonts w:hint="eastAsia" w:ascii="宋体" w:hAnsi="宋体"/>
                <w:kern w:val="0"/>
                <w:sz w:val="22"/>
              </w:rPr>
              <w:t>2004012000001</w:t>
            </w:r>
          </w:p>
        </w:tc>
        <w:tc>
          <w:tcPr>
            <w:tcW w:w="589" w:type="pct"/>
            <w:vAlign w:val="center"/>
          </w:tcPr>
          <w:p>
            <w:pPr>
              <w:jc w:val="center"/>
              <w:rPr>
                <w:rFonts w:ascii="宋体" w:hAnsi="宋体"/>
                <w:kern w:val="0"/>
                <w:sz w:val="22"/>
              </w:rPr>
            </w:pPr>
            <w:r>
              <w:rPr>
                <w:rFonts w:hint="eastAsia" w:ascii="宋体" w:hAnsi="宋体"/>
                <w:kern w:val="0"/>
                <w:sz w:val="22"/>
              </w:rPr>
              <w:t>2004-04-02</w:t>
            </w:r>
          </w:p>
        </w:tc>
        <w:tc>
          <w:tcPr>
            <w:tcW w:w="678" w:type="pct"/>
            <w:vAlign w:val="center"/>
          </w:tcPr>
          <w:p>
            <w:pPr>
              <w:jc w:val="center"/>
              <w:rPr>
                <w:rFonts w:ascii="宋体" w:hAnsi="宋体"/>
                <w:kern w:val="0"/>
                <w:sz w:val="22"/>
              </w:rPr>
            </w:pPr>
          </w:p>
        </w:tc>
      </w:tr>
    </w:tbl>
    <w:p>
      <w:pPr>
        <w:rPr>
          <w:rFonts w:asciiTheme="minorEastAsia" w:hAnsiTheme="minorEastAsia" w:eastAsiaTheme="minorEastAsia"/>
          <w:snapToGrid w:val="0"/>
        </w:rPr>
      </w:pPr>
      <w:r>
        <w:rPr>
          <w:rFonts w:asciiTheme="minorEastAsia" w:hAnsiTheme="minorEastAsia" w:eastAsiaTheme="minorEastAsia"/>
          <w:snapToGrid w:val="0"/>
        </w:rPr>
        <w:br w:type="page"/>
      </w:r>
    </w:p>
    <w:p>
      <w:pPr>
        <w:pStyle w:val="3"/>
        <w:spacing w:before="0" w:after="0"/>
        <w:jc w:val="left"/>
        <w:rPr>
          <w:rFonts w:asciiTheme="minorEastAsia" w:hAnsiTheme="minorEastAsia" w:eastAsiaTheme="minorEastAsia"/>
          <w:bCs w:val="0"/>
          <w:sz w:val="24"/>
          <w:szCs w:val="24"/>
        </w:rPr>
      </w:pPr>
      <w:bookmarkStart w:id="228" w:name="_Toc11494"/>
      <w:r>
        <w:rPr>
          <w:rFonts w:hint="eastAsia" w:asciiTheme="minorEastAsia" w:hAnsiTheme="minorEastAsia" w:eastAsiaTheme="minorEastAsia"/>
          <w:bCs w:val="0"/>
          <w:sz w:val="24"/>
          <w:szCs w:val="24"/>
        </w:rPr>
        <w:t>格式十二：缴纳中标服务费</w:t>
      </w:r>
      <w:r>
        <w:rPr>
          <w:rFonts w:hint="eastAsia" w:asciiTheme="minorEastAsia" w:hAnsiTheme="minorEastAsia" w:eastAsiaTheme="minorEastAsia"/>
          <w:bCs w:val="0"/>
          <w:sz w:val="24"/>
          <w:szCs w:val="24"/>
        </w:rPr>
        <w:fldChar w:fldCharType="begin"/>
      </w:r>
      <w:r>
        <w:rPr>
          <w:rFonts w:hint="eastAsia" w:asciiTheme="minorEastAsia" w:hAnsiTheme="minorEastAsia" w:eastAsiaTheme="minorEastAsia"/>
          <w:bCs w:val="0"/>
          <w:sz w:val="24"/>
          <w:szCs w:val="24"/>
        </w:rPr>
        <w:instrText xml:space="preserve">ADDIN CNKISM.UserStyle</w:instrText>
      </w:r>
      <w:r>
        <w:rPr>
          <w:rFonts w:hint="eastAsia" w:asciiTheme="minorEastAsia" w:hAnsiTheme="minorEastAsia" w:eastAsiaTheme="minorEastAsia"/>
          <w:bCs w:val="0"/>
          <w:sz w:val="24"/>
          <w:szCs w:val="24"/>
        </w:rPr>
        <w:fldChar w:fldCharType="end"/>
      </w:r>
      <w:r>
        <w:rPr>
          <w:rFonts w:hint="eastAsia" w:asciiTheme="minorEastAsia" w:hAnsiTheme="minorEastAsia" w:eastAsiaTheme="minorEastAsia"/>
          <w:bCs w:val="0"/>
          <w:sz w:val="24"/>
          <w:szCs w:val="24"/>
        </w:rPr>
        <w:t>承诺书</w:t>
      </w:r>
      <w:bookmarkEnd w:id="226"/>
      <w:bookmarkEnd w:id="227"/>
      <w:bookmarkEnd w:id="228"/>
    </w:p>
    <w:p>
      <w:pPr>
        <w:spacing w:line="600" w:lineRule="auto"/>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缴纳中标服务费</w:t>
      </w:r>
      <w:r>
        <w:rPr>
          <w:rFonts w:asciiTheme="minorEastAsia" w:hAnsiTheme="minorEastAsia" w:eastAsiaTheme="minorEastAsia"/>
          <w:b/>
          <w:bCs/>
          <w:sz w:val="32"/>
          <w:szCs w:val="32"/>
        </w:rPr>
        <w:fldChar w:fldCharType="begin"/>
      </w:r>
      <w:r>
        <w:rPr>
          <w:rFonts w:asciiTheme="minorEastAsia" w:hAnsiTheme="minorEastAsia" w:eastAsiaTheme="minorEastAsia"/>
          <w:b/>
          <w:bCs/>
          <w:sz w:val="32"/>
          <w:szCs w:val="32"/>
        </w:rPr>
        <w:instrText xml:space="preserve">ADDIN CNKISM.UserStyle</w:instrText>
      </w:r>
      <w:r>
        <w:rPr>
          <w:rFonts w:asciiTheme="minorEastAsia" w:hAnsiTheme="minorEastAsia" w:eastAsiaTheme="minorEastAsia"/>
          <w:b/>
          <w:bCs/>
          <w:sz w:val="32"/>
          <w:szCs w:val="32"/>
        </w:rPr>
        <w:fldChar w:fldCharType="end"/>
      </w:r>
      <w:r>
        <w:rPr>
          <w:rFonts w:hint="eastAsia" w:asciiTheme="minorEastAsia" w:hAnsiTheme="minorEastAsia" w:eastAsiaTheme="minorEastAsia"/>
          <w:b/>
          <w:bCs/>
          <w:sz w:val="32"/>
          <w:szCs w:val="32"/>
        </w:rPr>
        <w:t>承诺书</w:t>
      </w:r>
    </w:p>
    <w:p>
      <w:pPr>
        <w:spacing w:line="480" w:lineRule="auto"/>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石拓项目管理有限公司 </w:t>
      </w:r>
      <w:r>
        <w:rPr>
          <w:rFonts w:hint="eastAsia" w:cs="宋体" w:asciiTheme="minorEastAsia" w:hAnsiTheme="minorEastAsia" w:eastAsiaTheme="minorEastAsia"/>
          <w:sz w:val="24"/>
        </w:rPr>
        <w:t>：</w:t>
      </w:r>
    </w:p>
    <w:p>
      <w:pPr>
        <w:spacing w:line="500" w:lineRule="exact"/>
        <w:ind w:firstLine="491" w:firstLineChars="205"/>
        <w:rPr>
          <w:rFonts w:cs="宋体" w:asciiTheme="minorEastAsia" w:hAnsiTheme="minorEastAsia" w:eastAsiaTheme="minorEastAsia"/>
          <w:sz w:val="24"/>
        </w:rPr>
      </w:pPr>
      <w:r>
        <w:rPr>
          <w:rFonts w:hint="eastAsia" w:cs="宋体" w:asciiTheme="minorEastAsia" w:hAnsiTheme="minorEastAsia" w:eastAsiaTheme="minorEastAsia"/>
          <w:sz w:val="24"/>
        </w:rPr>
        <w:t>1、我单位承诺，如若我单位在本次</w:t>
      </w:r>
      <w:r>
        <w:rPr>
          <w:rFonts w:hint="eastAsia" w:cs="宋体" w:asciiTheme="minorEastAsia" w:hAnsiTheme="minorEastAsia" w:eastAsiaTheme="minorEastAsia"/>
          <w:sz w:val="24"/>
          <w:u w:val="single"/>
        </w:rPr>
        <w:t xml:space="preserve">             （项目名称、项目编号、包号）政府采购</w:t>
      </w:r>
      <w:r>
        <w:rPr>
          <w:rFonts w:hint="eastAsia" w:cs="宋体" w:asciiTheme="minorEastAsia" w:hAnsiTheme="minorEastAsia" w:eastAsiaTheme="minorEastAsia"/>
          <w:sz w:val="24"/>
        </w:rPr>
        <w:t>项目中确定为中标人，中标服务费将按照招标文件规定的计取标准从我单位账户以电汇或经贵方认可的付款方式提交至贵公司指定账户（具体账户详见供应商须知）。</w:t>
      </w:r>
    </w:p>
    <w:p>
      <w:pPr>
        <w:spacing w:line="500" w:lineRule="exact"/>
        <w:ind w:firstLine="491" w:firstLineChars="205"/>
        <w:rPr>
          <w:rFonts w:cs="宋体" w:asciiTheme="minorEastAsia" w:hAnsiTheme="minorEastAsia" w:eastAsiaTheme="minorEastAsia"/>
          <w:sz w:val="24"/>
        </w:rPr>
      </w:pPr>
      <w:r>
        <w:rPr>
          <w:rFonts w:hint="eastAsia" w:cs="宋体" w:asciiTheme="minorEastAsia" w:hAnsiTheme="minorEastAsia" w:eastAsiaTheme="minorEastAsia"/>
          <w:sz w:val="24"/>
        </w:rPr>
        <w:t>2、我单位承诺将我单位的____________电子邮箱作为接受贵公司关于本项目采购过程中所有澄清、答疑、中标服务费催收、告知函等相关材料的唯一指定邮箱，贵方对该邮箱的送达、告知即视为对于本供应商的送达，告知！</w:t>
      </w:r>
    </w:p>
    <w:p>
      <w:pPr>
        <w:spacing w:line="500" w:lineRule="exact"/>
        <w:ind w:firstLine="491" w:firstLineChars="205"/>
        <w:rPr>
          <w:rFonts w:cs="宋体" w:asciiTheme="minorEastAsia" w:hAnsiTheme="minorEastAsia" w:eastAsiaTheme="minorEastAsia"/>
          <w:sz w:val="24"/>
        </w:rPr>
      </w:pPr>
      <w:r>
        <w:rPr>
          <w:rFonts w:hint="eastAsia" w:cs="宋体" w:asciiTheme="minorEastAsia" w:hAnsiTheme="minorEastAsia" w:eastAsiaTheme="minorEastAsia"/>
          <w:sz w:val="24"/>
        </w:rPr>
        <w:t>3、我公司承诺在中标公告发布后三个工作日内，向贵方指定账户汇入中标服务费，如未能按期缴纳该中标服务费，视为我公司违约，我公司自愿每日按照中标服务费的千分之三向贵公司支付违约金。</w:t>
      </w:r>
    </w:p>
    <w:p>
      <w:pPr>
        <w:spacing w:line="500" w:lineRule="exact"/>
        <w:ind w:firstLine="491" w:firstLineChars="205"/>
        <w:rPr>
          <w:rFonts w:cs="宋体" w:asciiTheme="minorEastAsia" w:hAnsiTheme="minorEastAsia" w:eastAsiaTheme="minorEastAsia"/>
          <w:sz w:val="24"/>
        </w:rPr>
      </w:pPr>
      <w:r>
        <w:rPr>
          <w:rFonts w:hint="eastAsia" w:cs="宋体" w:asciiTheme="minorEastAsia" w:hAnsiTheme="minorEastAsia" w:eastAsiaTheme="minorEastAsia"/>
          <w:sz w:val="24"/>
        </w:rPr>
        <w:t xml:space="preserve">4、该承诺书系我单位自愿承诺，对因中标服务费所涉纠纷，我方和贵公司双方均认同由贵公司住所地人民法院管辖，且诉讼所产生的诉讼费、律师费、保全费均由违约方承担。                      </w:t>
      </w:r>
    </w:p>
    <w:p>
      <w:pPr>
        <w:spacing w:line="500" w:lineRule="exact"/>
        <w:ind w:firstLine="491" w:firstLineChars="205"/>
        <w:rPr>
          <w:rFonts w:cs="宋体" w:asciiTheme="minorEastAsia" w:hAnsiTheme="minorEastAsia" w:eastAsiaTheme="minorEastAsia"/>
          <w:sz w:val="24"/>
        </w:rPr>
      </w:pPr>
      <w:r>
        <w:rPr>
          <w:rFonts w:hint="eastAsia" w:cs="宋体" w:asciiTheme="minorEastAsia" w:hAnsiTheme="minorEastAsia" w:eastAsiaTheme="minorEastAsia"/>
          <w:sz w:val="24"/>
        </w:rPr>
        <w:t xml:space="preserve">5、我方递交了本政府采购项目的投标文件，即意味着接受本政府采购项目招标文件中关于中标服务费的计费标准和缴纳方式等条款。如我公司未履行本承诺或未按本政府采购项目招标文件中的规定缴纳中标服务费，贵公司及相关部门可以据此作为对我方信用评价的依据。 </w:t>
      </w:r>
    </w:p>
    <w:p>
      <w:pPr>
        <w:spacing w:line="500" w:lineRule="exact"/>
        <w:ind w:firstLine="491" w:firstLineChars="205"/>
        <w:rPr>
          <w:rFonts w:cs="宋体" w:asciiTheme="minorEastAsia" w:hAnsiTheme="minorEastAsia" w:eastAsiaTheme="minorEastAsia"/>
          <w:sz w:val="24"/>
        </w:rPr>
      </w:pPr>
    </w:p>
    <w:p>
      <w:pPr>
        <w:spacing w:line="360" w:lineRule="auto"/>
        <w:ind w:firstLine="2834" w:firstLineChars="1181"/>
        <w:jc w:val="center"/>
        <w:rPr>
          <w:rFonts w:cs="宋体" w:asciiTheme="minorEastAsia" w:hAnsiTheme="minorEastAsia" w:eastAsiaTheme="minorEastAsia"/>
          <w:sz w:val="24"/>
        </w:rPr>
      </w:pPr>
      <w:r>
        <w:rPr>
          <w:rFonts w:hint="eastAsia" w:cs="宋体" w:asciiTheme="minorEastAsia" w:hAnsiTheme="minorEastAsia" w:eastAsiaTheme="minorEastAsia"/>
          <w:sz w:val="24"/>
        </w:rPr>
        <w:t>供应商（盖公章）：____________________________</w:t>
      </w:r>
    </w:p>
    <w:p>
      <w:pPr>
        <w:spacing w:line="360" w:lineRule="auto"/>
        <w:ind w:firstLine="3314" w:firstLineChars="1381"/>
        <w:rPr>
          <w:rFonts w:cs="宋体" w:asciiTheme="minorEastAsia" w:hAnsiTheme="minorEastAsia" w:eastAsiaTheme="minorEastAsia"/>
          <w:sz w:val="24"/>
        </w:rPr>
      </w:pPr>
      <w:r>
        <w:rPr>
          <w:rFonts w:hint="eastAsia" w:cs="宋体" w:asciiTheme="minorEastAsia" w:hAnsiTheme="minorEastAsia" w:eastAsiaTheme="minorEastAsia"/>
          <w:sz w:val="24"/>
        </w:rPr>
        <w:t>法定代表人（</w:t>
      </w:r>
      <w:r>
        <w:rPr>
          <w:rFonts w:hint="eastAsia" w:asciiTheme="minorEastAsia" w:hAnsiTheme="minorEastAsia" w:eastAsiaTheme="minorEastAsia"/>
          <w:sz w:val="24"/>
        </w:rPr>
        <w:t>签字或盖章</w:t>
      </w:r>
      <w:r>
        <w:rPr>
          <w:rFonts w:hint="eastAsia" w:cs="宋体" w:asciiTheme="minorEastAsia" w:hAnsiTheme="minorEastAsia" w:eastAsiaTheme="minorEastAsia"/>
          <w:sz w:val="24"/>
        </w:rPr>
        <w:t>）：__________________</w:t>
      </w:r>
    </w:p>
    <w:p>
      <w:pPr>
        <w:spacing w:line="360" w:lineRule="auto"/>
        <w:ind w:firstLine="2834" w:firstLineChars="1181"/>
        <w:jc w:val="center"/>
        <w:rPr>
          <w:rFonts w:cs="宋体" w:asciiTheme="minorEastAsia" w:hAnsiTheme="minorEastAsia" w:eastAsiaTheme="minorEastAsia"/>
          <w:sz w:val="24"/>
        </w:rPr>
      </w:pPr>
      <w:r>
        <w:rPr>
          <w:rFonts w:hint="eastAsia" w:cs="宋体" w:asciiTheme="minorEastAsia" w:hAnsiTheme="minorEastAsia" w:eastAsiaTheme="minorEastAsia"/>
          <w:sz w:val="24"/>
        </w:rPr>
        <w:t>委托代理人(</w:t>
      </w:r>
      <w:r>
        <w:rPr>
          <w:rFonts w:hint="eastAsia" w:asciiTheme="minorEastAsia" w:hAnsiTheme="minorEastAsia" w:eastAsiaTheme="minorEastAsia"/>
          <w:sz w:val="24"/>
        </w:rPr>
        <w:t>签字或盖章</w:t>
      </w:r>
      <w:r>
        <w:rPr>
          <w:rFonts w:hint="eastAsia" w:cs="宋体" w:asciiTheme="minorEastAsia" w:hAnsiTheme="minorEastAsia" w:eastAsiaTheme="minorEastAsia"/>
          <w:sz w:val="24"/>
        </w:rPr>
        <w:t>)：_________________</w:t>
      </w:r>
    </w:p>
    <w:p>
      <w:pPr>
        <w:spacing w:line="360" w:lineRule="auto"/>
        <w:ind w:firstLine="2834" w:firstLineChars="1181"/>
        <w:jc w:val="center"/>
        <w:rPr>
          <w:rFonts w:cs="宋体" w:asciiTheme="minorEastAsia" w:hAnsiTheme="minorEastAsia" w:eastAsiaTheme="minorEastAsia"/>
          <w:sz w:val="24"/>
        </w:rPr>
      </w:pPr>
      <w:r>
        <w:rPr>
          <w:rFonts w:hint="eastAsia" w:cs="宋体" w:asciiTheme="minorEastAsia" w:hAnsiTheme="minorEastAsia" w:eastAsiaTheme="minorEastAsia"/>
          <w:sz w:val="24"/>
        </w:rPr>
        <w:t>20  年  月  日</w:t>
      </w:r>
    </w:p>
    <w:p>
      <w:pPr>
        <w:pStyle w:val="24"/>
      </w:pPr>
      <w:r>
        <w:rPr>
          <w:rFonts w:asciiTheme="minorEastAsia" w:hAnsiTheme="minorEastAsia" w:eastAsiaTheme="minorEastAsia"/>
        </w:rPr>
        <w:br w:type="page"/>
      </w:r>
    </w:p>
    <w:p>
      <w:pPr>
        <w:pStyle w:val="3"/>
        <w:spacing w:before="0" w:after="0"/>
        <w:jc w:val="left"/>
        <w:rPr>
          <w:rFonts w:asciiTheme="minorEastAsia" w:hAnsiTheme="minorEastAsia" w:eastAsiaTheme="minorEastAsia"/>
          <w:bCs w:val="0"/>
          <w:sz w:val="24"/>
          <w:szCs w:val="24"/>
        </w:rPr>
      </w:pPr>
      <w:bookmarkStart w:id="229" w:name="_Toc72321868"/>
      <w:bookmarkStart w:id="230" w:name="_Toc6834"/>
      <w:r>
        <w:rPr>
          <w:rFonts w:hint="eastAsia" w:asciiTheme="minorEastAsia" w:hAnsiTheme="minorEastAsia" w:eastAsiaTheme="minorEastAsia"/>
          <w:bCs w:val="0"/>
          <w:sz w:val="24"/>
          <w:szCs w:val="24"/>
        </w:rPr>
        <w:t>附件十三：投标文件密封封套标记格式</w:t>
      </w:r>
      <w:bookmarkEnd w:id="229"/>
      <w:bookmarkEnd w:id="230"/>
    </w:p>
    <w:p>
      <w:pPr>
        <w:pStyle w:val="33"/>
        <w:spacing w:line="240" w:lineRule="auto"/>
        <w:ind w:left="0" w:leftChars="0" w:firstLine="0" w:firstLineChars="0"/>
        <w:jc w:val="center"/>
        <w:rPr>
          <w:rFonts w:asciiTheme="minorEastAsia" w:hAnsiTheme="minorEastAsia" w:eastAsiaTheme="minorEastAsia"/>
          <w:b/>
          <w:snapToGrid w:val="0"/>
          <w:sz w:val="28"/>
          <w:szCs w:val="28"/>
        </w:rPr>
      </w:pPr>
      <w:r>
        <w:rPr>
          <w:rFonts w:hint="eastAsia" w:asciiTheme="minorEastAsia" w:hAnsiTheme="minorEastAsia" w:eastAsiaTheme="minorEastAsia"/>
          <w:b/>
          <w:snapToGrid w:val="0"/>
          <w:sz w:val="28"/>
          <w:szCs w:val="28"/>
        </w:rPr>
        <w:t>投标文件密封封套标记格式</w:t>
      </w:r>
    </w:p>
    <w:tbl>
      <w:tblPr>
        <w:tblStyle w:val="75"/>
        <w:tblW w:w="90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5"/>
        <w:gridCol w:w="4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0" w:hRule="atLeast"/>
        </w:trPr>
        <w:tc>
          <w:tcPr>
            <w:tcW w:w="4285" w:type="dxa"/>
          </w:tcPr>
          <w:p>
            <w:pPr>
              <w:pStyle w:val="33"/>
              <w:spacing w:line="360" w:lineRule="auto"/>
              <w:ind w:left="0" w:leftChars="0" w:firstLine="0" w:firstLineChars="0"/>
              <w:jc w:val="left"/>
              <w:rPr>
                <w:rFonts w:asciiTheme="minorEastAsia" w:hAnsiTheme="minorEastAsia" w:eastAsiaTheme="minorEastAsia"/>
                <w:b/>
                <w:snapToGrid w:val="0"/>
                <w:sz w:val="24"/>
              </w:rPr>
            </w:pPr>
            <w:r>
              <w:rPr>
                <w:rFonts w:hint="eastAsia" w:asciiTheme="minorEastAsia" w:hAnsiTheme="minorEastAsia" w:eastAsiaTheme="minorEastAsia"/>
                <w:b/>
                <w:snapToGrid w:val="0"/>
                <w:sz w:val="24"/>
              </w:rPr>
              <w:t>投标文件</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b/>
                <w:snapToGrid w:val="0"/>
                <w:sz w:val="24"/>
              </w:rPr>
              <w:t>（正本）</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项目编号：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项目名称：</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包    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供应商名称（公章）：</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地址：</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电话：</w:t>
            </w:r>
          </w:p>
        </w:tc>
        <w:tc>
          <w:tcPr>
            <w:tcW w:w="4775" w:type="dxa"/>
          </w:tcPr>
          <w:p>
            <w:pPr>
              <w:pStyle w:val="33"/>
              <w:spacing w:line="360" w:lineRule="auto"/>
              <w:ind w:left="0" w:leftChars="0" w:firstLine="0" w:firstLineChars="0"/>
              <w:jc w:val="left"/>
              <w:rPr>
                <w:rFonts w:asciiTheme="minorEastAsia" w:hAnsiTheme="minorEastAsia" w:eastAsiaTheme="minorEastAsia"/>
                <w:b/>
                <w:snapToGrid w:val="0"/>
                <w:sz w:val="24"/>
              </w:rPr>
            </w:pPr>
            <w:r>
              <w:rPr>
                <w:rFonts w:hint="eastAsia" w:asciiTheme="minorEastAsia" w:hAnsiTheme="minorEastAsia" w:eastAsiaTheme="minorEastAsia"/>
                <w:b/>
                <w:snapToGrid w:val="0"/>
                <w:sz w:val="24"/>
              </w:rPr>
              <w:t>投标文件</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b/>
                <w:snapToGrid w:val="0"/>
                <w:sz w:val="24"/>
              </w:rPr>
              <w:t>（副本）</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项目编号：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项目名称：</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包    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供应商名称（公章）：</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地址：</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电话：</w:t>
            </w:r>
          </w:p>
        </w:tc>
      </w:tr>
    </w:tbl>
    <w:p>
      <w:pPr>
        <w:pStyle w:val="33"/>
        <w:spacing w:line="240" w:lineRule="auto"/>
        <w:ind w:left="1747" w:firstLine="392"/>
        <w:rPr>
          <w:rFonts w:asciiTheme="minorEastAsia" w:hAnsiTheme="minorEastAsia" w:eastAsiaTheme="minorEastAsia"/>
          <w:snapToGrid w:val="0"/>
        </w:rPr>
      </w:pPr>
    </w:p>
    <w:tbl>
      <w:tblPr>
        <w:tblStyle w:val="75"/>
        <w:tblW w:w="90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5"/>
        <w:gridCol w:w="4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0" w:hRule="atLeast"/>
        </w:trPr>
        <w:tc>
          <w:tcPr>
            <w:tcW w:w="4285" w:type="dxa"/>
          </w:tcPr>
          <w:p>
            <w:pPr>
              <w:pStyle w:val="33"/>
              <w:spacing w:line="360" w:lineRule="auto"/>
              <w:ind w:left="0" w:leftChars="0" w:firstLine="0" w:firstLineChars="0"/>
              <w:jc w:val="left"/>
              <w:rPr>
                <w:rFonts w:asciiTheme="minorEastAsia" w:hAnsiTheme="minorEastAsia" w:eastAsiaTheme="minorEastAsia"/>
                <w:snapToGrid w:val="0"/>
                <w:sz w:val="24"/>
              </w:rPr>
            </w:pP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b/>
                <w:bCs/>
                <w:snapToGrid w:val="0"/>
                <w:sz w:val="24"/>
              </w:rPr>
              <w:t>开标一览表</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项目编号：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项目名称：</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包    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供应商名称（公章）：</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地址：</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电话：</w:t>
            </w:r>
          </w:p>
        </w:tc>
        <w:tc>
          <w:tcPr>
            <w:tcW w:w="4775" w:type="dxa"/>
          </w:tcPr>
          <w:p>
            <w:pPr>
              <w:pStyle w:val="33"/>
              <w:spacing w:line="360" w:lineRule="auto"/>
              <w:ind w:left="0" w:leftChars="0" w:firstLine="0" w:firstLineChars="0"/>
              <w:jc w:val="left"/>
              <w:rPr>
                <w:rFonts w:asciiTheme="minorEastAsia" w:hAnsiTheme="minorEastAsia" w:eastAsiaTheme="minorEastAsia"/>
                <w:snapToGrid w:val="0"/>
                <w:sz w:val="24"/>
              </w:rPr>
            </w:pP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b/>
                <w:bCs/>
                <w:snapToGrid w:val="0"/>
                <w:sz w:val="24"/>
              </w:rPr>
              <w:t>电子文档</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项目编号：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项目名称：</w:t>
            </w:r>
            <w:bookmarkStart w:id="231" w:name="_GoBack"/>
            <w:bookmarkEnd w:id="231"/>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包    号：</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供应商名称（公章）：</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地址：</w:t>
            </w:r>
          </w:p>
          <w:p>
            <w:pPr>
              <w:pStyle w:val="33"/>
              <w:spacing w:line="360" w:lineRule="auto"/>
              <w:ind w:left="0" w:leftChars="0" w:firstLine="0" w:firstLineChars="0"/>
              <w:jc w:val="left"/>
              <w:rPr>
                <w:rFonts w:asciiTheme="minorEastAsia" w:hAnsiTheme="minorEastAsia" w:eastAsiaTheme="minorEastAsia"/>
                <w:snapToGrid w:val="0"/>
                <w:sz w:val="24"/>
              </w:rPr>
            </w:pPr>
            <w:r>
              <w:rPr>
                <w:rFonts w:hint="eastAsia" w:asciiTheme="minorEastAsia" w:hAnsiTheme="minorEastAsia" w:eastAsiaTheme="minorEastAsia"/>
                <w:snapToGrid w:val="0"/>
                <w:sz w:val="24"/>
              </w:rPr>
              <w:t>电话：</w:t>
            </w:r>
          </w:p>
        </w:tc>
      </w:tr>
    </w:tbl>
    <w:p>
      <w:pPr>
        <w:pStyle w:val="33"/>
        <w:spacing w:line="240" w:lineRule="auto"/>
        <w:ind w:left="1747" w:firstLine="392"/>
        <w:rPr>
          <w:rFonts w:asciiTheme="minorEastAsia" w:hAnsiTheme="minorEastAsia" w:eastAsiaTheme="minorEastAsia"/>
          <w:snapToGrid w:val="0"/>
        </w:rPr>
      </w:pPr>
    </w:p>
    <w:p>
      <w:pPr>
        <w:pStyle w:val="33"/>
        <w:spacing w:line="240" w:lineRule="auto"/>
        <w:ind w:left="0" w:leftChars="0" w:firstLine="0" w:firstLineChars="0"/>
        <w:rPr>
          <w:rFonts w:asciiTheme="minorEastAsia" w:hAnsiTheme="minorEastAsia" w:eastAsiaTheme="minorEastAsia"/>
          <w:b/>
          <w:bCs/>
          <w:snapToGrid w:val="0"/>
          <w:sz w:val="32"/>
        </w:rPr>
      </w:pPr>
      <w:r>
        <w:rPr>
          <w:rFonts w:hint="eastAsia" w:asciiTheme="minorEastAsia" w:hAnsiTheme="minorEastAsia" w:eastAsiaTheme="minorEastAsia"/>
          <w:b/>
          <w:bCs/>
          <w:snapToGrid w:val="0"/>
          <w:sz w:val="32"/>
        </w:rPr>
        <w:t>封口格式：</w:t>
      </w:r>
    </w:p>
    <w:tbl>
      <w:tblPr>
        <w:tblStyle w:val="75"/>
        <w:tblW w:w="91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168" w:type="dxa"/>
            <w:vAlign w:val="center"/>
          </w:tcPr>
          <w:p>
            <w:pPr>
              <w:pStyle w:val="33"/>
              <w:spacing w:line="240" w:lineRule="auto"/>
              <w:ind w:left="0" w:leftChars="0" w:firstLine="0" w:firstLineChars="0"/>
              <w:rPr>
                <w:rFonts w:asciiTheme="minorEastAsia" w:hAnsiTheme="minorEastAsia" w:eastAsiaTheme="minorEastAsia"/>
                <w:snapToGrid w:val="0"/>
                <w:sz w:val="24"/>
              </w:rPr>
            </w:pPr>
            <w:r>
              <w:rPr>
                <w:rFonts w:hint="eastAsia" w:asciiTheme="minorEastAsia" w:hAnsiTheme="minorEastAsia" w:eastAsiaTheme="minorEastAsia"/>
                <w:snapToGrid w:val="0"/>
                <w:sz w:val="24"/>
              </w:rPr>
              <w:t>……………………于</w:t>
            </w:r>
            <w:r>
              <w:rPr>
                <w:rFonts w:asciiTheme="minorEastAsia" w:hAnsiTheme="minorEastAsia" w:eastAsiaTheme="minorEastAsia"/>
                <w:snapToGrid w:val="0"/>
                <w:sz w:val="24"/>
              </w:rPr>
              <w:t>2022</w:t>
            </w:r>
            <w:r>
              <w:rPr>
                <w:rFonts w:hint="eastAsia" w:asciiTheme="minorEastAsia" w:hAnsiTheme="minorEastAsia" w:eastAsiaTheme="minorEastAsia"/>
                <w:snapToGrid w:val="0"/>
                <w:sz w:val="24"/>
              </w:rPr>
              <w:t>年10月18日</w:t>
            </w:r>
            <w:r>
              <w:rPr>
                <w:rFonts w:asciiTheme="minorEastAsia" w:hAnsiTheme="minorEastAsia" w:eastAsiaTheme="minorEastAsia"/>
                <w:snapToGrid w:val="0"/>
                <w:sz w:val="24"/>
              </w:rPr>
              <w:t>9</w:t>
            </w:r>
            <w:r>
              <w:rPr>
                <w:rFonts w:hint="eastAsia" w:asciiTheme="minorEastAsia" w:hAnsiTheme="minorEastAsia" w:eastAsiaTheme="minorEastAsia"/>
                <w:snapToGrid w:val="0"/>
                <w:sz w:val="24"/>
              </w:rPr>
              <w:t>时3</w:t>
            </w:r>
            <w:r>
              <w:rPr>
                <w:rFonts w:asciiTheme="minorEastAsia" w:hAnsiTheme="minorEastAsia" w:eastAsiaTheme="minorEastAsia"/>
                <w:snapToGrid w:val="0"/>
                <w:sz w:val="24"/>
              </w:rPr>
              <w:t>0</w:t>
            </w:r>
            <w:r>
              <w:rPr>
                <w:rFonts w:hint="eastAsia" w:asciiTheme="minorEastAsia" w:hAnsiTheme="minorEastAsia" w:eastAsiaTheme="minorEastAsia"/>
                <w:snapToGrid w:val="0"/>
                <w:sz w:val="24"/>
              </w:rPr>
              <w:t>分之前不准启封（公章）…………………</w:t>
            </w:r>
          </w:p>
        </w:tc>
      </w:tr>
    </w:tbl>
    <w:p>
      <w:pPr>
        <w:rPr>
          <w:rFonts w:asciiTheme="minorEastAsia" w:hAnsiTheme="minorEastAsia" w:eastAsiaTheme="minorEastAsia"/>
          <w:snapToGrid w:val="0"/>
          <w:kern w:val="0"/>
        </w:rPr>
      </w:pPr>
    </w:p>
    <w:p>
      <w:pPr>
        <w:widowControl/>
        <w:jc w:val="left"/>
        <w:rPr>
          <w:rFonts w:asciiTheme="minorEastAsia" w:hAnsiTheme="minorEastAsia" w:eastAsiaTheme="minorEastAsia"/>
          <w:sz w:val="24"/>
        </w:rPr>
      </w:pPr>
    </w:p>
    <w:p>
      <w:pPr>
        <w:widowControl/>
        <w:jc w:val="left"/>
        <w:rPr>
          <w:rFonts w:asciiTheme="minorEastAsia" w:hAnsiTheme="minorEastAsia" w:eastAsiaTheme="minorEastAsia"/>
          <w:sz w:val="24"/>
        </w:rPr>
      </w:pPr>
    </w:p>
    <w:sectPr>
      <w:headerReference r:id="rId10" w:type="default"/>
      <w:footerReference r:id="rId11" w:type="default"/>
      <w:pgSz w:w="11907" w:h="16840"/>
      <w:pgMar w:top="1230" w:right="1418" w:bottom="1134" w:left="1418" w:header="851" w:footer="851" w:gutter="0"/>
      <w:cols w:space="720" w:num="1"/>
      <w:docGrid w:type="lines" w:linePitch="290" w:charSpace="-39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TimesNewRomanPSMT">
    <w:altName w:val="Times New Roman"/>
    <w:panose1 w:val="00000000000000000000"/>
    <w:charset w:val="00"/>
    <w:family w:val="roman"/>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方正仿宋_GB2312">
    <w:altName w:val="仿宋"/>
    <w:panose1 w:val="00000000000000000000"/>
    <w:charset w:val="86"/>
    <w:family w:val="auto"/>
    <w:pitch w:val="default"/>
    <w:sig w:usb0="00000000" w:usb1="00000000" w:usb2="00000012" w:usb3="00000000" w:csb0="00040001"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8310593"/>
    </w:sdtPr>
    <w:sdtContent>
      <w:p>
        <w:pPr>
          <w:pStyle w:val="50"/>
          <w:jc w:val="center"/>
        </w:pPr>
        <w:r>
          <w:fldChar w:fldCharType="begin"/>
        </w:r>
        <w:r>
          <w:instrText xml:space="preserve">PAGE   \* MERGEFORMAT</w:instrText>
        </w:r>
        <w:r>
          <w:fldChar w:fldCharType="separate"/>
        </w:r>
        <w:r>
          <w:rPr>
            <w:lang w:val="zh-CN"/>
          </w:rPr>
          <w:t>2</w:t>
        </w:r>
        <w:r>
          <w:fldChar w:fldCharType="end"/>
        </w:r>
      </w:p>
    </w:sdtContent>
  </w:sdt>
  <w:p>
    <w:pPr>
      <w:spacing w:line="200" w:lineRule="exact"/>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96669739"/>
    </w:sdtPr>
    <w:sdtContent>
      <w:p>
        <w:pPr>
          <w:pStyle w:val="50"/>
          <w:jc w:val="center"/>
        </w:pPr>
        <w:r>
          <w:fldChar w:fldCharType="begin"/>
        </w:r>
        <w:r>
          <w:instrText xml:space="preserve">PAGE   \* MERGEFORMAT</w:instrText>
        </w:r>
        <w:r>
          <w:fldChar w:fldCharType="separate"/>
        </w:r>
        <w:r>
          <w:rPr>
            <w:lang w:val="zh-CN"/>
          </w:rPr>
          <w:t>2</w:t>
        </w:r>
        <w:r>
          <w:fldChar w:fldCharType="end"/>
        </w:r>
      </w:p>
    </w:sdtContent>
  </w:sdt>
  <w:p>
    <w:pPr>
      <w:spacing w:line="200" w:lineRule="exact"/>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840" w:firstLineChars="4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720" w:firstLineChars="400"/>
      <w:rPr>
        <w:sz w:val="18"/>
        <w:szCs w:val="18"/>
        <w:u w:val="single"/>
      </w:rPr>
    </w:pPr>
    <w:r>
      <w:rPr>
        <w:rFonts w:ascii="宋体" w:hAnsi="宋体" w:cs="宋体"/>
        <w:bCs/>
        <w:color w:val="000000" w:themeColor="text1"/>
        <w:sz w:val="18"/>
        <w:szCs w:val="18"/>
        <w:u w:val="single"/>
        <w14:textFill>
          <w14:solidFill>
            <w14:schemeClr w14:val="tx1"/>
          </w14:solidFill>
        </w14:textFill>
      </w:rPr>
      <w:drawing>
        <wp:anchor distT="0" distB="0" distL="114300" distR="114300" simplePos="0" relativeHeight="251659264" behindDoc="1" locked="0" layoutInCell="1" allowOverlap="1">
          <wp:simplePos x="0" y="0"/>
          <wp:positionH relativeFrom="margin">
            <wp:posOffset>635</wp:posOffset>
          </wp:positionH>
          <wp:positionV relativeFrom="paragraph">
            <wp:posOffset>-267335</wp:posOffset>
          </wp:positionV>
          <wp:extent cx="400050" cy="427990"/>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0320" cy="428306"/>
                  </a:xfrm>
                  <a:prstGeom prst="rect">
                    <a:avLst/>
                  </a:prstGeom>
                  <a:noFill/>
                  <a:ln>
                    <a:noFill/>
                  </a:ln>
                </pic:spPr>
              </pic:pic>
            </a:graphicData>
          </a:graphic>
        </wp:anchor>
      </w:drawing>
    </w:r>
    <w:r>
      <w:rPr>
        <w:rFonts w:hint="eastAsia" w:ascii="宋体" w:hAnsi="宋体" w:cs="宋体"/>
        <w:bCs/>
        <w:color w:val="000000" w:themeColor="text1"/>
        <w:sz w:val="18"/>
        <w:szCs w:val="18"/>
        <w:u w:val="single"/>
        <w14:textFill>
          <w14:solidFill>
            <w14:schemeClr w14:val="tx1"/>
          </w14:solidFill>
        </w14:textFill>
      </w:rPr>
      <w:t>山东省消防救援总队搜救犬机动专业支队成品犬粮采购</w:t>
    </w:r>
    <w:r>
      <w:rPr>
        <w:rFonts w:hint="eastAsia" w:ascii="宋体" w:hAnsi="宋体" w:cs="宋体"/>
        <w:bCs/>
        <w:sz w:val="18"/>
        <w:szCs w:val="18"/>
        <w:u w:val="single"/>
      </w:rPr>
      <w:t xml:space="preserve">  </w:t>
    </w:r>
    <w:r>
      <w:rPr>
        <w:rFonts w:ascii="宋体" w:hAnsi="宋体" w:cs="宋体"/>
        <w:bCs/>
        <w:sz w:val="18"/>
        <w:szCs w:val="18"/>
        <w:u w:val="single"/>
      </w:rPr>
      <w:t xml:space="preserve"> </w:t>
    </w:r>
    <w:r>
      <w:rPr>
        <w:rFonts w:hint="eastAsia" w:ascii="宋体" w:hAnsi="宋体" w:cs="宋体"/>
        <w:bCs/>
        <w:sz w:val="18"/>
        <w:szCs w:val="18"/>
        <w:u w:val="single"/>
      </w:rPr>
      <w:t xml:space="preserve">                             </w:t>
    </w:r>
    <w:r>
      <w:rPr>
        <w:rFonts w:ascii="宋体" w:hAnsi="宋体" w:cs="宋体"/>
        <w:bCs/>
        <w:sz w:val="18"/>
        <w:szCs w:val="18"/>
        <w:u w:val="single"/>
      </w:rPr>
      <w:t>STZB2021-066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720" w:firstLineChars="400"/>
      <w:jc w:val="left"/>
      <w:rPr>
        <w:sz w:val="18"/>
        <w:szCs w:val="18"/>
        <w:u w:val="single"/>
      </w:rPr>
    </w:pPr>
    <w:r>
      <w:rPr>
        <w:rFonts w:ascii="宋体" w:hAnsi="宋体" w:cs="宋体"/>
        <w:bCs/>
        <w:color w:val="000000" w:themeColor="text1"/>
        <w:sz w:val="18"/>
        <w:szCs w:val="18"/>
        <w:u w:val="single"/>
        <w14:textFill>
          <w14:solidFill>
            <w14:schemeClr w14:val="tx1"/>
          </w14:solidFill>
        </w14:textFill>
      </w:rPr>
      <w:drawing>
        <wp:anchor distT="0" distB="0" distL="114300" distR="114300" simplePos="0" relativeHeight="251664384" behindDoc="1" locked="0" layoutInCell="1" allowOverlap="1">
          <wp:simplePos x="0" y="0"/>
          <wp:positionH relativeFrom="margin">
            <wp:posOffset>635</wp:posOffset>
          </wp:positionH>
          <wp:positionV relativeFrom="paragraph">
            <wp:posOffset>-267335</wp:posOffset>
          </wp:positionV>
          <wp:extent cx="400050" cy="427990"/>
          <wp:effectExtent l="0" t="0" r="11430" b="1397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0320" cy="428306"/>
                  </a:xfrm>
                  <a:prstGeom prst="rect">
                    <a:avLst/>
                  </a:prstGeom>
                  <a:noFill/>
                  <a:ln>
                    <a:noFill/>
                  </a:ln>
                </pic:spPr>
              </pic:pic>
            </a:graphicData>
          </a:graphic>
        </wp:anchor>
      </w:drawing>
    </w:r>
    <w:r>
      <w:rPr>
        <w:rFonts w:hint="eastAsia" w:ascii="宋体" w:hAnsi="宋体" w:cs="宋体"/>
        <w:bCs/>
        <w:color w:val="000000" w:themeColor="text1"/>
        <w:sz w:val="18"/>
        <w:szCs w:val="18"/>
        <w:u w:val="single"/>
        <w14:textFill>
          <w14:solidFill>
            <w14:schemeClr w14:val="tx1"/>
          </w14:solidFill>
        </w14:textFill>
      </w:rPr>
      <w:t>山东省消防救援总队2022年装备部门集中采购项目七</w:t>
    </w:r>
    <w:r>
      <w:rPr>
        <w:rFonts w:hint="eastAsia" w:ascii="宋体" w:hAnsi="宋体" w:cs="宋体"/>
        <w:bCs/>
        <w:sz w:val="18"/>
        <w:szCs w:val="18"/>
        <w:u w:val="single"/>
      </w:rPr>
      <w:t xml:space="preserve"> </w:t>
    </w:r>
    <w:r>
      <w:rPr>
        <w:rFonts w:ascii="宋体" w:hAnsi="宋体" w:cs="宋体"/>
        <w:bCs/>
        <w:sz w:val="18"/>
        <w:szCs w:val="18"/>
        <w:u w:val="single"/>
      </w:rPr>
      <w:t xml:space="preserve">     </w:t>
    </w:r>
    <w:r>
      <w:rPr>
        <w:rFonts w:hint="eastAsia" w:ascii="宋体" w:hAnsi="宋体" w:cs="宋体"/>
        <w:bCs/>
        <w:sz w:val="18"/>
        <w:szCs w:val="18"/>
        <w:u w:val="single"/>
      </w:rPr>
      <w:t xml:space="preserve">          </w:t>
    </w:r>
    <w:r>
      <w:rPr>
        <w:rFonts w:ascii="宋体" w:hAnsi="宋体" w:cs="宋体"/>
        <w:bCs/>
        <w:sz w:val="18"/>
        <w:szCs w:val="18"/>
        <w:u w:val="single"/>
      </w:rPr>
      <w:t xml:space="preserve">  </w:t>
    </w:r>
    <w:r>
      <w:rPr>
        <w:rFonts w:hint="eastAsia" w:ascii="宋体" w:hAnsi="宋体" w:cs="宋体"/>
        <w:bCs/>
        <w:sz w:val="18"/>
        <w:szCs w:val="18"/>
        <w:u w:val="single"/>
      </w:rPr>
      <w:t xml:space="preserve">    </w:t>
    </w:r>
    <w:r>
      <w:rPr>
        <w:rFonts w:ascii="宋体" w:hAnsi="宋体" w:cs="宋体"/>
        <w:bCs/>
        <w:sz w:val="18"/>
        <w:szCs w:val="18"/>
        <w:u w:val="single"/>
      </w:rPr>
      <w:t xml:space="preserve">   </w:t>
    </w:r>
    <w:r>
      <w:rPr>
        <w:rFonts w:hint="eastAsia" w:ascii="宋体" w:hAnsi="宋体" w:cs="宋体"/>
        <w:bCs/>
        <w:sz w:val="18"/>
        <w:szCs w:val="18"/>
        <w:u w:val="single"/>
      </w:rPr>
      <w:t xml:space="preserve">       STZB2022-429</w:t>
    </w:r>
    <w:r>
      <w:rPr>
        <w:rFonts w:ascii="宋体" w:hAnsi="宋体" w:cs="宋体"/>
        <w:bCs/>
        <w:sz w:val="18"/>
        <w:szCs w:val="18"/>
        <w:u w:val="single"/>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720" w:firstLineChars="400"/>
      <w:jc w:val="left"/>
    </w:pPr>
    <w:r>
      <w:rPr>
        <w:rFonts w:ascii="宋体" w:hAnsi="宋体" w:cs="宋体"/>
        <w:bCs/>
        <w:color w:val="000000" w:themeColor="text1"/>
        <w:sz w:val="18"/>
        <w:szCs w:val="18"/>
        <w:highlight w:val="yellow"/>
        <w:u w:val="single"/>
        <w14:textFill>
          <w14:solidFill>
            <w14:schemeClr w14:val="tx1"/>
          </w14:solidFill>
        </w14:textFill>
      </w:rPr>
      <w:drawing>
        <wp:anchor distT="0" distB="0" distL="114300" distR="114300" simplePos="0" relativeHeight="251661312" behindDoc="1" locked="0" layoutInCell="1" allowOverlap="1">
          <wp:simplePos x="0" y="0"/>
          <wp:positionH relativeFrom="margin">
            <wp:posOffset>635</wp:posOffset>
          </wp:positionH>
          <wp:positionV relativeFrom="paragraph">
            <wp:posOffset>-267335</wp:posOffset>
          </wp:positionV>
          <wp:extent cx="400050" cy="427990"/>
          <wp:effectExtent l="0" t="0" r="11430" b="1397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0320" cy="428306"/>
                  </a:xfrm>
                  <a:prstGeom prst="rect">
                    <a:avLst/>
                  </a:prstGeom>
                  <a:noFill/>
                  <a:ln>
                    <a:noFill/>
                  </a:ln>
                </pic:spPr>
              </pic:pic>
            </a:graphicData>
          </a:graphic>
        </wp:anchor>
      </w:drawing>
    </w:r>
    <w:r>
      <w:rPr>
        <w:rFonts w:ascii="宋体" w:hAnsi="宋体" w:cs="宋体"/>
        <w:bCs/>
        <w:color w:val="000000" w:themeColor="text1"/>
        <w:sz w:val="18"/>
        <w:szCs w:val="18"/>
        <w:highlight w:val="yellow"/>
        <w:u w:val="single"/>
        <w14:textFill>
          <w14:solidFill>
            <w14:schemeClr w14:val="tx1"/>
          </w14:solidFill>
        </w14:textFill>
      </w:rPr>
      <w:drawing>
        <wp:anchor distT="0" distB="0" distL="114300" distR="114300" simplePos="0" relativeHeight="251663360" behindDoc="1" locked="0" layoutInCell="1" allowOverlap="1">
          <wp:simplePos x="0" y="0"/>
          <wp:positionH relativeFrom="margin">
            <wp:align>left</wp:align>
          </wp:positionH>
          <wp:positionV relativeFrom="paragraph">
            <wp:posOffset>-267335</wp:posOffset>
          </wp:positionV>
          <wp:extent cx="400050" cy="427990"/>
          <wp:effectExtent l="0" t="0" r="11430" b="1397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0050" cy="427990"/>
                  </a:xfrm>
                  <a:prstGeom prst="rect">
                    <a:avLst/>
                  </a:prstGeom>
                  <a:noFill/>
                  <a:ln>
                    <a:noFill/>
                  </a:ln>
                </pic:spPr>
              </pic:pic>
            </a:graphicData>
          </a:graphic>
        </wp:anchor>
      </w:drawing>
    </w:r>
    <w:r>
      <w:rPr>
        <w:rFonts w:hint="eastAsia" w:ascii="宋体" w:hAnsi="宋体" w:cs="宋体"/>
        <w:bCs/>
        <w:color w:val="000000" w:themeColor="text1"/>
        <w:sz w:val="18"/>
        <w:szCs w:val="18"/>
        <w:u w:val="single"/>
        <w14:textFill>
          <w14:solidFill>
            <w14:schemeClr w14:val="tx1"/>
          </w14:solidFill>
        </w14:textFill>
      </w:rPr>
      <w:t>山东省消防救援总队2022年装备部门集中采购项目七</w:t>
    </w:r>
    <w:r>
      <w:rPr>
        <w:rFonts w:ascii="宋体" w:hAnsi="宋体" w:cs="宋体"/>
        <w:bCs/>
        <w:sz w:val="18"/>
        <w:szCs w:val="18"/>
        <w:u w:val="single"/>
      </w:rPr>
      <w:t xml:space="preserve">                  </w:t>
    </w:r>
    <w:r>
      <w:rPr>
        <w:rFonts w:hint="eastAsia" w:ascii="宋体" w:hAnsi="宋体" w:cs="宋体"/>
        <w:bCs/>
        <w:sz w:val="18"/>
        <w:szCs w:val="18"/>
        <w:u w:val="single"/>
      </w:rPr>
      <w:t xml:space="preserve">         </w:t>
    </w:r>
    <w:r>
      <w:rPr>
        <w:rFonts w:ascii="宋体" w:hAnsi="宋体" w:cs="宋体"/>
        <w:bCs/>
        <w:sz w:val="18"/>
        <w:szCs w:val="18"/>
        <w:u w:val="single"/>
      </w:rPr>
      <w:t xml:space="preserve">      </w:t>
    </w:r>
    <w:r>
      <w:rPr>
        <w:rFonts w:hint="eastAsia" w:ascii="宋体" w:hAnsi="宋体" w:cs="宋体"/>
        <w:bCs/>
        <w:sz w:val="18"/>
        <w:szCs w:val="18"/>
        <w:u w:val="single"/>
      </w:rPr>
      <w:t>STZB2022-429</w:t>
    </w:r>
    <w:r>
      <w:rPr>
        <w:rFonts w:ascii="宋体" w:hAnsi="宋体" w:cs="宋体"/>
        <w:bCs/>
        <w:sz w:val="18"/>
        <w:szCs w:val="18"/>
        <w:u w:val="single"/>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720" w:firstLineChars="400"/>
      <w:jc w:val="left"/>
    </w:pPr>
    <w:r>
      <w:rPr>
        <w:rFonts w:ascii="宋体" w:hAnsi="宋体" w:cs="宋体"/>
        <w:bCs/>
        <w:color w:val="000000" w:themeColor="text1"/>
        <w:sz w:val="18"/>
        <w:szCs w:val="18"/>
        <w:highlight w:val="yellow"/>
        <w:u w:val="single"/>
        <w14:textFill>
          <w14:solidFill>
            <w14:schemeClr w14:val="tx1"/>
          </w14:solidFill>
        </w14:textFill>
      </w:rPr>
      <w:drawing>
        <wp:anchor distT="0" distB="0" distL="114300" distR="114300" simplePos="0" relativeHeight="251660288" behindDoc="1" locked="0" layoutInCell="1" allowOverlap="1">
          <wp:simplePos x="0" y="0"/>
          <wp:positionH relativeFrom="margin">
            <wp:posOffset>635</wp:posOffset>
          </wp:positionH>
          <wp:positionV relativeFrom="paragraph">
            <wp:posOffset>-267335</wp:posOffset>
          </wp:positionV>
          <wp:extent cx="400050" cy="427990"/>
          <wp:effectExtent l="0" t="0" r="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0320" cy="428306"/>
                  </a:xfrm>
                  <a:prstGeom prst="rect">
                    <a:avLst/>
                  </a:prstGeom>
                  <a:noFill/>
                  <a:ln>
                    <a:noFill/>
                  </a:ln>
                </pic:spPr>
              </pic:pic>
            </a:graphicData>
          </a:graphic>
        </wp:anchor>
      </w:drawing>
    </w:r>
    <w:r>
      <w:rPr>
        <w:rFonts w:ascii="宋体" w:hAnsi="宋体" w:cs="宋体"/>
        <w:bCs/>
        <w:color w:val="000000" w:themeColor="text1"/>
        <w:sz w:val="18"/>
        <w:szCs w:val="18"/>
        <w:highlight w:val="yellow"/>
        <w:u w:val="single"/>
        <w14:textFill>
          <w14:solidFill>
            <w14:schemeClr w14:val="tx1"/>
          </w14:solidFill>
        </w14:textFill>
      </w:rPr>
      <w:drawing>
        <wp:anchor distT="0" distB="0" distL="114300" distR="114300" simplePos="0" relativeHeight="251662336" behindDoc="1" locked="0" layoutInCell="1" allowOverlap="1">
          <wp:simplePos x="0" y="0"/>
          <wp:positionH relativeFrom="margin">
            <wp:posOffset>635</wp:posOffset>
          </wp:positionH>
          <wp:positionV relativeFrom="paragraph">
            <wp:posOffset>-267335</wp:posOffset>
          </wp:positionV>
          <wp:extent cx="400050" cy="427990"/>
          <wp:effectExtent l="0" t="0" r="11430" b="1397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0320" cy="428306"/>
                  </a:xfrm>
                  <a:prstGeom prst="rect">
                    <a:avLst/>
                  </a:prstGeom>
                  <a:noFill/>
                  <a:ln>
                    <a:noFill/>
                  </a:ln>
                </pic:spPr>
              </pic:pic>
            </a:graphicData>
          </a:graphic>
        </wp:anchor>
      </w:drawing>
    </w:r>
    <w:r>
      <w:rPr>
        <w:rFonts w:hint="eastAsia" w:ascii="宋体" w:hAnsi="宋体" w:cs="宋体"/>
        <w:bCs/>
        <w:color w:val="000000" w:themeColor="text1"/>
        <w:sz w:val="18"/>
        <w:szCs w:val="18"/>
        <w:u w:val="single"/>
        <w14:textFill>
          <w14:solidFill>
            <w14:schemeClr w14:val="tx1"/>
          </w14:solidFill>
        </w14:textFill>
      </w:rPr>
      <w:t>山东省消防救援总队2022年装备部门集中采购项目七</w:t>
    </w:r>
    <w:r>
      <w:rPr>
        <w:rFonts w:ascii="宋体" w:hAnsi="宋体" w:cs="宋体"/>
        <w:bCs/>
        <w:sz w:val="18"/>
        <w:szCs w:val="18"/>
        <w:u w:val="single"/>
      </w:rPr>
      <w:t xml:space="preserve">         </w:t>
    </w:r>
    <w:r>
      <w:rPr>
        <w:rFonts w:hint="eastAsia" w:ascii="宋体" w:hAnsi="宋体" w:cs="宋体"/>
        <w:bCs/>
        <w:sz w:val="18"/>
        <w:szCs w:val="18"/>
        <w:u w:val="single"/>
      </w:rPr>
      <w:t xml:space="preserve"> </w:t>
    </w:r>
    <w:r>
      <w:rPr>
        <w:rFonts w:ascii="宋体" w:hAnsi="宋体" w:cs="宋体"/>
        <w:bCs/>
        <w:sz w:val="18"/>
        <w:szCs w:val="18"/>
        <w:u w:val="single"/>
      </w:rPr>
      <w:t xml:space="preserve">                        </w:t>
    </w:r>
    <w:r>
      <w:rPr>
        <w:rFonts w:hint="eastAsia" w:ascii="宋体" w:hAnsi="宋体" w:cs="宋体"/>
        <w:bCs/>
        <w:sz w:val="18"/>
        <w:szCs w:val="18"/>
        <w:u w:val="single"/>
      </w:rPr>
      <w:t>STZB2022-429</w:t>
    </w:r>
    <w:r>
      <w:rPr>
        <w:rFonts w:ascii="宋体" w:hAnsi="宋体" w:cs="宋体"/>
        <w:bCs/>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2912CA"/>
    <w:multiLevelType w:val="singleLevel"/>
    <w:tmpl w:val="9E2912CA"/>
    <w:lvl w:ilvl="0" w:tentative="0">
      <w:start w:val="2"/>
      <w:numFmt w:val="chineseCounting"/>
      <w:suff w:val="nothing"/>
      <w:lvlText w:val="%1、"/>
      <w:lvlJc w:val="left"/>
      <w:rPr>
        <w:rFonts w:hint="eastAsia"/>
      </w:rPr>
    </w:lvl>
  </w:abstractNum>
  <w:abstractNum w:abstractNumId="1">
    <w:nsid w:val="005F737C"/>
    <w:multiLevelType w:val="multilevel"/>
    <w:tmpl w:val="005F737C"/>
    <w:lvl w:ilvl="0" w:tentative="0">
      <w:start w:val="1"/>
      <w:numFmt w:val="chineseCountingThousand"/>
      <w:lvlText w:val="%1、"/>
      <w:lvlJc w:val="left"/>
      <w:pPr>
        <w:ind w:left="703" w:hanging="420"/>
      </w:pPr>
      <w:rPr>
        <w:rFonts w:hint="default" w:ascii="Arial" w:hAnsi="Arial"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228EB49"/>
    <w:multiLevelType w:val="singleLevel"/>
    <w:tmpl w:val="1228EB49"/>
    <w:lvl w:ilvl="0" w:tentative="0">
      <w:start w:val="1"/>
      <w:numFmt w:val="decimal"/>
      <w:suff w:val="space"/>
      <w:lvlText w:val="%1."/>
      <w:lvlJc w:val="left"/>
      <w:rPr>
        <w:rFonts w:hint="default"/>
        <w:b/>
        <w:bCs/>
      </w:rPr>
    </w:lvl>
  </w:abstractNum>
  <w:abstractNum w:abstractNumId="3">
    <w:nsid w:val="155D0501"/>
    <w:multiLevelType w:val="singleLevel"/>
    <w:tmpl w:val="155D0501"/>
    <w:lvl w:ilvl="0" w:tentative="0">
      <w:start w:val="1"/>
      <w:numFmt w:val="decimal"/>
      <w:suff w:val="space"/>
      <w:lvlText w:val="%1."/>
      <w:lvlJc w:val="left"/>
      <w:rPr>
        <w:rFonts w:hint="default"/>
        <w:b/>
        <w:bCs/>
      </w:rPr>
    </w:lvl>
  </w:abstractNum>
  <w:abstractNum w:abstractNumId="4">
    <w:nsid w:val="229F5DE5"/>
    <w:multiLevelType w:val="multilevel"/>
    <w:tmpl w:val="229F5DE5"/>
    <w:lvl w:ilvl="0" w:tentative="0">
      <w:start w:val="3"/>
      <w:numFmt w:val="decimal"/>
      <w:pStyle w:val="44"/>
      <w:lvlText w:val="%1．"/>
      <w:lvlJc w:val="left"/>
      <w:pPr>
        <w:tabs>
          <w:tab w:val="left" w:pos="360"/>
        </w:tabs>
        <w:ind w:left="360" w:hanging="360"/>
      </w:pPr>
      <w:rPr>
        <w:rFonts w:hint="default" w:cs="Times New Roman"/>
      </w:rPr>
    </w:lvl>
    <w:lvl w:ilvl="1" w:tentative="0">
      <w:start w:val="1"/>
      <w:numFmt w:val="lowerLetter"/>
      <w:pStyle w:val="253"/>
      <w:lvlText w:val="%2)"/>
      <w:lvlJc w:val="left"/>
      <w:pPr>
        <w:tabs>
          <w:tab w:val="left" w:pos="840"/>
        </w:tabs>
        <w:ind w:left="840" w:hanging="420"/>
      </w:pPr>
      <w:rPr>
        <w:rFonts w:cs="Times New Roman"/>
      </w:rPr>
    </w:lvl>
    <w:lvl w:ilvl="2" w:tentative="0">
      <w:start w:val="1"/>
      <w:numFmt w:val="lowerRoman"/>
      <w:pStyle w:val="227"/>
      <w:lvlText w:val="%3."/>
      <w:lvlJc w:val="right"/>
      <w:pPr>
        <w:tabs>
          <w:tab w:val="left" w:pos="1260"/>
        </w:tabs>
        <w:ind w:left="1260" w:hanging="420"/>
      </w:pPr>
      <w:rPr>
        <w:rFonts w:cs="Times New Roman"/>
      </w:rPr>
    </w:lvl>
    <w:lvl w:ilvl="3" w:tentative="0">
      <w:start w:val="1"/>
      <w:numFmt w:val="decimal"/>
      <w:pStyle w:val="269"/>
      <w:lvlText w:val="%4."/>
      <w:lvlJc w:val="left"/>
      <w:pPr>
        <w:tabs>
          <w:tab w:val="left" w:pos="1680"/>
        </w:tabs>
        <w:ind w:left="1680" w:hanging="420"/>
      </w:pPr>
      <w:rPr>
        <w:rFonts w:cs="Times New Roman"/>
      </w:rPr>
    </w:lvl>
    <w:lvl w:ilvl="4" w:tentative="0">
      <w:start w:val="1"/>
      <w:numFmt w:val="lowerLetter"/>
      <w:pStyle w:val="268"/>
      <w:lvlText w:val="%5)"/>
      <w:lvlJc w:val="left"/>
      <w:pPr>
        <w:tabs>
          <w:tab w:val="left" w:pos="2100"/>
        </w:tabs>
        <w:ind w:left="2100" w:hanging="420"/>
      </w:pPr>
      <w:rPr>
        <w:rFonts w:cs="Times New Roman"/>
      </w:rPr>
    </w:lvl>
    <w:lvl w:ilvl="5" w:tentative="0">
      <w:start w:val="1"/>
      <w:numFmt w:val="lowerRoman"/>
      <w:pStyle w:val="266"/>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798363BA"/>
    <w:multiLevelType w:val="multilevel"/>
    <w:tmpl w:val="798363BA"/>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hideSpellingErrors/>
  <w:documentProtection w:enforcement="0"/>
  <w:defaultTabStop w:val="0"/>
  <w:drawingGridHorizontalSpacing w:val="191"/>
  <w:drawingGridVerticalSpacing w:val="145"/>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hjZGYwZmNiN2YxYmYzZjI5NjZhODczNGRmY2NkYTgifQ=="/>
  </w:docVars>
  <w:rsids>
    <w:rsidRoot w:val="00B9162F"/>
    <w:rsid w:val="000000EB"/>
    <w:rsid w:val="0000052E"/>
    <w:rsid w:val="000009EA"/>
    <w:rsid w:val="00001407"/>
    <w:rsid w:val="000014AE"/>
    <w:rsid w:val="00001570"/>
    <w:rsid w:val="00001B37"/>
    <w:rsid w:val="00002344"/>
    <w:rsid w:val="00002350"/>
    <w:rsid w:val="000026C3"/>
    <w:rsid w:val="000027CE"/>
    <w:rsid w:val="0000294D"/>
    <w:rsid w:val="000035B6"/>
    <w:rsid w:val="00003971"/>
    <w:rsid w:val="00003BBE"/>
    <w:rsid w:val="000043B0"/>
    <w:rsid w:val="0000452F"/>
    <w:rsid w:val="000046EF"/>
    <w:rsid w:val="00004734"/>
    <w:rsid w:val="00005A54"/>
    <w:rsid w:val="00005A6F"/>
    <w:rsid w:val="0000615B"/>
    <w:rsid w:val="00007080"/>
    <w:rsid w:val="000070FF"/>
    <w:rsid w:val="000071C5"/>
    <w:rsid w:val="00007867"/>
    <w:rsid w:val="00007958"/>
    <w:rsid w:val="0000797C"/>
    <w:rsid w:val="0001010F"/>
    <w:rsid w:val="000107DF"/>
    <w:rsid w:val="00010915"/>
    <w:rsid w:val="00011004"/>
    <w:rsid w:val="00011230"/>
    <w:rsid w:val="0001198F"/>
    <w:rsid w:val="00011CCF"/>
    <w:rsid w:val="00012722"/>
    <w:rsid w:val="0001295D"/>
    <w:rsid w:val="00012AD5"/>
    <w:rsid w:val="0001316F"/>
    <w:rsid w:val="000131FA"/>
    <w:rsid w:val="000132D4"/>
    <w:rsid w:val="00013354"/>
    <w:rsid w:val="00013F12"/>
    <w:rsid w:val="00013F6C"/>
    <w:rsid w:val="00014122"/>
    <w:rsid w:val="000142C2"/>
    <w:rsid w:val="0001467B"/>
    <w:rsid w:val="000146C2"/>
    <w:rsid w:val="000148D8"/>
    <w:rsid w:val="00014CF4"/>
    <w:rsid w:val="00014EFF"/>
    <w:rsid w:val="00015085"/>
    <w:rsid w:val="00015188"/>
    <w:rsid w:val="000154D7"/>
    <w:rsid w:val="00015E1A"/>
    <w:rsid w:val="000166DD"/>
    <w:rsid w:val="00016B7F"/>
    <w:rsid w:val="00016E63"/>
    <w:rsid w:val="00016FFA"/>
    <w:rsid w:val="00017221"/>
    <w:rsid w:val="0001728C"/>
    <w:rsid w:val="000172A4"/>
    <w:rsid w:val="00017880"/>
    <w:rsid w:val="00017961"/>
    <w:rsid w:val="000215EC"/>
    <w:rsid w:val="0002169C"/>
    <w:rsid w:val="00021842"/>
    <w:rsid w:val="0002190F"/>
    <w:rsid w:val="00021A7E"/>
    <w:rsid w:val="00022410"/>
    <w:rsid w:val="000227C5"/>
    <w:rsid w:val="00022C25"/>
    <w:rsid w:val="00022FFB"/>
    <w:rsid w:val="00023ED5"/>
    <w:rsid w:val="00024146"/>
    <w:rsid w:val="0002456C"/>
    <w:rsid w:val="00024AB5"/>
    <w:rsid w:val="00024EE4"/>
    <w:rsid w:val="0002506B"/>
    <w:rsid w:val="00026173"/>
    <w:rsid w:val="000269CF"/>
    <w:rsid w:val="00026CFF"/>
    <w:rsid w:val="00027BDE"/>
    <w:rsid w:val="00027FCE"/>
    <w:rsid w:val="00030719"/>
    <w:rsid w:val="00030F70"/>
    <w:rsid w:val="000310DD"/>
    <w:rsid w:val="00031311"/>
    <w:rsid w:val="0003167D"/>
    <w:rsid w:val="000318B5"/>
    <w:rsid w:val="000318DF"/>
    <w:rsid w:val="000319A9"/>
    <w:rsid w:val="00031A8A"/>
    <w:rsid w:val="00031AFC"/>
    <w:rsid w:val="00031F00"/>
    <w:rsid w:val="00032053"/>
    <w:rsid w:val="00032840"/>
    <w:rsid w:val="000329A4"/>
    <w:rsid w:val="00032B55"/>
    <w:rsid w:val="00032BAF"/>
    <w:rsid w:val="00034418"/>
    <w:rsid w:val="0003473D"/>
    <w:rsid w:val="00034D65"/>
    <w:rsid w:val="00034DD1"/>
    <w:rsid w:val="000350C2"/>
    <w:rsid w:val="000352BA"/>
    <w:rsid w:val="00035833"/>
    <w:rsid w:val="00035C18"/>
    <w:rsid w:val="00035CEB"/>
    <w:rsid w:val="00036186"/>
    <w:rsid w:val="00036624"/>
    <w:rsid w:val="00036707"/>
    <w:rsid w:val="000372B0"/>
    <w:rsid w:val="0003772C"/>
    <w:rsid w:val="00040014"/>
    <w:rsid w:val="0004010C"/>
    <w:rsid w:val="0004097F"/>
    <w:rsid w:val="00040F52"/>
    <w:rsid w:val="00041385"/>
    <w:rsid w:val="00041495"/>
    <w:rsid w:val="00041794"/>
    <w:rsid w:val="00041806"/>
    <w:rsid w:val="00041C7D"/>
    <w:rsid w:val="00042234"/>
    <w:rsid w:val="000426F9"/>
    <w:rsid w:val="00042704"/>
    <w:rsid w:val="00042716"/>
    <w:rsid w:val="00042F7C"/>
    <w:rsid w:val="000434AA"/>
    <w:rsid w:val="00043E23"/>
    <w:rsid w:val="00043EA2"/>
    <w:rsid w:val="00043F53"/>
    <w:rsid w:val="000442CD"/>
    <w:rsid w:val="000444A8"/>
    <w:rsid w:val="00045404"/>
    <w:rsid w:val="000456CE"/>
    <w:rsid w:val="00045774"/>
    <w:rsid w:val="00046208"/>
    <w:rsid w:val="00046263"/>
    <w:rsid w:val="00046693"/>
    <w:rsid w:val="00046A50"/>
    <w:rsid w:val="00046F00"/>
    <w:rsid w:val="0004719A"/>
    <w:rsid w:val="000471EC"/>
    <w:rsid w:val="0004783E"/>
    <w:rsid w:val="00047B68"/>
    <w:rsid w:val="00047D84"/>
    <w:rsid w:val="000500B8"/>
    <w:rsid w:val="000503C1"/>
    <w:rsid w:val="0005068D"/>
    <w:rsid w:val="000507A7"/>
    <w:rsid w:val="0005094B"/>
    <w:rsid w:val="00050C78"/>
    <w:rsid w:val="000525EB"/>
    <w:rsid w:val="00052AAC"/>
    <w:rsid w:val="00052C12"/>
    <w:rsid w:val="000533A2"/>
    <w:rsid w:val="000539E5"/>
    <w:rsid w:val="00054386"/>
    <w:rsid w:val="000544A9"/>
    <w:rsid w:val="00054602"/>
    <w:rsid w:val="00054670"/>
    <w:rsid w:val="000546B1"/>
    <w:rsid w:val="00054E7E"/>
    <w:rsid w:val="00054ED9"/>
    <w:rsid w:val="0005500A"/>
    <w:rsid w:val="00055043"/>
    <w:rsid w:val="000557E4"/>
    <w:rsid w:val="000558F1"/>
    <w:rsid w:val="000559CF"/>
    <w:rsid w:val="00055B44"/>
    <w:rsid w:val="00055BF8"/>
    <w:rsid w:val="0005615D"/>
    <w:rsid w:val="000561BD"/>
    <w:rsid w:val="00056BAC"/>
    <w:rsid w:val="00056D5B"/>
    <w:rsid w:val="000570D8"/>
    <w:rsid w:val="00057256"/>
    <w:rsid w:val="00060555"/>
    <w:rsid w:val="00060576"/>
    <w:rsid w:val="000608FC"/>
    <w:rsid w:val="0006100D"/>
    <w:rsid w:val="00061097"/>
    <w:rsid w:val="000611BB"/>
    <w:rsid w:val="0006144D"/>
    <w:rsid w:val="00061F20"/>
    <w:rsid w:val="00062007"/>
    <w:rsid w:val="0006264A"/>
    <w:rsid w:val="00062A55"/>
    <w:rsid w:val="00062ADB"/>
    <w:rsid w:val="00062C08"/>
    <w:rsid w:val="00063646"/>
    <w:rsid w:val="00063BCB"/>
    <w:rsid w:val="00064100"/>
    <w:rsid w:val="00064C64"/>
    <w:rsid w:val="00064CB7"/>
    <w:rsid w:val="0006570C"/>
    <w:rsid w:val="00065DEF"/>
    <w:rsid w:val="00065ED1"/>
    <w:rsid w:val="00066261"/>
    <w:rsid w:val="000663CA"/>
    <w:rsid w:val="000668CA"/>
    <w:rsid w:val="000668EB"/>
    <w:rsid w:val="00066DEF"/>
    <w:rsid w:val="00070205"/>
    <w:rsid w:val="00070D6B"/>
    <w:rsid w:val="00070D7E"/>
    <w:rsid w:val="000713A3"/>
    <w:rsid w:val="00071537"/>
    <w:rsid w:val="00071A6C"/>
    <w:rsid w:val="000722C8"/>
    <w:rsid w:val="00072497"/>
    <w:rsid w:val="000724EA"/>
    <w:rsid w:val="0007255D"/>
    <w:rsid w:val="00072965"/>
    <w:rsid w:val="0007345D"/>
    <w:rsid w:val="000734EB"/>
    <w:rsid w:val="0007367F"/>
    <w:rsid w:val="000751C2"/>
    <w:rsid w:val="000757D2"/>
    <w:rsid w:val="0007590B"/>
    <w:rsid w:val="0007642E"/>
    <w:rsid w:val="0007697F"/>
    <w:rsid w:val="00076C5A"/>
    <w:rsid w:val="00077566"/>
    <w:rsid w:val="0007764A"/>
    <w:rsid w:val="0007775E"/>
    <w:rsid w:val="00077888"/>
    <w:rsid w:val="0008005E"/>
    <w:rsid w:val="000801DF"/>
    <w:rsid w:val="00080BFC"/>
    <w:rsid w:val="000812BB"/>
    <w:rsid w:val="00081444"/>
    <w:rsid w:val="00081462"/>
    <w:rsid w:val="00081F45"/>
    <w:rsid w:val="00081F56"/>
    <w:rsid w:val="00081FE6"/>
    <w:rsid w:val="0008202A"/>
    <w:rsid w:val="00082252"/>
    <w:rsid w:val="00082354"/>
    <w:rsid w:val="00082719"/>
    <w:rsid w:val="000827EC"/>
    <w:rsid w:val="000829AD"/>
    <w:rsid w:val="00082A06"/>
    <w:rsid w:val="00082DBD"/>
    <w:rsid w:val="00082F96"/>
    <w:rsid w:val="00083033"/>
    <w:rsid w:val="0008312C"/>
    <w:rsid w:val="0008346A"/>
    <w:rsid w:val="000835DC"/>
    <w:rsid w:val="00083B66"/>
    <w:rsid w:val="00083C07"/>
    <w:rsid w:val="00083E13"/>
    <w:rsid w:val="00083F41"/>
    <w:rsid w:val="00084395"/>
    <w:rsid w:val="0008495C"/>
    <w:rsid w:val="00084B4A"/>
    <w:rsid w:val="00084D53"/>
    <w:rsid w:val="00085A7F"/>
    <w:rsid w:val="00085C6C"/>
    <w:rsid w:val="000862B5"/>
    <w:rsid w:val="00086CD3"/>
    <w:rsid w:val="00087790"/>
    <w:rsid w:val="00087A0D"/>
    <w:rsid w:val="00087A4A"/>
    <w:rsid w:val="0009000E"/>
    <w:rsid w:val="00090115"/>
    <w:rsid w:val="00090D27"/>
    <w:rsid w:val="0009144F"/>
    <w:rsid w:val="000914D3"/>
    <w:rsid w:val="000915DF"/>
    <w:rsid w:val="0009252F"/>
    <w:rsid w:val="0009257D"/>
    <w:rsid w:val="000925D9"/>
    <w:rsid w:val="00092CFF"/>
    <w:rsid w:val="000934D5"/>
    <w:rsid w:val="00093A61"/>
    <w:rsid w:val="000942B7"/>
    <w:rsid w:val="0009481E"/>
    <w:rsid w:val="00094C38"/>
    <w:rsid w:val="00094F8C"/>
    <w:rsid w:val="00094FD8"/>
    <w:rsid w:val="000955F3"/>
    <w:rsid w:val="000956EC"/>
    <w:rsid w:val="000961B8"/>
    <w:rsid w:val="000969AD"/>
    <w:rsid w:val="00096F27"/>
    <w:rsid w:val="00097043"/>
    <w:rsid w:val="0009798F"/>
    <w:rsid w:val="00097B60"/>
    <w:rsid w:val="00097BF6"/>
    <w:rsid w:val="00097EFE"/>
    <w:rsid w:val="000A0321"/>
    <w:rsid w:val="000A0DE6"/>
    <w:rsid w:val="000A0F3E"/>
    <w:rsid w:val="000A1162"/>
    <w:rsid w:val="000A11F7"/>
    <w:rsid w:val="000A1957"/>
    <w:rsid w:val="000A1D61"/>
    <w:rsid w:val="000A285F"/>
    <w:rsid w:val="000A34AD"/>
    <w:rsid w:val="000A3698"/>
    <w:rsid w:val="000A3766"/>
    <w:rsid w:val="000A37D3"/>
    <w:rsid w:val="000A3821"/>
    <w:rsid w:val="000A39DF"/>
    <w:rsid w:val="000A4204"/>
    <w:rsid w:val="000A4279"/>
    <w:rsid w:val="000A42DA"/>
    <w:rsid w:val="000A4BC8"/>
    <w:rsid w:val="000A4CC6"/>
    <w:rsid w:val="000A4E21"/>
    <w:rsid w:val="000A5583"/>
    <w:rsid w:val="000A5966"/>
    <w:rsid w:val="000A5B54"/>
    <w:rsid w:val="000A5CEF"/>
    <w:rsid w:val="000A5FCE"/>
    <w:rsid w:val="000A609F"/>
    <w:rsid w:val="000A6D07"/>
    <w:rsid w:val="000A738D"/>
    <w:rsid w:val="000A7500"/>
    <w:rsid w:val="000A762F"/>
    <w:rsid w:val="000A7A27"/>
    <w:rsid w:val="000B0398"/>
    <w:rsid w:val="000B0837"/>
    <w:rsid w:val="000B0DC1"/>
    <w:rsid w:val="000B15E3"/>
    <w:rsid w:val="000B1AE1"/>
    <w:rsid w:val="000B1B03"/>
    <w:rsid w:val="000B1E71"/>
    <w:rsid w:val="000B1FC0"/>
    <w:rsid w:val="000B235B"/>
    <w:rsid w:val="000B27A1"/>
    <w:rsid w:val="000B2822"/>
    <w:rsid w:val="000B2D0E"/>
    <w:rsid w:val="000B31E3"/>
    <w:rsid w:val="000B3265"/>
    <w:rsid w:val="000B32ED"/>
    <w:rsid w:val="000B34F7"/>
    <w:rsid w:val="000B3847"/>
    <w:rsid w:val="000B3B6D"/>
    <w:rsid w:val="000B3C69"/>
    <w:rsid w:val="000B403D"/>
    <w:rsid w:val="000B4653"/>
    <w:rsid w:val="000B4660"/>
    <w:rsid w:val="000B46A8"/>
    <w:rsid w:val="000B47E5"/>
    <w:rsid w:val="000B5380"/>
    <w:rsid w:val="000B5D9F"/>
    <w:rsid w:val="000B5F78"/>
    <w:rsid w:val="000B68A8"/>
    <w:rsid w:val="000B6CFE"/>
    <w:rsid w:val="000B6F17"/>
    <w:rsid w:val="000B74A3"/>
    <w:rsid w:val="000B796D"/>
    <w:rsid w:val="000B7A80"/>
    <w:rsid w:val="000C0035"/>
    <w:rsid w:val="000C1482"/>
    <w:rsid w:val="000C1F84"/>
    <w:rsid w:val="000C1FF9"/>
    <w:rsid w:val="000C218F"/>
    <w:rsid w:val="000C26DA"/>
    <w:rsid w:val="000C2810"/>
    <w:rsid w:val="000C290D"/>
    <w:rsid w:val="000C29D9"/>
    <w:rsid w:val="000C2A29"/>
    <w:rsid w:val="000C3ECA"/>
    <w:rsid w:val="000C4918"/>
    <w:rsid w:val="000C4FDF"/>
    <w:rsid w:val="000C52AD"/>
    <w:rsid w:val="000C555E"/>
    <w:rsid w:val="000C570B"/>
    <w:rsid w:val="000C5981"/>
    <w:rsid w:val="000C5B20"/>
    <w:rsid w:val="000C607E"/>
    <w:rsid w:val="000C625C"/>
    <w:rsid w:val="000C6631"/>
    <w:rsid w:val="000C68F4"/>
    <w:rsid w:val="000C6DEE"/>
    <w:rsid w:val="000C722B"/>
    <w:rsid w:val="000C7332"/>
    <w:rsid w:val="000C7362"/>
    <w:rsid w:val="000C749A"/>
    <w:rsid w:val="000C771F"/>
    <w:rsid w:val="000C7A20"/>
    <w:rsid w:val="000C7D3D"/>
    <w:rsid w:val="000C7D67"/>
    <w:rsid w:val="000C7E61"/>
    <w:rsid w:val="000D00B5"/>
    <w:rsid w:val="000D051F"/>
    <w:rsid w:val="000D05AB"/>
    <w:rsid w:val="000D2114"/>
    <w:rsid w:val="000D2284"/>
    <w:rsid w:val="000D24C3"/>
    <w:rsid w:val="000D28B9"/>
    <w:rsid w:val="000D2D73"/>
    <w:rsid w:val="000D320F"/>
    <w:rsid w:val="000D3AF8"/>
    <w:rsid w:val="000D3CA5"/>
    <w:rsid w:val="000D3D1D"/>
    <w:rsid w:val="000D42D1"/>
    <w:rsid w:val="000D568C"/>
    <w:rsid w:val="000D574D"/>
    <w:rsid w:val="000D58DE"/>
    <w:rsid w:val="000D5938"/>
    <w:rsid w:val="000D65A1"/>
    <w:rsid w:val="000D689D"/>
    <w:rsid w:val="000D6999"/>
    <w:rsid w:val="000D6B0B"/>
    <w:rsid w:val="000D6B36"/>
    <w:rsid w:val="000D6E9F"/>
    <w:rsid w:val="000D7006"/>
    <w:rsid w:val="000D73B3"/>
    <w:rsid w:val="000D7987"/>
    <w:rsid w:val="000D7A91"/>
    <w:rsid w:val="000E0391"/>
    <w:rsid w:val="000E0831"/>
    <w:rsid w:val="000E0BC0"/>
    <w:rsid w:val="000E0BDC"/>
    <w:rsid w:val="000E12DD"/>
    <w:rsid w:val="000E24B3"/>
    <w:rsid w:val="000E2642"/>
    <w:rsid w:val="000E2C9E"/>
    <w:rsid w:val="000E3179"/>
    <w:rsid w:val="000E3DCB"/>
    <w:rsid w:val="000E41B2"/>
    <w:rsid w:val="000E4631"/>
    <w:rsid w:val="000E4A26"/>
    <w:rsid w:val="000E5130"/>
    <w:rsid w:val="000E541F"/>
    <w:rsid w:val="000E60B9"/>
    <w:rsid w:val="000E62A5"/>
    <w:rsid w:val="000E63C7"/>
    <w:rsid w:val="000E6715"/>
    <w:rsid w:val="000E6C2C"/>
    <w:rsid w:val="000E7082"/>
    <w:rsid w:val="000E72F4"/>
    <w:rsid w:val="000E775E"/>
    <w:rsid w:val="000E7BF0"/>
    <w:rsid w:val="000E7DB6"/>
    <w:rsid w:val="000E7FBA"/>
    <w:rsid w:val="000E7FED"/>
    <w:rsid w:val="000F12D9"/>
    <w:rsid w:val="000F17C9"/>
    <w:rsid w:val="000F2C66"/>
    <w:rsid w:val="000F2CDB"/>
    <w:rsid w:val="000F2FB2"/>
    <w:rsid w:val="000F383F"/>
    <w:rsid w:val="000F38E4"/>
    <w:rsid w:val="000F3D42"/>
    <w:rsid w:val="000F4A24"/>
    <w:rsid w:val="000F4A47"/>
    <w:rsid w:val="000F4DBE"/>
    <w:rsid w:val="000F4F4E"/>
    <w:rsid w:val="000F4FD5"/>
    <w:rsid w:val="000F5110"/>
    <w:rsid w:val="000F5767"/>
    <w:rsid w:val="000F5887"/>
    <w:rsid w:val="000F5DB7"/>
    <w:rsid w:val="000F5FE3"/>
    <w:rsid w:val="000F6547"/>
    <w:rsid w:val="000F6696"/>
    <w:rsid w:val="000F70F6"/>
    <w:rsid w:val="000F7A9D"/>
    <w:rsid w:val="000F7AF9"/>
    <w:rsid w:val="000F7D31"/>
    <w:rsid w:val="000F7E96"/>
    <w:rsid w:val="001000FF"/>
    <w:rsid w:val="00100395"/>
    <w:rsid w:val="00100727"/>
    <w:rsid w:val="001007B1"/>
    <w:rsid w:val="00100C4E"/>
    <w:rsid w:val="0010134B"/>
    <w:rsid w:val="001018C3"/>
    <w:rsid w:val="0010249F"/>
    <w:rsid w:val="0010473F"/>
    <w:rsid w:val="00104A45"/>
    <w:rsid w:val="00105030"/>
    <w:rsid w:val="001057F8"/>
    <w:rsid w:val="00105DFD"/>
    <w:rsid w:val="00106C6F"/>
    <w:rsid w:val="00107485"/>
    <w:rsid w:val="0010749D"/>
    <w:rsid w:val="00107958"/>
    <w:rsid w:val="00107FF5"/>
    <w:rsid w:val="0011018F"/>
    <w:rsid w:val="00110694"/>
    <w:rsid w:val="001108BA"/>
    <w:rsid w:val="00110C5A"/>
    <w:rsid w:val="00111282"/>
    <w:rsid w:val="00111709"/>
    <w:rsid w:val="00111B0F"/>
    <w:rsid w:val="00111CE0"/>
    <w:rsid w:val="00111FC7"/>
    <w:rsid w:val="0011204E"/>
    <w:rsid w:val="001123B3"/>
    <w:rsid w:val="001125DB"/>
    <w:rsid w:val="00112670"/>
    <w:rsid w:val="0011270F"/>
    <w:rsid w:val="001128F1"/>
    <w:rsid w:val="00112D9A"/>
    <w:rsid w:val="00113B8A"/>
    <w:rsid w:val="00113F6B"/>
    <w:rsid w:val="00114C1A"/>
    <w:rsid w:val="001164AC"/>
    <w:rsid w:val="00116743"/>
    <w:rsid w:val="0011740B"/>
    <w:rsid w:val="00117982"/>
    <w:rsid w:val="00117DC0"/>
    <w:rsid w:val="001209B4"/>
    <w:rsid w:val="00120B4D"/>
    <w:rsid w:val="00120FD8"/>
    <w:rsid w:val="00121077"/>
    <w:rsid w:val="00121170"/>
    <w:rsid w:val="001218A2"/>
    <w:rsid w:val="001221B5"/>
    <w:rsid w:val="00122395"/>
    <w:rsid w:val="001223F5"/>
    <w:rsid w:val="00122B0B"/>
    <w:rsid w:val="0012352F"/>
    <w:rsid w:val="00123851"/>
    <w:rsid w:val="00123868"/>
    <w:rsid w:val="00123D33"/>
    <w:rsid w:val="00123DEE"/>
    <w:rsid w:val="0012413C"/>
    <w:rsid w:val="0012418E"/>
    <w:rsid w:val="00124649"/>
    <w:rsid w:val="001246EC"/>
    <w:rsid w:val="00124A86"/>
    <w:rsid w:val="00124BA4"/>
    <w:rsid w:val="00125724"/>
    <w:rsid w:val="00125778"/>
    <w:rsid w:val="00125AC0"/>
    <w:rsid w:val="00125C59"/>
    <w:rsid w:val="00125E44"/>
    <w:rsid w:val="001261B5"/>
    <w:rsid w:val="001261C1"/>
    <w:rsid w:val="00126480"/>
    <w:rsid w:val="0012653C"/>
    <w:rsid w:val="001265BF"/>
    <w:rsid w:val="0012670D"/>
    <w:rsid w:val="00126EA4"/>
    <w:rsid w:val="001270D7"/>
    <w:rsid w:val="00127462"/>
    <w:rsid w:val="00127AB5"/>
    <w:rsid w:val="00127D93"/>
    <w:rsid w:val="00127E4C"/>
    <w:rsid w:val="0013045D"/>
    <w:rsid w:val="00130EFE"/>
    <w:rsid w:val="0013149B"/>
    <w:rsid w:val="00131599"/>
    <w:rsid w:val="001315D9"/>
    <w:rsid w:val="00131809"/>
    <w:rsid w:val="00132153"/>
    <w:rsid w:val="0013224E"/>
    <w:rsid w:val="001322AA"/>
    <w:rsid w:val="00132491"/>
    <w:rsid w:val="00132ACC"/>
    <w:rsid w:val="00133529"/>
    <w:rsid w:val="00133FD3"/>
    <w:rsid w:val="001340BE"/>
    <w:rsid w:val="00134C7A"/>
    <w:rsid w:val="001351CB"/>
    <w:rsid w:val="001352DE"/>
    <w:rsid w:val="00135C8B"/>
    <w:rsid w:val="00135F09"/>
    <w:rsid w:val="001362D5"/>
    <w:rsid w:val="00137C5D"/>
    <w:rsid w:val="00140859"/>
    <w:rsid w:val="00140977"/>
    <w:rsid w:val="00140C6D"/>
    <w:rsid w:val="00140DB4"/>
    <w:rsid w:val="00140E68"/>
    <w:rsid w:val="00141284"/>
    <w:rsid w:val="001413D7"/>
    <w:rsid w:val="0014283F"/>
    <w:rsid w:val="00142E93"/>
    <w:rsid w:val="00143203"/>
    <w:rsid w:val="001433E0"/>
    <w:rsid w:val="0014341A"/>
    <w:rsid w:val="001435FA"/>
    <w:rsid w:val="00143881"/>
    <w:rsid w:val="001438CA"/>
    <w:rsid w:val="001446F2"/>
    <w:rsid w:val="0014479B"/>
    <w:rsid w:val="00144EF5"/>
    <w:rsid w:val="001450D8"/>
    <w:rsid w:val="00145291"/>
    <w:rsid w:val="00145ACC"/>
    <w:rsid w:val="0014619D"/>
    <w:rsid w:val="001463E0"/>
    <w:rsid w:val="00146C64"/>
    <w:rsid w:val="00146F63"/>
    <w:rsid w:val="00150206"/>
    <w:rsid w:val="00150B03"/>
    <w:rsid w:val="001513CC"/>
    <w:rsid w:val="00151681"/>
    <w:rsid w:val="00152392"/>
    <w:rsid w:val="0015252B"/>
    <w:rsid w:val="00152CC2"/>
    <w:rsid w:val="00153708"/>
    <w:rsid w:val="00153988"/>
    <w:rsid w:val="001551C0"/>
    <w:rsid w:val="00155402"/>
    <w:rsid w:val="00155B19"/>
    <w:rsid w:val="001566EC"/>
    <w:rsid w:val="00156B78"/>
    <w:rsid w:val="00156E9B"/>
    <w:rsid w:val="0015733D"/>
    <w:rsid w:val="00157430"/>
    <w:rsid w:val="0015788B"/>
    <w:rsid w:val="00157AFB"/>
    <w:rsid w:val="001607C4"/>
    <w:rsid w:val="00160801"/>
    <w:rsid w:val="00160A00"/>
    <w:rsid w:val="00160D8E"/>
    <w:rsid w:val="0016100E"/>
    <w:rsid w:val="00161C5A"/>
    <w:rsid w:val="00161D0B"/>
    <w:rsid w:val="0016256D"/>
    <w:rsid w:val="00162744"/>
    <w:rsid w:val="00162772"/>
    <w:rsid w:val="00162779"/>
    <w:rsid w:val="0016299F"/>
    <w:rsid w:val="00162EFF"/>
    <w:rsid w:val="0016303B"/>
    <w:rsid w:val="00163172"/>
    <w:rsid w:val="00163568"/>
    <w:rsid w:val="00163628"/>
    <w:rsid w:val="001637EB"/>
    <w:rsid w:val="001638A0"/>
    <w:rsid w:val="00163D37"/>
    <w:rsid w:val="00164A47"/>
    <w:rsid w:val="00164EDE"/>
    <w:rsid w:val="0016525D"/>
    <w:rsid w:val="00165894"/>
    <w:rsid w:val="0016641A"/>
    <w:rsid w:val="001665C5"/>
    <w:rsid w:val="0016690D"/>
    <w:rsid w:val="001669F3"/>
    <w:rsid w:val="00167108"/>
    <w:rsid w:val="001674E2"/>
    <w:rsid w:val="00167B95"/>
    <w:rsid w:val="00167F50"/>
    <w:rsid w:val="001702DE"/>
    <w:rsid w:val="00170987"/>
    <w:rsid w:val="00170C08"/>
    <w:rsid w:val="0017209C"/>
    <w:rsid w:val="001729DF"/>
    <w:rsid w:val="00173066"/>
    <w:rsid w:val="00173077"/>
    <w:rsid w:val="00174C68"/>
    <w:rsid w:val="00175A9A"/>
    <w:rsid w:val="00175D31"/>
    <w:rsid w:val="00176E34"/>
    <w:rsid w:val="00177304"/>
    <w:rsid w:val="00177455"/>
    <w:rsid w:val="001776E3"/>
    <w:rsid w:val="00177B04"/>
    <w:rsid w:val="00177DAA"/>
    <w:rsid w:val="001803C3"/>
    <w:rsid w:val="00180F32"/>
    <w:rsid w:val="00181056"/>
    <w:rsid w:val="0018106F"/>
    <w:rsid w:val="0018133A"/>
    <w:rsid w:val="0018150E"/>
    <w:rsid w:val="001822BB"/>
    <w:rsid w:val="00182A99"/>
    <w:rsid w:val="00182CEF"/>
    <w:rsid w:val="00182D7E"/>
    <w:rsid w:val="001834E4"/>
    <w:rsid w:val="00183ECD"/>
    <w:rsid w:val="00183ED5"/>
    <w:rsid w:val="0018484A"/>
    <w:rsid w:val="00185159"/>
    <w:rsid w:val="001854D4"/>
    <w:rsid w:val="00185BF7"/>
    <w:rsid w:val="00185C3F"/>
    <w:rsid w:val="00185E6A"/>
    <w:rsid w:val="00185ED4"/>
    <w:rsid w:val="00186C18"/>
    <w:rsid w:val="00186F48"/>
    <w:rsid w:val="00187783"/>
    <w:rsid w:val="00187879"/>
    <w:rsid w:val="00190725"/>
    <w:rsid w:val="001913C7"/>
    <w:rsid w:val="00191858"/>
    <w:rsid w:val="00192745"/>
    <w:rsid w:val="00192999"/>
    <w:rsid w:val="00192A0D"/>
    <w:rsid w:val="00192BD0"/>
    <w:rsid w:val="00192F79"/>
    <w:rsid w:val="00193C7E"/>
    <w:rsid w:val="0019463B"/>
    <w:rsid w:val="001949CC"/>
    <w:rsid w:val="00194A8C"/>
    <w:rsid w:val="00194F7B"/>
    <w:rsid w:val="001952DE"/>
    <w:rsid w:val="00195330"/>
    <w:rsid w:val="001961D2"/>
    <w:rsid w:val="001963DF"/>
    <w:rsid w:val="001968D0"/>
    <w:rsid w:val="0019702D"/>
    <w:rsid w:val="00197062"/>
    <w:rsid w:val="001978C1"/>
    <w:rsid w:val="0019799C"/>
    <w:rsid w:val="001979E8"/>
    <w:rsid w:val="00197E60"/>
    <w:rsid w:val="00197F5B"/>
    <w:rsid w:val="001A073F"/>
    <w:rsid w:val="001A0E10"/>
    <w:rsid w:val="001A1268"/>
    <w:rsid w:val="001A1760"/>
    <w:rsid w:val="001A1834"/>
    <w:rsid w:val="001A19EF"/>
    <w:rsid w:val="001A1A37"/>
    <w:rsid w:val="001A2341"/>
    <w:rsid w:val="001A24BD"/>
    <w:rsid w:val="001A2502"/>
    <w:rsid w:val="001A26F4"/>
    <w:rsid w:val="001A2735"/>
    <w:rsid w:val="001A281C"/>
    <w:rsid w:val="001A2C60"/>
    <w:rsid w:val="001A3453"/>
    <w:rsid w:val="001A3816"/>
    <w:rsid w:val="001A38C1"/>
    <w:rsid w:val="001A3A07"/>
    <w:rsid w:val="001A3AD4"/>
    <w:rsid w:val="001A3EE3"/>
    <w:rsid w:val="001A4145"/>
    <w:rsid w:val="001A4518"/>
    <w:rsid w:val="001A4A08"/>
    <w:rsid w:val="001A4E1E"/>
    <w:rsid w:val="001A4E36"/>
    <w:rsid w:val="001A593D"/>
    <w:rsid w:val="001A5B04"/>
    <w:rsid w:val="001A5D71"/>
    <w:rsid w:val="001A60E7"/>
    <w:rsid w:val="001A6733"/>
    <w:rsid w:val="001A6880"/>
    <w:rsid w:val="001A6B22"/>
    <w:rsid w:val="001A6BD0"/>
    <w:rsid w:val="001A731C"/>
    <w:rsid w:val="001A7782"/>
    <w:rsid w:val="001A7C31"/>
    <w:rsid w:val="001A7E22"/>
    <w:rsid w:val="001B014F"/>
    <w:rsid w:val="001B06A9"/>
    <w:rsid w:val="001B081B"/>
    <w:rsid w:val="001B0A67"/>
    <w:rsid w:val="001B0A75"/>
    <w:rsid w:val="001B0CD1"/>
    <w:rsid w:val="001B0EF8"/>
    <w:rsid w:val="001B14B7"/>
    <w:rsid w:val="001B2220"/>
    <w:rsid w:val="001B22BD"/>
    <w:rsid w:val="001B27E4"/>
    <w:rsid w:val="001B28E2"/>
    <w:rsid w:val="001B2A48"/>
    <w:rsid w:val="001B2B60"/>
    <w:rsid w:val="001B33D2"/>
    <w:rsid w:val="001B3F1E"/>
    <w:rsid w:val="001B4407"/>
    <w:rsid w:val="001B47AE"/>
    <w:rsid w:val="001B49D5"/>
    <w:rsid w:val="001B4CBC"/>
    <w:rsid w:val="001B50E3"/>
    <w:rsid w:val="001B50E7"/>
    <w:rsid w:val="001B5AF3"/>
    <w:rsid w:val="001B5E0B"/>
    <w:rsid w:val="001B6013"/>
    <w:rsid w:val="001B65B8"/>
    <w:rsid w:val="001B6B9E"/>
    <w:rsid w:val="001B6D45"/>
    <w:rsid w:val="001B7244"/>
    <w:rsid w:val="001B7537"/>
    <w:rsid w:val="001B7DE3"/>
    <w:rsid w:val="001C0403"/>
    <w:rsid w:val="001C0ED3"/>
    <w:rsid w:val="001C0FD7"/>
    <w:rsid w:val="001C1508"/>
    <w:rsid w:val="001C1689"/>
    <w:rsid w:val="001C1ADC"/>
    <w:rsid w:val="001C253E"/>
    <w:rsid w:val="001C2565"/>
    <w:rsid w:val="001C2792"/>
    <w:rsid w:val="001C2F7A"/>
    <w:rsid w:val="001C36CA"/>
    <w:rsid w:val="001C3E1F"/>
    <w:rsid w:val="001C3F85"/>
    <w:rsid w:val="001C3FC6"/>
    <w:rsid w:val="001C4120"/>
    <w:rsid w:val="001C42DF"/>
    <w:rsid w:val="001C4811"/>
    <w:rsid w:val="001C4BA9"/>
    <w:rsid w:val="001C4C0C"/>
    <w:rsid w:val="001C4D29"/>
    <w:rsid w:val="001C4E33"/>
    <w:rsid w:val="001C56CC"/>
    <w:rsid w:val="001C6606"/>
    <w:rsid w:val="001C6FC2"/>
    <w:rsid w:val="001C7789"/>
    <w:rsid w:val="001C78DE"/>
    <w:rsid w:val="001C7A11"/>
    <w:rsid w:val="001C7C53"/>
    <w:rsid w:val="001C7F81"/>
    <w:rsid w:val="001D0815"/>
    <w:rsid w:val="001D082C"/>
    <w:rsid w:val="001D08A2"/>
    <w:rsid w:val="001D0BA7"/>
    <w:rsid w:val="001D0FCC"/>
    <w:rsid w:val="001D11C3"/>
    <w:rsid w:val="001D15AA"/>
    <w:rsid w:val="001D1B0C"/>
    <w:rsid w:val="001D29B4"/>
    <w:rsid w:val="001D2B40"/>
    <w:rsid w:val="001D32A4"/>
    <w:rsid w:val="001D3328"/>
    <w:rsid w:val="001D3B91"/>
    <w:rsid w:val="001D3C19"/>
    <w:rsid w:val="001D3E70"/>
    <w:rsid w:val="001D4198"/>
    <w:rsid w:val="001D5948"/>
    <w:rsid w:val="001D5AF2"/>
    <w:rsid w:val="001D61E8"/>
    <w:rsid w:val="001D664D"/>
    <w:rsid w:val="001D6EF1"/>
    <w:rsid w:val="001D719F"/>
    <w:rsid w:val="001D757E"/>
    <w:rsid w:val="001D784C"/>
    <w:rsid w:val="001D7FBA"/>
    <w:rsid w:val="001E011C"/>
    <w:rsid w:val="001E0247"/>
    <w:rsid w:val="001E052F"/>
    <w:rsid w:val="001E0800"/>
    <w:rsid w:val="001E0E9E"/>
    <w:rsid w:val="001E1909"/>
    <w:rsid w:val="001E1F20"/>
    <w:rsid w:val="001E2072"/>
    <w:rsid w:val="001E2CF7"/>
    <w:rsid w:val="001E3550"/>
    <w:rsid w:val="001E3613"/>
    <w:rsid w:val="001E37E0"/>
    <w:rsid w:val="001E37E2"/>
    <w:rsid w:val="001E392A"/>
    <w:rsid w:val="001E3C69"/>
    <w:rsid w:val="001E4003"/>
    <w:rsid w:val="001E442E"/>
    <w:rsid w:val="001E44B8"/>
    <w:rsid w:val="001E4A64"/>
    <w:rsid w:val="001E5366"/>
    <w:rsid w:val="001E6265"/>
    <w:rsid w:val="001E656B"/>
    <w:rsid w:val="001E6816"/>
    <w:rsid w:val="001E6AB5"/>
    <w:rsid w:val="001E7756"/>
    <w:rsid w:val="001E7DC7"/>
    <w:rsid w:val="001E7EEA"/>
    <w:rsid w:val="001F026E"/>
    <w:rsid w:val="001F0739"/>
    <w:rsid w:val="001F0C63"/>
    <w:rsid w:val="001F0E6A"/>
    <w:rsid w:val="001F105D"/>
    <w:rsid w:val="001F1267"/>
    <w:rsid w:val="001F1369"/>
    <w:rsid w:val="001F1E78"/>
    <w:rsid w:val="001F1EF0"/>
    <w:rsid w:val="001F24E3"/>
    <w:rsid w:val="001F2C05"/>
    <w:rsid w:val="001F2C39"/>
    <w:rsid w:val="001F2F5C"/>
    <w:rsid w:val="001F2FC0"/>
    <w:rsid w:val="001F38E5"/>
    <w:rsid w:val="001F4160"/>
    <w:rsid w:val="001F4347"/>
    <w:rsid w:val="001F4B19"/>
    <w:rsid w:val="001F4F31"/>
    <w:rsid w:val="001F5486"/>
    <w:rsid w:val="001F57EA"/>
    <w:rsid w:val="001F5865"/>
    <w:rsid w:val="001F597A"/>
    <w:rsid w:val="001F5999"/>
    <w:rsid w:val="001F5CB8"/>
    <w:rsid w:val="001F5CEA"/>
    <w:rsid w:val="001F5FEE"/>
    <w:rsid w:val="001F6285"/>
    <w:rsid w:val="001F630E"/>
    <w:rsid w:val="001F66CC"/>
    <w:rsid w:val="001F66DF"/>
    <w:rsid w:val="001F6B57"/>
    <w:rsid w:val="001F6D65"/>
    <w:rsid w:val="001F726F"/>
    <w:rsid w:val="001F72CD"/>
    <w:rsid w:val="001F78D7"/>
    <w:rsid w:val="001F7A29"/>
    <w:rsid w:val="001F7DBA"/>
    <w:rsid w:val="002000BB"/>
    <w:rsid w:val="00200570"/>
    <w:rsid w:val="002006D1"/>
    <w:rsid w:val="00200793"/>
    <w:rsid w:val="002016BE"/>
    <w:rsid w:val="00201929"/>
    <w:rsid w:val="00201A5F"/>
    <w:rsid w:val="00201F59"/>
    <w:rsid w:val="00202690"/>
    <w:rsid w:val="00202AA0"/>
    <w:rsid w:val="00202D48"/>
    <w:rsid w:val="00202DF8"/>
    <w:rsid w:val="00202FC9"/>
    <w:rsid w:val="00203247"/>
    <w:rsid w:val="002034A6"/>
    <w:rsid w:val="00203736"/>
    <w:rsid w:val="00203E1F"/>
    <w:rsid w:val="0020466D"/>
    <w:rsid w:val="0020474D"/>
    <w:rsid w:val="0020498A"/>
    <w:rsid w:val="00204DB0"/>
    <w:rsid w:val="00205237"/>
    <w:rsid w:val="00205B3A"/>
    <w:rsid w:val="00205B44"/>
    <w:rsid w:val="00205F25"/>
    <w:rsid w:val="002063A2"/>
    <w:rsid w:val="002067C6"/>
    <w:rsid w:val="00206992"/>
    <w:rsid w:val="00207560"/>
    <w:rsid w:val="00207C98"/>
    <w:rsid w:val="00207DF9"/>
    <w:rsid w:val="00210957"/>
    <w:rsid w:val="00210962"/>
    <w:rsid w:val="0021144A"/>
    <w:rsid w:val="0021242B"/>
    <w:rsid w:val="00213274"/>
    <w:rsid w:val="0021376F"/>
    <w:rsid w:val="002138D2"/>
    <w:rsid w:val="00213A15"/>
    <w:rsid w:val="00213CC2"/>
    <w:rsid w:val="00213DBB"/>
    <w:rsid w:val="0021573E"/>
    <w:rsid w:val="00215F11"/>
    <w:rsid w:val="00216087"/>
    <w:rsid w:val="0021675B"/>
    <w:rsid w:val="00216F39"/>
    <w:rsid w:val="00217365"/>
    <w:rsid w:val="002176D7"/>
    <w:rsid w:val="002177F8"/>
    <w:rsid w:val="002179C8"/>
    <w:rsid w:val="00217BBC"/>
    <w:rsid w:val="0022181C"/>
    <w:rsid w:val="00222680"/>
    <w:rsid w:val="0022269B"/>
    <w:rsid w:val="002227F4"/>
    <w:rsid w:val="00222B4B"/>
    <w:rsid w:val="00222B9C"/>
    <w:rsid w:val="0022396D"/>
    <w:rsid w:val="00223AD2"/>
    <w:rsid w:val="00224098"/>
    <w:rsid w:val="002245F5"/>
    <w:rsid w:val="0022503A"/>
    <w:rsid w:val="00225628"/>
    <w:rsid w:val="00226485"/>
    <w:rsid w:val="0022662A"/>
    <w:rsid w:val="002269DF"/>
    <w:rsid w:val="00226EAF"/>
    <w:rsid w:val="00226F6F"/>
    <w:rsid w:val="002271A9"/>
    <w:rsid w:val="002272D1"/>
    <w:rsid w:val="00227979"/>
    <w:rsid w:val="002302C1"/>
    <w:rsid w:val="0023070B"/>
    <w:rsid w:val="00230B05"/>
    <w:rsid w:val="00231EF4"/>
    <w:rsid w:val="002321DE"/>
    <w:rsid w:val="00232985"/>
    <w:rsid w:val="00232B14"/>
    <w:rsid w:val="00232DC6"/>
    <w:rsid w:val="00232E88"/>
    <w:rsid w:val="002336E3"/>
    <w:rsid w:val="00233AA1"/>
    <w:rsid w:val="00234180"/>
    <w:rsid w:val="00234570"/>
    <w:rsid w:val="002348E4"/>
    <w:rsid w:val="00234AC7"/>
    <w:rsid w:val="00234BFC"/>
    <w:rsid w:val="00234E2B"/>
    <w:rsid w:val="002356A7"/>
    <w:rsid w:val="00235B45"/>
    <w:rsid w:val="00235F99"/>
    <w:rsid w:val="002363CD"/>
    <w:rsid w:val="002368FD"/>
    <w:rsid w:val="00236A00"/>
    <w:rsid w:val="002370F6"/>
    <w:rsid w:val="0023724C"/>
    <w:rsid w:val="00237336"/>
    <w:rsid w:val="0023788A"/>
    <w:rsid w:val="00237C18"/>
    <w:rsid w:val="0024004B"/>
    <w:rsid w:val="0024043A"/>
    <w:rsid w:val="0024046A"/>
    <w:rsid w:val="002409A1"/>
    <w:rsid w:val="00242F0D"/>
    <w:rsid w:val="002430F0"/>
    <w:rsid w:val="00243AE4"/>
    <w:rsid w:val="00243CC4"/>
    <w:rsid w:val="002442F1"/>
    <w:rsid w:val="00244651"/>
    <w:rsid w:val="002447A5"/>
    <w:rsid w:val="00245448"/>
    <w:rsid w:val="00245672"/>
    <w:rsid w:val="00245A12"/>
    <w:rsid w:val="00246C87"/>
    <w:rsid w:val="00246CB7"/>
    <w:rsid w:val="002472C8"/>
    <w:rsid w:val="0024742B"/>
    <w:rsid w:val="00247AB9"/>
    <w:rsid w:val="00247D02"/>
    <w:rsid w:val="00247DAA"/>
    <w:rsid w:val="00247E56"/>
    <w:rsid w:val="00247E9B"/>
    <w:rsid w:val="00247F80"/>
    <w:rsid w:val="00250734"/>
    <w:rsid w:val="00250818"/>
    <w:rsid w:val="002511E0"/>
    <w:rsid w:val="0025124C"/>
    <w:rsid w:val="00251759"/>
    <w:rsid w:val="00252453"/>
    <w:rsid w:val="00252464"/>
    <w:rsid w:val="002528AF"/>
    <w:rsid w:val="00252E84"/>
    <w:rsid w:val="002530D3"/>
    <w:rsid w:val="00253166"/>
    <w:rsid w:val="002531C3"/>
    <w:rsid w:val="0025438A"/>
    <w:rsid w:val="00254949"/>
    <w:rsid w:val="002549F6"/>
    <w:rsid w:val="00254BA1"/>
    <w:rsid w:val="00254C3E"/>
    <w:rsid w:val="00254D06"/>
    <w:rsid w:val="00254FFA"/>
    <w:rsid w:val="00255712"/>
    <w:rsid w:val="00255836"/>
    <w:rsid w:val="00255845"/>
    <w:rsid w:val="00255C69"/>
    <w:rsid w:val="00255C87"/>
    <w:rsid w:val="00256CC4"/>
    <w:rsid w:val="002575A0"/>
    <w:rsid w:val="00257631"/>
    <w:rsid w:val="00257988"/>
    <w:rsid w:val="0026065A"/>
    <w:rsid w:val="00261181"/>
    <w:rsid w:val="00261219"/>
    <w:rsid w:val="00261596"/>
    <w:rsid w:val="00262683"/>
    <w:rsid w:val="002627A4"/>
    <w:rsid w:val="002628F2"/>
    <w:rsid w:val="00262B76"/>
    <w:rsid w:val="00262D3B"/>
    <w:rsid w:val="00262D7F"/>
    <w:rsid w:val="0026318A"/>
    <w:rsid w:val="00263232"/>
    <w:rsid w:val="00264460"/>
    <w:rsid w:val="00264734"/>
    <w:rsid w:val="00264B0E"/>
    <w:rsid w:val="0026552A"/>
    <w:rsid w:val="00265738"/>
    <w:rsid w:val="00265B94"/>
    <w:rsid w:val="00266318"/>
    <w:rsid w:val="00266D48"/>
    <w:rsid w:val="0026720F"/>
    <w:rsid w:val="0026776A"/>
    <w:rsid w:val="002678F2"/>
    <w:rsid w:val="0027042A"/>
    <w:rsid w:val="00270788"/>
    <w:rsid w:val="002709E7"/>
    <w:rsid w:val="0027103A"/>
    <w:rsid w:val="002714DE"/>
    <w:rsid w:val="0027197A"/>
    <w:rsid w:val="00271A3D"/>
    <w:rsid w:val="002724B0"/>
    <w:rsid w:val="0027301B"/>
    <w:rsid w:val="002733CA"/>
    <w:rsid w:val="00273469"/>
    <w:rsid w:val="0027378A"/>
    <w:rsid w:val="002737E2"/>
    <w:rsid w:val="0027382D"/>
    <w:rsid w:val="00273B74"/>
    <w:rsid w:val="00273D8B"/>
    <w:rsid w:val="00273EA1"/>
    <w:rsid w:val="00274FB7"/>
    <w:rsid w:val="0027592A"/>
    <w:rsid w:val="00275A57"/>
    <w:rsid w:val="00275A6F"/>
    <w:rsid w:val="00275F0B"/>
    <w:rsid w:val="00276A0E"/>
    <w:rsid w:val="00276E33"/>
    <w:rsid w:val="002773DC"/>
    <w:rsid w:val="0027788B"/>
    <w:rsid w:val="00277C35"/>
    <w:rsid w:val="002809D7"/>
    <w:rsid w:val="002810ED"/>
    <w:rsid w:val="002813F5"/>
    <w:rsid w:val="002817EC"/>
    <w:rsid w:val="00281842"/>
    <w:rsid w:val="00281AF1"/>
    <w:rsid w:val="00281B95"/>
    <w:rsid w:val="00281E03"/>
    <w:rsid w:val="002821D5"/>
    <w:rsid w:val="0028289B"/>
    <w:rsid w:val="00282C40"/>
    <w:rsid w:val="0028310F"/>
    <w:rsid w:val="00283E00"/>
    <w:rsid w:val="00284142"/>
    <w:rsid w:val="002841CB"/>
    <w:rsid w:val="0028466B"/>
    <w:rsid w:val="002849B4"/>
    <w:rsid w:val="00285FE1"/>
    <w:rsid w:val="002860BA"/>
    <w:rsid w:val="00286316"/>
    <w:rsid w:val="002863E6"/>
    <w:rsid w:val="00286618"/>
    <w:rsid w:val="002871E5"/>
    <w:rsid w:val="00287408"/>
    <w:rsid w:val="00287B6C"/>
    <w:rsid w:val="00290707"/>
    <w:rsid w:val="002907F4"/>
    <w:rsid w:val="0029097D"/>
    <w:rsid w:val="00290A6C"/>
    <w:rsid w:val="00290BB3"/>
    <w:rsid w:val="00291176"/>
    <w:rsid w:val="002912AE"/>
    <w:rsid w:val="002913D6"/>
    <w:rsid w:val="00291E5F"/>
    <w:rsid w:val="002925A9"/>
    <w:rsid w:val="00292D88"/>
    <w:rsid w:val="00292DAC"/>
    <w:rsid w:val="00292EFF"/>
    <w:rsid w:val="0029352E"/>
    <w:rsid w:val="002937A0"/>
    <w:rsid w:val="00293EA2"/>
    <w:rsid w:val="00293F48"/>
    <w:rsid w:val="002944CC"/>
    <w:rsid w:val="002944E8"/>
    <w:rsid w:val="002957CF"/>
    <w:rsid w:val="00296707"/>
    <w:rsid w:val="00296853"/>
    <w:rsid w:val="00297256"/>
    <w:rsid w:val="0029788B"/>
    <w:rsid w:val="002979AC"/>
    <w:rsid w:val="00297B35"/>
    <w:rsid w:val="002A03A8"/>
    <w:rsid w:val="002A06A6"/>
    <w:rsid w:val="002A13A3"/>
    <w:rsid w:val="002A142A"/>
    <w:rsid w:val="002A15C3"/>
    <w:rsid w:val="002A1860"/>
    <w:rsid w:val="002A186D"/>
    <w:rsid w:val="002A2135"/>
    <w:rsid w:val="002A2916"/>
    <w:rsid w:val="002A2C00"/>
    <w:rsid w:val="002A307B"/>
    <w:rsid w:val="002A3BE9"/>
    <w:rsid w:val="002A3DCA"/>
    <w:rsid w:val="002A3EDF"/>
    <w:rsid w:val="002A4110"/>
    <w:rsid w:val="002A41BF"/>
    <w:rsid w:val="002A4226"/>
    <w:rsid w:val="002A459A"/>
    <w:rsid w:val="002A47CB"/>
    <w:rsid w:val="002A4995"/>
    <w:rsid w:val="002A50D9"/>
    <w:rsid w:val="002A55A9"/>
    <w:rsid w:val="002A5FD8"/>
    <w:rsid w:val="002A62B1"/>
    <w:rsid w:val="002A62DF"/>
    <w:rsid w:val="002A6E12"/>
    <w:rsid w:val="002A76F2"/>
    <w:rsid w:val="002B03DD"/>
    <w:rsid w:val="002B1052"/>
    <w:rsid w:val="002B1263"/>
    <w:rsid w:val="002B158C"/>
    <w:rsid w:val="002B19C8"/>
    <w:rsid w:val="002B1D5B"/>
    <w:rsid w:val="002B1DD8"/>
    <w:rsid w:val="002B1DDD"/>
    <w:rsid w:val="002B1F71"/>
    <w:rsid w:val="002B2087"/>
    <w:rsid w:val="002B2211"/>
    <w:rsid w:val="002B47BD"/>
    <w:rsid w:val="002B507A"/>
    <w:rsid w:val="002B5124"/>
    <w:rsid w:val="002B51F3"/>
    <w:rsid w:val="002B5CC6"/>
    <w:rsid w:val="002B5D83"/>
    <w:rsid w:val="002B6244"/>
    <w:rsid w:val="002B62A4"/>
    <w:rsid w:val="002B643B"/>
    <w:rsid w:val="002B6567"/>
    <w:rsid w:val="002B6BB2"/>
    <w:rsid w:val="002B71BA"/>
    <w:rsid w:val="002B765A"/>
    <w:rsid w:val="002B7E06"/>
    <w:rsid w:val="002C06E6"/>
    <w:rsid w:val="002C072B"/>
    <w:rsid w:val="002C093E"/>
    <w:rsid w:val="002C138B"/>
    <w:rsid w:val="002C13BD"/>
    <w:rsid w:val="002C1BB2"/>
    <w:rsid w:val="002C2074"/>
    <w:rsid w:val="002C2157"/>
    <w:rsid w:val="002C21D2"/>
    <w:rsid w:val="002C22CF"/>
    <w:rsid w:val="002C2AA3"/>
    <w:rsid w:val="002C2D33"/>
    <w:rsid w:val="002C2F77"/>
    <w:rsid w:val="002C316C"/>
    <w:rsid w:val="002C3486"/>
    <w:rsid w:val="002C3D23"/>
    <w:rsid w:val="002C3F37"/>
    <w:rsid w:val="002C4143"/>
    <w:rsid w:val="002C4344"/>
    <w:rsid w:val="002C46BF"/>
    <w:rsid w:val="002C4C6C"/>
    <w:rsid w:val="002C504E"/>
    <w:rsid w:val="002C59F4"/>
    <w:rsid w:val="002C5A87"/>
    <w:rsid w:val="002C5DE9"/>
    <w:rsid w:val="002C68E7"/>
    <w:rsid w:val="002C6937"/>
    <w:rsid w:val="002C75A9"/>
    <w:rsid w:val="002C7A1C"/>
    <w:rsid w:val="002C7C47"/>
    <w:rsid w:val="002C7F2B"/>
    <w:rsid w:val="002D0F97"/>
    <w:rsid w:val="002D0FA9"/>
    <w:rsid w:val="002D120D"/>
    <w:rsid w:val="002D2093"/>
    <w:rsid w:val="002D21BA"/>
    <w:rsid w:val="002D23B9"/>
    <w:rsid w:val="002D2B39"/>
    <w:rsid w:val="002D2B48"/>
    <w:rsid w:val="002D3A85"/>
    <w:rsid w:val="002D3D57"/>
    <w:rsid w:val="002D3DA2"/>
    <w:rsid w:val="002D4235"/>
    <w:rsid w:val="002D42E8"/>
    <w:rsid w:val="002D43B5"/>
    <w:rsid w:val="002D47D8"/>
    <w:rsid w:val="002D5753"/>
    <w:rsid w:val="002D6005"/>
    <w:rsid w:val="002D605F"/>
    <w:rsid w:val="002D606F"/>
    <w:rsid w:val="002D61F6"/>
    <w:rsid w:val="002D6219"/>
    <w:rsid w:val="002D6359"/>
    <w:rsid w:val="002D64DE"/>
    <w:rsid w:val="002D66EB"/>
    <w:rsid w:val="002D6719"/>
    <w:rsid w:val="002D6B3F"/>
    <w:rsid w:val="002D6CE6"/>
    <w:rsid w:val="002D70BC"/>
    <w:rsid w:val="002D7337"/>
    <w:rsid w:val="002D75DB"/>
    <w:rsid w:val="002D7B81"/>
    <w:rsid w:val="002D7E08"/>
    <w:rsid w:val="002E0291"/>
    <w:rsid w:val="002E087B"/>
    <w:rsid w:val="002E09A4"/>
    <w:rsid w:val="002E0ECA"/>
    <w:rsid w:val="002E10C5"/>
    <w:rsid w:val="002E1435"/>
    <w:rsid w:val="002E14F1"/>
    <w:rsid w:val="002E1D19"/>
    <w:rsid w:val="002E26B8"/>
    <w:rsid w:val="002E2D31"/>
    <w:rsid w:val="002E356E"/>
    <w:rsid w:val="002E4722"/>
    <w:rsid w:val="002E4E75"/>
    <w:rsid w:val="002E5328"/>
    <w:rsid w:val="002E56CE"/>
    <w:rsid w:val="002E583E"/>
    <w:rsid w:val="002E5A27"/>
    <w:rsid w:val="002E5D5B"/>
    <w:rsid w:val="002E6F00"/>
    <w:rsid w:val="002E7017"/>
    <w:rsid w:val="002E714A"/>
    <w:rsid w:val="002E77DD"/>
    <w:rsid w:val="002F0F3E"/>
    <w:rsid w:val="002F10CB"/>
    <w:rsid w:val="002F1133"/>
    <w:rsid w:val="002F1736"/>
    <w:rsid w:val="002F17C4"/>
    <w:rsid w:val="002F1B7A"/>
    <w:rsid w:val="002F1BF6"/>
    <w:rsid w:val="002F2DE5"/>
    <w:rsid w:val="002F355C"/>
    <w:rsid w:val="002F3D90"/>
    <w:rsid w:val="002F3E02"/>
    <w:rsid w:val="002F42C9"/>
    <w:rsid w:val="002F5200"/>
    <w:rsid w:val="002F528E"/>
    <w:rsid w:val="002F533A"/>
    <w:rsid w:val="002F5443"/>
    <w:rsid w:val="002F5557"/>
    <w:rsid w:val="002F55F5"/>
    <w:rsid w:val="002F561C"/>
    <w:rsid w:val="002F578B"/>
    <w:rsid w:val="002F60C6"/>
    <w:rsid w:val="002F61A9"/>
    <w:rsid w:val="002F6314"/>
    <w:rsid w:val="002F6331"/>
    <w:rsid w:val="002F68E4"/>
    <w:rsid w:val="002F712D"/>
    <w:rsid w:val="002F76FC"/>
    <w:rsid w:val="002F78B7"/>
    <w:rsid w:val="00300075"/>
    <w:rsid w:val="0030018E"/>
    <w:rsid w:val="0030032A"/>
    <w:rsid w:val="00300CB7"/>
    <w:rsid w:val="00300CB9"/>
    <w:rsid w:val="00300DD4"/>
    <w:rsid w:val="00301607"/>
    <w:rsid w:val="003016F4"/>
    <w:rsid w:val="0030190D"/>
    <w:rsid w:val="00301D91"/>
    <w:rsid w:val="00302258"/>
    <w:rsid w:val="00302B73"/>
    <w:rsid w:val="00302BDA"/>
    <w:rsid w:val="00302D83"/>
    <w:rsid w:val="00302F5F"/>
    <w:rsid w:val="003035F9"/>
    <w:rsid w:val="003038EE"/>
    <w:rsid w:val="00303CEF"/>
    <w:rsid w:val="003044BB"/>
    <w:rsid w:val="00304982"/>
    <w:rsid w:val="00304B27"/>
    <w:rsid w:val="00304D1D"/>
    <w:rsid w:val="00305193"/>
    <w:rsid w:val="003051B2"/>
    <w:rsid w:val="00305A5F"/>
    <w:rsid w:val="00305CE7"/>
    <w:rsid w:val="0030620D"/>
    <w:rsid w:val="003073AA"/>
    <w:rsid w:val="00310618"/>
    <w:rsid w:val="003114A7"/>
    <w:rsid w:val="00311698"/>
    <w:rsid w:val="003116F3"/>
    <w:rsid w:val="00311A51"/>
    <w:rsid w:val="00312518"/>
    <w:rsid w:val="00312649"/>
    <w:rsid w:val="0031264F"/>
    <w:rsid w:val="0031280D"/>
    <w:rsid w:val="00312EAA"/>
    <w:rsid w:val="0031341A"/>
    <w:rsid w:val="0031347A"/>
    <w:rsid w:val="00313760"/>
    <w:rsid w:val="00313F08"/>
    <w:rsid w:val="00315546"/>
    <w:rsid w:val="00315CE0"/>
    <w:rsid w:val="00315F60"/>
    <w:rsid w:val="00316070"/>
    <w:rsid w:val="0031658A"/>
    <w:rsid w:val="003172EF"/>
    <w:rsid w:val="00317C5F"/>
    <w:rsid w:val="00317E7F"/>
    <w:rsid w:val="00320373"/>
    <w:rsid w:val="0032069B"/>
    <w:rsid w:val="00320D58"/>
    <w:rsid w:val="00321080"/>
    <w:rsid w:val="003211E1"/>
    <w:rsid w:val="00321451"/>
    <w:rsid w:val="00321583"/>
    <w:rsid w:val="00321D60"/>
    <w:rsid w:val="00322D33"/>
    <w:rsid w:val="0032300D"/>
    <w:rsid w:val="0032304A"/>
    <w:rsid w:val="00323248"/>
    <w:rsid w:val="003243D2"/>
    <w:rsid w:val="00324E65"/>
    <w:rsid w:val="0032506F"/>
    <w:rsid w:val="003256B1"/>
    <w:rsid w:val="003256EE"/>
    <w:rsid w:val="00325F22"/>
    <w:rsid w:val="00326169"/>
    <w:rsid w:val="00326299"/>
    <w:rsid w:val="003274B4"/>
    <w:rsid w:val="00327A6B"/>
    <w:rsid w:val="00327D96"/>
    <w:rsid w:val="00330E47"/>
    <w:rsid w:val="00330F0A"/>
    <w:rsid w:val="00330FF7"/>
    <w:rsid w:val="003312C2"/>
    <w:rsid w:val="00331722"/>
    <w:rsid w:val="00331D85"/>
    <w:rsid w:val="003331A4"/>
    <w:rsid w:val="00333318"/>
    <w:rsid w:val="00333330"/>
    <w:rsid w:val="0033334C"/>
    <w:rsid w:val="00333803"/>
    <w:rsid w:val="00333D4F"/>
    <w:rsid w:val="00333DF9"/>
    <w:rsid w:val="00333EAF"/>
    <w:rsid w:val="003346C7"/>
    <w:rsid w:val="003347BB"/>
    <w:rsid w:val="00334DA3"/>
    <w:rsid w:val="00335094"/>
    <w:rsid w:val="0033520C"/>
    <w:rsid w:val="00335542"/>
    <w:rsid w:val="003359D4"/>
    <w:rsid w:val="00335B1C"/>
    <w:rsid w:val="00335BA5"/>
    <w:rsid w:val="00335D50"/>
    <w:rsid w:val="0033604D"/>
    <w:rsid w:val="0033611F"/>
    <w:rsid w:val="00336D21"/>
    <w:rsid w:val="00336D73"/>
    <w:rsid w:val="00337216"/>
    <w:rsid w:val="00337539"/>
    <w:rsid w:val="003375F9"/>
    <w:rsid w:val="003376A6"/>
    <w:rsid w:val="0034060A"/>
    <w:rsid w:val="003406C3"/>
    <w:rsid w:val="003409F2"/>
    <w:rsid w:val="00340D10"/>
    <w:rsid w:val="0034106E"/>
    <w:rsid w:val="00341406"/>
    <w:rsid w:val="003416F4"/>
    <w:rsid w:val="003416FD"/>
    <w:rsid w:val="00341831"/>
    <w:rsid w:val="00341CD4"/>
    <w:rsid w:val="00341CE1"/>
    <w:rsid w:val="00341EE1"/>
    <w:rsid w:val="00341EE6"/>
    <w:rsid w:val="003426C6"/>
    <w:rsid w:val="00343476"/>
    <w:rsid w:val="00344136"/>
    <w:rsid w:val="003445AF"/>
    <w:rsid w:val="003447F9"/>
    <w:rsid w:val="0034536E"/>
    <w:rsid w:val="003453D2"/>
    <w:rsid w:val="00345CDC"/>
    <w:rsid w:val="00345D26"/>
    <w:rsid w:val="00346380"/>
    <w:rsid w:val="00346D01"/>
    <w:rsid w:val="003471B1"/>
    <w:rsid w:val="0034790C"/>
    <w:rsid w:val="00350289"/>
    <w:rsid w:val="003505D3"/>
    <w:rsid w:val="00350E65"/>
    <w:rsid w:val="003514B0"/>
    <w:rsid w:val="00351D8A"/>
    <w:rsid w:val="00352E3F"/>
    <w:rsid w:val="00353644"/>
    <w:rsid w:val="00353E41"/>
    <w:rsid w:val="0035456D"/>
    <w:rsid w:val="00354684"/>
    <w:rsid w:val="0035586C"/>
    <w:rsid w:val="003558CB"/>
    <w:rsid w:val="00355FAD"/>
    <w:rsid w:val="00356030"/>
    <w:rsid w:val="003563BF"/>
    <w:rsid w:val="00356681"/>
    <w:rsid w:val="00356825"/>
    <w:rsid w:val="0035696E"/>
    <w:rsid w:val="00356A74"/>
    <w:rsid w:val="00356F36"/>
    <w:rsid w:val="0035757D"/>
    <w:rsid w:val="003575B3"/>
    <w:rsid w:val="00357A41"/>
    <w:rsid w:val="00357D9A"/>
    <w:rsid w:val="00357EE5"/>
    <w:rsid w:val="003601C1"/>
    <w:rsid w:val="003614D7"/>
    <w:rsid w:val="0036157F"/>
    <w:rsid w:val="00361765"/>
    <w:rsid w:val="003625C8"/>
    <w:rsid w:val="003625FB"/>
    <w:rsid w:val="00363499"/>
    <w:rsid w:val="00363BE8"/>
    <w:rsid w:val="00364319"/>
    <w:rsid w:val="00364600"/>
    <w:rsid w:val="00364655"/>
    <w:rsid w:val="00364D0E"/>
    <w:rsid w:val="00364DEC"/>
    <w:rsid w:val="00364E8E"/>
    <w:rsid w:val="0036527F"/>
    <w:rsid w:val="00365553"/>
    <w:rsid w:val="00366245"/>
    <w:rsid w:val="003663E3"/>
    <w:rsid w:val="00367187"/>
    <w:rsid w:val="00367535"/>
    <w:rsid w:val="00367595"/>
    <w:rsid w:val="003677C2"/>
    <w:rsid w:val="0037019E"/>
    <w:rsid w:val="0037024E"/>
    <w:rsid w:val="003706FE"/>
    <w:rsid w:val="00370797"/>
    <w:rsid w:val="00370B2F"/>
    <w:rsid w:val="0037162B"/>
    <w:rsid w:val="00371F43"/>
    <w:rsid w:val="00371F51"/>
    <w:rsid w:val="00371F93"/>
    <w:rsid w:val="00372009"/>
    <w:rsid w:val="003721D3"/>
    <w:rsid w:val="00372E35"/>
    <w:rsid w:val="003731C4"/>
    <w:rsid w:val="003733C6"/>
    <w:rsid w:val="00373BBA"/>
    <w:rsid w:val="00373E46"/>
    <w:rsid w:val="00374131"/>
    <w:rsid w:val="00374657"/>
    <w:rsid w:val="00374827"/>
    <w:rsid w:val="003748A8"/>
    <w:rsid w:val="003748E5"/>
    <w:rsid w:val="00374983"/>
    <w:rsid w:val="00374EE2"/>
    <w:rsid w:val="0037516E"/>
    <w:rsid w:val="00375B8E"/>
    <w:rsid w:val="00376B13"/>
    <w:rsid w:val="00376D5E"/>
    <w:rsid w:val="003773A1"/>
    <w:rsid w:val="003775FC"/>
    <w:rsid w:val="003776B2"/>
    <w:rsid w:val="003779FF"/>
    <w:rsid w:val="00377B52"/>
    <w:rsid w:val="00377D56"/>
    <w:rsid w:val="003804D8"/>
    <w:rsid w:val="003807B9"/>
    <w:rsid w:val="00380AC7"/>
    <w:rsid w:val="00380CAC"/>
    <w:rsid w:val="00380DFD"/>
    <w:rsid w:val="00381040"/>
    <w:rsid w:val="0038107F"/>
    <w:rsid w:val="00381171"/>
    <w:rsid w:val="00381B9A"/>
    <w:rsid w:val="0038214B"/>
    <w:rsid w:val="00382192"/>
    <w:rsid w:val="003821FC"/>
    <w:rsid w:val="00382658"/>
    <w:rsid w:val="003827C7"/>
    <w:rsid w:val="00382BFD"/>
    <w:rsid w:val="00383132"/>
    <w:rsid w:val="0038456D"/>
    <w:rsid w:val="00384680"/>
    <w:rsid w:val="003849CB"/>
    <w:rsid w:val="00384A44"/>
    <w:rsid w:val="00384CC7"/>
    <w:rsid w:val="00384DFB"/>
    <w:rsid w:val="0038506C"/>
    <w:rsid w:val="00385DF1"/>
    <w:rsid w:val="0038628F"/>
    <w:rsid w:val="00386464"/>
    <w:rsid w:val="00386627"/>
    <w:rsid w:val="00386A77"/>
    <w:rsid w:val="00386AD5"/>
    <w:rsid w:val="00386B56"/>
    <w:rsid w:val="00386D17"/>
    <w:rsid w:val="00387003"/>
    <w:rsid w:val="00387B23"/>
    <w:rsid w:val="003906C3"/>
    <w:rsid w:val="003906DF"/>
    <w:rsid w:val="00390B46"/>
    <w:rsid w:val="003915C4"/>
    <w:rsid w:val="00391E24"/>
    <w:rsid w:val="00391E3F"/>
    <w:rsid w:val="003923B0"/>
    <w:rsid w:val="0039241A"/>
    <w:rsid w:val="0039241D"/>
    <w:rsid w:val="0039268E"/>
    <w:rsid w:val="00392D7A"/>
    <w:rsid w:val="00392FAE"/>
    <w:rsid w:val="003935E5"/>
    <w:rsid w:val="00393D21"/>
    <w:rsid w:val="00394019"/>
    <w:rsid w:val="00394C6D"/>
    <w:rsid w:val="0039506B"/>
    <w:rsid w:val="00395393"/>
    <w:rsid w:val="00395B63"/>
    <w:rsid w:val="00395D74"/>
    <w:rsid w:val="00396309"/>
    <w:rsid w:val="003A01E3"/>
    <w:rsid w:val="003A1712"/>
    <w:rsid w:val="003A1758"/>
    <w:rsid w:val="003A1869"/>
    <w:rsid w:val="003A1A10"/>
    <w:rsid w:val="003A257C"/>
    <w:rsid w:val="003A2789"/>
    <w:rsid w:val="003A382F"/>
    <w:rsid w:val="003A567E"/>
    <w:rsid w:val="003A5890"/>
    <w:rsid w:val="003A5DDB"/>
    <w:rsid w:val="003A5F29"/>
    <w:rsid w:val="003A62A6"/>
    <w:rsid w:val="003A682B"/>
    <w:rsid w:val="003A6977"/>
    <w:rsid w:val="003A6EB3"/>
    <w:rsid w:val="003A6F90"/>
    <w:rsid w:val="003A7066"/>
    <w:rsid w:val="003A7663"/>
    <w:rsid w:val="003A77BA"/>
    <w:rsid w:val="003A7A06"/>
    <w:rsid w:val="003A7B86"/>
    <w:rsid w:val="003B009D"/>
    <w:rsid w:val="003B0AB1"/>
    <w:rsid w:val="003B0D43"/>
    <w:rsid w:val="003B0EFE"/>
    <w:rsid w:val="003B10EB"/>
    <w:rsid w:val="003B14A8"/>
    <w:rsid w:val="003B1E0E"/>
    <w:rsid w:val="003B2127"/>
    <w:rsid w:val="003B219C"/>
    <w:rsid w:val="003B2366"/>
    <w:rsid w:val="003B2444"/>
    <w:rsid w:val="003B24D9"/>
    <w:rsid w:val="003B2ACA"/>
    <w:rsid w:val="003B30C1"/>
    <w:rsid w:val="003B350C"/>
    <w:rsid w:val="003B3F0A"/>
    <w:rsid w:val="003B3FB1"/>
    <w:rsid w:val="003B4645"/>
    <w:rsid w:val="003B4ACE"/>
    <w:rsid w:val="003B4B82"/>
    <w:rsid w:val="003B4BA0"/>
    <w:rsid w:val="003B5259"/>
    <w:rsid w:val="003B536F"/>
    <w:rsid w:val="003B55F4"/>
    <w:rsid w:val="003B58EA"/>
    <w:rsid w:val="003B5A2D"/>
    <w:rsid w:val="003B5E1F"/>
    <w:rsid w:val="003B6B86"/>
    <w:rsid w:val="003B6F42"/>
    <w:rsid w:val="003B7246"/>
    <w:rsid w:val="003B7586"/>
    <w:rsid w:val="003B75B1"/>
    <w:rsid w:val="003C0A2D"/>
    <w:rsid w:val="003C0CAF"/>
    <w:rsid w:val="003C0D07"/>
    <w:rsid w:val="003C0FD0"/>
    <w:rsid w:val="003C11C4"/>
    <w:rsid w:val="003C1F8B"/>
    <w:rsid w:val="003C2440"/>
    <w:rsid w:val="003C261C"/>
    <w:rsid w:val="003C2940"/>
    <w:rsid w:val="003C2AAE"/>
    <w:rsid w:val="003C2BDA"/>
    <w:rsid w:val="003C3698"/>
    <w:rsid w:val="003C3798"/>
    <w:rsid w:val="003C37D7"/>
    <w:rsid w:val="003C3877"/>
    <w:rsid w:val="003C3CCF"/>
    <w:rsid w:val="003C4199"/>
    <w:rsid w:val="003C44A1"/>
    <w:rsid w:val="003C473D"/>
    <w:rsid w:val="003C4A83"/>
    <w:rsid w:val="003C4BAA"/>
    <w:rsid w:val="003C4BB2"/>
    <w:rsid w:val="003C5D23"/>
    <w:rsid w:val="003C6287"/>
    <w:rsid w:val="003C674F"/>
    <w:rsid w:val="003C677F"/>
    <w:rsid w:val="003C6965"/>
    <w:rsid w:val="003C6A08"/>
    <w:rsid w:val="003C6B60"/>
    <w:rsid w:val="003C6E06"/>
    <w:rsid w:val="003C755D"/>
    <w:rsid w:val="003C7DE4"/>
    <w:rsid w:val="003D026F"/>
    <w:rsid w:val="003D08D2"/>
    <w:rsid w:val="003D0A1E"/>
    <w:rsid w:val="003D1230"/>
    <w:rsid w:val="003D1F9D"/>
    <w:rsid w:val="003D20C2"/>
    <w:rsid w:val="003D2700"/>
    <w:rsid w:val="003D2702"/>
    <w:rsid w:val="003D2BFD"/>
    <w:rsid w:val="003D3D18"/>
    <w:rsid w:val="003D4097"/>
    <w:rsid w:val="003D41CF"/>
    <w:rsid w:val="003D4426"/>
    <w:rsid w:val="003D4A88"/>
    <w:rsid w:val="003D5199"/>
    <w:rsid w:val="003D54E0"/>
    <w:rsid w:val="003D56BC"/>
    <w:rsid w:val="003D5756"/>
    <w:rsid w:val="003D6215"/>
    <w:rsid w:val="003D62D6"/>
    <w:rsid w:val="003D6579"/>
    <w:rsid w:val="003D6599"/>
    <w:rsid w:val="003D6A95"/>
    <w:rsid w:val="003D6C0B"/>
    <w:rsid w:val="003D716E"/>
    <w:rsid w:val="003D71B3"/>
    <w:rsid w:val="003D73AF"/>
    <w:rsid w:val="003D73DB"/>
    <w:rsid w:val="003D7602"/>
    <w:rsid w:val="003D7628"/>
    <w:rsid w:val="003D76B5"/>
    <w:rsid w:val="003D795B"/>
    <w:rsid w:val="003D7E02"/>
    <w:rsid w:val="003D7F37"/>
    <w:rsid w:val="003E054E"/>
    <w:rsid w:val="003E06A9"/>
    <w:rsid w:val="003E0873"/>
    <w:rsid w:val="003E1710"/>
    <w:rsid w:val="003E1F95"/>
    <w:rsid w:val="003E1FD4"/>
    <w:rsid w:val="003E2093"/>
    <w:rsid w:val="003E25F3"/>
    <w:rsid w:val="003E2E74"/>
    <w:rsid w:val="003E2FE5"/>
    <w:rsid w:val="003E32E7"/>
    <w:rsid w:val="003E339F"/>
    <w:rsid w:val="003E3508"/>
    <w:rsid w:val="003E3E5C"/>
    <w:rsid w:val="003E43DD"/>
    <w:rsid w:val="003E4577"/>
    <w:rsid w:val="003E49E2"/>
    <w:rsid w:val="003E4DDE"/>
    <w:rsid w:val="003E55A0"/>
    <w:rsid w:val="003E5746"/>
    <w:rsid w:val="003E58AD"/>
    <w:rsid w:val="003E5EA8"/>
    <w:rsid w:val="003E5FC9"/>
    <w:rsid w:val="003E62E9"/>
    <w:rsid w:val="003E64BD"/>
    <w:rsid w:val="003E65E7"/>
    <w:rsid w:val="003E6690"/>
    <w:rsid w:val="003E66E5"/>
    <w:rsid w:val="003E68F1"/>
    <w:rsid w:val="003E6F5E"/>
    <w:rsid w:val="003E7111"/>
    <w:rsid w:val="003E72BF"/>
    <w:rsid w:val="003E7A54"/>
    <w:rsid w:val="003E7B25"/>
    <w:rsid w:val="003F03A4"/>
    <w:rsid w:val="003F0541"/>
    <w:rsid w:val="003F077D"/>
    <w:rsid w:val="003F08C5"/>
    <w:rsid w:val="003F0CDA"/>
    <w:rsid w:val="003F1587"/>
    <w:rsid w:val="003F1774"/>
    <w:rsid w:val="003F1784"/>
    <w:rsid w:val="003F198C"/>
    <w:rsid w:val="003F1C94"/>
    <w:rsid w:val="003F1F3C"/>
    <w:rsid w:val="003F2343"/>
    <w:rsid w:val="003F253B"/>
    <w:rsid w:val="003F35B9"/>
    <w:rsid w:val="003F39B1"/>
    <w:rsid w:val="003F3CA6"/>
    <w:rsid w:val="003F4243"/>
    <w:rsid w:val="003F4330"/>
    <w:rsid w:val="003F4444"/>
    <w:rsid w:val="003F44FE"/>
    <w:rsid w:val="003F4995"/>
    <w:rsid w:val="003F4D56"/>
    <w:rsid w:val="003F530B"/>
    <w:rsid w:val="003F5C6C"/>
    <w:rsid w:val="003F5C80"/>
    <w:rsid w:val="003F5D37"/>
    <w:rsid w:val="003F5D60"/>
    <w:rsid w:val="003F5FED"/>
    <w:rsid w:val="003F6351"/>
    <w:rsid w:val="003F66C8"/>
    <w:rsid w:val="003F68CF"/>
    <w:rsid w:val="003F6D4E"/>
    <w:rsid w:val="003F73AF"/>
    <w:rsid w:val="00400091"/>
    <w:rsid w:val="00400873"/>
    <w:rsid w:val="004009AF"/>
    <w:rsid w:val="00400C00"/>
    <w:rsid w:val="00400EB7"/>
    <w:rsid w:val="004015B7"/>
    <w:rsid w:val="004016CC"/>
    <w:rsid w:val="00401D02"/>
    <w:rsid w:val="004025C2"/>
    <w:rsid w:val="004026DE"/>
    <w:rsid w:val="00402D9C"/>
    <w:rsid w:val="00403199"/>
    <w:rsid w:val="00403645"/>
    <w:rsid w:val="00403B1F"/>
    <w:rsid w:val="00404428"/>
    <w:rsid w:val="004046B3"/>
    <w:rsid w:val="004046F8"/>
    <w:rsid w:val="00404AEB"/>
    <w:rsid w:val="00405815"/>
    <w:rsid w:val="00405939"/>
    <w:rsid w:val="004059B9"/>
    <w:rsid w:val="00405D6B"/>
    <w:rsid w:val="0040671D"/>
    <w:rsid w:val="00406FBD"/>
    <w:rsid w:val="00407072"/>
    <w:rsid w:val="00407081"/>
    <w:rsid w:val="004071C0"/>
    <w:rsid w:val="00407874"/>
    <w:rsid w:val="0040797B"/>
    <w:rsid w:val="00407B07"/>
    <w:rsid w:val="00407BEB"/>
    <w:rsid w:val="004108E5"/>
    <w:rsid w:val="00410AA0"/>
    <w:rsid w:val="0041139F"/>
    <w:rsid w:val="00411498"/>
    <w:rsid w:val="004117D9"/>
    <w:rsid w:val="00411A0F"/>
    <w:rsid w:val="00411C57"/>
    <w:rsid w:val="00411CE0"/>
    <w:rsid w:val="00412CB3"/>
    <w:rsid w:val="0041319D"/>
    <w:rsid w:val="004146E2"/>
    <w:rsid w:val="00414F1F"/>
    <w:rsid w:val="00415BEA"/>
    <w:rsid w:val="00415DE7"/>
    <w:rsid w:val="00415F39"/>
    <w:rsid w:val="00416533"/>
    <w:rsid w:val="00416AF9"/>
    <w:rsid w:val="004170A4"/>
    <w:rsid w:val="004175D0"/>
    <w:rsid w:val="00417725"/>
    <w:rsid w:val="00417CD7"/>
    <w:rsid w:val="00417EB7"/>
    <w:rsid w:val="00420A2E"/>
    <w:rsid w:val="00421232"/>
    <w:rsid w:val="00421C30"/>
    <w:rsid w:val="00421D5E"/>
    <w:rsid w:val="00422208"/>
    <w:rsid w:val="00422907"/>
    <w:rsid w:val="00422DBF"/>
    <w:rsid w:val="004231CC"/>
    <w:rsid w:val="004234EF"/>
    <w:rsid w:val="004236BF"/>
    <w:rsid w:val="00423896"/>
    <w:rsid w:val="0042490A"/>
    <w:rsid w:val="0042490F"/>
    <w:rsid w:val="00424A45"/>
    <w:rsid w:val="00424B15"/>
    <w:rsid w:val="00424E22"/>
    <w:rsid w:val="0042513A"/>
    <w:rsid w:val="00425D8C"/>
    <w:rsid w:val="00425F62"/>
    <w:rsid w:val="00427553"/>
    <w:rsid w:val="00427633"/>
    <w:rsid w:val="004277BB"/>
    <w:rsid w:val="004278E3"/>
    <w:rsid w:val="00427F50"/>
    <w:rsid w:val="0043035C"/>
    <w:rsid w:val="00430870"/>
    <w:rsid w:val="00430C0F"/>
    <w:rsid w:val="00431439"/>
    <w:rsid w:val="004317C8"/>
    <w:rsid w:val="00431B03"/>
    <w:rsid w:val="00431CC2"/>
    <w:rsid w:val="00431EB5"/>
    <w:rsid w:val="004321C3"/>
    <w:rsid w:val="004323E7"/>
    <w:rsid w:val="004325CB"/>
    <w:rsid w:val="004325E4"/>
    <w:rsid w:val="00432646"/>
    <w:rsid w:val="00432AC5"/>
    <w:rsid w:val="00432E69"/>
    <w:rsid w:val="00433171"/>
    <w:rsid w:val="00433F10"/>
    <w:rsid w:val="00434510"/>
    <w:rsid w:val="0043497A"/>
    <w:rsid w:val="00434E65"/>
    <w:rsid w:val="00434FC5"/>
    <w:rsid w:val="0043568D"/>
    <w:rsid w:val="004356E4"/>
    <w:rsid w:val="00435BDB"/>
    <w:rsid w:val="00435D7A"/>
    <w:rsid w:val="00436011"/>
    <w:rsid w:val="004367E1"/>
    <w:rsid w:val="0043707F"/>
    <w:rsid w:val="00437717"/>
    <w:rsid w:val="0043797E"/>
    <w:rsid w:val="00437A95"/>
    <w:rsid w:val="00437D15"/>
    <w:rsid w:val="00440183"/>
    <w:rsid w:val="00440528"/>
    <w:rsid w:val="00440A45"/>
    <w:rsid w:val="00440D89"/>
    <w:rsid w:val="00440ED6"/>
    <w:rsid w:val="0044162C"/>
    <w:rsid w:val="00441826"/>
    <w:rsid w:val="0044195F"/>
    <w:rsid w:val="00441C74"/>
    <w:rsid w:val="0044289D"/>
    <w:rsid w:val="004436BD"/>
    <w:rsid w:val="00443A0B"/>
    <w:rsid w:val="00443A0F"/>
    <w:rsid w:val="00443FA9"/>
    <w:rsid w:val="0044490C"/>
    <w:rsid w:val="0044494C"/>
    <w:rsid w:val="0044498D"/>
    <w:rsid w:val="00444A01"/>
    <w:rsid w:val="00445BDA"/>
    <w:rsid w:val="00446D17"/>
    <w:rsid w:val="0044756A"/>
    <w:rsid w:val="004476DD"/>
    <w:rsid w:val="00447F8F"/>
    <w:rsid w:val="004500A3"/>
    <w:rsid w:val="004502DA"/>
    <w:rsid w:val="00450DD8"/>
    <w:rsid w:val="004511FC"/>
    <w:rsid w:val="0045137E"/>
    <w:rsid w:val="00451B60"/>
    <w:rsid w:val="00451D27"/>
    <w:rsid w:val="004522AE"/>
    <w:rsid w:val="00452413"/>
    <w:rsid w:val="0045281E"/>
    <w:rsid w:val="004529AA"/>
    <w:rsid w:val="004529E9"/>
    <w:rsid w:val="00452FD0"/>
    <w:rsid w:val="004530B8"/>
    <w:rsid w:val="004539D2"/>
    <w:rsid w:val="00453F28"/>
    <w:rsid w:val="00454D37"/>
    <w:rsid w:val="00454D86"/>
    <w:rsid w:val="0045513B"/>
    <w:rsid w:val="00455242"/>
    <w:rsid w:val="004559C7"/>
    <w:rsid w:val="0045613F"/>
    <w:rsid w:val="00456C53"/>
    <w:rsid w:val="00456DB2"/>
    <w:rsid w:val="00457162"/>
    <w:rsid w:val="004572E2"/>
    <w:rsid w:val="00457704"/>
    <w:rsid w:val="0045775A"/>
    <w:rsid w:val="00457C0E"/>
    <w:rsid w:val="00457D59"/>
    <w:rsid w:val="004601E0"/>
    <w:rsid w:val="00460AC4"/>
    <w:rsid w:val="00461A07"/>
    <w:rsid w:val="00461FF9"/>
    <w:rsid w:val="004627C9"/>
    <w:rsid w:val="00462CCF"/>
    <w:rsid w:val="00463030"/>
    <w:rsid w:val="00463A68"/>
    <w:rsid w:val="00463ECA"/>
    <w:rsid w:val="00464752"/>
    <w:rsid w:val="00464D34"/>
    <w:rsid w:val="00465A23"/>
    <w:rsid w:val="004665A1"/>
    <w:rsid w:val="00466A38"/>
    <w:rsid w:val="00466C07"/>
    <w:rsid w:val="00466F4B"/>
    <w:rsid w:val="00467054"/>
    <w:rsid w:val="00467218"/>
    <w:rsid w:val="00467C9C"/>
    <w:rsid w:val="00470C1E"/>
    <w:rsid w:val="00470E46"/>
    <w:rsid w:val="00471353"/>
    <w:rsid w:val="004713F1"/>
    <w:rsid w:val="0047160E"/>
    <w:rsid w:val="00471C7C"/>
    <w:rsid w:val="0047212E"/>
    <w:rsid w:val="004721B9"/>
    <w:rsid w:val="00473031"/>
    <w:rsid w:val="0047337F"/>
    <w:rsid w:val="004735EE"/>
    <w:rsid w:val="004736A2"/>
    <w:rsid w:val="00473A59"/>
    <w:rsid w:val="00473D8E"/>
    <w:rsid w:val="00474157"/>
    <w:rsid w:val="00474325"/>
    <w:rsid w:val="00474C3C"/>
    <w:rsid w:val="00474EB2"/>
    <w:rsid w:val="00475BE9"/>
    <w:rsid w:val="00475DBC"/>
    <w:rsid w:val="004760AD"/>
    <w:rsid w:val="00476AD7"/>
    <w:rsid w:val="0047749F"/>
    <w:rsid w:val="00477510"/>
    <w:rsid w:val="00477C56"/>
    <w:rsid w:val="0048023C"/>
    <w:rsid w:val="00480472"/>
    <w:rsid w:val="00480A45"/>
    <w:rsid w:val="00480BE3"/>
    <w:rsid w:val="004816F4"/>
    <w:rsid w:val="00481979"/>
    <w:rsid w:val="00482738"/>
    <w:rsid w:val="00482F81"/>
    <w:rsid w:val="0048398A"/>
    <w:rsid w:val="004842B9"/>
    <w:rsid w:val="004846D4"/>
    <w:rsid w:val="004857FB"/>
    <w:rsid w:val="00486571"/>
    <w:rsid w:val="00486865"/>
    <w:rsid w:val="004869F5"/>
    <w:rsid w:val="00486F81"/>
    <w:rsid w:val="004871FB"/>
    <w:rsid w:val="0049005D"/>
    <w:rsid w:val="004908EC"/>
    <w:rsid w:val="00490DAA"/>
    <w:rsid w:val="00490DE1"/>
    <w:rsid w:val="004911DB"/>
    <w:rsid w:val="004913CA"/>
    <w:rsid w:val="00491400"/>
    <w:rsid w:val="0049231C"/>
    <w:rsid w:val="00492608"/>
    <w:rsid w:val="00492B04"/>
    <w:rsid w:val="00493138"/>
    <w:rsid w:val="004931AB"/>
    <w:rsid w:val="00494322"/>
    <w:rsid w:val="0049446D"/>
    <w:rsid w:val="0049470D"/>
    <w:rsid w:val="00494822"/>
    <w:rsid w:val="00494B70"/>
    <w:rsid w:val="00494CF8"/>
    <w:rsid w:val="00495A55"/>
    <w:rsid w:val="00496275"/>
    <w:rsid w:val="00496634"/>
    <w:rsid w:val="00496738"/>
    <w:rsid w:val="0049683A"/>
    <w:rsid w:val="00496ABF"/>
    <w:rsid w:val="00496B3A"/>
    <w:rsid w:val="0049793F"/>
    <w:rsid w:val="00497FC8"/>
    <w:rsid w:val="004A01D4"/>
    <w:rsid w:val="004A01E5"/>
    <w:rsid w:val="004A06E7"/>
    <w:rsid w:val="004A0DE7"/>
    <w:rsid w:val="004A10FF"/>
    <w:rsid w:val="004A12DD"/>
    <w:rsid w:val="004A1472"/>
    <w:rsid w:val="004A16A3"/>
    <w:rsid w:val="004A1853"/>
    <w:rsid w:val="004A1F15"/>
    <w:rsid w:val="004A2024"/>
    <w:rsid w:val="004A23CC"/>
    <w:rsid w:val="004A28D5"/>
    <w:rsid w:val="004A3277"/>
    <w:rsid w:val="004A3768"/>
    <w:rsid w:val="004A3AF8"/>
    <w:rsid w:val="004A3D5A"/>
    <w:rsid w:val="004A4137"/>
    <w:rsid w:val="004A4337"/>
    <w:rsid w:val="004A450E"/>
    <w:rsid w:val="004A4BCE"/>
    <w:rsid w:val="004A5015"/>
    <w:rsid w:val="004A5286"/>
    <w:rsid w:val="004A54B5"/>
    <w:rsid w:val="004A5A37"/>
    <w:rsid w:val="004A5FB7"/>
    <w:rsid w:val="004A65D2"/>
    <w:rsid w:val="004A70CA"/>
    <w:rsid w:val="004A7446"/>
    <w:rsid w:val="004A745D"/>
    <w:rsid w:val="004A7744"/>
    <w:rsid w:val="004A7782"/>
    <w:rsid w:val="004A7EBF"/>
    <w:rsid w:val="004B07AE"/>
    <w:rsid w:val="004B0F39"/>
    <w:rsid w:val="004B22A8"/>
    <w:rsid w:val="004B22BA"/>
    <w:rsid w:val="004B24DD"/>
    <w:rsid w:val="004B2785"/>
    <w:rsid w:val="004B2A10"/>
    <w:rsid w:val="004B2AE7"/>
    <w:rsid w:val="004B2D72"/>
    <w:rsid w:val="004B2F2F"/>
    <w:rsid w:val="004B327B"/>
    <w:rsid w:val="004B37AF"/>
    <w:rsid w:val="004B3906"/>
    <w:rsid w:val="004B3A77"/>
    <w:rsid w:val="004B3EB7"/>
    <w:rsid w:val="004B40F6"/>
    <w:rsid w:val="004B411F"/>
    <w:rsid w:val="004B48CF"/>
    <w:rsid w:val="004B4CFF"/>
    <w:rsid w:val="004B4EB4"/>
    <w:rsid w:val="004B5172"/>
    <w:rsid w:val="004B51A4"/>
    <w:rsid w:val="004B53CE"/>
    <w:rsid w:val="004B53F6"/>
    <w:rsid w:val="004B5918"/>
    <w:rsid w:val="004B5996"/>
    <w:rsid w:val="004B5F6C"/>
    <w:rsid w:val="004B60C4"/>
    <w:rsid w:val="004B6180"/>
    <w:rsid w:val="004B6355"/>
    <w:rsid w:val="004B6A1C"/>
    <w:rsid w:val="004B6AF9"/>
    <w:rsid w:val="004B70C4"/>
    <w:rsid w:val="004B7127"/>
    <w:rsid w:val="004B732D"/>
    <w:rsid w:val="004B7344"/>
    <w:rsid w:val="004B7AD1"/>
    <w:rsid w:val="004B7B65"/>
    <w:rsid w:val="004C00DC"/>
    <w:rsid w:val="004C01A4"/>
    <w:rsid w:val="004C02E1"/>
    <w:rsid w:val="004C07EB"/>
    <w:rsid w:val="004C0D36"/>
    <w:rsid w:val="004C1996"/>
    <w:rsid w:val="004C1A5C"/>
    <w:rsid w:val="004C27DE"/>
    <w:rsid w:val="004C2EFD"/>
    <w:rsid w:val="004C3579"/>
    <w:rsid w:val="004C3941"/>
    <w:rsid w:val="004C3EB0"/>
    <w:rsid w:val="004C4266"/>
    <w:rsid w:val="004C4624"/>
    <w:rsid w:val="004C4A67"/>
    <w:rsid w:val="004C4ABE"/>
    <w:rsid w:val="004C5461"/>
    <w:rsid w:val="004C55D8"/>
    <w:rsid w:val="004C5E67"/>
    <w:rsid w:val="004C6098"/>
    <w:rsid w:val="004C61FF"/>
    <w:rsid w:val="004C65B8"/>
    <w:rsid w:val="004C70DA"/>
    <w:rsid w:val="004D03EA"/>
    <w:rsid w:val="004D0D96"/>
    <w:rsid w:val="004D1223"/>
    <w:rsid w:val="004D1744"/>
    <w:rsid w:val="004D1B5A"/>
    <w:rsid w:val="004D208E"/>
    <w:rsid w:val="004D2803"/>
    <w:rsid w:val="004D2D44"/>
    <w:rsid w:val="004D310A"/>
    <w:rsid w:val="004D3257"/>
    <w:rsid w:val="004D35E2"/>
    <w:rsid w:val="004D4160"/>
    <w:rsid w:val="004D4706"/>
    <w:rsid w:val="004D476E"/>
    <w:rsid w:val="004D48BC"/>
    <w:rsid w:val="004D5332"/>
    <w:rsid w:val="004D55FD"/>
    <w:rsid w:val="004D5B47"/>
    <w:rsid w:val="004D63D6"/>
    <w:rsid w:val="004D6A5C"/>
    <w:rsid w:val="004D6DB4"/>
    <w:rsid w:val="004D6DF8"/>
    <w:rsid w:val="004D6EB4"/>
    <w:rsid w:val="004D74E7"/>
    <w:rsid w:val="004D776F"/>
    <w:rsid w:val="004E0743"/>
    <w:rsid w:val="004E0BA3"/>
    <w:rsid w:val="004E0E1A"/>
    <w:rsid w:val="004E0F86"/>
    <w:rsid w:val="004E1020"/>
    <w:rsid w:val="004E1143"/>
    <w:rsid w:val="004E20D2"/>
    <w:rsid w:val="004E258F"/>
    <w:rsid w:val="004E2ACC"/>
    <w:rsid w:val="004E2CA9"/>
    <w:rsid w:val="004E3037"/>
    <w:rsid w:val="004E3077"/>
    <w:rsid w:val="004E30F8"/>
    <w:rsid w:val="004E31C8"/>
    <w:rsid w:val="004E3848"/>
    <w:rsid w:val="004E3C0F"/>
    <w:rsid w:val="004E3CF9"/>
    <w:rsid w:val="004E4219"/>
    <w:rsid w:val="004E4E70"/>
    <w:rsid w:val="004E4FF0"/>
    <w:rsid w:val="004E5739"/>
    <w:rsid w:val="004E58AC"/>
    <w:rsid w:val="004E5A10"/>
    <w:rsid w:val="004E622A"/>
    <w:rsid w:val="004E65FE"/>
    <w:rsid w:val="004E6BE6"/>
    <w:rsid w:val="004E7248"/>
    <w:rsid w:val="004E7E71"/>
    <w:rsid w:val="004F078B"/>
    <w:rsid w:val="004F0B41"/>
    <w:rsid w:val="004F1283"/>
    <w:rsid w:val="004F168E"/>
    <w:rsid w:val="004F1A18"/>
    <w:rsid w:val="004F1C00"/>
    <w:rsid w:val="004F232A"/>
    <w:rsid w:val="004F32C6"/>
    <w:rsid w:val="004F330C"/>
    <w:rsid w:val="004F33C0"/>
    <w:rsid w:val="004F358D"/>
    <w:rsid w:val="004F35C7"/>
    <w:rsid w:val="004F3DFE"/>
    <w:rsid w:val="004F4028"/>
    <w:rsid w:val="004F4633"/>
    <w:rsid w:val="004F46B3"/>
    <w:rsid w:val="004F47C0"/>
    <w:rsid w:val="004F4999"/>
    <w:rsid w:val="004F499C"/>
    <w:rsid w:val="004F4A4C"/>
    <w:rsid w:val="004F4D5B"/>
    <w:rsid w:val="004F565A"/>
    <w:rsid w:val="004F567A"/>
    <w:rsid w:val="004F5BC4"/>
    <w:rsid w:val="004F5F28"/>
    <w:rsid w:val="004F61C6"/>
    <w:rsid w:val="004F6296"/>
    <w:rsid w:val="004F6616"/>
    <w:rsid w:val="004F677B"/>
    <w:rsid w:val="004F68C0"/>
    <w:rsid w:val="004F6A7A"/>
    <w:rsid w:val="004F73F8"/>
    <w:rsid w:val="004F7A88"/>
    <w:rsid w:val="004F7CF8"/>
    <w:rsid w:val="00500623"/>
    <w:rsid w:val="00500675"/>
    <w:rsid w:val="005011C5"/>
    <w:rsid w:val="005016B2"/>
    <w:rsid w:val="005018A5"/>
    <w:rsid w:val="005018A9"/>
    <w:rsid w:val="00501AB0"/>
    <w:rsid w:val="005020E2"/>
    <w:rsid w:val="005022F6"/>
    <w:rsid w:val="00502D6D"/>
    <w:rsid w:val="00502DE9"/>
    <w:rsid w:val="005030AC"/>
    <w:rsid w:val="00503368"/>
    <w:rsid w:val="005039FB"/>
    <w:rsid w:val="00503D05"/>
    <w:rsid w:val="00504187"/>
    <w:rsid w:val="00504450"/>
    <w:rsid w:val="005044FE"/>
    <w:rsid w:val="0050455A"/>
    <w:rsid w:val="005046CA"/>
    <w:rsid w:val="00505215"/>
    <w:rsid w:val="005057FE"/>
    <w:rsid w:val="00505AB0"/>
    <w:rsid w:val="00505B36"/>
    <w:rsid w:val="00505C0B"/>
    <w:rsid w:val="00506012"/>
    <w:rsid w:val="00506203"/>
    <w:rsid w:val="00507F26"/>
    <w:rsid w:val="00510245"/>
    <w:rsid w:val="005103F5"/>
    <w:rsid w:val="00510DF9"/>
    <w:rsid w:val="005118FE"/>
    <w:rsid w:val="005122B2"/>
    <w:rsid w:val="005123AC"/>
    <w:rsid w:val="0051281A"/>
    <w:rsid w:val="00512A48"/>
    <w:rsid w:val="00512BFC"/>
    <w:rsid w:val="00513A97"/>
    <w:rsid w:val="0051413C"/>
    <w:rsid w:val="00514D06"/>
    <w:rsid w:val="005153E5"/>
    <w:rsid w:val="00515487"/>
    <w:rsid w:val="00515C73"/>
    <w:rsid w:val="00515DD4"/>
    <w:rsid w:val="00515E6C"/>
    <w:rsid w:val="005164EA"/>
    <w:rsid w:val="00516BE3"/>
    <w:rsid w:val="0051767B"/>
    <w:rsid w:val="00520170"/>
    <w:rsid w:val="00520365"/>
    <w:rsid w:val="005212A5"/>
    <w:rsid w:val="0052151C"/>
    <w:rsid w:val="00521A3A"/>
    <w:rsid w:val="00521C22"/>
    <w:rsid w:val="00521F0C"/>
    <w:rsid w:val="00522204"/>
    <w:rsid w:val="005231B0"/>
    <w:rsid w:val="00523D40"/>
    <w:rsid w:val="00524477"/>
    <w:rsid w:val="005244FD"/>
    <w:rsid w:val="005246C4"/>
    <w:rsid w:val="00524843"/>
    <w:rsid w:val="00524D6A"/>
    <w:rsid w:val="00524E76"/>
    <w:rsid w:val="00525100"/>
    <w:rsid w:val="00525430"/>
    <w:rsid w:val="00525D05"/>
    <w:rsid w:val="00525F1D"/>
    <w:rsid w:val="00526D8F"/>
    <w:rsid w:val="0052763A"/>
    <w:rsid w:val="005301F2"/>
    <w:rsid w:val="005302BF"/>
    <w:rsid w:val="005309F1"/>
    <w:rsid w:val="00530A1E"/>
    <w:rsid w:val="00531233"/>
    <w:rsid w:val="00531555"/>
    <w:rsid w:val="005320CF"/>
    <w:rsid w:val="00532C7E"/>
    <w:rsid w:val="00532FF9"/>
    <w:rsid w:val="00533633"/>
    <w:rsid w:val="005341B9"/>
    <w:rsid w:val="00534456"/>
    <w:rsid w:val="005345B1"/>
    <w:rsid w:val="0053497D"/>
    <w:rsid w:val="00534AB3"/>
    <w:rsid w:val="00534EAF"/>
    <w:rsid w:val="005352A8"/>
    <w:rsid w:val="00535BCC"/>
    <w:rsid w:val="00535D00"/>
    <w:rsid w:val="00535E7A"/>
    <w:rsid w:val="00535F6D"/>
    <w:rsid w:val="00536726"/>
    <w:rsid w:val="00536DDB"/>
    <w:rsid w:val="00540048"/>
    <w:rsid w:val="005400ED"/>
    <w:rsid w:val="00540286"/>
    <w:rsid w:val="00540356"/>
    <w:rsid w:val="00540933"/>
    <w:rsid w:val="00540B21"/>
    <w:rsid w:val="0054100C"/>
    <w:rsid w:val="005410D0"/>
    <w:rsid w:val="00541273"/>
    <w:rsid w:val="005419CF"/>
    <w:rsid w:val="00541A08"/>
    <w:rsid w:val="00541CF5"/>
    <w:rsid w:val="00541D40"/>
    <w:rsid w:val="00542067"/>
    <w:rsid w:val="005424DC"/>
    <w:rsid w:val="00542808"/>
    <w:rsid w:val="00542BA4"/>
    <w:rsid w:val="00543123"/>
    <w:rsid w:val="005433FC"/>
    <w:rsid w:val="005435AC"/>
    <w:rsid w:val="00543A7F"/>
    <w:rsid w:val="00543AD8"/>
    <w:rsid w:val="00543D9F"/>
    <w:rsid w:val="00544083"/>
    <w:rsid w:val="00544ECE"/>
    <w:rsid w:val="00545754"/>
    <w:rsid w:val="0054667C"/>
    <w:rsid w:val="005467D8"/>
    <w:rsid w:val="00547385"/>
    <w:rsid w:val="005475C5"/>
    <w:rsid w:val="00547994"/>
    <w:rsid w:val="00547CAD"/>
    <w:rsid w:val="00547CF8"/>
    <w:rsid w:val="00551376"/>
    <w:rsid w:val="00551728"/>
    <w:rsid w:val="00551878"/>
    <w:rsid w:val="00551926"/>
    <w:rsid w:val="00551C60"/>
    <w:rsid w:val="0055236B"/>
    <w:rsid w:val="005526F7"/>
    <w:rsid w:val="00552E0E"/>
    <w:rsid w:val="00552FD6"/>
    <w:rsid w:val="005538CF"/>
    <w:rsid w:val="00553A34"/>
    <w:rsid w:val="00554793"/>
    <w:rsid w:val="00554A9F"/>
    <w:rsid w:val="00554E94"/>
    <w:rsid w:val="00556105"/>
    <w:rsid w:val="0055612E"/>
    <w:rsid w:val="00556D3A"/>
    <w:rsid w:val="005574AD"/>
    <w:rsid w:val="005574FC"/>
    <w:rsid w:val="0055766B"/>
    <w:rsid w:val="005578B8"/>
    <w:rsid w:val="00557F79"/>
    <w:rsid w:val="005600D3"/>
    <w:rsid w:val="005604D3"/>
    <w:rsid w:val="00560EA8"/>
    <w:rsid w:val="00561DA3"/>
    <w:rsid w:val="00562362"/>
    <w:rsid w:val="00562981"/>
    <w:rsid w:val="00562F61"/>
    <w:rsid w:val="005630AF"/>
    <w:rsid w:val="005630D8"/>
    <w:rsid w:val="005636B2"/>
    <w:rsid w:val="005639B8"/>
    <w:rsid w:val="00563B7C"/>
    <w:rsid w:val="005643E3"/>
    <w:rsid w:val="0056446E"/>
    <w:rsid w:val="00564518"/>
    <w:rsid w:val="00564A1F"/>
    <w:rsid w:val="00564D71"/>
    <w:rsid w:val="00564E0D"/>
    <w:rsid w:val="005651EC"/>
    <w:rsid w:val="0056549F"/>
    <w:rsid w:val="00566070"/>
    <w:rsid w:val="005660E0"/>
    <w:rsid w:val="005662C1"/>
    <w:rsid w:val="00566F3E"/>
    <w:rsid w:val="005673D7"/>
    <w:rsid w:val="005703E4"/>
    <w:rsid w:val="005706D0"/>
    <w:rsid w:val="00570776"/>
    <w:rsid w:val="00570CCC"/>
    <w:rsid w:val="00571083"/>
    <w:rsid w:val="005711B1"/>
    <w:rsid w:val="0057120A"/>
    <w:rsid w:val="005716D0"/>
    <w:rsid w:val="005719AD"/>
    <w:rsid w:val="00571BE8"/>
    <w:rsid w:val="0057237A"/>
    <w:rsid w:val="005725BE"/>
    <w:rsid w:val="00572E47"/>
    <w:rsid w:val="00573397"/>
    <w:rsid w:val="00573A0C"/>
    <w:rsid w:val="00574202"/>
    <w:rsid w:val="00574263"/>
    <w:rsid w:val="005748E0"/>
    <w:rsid w:val="00574B62"/>
    <w:rsid w:val="00575152"/>
    <w:rsid w:val="0057521D"/>
    <w:rsid w:val="00575EA4"/>
    <w:rsid w:val="00575F17"/>
    <w:rsid w:val="00575FB8"/>
    <w:rsid w:val="005769E2"/>
    <w:rsid w:val="00576F3D"/>
    <w:rsid w:val="00577050"/>
    <w:rsid w:val="0057786E"/>
    <w:rsid w:val="005800D7"/>
    <w:rsid w:val="00580186"/>
    <w:rsid w:val="00580ADA"/>
    <w:rsid w:val="00581FA2"/>
    <w:rsid w:val="00582742"/>
    <w:rsid w:val="00582DA5"/>
    <w:rsid w:val="00582E6B"/>
    <w:rsid w:val="00582ECF"/>
    <w:rsid w:val="00583BC8"/>
    <w:rsid w:val="00583E92"/>
    <w:rsid w:val="00583FA0"/>
    <w:rsid w:val="00584157"/>
    <w:rsid w:val="005844B4"/>
    <w:rsid w:val="00584B75"/>
    <w:rsid w:val="00585038"/>
    <w:rsid w:val="00585361"/>
    <w:rsid w:val="005858DC"/>
    <w:rsid w:val="00585A58"/>
    <w:rsid w:val="00585AE5"/>
    <w:rsid w:val="00586051"/>
    <w:rsid w:val="00586142"/>
    <w:rsid w:val="005862BA"/>
    <w:rsid w:val="0058671E"/>
    <w:rsid w:val="00586785"/>
    <w:rsid w:val="0058679E"/>
    <w:rsid w:val="00586A82"/>
    <w:rsid w:val="00586E16"/>
    <w:rsid w:val="00587682"/>
    <w:rsid w:val="00587857"/>
    <w:rsid w:val="00587BBD"/>
    <w:rsid w:val="00587FCA"/>
    <w:rsid w:val="0059019C"/>
    <w:rsid w:val="0059024B"/>
    <w:rsid w:val="00590613"/>
    <w:rsid w:val="005907E3"/>
    <w:rsid w:val="00590A35"/>
    <w:rsid w:val="00590AF2"/>
    <w:rsid w:val="005910F4"/>
    <w:rsid w:val="00591480"/>
    <w:rsid w:val="00591A2F"/>
    <w:rsid w:val="005928A5"/>
    <w:rsid w:val="00592E11"/>
    <w:rsid w:val="005931E1"/>
    <w:rsid w:val="005936B4"/>
    <w:rsid w:val="005940F7"/>
    <w:rsid w:val="00594781"/>
    <w:rsid w:val="00594DEA"/>
    <w:rsid w:val="00594E04"/>
    <w:rsid w:val="00595531"/>
    <w:rsid w:val="00595CE7"/>
    <w:rsid w:val="00595DED"/>
    <w:rsid w:val="005961F6"/>
    <w:rsid w:val="00596863"/>
    <w:rsid w:val="0059704A"/>
    <w:rsid w:val="0059761A"/>
    <w:rsid w:val="005978D1"/>
    <w:rsid w:val="005A0088"/>
    <w:rsid w:val="005A06D8"/>
    <w:rsid w:val="005A0985"/>
    <w:rsid w:val="005A0B48"/>
    <w:rsid w:val="005A0C46"/>
    <w:rsid w:val="005A0F07"/>
    <w:rsid w:val="005A155E"/>
    <w:rsid w:val="005A1826"/>
    <w:rsid w:val="005A19BD"/>
    <w:rsid w:val="005A1BBD"/>
    <w:rsid w:val="005A1CE7"/>
    <w:rsid w:val="005A1D2E"/>
    <w:rsid w:val="005A1FE7"/>
    <w:rsid w:val="005A21B8"/>
    <w:rsid w:val="005A24C7"/>
    <w:rsid w:val="005A37B4"/>
    <w:rsid w:val="005A385D"/>
    <w:rsid w:val="005A3912"/>
    <w:rsid w:val="005A3CA8"/>
    <w:rsid w:val="005A3D2C"/>
    <w:rsid w:val="005A42AA"/>
    <w:rsid w:val="005A437D"/>
    <w:rsid w:val="005A46B4"/>
    <w:rsid w:val="005A4982"/>
    <w:rsid w:val="005A4985"/>
    <w:rsid w:val="005A5339"/>
    <w:rsid w:val="005A588E"/>
    <w:rsid w:val="005A5A42"/>
    <w:rsid w:val="005A5CE2"/>
    <w:rsid w:val="005A649C"/>
    <w:rsid w:val="005A666B"/>
    <w:rsid w:val="005A72C4"/>
    <w:rsid w:val="005B003F"/>
    <w:rsid w:val="005B032E"/>
    <w:rsid w:val="005B0623"/>
    <w:rsid w:val="005B0D34"/>
    <w:rsid w:val="005B0E74"/>
    <w:rsid w:val="005B139E"/>
    <w:rsid w:val="005B1482"/>
    <w:rsid w:val="005B1757"/>
    <w:rsid w:val="005B18E7"/>
    <w:rsid w:val="005B1D03"/>
    <w:rsid w:val="005B1DAE"/>
    <w:rsid w:val="005B23CA"/>
    <w:rsid w:val="005B24BA"/>
    <w:rsid w:val="005B250B"/>
    <w:rsid w:val="005B2C54"/>
    <w:rsid w:val="005B2D52"/>
    <w:rsid w:val="005B32FD"/>
    <w:rsid w:val="005B3B92"/>
    <w:rsid w:val="005B40B2"/>
    <w:rsid w:val="005B5300"/>
    <w:rsid w:val="005B65CC"/>
    <w:rsid w:val="005B6EEC"/>
    <w:rsid w:val="005B70CC"/>
    <w:rsid w:val="005B70F7"/>
    <w:rsid w:val="005B752F"/>
    <w:rsid w:val="005C0AE3"/>
    <w:rsid w:val="005C0CF0"/>
    <w:rsid w:val="005C0EB8"/>
    <w:rsid w:val="005C0F69"/>
    <w:rsid w:val="005C113F"/>
    <w:rsid w:val="005C14FA"/>
    <w:rsid w:val="005C16AC"/>
    <w:rsid w:val="005C1F20"/>
    <w:rsid w:val="005C2228"/>
    <w:rsid w:val="005C2377"/>
    <w:rsid w:val="005C283B"/>
    <w:rsid w:val="005C28F0"/>
    <w:rsid w:val="005C2E91"/>
    <w:rsid w:val="005C3405"/>
    <w:rsid w:val="005C39AA"/>
    <w:rsid w:val="005C3AFD"/>
    <w:rsid w:val="005C4027"/>
    <w:rsid w:val="005C411B"/>
    <w:rsid w:val="005C440B"/>
    <w:rsid w:val="005C46C1"/>
    <w:rsid w:val="005C48D9"/>
    <w:rsid w:val="005C5365"/>
    <w:rsid w:val="005C53E9"/>
    <w:rsid w:val="005C54A4"/>
    <w:rsid w:val="005C58F4"/>
    <w:rsid w:val="005C5ADC"/>
    <w:rsid w:val="005C5D51"/>
    <w:rsid w:val="005C5FF3"/>
    <w:rsid w:val="005C6927"/>
    <w:rsid w:val="005C7082"/>
    <w:rsid w:val="005C74A8"/>
    <w:rsid w:val="005C7B4F"/>
    <w:rsid w:val="005D0290"/>
    <w:rsid w:val="005D0418"/>
    <w:rsid w:val="005D053F"/>
    <w:rsid w:val="005D0655"/>
    <w:rsid w:val="005D06AB"/>
    <w:rsid w:val="005D1017"/>
    <w:rsid w:val="005D1650"/>
    <w:rsid w:val="005D1BE5"/>
    <w:rsid w:val="005D22B9"/>
    <w:rsid w:val="005D285B"/>
    <w:rsid w:val="005D2871"/>
    <w:rsid w:val="005D3297"/>
    <w:rsid w:val="005D32CC"/>
    <w:rsid w:val="005D3674"/>
    <w:rsid w:val="005D3CF7"/>
    <w:rsid w:val="005D4497"/>
    <w:rsid w:val="005D4516"/>
    <w:rsid w:val="005D4766"/>
    <w:rsid w:val="005D4FA9"/>
    <w:rsid w:val="005D50E8"/>
    <w:rsid w:val="005D56B8"/>
    <w:rsid w:val="005D56CD"/>
    <w:rsid w:val="005D56CE"/>
    <w:rsid w:val="005D56DB"/>
    <w:rsid w:val="005D58B1"/>
    <w:rsid w:val="005D5AC4"/>
    <w:rsid w:val="005D5EC8"/>
    <w:rsid w:val="005D66A1"/>
    <w:rsid w:val="005D69D9"/>
    <w:rsid w:val="005D7211"/>
    <w:rsid w:val="005D731C"/>
    <w:rsid w:val="005D76C2"/>
    <w:rsid w:val="005D7FD3"/>
    <w:rsid w:val="005E0345"/>
    <w:rsid w:val="005E0525"/>
    <w:rsid w:val="005E05D3"/>
    <w:rsid w:val="005E0936"/>
    <w:rsid w:val="005E0E8F"/>
    <w:rsid w:val="005E1279"/>
    <w:rsid w:val="005E2132"/>
    <w:rsid w:val="005E2799"/>
    <w:rsid w:val="005E2922"/>
    <w:rsid w:val="005E2A04"/>
    <w:rsid w:val="005E2E28"/>
    <w:rsid w:val="005E33F6"/>
    <w:rsid w:val="005E36CE"/>
    <w:rsid w:val="005E422E"/>
    <w:rsid w:val="005E5301"/>
    <w:rsid w:val="005E5374"/>
    <w:rsid w:val="005E591A"/>
    <w:rsid w:val="005E5CB7"/>
    <w:rsid w:val="005E6EE9"/>
    <w:rsid w:val="005E7A50"/>
    <w:rsid w:val="005E7B67"/>
    <w:rsid w:val="005E7B6C"/>
    <w:rsid w:val="005E7C7D"/>
    <w:rsid w:val="005F045A"/>
    <w:rsid w:val="005F0BFC"/>
    <w:rsid w:val="005F1860"/>
    <w:rsid w:val="005F1AF6"/>
    <w:rsid w:val="005F1E0A"/>
    <w:rsid w:val="005F21B5"/>
    <w:rsid w:val="005F23B9"/>
    <w:rsid w:val="005F2949"/>
    <w:rsid w:val="005F2A19"/>
    <w:rsid w:val="005F341C"/>
    <w:rsid w:val="005F34CE"/>
    <w:rsid w:val="005F380B"/>
    <w:rsid w:val="005F387A"/>
    <w:rsid w:val="005F3CE4"/>
    <w:rsid w:val="005F3DAA"/>
    <w:rsid w:val="005F481F"/>
    <w:rsid w:val="005F49C4"/>
    <w:rsid w:val="005F5072"/>
    <w:rsid w:val="005F5E03"/>
    <w:rsid w:val="005F5FDB"/>
    <w:rsid w:val="005F6A07"/>
    <w:rsid w:val="005F6B54"/>
    <w:rsid w:val="005F6E65"/>
    <w:rsid w:val="005F70E8"/>
    <w:rsid w:val="005F7569"/>
    <w:rsid w:val="005F7EC3"/>
    <w:rsid w:val="00600627"/>
    <w:rsid w:val="00600789"/>
    <w:rsid w:val="00600B0A"/>
    <w:rsid w:val="006011AF"/>
    <w:rsid w:val="00601776"/>
    <w:rsid w:val="00601EC2"/>
    <w:rsid w:val="006024F6"/>
    <w:rsid w:val="00602954"/>
    <w:rsid w:val="00602AD5"/>
    <w:rsid w:val="00602D50"/>
    <w:rsid w:val="0060448B"/>
    <w:rsid w:val="00604720"/>
    <w:rsid w:val="0060511E"/>
    <w:rsid w:val="0060527C"/>
    <w:rsid w:val="00605794"/>
    <w:rsid w:val="006058AE"/>
    <w:rsid w:val="00605A61"/>
    <w:rsid w:val="00605CFE"/>
    <w:rsid w:val="00605EE9"/>
    <w:rsid w:val="00606035"/>
    <w:rsid w:val="006068F7"/>
    <w:rsid w:val="00606DCF"/>
    <w:rsid w:val="00606F42"/>
    <w:rsid w:val="006070DC"/>
    <w:rsid w:val="00607470"/>
    <w:rsid w:val="0060779A"/>
    <w:rsid w:val="006078B0"/>
    <w:rsid w:val="00607A07"/>
    <w:rsid w:val="00610024"/>
    <w:rsid w:val="00610186"/>
    <w:rsid w:val="00610274"/>
    <w:rsid w:val="0061041C"/>
    <w:rsid w:val="006106B1"/>
    <w:rsid w:val="00610816"/>
    <w:rsid w:val="00610C92"/>
    <w:rsid w:val="006110F9"/>
    <w:rsid w:val="006112CA"/>
    <w:rsid w:val="00611327"/>
    <w:rsid w:val="0061139B"/>
    <w:rsid w:val="0061153B"/>
    <w:rsid w:val="00611B87"/>
    <w:rsid w:val="006120E9"/>
    <w:rsid w:val="00612464"/>
    <w:rsid w:val="00612749"/>
    <w:rsid w:val="00612B14"/>
    <w:rsid w:val="00612D1B"/>
    <w:rsid w:val="00612D8E"/>
    <w:rsid w:val="00613B45"/>
    <w:rsid w:val="00613C3B"/>
    <w:rsid w:val="006140F4"/>
    <w:rsid w:val="00614120"/>
    <w:rsid w:val="006145EA"/>
    <w:rsid w:val="0061473F"/>
    <w:rsid w:val="00614999"/>
    <w:rsid w:val="00614D6A"/>
    <w:rsid w:val="00615075"/>
    <w:rsid w:val="006151A5"/>
    <w:rsid w:val="00615982"/>
    <w:rsid w:val="00615EED"/>
    <w:rsid w:val="00616042"/>
    <w:rsid w:val="006163BC"/>
    <w:rsid w:val="0061661D"/>
    <w:rsid w:val="00616DFC"/>
    <w:rsid w:val="00617059"/>
    <w:rsid w:val="00617155"/>
    <w:rsid w:val="006179AE"/>
    <w:rsid w:val="006179C4"/>
    <w:rsid w:val="00617A13"/>
    <w:rsid w:val="006208D5"/>
    <w:rsid w:val="00620B1E"/>
    <w:rsid w:val="0062115E"/>
    <w:rsid w:val="00621320"/>
    <w:rsid w:val="006213F6"/>
    <w:rsid w:val="006225A3"/>
    <w:rsid w:val="00622A32"/>
    <w:rsid w:val="00622A49"/>
    <w:rsid w:val="0062321E"/>
    <w:rsid w:val="00623FC2"/>
    <w:rsid w:val="0062403C"/>
    <w:rsid w:val="00624961"/>
    <w:rsid w:val="006249EB"/>
    <w:rsid w:val="00624B9A"/>
    <w:rsid w:val="00624C13"/>
    <w:rsid w:val="00625AFB"/>
    <w:rsid w:val="006261C2"/>
    <w:rsid w:val="006263AE"/>
    <w:rsid w:val="006266F5"/>
    <w:rsid w:val="0062719F"/>
    <w:rsid w:val="006272FF"/>
    <w:rsid w:val="006304EC"/>
    <w:rsid w:val="0063086D"/>
    <w:rsid w:val="006313D8"/>
    <w:rsid w:val="00631B76"/>
    <w:rsid w:val="00631EC5"/>
    <w:rsid w:val="00632074"/>
    <w:rsid w:val="00632E3F"/>
    <w:rsid w:val="00633A01"/>
    <w:rsid w:val="00634657"/>
    <w:rsid w:val="00634782"/>
    <w:rsid w:val="00634C3E"/>
    <w:rsid w:val="00634EC2"/>
    <w:rsid w:val="00635B2A"/>
    <w:rsid w:val="00635D64"/>
    <w:rsid w:val="00636128"/>
    <w:rsid w:val="0063625E"/>
    <w:rsid w:val="00637D77"/>
    <w:rsid w:val="00640A88"/>
    <w:rsid w:val="00640BF4"/>
    <w:rsid w:val="00640C63"/>
    <w:rsid w:val="00640E0C"/>
    <w:rsid w:val="006413DC"/>
    <w:rsid w:val="00641642"/>
    <w:rsid w:val="0064187C"/>
    <w:rsid w:val="006419C3"/>
    <w:rsid w:val="00641B4D"/>
    <w:rsid w:val="00641FE6"/>
    <w:rsid w:val="00642070"/>
    <w:rsid w:val="00642FDE"/>
    <w:rsid w:val="00643145"/>
    <w:rsid w:val="006431A6"/>
    <w:rsid w:val="0064320F"/>
    <w:rsid w:val="006439A2"/>
    <w:rsid w:val="00643AB8"/>
    <w:rsid w:val="00643E5A"/>
    <w:rsid w:val="006440A8"/>
    <w:rsid w:val="0064461D"/>
    <w:rsid w:val="00644F54"/>
    <w:rsid w:val="006459ED"/>
    <w:rsid w:val="00645D9C"/>
    <w:rsid w:val="00645F0E"/>
    <w:rsid w:val="0064665D"/>
    <w:rsid w:val="006468BE"/>
    <w:rsid w:val="006468C7"/>
    <w:rsid w:val="00646A2F"/>
    <w:rsid w:val="0064718F"/>
    <w:rsid w:val="006475E6"/>
    <w:rsid w:val="00647ABA"/>
    <w:rsid w:val="00647C67"/>
    <w:rsid w:val="0065031D"/>
    <w:rsid w:val="0065036D"/>
    <w:rsid w:val="00650820"/>
    <w:rsid w:val="006509F2"/>
    <w:rsid w:val="00650AF6"/>
    <w:rsid w:val="00650C2F"/>
    <w:rsid w:val="00650C56"/>
    <w:rsid w:val="00650D0B"/>
    <w:rsid w:val="006522A6"/>
    <w:rsid w:val="00652877"/>
    <w:rsid w:val="00652960"/>
    <w:rsid w:val="00652B75"/>
    <w:rsid w:val="006530A8"/>
    <w:rsid w:val="006530D5"/>
    <w:rsid w:val="0065315A"/>
    <w:rsid w:val="006532E4"/>
    <w:rsid w:val="006539E2"/>
    <w:rsid w:val="00653DEE"/>
    <w:rsid w:val="006542F2"/>
    <w:rsid w:val="006546C1"/>
    <w:rsid w:val="006548D7"/>
    <w:rsid w:val="00654A1D"/>
    <w:rsid w:val="00654E61"/>
    <w:rsid w:val="0065519C"/>
    <w:rsid w:val="0065523E"/>
    <w:rsid w:val="0065556E"/>
    <w:rsid w:val="00655A91"/>
    <w:rsid w:val="00655B65"/>
    <w:rsid w:val="00656194"/>
    <w:rsid w:val="00656A3D"/>
    <w:rsid w:val="00656DA9"/>
    <w:rsid w:val="0065743E"/>
    <w:rsid w:val="006576BF"/>
    <w:rsid w:val="00657E84"/>
    <w:rsid w:val="00657F02"/>
    <w:rsid w:val="00660E4D"/>
    <w:rsid w:val="00660E71"/>
    <w:rsid w:val="00660FA8"/>
    <w:rsid w:val="006618BF"/>
    <w:rsid w:val="00661CA8"/>
    <w:rsid w:val="00661E57"/>
    <w:rsid w:val="0066276E"/>
    <w:rsid w:val="0066295E"/>
    <w:rsid w:val="00662A67"/>
    <w:rsid w:val="00662A6D"/>
    <w:rsid w:val="00663669"/>
    <w:rsid w:val="00663744"/>
    <w:rsid w:val="0066423D"/>
    <w:rsid w:val="0066445D"/>
    <w:rsid w:val="006647BC"/>
    <w:rsid w:val="006647E4"/>
    <w:rsid w:val="00667055"/>
    <w:rsid w:val="006670BE"/>
    <w:rsid w:val="006670FC"/>
    <w:rsid w:val="00667197"/>
    <w:rsid w:val="006677AD"/>
    <w:rsid w:val="006678DA"/>
    <w:rsid w:val="00667A67"/>
    <w:rsid w:val="0067014F"/>
    <w:rsid w:val="00670194"/>
    <w:rsid w:val="006704EA"/>
    <w:rsid w:val="0067075B"/>
    <w:rsid w:val="00670BC6"/>
    <w:rsid w:val="00670CA5"/>
    <w:rsid w:val="00670EDC"/>
    <w:rsid w:val="006715A6"/>
    <w:rsid w:val="006718CA"/>
    <w:rsid w:val="00671CB6"/>
    <w:rsid w:val="00671DFF"/>
    <w:rsid w:val="0067280D"/>
    <w:rsid w:val="00672855"/>
    <w:rsid w:val="00672E04"/>
    <w:rsid w:val="00673F40"/>
    <w:rsid w:val="006743B5"/>
    <w:rsid w:val="0067453A"/>
    <w:rsid w:val="006747B0"/>
    <w:rsid w:val="00674B1E"/>
    <w:rsid w:val="00674BFE"/>
    <w:rsid w:val="00675722"/>
    <w:rsid w:val="0067591B"/>
    <w:rsid w:val="00675E2B"/>
    <w:rsid w:val="0067615F"/>
    <w:rsid w:val="0067658B"/>
    <w:rsid w:val="00676776"/>
    <w:rsid w:val="00676860"/>
    <w:rsid w:val="00677327"/>
    <w:rsid w:val="00677681"/>
    <w:rsid w:val="006777EB"/>
    <w:rsid w:val="00677C97"/>
    <w:rsid w:val="006807AE"/>
    <w:rsid w:val="00680AD5"/>
    <w:rsid w:val="00681416"/>
    <w:rsid w:val="00681D0F"/>
    <w:rsid w:val="0068205B"/>
    <w:rsid w:val="0068234A"/>
    <w:rsid w:val="006823C4"/>
    <w:rsid w:val="006824BE"/>
    <w:rsid w:val="00682664"/>
    <w:rsid w:val="0068266A"/>
    <w:rsid w:val="006826A8"/>
    <w:rsid w:val="0068270F"/>
    <w:rsid w:val="00682802"/>
    <w:rsid w:val="00682A9A"/>
    <w:rsid w:val="00682DDF"/>
    <w:rsid w:val="0068395A"/>
    <w:rsid w:val="00683A20"/>
    <w:rsid w:val="00683C5C"/>
    <w:rsid w:val="00684FA7"/>
    <w:rsid w:val="00685551"/>
    <w:rsid w:val="00685575"/>
    <w:rsid w:val="00685934"/>
    <w:rsid w:val="00686466"/>
    <w:rsid w:val="0068667B"/>
    <w:rsid w:val="0068696C"/>
    <w:rsid w:val="00686F7C"/>
    <w:rsid w:val="00686FEF"/>
    <w:rsid w:val="00687016"/>
    <w:rsid w:val="0068709B"/>
    <w:rsid w:val="00687AC8"/>
    <w:rsid w:val="00687D2E"/>
    <w:rsid w:val="00690E8D"/>
    <w:rsid w:val="00691DAD"/>
    <w:rsid w:val="0069259C"/>
    <w:rsid w:val="006929A4"/>
    <w:rsid w:val="006929AB"/>
    <w:rsid w:val="00693267"/>
    <w:rsid w:val="006936C9"/>
    <w:rsid w:val="0069380F"/>
    <w:rsid w:val="00693C47"/>
    <w:rsid w:val="00694079"/>
    <w:rsid w:val="00694980"/>
    <w:rsid w:val="00694F6A"/>
    <w:rsid w:val="00695139"/>
    <w:rsid w:val="006958B1"/>
    <w:rsid w:val="00696A41"/>
    <w:rsid w:val="00696AC0"/>
    <w:rsid w:val="00696B1E"/>
    <w:rsid w:val="00696F77"/>
    <w:rsid w:val="006971F9"/>
    <w:rsid w:val="006976DD"/>
    <w:rsid w:val="006977BD"/>
    <w:rsid w:val="006A0380"/>
    <w:rsid w:val="006A0480"/>
    <w:rsid w:val="006A2246"/>
    <w:rsid w:val="006A33DF"/>
    <w:rsid w:val="006A36DC"/>
    <w:rsid w:val="006A3DB2"/>
    <w:rsid w:val="006A4139"/>
    <w:rsid w:val="006A477C"/>
    <w:rsid w:val="006A4D5C"/>
    <w:rsid w:val="006A4DC8"/>
    <w:rsid w:val="006A5025"/>
    <w:rsid w:val="006A5BE2"/>
    <w:rsid w:val="006A605D"/>
    <w:rsid w:val="006A69D0"/>
    <w:rsid w:val="006A716C"/>
    <w:rsid w:val="006A725B"/>
    <w:rsid w:val="006A726D"/>
    <w:rsid w:val="006A75F8"/>
    <w:rsid w:val="006A76D7"/>
    <w:rsid w:val="006B096D"/>
    <w:rsid w:val="006B1048"/>
    <w:rsid w:val="006B128B"/>
    <w:rsid w:val="006B16E7"/>
    <w:rsid w:val="006B25EC"/>
    <w:rsid w:val="006B26AC"/>
    <w:rsid w:val="006B2A87"/>
    <w:rsid w:val="006B2F29"/>
    <w:rsid w:val="006B2F75"/>
    <w:rsid w:val="006B2FD2"/>
    <w:rsid w:val="006B300C"/>
    <w:rsid w:val="006B3059"/>
    <w:rsid w:val="006B3250"/>
    <w:rsid w:val="006B3EB0"/>
    <w:rsid w:val="006B48A6"/>
    <w:rsid w:val="006B490A"/>
    <w:rsid w:val="006B4ADA"/>
    <w:rsid w:val="006B4C77"/>
    <w:rsid w:val="006B4CF7"/>
    <w:rsid w:val="006B4FF2"/>
    <w:rsid w:val="006B504F"/>
    <w:rsid w:val="006B5898"/>
    <w:rsid w:val="006B5B9A"/>
    <w:rsid w:val="006B5E19"/>
    <w:rsid w:val="006B6183"/>
    <w:rsid w:val="006B6768"/>
    <w:rsid w:val="006B6AF7"/>
    <w:rsid w:val="006B6CD0"/>
    <w:rsid w:val="006B7C9C"/>
    <w:rsid w:val="006C05F8"/>
    <w:rsid w:val="006C0C38"/>
    <w:rsid w:val="006C0E11"/>
    <w:rsid w:val="006C1176"/>
    <w:rsid w:val="006C1796"/>
    <w:rsid w:val="006C1981"/>
    <w:rsid w:val="006C1E24"/>
    <w:rsid w:val="006C2141"/>
    <w:rsid w:val="006C237A"/>
    <w:rsid w:val="006C2641"/>
    <w:rsid w:val="006C28C3"/>
    <w:rsid w:val="006C3110"/>
    <w:rsid w:val="006C3B72"/>
    <w:rsid w:val="006C3FD5"/>
    <w:rsid w:val="006C410A"/>
    <w:rsid w:val="006C48E6"/>
    <w:rsid w:val="006C4D1B"/>
    <w:rsid w:val="006C5012"/>
    <w:rsid w:val="006C5176"/>
    <w:rsid w:val="006C531E"/>
    <w:rsid w:val="006C535F"/>
    <w:rsid w:val="006C542C"/>
    <w:rsid w:val="006C54D8"/>
    <w:rsid w:val="006C5CF4"/>
    <w:rsid w:val="006C5F02"/>
    <w:rsid w:val="006C6D8E"/>
    <w:rsid w:val="006C6E53"/>
    <w:rsid w:val="006C736C"/>
    <w:rsid w:val="006C751E"/>
    <w:rsid w:val="006C7841"/>
    <w:rsid w:val="006C7C98"/>
    <w:rsid w:val="006D0445"/>
    <w:rsid w:val="006D05A6"/>
    <w:rsid w:val="006D0728"/>
    <w:rsid w:val="006D0C48"/>
    <w:rsid w:val="006D165E"/>
    <w:rsid w:val="006D23D4"/>
    <w:rsid w:val="006D2630"/>
    <w:rsid w:val="006D28DD"/>
    <w:rsid w:val="006D2917"/>
    <w:rsid w:val="006D2F3E"/>
    <w:rsid w:val="006D3555"/>
    <w:rsid w:val="006D3A8F"/>
    <w:rsid w:val="006D427F"/>
    <w:rsid w:val="006D43C7"/>
    <w:rsid w:val="006D4FDD"/>
    <w:rsid w:val="006D5144"/>
    <w:rsid w:val="006D5A21"/>
    <w:rsid w:val="006D5A54"/>
    <w:rsid w:val="006D7C9D"/>
    <w:rsid w:val="006D7CA4"/>
    <w:rsid w:val="006D7DEC"/>
    <w:rsid w:val="006D7E6E"/>
    <w:rsid w:val="006E053D"/>
    <w:rsid w:val="006E07A9"/>
    <w:rsid w:val="006E0C29"/>
    <w:rsid w:val="006E1460"/>
    <w:rsid w:val="006E14D2"/>
    <w:rsid w:val="006E189E"/>
    <w:rsid w:val="006E1EE9"/>
    <w:rsid w:val="006E264B"/>
    <w:rsid w:val="006E2A69"/>
    <w:rsid w:val="006E2D88"/>
    <w:rsid w:val="006E2E3F"/>
    <w:rsid w:val="006E2FD7"/>
    <w:rsid w:val="006E3705"/>
    <w:rsid w:val="006E4361"/>
    <w:rsid w:val="006E43B5"/>
    <w:rsid w:val="006E4B07"/>
    <w:rsid w:val="006E4E6C"/>
    <w:rsid w:val="006E4E8D"/>
    <w:rsid w:val="006E525C"/>
    <w:rsid w:val="006E52EB"/>
    <w:rsid w:val="006E5481"/>
    <w:rsid w:val="006E5816"/>
    <w:rsid w:val="006E5AEB"/>
    <w:rsid w:val="006E6208"/>
    <w:rsid w:val="006E6264"/>
    <w:rsid w:val="006E6453"/>
    <w:rsid w:val="006E6885"/>
    <w:rsid w:val="006E6AE0"/>
    <w:rsid w:val="006E6B65"/>
    <w:rsid w:val="006E6C0E"/>
    <w:rsid w:val="006E74F0"/>
    <w:rsid w:val="006E7AF5"/>
    <w:rsid w:val="006F0029"/>
    <w:rsid w:val="006F0645"/>
    <w:rsid w:val="006F088B"/>
    <w:rsid w:val="006F0ABF"/>
    <w:rsid w:val="006F0B68"/>
    <w:rsid w:val="006F155B"/>
    <w:rsid w:val="006F1A2B"/>
    <w:rsid w:val="006F1B4A"/>
    <w:rsid w:val="006F1BEE"/>
    <w:rsid w:val="006F1DBD"/>
    <w:rsid w:val="006F1F35"/>
    <w:rsid w:val="006F2045"/>
    <w:rsid w:val="006F2307"/>
    <w:rsid w:val="006F239D"/>
    <w:rsid w:val="006F24DA"/>
    <w:rsid w:val="006F2C29"/>
    <w:rsid w:val="006F2C70"/>
    <w:rsid w:val="006F2F9A"/>
    <w:rsid w:val="006F3234"/>
    <w:rsid w:val="006F3747"/>
    <w:rsid w:val="006F5096"/>
    <w:rsid w:val="006F51E9"/>
    <w:rsid w:val="006F5268"/>
    <w:rsid w:val="006F5A30"/>
    <w:rsid w:val="006F635E"/>
    <w:rsid w:val="006F63CC"/>
    <w:rsid w:val="006F6597"/>
    <w:rsid w:val="006F67EA"/>
    <w:rsid w:val="006F68CE"/>
    <w:rsid w:val="006F6C9E"/>
    <w:rsid w:val="006F707A"/>
    <w:rsid w:val="006F7ECA"/>
    <w:rsid w:val="006F7F17"/>
    <w:rsid w:val="0070004A"/>
    <w:rsid w:val="0070039E"/>
    <w:rsid w:val="00700473"/>
    <w:rsid w:val="007006F1"/>
    <w:rsid w:val="00700A4E"/>
    <w:rsid w:val="00700B41"/>
    <w:rsid w:val="00701B07"/>
    <w:rsid w:val="007024BB"/>
    <w:rsid w:val="00702A2F"/>
    <w:rsid w:val="00702C07"/>
    <w:rsid w:val="00702D97"/>
    <w:rsid w:val="00703120"/>
    <w:rsid w:val="0070385F"/>
    <w:rsid w:val="00703AE9"/>
    <w:rsid w:val="00703DFB"/>
    <w:rsid w:val="00704003"/>
    <w:rsid w:val="00705002"/>
    <w:rsid w:val="00705065"/>
    <w:rsid w:val="00705A2C"/>
    <w:rsid w:val="00706039"/>
    <w:rsid w:val="00706101"/>
    <w:rsid w:val="00706550"/>
    <w:rsid w:val="00706782"/>
    <w:rsid w:val="00706A3A"/>
    <w:rsid w:val="00706F31"/>
    <w:rsid w:val="007071AF"/>
    <w:rsid w:val="007071D3"/>
    <w:rsid w:val="00707819"/>
    <w:rsid w:val="007100A8"/>
    <w:rsid w:val="00710467"/>
    <w:rsid w:val="00710682"/>
    <w:rsid w:val="00710733"/>
    <w:rsid w:val="00710EE2"/>
    <w:rsid w:val="0071137C"/>
    <w:rsid w:val="007119F8"/>
    <w:rsid w:val="00711D35"/>
    <w:rsid w:val="007128CD"/>
    <w:rsid w:val="007137A5"/>
    <w:rsid w:val="00713C99"/>
    <w:rsid w:val="00713E2B"/>
    <w:rsid w:val="0071485F"/>
    <w:rsid w:val="00714F70"/>
    <w:rsid w:val="00715A77"/>
    <w:rsid w:val="00715CE6"/>
    <w:rsid w:val="00715DE1"/>
    <w:rsid w:val="007169B1"/>
    <w:rsid w:val="00717109"/>
    <w:rsid w:val="00717AA7"/>
    <w:rsid w:val="00717B4B"/>
    <w:rsid w:val="00717DC4"/>
    <w:rsid w:val="00720062"/>
    <w:rsid w:val="0072039C"/>
    <w:rsid w:val="007203A8"/>
    <w:rsid w:val="00720DA7"/>
    <w:rsid w:val="00720E39"/>
    <w:rsid w:val="007210D7"/>
    <w:rsid w:val="00721F1E"/>
    <w:rsid w:val="007227E8"/>
    <w:rsid w:val="007229E3"/>
    <w:rsid w:val="00723495"/>
    <w:rsid w:val="00723533"/>
    <w:rsid w:val="00723557"/>
    <w:rsid w:val="00723616"/>
    <w:rsid w:val="00724AB6"/>
    <w:rsid w:val="00725927"/>
    <w:rsid w:val="00725937"/>
    <w:rsid w:val="00725A63"/>
    <w:rsid w:val="00725BBC"/>
    <w:rsid w:val="00726036"/>
    <w:rsid w:val="00726F25"/>
    <w:rsid w:val="00727091"/>
    <w:rsid w:val="00727C86"/>
    <w:rsid w:val="00727F2C"/>
    <w:rsid w:val="00731BD4"/>
    <w:rsid w:val="00731D15"/>
    <w:rsid w:val="00732A0C"/>
    <w:rsid w:val="00732F27"/>
    <w:rsid w:val="00733585"/>
    <w:rsid w:val="007339E7"/>
    <w:rsid w:val="00734D6B"/>
    <w:rsid w:val="00735222"/>
    <w:rsid w:val="007354B7"/>
    <w:rsid w:val="00735808"/>
    <w:rsid w:val="007358BF"/>
    <w:rsid w:val="007358F0"/>
    <w:rsid w:val="00735D2D"/>
    <w:rsid w:val="00735F28"/>
    <w:rsid w:val="0073600A"/>
    <w:rsid w:val="007360E1"/>
    <w:rsid w:val="00736120"/>
    <w:rsid w:val="007361A8"/>
    <w:rsid w:val="00736379"/>
    <w:rsid w:val="007368C3"/>
    <w:rsid w:val="00736FB0"/>
    <w:rsid w:val="00737195"/>
    <w:rsid w:val="007373AC"/>
    <w:rsid w:val="00737B6D"/>
    <w:rsid w:val="00737DEE"/>
    <w:rsid w:val="00740B8D"/>
    <w:rsid w:val="00740EAA"/>
    <w:rsid w:val="00741392"/>
    <w:rsid w:val="00741A83"/>
    <w:rsid w:val="0074221C"/>
    <w:rsid w:val="00742284"/>
    <w:rsid w:val="0074295A"/>
    <w:rsid w:val="00743159"/>
    <w:rsid w:val="00743B39"/>
    <w:rsid w:val="00743B8C"/>
    <w:rsid w:val="00743C5A"/>
    <w:rsid w:val="00743F22"/>
    <w:rsid w:val="00743FB7"/>
    <w:rsid w:val="007440AA"/>
    <w:rsid w:val="007442EE"/>
    <w:rsid w:val="00744440"/>
    <w:rsid w:val="00744950"/>
    <w:rsid w:val="007450FB"/>
    <w:rsid w:val="00745913"/>
    <w:rsid w:val="00745941"/>
    <w:rsid w:val="007459EE"/>
    <w:rsid w:val="007465EF"/>
    <w:rsid w:val="0074681B"/>
    <w:rsid w:val="0074690C"/>
    <w:rsid w:val="00746B12"/>
    <w:rsid w:val="00746BDD"/>
    <w:rsid w:val="0074766F"/>
    <w:rsid w:val="00747CD9"/>
    <w:rsid w:val="00750326"/>
    <w:rsid w:val="00750427"/>
    <w:rsid w:val="00750605"/>
    <w:rsid w:val="007506A7"/>
    <w:rsid w:val="00751FC6"/>
    <w:rsid w:val="00751FD9"/>
    <w:rsid w:val="0075209E"/>
    <w:rsid w:val="00752927"/>
    <w:rsid w:val="00752DD7"/>
    <w:rsid w:val="00753165"/>
    <w:rsid w:val="0075346C"/>
    <w:rsid w:val="00753E2E"/>
    <w:rsid w:val="00754CAE"/>
    <w:rsid w:val="00754DFD"/>
    <w:rsid w:val="0075570D"/>
    <w:rsid w:val="00755B00"/>
    <w:rsid w:val="007561E9"/>
    <w:rsid w:val="00756235"/>
    <w:rsid w:val="00756336"/>
    <w:rsid w:val="00756872"/>
    <w:rsid w:val="00756BBE"/>
    <w:rsid w:val="00756F64"/>
    <w:rsid w:val="00757290"/>
    <w:rsid w:val="00757601"/>
    <w:rsid w:val="00757FDD"/>
    <w:rsid w:val="007600BE"/>
    <w:rsid w:val="00760A2D"/>
    <w:rsid w:val="00760E5B"/>
    <w:rsid w:val="00761296"/>
    <w:rsid w:val="00761B56"/>
    <w:rsid w:val="0076206B"/>
    <w:rsid w:val="007624D5"/>
    <w:rsid w:val="00762AB4"/>
    <w:rsid w:val="007633FB"/>
    <w:rsid w:val="0076341A"/>
    <w:rsid w:val="00763821"/>
    <w:rsid w:val="0076393D"/>
    <w:rsid w:val="00763BF9"/>
    <w:rsid w:val="00764CDF"/>
    <w:rsid w:val="00765120"/>
    <w:rsid w:val="0076572C"/>
    <w:rsid w:val="00765B83"/>
    <w:rsid w:val="00765CE9"/>
    <w:rsid w:val="00765D8D"/>
    <w:rsid w:val="007667ED"/>
    <w:rsid w:val="00766954"/>
    <w:rsid w:val="00767639"/>
    <w:rsid w:val="00767E6C"/>
    <w:rsid w:val="00767EBB"/>
    <w:rsid w:val="007705EA"/>
    <w:rsid w:val="00770947"/>
    <w:rsid w:val="00770F4D"/>
    <w:rsid w:val="00771291"/>
    <w:rsid w:val="007712C8"/>
    <w:rsid w:val="007713A0"/>
    <w:rsid w:val="00771576"/>
    <w:rsid w:val="00771789"/>
    <w:rsid w:val="0077199C"/>
    <w:rsid w:val="007719AD"/>
    <w:rsid w:val="00771DAA"/>
    <w:rsid w:val="00771E92"/>
    <w:rsid w:val="00772039"/>
    <w:rsid w:val="00772EC2"/>
    <w:rsid w:val="00772F69"/>
    <w:rsid w:val="0077340E"/>
    <w:rsid w:val="007736F4"/>
    <w:rsid w:val="007737A6"/>
    <w:rsid w:val="00773837"/>
    <w:rsid w:val="00773E92"/>
    <w:rsid w:val="007744B5"/>
    <w:rsid w:val="00774BFB"/>
    <w:rsid w:val="00774CA6"/>
    <w:rsid w:val="00774DE4"/>
    <w:rsid w:val="00775180"/>
    <w:rsid w:val="0077532C"/>
    <w:rsid w:val="00775404"/>
    <w:rsid w:val="007756AC"/>
    <w:rsid w:val="00775899"/>
    <w:rsid w:val="00775B84"/>
    <w:rsid w:val="00775EAE"/>
    <w:rsid w:val="00776291"/>
    <w:rsid w:val="007765FC"/>
    <w:rsid w:val="007766E9"/>
    <w:rsid w:val="00776804"/>
    <w:rsid w:val="00776D69"/>
    <w:rsid w:val="0077787F"/>
    <w:rsid w:val="00777ADF"/>
    <w:rsid w:val="0078035D"/>
    <w:rsid w:val="007806D8"/>
    <w:rsid w:val="00780D3D"/>
    <w:rsid w:val="00780DEA"/>
    <w:rsid w:val="0078110D"/>
    <w:rsid w:val="00781595"/>
    <w:rsid w:val="007819D7"/>
    <w:rsid w:val="00781D8A"/>
    <w:rsid w:val="00782904"/>
    <w:rsid w:val="00782975"/>
    <w:rsid w:val="00783205"/>
    <w:rsid w:val="007834FB"/>
    <w:rsid w:val="007836D7"/>
    <w:rsid w:val="00784456"/>
    <w:rsid w:val="0078454A"/>
    <w:rsid w:val="00784ADC"/>
    <w:rsid w:val="00784DBF"/>
    <w:rsid w:val="00785257"/>
    <w:rsid w:val="00785448"/>
    <w:rsid w:val="00785D89"/>
    <w:rsid w:val="00785E15"/>
    <w:rsid w:val="00787A42"/>
    <w:rsid w:val="0079032F"/>
    <w:rsid w:val="007906DF"/>
    <w:rsid w:val="00790D28"/>
    <w:rsid w:val="00790FE4"/>
    <w:rsid w:val="007914DD"/>
    <w:rsid w:val="00791987"/>
    <w:rsid w:val="007919A0"/>
    <w:rsid w:val="00791C1B"/>
    <w:rsid w:val="00792F94"/>
    <w:rsid w:val="00792FAB"/>
    <w:rsid w:val="00793002"/>
    <w:rsid w:val="007934BA"/>
    <w:rsid w:val="007938C8"/>
    <w:rsid w:val="00793E30"/>
    <w:rsid w:val="007941B2"/>
    <w:rsid w:val="00794436"/>
    <w:rsid w:val="007948C3"/>
    <w:rsid w:val="00794F09"/>
    <w:rsid w:val="00795477"/>
    <w:rsid w:val="00795778"/>
    <w:rsid w:val="007958C0"/>
    <w:rsid w:val="00795A92"/>
    <w:rsid w:val="00796961"/>
    <w:rsid w:val="007971A4"/>
    <w:rsid w:val="0079791E"/>
    <w:rsid w:val="007A0325"/>
    <w:rsid w:val="007A0483"/>
    <w:rsid w:val="007A1158"/>
    <w:rsid w:val="007A16D7"/>
    <w:rsid w:val="007A1822"/>
    <w:rsid w:val="007A1AA5"/>
    <w:rsid w:val="007A22EF"/>
    <w:rsid w:val="007A2D43"/>
    <w:rsid w:val="007A2F2E"/>
    <w:rsid w:val="007A30A5"/>
    <w:rsid w:val="007A35D3"/>
    <w:rsid w:val="007A3C0B"/>
    <w:rsid w:val="007A44FE"/>
    <w:rsid w:val="007A4501"/>
    <w:rsid w:val="007A45E2"/>
    <w:rsid w:val="007A46F3"/>
    <w:rsid w:val="007A473F"/>
    <w:rsid w:val="007A4C7D"/>
    <w:rsid w:val="007A5774"/>
    <w:rsid w:val="007A57C7"/>
    <w:rsid w:val="007A599D"/>
    <w:rsid w:val="007A5C4A"/>
    <w:rsid w:val="007A5CFE"/>
    <w:rsid w:val="007A5DA4"/>
    <w:rsid w:val="007A609F"/>
    <w:rsid w:val="007A621A"/>
    <w:rsid w:val="007A62A5"/>
    <w:rsid w:val="007A65CC"/>
    <w:rsid w:val="007A65D9"/>
    <w:rsid w:val="007A6677"/>
    <w:rsid w:val="007A66DB"/>
    <w:rsid w:val="007A6801"/>
    <w:rsid w:val="007A6B67"/>
    <w:rsid w:val="007A7521"/>
    <w:rsid w:val="007A763F"/>
    <w:rsid w:val="007A7692"/>
    <w:rsid w:val="007A7A0B"/>
    <w:rsid w:val="007B01C5"/>
    <w:rsid w:val="007B027D"/>
    <w:rsid w:val="007B02C8"/>
    <w:rsid w:val="007B0D90"/>
    <w:rsid w:val="007B1493"/>
    <w:rsid w:val="007B1CAE"/>
    <w:rsid w:val="007B209F"/>
    <w:rsid w:val="007B219E"/>
    <w:rsid w:val="007B2610"/>
    <w:rsid w:val="007B2E91"/>
    <w:rsid w:val="007B339B"/>
    <w:rsid w:val="007B3547"/>
    <w:rsid w:val="007B366F"/>
    <w:rsid w:val="007B36BF"/>
    <w:rsid w:val="007B37D5"/>
    <w:rsid w:val="007B3B03"/>
    <w:rsid w:val="007B3F77"/>
    <w:rsid w:val="007B41E0"/>
    <w:rsid w:val="007B43D0"/>
    <w:rsid w:val="007B4BD9"/>
    <w:rsid w:val="007B5516"/>
    <w:rsid w:val="007B5645"/>
    <w:rsid w:val="007B5985"/>
    <w:rsid w:val="007B5CB4"/>
    <w:rsid w:val="007B662A"/>
    <w:rsid w:val="007B6975"/>
    <w:rsid w:val="007B6B6B"/>
    <w:rsid w:val="007B73EB"/>
    <w:rsid w:val="007B784A"/>
    <w:rsid w:val="007B78A1"/>
    <w:rsid w:val="007B7ABC"/>
    <w:rsid w:val="007B7E9F"/>
    <w:rsid w:val="007B7FED"/>
    <w:rsid w:val="007C00B1"/>
    <w:rsid w:val="007C01C1"/>
    <w:rsid w:val="007C0489"/>
    <w:rsid w:val="007C0D51"/>
    <w:rsid w:val="007C1578"/>
    <w:rsid w:val="007C182B"/>
    <w:rsid w:val="007C1885"/>
    <w:rsid w:val="007C19C6"/>
    <w:rsid w:val="007C1FC7"/>
    <w:rsid w:val="007C29A4"/>
    <w:rsid w:val="007C2BDA"/>
    <w:rsid w:val="007C2C43"/>
    <w:rsid w:val="007C2FA7"/>
    <w:rsid w:val="007C3393"/>
    <w:rsid w:val="007C341F"/>
    <w:rsid w:val="007C36A6"/>
    <w:rsid w:val="007C374B"/>
    <w:rsid w:val="007C4020"/>
    <w:rsid w:val="007C42DE"/>
    <w:rsid w:val="007C4B7E"/>
    <w:rsid w:val="007C4C77"/>
    <w:rsid w:val="007C55C8"/>
    <w:rsid w:val="007C55DA"/>
    <w:rsid w:val="007C5A25"/>
    <w:rsid w:val="007C5BEB"/>
    <w:rsid w:val="007C5C57"/>
    <w:rsid w:val="007C5E12"/>
    <w:rsid w:val="007C602A"/>
    <w:rsid w:val="007C6343"/>
    <w:rsid w:val="007C64AF"/>
    <w:rsid w:val="007C684A"/>
    <w:rsid w:val="007C698A"/>
    <w:rsid w:val="007C705F"/>
    <w:rsid w:val="007C72D4"/>
    <w:rsid w:val="007C73B3"/>
    <w:rsid w:val="007C7D27"/>
    <w:rsid w:val="007D10B3"/>
    <w:rsid w:val="007D10BF"/>
    <w:rsid w:val="007D1243"/>
    <w:rsid w:val="007D16F5"/>
    <w:rsid w:val="007D1BC4"/>
    <w:rsid w:val="007D24D9"/>
    <w:rsid w:val="007D28D8"/>
    <w:rsid w:val="007D2AE7"/>
    <w:rsid w:val="007D312C"/>
    <w:rsid w:val="007D34E7"/>
    <w:rsid w:val="007D3BCC"/>
    <w:rsid w:val="007D3E20"/>
    <w:rsid w:val="007D3F88"/>
    <w:rsid w:val="007D4024"/>
    <w:rsid w:val="007D4123"/>
    <w:rsid w:val="007D437B"/>
    <w:rsid w:val="007D50D6"/>
    <w:rsid w:val="007D5660"/>
    <w:rsid w:val="007D5FB0"/>
    <w:rsid w:val="007D6317"/>
    <w:rsid w:val="007D66A0"/>
    <w:rsid w:val="007D6981"/>
    <w:rsid w:val="007D6FB7"/>
    <w:rsid w:val="007D6FF4"/>
    <w:rsid w:val="007D7284"/>
    <w:rsid w:val="007D7291"/>
    <w:rsid w:val="007D7418"/>
    <w:rsid w:val="007D7CD0"/>
    <w:rsid w:val="007D7E52"/>
    <w:rsid w:val="007E05C6"/>
    <w:rsid w:val="007E0FF0"/>
    <w:rsid w:val="007E1026"/>
    <w:rsid w:val="007E1155"/>
    <w:rsid w:val="007E18E6"/>
    <w:rsid w:val="007E19B4"/>
    <w:rsid w:val="007E1AD6"/>
    <w:rsid w:val="007E2096"/>
    <w:rsid w:val="007E20A6"/>
    <w:rsid w:val="007E20A7"/>
    <w:rsid w:val="007E20D0"/>
    <w:rsid w:val="007E2906"/>
    <w:rsid w:val="007E2C3F"/>
    <w:rsid w:val="007E2C75"/>
    <w:rsid w:val="007E2D97"/>
    <w:rsid w:val="007E2F56"/>
    <w:rsid w:val="007E3234"/>
    <w:rsid w:val="007E3246"/>
    <w:rsid w:val="007E346E"/>
    <w:rsid w:val="007E365B"/>
    <w:rsid w:val="007E4150"/>
    <w:rsid w:val="007E456E"/>
    <w:rsid w:val="007E4C77"/>
    <w:rsid w:val="007E4FF9"/>
    <w:rsid w:val="007E5232"/>
    <w:rsid w:val="007E5322"/>
    <w:rsid w:val="007E595A"/>
    <w:rsid w:val="007E5D49"/>
    <w:rsid w:val="007E671C"/>
    <w:rsid w:val="007E6D10"/>
    <w:rsid w:val="007E6F5C"/>
    <w:rsid w:val="007E7172"/>
    <w:rsid w:val="007E79DA"/>
    <w:rsid w:val="007E79E2"/>
    <w:rsid w:val="007F074D"/>
    <w:rsid w:val="007F0D4D"/>
    <w:rsid w:val="007F125A"/>
    <w:rsid w:val="007F15AD"/>
    <w:rsid w:val="007F1956"/>
    <w:rsid w:val="007F21C1"/>
    <w:rsid w:val="007F2918"/>
    <w:rsid w:val="007F2BBD"/>
    <w:rsid w:val="007F324F"/>
    <w:rsid w:val="007F35D1"/>
    <w:rsid w:val="007F3620"/>
    <w:rsid w:val="007F3990"/>
    <w:rsid w:val="007F4102"/>
    <w:rsid w:val="007F4344"/>
    <w:rsid w:val="007F4FB0"/>
    <w:rsid w:val="007F63FA"/>
    <w:rsid w:val="007F6B66"/>
    <w:rsid w:val="007F704E"/>
    <w:rsid w:val="007F7261"/>
    <w:rsid w:val="007F761B"/>
    <w:rsid w:val="007F792B"/>
    <w:rsid w:val="007F79EF"/>
    <w:rsid w:val="007F7B65"/>
    <w:rsid w:val="0080043D"/>
    <w:rsid w:val="008005EB"/>
    <w:rsid w:val="00800A7C"/>
    <w:rsid w:val="00800E86"/>
    <w:rsid w:val="00800F1C"/>
    <w:rsid w:val="00801241"/>
    <w:rsid w:val="0080169A"/>
    <w:rsid w:val="0080231F"/>
    <w:rsid w:val="00802F88"/>
    <w:rsid w:val="008030FB"/>
    <w:rsid w:val="008036A8"/>
    <w:rsid w:val="008036C5"/>
    <w:rsid w:val="0080383E"/>
    <w:rsid w:val="00803919"/>
    <w:rsid w:val="00803C3E"/>
    <w:rsid w:val="00803DC0"/>
    <w:rsid w:val="008040D4"/>
    <w:rsid w:val="00804AD4"/>
    <w:rsid w:val="00804E48"/>
    <w:rsid w:val="0080504A"/>
    <w:rsid w:val="00805886"/>
    <w:rsid w:val="00805E13"/>
    <w:rsid w:val="00806D9A"/>
    <w:rsid w:val="00806DC3"/>
    <w:rsid w:val="00806E45"/>
    <w:rsid w:val="00806F44"/>
    <w:rsid w:val="008077DD"/>
    <w:rsid w:val="008077E7"/>
    <w:rsid w:val="008078B4"/>
    <w:rsid w:val="00807F36"/>
    <w:rsid w:val="00810051"/>
    <w:rsid w:val="008100D4"/>
    <w:rsid w:val="00810634"/>
    <w:rsid w:val="00810FEE"/>
    <w:rsid w:val="00811D26"/>
    <w:rsid w:val="00811D74"/>
    <w:rsid w:val="008121A6"/>
    <w:rsid w:val="00812453"/>
    <w:rsid w:val="0081254E"/>
    <w:rsid w:val="00812608"/>
    <w:rsid w:val="0081287D"/>
    <w:rsid w:val="008128FA"/>
    <w:rsid w:val="00812BD1"/>
    <w:rsid w:val="008139E7"/>
    <w:rsid w:val="00813B8E"/>
    <w:rsid w:val="00813CD4"/>
    <w:rsid w:val="00814FAF"/>
    <w:rsid w:val="00815497"/>
    <w:rsid w:val="008163CE"/>
    <w:rsid w:val="00816574"/>
    <w:rsid w:val="00816D13"/>
    <w:rsid w:val="00817005"/>
    <w:rsid w:val="008170D3"/>
    <w:rsid w:val="008173D1"/>
    <w:rsid w:val="008173D4"/>
    <w:rsid w:val="00817ED9"/>
    <w:rsid w:val="00817FEE"/>
    <w:rsid w:val="0082029D"/>
    <w:rsid w:val="00820811"/>
    <w:rsid w:val="00820C0C"/>
    <w:rsid w:val="00820CDE"/>
    <w:rsid w:val="00820D7F"/>
    <w:rsid w:val="00821092"/>
    <w:rsid w:val="0082152C"/>
    <w:rsid w:val="00821539"/>
    <w:rsid w:val="00821726"/>
    <w:rsid w:val="0082184D"/>
    <w:rsid w:val="00821A77"/>
    <w:rsid w:val="00821AB2"/>
    <w:rsid w:val="00821FA0"/>
    <w:rsid w:val="00822991"/>
    <w:rsid w:val="008229BA"/>
    <w:rsid w:val="00823006"/>
    <w:rsid w:val="008232E8"/>
    <w:rsid w:val="00823CCE"/>
    <w:rsid w:val="00824924"/>
    <w:rsid w:val="00824D05"/>
    <w:rsid w:val="00824F8D"/>
    <w:rsid w:val="00825164"/>
    <w:rsid w:val="00825424"/>
    <w:rsid w:val="0082552B"/>
    <w:rsid w:val="00826BA0"/>
    <w:rsid w:val="00827BA4"/>
    <w:rsid w:val="00827C7A"/>
    <w:rsid w:val="00827E46"/>
    <w:rsid w:val="008306F7"/>
    <w:rsid w:val="00830D55"/>
    <w:rsid w:val="00831032"/>
    <w:rsid w:val="008310F2"/>
    <w:rsid w:val="00831BC0"/>
    <w:rsid w:val="00832523"/>
    <w:rsid w:val="00832B44"/>
    <w:rsid w:val="008332C8"/>
    <w:rsid w:val="0083341D"/>
    <w:rsid w:val="00833567"/>
    <w:rsid w:val="00833806"/>
    <w:rsid w:val="00833B0C"/>
    <w:rsid w:val="008343F3"/>
    <w:rsid w:val="00834823"/>
    <w:rsid w:val="008357A2"/>
    <w:rsid w:val="00835951"/>
    <w:rsid w:val="00835BA3"/>
    <w:rsid w:val="00836044"/>
    <w:rsid w:val="00836489"/>
    <w:rsid w:val="00836FCD"/>
    <w:rsid w:val="00837179"/>
    <w:rsid w:val="00837382"/>
    <w:rsid w:val="00837C74"/>
    <w:rsid w:val="00837DA6"/>
    <w:rsid w:val="008415E1"/>
    <w:rsid w:val="00841609"/>
    <w:rsid w:val="008418E3"/>
    <w:rsid w:val="00841B6E"/>
    <w:rsid w:val="0084209E"/>
    <w:rsid w:val="008420A1"/>
    <w:rsid w:val="0084243A"/>
    <w:rsid w:val="00842478"/>
    <w:rsid w:val="0084247E"/>
    <w:rsid w:val="00842639"/>
    <w:rsid w:val="00842A95"/>
    <w:rsid w:val="0084342A"/>
    <w:rsid w:val="0084364B"/>
    <w:rsid w:val="00843941"/>
    <w:rsid w:val="008439D4"/>
    <w:rsid w:val="00843C13"/>
    <w:rsid w:val="00844483"/>
    <w:rsid w:val="008444FB"/>
    <w:rsid w:val="008445CD"/>
    <w:rsid w:val="00844792"/>
    <w:rsid w:val="008448E6"/>
    <w:rsid w:val="00845233"/>
    <w:rsid w:val="008457AF"/>
    <w:rsid w:val="0084597C"/>
    <w:rsid w:val="008460A4"/>
    <w:rsid w:val="008460F9"/>
    <w:rsid w:val="00846621"/>
    <w:rsid w:val="008468DC"/>
    <w:rsid w:val="00846D6C"/>
    <w:rsid w:val="00846E96"/>
    <w:rsid w:val="00846EAA"/>
    <w:rsid w:val="00847077"/>
    <w:rsid w:val="0084739E"/>
    <w:rsid w:val="0084752F"/>
    <w:rsid w:val="00847C5A"/>
    <w:rsid w:val="00847E3A"/>
    <w:rsid w:val="0085036F"/>
    <w:rsid w:val="00850A90"/>
    <w:rsid w:val="00850EDF"/>
    <w:rsid w:val="008513F3"/>
    <w:rsid w:val="00851BD1"/>
    <w:rsid w:val="00852B1D"/>
    <w:rsid w:val="00853062"/>
    <w:rsid w:val="00853577"/>
    <w:rsid w:val="00853746"/>
    <w:rsid w:val="008544CC"/>
    <w:rsid w:val="008544FC"/>
    <w:rsid w:val="0085452E"/>
    <w:rsid w:val="00854629"/>
    <w:rsid w:val="00854C9F"/>
    <w:rsid w:val="0085519E"/>
    <w:rsid w:val="00855A58"/>
    <w:rsid w:val="00855A5B"/>
    <w:rsid w:val="00855E19"/>
    <w:rsid w:val="00855E24"/>
    <w:rsid w:val="00855EE4"/>
    <w:rsid w:val="00855F47"/>
    <w:rsid w:val="00856615"/>
    <w:rsid w:val="008567A2"/>
    <w:rsid w:val="00856950"/>
    <w:rsid w:val="00856A42"/>
    <w:rsid w:val="00856A68"/>
    <w:rsid w:val="00856D5B"/>
    <w:rsid w:val="00857574"/>
    <w:rsid w:val="00857E14"/>
    <w:rsid w:val="00860952"/>
    <w:rsid w:val="00861911"/>
    <w:rsid w:val="008620CA"/>
    <w:rsid w:val="0086215F"/>
    <w:rsid w:val="008621CC"/>
    <w:rsid w:val="00862492"/>
    <w:rsid w:val="00862653"/>
    <w:rsid w:val="00863264"/>
    <w:rsid w:val="008634BC"/>
    <w:rsid w:val="0086357F"/>
    <w:rsid w:val="00863C61"/>
    <w:rsid w:val="00863F95"/>
    <w:rsid w:val="008640EE"/>
    <w:rsid w:val="00864251"/>
    <w:rsid w:val="00864870"/>
    <w:rsid w:val="008648EA"/>
    <w:rsid w:val="00864ACA"/>
    <w:rsid w:val="00865576"/>
    <w:rsid w:val="00865AB6"/>
    <w:rsid w:val="00866120"/>
    <w:rsid w:val="008662C5"/>
    <w:rsid w:val="00866615"/>
    <w:rsid w:val="00866A1B"/>
    <w:rsid w:val="00866E3E"/>
    <w:rsid w:val="008673A9"/>
    <w:rsid w:val="008674EA"/>
    <w:rsid w:val="00867BBD"/>
    <w:rsid w:val="00867CEC"/>
    <w:rsid w:val="00871566"/>
    <w:rsid w:val="008716EE"/>
    <w:rsid w:val="00871F0D"/>
    <w:rsid w:val="008721E9"/>
    <w:rsid w:val="008724DB"/>
    <w:rsid w:val="008727D8"/>
    <w:rsid w:val="00872C11"/>
    <w:rsid w:val="00872C5F"/>
    <w:rsid w:val="00872C6D"/>
    <w:rsid w:val="00872F28"/>
    <w:rsid w:val="00873380"/>
    <w:rsid w:val="008734EA"/>
    <w:rsid w:val="00873828"/>
    <w:rsid w:val="008738AE"/>
    <w:rsid w:val="00873E35"/>
    <w:rsid w:val="00874409"/>
    <w:rsid w:val="00874666"/>
    <w:rsid w:val="0087472E"/>
    <w:rsid w:val="00874B8A"/>
    <w:rsid w:val="00874D19"/>
    <w:rsid w:val="00875BFF"/>
    <w:rsid w:val="00875E6B"/>
    <w:rsid w:val="00875ED0"/>
    <w:rsid w:val="008766F0"/>
    <w:rsid w:val="0088014E"/>
    <w:rsid w:val="00880300"/>
    <w:rsid w:val="008804B5"/>
    <w:rsid w:val="00880744"/>
    <w:rsid w:val="008807D2"/>
    <w:rsid w:val="00880BEC"/>
    <w:rsid w:val="00880D16"/>
    <w:rsid w:val="00881654"/>
    <w:rsid w:val="0088195E"/>
    <w:rsid w:val="00881A61"/>
    <w:rsid w:val="00881D30"/>
    <w:rsid w:val="00882135"/>
    <w:rsid w:val="008826EF"/>
    <w:rsid w:val="00882755"/>
    <w:rsid w:val="00882D46"/>
    <w:rsid w:val="008834D1"/>
    <w:rsid w:val="00883ED9"/>
    <w:rsid w:val="00884798"/>
    <w:rsid w:val="00884974"/>
    <w:rsid w:val="00884D73"/>
    <w:rsid w:val="008853FE"/>
    <w:rsid w:val="008857F7"/>
    <w:rsid w:val="00885918"/>
    <w:rsid w:val="00885AF2"/>
    <w:rsid w:val="0088669D"/>
    <w:rsid w:val="00886B00"/>
    <w:rsid w:val="00886D89"/>
    <w:rsid w:val="00886EE9"/>
    <w:rsid w:val="008870F4"/>
    <w:rsid w:val="00890A4B"/>
    <w:rsid w:val="00890B4F"/>
    <w:rsid w:val="008911F5"/>
    <w:rsid w:val="00891564"/>
    <w:rsid w:val="00891953"/>
    <w:rsid w:val="00892557"/>
    <w:rsid w:val="008925D4"/>
    <w:rsid w:val="00892673"/>
    <w:rsid w:val="008927A0"/>
    <w:rsid w:val="00892D12"/>
    <w:rsid w:val="00894108"/>
    <w:rsid w:val="00894B81"/>
    <w:rsid w:val="00894C99"/>
    <w:rsid w:val="00894D12"/>
    <w:rsid w:val="00894ED2"/>
    <w:rsid w:val="0089500B"/>
    <w:rsid w:val="0089502E"/>
    <w:rsid w:val="00895429"/>
    <w:rsid w:val="00895497"/>
    <w:rsid w:val="00895E7C"/>
    <w:rsid w:val="008964E6"/>
    <w:rsid w:val="00896553"/>
    <w:rsid w:val="00896AAC"/>
    <w:rsid w:val="00896AEE"/>
    <w:rsid w:val="008970D2"/>
    <w:rsid w:val="00897375"/>
    <w:rsid w:val="00897453"/>
    <w:rsid w:val="00897655"/>
    <w:rsid w:val="00897A85"/>
    <w:rsid w:val="00897EC0"/>
    <w:rsid w:val="008A0684"/>
    <w:rsid w:val="008A06AA"/>
    <w:rsid w:val="008A0723"/>
    <w:rsid w:val="008A08EC"/>
    <w:rsid w:val="008A1669"/>
    <w:rsid w:val="008A166F"/>
    <w:rsid w:val="008A17A2"/>
    <w:rsid w:val="008A22CD"/>
    <w:rsid w:val="008A2889"/>
    <w:rsid w:val="008A2F3A"/>
    <w:rsid w:val="008A4485"/>
    <w:rsid w:val="008A491A"/>
    <w:rsid w:val="008A4B6B"/>
    <w:rsid w:val="008A4D07"/>
    <w:rsid w:val="008A4EED"/>
    <w:rsid w:val="008A4F85"/>
    <w:rsid w:val="008A58DC"/>
    <w:rsid w:val="008A594A"/>
    <w:rsid w:val="008A6E40"/>
    <w:rsid w:val="008A70B5"/>
    <w:rsid w:val="008A79DB"/>
    <w:rsid w:val="008A7AF9"/>
    <w:rsid w:val="008B0006"/>
    <w:rsid w:val="008B044F"/>
    <w:rsid w:val="008B0673"/>
    <w:rsid w:val="008B094A"/>
    <w:rsid w:val="008B0F19"/>
    <w:rsid w:val="008B1EA5"/>
    <w:rsid w:val="008B208E"/>
    <w:rsid w:val="008B224E"/>
    <w:rsid w:val="008B244B"/>
    <w:rsid w:val="008B2B09"/>
    <w:rsid w:val="008B303C"/>
    <w:rsid w:val="008B3A40"/>
    <w:rsid w:val="008B3E02"/>
    <w:rsid w:val="008B434E"/>
    <w:rsid w:val="008B4366"/>
    <w:rsid w:val="008B46F2"/>
    <w:rsid w:val="008B492A"/>
    <w:rsid w:val="008B4A7F"/>
    <w:rsid w:val="008B4E36"/>
    <w:rsid w:val="008B5344"/>
    <w:rsid w:val="008B5381"/>
    <w:rsid w:val="008B561F"/>
    <w:rsid w:val="008B5B03"/>
    <w:rsid w:val="008B5BF3"/>
    <w:rsid w:val="008B5C28"/>
    <w:rsid w:val="008B5C40"/>
    <w:rsid w:val="008B5FDC"/>
    <w:rsid w:val="008B6DD7"/>
    <w:rsid w:val="008B72DB"/>
    <w:rsid w:val="008B7697"/>
    <w:rsid w:val="008B770F"/>
    <w:rsid w:val="008B7998"/>
    <w:rsid w:val="008B7A51"/>
    <w:rsid w:val="008B7CB5"/>
    <w:rsid w:val="008C0534"/>
    <w:rsid w:val="008C069D"/>
    <w:rsid w:val="008C0C6C"/>
    <w:rsid w:val="008C103C"/>
    <w:rsid w:val="008C15D1"/>
    <w:rsid w:val="008C19EE"/>
    <w:rsid w:val="008C1FA1"/>
    <w:rsid w:val="008C20BB"/>
    <w:rsid w:val="008C24BB"/>
    <w:rsid w:val="008C263D"/>
    <w:rsid w:val="008C27F9"/>
    <w:rsid w:val="008C2955"/>
    <w:rsid w:val="008C2957"/>
    <w:rsid w:val="008C2E3F"/>
    <w:rsid w:val="008C312A"/>
    <w:rsid w:val="008C338E"/>
    <w:rsid w:val="008C3B5D"/>
    <w:rsid w:val="008C4233"/>
    <w:rsid w:val="008C4467"/>
    <w:rsid w:val="008C47CA"/>
    <w:rsid w:val="008C4828"/>
    <w:rsid w:val="008C4A7B"/>
    <w:rsid w:val="008C4AD7"/>
    <w:rsid w:val="008C4FA3"/>
    <w:rsid w:val="008C5259"/>
    <w:rsid w:val="008C5399"/>
    <w:rsid w:val="008C582E"/>
    <w:rsid w:val="008C6373"/>
    <w:rsid w:val="008C6478"/>
    <w:rsid w:val="008C69BF"/>
    <w:rsid w:val="008C6F1D"/>
    <w:rsid w:val="008C7680"/>
    <w:rsid w:val="008C7996"/>
    <w:rsid w:val="008C7AB2"/>
    <w:rsid w:val="008D0512"/>
    <w:rsid w:val="008D0843"/>
    <w:rsid w:val="008D0E73"/>
    <w:rsid w:val="008D0EA8"/>
    <w:rsid w:val="008D0EDD"/>
    <w:rsid w:val="008D1315"/>
    <w:rsid w:val="008D21BA"/>
    <w:rsid w:val="008D2D11"/>
    <w:rsid w:val="008D2FE3"/>
    <w:rsid w:val="008D31AF"/>
    <w:rsid w:val="008D37BB"/>
    <w:rsid w:val="008D39C1"/>
    <w:rsid w:val="008D3C7D"/>
    <w:rsid w:val="008D3FB5"/>
    <w:rsid w:val="008D4105"/>
    <w:rsid w:val="008D4330"/>
    <w:rsid w:val="008D4918"/>
    <w:rsid w:val="008D49FA"/>
    <w:rsid w:val="008D551A"/>
    <w:rsid w:val="008D5590"/>
    <w:rsid w:val="008D6346"/>
    <w:rsid w:val="008D646A"/>
    <w:rsid w:val="008D64F5"/>
    <w:rsid w:val="008D6C0F"/>
    <w:rsid w:val="008D7885"/>
    <w:rsid w:val="008D7DF6"/>
    <w:rsid w:val="008D7F38"/>
    <w:rsid w:val="008E06FA"/>
    <w:rsid w:val="008E0CE8"/>
    <w:rsid w:val="008E0EC6"/>
    <w:rsid w:val="008E135B"/>
    <w:rsid w:val="008E1B9A"/>
    <w:rsid w:val="008E1E02"/>
    <w:rsid w:val="008E1F35"/>
    <w:rsid w:val="008E26C6"/>
    <w:rsid w:val="008E270C"/>
    <w:rsid w:val="008E2B7D"/>
    <w:rsid w:val="008E2BC7"/>
    <w:rsid w:val="008E2C40"/>
    <w:rsid w:val="008E302A"/>
    <w:rsid w:val="008E34A7"/>
    <w:rsid w:val="008E4819"/>
    <w:rsid w:val="008E5422"/>
    <w:rsid w:val="008E5C3B"/>
    <w:rsid w:val="008E5DD1"/>
    <w:rsid w:val="008E643E"/>
    <w:rsid w:val="008E646C"/>
    <w:rsid w:val="008E6CD4"/>
    <w:rsid w:val="008E7710"/>
    <w:rsid w:val="008E7934"/>
    <w:rsid w:val="008F032C"/>
    <w:rsid w:val="008F0684"/>
    <w:rsid w:val="008F1A7A"/>
    <w:rsid w:val="008F219B"/>
    <w:rsid w:val="008F283B"/>
    <w:rsid w:val="008F2BD0"/>
    <w:rsid w:val="008F2D4E"/>
    <w:rsid w:val="008F2E88"/>
    <w:rsid w:val="008F300F"/>
    <w:rsid w:val="008F3F6F"/>
    <w:rsid w:val="008F4BC9"/>
    <w:rsid w:val="008F4D57"/>
    <w:rsid w:val="008F4E08"/>
    <w:rsid w:val="008F502F"/>
    <w:rsid w:val="008F52D6"/>
    <w:rsid w:val="008F57BF"/>
    <w:rsid w:val="008F6FCD"/>
    <w:rsid w:val="008F700F"/>
    <w:rsid w:val="008F7567"/>
    <w:rsid w:val="008F75A0"/>
    <w:rsid w:val="008F79DC"/>
    <w:rsid w:val="008F7C04"/>
    <w:rsid w:val="008F7E93"/>
    <w:rsid w:val="00900648"/>
    <w:rsid w:val="00900C78"/>
    <w:rsid w:val="00901292"/>
    <w:rsid w:val="00901ABB"/>
    <w:rsid w:val="009021B5"/>
    <w:rsid w:val="00902CDB"/>
    <w:rsid w:val="00902F99"/>
    <w:rsid w:val="00902FA2"/>
    <w:rsid w:val="0090348D"/>
    <w:rsid w:val="00903640"/>
    <w:rsid w:val="00903832"/>
    <w:rsid w:val="00903931"/>
    <w:rsid w:val="0090467E"/>
    <w:rsid w:val="00904CDD"/>
    <w:rsid w:val="00904F35"/>
    <w:rsid w:val="0090512D"/>
    <w:rsid w:val="00905263"/>
    <w:rsid w:val="009056EA"/>
    <w:rsid w:val="009058FE"/>
    <w:rsid w:val="0090601D"/>
    <w:rsid w:val="009061E1"/>
    <w:rsid w:val="009067E2"/>
    <w:rsid w:val="00906D56"/>
    <w:rsid w:val="00907183"/>
    <w:rsid w:val="009104B0"/>
    <w:rsid w:val="00910612"/>
    <w:rsid w:val="00911428"/>
    <w:rsid w:val="00911C9F"/>
    <w:rsid w:val="0091275E"/>
    <w:rsid w:val="00912992"/>
    <w:rsid w:val="00912ACD"/>
    <w:rsid w:val="00912BE1"/>
    <w:rsid w:val="00912D43"/>
    <w:rsid w:val="00912E48"/>
    <w:rsid w:val="00912F75"/>
    <w:rsid w:val="00913121"/>
    <w:rsid w:val="009135E0"/>
    <w:rsid w:val="00913947"/>
    <w:rsid w:val="00913CA8"/>
    <w:rsid w:val="00913FB5"/>
    <w:rsid w:val="009143E6"/>
    <w:rsid w:val="0091443A"/>
    <w:rsid w:val="00914494"/>
    <w:rsid w:val="009145A2"/>
    <w:rsid w:val="00914808"/>
    <w:rsid w:val="00914AC8"/>
    <w:rsid w:val="00915321"/>
    <w:rsid w:val="009153F8"/>
    <w:rsid w:val="00915AE2"/>
    <w:rsid w:val="00915D86"/>
    <w:rsid w:val="00916730"/>
    <w:rsid w:val="00916E05"/>
    <w:rsid w:val="00916FEA"/>
    <w:rsid w:val="009170F0"/>
    <w:rsid w:val="00917282"/>
    <w:rsid w:val="0091729D"/>
    <w:rsid w:val="009172B6"/>
    <w:rsid w:val="009175F7"/>
    <w:rsid w:val="00920542"/>
    <w:rsid w:val="00921F0C"/>
    <w:rsid w:val="0092229B"/>
    <w:rsid w:val="009225A8"/>
    <w:rsid w:val="00923155"/>
    <w:rsid w:val="009234D6"/>
    <w:rsid w:val="0092381C"/>
    <w:rsid w:val="009242BF"/>
    <w:rsid w:val="00924635"/>
    <w:rsid w:val="0092463A"/>
    <w:rsid w:val="00924AB7"/>
    <w:rsid w:val="00924F0A"/>
    <w:rsid w:val="00924FB7"/>
    <w:rsid w:val="00925672"/>
    <w:rsid w:val="0092569A"/>
    <w:rsid w:val="009258B1"/>
    <w:rsid w:val="00925CBB"/>
    <w:rsid w:val="0092621D"/>
    <w:rsid w:val="0092677C"/>
    <w:rsid w:val="00926925"/>
    <w:rsid w:val="00926A4F"/>
    <w:rsid w:val="00926A99"/>
    <w:rsid w:val="009271B6"/>
    <w:rsid w:val="009271E8"/>
    <w:rsid w:val="0092722D"/>
    <w:rsid w:val="009272AC"/>
    <w:rsid w:val="009276AC"/>
    <w:rsid w:val="009276B0"/>
    <w:rsid w:val="009279C2"/>
    <w:rsid w:val="009300E7"/>
    <w:rsid w:val="00930299"/>
    <w:rsid w:val="009303A4"/>
    <w:rsid w:val="009303D0"/>
    <w:rsid w:val="009305B9"/>
    <w:rsid w:val="00931007"/>
    <w:rsid w:val="009312B1"/>
    <w:rsid w:val="00931989"/>
    <w:rsid w:val="009319F3"/>
    <w:rsid w:val="00931A50"/>
    <w:rsid w:val="00931AB5"/>
    <w:rsid w:val="00932F53"/>
    <w:rsid w:val="00933437"/>
    <w:rsid w:val="0093361B"/>
    <w:rsid w:val="009339E4"/>
    <w:rsid w:val="00933FAB"/>
    <w:rsid w:val="00934025"/>
    <w:rsid w:val="00934207"/>
    <w:rsid w:val="00934347"/>
    <w:rsid w:val="009345CA"/>
    <w:rsid w:val="00934CC2"/>
    <w:rsid w:val="009355AB"/>
    <w:rsid w:val="009357A9"/>
    <w:rsid w:val="009358DC"/>
    <w:rsid w:val="009360DD"/>
    <w:rsid w:val="009361D8"/>
    <w:rsid w:val="00936768"/>
    <w:rsid w:val="00936A0C"/>
    <w:rsid w:val="009372DB"/>
    <w:rsid w:val="009379A4"/>
    <w:rsid w:val="009405CF"/>
    <w:rsid w:val="00940D03"/>
    <w:rsid w:val="00940F81"/>
    <w:rsid w:val="009413B3"/>
    <w:rsid w:val="00941434"/>
    <w:rsid w:val="009421BF"/>
    <w:rsid w:val="00942C57"/>
    <w:rsid w:val="00942C60"/>
    <w:rsid w:val="009433F8"/>
    <w:rsid w:val="0094360E"/>
    <w:rsid w:val="009442D2"/>
    <w:rsid w:val="00944BD1"/>
    <w:rsid w:val="00944F00"/>
    <w:rsid w:val="00944F99"/>
    <w:rsid w:val="0094542B"/>
    <w:rsid w:val="009457E9"/>
    <w:rsid w:val="0094583B"/>
    <w:rsid w:val="00945B44"/>
    <w:rsid w:val="00945B8F"/>
    <w:rsid w:val="00945FEA"/>
    <w:rsid w:val="00946336"/>
    <w:rsid w:val="00946370"/>
    <w:rsid w:val="00946462"/>
    <w:rsid w:val="009467C1"/>
    <w:rsid w:val="00946E72"/>
    <w:rsid w:val="00946EA8"/>
    <w:rsid w:val="0094704E"/>
    <w:rsid w:val="009473A1"/>
    <w:rsid w:val="009475A3"/>
    <w:rsid w:val="009475CD"/>
    <w:rsid w:val="00947657"/>
    <w:rsid w:val="00947D55"/>
    <w:rsid w:val="00947E6D"/>
    <w:rsid w:val="009501EF"/>
    <w:rsid w:val="009502ED"/>
    <w:rsid w:val="0095039C"/>
    <w:rsid w:val="009506D5"/>
    <w:rsid w:val="009506E5"/>
    <w:rsid w:val="00950A96"/>
    <w:rsid w:val="0095153A"/>
    <w:rsid w:val="009515DC"/>
    <w:rsid w:val="0095164B"/>
    <w:rsid w:val="009517FE"/>
    <w:rsid w:val="00951F6B"/>
    <w:rsid w:val="0095215F"/>
    <w:rsid w:val="0095280D"/>
    <w:rsid w:val="00952C7A"/>
    <w:rsid w:val="00952D7D"/>
    <w:rsid w:val="00953107"/>
    <w:rsid w:val="009532D9"/>
    <w:rsid w:val="00953D32"/>
    <w:rsid w:val="00954404"/>
    <w:rsid w:val="00954938"/>
    <w:rsid w:val="009550F0"/>
    <w:rsid w:val="00955539"/>
    <w:rsid w:val="0095573C"/>
    <w:rsid w:val="00955DFB"/>
    <w:rsid w:val="00955F74"/>
    <w:rsid w:val="009561FF"/>
    <w:rsid w:val="009566F5"/>
    <w:rsid w:val="009567E7"/>
    <w:rsid w:val="00957117"/>
    <w:rsid w:val="00957DBA"/>
    <w:rsid w:val="0096036E"/>
    <w:rsid w:val="00960BE3"/>
    <w:rsid w:val="00961298"/>
    <w:rsid w:val="00961D77"/>
    <w:rsid w:val="00962056"/>
    <w:rsid w:val="009627F5"/>
    <w:rsid w:val="00962D0A"/>
    <w:rsid w:val="00962DA3"/>
    <w:rsid w:val="00962EB9"/>
    <w:rsid w:val="00963037"/>
    <w:rsid w:val="00963C93"/>
    <w:rsid w:val="009640CF"/>
    <w:rsid w:val="009649D2"/>
    <w:rsid w:val="00964E9A"/>
    <w:rsid w:val="0096588E"/>
    <w:rsid w:val="00965D43"/>
    <w:rsid w:val="00965D4A"/>
    <w:rsid w:val="00965D5A"/>
    <w:rsid w:val="0096600E"/>
    <w:rsid w:val="009662AF"/>
    <w:rsid w:val="00966428"/>
    <w:rsid w:val="00966617"/>
    <w:rsid w:val="00967081"/>
    <w:rsid w:val="00967612"/>
    <w:rsid w:val="00970474"/>
    <w:rsid w:val="009704C8"/>
    <w:rsid w:val="00970A65"/>
    <w:rsid w:val="00970F56"/>
    <w:rsid w:val="00970F69"/>
    <w:rsid w:val="009714CF"/>
    <w:rsid w:val="009715A5"/>
    <w:rsid w:val="00971634"/>
    <w:rsid w:val="0097163F"/>
    <w:rsid w:val="00971771"/>
    <w:rsid w:val="00971CB2"/>
    <w:rsid w:val="0097222A"/>
    <w:rsid w:val="009722D2"/>
    <w:rsid w:val="009725CB"/>
    <w:rsid w:val="00972611"/>
    <w:rsid w:val="00972BD3"/>
    <w:rsid w:val="009732C1"/>
    <w:rsid w:val="00973B6C"/>
    <w:rsid w:val="00973FDF"/>
    <w:rsid w:val="00974290"/>
    <w:rsid w:val="00974EB6"/>
    <w:rsid w:val="0097507E"/>
    <w:rsid w:val="0097570D"/>
    <w:rsid w:val="009757AB"/>
    <w:rsid w:val="00975F38"/>
    <w:rsid w:val="00976178"/>
    <w:rsid w:val="00976290"/>
    <w:rsid w:val="00976368"/>
    <w:rsid w:val="0097671B"/>
    <w:rsid w:val="0098024A"/>
    <w:rsid w:val="009805C2"/>
    <w:rsid w:val="00980A07"/>
    <w:rsid w:val="00980BBE"/>
    <w:rsid w:val="00980D12"/>
    <w:rsid w:val="0098117D"/>
    <w:rsid w:val="009829FD"/>
    <w:rsid w:val="00982D10"/>
    <w:rsid w:val="00982D1C"/>
    <w:rsid w:val="00983242"/>
    <w:rsid w:val="009839D1"/>
    <w:rsid w:val="00984ED5"/>
    <w:rsid w:val="009854A3"/>
    <w:rsid w:val="009855F8"/>
    <w:rsid w:val="009859F2"/>
    <w:rsid w:val="00985D3D"/>
    <w:rsid w:val="0098636D"/>
    <w:rsid w:val="009863D3"/>
    <w:rsid w:val="00986519"/>
    <w:rsid w:val="0098658E"/>
    <w:rsid w:val="009876AC"/>
    <w:rsid w:val="009877FD"/>
    <w:rsid w:val="00987F97"/>
    <w:rsid w:val="00987FAA"/>
    <w:rsid w:val="00990531"/>
    <w:rsid w:val="009906A7"/>
    <w:rsid w:val="00990D57"/>
    <w:rsid w:val="00990F0E"/>
    <w:rsid w:val="0099151B"/>
    <w:rsid w:val="00991712"/>
    <w:rsid w:val="00991A45"/>
    <w:rsid w:val="00991B6B"/>
    <w:rsid w:val="00991D33"/>
    <w:rsid w:val="009926EB"/>
    <w:rsid w:val="009926F8"/>
    <w:rsid w:val="00992CB9"/>
    <w:rsid w:val="00993903"/>
    <w:rsid w:val="00993E6B"/>
    <w:rsid w:val="00994099"/>
    <w:rsid w:val="0099419B"/>
    <w:rsid w:val="00995CB3"/>
    <w:rsid w:val="00995D93"/>
    <w:rsid w:val="00995F51"/>
    <w:rsid w:val="00996F7D"/>
    <w:rsid w:val="00997074"/>
    <w:rsid w:val="00997099"/>
    <w:rsid w:val="009970EF"/>
    <w:rsid w:val="00997ECA"/>
    <w:rsid w:val="009A004C"/>
    <w:rsid w:val="009A06D8"/>
    <w:rsid w:val="009A0908"/>
    <w:rsid w:val="009A114C"/>
    <w:rsid w:val="009A13B3"/>
    <w:rsid w:val="009A149F"/>
    <w:rsid w:val="009A1BE6"/>
    <w:rsid w:val="009A1CF9"/>
    <w:rsid w:val="009A1E35"/>
    <w:rsid w:val="009A254F"/>
    <w:rsid w:val="009A25B9"/>
    <w:rsid w:val="009A26AD"/>
    <w:rsid w:val="009A2D84"/>
    <w:rsid w:val="009A351B"/>
    <w:rsid w:val="009A35FE"/>
    <w:rsid w:val="009A3B4E"/>
    <w:rsid w:val="009A3DAB"/>
    <w:rsid w:val="009A3E9D"/>
    <w:rsid w:val="009A3FBA"/>
    <w:rsid w:val="009A517A"/>
    <w:rsid w:val="009A5278"/>
    <w:rsid w:val="009A55DF"/>
    <w:rsid w:val="009A5792"/>
    <w:rsid w:val="009A582F"/>
    <w:rsid w:val="009A60DD"/>
    <w:rsid w:val="009A6DDF"/>
    <w:rsid w:val="009A7368"/>
    <w:rsid w:val="009A7636"/>
    <w:rsid w:val="009A7B8A"/>
    <w:rsid w:val="009B090E"/>
    <w:rsid w:val="009B0D9E"/>
    <w:rsid w:val="009B113B"/>
    <w:rsid w:val="009B127E"/>
    <w:rsid w:val="009B12F5"/>
    <w:rsid w:val="009B182B"/>
    <w:rsid w:val="009B1B5E"/>
    <w:rsid w:val="009B1FA6"/>
    <w:rsid w:val="009B2A99"/>
    <w:rsid w:val="009B2F2F"/>
    <w:rsid w:val="009B3583"/>
    <w:rsid w:val="009B3A97"/>
    <w:rsid w:val="009B401C"/>
    <w:rsid w:val="009B4DA0"/>
    <w:rsid w:val="009B4F82"/>
    <w:rsid w:val="009B55D5"/>
    <w:rsid w:val="009B587A"/>
    <w:rsid w:val="009B59F3"/>
    <w:rsid w:val="009B5C96"/>
    <w:rsid w:val="009B61CF"/>
    <w:rsid w:val="009B61FF"/>
    <w:rsid w:val="009B658C"/>
    <w:rsid w:val="009B6780"/>
    <w:rsid w:val="009B67B0"/>
    <w:rsid w:val="009B6C0C"/>
    <w:rsid w:val="009B706B"/>
    <w:rsid w:val="009B7448"/>
    <w:rsid w:val="009B7839"/>
    <w:rsid w:val="009B7C99"/>
    <w:rsid w:val="009B7E1A"/>
    <w:rsid w:val="009B7F1A"/>
    <w:rsid w:val="009C0162"/>
    <w:rsid w:val="009C03FC"/>
    <w:rsid w:val="009C05FF"/>
    <w:rsid w:val="009C0AD3"/>
    <w:rsid w:val="009C14D7"/>
    <w:rsid w:val="009C2CAF"/>
    <w:rsid w:val="009C2F43"/>
    <w:rsid w:val="009C3276"/>
    <w:rsid w:val="009C3306"/>
    <w:rsid w:val="009C345F"/>
    <w:rsid w:val="009C3956"/>
    <w:rsid w:val="009C3AE8"/>
    <w:rsid w:val="009C3D3C"/>
    <w:rsid w:val="009C3D97"/>
    <w:rsid w:val="009C42D6"/>
    <w:rsid w:val="009C461C"/>
    <w:rsid w:val="009C4A1E"/>
    <w:rsid w:val="009C630D"/>
    <w:rsid w:val="009C6676"/>
    <w:rsid w:val="009C68C3"/>
    <w:rsid w:val="009C6C04"/>
    <w:rsid w:val="009C77C7"/>
    <w:rsid w:val="009C7C21"/>
    <w:rsid w:val="009C7CCA"/>
    <w:rsid w:val="009D05DF"/>
    <w:rsid w:val="009D114B"/>
    <w:rsid w:val="009D1680"/>
    <w:rsid w:val="009D1E18"/>
    <w:rsid w:val="009D1F3B"/>
    <w:rsid w:val="009D27CD"/>
    <w:rsid w:val="009D2832"/>
    <w:rsid w:val="009D2899"/>
    <w:rsid w:val="009D3C30"/>
    <w:rsid w:val="009D418F"/>
    <w:rsid w:val="009D438C"/>
    <w:rsid w:val="009D4493"/>
    <w:rsid w:val="009D463C"/>
    <w:rsid w:val="009D4939"/>
    <w:rsid w:val="009D517F"/>
    <w:rsid w:val="009D52D6"/>
    <w:rsid w:val="009D534E"/>
    <w:rsid w:val="009D5702"/>
    <w:rsid w:val="009D634F"/>
    <w:rsid w:val="009D6648"/>
    <w:rsid w:val="009D66FC"/>
    <w:rsid w:val="009D6735"/>
    <w:rsid w:val="009D74C3"/>
    <w:rsid w:val="009D7556"/>
    <w:rsid w:val="009D7AEA"/>
    <w:rsid w:val="009D7F87"/>
    <w:rsid w:val="009D7F9A"/>
    <w:rsid w:val="009E0263"/>
    <w:rsid w:val="009E2AA6"/>
    <w:rsid w:val="009E3418"/>
    <w:rsid w:val="009E3509"/>
    <w:rsid w:val="009E3667"/>
    <w:rsid w:val="009E3737"/>
    <w:rsid w:val="009E3839"/>
    <w:rsid w:val="009E3A7C"/>
    <w:rsid w:val="009E3CA5"/>
    <w:rsid w:val="009E3E6C"/>
    <w:rsid w:val="009E4395"/>
    <w:rsid w:val="009E4484"/>
    <w:rsid w:val="009E47CE"/>
    <w:rsid w:val="009E49E4"/>
    <w:rsid w:val="009E4CA5"/>
    <w:rsid w:val="009E4CC2"/>
    <w:rsid w:val="009E4EE4"/>
    <w:rsid w:val="009E4F16"/>
    <w:rsid w:val="009E53C7"/>
    <w:rsid w:val="009E5769"/>
    <w:rsid w:val="009E5B51"/>
    <w:rsid w:val="009E5D14"/>
    <w:rsid w:val="009E5E40"/>
    <w:rsid w:val="009E6A53"/>
    <w:rsid w:val="009E6BCF"/>
    <w:rsid w:val="009E6F42"/>
    <w:rsid w:val="009E70E9"/>
    <w:rsid w:val="009E7A40"/>
    <w:rsid w:val="009E7E31"/>
    <w:rsid w:val="009F0176"/>
    <w:rsid w:val="009F031B"/>
    <w:rsid w:val="009F053F"/>
    <w:rsid w:val="009F1482"/>
    <w:rsid w:val="009F14CB"/>
    <w:rsid w:val="009F1573"/>
    <w:rsid w:val="009F1658"/>
    <w:rsid w:val="009F186D"/>
    <w:rsid w:val="009F22B8"/>
    <w:rsid w:val="009F22EF"/>
    <w:rsid w:val="009F2651"/>
    <w:rsid w:val="009F27FD"/>
    <w:rsid w:val="009F2F4E"/>
    <w:rsid w:val="009F4788"/>
    <w:rsid w:val="009F48F4"/>
    <w:rsid w:val="009F4DB1"/>
    <w:rsid w:val="009F531C"/>
    <w:rsid w:val="009F54DC"/>
    <w:rsid w:val="009F5558"/>
    <w:rsid w:val="009F5E45"/>
    <w:rsid w:val="009F5F70"/>
    <w:rsid w:val="009F5FA7"/>
    <w:rsid w:val="009F62E3"/>
    <w:rsid w:val="009F6A2E"/>
    <w:rsid w:val="009F6AB7"/>
    <w:rsid w:val="009F7079"/>
    <w:rsid w:val="009F7270"/>
    <w:rsid w:val="009F7547"/>
    <w:rsid w:val="00A01524"/>
    <w:rsid w:val="00A015B2"/>
    <w:rsid w:val="00A0265D"/>
    <w:rsid w:val="00A02CBE"/>
    <w:rsid w:val="00A03529"/>
    <w:rsid w:val="00A036F2"/>
    <w:rsid w:val="00A039B2"/>
    <w:rsid w:val="00A03CB0"/>
    <w:rsid w:val="00A03D07"/>
    <w:rsid w:val="00A03D8A"/>
    <w:rsid w:val="00A04403"/>
    <w:rsid w:val="00A0456A"/>
    <w:rsid w:val="00A04A3C"/>
    <w:rsid w:val="00A04AD1"/>
    <w:rsid w:val="00A04EF6"/>
    <w:rsid w:val="00A050E3"/>
    <w:rsid w:val="00A06089"/>
    <w:rsid w:val="00A060B5"/>
    <w:rsid w:val="00A063AB"/>
    <w:rsid w:val="00A06445"/>
    <w:rsid w:val="00A06510"/>
    <w:rsid w:val="00A06784"/>
    <w:rsid w:val="00A06994"/>
    <w:rsid w:val="00A06D53"/>
    <w:rsid w:val="00A06DCA"/>
    <w:rsid w:val="00A07567"/>
    <w:rsid w:val="00A079A7"/>
    <w:rsid w:val="00A106E7"/>
    <w:rsid w:val="00A10B5B"/>
    <w:rsid w:val="00A11730"/>
    <w:rsid w:val="00A117B6"/>
    <w:rsid w:val="00A11E0D"/>
    <w:rsid w:val="00A12100"/>
    <w:rsid w:val="00A12552"/>
    <w:rsid w:val="00A127CE"/>
    <w:rsid w:val="00A1284E"/>
    <w:rsid w:val="00A12FCE"/>
    <w:rsid w:val="00A13EAE"/>
    <w:rsid w:val="00A1445B"/>
    <w:rsid w:val="00A14540"/>
    <w:rsid w:val="00A14661"/>
    <w:rsid w:val="00A14781"/>
    <w:rsid w:val="00A152CB"/>
    <w:rsid w:val="00A155FB"/>
    <w:rsid w:val="00A15D6F"/>
    <w:rsid w:val="00A1600A"/>
    <w:rsid w:val="00A1601E"/>
    <w:rsid w:val="00A1632E"/>
    <w:rsid w:val="00A16335"/>
    <w:rsid w:val="00A16567"/>
    <w:rsid w:val="00A1704F"/>
    <w:rsid w:val="00A171D5"/>
    <w:rsid w:val="00A17217"/>
    <w:rsid w:val="00A174ED"/>
    <w:rsid w:val="00A17A25"/>
    <w:rsid w:val="00A20178"/>
    <w:rsid w:val="00A208E3"/>
    <w:rsid w:val="00A20AAC"/>
    <w:rsid w:val="00A20E23"/>
    <w:rsid w:val="00A20E46"/>
    <w:rsid w:val="00A2109D"/>
    <w:rsid w:val="00A2128A"/>
    <w:rsid w:val="00A215A3"/>
    <w:rsid w:val="00A21A98"/>
    <w:rsid w:val="00A21BC5"/>
    <w:rsid w:val="00A22315"/>
    <w:rsid w:val="00A22680"/>
    <w:rsid w:val="00A22864"/>
    <w:rsid w:val="00A23C25"/>
    <w:rsid w:val="00A23E84"/>
    <w:rsid w:val="00A23FAE"/>
    <w:rsid w:val="00A2436A"/>
    <w:rsid w:val="00A244E8"/>
    <w:rsid w:val="00A24894"/>
    <w:rsid w:val="00A24DFB"/>
    <w:rsid w:val="00A24F08"/>
    <w:rsid w:val="00A25EB5"/>
    <w:rsid w:val="00A25EC0"/>
    <w:rsid w:val="00A260C6"/>
    <w:rsid w:val="00A26207"/>
    <w:rsid w:val="00A26ABF"/>
    <w:rsid w:val="00A26CBB"/>
    <w:rsid w:val="00A27006"/>
    <w:rsid w:val="00A27122"/>
    <w:rsid w:val="00A27367"/>
    <w:rsid w:val="00A273C3"/>
    <w:rsid w:val="00A3014C"/>
    <w:rsid w:val="00A3035A"/>
    <w:rsid w:val="00A3111C"/>
    <w:rsid w:val="00A31BA3"/>
    <w:rsid w:val="00A31ED1"/>
    <w:rsid w:val="00A3298B"/>
    <w:rsid w:val="00A32B49"/>
    <w:rsid w:val="00A32C87"/>
    <w:rsid w:val="00A32E88"/>
    <w:rsid w:val="00A331B6"/>
    <w:rsid w:val="00A33B1F"/>
    <w:rsid w:val="00A33EEE"/>
    <w:rsid w:val="00A33F7E"/>
    <w:rsid w:val="00A3494E"/>
    <w:rsid w:val="00A34E98"/>
    <w:rsid w:val="00A3500F"/>
    <w:rsid w:val="00A35449"/>
    <w:rsid w:val="00A359DD"/>
    <w:rsid w:val="00A35CD2"/>
    <w:rsid w:val="00A361FD"/>
    <w:rsid w:val="00A363F5"/>
    <w:rsid w:val="00A3695A"/>
    <w:rsid w:val="00A36DB5"/>
    <w:rsid w:val="00A36FAC"/>
    <w:rsid w:val="00A36FBD"/>
    <w:rsid w:val="00A37770"/>
    <w:rsid w:val="00A3786F"/>
    <w:rsid w:val="00A378CA"/>
    <w:rsid w:val="00A40420"/>
    <w:rsid w:val="00A40C41"/>
    <w:rsid w:val="00A40D1F"/>
    <w:rsid w:val="00A41C81"/>
    <w:rsid w:val="00A41CF1"/>
    <w:rsid w:val="00A42FCD"/>
    <w:rsid w:val="00A436C3"/>
    <w:rsid w:val="00A44199"/>
    <w:rsid w:val="00A443C1"/>
    <w:rsid w:val="00A44524"/>
    <w:rsid w:val="00A44C36"/>
    <w:rsid w:val="00A44DC4"/>
    <w:rsid w:val="00A44F13"/>
    <w:rsid w:val="00A4518A"/>
    <w:rsid w:val="00A451AA"/>
    <w:rsid w:val="00A45205"/>
    <w:rsid w:val="00A4525C"/>
    <w:rsid w:val="00A452C6"/>
    <w:rsid w:val="00A45795"/>
    <w:rsid w:val="00A4581D"/>
    <w:rsid w:val="00A45C15"/>
    <w:rsid w:val="00A45E9F"/>
    <w:rsid w:val="00A461C8"/>
    <w:rsid w:val="00A46741"/>
    <w:rsid w:val="00A477DA"/>
    <w:rsid w:val="00A47E9A"/>
    <w:rsid w:val="00A47ECF"/>
    <w:rsid w:val="00A50161"/>
    <w:rsid w:val="00A507FA"/>
    <w:rsid w:val="00A50EEC"/>
    <w:rsid w:val="00A51534"/>
    <w:rsid w:val="00A51BA5"/>
    <w:rsid w:val="00A51C11"/>
    <w:rsid w:val="00A51E45"/>
    <w:rsid w:val="00A52187"/>
    <w:rsid w:val="00A52736"/>
    <w:rsid w:val="00A52B8C"/>
    <w:rsid w:val="00A535B9"/>
    <w:rsid w:val="00A535C6"/>
    <w:rsid w:val="00A53721"/>
    <w:rsid w:val="00A53742"/>
    <w:rsid w:val="00A53A8A"/>
    <w:rsid w:val="00A53D63"/>
    <w:rsid w:val="00A53ED7"/>
    <w:rsid w:val="00A5402E"/>
    <w:rsid w:val="00A5457C"/>
    <w:rsid w:val="00A5477C"/>
    <w:rsid w:val="00A548D8"/>
    <w:rsid w:val="00A54D3D"/>
    <w:rsid w:val="00A54F79"/>
    <w:rsid w:val="00A54FAE"/>
    <w:rsid w:val="00A551D6"/>
    <w:rsid w:val="00A55894"/>
    <w:rsid w:val="00A55B5A"/>
    <w:rsid w:val="00A55F92"/>
    <w:rsid w:val="00A5669C"/>
    <w:rsid w:val="00A56CA7"/>
    <w:rsid w:val="00A56E7D"/>
    <w:rsid w:val="00A57495"/>
    <w:rsid w:val="00A57546"/>
    <w:rsid w:val="00A5792F"/>
    <w:rsid w:val="00A60263"/>
    <w:rsid w:val="00A60476"/>
    <w:rsid w:val="00A60C6B"/>
    <w:rsid w:val="00A60E64"/>
    <w:rsid w:val="00A61AEF"/>
    <w:rsid w:val="00A62396"/>
    <w:rsid w:val="00A62CF3"/>
    <w:rsid w:val="00A62D42"/>
    <w:rsid w:val="00A62DBE"/>
    <w:rsid w:val="00A62E98"/>
    <w:rsid w:val="00A6339A"/>
    <w:rsid w:val="00A63530"/>
    <w:rsid w:val="00A6384D"/>
    <w:rsid w:val="00A63987"/>
    <w:rsid w:val="00A63D31"/>
    <w:rsid w:val="00A640D5"/>
    <w:rsid w:val="00A641FB"/>
    <w:rsid w:val="00A6462B"/>
    <w:rsid w:val="00A64AB8"/>
    <w:rsid w:val="00A64F3F"/>
    <w:rsid w:val="00A6502F"/>
    <w:rsid w:val="00A65386"/>
    <w:rsid w:val="00A65533"/>
    <w:rsid w:val="00A65775"/>
    <w:rsid w:val="00A65785"/>
    <w:rsid w:val="00A65F01"/>
    <w:rsid w:val="00A66007"/>
    <w:rsid w:val="00A6647B"/>
    <w:rsid w:val="00A66B5B"/>
    <w:rsid w:val="00A67451"/>
    <w:rsid w:val="00A67AA8"/>
    <w:rsid w:val="00A67C3E"/>
    <w:rsid w:val="00A70860"/>
    <w:rsid w:val="00A7126F"/>
    <w:rsid w:val="00A71592"/>
    <w:rsid w:val="00A7171F"/>
    <w:rsid w:val="00A71AE7"/>
    <w:rsid w:val="00A71DF0"/>
    <w:rsid w:val="00A7224D"/>
    <w:rsid w:val="00A728EB"/>
    <w:rsid w:val="00A72B58"/>
    <w:rsid w:val="00A7388D"/>
    <w:rsid w:val="00A73969"/>
    <w:rsid w:val="00A74084"/>
    <w:rsid w:val="00A750AA"/>
    <w:rsid w:val="00A75109"/>
    <w:rsid w:val="00A7551D"/>
    <w:rsid w:val="00A759B5"/>
    <w:rsid w:val="00A76861"/>
    <w:rsid w:val="00A7713E"/>
    <w:rsid w:val="00A77456"/>
    <w:rsid w:val="00A77785"/>
    <w:rsid w:val="00A7782E"/>
    <w:rsid w:val="00A779DF"/>
    <w:rsid w:val="00A77D66"/>
    <w:rsid w:val="00A80865"/>
    <w:rsid w:val="00A80DE8"/>
    <w:rsid w:val="00A818ED"/>
    <w:rsid w:val="00A8218C"/>
    <w:rsid w:val="00A82710"/>
    <w:rsid w:val="00A82927"/>
    <w:rsid w:val="00A8337A"/>
    <w:rsid w:val="00A8376B"/>
    <w:rsid w:val="00A8380D"/>
    <w:rsid w:val="00A83B5D"/>
    <w:rsid w:val="00A84984"/>
    <w:rsid w:val="00A85529"/>
    <w:rsid w:val="00A856B9"/>
    <w:rsid w:val="00A8596B"/>
    <w:rsid w:val="00A860E3"/>
    <w:rsid w:val="00A86573"/>
    <w:rsid w:val="00A87454"/>
    <w:rsid w:val="00A8763F"/>
    <w:rsid w:val="00A87B32"/>
    <w:rsid w:val="00A87DFF"/>
    <w:rsid w:val="00A87ECC"/>
    <w:rsid w:val="00A87F74"/>
    <w:rsid w:val="00A903A9"/>
    <w:rsid w:val="00A90E9D"/>
    <w:rsid w:val="00A90FD8"/>
    <w:rsid w:val="00A91142"/>
    <w:rsid w:val="00A9150E"/>
    <w:rsid w:val="00A91A51"/>
    <w:rsid w:val="00A9209F"/>
    <w:rsid w:val="00A92EA8"/>
    <w:rsid w:val="00A932EE"/>
    <w:rsid w:val="00A93454"/>
    <w:rsid w:val="00A9347F"/>
    <w:rsid w:val="00A93532"/>
    <w:rsid w:val="00A9380F"/>
    <w:rsid w:val="00A938DC"/>
    <w:rsid w:val="00A93AA7"/>
    <w:rsid w:val="00A93B8B"/>
    <w:rsid w:val="00A93D6F"/>
    <w:rsid w:val="00A94077"/>
    <w:rsid w:val="00A94242"/>
    <w:rsid w:val="00A9436A"/>
    <w:rsid w:val="00A9481D"/>
    <w:rsid w:val="00A94A3B"/>
    <w:rsid w:val="00A957D3"/>
    <w:rsid w:val="00A9605C"/>
    <w:rsid w:val="00A96320"/>
    <w:rsid w:val="00A964BF"/>
    <w:rsid w:val="00A96583"/>
    <w:rsid w:val="00A96945"/>
    <w:rsid w:val="00A96C7F"/>
    <w:rsid w:val="00A96D1A"/>
    <w:rsid w:val="00A96D4A"/>
    <w:rsid w:val="00A97101"/>
    <w:rsid w:val="00A97456"/>
    <w:rsid w:val="00A97D6D"/>
    <w:rsid w:val="00AA0689"/>
    <w:rsid w:val="00AA1414"/>
    <w:rsid w:val="00AA17AE"/>
    <w:rsid w:val="00AA1A2C"/>
    <w:rsid w:val="00AA1EC2"/>
    <w:rsid w:val="00AA2B18"/>
    <w:rsid w:val="00AA3674"/>
    <w:rsid w:val="00AA3958"/>
    <w:rsid w:val="00AA3BA1"/>
    <w:rsid w:val="00AA3F33"/>
    <w:rsid w:val="00AA459A"/>
    <w:rsid w:val="00AA518C"/>
    <w:rsid w:val="00AA5724"/>
    <w:rsid w:val="00AA5FD2"/>
    <w:rsid w:val="00AA66EC"/>
    <w:rsid w:val="00AA6910"/>
    <w:rsid w:val="00AA692F"/>
    <w:rsid w:val="00AA7409"/>
    <w:rsid w:val="00AA76B6"/>
    <w:rsid w:val="00AA7C14"/>
    <w:rsid w:val="00AA7D3D"/>
    <w:rsid w:val="00AB004C"/>
    <w:rsid w:val="00AB00E2"/>
    <w:rsid w:val="00AB0406"/>
    <w:rsid w:val="00AB0C3E"/>
    <w:rsid w:val="00AB0D2F"/>
    <w:rsid w:val="00AB1A1D"/>
    <w:rsid w:val="00AB1AD6"/>
    <w:rsid w:val="00AB1BA6"/>
    <w:rsid w:val="00AB280A"/>
    <w:rsid w:val="00AB29E6"/>
    <w:rsid w:val="00AB2D20"/>
    <w:rsid w:val="00AB2F5F"/>
    <w:rsid w:val="00AB32D8"/>
    <w:rsid w:val="00AB348D"/>
    <w:rsid w:val="00AB3887"/>
    <w:rsid w:val="00AB3EFF"/>
    <w:rsid w:val="00AB4226"/>
    <w:rsid w:val="00AB4688"/>
    <w:rsid w:val="00AB47CD"/>
    <w:rsid w:val="00AB5C59"/>
    <w:rsid w:val="00AB60CF"/>
    <w:rsid w:val="00AB62A3"/>
    <w:rsid w:val="00AB781A"/>
    <w:rsid w:val="00AB7C1C"/>
    <w:rsid w:val="00AB7C5A"/>
    <w:rsid w:val="00AC03CB"/>
    <w:rsid w:val="00AC0709"/>
    <w:rsid w:val="00AC0AE5"/>
    <w:rsid w:val="00AC0B22"/>
    <w:rsid w:val="00AC13DC"/>
    <w:rsid w:val="00AC1A0E"/>
    <w:rsid w:val="00AC1A38"/>
    <w:rsid w:val="00AC1CE8"/>
    <w:rsid w:val="00AC2211"/>
    <w:rsid w:val="00AC2329"/>
    <w:rsid w:val="00AC27A0"/>
    <w:rsid w:val="00AC27FF"/>
    <w:rsid w:val="00AC3185"/>
    <w:rsid w:val="00AC3192"/>
    <w:rsid w:val="00AC31E6"/>
    <w:rsid w:val="00AC3969"/>
    <w:rsid w:val="00AC3CCE"/>
    <w:rsid w:val="00AC3D7A"/>
    <w:rsid w:val="00AC3FE7"/>
    <w:rsid w:val="00AC42F8"/>
    <w:rsid w:val="00AC46BF"/>
    <w:rsid w:val="00AC5179"/>
    <w:rsid w:val="00AC56DC"/>
    <w:rsid w:val="00AC5869"/>
    <w:rsid w:val="00AC5C2F"/>
    <w:rsid w:val="00AC5C78"/>
    <w:rsid w:val="00AC6361"/>
    <w:rsid w:val="00AC7060"/>
    <w:rsid w:val="00AC7334"/>
    <w:rsid w:val="00AC73B9"/>
    <w:rsid w:val="00AC765E"/>
    <w:rsid w:val="00AD13AF"/>
    <w:rsid w:val="00AD13DF"/>
    <w:rsid w:val="00AD14C0"/>
    <w:rsid w:val="00AD1544"/>
    <w:rsid w:val="00AD1793"/>
    <w:rsid w:val="00AD1A4F"/>
    <w:rsid w:val="00AD288B"/>
    <w:rsid w:val="00AD29B2"/>
    <w:rsid w:val="00AD2C37"/>
    <w:rsid w:val="00AD2DFA"/>
    <w:rsid w:val="00AD3226"/>
    <w:rsid w:val="00AD3614"/>
    <w:rsid w:val="00AD37C7"/>
    <w:rsid w:val="00AD416E"/>
    <w:rsid w:val="00AD43DC"/>
    <w:rsid w:val="00AD4E00"/>
    <w:rsid w:val="00AD51BA"/>
    <w:rsid w:val="00AD534E"/>
    <w:rsid w:val="00AD579D"/>
    <w:rsid w:val="00AD5940"/>
    <w:rsid w:val="00AD5B56"/>
    <w:rsid w:val="00AD5D16"/>
    <w:rsid w:val="00AD6677"/>
    <w:rsid w:val="00AD6743"/>
    <w:rsid w:val="00AD6D97"/>
    <w:rsid w:val="00AE04AB"/>
    <w:rsid w:val="00AE08F7"/>
    <w:rsid w:val="00AE0D2B"/>
    <w:rsid w:val="00AE11E2"/>
    <w:rsid w:val="00AE11FD"/>
    <w:rsid w:val="00AE1652"/>
    <w:rsid w:val="00AE17F1"/>
    <w:rsid w:val="00AE1A46"/>
    <w:rsid w:val="00AE1AC5"/>
    <w:rsid w:val="00AE1F96"/>
    <w:rsid w:val="00AE1FFA"/>
    <w:rsid w:val="00AE20D4"/>
    <w:rsid w:val="00AE2A0B"/>
    <w:rsid w:val="00AE3017"/>
    <w:rsid w:val="00AE35CF"/>
    <w:rsid w:val="00AE3ABA"/>
    <w:rsid w:val="00AE3E60"/>
    <w:rsid w:val="00AE4188"/>
    <w:rsid w:val="00AE42CC"/>
    <w:rsid w:val="00AE4A11"/>
    <w:rsid w:val="00AE5657"/>
    <w:rsid w:val="00AE5FB3"/>
    <w:rsid w:val="00AE657E"/>
    <w:rsid w:val="00AE7376"/>
    <w:rsid w:val="00AE7AA8"/>
    <w:rsid w:val="00AF0830"/>
    <w:rsid w:val="00AF0A72"/>
    <w:rsid w:val="00AF0F5C"/>
    <w:rsid w:val="00AF16CA"/>
    <w:rsid w:val="00AF1907"/>
    <w:rsid w:val="00AF1A4E"/>
    <w:rsid w:val="00AF1E10"/>
    <w:rsid w:val="00AF205F"/>
    <w:rsid w:val="00AF2186"/>
    <w:rsid w:val="00AF2534"/>
    <w:rsid w:val="00AF307E"/>
    <w:rsid w:val="00AF3BB9"/>
    <w:rsid w:val="00AF3BF5"/>
    <w:rsid w:val="00AF413F"/>
    <w:rsid w:val="00AF4570"/>
    <w:rsid w:val="00AF4BA8"/>
    <w:rsid w:val="00AF5DAE"/>
    <w:rsid w:val="00AF5F7B"/>
    <w:rsid w:val="00AF6472"/>
    <w:rsid w:val="00AF6932"/>
    <w:rsid w:val="00AF7773"/>
    <w:rsid w:val="00AF7928"/>
    <w:rsid w:val="00AF7B27"/>
    <w:rsid w:val="00B00734"/>
    <w:rsid w:val="00B0084C"/>
    <w:rsid w:val="00B011BA"/>
    <w:rsid w:val="00B01604"/>
    <w:rsid w:val="00B01D38"/>
    <w:rsid w:val="00B020F9"/>
    <w:rsid w:val="00B02342"/>
    <w:rsid w:val="00B02F5D"/>
    <w:rsid w:val="00B039DD"/>
    <w:rsid w:val="00B03A28"/>
    <w:rsid w:val="00B03E07"/>
    <w:rsid w:val="00B03E58"/>
    <w:rsid w:val="00B04170"/>
    <w:rsid w:val="00B046B2"/>
    <w:rsid w:val="00B04B64"/>
    <w:rsid w:val="00B04C55"/>
    <w:rsid w:val="00B05092"/>
    <w:rsid w:val="00B0510F"/>
    <w:rsid w:val="00B056A8"/>
    <w:rsid w:val="00B0580F"/>
    <w:rsid w:val="00B05CD3"/>
    <w:rsid w:val="00B05D5F"/>
    <w:rsid w:val="00B060E1"/>
    <w:rsid w:val="00B06120"/>
    <w:rsid w:val="00B0636F"/>
    <w:rsid w:val="00B06BF9"/>
    <w:rsid w:val="00B06DE1"/>
    <w:rsid w:val="00B072DF"/>
    <w:rsid w:val="00B07742"/>
    <w:rsid w:val="00B07AA8"/>
    <w:rsid w:val="00B10474"/>
    <w:rsid w:val="00B10EDB"/>
    <w:rsid w:val="00B10EE4"/>
    <w:rsid w:val="00B11B03"/>
    <w:rsid w:val="00B1220B"/>
    <w:rsid w:val="00B126B4"/>
    <w:rsid w:val="00B12B5B"/>
    <w:rsid w:val="00B132A9"/>
    <w:rsid w:val="00B133A9"/>
    <w:rsid w:val="00B133CB"/>
    <w:rsid w:val="00B13452"/>
    <w:rsid w:val="00B13688"/>
    <w:rsid w:val="00B13866"/>
    <w:rsid w:val="00B142BB"/>
    <w:rsid w:val="00B14583"/>
    <w:rsid w:val="00B145A2"/>
    <w:rsid w:val="00B14709"/>
    <w:rsid w:val="00B14DD4"/>
    <w:rsid w:val="00B14ED7"/>
    <w:rsid w:val="00B14F72"/>
    <w:rsid w:val="00B15032"/>
    <w:rsid w:val="00B151A2"/>
    <w:rsid w:val="00B15B03"/>
    <w:rsid w:val="00B160C9"/>
    <w:rsid w:val="00B16245"/>
    <w:rsid w:val="00B162C1"/>
    <w:rsid w:val="00B16971"/>
    <w:rsid w:val="00B16CE7"/>
    <w:rsid w:val="00B176DB"/>
    <w:rsid w:val="00B178C8"/>
    <w:rsid w:val="00B17F73"/>
    <w:rsid w:val="00B201DF"/>
    <w:rsid w:val="00B20B7E"/>
    <w:rsid w:val="00B21153"/>
    <w:rsid w:val="00B217B2"/>
    <w:rsid w:val="00B21C03"/>
    <w:rsid w:val="00B221E6"/>
    <w:rsid w:val="00B223D2"/>
    <w:rsid w:val="00B22489"/>
    <w:rsid w:val="00B22B59"/>
    <w:rsid w:val="00B22ECD"/>
    <w:rsid w:val="00B22F77"/>
    <w:rsid w:val="00B233F8"/>
    <w:rsid w:val="00B23629"/>
    <w:rsid w:val="00B24300"/>
    <w:rsid w:val="00B24586"/>
    <w:rsid w:val="00B24614"/>
    <w:rsid w:val="00B2470F"/>
    <w:rsid w:val="00B24BB8"/>
    <w:rsid w:val="00B2578C"/>
    <w:rsid w:val="00B26CAE"/>
    <w:rsid w:val="00B27CC1"/>
    <w:rsid w:val="00B27FE8"/>
    <w:rsid w:val="00B3003A"/>
    <w:rsid w:val="00B30290"/>
    <w:rsid w:val="00B303E5"/>
    <w:rsid w:val="00B30533"/>
    <w:rsid w:val="00B31C62"/>
    <w:rsid w:val="00B31D5A"/>
    <w:rsid w:val="00B31F32"/>
    <w:rsid w:val="00B31F45"/>
    <w:rsid w:val="00B32361"/>
    <w:rsid w:val="00B324FE"/>
    <w:rsid w:val="00B329B3"/>
    <w:rsid w:val="00B32BBB"/>
    <w:rsid w:val="00B32F1B"/>
    <w:rsid w:val="00B33274"/>
    <w:rsid w:val="00B33458"/>
    <w:rsid w:val="00B33513"/>
    <w:rsid w:val="00B33870"/>
    <w:rsid w:val="00B340E2"/>
    <w:rsid w:val="00B3411B"/>
    <w:rsid w:val="00B341A1"/>
    <w:rsid w:val="00B3448D"/>
    <w:rsid w:val="00B3487E"/>
    <w:rsid w:val="00B3497B"/>
    <w:rsid w:val="00B34E2C"/>
    <w:rsid w:val="00B350F8"/>
    <w:rsid w:val="00B3577D"/>
    <w:rsid w:val="00B35840"/>
    <w:rsid w:val="00B35CD3"/>
    <w:rsid w:val="00B35F22"/>
    <w:rsid w:val="00B3628F"/>
    <w:rsid w:val="00B36737"/>
    <w:rsid w:val="00B36AD6"/>
    <w:rsid w:val="00B37127"/>
    <w:rsid w:val="00B371BE"/>
    <w:rsid w:val="00B37997"/>
    <w:rsid w:val="00B37BB8"/>
    <w:rsid w:val="00B37EF4"/>
    <w:rsid w:val="00B4010A"/>
    <w:rsid w:val="00B4055B"/>
    <w:rsid w:val="00B406BE"/>
    <w:rsid w:val="00B4096D"/>
    <w:rsid w:val="00B4128B"/>
    <w:rsid w:val="00B41929"/>
    <w:rsid w:val="00B41C50"/>
    <w:rsid w:val="00B41DBB"/>
    <w:rsid w:val="00B42202"/>
    <w:rsid w:val="00B42558"/>
    <w:rsid w:val="00B42A8C"/>
    <w:rsid w:val="00B42C67"/>
    <w:rsid w:val="00B43217"/>
    <w:rsid w:val="00B432B3"/>
    <w:rsid w:val="00B43598"/>
    <w:rsid w:val="00B438BA"/>
    <w:rsid w:val="00B43E3C"/>
    <w:rsid w:val="00B4407E"/>
    <w:rsid w:val="00B440DA"/>
    <w:rsid w:val="00B44279"/>
    <w:rsid w:val="00B44532"/>
    <w:rsid w:val="00B44917"/>
    <w:rsid w:val="00B44966"/>
    <w:rsid w:val="00B44E94"/>
    <w:rsid w:val="00B44F15"/>
    <w:rsid w:val="00B45C0F"/>
    <w:rsid w:val="00B461A4"/>
    <w:rsid w:val="00B4681C"/>
    <w:rsid w:val="00B46918"/>
    <w:rsid w:val="00B46C0C"/>
    <w:rsid w:val="00B46C6A"/>
    <w:rsid w:val="00B46CBE"/>
    <w:rsid w:val="00B46EA2"/>
    <w:rsid w:val="00B474A5"/>
    <w:rsid w:val="00B47D95"/>
    <w:rsid w:val="00B47EFB"/>
    <w:rsid w:val="00B5057D"/>
    <w:rsid w:val="00B50A48"/>
    <w:rsid w:val="00B516A0"/>
    <w:rsid w:val="00B516D4"/>
    <w:rsid w:val="00B51713"/>
    <w:rsid w:val="00B51AA8"/>
    <w:rsid w:val="00B52554"/>
    <w:rsid w:val="00B5285A"/>
    <w:rsid w:val="00B52AA6"/>
    <w:rsid w:val="00B52BF4"/>
    <w:rsid w:val="00B530DE"/>
    <w:rsid w:val="00B53208"/>
    <w:rsid w:val="00B5341D"/>
    <w:rsid w:val="00B53C35"/>
    <w:rsid w:val="00B5414C"/>
    <w:rsid w:val="00B5446B"/>
    <w:rsid w:val="00B54814"/>
    <w:rsid w:val="00B55457"/>
    <w:rsid w:val="00B556F5"/>
    <w:rsid w:val="00B557C8"/>
    <w:rsid w:val="00B55DCB"/>
    <w:rsid w:val="00B55F50"/>
    <w:rsid w:val="00B56339"/>
    <w:rsid w:val="00B563D7"/>
    <w:rsid w:val="00B5648E"/>
    <w:rsid w:val="00B570C2"/>
    <w:rsid w:val="00B57127"/>
    <w:rsid w:val="00B5719B"/>
    <w:rsid w:val="00B575B8"/>
    <w:rsid w:val="00B57AE7"/>
    <w:rsid w:val="00B57C2C"/>
    <w:rsid w:val="00B60AC8"/>
    <w:rsid w:val="00B60B8F"/>
    <w:rsid w:val="00B60F4F"/>
    <w:rsid w:val="00B61665"/>
    <w:rsid w:val="00B61E02"/>
    <w:rsid w:val="00B6211E"/>
    <w:rsid w:val="00B6292A"/>
    <w:rsid w:val="00B63011"/>
    <w:rsid w:val="00B63060"/>
    <w:rsid w:val="00B6324A"/>
    <w:rsid w:val="00B63954"/>
    <w:rsid w:val="00B63CA8"/>
    <w:rsid w:val="00B63DBD"/>
    <w:rsid w:val="00B646C0"/>
    <w:rsid w:val="00B64E0C"/>
    <w:rsid w:val="00B64E4E"/>
    <w:rsid w:val="00B659FD"/>
    <w:rsid w:val="00B65E9D"/>
    <w:rsid w:val="00B664CE"/>
    <w:rsid w:val="00B66974"/>
    <w:rsid w:val="00B6698B"/>
    <w:rsid w:val="00B66C10"/>
    <w:rsid w:val="00B66D31"/>
    <w:rsid w:val="00B674B6"/>
    <w:rsid w:val="00B6784E"/>
    <w:rsid w:val="00B67928"/>
    <w:rsid w:val="00B67B7D"/>
    <w:rsid w:val="00B70BFE"/>
    <w:rsid w:val="00B71F1C"/>
    <w:rsid w:val="00B72335"/>
    <w:rsid w:val="00B72953"/>
    <w:rsid w:val="00B72ADD"/>
    <w:rsid w:val="00B736FA"/>
    <w:rsid w:val="00B73769"/>
    <w:rsid w:val="00B73B7A"/>
    <w:rsid w:val="00B73CC4"/>
    <w:rsid w:val="00B73CE6"/>
    <w:rsid w:val="00B73CF2"/>
    <w:rsid w:val="00B73D65"/>
    <w:rsid w:val="00B73E20"/>
    <w:rsid w:val="00B740AB"/>
    <w:rsid w:val="00B74105"/>
    <w:rsid w:val="00B74816"/>
    <w:rsid w:val="00B74A71"/>
    <w:rsid w:val="00B74C3B"/>
    <w:rsid w:val="00B74FA1"/>
    <w:rsid w:val="00B75544"/>
    <w:rsid w:val="00B75BC7"/>
    <w:rsid w:val="00B75D1B"/>
    <w:rsid w:val="00B76534"/>
    <w:rsid w:val="00B767E4"/>
    <w:rsid w:val="00B7690B"/>
    <w:rsid w:val="00B76C87"/>
    <w:rsid w:val="00B76F64"/>
    <w:rsid w:val="00B76FE9"/>
    <w:rsid w:val="00B7701F"/>
    <w:rsid w:val="00B77065"/>
    <w:rsid w:val="00B7710C"/>
    <w:rsid w:val="00B77240"/>
    <w:rsid w:val="00B77CE9"/>
    <w:rsid w:val="00B80747"/>
    <w:rsid w:val="00B808D8"/>
    <w:rsid w:val="00B8092C"/>
    <w:rsid w:val="00B80ACF"/>
    <w:rsid w:val="00B80C2E"/>
    <w:rsid w:val="00B80CF2"/>
    <w:rsid w:val="00B81132"/>
    <w:rsid w:val="00B81294"/>
    <w:rsid w:val="00B8164C"/>
    <w:rsid w:val="00B8171A"/>
    <w:rsid w:val="00B8192E"/>
    <w:rsid w:val="00B81B80"/>
    <w:rsid w:val="00B8218C"/>
    <w:rsid w:val="00B82371"/>
    <w:rsid w:val="00B83113"/>
    <w:rsid w:val="00B834D3"/>
    <w:rsid w:val="00B83F79"/>
    <w:rsid w:val="00B84795"/>
    <w:rsid w:val="00B84972"/>
    <w:rsid w:val="00B84E2B"/>
    <w:rsid w:val="00B85165"/>
    <w:rsid w:val="00B854AD"/>
    <w:rsid w:val="00B85739"/>
    <w:rsid w:val="00B85EA4"/>
    <w:rsid w:val="00B86542"/>
    <w:rsid w:val="00B867DC"/>
    <w:rsid w:val="00B86AD6"/>
    <w:rsid w:val="00B86BCF"/>
    <w:rsid w:val="00B86E86"/>
    <w:rsid w:val="00B871B4"/>
    <w:rsid w:val="00B8761B"/>
    <w:rsid w:val="00B879FA"/>
    <w:rsid w:val="00B87A7D"/>
    <w:rsid w:val="00B87D6C"/>
    <w:rsid w:val="00B903DA"/>
    <w:rsid w:val="00B91176"/>
    <w:rsid w:val="00B9129F"/>
    <w:rsid w:val="00B9132B"/>
    <w:rsid w:val="00B91409"/>
    <w:rsid w:val="00B9162F"/>
    <w:rsid w:val="00B917C5"/>
    <w:rsid w:val="00B923D1"/>
    <w:rsid w:val="00B92F9D"/>
    <w:rsid w:val="00B9348A"/>
    <w:rsid w:val="00B9349A"/>
    <w:rsid w:val="00B93D1E"/>
    <w:rsid w:val="00B93E68"/>
    <w:rsid w:val="00B9407C"/>
    <w:rsid w:val="00B943A0"/>
    <w:rsid w:val="00B943ED"/>
    <w:rsid w:val="00B9446D"/>
    <w:rsid w:val="00B9523D"/>
    <w:rsid w:val="00B954A7"/>
    <w:rsid w:val="00B95B3C"/>
    <w:rsid w:val="00B95F60"/>
    <w:rsid w:val="00B95FB7"/>
    <w:rsid w:val="00B96607"/>
    <w:rsid w:val="00B96AE4"/>
    <w:rsid w:val="00B970D3"/>
    <w:rsid w:val="00B97803"/>
    <w:rsid w:val="00B97B03"/>
    <w:rsid w:val="00BA0A99"/>
    <w:rsid w:val="00BA0AFD"/>
    <w:rsid w:val="00BA0E91"/>
    <w:rsid w:val="00BA0FE9"/>
    <w:rsid w:val="00BA116D"/>
    <w:rsid w:val="00BA1A1C"/>
    <w:rsid w:val="00BA1E4A"/>
    <w:rsid w:val="00BA23AB"/>
    <w:rsid w:val="00BA2875"/>
    <w:rsid w:val="00BA28EF"/>
    <w:rsid w:val="00BA2FE3"/>
    <w:rsid w:val="00BA3156"/>
    <w:rsid w:val="00BA321D"/>
    <w:rsid w:val="00BA3399"/>
    <w:rsid w:val="00BA36C4"/>
    <w:rsid w:val="00BA370D"/>
    <w:rsid w:val="00BA38B1"/>
    <w:rsid w:val="00BA3FB0"/>
    <w:rsid w:val="00BA405C"/>
    <w:rsid w:val="00BA4A21"/>
    <w:rsid w:val="00BA4D19"/>
    <w:rsid w:val="00BA502F"/>
    <w:rsid w:val="00BA5033"/>
    <w:rsid w:val="00BA5237"/>
    <w:rsid w:val="00BA52B2"/>
    <w:rsid w:val="00BA53B6"/>
    <w:rsid w:val="00BA5947"/>
    <w:rsid w:val="00BA5F3C"/>
    <w:rsid w:val="00BA6333"/>
    <w:rsid w:val="00BA698D"/>
    <w:rsid w:val="00BA6D5D"/>
    <w:rsid w:val="00BA7914"/>
    <w:rsid w:val="00BA7CA7"/>
    <w:rsid w:val="00BA7FCA"/>
    <w:rsid w:val="00BB0368"/>
    <w:rsid w:val="00BB1BA1"/>
    <w:rsid w:val="00BB2084"/>
    <w:rsid w:val="00BB26A3"/>
    <w:rsid w:val="00BB26D1"/>
    <w:rsid w:val="00BB29DA"/>
    <w:rsid w:val="00BB3313"/>
    <w:rsid w:val="00BB3685"/>
    <w:rsid w:val="00BB37E8"/>
    <w:rsid w:val="00BB3886"/>
    <w:rsid w:val="00BB3BF9"/>
    <w:rsid w:val="00BB3C70"/>
    <w:rsid w:val="00BB3F39"/>
    <w:rsid w:val="00BB45E1"/>
    <w:rsid w:val="00BB521A"/>
    <w:rsid w:val="00BB524D"/>
    <w:rsid w:val="00BB53A2"/>
    <w:rsid w:val="00BB5504"/>
    <w:rsid w:val="00BB587D"/>
    <w:rsid w:val="00BB5C40"/>
    <w:rsid w:val="00BB5FD9"/>
    <w:rsid w:val="00BB60B3"/>
    <w:rsid w:val="00BB6322"/>
    <w:rsid w:val="00BB6825"/>
    <w:rsid w:val="00BB6921"/>
    <w:rsid w:val="00BB6C2B"/>
    <w:rsid w:val="00BB6D19"/>
    <w:rsid w:val="00BB6E46"/>
    <w:rsid w:val="00BB7447"/>
    <w:rsid w:val="00BB7455"/>
    <w:rsid w:val="00BB763E"/>
    <w:rsid w:val="00BB765B"/>
    <w:rsid w:val="00BB7C84"/>
    <w:rsid w:val="00BB7D26"/>
    <w:rsid w:val="00BC01C5"/>
    <w:rsid w:val="00BC0BF6"/>
    <w:rsid w:val="00BC0ED7"/>
    <w:rsid w:val="00BC0FD0"/>
    <w:rsid w:val="00BC162D"/>
    <w:rsid w:val="00BC213B"/>
    <w:rsid w:val="00BC2420"/>
    <w:rsid w:val="00BC279C"/>
    <w:rsid w:val="00BC28A0"/>
    <w:rsid w:val="00BC3025"/>
    <w:rsid w:val="00BC33DA"/>
    <w:rsid w:val="00BC3610"/>
    <w:rsid w:val="00BC3FAB"/>
    <w:rsid w:val="00BC438D"/>
    <w:rsid w:val="00BC4E99"/>
    <w:rsid w:val="00BC4EB1"/>
    <w:rsid w:val="00BC52B6"/>
    <w:rsid w:val="00BC5A4A"/>
    <w:rsid w:val="00BC666A"/>
    <w:rsid w:val="00BC672A"/>
    <w:rsid w:val="00BC7067"/>
    <w:rsid w:val="00BC76E8"/>
    <w:rsid w:val="00BC781D"/>
    <w:rsid w:val="00BD028B"/>
    <w:rsid w:val="00BD034B"/>
    <w:rsid w:val="00BD0462"/>
    <w:rsid w:val="00BD0F5F"/>
    <w:rsid w:val="00BD1703"/>
    <w:rsid w:val="00BD1A93"/>
    <w:rsid w:val="00BD1CC1"/>
    <w:rsid w:val="00BD1D72"/>
    <w:rsid w:val="00BD1D77"/>
    <w:rsid w:val="00BD25F7"/>
    <w:rsid w:val="00BD2F1E"/>
    <w:rsid w:val="00BD3066"/>
    <w:rsid w:val="00BD35C0"/>
    <w:rsid w:val="00BD3647"/>
    <w:rsid w:val="00BD3BB2"/>
    <w:rsid w:val="00BD4475"/>
    <w:rsid w:val="00BD44C1"/>
    <w:rsid w:val="00BD4993"/>
    <w:rsid w:val="00BD4AF6"/>
    <w:rsid w:val="00BD53E5"/>
    <w:rsid w:val="00BD54FA"/>
    <w:rsid w:val="00BD5658"/>
    <w:rsid w:val="00BD5D84"/>
    <w:rsid w:val="00BD681C"/>
    <w:rsid w:val="00BD6CD3"/>
    <w:rsid w:val="00BD6CFC"/>
    <w:rsid w:val="00BD7750"/>
    <w:rsid w:val="00BD7A8D"/>
    <w:rsid w:val="00BD7B64"/>
    <w:rsid w:val="00BD7DE9"/>
    <w:rsid w:val="00BE0484"/>
    <w:rsid w:val="00BE0CEA"/>
    <w:rsid w:val="00BE13CA"/>
    <w:rsid w:val="00BE19E8"/>
    <w:rsid w:val="00BE1A71"/>
    <w:rsid w:val="00BE1A9D"/>
    <w:rsid w:val="00BE1BFE"/>
    <w:rsid w:val="00BE1C2C"/>
    <w:rsid w:val="00BE1CEB"/>
    <w:rsid w:val="00BE1FEE"/>
    <w:rsid w:val="00BE226A"/>
    <w:rsid w:val="00BE2519"/>
    <w:rsid w:val="00BE2C83"/>
    <w:rsid w:val="00BE31A6"/>
    <w:rsid w:val="00BE39BD"/>
    <w:rsid w:val="00BE3AC1"/>
    <w:rsid w:val="00BE3E6A"/>
    <w:rsid w:val="00BE3F1D"/>
    <w:rsid w:val="00BE4097"/>
    <w:rsid w:val="00BE411E"/>
    <w:rsid w:val="00BE485C"/>
    <w:rsid w:val="00BE4A65"/>
    <w:rsid w:val="00BE5693"/>
    <w:rsid w:val="00BE5893"/>
    <w:rsid w:val="00BE5A44"/>
    <w:rsid w:val="00BE6424"/>
    <w:rsid w:val="00BE682B"/>
    <w:rsid w:val="00BE690C"/>
    <w:rsid w:val="00BE6CBD"/>
    <w:rsid w:val="00BE7713"/>
    <w:rsid w:val="00BE7AC5"/>
    <w:rsid w:val="00BF006C"/>
    <w:rsid w:val="00BF03EB"/>
    <w:rsid w:val="00BF08DC"/>
    <w:rsid w:val="00BF09B4"/>
    <w:rsid w:val="00BF0C08"/>
    <w:rsid w:val="00BF0E71"/>
    <w:rsid w:val="00BF18DC"/>
    <w:rsid w:val="00BF2022"/>
    <w:rsid w:val="00BF2429"/>
    <w:rsid w:val="00BF2A37"/>
    <w:rsid w:val="00BF2D68"/>
    <w:rsid w:val="00BF30CD"/>
    <w:rsid w:val="00BF32BF"/>
    <w:rsid w:val="00BF3602"/>
    <w:rsid w:val="00BF3DE3"/>
    <w:rsid w:val="00BF3EE7"/>
    <w:rsid w:val="00BF40AE"/>
    <w:rsid w:val="00BF447F"/>
    <w:rsid w:val="00BF4BB7"/>
    <w:rsid w:val="00BF4D7C"/>
    <w:rsid w:val="00BF515E"/>
    <w:rsid w:val="00BF5650"/>
    <w:rsid w:val="00BF565F"/>
    <w:rsid w:val="00BF5F4D"/>
    <w:rsid w:val="00BF64F8"/>
    <w:rsid w:val="00BF7163"/>
    <w:rsid w:val="00BF7AAD"/>
    <w:rsid w:val="00BF7C2D"/>
    <w:rsid w:val="00C0062A"/>
    <w:rsid w:val="00C00E3E"/>
    <w:rsid w:val="00C0179E"/>
    <w:rsid w:val="00C01B63"/>
    <w:rsid w:val="00C01DCE"/>
    <w:rsid w:val="00C022E7"/>
    <w:rsid w:val="00C02735"/>
    <w:rsid w:val="00C027B1"/>
    <w:rsid w:val="00C02ED0"/>
    <w:rsid w:val="00C03139"/>
    <w:rsid w:val="00C035FB"/>
    <w:rsid w:val="00C037BC"/>
    <w:rsid w:val="00C03C58"/>
    <w:rsid w:val="00C046C5"/>
    <w:rsid w:val="00C0475D"/>
    <w:rsid w:val="00C04820"/>
    <w:rsid w:val="00C04EDE"/>
    <w:rsid w:val="00C05163"/>
    <w:rsid w:val="00C05CF1"/>
    <w:rsid w:val="00C05D3B"/>
    <w:rsid w:val="00C061F8"/>
    <w:rsid w:val="00C063B4"/>
    <w:rsid w:val="00C0650B"/>
    <w:rsid w:val="00C06555"/>
    <w:rsid w:val="00C065CF"/>
    <w:rsid w:val="00C0721F"/>
    <w:rsid w:val="00C0782B"/>
    <w:rsid w:val="00C07FBB"/>
    <w:rsid w:val="00C10213"/>
    <w:rsid w:val="00C10317"/>
    <w:rsid w:val="00C1063D"/>
    <w:rsid w:val="00C1072A"/>
    <w:rsid w:val="00C107BE"/>
    <w:rsid w:val="00C10952"/>
    <w:rsid w:val="00C11DEE"/>
    <w:rsid w:val="00C12341"/>
    <w:rsid w:val="00C125A8"/>
    <w:rsid w:val="00C12E83"/>
    <w:rsid w:val="00C12F33"/>
    <w:rsid w:val="00C1328A"/>
    <w:rsid w:val="00C13593"/>
    <w:rsid w:val="00C13A6A"/>
    <w:rsid w:val="00C1435E"/>
    <w:rsid w:val="00C146B6"/>
    <w:rsid w:val="00C147E6"/>
    <w:rsid w:val="00C14806"/>
    <w:rsid w:val="00C14B74"/>
    <w:rsid w:val="00C14DC7"/>
    <w:rsid w:val="00C14DEC"/>
    <w:rsid w:val="00C15138"/>
    <w:rsid w:val="00C159A2"/>
    <w:rsid w:val="00C15A44"/>
    <w:rsid w:val="00C16C1D"/>
    <w:rsid w:val="00C16F08"/>
    <w:rsid w:val="00C1714C"/>
    <w:rsid w:val="00C172B2"/>
    <w:rsid w:val="00C17B50"/>
    <w:rsid w:val="00C2021D"/>
    <w:rsid w:val="00C20330"/>
    <w:rsid w:val="00C206EC"/>
    <w:rsid w:val="00C2073C"/>
    <w:rsid w:val="00C20A66"/>
    <w:rsid w:val="00C210FE"/>
    <w:rsid w:val="00C22C3E"/>
    <w:rsid w:val="00C22CA9"/>
    <w:rsid w:val="00C230D2"/>
    <w:rsid w:val="00C237C7"/>
    <w:rsid w:val="00C23B0A"/>
    <w:rsid w:val="00C23EC3"/>
    <w:rsid w:val="00C24367"/>
    <w:rsid w:val="00C24633"/>
    <w:rsid w:val="00C246EF"/>
    <w:rsid w:val="00C248BA"/>
    <w:rsid w:val="00C25075"/>
    <w:rsid w:val="00C258AD"/>
    <w:rsid w:val="00C25D42"/>
    <w:rsid w:val="00C26440"/>
    <w:rsid w:val="00C264C8"/>
    <w:rsid w:val="00C26671"/>
    <w:rsid w:val="00C268CD"/>
    <w:rsid w:val="00C26AD3"/>
    <w:rsid w:val="00C26FAF"/>
    <w:rsid w:val="00C27142"/>
    <w:rsid w:val="00C277C0"/>
    <w:rsid w:val="00C2798E"/>
    <w:rsid w:val="00C279E4"/>
    <w:rsid w:val="00C27D18"/>
    <w:rsid w:val="00C303F4"/>
    <w:rsid w:val="00C306A6"/>
    <w:rsid w:val="00C308CB"/>
    <w:rsid w:val="00C30909"/>
    <w:rsid w:val="00C30C49"/>
    <w:rsid w:val="00C30E8D"/>
    <w:rsid w:val="00C31ADC"/>
    <w:rsid w:val="00C3217E"/>
    <w:rsid w:val="00C32CFD"/>
    <w:rsid w:val="00C336C3"/>
    <w:rsid w:val="00C338E5"/>
    <w:rsid w:val="00C33A54"/>
    <w:rsid w:val="00C33E43"/>
    <w:rsid w:val="00C34085"/>
    <w:rsid w:val="00C34992"/>
    <w:rsid w:val="00C34C19"/>
    <w:rsid w:val="00C34E66"/>
    <w:rsid w:val="00C34EE0"/>
    <w:rsid w:val="00C350E2"/>
    <w:rsid w:val="00C350E9"/>
    <w:rsid w:val="00C353AB"/>
    <w:rsid w:val="00C35BB5"/>
    <w:rsid w:val="00C35E9A"/>
    <w:rsid w:val="00C36081"/>
    <w:rsid w:val="00C36436"/>
    <w:rsid w:val="00C364E1"/>
    <w:rsid w:val="00C36D00"/>
    <w:rsid w:val="00C36DC3"/>
    <w:rsid w:val="00C36EF0"/>
    <w:rsid w:val="00C37164"/>
    <w:rsid w:val="00C37251"/>
    <w:rsid w:val="00C37EA0"/>
    <w:rsid w:val="00C403F8"/>
    <w:rsid w:val="00C4049A"/>
    <w:rsid w:val="00C4055D"/>
    <w:rsid w:val="00C405B3"/>
    <w:rsid w:val="00C4073D"/>
    <w:rsid w:val="00C40DFF"/>
    <w:rsid w:val="00C40E51"/>
    <w:rsid w:val="00C41498"/>
    <w:rsid w:val="00C41EF8"/>
    <w:rsid w:val="00C42104"/>
    <w:rsid w:val="00C426D2"/>
    <w:rsid w:val="00C42CA0"/>
    <w:rsid w:val="00C42DBD"/>
    <w:rsid w:val="00C42F58"/>
    <w:rsid w:val="00C43187"/>
    <w:rsid w:val="00C43979"/>
    <w:rsid w:val="00C43D1A"/>
    <w:rsid w:val="00C44C88"/>
    <w:rsid w:val="00C45190"/>
    <w:rsid w:val="00C4538F"/>
    <w:rsid w:val="00C45C43"/>
    <w:rsid w:val="00C4657A"/>
    <w:rsid w:val="00C467AB"/>
    <w:rsid w:val="00C46B18"/>
    <w:rsid w:val="00C46CEF"/>
    <w:rsid w:val="00C47186"/>
    <w:rsid w:val="00C47256"/>
    <w:rsid w:val="00C50B26"/>
    <w:rsid w:val="00C50C38"/>
    <w:rsid w:val="00C51116"/>
    <w:rsid w:val="00C511A5"/>
    <w:rsid w:val="00C51929"/>
    <w:rsid w:val="00C51BFA"/>
    <w:rsid w:val="00C51EC3"/>
    <w:rsid w:val="00C521BB"/>
    <w:rsid w:val="00C527C3"/>
    <w:rsid w:val="00C527ED"/>
    <w:rsid w:val="00C52D46"/>
    <w:rsid w:val="00C53178"/>
    <w:rsid w:val="00C538AB"/>
    <w:rsid w:val="00C53B5B"/>
    <w:rsid w:val="00C5492F"/>
    <w:rsid w:val="00C5498C"/>
    <w:rsid w:val="00C55217"/>
    <w:rsid w:val="00C554FA"/>
    <w:rsid w:val="00C55665"/>
    <w:rsid w:val="00C55C3C"/>
    <w:rsid w:val="00C55C68"/>
    <w:rsid w:val="00C55E67"/>
    <w:rsid w:val="00C55FBC"/>
    <w:rsid w:val="00C5631A"/>
    <w:rsid w:val="00C56C17"/>
    <w:rsid w:val="00C56CF7"/>
    <w:rsid w:val="00C56DB6"/>
    <w:rsid w:val="00C57EED"/>
    <w:rsid w:val="00C57F4C"/>
    <w:rsid w:val="00C601CB"/>
    <w:rsid w:val="00C606E4"/>
    <w:rsid w:val="00C60908"/>
    <w:rsid w:val="00C60CBD"/>
    <w:rsid w:val="00C60E6A"/>
    <w:rsid w:val="00C61015"/>
    <w:rsid w:val="00C6105A"/>
    <w:rsid w:val="00C610F5"/>
    <w:rsid w:val="00C615DD"/>
    <w:rsid w:val="00C61746"/>
    <w:rsid w:val="00C617A4"/>
    <w:rsid w:val="00C6248A"/>
    <w:rsid w:val="00C62A72"/>
    <w:rsid w:val="00C62ECE"/>
    <w:rsid w:val="00C63288"/>
    <w:rsid w:val="00C639A2"/>
    <w:rsid w:val="00C63DD7"/>
    <w:rsid w:val="00C644E4"/>
    <w:rsid w:val="00C645C5"/>
    <w:rsid w:val="00C64C91"/>
    <w:rsid w:val="00C65339"/>
    <w:rsid w:val="00C659A9"/>
    <w:rsid w:val="00C66B12"/>
    <w:rsid w:val="00C6715F"/>
    <w:rsid w:val="00C67298"/>
    <w:rsid w:val="00C67825"/>
    <w:rsid w:val="00C67A25"/>
    <w:rsid w:val="00C70471"/>
    <w:rsid w:val="00C70989"/>
    <w:rsid w:val="00C70C12"/>
    <w:rsid w:val="00C71222"/>
    <w:rsid w:val="00C71A30"/>
    <w:rsid w:val="00C71DC5"/>
    <w:rsid w:val="00C72674"/>
    <w:rsid w:val="00C7297E"/>
    <w:rsid w:val="00C73601"/>
    <w:rsid w:val="00C7413A"/>
    <w:rsid w:val="00C7457F"/>
    <w:rsid w:val="00C74661"/>
    <w:rsid w:val="00C74805"/>
    <w:rsid w:val="00C7487B"/>
    <w:rsid w:val="00C755C6"/>
    <w:rsid w:val="00C755EA"/>
    <w:rsid w:val="00C75666"/>
    <w:rsid w:val="00C75FBD"/>
    <w:rsid w:val="00C761EC"/>
    <w:rsid w:val="00C76450"/>
    <w:rsid w:val="00C76887"/>
    <w:rsid w:val="00C76E97"/>
    <w:rsid w:val="00C76F28"/>
    <w:rsid w:val="00C77861"/>
    <w:rsid w:val="00C779E0"/>
    <w:rsid w:val="00C77D12"/>
    <w:rsid w:val="00C77E26"/>
    <w:rsid w:val="00C77F94"/>
    <w:rsid w:val="00C8059A"/>
    <w:rsid w:val="00C809F8"/>
    <w:rsid w:val="00C80AD4"/>
    <w:rsid w:val="00C80B1E"/>
    <w:rsid w:val="00C80BD4"/>
    <w:rsid w:val="00C80C48"/>
    <w:rsid w:val="00C80F26"/>
    <w:rsid w:val="00C81235"/>
    <w:rsid w:val="00C8142D"/>
    <w:rsid w:val="00C8145E"/>
    <w:rsid w:val="00C814ED"/>
    <w:rsid w:val="00C819B4"/>
    <w:rsid w:val="00C81C5E"/>
    <w:rsid w:val="00C81E4A"/>
    <w:rsid w:val="00C820F2"/>
    <w:rsid w:val="00C8289C"/>
    <w:rsid w:val="00C83083"/>
    <w:rsid w:val="00C83206"/>
    <w:rsid w:val="00C833E1"/>
    <w:rsid w:val="00C8342C"/>
    <w:rsid w:val="00C83789"/>
    <w:rsid w:val="00C840E2"/>
    <w:rsid w:val="00C8433E"/>
    <w:rsid w:val="00C85963"/>
    <w:rsid w:val="00C859EE"/>
    <w:rsid w:val="00C85FD8"/>
    <w:rsid w:val="00C8619E"/>
    <w:rsid w:val="00C86363"/>
    <w:rsid w:val="00C8682D"/>
    <w:rsid w:val="00C869B5"/>
    <w:rsid w:val="00C87929"/>
    <w:rsid w:val="00C917CF"/>
    <w:rsid w:val="00C92013"/>
    <w:rsid w:val="00C9224E"/>
    <w:rsid w:val="00C92583"/>
    <w:rsid w:val="00C93A49"/>
    <w:rsid w:val="00C94401"/>
    <w:rsid w:val="00C94450"/>
    <w:rsid w:val="00C94764"/>
    <w:rsid w:val="00C95161"/>
    <w:rsid w:val="00C9533C"/>
    <w:rsid w:val="00C95665"/>
    <w:rsid w:val="00C958CB"/>
    <w:rsid w:val="00C9592A"/>
    <w:rsid w:val="00C96760"/>
    <w:rsid w:val="00C967C2"/>
    <w:rsid w:val="00C96847"/>
    <w:rsid w:val="00C9747D"/>
    <w:rsid w:val="00C97660"/>
    <w:rsid w:val="00C979DE"/>
    <w:rsid w:val="00C97D86"/>
    <w:rsid w:val="00C97FD9"/>
    <w:rsid w:val="00CA03CE"/>
    <w:rsid w:val="00CA05EE"/>
    <w:rsid w:val="00CA07E3"/>
    <w:rsid w:val="00CA0D75"/>
    <w:rsid w:val="00CA0E34"/>
    <w:rsid w:val="00CA1371"/>
    <w:rsid w:val="00CA1466"/>
    <w:rsid w:val="00CA17C1"/>
    <w:rsid w:val="00CA187D"/>
    <w:rsid w:val="00CA1A0E"/>
    <w:rsid w:val="00CA20DA"/>
    <w:rsid w:val="00CA20F0"/>
    <w:rsid w:val="00CA25C9"/>
    <w:rsid w:val="00CA2910"/>
    <w:rsid w:val="00CA2AB5"/>
    <w:rsid w:val="00CA3105"/>
    <w:rsid w:val="00CA33E3"/>
    <w:rsid w:val="00CA413D"/>
    <w:rsid w:val="00CA4550"/>
    <w:rsid w:val="00CA45EE"/>
    <w:rsid w:val="00CA4D25"/>
    <w:rsid w:val="00CA4E6B"/>
    <w:rsid w:val="00CA505A"/>
    <w:rsid w:val="00CA6A33"/>
    <w:rsid w:val="00CA6C33"/>
    <w:rsid w:val="00CA7DF0"/>
    <w:rsid w:val="00CB001F"/>
    <w:rsid w:val="00CB0128"/>
    <w:rsid w:val="00CB01A4"/>
    <w:rsid w:val="00CB051A"/>
    <w:rsid w:val="00CB097C"/>
    <w:rsid w:val="00CB0AF8"/>
    <w:rsid w:val="00CB1164"/>
    <w:rsid w:val="00CB122B"/>
    <w:rsid w:val="00CB1A88"/>
    <w:rsid w:val="00CB1E04"/>
    <w:rsid w:val="00CB22ED"/>
    <w:rsid w:val="00CB2639"/>
    <w:rsid w:val="00CB279D"/>
    <w:rsid w:val="00CB2AAA"/>
    <w:rsid w:val="00CB38C9"/>
    <w:rsid w:val="00CB4276"/>
    <w:rsid w:val="00CB4597"/>
    <w:rsid w:val="00CB467B"/>
    <w:rsid w:val="00CB46D3"/>
    <w:rsid w:val="00CB4DC5"/>
    <w:rsid w:val="00CB4E4C"/>
    <w:rsid w:val="00CB5AF5"/>
    <w:rsid w:val="00CB5BF4"/>
    <w:rsid w:val="00CB5CCB"/>
    <w:rsid w:val="00CB5CEF"/>
    <w:rsid w:val="00CB5E7F"/>
    <w:rsid w:val="00CB65C4"/>
    <w:rsid w:val="00CB6C6D"/>
    <w:rsid w:val="00CB7119"/>
    <w:rsid w:val="00CB76D0"/>
    <w:rsid w:val="00CC01BF"/>
    <w:rsid w:val="00CC01C9"/>
    <w:rsid w:val="00CC023E"/>
    <w:rsid w:val="00CC0666"/>
    <w:rsid w:val="00CC0B73"/>
    <w:rsid w:val="00CC0F4C"/>
    <w:rsid w:val="00CC1471"/>
    <w:rsid w:val="00CC1507"/>
    <w:rsid w:val="00CC1528"/>
    <w:rsid w:val="00CC18D2"/>
    <w:rsid w:val="00CC1C32"/>
    <w:rsid w:val="00CC1DC5"/>
    <w:rsid w:val="00CC2064"/>
    <w:rsid w:val="00CC25B5"/>
    <w:rsid w:val="00CC2CDA"/>
    <w:rsid w:val="00CC315D"/>
    <w:rsid w:val="00CC48C4"/>
    <w:rsid w:val="00CC4C9F"/>
    <w:rsid w:val="00CC51F9"/>
    <w:rsid w:val="00CC5443"/>
    <w:rsid w:val="00CC5DD3"/>
    <w:rsid w:val="00CC61A7"/>
    <w:rsid w:val="00CC61B2"/>
    <w:rsid w:val="00CC61CD"/>
    <w:rsid w:val="00CC67CA"/>
    <w:rsid w:val="00CC7341"/>
    <w:rsid w:val="00CC7606"/>
    <w:rsid w:val="00CC76C1"/>
    <w:rsid w:val="00CD026F"/>
    <w:rsid w:val="00CD03CC"/>
    <w:rsid w:val="00CD0639"/>
    <w:rsid w:val="00CD098D"/>
    <w:rsid w:val="00CD09FD"/>
    <w:rsid w:val="00CD0CD7"/>
    <w:rsid w:val="00CD0D79"/>
    <w:rsid w:val="00CD0E18"/>
    <w:rsid w:val="00CD16E6"/>
    <w:rsid w:val="00CD24B2"/>
    <w:rsid w:val="00CD269D"/>
    <w:rsid w:val="00CD2A83"/>
    <w:rsid w:val="00CD2CB0"/>
    <w:rsid w:val="00CD3270"/>
    <w:rsid w:val="00CD34D6"/>
    <w:rsid w:val="00CD3A45"/>
    <w:rsid w:val="00CD4BD0"/>
    <w:rsid w:val="00CD4E2C"/>
    <w:rsid w:val="00CD5160"/>
    <w:rsid w:val="00CD539F"/>
    <w:rsid w:val="00CD5DD1"/>
    <w:rsid w:val="00CD7324"/>
    <w:rsid w:val="00CD7330"/>
    <w:rsid w:val="00CD7819"/>
    <w:rsid w:val="00CD79B9"/>
    <w:rsid w:val="00CD7A0A"/>
    <w:rsid w:val="00CD7CAC"/>
    <w:rsid w:val="00CD7E06"/>
    <w:rsid w:val="00CE01DD"/>
    <w:rsid w:val="00CE0A95"/>
    <w:rsid w:val="00CE0AFE"/>
    <w:rsid w:val="00CE197F"/>
    <w:rsid w:val="00CE20A6"/>
    <w:rsid w:val="00CE25A4"/>
    <w:rsid w:val="00CE3204"/>
    <w:rsid w:val="00CE3776"/>
    <w:rsid w:val="00CE3B81"/>
    <w:rsid w:val="00CE3BFF"/>
    <w:rsid w:val="00CE42A7"/>
    <w:rsid w:val="00CE513F"/>
    <w:rsid w:val="00CE5CC5"/>
    <w:rsid w:val="00CE6E00"/>
    <w:rsid w:val="00CE6F3C"/>
    <w:rsid w:val="00CE6F71"/>
    <w:rsid w:val="00CE7317"/>
    <w:rsid w:val="00CE7698"/>
    <w:rsid w:val="00CE78EC"/>
    <w:rsid w:val="00CE7CD3"/>
    <w:rsid w:val="00CF006D"/>
    <w:rsid w:val="00CF0201"/>
    <w:rsid w:val="00CF0402"/>
    <w:rsid w:val="00CF1127"/>
    <w:rsid w:val="00CF11B9"/>
    <w:rsid w:val="00CF1672"/>
    <w:rsid w:val="00CF17C2"/>
    <w:rsid w:val="00CF265C"/>
    <w:rsid w:val="00CF2956"/>
    <w:rsid w:val="00CF2A90"/>
    <w:rsid w:val="00CF2C35"/>
    <w:rsid w:val="00CF2F75"/>
    <w:rsid w:val="00CF3102"/>
    <w:rsid w:val="00CF3801"/>
    <w:rsid w:val="00CF3D0B"/>
    <w:rsid w:val="00CF3DB5"/>
    <w:rsid w:val="00CF3EC6"/>
    <w:rsid w:val="00CF42C5"/>
    <w:rsid w:val="00CF4448"/>
    <w:rsid w:val="00CF44FD"/>
    <w:rsid w:val="00CF45BD"/>
    <w:rsid w:val="00CF482D"/>
    <w:rsid w:val="00CF487A"/>
    <w:rsid w:val="00CF4B44"/>
    <w:rsid w:val="00CF54DD"/>
    <w:rsid w:val="00CF56AA"/>
    <w:rsid w:val="00CF59EF"/>
    <w:rsid w:val="00CF68ED"/>
    <w:rsid w:val="00CF6B77"/>
    <w:rsid w:val="00CF73F0"/>
    <w:rsid w:val="00CF7559"/>
    <w:rsid w:val="00CF75BB"/>
    <w:rsid w:val="00CF7825"/>
    <w:rsid w:val="00CF7B31"/>
    <w:rsid w:val="00CF7DD0"/>
    <w:rsid w:val="00CF7EB4"/>
    <w:rsid w:val="00D0016D"/>
    <w:rsid w:val="00D00E5C"/>
    <w:rsid w:val="00D00F01"/>
    <w:rsid w:val="00D0157A"/>
    <w:rsid w:val="00D02628"/>
    <w:rsid w:val="00D026CC"/>
    <w:rsid w:val="00D0281A"/>
    <w:rsid w:val="00D03184"/>
    <w:rsid w:val="00D03347"/>
    <w:rsid w:val="00D03770"/>
    <w:rsid w:val="00D03A51"/>
    <w:rsid w:val="00D03C63"/>
    <w:rsid w:val="00D0404B"/>
    <w:rsid w:val="00D04722"/>
    <w:rsid w:val="00D053A1"/>
    <w:rsid w:val="00D054CE"/>
    <w:rsid w:val="00D05EAA"/>
    <w:rsid w:val="00D05F3C"/>
    <w:rsid w:val="00D06C9A"/>
    <w:rsid w:val="00D06F7B"/>
    <w:rsid w:val="00D07A35"/>
    <w:rsid w:val="00D07CAF"/>
    <w:rsid w:val="00D10E5F"/>
    <w:rsid w:val="00D10F70"/>
    <w:rsid w:val="00D113E7"/>
    <w:rsid w:val="00D1143E"/>
    <w:rsid w:val="00D11501"/>
    <w:rsid w:val="00D11981"/>
    <w:rsid w:val="00D11EC6"/>
    <w:rsid w:val="00D12572"/>
    <w:rsid w:val="00D129EE"/>
    <w:rsid w:val="00D1510B"/>
    <w:rsid w:val="00D1559B"/>
    <w:rsid w:val="00D16C9D"/>
    <w:rsid w:val="00D1721B"/>
    <w:rsid w:val="00D1741C"/>
    <w:rsid w:val="00D17A96"/>
    <w:rsid w:val="00D204A5"/>
    <w:rsid w:val="00D20FAD"/>
    <w:rsid w:val="00D217C8"/>
    <w:rsid w:val="00D21D03"/>
    <w:rsid w:val="00D226E7"/>
    <w:rsid w:val="00D22A8B"/>
    <w:rsid w:val="00D22AD4"/>
    <w:rsid w:val="00D22BA7"/>
    <w:rsid w:val="00D22FEC"/>
    <w:rsid w:val="00D2355E"/>
    <w:rsid w:val="00D23F67"/>
    <w:rsid w:val="00D245D3"/>
    <w:rsid w:val="00D24881"/>
    <w:rsid w:val="00D24CF5"/>
    <w:rsid w:val="00D25AAB"/>
    <w:rsid w:val="00D25EFA"/>
    <w:rsid w:val="00D25FDF"/>
    <w:rsid w:val="00D2612A"/>
    <w:rsid w:val="00D266C6"/>
    <w:rsid w:val="00D26EE2"/>
    <w:rsid w:val="00D27959"/>
    <w:rsid w:val="00D30869"/>
    <w:rsid w:val="00D30874"/>
    <w:rsid w:val="00D30ACE"/>
    <w:rsid w:val="00D30DE7"/>
    <w:rsid w:val="00D31382"/>
    <w:rsid w:val="00D314B2"/>
    <w:rsid w:val="00D31E08"/>
    <w:rsid w:val="00D32572"/>
    <w:rsid w:val="00D3260A"/>
    <w:rsid w:val="00D32995"/>
    <w:rsid w:val="00D32AAE"/>
    <w:rsid w:val="00D338D7"/>
    <w:rsid w:val="00D341A2"/>
    <w:rsid w:val="00D34C29"/>
    <w:rsid w:val="00D35750"/>
    <w:rsid w:val="00D35C04"/>
    <w:rsid w:val="00D35D61"/>
    <w:rsid w:val="00D35EE0"/>
    <w:rsid w:val="00D35F04"/>
    <w:rsid w:val="00D36009"/>
    <w:rsid w:val="00D36CF9"/>
    <w:rsid w:val="00D36FD5"/>
    <w:rsid w:val="00D3743B"/>
    <w:rsid w:val="00D37482"/>
    <w:rsid w:val="00D402A8"/>
    <w:rsid w:val="00D408D5"/>
    <w:rsid w:val="00D409A7"/>
    <w:rsid w:val="00D40A8B"/>
    <w:rsid w:val="00D40D63"/>
    <w:rsid w:val="00D40FAC"/>
    <w:rsid w:val="00D412ED"/>
    <w:rsid w:val="00D41B2E"/>
    <w:rsid w:val="00D41D3E"/>
    <w:rsid w:val="00D42053"/>
    <w:rsid w:val="00D422E9"/>
    <w:rsid w:val="00D4256C"/>
    <w:rsid w:val="00D42964"/>
    <w:rsid w:val="00D42D9A"/>
    <w:rsid w:val="00D4307D"/>
    <w:rsid w:val="00D4338E"/>
    <w:rsid w:val="00D43760"/>
    <w:rsid w:val="00D43DED"/>
    <w:rsid w:val="00D43DFD"/>
    <w:rsid w:val="00D43E63"/>
    <w:rsid w:val="00D4414F"/>
    <w:rsid w:val="00D44BB7"/>
    <w:rsid w:val="00D455ED"/>
    <w:rsid w:val="00D45CA4"/>
    <w:rsid w:val="00D45E13"/>
    <w:rsid w:val="00D45F26"/>
    <w:rsid w:val="00D4622E"/>
    <w:rsid w:val="00D462C1"/>
    <w:rsid w:val="00D464F8"/>
    <w:rsid w:val="00D47331"/>
    <w:rsid w:val="00D4756F"/>
    <w:rsid w:val="00D477E2"/>
    <w:rsid w:val="00D47A0A"/>
    <w:rsid w:val="00D47D9C"/>
    <w:rsid w:val="00D47F62"/>
    <w:rsid w:val="00D50458"/>
    <w:rsid w:val="00D509B4"/>
    <w:rsid w:val="00D51519"/>
    <w:rsid w:val="00D518A8"/>
    <w:rsid w:val="00D519E8"/>
    <w:rsid w:val="00D51A1C"/>
    <w:rsid w:val="00D51C34"/>
    <w:rsid w:val="00D52ADE"/>
    <w:rsid w:val="00D52F66"/>
    <w:rsid w:val="00D530AB"/>
    <w:rsid w:val="00D53785"/>
    <w:rsid w:val="00D540B0"/>
    <w:rsid w:val="00D540C4"/>
    <w:rsid w:val="00D54B34"/>
    <w:rsid w:val="00D5556F"/>
    <w:rsid w:val="00D55610"/>
    <w:rsid w:val="00D558E0"/>
    <w:rsid w:val="00D55C51"/>
    <w:rsid w:val="00D56D50"/>
    <w:rsid w:val="00D56E83"/>
    <w:rsid w:val="00D56F92"/>
    <w:rsid w:val="00D57265"/>
    <w:rsid w:val="00D57775"/>
    <w:rsid w:val="00D57844"/>
    <w:rsid w:val="00D5795B"/>
    <w:rsid w:val="00D57ECB"/>
    <w:rsid w:val="00D60070"/>
    <w:rsid w:val="00D61555"/>
    <w:rsid w:val="00D61C19"/>
    <w:rsid w:val="00D61C5C"/>
    <w:rsid w:val="00D61F9D"/>
    <w:rsid w:val="00D62171"/>
    <w:rsid w:val="00D62282"/>
    <w:rsid w:val="00D63AFD"/>
    <w:rsid w:val="00D63BF8"/>
    <w:rsid w:val="00D64355"/>
    <w:rsid w:val="00D646EE"/>
    <w:rsid w:val="00D64734"/>
    <w:rsid w:val="00D647F6"/>
    <w:rsid w:val="00D64A83"/>
    <w:rsid w:val="00D64CB5"/>
    <w:rsid w:val="00D64E4F"/>
    <w:rsid w:val="00D65583"/>
    <w:rsid w:val="00D6698D"/>
    <w:rsid w:val="00D66AB6"/>
    <w:rsid w:val="00D66C99"/>
    <w:rsid w:val="00D66C9B"/>
    <w:rsid w:val="00D66D45"/>
    <w:rsid w:val="00D66E14"/>
    <w:rsid w:val="00D677DF"/>
    <w:rsid w:val="00D677E4"/>
    <w:rsid w:val="00D677FD"/>
    <w:rsid w:val="00D679B2"/>
    <w:rsid w:val="00D67D8A"/>
    <w:rsid w:val="00D67F8D"/>
    <w:rsid w:val="00D7010C"/>
    <w:rsid w:val="00D7063C"/>
    <w:rsid w:val="00D70A0D"/>
    <w:rsid w:val="00D71B89"/>
    <w:rsid w:val="00D71D51"/>
    <w:rsid w:val="00D72C7C"/>
    <w:rsid w:val="00D73327"/>
    <w:rsid w:val="00D73333"/>
    <w:rsid w:val="00D7412C"/>
    <w:rsid w:val="00D755F1"/>
    <w:rsid w:val="00D75F63"/>
    <w:rsid w:val="00D7637A"/>
    <w:rsid w:val="00D7719A"/>
    <w:rsid w:val="00D775B7"/>
    <w:rsid w:val="00D77653"/>
    <w:rsid w:val="00D7798B"/>
    <w:rsid w:val="00D77D56"/>
    <w:rsid w:val="00D8015C"/>
    <w:rsid w:val="00D805B9"/>
    <w:rsid w:val="00D809D6"/>
    <w:rsid w:val="00D80A9B"/>
    <w:rsid w:val="00D810CB"/>
    <w:rsid w:val="00D8117D"/>
    <w:rsid w:val="00D8168C"/>
    <w:rsid w:val="00D81A68"/>
    <w:rsid w:val="00D838CD"/>
    <w:rsid w:val="00D83B13"/>
    <w:rsid w:val="00D841C7"/>
    <w:rsid w:val="00D8422B"/>
    <w:rsid w:val="00D84DCF"/>
    <w:rsid w:val="00D84F14"/>
    <w:rsid w:val="00D855FB"/>
    <w:rsid w:val="00D85847"/>
    <w:rsid w:val="00D861C1"/>
    <w:rsid w:val="00D8692A"/>
    <w:rsid w:val="00D86ECA"/>
    <w:rsid w:val="00D87699"/>
    <w:rsid w:val="00D87995"/>
    <w:rsid w:val="00D879D4"/>
    <w:rsid w:val="00D9004C"/>
    <w:rsid w:val="00D906A1"/>
    <w:rsid w:val="00D9099C"/>
    <w:rsid w:val="00D90B12"/>
    <w:rsid w:val="00D90F33"/>
    <w:rsid w:val="00D916B9"/>
    <w:rsid w:val="00D91F60"/>
    <w:rsid w:val="00D91F90"/>
    <w:rsid w:val="00D91FDE"/>
    <w:rsid w:val="00D921A9"/>
    <w:rsid w:val="00D92222"/>
    <w:rsid w:val="00D9255D"/>
    <w:rsid w:val="00D92EAB"/>
    <w:rsid w:val="00D93495"/>
    <w:rsid w:val="00D93651"/>
    <w:rsid w:val="00D939AE"/>
    <w:rsid w:val="00D939EE"/>
    <w:rsid w:val="00D93C5A"/>
    <w:rsid w:val="00D940BB"/>
    <w:rsid w:val="00D94B94"/>
    <w:rsid w:val="00D94DF1"/>
    <w:rsid w:val="00D94E3F"/>
    <w:rsid w:val="00D954A4"/>
    <w:rsid w:val="00D955F1"/>
    <w:rsid w:val="00D95C6F"/>
    <w:rsid w:val="00D95D71"/>
    <w:rsid w:val="00D965BC"/>
    <w:rsid w:val="00D96BFE"/>
    <w:rsid w:val="00D96F1E"/>
    <w:rsid w:val="00D96FB9"/>
    <w:rsid w:val="00D97132"/>
    <w:rsid w:val="00D979FD"/>
    <w:rsid w:val="00D97B5C"/>
    <w:rsid w:val="00D97C93"/>
    <w:rsid w:val="00DA02CF"/>
    <w:rsid w:val="00DA04B6"/>
    <w:rsid w:val="00DA0639"/>
    <w:rsid w:val="00DA06E5"/>
    <w:rsid w:val="00DA0E78"/>
    <w:rsid w:val="00DA0ED6"/>
    <w:rsid w:val="00DA1151"/>
    <w:rsid w:val="00DA1469"/>
    <w:rsid w:val="00DA1A54"/>
    <w:rsid w:val="00DA1CDD"/>
    <w:rsid w:val="00DA1CE5"/>
    <w:rsid w:val="00DA1DE2"/>
    <w:rsid w:val="00DA2080"/>
    <w:rsid w:val="00DA2693"/>
    <w:rsid w:val="00DA273D"/>
    <w:rsid w:val="00DA27F9"/>
    <w:rsid w:val="00DA2E2B"/>
    <w:rsid w:val="00DA2F04"/>
    <w:rsid w:val="00DA3554"/>
    <w:rsid w:val="00DA35A0"/>
    <w:rsid w:val="00DA3DEF"/>
    <w:rsid w:val="00DA4B3D"/>
    <w:rsid w:val="00DA4B59"/>
    <w:rsid w:val="00DA4F03"/>
    <w:rsid w:val="00DA510F"/>
    <w:rsid w:val="00DA5521"/>
    <w:rsid w:val="00DA6DE1"/>
    <w:rsid w:val="00DA7227"/>
    <w:rsid w:val="00DA7465"/>
    <w:rsid w:val="00DA7B05"/>
    <w:rsid w:val="00DA7DD9"/>
    <w:rsid w:val="00DB030B"/>
    <w:rsid w:val="00DB05E9"/>
    <w:rsid w:val="00DB1000"/>
    <w:rsid w:val="00DB13D4"/>
    <w:rsid w:val="00DB1801"/>
    <w:rsid w:val="00DB1BD9"/>
    <w:rsid w:val="00DB1E65"/>
    <w:rsid w:val="00DB22FA"/>
    <w:rsid w:val="00DB237A"/>
    <w:rsid w:val="00DB2B66"/>
    <w:rsid w:val="00DB2BC9"/>
    <w:rsid w:val="00DB2FEB"/>
    <w:rsid w:val="00DB30E5"/>
    <w:rsid w:val="00DB356A"/>
    <w:rsid w:val="00DB3953"/>
    <w:rsid w:val="00DB3A80"/>
    <w:rsid w:val="00DB3C6E"/>
    <w:rsid w:val="00DB3DD0"/>
    <w:rsid w:val="00DB4423"/>
    <w:rsid w:val="00DB4754"/>
    <w:rsid w:val="00DB555C"/>
    <w:rsid w:val="00DB557F"/>
    <w:rsid w:val="00DB566F"/>
    <w:rsid w:val="00DB5A0F"/>
    <w:rsid w:val="00DB605C"/>
    <w:rsid w:val="00DB63EF"/>
    <w:rsid w:val="00DB6419"/>
    <w:rsid w:val="00DB6E51"/>
    <w:rsid w:val="00DB707F"/>
    <w:rsid w:val="00DC02AB"/>
    <w:rsid w:val="00DC0578"/>
    <w:rsid w:val="00DC171E"/>
    <w:rsid w:val="00DC25B7"/>
    <w:rsid w:val="00DC2DE8"/>
    <w:rsid w:val="00DC2FE7"/>
    <w:rsid w:val="00DC4089"/>
    <w:rsid w:val="00DC4806"/>
    <w:rsid w:val="00DC5101"/>
    <w:rsid w:val="00DC58E7"/>
    <w:rsid w:val="00DC5A4C"/>
    <w:rsid w:val="00DC5E6F"/>
    <w:rsid w:val="00DC6075"/>
    <w:rsid w:val="00DC6B59"/>
    <w:rsid w:val="00DC6D00"/>
    <w:rsid w:val="00DC6F15"/>
    <w:rsid w:val="00DC7719"/>
    <w:rsid w:val="00DC7792"/>
    <w:rsid w:val="00DC77B9"/>
    <w:rsid w:val="00DC783F"/>
    <w:rsid w:val="00DC7A33"/>
    <w:rsid w:val="00DC7B90"/>
    <w:rsid w:val="00DD0221"/>
    <w:rsid w:val="00DD050E"/>
    <w:rsid w:val="00DD0AF9"/>
    <w:rsid w:val="00DD0DA2"/>
    <w:rsid w:val="00DD0E83"/>
    <w:rsid w:val="00DD257F"/>
    <w:rsid w:val="00DD313E"/>
    <w:rsid w:val="00DD3954"/>
    <w:rsid w:val="00DD3DAD"/>
    <w:rsid w:val="00DD4A85"/>
    <w:rsid w:val="00DD5257"/>
    <w:rsid w:val="00DD53AD"/>
    <w:rsid w:val="00DD5409"/>
    <w:rsid w:val="00DD58C1"/>
    <w:rsid w:val="00DD5EAA"/>
    <w:rsid w:val="00DD6582"/>
    <w:rsid w:val="00DD6912"/>
    <w:rsid w:val="00DD6A48"/>
    <w:rsid w:val="00DD6D8E"/>
    <w:rsid w:val="00DD7201"/>
    <w:rsid w:val="00DD7B41"/>
    <w:rsid w:val="00DE0265"/>
    <w:rsid w:val="00DE07E0"/>
    <w:rsid w:val="00DE0C7C"/>
    <w:rsid w:val="00DE0EDF"/>
    <w:rsid w:val="00DE0EE4"/>
    <w:rsid w:val="00DE12B6"/>
    <w:rsid w:val="00DE14CE"/>
    <w:rsid w:val="00DE180B"/>
    <w:rsid w:val="00DE2044"/>
    <w:rsid w:val="00DE2347"/>
    <w:rsid w:val="00DE3755"/>
    <w:rsid w:val="00DE3A7B"/>
    <w:rsid w:val="00DE3EFB"/>
    <w:rsid w:val="00DE3FD9"/>
    <w:rsid w:val="00DE4580"/>
    <w:rsid w:val="00DE5249"/>
    <w:rsid w:val="00DE5473"/>
    <w:rsid w:val="00DE56BD"/>
    <w:rsid w:val="00DE56BF"/>
    <w:rsid w:val="00DE5F72"/>
    <w:rsid w:val="00DE649C"/>
    <w:rsid w:val="00DE6EF1"/>
    <w:rsid w:val="00DE737A"/>
    <w:rsid w:val="00DE749A"/>
    <w:rsid w:val="00DE77B1"/>
    <w:rsid w:val="00DE7E1C"/>
    <w:rsid w:val="00DE7F55"/>
    <w:rsid w:val="00DE7F85"/>
    <w:rsid w:val="00DF018E"/>
    <w:rsid w:val="00DF09F9"/>
    <w:rsid w:val="00DF0A97"/>
    <w:rsid w:val="00DF1121"/>
    <w:rsid w:val="00DF131D"/>
    <w:rsid w:val="00DF13AF"/>
    <w:rsid w:val="00DF166B"/>
    <w:rsid w:val="00DF1778"/>
    <w:rsid w:val="00DF1D01"/>
    <w:rsid w:val="00DF1D6C"/>
    <w:rsid w:val="00DF268B"/>
    <w:rsid w:val="00DF2B50"/>
    <w:rsid w:val="00DF2F41"/>
    <w:rsid w:val="00DF406E"/>
    <w:rsid w:val="00DF41A4"/>
    <w:rsid w:val="00DF4C1E"/>
    <w:rsid w:val="00DF4ED8"/>
    <w:rsid w:val="00DF4F39"/>
    <w:rsid w:val="00DF504D"/>
    <w:rsid w:val="00DF530A"/>
    <w:rsid w:val="00DF53EE"/>
    <w:rsid w:val="00DF5554"/>
    <w:rsid w:val="00DF5C6A"/>
    <w:rsid w:val="00DF5C8B"/>
    <w:rsid w:val="00DF613F"/>
    <w:rsid w:val="00DF637B"/>
    <w:rsid w:val="00DF67CE"/>
    <w:rsid w:val="00DF6816"/>
    <w:rsid w:val="00DF6BE3"/>
    <w:rsid w:val="00DF6CE6"/>
    <w:rsid w:val="00DF7016"/>
    <w:rsid w:val="00DF70DA"/>
    <w:rsid w:val="00DF737A"/>
    <w:rsid w:val="00DF74D9"/>
    <w:rsid w:val="00DF7AF6"/>
    <w:rsid w:val="00E002CF"/>
    <w:rsid w:val="00E0037E"/>
    <w:rsid w:val="00E003BD"/>
    <w:rsid w:val="00E00502"/>
    <w:rsid w:val="00E00619"/>
    <w:rsid w:val="00E00692"/>
    <w:rsid w:val="00E00976"/>
    <w:rsid w:val="00E00CD4"/>
    <w:rsid w:val="00E01C85"/>
    <w:rsid w:val="00E01CB8"/>
    <w:rsid w:val="00E02281"/>
    <w:rsid w:val="00E029FC"/>
    <w:rsid w:val="00E02B5F"/>
    <w:rsid w:val="00E02FA4"/>
    <w:rsid w:val="00E02FDC"/>
    <w:rsid w:val="00E03AED"/>
    <w:rsid w:val="00E03C7A"/>
    <w:rsid w:val="00E03F71"/>
    <w:rsid w:val="00E0439D"/>
    <w:rsid w:val="00E044C2"/>
    <w:rsid w:val="00E04735"/>
    <w:rsid w:val="00E0474E"/>
    <w:rsid w:val="00E0512D"/>
    <w:rsid w:val="00E056CB"/>
    <w:rsid w:val="00E05C35"/>
    <w:rsid w:val="00E05C4A"/>
    <w:rsid w:val="00E05DF7"/>
    <w:rsid w:val="00E0604E"/>
    <w:rsid w:val="00E07ED3"/>
    <w:rsid w:val="00E1047F"/>
    <w:rsid w:val="00E105B0"/>
    <w:rsid w:val="00E10AC7"/>
    <w:rsid w:val="00E112A7"/>
    <w:rsid w:val="00E11FA9"/>
    <w:rsid w:val="00E123A5"/>
    <w:rsid w:val="00E12D36"/>
    <w:rsid w:val="00E135DF"/>
    <w:rsid w:val="00E13C05"/>
    <w:rsid w:val="00E13EC7"/>
    <w:rsid w:val="00E14B7E"/>
    <w:rsid w:val="00E14E6A"/>
    <w:rsid w:val="00E14FD3"/>
    <w:rsid w:val="00E15357"/>
    <w:rsid w:val="00E15512"/>
    <w:rsid w:val="00E168E8"/>
    <w:rsid w:val="00E1693D"/>
    <w:rsid w:val="00E16BDD"/>
    <w:rsid w:val="00E16C46"/>
    <w:rsid w:val="00E179F9"/>
    <w:rsid w:val="00E2009D"/>
    <w:rsid w:val="00E2079B"/>
    <w:rsid w:val="00E209FD"/>
    <w:rsid w:val="00E20D3C"/>
    <w:rsid w:val="00E20FEC"/>
    <w:rsid w:val="00E21FB3"/>
    <w:rsid w:val="00E22094"/>
    <w:rsid w:val="00E22B51"/>
    <w:rsid w:val="00E23045"/>
    <w:rsid w:val="00E232C5"/>
    <w:rsid w:val="00E2341E"/>
    <w:rsid w:val="00E2387A"/>
    <w:rsid w:val="00E23A15"/>
    <w:rsid w:val="00E240D8"/>
    <w:rsid w:val="00E24ABE"/>
    <w:rsid w:val="00E24D07"/>
    <w:rsid w:val="00E24EA1"/>
    <w:rsid w:val="00E25A07"/>
    <w:rsid w:val="00E25A95"/>
    <w:rsid w:val="00E26C36"/>
    <w:rsid w:val="00E27B3D"/>
    <w:rsid w:val="00E27FEC"/>
    <w:rsid w:val="00E30072"/>
    <w:rsid w:val="00E30B73"/>
    <w:rsid w:val="00E30B85"/>
    <w:rsid w:val="00E30D3E"/>
    <w:rsid w:val="00E30EB9"/>
    <w:rsid w:val="00E30FAC"/>
    <w:rsid w:val="00E31001"/>
    <w:rsid w:val="00E3131D"/>
    <w:rsid w:val="00E31564"/>
    <w:rsid w:val="00E319DD"/>
    <w:rsid w:val="00E31CFA"/>
    <w:rsid w:val="00E323BE"/>
    <w:rsid w:val="00E32460"/>
    <w:rsid w:val="00E325F6"/>
    <w:rsid w:val="00E32A9C"/>
    <w:rsid w:val="00E32E9C"/>
    <w:rsid w:val="00E33760"/>
    <w:rsid w:val="00E337B6"/>
    <w:rsid w:val="00E33E0C"/>
    <w:rsid w:val="00E35054"/>
    <w:rsid w:val="00E359D7"/>
    <w:rsid w:val="00E35AE6"/>
    <w:rsid w:val="00E35B4B"/>
    <w:rsid w:val="00E35BAC"/>
    <w:rsid w:val="00E3642F"/>
    <w:rsid w:val="00E36539"/>
    <w:rsid w:val="00E36F4B"/>
    <w:rsid w:val="00E36FFE"/>
    <w:rsid w:val="00E370A3"/>
    <w:rsid w:val="00E37293"/>
    <w:rsid w:val="00E3787C"/>
    <w:rsid w:val="00E37D1A"/>
    <w:rsid w:val="00E37EEB"/>
    <w:rsid w:val="00E37F63"/>
    <w:rsid w:val="00E4036B"/>
    <w:rsid w:val="00E4036F"/>
    <w:rsid w:val="00E406BD"/>
    <w:rsid w:val="00E40B32"/>
    <w:rsid w:val="00E4128D"/>
    <w:rsid w:val="00E419E6"/>
    <w:rsid w:val="00E41DAA"/>
    <w:rsid w:val="00E42378"/>
    <w:rsid w:val="00E42A12"/>
    <w:rsid w:val="00E42E94"/>
    <w:rsid w:val="00E434D5"/>
    <w:rsid w:val="00E4386D"/>
    <w:rsid w:val="00E43A41"/>
    <w:rsid w:val="00E44273"/>
    <w:rsid w:val="00E44430"/>
    <w:rsid w:val="00E444D2"/>
    <w:rsid w:val="00E44B29"/>
    <w:rsid w:val="00E4502F"/>
    <w:rsid w:val="00E455FF"/>
    <w:rsid w:val="00E45637"/>
    <w:rsid w:val="00E456A1"/>
    <w:rsid w:val="00E45B71"/>
    <w:rsid w:val="00E45C38"/>
    <w:rsid w:val="00E46019"/>
    <w:rsid w:val="00E468E9"/>
    <w:rsid w:val="00E46B63"/>
    <w:rsid w:val="00E46C50"/>
    <w:rsid w:val="00E4774E"/>
    <w:rsid w:val="00E47FDB"/>
    <w:rsid w:val="00E50748"/>
    <w:rsid w:val="00E50991"/>
    <w:rsid w:val="00E50E01"/>
    <w:rsid w:val="00E515E1"/>
    <w:rsid w:val="00E519E2"/>
    <w:rsid w:val="00E51A1F"/>
    <w:rsid w:val="00E51DFF"/>
    <w:rsid w:val="00E5250C"/>
    <w:rsid w:val="00E52606"/>
    <w:rsid w:val="00E52C63"/>
    <w:rsid w:val="00E52CAD"/>
    <w:rsid w:val="00E52CEA"/>
    <w:rsid w:val="00E52F96"/>
    <w:rsid w:val="00E53C5D"/>
    <w:rsid w:val="00E53FA6"/>
    <w:rsid w:val="00E5410B"/>
    <w:rsid w:val="00E544ED"/>
    <w:rsid w:val="00E546BA"/>
    <w:rsid w:val="00E54AAB"/>
    <w:rsid w:val="00E5511D"/>
    <w:rsid w:val="00E55E7F"/>
    <w:rsid w:val="00E563B0"/>
    <w:rsid w:val="00E5651E"/>
    <w:rsid w:val="00E56683"/>
    <w:rsid w:val="00E56BC3"/>
    <w:rsid w:val="00E56D2E"/>
    <w:rsid w:val="00E56FC0"/>
    <w:rsid w:val="00E57128"/>
    <w:rsid w:val="00E57174"/>
    <w:rsid w:val="00E607EB"/>
    <w:rsid w:val="00E60BC6"/>
    <w:rsid w:val="00E60F70"/>
    <w:rsid w:val="00E610B1"/>
    <w:rsid w:val="00E61288"/>
    <w:rsid w:val="00E61AB6"/>
    <w:rsid w:val="00E621ED"/>
    <w:rsid w:val="00E62C38"/>
    <w:rsid w:val="00E62E5B"/>
    <w:rsid w:val="00E62F48"/>
    <w:rsid w:val="00E63123"/>
    <w:rsid w:val="00E63CC5"/>
    <w:rsid w:val="00E642F1"/>
    <w:rsid w:val="00E64742"/>
    <w:rsid w:val="00E6540E"/>
    <w:rsid w:val="00E65429"/>
    <w:rsid w:val="00E65843"/>
    <w:rsid w:val="00E65982"/>
    <w:rsid w:val="00E65C1F"/>
    <w:rsid w:val="00E66329"/>
    <w:rsid w:val="00E664C4"/>
    <w:rsid w:val="00E66610"/>
    <w:rsid w:val="00E66937"/>
    <w:rsid w:val="00E66F43"/>
    <w:rsid w:val="00E66F88"/>
    <w:rsid w:val="00E671AF"/>
    <w:rsid w:val="00E67200"/>
    <w:rsid w:val="00E67B24"/>
    <w:rsid w:val="00E706B1"/>
    <w:rsid w:val="00E70A3F"/>
    <w:rsid w:val="00E70A57"/>
    <w:rsid w:val="00E70A61"/>
    <w:rsid w:val="00E70A77"/>
    <w:rsid w:val="00E70B9F"/>
    <w:rsid w:val="00E70F18"/>
    <w:rsid w:val="00E711A5"/>
    <w:rsid w:val="00E71236"/>
    <w:rsid w:val="00E713CA"/>
    <w:rsid w:val="00E7146B"/>
    <w:rsid w:val="00E7156B"/>
    <w:rsid w:val="00E717A6"/>
    <w:rsid w:val="00E71B96"/>
    <w:rsid w:val="00E71C0A"/>
    <w:rsid w:val="00E71C12"/>
    <w:rsid w:val="00E71F13"/>
    <w:rsid w:val="00E71F51"/>
    <w:rsid w:val="00E71F95"/>
    <w:rsid w:val="00E7234D"/>
    <w:rsid w:val="00E723E6"/>
    <w:rsid w:val="00E7247A"/>
    <w:rsid w:val="00E7248B"/>
    <w:rsid w:val="00E7271C"/>
    <w:rsid w:val="00E72B4E"/>
    <w:rsid w:val="00E72F9C"/>
    <w:rsid w:val="00E732A1"/>
    <w:rsid w:val="00E73D49"/>
    <w:rsid w:val="00E73DB1"/>
    <w:rsid w:val="00E74346"/>
    <w:rsid w:val="00E7456C"/>
    <w:rsid w:val="00E74E45"/>
    <w:rsid w:val="00E74E88"/>
    <w:rsid w:val="00E750E3"/>
    <w:rsid w:val="00E75199"/>
    <w:rsid w:val="00E75231"/>
    <w:rsid w:val="00E75D40"/>
    <w:rsid w:val="00E75E40"/>
    <w:rsid w:val="00E75E4C"/>
    <w:rsid w:val="00E765ED"/>
    <w:rsid w:val="00E76C2A"/>
    <w:rsid w:val="00E76E97"/>
    <w:rsid w:val="00E76EE1"/>
    <w:rsid w:val="00E7713D"/>
    <w:rsid w:val="00E77987"/>
    <w:rsid w:val="00E779B1"/>
    <w:rsid w:val="00E80370"/>
    <w:rsid w:val="00E80FAF"/>
    <w:rsid w:val="00E81CFF"/>
    <w:rsid w:val="00E821B8"/>
    <w:rsid w:val="00E821EF"/>
    <w:rsid w:val="00E8314F"/>
    <w:rsid w:val="00E839D7"/>
    <w:rsid w:val="00E8419A"/>
    <w:rsid w:val="00E8432D"/>
    <w:rsid w:val="00E84E61"/>
    <w:rsid w:val="00E85161"/>
    <w:rsid w:val="00E8592A"/>
    <w:rsid w:val="00E85C18"/>
    <w:rsid w:val="00E85C2B"/>
    <w:rsid w:val="00E85EB8"/>
    <w:rsid w:val="00E86184"/>
    <w:rsid w:val="00E8622F"/>
    <w:rsid w:val="00E86350"/>
    <w:rsid w:val="00E86907"/>
    <w:rsid w:val="00E8720A"/>
    <w:rsid w:val="00E872B4"/>
    <w:rsid w:val="00E87912"/>
    <w:rsid w:val="00E905CB"/>
    <w:rsid w:val="00E90624"/>
    <w:rsid w:val="00E909A6"/>
    <w:rsid w:val="00E90B42"/>
    <w:rsid w:val="00E90FD7"/>
    <w:rsid w:val="00E91561"/>
    <w:rsid w:val="00E92D58"/>
    <w:rsid w:val="00E93208"/>
    <w:rsid w:val="00E93214"/>
    <w:rsid w:val="00E9341F"/>
    <w:rsid w:val="00E93606"/>
    <w:rsid w:val="00E93D44"/>
    <w:rsid w:val="00E93E6B"/>
    <w:rsid w:val="00E93F64"/>
    <w:rsid w:val="00E94022"/>
    <w:rsid w:val="00E94443"/>
    <w:rsid w:val="00E94554"/>
    <w:rsid w:val="00E946CA"/>
    <w:rsid w:val="00E947FC"/>
    <w:rsid w:val="00E95899"/>
    <w:rsid w:val="00E9593A"/>
    <w:rsid w:val="00E95DB8"/>
    <w:rsid w:val="00E9638F"/>
    <w:rsid w:val="00E9644C"/>
    <w:rsid w:val="00E9690B"/>
    <w:rsid w:val="00E9724A"/>
    <w:rsid w:val="00E97CD8"/>
    <w:rsid w:val="00EA0158"/>
    <w:rsid w:val="00EA07F2"/>
    <w:rsid w:val="00EA0882"/>
    <w:rsid w:val="00EA0974"/>
    <w:rsid w:val="00EA0A28"/>
    <w:rsid w:val="00EA0B14"/>
    <w:rsid w:val="00EA145D"/>
    <w:rsid w:val="00EA1950"/>
    <w:rsid w:val="00EA1F2A"/>
    <w:rsid w:val="00EA23BA"/>
    <w:rsid w:val="00EA2482"/>
    <w:rsid w:val="00EA2491"/>
    <w:rsid w:val="00EA2BC4"/>
    <w:rsid w:val="00EA2C8B"/>
    <w:rsid w:val="00EA2E85"/>
    <w:rsid w:val="00EA39DE"/>
    <w:rsid w:val="00EA40A4"/>
    <w:rsid w:val="00EA4444"/>
    <w:rsid w:val="00EA472C"/>
    <w:rsid w:val="00EA51A8"/>
    <w:rsid w:val="00EA54AC"/>
    <w:rsid w:val="00EA57D1"/>
    <w:rsid w:val="00EA5893"/>
    <w:rsid w:val="00EA5E0C"/>
    <w:rsid w:val="00EA5F05"/>
    <w:rsid w:val="00EA6A6E"/>
    <w:rsid w:val="00EA6AF7"/>
    <w:rsid w:val="00EA799A"/>
    <w:rsid w:val="00EA7A32"/>
    <w:rsid w:val="00EA7B10"/>
    <w:rsid w:val="00EB0B94"/>
    <w:rsid w:val="00EB0FB8"/>
    <w:rsid w:val="00EB1619"/>
    <w:rsid w:val="00EB1785"/>
    <w:rsid w:val="00EB207F"/>
    <w:rsid w:val="00EB21F9"/>
    <w:rsid w:val="00EB2325"/>
    <w:rsid w:val="00EB24EF"/>
    <w:rsid w:val="00EB26E5"/>
    <w:rsid w:val="00EB28B9"/>
    <w:rsid w:val="00EB2AB9"/>
    <w:rsid w:val="00EB2CEC"/>
    <w:rsid w:val="00EB2D35"/>
    <w:rsid w:val="00EB2E3F"/>
    <w:rsid w:val="00EB3137"/>
    <w:rsid w:val="00EB31DE"/>
    <w:rsid w:val="00EB3524"/>
    <w:rsid w:val="00EB38FA"/>
    <w:rsid w:val="00EB3C19"/>
    <w:rsid w:val="00EB5262"/>
    <w:rsid w:val="00EB54DA"/>
    <w:rsid w:val="00EB5AB4"/>
    <w:rsid w:val="00EB5D58"/>
    <w:rsid w:val="00EB6080"/>
    <w:rsid w:val="00EB63C8"/>
    <w:rsid w:val="00EB6652"/>
    <w:rsid w:val="00EB6721"/>
    <w:rsid w:val="00EB6F39"/>
    <w:rsid w:val="00EB7699"/>
    <w:rsid w:val="00EB78A7"/>
    <w:rsid w:val="00EB7CF1"/>
    <w:rsid w:val="00EB7D3F"/>
    <w:rsid w:val="00EB7D99"/>
    <w:rsid w:val="00EC0A09"/>
    <w:rsid w:val="00EC0D7E"/>
    <w:rsid w:val="00EC0D85"/>
    <w:rsid w:val="00EC1504"/>
    <w:rsid w:val="00EC15B7"/>
    <w:rsid w:val="00EC27BC"/>
    <w:rsid w:val="00EC28D5"/>
    <w:rsid w:val="00EC29E9"/>
    <w:rsid w:val="00EC2B25"/>
    <w:rsid w:val="00EC2BBF"/>
    <w:rsid w:val="00EC329E"/>
    <w:rsid w:val="00EC433F"/>
    <w:rsid w:val="00EC44C0"/>
    <w:rsid w:val="00EC523D"/>
    <w:rsid w:val="00EC55A0"/>
    <w:rsid w:val="00EC597A"/>
    <w:rsid w:val="00EC5AC9"/>
    <w:rsid w:val="00EC5F63"/>
    <w:rsid w:val="00EC62E8"/>
    <w:rsid w:val="00EC6529"/>
    <w:rsid w:val="00EC6C30"/>
    <w:rsid w:val="00EC6D56"/>
    <w:rsid w:val="00EC71DA"/>
    <w:rsid w:val="00EC7416"/>
    <w:rsid w:val="00EC756C"/>
    <w:rsid w:val="00EC75B6"/>
    <w:rsid w:val="00EC7615"/>
    <w:rsid w:val="00EC76F5"/>
    <w:rsid w:val="00EC7C8E"/>
    <w:rsid w:val="00ED0423"/>
    <w:rsid w:val="00ED062B"/>
    <w:rsid w:val="00ED161A"/>
    <w:rsid w:val="00ED1763"/>
    <w:rsid w:val="00ED1877"/>
    <w:rsid w:val="00ED1A3B"/>
    <w:rsid w:val="00ED1E2A"/>
    <w:rsid w:val="00ED21F1"/>
    <w:rsid w:val="00ED291F"/>
    <w:rsid w:val="00ED2C6D"/>
    <w:rsid w:val="00ED2E44"/>
    <w:rsid w:val="00ED3722"/>
    <w:rsid w:val="00ED4405"/>
    <w:rsid w:val="00ED457E"/>
    <w:rsid w:val="00ED5019"/>
    <w:rsid w:val="00ED505F"/>
    <w:rsid w:val="00ED577E"/>
    <w:rsid w:val="00ED5841"/>
    <w:rsid w:val="00ED58C0"/>
    <w:rsid w:val="00ED66F6"/>
    <w:rsid w:val="00ED7000"/>
    <w:rsid w:val="00ED7BFD"/>
    <w:rsid w:val="00EE04A3"/>
    <w:rsid w:val="00EE0857"/>
    <w:rsid w:val="00EE0A69"/>
    <w:rsid w:val="00EE0A89"/>
    <w:rsid w:val="00EE0B2C"/>
    <w:rsid w:val="00EE103F"/>
    <w:rsid w:val="00EE1110"/>
    <w:rsid w:val="00EE124D"/>
    <w:rsid w:val="00EE127E"/>
    <w:rsid w:val="00EE1432"/>
    <w:rsid w:val="00EE17F9"/>
    <w:rsid w:val="00EE1A2B"/>
    <w:rsid w:val="00EE2088"/>
    <w:rsid w:val="00EE2298"/>
    <w:rsid w:val="00EE2666"/>
    <w:rsid w:val="00EE2747"/>
    <w:rsid w:val="00EE279F"/>
    <w:rsid w:val="00EE28E0"/>
    <w:rsid w:val="00EE2A68"/>
    <w:rsid w:val="00EE2B3A"/>
    <w:rsid w:val="00EE2F98"/>
    <w:rsid w:val="00EE3460"/>
    <w:rsid w:val="00EE4736"/>
    <w:rsid w:val="00EE49DB"/>
    <w:rsid w:val="00EE4B1B"/>
    <w:rsid w:val="00EE4D40"/>
    <w:rsid w:val="00EE4E7F"/>
    <w:rsid w:val="00EE5732"/>
    <w:rsid w:val="00EE57EB"/>
    <w:rsid w:val="00EE5F75"/>
    <w:rsid w:val="00EE66B3"/>
    <w:rsid w:val="00EE67C4"/>
    <w:rsid w:val="00EE6B84"/>
    <w:rsid w:val="00EE7139"/>
    <w:rsid w:val="00EE71E0"/>
    <w:rsid w:val="00EE78AF"/>
    <w:rsid w:val="00EF0684"/>
    <w:rsid w:val="00EF08B3"/>
    <w:rsid w:val="00EF201E"/>
    <w:rsid w:val="00EF20B8"/>
    <w:rsid w:val="00EF2594"/>
    <w:rsid w:val="00EF2779"/>
    <w:rsid w:val="00EF27BB"/>
    <w:rsid w:val="00EF321C"/>
    <w:rsid w:val="00EF44AB"/>
    <w:rsid w:val="00EF4D03"/>
    <w:rsid w:val="00EF50F2"/>
    <w:rsid w:val="00EF530A"/>
    <w:rsid w:val="00EF57B0"/>
    <w:rsid w:val="00EF59F5"/>
    <w:rsid w:val="00EF5C44"/>
    <w:rsid w:val="00EF6E80"/>
    <w:rsid w:val="00EF741E"/>
    <w:rsid w:val="00EF74F4"/>
    <w:rsid w:val="00F00368"/>
    <w:rsid w:val="00F0044A"/>
    <w:rsid w:val="00F006F1"/>
    <w:rsid w:val="00F007CE"/>
    <w:rsid w:val="00F0098B"/>
    <w:rsid w:val="00F00E17"/>
    <w:rsid w:val="00F01497"/>
    <w:rsid w:val="00F014B2"/>
    <w:rsid w:val="00F02301"/>
    <w:rsid w:val="00F02969"/>
    <w:rsid w:val="00F02D02"/>
    <w:rsid w:val="00F030C3"/>
    <w:rsid w:val="00F042CD"/>
    <w:rsid w:val="00F042DD"/>
    <w:rsid w:val="00F0460A"/>
    <w:rsid w:val="00F05076"/>
    <w:rsid w:val="00F05477"/>
    <w:rsid w:val="00F0625F"/>
    <w:rsid w:val="00F06E49"/>
    <w:rsid w:val="00F074FE"/>
    <w:rsid w:val="00F1028D"/>
    <w:rsid w:val="00F10481"/>
    <w:rsid w:val="00F10652"/>
    <w:rsid w:val="00F10E21"/>
    <w:rsid w:val="00F10EB3"/>
    <w:rsid w:val="00F11243"/>
    <w:rsid w:val="00F113D0"/>
    <w:rsid w:val="00F11873"/>
    <w:rsid w:val="00F120FC"/>
    <w:rsid w:val="00F12858"/>
    <w:rsid w:val="00F12D82"/>
    <w:rsid w:val="00F13357"/>
    <w:rsid w:val="00F1367B"/>
    <w:rsid w:val="00F140F6"/>
    <w:rsid w:val="00F14459"/>
    <w:rsid w:val="00F1456A"/>
    <w:rsid w:val="00F1495A"/>
    <w:rsid w:val="00F14D0E"/>
    <w:rsid w:val="00F14FF3"/>
    <w:rsid w:val="00F154DF"/>
    <w:rsid w:val="00F1628E"/>
    <w:rsid w:val="00F166BD"/>
    <w:rsid w:val="00F16B5C"/>
    <w:rsid w:val="00F16CD4"/>
    <w:rsid w:val="00F16D11"/>
    <w:rsid w:val="00F16D90"/>
    <w:rsid w:val="00F173E7"/>
    <w:rsid w:val="00F1772B"/>
    <w:rsid w:val="00F17855"/>
    <w:rsid w:val="00F2046E"/>
    <w:rsid w:val="00F20A1A"/>
    <w:rsid w:val="00F20AFC"/>
    <w:rsid w:val="00F20B75"/>
    <w:rsid w:val="00F20BA8"/>
    <w:rsid w:val="00F20BD0"/>
    <w:rsid w:val="00F2103D"/>
    <w:rsid w:val="00F21D27"/>
    <w:rsid w:val="00F22728"/>
    <w:rsid w:val="00F229F6"/>
    <w:rsid w:val="00F22B91"/>
    <w:rsid w:val="00F22D92"/>
    <w:rsid w:val="00F22DEC"/>
    <w:rsid w:val="00F22EA6"/>
    <w:rsid w:val="00F230A9"/>
    <w:rsid w:val="00F23867"/>
    <w:rsid w:val="00F23F09"/>
    <w:rsid w:val="00F23FE5"/>
    <w:rsid w:val="00F247F2"/>
    <w:rsid w:val="00F24A17"/>
    <w:rsid w:val="00F24A4D"/>
    <w:rsid w:val="00F24C7F"/>
    <w:rsid w:val="00F24D37"/>
    <w:rsid w:val="00F256F5"/>
    <w:rsid w:val="00F25A17"/>
    <w:rsid w:val="00F25D82"/>
    <w:rsid w:val="00F260F9"/>
    <w:rsid w:val="00F2666D"/>
    <w:rsid w:val="00F26B5E"/>
    <w:rsid w:val="00F2707B"/>
    <w:rsid w:val="00F274B0"/>
    <w:rsid w:val="00F276F5"/>
    <w:rsid w:val="00F27C45"/>
    <w:rsid w:val="00F30071"/>
    <w:rsid w:val="00F304C7"/>
    <w:rsid w:val="00F30F3A"/>
    <w:rsid w:val="00F319FC"/>
    <w:rsid w:val="00F31D43"/>
    <w:rsid w:val="00F31DD8"/>
    <w:rsid w:val="00F31E17"/>
    <w:rsid w:val="00F31ECE"/>
    <w:rsid w:val="00F32548"/>
    <w:rsid w:val="00F32A37"/>
    <w:rsid w:val="00F32BE7"/>
    <w:rsid w:val="00F33ADD"/>
    <w:rsid w:val="00F33BCA"/>
    <w:rsid w:val="00F33F9C"/>
    <w:rsid w:val="00F3426D"/>
    <w:rsid w:val="00F3568B"/>
    <w:rsid w:val="00F3592D"/>
    <w:rsid w:val="00F35BFD"/>
    <w:rsid w:val="00F36166"/>
    <w:rsid w:val="00F36214"/>
    <w:rsid w:val="00F37331"/>
    <w:rsid w:val="00F37383"/>
    <w:rsid w:val="00F377DD"/>
    <w:rsid w:val="00F377F2"/>
    <w:rsid w:val="00F37DFB"/>
    <w:rsid w:val="00F40679"/>
    <w:rsid w:val="00F407B4"/>
    <w:rsid w:val="00F40FAD"/>
    <w:rsid w:val="00F4113F"/>
    <w:rsid w:val="00F4161D"/>
    <w:rsid w:val="00F4172C"/>
    <w:rsid w:val="00F41FCE"/>
    <w:rsid w:val="00F422A4"/>
    <w:rsid w:val="00F4249D"/>
    <w:rsid w:val="00F42540"/>
    <w:rsid w:val="00F42812"/>
    <w:rsid w:val="00F43D34"/>
    <w:rsid w:val="00F44189"/>
    <w:rsid w:val="00F4459C"/>
    <w:rsid w:val="00F44D45"/>
    <w:rsid w:val="00F44F60"/>
    <w:rsid w:val="00F4514B"/>
    <w:rsid w:val="00F45A33"/>
    <w:rsid w:val="00F45B4A"/>
    <w:rsid w:val="00F46143"/>
    <w:rsid w:val="00F46C54"/>
    <w:rsid w:val="00F47AE6"/>
    <w:rsid w:val="00F47E05"/>
    <w:rsid w:val="00F501C6"/>
    <w:rsid w:val="00F502C0"/>
    <w:rsid w:val="00F50739"/>
    <w:rsid w:val="00F50C41"/>
    <w:rsid w:val="00F51244"/>
    <w:rsid w:val="00F519E1"/>
    <w:rsid w:val="00F51C38"/>
    <w:rsid w:val="00F524B8"/>
    <w:rsid w:val="00F52B75"/>
    <w:rsid w:val="00F52FD6"/>
    <w:rsid w:val="00F53985"/>
    <w:rsid w:val="00F53BBC"/>
    <w:rsid w:val="00F54260"/>
    <w:rsid w:val="00F54412"/>
    <w:rsid w:val="00F544B9"/>
    <w:rsid w:val="00F547DC"/>
    <w:rsid w:val="00F548BE"/>
    <w:rsid w:val="00F54922"/>
    <w:rsid w:val="00F55B04"/>
    <w:rsid w:val="00F56903"/>
    <w:rsid w:val="00F56EB0"/>
    <w:rsid w:val="00F57486"/>
    <w:rsid w:val="00F5748F"/>
    <w:rsid w:val="00F57524"/>
    <w:rsid w:val="00F5763D"/>
    <w:rsid w:val="00F5763E"/>
    <w:rsid w:val="00F60652"/>
    <w:rsid w:val="00F60A88"/>
    <w:rsid w:val="00F60DCA"/>
    <w:rsid w:val="00F60DD1"/>
    <w:rsid w:val="00F61AE1"/>
    <w:rsid w:val="00F61EFA"/>
    <w:rsid w:val="00F627A2"/>
    <w:rsid w:val="00F633F2"/>
    <w:rsid w:val="00F63F75"/>
    <w:rsid w:val="00F641AD"/>
    <w:rsid w:val="00F64751"/>
    <w:rsid w:val="00F649E8"/>
    <w:rsid w:val="00F6545D"/>
    <w:rsid w:val="00F657F9"/>
    <w:rsid w:val="00F65C91"/>
    <w:rsid w:val="00F666B2"/>
    <w:rsid w:val="00F66F4D"/>
    <w:rsid w:val="00F67454"/>
    <w:rsid w:val="00F67817"/>
    <w:rsid w:val="00F70388"/>
    <w:rsid w:val="00F70CBD"/>
    <w:rsid w:val="00F70DEB"/>
    <w:rsid w:val="00F7114B"/>
    <w:rsid w:val="00F7194A"/>
    <w:rsid w:val="00F719D2"/>
    <w:rsid w:val="00F71FA1"/>
    <w:rsid w:val="00F72211"/>
    <w:rsid w:val="00F7231A"/>
    <w:rsid w:val="00F72E14"/>
    <w:rsid w:val="00F73AA3"/>
    <w:rsid w:val="00F73F52"/>
    <w:rsid w:val="00F7405C"/>
    <w:rsid w:val="00F74712"/>
    <w:rsid w:val="00F75B4E"/>
    <w:rsid w:val="00F76312"/>
    <w:rsid w:val="00F7633E"/>
    <w:rsid w:val="00F766C0"/>
    <w:rsid w:val="00F76E9E"/>
    <w:rsid w:val="00F76EAA"/>
    <w:rsid w:val="00F77172"/>
    <w:rsid w:val="00F779CA"/>
    <w:rsid w:val="00F77CC3"/>
    <w:rsid w:val="00F77E3A"/>
    <w:rsid w:val="00F8041B"/>
    <w:rsid w:val="00F805A0"/>
    <w:rsid w:val="00F8067E"/>
    <w:rsid w:val="00F80BC6"/>
    <w:rsid w:val="00F813BB"/>
    <w:rsid w:val="00F81B3C"/>
    <w:rsid w:val="00F81C49"/>
    <w:rsid w:val="00F8267D"/>
    <w:rsid w:val="00F82723"/>
    <w:rsid w:val="00F82AE6"/>
    <w:rsid w:val="00F82C17"/>
    <w:rsid w:val="00F82CAE"/>
    <w:rsid w:val="00F835AC"/>
    <w:rsid w:val="00F83ACF"/>
    <w:rsid w:val="00F83BE9"/>
    <w:rsid w:val="00F83DF6"/>
    <w:rsid w:val="00F8418A"/>
    <w:rsid w:val="00F842BD"/>
    <w:rsid w:val="00F8473B"/>
    <w:rsid w:val="00F847C3"/>
    <w:rsid w:val="00F847EF"/>
    <w:rsid w:val="00F848CB"/>
    <w:rsid w:val="00F84A52"/>
    <w:rsid w:val="00F85352"/>
    <w:rsid w:val="00F859F4"/>
    <w:rsid w:val="00F86446"/>
    <w:rsid w:val="00F8677C"/>
    <w:rsid w:val="00F86825"/>
    <w:rsid w:val="00F8697B"/>
    <w:rsid w:val="00F87675"/>
    <w:rsid w:val="00F877F6"/>
    <w:rsid w:val="00F8787D"/>
    <w:rsid w:val="00F87A3A"/>
    <w:rsid w:val="00F87B35"/>
    <w:rsid w:val="00F90956"/>
    <w:rsid w:val="00F90EBE"/>
    <w:rsid w:val="00F910E9"/>
    <w:rsid w:val="00F9146A"/>
    <w:rsid w:val="00F91B87"/>
    <w:rsid w:val="00F91D5E"/>
    <w:rsid w:val="00F9228A"/>
    <w:rsid w:val="00F9245B"/>
    <w:rsid w:val="00F92BB5"/>
    <w:rsid w:val="00F92E10"/>
    <w:rsid w:val="00F931AF"/>
    <w:rsid w:val="00F93332"/>
    <w:rsid w:val="00F93DBC"/>
    <w:rsid w:val="00F942FB"/>
    <w:rsid w:val="00F949D8"/>
    <w:rsid w:val="00F94DEB"/>
    <w:rsid w:val="00F94F85"/>
    <w:rsid w:val="00F9645B"/>
    <w:rsid w:val="00F96885"/>
    <w:rsid w:val="00F968EA"/>
    <w:rsid w:val="00F97A1D"/>
    <w:rsid w:val="00F97C6F"/>
    <w:rsid w:val="00FA04D4"/>
    <w:rsid w:val="00FA09D7"/>
    <w:rsid w:val="00FA0B7D"/>
    <w:rsid w:val="00FA0EAE"/>
    <w:rsid w:val="00FA170A"/>
    <w:rsid w:val="00FA1AFB"/>
    <w:rsid w:val="00FA1D9A"/>
    <w:rsid w:val="00FA2452"/>
    <w:rsid w:val="00FA27BA"/>
    <w:rsid w:val="00FA2D2E"/>
    <w:rsid w:val="00FA310D"/>
    <w:rsid w:val="00FA32FE"/>
    <w:rsid w:val="00FA3641"/>
    <w:rsid w:val="00FA43BC"/>
    <w:rsid w:val="00FA45A7"/>
    <w:rsid w:val="00FA4682"/>
    <w:rsid w:val="00FA57CB"/>
    <w:rsid w:val="00FA5B12"/>
    <w:rsid w:val="00FA5D3E"/>
    <w:rsid w:val="00FA656B"/>
    <w:rsid w:val="00FA68D1"/>
    <w:rsid w:val="00FA69C9"/>
    <w:rsid w:val="00FA6C83"/>
    <w:rsid w:val="00FA728D"/>
    <w:rsid w:val="00FA72C4"/>
    <w:rsid w:val="00FA7A20"/>
    <w:rsid w:val="00FB0265"/>
    <w:rsid w:val="00FB052D"/>
    <w:rsid w:val="00FB0B88"/>
    <w:rsid w:val="00FB1015"/>
    <w:rsid w:val="00FB10D4"/>
    <w:rsid w:val="00FB153A"/>
    <w:rsid w:val="00FB1771"/>
    <w:rsid w:val="00FB1CAD"/>
    <w:rsid w:val="00FB2485"/>
    <w:rsid w:val="00FB2859"/>
    <w:rsid w:val="00FB28EB"/>
    <w:rsid w:val="00FB2D61"/>
    <w:rsid w:val="00FB3DFF"/>
    <w:rsid w:val="00FB40A7"/>
    <w:rsid w:val="00FB45BD"/>
    <w:rsid w:val="00FB49DB"/>
    <w:rsid w:val="00FB4A5F"/>
    <w:rsid w:val="00FB548C"/>
    <w:rsid w:val="00FB5987"/>
    <w:rsid w:val="00FB5F09"/>
    <w:rsid w:val="00FB5F6D"/>
    <w:rsid w:val="00FB60A6"/>
    <w:rsid w:val="00FB649D"/>
    <w:rsid w:val="00FB655F"/>
    <w:rsid w:val="00FB6DEA"/>
    <w:rsid w:val="00FB70CC"/>
    <w:rsid w:val="00FB73C6"/>
    <w:rsid w:val="00FB7409"/>
    <w:rsid w:val="00FB77F7"/>
    <w:rsid w:val="00FC1069"/>
    <w:rsid w:val="00FC13CF"/>
    <w:rsid w:val="00FC149B"/>
    <w:rsid w:val="00FC1752"/>
    <w:rsid w:val="00FC194B"/>
    <w:rsid w:val="00FC1CFF"/>
    <w:rsid w:val="00FC1F0B"/>
    <w:rsid w:val="00FC3500"/>
    <w:rsid w:val="00FC3530"/>
    <w:rsid w:val="00FC371E"/>
    <w:rsid w:val="00FC3891"/>
    <w:rsid w:val="00FC4343"/>
    <w:rsid w:val="00FC44E5"/>
    <w:rsid w:val="00FC4A4D"/>
    <w:rsid w:val="00FC4AB6"/>
    <w:rsid w:val="00FC4AF3"/>
    <w:rsid w:val="00FC4D9C"/>
    <w:rsid w:val="00FC5F08"/>
    <w:rsid w:val="00FC60EE"/>
    <w:rsid w:val="00FC61D8"/>
    <w:rsid w:val="00FC6726"/>
    <w:rsid w:val="00FC68BF"/>
    <w:rsid w:val="00FC72E0"/>
    <w:rsid w:val="00FC7CEF"/>
    <w:rsid w:val="00FC7E13"/>
    <w:rsid w:val="00FD01BC"/>
    <w:rsid w:val="00FD0979"/>
    <w:rsid w:val="00FD0A2D"/>
    <w:rsid w:val="00FD0D3B"/>
    <w:rsid w:val="00FD0E14"/>
    <w:rsid w:val="00FD1C05"/>
    <w:rsid w:val="00FD24EB"/>
    <w:rsid w:val="00FD2F88"/>
    <w:rsid w:val="00FD3748"/>
    <w:rsid w:val="00FD3FE6"/>
    <w:rsid w:val="00FD4478"/>
    <w:rsid w:val="00FD47FE"/>
    <w:rsid w:val="00FD53DF"/>
    <w:rsid w:val="00FD5503"/>
    <w:rsid w:val="00FD5652"/>
    <w:rsid w:val="00FD56E6"/>
    <w:rsid w:val="00FD58E3"/>
    <w:rsid w:val="00FD59F2"/>
    <w:rsid w:val="00FD5DED"/>
    <w:rsid w:val="00FD65D9"/>
    <w:rsid w:val="00FD66F7"/>
    <w:rsid w:val="00FD682F"/>
    <w:rsid w:val="00FD6C5C"/>
    <w:rsid w:val="00FD6D3E"/>
    <w:rsid w:val="00FD716C"/>
    <w:rsid w:val="00FD72C6"/>
    <w:rsid w:val="00FD75CC"/>
    <w:rsid w:val="00FD7B99"/>
    <w:rsid w:val="00FE10B1"/>
    <w:rsid w:val="00FE1794"/>
    <w:rsid w:val="00FE1A84"/>
    <w:rsid w:val="00FE1EEA"/>
    <w:rsid w:val="00FE1F61"/>
    <w:rsid w:val="00FE208B"/>
    <w:rsid w:val="00FE2237"/>
    <w:rsid w:val="00FE2418"/>
    <w:rsid w:val="00FE28C3"/>
    <w:rsid w:val="00FE2E35"/>
    <w:rsid w:val="00FE32D7"/>
    <w:rsid w:val="00FE3721"/>
    <w:rsid w:val="00FE3763"/>
    <w:rsid w:val="00FE37FA"/>
    <w:rsid w:val="00FE3AA6"/>
    <w:rsid w:val="00FE3EBD"/>
    <w:rsid w:val="00FE417D"/>
    <w:rsid w:val="00FE46E3"/>
    <w:rsid w:val="00FE4E7D"/>
    <w:rsid w:val="00FE5082"/>
    <w:rsid w:val="00FE57F5"/>
    <w:rsid w:val="00FE599E"/>
    <w:rsid w:val="00FE61D2"/>
    <w:rsid w:val="00FE6F61"/>
    <w:rsid w:val="00FE7C7F"/>
    <w:rsid w:val="00FF00BB"/>
    <w:rsid w:val="00FF0324"/>
    <w:rsid w:val="00FF0461"/>
    <w:rsid w:val="00FF054C"/>
    <w:rsid w:val="00FF076F"/>
    <w:rsid w:val="00FF0C6C"/>
    <w:rsid w:val="00FF0E77"/>
    <w:rsid w:val="00FF1166"/>
    <w:rsid w:val="00FF193A"/>
    <w:rsid w:val="00FF22FB"/>
    <w:rsid w:val="00FF23AC"/>
    <w:rsid w:val="00FF28BF"/>
    <w:rsid w:val="00FF2A0B"/>
    <w:rsid w:val="00FF2B79"/>
    <w:rsid w:val="00FF2D24"/>
    <w:rsid w:val="00FF2EB2"/>
    <w:rsid w:val="00FF31F5"/>
    <w:rsid w:val="00FF3869"/>
    <w:rsid w:val="00FF3A63"/>
    <w:rsid w:val="00FF46E0"/>
    <w:rsid w:val="00FF547C"/>
    <w:rsid w:val="00FF6B73"/>
    <w:rsid w:val="00FF6E2C"/>
    <w:rsid w:val="00FF6E5C"/>
    <w:rsid w:val="00FF71C3"/>
    <w:rsid w:val="00FF740C"/>
    <w:rsid w:val="00FF7EF8"/>
    <w:rsid w:val="010351AA"/>
    <w:rsid w:val="01064069"/>
    <w:rsid w:val="0133065A"/>
    <w:rsid w:val="013C690E"/>
    <w:rsid w:val="014557C2"/>
    <w:rsid w:val="01505F15"/>
    <w:rsid w:val="015679D0"/>
    <w:rsid w:val="015B55CB"/>
    <w:rsid w:val="015C2B0C"/>
    <w:rsid w:val="01640BBE"/>
    <w:rsid w:val="0167398B"/>
    <w:rsid w:val="01694AE8"/>
    <w:rsid w:val="016C598B"/>
    <w:rsid w:val="01763BCE"/>
    <w:rsid w:val="017673FF"/>
    <w:rsid w:val="01785B98"/>
    <w:rsid w:val="0181320B"/>
    <w:rsid w:val="018D0F17"/>
    <w:rsid w:val="01916C5A"/>
    <w:rsid w:val="01A050EF"/>
    <w:rsid w:val="01B13F71"/>
    <w:rsid w:val="01B40D75"/>
    <w:rsid w:val="01BC3830"/>
    <w:rsid w:val="01C901A1"/>
    <w:rsid w:val="01CA3CAB"/>
    <w:rsid w:val="01D152A8"/>
    <w:rsid w:val="01DB6127"/>
    <w:rsid w:val="01DE694E"/>
    <w:rsid w:val="01E4322D"/>
    <w:rsid w:val="01F01BD2"/>
    <w:rsid w:val="01F11598"/>
    <w:rsid w:val="01FD42EF"/>
    <w:rsid w:val="020531A4"/>
    <w:rsid w:val="02073223"/>
    <w:rsid w:val="020C2A32"/>
    <w:rsid w:val="020E3E06"/>
    <w:rsid w:val="021A6C4F"/>
    <w:rsid w:val="022C686B"/>
    <w:rsid w:val="022E6257"/>
    <w:rsid w:val="02497534"/>
    <w:rsid w:val="024A3284"/>
    <w:rsid w:val="024E4B4B"/>
    <w:rsid w:val="025B2DC4"/>
    <w:rsid w:val="025E2EB0"/>
    <w:rsid w:val="02615AC4"/>
    <w:rsid w:val="02664583"/>
    <w:rsid w:val="02682509"/>
    <w:rsid w:val="026921A4"/>
    <w:rsid w:val="02820350"/>
    <w:rsid w:val="02993083"/>
    <w:rsid w:val="029B6893"/>
    <w:rsid w:val="02A74CD4"/>
    <w:rsid w:val="02BD75DA"/>
    <w:rsid w:val="02C30465"/>
    <w:rsid w:val="02C76B7D"/>
    <w:rsid w:val="02C80F58"/>
    <w:rsid w:val="02CC4135"/>
    <w:rsid w:val="02CF1973"/>
    <w:rsid w:val="02D85BF6"/>
    <w:rsid w:val="02E256EB"/>
    <w:rsid w:val="02E37041"/>
    <w:rsid w:val="02F34CA9"/>
    <w:rsid w:val="02F926E3"/>
    <w:rsid w:val="02FA02D8"/>
    <w:rsid w:val="03031491"/>
    <w:rsid w:val="030671D3"/>
    <w:rsid w:val="030A7B38"/>
    <w:rsid w:val="030B47EA"/>
    <w:rsid w:val="030D40BE"/>
    <w:rsid w:val="030F6088"/>
    <w:rsid w:val="03141788"/>
    <w:rsid w:val="031418F0"/>
    <w:rsid w:val="031514EA"/>
    <w:rsid w:val="03156F38"/>
    <w:rsid w:val="031C07A5"/>
    <w:rsid w:val="032338E1"/>
    <w:rsid w:val="0328714A"/>
    <w:rsid w:val="032D4760"/>
    <w:rsid w:val="03302F4C"/>
    <w:rsid w:val="033601C4"/>
    <w:rsid w:val="033755DF"/>
    <w:rsid w:val="034C1CA5"/>
    <w:rsid w:val="034D4FEF"/>
    <w:rsid w:val="034E5101"/>
    <w:rsid w:val="034F2928"/>
    <w:rsid w:val="03667C72"/>
    <w:rsid w:val="03697BFD"/>
    <w:rsid w:val="036C6332"/>
    <w:rsid w:val="036D2DAF"/>
    <w:rsid w:val="036D5871"/>
    <w:rsid w:val="03741291"/>
    <w:rsid w:val="03795BF7"/>
    <w:rsid w:val="037E4FBC"/>
    <w:rsid w:val="03843986"/>
    <w:rsid w:val="038D4909"/>
    <w:rsid w:val="03900A0C"/>
    <w:rsid w:val="03902D4F"/>
    <w:rsid w:val="039B5B6E"/>
    <w:rsid w:val="039E00E0"/>
    <w:rsid w:val="03AC1B29"/>
    <w:rsid w:val="03BB1D6C"/>
    <w:rsid w:val="03BC1494"/>
    <w:rsid w:val="03BE614D"/>
    <w:rsid w:val="03C317DD"/>
    <w:rsid w:val="03CE6966"/>
    <w:rsid w:val="03D1333D"/>
    <w:rsid w:val="03D6006F"/>
    <w:rsid w:val="03E017D2"/>
    <w:rsid w:val="03EC0177"/>
    <w:rsid w:val="03EE787E"/>
    <w:rsid w:val="03EF5EB9"/>
    <w:rsid w:val="040000C7"/>
    <w:rsid w:val="04006C5A"/>
    <w:rsid w:val="04015D90"/>
    <w:rsid w:val="040D4BB7"/>
    <w:rsid w:val="041476CE"/>
    <w:rsid w:val="04161698"/>
    <w:rsid w:val="04194CE4"/>
    <w:rsid w:val="042202B1"/>
    <w:rsid w:val="04263D68"/>
    <w:rsid w:val="04264D77"/>
    <w:rsid w:val="04293179"/>
    <w:rsid w:val="042B2878"/>
    <w:rsid w:val="04425FE9"/>
    <w:rsid w:val="04477AA3"/>
    <w:rsid w:val="044C0C16"/>
    <w:rsid w:val="04557FDD"/>
    <w:rsid w:val="04561CA4"/>
    <w:rsid w:val="046A7D4F"/>
    <w:rsid w:val="04724BCD"/>
    <w:rsid w:val="04912D46"/>
    <w:rsid w:val="04A171B4"/>
    <w:rsid w:val="04AC5B58"/>
    <w:rsid w:val="04BA64C7"/>
    <w:rsid w:val="04BF588C"/>
    <w:rsid w:val="04C44C50"/>
    <w:rsid w:val="04C57A29"/>
    <w:rsid w:val="04CB2483"/>
    <w:rsid w:val="04D973DD"/>
    <w:rsid w:val="04DE21B6"/>
    <w:rsid w:val="04E14FEA"/>
    <w:rsid w:val="04E377CC"/>
    <w:rsid w:val="04E62AFA"/>
    <w:rsid w:val="04ED2F7E"/>
    <w:rsid w:val="04F35535"/>
    <w:rsid w:val="05147E7B"/>
    <w:rsid w:val="05157C55"/>
    <w:rsid w:val="051F0AE9"/>
    <w:rsid w:val="05241B93"/>
    <w:rsid w:val="052D4EEB"/>
    <w:rsid w:val="05373029"/>
    <w:rsid w:val="053B7608"/>
    <w:rsid w:val="05453FE3"/>
    <w:rsid w:val="055A55B4"/>
    <w:rsid w:val="056C533E"/>
    <w:rsid w:val="05793C8D"/>
    <w:rsid w:val="057F1035"/>
    <w:rsid w:val="05832D5D"/>
    <w:rsid w:val="05880374"/>
    <w:rsid w:val="0596483F"/>
    <w:rsid w:val="05A52CD4"/>
    <w:rsid w:val="05B46DBE"/>
    <w:rsid w:val="05BA3B8C"/>
    <w:rsid w:val="05C649F8"/>
    <w:rsid w:val="05D13AC9"/>
    <w:rsid w:val="05D435B9"/>
    <w:rsid w:val="05D45367"/>
    <w:rsid w:val="05D47115"/>
    <w:rsid w:val="05EC480B"/>
    <w:rsid w:val="05ED15B8"/>
    <w:rsid w:val="05EF4D27"/>
    <w:rsid w:val="05FE23E4"/>
    <w:rsid w:val="060D0017"/>
    <w:rsid w:val="060F2843"/>
    <w:rsid w:val="06141C07"/>
    <w:rsid w:val="061439B5"/>
    <w:rsid w:val="06222576"/>
    <w:rsid w:val="062260D2"/>
    <w:rsid w:val="06253E14"/>
    <w:rsid w:val="06255BC2"/>
    <w:rsid w:val="062736E9"/>
    <w:rsid w:val="062B48CF"/>
    <w:rsid w:val="062F259D"/>
    <w:rsid w:val="063A78C0"/>
    <w:rsid w:val="063E0A32"/>
    <w:rsid w:val="063F7FC7"/>
    <w:rsid w:val="06434DEF"/>
    <w:rsid w:val="06436049"/>
    <w:rsid w:val="06480E72"/>
    <w:rsid w:val="064D2BFE"/>
    <w:rsid w:val="064F5F88"/>
    <w:rsid w:val="065B17EA"/>
    <w:rsid w:val="066606B5"/>
    <w:rsid w:val="066C14E2"/>
    <w:rsid w:val="066E57BB"/>
    <w:rsid w:val="06724E56"/>
    <w:rsid w:val="0687687D"/>
    <w:rsid w:val="069468A4"/>
    <w:rsid w:val="069A035E"/>
    <w:rsid w:val="06A50AB1"/>
    <w:rsid w:val="06A64C83"/>
    <w:rsid w:val="06A74829"/>
    <w:rsid w:val="06AB431A"/>
    <w:rsid w:val="06AC0092"/>
    <w:rsid w:val="06B07B82"/>
    <w:rsid w:val="06B62CBE"/>
    <w:rsid w:val="06B70F10"/>
    <w:rsid w:val="06BC58E5"/>
    <w:rsid w:val="06BC6527"/>
    <w:rsid w:val="06C75DF5"/>
    <w:rsid w:val="06D7087E"/>
    <w:rsid w:val="06DD649D"/>
    <w:rsid w:val="06EA5A5A"/>
    <w:rsid w:val="06F258F7"/>
    <w:rsid w:val="06F537E7"/>
    <w:rsid w:val="0702040C"/>
    <w:rsid w:val="070D6D82"/>
    <w:rsid w:val="07100F13"/>
    <w:rsid w:val="07106873"/>
    <w:rsid w:val="072E6CF9"/>
    <w:rsid w:val="07320597"/>
    <w:rsid w:val="073D0CEA"/>
    <w:rsid w:val="0753050D"/>
    <w:rsid w:val="07585B24"/>
    <w:rsid w:val="076170CE"/>
    <w:rsid w:val="0764573B"/>
    <w:rsid w:val="07683FB9"/>
    <w:rsid w:val="076C2CDE"/>
    <w:rsid w:val="077B7F68"/>
    <w:rsid w:val="077E37DC"/>
    <w:rsid w:val="078C6785"/>
    <w:rsid w:val="078D3A1F"/>
    <w:rsid w:val="079101CB"/>
    <w:rsid w:val="079126FB"/>
    <w:rsid w:val="07996868"/>
    <w:rsid w:val="079B25E0"/>
    <w:rsid w:val="07AB4175"/>
    <w:rsid w:val="07AF7E3A"/>
    <w:rsid w:val="07B01410"/>
    <w:rsid w:val="07B05960"/>
    <w:rsid w:val="07B119FB"/>
    <w:rsid w:val="07BA134B"/>
    <w:rsid w:val="07D04320"/>
    <w:rsid w:val="07D3714E"/>
    <w:rsid w:val="07E8334B"/>
    <w:rsid w:val="07EC1CA1"/>
    <w:rsid w:val="07EF03E6"/>
    <w:rsid w:val="07F73B87"/>
    <w:rsid w:val="07FB1B18"/>
    <w:rsid w:val="07FB6BDB"/>
    <w:rsid w:val="08120DE2"/>
    <w:rsid w:val="08132198"/>
    <w:rsid w:val="081602AC"/>
    <w:rsid w:val="08161C67"/>
    <w:rsid w:val="08215CA5"/>
    <w:rsid w:val="08332819"/>
    <w:rsid w:val="084367D4"/>
    <w:rsid w:val="084542FA"/>
    <w:rsid w:val="084A1910"/>
    <w:rsid w:val="084F33CB"/>
    <w:rsid w:val="084F6F27"/>
    <w:rsid w:val="085602B5"/>
    <w:rsid w:val="0856277F"/>
    <w:rsid w:val="08566507"/>
    <w:rsid w:val="08595CAD"/>
    <w:rsid w:val="086230FE"/>
    <w:rsid w:val="086329D2"/>
    <w:rsid w:val="08646E76"/>
    <w:rsid w:val="086724C2"/>
    <w:rsid w:val="086F75C9"/>
    <w:rsid w:val="08752E31"/>
    <w:rsid w:val="088C6DAF"/>
    <w:rsid w:val="088F5575"/>
    <w:rsid w:val="08955281"/>
    <w:rsid w:val="089B03BE"/>
    <w:rsid w:val="089E3A0A"/>
    <w:rsid w:val="08A54D99"/>
    <w:rsid w:val="08AA0601"/>
    <w:rsid w:val="08AD649D"/>
    <w:rsid w:val="08AF79C5"/>
    <w:rsid w:val="08B33B0B"/>
    <w:rsid w:val="08B60D54"/>
    <w:rsid w:val="08BB1ACE"/>
    <w:rsid w:val="08BF22FE"/>
    <w:rsid w:val="08C6368D"/>
    <w:rsid w:val="08CE42EF"/>
    <w:rsid w:val="08EE04EE"/>
    <w:rsid w:val="08F54DFF"/>
    <w:rsid w:val="08FA50E4"/>
    <w:rsid w:val="08FE129F"/>
    <w:rsid w:val="09012917"/>
    <w:rsid w:val="090441B5"/>
    <w:rsid w:val="090E0B90"/>
    <w:rsid w:val="091066B6"/>
    <w:rsid w:val="09137F54"/>
    <w:rsid w:val="09175C96"/>
    <w:rsid w:val="091B374D"/>
    <w:rsid w:val="091E5277"/>
    <w:rsid w:val="09212671"/>
    <w:rsid w:val="092473FE"/>
    <w:rsid w:val="092979D0"/>
    <w:rsid w:val="092A75B4"/>
    <w:rsid w:val="092D370C"/>
    <w:rsid w:val="09304FAA"/>
    <w:rsid w:val="09322AD0"/>
    <w:rsid w:val="09363D8A"/>
    <w:rsid w:val="093A1985"/>
    <w:rsid w:val="093F6F9B"/>
    <w:rsid w:val="094445B2"/>
    <w:rsid w:val="094E1478"/>
    <w:rsid w:val="0952686E"/>
    <w:rsid w:val="09540C99"/>
    <w:rsid w:val="09541B2E"/>
    <w:rsid w:val="095E3835"/>
    <w:rsid w:val="095F3199"/>
    <w:rsid w:val="09684744"/>
    <w:rsid w:val="09747D0E"/>
    <w:rsid w:val="097A7FD3"/>
    <w:rsid w:val="09815806"/>
    <w:rsid w:val="098B3F8E"/>
    <w:rsid w:val="098F7F23"/>
    <w:rsid w:val="09915D80"/>
    <w:rsid w:val="0992531D"/>
    <w:rsid w:val="099323C1"/>
    <w:rsid w:val="09976DD7"/>
    <w:rsid w:val="099B3684"/>
    <w:rsid w:val="099C43EE"/>
    <w:rsid w:val="099E3CC2"/>
    <w:rsid w:val="09A62ABE"/>
    <w:rsid w:val="09BA4874"/>
    <w:rsid w:val="09C84EDD"/>
    <w:rsid w:val="09D50E01"/>
    <w:rsid w:val="09D74144"/>
    <w:rsid w:val="09D771D4"/>
    <w:rsid w:val="09D92F4C"/>
    <w:rsid w:val="09E33DCA"/>
    <w:rsid w:val="09F91347"/>
    <w:rsid w:val="09FB1114"/>
    <w:rsid w:val="09FB55B8"/>
    <w:rsid w:val="0A070E11"/>
    <w:rsid w:val="0A105BB9"/>
    <w:rsid w:val="0A2166A1"/>
    <w:rsid w:val="0A2758D1"/>
    <w:rsid w:val="0A2D3298"/>
    <w:rsid w:val="0A2F7010"/>
    <w:rsid w:val="0A342878"/>
    <w:rsid w:val="0A4023B9"/>
    <w:rsid w:val="0A466107"/>
    <w:rsid w:val="0A4800D1"/>
    <w:rsid w:val="0A4A209B"/>
    <w:rsid w:val="0A4A5FD5"/>
    <w:rsid w:val="0A4B4ECA"/>
    <w:rsid w:val="0A522CFE"/>
    <w:rsid w:val="0A546A76"/>
    <w:rsid w:val="0A555C49"/>
    <w:rsid w:val="0A5F6A96"/>
    <w:rsid w:val="0A6F0384"/>
    <w:rsid w:val="0A711396"/>
    <w:rsid w:val="0A753077"/>
    <w:rsid w:val="0A791E4A"/>
    <w:rsid w:val="0A7B04A7"/>
    <w:rsid w:val="0A8628A4"/>
    <w:rsid w:val="0A892BC4"/>
    <w:rsid w:val="0AAB0D8C"/>
    <w:rsid w:val="0AAC65BF"/>
    <w:rsid w:val="0AB50F4D"/>
    <w:rsid w:val="0AB64D3A"/>
    <w:rsid w:val="0ABF2570"/>
    <w:rsid w:val="0ACC485F"/>
    <w:rsid w:val="0ACF3C35"/>
    <w:rsid w:val="0AE918B4"/>
    <w:rsid w:val="0AEB73DB"/>
    <w:rsid w:val="0AF01514"/>
    <w:rsid w:val="0B053EB3"/>
    <w:rsid w:val="0B0815FA"/>
    <w:rsid w:val="0B214405"/>
    <w:rsid w:val="0B3C27B8"/>
    <w:rsid w:val="0B41524D"/>
    <w:rsid w:val="0B42343E"/>
    <w:rsid w:val="0B445739"/>
    <w:rsid w:val="0B472137"/>
    <w:rsid w:val="0B4728E6"/>
    <w:rsid w:val="0B4C599F"/>
    <w:rsid w:val="0B574A70"/>
    <w:rsid w:val="0B5E5F59"/>
    <w:rsid w:val="0B6B4077"/>
    <w:rsid w:val="0B6E5AC7"/>
    <w:rsid w:val="0B776EC0"/>
    <w:rsid w:val="0B7A075E"/>
    <w:rsid w:val="0B860EB1"/>
    <w:rsid w:val="0B8B471A"/>
    <w:rsid w:val="0B974E6D"/>
    <w:rsid w:val="0BA37CB5"/>
    <w:rsid w:val="0BAA1044"/>
    <w:rsid w:val="0BB232BB"/>
    <w:rsid w:val="0BB8493F"/>
    <w:rsid w:val="0BB91287"/>
    <w:rsid w:val="0BC339DE"/>
    <w:rsid w:val="0BCA16EB"/>
    <w:rsid w:val="0BD95485"/>
    <w:rsid w:val="0BDA11FD"/>
    <w:rsid w:val="0BDA2FAB"/>
    <w:rsid w:val="0BE22696"/>
    <w:rsid w:val="0BE778CD"/>
    <w:rsid w:val="0BF64289"/>
    <w:rsid w:val="0BF70001"/>
    <w:rsid w:val="0BF8517F"/>
    <w:rsid w:val="0BF978D5"/>
    <w:rsid w:val="0BFA696C"/>
    <w:rsid w:val="0C005751"/>
    <w:rsid w:val="0C061FF2"/>
    <w:rsid w:val="0C083707"/>
    <w:rsid w:val="0C083FBC"/>
    <w:rsid w:val="0C1D1E10"/>
    <w:rsid w:val="0C230DF6"/>
    <w:rsid w:val="0C2410DF"/>
    <w:rsid w:val="0C2661F0"/>
    <w:rsid w:val="0C285DA0"/>
    <w:rsid w:val="0C2D3A23"/>
    <w:rsid w:val="0C300E1D"/>
    <w:rsid w:val="0C432748"/>
    <w:rsid w:val="0C4900DF"/>
    <w:rsid w:val="0C577F0D"/>
    <w:rsid w:val="0C5908D8"/>
    <w:rsid w:val="0C644526"/>
    <w:rsid w:val="0C6460EB"/>
    <w:rsid w:val="0C654F6B"/>
    <w:rsid w:val="0C692CAD"/>
    <w:rsid w:val="0C6A2581"/>
    <w:rsid w:val="0C711B61"/>
    <w:rsid w:val="0C727688"/>
    <w:rsid w:val="0C767178"/>
    <w:rsid w:val="0C85421C"/>
    <w:rsid w:val="0C9522DF"/>
    <w:rsid w:val="0C997221"/>
    <w:rsid w:val="0CA830A9"/>
    <w:rsid w:val="0CB8153E"/>
    <w:rsid w:val="0CBB6F6B"/>
    <w:rsid w:val="0CC57C7C"/>
    <w:rsid w:val="0CC634A7"/>
    <w:rsid w:val="0CC7352F"/>
    <w:rsid w:val="0CCF6888"/>
    <w:rsid w:val="0CD93263"/>
    <w:rsid w:val="0CDD2D53"/>
    <w:rsid w:val="0CE473B7"/>
    <w:rsid w:val="0CF34325"/>
    <w:rsid w:val="0CFD1647"/>
    <w:rsid w:val="0CFF53BF"/>
    <w:rsid w:val="0D044784"/>
    <w:rsid w:val="0D091D9A"/>
    <w:rsid w:val="0D162124"/>
    <w:rsid w:val="0D20037A"/>
    <w:rsid w:val="0D3D1A44"/>
    <w:rsid w:val="0D4234FE"/>
    <w:rsid w:val="0D482898"/>
    <w:rsid w:val="0D6D21DA"/>
    <w:rsid w:val="0D7373DB"/>
    <w:rsid w:val="0D766D04"/>
    <w:rsid w:val="0D7731A8"/>
    <w:rsid w:val="0D78301E"/>
    <w:rsid w:val="0D7A67F4"/>
    <w:rsid w:val="0D7B4AEC"/>
    <w:rsid w:val="0D7F3E0A"/>
    <w:rsid w:val="0D8238FA"/>
    <w:rsid w:val="0D847672"/>
    <w:rsid w:val="0D86163D"/>
    <w:rsid w:val="0D876EEA"/>
    <w:rsid w:val="0D896A37"/>
    <w:rsid w:val="0D8B27AF"/>
    <w:rsid w:val="0D8F0F56"/>
    <w:rsid w:val="0D98311E"/>
    <w:rsid w:val="0DA970D9"/>
    <w:rsid w:val="0DAB2E51"/>
    <w:rsid w:val="0DAD0977"/>
    <w:rsid w:val="0DB37F58"/>
    <w:rsid w:val="0DBB283C"/>
    <w:rsid w:val="0DC12C6F"/>
    <w:rsid w:val="0DC161D1"/>
    <w:rsid w:val="0DC21F49"/>
    <w:rsid w:val="0DDA54E4"/>
    <w:rsid w:val="0DDD6D83"/>
    <w:rsid w:val="0DDF2AFB"/>
    <w:rsid w:val="0DE620DB"/>
    <w:rsid w:val="0DE75DE2"/>
    <w:rsid w:val="0DF02F5A"/>
    <w:rsid w:val="0DFF319D"/>
    <w:rsid w:val="0E014027"/>
    <w:rsid w:val="0E0662D9"/>
    <w:rsid w:val="0E100F06"/>
    <w:rsid w:val="0E15651D"/>
    <w:rsid w:val="0E1C5ADB"/>
    <w:rsid w:val="0E1C5AFD"/>
    <w:rsid w:val="0E262CD8"/>
    <w:rsid w:val="0E26697C"/>
    <w:rsid w:val="0E274D2B"/>
    <w:rsid w:val="0E2E521A"/>
    <w:rsid w:val="0E3177FA"/>
    <w:rsid w:val="0E3746E5"/>
    <w:rsid w:val="0E3837AB"/>
    <w:rsid w:val="0E3E3EFD"/>
    <w:rsid w:val="0E440BB0"/>
    <w:rsid w:val="0E455054"/>
    <w:rsid w:val="0E464928"/>
    <w:rsid w:val="0E5A03D3"/>
    <w:rsid w:val="0E5C239D"/>
    <w:rsid w:val="0E626E5B"/>
    <w:rsid w:val="0E664FCA"/>
    <w:rsid w:val="0E6779B3"/>
    <w:rsid w:val="0E6912F2"/>
    <w:rsid w:val="0E6A6868"/>
    <w:rsid w:val="0E7155C4"/>
    <w:rsid w:val="0E776C64"/>
    <w:rsid w:val="0E8601BB"/>
    <w:rsid w:val="0E8F396E"/>
    <w:rsid w:val="0E910299"/>
    <w:rsid w:val="0EAA3109"/>
    <w:rsid w:val="0EB75826"/>
    <w:rsid w:val="0EBD2E3C"/>
    <w:rsid w:val="0EC900D5"/>
    <w:rsid w:val="0EDB0FB2"/>
    <w:rsid w:val="0EE02FCE"/>
    <w:rsid w:val="0EE37DFA"/>
    <w:rsid w:val="0EF14A15"/>
    <w:rsid w:val="0EF90EF5"/>
    <w:rsid w:val="0F024CF3"/>
    <w:rsid w:val="0F040A6B"/>
    <w:rsid w:val="0F063E01"/>
    <w:rsid w:val="0F0942D3"/>
    <w:rsid w:val="0F1B5DB5"/>
    <w:rsid w:val="0F1D38DB"/>
    <w:rsid w:val="0F1F3AF7"/>
    <w:rsid w:val="0F205179"/>
    <w:rsid w:val="0F245333"/>
    <w:rsid w:val="0F334EAC"/>
    <w:rsid w:val="0F3A099B"/>
    <w:rsid w:val="0F3D4967"/>
    <w:rsid w:val="0F435158"/>
    <w:rsid w:val="0F497BA5"/>
    <w:rsid w:val="0F59068B"/>
    <w:rsid w:val="0F607C6B"/>
    <w:rsid w:val="0F64775C"/>
    <w:rsid w:val="0F657030"/>
    <w:rsid w:val="0F692FC4"/>
    <w:rsid w:val="0F742064"/>
    <w:rsid w:val="0F76748F"/>
    <w:rsid w:val="0F786C55"/>
    <w:rsid w:val="0F7F4595"/>
    <w:rsid w:val="0F8B118C"/>
    <w:rsid w:val="0F8E47D8"/>
    <w:rsid w:val="0F9D2C6D"/>
    <w:rsid w:val="0FAE6C29"/>
    <w:rsid w:val="0FBC7F08"/>
    <w:rsid w:val="0FC10F1C"/>
    <w:rsid w:val="0FCE245F"/>
    <w:rsid w:val="0FD22917"/>
    <w:rsid w:val="0FDA5C70"/>
    <w:rsid w:val="0FDD306A"/>
    <w:rsid w:val="0FE03B0E"/>
    <w:rsid w:val="0FE07BDF"/>
    <w:rsid w:val="0FE64614"/>
    <w:rsid w:val="0FE73EE9"/>
    <w:rsid w:val="100106CE"/>
    <w:rsid w:val="10010BF6"/>
    <w:rsid w:val="10111AE1"/>
    <w:rsid w:val="10190546"/>
    <w:rsid w:val="101D45CE"/>
    <w:rsid w:val="101E5B5C"/>
    <w:rsid w:val="1021564D"/>
    <w:rsid w:val="102451BB"/>
    <w:rsid w:val="10366B7F"/>
    <w:rsid w:val="10391C0B"/>
    <w:rsid w:val="103C2486"/>
    <w:rsid w:val="10401F77"/>
    <w:rsid w:val="104A5096"/>
    <w:rsid w:val="104F21BA"/>
    <w:rsid w:val="105570A4"/>
    <w:rsid w:val="106043C7"/>
    <w:rsid w:val="106519DD"/>
    <w:rsid w:val="106612B1"/>
    <w:rsid w:val="10686DD7"/>
    <w:rsid w:val="106A21E8"/>
    <w:rsid w:val="106E2803"/>
    <w:rsid w:val="10826A92"/>
    <w:rsid w:val="108300B5"/>
    <w:rsid w:val="10923E54"/>
    <w:rsid w:val="1092654A"/>
    <w:rsid w:val="10993435"/>
    <w:rsid w:val="10AE7A15"/>
    <w:rsid w:val="10BE733F"/>
    <w:rsid w:val="10C04E65"/>
    <w:rsid w:val="10C20BDE"/>
    <w:rsid w:val="10CD1330"/>
    <w:rsid w:val="10D64689"/>
    <w:rsid w:val="10DA0D44"/>
    <w:rsid w:val="10DD77C5"/>
    <w:rsid w:val="10E33EB9"/>
    <w:rsid w:val="10E943BC"/>
    <w:rsid w:val="10EA0CD8"/>
    <w:rsid w:val="10EE5D63"/>
    <w:rsid w:val="10EF574B"/>
    <w:rsid w:val="10F96653"/>
    <w:rsid w:val="11276C93"/>
    <w:rsid w:val="11280371"/>
    <w:rsid w:val="113849FC"/>
    <w:rsid w:val="11421D1E"/>
    <w:rsid w:val="114F7170"/>
    <w:rsid w:val="115A7068"/>
    <w:rsid w:val="11673533"/>
    <w:rsid w:val="116D52DF"/>
    <w:rsid w:val="117D0437"/>
    <w:rsid w:val="117D4B05"/>
    <w:rsid w:val="117F1813"/>
    <w:rsid w:val="11847C41"/>
    <w:rsid w:val="118D39DD"/>
    <w:rsid w:val="118E6D12"/>
    <w:rsid w:val="11927D7E"/>
    <w:rsid w:val="11A42091"/>
    <w:rsid w:val="11AB78C4"/>
    <w:rsid w:val="11AC0F46"/>
    <w:rsid w:val="11AE2F10"/>
    <w:rsid w:val="11B03394"/>
    <w:rsid w:val="11B83D8F"/>
    <w:rsid w:val="11BD19ED"/>
    <w:rsid w:val="11C97D4A"/>
    <w:rsid w:val="11CE20A8"/>
    <w:rsid w:val="11CE710E"/>
    <w:rsid w:val="11D81D3B"/>
    <w:rsid w:val="11DA5AB3"/>
    <w:rsid w:val="11E7150C"/>
    <w:rsid w:val="11F0177A"/>
    <w:rsid w:val="11F46E36"/>
    <w:rsid w:val="11FA43A7"/>
    <w:rsid w:val="11FB0426"/>
    <w:rsid w:val="12027DFC"/>
    <w:rsid w:val="12144FC0"/>
    <w:rsid w:val="121822F8"/>
    <w:rsid w:val="121C0D71"/>
    <w:rsid w:val="121C5397"/>
    <w:rsid w:val="12241424"/>
    <w:rsid w:val="12280F14"/>
    <w:rsid w:val="122D516B"/>
    <w:rsid w:val="123258EF"/>
    <w:rsid w:val="123A0C48"/>
    <w:rsid w:val="123F000C"/>
    <w:rsid w:val="1246139A"/>
    <w:rsid w:val="124F40F1"/>
    <w:rsid w:val="125711B6"/>
    <w:rsid w:val="12597320"/>
    <w:rsid w:val="126B3D39"/>
    <w:rsid w:val="127278DA"/>
    <w:rsid w:val="12747CB6"/>
    <w:rsid w:val="1288550F"/>
    <w:rsid w:val="12902616"/>
    <w:rsid w:val="12971BF6"/>
    <w:rsid w:val="129739A4"/>
    <w:rsid w:val="12984275"/>
    <w:rsid w:val="12A52565"/>
    <w:rsid w:val="12A52C53"/>
    <w:rsid w:val="12AF1625"/>
    <w:rsid w:val="12B24C82"/>
    <w:rsid w:val="12B652F8"/>
    <w:rsid w:val="12B66520"/>
    <w:rsid w:val="12C16C73"/>
    <w:rsid w:val="12C4102F"/>
    <w:rsid w:val="12D322B2"/>
    <w:rsid w:val="12D335F1"/>
    <w:rsid w:val="12D93FBD"/>
    <w:rsid w:val="12F47048"/>
    <w:rsid w:val="12FF3A97"/>
    <w:rsid w:val="130354DD"/>
    <w:rsid w:val="13053004"/>
    <w:rsid w:val="130A025A"/>
    <w:rsid w:val="130C25E4"/>
    <w:rsid w:val="130F79DE"/>
    <w:rsid w:val="13173005"/>
    <w:rsid w:val="131B354D"/>
    <w:rsid w:val="131E40C5"/>
    <w:rsid w:val="13221AEE"/>
    <w:rsid w:val="13223BB5"/>
    <w:rsid w:val="133470C2"/>
    <w:rsid w:val="134F77D7"/>
    <w:rsid w:val="13536133"/>
    <w:rsid w:val="13541895"/>
    <w:rsid w:val="135D699C"/>
    <w:rsid w:val="13622204"/>
    <w:rsid w:val="136A10B9"/>
    <w:rsid w:val="137141F5"/>
    <w:rsid w:val="13757537"/>
    <w:rsid w:val="137D5290"/>
    <w:rsid w:val="13815D2A"/>
    <w:rsid w:val="13876F37"/>
    <w:rsid w:val="138E4DA7"/>
    <w:rsid w:val="13904FC3"/>
    <w:rsid w:val="13AC530B"/>
    <w:rsid w:val="13B862C8"/>
    <w:rsid w:val="13C0517C"/>
    <w:rsid w:val="13C405CD"/>
    <w:rsid w:val="13CA1B57"/>
    <w:rsid w:val="13CE7899"/>
    <w:rsid w:val="13D44784"/>
    <w:rsid w:val="1403142A"/>
    <w:rsid w:val="14033D19"/>
    <w:rsid w:val="14042C01"/>
    <w:rsid w:val="140478B9"/>
    <w:rsid w:val="141D612B"/>
    <w:rsid w:val="14261483"/>
    <w:rsid w:val="14292D22"/>
    <w:rsid w:val="142D2812"/>
    <w:rsid w:val="14327D30"/>
    <w:rsid w:val="14342B7D"/>
    <w:rsid w:val="144162BD"/>
    <w:rsid w:val="144340D3"/>
    <w:rsid w:val="144B07D6"/>
    <w:rsid w:val="14553B17"/>
    <w:rsid w:val="145B16A0"/>
    <w:rsid w:val="145E3CE6"/>
    <w:rsid w:val="146975C2"/>
    <w:rsid w:val="14757D15"/>
    <w:rsid w:val="147D6BCA"/>
    <w:rsid w:val="14891A12"/>
    <w:rsid w:val="149C34F4"/>
    <w:rsid w:val="14A23938"/>
    <w:rsid w:val="14A92AFF"/>
    <w:rsid w:val="14AB3737"/>
    <w:rsid w:val="14B7410B"/>
    <w:rsid w:val="14BF1E70"/>
    <w:rsid w:val="14C60571"/>
    <w:rsid w:val="14D44EAC"/>
    <w:rsid w:val="14D81587"/>
    <w:rsid w:val="14D902A4"/>
    <w:rsid w:val="14D92A17"/>
    <w:rsid w:val="14E76E65"/>
    <w:rsid w:val="14E86960"/>
    <w:rsid w:val="14EA2041"/>
    <w:rsid w:val="14F94C07"/>
    <w:rsid w:val="150E77F8"/>
    <w:rsid w:val="151066CD"/>
    <w:rsid w:val="15170225"/>
    <w:rsid w:val="15192D96"/>
    <w:rsid w:val="151E03AD"/>
    <w:rsid w:val="15227E9D"/>
    <w:rsid w:val="152652C9"/>
    <w:rsid w:val="152F25BA"/>
    <w:rsid w:val="15302D3E"/>
    <w:rsid w:val="1534372C"/>
    <w:rsid w:val="153C0833"/>
    <w:rsid w:val="153F2EC0"/>
    <w:rsid w:val="15436065"/>
    <w:rsid w:val="15453991"/>
    <w:rsid w:val="154A73F4"/>
    <w:rsid w:val="154C6CC8"/>
    <w:rsid w:val="15576A90"/>
    <w:rsid w:val="15614D8C"/>
    <w:rsid w:val="156813EF"/>
    <w:rsid w:val="156E1230"/>
    <w:rsid w:val="156E4E1F"/>
    <w:rsid w:val="15724254"/>
    <w:rsid w:val="157601E9"/>
    <w:rsid w:val="15802E15"/>
    <w:rsid w:val="158320EF"/>
    <w:rsid w:val="1588503E"/>
    <w:rsid w:val="158E72E0"/>
    <w:rsid w:val="159A3D2A"/>
    <w:rsid w:val="159B7C4F"/>
    <w:rsid w:val="159E51B1"/>
    <w:rsid w:val="15A00DC2"/>
    <w:rsid w:val="15A5287C"/>
    <w:rsid w:val="15A74842"/>
    <w:rsid w:val="15AA12AE"/>
    <w:rsid w:val="15B473D7"/>
    <w:rsid w:val="15BE1AC7"/>
    <w:rsid w:val="15CA031B"/>
    <w:rsid w:val="15DD0268"/>
    <w:rsid w:val="15DF400A"/>
    <w:rsid w:val="15E321C8"/>
    <w:rsid w:val="15EF58A5"/>
    <w:rsid w:val="15F01D49"/>
    <w:rsid w:val="15F64E85"/>
    <w:rsid w:val="15FB4AC1"/>
    <w:rsid w:val="15FD6214"/>
    <w:rsid w:val="15FF01DE"/>
    <w:rsid w:val="15FF197D"/>
    <w:rsid w:val="160416FD"/>
    <w:rsid w:val="160457F4"/>
    <w:rsid w:val="16135A37"/>
    <w:rsid w:val="161920B5"/>
    <w:rsid w:val="161B669A"/>
    <w:rsid w:val="161F43DC"/>
    <w:rsid w:val="163065E9"/>
    <w:rsid w:val="163452E8"/>
    <w:rsid w:val="163B0AEA"/>
    <w:rsid w:val="163F05DA"/>
    <w:rsid w:val="16442095"/>
    <w:rsid w:val="16445BF1"/>
    <w:rsid w:val="164A0676"/>
    <w:rsid w:val="164B6F7F"/>
    <w:rsid w:val="1654783B"/>
    <w:rsid w:val="165A3666"/>
    <w:rsid w:val="165D4F05"/>
    <w:rsid w:val="166167A3"/>
    <w:rsid w:val="1662233C"/>
    <w:rsid w:val="16672A35"/>
    <w:rsid w:val="16702E8A"/>
    <w:rsid w:val="1683496B"/>
    <w:rsid w:val="169D3553"/>
    <w:rsid w:val="16B311A4"/>
    <w:rsid w:val="16B7400A"/>
    <w:rsid w:val="16C40884"/>
    <w:rsid w:val="16CA07EC"/>
    <w:rsid w:val="16CF5E02"/>
    <w:rsid w:val="16CF7BB0"/>
    <w:rsid w:val="16D056D6"/>
    <w:rsid w:val="16D451C7"/>
    <w:rsid w:val="16D52CED"/>
    <w:rsid w:val="16D72F09"/>
    <w:rsid w:val="16DC051F"/>
    <w:rsid w:val="16DF3B6C"/>
    <w:rsid w:val="16F05D79"/>
    <w:rsid w:val="16F844B6"/>
    <w:rsid w:val="16FC471D"/>
    <w:rsid w:val="16FE0605"/>
    <w:rsid w:val="16FF2141"/>
    <w:rsid w:val="1720665E"/>
    <w:rsid w:val="17214BBC"/>
    <w:rsid w:val="172577D0"/>
    <w:rsid w:val="17283764"/>
    <w:rsid w:val="17345C65"/>
    <w:rsid w:val="17424826"/>
    <w:rsid w:val="174340FA"/>
    <w:rsid w:val="174808FD"/>
    <w:rsid w:val="174F2A9F"/>
    <w:rsid w:val="17591B70"/>
    <w:rsid w:val="175C0E98"/>
    <w:rsid w:val="1763479D"/>
    <w:rsid w:val="17675839"/>
    <w:rsid w:val="17686265"/>
    <w:rsid w:val="17720C34"/>
    <w:rsid w:val="177B1AE6"/>
    <w:rsid w:val="17A05766"/>
    <w:rsid w:val="17A65C38"/>
    <w:rsid w:val="17B7561E"/>
    <w:rsid w:val="17B9616B"/>
    <w:rsid w:val="17C70888"/>
    <w:rsid w:val="17CC40F0"/>
    <w:rsid w:val="17D2722C"/>
    <w:rsid w:val="17D3547E"/>
    <w:rsid w:val="17D64F6F"/>
    <w:rsid w:val="17E65A8B"/>
    <w:rsid w:val="17E845CC"/>
    <w:rsid w:val="17FD24FB"/>
    <w:rsid w:val="18057602"/>
    <w:rsid w:val="180B10BC"/>
    <w:rsid w:val="180B17EE"/>
    <w:rsid w:val="18137F71"/>
    <w:rsid w:val="18187335"/>
    <w:rsid w:val="18295846"/>
    <w:rsid w:val="182B350C"/>
    <w:rsid w:val="1833416F"/>
    <w:rsid w:val="18381785"/>
    <w:rsid w:val="18493992"/>
    <w:rsid w:val="184C3483"/>
    <w:rsid w:val="18552337"/>
    <w:rsid w:val="185D23E8"/>
    <w:rsid w:val="185D708E"/>
    <w:rsid w:val="186305A4"/>
    <w:rsid w:val="186802BC"/>
    <w:rsid w:val="187622AE"/>
    <w:rsid w:val="187A3B4C"/>
    <w:rsid w:val="187D363C"/>
    <w:rsid w:val="187F1162"/>
    <w:rsid w:val="18803577"/>
    <w:rsid w:val="188D119D"/>
    <w:rsid w:val="188E75F7"/>
    <w:rsid w:val="18950986"/>
    <w:rsid w:val="189D02AC"/>
    <w:rsid w:val="18A84B5D"/>
    <w:rsid w:val="18AF5EEB"/>
    <w:rsid w:val="18B57EB9"/>
    <w:rsid w:val="18BF5A03"/>
    <w:rsid w:val="18C15C1F"/>
    <w:rsid w:val="18C748B7"/>
    <w:rsid w:val="18C94AD3"/>
    <w:rsid w:val="18D47700"/>
    <w:rsid w:val="18DA6CE0"/>
    <w:rsid w:val="18E10538"/>
    <w:rsid w:val="18E146B8"/>
    <w:rsid w:val="18E86D07"/>
    <w:rsid w:val="18EA3FB7"/>
    <w:rsid w:val="18EF4092"/>
    <w:rsid w:val="18F27B86"/>
    <w:rsid w:val="18F93403"/>
    <w:rsid w:val="18F97167"/>
    <w:rsid w:val="18FB759E"/>
    <w:rsid w:val="18FC27B3"/>
    <w:rsid w:val="190855FC"/>
    <w:rsid w:val="1910625E"/>
    <w:rsid w:val="19126789"/>
    <w:rsid w:val="19185113"/>
    <w:rsid w:val="19194749"/>
    <w:rsid w:val="191E4E1F"/>
    <w:rsid w:val="191F1353"/>
    <w:rsid w:val="19235F91"/>
    <w:rsid w:val="19272405"/>
    <w:rsid w:val="192A5572"/>
    <w:rsid w:val="192F1FA2"/>
    <w:rsid w:val="192F44E1"/>
    <w:rsid w:val="19324427"/>
    <w:rsid w:val="19434886"/>
    <w:rsid w:val="19456061"/>
    <w:rsid w:val="19495773"/>
    <w:rsid w:val="19510D51"/>
    <w:rsid w:val="19550115"/>
    <w:rsid w:val="195E521C"/>
    <w:rsid w:val="19731310"/>
    <w:rsid w:val="197E7F4E"/>
    <w:rsid w:val="19866520"/>
    <w:rsid w:val="19882298"/>
    <w:rsid w:val="198A6011"/>
    <w:rsid w:val="198D5B01"/>
    <w:rsid w:val="19911A88"/>
    <w:rsid w:val="199F200C"/>
    <w:rsid w:val="19A21ADA"/>
    <w:rsid w:val="19A312AE"/>
    <w:rsid w:val="19AA0461"/>
    <w:rsid w:val="19AA220F"/>
    <w:rsid w:val="19AC41D9"/>
    <w:rsid w:val="19AD1CFF"/>
    <w:rsid w:val="19B117EF"/>
    <w:rsid w:val="19B72B7E"/>
    <w:rsid w:val="19BE215E"/>
    <w:rsid w:val="19C332D1"/>
    <w:rsid w:val="19C77265"/>
    <w:rsid w:val="19CC0D98"/>
    <w:rsid w:val="19D379B8"/>
    <w:rsid w:val="19D91B6E"/>
    <w:rsid w:val="19DA4EA9"/>
    <w:rsid w:val="19DB2D10"/>
    <w:rsid w:val="19DB4ABE"/>
    <w:rsid w:val="19DD13B4"/>
    <w:rsid w:val="19E77FBB"/>
    <w:rsid w:val="19EA4D01"/>
    <w:rsid w:val="19ED102D"/>
    <w:rsid w:val="19EF3BE4"/>
    <w:rsid w:val="19F04727"/>
    <w:rsid w:val="19F45B80"/>
    <w:rsid w:val="19FA13E8"/>
    <w:rsid w:val="1A0538E9"/>
    <w:rsid w:val="1A09162B"/>
    <w:rsid w:val="1A1A55E6"/>
    <w:rsid w:val="1A1B57DF"/>
    <w:rsid w:val="1A1D50D7"/>
    <w:rsid w:val="1A1F69B1"/>
    <w:rsid w:val="1A2024D1"/>
    <w:rsid w:val="1A2152CC"/>
    <w:rsid w:val="1A361CF4"/>
    <w:rsid w:val="1A3F15D0"/>
    <w:rsid w:val="1A491A28"/>
    <w:rsid w:val="1A4B1C44"/>
    <w:rsid w:val="1A4F5002"/>
    <w:rsid w:val="1A5005CF"/>
    <w:rsid w:val="1A587EBD"/>
    <w:rsid w:val="1A7A2739"/>
    <w:rsid w:val="1A7B6D85"/>
    <w:rsid w:val="1A845156"/>
    <w:rsid w:val="1A937147"/>
    <w:rsid w:val="1AA262DC"/>
    <w:rsid w:val="1AB62E35"/>
    <w:rsid w:val="1AC6751C"/>
    <w:rsid w:val="1AC94917"/>
    <w:rsid w:val="1ACC4407"/>
    <w:rsid w:val="1ACC7137"/>
    <w:rsid w:val="1AD05CA5"/>
    <w:rsid w:val="1AD734D7"/>
    <w:rsid w:val="1ADA6B24"/>
    <w:rsid w:val="1ADC19DD"/>
    <w:rsid w:val="1AEB2ADF"/>
    <w:rsid w:val="1AF440AE"/>
    <w:rsid w:val="1AF8344E"/>
    <w:rsid w:val="1AFD2812"/>
    <w:rsid w:val="1AFF2A2E"/>
    <w:rsid w:val="1B0606B8"/>
    <w:rsid w:val="1B1219A7"/>
    <w:rsid w:val="1B1262BE"/>
    <w:rsid w:val="1B157B5C"/>
    <w:rsid w:val="1B176E1F"/>
    <w:rsid w:val="1B214753"/>
    <w:rsid w:val="1B2304CB"/>
    <w:rsid w:val="1B255FEC"/>
    <w:rsid w:val="1B256FEA"/>
    <w:rsid w:val="1B28788F"/>
    <w:rsid w:val="1B2B55D1"/>
    <w:rsid w:val="1B2E0C1E"/>
    <w:rsid w:val="1B2E6E70"/>
    <w:rsid w:val="1B373F76"/>
    <w:rsid w:val="1B425B11"/>
    <w:rsid w:val="1B445528"/>
    <w:rsid w:val="1B605D3E"/>
    <w:rsid w:val="1B644720"/>
    <w:rsid w:val="1B7900EB"/>
    <w:rsid w:val="1B803B6F"/>
    <w:rsid w:val="1B80591D"/>
    <w:rsid w:val="1B836985"/>
    <w:rsid w:val="1B8D1DE8"/>
    <w:rsid w:val="1B9211AC"/>
    <w:rsid w:val="1B9273FE"/>
    <w:rsid w:val="1B9969DF"/>
    <w:rsid w:val="1B9C09F6"/>
    <w:rsid w:val="1B9E5DA3"/>
    <w:rsid w:val="1BA62EAA"/>
    <w:rsid w:val="1BB552E0"/>
    <w:rsid w:val="1BB6792E"/>
    <w:rsid w:val="1BC54A81"/>
    <w:rsid w:val="1BC81072"/>
    <w:rsid w:val="1BCC5BB7"/>
    <w:rsid w:val="1BD540E8"/>
    <w:rsid w:val="1BDC2DB4"/>
    <w:rsid w:val="1BE0016A"/>
    <w:rsid w:val="1BE038A2"/>
    <w:rsid w:val="1BE340FE"/>
    <w:rsid w:val="1BE37C5A"/>
    <w:rsid w:val="1BE539D2"/>
    <w:rsid w:val="1BE9567D"/>
    <w:rsid w:val="1BEA275E"/>
    <w:rsid w:val="1BF400B9"/>
    <w:rsid w:val="1BFB31F6"/>
    <w:rsid w:val="1BFE4A94"/>
    <w:rsid w:val="1BFF64B0"/>
    <w:rsid w:val="1C017829"/>
    <w:rsid w:val="1C042A6F"/>
    <w:rsid w:val="1C0813F0"/>
    <w:rsid w:val="1C0A51E7"/>
    <w:rsid w:val="1C0F4EF3"/>
    <w:rsid w:val="1C101EF6"/>
    <w:rsid w:val="1C1D316C"/>
    <w:rsid w:val="1C2A7637"/>
    <w:rsid w:val="1C321E98"/>
    <w:rsid w:val="1C3861F8"/>
    <w:rsid w:val="1C3919B9"/>
    <w:rsid w:val="1C412465"/>
    <w:rsid w:val="1C6074FD"/>
    <w:rsid w:val="1C646FED"/>
    <w:rsid w:val="1C667100"/>
    <w:rsid w:val="1C676DC2"/>
    <w:rsid w:val="1C6B1CBB"/>
    <w:rsid w:val="1C6B765B"/>
    <w:rsid w:val="1C760ACE"/>
    <w:rsid w:val="1C7865F4"/>
    <w:rsid w:val="1C7B080A"/>
    <w:rsid w:val="1C7B4336"/>
    <w:rsid w:val="1C80194D"/>
    <w:rsid w:val="1C872CDB"/>
    <w:rsid w:val="1C890801"/>
    <w:rsid w:val="1C8925AF"/>
    <w:rsid w:val="1C8C1A52"/>
    <w:rsid w:val="1C907DE2"/>
    <w:rsid w:val="1C9A2A0F"/>
    <w:rsid w:val="1CA057C7"/>
    <w:rsid w:val="1CA218C3"/>
    <w:rsid w:val="1CA64AB4"/>
    <w:rsid w:val="1CB05C7A"/>
    <w:rsid w:val="1CBE7B89"/>
    <w:rsid w:val="1CC7132A"/>
    <w:rsid w:val="1CCC06EE"/>
    <w:rsid w:val="1CD15791"/>
    <w:rsid w:val="1CD23880"/>
    <w:rsid w:val="1CE27F12"/>
    <w:rsid w:val="1CE41EDC"/>
    <w:rsid w:val="1CE819CC"/>
    <w:rsid w:val="1CF0262F"/>
    <w:rsid w:val="1CF22D49"/>
    <w:rsid w:val="1CF47387"/>
    <w:rsid w:val="1CF814E3"/>
    <w:rsid w:val="1CFC0FD3"/>
    <w:rsid w:val="1CFF2872"/>
    <w:rsid w:val="1D0165EA"/>
    <w:rsid w:val="1D0B7468"/>
    <w:rsid w:val="1D0C49D1"/>
    <w:rsid w:val="1D102CD1"/>
    <w:rsid w:val="1D192AC1"/>
    <w:rsid w:val="1D1C78C7"/>
    <w:rsid w:val="1D2D5631"/>
    <w:rsid w:val="1D300C7D"/>
    <w:rsid w:val="1D322C47"/>
    <w:rsid w:val="1D385D84"/>
    <w:rsid w:val="1D4110DC"/>
    <w:rsid w:val="1D4A2936"/>
    <w:rsid w:val="1D5605AA"/>
    <w:rsid w:val="1D5E3A3C"/>
    <w:rsid w:val="1D605196"/>
    <w:rsid w:val="1D6B43AB"/>
    <w:rsid w:val="1D6D0123"/>
    <w:rsid w:val="1D7A639C"/>
    <w:rsid w:val="1D7E40DE"/>
    <w:rsid w:val="1D9C546E"/>
    <w:rsid w:val="1D9D3D1A"/>
    <w:rsid w:val="1DA52FCC"/>
    <w:rsid w:val="1DA8115B"/>
    <w:rsid w:val="1DB63878"/>
    <w:rsid w:val="1DCA1E79"/>
    <w:rsid w:val="1DCF6B00"/>
    <w:rsid w:val="1DD65CC8"/>
    <w:rsid w:val="1DD66C7A"/>
    <w:rsid w:val="1DDA6E3B"/>
    <w:rsid w:val="1DDC0E05"/>
    <w:rsid w:val="1DEA3522"/>
    <w:rsid w:val="1DEB1048"/>
    <w:rsid w:val="1E075D31"/>
    <w:rsid w:val="1E0839A8"/>
    <w:rsid w:val="1E09747B"/>
    <w:rsid w:val="1E1660C5"/>
    <w:rsid w:val="1E1773AB"/>
    <w:rsid w:val="1E1B192D"/>
    <w:rsid w:val="1E1B36DB"/>
    <w:rsid w:val="1E1D4E01"/>
    <w:rsid w:val="1E2066BD"/>
    <w:rsid w:val="1E2E2821"/>
    <w:rsid w:val="1E320A25"/>
    <w:rsid w:val="1E324BDA"/>
    <w:rsid w:val="1E396257"/>
    <w:rsid w:val="1E3B1FCF"/>
    <w:rsid w:val="1E3E5BD7"/>
    <w:rsid w:val="1E470974"/>
    <w:rsid w:val="1E4845C0"/>
    <w:rsid w:val="1E4B7D55"/>
    <w:rsid w:val="1E5073D8"/>
    <w:rsid w:val="1E557E8B"/>
    <w:rsid w:val="1E5866DD"/>
    <w:rsid w:val="1E5B441F"/>
    <w:rsid w:val="1E6C24FF"/>
    <w:rsid w:val="1E8160BE"/>
    <w:rsid w:val="1E831280"/>
    <w:rsid w:val="1E865A47"/>
    <w:rsid w:val="1E892D3B"/>
    <w:rsid w:val="1E8A6AB3"/>
    <w:rsid w:val="1E98347C"/>
    <w:rsid w:val="1EA40D74"/>
    <w:rsid w:val="1EAC4C7B"/>
    <w:rsid w:val="1EAE09F3"/>
    <w:rsid w:val="1EB202A6"/>
    <w:rsid w:val="1EB83620"/>
    <w:rsid w:val="1EC04283"/>
    <w:rsid w:val="1ED01B11"/>
    <w:rsid w:val="1ED815CC"/>
    <w:rsid w:val="1EE04FE4"/>
    <w:rsid w:val="1EE06CC1"/>
    <w:rsid w:val="1EF32AD4"/>
    <w:rsid w:val="1F027736"/>
    <w:rsid w:val="1F086CB4"/>
    <w:rsid w:val="1F124243"/>
    <w:rsid w:val="1F165060"/>
    <w:rsid w:val="1F176598"/>
    <w:rsid w:val="1F196E7F"/>
    <w:rsid w:val="1F1D7927"/>
    <w:rsid w:val="1F273FEF"/>
    <w:rsid w:val="1F282554"/>
    <w:rsid w:val="1F2E7FA7"/>
    <w:rsid w:val="1F330EF8"/>
    <w:rsid w:val="1F3C1B5B"/>
    <w:rsid w:val="1F3E1D77"/>
    <w:rsid w:val="1F4E1716"/>
    <w:rsid w:val="1F4E5D32"/>
    <w:rsid w:val="1F511DCC"/>
    <w:rsid w:val="1F5211D5"/>
    <w:rsid w:val="1F5570C1"/>
    <w:rsid w:val="1F5E70A8"/>
    <w:rsid w:val="1F607AF6"/>
    <w:rsid w:val="1F6868E1"/>
    <w:rsid w:val="1F7D3F22"/>
    <w:rsid w:val="1F8359DC"/>
    <w:rsid w:val="1F8C1F70"/>
    <w:rsid w:val="1F923533"/>
    <w:rsid w:val="1FA140B4"/>
    <w:rsid w:val="1FA6791C"/>
    <w:rsid w:val="1FAE4963"/>
    <w:rsid w:val="1FBC2C9C"/>
    <w:rsid w:val="1FCA53B9"/>
    <w:rsid w:val="1FDA6A1D"/>
    <w:rsid w:val="1FEA0867"/>
    <w:rsid w:val="1FEA7809"/>
    <w:rsid w:val="20270A5D"/>
    <w:rsid w:val="204038CD"/>
    <w:rsid w:val="20450EE3"/>
    <w:rsid w:val="204A64FA"/>
    <w:rsid w:val="204C04C4"/>
    <w:rsid w:val="20566C4C"/>
    <w:rsid w:val="20601FCB"/>
    <w:rsid w:val="20692E24"/>
    <w:rsid w:val="207417C9"/>
    <w:rsid w:val="207B13F4"/>
    <w:rsid w:val="20915AEF"/>
    <w:rsid w:val="2092466C"/>
    <w:rsid w:val="20964C98"/>
    <w:rsid w:val="209D487B"/>
    <w:rsid w:val="20B3409F"/>
    <w:rsid w:val="20D14525"/>
    <w:rsid w:val="20D3029D"/>
    <w:rsid w:val="20DD111C"/>
    <w:rsid w:val="20E06E5E"/>
    <w:rsid w:val="20E9779E"/>
    <w:rsid w:val="20EA3839"/>
    <w:rsid w:val="20EC68FE"/>
    <w:rsid w:val="20F6042F"/>
    <w:rsid w:val="21025026"/>
    <w:rsid w:val="21066F1C"/>
    <w:rsid w:val="21130FE1"/>
    <w:rsid w:val="211F34E2"/>
    <w:rsid w:val="2121007A"/>
    <w:rsid w:val="21222FD3"/>
    <w:rsid w:val="212E1977"/>
    <w:rsid w:val="213173B9"/>
    <w:rsid w:val="21333432"/>
    <w:rsid w:val="213C3352"/>
    <w:rsid w:val="214F751D"/>
    <w:rsid w:val="215E0692"/>
    <w:rsid w:val="21661111"/>
    <w:rsid w:val="216D172F"/>
    <w:rsid w:val="21704E6B"/>
    <w:rsid w:val="21747CD2"/>
    <w:rsid w:val="2177331E"/>
    <w:rsid w:val="218477E9"/>
    <w:rsid w:val="218F3216"/>
    <w:rsid w:val="219263AA"/>
    <w:rsid w:val="219655FF"/>
    <w:rsid w:val="219914E7"/>
    <w:rsid w:val="219F2875"/>
    <w:rsid w:val="21A460DD"/>
    <w:rsid w:val="21AF0D0A"/>
    <w:rsid w:val="21B3155B"/>
    <w:rsid w:val="21B75E11"/>
    <w:rsid w:val="21B93937"/>
    <w:rsid w:val="21BD1870"/>
    <w:rsid w:val="21BE0F4D"/>
    <w:rsid w:val="21C03D73"/>
    <w:rsid w:val="21C72A3E"/>
    <w:rsid w:val="21D36D57"/>
    <w:rsid w:val="21D544E9"/>
    <w:rsid w:val="21D6070A"/>
    <w:rsid w:val="21D6577C"/>
    <w:rsid w:val="21DC5877"/>
    <w:rsid w:val="21E85FCA"/>
    <w:rsid w:val="21EB1616"/>
    <w:rsid w:val="21EC67A5"/>
    <w:rsid w:val="21F506E7"/>
    <w:rsid w:val="220B7F0B"/>
    <w:rsid w:val="22107713"/>
    <w:rsid w:val="22123047"/>
    <w:rsid w:val="22160D89"/>
    <w:rsid w:val="221E7C3E"/>
    <w:rsid w:val="222114DC"/>
    <w:rsid w:val="2221328A"/>
    <w:rsid w:val="22255134"/>
    <w:rsid w:val="22286D9D"/>
    <w:rsid w:val="222C235B"/>
    <w:rsid w:val="223A56AF"/>
    <w:rsid w:val="224104CF"/>
    <w:rsid w:val="224A458F"/>
    <w:rsid w:val="225278E7"/>
    <w:rsid w:val="2254540E"/>
    <w:rsid w:val="22617B2B"/>
    <w:rsid w:val="22625D7D"/>
    <w:rsid w:val="22631AF5"/>
    <w:rsid w:val="226338A3"/>
    <w:rsid w:val="22680EB9"/>
    <w:rsid w:val="226C44AE"/>
    <w:rsid w:val="227E248B"/>
    <w:rsid w:val="229242E3"/>
    <w:rsid w:val="229275D4"/>
    <w:rsid w:val="22965A26"/>
    <w:rsid w:val="229F50D3"/>
    <w:rsid w:val="22A16179"/>
    <w:rsid w:val="22A2261D"/>
    <w:rsid w:val="22A87507"/>
    <w:rsid w:val="22AC3560"/>
    <w:rsid w:val="22C02AA3"/>
    <w:rsid w:val="22C55A01"/>
    <w:rsid w:val="22C5630B"/>
    <w:rsid w:val="22C81958"/>
    <w:rsid w:val="22CC1448"/>
    <w:rsid w:val="22CF0F38"/>
    <w:rsid w:val="22D36C7A"/>
    <w:rsid w:val="22D97DA6"/>
    <w:rsid w:val="22DB168B"/>
    <w:rsid w:val="22DF561F"/>
    <w:rsid w:val="22FB7F7F"/>
    <w:rsid w:val="230D26EE"/>
    <w:rsid w:val="231352C9"/>
    <w:rsid w:val="23144B9D"/>
    <w:rsid w:val="231D1CA3"/>
    <w:rsid w:val="23244DE0"/>
    <w:rsid w:val="232E062B"/>
    <w:rsid w:val="233B52A4"/>
    <w:rsid w:val="233C3173"/>
    <w:rsid w:val="23426D25"/>
    <w:rsid w:val="234611FA"/>
    <w:rsid w:val="234A52C4"/>
    <w:rsid w:val="235654CA"/>
    <w:rsid w:val="235D02F2"/>
    <w:rsid w:val="236B0C61"/>
    <w:rsid w:val="236C49D9"/>
    <w:rsid w:val="23733FB9"/>
    <w:rsid w:val="237B69CA"/>
    <w:rsid w:val="237D3DBF"/>
    <w:rsid w:val="23A01936"/>
    <w:rsid w:val="23B24AE2"/>
    <w:rsid w:val="23B51EDC"/>
    <w:rsid w:val="23BF7609"/>
    <w:rsid w:val="23C32FDB"/>
    <w:rsid w:val="23C40371"/>
    <w:rsid w:val="23D31FC5"/>
    <w:rsid w:val="23DE7685"/>
    <w:rsid w:val="23E46C65"/>
    <w:rsid w:val="23E55CCE"/>
    <w:rsid w:val="23EB7FF4"/>
    <w:rsid w:val="23F01166"/>
    <w:rsid w:val="23F27CDC"/>
    <w:rsid w:val="23F5097C"/>
    <w:rsid w:val="240F3CE2"/>
    <w:rsid w:val="240F5A90"/>
    <w:rsid w:val="242C4713"/>
    <w:rsid w:val="243948BB"/>
    <w:rsid w:val="244F2331"/>
    <w:rsid w:val="24570E45"/>
    <w:rsid w:val="245817A7"/>
    <w:rsid w:val="24640915"/>
    <w:rsid w:val="24727DCD"/>
    <w:rsid w:val="248144B4"/>
    <w:rsid w:val="24855D52"/>
    <w:rsid w:val="248850C5"/>
    <w:rsid w:val="24942439"/>
    <w:rsid w:val="249A09DF"/>
    <w:rsid w:val="249B7324"/>
    <w:rsid w:val="24BE22A3"/>
    <w:rsid w:val="24BE74B6"/>
    <w:rsid w:val="24D10F97"/>
    <w:rsid w:val="24D12D46"/>
    <w:rsid w:val="24D82CA1"/>
    <w:rsid w:val="24DA05E1"/>
    <w:rsid w:val="24DB5972"/>
    <w:rsid w:val="24ED56A6"/>
    <w:rsid w:val="24F1163A"/>
    <w:rsid w:val="24FB4266"/>
    <w:rsid w:val="25007ACF"/>
    <w:rsid w:val="25034EC9"/>
    <w:rsid w:val="25076CCF"/>
    <w:rsid w:val="25090731"/>
    <w:rsid w:val="250E1FE9"/>
    <w:rsid w:val="25181F21"/>
    <w:rsid w:val="251A0B90"/>
    <w:rsid w:val="252A68FA"/>
    <w:rsid w:val="252E63EA"/>
    <w:rsid w:val="253726B0"/>
    <w:rsid w:val="25572BE9"/>
    <w:rsid w:val="256040C9"/>
    <w:rsid w:val="25697043"/>
    <w:rsid w:val="256B145F"/>
    <w:rsid w:val="257463C5"/>
    <w:rsid w:val="25893620"/>
    <w:rsid w:val="25967BEA"/>
    <w:rsid w:val="25A62424"/>
    <w:rsid w:val="25A8619C"/>
    <w:rsid w:val="25B16B09"/>
    <w:rsid w:val="25B20DC9"/>
    <w:rsid w:val="25B83F05"/>
    <w:rsid w:val="25BF7042"/>
    <w:rsid w:val="25CA3336"/>
    <w:rsid w:val="25D1132C"/>
    <w:rsid w:val="25DA3E7C"/>
    <w:rsid w:val="25E21807"/>
    <w:rsid w:val="25E30D7E"/>
    <w:rsid w:val="25E96E54"/>
    <w:rsid w:val="25F25669"/>
    <w:rsid w:val="25F3318F"/>
    <w:rsid w:val="25F52A64"/>
    <w:rsid w:val="25FA3711"/>
    <w:rsid w:val="25FB3986"/>
    <w:rsid w:val="26013AFE"/>
    <w:rsid w:val="260E7FC9"/>
    <w:rsid w:val="2610789E"/>
    <w:rsid w:val="26144D9B"/>
    <w:rsid w:val="26153106"/>
    <w:rsid w:val="261C26E6"/>
    <w:rsid w:val="261F3F85"/>
    <w:rsid w:val="26230EA8"/>
    <w:rsid w:val="263135A5"/>
    <w:rsid w:val="26377520"/>
    <w:rsid w:val="265A77B6"/>
    <w:rsid w:val="265C6F87"/>
    <w:rsid w:val="2661459D"/>
    <w:rsid w:val="26647BE9"/>
    <w:rsid w:val="26663961"/>
    <w:rsid w:val="2666570F"/>
    <w:rsid w:val="26681488"/>
    <w:rsid w:val="26690388"/>
    <w:rsid w:val="26720558"/>
    <w:rsid w:val="26775B6F"/>
    <w:rsid w:val="267B1C9E"/>
    <w:rsid w:val="268A38C0"/>
    <w:rsid w:val="268D7140"/>
    <w:rsid w:val="26936DEC"/>
    <w:rsid w:val="26946721"/>
    <w:rsid w:val="269B185D"/>
    <w:rsid w:val="269B7AAF"/>
    <w:rsid w:val="269B7F8F"/>
    <w:rsid w:val="26AD1590"/>
    <w:rsid w:val="26B02E2F"/>
    <w:rsid w:val="26B172D2"/>
    <w:rsid w:val="26B24DF9"/>
    <w:rsid w:val="26BB5A5B"/>
    <w:rsid w:val="26BB73DE"/>
    <w:rsid w:val="26BC60C2"/>
    <w:rsid w:val="26BD5C77"/>
    <w:rsid w:val="26C11E88"/>
    <w:rsid w:val="26D22DA5"/>
    <w:rsid w:val="26E83766"/>
    <w:rsid w:val="26EF3957"/>
    <w:rsid w:val="26F03C7F"/>
    <w:rsid w:val="26F254F5"/>
    <w:rsid w:val="270311B0"/>
    <w:rsid w:val="2703200B"/>
    <w:rsid w:val="27061D21"/>
    <w:rsid w:val="27076EF2"/>
    <w:rsid w:val="270C4509"/>
    <w:rsid w:val="27124E5F"/>
    <w:rsid w:val="271E54C5"/>
    <w:rsid w:val="271F29F3"/>
    <w:rsid w:val="27277595"/>
    <w:rsid w:val="272A2BE1"/>
    <w:rsid w:val="272C4BAB"/>
    <w:rsid w:val="27327D91"/>
    <w:rsid w:val="27383B65"/>
    <w:rsid w:val="273B4DEE"/>
    <w:rsid w:val="27433CA3"/>
    <w:rsid w:val="27457A1B"/>
    <w:rsid w:val="274963EF"/>
    <w:rsid w:val="274A5031"/>
    <w:rsid w:val="2752347D"/>
    <w:rsid w:val="27655BA2"/>
    <w:rsid w:val="276E6F72"/>
    <w:rsid w:val="277A3B68"/>
    <w:rsid w:val="277B343D"/>
    <w:rsid w:val="277C40BD"/>
    <w:rsid w:val="277D71B5"/>
    <w:rsid w:val="27806CA5"/>
    <w:rsid w:val="278247CB"/>
    <w:rsid w:val="2783635D"/>
    <w:rsid w:val="27873B8F"/>
    <w:rsid w:val="27873C98"/>
    <w:rsid w:val="27897907"/>
    <w:rsid w:val="278A18D2"/>
    <w:rsid w:val="278A3680"/>
    <w:rsid w:val="278C246F"/>
    <w:rsid w:val="27901611"/>
    <w:rsid w:val="279369D8"/>
    <w:rsid w:val="27951037"/>
    <w:rsid w:val="27953E06"/>
    <w:rsid w:val="27A4764B"/>
    <w:rsid w:val="27AA6B16"/>
    <w:rsid w:val="27B62B5A"/>
    <w:rsid w:val="27B801ED"/>
    <w:rsid w:val="27B96CEE"/>
    <w:rsid w:val="27BB1A8B"/>
    <w:rsid w:val="27CA2CF9"/>
    <w:rsid w:val="27D019DA"/>
    <w:rsid w:val="27DA15D6"/>
    <w:rsid w:val="27EC67A3"/>
    <w:rsid w:val="27F21951"/>
    <w:rsid w:val="27FF34BF"/>
    <w:rsid w:val="280244A3"/>
    <w:rsid w:val="28071641"/>
    <w:rsid w:val="280F3708"/>
    <w:rsid w:val="28220C06"/>
    <w:rsid w:val="28304227"/>
    <w:rsid w:val="283A4CC6"/>
    <w:rsid w:val="283A50A6"/>
    <w:rsid w:val="283F446A"/>
    <w:rsid w:val="284321AC"/>
    <w:rsid w:val="28447CD2"/>
    <w:rsid w:val="284A3A10"/>
    <w:rsid w:val="285223EF"/>
    <w:rsid w:val="28533733"/>
    <w:rsid w:val="28553C8E"/>
    <w:rsid w:val="289C18BC"/>
    <w:rsid w:val="28B46C06"/>
    <w:rsid w:val="28C11323"/>
    <w:rsid w:val="28C64B8B"/>
    <w:rsid w:val="28C80903"/>
    <w:rsid w:val="28CC03F4"/>
    <w:rsid w:val="28E05A37"/>
    <w:rsid w:val="28E13773"/>
    <w:rsid w:val="28E256C7"/>
    <w:rsid w:val="28EA3250"/>
    <w:rsid w:val="28EF40E2"/>
    <w:rsid w:val="28F238F0"/>
    <w:rsid w:val="28F53F32"/>
    <w:rsid w:val="28F647B0"/>
    <w:rsid w:val="28F813CA"/>
    <w:rsid w:val="2907142C"/>
    <w:rsid w:val="291D26A6"/>
    <w:rsid w:val="29233DCE"/>
    <w:rsid w:val="292875F4"/>
    <w:rsid w:val="2929681F"/>
    <w:rsid w:val="292D0766"/>
    <w:rsid w:val="29334C7F"/>
    <w:rsid w:val="29424212"/>
    <w:rsid w:val="294A57BC"/>
    <w:rsid w:val="29550782"/>
    <w:rsid w:val="295F6920"/>
    <w:rsid w:val="29634188"/>
    <w:rsid w:val="29645557"/>
    <w:rsid w:val="2964687E"/>
    <w:rsid w:val="296F5223"/>
    <w:rsid w:val="2996455E"/>
    <w:rsid w:val="29A44ECD"/>
    <w:rsid w:val="29A94291"/>
    <w:rsid w:val="29B233CE"/>
    <w:rsid w:val="29B35110"/>
    <w:rsid w:val="29B55A0E"/>
    <w:rsid w:val="29B82726"/>
    <w:rsid w:val="29BF3AB4"/>
    <w:rsid w:val="29BF5862"/>
    <w:rsid w:val="29C20DD0"/>
    <w:rsid w:val="29C42E79"/>
    <w:rsid w:val="29C64E23"/>
    <w:rsid w:val="29C92F02"/>
    <w:rsid w:val="29CA2459"/>
    <w:rsid w:val="29D10F26"/>
    <w:rsid w:val="29D55086"/>
    <w:rsid w:val="29E17ECF"/>
    <w:rsid w:val="29E259F5"/>
    <w:rsid w:val="29E3678C"/>
    <w:rsid w:val="29E67293"/>
    <w:rsid w:val="29EB48A9"/>
    <w:rsid w:val="29F215D5"/>
    <w:rsid w:val="29F22F85"/>
    <w:rsid w:val="29F23E8A"/>
    <w:rsid w:val="29F305CF"/>
    <w:rsid w:val="29F55728"/>
    <w:rsid w:val="29FD3041"/>
    <w:rsid w:val="29FF0355"/>
    <w:rsid w:val="29FF33E9"/>
    <w:rsid w:val="2A047719"/>
    <w:rsid w:val="2A0A1509"/>
    <w:rsid w:val="2A133E00"/>
    <w:rsid w:val="2A155F2E"/>
    <w:rsid w:val="2A21651D"/>
    <w:rsid w:val="2A257690"/>
    <w:rsid w:val="2A2715E7"/>
    <w:rsid w:val="2A332E0F"/>
    <w:rsid w:val="2A3655FC"/>
    <w:rsid w:val="2A377AEF"/>
    <w:rsid w:val="2A3931C2"/>
    <w:rsid w:val="2A443FBA"/>
    <w:rsid w:val="2A4C2E6E"/>
    <w:rsid w:val="2A4E4E38"/>
    <w:rsid w:val="2A583C4F"/>
    <w:rsid w:val="2A640937"/>
    <w:rsid w:val="2A6831CF"/>
    <w:rsid w:val="2A691C72"/>
    <w:rsid w:val="2A7C19A5"/>
    <w:rsid w:val="2A8820F8"/>
    <w:rsid w:val="2A930A9D"/>
    <w:rsid w:val="2A9C2048"/>
    <w:rsid w:val="2AA1765E"/>
    <w:rsid w:val="2AB23619"/>
    <w:rsid w:val="2AB27175"/>
    <w:rsid w:val="2ABC1DA2"/>
    <w:rsid w:val="2ABC6246"/>
    <w:rsid w:val="2ABE0A63"/>
    <w:rsid w:val="2AC5334C"/>
    <w:rsid w:val="2AD417E1"/>
    <w:rsid w:val="2AE80DE9"/>
    <w:rsid w:val="2AEF2177"/>
    <w:rsid w:val="2AF01323"/>
    <w:rsid w:val="2AF4778E"/>
    <w:rsid w:val="2AF53506"/>
    <w:rsid w:val="2AF7727E"/>
    <w:rsid w:val="2B0661FA"/>
    <w:rsid w:val="2B1E480B"/>
    <w:rsid w:val="2B1F6EEB"/>
    <w:rsid w:val="2B230073"/>
    <w:rsid w:val="2B2D0EF2"/>
    <w:rsid w:val="2B30012B"/>
    <w:rsid w:val="2B473CFD"/>
    <w:rsid w:val="2B4A209F"/>
    <w:rsid w:val="2B4D50F0"/>
    <w:rsid w:val="2B4F6DA7"/>
    <w:rsid w:val="2B54022C"/>
    <w:rsid w:val="2B7663F5"/>
    <w:rsid w:val="2B7E32B5"/>
    <w:rsid w:val="2B9A4D4C"/>
    <w:rsid w:val="2BA20995"/>
    <w:rsid w:val="2BA47406"/>
    <w:rsid w:val="2BB533C1"/>
    <w:rsid w:val="2BBD6606"/>
    <w:rsid w:val="2BC52ED8"/>
    <w:rsid w:val="2BC60FC8"/>
    <w:rsid w:val="2BD17ACF"/>
    <w:rsid w:val="2BD55811"/>
    <w:rsid w:val="2BDB6BA0"/>
    <w:rsid w:val="2BDF0494"/>
    <w:rsid w:val="2BE00FAD"/>
    <w:rsid w:val="2BE23A8A"/>
    <w:rsid w:val="2C016969"/>
    <w:rsid w:val="2C027343"/>
    <w:rsid w:val="2C0301CA"/>
    <w:rsid w:val="2C0C0B07"/>
    <w:rsid w:val="2C1B357C"/>
    <w:rsid w:val="2C267E1B"/>
    <w:rsid w:val="2C285EDB"/>
    <w:rsid w:val="2C286E71"/>
    <w:rsid w:val="2C354361"/>
    <w:rsid w:val="2C3A5674"/>
    <w:rsid w:val="2C3D0D69"/>
    <w:rsid w:val="2C4C53A8"/>
    <w:rsid w:val="2C6646BB"/>
    <w:rsid w:val="2C680433"/>
    <w:rsid w:val="2C6D20D7"/>
    <w:rsid w:val="2C8C39F6"/>
    <w:rsid w:val="2C8E59C0"/>
    <w:rsid w:val="2CA60F5C"/>
    <w:rsid w:val="2CBB2570"/>
    <w:rsid w:val="2CBC252D"/>
    <w:rsid w:val="2CBF5B79"/>
    <w:rsid w:val="2CC73DB1"/>
    <w:rsid w:val="2CCB53C6"/>
    <w:rsid w:val="2CD13D68"/>
    <w:rsid w:val="2CD63A00"/>
    <w:rsid w:val="2CD63BB6"/>
    <w:rsid w:val="2CD81EA7"/>
    <w:rsid w:val="2CDC2C1C"/>
    <w:rsid w:val="2CDC497D"/>
    <w:rsid w:val="2CDE24A4"/>
    <w:rsid w:val="2CDF4518"/>
    <w:rsid w:val="2CE3319F"/>
    <w:rsid w:val="2CE52918"/>
    <w:rsid w:val="2CE83322"/>
    <w:rsid w:val="2CEC4FC3"/>
    <w:rsid w:val="2CF73565"/>
    <w:rsid w:val="2CFA3055"/>
    <w:rsid w:val="2CFE2B46"/>
    <w:rsid w:val="2D0254A6"/>
    <w:rsid w:val="2D033A65"/>
    <w:rsid w:val="2D113745"/>
    <w:rsid w:val="2D12214D"/>
    <w:rsid w:val="2D1660E1"/>
    <w:rsid w:val="2D173C07"/>
    <w:rsid w:val="2D1C7470"/>
    <w:rsid w:val="2D1F59ED"/>
    <w:rsid w:val="2D2500D2"/>
    <w:rsid w:val="2D287BC3"/>
    <w:rsid w:val="2D2A393B"/>
    <w:rsid w:val="2D2D3D4C"/>
    <w:rsid w:val="2D393B7E"/>
    <w:rsid w:val="2D3A669D"/>
    <w:rsid w:val="2D3C74AE"/>
    <w:rsid w:val="2D3E73E6"/>
    <w:rsid w:val="2D4926A6"/>
    <w:rsid w:val="2D5938BF"/>
    <w:rsid w:val="2D60110A"/>
    <w:rsid w:val="2D6706EB"/>
    <w:rsid w:val="2D6F57F1"/>
    <w:rsid w:val="2D71156A"/>
    <w:rsid w:val="2D79041E"/>
    <w:rsid w:val="2D811081"/>
    <w:rsid w:val="2D8B6A40"/>
    <w:rsid w:val="2D8E201B"/>
    <w:rsid w:val="2D960FD0"/>
    <w:rsid w:val="2DA21F75"/>
    <w:rsid w:val="2DA31A42"/>
    <w:rsid w:val="2DA51213"/>
    <w:rsid w:val="2DA779AB"/>
    <w:rsid w:val="2DAA05D8"/>
    <w:rsid w:val="2DAD1E76"/>
    <w:rsid w:val="2DC120E1"/>
    <w:rsid w:val="2DC24CA9"/>
    <w:rsid w:val="2DE73410"/>
    <w:rsid w:val="2DE821F8"/>
    <w:rsid w:val="2DEF06E0"/>
    <w:rsid w:val="2E00469C"/>
    <w:rsid w:val="2E0226E0"/>
    <w:rsid w:val="2E0423DE"/>
    <w:rsid w:val="2E045F3A"/>
    <w:rsid w:val="2E051CB2"/>
    <w:rsid w:val="2E135C43"/>
    <w:rsid w:val="2E17391B"/>
    <w:rsid w:val="2E183793"/>
    <w:rsid w:val="2E1B14D5"/>
    <w:rsid w:val="2E1F0FC6"/>
    <w:rsid w:val="2E322C13"/>
    <w:rsid w:val="2E364890"/>
    <w:rsid w:val="2E383E35"/>
    <w:rsid w:val="2E412929"/>
    <w:rsid w:val="2E440A2C"/>
    <w:rsid w:val="2E447459"/>
    <w:rsid w:val="2E494294"/>
    <w:rsid w:val="2E4C168F"/>
    <w:rsid w:val="2E5F13C2"/>
    <w:rsid w:val="2E690493"/>
    <w:rsid w:val="2E695209"/>
    <w:rsid w:val="2E6E3CFB"/>
    <w:rsid w:val="2E756D0C"/>
    <w:rsid w:val="2E7D06D3"/>
    <w:rsid w:val="2E7D1C16"/>
    <w:rsid w:val="2E8250B1"/>
    <w:rsid w:val="2E96153D"/>
    <w:rsid w:val="2E9A064C"/>
    <w:rsid w:val="2E9A2AA1"/>
    <w:rsid w:val="2EA96AE1"/>
    <w:rsid w:val="2EB10CDE"/>
    <w:rsid w:val="2EB43CEA"/>
    <w:rsid w:val="2EB72FAC"/>
    <w:rsid w:val="2EB7691F"/>
    <w:rsid w:val="2EBB7D18"/>
    <w:rsid w:val="2EBD2F91"/>
    <w:rsid w:val="2ED85DFF"/>
    <w:rsid w:val="2ED973C6"/>
    <w:rsid w:val="2EE47B19"/>
    <w:rsid w:val="2EEF495F"/>
    <w:rsid w:val="2EFA10EB"/>
    <w:rsid w:val="2F0106CB"/>
    <w:rsid w:val="2F081A5A"/>
    <w:rsid w:val="2F087CAC"/>
    <w:rsid w:val="2F0B32F8"/>
    <w:rsid w:val="2F0E4E31"/>
    <w:rsid w:val="2F25260C"/>
    <w:rsid w:val="2F364819"/>
    <w:rsid w:val="2F416D1A"/>
    <w:rsid w:val="2F454A5C"/>
    <w:rsid w:val="2F495922"/>
    <w:rsid w:val="2F4C6689"/>
    <w:rsid w:val="2F50086F"/>
    <w:rsid w:val="2F5876BD"/>
    <w:rsid w:val="2F6A2714"/>
    <w:rsid w:val="2F6C4B19"/>
    <w:rsid w:val="2F6D3FB3"/>
    <w:rsid w:val="2F781BD1"/>
    <w:rsid w:val="2F7E39FF"/>
    <w:rsid w:val="2F8762CA"/>
    <w:rsid w:val="2F880DEC"/>
    <w:rsid w:val="2F884949"/>
    <w:rsid w:val="2F8E07F4"/>
    <w:rsid w:val="2F904855"/>
    <w:rsid w:val="2F967065"/>
    <w:rsid w:val="2F9B78AF"/>
    <w:rsid w:val="2F9D5394"/>
    <w:rsid w:val="2FA01C92"/>
    <w:rsid w:val="2FA15A0A"/>
    <w:rsid w:val="2FA84FEB"/>
    <w:rsid w:val="2FAB3E08"/>
    <w:rsid w:val="2FAE2973"/>
    <w:rsid w:val="2FAF6281"/>
    <w:rsid w:val="2FB15C4D"/>
    <w:rsid w:val="2FB220F9"/>
    <w:rsid w:val="2FB5106A"/>
    <w:rsid w:val="2FC11C09"/>
    <w:rsid w:val="2FEC3129"/>
    <w:rsid w:val="2FF3270A"/>
    <w:rsid w:val="2FF56AF1"/>
    <w:rsid w:val="300F0BC6"/>
    <w:rsid w:val="3022365A"/>
    <w:rsid w:val="303228CC"/>
    <w:rsid w:val="30334092"/>
    <w:rsid w:val="30442E20"/>
    <w:rsid w:val="30444929"/>
    <w:rsid w:val="304951A2"/>
    <w:rsid w:val="3050190A"/>
    <w:rsid w:val="305111DE"/>
    <w:rsid w:val="30517430"/>
    <w:rsid w:val="30542A7D"/>
    <w:rsid w:val="3058256D"/>
    <w:rsid w:val="305C00AD"/>
    <w:rsid w:val="3063290D"/>
    <w:rsid w:val="30696528"/>
    <w:rsid w:val="306B04F2"/>
    <w:rsid w:val="306C7E6E"/>
    <w:rsid w:val="3071759E"/>
    <w:rsid w:val="3075311F"/>
    <w:rsid w:val="3076603D"/>
    <w:rsid w:val="307D1FD3"/>
    <w:rsid w:val="3082583C"/>
    <w:rsid w:val="3085722D"/>
    <w:rsid w:val="3088423E"/>
    <w:rsid w:val="30896BCA"/>
    <w:rsid w:val="308B0B94"/>
    <w:rsid w:val="3091782D"/>
    <w:rsid w:val="309317F7"/>
    <w:rsid w:val="309537C1"/>
    <w:rsid w:val="30A82846"/>
    <w:rsid w:val="30B74C4B"/>
    <w:rsid w:val="30B874AF"/>
    <w:rsid w:val="30C220DC"/>
    <w:rsid w:val="30E87D95"/>
    <w:rsid w:val="30E97669"/>
    <w:rsid w:val="30EB33E1"/>
    <w:rsid w:val="30ED1AF6"/>
    <w:rsid w:val="30F13A72"/>
    <w:rsid w:val="30F229C1"/>
    <w:rsid w:val="30F310DC"/>
    <w:rsid w:val="30F57DBC"/>
    <w:rsid w:val="30F620BE"/>
    <w:rsid w:val="30F76272"/>
    <w:rsid w:val="30FD794E"/>
    <w:rsid w:val="31082702"/>
    <w:rsid w:val="31085D41"/>
    <w:rsid w:val="311E5564"/>
    <w:rsid w:val="311F308B"/>
    <w:rsid w:val="31264419"/>
    <w:rsid w:val="31280464"/>
    <w:rsid w:val="312E32CE"/>
    <w:rsid w:val="313F2AD3"/>
    <w:rsid w:val="314B3E80"/>
    <w:rsid w:val="31576CC8"/>
    <w:rsid w:val="315B683E"/>
    <w:rsid w:val="315E738C"/>
    <w:rsid w:val="31653D42"/>
    <w:rsid w:val="316919AC"/>
    <w:rsid w:val="316E7B6E"/>
    <w:rsid w:val="316F4012"/>
    <w:rsid w:val="317E4255"/>
    <w:rsid w:val="318B6972"/>
    <w:rsid w:val="318F3FF7"/>
    <w:rsid w:val="31A11CF2"/>
    <w:rsid w:val="31AB19F5"/>
    <w:rsid w:val="31B5579D"/>
    <w:rsid w:val="31B639EF"/>
    <w:rsid w:val="31BD2FCF"/>
    <w:rsid w:val="31BE4652"/>
    <w:rsid w:val="31CF2D03"/>
    <w:rsid w:val="31D67BED"/>
    <w:rsid w:val="31E0281A"/>
    <w:rsid w:val="31E62797"/>
    <w:rsid w:val="31EF0CAF"/>
    <w:rsid w:val="31EF5153"/>
    <w:rsid w:val="31EF6F01"/>
    <w:rsid w:val="31F00BA6"/>
    <w:rsid w:val="320B0ECD"/>
    <w:rsid w:val="320D55D9"/>
    <w:rsid w:val="3216623C"/>
    <w:rsid w:val="32186458"/>
    <w:rsid w:val="32221055"/>
    <w:rsid w:val="32221084"/>
    <w:rsid w:val="32270449"/>
    <w:rsid w:val="32292413"/>
    <w:rsid w:val="322A56AE"/>
    <w:rsid w:val="322F72FD"/>
    <w:rsid w:val="323B3865"/>
    <w:rsid w:val="323D7C6C"/>
    <w:rsid w:val="32560D2E"/>
    <w:rsid w:val="32586854"/>
    <w:rsid w:val="32605B12"/>
    <w:rsid w:val="326351F9"/>
    <w:rsid w:val="326844D9"/>
    <w:rsid w:val="326A20DA"/>
    <w:rsid w:val="327411B4"/>
    <w:rsid w:val="327518B1"/>
    <w:rsid w:val="3276317E"/>
    <w:rsid w:val="32786EF6"/>
    <w:rsid w:val="3278795C"/>
    <w:rsid w:val="327C031F"/>
    <w:rsid w:val="327D4380"/>
    <w:rsid w:val="3287138D"/>
    <w:rsid w:val="328D3E75"/>
    <w:rsid w:val="32935C1D"/>
    <w:rsid w:val="3293788C"/>
    <w:rsid w:val="32953E74"/>
    <w:rsid w:val="3298744F"/>
    <w:rsid w:val="329D4BAF"/>
    <w:rsid w:val="329D695D"/>
    <w:rsid w:val="329F26D5"/>
    <w:rsid w:val="32A93554"/>
    <w:rsid w:val="32AA7EC4"/>
    <w:rsid w:val="32AD23A6"/>
    <w:rsid w:val="32BF4B25"/>
    <w:rsid w:val="32D06D32"/>
    <w:rsid w:val="32D51246"/>
    <w:rsid w:val="32D57EA5"/>
    <w:rsid w:val="32E14A9C"/>
    <w:rsid w:val="32E20814"/>
    <w:rsid w:val="32E96569"/>
    <w:rsid w:val="32EB3B6C"/>
    <w:rsid w:val="32EC750C"/>
    <w:rsid w:val="32F02F31"/>
    <w:rsid w:val="32F10A57"/>
    <w:rsid w:val="32F16745"/>
    <w:rsid w:val="32F318E1"/>
    <w:rsid w:val="330A22E8"/>
    <w:rsid w:val="33134E71"/>
    <w:rsid w:val="33162FDC"/>
    <w:rsid w:val="3317670F"/>
    <w:rsid w:val="33184235"/>
    <w:rsid w:val="33244988"/>
    <w:rsid w:val="332501C0"/>
    <w:rsid w:val="332B3F69"/>
    <w:rsid w:val="332D7CE1"/>
    <w:rsid w:val="33423060"/>
    <w:rsid w:val="334A7AC2"/>
    <w:rsid w:val="334B0167"/>
    <w:rsid w:val="334E5EA9"/>
    <w:rsid w:val="33501C21"/>
    <w:rsid w:val="33505EDD"/>
    <w:rsid w:val="33506A16"/>
    <w:rsid w:val="335214F5"/>
    <w:rsid w:val="33570712"/>
    <w:rsid w:val="33572FF9"/>
    <w:rsid w:val="335A484E"/>
    <w:rsid w:val="335F1E64"/>
    <w:rsid w:val="33611977"/>
    <w:rsid w:val="33792F26"/>
    <w:rsid w:val="33825FA4"/>
    <w:rsid w:val="33867E53"/>
    <w:rsid w:val="339935C8"/>
    <w:rsid w:val="33A15FD9"/>
    <w:rsid w:val="33BB3CB7"/>
    <w:rsid w:val="33CF6FEA"/>
    <w:rsid w:val="33D34C76"/>
    <w:rsid w:val="33D35727"/>
    <w:rsid w:val="33D771A3"/>
    <w:rsid w:val="33D97E69"/>
    <w:rsid w:val="33E04D53"/>
    <w:rsid w:val="33E40F52"/>
    <w:rsid w:val="33ED121E"/>
    <w:rsid w:val="33F02403"/>
    <w:rsid w:val="33F16F60"/>
    <w:rsid w:val="33F22CD8"/>
    <w:rsid w:val="33F702EF"/>
    <w:rsid w:val="33F86270"/>
    <w:rsid w:val="340842AA"/>
    <w:rsid w:val="34084D4C"/>
    <w:rsid w:val="3414039D"/>
    <w:rsid w:val="34140EA1"/>
    <w:rsid w:val="341B66F6"/>
    <w:rsid w:val="341E3ACD"/>
    <w:rsid w:val="342033A2"/>
    <w:rsid w:val="342B1691"/>
    <w:rsid w:val="342F5CDB"/>
    <w:rsid w:val="343155AF"/>
    <w:rsid w:val="3431735D"/>
    <w:rsid w:val="34394463"/>
    <w:rsid w:val="343E1A7A"/>
    <w:rsid w:val="34403A44"/>
    <w:rsid w:val="344563D5"/>
    <w:rsid w:val="345117AD"/>
    <w:rsid w:val="345D2848"/>
    <w:rsid w:val="345E3ECA"/>
    <w:rsid w:val="346304CE"/>
    <w:rsid w:val="34662D42"/>
    <w:rsid w:val="346A286F"/>
    <w:rsid w:val="346E6803"/>
    <w:rsid w:val="347031A0"/>
    <w:rsid w:val="3474193F"/>
    <w:rsid w:val="34790D04"/>
    <w:rsid w:val="34853B4C"/>
    <w:rsid w:val="34867A4F"/>
    <w:rsid w:val="34880F47"/>
    <w:rsid w:val="34945B3E"/>
    <w:rsid w:val="349D2C44"/>
    <w:rsid w:val="34AB0504"/>
    <w:rsid w:val="34B47F8E"/>
    <w:rsid w:val="34B61F58"/>
    <w:rsid w:val="34B63D06"/>
    <w:rsid w:val="34BE1C71"/>
    <w:rsid w:val="34C77CC1"/>
    <w:rsid w:val="34CA155F"/>
    <w:rsid w:val="34CE72A2"/>
    <w:rsid w:val="34D10B40"/>
    <w:rsid w:val="34D26E21"/>
    <w:rsid w:val="34D6213E"/>
    <w:rsid w:val="34DF2FE2"/>
    <w:rsid w:val="34E00D83"/>
    <w:rsid w:val="34ED7013"/>
    <w:rsid w:val="34F36D08"/>
    <w:rsid w:val="34F767F8"/>
    <w:rsid w:val="34FA0097"/>
    <w:rsid w:val="350157AF"/>
    <w:rsid w:val="350318F8"/>
    <w:rsid w:val="350B5E00"/>
    <w:rsid w:val="35123632"/>
    <w:rsid w:val="351A4295"/>
    <w:rsid w:val="351A6043"/>
    <w:rsid w:val="35213875"/>
    <w:rsid w:val="35270760"/>
    <w:rsid w:val="352E1AEE"/>
    <w:rsid w:val="352E7D40"/>
    <w:rsid w:val="353A125C"/>
    <w:rsid w:val="353C06AF"/>
    <w:rsid w:val="35411821"/>
    <w:rsid w:val="35472BB0"/>
    <w:rsid w:val="35487054"/>
    <w:rsid w:val="354A432E"/>
    <w:rsid w:val="35613C72"/>
    <w:rsid w:val="35645510"/>
    <w:rsid w:val="35695279"/>
    <w:rsid w:val="356A0221"/>
    <w:rsid w:val="356D6ABA"/>
    <w:rsid w:val="357C4F4F"/>
    <w:rsid w:val="357D525D"/>
    <w:rsid w:val="3589141A"/>
    <w:rsid w:val="358F4C83"/>
    <w:rsid w:val="35944A56"/>
    <w:rsid w:val="35951B6D"/>
    <w:rsid w:val="359F479A"/>
    <w:rsid w:val="35A746CB"/>
    <w:rsid w:val="35AB1391"/>
    <w:rsid w:val="35BF6BEA"/>
    <w:rsid w:val="35D42696"/>
    <w:rsid w:val="35D445C7"/>
    <w:rsid w:val="35DE3514"/>
    <w:rsid w:val="35E033EA"/>
    <w:rsid w:val="35F26FC0"/>
    <w:rsid w:val="35F47297"/>
    <w:rsid w:val="35F6176E"/>
    <w:rsid w:val="35FC48CB"/>
    <w:rsid w:val="35FE5964"/>
    <w:rsid w:val="35FF7E11"/>
    <w:rsid w:val="3603202D"/>
    <w:rsid w:val="36054F45"/>
    <w:rsid w:val="360B03B9"/>
    <w:rsid w:val="360B1E2F"/>
    <w:rsid w:val="360D6DA5"/>
    <w:rsid w:val="36145E52"/>
    <w:rsid w:val="36160F00"/>
    <w:rsid w:val="361B6516"/>
    <w:rsid w:val="3624433A"/>
    <w:rsid w:val="36274EBB"/>
    <w:rsid w:val="362A49AB"/>
    <w:rsid w:val="363A04F6"/>
    <w:rsid w:val="364D2448"/>
    <w:rsid w:val="364F7F6E"/>
    <w:rsid w:val="36513E6E"/>
    <w:rsid w:val="36555C66"/>
    <w:rsid w:val="365D08DD"/>
    <w:rsid w:val="366A4DA8"/>
    <w:rsid w:val="3679323D"/>
    <w:rsid w:val="368D4F40"/>
    <w:rsid w:val="368D6CE8"/>
    <w:rsid w:val="36914A2B"/>
    <w:rsid w:val="36A06A1C"/>
    <w:rsid w:val="36AA1648"/>
    <w:rsid w:val="36AA3E23"/>
    <w:rsid w:val="36AE738B"/>
    <w:rsid w:val="36B10C29"/>
    <w:rsid w:val="36C24BE4"/>
    <w:rsid w:val="36D52B69"/>
    <w:rsid w:val="36D6243D"/>
    <w:rsid w:val="36DD37CC"/>
    <w:rsid w:val="36DE12F2"/>
    <w:rsid w:val="36E5586C"/>
    <w:rsid w:val="36EF52AD"/>
    <w:rsid w:val="37070003"/>
    <w:rsid w:val="370C1614"/>
    <w:rsid w:val="371B60A2"/>
    <w:rsid w:val="372413FB"/>
    <w:rsid w:val="372420B6"/>
    <w:rsid w:val="37405B09"/>
    <w:rsid w:val="37517D16"/>
    <w:rsid w:val="375E7F6D"/>
    <w:rsid w:val="37692B5C"/>
    <w:rsid w:val="376E3B9D"/>
    <w:rsid w:val="377F4883"/>
    <w:rsid w:val="378068E5"/>
    <w:rsid w:val="378974B0"/>
    <w:rsid w:val="37925061"/>
    <w:rsid w:val="379320DC"/>
    <w:rsid w:val="37963D3E"/>
    <w:rsid w:val="379A05F7"/>
    <w:rsid w:val="379E11AD"/>
    <w:rsid w:val="379F0A81"/>
    <w:rsid w:val="37B3277F"/>
    <w:rsid w:val="37B54749"/>
    <w:rsid w:val="37B846D1"/>
    <w:rsid w:val="37BB09C0"/>
    <w:rsid w:val="37C765CA"/>
    <w:rsid w:val="37D03331"/>
    <w:rsid w:val="37D42E21"/>
    <w:rsid w:val="37D921E5"/>
    <w:rsid w:val="37DC5A39"/>
    <w:rsid w:val="37E312B6"/>
    <w:rsid w:val="37FA104F"/>
    <w:rsid w:val="381015BC"/>
    <w:rsid w:val="38163439"/>
    <w:rsid w:val="38172332"/>
    <w:rsid w:val="381F1BC2"/>
    <w:rsid w:val="38211EAC"/>
    <w:rsid w:val="382558A3"/>
    <w:rsid w:val="38282686"/>
    <w:rsid w:val="382A0C93"/>
    <w:rsid w:val="383513E6"/>
    <w:rsid w:val="38397128"/>
    <w:rsid w:val="384311B2"/>
    <w:rsid w:val="385B52F0"/>
    <w:rsid w:val="386F48F8"/>
    <w:rsid w:val="38762855"/>
    <w:rsid w:val="387E60D5"/>
    <w:rsid w:val="38832151"/>
    <w:rsid w:val="388C7258"/>
    <w:rsid w:val="388F0AF6"/>
    <w:rsid w:val="389657C8"/>
    <w:rsid w:val="38991974"/>
    <w:rsid w:val="389D1465"/>
    <w:rsid w:val="38A04AB1"/>
    <w:rsid w:val="38A81BB8"/>
    <w:rsid w:val="38AA5930"/>
    <w:rsid w:val="38B4677D"/>
    <w:rsid w:val="38B57157"/>
    <w:rsid w:val="38BA6E43"/>
    <w:rsid w:val="38BD221F"/>
    <w:rsid w:val="38C04D34"/>
    <w:rsid w:val="38CC3A47"/>
    <w:rsid w:val="38DF2D14"/>
    <w:rsid w:val="38E452E6"/>
    <w:rsid w:val="38EF04E6"/>
    <w:rsid w:val="38EF3C8A"/>
    <w:rsid w:val="390A63CE"/>
    <w:rsid w:val="39107A59"/>
    <w:rsid w:val="391D6CE3"/>
    <w:rsid w:val="3938118D"/>
    <w:rsid w:val="39382F3B"/>
    <w:rsid w:val="393B03A8"/>
    <w:rsid w:val="393B0C7E"/>
    <w:rsid w:val="393C6ED0"/>
    <w:rsid w:val="393F251C"/>
    <w:rsid w:val="394538AA"/>
    <w:rsid w:val="39475874"/>
    <w:rsid w:val="394E6C03"/>
    <w:rsid w:val="3957347F"/>
    <w:rsid w:val="39602BA5"/>
    <w:rsid w:val="396226AE"/>
    <w:rsid w:val="39677CC5"/>
    <w:rsid w:val="397228F1"/>
    <w:rsid w:val="39736B31"/>
    <w:rsid w:val="39980E9A"/>
    <w:rsid w:val="39987E7E"/>
    <w:rsid w:val="399C30D3"/>
    <w:rsid w:val="399F2574"/>
    <w:rsid w:val="39A41973"/>
    <w:rsid w:val="39A91C53"/>
    <w:rsid w:val="39AD1B7B"/>
    <w:rsid w:val="39AD781B"/>
    <w:rsid w:val="39AF02DA"/>
    <w:rsid w:val="39B60304"/>
    <w:rsid w:val="39BA6046"/>
    <w:rsid w:val="39BE5FB6"/>
    <w:rsid w:val="39C26CA9"/>
    <w:rsid w:val="39CA7CFF"/>
    <w:rsid w:val="39D625E2"/>
    <w:rsid w:val="39D6704B"/>
    <w:rsid w:val="39D8471E"/>
    <w:rsid w:val="39D93E4C"/>
    <w:rsid w:val="39DC7D6B"/>
    <w:rsid w:val="39DD3AE3"/>
    <w:rsid w:val="39DF785B"/>
    <w:rsid w:val="39FC665F"/>
    <w:rsid w:val="39FE4185"/>
    <w:rsid w:val="3A105C66"/>
    <w:rsid w:val="3A12378C"/>
    <w:rsid w:val="3A1E4827"/>
    <w:rsid w:val="3A2A4F7A"/>
    <w:rsid w:val="3A414072"/>
    <w:rsid w:val="3A4C41AD"/>
    <w:rsid w:val="3A570AA3"/>
    <w:rsid w:val="3A5C0EAC"/>
    <w:rsid w:val="3A60099C"/>
    <w:rsid w:val="3A6B5876"/>
    <w:rsid w:val="3A7459D6"/>
    <w:rsid w:val="3A7601BF"/>
    <w:rsid w:val="3A762AC4"/>
    <w:rsid w:val="3A856654"/>
    <w:rsid w:val="3A9D66A3"/>
    <w:rsid w:val="3AA43CC8"/>
    <w:rsid w:val="3AA46CD1"/>
    <w:rsid w:val="3AA52853"/>
    <w:rsid w:val="3AAC1E33"/>
    <w:rsid w:val="3AB179EA"/>
    <w:rsid w:val="3ABE56C2"/>
    <w:rsid w:val="3ACF167E"/>
    <w:rsid w:val="3AD2116E"/>
    <w:rsid w:val="3AE710BD"/>
    <w:rsid w:val="3AEC66D3"/>
    <w:rsid w:val="3AF15CEA"/>
    <w:rsid w:val="3AF31810"/>
    <w:rsid w:val="3AF9494C"/>
    <w:rsid w:val="3B037579"/>
    <w:rsid w:val="3B061686"/>
    <w:rsid w:val="3B082DE1"/>
    <w:rsid w:val="3B0D21A6"/>
    <w:rsid w:val="3B0F2A3B"/>
    <w:rsid w:val="3B196D9D"/>
    <w:rsid w:val="3B250D39"/>
    <w:rsid w:val="3B27770B"/>
    <w:rsid w:val="3B342408"/>
    <w:rsid w:val="3B365BA1"/>
    <w:rsid w:val="3B3756B1"/>
    <w:rsid w:val="3B3B6D13"/>
    <w:rsid w:val="3B4E1CF2"/>
    <w:rsid w:val="3B5878C5"/>
    <w:rsid w:val="3B614012"/>
    <w:rsid w:val="3B660234"/>
    <w:rsid w:val="3B6A10D0"/>
    <w:rsid w:val="3B6B584A"/>
    <w:rsid w:val="3B717104"/>
    <w:rsid w:val="3B7E66B1"/>
    <w:rsid w:val="3B800B35"/>
    <w:rsid w:val="3B842468"/>
    <w:rsid w:val="3B862684"/>
    <w:rsid w:val="3B8E32E7"/>
    <w:rsid w:val="3B936B4F"/>
    <w:rsid w:val="3B9528C7"/>
    <w:rsid w:val="3B9C3C56"/>
    <w:rsid w:val="3B9D352A"/>
    <w:rsid w:val="3B9D379F"/>
    <w:rsid w:val="3BA637A9"/>
    <w:rsid w:val="3BA64AD4"/>
    <w:rsid w:val="3BA85450"/>
    <w:rsid w:val="3BB34FBB"/>
    <w:rsid w:val="3BB371F1"/>
    <w:rsid w:val="3BC57CF3"/>
    <w:rsid w:val="3BC71477"/>
    <w:rsid w:val="3BC93FB9"/>
    <w:rsid w:val="3BD17677"/>
    <w:rsid w:val="3BD50F16"/>
    <w:rsid w:val="3BD555D7"/>
    <w:rsid w:val="3BD57167"/>
    <w:rsid w:val="3BD95A5A"/>
    <w:rsid w:val="3BDA29D0"/>
    <w:rsid w:val="3BE617FF"/>
    <w:rsid w:val="3BE9676F"/>
    <w:rsid w:val="3BED79D6"/>
    <w:rsid w:val="3BF02833"/>
    <w:rsid w:val="3BF44191"/>
    <w:rsid w:val="3BF910A8"/>
    <w:rsid w:val="3C026CDA"/>
    <w:rsid w:val="3C033CD5"/>
    <w:rsid w:val="3C0D06AF"/>
    <w:rsid w:val="3C115CC3"/>
    <w:rsid w:val="3C115D37"/>
    <w:rsid w:val="3C143D3F"/>
    <w:rsid w:val="3C17152E"/>
    <w:rsid w:val="3C277297"/>
    <w:rsid w:val="3C2D6FA3"/>
    <w:rsid w:val="3C355E58"/>
    <w:rsid w:val="3C3B0FB9"/>
    <w:rsid w:val="3C3E4D0D"/>
    <w:rsid w:val="3C3F0552"/>
    <w:rsid w:val="3C447E49"/>
    <w:rsid w:val="3C461E13"/>
    <w:rsid w:val="3C577B7C"/>
    <w:rsid w:val="3C5A58BF"/>
    <w:rsid w:val="3C5E53AF"/>
    <w:rsid w:val="3C645567"/>
    <w:rsid w:val="3C6B7FC1"/>
    <w:rsid w:val="3C6D2D06"/>
    <w:rsid w:val="3C722C08"/>
    <w:rsid w:val="3C7419D1"/>
    <w:rsid w:val="3C793F97"/>
    <w:rsid w:val="3C7F70D3"/>
    <w:rsid w:val="3C850B8E"/>
    <w:rsid w:val="3C882D21"/>
    <w:rsid w:val="3C885F88"/>
    <w:rsid w:val="3C8C076E"/>
    <w:rsid w:val="3C9455E1"/>
    <w:rsid w:val="3C945CB8"/>
    <w:rsid w:val="3CA12C30"/>
    <w:rsid w:val="3CA134EE"/>
    <w:rsid w:val="3CA8662A"/>
    <w:rsid w:val="3CAC088D"/>
    <w:rsid w:val="3CAF5C0A"/>
    <w:rsid w:val="3CB20F63"/>
    <w:rsid w:val="3CB90A0D"/>
    <w:rsid w:val="3CBC3E83"/>
    <w:rsid w:val="3CC471B5"/>
    <w:rsid w:val="3CD236A7"/>
    <w:rsid w:val="3CE21B3C"/>
    <w:rsid w:val="3CE55188"/>
    <w:rsid w:val="3CEA1E5E"/>
    <w:rsid w:val="3CEC264B"/>
    <w:rsid w:val="3CEC413E"/>
    <w:rsid w:val="3CEF0418"/>
    <w:rsid w:val="3CF8135F"/>
    <w:rsid w:val="3D142BD5"/>
    <w:rsid w:val="3D3103CE"/>
    <w:rsid w:val="3D332398"/>
    <w:rsid w:val="3D375A4A"/>
    <w:rsid w:val="3D3A6FF1"/>
    <w:rsid w:val="3D3D3216"/>
    <w:rsid w:val="3D4A148F"/>
    <w:rsid w:val="3D606F05"/>
    <w:rsid w:val="3D65276D"/>
    <w:rsid w:val="3D70559B"/>
    <w:rsid w:val="3D734E8A"/>
    <w:rsid w:val="3D87623F"/>
    <w:rsid w:val="3D9B452C"/>
    <w:rsid w:val="3D9D7A84"/>
    <w:rsid w:val="3DA05553"/>
    <w:rsid w:val="3DA77A7D"/>
    <w:rsid w:val="3DAC3EF8"/>
    <w:rsid w:val="3DB267F8"/>
    <w:rsid w:val="3DB27E94"/>
    <w:rsid w:val="3DC079A3"/>
    <w:rsid w:val="3DC2196D"/>
    <w:rsid w:val="3DD11BB1"/>
    <w:rsid w:val="3DD42420"/>
    <w:rsid w:val="3DD671C7"/>
    <w:rsid w:val="3DD90649"/>
    <w:rsid w:val="3DE05AF7"/>
    <w:rsid w:val="3DE5102B"/>
    <w:rsid w:val="3DE90CA8"/>
    <w:rsid w:val="3DEA3F0F"/>
    <w:rsid w:val="3DED2CD7"/>
    <w:rsid w:val="3DF31B27"/>
    <w:rsid w:val="3DF32DF4"/>
    <w:rsid w:val="3DF633C5"/>
    <w:rsid w:val="3E015FF2"/>
    <w:rsid w:val="3E135D25"/>
    <w:rsid w:val="3E2014B3"/>
    <w:rsid w:val="3E295549"/>
    <w:rsid w:val="3E2B65AB"/>
    <w:rsid w:val="3E32264F"/>
    <w:rsid w:val="3E33432C"/>
    <w:rsid w:val="3E3660F7"/>
    <w:rsid w:val="3E375EB7"/>
    <w:rsid w:val="3E391C63"/>
    <w:rsid w:val="3E3C527C"/>
    <w:rsid w:val="3E3F2FBE"/>
    <w:rsid w:val="3E4203B8"/>
    <w:rsid w:val="3E481E73"/>
    <w:rsid w:val="3E497961"/>
    <w:rsid w:val="3E5D232A"/>
    <w:rsid w:val="3E6447D3"/>
    <w:rsid w:val="3E6C73A7"/>
    <w:rsid w:val="3E6E73FF"/>
    <w:rsid w:val="3E732E2B"/>
    <w:rsid w:val="3E751487"/>
    <w:rsid w:val="3E761FCC"/>
    <w:rsid w:val="3E78202C"/>
    <w:rsid w:val="3E7C5D51"/>
    <w:rsid w:val="3E8246A6"/>
    <w:rsid w:val="3E825277"/>
    <w:rsid w:val="3E864749"/>
    <w:rsid w:val="3E894239"/>
    <w:rsid w:val="3E9055C8"/>
    <w:rsid w:val="3E944BFC"/>
    <w:rsid w:val="3E9E15DF"/>
    <w:rsid w:val="3EA66B99"/>
    <w:rsid w:val="3EAA48DB"/>
    <w:rsid w:val="3EAB41B0"/>
    <w:rsid w:val="3EBB0897"/>
    <w:rsid w:val="3EC139D3"/>
    <w:rsid w:val="3EC3774B"/>
    <w:rsid w:val="3EC42F03"/>
    <w:rsid w:val="3EC64414"/>
    <w:rsid w:val="3ECB4852"/>
    <w:rsid w:val="3ED05615"/>
    <w:rsid w:val="3EDB5A73"/>
    <w:rsid w:val="3EDC080D"/>
    <w:rsid w:val="3EF841D3"/>
    <w:rsid w:val="3EFC4A0B"/>
    <w:rsid w:val="3EFE4C27"/>
    <w:rsid w:val="3F00274D"/>
    <w:rsid w:val="3F035D9A"/>
    <w:rsid w:val="3F044718"/>
    <w:rsid w:val="3F0538C0"/>
    <w:rsid w:val="3F05646B"/>
    <w:rsid w:val="3F086F46"/>
    <w:rsid w:val="3F161F71"/>
    <w:rsid w:val="3F1B2B33"/>
    <w:rsid w:val="3F1B7587"/>
    <w:rsid w:val="3F237162"/>
    <w:rsid w:val="3F2776F6"/>
    <w:rsid w:val="3F302B2D"/>
    <w:rsid w:val="3F3146B5"/>
    <w:rsid w:val="3F315108"/>
    <w:rsid w:val="3F3E3276"/>
    <w:rsid w:val="3F47212A"/>
    <w:rsid w:val="3F4C14EF"/>
    <w:rsid w:val="3F4F7231"/>
    <w:rsid w:val="3F6B1650"/>
    <w:rsid w:val="3F6E3B5B"/>
    <w:rsid w:val="3F7647BE"/>
    <w:rsid w:val="3F80388E"/>
    <w:rsid w:val="3F80563C"/>
    <w:rsid w:val="3F8216E0"/>
    <w:rsid w:val="3F822342"/>
    <w:rsid w:val="3F88629F"/>
    <w:rsid w:val="3F8959EE"/>
    <w:rsid w:val="3F8D72FD"/>
    <w:rsid w:val="3F8F7842"/>
    <w:rsid w:val="3F92564C"/>
    <w:rsid w:val="3F93536F"/>
    <w:rsid w:val="3F9B4224"/>
    <w:rsid w:val="3FA97382"/>
    <w:rsid w:val="3FB52037"/>
    <w:rsid w:val="3FBA6DA0"/>
    <w:rsid w:val="3FC065ED"/>
    <w:rsid w:val="3FC45529"/>
    <w:rsid w:val="3FC868B9"/>
    <w:rsid w:val="3FCA1F4E"/>
    <w:rsid w:val="3FD172A9"/>
    <w:rsid w:val="3FFA0F4B"/>
    <w:rsid w:val="3FFD6511"/>
    <w:rsid w:val="40153FD6"/>
    <w:rsid w:val="40210BCD"/>
    <w:rsid w:val="402E32EA"/>
    <w:rsid w:val="40302BBE"/>
    <w:rsid w:val="40322DDA"/>
    <w:rsid w:val="403F72A5"/>
    <w:rsid w:val="40420B44"/>
    <w:rsid w:val="404448BC"/>
    <w:rsid w:val="40464190"/>
    <w:rsid w:val="40572841"/>
    <w:rsid w:val="405746EA"/>
    <w:rsid w:val="40582115"/>
    <w:rsid w:val="4068230D"/>
    <w:rsid w:val="40687BFC"/>
    <w:rsid w:val="40703903"/>
    <w:rsid w:val="40720D1E"/>
    <w:rsid w:val="40721429"/>
    <w:rsid w:val="407F58F4"/>
    <w:rsid w:val="40814AC4"/>
    <w:rsid w:val="40864FE0"/>
    <w:rsid w:val="40952AB4"/>
    <w:rsid w:val="40980764"/>
    <w:rsid w:val="409A44DC"/>
    <w:rsid w:val="409C410E"/>
    <w:rsid w:val="409E3FCC"/>
    <w:rsid w:val="40A45FFE"/>
    <w:rsid w:val="40AB477C"/>
    <w:rsid w:val="40AB4E52"/>
    <w:rsid w:val="40B27A77"/>
    <w:rsid w:val="40CB5A50"/>
    <w:rsid w:val="40CB6D8B"/>
    <w:rsid w:val="40CD2B03"/>
    <w:rsid w:val="40CF2A93"/>
    <w:rsid w:val="40DF6392"/>
    <w:rsid w:val="40EE4FD7"/>
    <w:rsid w:val="40F40090"/>
    <w:rsid w:val="40F956A6"/>
    <w:rsid w:val="41080CF0"/>
    <w:rsid w:val="41153D55"/>
    <w:rsid w:val="41163122"/>
    <w:rsid w:val="412070D7"/>
    <w:rsid w:val="4125649B"/>
    <w:rsid w:val="412B76AC"/>
    <w:rsid w:val="413663FB"/>
    <w:rsid w:val="413B181B"/>
    <w:rsid w:val="41432DC5"/>
    <w:rsid w:val="41455BCD"/>
    <w:rsid w:val="414A4154"/>
    <w:rsid w:val="414F39A9"/>
    <w:rsid w:val="414F4487"/>
    <w:rsid w:val="415950C1"/>
    <w:rsid w:val="4165018A"/>
    <w:rsid w:val="416845DA"/>
    <w:rsid w:val="41715B61"/>
    <w:rsid w:val="41760AA5"/>
    <w:rsid w:val="41766CF7"/>
    <w:rsid w:val="417967E7"/>
    <w:rsid w:val="41814AF7"/>
    <w:rsid w:val="419B050B"/>
    <w:rsid w:val="41A1553C"/>
    <w:rsid w:val="41A5138A"/>
    <w:rsid w:val="41A51D89"/>
    <w:rsid w:val="41AE0A2A"/>
    <w:rsid w:val="41B079AE"/>
    <w:rsid w:val="41B2577E"/>
    <w:rsid w:val="41B826C6"/>
    <w:rsid w:val="41BA6516"/>
    <w:rsid w:val="41BD54D5"/>
    <w:rsid w:val="41C01307"/>
    <w:rsid w:val="41C761AE"/>
    <w:rsid w:val="41C9151C"/>
    <w:rsid w:val="41CA5CE9"/>
    <w:rsid w:val="41CE79E3"/>
    <w:rsid w:val="41D4603F"/>
    <w:rsid w:val="41DD6D76"/>
    <w:rsid w:val="41DF10DE"/>
    <w:rsid w:val="41E81277"/>
    <w:rsid w:val="41EC6FB9"/>
    <w:rsid w:val="41FD11C6"/>
    <w:rsid w:val="41FD4D22"/>
    <w:rsid w:val="41FE6D47"/>
    <w:rsid w:val="420E6F2F"/>
    <w:rsid w:val="42213106"/>
    <w:rsid w:val="422B5D33"/>
    <w:rsid w:val="42332E3A"/>
    <w:rsid w:val="42366486"/>
    <w:rsid w:val="423D15C3"/>
    <w:rsid w:val="42440BA3"/>
    <w:rsid w:val="4249450D"/>
    <w:rsid w:val="424C1339"/>
    <w:rsid w:val="42537038"/>
    <w:rsid w:val="42576B28"/>
    <w:rsid w:val="425828A0"/>
    <w:rsid w:val="425A6618"/>
    <w:rsid w:val="426B67E5"/>
    <w:rsid w:val="42701998"/>
    <w:rsid w:val="42707BEA"/>
    <w:rsid w:val="42750567"/>
    <w:rsid w:val="42755200"/>
    <w:rsid w:val="4278084D"/>
    <w:rsid w:val="42793D96"/>
    <w:rsid w:val="427D5E63"/>
    <w:rsid w:val="429338D8"/>
    <w:rsid w:val="42984A4B"/>
    <w:rsid w:val="42B15B0D"/>
    <w:rsid w:val="42C27D1A"/>
    <w:rsid w:val="42C341BE"/>
    <w:rsid w:val="42C3549B"/>
    <w:rsid w:val="42C35EBF"/>
    <w:rsid w:val="42CD2946"/>
    <w:rsid w:val="42E3216A"/>
    <w:rsid w:val="430640AA"/>
    <w:rsid w:val="430B3AD6"/>
    <w:rsid w:val="43170066"/>
    <w:rsid w:val="431C0DEE"/>
    <w:rsid w:val="431D08CD"/>
    <w:rsid w:val="43252782"/>
    <w:rsid w:val="43284021"/>
    <w:rsid w:val="43346E69"/>
    <w:rsid w:val="433A4C14"/>
    <w:rsid w:val="433B01F8"/>
    <w:rsid w:val="433C7ACC"/>
    <w:rsid w:val="434846C3"/>
    <w:rsid w:val="434D3A87"/>
    <w:rsid w:val="43586B9D"/>
    <w:rsid w:val="435E5695"/>
    <w:rsid w:val="436E6C0B"/>
    <w:rsid w:val="436F1C50"/>
    <w:rsid w:val="436F728E"/>
    <w:rsid w:val="437473DB"/>
    <w:rsid w:val="4378616D"/>
    <w:rsid w:val="43792ACE"/>
    <w:rsid w:val="43900BE6"/>
    <w:rsid w:val="439D3DD9"/>
    <w:rsid w:val="43A538C3"/>
    <w:rsid w:val="43A703EC"/>
    <w:rsid w:val="43AD2778"/>
    <w:rsid w:val="43B6162D"/>
    <w:rsid w:val="43B61C26"/>
    <w:rsid w:val="43B6787E"/>
    <w:rsid w:val="43BB4E95"/>
    <w:rsid w:val="43BC7062"/>
    <w:rsid w:val="43C875B2"/>
    <w:rsid w:val="43CD7B15"/>
    <w:rsid w:val="43CF6B92"/>
    <w:rsid w:val="43D23F8D"/>
    <w:rsid w:val="43D872DB"/>
    <w:rsid w:val="43D877F5"/>
    <w:rsid w:val="43E4263E"/>
    <w:rsid w:val="43EC32A0"/>
    <w:rsid w:val="43F62371"/>
    <w:rsid w:val="43F6411F"/>
    <w:rsid w:val="43FD0C89"/>
    <w:rsid w:val="440E30D2"/>
    <w:rsid w:val="441557B1"/>
    <w:rsid w:val="443020B6"/>
    <w:rsid w:val="443041EF"/>
    <w:rsid w:val="44307631"/>
    <w:rsid w:val="443A1BC6"/>
    <w:rsid w:val="44501A81"/>
    <w:rsid w:val="4450382F"/>
    <w:rsid w:val="44542702"/>
    <w:rsid w:val="44544761"/>
    <w:rsid w:val="446543AB"/>
    <w:rsid w:val="4479477F"/>
    <w:rsid w:val="44817E8C"/>
    <w:rsid w:val="448E25A9"/>
    <w:rsid w:val="44906321"/>
    <w:rsid w:val="4497145E"/>
    <w:rsid w:val="449A2CFC"/>
    <w:rsid w:val="449F498C"/>
    <w:rsid w:val="449F6565"/>
    <w:rsid w:val="44AB6CB7"/>
    <w:rsid w:val="44B9151A"/>
    <w:rsid w:val="44BA514C"/>
    <w:rsid w:val="44BD15A5"/>
    <w:rsid w:val="44BD69EB"/>
    <w:rsid w:val="44C27B85"/>
    <w:rsid w:val="44C27EF1"/>
    <w:rsid w:val="44C646BA"/>
    <w:rsid w:val="44CE6E4A"/>
    <w:rsid w:val="44D53D34"/>
    <w:rsid w:val="44DD0E3B"/>
    <w:rsid w:val="44DE708D"/>
    <w:rsid w:val="44E346A3"/>
    <w:rsid w:val="44E43456"/>
    <w:rsid w:val="44EC5710"/>
    <w:rsid w:val="44F226F1"/>
    <w:rsid w:val="45062140"/>
    <w:rsid w:val="450D4828"/>
    <w:rsid w:val="45132AAF"/>
    <w:rsid w:val="45154A79"/>
    <w:rsid w:val="452D6EB3"/>
    <w:rsid w:val="453273D9"/>
    <w:rsid w:val="45390767"/>
    <w:rsid w:val="453C0257"/>
    <w:rsid w:val="453E6BD0"/>
    <w:rsid w:val="45444DD9"/>
    <w:rsid w:val="45644BFD"/>
    <w:rsid w:val="456B40B8"/>
    <w:rsid w:val="456F23DB"/>
    <w:rsid w:val="45717A09"/>
    <w:rsid w:val="45774DEB"/>
    <w:rsid w:val="4590094C"/>
    <w:rsid w:val="45912351"/>
    <w:rsid w:val="459736E0"/>
    <w:rsid w:val="459C7046"/>
    <w:rsid w:val="45A02594"/>
    <w:rsid w:val="45A05ABF"/>
    <w:rsid w:val="45A858ED"/>
    <w:rsid w:val="45BD2ADC"/>
    <w:rsid w:val="45BD3146"/>
    <w:rsid w:val="45C06792"/>
    <w:rsid w:val="45C34129"/>
    <w:rsid w:val="45C344D5"/>
    <w:rsid w:val="45CA13BF"/>
    <w:rsid w:val="45D50D6B"/>
    <w:rsid w:val="45D60579"/>
    <w:rsid w:val="45EA380F"/>
    <w:rsid w:val="45F12DF0"/>
    <w:rsid w:val="46080C83"/>
    <w:rsid w:val="460A2104"/>
    <w:rsid w:val="460A3EB2"/>
    <w:rsid w:val="460A698B"/>
    <w:rsid w:val="46146ADE"/>
    <w:rsid w:val="4616546E"/>
    <w:rsid w:val="46177A30"/>
    <w:rsid w:val="46185422"/>
    <w:rsid w:val="4618784F"/>
    <w:rsid w:val="461E795D"/>
    <w:rsid w:val="46236D21"/>
    <w:rsid w:val="46431B88"/>
    <w:rsid w:val="464E003A"/>
    <w:rsid w:val="465810C1"/>
    <w:rsid w:val="465D66D7"/>
    <w:rsid w:val="46625A9C"/>
    <w:rsid w:val="46646A18"/>
    <w:rsid w:val="466C4B8B"/>
    <w:rsid w:val="467174AD"/>
    <w:rsid w:val="467C1557"/>
    <w:rsid w:val="468635C0"/>
    <w:rsid w:val="46887535"/>
    <w:rsid w:val="4691012F"/>
    <w:rsid w:val="469320F9"/>
    <w:rsid w:val="46963997"/>
    <w:rsid w:val="46B04A59"/>
    <w:rsid w:val="46C41B88"/>
    <w:rsid w:val="46C67DD9"/>
    <w:rsid w:val="46C80E82"/>
    <w:rsid w:val="46CB74E1"/>
    <w:rsid w:val="46D22C21"/>
    <w:rsid w:val="46D63D94"/>
    <w:rsid w:val="46EC35B7"/>
    <w:rsid w:val="47046F2B"/>
    <w:rsid w:val="470628CB"/>
    <w:rsid w:val="470B3A79"/>
    <w:rsid w:val="472965B9"/>
    <w:rsid w:val="472B2331"/>
    <w:rsid w:val="473E737F"/>
    <w:rsid w:val="474156B1"/>
    <w:rsid w:val="47482EE3"/>
    <w:rsid w:val="47504E00"/>
    <w:rsid w:val="47507FEA"/>
    <w:rsid w:val="47590C4D"/>
    <w:rsid w:val="475A6773"/>
    <w:rsid w:val="475B1ADC"/>
    <w:rsid w:val="475E2707"/>
    <w:rsid w:val="47653A95"/>
    <w:rsid w:val="4765510B"/>
    <w:rsid w:val="476716B2"/>
    <w:rsid w:val="476B4E24"/>
    <w:rsid w:val="477C493B"/>
    <w:rsid w:val="477E06B3"/>
    <w:rsid w:val="478E6A5A"/>
    <w:rsid w:val="47A10846"/>
    <w:rsid w:val="47A53E92"/>
    <w:rsid w:val="47A76EA6"/>
    <w:rsid w:val="47CC108D"/>
    <w:rsid w:val="47E250E6"/>
    <w:rsid w:val="47E26E94"/>
    <w:rsid w:val="47F24BFD"/>
    <w:rsid w:val="47F6176F"/>
    <w:rsid w:val="47F832DC"/>
    <w:rsid w:val="47FF0EDB"/>
    <w:rsid w:val="480C5CBF"/>
    <w:rsid w:val="481903DC"/>
    <w:rsid w:val="48223734"/>
    <w:rsid w:val="482A25E9"/>
    <w:rsid w:val="48311BC9"/>
    <w:rsid w:val="48313978"/>
    <w:rsid w:val="483F6AC4"/>
    <w:rsid w:val="48406FA3"/>
    <w:rsid w:val="48427933"/>
    <w:rsid w:val="48480CC1"/>
    <w:rsid w:val="48657AC5"/>
    <w:rsid w:val="48710218"/>
    <w:rsid w:val="48730BE1"/>
    <w:rsid w:val="487F2935"/>
    <w:rsid w:val="48802C4C"/>
    <w:rsid w:val="488717E9"/>
    <w:rsid w:val="488A3088"/>
    <w:rsid w:val="488A7772"/>
    <w:rsid w:val="488E26C0"/>
    <w:rsid w:val="4893018E"/>
    <w:rsid w:val="48934632"/>
    <w:rsid w:val="489F0DA6"/>
    <w:rsid w:val="489F2837"/>
    <w:rsid w:val="48A028AB"/>
    <w:rsid w:val="48A04659"/>
    <w:rsid w:val="48AD4B08"/>
    <w:rsid w:val="48B00D40"/>
    <w:rsid w:val="48B16866"/>
    <w:rsid w:val="48B80376"/>
    <w:rsid w:val="48BB1493"/>
    <w:rsid w:val="48BC66EE"/>
    <w:rsid w:val="48BF3AE0"/>
    <w:rsid w:val="48BF71D5"/>
    <w:rsid w:val="48CE7418"/>
    <w:rsid w:val="48D16F09"/>
    <w:rsid w:val="48EC789E"/>
    <w:rsid w:val="48EE62B7"/>
    <w:rsid w:val="48F350D1"/>
    <w:rsid w:val="48F7696F"/>
    <w:rsid w:val="49042E3A"/>
    <w:rsid w:val="49064E04"/>
    <w:rsid w:val="49073758"/>
    <w:rsid w:val="4910085F"/>
    <w:rsid w:val="491237A9"/>
    <w:rsid w:val="4915774C"/>
    <w:rsid w:val="49170DBF"/>
    <w:rsid w:val="491A265E"/>
    <w:rsid w:val="491A440C"/>
    <w:rsid w:val="491B62B8"/>
    <w:rsid w:val="49267254"/>
    <w:rsid w:val="493A3270"/>
    <w:rsid w:val="493F0161"/>
    <w:rsid w:val="49470F79"/>
    <w:rsid w:val="49545B73"/>
    <w:rsid w:val="49555444"/>
    <w:rsid w:val="49564388"/>
    <w:rsid w:val="495711BC"/>
    <w:rsid w:val="495A0CAC"/>
    <w:rsid w:val="49647D7D"/>
    <w:rsid w:val="49675177"/>
    <w:rsid w:val="496B2EB9"/>
    <w:rsid w:val="496D4E83"/>
    <w:rsid w:val="496E3F16"/>
    <w:rsid w:val="496E6505"/>
    <w:rsid w:val="497A118E"/>
    <w:rsid w:val="49902920"/>
    <w:rsid w:val="499B4819"/>
    <w:rsid w:val="49A63EF1"/>
    <w:rsid w:val="49AB59AC"/>
    <w:rsid w:val="49C05CC2"/>
    <w:rsid w:val="49CB3958"/>
    <w:rsid w:val="49D7054F"/>
    <w:rsid w:val="49D722FD"/>
    <w:rsid w:val="49DD71D3"/>
    <w:rsid w:val="49DE7D7D"/>
    <w:rsid w:val="49E07403"/>
    <w:rsid w:val="49E50EBD"/>
    <w:rsid w:val="49ED7DE9"/>
    <w:rsid w:val="49FC1D63"/>
    <w:rsid w:val="49FD0A6D"/>
    <w:rsid w:val="4A0465C0"/>
    <w:rsid w:val="4A126315"/>
    <w:rsid w:val="4A174DEF"/>
    <w:rsid w:val="4A18050E"/>
    <w:rsid w:val="4A196469"/>
    <w:rsid w:val="4A1C41B3"/>
    <w:rsid w:val="4A2117CA"/>
    <w:rsid w:val="4A27142C"/>
    <w:rsid w:val="4A280DAA"/>
    <w:rsid w:val="4A2C2648"/>
    <w:rsid w:val="4A315BE8"/>
    <w:rsid w:val="4A4D21B2"/>
    <w:rsid w:val="4A4F31B4"/>
    <w:rsid w:val="4A554D46"/>
    <w:rsid w:val="4A5751EC"/>
    <w:rsid w:val="4A5D6603"/>
    <w:rsid w:val="4A5E657A"/>
    <w:rsid w:val="4A65590A"/>
    <w:rsid w:val="4A6A13C3"/>
    <w:rsid w:val="4A6F0787"/>
    <w:rsid w:val="4A774DED"/>
    <w:rsid w:val="4A783AE0"/>
    <w:rsid w:val="4A8F77CD"/>
    <w:rsid w:val="4A9D70A2"/>
    <w:rsid w:val="4AA06B93"/>
    <w:rsid w:val="4AA87F75"/>
    <w:rsid w:val="4AA95536"/>
    <w:rsid w:val="4AAC4813"/>
    <w:rsid w:val="4AAE56C3"/>
    <w:rsid w:val="4AB60164"/>
    <w:rsid w:val="4ABA40F8"/>
    <w:rsid w:val="4AC40AD3"/>
    <w:rsid w:val="4AC42881"/>
    <w:rsid w:val="4AD03378"/>
    <w:rsid w:val="4AD50430"/>
    <w:rsid w:val="4AD5598B"/>
    <w:rsid w:val="4AD60806"/>
    <w:rsid w:val="4AD8632C"/>
    <w:rsid w:val="4ADB7BCB"/>
    <w:rsid w:val="4AE47726"/>
    <w:rsid w:val="4AEC1DD8"/>
    <w:rsid w:val="4AFD5D93"/>
    <w:rsid w:val="4B013AD5"/>
    <w:rsid w:val="4B054C48"/>
    <w:rsid w:val="4B074274"/>
    <w:rsid w:val="4B090BDC"/>
    <w:rsid w:val="4B1355B6"/>
    <w:rsid w:val="4B157580"/>
    <w:rsid w:val="4B1A06F3"/>
    <w:rsid w:val="4B2257F9"/>
    <w:rsid w:val="4B2509CF"/>
    <w:rsid w:val="4B271062"/>
    <w:rsid w:val="4B2B2900"/>
    <w:rsid w:val="4B321EE0"/>
    <w:rsid w:val="4B481710"/>
    <w:rsid w:val="4B4A3D5F"/>
    <w:rsid w:val="4B4D5524"/>
    <w:rsid w:val="4B550C98"/>
    <w:rsid w:val="4B585724"/>
    <w:rsid w:val="4B5D54EA"/>
    <w:rsid w:val="4B5E0F27"/>
    <w:rsid w:val="4B5E59BE"/>
    <w:rsid w:val="4B651019"/>
    <w:rsid w:val="4B6C6D81"/>
    <w:rsid w:val="4B6D2534"/>
    <w:rsid w:val="4B702A09"/>
    <w:rsid w:val="4B751DCD"/>
    <w:rsid w:val="4B777639"/>
    <w:rsid w:val="4B7D6ED4"/>
    <w:rsid w:val="4B810B65"/>
    <w:rsid w:val="4B896101"/>
    <w:rsid w:val="4B9366F7"/>
    <w:rsid w:val="4BA83F51"/>
    <w:rsid w:val="4BAE567A"/>
    <w:rsid w:val="4BBE5D32"/>
    <w:rsid w:val="4BC15012"/>
    <w:rsid w:val="4BC94B9E"/>
    <w:rsid w:val="4BF453E8"/>
    <w:rsid w:val="4BFB49C8"/>
    <w:rsid w:val="4BFF5B3B"/>
    <w:rsid w:val="4C005955"/>
    <w:rsid w:val="4C0A4047"/>
    <w:rsid w:val="4C2518F0"/>
    <w:rsid w:val="4C285091"/>
    <w:rsid w:val="4C2E1330"/>
    <w:rsid w:val="4C39104D"/>
    <w:rsid w:val="4C392DFB"/>
    <w:rsid w:val="4C3C0B3D"/>
    <w:rsid w:val="4C3F4944"/>
    <w:rsid w:val="4C46376A"/>
    <w:rsid w:val="4C4C6FD2"/>
    <w:rsid w:val="4C4F261E"/>
    <w:rsid w:val="4C792459"/>
    <w:rsid w:val="4C885B30"/>
    <w:rsid w:val="4C897195"/>
    <w:rsid w:val="4C8A18A8"/>
    <w:rsid w:val="4C8B19C3"/>
    <w:rsid w:val="4C940979"/>
    <w:rsid w:val="4C9444D5"/>
    <w:rsid w:val="4C9628EC"/>
    <w:rsid w:val="4C9919FA"/>
    <w:rsid w:val="4CB94C84"/>
    <w:rsid w:val="4CBC2975"/>
    <w:rsid w:val="4CC21558"/>
    <w:rsid w:val="4CCA5843"/>
    <w:rsid w:val="4CCA6149"/>
    <w:rsid w:val="4CD37C3F"/>
    <w:rsid w:val="4CD44A52"/>
    <w:rsid w:val="4CE216E4"/>
    <w:rsid w:val="4CE86BF8"/>
    <w:rsid w:val="4CEF3CC5"/>
    <w:rsid w:val="4CF21575"/>
    <w:rsid w:val="4CF8290F"/>
    <w:rsid w:val="4D0413E0"/>
    <w:rsid w:val="4D094EC3"/>
    <w:rsid w:val="4D0A4E8A"/>
    <w:rsid w:val="4D1B2FFF"/>
    <w:rsid w:val="4D1D0244"/>
    <w:rsid w:val="4D2B4E39"/>
    <w:rsid w:val="4D2E0486"/>
    <w:rsid w:val="4D332117"/>
    <w:rsid w:val="4D371F6E"/>
    <w:rsid w:val="4D3C320F"/>
    <w:rsid w:val="4D3C7046"/>
    <w:rsid w:val="4D412B24"/>
    <w:rsid w:val="4D534390"/>
    <w:rsid w:val="4D53613E"/>
    <w:rsid w:val="4D565C2E"/>
    <w:rsid w:val="4D57111C"/>
    <w:rsid w:val="4D590B34"/>
    <w:rsid w:val="4D5B4FF3"/>
    <w:rsid w:val="4D601BA2"/>
    <w:rsid w:val="4D673998"/>
    <w:rsid w:val="4D69478A"/>
    <w:rsid w:val="4D6B295C"/>
    <w:rsid w:val="4D6D5452"/>
    <w:rsid w:val="4D764292"/>
    <w:rsid w:val="4D7D4BA4"/>
    <w:rsid w:val="4D806B73"/>
    <w:rsid w:val="4D972310"/>
    <w:rsid w:val="4D9E1AAF"/>
    <w:rsid w:val="4DB210B7"/>
    <w:rsid w:val="4DB82F2D"/>
    <w:rsid w:val="4DCB2178"/>
    <w:rsid w:val="4DCB659C"/>
    <w:rsid w:val="4DDA060D"/>
    <w:rsid w:val="4DDB6F58"/>
    <w:rsid w:val="4DE82D2A"/>
    <w:rsid w:val="4DEC6366"/>
    <w:rsid w:val="4DFA480C"/>
    <w:rsid w:val="4E127DA7"/>
    <w:rsid w:val="4E21623C"/>
    <w:rsid w:val="4E2A3474"/>
    <w:rsid w:val="4E366033"/>
    <w:rsid w:val="4E3A10AC"/>
    <w:rsid w:val="4E3B3EF4"/>
    <w:rsid w:val="4E3F7A75"/>
    <w:rsid w:val="4E41262D"/>
    <w:rsid w:val="4E473EF5"/>
    <w:rsid w:val="4E50267E"/>
    <w:rsid w:val="4E5263F6"/>
    <w:rsid w:val="4E557C94"/>
    <w:rsid w:val="4E69016F"/>
    <w:rsid w:val="4E736479"/>
    <w:rsid w:val="4E76453E"/>
    <w:rsid w:val="4E7925E9"/>
    <w:rsid w:val="4E821D07"/>
    <w:rsid w:val="4E872543"/>
    <w:rsid w:val="4E8A3DE2"/>
    <w:rsid w:val="4E8C7B5A"/>
    <w:rsid w:val="4E915170"/>
    <w:rsid w:val="4E9C29A0"/>
    <w:rsid w:val="4EA330F5"/>
    <w:rsid w:val="4EA824BA"/>
    <w:rsid w:val="4EAA4484"/>
    <w:rsid w:val="4EAD7AD0"/>
    <w:rsid w:val="4EB26E94"/>
    <w:rsid w:val="4EB62A4C"/>
    <w:rsid w:val="4EC56BC8"/>
    <w:rsid w:val="4ECC43FA"/>
    <w:rsid w:val="4ED212E5"/>
    <w:rsid w:val="4EDF3BDA"/>
    <w:rsid w:val="4EE01C53"/>
    <w:rsid w:val="4EEC013E"/>
    <w:rsid w:val="4EF23735"/>
    <w:rsid w:val="4F02606E"/>
    <w:rsid w:val="4F0F42E7"/>
    <w:rsid w:val="4F1D2EA8"/>
    <w:rsid w:val="4F20198E"/>
    <w:rsid w:val="4F232EFB"/>
    <w:rsid w:val="4F293B0A"/>
    <w:rsid w:val="4F2F2C5D"/>
    <w:rsid w:val="4F343D4D"/>
    <w:rsid w:val="4F3458E3"/>
    <w:rsid w:val="4F361873"/>
    <w:rsid w:val="4F385221"/>
    <w:rsid w:val="4F3A05CC"/>
    <w:rsid w:val="4F3F252F"/>
    <w:rsid w:val="4F440434"/>
    <w:rsid w:val="4F4915A7"/>
    <w:rsid w:val="4F493C9D"/>
    <w:rsid w:val="4F4E3061"/>
    <w:rsid w:val="4F5A3A1B"/>
    <w:rsid w:val="4F610FE6"/>
    <w:rsid w:val="4F625ED1"/>
    <w:rsid w:val="4F626B0C"/>
    <w:rsid w:val="4F6913AA"/>
    <w:rsid w:val="4F7725B8"/>
    <w:rsid w:val="4F7C18C3"/>
    <w:rsid w:val="4F821549"/>
    <w:rsid w:val="4F8922EB"/>
    <w:rsid w:val="4F8D236E"/>
    <w:rsid w:val="4F974A08"/>
    <w:rsid w:val="4F9842DC"/>
    <w:rsid w:val="4F9C3DCC"/>
    <w:rsid w:val="4FA2515B"/>
    <w:rsid w:val="4FA47125"/>
    <w:rsid w:val="4FAE41FF"/>
    <w:rsid w:val="4FB05A0F"/>
    <w:rsid w:val="4FB530E0"/>
    <w:rsid w:val="4FB54E8E"/>
    <w:rsid w:val="4FC96B8B"/>
    <w:rsid w:val="4FCA0E8E"/>
    <w:rsid w:val="4FD6108E"/>
    <w:rsid w:val="4FDA072A"/>
    <w:rsid w:val="4FE439C5"/>
    <w:rsid w:val="4FEF6D5E"/>
    <w:rsid w:val="4FF56F4C"/>
    <w:rsid w:val="50013BA7"/>
    <w:rsid w:val="500B2D00"/>
    <w:rsid w:val="50106568"/>
    <w:rsid w:val="50207FEA"/>
    <w:rsid w:val="502803A8"/>
    <w:rsid w:val="50281B04"/>
    <w:rsid w:val="502B0E06"/>
    <w:rsid w:val="502F5D8C"/>
    <w:rsid w:val="50324731"/>
    <w:rsid w:val="50361743"/>
    <w:rsid w:val="50485944"/>
    <w:rsid w:val="504A3013"/>
    <w:rsid w:val="504A7CCC"/>
    <w:rsid w:val="5051105B"/>
    <w:rsid w:val="505F132B"/>
    <w:rsid w:val="50610B72"/>
    <w:rsid w:val="50680152"/>
    <w:rsid w:val="506833B0"/>
    <w:rsid w:val="506B7C43"/>
    <w:rsid w:val="5075388B"/>
    <w:rsid w:val="50754620"/>
    <w:rsid w:val="50796EFC"/>
    <w:rsid w:val="507B7EDB"/>
    <w:rsid w:val="507C3BFE"/>
    <w:rsid w:val="508573C0"/>
    <w:rsid w:val="508A4202"/>
    <w:rsid w:val="508B2683"/>
    <w:rsid w:val="508F43B1"/>
    <w:rsid w:val="50913377"/>
    <w:rsid w:val="50923421"/>
    <w:rsid w:val="509C0C01"/>
    <w:rsid w:val="509C1BAA"/>
    <w:rsid w:val="50A2025D"/>
    <w:rsid w:val="50B25872"/>
    <w:rsid w:val="50C01D3C"/>
    <w:rsid w:val="50CD6207"/>
    <w:rsid w:val="50D4498F"/>
    <w:rsid w:val="50D77086"/>
    <w:rsid w:val="50EE4AFC"/>
    <w:rsid w:val="50F419E6"/>
    <w:rsid w:val="50F934A0"/>
    <w:rsid w:val="50FD4D3F"/>
    <w:rsid w:val="5105706C"/>
    <w:rsid w:val="51172EEC"/>
    <w:rsid w:val="51281690"/>
    <w:rsid w:val="51426BF5"/>
    <w:rsid w:val="51532BB1"/>
    <w:rsid w:val="5153495F"/>
    <w:rsid w:val="5153670D"/>
    <w:rsid w:val="5157256E"/>
    <w:rsid w:val="51581F75"/>
    <w:rsid w:val="51600E2A"/>
    <w:rsid w:val="5167665C"/>
    <w:rsid w:val="51676A05"/>
    <w:rsid w:val="516C3DC9"/>
    <w:rsid w:val="516C77CE"/>
    <w:rsid w:val="51705511"/>
    <w:rsid w:val="51752B27"/>
    <w:rsid w:val="517843C5"/>
    <w:rsid w:val="51786173"/>
    <w:rsid w:val="51860776"/>
    <w:rsid w:val="519B00B4"/>
    <w:rsid w:val="51A65CDA"/>
    <w:rsid w:val="51A74CAA"/>
    <w:rsid w:val="51B9766F"/>
    <w:rsid w:val="51BA2C30"/>
    <w:rsid w:val="51BF3DA2"/>
    <w:rsid w:val="51C21AE4"/>
    <w:rsid w:val="51C92E73"/>
    <w:rsid w:val="51CD2963"/>
    <w:rsid w:val="51D35A9F"/>
    <w:rsid w:val="51D60B8B"/>
    <w:rsid w:val="51E63A25"/>
    <w:rsid w:val="51E753DE"/>
    <w:rsid w:val="51E952C3"/>
    <w:rsid w:val="51EE6A9B"/>
    <w:rsid w:val="51F24A72"/>
    <w:rsid w:val="51FB0B52"/>
    <w:rsid w:val="51FD48CA"/>
    <w:rsid w:val="51FF7392"/>
    <w:rsid w:val="520B3C6B"/>
    <w:rsid w:val="521F3DAB"/>
    <w:rsid w:val="52225C90"/>
    <w:rsid w:val="52253DB2"/>
    <w:rsid w:val="523339D1"/>
    <w:rsid w:val="523522B6"/>
    <w:rsid w:val="523E4987"/>
    <w:rsid w:val="524076F7"/>
    <w:rsid w:val="524721A3"/>
    <w:rsid w:val="524E3378"/>
    <w:rsid w:val="525E35BB"/>
    <w:rsid w:val="52662470"/>
    <w:rsid w:val="526828D5"/>
    <w:rsid w:val="526D6615"/>
    <w:rsid w:val="52706119"/>
    <w:rsid w:val="528462C2"/>
    <w:rsid w:val="528821DA"/>
    <w:rsid w:val="528F18AE"/>
    <w:rsid w:val="52952D55"/>
    <w:rsid w:val="52B14EF5"/>
    <w:rsid w:val="52D826EB"/>
    <w:rsid w:val="52D90056"/>
    <w:rsid w:val="52DD4E28"/>
    <w:rsid w:val="52E87CE0"/>
    <w:rsid w:val="52E90AA4"/>
    <w:rsid w:val="52ED0DE3"/>
    <w:rsid w:val="52FF42C9"/>
    <w:rsid w:val="53041EA4"/>
    <w:rsid w:val="53065A01"/>
    <w:rsid w:val="530E623B"/>
    <w:rsid w:val="53114AD1"/>
    <w:rsid w:val="53130849"/>
    <w:rsid w:val="5314255F"/>
    <w:rsid w:val="531B0A48"/>
    <w:rsid w:val="531B5950"/>
    <w:rsid w:val="531D5224"/>
    <w:rsid w:val="53285977"/>
    <w:rsid w:val="532A5B93"/>
    <w:rsid w:val="532D1216"/>
    <w:rsid w:val="532F31A9"/>
    <w:rsid w:val="53332C9A"/>
    <w:rsid w:val="533F163E"/>
    <w:rsid w:val="534D53DE"/>
    <w:rsid w:val="534F5434"/>
    <w:rsid w:val="53530C46"/>
    <w:rsid w:val="5354676C"/>
    <w:rsid w:val="5359507A"/>
    <w:rsid w:val="535B7AFB"/>
    <w:rsid w:val="535D1AC5"/>
    <w:rsid w:val="53654017"/>
    <w:rsid w:val="536A40CE"/>
    <w:rsid w:val="536D60B7"/>
    <w:rsid w:val="537868FE"/>
    <w:rsid w:val="537A08C9"/>
    <w:rsid w:val="537A66CA"/>
    <w:rsid w:val="537A68E4"/>
    <w:rsid w:val="53852FDB"/>
    <w:rsid w:val="53875767"/>
    <w:rsid w:val="538E1256"/>
    <w:rsid w:val="53986FA1"/>
    <w:rsid w:val="53A218EC"/>
    <w:rsid w:val="53A21BCD"/>
    <w:rsid w:val="53BD07B5"/>
    <w:rsid w:val="53BD2563"/>
    <w:rsid w:val="53C438F2"/>
    <w:rsid w:val="53D0673A"/>
    <w:rsid w:val="53D63625"/>
    <w:rsid w:val="53DE0596"/>
    <w:rsid w:val="53E15D5C"/>
    <w:rsid w:val="53E53868"/>
    <w:rsid w:val="53E977FC"/>
    <w:rsid w:val="53F05CA0"/>
    <w:rsid w:val="53F266B1"/>
    <w:rsid w:val="53FC2179"/>
    <w:rsid w:val="54082064"/>
    <w:rsid w:val="540A65D8"/>
    <w:rsid w:val="540C383F"/>
    <w:rsid w:val="54161C73"/>
    <w:rsid w:val="54177EC5"/>
    <w:rsid w:val="54237A21"/>
    <w:rsid w:val="54295E4B"/>
    <w:rsid w:val="54324CFF"/>
    <w:rsid w:val="54331A41"/>
    <w:rsid w:val="54427E9B"/>
    <w:rsid w:val="54493281"/>
    <w:rsid w:val="54532EC8"/>
    <w:rsid w:val="54574766"/>
    <w:rsid w:val="545E47A4"/>
    <w:rsid w:val="545F186C"/>
    <w:rsid w:val="545F7ABE"/>
    <w:rsid w:val="546450D5"/>
    <w:rsid w:val="546926EB"/>
    <w:rsid w:val="546E4C65"/>
    <w:rsid w:val="547A0454"/>
    <w:rsid w:val="54815580"/>
    <w:rsid w:val="54817A35"/>
    <w:rsid w:val="548F08CC"/>
    <w:rsid w:val="54901A26"/>
    <w:rsid w:val="5492579E"/>
    <w:rsid w:val="54947768"/>
    <w:rsid w:val="5495528E"/>
    <w:rsid w:val="54977258"/>
    <w:rsid w:val="54A0435F"/>
    <w:rsid w:val="54A61249"/>
    <w:rsid w:val="54A6749B"/>
    <w:rsid w:val="54A83213"/>
    <w:rsid w:val="54AE00FE"/>
    <w:rsid w:val="54AF45A2"/>
    <w:rsid w:val="54BC281B"/>
    <w:rsid w:val="54C32879"/>
    <w:rsid w:val="54CA7E8F"/>
    <w:rsid w:val="54DA63E6"/>
    <w:rsid w:val="54E029AD"/>
    <w:rsid w:val="54E30E33"/>
    <w:rsid w:val="54E34DC8"/>
    <w:rsid w:val="54E57FC4"/>
    <w:rsid w:val="54EA382C"/>
    <w:rsid w:val="54F75FEC"/>
    <w:rsid w:val="550541C2"/>
    <w:rsid w:val="550D3076"/>
    <w:rsid w:val="5510166D"/>
    <w:rsid w:val="55202DAA"/>
    <w:rsid w:val="55236BAC"/>
    <w:rsid w:val="552D54C7"/>
    <w:rsid w:val="55320D2F"/>
    <w:rsid w:val="55323A16"/>
    <w:rsid w:val="55326F81"/>
    <w:rsid w:val="55384597"/>
    <w:rsid w:val="553B7BE4"/>
    <w:rsid w:val="553E5926"/>
    <w:rsid w:val="55505ADB"/>
    <w:rsid w:val="55565613"/>
    <w:rsid w:val="55652EB2"/>
    <w:rsid w:val="556829A3"/>
    <w:rsid w:val="556A2277"/>
    <w:rsid w:val="55710B36"/>
    <w:rsid w:val="557318DD"/>
    <w:rsid w:val="557650C0"/>
    <w:rsid w:val="55766E6E"/>
    <w:rsid w:val="557D644E"/>
    <w:rsid w:val="55841841"/>
    <w:rsid w:val="55853EE6"/>
    <w:rsid w:val="55911EF9"/>
    <w:rsid w:val="55915A56"/>
    <w:rsid w:val="559B68D4"/>
    <w:rsid w:val="55A52CFC"/>
    <w:rsid w:val="55B45371"/>
    <w:rsid w:val="55B6700A"/>
    <w:rsid w:val="55B834A5"/>
    <w:rsid w:val="55B96B4F"/>
    <w:rsid w:val="55BD2CCA"/>
    <w:rsid w:val="55BF2BBE"/>
    <w:rsid w:val="55C67DF5"/>
    <w:rsid w:val="55C776C9"/>
    <w:rsid w:val="55C93441"/>
    <w:rsid w:val="55EA33B8"/>
    <w:rsid w:val="55EE10FA"/>
    <w:rsid w:val="55EF6B66"/>
    <w:rsid w:val="55F51857"/>
    <w:rsid w:val="55F83D27"/>
    <w:rsid w:val="55FD133D"/>
    <w:rsid w:val="56020701"/>
    <w:rsid w:val="56061EE3"/>
    <w:rsid w:val="56101070"/>
    <w:rsid w:val="5613290E"/>
    <w:rsid w:val="561510AB"/>
    <w:rsid w:val="56156687"/>
    <w:rsid w:val="5625391C"/>
    <w:rsid w:val="562B7C58"/>
    <w:rsid w:val="5634734A"/>
    <w:rsid w:val="563D5BDD"/>
    <w:rsid w:val="56440D1A"/>
    <w:rsid w:val="56552F27"/>
    <w:rsid w:val="56570A4D"/>
    <w:rsid w:val="56576C9F"/>
    <w:rsid w:val="565D3B8A"/>
    <w:rsid w:val="56673B32"/>
    <w:rsid w:val="56682C5A"/>
    <w:rsid w:val="566B2DA0"/>
    <w:rsid w:val="56786C15"/>
    <w:rsid w:val="56813D1C"/>
    <w:rsid w:val="56830993"/>
    <w:rsid w:val="5685728D"/>
    <w:rsid w:val="56A1616C"/>
    <w:rsid w:val="56A97609"/>
    <w:rsid w:val="56B063AF"/>
    <w:rsid w:val="56B37C4E"/>
    <w:rsid w:val="56B90731"/>
    <w:rsid w:val="56BA0FDC"/>
    <w:rsid w:val="56C15EAB"/>
    <w:rsid w:val="56CB3E6B"/>
    <w:rsid w:val="56CD51B3"/>
    <w:rsid w:val="56D4209E"/>
    <w:rsid w:val="56D71B8E"/>
    <w:rsid w:val="56DB248B"/>
    <w:rsid w:val="56DC2DBE"/>
    <w:rsid w:val="56E8633F"/>
    <w:rsid w:val="56EA18C1"/>
    <w:rsid w:val="56EB73E7"/>
    <w:rsid w:val="56EC4C3F"/>
    <w:rsid w:val="56F1568B"/>
    <w:rsid w:val="56F95FA8"/>
    <w:rsid w:val="5705494D"/>
    <w:rsid w:val="570D735E"/>
    <w:rsid w:val="570E1063"/>
    <w:rsid w:val="57122BC6"/>
    <w:rsid w:val="5716377B"/>
    <w:rsid w:val="5717642E"/>
    <w:rsid w:val="571921A6"/>
    <w:rsid w:val="572172AD"/>
    <w:rsid w:val="572841C2"/>
    <w:rsid w:val="57303F87"/>
    <w:rsid w:val="573040C1"/>
    <w:rsid w:val="57340290"/>
    <w:rsid w:val="573C52EA"/>
    <w:rsid w:val="573C5E95"/>
    <w:rsid w:val="57413D79"/>
    <w:rsid w:val="57462C88"/>
    <w:rsid w:val="574865E8"/>
    <w:rsid w:val="57491551"/>
    <w:rsid w:val="575431DF"/>
    <w:rsid w:val="57566F57"/>
    <w:rsid w:val="576A0C54"/>
    <w:rsid w:val="57715B3F"/>
    <w:rsid w:val="5776330A"/>
    <w:rsid w:val="577B44C4"/>
    <w:rsid w:val="577F494E"/>
    <w:rsid w:val="5780538F"/>
    <w:rsid w:val="578137B9"/>
    <w:rsid w:val="578A6C00"/>
    <w:rsid w:val="578F06BB"/>
    <w:rsid w:val="57961A49"/>
    <w:rsid w:val="579A4E6D"/>
    <w:rsid w:val="579D6934"/>
    <w:rsid w:val="57A06BB4"/>
    <w:rsid w:val="57A203EE"/>
    <w:rsid w:val="57AD28EF"/>
    <w:rsid w:val="57AE6D93"/>
    <w:rsid w:val="57B2707B"/>
    <w:rsid w:val="57B974E6"/>
    <w:rsid w:val="57BC2B32"/>
    <w:rsid w:val="57BC3F3F"/>
    <w:rsid w:val="57BD0D84"/>
    <w:rsid w:val="57C2283E"/>
    <w:rsid w:val="57C57C38"/>
    <w:rsid w:val="57CD0385"/>
    <w:rsid w:val="57D3476C"/>
    <w:rsid w:val="57D52571"/>
    <w:rsid w:val="57D85BBE"/>
    <w:rsid w:val="57D90823"/>
    <w:rsid w:val="57DD4A12"/>
    <w:rsid w:val="57E551E1"/>
    <w:rsid w:val="57EC1669"/>
    <w:rsid w:val="57ED39CE"/>
    <w:rsid w:val="57F8407B"/>
    <w:rsid w:val="58013512"/>
    <w:rsid w:val="5806097D"/>
    <w:rsid w:val="58156E12"/>
    <w:rsid w:val="58243B3B"/>
    <w:rsid w:val="5826579E"/>
    <w:rsid w:val="58313520"/>
    <w:rsid w:val="58366D88"/>
    <w:rsid w:val="583B084D"/>
    <w:rsid w:val="583C6E9C"/>
    <w:rsid w:val="5841373E"/>
    <w:rsid w:val="58443231"/>
    <w:rsid w:val="584C2108"/>
    <w:rsid w:val="585C4500"/>
    <w:rsid w:val="585F62DF"/>
    <w:rsid w:val="586D09FC"/>
    <w:rsid w:val="586E207E"/>
    <w:rsid w:val="58767185"/>
    <w:rsid w:val="588009C9"/>
    <w:rsid w:val="588D2A5C"/>
    <w:rsid w:val="5896236C"/>
    <w:rsid w:val="589B7C31"/>
    <w:rsid w:val="58A65CBC"/>
    <w:rsid w:val="58AD6B8A"/>
    <w:rsid w:val="58B303D9"/>
    <w:rsid w:val="58B74512"/>
    <w:rsid w:val="58B877FB"/>
    <w:rsid w:val="58BD6B62"/>
    <w:rsid w:val="58C731C8"/>
    <w:rsid w:val="58D3390A"/>
    <w:rsid w:val="58D75E75"/>
    <w:rsid w:val="58DE7204"/>
    <w:rsid w:val="58E77D37"/>
    <w:rsid w:val="58EB7B73"/>
    <w:rsid w:val="58EC767B"/>
    <w:rsid w:val="58F307D5"/>
    <w:rsid w:val="58F702C5"/>
    <w:rsid w:val="58FA1B64"/>
    <w:rsid w:val="590C105F"/>
    <w:rsid w:val="59146777"/>
    <w:rsid w:val="59195AD7"/>
    <w:rsid w:val="591D3FDD"/>
    <w:rsid w:val="5926708E"/>
    <w:rsid w:val="592836CB"/>
    <w:rsid w:val="592941F7"/>
    <w:rsid w:val="592A2449"/>
    <w:rsid w:val="59305585"/>
    <w:rsid w:val="593D7F9E"/>
    <w:rsid w:val="593E5EF4"/>
    <w:rsid w:val="59451562"/>
    <w:rsid w:val="594A21B8"/>
    <w:rsid w:val="594A4899"/>
    <w:rsid w:val="59554FEC"/>
    <w:rsid w:val="59561A02"/>
    <w:rsid w:val="595B0854"/>
    <w:rsid w:val="595C79E9"/>
    <w:rsid w:val="59747B68"/>
    <w:rsid w:val="598853C1"/>
    <w:rsid w:val="598F0CFC"/>
    <w:rsid w:val="599713BB"/>
    <w:rsid w:val="59975DEC"/>
    <w:rsid w:val="5999137D"/>
    <w:rsid w:val="599D0CFA"/>
    <w:rsid w:val="599E5E1E"/>
    <w:rsid w:val="59A044B9"/>
    <w:rsid w:val="59A71856"/>
    <w:rsid w:val="59AA5338"/>
    <w:rsid w:val="59B30690"/>
    <w:rsid w:val="59B65477"/>
    <w:rsid w:val="59BE0F4B"/>
    <w:rsid w:val="59C04B5B"/>
    <w:rsid w:val="59C3202D"/>
    <w:rsid w:val="59C96C43"/>
    <w:rsid w:val="59D321AB"/>
    <w:rsid w:val="59D800F7"/>
    <w:rsid w:val="59EF552F"/>
    <w:rsid w:val="59F667CF"/>
    <w:rsid w:val="5A04713E"/>
    <w:rsid w:val="5A0A04CC"/>
    <w:rsid w:val="5A146EB6"/>
    <w:rsid w:val="5A167477"/>
    <w:rsid w:val="5A1E59D0"/>
    <w:rsid w:val="5A2055FA"/>
    <w:rsid w:val="5A225816"/>
    <w:rsid w:val="5A24333C"/>
    <w:rsid w:val="5A3458E5"/>
    <w:rsid w:val="5A3463F7"/>
    <w:rsid w:val="5A396CCA"/>
    <w:rsid w:val="5A47153A"/>
    <w:rsid w:val="5A4C39FF"/>
    <w:rsid w:val="5A513A05"/>
    <w:rsid w:val="5A524BA3"/>
    <w:rsid w:val="5A555DDB"/>
    <w:rsid w:val="5A5F6122"/>
    <w:rsid w:val="5A7F2242"/>
    <w:rsid w:val="5A821E11"/>
    <w:rsid w:val="5A845B89"/>
    <w:rsid w:val="5A917CEF"/>
    <w:rsid w:val="5A957D96"/>
    <w:rsid w:val="5A9F29C3"/>
    <w:rsid w:val="5AA004E9"/>
    <w:rsid w:val="5AA532B9"/>
    <w:rsid w:val="5AAD1584"/>
    <w:rsid w:val="5AB3646E"/>
    <w:rsid w:val="5AC32B55"/>
    <w:rsid w:val="5AC358C6"/>
    <w:rsid w:val="5ACD5782"/>
    <w:rsid w:val="5AD20125"/>
    <w:rsid w:val="5AD219E7"/>
    <w:rsid w:val="5AD7215D"/>
    <w:rsid w:val="5ADA1C4D"/>
    <w:rsid w:val="5ADD34EB"/>
    <w:rsid w:val="5AE05C2A"/>
    <w:rsid w:val="5AE54742"/>
    <w:rsid w:val="5AE84EED"/>
    <w:rsid w:val="5AEB5C08"/>
    <w:rsid w:val="5AF32D0E"/>
    <w:rsid w:val="5AF936AA"/>
    <w:rsid w:val="5AFB6818"/>
    <w:rsid w:val="5AFC2BC4"/>
    <w:rsid w:val="5AFC3F46"/>
    <w:rsid w:val="5AFC6067"/>
    <w:rsid w:val="5B046CCA"/>
    <w:rsid w:val="5B12588A"/>
    <w:rsid w:val="5B2335F4"/>
    <w:rsid w:val="5B2568B5"/>
    <w:rsid w:val="5B2925B7"/>
    <w:rsid w:val="5B2D6220"/>
    <w:rsid w:val="5B2F1F99"/>
    <w:rsid w:val="5B357FDB"/>
    <w:rsid w:val="5B414B3D"/>
    <w:rsid w:val="5B441028"/>
    <w:rsid w:val="5B61411C"/>
    <w:rsid w:val="5B6339F0"/>
    <w:rsid w:val="5B640969"/>
    <w:rsid w:val="5B767BC7"/>
    <w:rsid w:val="5B863B83"/>
    <w:rsid w:val="5B8F6EDB"/>
    <w:rsid w:val="5B9067AF"/>
    <w:rsid w:val="5BA364E3"/>
    <w:rsid w:val="5BA858A7"/>
    <w:rsid w:val="5BAC183B"/>
    <w:rsid w:val="5BAF2904"/>
    <w:rsid w:val="5BB10BFF"/>
    <w:rsid w:val="5BB406F0"/>
    <w:rsid w:val="5BC9356F"/>
    <w:rsid w:val="5BD0244E"/>
    <w:rsid w:val="5BDB2ABC"/>
    <w:rsid w:val="5BDE22F1"/>
    <w:rsid w:val="5BDE576D"/>
    <w:rsid w:val="5BE15A6C"/>
    <w:rsid w:val="5BE7612C"/>
    <w:rsid w:val="5BFB65EE"/>
    <w:rsid w:val="5BFE7BBD"/>
    <w:rsid w:val="5C052CF9"/>
    <w:rsid w:val="5C0E6052"/>
    <w:rsid w:val="5C110814"/>
    <w:rsid w:val="5C1777E5"/>
    <w:rsid w:val="5C2313A4"/>
    <w:rsid w:val="5C2869E8"/>
    <w:rsid w:val="5C2B3E67"/>
    <w:rsid w:val="5C3203B5"/>
    <w:rsid w:val="5C383F59"/>
    <w:rsid w:val="5C3E7FB9"/>
    <w:rsid w:val="5C451348"/>
    <w:rsid w:val="5C545A2F"/>
    <w:rsid w:val="5C553C81"/>
    <w:rsid w:val="5C566D9D"/>
    <w:rsid w:val="5C642943"/>
    <w:rsid w:val="5C735EB5"/>
    <w:rsid w:val="5C757E7F"/>
    <w:rsid w:val="5C82434A"/>
    <w:rsid w:val="5C8A3A2B"/>
    <w:rsid w:val="5C8C6A72"/>
    <w:rsid w:val="5C95407D"/>
    <w:rsid w:val="5C9D7700"/>
    <w:rsid w:val="5CAE3391"/>
    <w:rsid w:val="5CBC5AAE"/>
    <w:rsid w:val="5CBE58EF"/>
    <w:rsid w:val="5CC26E3C"/>
    <w:rsid w:val="5CE2303B"/>
    <w:rsid w:val="5CEC27D4"/>
    <w:rsid w:val="5CF214D0"/>
    <w:rsid w:val="5D02548B"/>
    <w:rsid w:val="5D027239"/>
    <w:rsid w:val="5D057255"/>
    <w:rsid w:val="5D086F45"/>
    <w:rsid w:val="5D0E3E30"/>
    <w:rsid w:val="5D1D2AEE"/>
    <w:rsid w:val="5D1D693C"/>
    <w:rsid w:val="5D283143"/>
    <w:rsid w:val="5D2F06B6"/>
    <w:rsid w:val="5D2F55D3"/>
    <w:rsid w:val="5D380EAD"/>
    <w:rsid w:val="5D431D2B"/>
    <w:rsid w:val="5D4A43BB"/>
    <w:rsid w:val="5D4F5A01"/>
    <w:rsid w:val="5D710FFB"/>
    <w:rsid w:val="5D8440F2"/>
    <w:rsid w:val="5D845EA0"/>
    <w:rsid w:val="5D916F3A"/>
    <w:rsid w:val="5D9212DA"/>
    <w:rsid w:val="5D92680F"/>
    <w:rsid w:val="5D942587"/>
    <w:rsid w:val="5D95403F"/>
    <w:rsid w:val="5D9562FF"/>
    <w:rsid w:val="5D96218F"/>
    <w:rsid w:val="5D98137A"/>
    <w:rsid w:val="5DB629CB"/>
    <w:rsid w:val="5DBE13B2"/>
    <w:rsid w:val="5DD22C6C"/>
    <w:rsid w:val="5DD92690"/>
    <w:rsid w:val="5DE23FD9"/>
    <w:rsid w:val="5DEF0BB6"/>
    <w:rsid w:val="5DEF3B6F"/>
    <w:rsid w:val="5DF03535"/>
    <w:rsid w:val="5DF254FF"/>
    <w:rsid w:val="5DF272AD"/>
    <w:rsid w:val="5DF5601D"/>
    <w:rsid w:val="5DFB0858"/>
    <w:rsid w:val="5DFB3F5C"/>
    <w:rsid w:val="5E0336F0"/>
    <w:rsid w:val="5E0425CB"/>
    <w:rsid w:val="5E124CBD"/>
    <w:rsid w:val="5E127950"/>
    <w:rsid w:val="5E1C667C"/>
    <w:rsid w:val="5E341674"/>
    <w:rsid w:val="5E343D6A"/>
    <w:rsid w:val="5E371164"/>
    <w:rsid w:val="5E3D2C1E"/>
    <w:rsid w:val="5E3D49CC"/>
    <w:rsid w:val="5E4028B4"/>
    <w:rsid w:val="5E4A0E97"/>
    <w:rsid w:val="5E4A5584"/>
    <w:rsid w:val="5E4F4700"/>
    <w:rsid w:val="5E56783C"/>
    <w:rsid w:val="5E5B4E53"/>
    <w:rsid w:val="5E5D715C"/>
    <w:rsid w:val="5E693A13"/>
    <w:rsid w:val="5E84084D"/>
    <w:rsid w:val="5E8C1721"/>
    <w:rsid w:val="5E966101"/>
    <w:rsid w:val="5E99597B"/>
    <w:rsid w:val="5E9F5BCB"/>
    <w:rsid w:val="5EC724E8"/>
    <w:rsid w:val="5EE50BC0"/>
    <w:rsid w:val="5EE57DEF"/>
    <w:rsid w:val="5EE66E12"/>
    <w:rsid w:val="5EE81D52"/>
    <w:rsid w:val="5EFD5F0A"/>
    <w:rsid w:val="5F013C4C"/>
    <w:rsid w:val="5F0E0117"/>
    <w:rsid w:val="5F261904"/>
    <w:rsid w:val="5F281659"/>
    <w:rsid w:val="5F296CFF"/>
    <w:rsid w:val="5F34047C"/>
    <w:rsid w:val="5F365BD0"/>
    <w:rsid w:val="5F3A1923"/>
    <w:rsid w:val="5F445894"/>
    <w:rsid w:val="5F526256"/>
    <w:rsid w:val="5F5F0972"/>
    <w:rsid w:val="5F612CD8"/>
    <w:rsid w:val="5F7268F8"/>
    <w:rsid w:val="5F787A07"/>
    <w:rsid w:val="5F8D3732"/>
    <w:rsid w:val="5F98434D"/>
    <w:rsid w:val="5F9F5213"/>
    <w:rsid w:val="5FA12D39"/>
    <w:rsid w:val="5FA665A1"/>
    <w:rsid w:val="5FAB515C"/>
    <w:rsid w:val="5FAD16DE"/>
    <w:rsid w:val="5FB07420"/>
    <w:rsid w:val="5FB615B7"/>
    <w:rsid w:val="5FB81897"/>
    <w:rsid w:val="5FBF7663"/>
    <w:rsid w:val="5FC03B07"/>
    <w:rsid w:val="5FCB78EA"/>
    <w:rsid w:val="5FCF78A6"/>
    <w:rsid w:val="5FD36CE2"/>
    <w:rsid w:val="5FD62FB0"/>
    <w:rsid w:val="5FE568F1"/>
    <w:rsid w:val="5FE67C6F"/>
    <w:rsid w:val="5FF1460C"/>
    <w:rsid w:val="600339F4"/>
    <w:rsid w:val="60042C6A"/>
    <w:rsid w:val="600E398F"/>
    <w:rsid w:val="60167A2E"/>
    <w:rsid w:val="6017124D"/>
    <w:rsid w:val="601A0A51"/>
    <w:rsid w:val="601E25DC"/>
    <w:rsid w:val="60237BF2"/>
    <w:rsid w:val="602A71D2"/>
    <w:rsid w:val="602C2DC4"/>
    <w:rsid w:val="602F17E7"/>
    <w:rsid w:val="603D7BC0"/>
    <w:rsid w:val="604069F6"/>
    <w:rsid w:val="60435F86"/>
    <w:rsid w:val="6045400C"/>
    <w:rsid w:val="606049A2"/>
    <w:rsid w:val="60806DF2"/>
    <w:rsid w:val="60864B16"/>
    <w:rsid w:val="608C39E9"/>
    <w:rsid w:val="6094289E"/>
    <w:rsid w:val="60950994"/>
    <w:rsid w:val="60964868"/>
    <w:rsid w:val="609A21B5"/>
    <w:rsid w:val="609F196E"/>
    <w:rsid w:val="60A54AAB"/>
    <w:rsid w:val="60AD5D77"/>
    <w:rsid w:val="60B82A30"/>
    <w:rsid w:val="60BB607C"/>
    <w:rsid w:val="60DB04CD"/>
    <w:rsid w:val="60DF620F"/>
    <w:rsid w:val="60EB1E1F"/>
    <w:rsid w:val="60F375C4"/>
    <w:rsid w:val="60F55D38"/>
    <w:rsid w:val="60FB0B6F"/>
    <w:rsid w:val="60FF23CF"/>
    <w:rsid w:val="60FF240D"/>
    <w:rsid w:val="61045C75"/>
    <w:rsid w:val="6109503A"/>
    <w:rsid w:val="610D0C72"/>
    <w:rsid w:val="61195AFE"/>
    <w:rsid w:val="612105D5"/>
    <w:rsid w:val="61247E30"/>
    <w:rsid w:val="61381991"/>
    <w:rsid w:val="613B0F6B"/>
    <w:rsid w:val="613F280A"/>
    <w:rsid w:val="61493688"/>
    <w:rsid w:val="61521249"/>
    <w:rsid w:val="61573FF7"/>
    <w:rsid w:val="615838CB"/>
    <w:rsid w:val="61641C99"/>
    <w:rsid w:val="618379BB"/>
    <w:rsid w:val="61907509"/>
    <w:rsid w:val="61952D71"/>
    <w:rsid w:val="619B6D0B"/>
    <w:rsid w:val="619D39D4"/>
    <w:rsid w:val="61A134C4"/>
    <w:rsid w:val="61BC3E5A"/>
    <w:rsid w:val="61C40F61"/>
    <w:rsid w:val="61C63EC0"/>
    <w:rsid w:val="61CB0541"/>
    <w:rsid w:val="61E07E1A"/>
    <w:rsid w:val="61F123CC"/>
    <w:rsid w:val="62037CDB"/>
    <w:rsid w:val="620501C6"/>
    <w:rsid w:val="620E1653"/>
    <w:rsid w:val="621719D8"/>
    <w:rsid w:val="621E6D52"/>
    <w:rsid w:val="622A7211"/>
    <w:rsid w:val="622D6B06"/>
    <w:rsid w:val="622F158F"/>
    <w:rsid w:val="62375BD7"/>
    <w:rsid w:val="623A4D70"/>
    <w:rsid w:val="62487DE4"/>
    <w:rsid w:val="625B7B17"/>
    <w:rsid w:val="62612C54"/>
    <w:rsid w:val="626A5FAC"/>
    <w:rsid w:val="626B1363"/>
    <w:rsid w:val="628250A4"/>
    <w:rsid w:val="6285516C"/>
    <w:rsid w:val="62856942"/>
    <w:rsid w:val="628966B6"/>
    <w:rsid w:val="628E5699"/>
    <w:rsid w:val="62946B85"/>
    <w:rsid w:val="62A414BE"/>
    <w:rsid w:val="62A95AE8"/>
    <w:rsid w:val="62B114E5"/>
    <w:rsid w:val="62B86D17"/>
    <w:rsid w:val="62BB6808"/>
    <w:rsid w:val="62BD60DC"/>
    <w:rsid w:val="62C03E1E"/>
    <w:rsid w:val="62CA07F9"/>
    <w:rsid w:val="62D17EC8"/>
    <w:rsid w:val="62EA2FA4"/>
    <w:rsid w:val="62ED57F4"/>
    <w:rsid w:val="62F615EE"/>
    <w:rsid w:val="62FB4E56"/>
    <w:rsid w:val="62FD0BCE"/>
    <w:rsid w:val="62FF66F4"/>
    <w:rsid w:val="63035AB9"/>
    <w:rsid w:val="63051831"/>
    <w:rsid w:val="630A5099"/>
    <w:rsid w:val="631321A0"/>
    <w:rsid w:val="63155F18"/>
    <w:rsid w:val="631B1054"/>
    <w:rsid w:val="631B239C"/>
    <w:rsid w:val="631B2E02"/>
    <w:rsid w:val="632D6DE5"/>
    <w:rsid w:val="633023C1"/>
    <w:rsid w:val="633A597E"/>
    <w:rsid w:val="63554566"/>
    <w:rsid w:val="63584057"/>
    <w:rsid w:val="635B34A1"/>
    <w:rsid w:val="635B58F5"/>
    <w:rsid w:val="63621685"/>
    <w:rsid w:val="636C5ADF"/>
    <w:rsid w:val="63730E90"/>
    <w:rsid w:val="63792C0F"/>
    <w:rsid w:val="637E5ADD"/>
    <w:rsid w:val="638B7F88"/>
    <w:rsid w:val="639B339A"/>
    <w:rsid w:val="63AC0AF2"/>
    <w:rsid w:val="63AD6150"/>
    <w:rsid w:val="63BF40D6"/>
    <w:rsid w:val="63BF5E84"/>
    <w:rsid w:val="63C41466"/>
    <w:rsid w:val="63CA028E"/>
    <w:rsid w:val="63D151C2"/>
    <w:rsid w:val="63D538F9"/>
    <w:rsid w:val="63DF6526"/>
    <w:rsid w:val="63F05BC3"/>
    <w:rsid w:val="63F41FD1"/>
    <w:rsid w:val="63F46DF0"/>
    <w:rsid w:val="63F71F10"/>
    <w:rsid w:val="64016136"/>
    <w:rsid w:val="64020B82"/>
    <w:rsid w:val="640C3047"/>
    <w:rsid w:val="640D4E41"/>
    <w:rsid w:val="64144421"/>
    <w:rsid w:val="6417181C"/>
    <w:rsid w:val="64264155"/>
    <w:rsid w:val="64264E5E"/>
    <w:rsid w:val="64283A29"/>
    <w:rsid w:val="64346E2F"/>
    <w:rsid w:val="643A375C"/>
    <w:rsid w:val="643E324C"/>
    <w:rsid w:val="644B4892"/>
    <w:rsid w:val="644C2367"/>
    <w:rsid w:val="644C6540"/>
    <w:rsid w:val="645878FB"/>
    <w:rsid w:val="645C6945"/>
    <w:rsid w:val="6465547F"/>
    <w:rsid w:val="64664551"/>
    <w:rsid w:val="64705323"/>
    <w:rsid w:val="64722EF6"/>
    <w:rsid w:val="6472739A"/>
    <w:rsid w:val="647749B0"/>
    <w:rsid w:val="6477675E"/>
    <w:rsid w:val="647B159D"/>
    <w:rsid w:val="648C1E96"/>
    <w:rsid w:val="64994927"/>
    <w:rsid w:val="649A7B38"/>
    <w:rsid w:val="64A01EBE"/>
    <w:rsid w:val="64A11258"/>
    <w:rsid w:val="64AA0232"/>
    <w:rsid w:val="64B21544"/>
    <w:rsid w:val="64B30E83"/>
    <w:rsid w:val="64B638E8"/>
    <w:rsid w:val="64C037F8"/>
    <w:rsid w:val="64C03C61"/>
    <w:rsid w:val="64D92F75"/>
    <w:rsid w:val="64DB4F3F"/>
    <w:rsid w:val="64DD1B9F"/>
    <w:rsid w:val="64DE67DD"/>
    <w:rsid w:val="64E171EA"/>
    <w:rsid w:val="64E77440"/>
    <w:rsid w:val="64EA33D4"/>
    <w:rsid w:val="64F15E55"/>
    <w:rsid w:val="64F16511"/>
    <w:rsid w:val="65071890"/>
    <w:rsid w:val="65095F77"/>
    <w:rsid w:val="650A1380"/>
    <w:rsid w:val="650D7573"/>
    <w:rsid w:val="65110961"/>
    <w:rsid w:val="651765AE"/>
    <w:rsid w:val="651C687D"/>
    <w:rsid w:val="65200BA4"/>
    <w:rsid w:val="65271F32"/>
    <w:rsid w:val="652C12F7"/>
    <w:rsid w:val="65314BDF"/>
    <w:rsid w:val="653335CB"/>
    <w:rsid w:val="653A24D0"/>
    <w:rsid w:val="6549709B"/>
    <w:rsid w:val="654E5711"/>
    <w:rsid w:val="655745E3"/>
    <w:rsid w:val="655B1BDC"/>
    <w:rsid w:val="65612425"/>
    <w:rsid w:val="65613696"/>
    <w:rsid w:val="65640A91"/>
    <w:rsid w:val="657F58CB"/>
    <w:rsid w:val="6581070A"/>
    <w:rsid w:val="65870C23"/>
    <w:rsid w:val="65962C14"/>
    <w:rsid w:val="6598698C"/>
    <w:rsid w:val="659C46CE"/>
    <w:rsid w:val="65A473A6"/>
    <w:rsid w:val="65AB66C0"/>
    <w:rsid w:val="65B65064"/>
    <w:rsid w:val="65B85280"/>
    <w:rsid w:val="65BD2897"/>
    <w:rsid w:val="65BE0844"/>
    <w:rsid w:val="65C47781"/>
    <w:rsid w:val="65C634F9"/>
    <w:rsid w:val="65C94D98"/>
    <w:rsid w:val="65CD2ADA"/>
    <w:rsid w:val="65E03D2B"/>
    <w:rsid w:val="65E17231"/>
    <w:rsid w:val="65EE0CA2"/>
    <w:rsid w:val="65F11B72"/>
    <w:rsid w:val="65F35551"/>
    <w:rsid w:val="65FF4C5D"/>
    <w:rsid w:val="6600751D"/>
    <w:rsid w:val="66061B48"/>
    <w:rsid w:val="660B53B0"/>
    <w:rsid w:val="660D5126"/>
    <w:rsid w:val="6612673F"/>
    <w:rsid w:val="66134265"/>
    <w:rsid w:val="66173D55"/>
    <w:rsid w:val="66214FED"/>
    <w:rsid w:val="6629174D"/>
    <w:rsid w:val="662A7AC0"/>
    <w:rsid w:val="66342E42"/>
    <w:rsid w:val="663927F2"/>
    <w:rsid w:val="665171D4"/>
    <w:rsid w:val="66581863"/>
    <w:rsid w:val="66643459"/>
    <w:rsid w:val="6672542F"/>
    <w:rsid w:val="66742F55"/>
    <w:rsid w:val="66754416"/>
    <w:rsid w:val="667B0788"/>
    <w:rsid w:val="667B4785"/>
    <w:rsid w:val="668F4651"/>
    <w:rsid w:val="6695000B"/>
    <w:rsid w:val="669F3D94"/>
    <w:rsid w:val="66A575B3"/>
    <w:rsid w:val="66B21381"/>
    <w:rsid w:val="66B55D22"/>
    <w:rsid w:val="66B617C0"/>
    <w:rsid w:val="66B6215B"/>
    <w:rsid w:val="66B912B0"/>
    <w:rsid w:val="66BA5B15"/>
    <w:rsid w:val="66BE0674"/>
    <w:rsid w:val="66CD08B8"/>
    <w:rsid w:val="66CF63DE"/>
    <w:rsid w:val="66D91E77"/>
    <w:rsid w:val="66DC0AFB"/>
    <w:rsid w:val="66EA1469"/>
    <w:rsid w:val="66EC51E2"/>
    <w:rsid w:val="66F62281"/>
    <w:rsid w:val="66F95B50"/>
    <w:rsid w:val="67114C48"/>
    <w:rsid w:val="671256B5"/>
    <w:rsid w:val="67140294"/>
    <w:rsid w:val="671E5377"/>
    <w:rsid w:val="671E7365"/>
    <w:rsid w:val="67206C39"/>
    <w:rsid w:val="672A7AB8"/>
    <w:rsid w:val="6732696D"/>
    <w:rsid w:val="6733262D"/>
    <w:rsid w:val="67385C9D"/>
    <w:rsid w:val="6739371B"/>
    <w:rsid w:val="67430B7A"/>
    <w:rsid w:val="674A0958"/>
    <w:rsid w:val="67607CC3"/>
    <w:rsid w:val="676236F6"/>
    <w:rsid w:val="6766729E"/>
    <w:rsid w:val="676C1E7F"/>
    <w:rsid w:val="67705E13"/>
    <w:rsid w:val="67760F4F"/>
    <w:rsid w:val="677621A4"/>
    <w:rsid w:val="677B0828"/>
    <w:rsid w:val="6784366C"/>
    <w:rsid w:val="678C2521"/>
    <w:rsid w:val="67957627"/>
    <w:rsid w:val="6798686F"/>
    <w:rsid w:val="679A2E90"/>
    <w:rsid w:val="67A1421E"/>
    <w:rsid w:val="67A23AF2"/>
    <w:rsid w:val="67B10BD0"/>
    <w:rsid w:val="67CA4DF7"/>
    <w:rsid w:val="67CB5FA0"/>
    <w:rsid w:val="67CD2947"/>
    <w:rsid w:val="67D068B1"/>
    <w:rsid w:val="67D973BA"/>
    <w:rsid w:val="67E10ABE"/>
    <w:rsid w:val="67E138FA"/>
    <w:rsid w:val="67E265E5"/>
    <w:rsid w:val="67E35558"/>
    <w:rsid w:val="67F105D6"/>
    <w:rsid w:val="67FE42E5"/>
    <w:rsid w:val="68183DB4"/>
    <w:rsid w:val="681959FD"/>
    <w:rsid w:val="681A18DB"/>
    <w:rsid w:val="68246BFD"/>
    <w:rsid w:val="682D5AB2"/>
    <w:rsid w:val="6837248C"/>
    <w:rsid w:val="68467214"/>
    <w:rsid w:val="685E210F"/>
    <w:rsid w:val="686673F9"/>
    <w:rsid w:val="68682EB7"/>
    <w:rsid w:val="68701E42"/>
    <w:rsid w:val="68752FB5"/>
    <w:rsid w:val="68776D2D"/>
    <w:rsid w:val="688356D2"/>
    <w:rsid w:val="688830AB"/>
    <w:rsid w:val="68897DFB"/>
    <w:rsid w:val="688B1DCE"/>
    <w:rsid w:val="689618A9"/>
    <w:rsid w:val="68984048"/>
    <w:rsid w:val="689C536A"/>
    <w:rsid w:val="689D2718"/>
    <w:rsid w:val="68B27D65"/>
    <w:rsid w:val="68BE2BAE"/>
    <w:rsid w:val="68BE495C"/>
    <w:rsid w:val="68C53F3C"/>
    <w:rsid w:val="68D06065"/>
    <w:rsid w:val="68D75A1D"/>
    <w:rsid w:val="68DC5BBE"/>
    <w:rsid w:val="690F6F65"/>
    <w:rsid w:val="69124CA8"/>
    <w:rsid w:val="69153B6D"/>
    <w:rsid w:val="692123F3"/>
    <w:rsid w:val="69330656"/>
    <w:rsid w:val="694C1F68"/>
    <w:rsid w:val="694D7A8E"/>
    <w:rsid w:val="69592FFE"/>
    <w:rsid w:val="69605A13"/>
    <w:rsid w:val="69613AC8"/>
    <w:rsid w:val="696155E4"/>
    <w:rsid w:val="69626CAC"/>
    <w:rsid w:val="69787200"/>
    <w:rsid w:val="697C05C7"/>
    <w:rsid w:val="69807E63"/>
    <w:rsid w:val="698C4A5A"/>
    <w:rsid w:val="69905BEA"/>
    <w:rsid w:val="69A1593B"/>
    <w:rsid w:val="69A269A3"/>
    <w:rsid w:val="69A973BA"/>
    <w:rsid w:val="69B47B0D"/>
    <w:rsid w:val="69B63885"/>
    <w:rsid w:val="69C266CE"/>
    <w:rsid w:val="69D00DEB"/>
    <w:rsid w:val="69D72179"/>
    <w:rsid w:val="69E5416A"/>
    <w:rsid w:val="6A04195A"/>
    <w:rsid w:val="6A097E59"/>
    <w:rsid w:val="6A0E36C1"/>
    <w:rsid w:val="6A1D1B56"/>
    <w:rsid w:val="6A1D56B2"/>
    <w:rsid w:val="6A222CC8"/>
    <w:rsid w:val="6A2475B2"/>
    <w:rsid w:val="6A2B7DCF"/>
    <w:rsid w:val="6A2C3B47"/>
    <w:rsid w:val="6A30572B"/>
    <w:rsid w:val="6A386990"/>
    <w:rsid w:val="6A397129"/>
    <w:rsid w:val="6A3C1FDC"/>
    <w:rsid w:val="6A4B0471"/>
    <w:rsid w:val="6A5B6699"/>
    <w:rsid w:val="6A5C267E"/>
    <w:rsid w:val="6A5C720B"/>
    <w:rsid w:val="6A5D6C72"/>
    <w:rsid w:val="6A667059"/>
    <w:rsid w:val="6A70715D"/>
    <w:rsid w:val="6A746B99"/>
    <w:rsid w:val="6A7E25F5"/>
    <w:rsid w:val="6A7F011B"/>
    <w:rsid w:val="6A7F7BD2"/>
    <w:rsid w:val="6A82088C"/>
    <w:rsid w:val="6A8676FB"/>
    <w:rsid w:val="6A885221"/>
    <w:rsid w:val="6A927E4E"/>
    <w:rsid w:val="6AA95198"/>
    <w:rsid w:val="6AAF0A00"/>
    <w:rsid w:val="6AB63354"/>
    <w:rsid w:val="6AB73D58"/>
    <w:rsid w:val="6ABD7B87"/>
    <w:rsid w:val="6ABF49BB"/>
    <w:rsid w:val="6ACC6A8C"/>
    <w:rsid w:val="6ADF0BB9"/>
    <w:rsid w:val="6AE10DD5"/>
    <w:rsid w:val="6AE14931"/>
    <w:rsid w:val="6AFA59F3"/>
    <w:rsid w:val="6AFE7BA1"/>
    <w:rsid w:val="6B0625EA"/>
    <w:rsid w:val="6B0D1BCA"/>
    <w:rsid w:val="6B1503B3"/>
    <w:rsid w:val="6B160A7F"/>
    <w:rsid w:val="6B1747F7"/>
    <w:rsid w:val="6B1B42E7"/>
    <w:rsid w:val="6B200613"/>
    <w:rsid w:val="6B252A70"/>
    <w:rsid w:val="6B2D21E8"/>
    <w:rsid w:val="6B2D5D6A"/>
    <w:rsid w:val="6B373847"/>
    <w:rsid w:val="6B3C7DBA"/>
    <w:rsid w:val="6B421F7F"/>
    <w:rsid w:val="6B454EC0"/>
    <w:rsid w:val="6B4C44A1"/>
    <w:rsid w:val="6B4D1FC7"/>
    <w:rsid w:val="6B4E6CBD"/>
    <w:rsid w:val="6B554A60"/>
    <w:rsid w:val="6B607F4C"/>
    <w:rsid w:val="6B635AC4"/>
    <w:rsid w:val="6B6712DB"/>
    <w:rsid w:val="6B6C60A0"/>
    <w:rsid w:val="6B722607"/>
    <w:rsid w:val="6B792DBC"/>
    <w:rsid w:val="6B7B4D86"/>
    <w:rsid w:val="6B7F7C1B"/>
    <w:rsid w:val="6B80414A"/>
    <w:rsid w:val="6B833C3B"/>
    <w:rsid w:val="6B841E8D"/>
    <w:rsid w:val="6B8F0831"/>
    <w:rsid w:val="6B9E0A74"/>
    <w:rsid w:val="6BA240C1"/>
    <w:rsid w:val="6BB01B66"/>
    <w:rsid w:val="6BBF2EC5"/>
    <w:rsid w:val="6BC24763"/>
    <w:rsid w:val="6BCB6C21"/>
    <w:rsid w:val="6BCB7ABB"/>
    <w:rsid w:val="6BD12B90"/>
    <w:rsid w:val="6BD36970"/>
    <w:rsid w:val="6BDA674D"/>
    <w:rsid w:val="6BE45935"/>
    <w:rsid w:val="6BE64B4B"/>
    <w:rsid w:val="6BEC6B68"/>
    <w:rsid w:val="6BF60D5F"/>
    <w:rsid w:val="6BF665EC"/>
    <w:rsid w:val="6C0134DD"/>
    <w:rsid w:val="6C066F99"/>
    <w:rsid w:val="6C094140"/>
    <w:rsid w:val="6C111246"/>
    <w:rsid w:val="6C134FBF"/>
    <w:rsid w:val="6C150D37"/>
    <w:rsid w:val="6C171A90"/>
    <w:rsid w:val="6C1A634D"/>
    <w:rsid w:val="6C1C7757"/>
    <w:rsid w:val="6C203025"/>
    <w:rsid w:val="6C2E004A"/>
    <w:rsid w:val="6C4B12D7"/>
    <w:rsid w:val="6C5C129C"/>
    <w:rsid w:val="6C5C6966"/>
    <w:rsid w:val="6C691082"/>
    <w:rsid w:val="6C692E30"/>
    <w:rsid w:val="6C767A27"/>
    <w:rsid w:val="6C78592B"/>
    <w:rsid w:val="6C792BC7"/>
    <w:rsid w:val="6C7F08A6"/>
    <w:rsid w:val="6C81017A"/>
    <w:rsid w:val="6C823EF2"/>
    <w:rsid w:val="6C8B2DA7"/>
    <w:rsid w:val="6C8C6B1F"/>
    <w:rsid w:val="6C8D2FC3"/>
    <w:rsid w:val="6C8E2B5A"/>
    <w:rsid w:val="6CA81BAB"/>
    <w:rsid w:val="6CAA0DDD"/>
    <w:rsid w:val="6CB27C7E"/>
    <w:rsid w:val="6CB95B66"/>
    <w:rsid w:val="6CCC071C"/>
    <w:rsid w:val="6CCE7137"/>
    <w:rsid w:val="6CD24CA4"/>
    <w:rsid w:val="6CD429A0"/>
    <w:rsid w:val="6CDA788A"/>
    <w:rsid w:val="6CEB5F3B"/>
    <w:rsid w:val="6CFF5543"/>
    <w:rsid w:val="6D0423BD"/>
    <w:rsid w:val="6D15642E"/>
    <w:rsid w:val="6D170ADE"/>
    <w:rsid w:val="6D17288C"/>
    <w:rsid w:val="6D1E3C1B"/>
    <w:rsid w:val="6D1F1741"/>
    <w:rsid w:val="6D25389A"/>
    <w:rsid w:val="6D286848"/>
    <w:rsid w:val="6D2E5DFF"/>
    <w:rsid w:val="6D3752F5"/>
    <w:rsid w:val="6D3C6797"/>
    <w:rsid w:val="6D3D4A16"/>
    <w:rsid w:val="6D415B5B"/>
    <w:rsid w:val="6D443CCF"/>
    <w:rsid w:val="6D464F20"/>
    <w:rsid w:val="6D4D2752"/>
    <w:rsid w:val="6D4F4018"/>
    <w:rsid w:val="6D512242"/>
    <w:rsid w:val="6D651265"/>
    <w:rsid w:val="6D68133A"/>
    <w:rsid w:val="6D6A3304"/>
    <w:rsid w:val="6D6F091A"/>
    <w:rsid w:val="6D785A21"/>
    <w:rsid w:val="6D7B106D"/>
    <w:rsid w:val="6D7E46BA"/>
    <w:rsid w:val="6D7F0BAB"/>
    <w:rsid w:val="6D814F58"/>
    <w:rsid w:val="6D8617C0"/>
    <w:rsid w:val="6D9263B7"/>
    <w:rsid w:val="6D9640F9"/>
    <w:rsid w:val="6D9E29F3"/>
    <w:rsid w:val="6D9E6B0A"/>
    <w:rsid w:val="6DA20591"/>
    <w:rsid w:val="6DA657A4"/>
    <w:rsid w:val="6DB1683D"/>
    <w:rsid w:val="6DB620A5"/>
    <w:rsid w:val="6DBE0F5A"/>
    <w:rsid w:val="6DBE71AC"/>
    <w:rsid w:val="6DC522E8"/>
    <w:rsid w:val="6DCD73EF"/>
    <w:rsid w:val="6DD662A4"/>
    <w:rsid w:val="6DD8201C"/>
    <w:rsid w:val="6DDF784E"/>
    <w:rsid w:val="6DE700E7"/>
    <w:rsid w:val="6DFB5D0A"/>
    <w:rsid w:val="6E032E11"/>
    <w:rsid w:val="6E0A419F"/>
    <w:rsid w:val="6E0A612C"/>
    <w:rsid w:val="6E0E5A3E"/>
    <w:rsid w:val="6E13574A"/>
    <w:rsid w:val="6E1374F8"/>
    <w:rsid w:val="6E220C0C"/>
    <w:rsid w:val="6E2B261D"/>
    <w:rsid w:val="6E2B2A93"/>
    <w:rsid w:val="6E2E076F"/>
    <w:rsid w:val="6E427C54"/>
    <w:rsid w:val="6E490F22"/>
    <w:rsid w:val="6E494CC8"/>
    <w:rsid w:val="6E4F7FF6"/>
    <w:rsid w:val="6E510E67"/>
    <w:rsid w:val="6E533D98"/>
    <w:rsid w:val="6E54557D"/>
    <w:rsid w:val="6E6632C4"/>
    <w:rsid w:val="6E68176A"/>
    <w:rsid w:val="6E694CEA"/>
    <w:rsid w:val="6E70494A"/>
    <w:rsid w:val="6E745E0C"/>
    <w:rsid w:val="6E751F61"/>
    <w:rsid w:val="6E7B6E4B"/>
    <w:rsid w:val="6E830434"/>
    <w:rsid w:val="6E8E6B7E"/>
    <w:rsid w:val="6E996E4B"/>
    <w:rsid w:val="6EA968AC"/>
    <w:rsid w:val="6EAD34A8"/>
    <w:rsid w:val="6EBF7E0D"/>
    <w:rsid w:val="6ED24CBD"/>
    <w:rsid w:val="6ED924EF"/>
    <w:rsid w:val="6EDD79F7"/>
    <w:rsid w:val="6EE968E4"/>
    <w:rsid w:val="6EF47329"/>
    <w:rsid w:val="6EF8049C"/>
    <w:rsid w:val="6EFC76DC"/>
    <w:rsid w:val="6F0759B8"/>
    <w:rsid w:val="6F0A4A64"/>
    <w:rsid w:val="6F1108E1"/>
    <w:rsid w:val="6F1B2B08"/>
    <w:rsid w:val="6F293325"/>
    <w:rsid w:val="6F435BBB"/>
    <w:rsid w:val="6F505725"/>
    <w:rsid w:val="6F5664ED"/>
    <w:rsid w:val="6F5B1156"/>
    <w:rsid w:val="6F65523B"/>
    <w:rsid w:val="6F6A0B6A"/>
    <w:rsid w:val="6F6A5D27"/>
    <w:rsid w:val="6F6F075E"/>
    <w:rsid w:val="6F712728"/>
    <w:rsid w:val="6F76182F"/>
    <w:rsid w:val="6F761EB0"/>
    <w:rsid w:val="6F775864"/>
    <w:rsid w:val="6F800598"/>
    <w:rsid w:val="6F8D2902"/>
    <w:rsid w:val="6F914B78"/>
    <w:rsid w:val="6F9B59F7"/>
    <w:rsid w:val="6F9D7F3F"/>
    <w:rsid w:val="6F9E54E7"/>
    <w:rsid w:val="6FAC19B2"/>
    <w:rsid w:val="6FAC657F"/>
    <w:rsid w:val="6FB6774A"/>
    <w:rsid w:val="6FC34F4E"/>
    <w:rsid w:val="6FD304FC"/>
    <w:rsid w:val="6FD42CB7"/>
    <w:rsid w:val="6FE72CBB"/>
    <w:rsid w:val="6FEA24DA"/>
    <w:rsid w:val="6FF9096F"/>
    <w:rsid w:val="6FF97F0F"/>
    <w:rsid w:val="6FFD045F"/>
    <w:rsid w:val="6FFD3FBC"/>
    <w:rsid w:val="7000585A"/>
    <w:rsid w:val="700630E4"/>
    <w:rsid w:val="70074E3A"/>
    <w:rsid w:val="700D75F5"/>
    <w:rsid w:val="701D37D0"/>
    <w:rsid w:val="70207163"/>
    <w:rsid w:val="70297E02"/>
    <w:rsid w:val="702E0619"/>
    <w:rsid w:val="70343755"/>
    <w:rsid w:val="703D62D8"/>
    <w:rsid w:val="703D7B01"/>
    <w:rsid w:val="703E5095"/>
    <w:rsid w:val="703E6382"/>
    <w:rsid w:val="704D02A9"/>
    <w:rsid w:val="704E25E5"/>
    <w:rsid w:val="70533652"/>
    <w:rsid w:val="70543939"/>
    <w:rsid w:val="70597D80"/>
    <w:rsid w:val="70597ECA"/>
    <w:rsid w:val="70691651"/>
    <w:rsid w:val="706A7177"/>
    <w:rsid w:val="7072278A"/>
    <w:rsid w:val="707277B7"/>
    <w:rsid w:val="707F0E75"/>
    <w:rsid w:val="70814BED"/>
    <w:rsid w:val="70A02B99"/>
    <w:rsid w:val="70A1528F"/>
    <w:rsid w:val="70A24B63"/>
    <w:rsid w:val="70A44884"/>
    <w:rsid w:val="70A703CB"/>
    <w:rsid w:val="70A95EF1"/>
    <w:rsid w:val="70B80B88"/>
    <w:rsid w:val="70C25205"/>
    <w:rsid w:val="70D72A5F"/>
    <w:rsid w:val="70DA42FD"/>
    <w:rsid w:val="70DF5DB7"/>
    <w:rsid w:val="70EB02B8"/>
    <w:rsid w:val="70EE0C45"/>
    <w:rsid w:val="70EF55D6"/>
    <w:rsid w:val="71025602"/>
    <w:rsid w:val="710271DF"/>
    <w:rsid w:val="7104137A"/>
    <w:rsid w:val="710D6480"/>
    <w:rsid w:val="710E0860"/>
    <w:rsid w:val="71123A97"/>
    <w:rsid w:val="7113780F"/>
    <w:rsid w:val="712612F0"/>
    <w:rsid w:val="712A2700"/>
    <w:rsid w:val="712C1D73"/>
    <w:rsid w:val="713003C1"/>
    <w:rsid w:val="714125CE"/>
    <w:rsid w:val="714B6FA9"/>
    <w:rsid w:val="71535E5D"/>
    <w:rsid w:val="715C2F64"/>
    <w:rsid w:val="715D1D52"/>
    <w:rsid w:val="71663DE2"/>
    <w:rsid w:val="71666721"/>
    <w:rsid w:val="717F0E9B"/>
    <w:rsid w:val="71940950"/>
    <w:rsid w:val="71951611"/>
    <w:rsid w:val="719C5A56"/>
    <w:rsid w:val="719E357C"/>
    <w:rsid w:val="71A54C8A"/>
    <w:rsid w:val="71AA3CCF"/>
    <w:rsid w:val="71AB180C"/>
    <w:rsid w:val="71B21877"/>
    <w:rsid w:val="71B44B4E"/>
    <w:rsid w:val="71B52674"/>
    <w:rsid w:val="71B608C6"/>
    <w:rsid w:val="71BE2E2E"/>
    <w:rsid w:val="71C11019"/>
    <w:rsid w:val="71C17A1E"/>
    <w:rsid w:val="71CC0A0F"/>
    <w:rsid w:val="71CD5C10"/>
    <w:rsid w:val="71CE4C68"/>
    <w:rsid w:val="71CF7BDA"/>
    <w:rsid w:val="71D451F0"/>
    <w:rsid w:val="71EA3503"/>
    <w:rsid w:val="71EB708D"/>
    <w:rsid w:val="71EC253A"/>
    <w:rsid w:val="71ED1E0E"/>
    <w:rsid w:val="71F52CCF"/>
    <w:rsid w:val="71F72C8D"/>
    <w:rsid w:val="71F80EDE"/>
    <w:rsid w:val="71FD79F5"/>
    <w:rsid w:val="720C002E"/>
    <w:rsid w:val="72113D4E"/>
    <w:rsid w:val="724A54B2"/>
    <w:rsid w:val="7250570D"/>
    <w:rsid w:val="72677E12"/>
    <w:rsid w:val="72691DDC"/>
    <w:rsid w:val="726F6CC7"/>
    <w:rsid w:val="729055BB"/>
    <w:rsid w:val="72936E59"/>
    <w:rsid w:val="729D3834"/>
    <w:rsid w:val="72A44BC2"/>
    <w:rsid w:val="72A57FA2"/>
    <w:rsid w:val="72A752A3"/>
    <w:rsid w:val="72B15531"/>
    <w:rsid w:val="72BB1F0C"/>
    <w:rsid w:val="72BD5C84"/>
    <w:rsid w:val="72BF7C4E"/>
    <w:rsid w:val="72CB3F59"/>
    <w:rsid w:val="72CE1C3F"/>
    <w:rsid w:val="72D27981"/>
    <w:rsid w:val="72D90331"/>
    <w:rsid w:val="72D9050B"/>
    <w:rsid w:val="72DD1E82"/>
    <w:rsid w:val="72DF3E4C"/>
    <w:rsid w:val="72E579AE"/>
    <w:rsid w:val="72EB7EEB"/>
    <w:rsid w:val="72F66FC0"/>
    <w:rsid w:val="72F864AB"/>
    <w:rsid w:val="7304128B"/>
    <w:rsid w:val="73092C77"/>
    <w:rsid w:val="731313AE"/>
    <w:rsid w:val="73155FBF"/>
    <w:rsid w:val="73171838"/>
    <w:rsid w:val="731A6C07"/>
    <w:rsid w:val="73225888"/>
    <w:rsid w:val="732950C8"/>
    <w:rsid w:val="732B52E4"/>
    <w:rsid w:val="732D564A"/>
    <w:rsid w:val="732E5B74"/>
    <w:rsid w:val="733F48EB"/>
    <w:rsid w:val="734343DB"/>
    <w:rsid w:val="7346211D"/>
    <w:rsid w:val="734C0DB6"/>
    <w:rsid w:val="7359692B"/>
    <w:rsid w:val="73666D7C"/>
    <w:rsid w:val="7368538E"/>
    <w:rsid w:val="736B0401"/>
    <w:rsid w:val="73736C04"/>
    <w:rsid w:val="73774085"/>
    <w:rsid w:val="73800C14"/>
    <w:rsid w:val="73852C46"/>
    <w:rsid w:val="738B7B30"/>
    <w:rsid w:val="73922C6D"/>
    <w:rsid w:val="739369E5"/>
    <w:rsid w:val="73A664A3"/>
    <w:rsid w:val="73D15DFB"/>
    <w:rsid w:val="73D20405"/>
    <w:rsid w:val="73D72D76"/>
    <w:rsid w:val="73DE4104"/>
    <w:rsid w:val="740772DD"/>
    <w:rsid w:val="740A314B"/>
    <w:rsid w:val="740D49E9"/>
    <w:rsid w:val="740D6797"/>
    <w:rsid w:val="7416389E"/>
    <w:rsid w:val="74177616"/>
    <w:rsid w:val="7419513C"/>
    <w:rsid w:val="741B77D8"/>
    <w:rsid w:val="74210FA9"/>
    <w:rsid w:val="74257F85"/>
    <w:rsid w:val="742B2124"/>
    <w:rsid w:val="742F2BB2"/>
    <w:rsid w:val="74317E5D"/>
    <w:rsid w:val="74387CB8"/>
    <w:rsid w:val="7439758C"/>
    <w:rsid w:val="743E352F"/>
    <w:rsid w:val="74424488"/>
    <w:rsid w:val="7448707A"/>
    <w:rsid w:val="744F0B5E"/>
    <w:rsid w:val="746E5736"/>
    <w:rsid w:val="747405C4"/>
    <w:rsid w:val="74753412"/>
    <w:rsid w:val="747B1953"/>
    <w:rsid w:val="74816E8F"/>
    <w:rsid w:val="748C3B60"/>
    <w:rsid w:val="748E5B2A"/>
    <w:rsid w:val="74934EEE"/>
    <w:rsid w:val="749E0F2C"/>
    <w:rsid w:val="749E5687"/>
    <w:rsid w:val="74AA2238"/>
    <w:rsid w:val="74B60BDD"/>
    <w:rsid w:val="74C257D4"/>
    <w:rsid w:val="74C72DEA"/>
    <w:rsid w:val="74CC6652"/>
    <w:rsid w:val="74D00270"/>
    <w:rsid w:val="74DB116F"/>
    <w:rsid w:val="74E05C5A"/>
    <w:rsid w:val="74E528F9"/>
    <w:rsid w:val="74EA0052"/>
    <w:rsid w:val="74EE65C9"/>
    <w:rsid w:val="74F02341"/>
    <w:rsid w:val="74F636CF"/>
    <w:rsid w:val="752C40FF"/>
    <w:rsid w:val="752C6D7D"/>
    <w:rsid w:val="752D15DC"/>
    <w:rsid w:val="75324707"/>
    <w:rsid w:val="754D3D81"/>
    <w:rsid w:val="755503F6"/>
    <w:rsid w:val="75556648"/>
    <w:rsid w:val="75740511"/>
    <w:rsid w:val="75752846"/>
    <w:rsid w:val="75790588"/>
    <w:rsid w:val="757A1C0A"/>
    <w:rsid w:val="757A60AE"/>
    <w:rsid w:val="75814997"/>
    <w:rsid w:val="7592164A"/>
    <w:rsid w:val="759C7DD3"/>
    <w:rsid w:val="75B275F6"/>
    <w:rsid w:val="75B7187B"/>
    <w:rsid w:val="75BA136C"/>
    <w:rsid w:val="75BF7CAC"/>
    <w:rsid w:val="75C80BC8"/>
    <w:rsid w:val="75CA0DE4"/>
    <w:rsid w:val="75CB57B1"/>
    <w:rsid w:val="75CB6EB8"/>
    <w:rsid w:val="75D27282"/>
    <w:rsid w:val="75D457BF"/>
    <w:rsid w:val="75D76BD0"/>
    <w:rsid w:val="75F04612"/>
    <w:rsid w:val="75F64EA6"/>
    <w:rsid w:val="75FB0F9D"/>
    <w:rsid w:val="75FC6AC3"/>
    <w:rsid w:val="75FD58C2"/>
    <w:rsid w:val="75FE0A8D"/>
    <w:rsid w:val="76027A12"/>
    <w:rsid w:val="760347C8"/>
    <w:rsid w:val="76136B21"/>
    <w:rsid w:val="761756AB"/>
    <w:rsid w:val="761B51E4"/>
    <w:rsid w:val="761C0F14"/>
    <w:rsid w:val="76344078"/>
    <w:rsid w:val="763B75EC"/>
    <w:rsid w:val="764010A6"/>
    <w:rsid w:val="76434326"/>
    <w:rsid w:val="76437720"/>
    <w:rsid w:val="76487F5B"/>
    <w:rsid w:val="764A5A81"/>
    <w:rsid w:val="764F28CC"/>
    <w:rsid w:val="764F3097"/>
    <w:rsid w:val="76522B87"/>
    <w:rsid w:val="76544B51"/>
    <w:rsid w:val="765E32DA"/>
    <w:rsid w:val="76674885"/>
    <w:rsid w:val="76705B19"/>
    <w:rsid w:val="76766876"/>
    <w:rsid w:val="767745D4"/>
    <w:rsid w:val="768A0573"/>
    <w:rsid w:val="76914104"/>
    <w:rsid w:val="76992564"/>
    <w:rsid w:val="76A5715B"/>
    <w:rsid w:val="76AD1EAD"/>
    <w:rsid w:val="76B37ACA"/>
    <w:rsid w:val="76CF41D8"/>
    <w:rsid w:val="76D076A2"/>
    <w:rsid w:val="76D87530"/>
    <w:rsid w:val="76DE20AE"/>
    <w:rsid w:val="76F31C74"/>
    <w:rsid w:val="76F369D8"/>
    <w:rsid w:val="76F65C09"/>
    <w:rsid w:val="770C7B4A"/>
    <w:rsid w:val="770E38FD"/>
    <w:rsid w:val="77176686"/>
    <w:rsid w:val="772269FE"/>
    <w:rsid w:val="772549AA"/>
    <w:rsid w:val="772C33D8"/>
    <w:rsid w:val="772E53A2"/>
    <w:rsid w:val="773B671B"/>
    <w:rsid w:val="77416E84"/>
    <w:rsid w:val="774424D0"/>
    <w:rsid w:val="774B1AB0"/>
    <w:rsid w:val="77526FC1"/>
    <w:rsid w:val="77545CF4"/>
    <w:rsid w:val="775766A7"/>
    <w:rsid w:val="775841CD"/>
    <w:rsid w:val="775A5AEF"/>
    <w:rsid w:val="776A0596"/>
    <w:rsid w:val="776A2A0F"/>
    <w:rsid w:val="77703019"/>
    <w:rsid w:val="777509E8"/>
    <w:rsid w:val="777B1AAE"/>
    <w:rsid w:val="778B00FF"/>
    <w:rsid w:val="77921A71"/>
    <w:rsid w:val="77933457"/>
    <w:rsid w:val="77976AA4"/>
    <w:rsid w:val="77977426"/>
    <w:rsid w:val="779A31FE"/>
    <w:rsid w:val="779A47E6"/>
    <w:rsid w:val="779B456E"/>
    <w:rsid w:val="779C4173"/>
    <w:rsid w:val="77A47413"/>
    <w:rsid w:val="77B77146"/>
    <w:rsid w:val="77BA055F"/>
    <w:rsid w:val="77BF424C"/>
    <w:rsid w:val="77C35AEB"/>
    <w:rsid w:val="77E365C8"/>
    <w:rsid w:val="77F4039A"/>
    <w:rsid w:val="77F43EF6"/>
    <w:rsid w:val="77F50796"/>
    <w:rsid w:val="78056103"/>
    <w:rsid w:val="78085BF3"/>
    <w:rsid w:val="78151A46"/>
    <w:rsid w:val="782A4666"/>
    <w:rsid w:val="78322C70"/>
    <w:rsid w:val="78387CFD"/>
    <w:rsid w:val="784000F8"/>
    <w:rsid w:val="784C1F84"/>
    <w:rsid w:val="785C65C5"/>
    <w:rsid w:val="7860158C"/>
    <w:rsid w:val="786B6D30"/>
    <w:rsid w:val="786C496D"/>
    <w:rsid w:val="786D37AD"/>
    <w:rsid w:val="78727511"/>
    <w:rsid w:val="787D5B00"/>
    <w:rsid w:val="787F5329"/>
    <w:rsid w:val="788B5150"/>
    <w:rsid w:val="78964FAD"/>
    <w:rsid w:val="78A61AD1"/>
    <w:rsid w:val="78AA2807"/>
    <w:rsid w:val="78B35B5F"/>
    <w:rsid w:val="78B83176"/>
    <w:rsid w:val="78B95140"/>
    <w:rsid w:val="78BA07A7"/>
    <w:rsid w:val="78C57641"/>
    <w:rsid w:val="78C87131"/>
    <w:rsid w:val="78CC6C21"/>
    <w:rsid w:val="78D14237"/>
    <w:rsid w:val="78DE30E4"/>
    <w:rsid w:val="78E20546"/>
    <w:rsid w:val="78E755DC"/>
    <w:rsid w:val="78E90790"/>
    <w:rsid w:val="78EA52F9"/>
    <w:rsid w:val="78EC62CF"/>
    <w:rsid w:val="78EF46BD"/>
    <w:rsid w:val="78F6405B"/>
    <w:rsid w:val="78F739AF"/>
    <w:rsid w:val="78FE11C1"/>
    <w:rsid w:val="78FF0DA4"/>
    <w:rsid w:val="79022643"/>
    <w:rsid w:val="79050385"/>
    <w:rsid w:val="791B54B2"/>
    <w:rsid w:val="792376E1"/>
    <w:rsid w:val="79241C72"/>
    <w:rsid w:val="79352A18"/>
    <w:rsid w:val="79360C91"/>
    <w:rsid w:val="79425135"/>
    <w:rsid w:val="794C2F0D"/>
    <w:rsid w:val="795B7FA5"/>
    <w:rsid w:val="7964241D"/>
    <w:rsid w:val="798412AA"/>
    <w:rsid w:val="79865022"/>
    <w:rsid w:val="79921C19"/>
    <w:rsid w:val="7994133F"/>
    <w:rsid w:val="79B002F1"/>
    <w:rsid w:val="79B07EFC"/>
    <w:rsid w:val="79BB5B2E"/>
    <w:rsid w:val="79BF6786"/>
    <w:rsid w:val="79C0032F"/>
    <w:rsid w:val="79C21DD2"/>
    <w:rsid w:val="79C30024"/>
    <w:rsid w:val="79C603AF"/>
    <w:rsid w:val="79DD09BA"/>
    <w:rsid w:val="79E9735F"/>
    <w:rsid w:val="7A117131"/>
    <w:rsid w:val="7A145486"/>
    <w:rsid w:val="7A20571A"/>
    <w:rsid w:val="7A2111EE"/>
    <w:rsid w:val="7A246AFF"/>
    <w:rsid w:val="7A2F7467"/>
    <w:rsid w:val="7A3D7C35"/>
    <w:rsid w:val="7A4078C7"/>
    <w:rsid w:val="7A477D00"/>
    <w:rsid w:val="7A480529"/>
    <w:rsid w:val="7A4D5B40"/>
    <w:rsid w:val="7A522889"/>
    <w:rsid w:val="7A535358"/>
    <w:rsid w:val="7A573AEE"/>
    <w:rsid w:val="7A5A025C"/>
    <w:rsid w:val="7A5C3762"/>
    <w:rsid w:val="7A6D61E2"/>
    <w:rsid w:val="7A7E219D"/>
    <w:rsid w:val="7AA2041E"/>
    <w:rsid w:val="7AAC6D0A"/>
    <w:rsid w:val="7AAD65DE"/>
    <w:rsid w:val="7ABE2599"/>
    <w:rsid w:val="7AC04563"/>
    <w:rsid w:val="7AC247AC"/>
    <w:rsid w:val="7AC322A6"/>
    <w:rsid w:val="7AD718AD"/>
    <w:rsid w:val="7AD93877"/>
    <w:rsid w:val="7AE75F94"/>
    <w:rsid w:val="7AEA010E"/>
    <w:rsid w:val="7AF16E13"/>
    <w:rsid w:val="7AF272FC"/>
    <w:rsid w:val="7AF33058"/>
    <w:rsid w:val="7AF75AAB"/>
    <w:rsid w:val="7AFE32DE"/>
    <w:rsid w:val="7B072192"/>
    <w:rsid w:val="7B09415C"/>
    <w:rsid w:val="7B0E5FBC"/>
    <w:rsid w:val="7B18614D"/>
    <w:rsid w:val="7B193EA2"/>
    <w:rsid w:val="7B1A36CB"/>
    <w:rsid w:val="7B234AF2"/>
    <w:rsid w:val="7B2F54B5"/>
    <w:rsid w:val="7B3665D4"/>
    <w:rsid w:val="7B3D5BB4"/>
    <w:rsid w:val="7B41739F"/>
    <w:rsid w:val="7B417515"/>
    <w:rsid w:val="7B430CF1"/>
    <w:rsid w:val="7B5022EF"/>
    <w:rsid w:val="7B507ADC"/>
    <w:rsid w:val="7B58479C"/>
    <w:rsid w:val="7B605366"/>
    <w:rsid w:val="7B641393"/>
    <w:rsid w:val="7B6475E5"/>
    <w:rsid w:val="7B6A44CF"/>
    <w:rsid w:val="7B6E0463"/>
    <w:rsid w:val="7B714D2C"/>
    <w:rsid w:val="7B7600D7"/>
    <w:rsid w:val="7B762E74"/>
    <w:rsid w:val="7B7D085F"/>
    <w:rsid w:val="7B826770"/>
    <w:rsid w:val="7B9652C4"/>
    <w:rsid w:val="7B9C6D7F"/>
    <w:rsid w:val="7B9D3477"/>
    <w:rsid w:val="7B9D6653"/>
    <w:rsid w:val="7BA568E2"/>
    <w:rsid w:val="7BB3231A"/>
    <w:rsid w:val="7BBE10C7"/>
    <w:rsid w:val="7BC77B74"/>
    <w:rsid w:val="7BC9569A"/>
    <w:rsid w:val="7BD55947"/>
    <w:rsid w:val="7BDF6C6B"/>
    <w:rsid w:val="7BE91898"/>
    <w:rsid w:val="7BF0404C"/>
    <w:rsid w:val="7C015768"/>
    <w:rsid w:val="7C0D37D8"/>
    <w:rsid w:val="7C136886"/>
    <w:rsid w:val="7C1903CF"/>
    <w:rsid w:val="7C253E9C"/>
    <w:rsid w:val="7C2B0102"/>
    <w:rsid w:val="7C2E4398"/>
    <w:rsid w:val="7C347B95"/>
    <w:rsid w:val="7C3B5358"/>
    <w:rsid w:val="7C4F365A"/>
    <w:rsid w:val="7C4F3DF1"/>
    <w:rsid w:val="7C501917"/>
    <w:rsid w:val="7C5D3E63"/>
    <w:rsid w:val="7C765821"/>
    <w:rsid w:val="7C7D3129"/>
    <w:rsid w:val="7C7F1265"/>
    <w:rsid w:val="7C8E41ED"/>
    <w:rsid w:val="7CA57EB5"/>
    <w:rsid w:val="7CAC1243"/>
    <w:rsid w:val="7CB2612B"/>
    <w:rsid w:val="7CB3634F"/>
    <w:rsid w:val="7CB579CC"/>
    <w:rsid w:val="7CB63E70"/>
    <w:rsid w:val="7CB93960"/>
    <w:rsid w:val="7CC0084B"/>
    <w:rsid w:val="7CC75B6C"/>
    <w:rsid w:val="7CC7607D"/>
    <w:rsid w:val="7CD267D0"/>
    <w:rsid w:val="7CD460A4"/>
    <w:rsid w:val="7CE06734"/>
    <w:rsid w:val="7CE3278B"/>
    <w:rsid w:val="7CEE45F2"/>
    <w:rsid w:val="7CF0271F"/>
    <w:rsid w:val="7CF90201"/>
    <w:rsid w:val="7D034BDB"/>
    <w:rsid w:val="7D083CDF"/>
    <w:rsid w:val="7D0C1CE2"/>
    <w:rsid w:val="7D137B15"/>
    <w:rsid w:val="7D1D701A"/>
    <w:rsid w:val="7D230DDA"/>
    <w:rsid w:val="7D2B7671"/>
    <w:rsid w:val="7D2C6836"/>
    <w:rsid w:val="7D3354C1"/>
    <w:rsid w:val="7D344D95"/>
    <w:rsid w:val="7D3A57F7"/>
    <w:rsid w:val="7D474AC8"/>
    <w:rsid w:val="7D4A0A5C"/>
    <w:rsid w:val="7D4D5E56"/>
    <w:rsid w:val="7D4F6073"/>
    <w:rsid w:val="7D5B0573"/>
    <w:rsid w:val="7D5B4A4E"/>
    <w:rsid w:val="7D603DDC"/>
    <w:rsid w:val="7D6E470D"/>
    <w:rsid w:val="7D834497"/>
    <w:rsid w:val="7D9F2B56"/>
    <w:rsid w:val="7DA000ED"/>
    <w:rsid w:val="7DA261A2"/>
    <w:rsid w:val="7DA43CC8"/>
    <w:rsid w:val="7DAB14FB"/>
    <w:rsid w:val="7DD10836"/>
    <w:rsid w:val="7DD24CD9"/>
    <w:rsid w:val="7DD65E4C"/>
    <w:rsid w:val="7DD760E2"/>
    <w:rsid w:val="7DDF11A4"/>
    <w:rsid w:val="7DE40569"/>
    <w:rsid w:val="7DE44A0D"/>
    <w:rsid w:val="7DE467BB"/>
    <w:rsid w:val="7DE64079"/>
    <w:rsid w:val="7DE71E07"/>
    <w:rsid w:val="7DEF6617"/>
    <w:rsid w:val="7DF52776"/>
    <w:rsid w:val="7DF542B1"/>
    <w:rsid w:val="7DFC3B04"/>
    <w:rsid w:val="7E1150D6"/>
    <w:rsid w:val="7E1508F3"/>
    <w:rsid w:val="7E2929E7"/>
    <w:rsid w:val="7E297B99"/>
    <w:rsid w:val="7E3C03A5"/>
    <w:rsid w:val="7E3F4A4C"/>
    <w:rsid w:val="7E407351"/>
    <w:rsid w:val="7E61605D"/>
    <w:rsid w:val="7E6B2A38"/>
    <w:rsid w:val="7E747B3F"/>
    <w:rsid w:val="7E905D03"/>
    <w:rsid w:val="7E9571E2"/>
    <w:rsid w:val="7EA5419C"/>
    <w:rsid w:val="7EAE27A2"/>
    <w:rsid w:val="7EB443DF"/>
    <w:rsid w:val="7EBA4E66"/>
    <w:rsid w:val="7EC34622"/>
    <w:rsid w:val="7EC62364"/>
    <w:rsid w:val="7ECD54A1"/>
    <w:rsid w:val="7ECF2FC7"/>
    <w:rsid w:val="7ED56104"/>
    <w:rsid w:val="7ED76320"/>
    <w:rsid w:val="7EE06F82"/>
    <w:rsid w:val="7EEF71C5"/>
    <w:rsid w:val="7EF016D5"/>
    <w:rsid w:val="7F046BA9"/>
    <w:rsid w:val="7F054C3B"/>
    <w:rsid w:val="7F0C2DB2"/>
    <w:rsid w:val="7F0C5FC9"/>
    <w:rsid w:val="7F233696"/>
    <w:rsid w:val="7F2552DD"/>
    <w:rsid w:val="7F2C5515"/>
    <w:rsid w:val="7F2F3A66"/>
    <w:rsid w:val="7F381DA7"/>
    <w:rsid w:val="7F3904CF"/>
    <w:rsid w:val="7F45772D"/>
    <w:rsid w:val="7F4E23B3"/>
    <w:rsid w:val="7F547970"/>
    <w:rsid w:val="7F5A28EF"/>
    <w:rsid w:val="7F623E3B"/>
    <w:rsid w:val="7F637BB3"/>
    <w:rsid w:val="7F640A13"/>
    <w:rsid w:val="7F6776A3"/>
    <w:rsid w:val="7F7B790B"/>
    <w:rsid w:val="7F816E5B"/>
    <w:rsid w:val="7F9E36E8"/>
    <w:rsid w:val="7FAC155A"/>
    <w:rsid w:val="7FAC21CB"/>
    <w:rsid w:val="7FAC5A67"/>
    <w:rsid w:val="7FB835A3"/>
    <w:rsid w:val="7FBA7CAC"/>
    <w:rsid w:val="7FC05006"/>
    <w:rsid w:val="7FCF6FF7"/>
    <w:rsid w:val="7FD5285F"/>
    <w:rsid w:val="7FE17456"/>
    <w:rsid w:val="7FE505C8"/>
    <w:rsid w:val="7FE5681A"/>
    <w:rsid w:val="7FFD6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99" w:semiHidden="0" w:name="caption"/>
    <w:lsdException w:uiPriority="0" w:name="table of figures"/>
    <w:lsdException w:qFormat="1" w:unhideWhenUsed="0" w:uiPriority="99" w:name="envelope address"/>
    <w:lsdException w:qFormat="1" w:unhideWhenUsed="0" w:uiPriority="99" w:name="envelope return"/>
    <w:lsdException w:uiPriority="0" w:name="footnote reference"/>
    <w:lsdException w:qFormat="1" w:unhideWhenUsed="0" w:uiPriority="0" w:semiHidden="0" w:name="annotation reference"/>
    <w:lsdException w:qFormat="1" w:unhideWhenUsed="0" w:uiPriority="99" w:semiHidden="0" w:name="line number"/>
    <w:lsdException w:qFormat="1" w:unhideWhenUsed="0" w:uiPriority="99" w:semiHidden="0" w:name="page number"/>
    <w:lsdException w:uiPriority="0" w:name="endnote reference"/>
    <w:lsdException w:uiPriority="0" w:name="endnote text"/>
    <w:lsdException w:qFormat="1" w:unhideWhenUsed="0" w:uiPriority="99" w:name="table of authorities"/>
    <w:lsdException w:uiPriority="0" w:name="macro"/>
    <w:lsdException w:qFormat="1" w:unhideWhenUsed="0" w:uiPriority="99" w:name="toa heading"/>
    <w:lsdException w:qFormat="1" w:unhideWhenUsed="0" w:uiPriority="99" w:semiHidden="0" w:name="List"/>
    <w:lsdException w:qFormat="1" w:unhideWhenUsed="0" w:uiPriority="99" w:name="List Bullet"/>
    <w:lsdException w:qFormat="1" w:unhideWhenUsed="0" w:uiPriority="99"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name="List Bullet 2"/>
    <w:lsdException w:qFormat="1" w:unhideWhenUsed="0" w:uiPriority="99" w:name="List Bullet 3"/>
    <w:lsdException w:qFormat="1" w:unhideWhenUsed="0" w:uiPriority="99" w:name="List Bullet 4"/>
    <w:lsdException w:qFormat="1" w:unhideWhenUsed="0" w:uiPriority="99" w:name="List Bullet 5"/>
    <w:lsdException w:qFormat="1" w:unhideWhenUsed="0" w:uiPriority="99" w:name="List Number 2"/>
    <w:lsdException w:qFormat="1" w:unhideWhenUsed="0" w:uiPriority="99" w:name="List Number 3"/>
    <w:lsdException w:qFormat="1" w:unhideWhenUsed="0" w:uiPriority="99" w:name="List Number 4"/>
    <w:lsdException w:qFormat="1" w:unhideWhenUsed="0" w:uiPriority="99" w:name="List Number 5"/>
    <w:lsdException w:qFormat="1" w:unhideWhenUsed="0" w:uiPriority="10" w:semiHidden="0" w:name="Title"/>
    <w:lsdException w:qFormat="1" w:unhideWhenUsed="0" w:uiPriority="99" w:name="Closing"/>
    <w:lsdException w:qFormat="1" w:unhideWhenUsed="0" w:uiPriority="99"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name="List Continue 5"/>
    <w:lsdException w:qFormat="1" w:unhideWhenUsed="0" w:uiPriority="99" w:name="Message Header"/>
    <w:lsdException w:qFormat="1" w:unhideWhenUsed="0" w:uiPriority="11" w:semiHidden="0" w:name="Subtitle"/>
    <w:lsdException w:qFormat="1" w:unhideWhenUsed="0" w:uiPriority="99" w:name="Salutation"/>
    <w:lsdException w:qFormat="1" w:unhideWhenUsed="0" w:uiPriority="99" w:semiHidden="0" w:name="Date"/>
    <w:lsdException w:qFormat="1" w:unhideWhenUsed="0" w:uiPriority="99" w:semiHidden="0" w:name="Body Text First Indent"/>
    <w:lsdException w:qFormat="1" w:unhideWhenUsed="0" w:uiPriority="99" w:name="Body Text First Indent 2"/>
    <w:lsdException w:qFormat="1" w:unhideWhenUsed="0" w:uiPriority="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qFormat="1" w:unhideWhenUsed="0" w:uiPriority="99" w:name="E-mail Signature"/>
    <w:lsdException w:qFormat="1" w:unhideWhenUsed="0" w:uiPriority="99" w:semiHidden="0" w:name="Normal (Web)"/>
    <w:lsdException w:qFormat="1" w:unhideWhenUsed="0" w:uiPriority="99" w:name="HTML Acronym"/>
    <w:lsdException w:qFormat="1" w:unhideWhenUsed="0" w:uiPriority="99" w:name="HTML Address"/>
    <w:lsdException w:qFormat="1" w:unhideWhenUsed="0" w:uiPriority="99" w:name="HTML Cite"/>
    <w:lsdException w:qFormat="1" w:unhideWhenUsed="0" w:uiPriority="99" w:name="HTML Code"/>
    <w:lsdException w:qFormat="1" w:unhideWhenUsed="0" w:uiPriority="99" w:name="HTML Definition"/>
    <w:lsdException w:qFormat="1" w:unhideWhenUsed="0" w:uiPriority="99" w:name="HTML Keyboard"/>
    <w:lsdException w:qFormat="1" w:unhideWhenUsed="0" w:uiPriority="99" w:name="HTML Preformatted"/>
    <w:lsdException w:qFormat="1" w:unhideWhenUsed="0" w:uiPriority="99" w:name="HTML Sample"/>
    <w:lsdException w:qFormat="1" w:unhideWhenUsed="0" w:uiPriority="99" w:name="HTML Typewriter"/>
    <w:lsdException w:qFormat="1" w:unhideWhenUsed="0" w:uiPriority="99" w:name="HTML Variable"/>
    <w:lsdException w:qFormat="1" w:uiPriority="99" w:name="Normal Table"/>
    <w:lsdException w:qFormat="1" w:unhideWhenUsed="0" w:uiPriority="0" w:semiHidden="0" w:name="annotation subject"/>
    <w:lsdException w:qFormat="1" w:unhideWhenUsed="0" w:uiPriority="99" w:name="Table Simple 1"/>
    <w:lsdException w:qFormat="1" w:unhideWhenUsed="0" w:uiPriority="99" w:name="Table Simple 2"/>
    <w:lsdException w:qFormat="1" w:unhideWhenUsed="0" w:uiPriority="99" w:name="Table Simple 3"/>
    <w:lsdException w:qFormat="1" w:unhideWhenUsed="0" w:uiPriority="99" w:name="Table Classic 1"/>
    <w:lsdException w:qFormat="1" w:unhideWhenUsed="0" w:uiPriority="99" w:name="Table Classic 2"/>
    <w:lsdException w:qFormat="1" w:unhideWhenUsed="0" w:uiPriority="99" w:name="Table Classic 3"/>
    <w:lsdException w:qFormat="1" w:unhideWhenUsed="0" w:uiPriority="99" w:name="Table Classic 4"/>
    <w:lsdException w:qFormat="1" w:unhideWhenUsed="0" w:uiPriority="99" w:name="Table Colorful 1"/>
    <w:lsdException w:qFormat="1" w:unhideWhenUsed="0" w:uiPriority="99" w:name="Table Colorful 2"/>
    <w:lsdException w:qFormat="1" w:unhideWhenUsed="0" w:uiPriority="99" w:name="Table Colorful 3"/>
    <w:lsdException w:qFormat="1" w:unhideWhenUsed="0" w:uiPriority="99" w:name="Table Columns 1"/>
    <w:lsdException w:qFormat="1" w:unhideWhenUsed="0" w:uiPriority="99" w:name="Table Columns 2"/>
    <w:lsdException w:qFormat="1" w:unhideWhenUsed="0" w:uiPriority="99" w:name="Table Columns 3"/>
    <w:lsdException w:qFormat="1" w:unhideWhenUsed="0" w:uiPriority="99" w:name="Table Columns 4"/>
    <w:lsdException w:qFormat="1" w:unhideWhenUsed="0" w:uiPriority="99" w:name="Table Columns 5"/>
    <w:lsdException w:qFormat="1" w:unhideWhenUsed="0" w:uiPriority="99" w:name="Table Grid 1"/>
    <w:lsdException w:qFormat="1" w:unhideWhenUsed="0" w:uiPriority="99" w:name="Table Grid 2"/>
    <w:lsdException w:qFormat="1" w:unhideWhenUsed="0" w:uiPriority="99" w:name="Table Grid 3"/>
    <w:lsdException w:qFormat="1" w:unhideWhenUsed="0" w:uiPriority="99" w:name="Table Grid 4"/>
    <w:lsdException w:qFormat="1" w:unhideWhenUsed="0" w:uiPriority="99" w:name="Table Grid 5"/>
    <w:lsdException w:qFormat="1" w:unhideWhenUsed="0" w:uiPriority="99" w:name="Table Grid 6"/>
    <w:lsdException w:qFormat="1" w:unhideWhenUsed="0" w:uiPriority="99" w:name="Table Grid 7"/>
    <w:lsdException w:qFormat="1" w:unhideWhenUsed="0" w:uiPriority="99" w:name="Table Grid 8"/>
    <w:lsdException w:qFormat="1" w:unhideWhenUsed="0" w:uiPriority="99" w:name="Table List 1"/>
    <w:lsdException w:qFormat="1" w:unhideWhenUsed="0" w:uiPriority="99" w:name="Table List 2"/>
    <w:lsdException w:qFormat="1" w:unhideWhenUsed="0" w:uiPriority="99" w:name="Table List 3"/>
    <w:lsdException w:qFormat="1" w:unhideWhenUsed="0" w:uiPriority="99" w:name="Table List 4"/>
    <w:lsdException w:qFormat="1" w:unhideWhenUsed="0" w:uiPriority="99" w:name="Table List 5"/>
    <w:lsdException w:qFormat="1" w:unhideWhenUsed="0" w:uiPriority="99" w:name="Table List 6"/>
    <w:lsdException w:qFormat="1" w:unhideWhenUsed="0" w:uiPriority="99" w:name="Table List 7"/>
    <w:lsdException w:qFormat="1" w:unhideWhenUsed="0" w:uiPriority="99" w:name="Table List 8"/>
    <w:lsdException w:qFormat="1" w:unhideWhenUsed="0" w:uiPriority="99" w:name="Table 3D effects 1"/>
    <w:lsdException w:qFormat="1" w:unhideWhenUsed="0" w:uiPriority="99" w:name="Table 3D effects 2"/>
    <w:lsdException w:qFormat="1" w:unhideWhenUsed="0" w:uiPriority="99" w:name="Table 3D effects 3"/>
    <w:lsdException w:qFormat="1" w:unhideWhenUsed="0" w:uiPriority="99" w:name="Table Contemporary"/>
    <w:lsdException w:qFormat="1" w:unhideWhenUsed="0" w:uiPriority="99" w:name="Table Elegant"/>
    <w:lsdException w:qFormat="1" w:unhideWhenUsed="0" w:uiPriority="99" w:name="Table Professional"/>
    <w:lsdException w:qFormat="1" w:unhideWhenUsed="0" w:uiPriority="99" w:name="Table Subtle 1"/>
    <w:lsdException w:qFormat="1" w:unhideWhenUsed="0" w:uiPriority="99" w:name="Table Subtle 2"/>
    <w:lsdException w:qFormat="1" w:unhideWhenUsed="0" w:uiPriority="99" w:name="Table Web 1"/>
    <w:lsdException w:qFormat="1" w:unhideWhenUsed="0" w:uiPriority="99" w:name="Table Web 2"/>
    <w:lsdException w:qFormat="1" w:unhideWhenUsed="0" w:uiPriority="99" w:name="Table Web 3"/>
    <w:lsdException w:qFormat="1" w:unhideWhenUsed="0" w:uiPriority="0" w:semiHidden="0" w:name="Balloon Text"/>
    <w:lsdException w:qFormat="1" w:unhideWhenUsed="0" w:uiPriority="99" w:name="Table Grid"/>
    <w:lsdException w:qFormat="1" w:unhideWhenUsed="0"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38"/>
    <w:qFormat/>
    <w:uiPriority w:val="0"/>
    <w:pPr>
      <w:keepNext/>
      <w:keepLines/>
      <w:spacing w:before="340" w:after="330" w:line="578" w:lineRule="auto"/>
      <w:outlineLvl w:val="0"/>
    </w:pPr>
    <w:rPr>
      <w:b/>
      <w:bCs/>
      <w:kern w:val="44"/>
      <w:sz w:val="44"/>
      <w:szCs w:val="44"/>
    </w:rPr>
  </w:style>
  <w:style w:type="paragraph" w:styleId="4">
    <w:name w:val="heading 2"/>
    <w:basedOn w:val="1"/>
    <w:next w:val="2"/>
    <w:link w:val="139"/>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40"/>
    <w:qFormat/>
    <w:uiPriority w:val="9"/>
    <w:pPr>
      <w:keepNext/>
      <w:keepLines/>
      <w:spacing w:before="260" w:after="260" w:line="416" w:lineRule="auto"/>
      <w:outlineLvl w:val="2"/>
    </w:pPr>
    <w:rPr>
      <w:b/>
      <w:bCs/>
      <w:kern w:val="0"/>
      <w:sz w:val="32"/>
      <w:szCs w:val="32"/>
    </w:rPr>
  </w:style>
  <w:style w:type="paragraph" w:styleId="6">
    <w:name w:val="heading 4"/>
    <w:basedOn w:val="1"/>
    <w:next w:val="1"/>
    <w:link w:val="141"/>
    <w:qFormat/>
    <w:uiPriority w:val="99"/>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42"/>
    <w:qFormat/>
    <w:uiPriority w:val="99"/>
    <w:pPr>
      <w:keepNext/>
      <w:keepLines/>
      <w:spacing w:before="280" w:after="290" w:line="376" w:lineRule="auto"/>
      <w:outlineLvl w:val="4"/>
    </w:pPr>
    <w:rPr>
      <w:b/>
      <w:bCs/>
      <w:kern w:val="0"/>
      <w:sz w:val="28"/>
      <w:szCs w:val="28"/>
    </w:rPr>
  </w:style>
  <w:style w:type="paragraph" w:styleId="8">
    <w:name w:val="heading 6"/>
    <w:basedOn w:val="1"/>
    <w:next w:val="1"/>
    <w:link w:val="143"/>
    <w:qFormat/>
    <w:uiPriority w:val="99"/>
    <w:pPr>
      <w:keepNext/>
      <w:keepLines/>
      <w:spacing w:before="240" w:after="64" w:line="320" w:lineRule="auto"/>
      <w:outlineLvl w:val="5"/>
    </w:pPr>
    <w:rPr>
      <w:rFonts w:ascii="Arial" w:hAnsi="Arial" w:eastAsia="黑体"/>
      <w:b/>
      <w:bCs/>
      <w:kern w:val="0"/>
      <w:sz w:val="20"/>
      <w:szCs w:val="20"/>
    </w:rPr>
  </w:style>
  <w:style w:type="paragraph" w:styleId="9">
    <w:name w:val="heading 7"/>
    <w:basedOn w:val="1"/>
    <w:next w:val="1"/>
    <w:link w:val="144"/>
    <w:qFormat/>
    <w:uiPriority w:val="9"/>
    <w:pPr>
      <w:keepNext/>
      <w:keepLines/>
      <w:spacing w:before="240" w:after="64" w:line="320" w:lineRule="auto"/>
      <w:jc w:val="left"/>
      <w:outlineLvl w:val="6"/>
    </w:pPr>
    <w:rPr>
      <w:b/>
      <w:bCs/>
      <w:kern w:val="0"/>
      <w:sz w:val="24"/>
    </w:rPr>
  </w:style>
  <w:style w:type="paragraph" w:styleId="10">
    <w:name w:val="heading 8"/>
    <w:basedOn w:val="1"/>
    <w:next w:val="1"/>
    <w:link w:val="145"/>
    <w:qFormat/>
    <w:uiPriority w:val="9"/>
    <w:pPr>
      <w:keepNext/>
      <w:keepLines/>
      <w:tabs>
        <w:tab w:val="left" w:pos="1440"/>
      </w:tabs>
      <w:adjustRightInd w:val="0"/>
      <w:spacing w:line="360" w:lineRule="atLeast"/>
      <w:ind w:left="1440" w:hanging="1440"/>
      <w:outlineLvl w:val="7"/>
    </w:pPr>
    <w:rPr>
      <w:rFonts w:ascii="Cambria" w:hAnsi="Cambria"/>
      <w:kern w:val="0"/>
      <w:sz w:val="24"/>
    </w:rPr>
  </w:style>
  <w:style w:type="paragraph" w:styleId="11">
    <w:name w:val="heading 9"/>
    <w:basedOn w:val="1"/>
    <w:next w:val="1"/>
    <w:link w:val="146"/>
    <w:qFormat/>
    <w:uiPriority w:val="9"/>
    <w:pPr>
      <w:keepNext/>
      <w:keepLines/>
      <w:tabs>
        <w:tab w:val="left" w:pos="1584"/>
      </w:tabs>
      <w:adjustRightInd w:val="0"/>
      <w:spacing w:line="360" w:lineRule="atLeast"/>
      <w:ind w:left="1584" w:hanging="1584"/>
      <w:outlineLvl w:val="8"/>
    </w:pPr>
    <w:rPr>
      <w:rFonts w:ascii="Cambria" w:hAnsi="Cambria"/>
      <w:kern w:val="0"/>
      <w:sz w:val="20"/>
      <w:szCs w:val="21"/>
    </w:rPr>
  </w:style>
  <w:style w:type="character" w:default="1" w:styleId="120">
    <w:name w:val="Default Paragraph Font"/>
    <w:semiHidden/>
    <w:unhideWhenUsed/>
    <w:qFormat/>
    <w:uiPriority w:val="1"/>
  </w:style>
  <w:style w:type="table" w:default="1" w:styleId="7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link w:val="149"/>
    <w:qFormat/>
    <w:uiPriority w:val="0"/>
    <w:pPr>
      <w:ind w:firstLine="420" w:firstLineChars="200"/>
    </w:pPr>
    <w:rPr>
      <w:kern w:val="0"/>
      <w:szCs w:val="20"/>
    </w:rPr>
  </w:style>
  <w:style w:type="paragraph" w:styleId="12">
    <w:name w:val="List 3"/>
    <w:basedOn w:val="1"/>
    <w:qFormat/>
    <w:uiPriority w:val="99"/>
    <w:pPr>
      <w:ind w:left="100" w:leftChars="400" w:hanging="200" w:hangingChars="200"/>
    </w:pPr>
  </w:style>
  <w:style w:type="paragraph" w:styleId="13">
    <w:name w:val="toc 7"/>
    <w:basedOn w:val="1"/>
    <w:next w:val="1"/>
    <w:semiHidden/>
    <w:qFormat/>
    <w:uiPriority w:val="99"/>
    <w:pPr>
      <w:ind w:left="1260"/>
      <w:jc w:val="left"/>
    </w:pPr>
    <w:rPr>
      <w:sz w:val="18"/>
      <w:szCs w:val="18"/>
    </w:rPr>
  </w:style>
  <w:style w:type="paragraph" w:styleId="14">
    <w:name w:val="List Number 2"/>
    <w:basedOn w:val="1"/>
    <w:semiHidden/>
    <w:qFormat/>
    <w:uiPriority w:val="99"/>
    <w:pPr>
      <w:tabs>
        <w:tab w:val="left" w:pos="780"/>
      </w:tabs>
      <w:spacing w:after="200" w:line="276" w:lineRule="auto"/>
      <w:ind w:left="780" w:leftChars="200" w:hanging="360" w:hangingChars="200"/>
      <w:jc w:val="left"/>
    </w:pPr>
    <w:rPr>
      <w:rFonts w:ascii="Calibri" w:hAnsi="Calibri"/>
      <w:kern w:val="0"/>
      <w:sz w:val="22"/>
      <w:szCs w:val="22"/>
      <w:lang w:eastAsia="en-US"/>
    </w:rPr>
  </w:style>
  <w:style w:type="paragraph" w:styleId="15">
    <w:name w:val="table of authorities"/>
    <w:basedOn w:val="1"/>
    <w:next w:val="1"/>
    <w:semiHidden/>
    <w:qFormat/>
    <w:uiPriority w:val="99"/>
    <w:pPr>
      <w:spacing w:after="200" w:line="276" w:lineRule="auto"/>
      <w:ind w:left="420" w:leftChars="200"/>
      <w:jc w:val="left"/>
    </w:pPr>
    <w:rPr>
      <w:rFonts w:ascii="Calibri" w:hAnsi="Calibri"/>
      <w:kern w:val="0"/>
      <w:sz w:val="22"/>
      <w:szCs w:val="22"/>
      <w:lang w:eastAsia="en-US"/>
    </w:rPr>
  </w:style>
  <w:style w:type="paragraph" w:styleId="16">
    <w:name w:val="Note Heading"/>
    <w:basedOn w:val="1"/>
    <w:next w:val="1"/>
    <w:link w:val="147"/>
    <w:semiHidden/>
    <w:qFormat/>
    <w:uiPriority w:val="0"/>
    <w:pPr>
      <w:spacing w:after="200" w:line="276" w:lineRule="auto"/>
      <w:jc w:val="center"/>
    </w:pPr>
    <w:rPr>
      <w:kern w:val="0"/>
      <w:sz w:val="20"/>
    </w:rPr>
  </w:style>
  <w:style w:type="paragraph" w:styleId="17">
    <w:name w:val="List Bullet 4"/>
    <w:basedOn w:val="1"/>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18">
    <w:name w:val="E-mail Signature"/>
    <w:basedOn w:val="1"/>
    <w:link w:val="148"/>
    <w:semiHidden/>
    <w:qFormat/>
    <w:uiPriority w:val="99"/>
    <w:pPr>
      <w:spacing w:after="200" w:line="276" w:lineRule="auto"/>
      <w:jc w:val="left"/>
    </w:pPr>
    <w:rPr>
      <w:kern w:val="0"/>
      <w:sz w:val="20"/>
    </w:rPr>
  </w:style>
  <w:style w:type="paragraph" w:styleId="19">
    <w:name w:val="List Number"/>
    <w:basedOn w:val="1"/>
    <w:semiHidden/>
    <w:qFormat/>
    <w:uiPriority w:val="99"/>
    <w:pPr>
      <w:tabs>
        <w:tab w:val="left" w:pos="360"/>
      </w:tabs>
      <w:spacing w:after="200" w:line="276" w:lineRule="auto"/>
      <w:ind w:left="360" w:hanging="360" w:hangingChars="200"/>
      <w:jc w:val="left"/>
    </w:pPr>
    <w:rPr>
      <w:rFonts w:ascii="Calibri" w:hAnsi="Calibri"/>
      <w:kern w:val="0"/>
      <w:sz w:val="22"/>
      <w:szCs w:val="22"/>
      <w:lang w:eastAsia="en-US"/>
    </w:rPr>
  </w:style>
  <w:style w:type="paragraph" w:styleId="20">
    <w:name w:val="caption"/>
    <w:basedOn w:val="1"/>
    <w:next w:val="1"/>
    <w:qFormat/>
    <w:uiPriority w:val="99"/>
    <w:pPr>
      <w:spacing w:before="152" w:after="160"/>
    </w:pPr>
    <w:rPr>
      <w:rFonts w:ascii="Arial" w:hAnsi="Arial" w:eastAsia="黑体" w:cs="Arial"/>
      <w:sz w:val="20"/>
      <w:szCs w:val="20"/>
    </w:rPr>
  </w:style>
  <w:style w:type="paragraph" w:styleId="21">
    <w:name w:val="List Bullet"/>
    <w:basedOn w:val="1"/>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22">
    <w:name w:val="envelope address"/>
    <w:basedOn w:val="1"/>
    <w:semiHidden/>
    <w:qFormat/>
    <w:uiPriority w:val="99"/>
    <w:pPr>
      <w:framePr w:w="7920" w:h="1980" w:hRule="exact" w:hSpace="180" w:wrap="around" w:vAnchor="margin" w:hAnchor="page" w:xAlign="center" w:yAlign="bottom"/>
      <w:snapToGrid w:val="0"/>
      <w:spacing w:after="200" w:line="276" w:lineRule="auto"/>
      <w:ind w:left="100" w:leftChars="1400"/>
      <w:jc w:val="left"/>
    </w:pPr>
    <w:rPr>
      <w:rFonts w:ascii="Arial" w:hAnsi="Arial" w:cs="Arial"/>
      <w:kern w:val="0"/>
      <w:sz w:val="24"/>
      <w:lang w:eastAsia="en-US"/>
    </w:rPr>
  </w:style>
  <w:style w:type="paragraph" w:styleId="23">
    <w:name w:val="Document Map"/>
    <w:basedOn w:val="1"/>
    <w:link w:val="150"/>
    <w:semiHidden/>
    <w:qFormat/>
    <w:uiPriority w:val="99"/>
    <w:pPr>
      <w:shd w:val="clear" w:color="auto" w:fill="000080"/>
    </w:pPr>
    <w:rPr>
      <w:kern w:val="0"/>
      <w:sz w:val="16"/>
      <w:szCs w:val="16"/>
    </w:rPr>
  </w:style>
  <w:style w:type="paragraph" w:styleId="24">
    <w:name w:val="toa heading"/>
    <w:basedOn w:val="1"/>
    <w:next w:val="1"/>
    <w:semiHidden/>
    <w:qFormat/>
    <w:uiPriority w:val="99"/>
    <w:pPr>
      <w:spacing w:before="120"/>
    </w:pPr>
    <w:rPr>
      <w:rFonts w:ascii="Arial" w:hAnsi="Arial"/>
      <w:sz w:val="24"/>
      <w:szCs w:val="20"/>
    </w:rPr>
  </w:style>
  <w:style w:type="paragraph" w:styleId="25">
    <w:name w:val="annotation text"/>
    <w:basedOn w:val="1"/>
    <w:link w:val="151"/>
    <w:qFormat/>
    <w:uiPriority w:val="0"/>
    <w:pPr>
      <w:spacing w:after="200" w:line="276" w:lineRule="auto"/>
      <w:jc w:val="left"/>
    </w:pPr>
    <w:rPr>
      <w:kern w:val="0"/>
      <w:sz w:val="20"/>
    </w:rPr>
  </w:style>
  <w:style w:type="paragraph" w:styleId="26">
    <w:name w:val="Salutation"/>
    <w:basedOn w:val="1"/>
    <w:next w:val="1"/>
    <w:link w:val="152"/>
    <w:semiHidden/>
    <w:qFormat/>
    <w:uiPriority w:val="99"/>
    <w:pPr>
      <w:spacing w:after="200" w:line="276" w:lineRule="auto"/>
      <w:jc w:val="left"/>
    </w:pPr>
    <w:rPr>
      <w:kern w:val="0"/>
      <w:sz w:val="20"/>
    </w:rPr>
  </w:style>
  <w:style w:type="paragraph" w:styleId="27">
    <w:name w:val="Body Text 3"/>
    <w:basedOn w:val="1"/>
    <w:next w:val="1"/>
    <w:link w:val="153"/>
    <w:qFormat/>
    <w:uiPriority w:val="99"/>
    <w:rPr>
      <w:kern w:val="0"/>
      <w:sz w:val="16"/>
      <w:szCs w:val="16"/>
    </w:rPr>
  </w:style>
  <w:style w:type="paragraph" w:styleId="28">
    <w:name w:val="Closing"/>
    <w:basedOn w:val="1"/>
    <w:link w:val="154"/>
    <w:semiHidden/>
    <w:qFormat/>
    <w:uiPriority w:val="99"/>
    <w:pPr>
      <w:spacing w:after="200" w:line="276" w:lineRule="auto"/>
      <w:ind w:left="100" w:leftChars="2100"/>
      <w:jc w:val="left"/>
    </w:pPr>
    <w:rPr>
      <w:kern w:val="0"/>
      <w:sz w:val="20"/>
    </w:rPr>
  </w:style>
  <w:style w:type="paragraph" w:styleId="29">
    <w:name w:val="List Bullet 3"/>
    <w:basedOn w:val="1"/>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30">
    <w:name w:val="Body Text"/>
    <w:basedOn w:val="1"/>
    <w:next w:val="31"/>
    <w:link w:val="155"/>
    <w:qFormat/>
    <w:uiPriority w:val="0"/>
    <w:pPr>
      <w:spacing w:after="120"/>
    </w:pPr>
    <w:rPr>
      <w:kern w:val="0"/>
      <w:sz w:val="20"/>
    </w:rPr>
  </w:style>
  <w:style w:type="paragraph" w:styleId="31">
    <w:name w:val="header"/>
    <w:basedOn w:val="1"/>
    <w:next w:val="32"/>
    <w:link w:val="163"/>
    <w:qFormat/>
    <w:uiPriority w:val="0"/>
    <w:pPr>
      <w:pBdr>
        <w:bottom w:val="single" w:color="auto" w:sz="6" w:space="1"/>
      </w:pBdr>
      <w:tabs>
        <w:tab w:val="center" w:pos="4153"/>
        <w:tab w:val="right" w:pos="8306"/>
      </w:tabs>
      <w:snapToGrid w:val="0"/>
      <w:jc w:val="center"/>
    </w:pPr>
    <w:rPr>
      <w:kern w:val="0"/>
      <w:sz w:val="18"/>
      <w:szCs w:val="18"/>
    </w:rPr>
  </w:style>
  <w:style w:type="paragraph" w:customStyle="1" w:styleId="32">
    <w:name w:val="Quote1"/>
    <w:basedOn w:val="1"/>
    <w:next w:val="1"/>
    <w:qFormat/>
    <w:uiPriority w:val="0"/>
    <w:pPr>
      <w:widowControl/>
      <w:wordWrap w:val="0"/>
      <w:spacing w:before="200" w:after="160"/>
      <w:ind w:left="864" w:right="864"/>
      <w:jc w:val="center"/>
    </w:pPr>
    <w:rPr>
      <w:rFonts w:ascii="宋体"/>
      <w:i/>
      <w:color w:val="404040"/>
    </w:rPr>
  </w:style>
  <w:style w:type="paragraph" w:styleId="33">
    <w:name w:val="Body Text Indent"/>
    <w:basedOn w:val="1"/>
    <w:next w:val="1"/>
    <w:link w:val="156"/>
    <w:qFormat/>
    <w:uiPriority w:val="99"/>
    <w:pPr>
      <w:spacing w:line="500" w:lineRule="exact"/>
      <w:ind w:left="1588" w:leftChars="832" w:firstLine="433" w:firstLineChars="196"/>
    </w:pPr>
    <w:rPr>
      <w:kern w:val="0"/>
      <w:sz w:val="20"/>
    </w:rPr>
  </w:style>
  <w:style w:type="paragraph" w:styleId="34">
    <w:name w:val="List Number 3"/>
    <w:basedOn w:val="1"/>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35">
    <w:name w:val="List 2"/>
    <w:basedOn w:val="1"/>
    <w:qFormat/>
    <w:uiPriority w:val="99"/>
    <w:pPr>
      <w:ind w:left="100" w:leftChars="200" w:hanging="200" w:hangingChars="200"/>
    </w:pPr>
  </w:style>
  <w:style w:type="paragraph" w:styleId="36">
    <w:name w:val="List Continue"/>
    <w:basedOn w:val="1"/>
    <w:qFormat/>
    <w:uiPriority w:val="99"/>
    <w:pPr>
      <w:spacing w:after="120"/>
      <w:ind w:left="420" w:leftChars="200"/>
    </w:pPr>
  </w:style>
  <w:style w:type="paragraph" w:styleId="37">
    <w:name w:val="Block Text"/>
    <w:basedOn w:val="1"/>
    <w:semiHidden/>
    <w:qFormat/>
    <w:uiPriority w:val="99"/>
    <w:pPr>
      <w:spacing w:after="120" w:line="276" w:lineRule="auto"/>
      <w:ind w:left="1440" w:leftChars="700" w:right="1440" w:rightChars="700"/>
      <w:jc w:val="left"/>
    </w:pPr>
    <w:rPr>
      <w:rFonts w:ascii="Calibri" w:hAnsi="Calibri"/>
      <w:kern w:val="0"/>
      <w:sz w:val="22"/>
      <w:szCs w:val="22"/>
      <w:lang w:eastAsia="en-US"/>
    </w:rPr>
  </w:style>
  <w:style w:type="paragraph" w:styleId="38">
    <w:name w:val="List Bullet 2"/>
    <w:basedOn w:val="1"/>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39">
    <w:name w:val="HTML Address"/>
    <w:basedOn w:val="1"/>
    <w:link w:val="157"/>
    <w:semiHidden/>
    <w:qFormat/>
    <w:uiPriority w:val="99"/>
    <w:pPr>
      <w:spacing w:after="200" w:line="276" w:lineRule="auto"/>
      <w:jc w:val="left"/>
    </w:pPr>
    <w:rPr>
      <w:i/>
      <w:iCs/>
      <w:kern w:val="0"/>
      <w:sz w:val="20"/>
    </w:rPr>
  </w:style>
  <w:style w:type="paragraph" w:styleId="40">
    <w:name w:val="toc 5"/>
    <w:basedOn w:val="1"/>
    <w:next w:val="1"/>
    <w:semiHidden/>
    <w:qFormat/>
    <w:uiPriority w:val="99"/>
    <w:pPr>
      <w:ind w:left="840"/>
      <w:jc w:val="left"/>
    </w:pPr>
    <w:rPr>
      <w:sz w:val="18"/>
      <w:szCs w:val="18"/>
    </w:rPr>
  </w:style>
  <w:style w:type="paragraph" w:styleId="41">
    <w:name w:val="toc 3"/>
    <w:basedOn w:val="1"/>
    <w:next w:val="1"/>
    <w:qFormat/>
    <w:uiPriority w:val="39"/>
    <w:pPr>
      <w:ind w:left="420"/>
      <w:jc w:val="left"/>
    </w:pPr>
    <w:rPr>
      <w:i/>
      <w:iCs/>
      <w:sz w:val="20"/>
      <w:szCs w:val="20"/>
    </w:rPr>
  </w:style>
  <w:style w:type="paragraph" w:styleId="42">
    <w:name w:val="Plain Text"/>
    <w:basedOn w:val="1"/>
    <w:next w:val="1"/>
    <w:link w:val="158"/>
    <w:qFormat/>
    <w:uiPriority w:val="0"/>
    <w:rPr>
      <w:rFonts w:ascii="宋体" w:hAnsi="Courier New"/>
      <w:kern w:val="0"/>
      <w:sz w:val="20"/>
      <w:szCs w:val="21"/>
    </w:rPr>
  </w:style>
  <w:style w:type="paragraph" w:styleId="43">
    <w:name w:val="List Bullet 5"/>
    <w:basedOn w:val="1"/>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44">
    <w:name w:val="List Number 4"/>
    <w:basedOn w:val="1"/>
    <w:semiHidden/>
    <w:qFormat/>
    <w:uiPriority w:val="99"/>
    <w:pPr>
      <w:numPr>
        <w:ilvl w:val="0"/>
        <w:numId w:val="1"/>
      </w:numPr>
      <w:spacing w:after="200" w:line="276" w:lineRule="auto"/>
      <w:jc w:val="left"/>
    </w:pPr>
    <w:rPr>
      <w:rFonts w:ascii="Calibri" w:hAnsi="Calibri"/>
      <w:kern w:val="0"/>
      <w:sz w:val="22"/>
      <w:szCs w:val="22"/>
      <w:lang w:eastAsia="en-US"/>
    </w:rPr>
  </w:style>
  <w:style w:type="paragraph" w:styleId="45">
    <w:name w:val="toc 8"/>
    <w:basedOn w:val="1"/>
    <w:next w:val="1"/>
    <w:semiHidden/>
    <w:qFormat/>
    <w:uiPriority w:val="99"/>
    <w:pPr>
      <w:ind w:left="1470"/>
      <w:jc w:val="left"/>
    </w:pPr>
    <w:rPr>
      <w:sz w:val="18"/>
      <w:szCs w:val="18"/>
    </w:rPr>
  </w:style>
  <w:style w:type="paragraph" w:styleId="46">
    <w:name w:val="Date"/>
    <w:basedOn w:val="1"/>
    <w:next w:val="1"/>
    <w:link w:val="159"/>
    <w:qFormat/>
    <w:uiPriority w:val="99"/>
    <w:pPr>
      <w:ind w:left="100" w:leftChars="2500"/>
    </w:pPr>
    <w:rPr>
      <w:kern w:val="0"/>
      <w:sz w:val="20"/>
    </w:rPr>
  </w:style>
  <w:style w:type="paragraph" w:styleId="47">
    <w:name w:val="Body Text Indent 2"/>
    <w:basedOn w:val="1"/>
    <w:link w:val="160"/>
    <w:qFormat/>
    <w:uiPriority w:val="99"/>
    <w:pPr>
      <w:spacing w:line="500" w:lineRule="exact"/>
      <w:ind w:firstLine="442" w:firstLineChars="200"/>
    </w:pPr>
    <w:rPr>
      <w:kern w:val="0"/>
      <w:sz w:val="20"/>
    </w:rPr>
  </w:style>
  <w:style w:type="paragraph" w:styleId="48">
    <w:name w:val="List Continue 5"/>
    <w:basedOn w:val="1"/>
    <w:semiHidden/>
    <w:qFormat/>
    <w:uiPriority w:val="99"/>
    <w:pPr>
      <w:spacing w:after="120" w:line="276" w:lineRule="auto"/>
      <w:ind w:left="2100" w:leftChars="1000"/>
      <w:jc w:val="left"/>
    </w:pPr>
    <w:rPr>
      <w:rFonts w:ascii="Calibri" w:hAnsi="Calibri"/>
      <w:kern w:val="0"/>
      <w:sz w:val="22"/>
      <w:szCs w:val="22"/>
      <w:lang w:eastAsia="en-US"/>
    </w:rPr>
  </w:style>
  <w:style w:type="paragraph" w:styleId="49">
    <w:name w:val="Balloon Text"/>
    <w:basedOn w:val="1"/>
    <w:link w:val="161"/>
    <w:qFormat/>
    <w:uiPriority w:val="0"/>
    <w:rPr>
      <w:kern w:val="0"/>
      <w:sz w:val="16"/>
      <w:szCs w:val="16"/>
    </w:rPr>
  </w:style>
  <w:style w:type="paragraph" w:styleId="50">
    <w:name w:val="footer"/>
    <w:basedOn w:val="1"/>
    <w:link w:val="162"/>
    <w:qFormat/>
    <w:uiPriority w:val="99"/>
    <w:pPr>
      <w:tabs>
        <w:tab w:val="center" w:pos="4153"/>
        <w:tab w:val="right" w:pos="8306"/>
      </w:tabs>
      <w:snapToGrid w:val="0"/>
      <w:jc w:val="left"/>
    </w:pPr>
    <w:rPr>
      <w:kern w:val="0"/>
      <w:sz w:val="18"/>
      <w:szCs w:val="18"/>
    </w:rPr>
  </w:style>
  <w:style w:type="paragraph" w:styleId="51">
    <w:name w:val="envelope return"/>
    <w:basedOn w:val="1"/>
    <w:semiHidden/>
    <w:qFormat/>
    <w:uiPriority w:val="99"/>
    <w:pPr>
      <w:snapToGrid w:val="0"/>
      <w:spacing w:after="200" w:line="276" w:lineRule="auto"/>
      <w:jc w:val="left"/>
    </w:pPr>
    <w:rPr>
      <w:rFonts w:ascii="Arial" w:hAnsi="Arial" w:cs="Arial"/>
      <w:kern w:val="0"/>
      <w:sz w:val="22"/>
      <w:szCs w:val="22"/>
      <w:lang w:eastAsia="en-US"/>
    </w:rPr>
  </w:style>
  <w:style w:type="paragraph" w:styleId="52">
    <w:name w:val="Signature"/>
    <w:basedOn w:val="1"/>
    <w:link w:val="164"/>
    <w:qFormat/>
    <w:uiPriority w:val="99"/>
    <w:pPr>
      <w:ind w:left="100" w:leftChars="2100"/>
    </w:pPr>
    <w:rPr>
      <w:kern w:val="0"/>
      <w:sz w:val="20"/>
    </w:rPr>
  </w:style>
  <w:style w:type="paragraph" w:styleId="53">
    <w:name w:val="toc 1"/>
    <w:basedOn w:val="1"/>
    <w:next w:val="1"/>
    <w:qFormat/>
    <w:uiPriority w:val="39"/>
    <w:pPr>
      <w:spacing w:before="120" w:after="120"/>
      <w:jc w:val="left"/>
    </w:pPr>
    <w:rPr>
      <w:b/>
      <w:bCs/>
      <w:caps/>
      <w:sz w:val="20"/>
      <w:szCs w:val="20"/>
    </w:rPr>
  </w:style>
  <w:style w:type="paragraph" w:styleId="54">
    <w:name w:val="List Continue 4"/>
    <w:basedOn w:val="1"/>
    <w:qFormat/>
    <w:uiPriority w:val="99"/>
    <w:pPr>
      <w:spacing w:after="120"/>
      <w:ind w:left="1680" w:leftChars="800"/>
    </w:pPr>
  </w:style>
  <w:style w:type="paragraph" w:styleId="55">
    <w:name w:val="toc 4"/>
    <w:basedOn w:val="1"/>
    <w:next w:val="1"/>
    <w:semiHidden/>
    <w:qFormat/>
    <w:uiPriority w:val="99"/>
    <w:pPr>
      <w:ind w:left="630"/>
      <w:jc w:val="left"/>
    </w:pPr>
    <w:rPr>
      <w:sz w:val="18"/>
      <w:szCs w:val="18"/>
    </w:rPr>
  </w:style>
  <w:style w:type="paragraph" w:styleId="56">
    <w:name w:val="Subtitle"/>
    <w:basedOn w:val="1"/>
    <w:link w:val="165"/>
    <w:qFormat/>
    <w:uiPriority w:val="11"/>
    <w:pPr>
      <w:spacing w:before="240" w:after="60" w:line="312" w:lineRule="auto"/>
      <w:jc w:val="center"/>
      <w:outlineLvl w:val="1"/>
    </w:pPr>
    <w:rPr>
      <w:rFonts w:ascii="Cambria" w:hAnsi="Cambria"/>
      <w:b/>
      <w:bCs/>
      <w:kern w:val="28"/>
      <w:sz w:val="32"/>
      <w:szCs w:val="32"/>
    </w:rPr>
  </w:style>
  <w:style w:type="paragraph" w:styleId="57">
    <w:name w:val="List Number 5"/>
    <w:basedOn w:val="1"/>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58">
    <w:name w:val="List"/>
    <w:basedOn w:val="1"/>
    <w:qFormat/>
    <w:uiPriority w:val="99"/>
    <w:pPr>
      <w:ind w:left="200" w:hanging="200" w:hangingChars="200"/>
    </w:pPr>
  </w:style>
  <w:style w:type="paragraph" w:styleId="59">
    <w:name w:val="toc 6"/>
    <w:basedOn w:val="1"/>
    <w:next w:val="1"/>
    <w:semiHidden/>
    <w:qFormat/>
    <w:uiPriority w:val="99"/>
    <w:pPr>
      <w:ind w:left="1050"/>
      <w:jc w:val="left"/>
    </w:pPr>
    <w:rPr>
      <w:sz w:val="18"/>
      <w:szCs w:val="18"/>
    </w:rPr>
  </w:style>
  <w:style w:type="paragraph" w:styleId="60">
    <w:name w:val="List 5"/>
    <w:basedOn w:val="1"/>
    <w:qFormat/>
    <w:uiPriority w:val="99"/>
    <w:pPr>
      <w:ind w:left="100" w:leftChars="800" w:hanging="200" w:hangingChars="200"/>
    </w:pPr>
  </w:style>
  <w:style w:type="paragraph" w:styleId="61">
    <w:name w:val="Body Text Indent 3"/>
    <w:basedOn w:val="1"/>
    <w:link w:val="166"/>
    <w:qFormat/>
    <w:uiPriority w:val="0"/>
    <w:pPr>
      <w:tabs>
        <w:tab w:val="left" w:pos="1134"/>
        <w:tab w:val="left" w:pos="5481"/>
        <w:tab w:val="left" w:pos="5859"/>
      </w:tabs>
      <w:spacing w:line="500" w:lineRule="exact"/>
      <w:ind w:firstLine="8275" w:firstLineChars="1200"/>
    </w:pPr>
    <w:rPr>
      <w:kern w:val="0"/>
      <w:sz w:val="16"/>
      <w:szCs w:val="16"/>
    </w:rPr>
  </w:style>
  <w:style w:type="paragraph" w:styleId="62">
    <w:name w:val="toc 2"/>
    <w:basedOn w:val="1"/>
    <w:next w:val="1"/>
    <w:qFormat/>
    <w:uiPriority w:val="39"/>
    <w:pPr>
      <w:tabs>
        <w:tab w:val="right" w:leader="dot" w:pos="8597"/>
      </w:tabs>
      <w:spacing w:line="360" w:lineRule="auto"/>
      <w:ind w:left="210"/>
      <w:jc w:val="left"/>
    </w:pPr>
    <w:rPr>
      <w:smallCaps/>
      <w:sz w:val="20"/>
      <w:szCs w:val="20"/>
    </w:rPr>
  </w:style>
  <w:style w:type="paragraph" w:styleId="63">
    <w:name w:val="toc 9"/>
    <w:basedOn w:val="1"/>
    <w:next w:val="1"/>
    <w:semiHidden/>
    <w:qFormat/>
    <w:uiPriority w:val="99"/>
    <w:pPr>
      <w:ind w:left="1680"/>
      <w:jc w:val="left"/>
    </w:pPr>
    <w:rPr>
      <w:sz w:val="18"/>
      <w:szCs w:val="18"/>
    </w:rPr>
  </w:style>
  <w:style w:type="paragraph" w:styleId="64">
    <w:name w:val="Body Text 2"/>
    <w:basedOn w:val="1"/>
    <w:link w:val="167"/>
    <w:qFormat/>
    <w:uiPriority w:val="99"/>
    <w:rPr>
      <w:kern w:val="0"/>
      <w:sz w:val="20"/>
    </w:rPr>
  </w:style>
  <w:style w:type="paragraph" w:styleId="65">
    <w:name w:val="List 4"/>
    <w:basedOn w:val="1"/>
    <w:qFormat/>
    <w:uiPriority w:val="99"/>
    <w:pPr>
      <w:ind w:left="100" w:leftChars="600" w:hanging="200" w:hangingChars="200"/>
    </w:pPr>
  </w:style>
  <w:style w:type="paragraph" w:styleId="66">
    <w:name w:val="List Continue 2"/>
    <w:basedOn w:val="1"/>
    <w:qFormat/>
    <w:uiPriority w:val="99"/>
    <w:pPr>
      <w:spacing w:after="120"/>
      <w:ind w:left="840" w:leftChars="400"/>
    </w:pPr>
  </w:style>
  <w:style w:type="paragraph" w:styleId="67">
    <w:name w:val="Message Header"/>
    <w:basedOn w:val="1"/>
    <w:link w:val="168"/>
    <w:semiHidden/>
    <w:qFormat/>
    <w:uiPriority w:val="99"/>
    <w:pPr>
      <w:pBdr>
        <w:top w:val="single" w:color="auto" w:sz="6" w:space="1"/>
        <w:left w:val="single" w:color="auto" w:sz="6" w:space="1"/>
        <w:bottom w:val="single" w:color="auto" w:sz="6" w:space="1"/>
        <w:right w:val="single" w:color="auto" w:sz="6" w:space="1"/>
      </w:pBdr>
      <w:shd w:val="pct20" w:color="auto" w:fill="auto"/>
      <w:spacing w:after="200" w:line="276" w:lineRule="auto"/>
      <w:ind w:left="1080" w:leftChars="500" w:hanging="1080" w:hangingChars="500"/>
      <w:jc w:val="left"/>
    </w:pPr>
    <w:rPr>
      <w:rFonts w:ascii="Cambria" w:hAnsi="Cambria"/>
      <w:kern w:val="0"/>
      <w:sz w:val="24"/>
    </w:rPr>
  </w:style>
  <w:style w:type="paragraph" w:styleId="68">
    <w:name w:val="HTML Preformatted"/>
    <w:basedOn w:val="1"/>
    <w:link w:val="169"/>
    <w:semiHidden/>
    <w:qFormat/>
    <w:uiPriority w:val="99"/>
    <w:pPr>
      <w:spacing w:after="200" w:line="276" w:lineRule="auto"/>
      <w:jc w:val="left"/>
    </w:pPr>
    <w:rPr>
      <w:rFonts w:ascii="Courier New" w:hAnsi="Courier New"/>
      <w:kern w:val="0"/>
      <w:sz w:val="20"/>
      <w:szCs w:val="20"/>
    </w:rPr>
  </w:style>
  <w:style w:type="paragraph" w:styleId="6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70">
    <w:name w:val="List Continue 3"/>
    <w:basedOn w:val="1"/>
    <w:qFormat/>
    <w:uiPriority w:val="99"/>
    <w:pPr>
      <w:spacing w:after="120"/>
      <w:ind w:left="1260" w:leftChars="600"/>
    </w:pPr>
  </w:style>
  <w:style w:type="paragraph" w:styleId="71">
    <w:name w:val="Title"/>
    <w:basedOn w:val="1"/>
    <w:link w:val="170"/>
    <w:qFormat/>
    <w:uiPriority w:val="10"/>
    <w:pPr>
      <w:spacing w:before="240" w:after="60" w:line="276" w:lineRule="auto"/>
      <w:jc w:val="center"/>
      <w:outlineLvl w:val="0"/>
    </w:pPr>
    <w:rPr>
      <w:rFonts w:ascii="Cambria" w:hAnsi="Cambria"/>
      <w:b/>
      <w:bCs/>
      <w:kern w:val="0"/>
      <w:sz w:val="32"/>
      <w:szCs w:val="32"/>
    </w:rPr>
  </w:style>
  <w:style w:type="paragraph" w:styleId="72">
    <w:name w:val="annotation subject"/>
    <w:basedOn w:val="25"/>
    <w:next w:val="25"/>
    <w:link w:val="171"/>
    <w:qFormat/>
    <w:uiPriority w:val="0"/>
    <w:pPr>
      <w:spacing w:after="0" w:line="240" w:lineRule="auto"/>
    </w:pPr>
    <w:rPr>
      <w:rFonts w:ascii="Calibri" w:hAnsi="Calibri"/>
      <w:b/>
      <w:bCs/>
      <w:sz w:val="22"/>
      <w:lang w:eastAsia="en-US"/>
    </w:rPr>
  </w:style>
  <w:style w:type="paragraph" w:styleId="73">
    <w:name w:val="Body Text First Indent"/>
    <w:basedOn w:val="30"/>
    <w:next w:val="1"/>
    <w:link w:val="172"/>
    <w:qFormat/>
    <w:uiPriority w:val="99"/>
    <w:pPr>
      <w:spacing w:line="400" w:lineRule="exact"/>
      <w:ind w:firstLine="200" w:firstLineChars="200"/>
    </w:pPr>
    <w:rPr>
      <w:sz w:val="21"/>
    </w:rPr>
  </w:style>
  <w:style w:type="paragraph" w:styleId="74">
    <w:name w:val="Body Text First Indent 2"/>
    <w:basedOn w:val="33"/>
    <w:link w:val="173"/>
    <w:semiHidden/>
    <w:qFormat/>
    <w:uiPriority w:val="99"/>
    <w:pPr>
      <w:spacing w:after="120" w:line="276" w:lineRule="auto"/>
      <w:ind w:left="420" w:leftChars="200" w:firstLine="420" w:firstLineChars="200"/>
      <w:jc w:val="left"/>
    </w:pPr>
    <w:rPr>
      <w:rFonts w:ascii="Calibri" w:hAnsi="Calibri"/>
      <w:sz w:val="22"/>
      <w:szCs w:val="22"/>
      <w:lang w:eastAsia="en-US"/>
    </w:rPr>
  </w:style>
  <w:style w:type="table" w:styleId="76">
    <w:name w:val="Table Grid"/>
    <w:basedOn w:val="75"/>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7">
    <w:name w:val="Table Theme"/>
    <w:basedOn w:val="75"/>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8">
    <w:name w:val="Table Colorful 1"/>
    <w:basedOn w:val="75"/>
    <w:semiHidden/>
    <w:qFormat/>
    <w:uiPriority w:val="99"/>
    <w:pPr>
      <w:widowControl w:val="0"/>
      <w:spacing w:after="200" w:line="276" w:lineRule="auto"/>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9">
    <w:name w:val="Table Colorful 2"/>
    <w:basedOn w:val="75"/>
    <w:semiHidden/>
    <w:qFormat/>
    <w:uiPriority w:val="99"/>
    <w:pPr>
      <w:widowControl w:val="0"/>
      <w:spacing w:after="200" w:line="276" w:lineRule="auto"/>
    </w:pPr>
    <w:rPr>
      <w:rFonts w:ascii="Calibri" w:hAnsi="Calibri"/>
    </w:rPr>
    <w:tblPr>
      <w:tblBorders>
        <w:bottom w:val="single" w:color="000000" w:sz="12" w:space="0"/>
      </w:tblBorders>
    </w:tblPr>
    <w:tcPr>
      <w:shd w:val="pct20" w:color="FFFF00" w:fill="FFFFFF"/>
    </w:tcPr>
    <w:tblStylePr w:type="firstRow">
      <w:rPr>
        <w:rFonts w:cs="Times New Roman"/>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80">
    <w:name w:val="Table Colorful 3"/>
    <w:basedOn w:val="75"/>
    <w:semiHidden/>
    <w:qFormat/>
    <w:uiPriority w:val="99"/>
    <w:pPr>
      <w:widowControl w:val="0"/>
      <w:spacing w:after="200" w:line="276" w:lineRule="auto"/>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rPr>
        <w:rFonts w:cs="Times New Roman"/>
      </w:rPr>
      <w:tblPr/>
      <w:tcPr>
        <w:tcBorders>
          <w:top w:val="nil"/>
          <w:left w:val="single" w:color="000000" w:sz="6" w:space="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1">
    <w:name w:val="Table Elegant"/>
    <w:basedOn w:val="75"/>
    <w:semiHidden/>
    <w:qFormat/>
    <w:uiPriority w:val="99"/>
    <w:pPr>
      <w:widowControl w:val="0"/>
      <w:spacing w:after="200" w:line="276" w:lineRule="auto"/>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82">
    <w:name w:val="Table Classic 1"/>
    <w:basedOn w:val="75"/>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rFonts w:cs="Times New Roman"/>
        <w:i/>
        <w:i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3">
    <w:name w:val="Table Classic 2"/>
    <w:basedOn w:val="75"/>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rFonts w:cs="Times New Roman"/>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4">
    <w:name w:val="Table Classic 3"/>
    <w:basedOn w:val="75"/>
    <w:semiHidden/>
    <w:qFormat/>
    <w:uiPriority w:val="99"/>
    <w:pPr>
      <w:widowControl w:val="0"/>
      <w:spacing w:after="200" w:line="276" w:lineRule="auto"/>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85">
    <w:name w:val="Table Classic 4"/>
    <w:basedOn w:val="75"/>
    <w:semiHidden/>
    <w:qFormat/>
    <w:uiPriority w:val="99"/>
    <w:pPr>
      <w:widowControl w:val="0"/>
      <w:spacing w:after="200" w:line="276" w:lineRule="auto"/>
    </w:pPr>
    <w:rPr>
      <w:rFonts w:ascii="Calibri" w:hAnsi="Calibri"/>
    </w:rPr>
    <w:tblPr>
      <w:tblBorders>
        <w:top w:val="single" w:color="000000" w:sz="12" w:space="0"/>
        <w:left w:val="single" w:color="000000" w:sz="6" w:space="0"/>
        <w:bottom w:val="single" w:color="000000" w:sz="12" w:space="0"/>
        <w:right w:val="single" w:color="000000" w:sz="6" w:space="0"/>
      </w:tblBorders>
    </w:tbl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6">
    <w:name w:val="Table Simple 1"/>
    <w:basedOn w:val="75"/>
    <w:semiHidden/>
    <w:qFormat/>
    <w:uiPriority w:val="99"/>
    <w:pPr>
      <w:widowControl w:val="0"/>
      <w:spacing w:after="200" w:line="276" w:lineRule="auto"/>
    </w:pPr>
    <w:rPr>
      <w:rFonts w:ascii="Calibri" w:hAnsi="Calibri"/>
    </w:rPr>
    <w:tblPr>
      <w:tblBorders>
        <w:top w:val="single" w:color="008000" w:sz="12" w:space="0"/>
        <w:bottom w:val="single" w:color="008000" w:sz="12" w:space="0"/>
      </w:tblBorders>
    </w:tblPr>
    <w:tblStylePr w:type="firstRow">
      <w:rPr>
        <w:rFonts w:cs="Times New Roman"/>
      </w:rPr>
      <w:tblPr/>
      <w:tcPr>
        <w:tcBorders>
          <w:top w:val="nil"/>
          <w:left w:val="single" w:color="008000" w:sz="6" w:space="0"/>
          <w:bottom w:val="nil"/>
          <w:right w:val="nil"/>
          <w:insideH w:val="nil"/>
          <w:insideV w:val="nil"/>
          <w:tl2br w:val="nil"/>
          <w:tr2bl w:val="nil"/>
        </w:tcBorders>
      </w:tcPr>
    </w:tblStylePr>
    <w:tblStylePr w:type="lastRow">
      <w:rPr>
        <w:rFonts w:cs="Times New Roman"/>
      </w:rPr>
      <w:tblPr/>
      <w:tcPr>
        <w:tcBorders>
          <w:top w:val="single" w:color="008000" w:sz="6" w:space="0"/>
          <w:left w:val="nil"/>
          <w:bottom w:val="nil"/>
          <w:right w:val="nil"/>
          <w:insideH w:val="nil"/>
          <w:insideV w:val="nil"/>
          <w:tl2br w:val="nil"/>
          <w:tr2bl w:val="nil"/>
        </w:tcBorders>
      </w:tcPr>
    </w:tblStylePr>
  </w:style>
  <w:style w:type="table" w:styleId="87">
    <w:name w:val="Table Simple 2"/>
    <w:basedOn w:val="75"/>
    <w:semiHidden/>
    <w:qFormat/>
    <w:uiPriority w:val="99"/>
    <w:pPr>
      <w:widowControl w:val="0"/>
      <w:spacing w:after="200" w:line="276" w:lineRule="auto"/>
    </w:pPr>
    <w:rPr>
      <w:rFonts w:ascii="Calibri" w:hAnsi="Calibri"/>
    </w:rPr>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lastCol">
      <w:rPr>
        <w:rFonts w:cs="Times New Roman"/>
        <w:b/>
        <w:bCs/>
      </w:rPr>
      <w:tblPr/>
      <w:tcPr>
        <w:tcBorders>
          <w:top w:val="nil"/>
          <w:left w:val="nil"/>
          <w:bottom w:val="single" w:color="000000" w:sz="6" w:space="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8">
    <w:name w:val="Table Simple 3"/>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9">
    <w:name w:val="Table Subtle 1"/>
    <w:basedOn w:val="75"/>
    <w:semiHidden/>
    <w:qFormat/>
    <w:uiPriority w:val="99"/>
    <w:pPr>
      <w:widowControl w:val="0"/>
      <w:spacing w:after="200" w:line="276" w:lineRule="auto"/>
    </w:pPr>
    <w:rPr>
      <w:rFonts w:ascii="Calibri" w:hAnsi="Calibri"/>
    </w:rPr>
    <w:tblPr>
      <w:tblStyleRowBandSize w:val="1"/>
    </w:tblPr>
    <w:tblStylePr w:type="firstRow">
      <w:rPr>
        <w:rFonts w:cs="Times New Roman"/>
      </w:rPr>
      <w:tblPr/>
      <w:tcPr>
        <w:tcBorders>
          <w:top w:val="single" w:color="000000" w:sz="6" w:space="0"/>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color="000000" w:sz="12" w:space="0"/>
          <w:insideH w:val="nil"/>
          <w:insideV w:val="nil"/>
          <w:tl2br w:val="nil"/>
          <w:tr2bl w:val="nil"/>
        </w:tcBorders>
      </w:tcPr>
    </w:tblStylePr>
    <w:tblStylePr w:type="lastCol">
      <w:rPr>
        <w:rFonts w:cs="Times New Roman"/>
      </w:rPr>
      <w:tblPr/>
      <w:tcPr>
        <w:tcBorders>
          <w:top w:val="nil"/>
          <w:left w:val="nil"/>
          <w:bottom w:val="single" w:color="000000" w:sz="12" w:space="0"/>
          <w:right w:val="nil"/>
          <w:insideH w:val="nil"/>
          <w:insideV w:val="nil"/>
          <w:tl2br w:val="nil"/>
          <w:tr2bl w:val="nil"/>
        </w:tcBorders>
      </w:tcPr>
    </w:tblStylePr>
    <w:tblStylePr w:type="band1Horz">
      <w:rPr>
        <w:rFonts w:cs="Times New Roman"/>
      </w:rPr>
      <w:tblPr/>
      <w:tcPr>
        <w:tcBorders>
          <w:top w:val="nil"/>
          <w:left w:val="single" w:color="000000" w:sz="6" w:space="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0">
    <w:name w:val="Table Subtle 2"/>
    <w:basedOn w:val="75"/>
    <w:semiHidden/>
    <w:qFormat/>
    <w:uiPriority w:val="99"/>
    <w:pPr>
      <w:widowControl w:val="0"/>
      <w:spacing w:after="200" w:line="276" w:lineRule="auto"/>
    </w:pPr>
    <w:rPr>
      <w:rFonts w:ascii="Calibri" w:hAnsi="Calibri"/>
    </w:rPr>
    <w:tblPr>
      <w:tblBorders>
        <w:left w:val="single" w:color="000000" w:sz="6" w:space="0"/>
        <w:right w:val="single" w:color="000000" w:sz="6" w:space="0"/>
      </w:tblBorders>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blPr/>
      <w:tcPr>
        <w:tcBorders>
          <w:top w:val="nil"/>
          <w:left w:val="nil"/>
          <w:bottom w:val="single" w:color="000000" w:sz="12" w:space="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1">
    <w:name w:val="Table 3D effects 1"/>
    <w:basedOn w:val="75"/>
    <w:semiHidden/>
    <w:qFormat/>
    <w:uiPriority w:val="99"/>
    <w:pPr>
      <w:widowControl w:val="0"/>
      <w:spacing w:after="200" w:line="276" w:lineRule="auto"/>
    </w:pPr>
    <w:rPr>
      <w:rFonts w:ascii="Calibri" w:hAnsi="Calibri"/>
    </w:rPr>
    <w:tblPr/>
    <w:tcPr>
      <w:shd w:val="solid" w:color="C0C0C0" w:fill="FFFFFF"/>
    </w:tcPr>
    <w:tblStylePr w:type="firstRow">
      <w:rPr>
        <w:rFonts w:cs="Times New Roman"/>
        <w:b/>
        <w:bCs/>
        <w:color w:val="800080"/>
      </w:rPr>
      <w:tblPr/>
      <w:tcPr>
        <w:tcBorders>
          <w:top w:val="nil"/>
          <w:left w:val="single" w:color="808080" w:sz="6" w:space="0"/>
          <w:bottom w:val="nil"/>
          <w:right w:val="nil"/>
          <w:insideH w:val="nil"/>
          <w:insideV w:val="nil"/>
          <w:tl2br w:val="nil"/>
          <w:tr2bl w:val="nil"/>
        </w:tcBorders>
      </w:tcPr>
    </w:tblStylePr>
    <w:tblStylePr w:type="lastRow">
      <w:rPr>
        <w:rFonts w:cs="Times New Roman"/>
      </w:rPr>
      <w:tblPr/>
      <w:tcPr>
        <w:tcBorders>
          <w:top w:val="single" w:color="FFFFFF"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single" w:color="FFFFFF" w:sz="6" w:space="0"/>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92">
    <w:name w:val="Table 3D effects 2"/>
    <w:basedOn w:val="75"/>
    <w:semiHidden/>
    <w:qFormat/>
    <w:uiPriority w:val="99"/>
    <w:pPr>
      <w:widowControl w:val="0"/>
      <w:spacing w:after="200" w:line="276" w:lineRule="auto"/>
    </w:pPr>
    <w:rPr>
      <w:rFonts w:ascii="Calibri" w:hAnsi="Calibri"/>
    </w:rPr>
    <w:tblPr>
      <w:tblStyleRowBandSize w:val="1"/>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3">
    <w:name w:val="Table 3D effects 3"/>
    <w:basedOn w:val="75"/>
    <w:semiHidden/>
    <w:qFormat/>
    <w:uiPriority w:val="99"/>
    <w:pPr>
      <w:widowControl w:val="0"/>
      <w:spacing w:after="200" w:line="276" w:lineRule="auto"/>
    </w:pPr>
    <w:rPr>
      <w:rFonts w:ascii="Calibri" w:hAnsi="Calibri"/>
    </w:rPr>
    <w:tblPr>
      <w:tblStyleRowBandSize w:val="1"/>
      <w:tblStyleColBandSize w:val="1"/>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4">
    <w:name w:val="Table List 1"/>
    <w:basedOn w:val="75"/>
    <w:semiHidden/>
    <w:qFormat/>
    <w:uiPriority w:val="99"/>
    <w:pPr>
      <w:widowControl w:val="0"/>
      <w:spacing w:after="200" w:line="276" w:lineRule="auto"/>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rFonts w:cs="Times New Roman"/>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5">
    <w:name w:val="Table List 2"/>
    <w:basedOn w:val="75"/>
    <w:semiHidden/>
    <w:qFormat/>
    <w:uiPriority w:val="99"/>
    <w:pPr>
      <w:widowControl w:val="0"/>
      <w:spacing w:after="200" w:line="276" w:lineRule="auto"/>
    </w:pPr>
    <w:rPr>
      <w:rFonts w:ascii="Calibri" w:hAnsi="Calibri"/>
    </w:rPr>
    <w:tblPr>
      <w:tblBorders>
        <w:bottom w:val="single" w:color="808080" w:sz="12" w:space="0"/>
      </w:tblBorders>
    </w:tblPr>
    <w:tblStylePr w:type="firstRow">
      <w:rPr>
        <w:rFonts w:cs="Times New Roman"/>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6">
    <w:name w:val="Table List 3"/>
    <w:basedOn w:val="75"/>
    <w:semiHidden/>
    <w:qFormat/>
    <w:uiPriority w:val="99"/>
    <w:pPr>
      <w:widowControl w:val="0"/>
      <w:spacing w:after="200" w:line="276" w:lineRule="auto"/>
    </w:pPr>
    <w:rPr>
      <w:rFonts w:ascii="Calibri" w:hAnsi="Calibri"/>
    </w:rPr>
    <w:tblPr>
      <w:tblBorders>
        <w:top w:val="single" w:color="000000" w:sz="12" w:space="0"/>
        <w:bottom w:val="single" w:color="000000" w:sz="12" w:space="0"/>
        <w:insideH w:val="single" w:color="000000" w:sz="6" w:space="0"/>
      </w:tblBorders>
    </w:tblPr>
    <w:tblStylePr w:type="firstRow">
      <w:rPr>
        <w:rFonts w:cs="Times New Roman"/>
        <w:b/>
        <w:bCs/>
        <w:color w:val="000080"/>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97">
    <w:name w:val="Table List 4"/>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rFonts w:cs="Times New Roman"/>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98">
    <w:name w:val="Table List 5"/>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99">
    <w:name w:val="Table List 6"/>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0">
    <w:name w:val="Table List 7"/>
    <w:basedOn w:val="75"/>
    <w:semiHidden/>
    <w:qFormat/>
    <w:uiPriority w:val="99"/>
    <w:pPr>
      <w:widowControl w:val="0"/>
      <w:spacing w:after="200" w:line="276" w:lineRule="auto"/>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rFonts w:cs="Times New Roman"/>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rFonts w:cs="Times New Roman"/>
        <w:b/>
        <w:bCs/>
      </w:rPr>
      <w:tblPr/>
      <w:tcPr>
        <w:tcBorders>
          <w:top w:val="single" w:color="008000" w:sz="12"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101">
    <w:name w:val="Table List 8"/>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rFonts w:cs="Times New Roman"/>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color="auto" w:sz="6" w:space="0"/>
          <w:tr2bl w:val="nil"/>
        </w:tcBorders>
      </w:tcPr>
    </w:tblStylePr>
  </w:style>
  <w:style w:type="table" w:styleId="102">
    <w:name w:val="Table Contemporary"/>
    <w:basedOn w:val="75"/>
    <w:semiHidden/>
    <w:qFormat/>
    <w:uiPriority w:val="99"/>
    <w:pPr>
      <w:widowControl w:val="0"/>
      <w:spacing w:after="200" w:line="276" w:lineRule="auto"/>
    </w:pPr>
    <w:rPr>
      <w:rFonts w:ascii="Calibri" w:hAnsi="Calibri"/>
    </w:rPr>
    <w:tblPr>
      <w:tblBorders>
        <w:insideH w:val="single" w:color="FFFFFF" w:sz="18" w:space="0"/>
        <w:insideV w:val="single" w:color="FFFFFF" w:sz="18"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03">
    <w:name w:val="Table Columns 1"/>
    <w:basedOn w:val="75"/>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val="0"/>
        <w:bCs w:val="0"/>
      </w:rPr>
      <w:tblPr/>
      <w:tcPr>
        <w:tcBorders>
          <w:top w:val="nil"/>
          <w:left w:val="double" w:color="000000" w:sz="6" w:space="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4">
    <w:name w:val="Table Columns 2"/>
    <w:basedOn w:val="75"/>
    <w:semiHidden/>
    <w:qFormat/>
    <w:uiPriority w:val="99"/>
    <w:pPr>
      <w:widowControl w:val="0"/>
      <w:spacing w:after="200" w:line="276" w:lineRule="auto"/>
    </w:pPr>
    <w:rPr>
      <w:rFonts w:ascii="Calibri" w:hAnsi="Calibri"/>
      <w:b/>
      <w:bCs/>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5">
    <w:name w:val="Table Columns 3"/>
    <w:basedOn w:val="75"/>
    <w:semiHidden/>
    <w:qFormat/>
    <w:uiPriority w:val="99"/>
    <w:pPr>
      <w:widowControl w:val="0"/>
      <w:spacing w:after="200" w:line="276" w:lineRule="auto"/>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106">
    <w:name w:val="Table Columns 4"/>
    <w:basedOn w:val="75"/>
    <w:semiHidden/>
    <w:qFormat/>
    <w:uiPriority w:val="99"/>
    <w:pPr>
      <w:widowControl w:val="0"/>
      <w:spacing w:after="200" w:line="276" w:lineRule="auto"/>
    </w:pPr>
    <w:rPr>
      <w:rFonts w:ascii="Calibri" w:hAnsi="Calibri"/>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107">
    <w:name w:val="Table Columns 5"/>
    <w:basedOn w:val="75"/>
    <w:semiHidden/>
    <w:qFormat/>
    <w:uiPriority w:val="99"/>
    <w:pPr>
      <w:widowControl w:val="0"/>
      <w:spacing w:after="200" w:line="276" w:lineRule="auto"/>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rFonts w:cs="Times New Roman"/>
        <w:b/>
        <w:bCs/>
        <w:i/>
        <w:iCs/>
      </w:rPr>
      <w:tblPr/>
      <w:tcPr>
        <w:tcBorders>
          <w:top w:val="nil"/>
          <w:left w:val="single" w:color="808080" w:sz="6" w:space="0"/>
          <w:bottom w:val="nil"/>
          <w:right w:val="nil"/>
          <w:insideH w:val="nil"/>
          <w:insideV w:val="nil"/>
          <w:tl2br w:val="nil"/>
          <w:tr2bl w:val="nil"/>
        </w:tcBorders>
      </w:tcPr>
    </w:tblStylePr>
    <w:tblStylePr w:type="lastRow">
      <w:rPr>
        <w:rFonts w:cs="Times New Roman"/>
        <w:b/>
        <w:bCs/>
      </w:rPr>
      <w:tblPr/>
      <w:tcPr>
        <w:tcBorders>
          <w:top w:val="single" w:color="80808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8">
    <w:name w:val="Table Grid 1"/>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9">
    <w:name w:val="Table Grid 2"/>
    <w:basedOn w:val="75"/>
    <w:semiHidden/>
    <w:qFormat/>
    <w:uiPriority w:val="99"/>
    <w:pPr>
      <w:widowControl w:val="0"/>
      <w:spacing w:after="200" w:line="276" w:lineRule="auto"/>
    </w:pPr>
    <w:rPr>
      <w:rFonts w:ascii="Calibri" w:hAnsi="Calibri"/>
    </w:rPr>
    <w:tblPr>
      <w:tblBorders>
        <w:insideH w:val="single" w:color="000000" w:sz="6" w:space="0"/>
        <w:insideV w:val="single" w:color="000000" w:sz="6" w:space="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110">
    <w:name w:val="Table Grid 3"/>
    <w:basedOn w:val="75"/>
    <w:semiHidden/>
    <w:qFormat/>
    <w:uiPriority w:val="99"/>
    <w:pPr>
      <w:widowControl w:val="0"/>
      <w:spacing w:after="200" w:line="276" w:lineRule="auto"/>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rPr>
        <w:rFonts w:cs="Times New Roman"/>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1">
    <w:name w:val="Table Grid 4"/>
    <w:basedOn w:val="75"/>
    <w:semiHidden/>
    <w:qFormat/>
    <w:uiPriority w:val="99"/>
    <w:pPr>
      <w:widowControl w:val="0"/>
      <w:spacing w:after="200" w:line="276" w:lineRule="auto"/>
    </w:pPr>
    <w:rPr>
      <w:rFonts w:ascii="Calibri" w:hAnsi="Calibri"/>
    </w:rPr>
    <w:tblPr>
      <w:tblBorders>
        <w:left w:val="single" w:color="000000" w:sz="12" w:space="0"/>
        <w:right w:val="single" w:color="000000" w:sz="12" w:space="0"/>
        <w:insideH w:val="single" w:color="000000" w:sz="6" w:space="0"/>
        <w:insideV w:val="single" w:color="000000" w:sz="6" w:space="0"/>
      </w:tblBorders>
    </w:tblPr>
    <w:tblStylePr w:type="firstRow">
      <w:rPr>
        <w:rFonts w:cs="Times New Roman"/>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2">
    <w:name w:val="Table Grid 5"/>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3">
    <w:name w:val="Table Grid 6"/>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rFonts w:cs="Times New Roman"/>
        <w:b/>
        <w:b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4">
    <w:name w:val="Table Grid 7"/>
    <w:basedOn w:val="75"/>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val="0"/>
        <w:bCs w:val="0"/>
      </w:rPr>
      <w:tblPr/>
      <w:tcPr>
        <w:tcBorders>
          <w:top w:val="nil"/>
          <w:left w:val="single" w:color="000000" w:sz="12" w:space="0"/>
          <w:bottom w:val="nil"/>
          <w:right w:val="nil"/>
          <w:insideH w:val="nil"/>
          <w:insideV w:val="nil"/>
          <w:tl2br w:val="nil"/>
          <w:tr2bl w:val="nil"/>
        </w:tcBorders>
      </w:tcPr>
    </w:tblStylePr>
    <w:tblStylePr w:type="lastRow">
      <w:rPr>
        <w:rFonts w:cs="Times New Roman"/>
        <w:b w:val="0"/>
        <w:bCs w:val="0"/>
      </w:rPr>
      <w:tbl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5">
    <w:name w:val="Table Grid 8"/>
    <w:basedOn w:val="75"/>
    <w:semiHidden/>
    <w:qFormat/>
    <w:uiPriority w:val="99"/>
    <w:pPr>
      <w:widowControl w:val="0"/>
      <w:spacing w:after="200" w:line="276" w:lineRule="auto"/>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6">
    <w:name w:val="Table Web 1"/>
    <w:basedOn w:val="75"/>
    <w:semiHidden/>
    <w:qFormat/>
    <w:uiPriority w:val="99"/>
    <w:pPr>
      <w:widowControl w:val="0"/>
      <w:spacing w:after="200" w:line="276" w:lineRule="auto"/>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7">
    <w:name w:val="Table Web 2"/>
    <w:basedOn w:val="75"/>
    <w:semiHidden/>
    <w:qFormat/>
    <w:uiPriority w:val="99"/>
    <w:pPr>
      <w:widowControl w:val="0"/>
      <w:spacing w:after="200" w:line="276" w:lineRule="auto"/>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8">
    <w:name w:val="Table Web 3"/>
    <w:basedOn w:val="75"/>
    <w:semiHidden/>
    <w:qFormat/>
    <w:uiPriority w:val="99"/>
    <w:pPr>
      <w:widowControl w:val="0"/>
      <w:spacing w:after="200" w:line="276" w:lineRule="auto"/>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9">
    <w:name w:val="Table Professional"/>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21">
    <w:name w:val="Strong"/>
    <w:basedOn w:val="120"/>
    <w:qFormat/>
    <w:uiPriority w:val="99"/>
    <w:rPr>
      <w:rFonts w:cs="Times New Roman"/>
      <w:b/>
      <w:bCs/>
    </w:rPr>
  </w:style>
  <w:style w:type="character" w:styleId="122">
    <w:name w:val="page number"/>
    <w:qFormat/>
    <w:uiPriority w:val="99"/>
    <w:rPr>
      <w:rFonts w:cs="Times New Roman"/>
    </w:rPr>
  </w:style>
  <w:style w:type="character" w:styleId="123">
    <w:name w:val="FollowedHyperlink"/>
    <w:basedOn w:val="120"/>
    <w:semiHidden/>
    <w:unhideWhenUsed/>
    <w:qFormat/>
    <w:uiPriority w:val="99"/>
    <w:rPr>
      <w:color w:val="800080"/>
      <w:u w:val="single"/>
    </w:rPr>
  </w:style>
  <w:style w:type="character" w:styleId="124">
    <w:name w:val="Emphasis"/>
    <w:basedOn w:val="120"/>
    <w:qFormat/>
    <w:uiPriority w:val="99"/>
    <w:rPr>
      <w:rFonts w:cs="Times New Roman"/>
      <w:color w:val="CC0000"/>
    </w:rPr>
  </w:style>
  <w:style w:type="character" w:styleId="125">
    <w:name w:val="line number"/>
    <w:qFormat/>
    <w:uiPriority w:val="99"/>
    <w:rPr>
      <w:rFonts w:cs="Times New Roman"/>
    </w:rPr>
  </w:style>
  <w:style w:type="character" w:styleId="126">
    <w:name w:val="HTML Definition"/>
    <w:semiHidden/>
    <w:qFormat/>
    <w:uiPriority w:val="99"/>
    <w:rPr>
      <w:rFonts w:cs="Times New Roman"/>
      <w:i/>
      <w:iCs/>
    </w:rPr>
  </w:style>
  <w:style w:type="character" w:styleId="127">
    <w:name w:val="HTML Typewriter"/>
    <w:semiHidden/>
    <w:qFormat/>
    <w:uiPriority w:val="99"/>
    <w:rPr>
      <w:rFonts w:ascii="Courier New" w:hAnsi="Courier New" w:cs="Courier New"/>
      <w:sz w:val="20"/>
      <w:szCs w:val="20"/>
    </w:rPr>
  </w:style>
  <w:style w:type="character" w:styleId="128">
    <w:name w:val="HTML Acronym"/>
    <w:semiHidden/>
    <w:qFormat/>
    <w:uiPriority w:val="99"/>
    <w:rPr>
      <w:rFonts w:cs="Times New Roman"/>
    </w:rPr>
  </w:style>
  <w:style w:type="character" w:styleId="129">
    <w:name w:val="HTML Variable"/>
    <w:semiHidden/>
    <w:qFormat/>
    <w:uiPriority w:val="99"/>
    <w:rPr>
      <w:rFonts w:cs="Times New Roman"/>
      <w:i/>
      <w:iCs/>
    </w:rPr>
  </w:style>
  <w:style w:type="character" w:styleId="130">
    <w:name w:val="Hyperlink"/>
    <w:qFormat/>
    <w:uiPriority w:val="99"/>
    <w:rPr>
      <w:rFonts w:cs="Times New Roman"/>
      <w:color w:val="1F4F88"/>
      <w:u w:val="none"/>
    </w:rPr>
  </w:style>
  <w:style w:type="character" w:styleId="131">
    <w:name w:val="HTML Code"/>
    <w:semiHidden/>
    <w:qFormat/>
    <w:uiPriority w:val="99"/>
    <w:rPr>
      <w:rFonts w:ascii="Courier New" w:hAnsi="Courier New" w:cs="Courier New"/>
      <w:sz w:val="20"/>
      <w:szCs w:val="20"/>
    </w:rPr>
  </w:style>
  <w:style w:type="character" w:styleId="132">
    <w:name w:val="annotation reference"/>
    <w:qFormat/>
    <w:uiPriority w:val="0"/>
    <w:rPr>
      <w:rFonts w:cs="Times New Roman"/>
      <w:sz w:val="21"/>
    </w:rPr>
  </w:style>
  <w:style w:type="character" w:styleId="133">
    <w:name w:val="HTML Cite"/>
    <w:semiHidden/>
    <w:qFormat/>
    <w:uiPriority w:val="99"/>
    <w:rPr>
      <w:rFonts w:cs="Times New Roman"/>
      <w:i/>
      <w:iCs/>
    </w:rPr>
  </w:style>
  <w:style w:type="character" w:styleId="134">
    <w:name w:val="HTML Keyboard"/>
    <w:semiHidden/>
    <w:qFormat/>
    <w:uiPriority w:val="99"/>
    <w:rPr>
      <w:rFonts w:ascii="Courier New" w:hAnsi="Courier New" w:cs="Courier New"/>
      <w:sz w:val="20"/>
      <w:szCs w:val="20"/>
    </w:rPr>
  </w:style>
  <w:style w:type="character" w:styleId="135">
    <w:name w:val="HTML Sample"/>
    <w:semiHidden/>
    <w:qFormat/>
    <w:uiPriority w:val="99"/>
    <w:rPr>
      <w:rFonts w:ascii="Courier New" w:hAnsi="Courier New" w:cs="Courier New"/>
    </w:rPr>
  </w:style>
  <w:style w:type="paragraph" w:customStyle="1" w:styleId="136">
    <w:name w:val="标题 5（有编号）（绿盟科技）"/>
    <w:basedOn w:val="1"/>
    <w:next w:val="137"/>
    <w:semiHidden/>
    <w:qFormat/>
    <w:uiPriority w:val="99"/>
    <w:pPr>
      <w:keepNext/>
      <w:keepLines/>
      <w:tabs>
        <w:tab w:val="left" w:pos="840"/>
      </w:tabs>
      <w:spacing w:line="377" w:lineRule="auto"/>
      <w:ind w:left="1560" w:hanging="1134"/>
      <w:jc w:val="left"/>
      <w:outlineLvl w:val="4"/>
    </w:pPr>
    <w:rPr>
      <w:rFonts w:ascii="Arial" w:hAnsi="Arial" w:eastAsia="黑体"/>
      <w:b/>
      <w:kern w:val="0"/>
      <w:sz w:val="24"/>
      <w:szCs w:val="28"/>
    </w:rPr>
  </w:style>
  <w:style w:type="paragraph" w:customStyle="1" w:styleId="137">
    <w:name w:val="正文（绿盟科技）"/>
    <w:qFormat/>
    <w:uiPriority w:val="99"/>
    <w:pPr>
      <w:spacing w:line="300" w:lineRule="auto"/>
    </w:pPr>
    <w:rPr>
      <w:rFonts w:ascii="Arial" w:hAnsi="Arial" w:eastAsia="宋体" w:cs="黑体"/>
      <w:sz w:val="21"/>
      <w:szCs w:val="21"/>
      <w:lang w:val="en-US" w:eastAsia="zh-CN" w:bidi="ar-SA"/>
    </w:rPr>
  </w:style>
  <w:style w:type="character" w:customStyle="1" w:styleId="138">
    <w:name w:val="标题 1 字符"/>
    <w:link w:val="3"/>
    <w:qFormat/>
    <w:locked/>
    <w:uiPriority w:val="99"/>
    <w:rPr>
      <w:rFonts w:eastAsia="宋体" w:cs="Times New Roman"/>
      <w:b/>
      <w:bCs/>
      <w:kern w:val="44"/>
      <w:sz w:val="44"/>
      <w:szCs w:val="44"/>
    </w:rPr>
  </w:style>
  <w:style w:type="character" w:customStyle="1" w:styleId="139">
    <w:name w:val="标题 2 字符"/>
    <w:link w:val="4"/>
    <w:qFormat/>
    <w:locked/>
    <w:uiPriority w:val="0"/>
    <w:rPr>
      <w:rFonts w:ascii="Arial" w:hAnsi="Arial" w:eastAsia="黑体" w:cs="Times New Roman"/>
      <w:b/>
      <w:bCs/>
      <w:sz w:val="32"/>
      <w:szCs w:val="32"/>
    </w:rPr>
  </w:style>
  <w:style w:type="character" w:customStyle="1" w:styleId="140">
    <w:name w:val="标题 3 字符"/>
    <w:link w:val="5"/>
    <w:qFormat/>
    <w:locked/>
    <w:uiPriority w:val="9"/>
    <w:rPr>
      <w:rFonts w:eastAsia="宋体" w:cs="Times New Roman"/>
      <w:b/>
      <w:bCs/>
      <w:sz w:val="32"/>
      <w:szCs w:val="32"/>
    </w:rPr>
  </w:style>
  <w:style w:type="character" w:customStyle="1" w:styleId="141">
    <w:name w:val="标题 4 字符"/>
    <w:link w:val="6"/>
    <w:qFormat/>
    <w:locked/>
    <w:uiPriority w:val="99"/>
    <w:rPr>
      <w:rFonts w:ascii="Arial" w:hAnsi="Arial" w:eastAsia="黑体" w:cs="Times New Roman"/>
      <w:b/>
      <w:bCs/>
      <w:sz w:val="28"/>
      <w:szCs w:val="28"/>
    </w:rPr>
  </w:style>
  <w:style w:type="character" w:customStyle="1" w:styleId="142">
    <w:name w:val="标题 5 字符"/>
    <w:link w:val="7"/>
    <w:qFormat/>
    <w:locked/>
    <w:uiPriority w:val="99"/>
    <w:rPr>
      <w:rFonts w:eastAsia="宋体" w:cs="Times New Roman"/>
      <w:b/>
      <w:bCs/>
      <w:sz w:val="28"/>
      <w:szCs w:val="28"/>
    </w:rPr>
  </w:style>
  <w:style w:type="character" w:customStyle="1" w:styleId="143">
    <w:name w:val="标题 6 字符"/>
    <w:link w:val="8"/>
    <w:qFormat/>
    <w:locked/>
    <w:uiPriority w:val="99"/>
    <w:rPr>
      <w:rFonts w:ascii="Arial" w:hAnsi="Arial" w:eastAsia="黑体" w:cs="Times New Roman"/>
      <w:b/>
      <w:bCs/>
    </w:rPr>
  </w:style>
  <w:style w:type="character" w:customStyle="1" w:styleId="144">
    <w:name w:val="标题 7 字符"/>
    <w:link w:val="9"/>
    <w:semiHidden/>
    <w:qFormat/>
    <w:uiPriority w:val="9"/>
    <w:rPr>
      <w:b/>
      <w:bCs/>
      <w:sz w:val="24"/>
      <w:szCs w:val="24"/>
    </w:rPr>
  </w:style>
  <w:style w:type="character" w:customStyle="1" w:styleId="145">
    <w:name w:val="标题 8 字符"/>
    <w:link w:val="10"/>
    <w:semiHidden/>
    <w:qFormat/>
    <w:uiPriority w:val="9"/>
    <w:rPr>
      <w:rFonts w:ascii="Cambria" w:hAnsi="Cambria" w:eastAsia="宋体" w:cs="Times New Roman"/>
      <w:sz w:val="24"/>
      <w:szCs w:val="24"/>
    </w:rPr>
  </w:style>
  <w:style w:type="character" w:customStyle="1" w:styleId="146">
    <w:name w:val="标题 9 字符"/>
    <w:link w:val="11"/>
    <w:semiHidden/>
    <w:qFormat/>
    <w:uiPriority w:val="9"/>
    <w:rPr>
      <w:rFonts w:ascii="Cambria" w:hAnsi="Cambria" w:eastAsia="宋体" w:cs="Times New Roman"/>
      <w:szCs w:val="21"/>
    </w:rPr>
  </w:style>
  <w:style w:type="character" w:customStyle="1" w:styleId="147">
    <w:name w:val="注释标题 字符"/>
    <w:link w:val="16"/>
    <w:semiHidden/>
    <w:qFormat/>
    <w:uiPriority w:val="0"/>
    <w:rPr>
      <w:szCs w:val="24"/>
    </w:rPr>
  </w:style>
  <w:style w:type="character" w:customStyle="1" w:styleId="148">
    <w:name w:val="电子邮件签名 字符"/>
    <w:link w:val="18"/>
    <w:semiHidden/>
    <w:qFormat/>
    <w:uiPriority w:val="99"/>
    <w:rPr>
      <w:szCs w:val="24"/>
    </w:rPr>
  </w:style>
  <w:style w:type="character" w:customStyle="1" w:styleId="149">
    <w:name w:val="正文缩进 字符"/>
    <w:link w:val="2"/>
    <w:qFormat/>
    <w:locked/>
    <w:uiPriority w:val="0"/>
    <w:rPr>
      <w:rFonts w:eastAsia="宋体" w:cs="Times New Roman"/>
      <w:sz w:val="21"/>
    </w:rPr>
  </w:style>
  <w:style w:type="character" w:customStyle="1" w:styleId="150">
    <w:name w:val="文档结构图 字符"/>
    <w:link w:val="23"/>
    <w:semiHidden/>
    <w:qFormat/>
    <w:uiPriority w:val="99"/>
    <w:rPr>
      <w:sz w:val="16"/>
      <w:szCs w:val="0"/>
    </w:rPr>
  </w:style>
  <w:style w:type="character" w:customStyle="1" w:styleId="151">
    <w:name w:val="批注文字 字符"/>
    <w:link w:val="25"/>
    <w:qFormat/>
    <w:uiPriority w:val="0"/>
    <w:rPr>
      <w:szCs w:val="24"/>
    </w:rPr>
  </w:style>
  <w:style w:type="character" w:customStyle="1" w:styleId="152">
    <w:name w:val="称呼 字符"/>
    <w:link w:val="26"/>
    <w:semiHidden/>
    <w:qFormat/>
    <w:uiPriority w:val="99"/>
    <w:rPr>
      <w:szCs w:val="24"/>
    </w:rPr>
  </w:style>
  <w:style w:type="character" w:customStyle="1" w:styleId="153">
    <w:name w:val="正文文本 3 字符"/>
    <w:link w:val="27"/>
    <w:semiHidden/>
    <w:qFormat/>
    <w:uiPriority w:val="99"/>
    <w:rPr>
      <w:sz w:val="16"/>
      <w:szCs w:val="16"/>
    </w:rPr>
  </w:style>
  <w:style w:type="character" w:customStyle="1" w:styleId="154">
    <w:name w:val="结束语 字符"/>
    <w:link w:val="28"/>
    <w:semiHidden/>
    <w:qFormat/>
    <w:uiPriority w:val="99"/>
    <w:rPr>
      <w:szCs w:val="24"/>
    </w:rPr>
  </w:style>
  <w:style w:type="character" w:customStyle="1" w:styleId="155">
    <w:name w:val="正文文本 字符"/>
    <w:link w:val="30"/>
    <w:qFormat/>
    <w:uiPriority w:val="0"/>
    <w:rPr>
      <w:szCs w:val="24"/>
    </w:rPr>
  </w:style>
  <w:style w:type="character" w:customStyle="1" w:styleId="156">
    <w:name w:val="正文文本缩进 字符"/>
    <w:link w:val="33"/>
    <w:qFormat/>
    <w:uiPriority w:val="99"/>
    <w:rPr>
      <w:szCs w:val="24"/>
    </w:rPr>
  </w:style>
  <w:style w:type="character" w:customStyle="1" w:styleId="157">
    <w:name w:val="HTML 地址 字符"/>
    <w:link w:val="39"/>
    <w:semiHidden/>
    <w:qFormat/>
    <w:uiPriority w:val="99"/>
    <w:rPr>
      <w:i/>
      <w:iCs/>
      <w:szCs w:val="24"/>
    </w:rPr>
  </w:style>
  <w:style w:type="character" w:customStyle="1" w:styleId="158">
    <w:name w:val="纯文本 字符"/>
    <w:link w:val="42"/>
    <w:qFormat/>
    <w:uiPriority w:val="0"/>
    <w:rPr>
      <w:rFonts w:ascii="宋体" w:hAnsi="Courier New" w:cs="Courier New"/>
      <w:szCs w:val="21"/>
    </w:rPr>
  </w:style>
  <w:style w:type="character" w:customStyle="1" w:styleId="159">
    <w:name w:val="日期 字符"/>
    <w:link w:val="46"/>
    <w:semiHidden/>
    <w:qFormat/>
    <w:uiPriority w:val="99"/>
    <w:rPr>
      <w:szCs w:val="24"/>
    </w:rPr>
  </w:style>
  <w:style w:type="character" w:customStyle="1" w:styleId="160">
    <w:name w:val="正文文本缩进 2 字符"/>
    <w:link w:val="47"/>
    <w:semiHidden/>
    <w:qFormat/>
    <w:uiPriority w:val="99"/>
    <w:rPr>
      <w:szCs w:val="24"/>
    </w:rPr>
  </w:style>
  <w:style w:type="character" w:customStyle="1" w:styleId="161">
    <w:name w:val="批注框文本 字符"/>
    <w:link w:val="49"/>
    <w:qFormat/>
    <w:uiPriority w:val="0"/>
    <w:rPr>
      <w:sz w:val="16"/>
      <w:szCs w:val="0"/>
    </w:rPr>
  </w:style>
  <w:style w:type="character" w:customStyle="1" w:styleId="162">
    <w:name w:val="页脚 字符"/>
    <w:link w:val="50"/>
    <w:qFormat/>
    <w:uiPriority w:val="99"/>
    <w:rPr>
      <w:sz w:val="18"/>
      <w:szCs w:val="18"/>
    </w:rPr>
  </w:style>
  <w:style w:type="character" w:customStyle="1" w:styleId="163">
    <w:name w:val="页眉 字符"/>
    <w:link w:val="31"/>
    <w:qFormat/>
    <w:uiPriority w:val="0"/>
    <w:rPr>
      <w:sz w:val="18"/>
      <w:szCs w:val="18"/>
    </w:rPr>
  </w:style>
  <w:style w:type="character" w:customStyle="1" w:styleId="164">
    <w:name w:val="签名 字符"/>
    <w:link w:val="52"/>
    <w:semiHidden/>
    <w:qFormat/>
    <w:uiPriority w:val="99"/>
    <w:rPr>
      <w:szCs w:val="24"/>
    </w:rPr>
  </w:style>
  <w:style w:type="character" w:customStyle="1" w:styleId="165">
    <w:name w:val="副标题 字符"/>
    <w:link w:val="56"/>
    <w:qFormat/>
    <w:uiPriority w:val="11"/>
    <w:rPr>
      <w:rFonts w:ascii="Cambria" w:hAnsi="Cambria" w:cs="Times New Roman"/>
      <w:b/>
      <w:bCs/>
      <w:kern w:val="28"/>
      <w:sz w:val="32"/>
      <w:szCs w:val="32"/>
    </w:rPr>
  </w:style>
  <w:style w:type="character" w:customStyle="1" w:styleId="166">
    <w:name w:val="正文文本缩进 3 字符"/>
    <w:link w:val="61"/>
    <w:qFormat/>
    <w:uiPriority w:val="0"/>
    <w:rPr>
      <w:sz w:val="16"/>
      <w:szCs w:val="16"/>
    </w:rPr>
  </w:style>
  <w:style w:type="character" w:customStyle="1" w:styleId="167">
    <w:name w:val="正文文本 2 字符"/>
    <w:link w:val="64"/>
    <w:semiHidden/>
    <w:qFormat/>
    <w:uiPriority w:val="99"/>
    <w:rPr>
      <w:szCs w:val="24"/>
    </w:rPr>
  </w:style>
  <w:style w:type="character" w:customStyle="1" w:styleId="168">
    <w:name w:val="信息标题 字符"/>
    <w:link w:val="67"/>
    <w:semiHidden/>
    <w:qFormat/>
    <w:uiPriority w:val="99"/>
    <w:rPr>
      <w:rFonts w:ascii="Cambria" w:hAnsi="Cambria" w:eastAsia="宋体" w:cs="Times New Roman"/>
      <w:sz w:val="24"/>
      <w:szCs w:val="24"/>
      <w:shd w:val="pct20" w:color="auto" w:fill="auto"/>
    </w:rPr>
  </w:style>
  <w:style w:type="character" w:customStyle="1" w:styleId="169">
    <w:name w:val="HTML 预设格式 字符"/>
    <w:link w:val="68"/>
    <w:semiHidden/>
    <w:qFormat/>
    <w:uiPriority w:val="99"/>
    <w:rPr>
      <w:rFonts w:ascii="Courier New" w:hAnsi="Courier New" w:cs="Courier New"/>
      <w:sz w:val="20"/>
      <w:szCs w:val="20"/>
    </w:rPr>
  </w:style>
  <w:style w:type="character" w:customStyle="1" w:styleId="170">
    <w:name w:val="标题 字符"/>
    <w:link w:val="71"/>
    <w:qFormat/>
    <w:uiPriority w:val="10"/>
    <w:rPr>
      <w:rFonts w:ascii="Cambria" w:hAnsi="Cambria" w:cs="Times New Roman"/>
      <w:b/>
      <w:bCs/>
      <w:sz w:val="32"/>
      <w:szCs w:val="32"/>
    </w:rPr>
  </w:style>
  <w:style w:type="character" w:customStyle="1" w:styleId="171">
    <w:name w:val="批注主题 字符"/>
    <w:link w:val="72"/>
    <w:qFormat/>
    <w:uiPriority w:val="0"/>
    <w:rPr>
      <w:rFonts w:ascii="Calibri" w:hAnsi="Calibri" w:eastAsia="宋体"/>
      <w:b/>
      <w:bCs/>
      <w:sz w:val="22"/>
      <w:szCs w:val="24"/>
      <w:lang w:val="en-US" w:eastAsia="en-US"/>
    </w:rPr>
  </w:style>
  <w:style w:type="character" w:customStyle="1" w:styleId="172">
    <w:name w:val="正文文本首行缩进 字符"/>
    <w:link w:val="73"/>
    <w:semiHidden/>
    <w:qFormat/>
    <w:uiPriority w:val="99"/>
    <w:rPr>
      <w:rFonts w:eastAsia="宋体" w:cs="Times New Roman"/>
      <w:sz w:val="21"/>
      <w:szCs w:val="24"/>
    </w:rPr>
  </w:style>
  <w:style w:type="character" w:customStyle="1" w:styleId="173">
    <w:name w:val="正文文本首行缩进 2 字符"/>
    <w:basedOn w:val="156"/>
    <w:link w:val="74"/>
    <w:semiHidden/>
    <w:qFormat/>
    <w:uiPriority w:val="99"/>
    <w:rPr>
      <w:szCs w:val="24"/>
    </w:rPr>
  </w:style>
  <w:style w:type="character" w:customStyle="1" w:styleId="174">
    <w:name w:val="hei14"/>
    <w:semiHidden/>
    <w:qFormat/>
    <w:uiPriority w:val="99"/>
    <w:rPr>
      <w:rFonts w:cs="Times New Roman"/>
    </w:rPr>
  </w:style>
  <w:style w:type="character" w:customStyle="1" w:styleId="175">
    <w:name w:val="hover38"/>
    <w:qFormat/>
    <w:uiPriority w:val="99"/>
    <w:rPr>
      <w:rFonts w:cs="Times New Roman"/>
      <w:color w:val="FF6600"/>
      <w:u w:val="single"/>
    </w:rPr>
  </w:style>
  <w:style w:type="character" w:customStyle="1" w:styleId="176">
    <w:name w:val="hover44"/>
    <w:qFormat/>
    <w:uiPriority w:val="99"/>
    <w:rPr>
      <w:rFonts w:ascii="微软雅黑" w:hAnsi="微软雅黑" w:eastAsia="微软雅黑" w:cs="微软雅黑"/>
      <w:b/>
      <w:color w:val="FF6600"/>
      <w:sz w:val="22"/>
      <w:szCs w:val="22"/>
      <w:u w:val="single"/>
    </w:rPr>
  </w:style>
  <w:style w:type="character" w:customStyle="1" w:styleId="177">
    <w:name w:val="Body Text Char"/>
    <w:qFormat/>
    <w:locked/>
    <w:uiPriority w:val="99"/>
    <w:rPr>
      <w:rFonts w:eastAsia="宋体" w:cs="Times New Roman"/>
      <w:sz w:val="21"/>
    </w:rPr>
  </w:style>
  <w:style w:type="character" w:customStyle="1" w:styleId="178">
    <w:name w:val="标题 1 Char"/>
    <w:qFormat/>
    <w:uiPriority w:val="99"/>
    <w:rPr>
      <w:rFonts w:eastAsia="宋体" w:cs="Times New Roman"/>
      <w:b/>
      <w:bCs/>
      <w:kern w:val="44"/>
      <w:sz w:val="44"/>
      <w:szCs w:val="44"/>
      <w:lang w:val="en-US" w:eastAsia="zh-CN" w:bidi="ar-SA"/>
    </w:rPr>
  </w:style>
  <w:style w:type="character" w:customStyle="1" w:styleId="179">
    <w:name w:val="hover40"/>
    <w:qFormat/>
    <w:uiPriority w:val="99"/>
    <w:rPr>
      <w:rFonts w:cs="Times New Roman"/>
      <w:color w:val="FF6600"/>
      <w:u w:val="single"/>
    </w:rPr>
  </w:style>
  <w:style w:type="character" w:customStyle="1" w:styleId="180">
    <w:name w:val="访问过的超链接1"/>
    <w:semiHidden/>
    <w:qFormat/>
    <w:uiPriority w:val="99"/>
    <w:rPr>
      <w:rFonts w:cs="Times New Roman"/>
      <w:color w:val="1F4F88"/>
      <w:u w:val="none"/>
    </w:rPr>
  </w:style>
  <w:style w:type="character" w:customStyle="1" w:styleId="181">
    <w:name w:val="hover39"/>
    <w:qFormat/>
    <w:uiPriority w:val="99"/>
    <w:rPr>
      <w:rFonts w:cs="Times New Roman"/>
      <w:color w:val="FFFFFF"/>
      <w:shd w:val="clear" w:color="auto" w:fill="FF6600"/>
    </w:rPr>
  </w:style>
  <w:style w:type="character" w:customStyle="1" w:styleId="182">
    <w:name w:val="Comment Text Char"/>
    <w:qFormat/>
    <w:locked/>
    <w:uiPriority w:val="99"/>
    <w:rPr>
      <w:rFonts w:ascii="Calibri" w:hAnsi="Calibri" w:eastAsia="宋体"/>
      <w:sz w:val="22"/>
      <w:lang w:val="en-US" w:eastAsia="en-US"/>
    </w:rPr>
  </w:style>
  <w:style w:type="character" w:customStyle="1" w:styleId="183">
    <w:name w:val="hover42"/>
    <w:qFormat/>
    <w:uiPriority w:val="99"/>
    <w:rPr>
      <w:rFonts w:cs="Times New Roman"/>
      <w:color w:val="FFFFFF"/>
      <w:shd w:val="clear" w:color="auto" w:fill="FF6600"/>
    </w:rPr>
  </w:style>
  <w:style w:type="character" w:customStyle="1" w:styleId="184">
    <w:name w:val="Header Char"/>
    <w:semiHidden/>
    <w:qFormat/>
    <w:locked/>
    <w:uiPriority w:val="99"/>
    <w:rPr>
      <w:rFonts w:eastAsia="宋体" w:cs="Times New Roman"/>
      <w:sz w:val="18"/>
      <w:szCs w:val="18"/>
    </w:rPr>
  </w:style>
  <w:style w:type="character" w:customStyle="1" w:styleId="185">
    <w:name w:val="Char Char3"/>
    <w:qFormat/>
    <w:uiPriority w:val="99"/>
    <w:rPr>
      <w:rFonts w:ascii="Calibri" w:hAnsi="Calibri" w:eastAsia="宋体" w:cs="Times New Roman"/>
      <w:sz w:val="22"/>
      <w:szCs w:val="22"/>
      <w:lang w:eastAsia="en-US"/>
    </w:rPr>
  </w:style>
  <w:style w:type="character" w:customStyle="1" w:styleId="186">
    <w:name w:val="明显引用 Char"/>
    <w:link w:val="187"/>
    <w:qFormat/>
    <w:locked/>
    <w:uiPriority w:val="99"/>
    <w:rPr>
      <w:b/>
      <w:i/>
      <w:sz w:val="24"/>
    </w:rPr>
  </w:style>
  <w:style w:type="paragraph" w:customStyle="1" w:styleId="187">
    <w:name w:val="明显引用1"/>
    <w:basedOn w:val="1"/>
    <w:next w:val="1"/>
    <w:link w:val="186"/>
    <w:qFormat/>
    <w:uiPriority w:val="99"/>
    <w:pPr>
      <w:widowControl/>
      <w:ind w:left="720" w:right="720"/>
      <w:jc w:val="left"/>
    </w:pPr>
    <w:rPr>
      <w:b/>
      <w:i/>
      <w:kern w:val="0"/>
      <w:sz w:val="24"/>
      <w:szCs w:val="20"/>
    </w:rPr>
  </w:style>
  <w:style w:type="character" w:customStyle="1" w:styleId="188">
    <w:name w:val="Footer Char"/>
    <w:semiHidden/>
    <w:qFormat/>
    <w:locked/>
    <w:uiPriority w:val="99"/>
    <w:rPr>
      <w:rFonts w:eastAsia="宋体" w:cs="Times New Roman"/>
      <w:sz w:val="18"/>
      <w:szCs w:val="18"/>
    </w:rPr>
  </w:style>
  <w:style w:type="character" w:customStyle="1" w:styleId="189">
    <w:name w:val="List Paragraph Char"/>
    <w:link w:val="190"/>
    <w:qFormat/>
    <w:locked/>
    <w:uiPriority w:val="99"/>
    <w:rPr>
      <w:rFonts w:eastAsia="宋体" w:cs="Times New Roman"/>
      <w:color w:val="262626"/>
    </w:rPr>
  </w:style>
  <w:style w:type="paragraph" w:customStyle="1" w:styleId="190">
    <w:name w:val="列出段落1"/>
    <w:basedOn w:val="1"/>
    <w:link w:val="189"/>
    <w:qFormat/>
    <w:uiPriority w:val="99"/>
    <w:pPr>
      <w:spacing w:line="360" w:lineRule="auto"/>
      <w:ind w:firstLine="480" w:firstLineChars="200"/>
    </w:pPr>
    <w:rPr>
      <w:color w:val="262626"/>
      <w:kern w:val="0"/>
      <w:sz w:val="20"/>
      <w:szCs w:val="20"/>
    </w:rPr>
  </w:style>
  <w:style w:type="character" w:customStyle="1" w:styleId="191">
    <w:name w:val="bds_more"/>
    <w:qFormat/>
    <w:uiPriority w:val="99"/>
    <w:rPr>
      <w:rFonts w:ascii="Arial" w:hAnsi="Arial" w:cs="Arial"/>
    </w:rPr>
  </w:style>
  <w:style w:type="character" w:customStyle="1" w:styleId="192">
    <w:name w:val="font01"/>
    <w:qFormat/>
    <w:uiPriority w:val="0"/>
    <w:rPr>
      <w:rFonts w:hint="eastAsia" w:ascii="宋体" w:hAnsi="宋体" w:eastAsia="宋体"/>
      <w:color w:val="000000"/>
      <w:sz w:val="21"/>
      <w:szCs w:val="21"/>
      <w:u w:val="none"/>
    </w:rPr>
  </w:style>
  <w:style w:type="character" w:customStyle="1" w:styleId="193">
    <w:name w:val="Body Text First Indent Char"/>
    <w:qFormat/>
    <w:locked/>
    <w:uiPriority w:val="99"/>
    <w:rPr>
      <w:rFonts w:ascii="宋体" w:hAnsi="宋体" w:eastAsia="宋体" w:cs="Times New Roman"/>
      <w:spacing w:val="20"/>
      <w:sz w:val="24"/>
    </w:rPr>
  </w:style>
  <w:style w:type="character" w:customStyle="1" w:styleId="194">
    <w:name w:val="apple-converted-space"/>
    <w:qFormat/>
    <w:uiPriority w:val="99"/>
  </w:style>
  <w:style w:type="character" w:customStyle="1" w:styleId="195">
    <w:name w:val="hover43"/>
    <w:qFormat/>
    <w:uiPriority w:val="99"/>
    <w:rPr>
      <w:rFonts w:cs="Times New Roman"/>
      <w:color w:val="FF6600"/>
      <w:u w:val="single"/>
    </w:rPr>
  </w:style>
  <w:style w:type="character" w:customStyle="1" w:styleId="196">
    <w:name w:val="段 Char"/>
    <w:link w:val="197"/>
    <w:qFormat/>
    <w:locked/>
    <w:uiPriority w:val="99"/>
    <w:rPr>
      <w:rFonts w:ascii="宋体"/>
      <w:sz w:val="21"/>
      <w:lang w:val="en-US" w:eastAsia="zh-CN" w:bidi="ar-SA"/>
    </w:rPr>
  </w:style>
  <w:style w:type="paragraph" w:customStyle="1" w:styleId="197">
    <w:name w:val="段"/>
    <w:link w:val="196"/>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98">
    <w:name w:val="Document Map Char"/>
    <w:semiHidden/>
    <w:qFormat/>
    <w:locked/>
    <w:uiPriority w:val="99"/>
    <w:rPr>
      <w:rFonts w:eastAsia="宋体" w:cs="Times New Roman"/>
      <w:sz w:val="21"/>
    </w:rPr>
  </w:style>
  <w:style w:type="character" w:customStyle="1" w:styleId="199">
    <w:name w:val="正文（缩进） Char"/>
    <w:link w:val="200"/>
    <w:qFormat/>
    <w:locked/>
    <w:uiPriority w:val="99"/>
    <w:rPr>
      <w:rFonts w:eastAsia="宋体"/>
      <w:sz w:val="24"/>
    </w:rPr>
  </w:style>
  <w:style w:type="paragraph" w:customStyle="1" w:styleId="200">
    <w:name w:val="正文（缩进）"/>
    <w:basedOn w:val="1"/>
    <w:link w:val="199"/>
    <w:semiHidden/>
    <w:qFormat/>
    <w:uiPriority w:val="99"/>
    <w:pPr>
      <w:spacing w:beforeLines="50" w:afterLines="50" w:line="360" w:lineRule="auto"/>
      <w:ind w:firstLine="480" w:firstLineChars="200"/>
    </w:pPr>
    <w:rPr>
      <w:kern w:val="0"/>
      <w:sz w:val="24"/>
      <w:szCs w:val="20"/>
    </w:rPr>
  </w:style>
  <w:style w:type="character" w:customStyle="1" w:styleId="201">
    <w:name w:val="font21"/>
    <w:qFormat/>
    <w:uiPriority w:val="0"/>
    <w:rPr>
      <w:rFonts w:hint="default" w:ascii="Times New Roman" w:hAnsi="Times New Roman" w:cs="Times New Roman"/>
      <w:color w:val="000000"/>
      <w:sz w:val="21"/>
      <w:szCs w:val="21"/>
      <w:u w:val="none"/>
    </w:rPr>
  </w:style>
  <w:style w:type="character" w:customStyle="1" w:styleId="202">
    <w:name w:val="param-name1"/>
    <w:qFormat/>
    <w:uiPriority w:val="99"/>
    <w:rPr>
      <w:rFonts w:cs="Times New Roman"/>
      <w:b/>
    </w:rPr>
  </w:style>
  <w:style w:type="paragraph" w:customStyle="1" w:styleId="203">
    <w:name w:val="Char Char1 Char Char Char Char"/>
    <w:basedOn w:val="1"/>
    <w:qFormat/>
    <w:uiPriority w:val="99"/>
    <w:pPr>
      <w:keepNext/>
      <w:keepLines/>
      <w:adjustRightInd w:val="0"/>
      <w:spacing w:beforeLines="100" w:afterLines="100" w:line="300" w:lineRule="auto"/>
      <w:ind w:firstLine="200" w:firstLineChars="200"/>
      <w:textAlignment w:val="center"/>
    </w:pPr>
    <w:rPr>
      <w:rFonts w:ascii="仿宋_GB2312" w:hAnsi="宋体" w:eastAsia="仿宋_GB2312"/>
      <w:kern w:val="0"/>
      <w:sz w:val="24"/>
      <w:szCs w:val="20"/>
    </w:rPr>
  </w:style>
  <w:style w:type="paragraph" w:customStyle="1" w:styleId="204">
    <w:name w:val="font0"/>
    <w:basedOn w:val="1"/>
    <w:qFormat/>
    <w:uiPriority w:val="99"/>
    <w:pPr>
      <w:widowControl/>
      <w:spacing w:before="100" w:beforeAutospacing="1" w:after="100" w:afterAutospacing="1"/>
      <w:jc w:val="left"/>
    </w:pPr>
    <w:rPr>
      <w:rFonts w:ascii="宋体" w:hAnsi="宋体" w:cs="宋体"/>
      <w:kern w:val="0"/>
      <w:sz w:val="24"/>
    </w:rPr>
  </w:style>
  <w:style w:type="paragraph" w:customStyle="1" w:styleId="205">
    <w:name w:val="xl3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06">
    <w:name w:val="注×："/>
    <w:semiHidden/>
    <w:qFormat/>
    <w:uiPriority w:val="99"/>
    <w:pPr>
      <w:widowControl w:val="0"/>
      <w:tabs>
        <w:tab w:val="left" w:pos="360"/>
        <w:tab w:val="left" w:pos="630"/>
      </w:tabs>
      <w:autoSpaceDE w:val="0"/>
      <w:autoSpaceDN w:val="0"/>
      <w:ind w:left="360" w:hanging="360"/>
      <w:jc w:val="both"/>
    </w:pPr>
    <w:rPr>
      <w:rFonts w:ascii="宋体" w:hAnsi="Times New Roman" w:eastAsia="宋体" w:cs="Times New Roman"/>
      <w:sz w:val="18"/>
      <w:lang w:val="en-US" w:eastAsia="zh-CN" w:bidi="ar-SA"/>
    </w:rPr>
  </w:style>
  <w:style w:type="paragraph" w:customStyle="1" w:styleId="207">
    <w:name w:val="样式5"/>
    <w:basedOn w:val="1"/>
    <w:next w:val="41"/>
    <w:qFormat/>
    <w:uiPriority w:val="99"/>
    <w:pPr>
      <w:tabs>
        <w:tab w:val="left" w:pos="980"/>
      </w:tabs>
      <w:spacing w:line="360" w:lineRule="auto"/>
      <w:ind w:left="140" w:right="-20"/>
      <w:outlineLvl w:val="0"/>
    </w:pPr>
    <w:rPr>
      <w:b/>
      <w:bCs/>
      <w:kern w:val="0"/>
      <w:sz w:val="28"/>
      <w:szCs w:val="28"/>
    </w:rPr>
  </w:style>
  <w:style w:type="paragraph" w:customStyle="1" w:styleId="208">
    <w:name w:val="xl44"/>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09">
    <w:name w:val="表题"/>
    <w:basedOn w:val="42"/>
    <w:qFormat/>
    <w:uiPriority w:val="99"/>
    <w:pPr>
      <w:adjustRightInd w:val="0"/>
      <w:spacing w:line="480" w:lineRule="auto"/>
      <w:jc w:val="center"/>
    </w:pPr>
    <w:rPr>
      <w:rFonts w:ascii="Times New Roman" w:hAnsi="Times New Roman" w:eastAsia="黑体"/>
      <w:sz w:val="18"/>
    </w:rPr>
  </w:style>
  <w:style w:type="paragraph" w:customStyle="1" w:styleId="210">
    <w:name w:val="正文2"/>
    <w:basedOn w:val="1"/>
    <w:semiHidden/>
    <w:qFormat/>
    <w:uiPriority w:val="99"/>
    <w:pPr>
      <w:spacing w:before="156" w:line="360" w:lineRule="auto"/>
      <w:ind w:firstLine="510" w:firstLineChars="200"/>
    </w:pPr>
    <w:rPr>
      <w:sz w:val="24"/>
      <w:szCs w:val="20"/>
    </w:rPr>
  </w:style>
  <w:style w:type="paragraph" w:customStyle="1" w:styleId="211">
    <w:name w:val="xl32"/>
    <w:basedOn w:val="1"/>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12">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14">
    <w:name w:val="xl4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15">
    <w:name w:val="xl78"/>
    <w:basedOn w:val="1"/>
    <w:qFormat/>
    <w:uiPriority w:val="0"/>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textAlignment w:val="center"/>
    </w:pPr>
    <w:rPr>
      <w:rFonts w:ascii="黑体" w:hAnsi="宋体" w:eastAsia="黑体" w:cs="宋体"/>
      <w:b/>
      <w:bCs/>
      <w:kern w:val="0"/>
      <w:sz w:val="28"/>
      <w:szCs w:val="28"/>
    </w:rPr>
  </w:style>
  <w:style w:type="paragraph" w:customStyle="1" w:styleId="216">
    <w:name w:val="a2"/>
    <w:basedOn w:val="1"/>
    <w:qFormat/>
    <w:uiPriority w:val="99"/>
    <w:pPr>
      <w:widowControl/>
      <w:spacing w:before="100" w:beforeAutospacing="1" w:after="100" w:afterAutospacing="1"/>
      <w:jc w:val="left"/>
    </w:pPr>
    <w:rPr>
      <w:rFonts w:ascii="宋体" w:hAnsi="宋体" w:cs="宋体"/>
      <w:kern w:val="0"/>
      <w:sz w:val="24"/>
    </w:rPr>
  </w:style>
  <w:style w:type="paragraph" w:customStyle="1" w:styleId="217">
    <w:name w:val="xl2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8">
    <w:name w:val="xl72"/>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1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20">
    <w:name w:val="Char Char1 Char Char Char Char1"/>
    <w:basedOn w:val="1"/>
    <w:qFormat/>
    <w:uiPriority w:val="99"/>
    <w:pPr>
      <w:keepNext/>
      <w:keepLines/>
      <w:adjustRightInd w:val="0"/>
      <w:spacing w:beforeLines="100" w:afterLines="100" w:line="300" w:lineRule="auto"/>
      <w:ind w:firstLine="200" w:firstLineChars="200"/>
    </w:pPr>
    <w:rPr>
      <w:rFonts w:ascii="仿宋_GB2312" w:hAnsi="宋体" w:eastAsia="仿宋_GB2312"/>
      <w:kern w:val="0"/>
      <w:sz w:val="24"/>
      <w:szCs w:val="20"/>
    </w:rPr>
  </w:style>
  <w:style w:type="paragraph" w:customStyle="1" w:styleId="221">
    <w:name w:val="xl4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22">
    <w:name w:val="简单回函地址"/>
    <w:basedOn w:val="1"/>
    <w:qFormat/>
    <w:uiPriority w:val="99"/>
  </w:style>
  <w:style w:type="paragraph" w:customStyle="1" w:styleId="223">
    <w:name w:val="标题 4（绿盟科技）"/>
    <w:basedOn w:val="6"/>
    <w:next w:val="1"/>
    <w:semiHidden/>
    <w:qFormat/>
    <w:uiPriority w:val="99"/>
    <w:pPr>
      <w:widowControl/>
      <w:tabs>
        <w:tab w:val="left" w:pos="360"/>
      </w:tabs>
      <w:ind w:left="1447" w:hanging="1021"/>
      <w:jc w:val="left"/>
    </w:pPr>
    <w:rPr>
      <w:bCs w:val="0"/>
    </w:rPr>
  </w:style>
  <w:style w:type="paragraph" w:customStyle="1" w:styleId="224">
    <w:name w:val="xl47"/>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25">
    <w:name w:val="样式1"/>
    <w:basedOn w:val="6"/>
    <w:qFormat/>
    <w:uiPriority w:val="99"/>
    <w:pPr>
      <w:autoSpaceDE w:val="0"/>
      <w:autoSpaceDN w:val="0"/>
      <w:adjustRightInd w:val="0"/>
      <w:spacing w:line="500" w:lineRule="exact"/>
      <w:ind w:firstLine="490" w:firstLineChars="204"/>
      <w:jc w:val="left"/>
    </w:pPr>
    <w:rPr>
      <w:rFonts w:ascii="宋体" w:hAnsi="宋体"/>
      <w:bCs w:val="0"/>
      <w:sz w:val="24"/>
      <w:szCs w:val="20"/>
    </w:rPr>
  </w:style>
  <w:style w:type="paragraph" w:customStyle="1" w:styleId="226">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27">
    <w:name w:val="标题 6（有编号）（绿盟科技）"/>
    <w:basedOn w:val="1"/>
    <w:next w:val="1"/>
    <w:semiHidden/>
    <w:qFormat/>
    <w:uiPriority w:val="99"/>
    <w:pPr>
      <w:keepNext/>
      <w:keepLines/>
      <w:numPr>
        <w:ilvl w:val="2"/>
        <w:numId w:val="1"/>
      </w:numPr>
      <w:spacing w:line="319" w:lineRule="auto"/>
      <w:ind w:left="1673" w:hanging="1247"/>
      <w:jc w:val="left"/>
      <w:outlineLvl w:val="5"/>
    </w:pPr>
    <w:rPr>
      <w:rFonts w:ascii="Arial" w:hAnsi="Arial" w:eastAsia="黑体"/>
      <w:b/>
      <w:kern w:val="0"/>
    </w:rPr>
  </w:style>
  <w:style w:type="paragraph" w:customStyle="1" w:styleId="2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9">
    <w:name w:val="xl29"/>
    <w:basedOn w:val="1"/>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30">
    <w:name w:val="标题 3（绿盟科技）"/>
    <w:basedOn w:val="5"/>
    <w:next w:val="1"/>
    <w:semiHidden/>
    <w:qFormat/>
    <w:uiPriority w:val="99"/>
    <w:pPr>
      <w:tabs>
        <w:tab w:val="left" w:pos="960"/>
        <w:tab w:val="left" w:pos="1260"/>
      </w:tabs>
      <w:spacing w:line="415" w:lineRule="auto"/>
      <w:ind w:left="1260" w:firstLine="147" w:firstLineChars="147"/>
      <w:jc w:val="left"/>
    </w:pPr>
    <w:rPr>
      <w:rFonts w:ascii="Arial" w:hAnsi="Arial" w:eastAsia="黑体"/>
      <w:sz w:val="30"/>
      <w:szCs w:val="30"/>
    </w:rPr>
  </w:style>
  <w:style w:type="paragraph" w:customStyle="1" w:styleId="231">
    <w:name w:val="t4_2"/>
    <w:basedOn w:val="1"/>
    <w:qFormat/>
    <w:uiPriority w:val="99"/>
    <w:pPr>
      <w:widowControl/>
      <w:tabs>
        <w:tab w:val="left" w:pos="360"/>
      </w:tabs>
      <w:spacing w:line="360" w:lineRule="auto"/>
      <w:ind w:left="420"/>
      <w:jc w:val="left"/>
    </w:pPr>
    <w:rPr>
      <w:b/>
    </w:rPr>
  </w:style>
  <w:style w:type="paragraph" w:customStyle="1" w:styleId="2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33">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5">
    <w:name w:val="xl50"/>
    <w:basedOn w:val="1"/>
    <w:qFormat/>
    <w:uiPriority w:val="99"/>
    <w:pPr>
      <w:widowControl/>
      <w:pBdr>
        <w:lef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36">
    <w:name w:val="样式2"/>
    <w:basedOn w:val="7"/>
    <w:qFormat/>
    <w:uiPriority w:val="99"/>
    <w:pPr>
      <w:autoSpaceDE w:val="0"/>
      <w:autoSpaceDN w:val="0"/>
      <w:adjustRightInd w:val="0"/>
      <w:spacing w:before="240" w:after="240" w:line="500" w:lineRule="exact"/>
      <w:ind w:firstLine="204" w:firstLineChars="204"/>
      <w:jc w:val="left"/>
    </w:pPr>
    <w:rPr>
      <w:rFonts w:ascii="宋体" w:hAnsi="宋体"/>
      <w:bCs w:val="0"/>
      <w:sz w:val="24"/>
      <w:szCs w:val="20"/>
    </w:rPr>
  </w:style>
  <w:style w:type="paragraph" w:customStyle="1" w:styleId="237">
    <w:name w:val="xl4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38">
    <w:name w:val="xl49"/>
    <w:basedOn w:val="1"/>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39">
    <w:name w:val="五级无标题条"/>
    <w:basedOn w:val="1"/>
    <w:qFormat/>
    <w:uiPriority w:val="99"/>
    <w:pPr>
      <w:tabs>
        <w:tab w:val="left" w:pos="840"/>
      </w:tabs>
      <w:ind w:left="840" w:hanging="630"/>
    </w:pPr>
    <w:rPr>
      <w:szCs w:val="20"/>
    </w:rPr>
  </w:style>
  <w:style w:type="paragraph" w:customStyle="1" w:styleId="240">
    <w:name w:val="PP 行"/>
    <w:basedOn w:val="52"/>
    <w:qFormat/>
    <w:uiPriority w:val="99"/>
  </w:style>
  <w:style w:type="paragraph" w:customStyle="1" w:styleId="241">
    <w:name w:val="本文項目"/>
    <w:basedOn w:val="1"/>
    <w:semiHidden/>
    <w:qFormat/>
    <w:uiPriority w:val="99"/>
    <w:pPr>
      <w:tabs>
        <w:tab w:val="left" w:pos="360"/>
      </w:tabs>
      <w:autoSpaceDE w:val="0"/>
      <w:autoSpaceDN w:val="0"/>
      <w:adjustRightInd w:val="0"/>
      <w:spacing w:beforeLines="50" w:afterLines="50" w:line="360" w:lineRule="auto"/>
      <w:ind w:left="360" w:hanging="360"/>
      <w:textAlignment w:val="baseline"/>
    </w:pPr>
    <w:rPr>
      <w:b/>
      <w:kern w:val="0"/>
      <w:sz w:val="24"/>
    </w:rPr>
  </w:style>
  <w:style w:type="paragraph" w:customStyle="1" w:styleId="242">
    <w:name w:val="Char Char 字元 字元 字元 Char Char Char Char"/>
    <w:basedOn w:val="1"/>
    <w:qFormat/>
    <w:uiPriority w:val="99"/>
    <w:pPr>
      <w:adjustRightInd w:val="0"/>
      <w:spacing w:line="360" w:lineRule="auto"/>
    </w:pPr>
    <w:rPr>
      <w:kern w:val="0"/>
      <w:sz w:val="24"/>
      <w:szCs w:val="20"/>
    </w:rPr>
  </w:style>
  <w:style w:type="paragraph" w:customStyle="1" w:styleId="243">
    <w:name w:val="列出段落11"/>
    <w:basedOn w:val="1"/>
    <w:semiHidden/>
    <w:qFormat/>
    <w:uiPriority w:val="99"/>
    <w:pPr>
      <w:ind w:firstLine="420" w:firstLineChars="200"/>
    </w:pPr>
    <w:rPr>
      <w:szCs w:val="20"/>
    </w:rPr>
  </w:style>
  <w:style w:type="paragraph" w:customStyle="1" w:styleId="24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45">
    <w:name w:val="xl3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4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47">
    <w:name w:val="style0"/>
    <w:basedOn w:val="1"/>
    <w:qFormat/>
    <w:uiPriority w:val="99"/>
    <w:pPr>
      <w:widowControl/>
      <w:spacing w:before="100" w:beforeAutospacing="1" w:after="100" w:afterAutospacing="1"/>
      <w:jc w:val="left"/>
    </w:pPr>
    <w:rPr>
      <w:rFonts w:ascii="宋体" w:hAnsi="宋体"/>
      <w:kern w:val="0"/>
      <w:sz w:val="24"/>
    </w:rPr>
  </w:style>
  <w:style w:type="paragraph" w:customStyle="1" w:styleId="248">
    <w:name w:val="正文居中"/>
    <w:basedOn w:val="1"/>
    <w:next w:val="73"/>
    <w:qFormat/>
    <w:uiPriority w:val="99"/>
    <w:pPr>
      <w:jc w:val="center"/>
    </w:pPr>
    <w:rPr>
      <w:sz w:val="24"/>
      <w:szCs w:val="20"/>
    </w:rPr>
  </w:style>
  <w:style w:type="paragraph" w:customStyle="1" w:styleId="249">
    <w:name w:val="xl45"/>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50">
    <w:name w:val="xl48"/>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51">
    <w:name w:val="Char Char Char Char"/>
    <w:basedOn w:val="1"/>
    <w:qFormat/>
    <w:uiPriority w:val="99"/>
    <w:rPr>
      <w:rFonts w:ascii="Tahoma" w:hAnsi="Tahoma"/>
      <w:sz w:val="24"/>
      <w:szCs w:val="20"/>
    </w:rPr>
  </w:style>
  <w:style w:type="paragraph" w:customStyle="1" w:styleId="252">
    <w:name w:val="xl33"/>
    <w:basedOn w:val="247"/>
    <w:qFormat/>
    <w:uiPriority w:val="99"/>
    <w:pPr>
      <w:pBdr>
        <w:bottom w:val="single" w:color="auto" w:sz="4" w:space="0"/>
        <w:right w:val="single" w:color="auto" w:sz="4" w:space="0"/>
      </w:pBdr>
      <w:jc w:val="center"/>
    </w:pPr>
    <w:rPr>
      <w:sz w:val="20"/>
      <w:szCs w:val="20"/>
    </w:rPr>
  </w:style>
  <w:style w:type="paragraph" w:customStyle="1" w:styleId="253">
    <w:name w:val="标题 2（绿盟科技）"/>
    <w:basedOn w:val="4"/>
    <w:next w:val="1"/>
    <w:semiHidden/>
    <w:qFormat/>
    <w:uiPriority w:val="99"/>
    <w:pPr>
      <w:numPr>
        <w:ilvl w:val="1"/>
        <w:numId w:val="1"/>
      </w:numPr>
      <w:tabs>
        <w:tab w:val="left" w:pos="1440"/>
      </w:tabs>
      <w:spacing w:line="415" w:lineRule="auto"/>
      <w:jc w:val="left"/>
    </w:pPr>
    <w:rPr>
      <w:bCs w:val="0"/>
    </w:rPr>
  </w:style>
  <w:style w:type="paragraph" w:customStyle="1" w:styleId="254">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55">
    <w:name w:val="xl30"/>
    <w:basedOn w:val="1"/>
    <w:qFormat/>
    <w:uiPriority w:val="99"/>
    <w:pPr>
      <w:widowControl/>
      <w:pBdr>
        <w:top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56">
    <w:name w:val="样式4"/>
    <w:basedOn w:val="236"/>
    <w:qFormat/>
    <w:uiPriority w:val="99"/>
    <w:pPr>
      <w:keepNext w:val="0"/>
      <w:keepLines w:val="0"/>
      <w:tabs>
        <w:tab w:val="left" w:pos="360"/>
      </w:tabs>
      <w:autoSpaceDE/>
      <w:autoSpaceDN/>
      <w:adjustRightInd/>
      <w:spacing w:before="0" w:after="200" w:line="276" w:lineRule="auto"/>
      <w:ind w:left="360" w:firstLine="0" w:firstLineChars="0"/>
      <w:jc w:val="both"/>
      <w:outlineLvl w:val="9"/>
    </w:pPr>
    <w:rPr>
      <w:rFonts w:ascii="Calibri" w:hAnsi="Calibri"/>
      <w:szCs w:val="24"/>
    </w:rPr>
  </w:style>
  <w:style w:type="paragraph" w:customStyle="1" w:styleId="257">
    <w:name w:val="xl43"/>
    <w:basedOn w:val="247"/>
    <w:qFormat/>
    <w:uiPriority w:val="99"/>
    <w:pPr>
      <w:pBdr>
        <w:bottom w:val="single" w:color="auto" w:sz="4" w:space="0"/>
        <w:right w:val="single" w:color="auto" w:sz="4" w:space="0"/>
      </w:pBdr>
      <w:jc w:val="center"/>
    </w:pPr>
    <w:rPr>
      <w:sz w:val="21"/>
      <w:szCs w:val="21"/>
    </w:rPr>
  </w:style>
  <w:style w:type="paragraph" w:customStyle="1" w:styleId="258">
    <w:name w:val="xl42"/>
    <w:basedOn w:val="1"/>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59">
    <w:name w:val="Char Char Char"/>
    <w:basedOn w:val="1"/>
    <w:qFormat/>
    <w:uiPriority w:val="99"/>
    <w:rPr>
      <w:rFonts w:ascii="宋体" w:hAnsi="宋体"/>
      <w:b/>
      <w:sz w:val="28"/>
      <w:szCs w:val="28"/>
    </w:rPr>
  </w:style>
  <w:style w:type="paragraph" w:customStyle="1" w:styleId="260">
    <w:name w:val="xl73"/>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61">
    <w:name w:val="xl74"/>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62">
    <w:name w:val="标题 1（绿盟科技）"/>
    <w:basedOn w:val="3"/>
    <w:next w:val="1"/>
    <w:semiHidden/>
    <w:qFormat/>
    <w:uiPriority w:val="99"/>
    <w:pPr>
      <w:pBdr>
        <w:bottom w:val="single" w:color="auto" w:sz="48" w:space="1"/>
      </w:pBdr>
      <w:tabs>
        <w:tab w:val="left" w:pos="360"/>
      </w:tabs>
      <w:spacing w:line="576" w:lineRule="auto"/>
      <w:ind w:left="360" w:hanging="360"/>
      <w:jc w:val="left"/>
    </w:pPr>
    <w:rPr>
      <w:rFonts w:ascii="Arial" w:hAnsi="Arial" w:eastAsia="黑体"/>
    </w:rPr>
  </w:style>
  <w:style w:type="paragraph" w:customStyle="1" w:styleId="263">
    <w:name w:val="xl3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64">
    <w:name w:val="示例"/>
    <w:qFormat/>
    <w:uiPriority w:val="99"/>
    <w:pPr>
      <w:jc w:val="both"/>
    </w:pPr>
    <w:rPr>
      <w:rFonts w:ascii="宋体" w:hAnsi="Times New Roman" w:eastAsia="宋体" w:cs="Times New Roman"/>
      <w:sz w:val="18"/>
      <w:lang w:val="en-US" w:eastAsia="zh-CN" w:bidi="ar-SA"/>
    </w:rPr>
  </w:style>
  <w:style w:type="paragraph" w:customStyle="1" w:styleId="26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66">
    <w:name w:val="样式目录三"/>
    <w:basedOn w:val="41"/>
    <w:semiHidden/>
    <w:qFormat/>
    <w:uiPriority w:val="99"/>
    <w:pPr>
      <w:numPr>
        <w:ilvl w:val="5"/>
        <w:numId w:val="1"/>
      </w:numPr>
      <w:tabs>
        <w:tab w:val="left" w:pos="1320"/>
        <w:tab w:val="right" w:leader="dot" w:pos="8597"/>
      </w:tabs>
      <w:spacing w:line="360" w:lineRule="auto"/>
      <w:ind w:left="0" w:firstLine="0"/>
      <w:outlineLvl w:val="2"/>
    </w:pPr>
    <w:rPr>
      <w:i w:val="0"/>
      <w:sz w:val="24"/>
    </w:rPr>
  </w:style>
  <w:style w:type="paragraph" w:customStyle="1" w:styleId="267">
    <w:name w:val="xl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68">
    <w:name w:val="表格标注（绿盟科技）"/>
    <w:basedOn w:val="269"/>
    <w:next w:val="1"/>
    <w:semiHidden/>
    <w:qFormat/>
    <w:uiPriority w:val="99"/>
    <w:pPr>
      <w:numPr>
        <w:ilvl w:val="4"/>
      </w:numPr>
      <w:tabs>
        <w:tab w:val="left" w:pos="1620"/>
        <w:tab w:val="left" w:pos="1680"/>
      </w:tabs>
      <w:ind w:left="1620" w:hanging="360"/>
    </w:pPr>
  </w:style>
  <w:style w:type="paragraph" w:customStyle="1" w:styleId="269">
    <w:name w:val="插图标注（绿盟科技）"/>
    <w:next w:val="1"/>
    <w:semiHidden/>
    <w:qFormat/>
    <w:uiPriority w:val="99"/>
    <w:pPr>
      <w:numPr>
        <w:ilvl w:val="3"/>
        <w:numId w:val="1"/>
      </w:numPr>
      <w:spacing w:after="156"/>
      <w:ind w:left="426" w:firstLine="0"/>
      <w:jc w:val="center"/>
    </w:pPr>
    <w:rPr>
      <w:rFonts w:ascii="Arial" w:hAnsi="Arial" w:eastAsia="宋体" w:cs="Arial"/>
      <w:sz w:val="21"/>
      <w:szCs w:val="21"/>
      <w:lang w:val="en-US" w:eastAsia="zh-CN" w:bidi="ar-SA"/>
    </w:rPr>
  </w:style>
  <w:style w:type="paragraph" w:customStyle="1" w:styleId="27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7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72">
    <w:name w:val="xl28"/>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73">
    <w:name w:val="p0"/>
    <w:basedOn w:val="1"/>
    <w:semiHidden/>
    <w:qFormat/>
    <w:uiPriority w:val="99"/>
    <w:pPr>
      <w:widowControl/>
      <w:spacing w:after="200" w:line="273" w:lineRule="auto"/>
      <w:jc w:val="left"/>
    </w:pPr>
    <w:rPr>
      <w:rFonts w:ascii="Calibri" w:hAnsi="Calibri" w:cs="宋体"/>
      <w:kern w:val="0"/>
      <w:sz w:val="22"/>
      <w:szCs w:val="22"/>
    </w:rPr>
  </w:style>
  <w:style w:type="paragraph" w:customStyle="1" w:styleId="274">
    <w:name w:val="xl27"/>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7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6">
    <w:name w:val="xl3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77">
    <w:name w:val="font6"/>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78">
    <w:name w:val="Char"/>
    <w:basedOn w:val="1"/>
    <w:qFormat/>
    <w:uiPriority w:val="99"/>
    <w:pPr>
      <w:tabs>
        <w:tab w:val="left" w:pos="708"/>
      </w:tabs>
      <w:ind w:firstLine="420"/>
    </w:pPr>
    <w:rPr>
      <w:rFonts w:ascii="仿宋_GB2312" w:eastAsia="仿宋_GB2312"/>
      <w:sz w:val="24"/>
    </w:rPr>
  </w:style>
  <w:style w:type="paragraph" w:customStyle="1" w:styleId="279">
    <w:name w:val="111111"/>
    <w:basedOn w:val="71"/>
    <w:qFormat/>
    <w:uiPriority w:val="99"/>
    <w:pPr>
      <w:jc w:val="both"/>
    </w:pPr>
  </w:style>
  <w:style w:type="paragraph" w:customStyle="1" w:styleId="280">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1">
    <w:name w:val="列出段落2"/>
    <w:basedOn w:val="1"/>
    <w:qFormat/>
    <w:uiPriority w:val="34"/>
    <w:pPr>
      <w:ind w:firstLine="420" w:firstLineChars="200"/>
    </w:pPr>
  </w:style>
  <w:style w:type="paragraph" w:customStyle="1" w:styleId="282">
    <w:name w:val="默认段落字体 Para Char Char Char Char Char Char Char Char Char Char Char Char Char Char Char1 Char Char Char Char"/>
    <w:basedOn w:val="23"/>
    <w:qFormat/>
    <w:uiPriority w:val="99"/>
    <w:pPr>
      <w:adjustRightInd w:val="0"/>
      <w:spacing w:line="436" w:lineRule="exact"/>
      <w:ind w:left="357"/>
      <w:jc w:val="left"/>
      <w:outlineLvl w:val="3"/>
    </w:pPr>
    <w:rPr>
      <w:rFonts w:ascii="仿宋_GB2312" w:eastAsia="仿宋_GB2312"/>
      <w:sz w:val="24"/>
    </w:rPr>
  </w:style>
  <w:style w:type="paragraph" w:customStyle="1" w:styleId="28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8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85">
    <w:name w:val="xl5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86">
    <w:name w:val="List Paragraph1"/>
    <w:basedOn w:val="1"/>
    <w:qFormat/>
    <w:uiPriority w:val="34"/>
    <w:pPr>
      <w:ind w:firstLine="420" w:firstLineChars="200"/>
    </w:pPr>
  </w:style>
  <w:style w:type="paragraph" w:styleId="287">
    <w:name w:val="List Paragraph"/>
    <w:basedOn w:val="1"/>
    <w:unhideWhenUsed/>
    <w:qFormat/>
    <w:uiPriority w:val="34"/>
    <w:pPr>
      <w:ind w:firstLine="420" w:firstLineChars="200"/>
    </w:pPr>
  </w:style>
  <w:style w:type="paragraph" w:customStyle="1" w:styleId="288">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89">
    <w:name w:val="font7"/>
    <w:basedOn w:val="1"/>
    <w:qFormat/>
    <w:uiPriority w:val="0"/>
    <w:pPr>
      <w:widowControl/>
      <w:spacing w:before="100" w:beforeAutospacing="1" w:after="100" w:afterAutospacing="1"/>
      <w:jc w:val="left"/>
    </w:pPr>
    <w:rPr>
      <w:rFonts w:ascii="Microsoft YaHei UI" w:hAnsi="Microsoft YaHei UI" w:eastAsia="Microsoft YaHei UI" w:cs="宋体"/>
      <w:kern w:val="0"/>
      <w:sz w:val="20"/>
      <w:szCs w:val="20"/>
    </w:rPr>
  </w:style>
  <w:style w:type="paragraph" w:customStyle="1" w:styleId="290">
    <w:name w:val="xl84"/>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9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2"/>
      <w:szCs w:val="22"/>
    </w:rPr>
  </w:style>
  <w:style w:type="paragraph" w:customStyle="1" w:styleId="29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rPr>
  </w:style>
  <w:style w:type="paragraph" w:customStyle="1" w:styleId="293">
    <w:name w:val="xl87"/>
    <w:basedOn w:val="1"/>
    <w:qFormat/>
    <w:uiPriority w:val="0"/>
    <w:pPr>
      <w:widowControl/>
      <w:pBdr>
        <w:bottom w:val="single" w:color="auto" w:sz="4" w:space="0"/>
      </w:pBdr>
      <w:spacing w:before="100" w:beforeAutospacing="1" w:after="100" w:afterAutospacing="1"/>
      <w:jc w:val="center"/>
    </w:pPr>
    <w:rPr>
      <w:rFonts w:ascii="宋体" w:hAnsi="宋体" w:cs="宋体"/>
      <w:b/>
      <w:bCs/>
      <w:kern w:val="0"/>
      <w:sz w:val="36"/>
      <w:szCs w:val="36"/>
    </w:rPr>
  </w:style>
  <w:style w:type="paragraph" w:customStyle="1" w:styleId="29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5">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仿宋_GB2312" w:hAnsi="宋体" w:eastAsia="仿宋_GB2312" w:cs="宋体"/>
      <w:kern w:val="0"/>
      <w:sz w:val="20"/>
      <w:szCs w:val="20"/>
    </w:rPr>
  </w:style>
  <w:style w:type="paragraph" w:customStyle="1" w:styleId="296">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0"/>
      <w:szCs w:val="20"/>
    </w:rPr>
  </w:style>
  <w:style w:type="paragraph" w:customStyle="1" w:styleId="297">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kern w:val="0"/>
      <w:sz w:val="20"/>
      <w:szCs w:val="20"/>
    </w:rPr>
  </w:style>
  <w:style w:type="paragraph" w:customStyle="1" w:styleId="29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9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_GB2312" w:hAnsi="宋体" w:eastAsia="仿宋_GB2312" w:cs="宋体"/>
      <w:kern w:val="0"/>
      <w:sz w:val="20"/>
      <w:szCs w:val="20"/>
    </w:rPr>
  </w:style>
  <w:style w:type="paragraph" w:customStyle="1" w:styleId="30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0"/>
      <w:szCs w:val="20"/>
    </w:rPr>
  </w:style>
  <w:style w:type="paragraph" w:customStyle="1" w:styleId="30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0"/>
      <w:szCs w:val="20"/>
    </w:rPr>
  </w:style>
  <w:style w:type="paragraph" w:customStyle="1" w:styleId="30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0"/>
      <w:szCs w:val="20"/>
    </w:rPr>
  </w:style>
  <w:style w:type="paragraph" w:customStyle="1" w:styleId="30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kern w:val="0"/>
      <w:sz w:val="20"/>
      <w:szCs w:val="20"/>
    </w:rPr>
  </w:style>
  <w:style w:type="paragraph" w:customStyle="1" w:styleId="30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宋体" w:eastAsia="仿宋_GB2312" w:cs="宋体"/>
      <w:kern w:val="0"/>
      <w:sz w:val="20"/>
      <w:szCs w:val="20"/>
    </w:rPr>
  </w:style>
  <w:style w:type="paragraph" w:customStyle="1" w:styleId="30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宋体" w:eastAsia="仿宋_GB2312" w:cs="宋体"/>
      <w:color w:val="000000"/>
      <w:kern w:val="0"/>
      <w:sz w:val="20"/>
      <w:szCs w:val="20"/>
    </w:rPr>
  </w:style>
  <w:style w:type="paragraph" w:customStyle="1" w:styleId="30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宋体" w:eastAsia="仿宋_GB2312" w:cs="宋体"/>
      <w:color w:val="FF0000"/>
      <w:kern w:val="0"/>
      <w:sz w:val="20"/>
      <w:szCs w:val="20"/>
    </w:rPr>
  </w:style>
  <w:style w:type="paragraph" w:customStyle="1" w:styleId="30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仿宋_GB2312" w:hAnsi="宋体" w:eastAsia="仿宋_GB2312" w:cs="宋体"/>
      <w:kern w:val="0"/>
      <w:sz w:val="20"/>
      <w:szCs w:val="20"/>
    </w:rPr>
  </w:style>
  <w:style w:type="paragraph" w:customStyle="1" w:styleId="308">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szCs w:val="20"/>
    </w:rPr>
  </w:style>
  <w:style w:type="paragraph" w:customStyle="1" w:styleId="30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0"/>
      <w:szCs w:val="20"/>
    </w:rPr>
  </w:style>
  <w:style w:type="paragraph" w:customStyle="1" w:styleId="31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top"/>
    </w:pPr>
    <w:rPr>
      <w:rFonts w:ascii="仿宋_GB2312" w:hAnsi="宋体" w:eastAsia="仿宋_GB2312" w:cs="宋体"/>
      <w:kern w:val="0"/>
      <w:sz w:val="20"/>
      <w:szCs w:val="20"/>
    </w:rPr>
  </w:style>
  <w:style w:type="paragraph" w:customStyle="1" w:styleId="31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0"/>
      <w:szCs w:val="20"/>
    </w:rPr>
  </w:style>
  <w:style w:type="paragraph" w:customStyle="1" w:styleId="312">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仿宋_GB2312" w:hAnsi="宋体" w:eastAsia="仿宋_GB2312" w:cs="宋体"/>
      <w:color w:val="000000"/>
      <w:kern w:val="0"/>
      <w:sz w:val="20"/>
      <w:szCs w:val="20"/>
    </w:rPr>
  </w:style>
  <w:style w:type="paragraph" w:customStyle="1" w:styleId="31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仿宋_GB2312" w:hAnsi="宋体" w:eastAsia="仿宋_GB2312" w:cs="宋体"/>
      <w:kern w:val="0"/>
      <w:sz w:val="20"/>
      <w:szCs w:val="20"/>
    </w:rPr>
  </w:style>
  <w:style w:type="paragraph" w:customStyle="1" w:styleId="31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315">
    <w:name w:val="xl10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316">
    <w:name w:val="xl110"/>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317">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8">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31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32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宋体" w:eastAsia="仿宋_GB2312" w:cs="宋体"/>
      <w:kern w:val="0"/>
      <w:sz w:val="20"/>
      <w:szCs w:val="20"/>
    </w:rPr>
  </w:style>
  <w:style w:type="paragraph" w:customStyle="1" w:styleId="321">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22">
    <w:name w:val="xl11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23">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仿宋_GB2312" w:hAnsi="宋体" w:eastAsia="仿宋_GB2312" w:cs="宋体"/>
      <w:kern w:val="0"/>
      <w:sz w:val="20"/>
      <w:szCs w:val="20"/>
    </w:rPr>
  </w:style>
  <w:style w:type="paragraph" w:customStyle="1" w:styleId="324">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宋体" w:eastAsia="仿宋_GB2312" w:cs="宋体"/>
      <w:color w:val="000000"/>
      <w:kern w:val="0"/>
      <w:sz w:val="20"/>
      <w:szCs w:val="20"/>
    </w:rPr>
  </w:style>
  <w:style w:type="paragraph" w:customStyle="1" w:styleId="325">
    <w:name w:val="xl1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_GB2312" w:hAnsi="宋体" w:eastAsia="仿宋_GB2312" w:cs="宋体"/>
      <w:kern w:val="0"/>
      <w:sz w:val="20"/>
      <w:szCs w:val="20"/>
    </w:rPr>
  </w:style>
  <w:style w:type="paragraph" w:customStyle="1" w:styleId="326">
    <w:name w:val="font8"/>
    <w:basedOn w:val="1"/>
    <w:qFormat/>
    <w:uiPriority w:val="0"/>
    <w:pPr>
      <w:widowControl/>
      <w:spacing w:before="100" w:beforeAutospacing="1" w:after="100" w:afterAutospacing="1"/>
      <w:jc w:val="left"/>
    </w:pPr>
    <w:rPr>
      <w:rFonts w:ascii="Microsoft YaHei UI" w:hAnsi="Microsoft YaHei UI" w:eastAsia="Microsoft YaHei UI" w:cs="宋体"/>
      <w:kern w:val="0"/>
      <w:sz w:val="20"/>
      <w:szCs w:val="20"/>
    </w:rPr>
  </w:style>
  <w:style w:type="paragraph" w:customStyle="1" w:styleId="327">
    <w:name w:val="font9"/>
    <w:basedOn w:val="1"/>
    <w:qFormat/>
    <w:uiPriority w:val="0"/>
    <w:pPr>
      <w:widowControl/>
      <w:spacing w:before="100" w:beforeAutospacing="1" w:after="100" w:afterAutospacing="1"/>
      <w:jc w:val="left"/>
    </w:pPr>
    <w:rPr>
      <w:rFonts w:ascii="Microsoft YaHei UI" w:hAnsi="Microsoft YaHei UI" w:eastAsia="Microsoft YaHei UI" w:cs="宋体"/>
      <w:color w:val="000000"/>
      <w:kern w:val="0"/>
      <w:sz w:val="20"/>
      <w:szCs w:val="20"/>
    </w:rPr>
  </w:style>
  <w:style w:type="paragraph" w:customStyle="1" w:styleId="32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仿宋_GB2312" w:hAnsi="宋体" w:eastAsia="仿宋_GB2312" w:cs="宋体"/>
      <w:kern w:val="0"/>
      <w:sz w:val="20"/>
      <w:szCs w:val="20"/>
    </w:rPr>
  </w:style>
  <w:style w:type="paragraph" w:customStyle="1" w:styleId="32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330">
    <w:name w:val="xl8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kern w:val="0"/>
      <w:sz w:val="20"/>
      <w:szCs w:val="20"/>
    </w:rPr>
  </w:style>
  <w:style w:type="paragraph" w:customStyle="1" w:styleId="33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kern w:val="0"/>
      <w:sz w:val="20"/>
      <w:szCs w:val="20"/>
    </w:rPr>
  </w:style>
  <w:style w:type="paragraph" w:customStyle="1" w:styleId="332">
    <w:name w:val="xl83"/>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仿宋_GB2312" w:hAnsi="宋体" w:eastAsia="仿宋_GB2312" w:cs="宋体"/>
      <w:color w:val="000000"/>
      <w:kern w:val="0"/>
      <w:sz w:val="20"/>
      <w:szCs w:val="20"/>
    </w:rPr>
  </w:style>
  <w:style w:type="paragraph" w:customStyle="1" w:styleId="333">
    <w:name w:val="a正文"/>
    <w:basedOn w:val="1"/>
    <w:qFormat/>
    <w:uiPriority w:val="0"/>
    <w:pPr>
      <w:adjustRightInd w:val="0"/>
      <w:snapToGrid w:val="0"/>
      <w:ind w:firstLine="560"/>
      <w:jc w:val="left"/>
    </w:pPr>
    <w:rPr>
      <w:rFonts w:hAnsi="宋体"/>
      <w:bCs/>
      <w:snapToGrid w:val="0"/>
      <w:color w:val="000000"/>
      <w:kern w:val="0"/>
      <w:szCs w:val="28"/>
    </w:rPr>
  </w:style>
  <w:style w:type="paragraph" w:customStyle="1" w:styleId="334">
    <w:name w:val="_Style 35"/>
    <w:basedOn w:val="1"/>
    <w:next w:val="287"/>
    <w:qFormat/>
    <w:uiPriority w:val="34"/>
    <w:pPr>
      <w:widowControl/>
      <w:ind w:firstLine="420" w:firstLineChars="200"/>
      <w:jc w:val="left"/>
    </w:pPr>
    <w:rPr>
      <w:kern w:val="0"/>
      <w:sz w:val="24"/>
    </w:rPr>
  </w:style>
  <w:style w:type="paragraph" w:customStyle="1" w:styleId="335">
    <w:name w:val="列表段落1"/>
    <w:basedOn w:val="1"/>
    <w:qFormat/>
    <w:uiPriority w:val="99"/>
    <w:pPr>
      <w:adjustRightInd w:val="0"/>
      <w:spacing w:line="360" w:lineRule="atLeast"/>
      <w:ind w:firstLine="420" w:firstLineChars="200"/>
      <w:textAlignment w:val="baseline"/>
    </w:pPr>
    <w:rPr>
      <w:kern w:val="0"/>
      <w:sz w:val="20"/>
    </w:rPr>
  </w:style>
  <w:style w:type="paragraph" w:customStyle="1" w:styleId="336">
    <w:name w:val="msonormalcxspmiddle"/>
    <w:basedOn w:val="1"/>
    <w:qFormat/>
    <w:uiPriority w:val="0"/>
    <w:pPr>
      <w:widowControl/>
      <w:spacing w:before="100" w:beforeAutospacing="1" w:after="100" w:afterAutospacing="1"/>
    </w:pPr>
    <w:rPr>
      <w:rFonts w:ascii="宋体" w:hAnsi="宋体" w:cs="宋体"/>
      <w:kern w:val="0"/>
      <w:sz w:val="24"/>
    </w:rPr>
  </w:style>
  <w:style w:type="paragraph" w:customStyle="1" w:styleId="337">
    <w:name w:val="样式 首行缩进:  2 字符"/>
    <w:basedOn w:val="1"/>
    <w:qFormat/>
    <w:uiPriority w:val="0"/>
    <w:pPr>
      <w:ind w:firstLine="560"/>
    </w:pPr>
    <w:rPr>
      <w:rFonts w:eastAsia="仿宋_GB2312" w:cs="宋体"/>
    </w:rPr>
  </w:style>
  <w:style w:type="paragraph" w:customStyle="1" w:styleId="338">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5C264-2C06-4B6A-AE6D-5CDAA4B8552A}">
  <ds:schemaRefs/>
</ds:datastoreItem>
</file>

<file path=docProps/app.xml><?xml version="1.0" encoding="utf-8"?>
<Properties xmlns="http://schemas.openxmlformats.org/officeDocument/2006/extended-properties" xmlns:vt="http://schemas.openxmlformats.org/officeDocument/2006/docPropsVTypes">
  <Template>Normal</Template>
  <Company>DJGS.COM</Company>
  <Pages>119</Pages>
  <Words>11745</Words>
  <Characters>66949</Characters>
  <Lines>557</Lines>
  <Paragraphs>157</Paragraphs>
  <TotalTime>9</TotalTime>
  <ScaleCrop>false</ScaleCrop>
  <LinksUpToDate>false</LinksUpToDate>
  <CharactersWithSpaces>78537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2021-10-11T01:57:00Z</dcterms:created>
  <dc:creator>USER</dc:creator>
  <cp:lastModifiedBy>Z.</cp:lastModifiedBy>
  <cp:lastPrinted>2022-09-21T02:29:00Z</cp:lastPrinted>
  <dcterms:modified xsi:type="dcterms:W3CDTF">2022-10-17T01:14:40Z</dcterms:modified>
  <dc:title>招标文件目录</dc:title>
  <cp:revision>3394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A3CB2ECB126346E0A70A7B159F4F8A15</vt:lpwstr>
  </property>
</Properties>
</file>