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51D9CE">
      <w:pPr>
        <w:adjustRightInd w:val="0"/>
        <w:snapToGrid w:val="0"/>
        <w:jc w:val="center"/>
        <w:rPr>
          <w:rFonts w:hint="eastAsia" w:ascii="宋体" w:hAnsi="宋体"/>
          <w:b/>
          <w:color w:val="auto"/>
          <w:sz w:val="24"/>
          <w:highlight w:val="none"/>
        </w:rPr>
      </w:pPr>
      <w:bookmarkStart w:id="0" w:name="_Toc512937852"/>
      <w:bookmarkStart w:id="4" w:name="_GoBack"/>
      <w:bookmarkEnd w:id="4"/>
    </w:p>
    <w:p w14:paraId="578BA403">
      <w:pPr>
        <w:adjustRightInd w:val="0"/>
        <w:snapToGrid w:val="0"/>
        <w:jc w:val="center"/>
        <w:rPr>
          <w:rFonts w:hint="eastAsia" w:ascii="宋体" w:hAnsi="宋体"/>
          <w:b/>
          <w:color w:val="auto"/>
          <w:sz w:val="24"/>
          <w:highlight w:val="none"/>
        </w:rPr>
      </w:pPr>
    </w:p>
    <w:p w14:paraId="275206F3">
      <w:pPr>
        <w:adjustRightInd w:val="0"/>
        <w:snapToGrid w:val="0"/>
        <w:jc w:val="center"/>
        <w:rPr>
          <w:rFonts w:hint="eastAsia" w:ascii="宋体" w:hAnsi="宋体"/>
          <w:b/>
          <w:color w:val="auto"/>
          <w:sz w:val="24"/>
          <w:highlight w:val="none"/>
        </w:rPr>
      </w:pPr>
    </w:p>
    <w:p w14:paraId="47090603">
      <w:pPr>
        <w:adjustRightInd w:val="0"/>
        <w:snapToGrid w:val="0"/>
        <w:jc w:val="center"/>
        <w:rPr>
          <w:rFonts w:hint="eastAsia" w:ascii="宋体" w:hAnsi="宋体"/>
          <w:b/>
          <w:color w:val="auto"/>
          <w:sz w:val="24"/>
          <w:highlight w:val="none"/>
        </w:rPr>
      </w:pPr>
    </w:p>
    <w:p w14:paraId="1FA6F706">
      <w:pPr>
        <w:adjustRightInd w:val="0"/>
        <w:snapToGrid w:val="0"/>
        <w:jc w:val="center"/>
        <w:rPr>
          <w:rFonts w:hint="eastAsia" w:ascii="宋体" w:hAnsi="宋体"/>
          <w:b/>
          <w:color w:val="auto"/>
          <w:sz w:val="24"/>
          <w:highlight w:val="none"/>
        </w:rPr>
      </w:pPr>
    </w:p>
    <w:p w14:paraId="1AEE9D08">
      <w:pPr>
        <w:adjustRightInd w:val="0"/>
        <w:snapToGrid w:val="0"/>
        <w:jc w:val="center"/>
        <w:rPr>
          <w:rFonts w:hint="eastAsia" w:ascii="宋体" w:hAnsi="宋体"/>
          <w:b/>
          <w:color w:val="auto"/>
          <w:sz w:val="24"/>
          <w:highlight w:val="none"/>
        </w:rPr>
      </w:pPr>
    </w:p>
    <w:p w14:paraId="247DF8A7">
      <w:pPr>
        <w:adjustRightInd w:val="0"/>
        <w:snapToGrid w:val="0"/>
        <w:jc w:val="center"/>
        <w:rPr>
          <w:rFonts w:hint="eastAsia" w:ascii="宋体" w:hAnsi="宋体"/>
          <w:b/>
          <w:color w:val="auto"/>
          <w:sz w:val="24"/>
          <w:highlight w:val="none"/>
        </w:rPr>
      </w:pPr>
    </w:p>
    <w:p w14:paraId="1AEBF965">
      <w:pPr>
        <w:adjustRightInd w:val="0"/>
        <w:snapToGrid w:val="0"/>
        <w:jc w:val="center"/>
        <w:rPr>
          <w:rFonts w:hint="eastAsia" w:ascii="宋体" w:hAnsi="宋体"/>
          <w:b/>
          <w:color w:val="auto"/>
          <w:sz w:val="24"/>
          <w:highlight w:val="none"/>
        </w:rPr>
      </w:pPr>
    </w:p>
    <w:p w14:paraId="651ED2F2">
      <w:pPr>
        <w:adjustRightInd w:val="0"/>
        <w:snapToGrid w:val="0"/>
        <w:jc w:val="center"/>
        <w:rPr>
          <w:rFonts w:hint="eastAsia" w:ascii="宋体" w:hAnsi="宋体"/>
          <w:b/>
          <w:color w:val="auto"/>
          <w:sz w:val="24"/>
          <w:highlight w:val="none"/>
        </w:rPr>
      </w:pPr>
    </w:p>
    <w:p w14:paraId="3A545832">
      <w:pPr>
        <w:adjustRightInd w:val="0"/>
        <w:snapToGrid w:val="0"/>
        <w:jc w:val="center"/>
        <w:rPr>
          <w:rFonts w:hint="eastAsia" w:ascii="宋体" w:hAnsi="宋体"/>
          <w:b/>
          <w:color w:val="auto"/>
          <w:sz w:val="24"/>
          <w:highlight w:val="none"/>
        </w:rPr>
      </w:pPr>
    </w:p>
    <w:p w14:paraId="7C4ABC2B">
      <w:pPr>
        <w:adjustRightInd w:val="0"/>
        <w:snapToGrid w:val="0"/>
        <w:jc w:val="center"/>
        <w:rPr>
          <w:rFonts w:hint="eastAsia" w:ascii="宋体" w:hAnsi="宋体"/>
          <w:b/>
          <w:color w:val="auto"/>
          <w:sz w:val="24"/>
          <w:highlight w:val="none"/>
        </w:rPr>
      </w:pPr>
    </w:p>
    <w:p w14:paraId="27CC913A">
      <w:pPr>
        <w:adjustRightInd w:val="0"/>
        <w:snapToGrid w:val="0"/>
        <w:spacing w:before="936" w:beforeLines="300"/>
        <w:jc w:val="center"/>
        <w:rPr>
          <w:rFonts w:ascii="黑体" w:eastAsia="黑体"/>
          <w:b/>
          <w:color w:val="auto"/>
          <w:kern w:val="44"/>
          <w:sz w:val="48"/>
          <w:szCs w:val="20"/>
          <w:highlight w:val="none"/>
        </w:rPr>
      </w:pPr>
      <w:r>
        <w:rPr>
          <w:rFonts w:hint="eastAsia" w:ascii="黑体" w:eastAsia="黑体"/>
          <w:b/>
          <w:color w:val="auto"/>
          <w:kern w:val="44"/>
          <w:sz w:val="48"/>
          <w:szCs w:val="20"/>
          <w:highlight w:val="none"/>
        </w:rPr>
        <w:t>第八部分  采购需求</w:t>
      </w:r>
      <w:r>
        <w:rPr>
          <w:rFonts w:ascii="黑体" w:eastAsia="黑体"/>
          <w:b/>
          <w:color w:val="auto"/>
          <w:kern w:val="44"/>
          <w:sz w:val="48"/>
          <w:szCs w:val="20"/>
          <w:highlight w:val="none"/>
        </w:rPr>
        <w:br w:type="page"/>
      </w:r>
    </w:p>
    <w:bookmarkEnd w:id="0"/>
    <w:p w14:paraId="39B5FFCA">
      <w:pPr>
        <w:adjustRightInd w:val="0"/>
        <w:snapToGrid w:val="0"/>
        <w:jc w:val="center"/>
        <w:rPr>
          <w:rFonts w:hint="eastAsia" w:ascii="宋体" w:hAnsi="宋体"/>
          <w:b/>
          <w:color w:val="auto"/>
          <w:sz w:val="30"/>
          <w:szCs w:val="30"/>
          <w:highlight w:val="none"/>
        </w:rPr>
      </w:pPr>
      <w:r>
        <w:rPr>
          <w:rFonts w:hint="eastAsia" w:ascii="宋体" w:hAnsi="宋体"/>
          <w:b/>
          <w:color w:val="auto"/>
          <w:sz w:val="30"/>
          <w:szCs w:val="30"/>
          <w:highlight w:val="none"/>
        </w:rPr>
        <w:t>一、货物需求一览表</w:t>
      </w:r>
    </w:p>
    <w:p w14:paraId="70A26805">
      <w:pPr>
        <w:adjustRightInd w:val="0"/>
        <w:snapToGrid w:val="0"/>
        <w:jc w:val="center"/>
        <w:rPr>
          <w:rFonts w:hint="eastAsia" w:ascii="宋体" w:hAnsi="宋体"/>
          <w:b/>
          <w:color w:val="auto"/>
          <w:sz w:val="30"/>
          <w:szCs w:val="30"/>
          <w:highlight w:val="none"/>
        </w:rPr>
      </w:pPr>
    </w:p>
    <w:tbl>
      <w:tblPr>
        <w:tblStyle w:val="28"/>
        <w:tblW w:w="874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04"/>
        <w:gridCol w:w="1878"/>
        <w:gridCol w:w="1122"/>
        <w:gridCol w:w="1011"/>
        <w:gridCol w:w="1567"/>
        <w:gridCol w:w="2459"/>
      </w:tblGrid>
      <w:tr w14:paraId="0E764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04" w:type="dxa"/>
            <w:vAlign w:val="center"/>
          </w:tcPr>
          <w:p w14:paraId="640B3779">
            <w:pPr>
              <w:jc w:val="center"/>
              <w:rPr>
                <w:rFonts w:ascii="宋体" w:hAnsi="Bookman Old Style"/>
                <w:color w:val="auto"/>
                <w:sz w:val="24"/>
                <w:highlight w:val="none"/>
              </w:rPr>
            </w:pPr>
            <w:r>
              <w:rPr>
                <w:rFonts w:hint="eastAsia" w:ascii="宋体" w:hAnsi="Bookman Old Style"/>
                <w:color w:val="auto"/>
                <w:sz w:val="24"/>
                <w:highlight w:val="none"/>
              </w:rPr>
              <w:t>包号</w:t>
            </w:r>
          </w:p>
        </w:tc>
        <w:tc>
          <w:tcPr>
            <w:tcW w:w="1878" w:type="dxa"/>
            <w:vAlign w:val="center"/>
          </w:tcPr>
          <w:p w14:paraId="63C01D8D">
            <w:pPr>
              <w:jc w:val="center"/>
              <w:rPr>
                <w:rFonts w:ascii="宋体" w:hAnsi="Bookman Old Style"/>
                <w:color w:val="auto"/>
                <w:sz w:val="24"/>
                <w:highlight w:val="none"/>
              </w:rPr>
            </w:pPr>
            <w:r>
              <w:rPr>
                <w:rFonts w:hint="eastAsia" w:ascii="宋体" w:hAnsi="Bookman Old Style"/>
                <w:color w:val="auto"/>
                <w:sz w:val="24"/>
                <w:highlight w:val="none"/>
              </w:rPr>
              <w:t>货物名称</w:t>
            </w:r>
          </w:p>
        </w:tc>
        <w:tc>
          <w:tcPr>
            <w:tcW w:w="1122" w:type="dxa"/>
            <w:vAlign w:val="center"/>
          </w:tcPr>
          <w:p w14:paraId="2A6E6754">
            <w:pPr>
              <w:jc w:val="center"/>
              <w:rPr>
                <w:rFonts w:ascii="宋体" w:hAnsi="Bookman Old Style"/>
                <w:color w:val="auto"/>
                <w:sz w:val="24"/>
                <w:highlight w:val="none"/>
              </w:rPr>
            </w:pPr>
            <w:r>
              <w:rPr>
                <w:rFonts w:hint="eastAsia" w:ascii="宋体" w:hAnsi="Bookman Old Style"/>
                <w:color w:val="auto"/>
                <w:sz w:val="24"/>
                <w:highlight w:val="none"/>
              </w:rPr>
              <w:t>数量</w:t>
            </w:r>
          </w:p>
        </w:tc>
        <w:tc>
          <w:tcPr>
            <w:tcW w:w="1011" w:type="dxa"/>
            <w:vAlign w:val="center"/>
          </w:tcPr>
          <w:p w14:paraId="7EB8DF54">
            <w:pPr>
              <w:jc w:val="center"/>
              <w:rPr>
                <w:rFonts w:ascii="宋体" w:hAnsi="Bookman Old Style"/>
                <w:color w:val="auto"/>
                <w:sz w:val="24"/>
                <w:highlight w:val="none"/>
              </w:rPr>
            </w:pPr>
            <w:r>
              <w:rPr>
                <w:rFonts w:hint="eastAsia" w:ascii="宋体" w:hAnsi="Bookman Old Style"/>
                <w:color w:val="auto"/>
                <w:sz w:val="24"/>
                <w:highlight w:val="none"/>
              </w:rPr>
              <w:t>交货期</w:t>
            </w:r>
          </w:p>
        </w:tc>
        <w:tc>
          <w:tcPr>
            <w:tcW w:w="1567" w:type="dxa"/>
            <w:vAlign w:val="center"/>
          </w:tcPr>
          <w:p w14:paraId="0757FC7A">
            <w:pPr>
              <w:jc w:val="center"/>
              <w:rPr>
                <w:rFonts w:ascii="宋体" w:hAnsi="Bookman Old Style"/>
                <w:color w:val="auto"/>
                <w:sz w:val="24"/>
                <w:highlight w:val="none"/>
              </w:rPr>
            </w:pPr>
            <w:r>
              <w:rPr>
                <w:rFonts w:hint="eastAsia" w:ascii="宋体" w:hAnsi="Bookman Old Style"/>
                <w:color w:val="auto"/>
                <w:sz w:val="24"/>
                <w:highlight w:val="none"/>
              </w:rPr>
              <w:t>指定到货港</w:t>
            </w:r>
          </w:p>
        </w:tc>
        <w:tc>
          <w:tcPr>
            <w:tcW w:w="2459" w:type="dxa"/>
            <w:vAlign w:val="center"/>
          </w:tcPr>
          <w:p w14:paraId="35525AC5">
            <w:pPr>
              <w:jc w:val="center"/>
              <w:rPr>
                <w:rFonts w:ascii="宋体" w:hAnsi="Bookman Old Style"/>
                <w:color w:val="auto"/>
                <w:sz w:val="24"/>
                <w:highlight w:val="none"/>
                <w:shd w:val="pct10" w:color="auto" w:fill="FFFFFF"/>
              </w:rPr>
            </w:pPr>
            <w:r>
              <w:rPr>
                <w:rFonts w:hint="eastAsia" w:ascii="宋体" w:hAnsi="Bookman Old Style"/>
                <w:color w:val="auto"/>
                <w:sz w:val="24"/>
                <w:highlight w:val="none"/>
              </w:rPr>
              <w:t>项目现场（交货地点）</w:t>
            </w:r>
          </w:p>
        </w:tc>
      </w:tr>
      <w:tr w14:paraId="66721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04" w:type="dxa"/>
            <w:vAlign w:val="center"/>
          </w:tcPr>
          <w:p w14:paraId="26D04F17">
            <w:pPr>
              <w:jc w:val="center"/>
              <w:rPr>
                <w:rFonts w:ascii="宋体"/>
                <w:color w:val="auto"/>
                <w:sz w:val="24"/>
                <w:highlight w:val="none"/>
              </w:rPr>
            </w:pPr>
            <w:r>
              <w:rPr>
                <w:rFonts w:hint="eastAsia" w:ascii="宋体"/>
                <w:color w:val="auto"/>
                <w:sz w:val="24"/>
                <w:highlight w:val="none"/>
              </w:rPr>
              <w:t>1</w:t>
            </w:r>
          </w:p>
        </w:tc>
        <w:tc>
          <w:tcPr>
            <w:tcW w:w="1878" w:type="dxa"/>
            <w:vAlign w:val="center"/>
          </w:tcPr>
          <w:p w14:paraId="1577F770">
            <w:pPr>
              <w:jc w:val="center"/>
              <w:rPr>
                <w:rFonts w:ascii="Bookman Old Style" w:hAnsi="Bookman Old Style"/>
                <w:color w:val="auto"/>
                <w:sz w:val="24"/>
                <w:highlight w:val="none"/>
              </w:rPr>
            </w:pPr>
            <w:r>
              <w:rPr>
                <w:rFonts w:hint="eastAsia" w:ascii="宋体" w:hAnsi="宋体" w:cs="宋体"/>
                <w:color w:val="auto"/>
                <w:kern w:val="0"/>
                <w:sz w:val="24"/>
                <w:highlight w:val="none"/>
              </w:rPr>
              <w:t>差热热重-红外联用测试仪</w:t>
            </w:r>
          </w:p>
        </w:tc>
        <w:tc>
          <w:tcPr>
            <w:tcW w:w="1122" w:type="dxa"/>
            <w:vAlign w:val="center"/>
          </w:tcPr>
          <w:p w14:paraId="6DB651A5">
            <w:pPr>
              <w:jc w:val="center"/>
              <w:rPr>
                <w:rFonts w:ascii="宋体" w:hAnsi="Bookman Old Style"/>
                <w:color w:val="auto"/>
                <w:sz w:val="24"/>
                <w:highlight w:val="none"/>
              </w:rPr>
            </w:pPr>
            <w:r>
              <w:rPr>
                <w:rFonts w:ascii="宋体" w:hAnsi="宋体"/>
                <w:color w:val="auto"/>
                <w:sz w:val="24"/>
                <w:highlight w:val="none"/>
              </w:rPr>
              <w:t>1</w:t>
            </w:r>
            <w:r>
              <w:rPr>
                <w:rFonts w:hint="eastAsia" w:ascii="宋体" w:hAnsi="宋体"/>
                <w:color w:val="auto"/>
                <w:sz w:val="24"/>
                <w:highlight w:val="none"/>
              </w:rPr>
              <w:t>套</w:t>
            </w:r>
          </w:p>
        </w:tc>
        <w:tc>
          <w:tcPr>
            <w:tcW w:w="5037" w:type="dxa"/>
            <w:gridSpan w:val="3"/>
            <w:vAlign w:val="center"/>
          </w:tcPr>
          <w:p w14:paraId="7EF4A4BB">
            <w:pPr>
              <w:jc w:val="center"/>
              <w:rPr>
                <w:rFonts w:ascii="宋体" w:hAnsi="Bookman Old Style"/>
                <w:color w:val="auto"/>
                <w:sz w:val="24"/>
                <w:highlight w:val="none"/>
              </w:rPr>
            </w:pPr>
            <w:r>
              <w:rPr>
                <w:rFonts w:hint="eastAsia" w:ascii="宋体" w:hAnsi="Bookman Old Style"/>
                <w:color w:val="auto"/>
                <w:sz w:val="24"/>
                <w:highlight w:val="none"/>
              </w:rPr>
              <w:t>详见具体技术规格</w:t>
            </w:r>
          </w:p>
        </w:tc>
      </w:tr>
    </w:tbl>
    <w:p w14:paraId="441F08EC">
      <w:pPr>
        <w:adjustRightInd w:val="0"/>
        <w:snapToGrid w:val="0"/>
        <w:jc w:val="center"/>
        <w:rPr>
          <w:rFonts w:hint="eastAsia" w:ascii="宋体" w:hAnsi="宋体"/>
          <w:b/>
          <w:color w:val="auto"/>
          <w:sz w:val="30"/>
          <w:szCs w:val="30"/>
          <w:highlight w:val="none"/>
        </w:rPr>
      </w:pPr>
    </w:p>
    <w:p w14:paraId="6E39E19E">
      <w:pPr>
        <w:adjustRightInd w:val="0"/>
        <w:snapToGrid w:val="0"/>
        <w:jc w:val="center"/>
        <w:rPr>
          <w:rFonts w:hint="eastAsia" w:ascii="宋体" w:hAnsi="宋体"/>
          <w:b/>
          <w:color w:val="auto"/>
          <w:sz w:val="30"/>
          <w:szCs w:val="30"/>
          <w:highlight w:val="none"/>
        </w:rPr>
      </w:pPr>
    </w:p>
    <w:p w14:paraId="1E7758AA">
      <w:pPr>
        <w:adjustRightInd w:val="0"/>
        <w:snapToGrid w:val="0"/>
        <w:jc w:val="center"/>
        <w:rPr>
          <w:rFonts w:hint="eastAsia" w:ascii="宋体" w:hAnsi="宋体"/>
          <w:b/>
          <w:color w:val="auto"/>
          <w:sz w:val="30"/>
          <w:szCs w:val="30"/>
          <w:highlight w:val="none"/>
        </w:rPr>
      </w:pPr>
    </w:p>
    <w:p w14:paraId="3116BE09">
      <w:pPr>
        <w:rPr>
          <w:rFonts w:ascii="Bookman Old Style" w:hAnsi="Bookman Old Style"/>
          <w:color w:val="auto"/>
          <w:sz w:val="24"/>
          <w:highlight w:val="none"/>
        </w:rPr>
      </w:pPr>
      <w:r>
        <w:rPr>
          <w:rFonts w:hint="eastAsia"/>
          <w:color w:val="auto"/>
          <w:sz w:val="24"/>
          <w:highlight w:val="none"/>
        </w:rPr>
        <w:t>注：投标人须对上述投标内容中完整的一包或几包进行投标，</w:t>
      </w:r>
      <w:r>
        <w:rPr>
          <w:rFonts w:hint="eastAsia" w:ascii="Bookman Old Style" w:hAnsi="Bookman Old Style"/>
          <w:color w:val="auto"/>
          <w:sz w:val="24"/>
          <w:highlight w:val="none"/>
        </w:rPr>
        <w:t>不完整的投标将视为非响应性投标予以拒绝。</w:t>
      </w:r>
    </w:p>
    <w:p w14:paraId="3F12AB3E">
      <w:pPr>
        <w:adjustRightInd w:val="0"/>
        <w:snapToGrid w:val="0"/>
        <w:rPr>
          <w:rFonts w:hint="eastAsia" w:ascii="宋体" w:hAnsi="宋体"/>
          <w:color w:val="auto"/>
          <w:szCs w:val="21"/>
          <w:highlight w:val="none"/>
        </w:rPr>
      </w:pPr>
    </w:p>
    <w:p w14:paraId="0CD0031C">
      <w:pPr>
        <w:adjustRightInd w:val="0"/>
        <w:snapToGrid w:val="0"/>
        <w:rPr>
          <w:rFonts w:hint="eastAsia" w:ascii="宋体" w:hAnsi="宋体"/>
          <w:color w:val="auto"/>
          <w:szCs w:val="21"/>
          <w:highlight w:val="none"/>
        </w:rPr>
      </w:pPr>
    </w:p>
    <w:p w14:paraId="4E60631A">
      <w:pPr>
        <w:adjustRightInd w:val="0"/>
        <w:snapToGrid w:val="0"/>
        <w:rPr>
          <w:rFonts w:hint="eastAsia" w:ascii="宋体" w:hAnsi="宋体"/>
          <w:color w:val="auto"/>
          <w:szCs w:val="21"/>
          <w:highlight w:val="none"/>
        </w:rPr>
      </w:pPr>
    </w:p>
    <w:p w14:paraId="4EABB6E0">
      <w:pPr>
        <w:adjustRightInd w:val="0"/>
        <w:snapToGrid w:val="0"/>
        <w:rPr>
          <w:rFonts w:hint="eastAsia" w:ascii="宋体" w:hAnsi="宋体"/>
          <w:color w:val="auto"/>
          <w:szCs w:val="21"/>
          <w:highlight w:val="none"/>
        </w:rPr>
      </w:pPr>
    </w:p>
    <w:p w14:paraId="71414C4D">
      <w:pPr>
        <w:adjustRightInd w:val="0"/>
        <w:snapToGrid w:val="0"/>
        <w:rPr>
          <w:rFonts w:hint="eastAsia" w:ascii="宋体" w:hAnsi="宋体"/>
          <w:color w:val="auto"/>
          <w:szCs w:val="21"/>
          <w:highlight w:val="none"/>
        </w:rPr>
      </w:pPr>
    </w:p>
    <w:p w14:paraId="566161A9">
      <w:pPr>
        <w:adjustRightInd w:val="0"/>
        <w:snapToGrid w:val="0"/>
        <w:rPr>
          <w:rFonts w:hint="eastAsia" w:ascii="宋体" w:hAnsi="宋体"/>
          <w:color w:val="auto"/>
          <w:szCs w:val="21"/>
          <w:highlight w:val="none"/>
        </w:rPr>
      </w:pPr>
    </w:p>
    <w:p w14:paraId="3C9AE029">
      <w:pPr>
        <w:adjustRightInd w:val="0"/>
        <w:snapToGrid w:val="0"/>
        <w:rPr>
          <w:rFonts w:hint="eastAsia" w:ascii="宋体" w:hAnsi="宋体"/>
          <w:color w:val="auto"/>
          <w:szCs w:val="21"/>
          <w:highlight w:val="none"/>
        </w:rPr>
      </w:pPr>
    </w:p>
    <w:p w14:paraId="0D657C02">
      <w:pPr>
        <w:adjustRightInd w:val="0"/>
        <w:snapToGrid w:val="0"/>
        <w:rPr>
          <w:rFonts w:hint="eastAsia" w:ascii="宋体" w:hAnsi="宋体"/>
          <w:color w:val="auto"/>
          <w:szCs w:val="21"/>
          <w:highlight w:val="none"/>
        </w:rPr>
      </w:pPr>
    </w:p>
    <w:p w14:paraId="5B4BA88F">
      <w:pPr>
        <w:adjustRightInd w:val="0"/>
        <w:snapToGrid w:val="0"/>
        <w:rPr>
          <w:rFonts w:hint="eastAsia" w:ascii="宋体" w:hAnsi="宋体"/>
          <w:color w:val="auto"/>
          <w:szCs w:val="21"/>
          <w:highlight w:val="none"/>
        </w:rPr>
      </w:pPr>
    </w:p>
    <w:p w14:paraId="14DAF50A">
      <w:pPr>
        <w:adjustRightInd w:val="0"/>
        <w:snapToGrid w:val="0"/>
        <w:rPr>
          <w:rFonts w:hint="eastAsia" w:ascii="宋体" w:hAnsi="宋体"/>
          <w:color w:val="auto"/>
          <w:szCs w:val="21"/>
          <w:highlight w:val="none"/>
        </w:rPr>
      </w:pPr>
    </w:p>
    <w:p w14:paraId="3F323B3D">
      <w:pPr>
        <w:adjustRightInd w:val="0"/>
        <w:snapToGrid w:val="0"/>
        <w:rPr>
          <w:rFonts w:hint="eastAsia" w:ascii="宋体" w:hAnsi="宋体"/>
          <w:color w:val="auto"/>
          <w:szCs w:val="21"/>
          <w:highlight w:val="none"/>
        </w:rPr>
      </w:pPr>
    </w:p>
    <w:p w14:paraId="7583B32F">
      <w:pPr>
        <w:adjustRightInd w:val="0"/>
        <w:snapToGrid w:val="0"/>
        <w:rPr>
          <w:rFonts w:hint="eastAsia" w:ascii="宋体" w:hAnsi="宋体"/>
          <w:color w:val="auto"/>
          <w:szCs w:val="21"/>
          <w:highlight w:val="none"/>
        </w:rPr>
      </w:pPr>
    </w:p>
    <w:p w14:paraId="26FFDEB0">
      <w:pPr>
        <w:tabs>
          <w:tab w:val="left" w:pos="720"/>
        </w:tabs>
        <w:adjustRightInd w:val="0"/>
        <w:snapToGrid w:val="0"/>
        <w:jc w:val="center"/>
        <w:rPr>
          <w:rFonts w:hint="eastAsia" w:ascii="宋体" w:hAnsi="宋体"/>
          <w:b/>
          <w:color w:val="auto"/>
          <w:sz w:val="30"/>
          <w:szCs w:val="30"/>
          <w:highlight w:val="none"/>
        </w:rPr>
      </w:pPr>
      <w:r>
        <w:rPr>
          <w:rFonts w:ascii="宋体" w:hAnsi="宋体"/>
          <w:b/>
          <w:color w:val="auto"/>
          <w:sz w:val="30"/>
          <w:szCs w:val="30"/>
          <w:highlight w:val="none"/>
        </w:rPr>
        <w:br w:type="page"/>
      </w:r>
      <w:r>
        <w:rPr>
          <w:rFonts w:hint="eastAsia" w:ascii="宋体" w:hAnsi="宋体"/>
          <w:b/>
          <w:color w:val="auto"/>
          <w:sz w:val="30"/>
          <w:szCs w:val="30"/>
          <w:highlight w:val="none"/>
        </w:rPr>
        <w:t>二、总则</w:t>
      </w:r>
    </w:p>
    <w:p w14:paraId="76721F11">
      <w:pPr>
        <w:spacing w:before="156" w:beforeLines="50" w:after="156" w:afterLines="50" w:line="360" w:lineRule="auto"/>
        <w:ind w:left="601" w:hanging="601"/>
        <w:rPr>
          <w:rFonts w:hint="eastAsia" w:ascii="宋体" w:hAnsi="宋体"/>
          <w:b/>
          <w:color w:val="auto"/>
          <w:sz w:val="28"/>
          <w:highlight w:val="none"/>
        </w:rPr>
      </w:pPr>
      <w:r>
        <w:rPr>
          <w:rFonts w:ascii="宋体" w:hAnsi="宋体"/>
          <w:b/>
          <w:color w:val="auto"/>
          <w:sz w:val="28"/>
          <w:highlight w:val="none"/>
        </w:rPr>
        <w:t>1</w:t>
      </w:r>
      <w:r>
        <w:rPr>
          <w:rFonts w:hint="eastAsia" w:ascii="宋体" w:hAnsi="宋体"/>
          <w:b/>
          <w:color w:val="auto"/>
          <w:sz w:val="28"/>
          <w:highlight w:val="none"/>
        </w:rPr>
        <w:t>、投标要求</w:t>
      </w:r>
    </w:p>
    <w:p w14:paraId="51793A26">
      <w:pPr>
        <w:spacing w:line="360" w:lineRule="auto"/>
        <w:ind w:left="554" w:hanging="554" w:hangingChars="231"/>
        <w:rPr>
          <w:rFonts w:hint="eastAsia" w:ascii="宋体" w:hAnsi="宋体"/>
          <w:color w:val="auto"/>
          <w:sz w:val="24"/>
          <w:highlight w:val="none"/>
        </w:rPr>
      </w:pPr>
      <w:r>
        <w:rPr>
          <w:rFonts w:ascii="宋体" w:hAnsi="宋体"/>
          <w:color w:val="auto"/>
          <w:sz w:val="24"/>
          <w:highlight w:val="none"/>
        </w:rPr>
        <w:t xml:space="preserve">1.1 </w:t>
      </w:r>
      <w:r>
        <w:rPr>
          <w:rFonts w:hint="eastAsia" w:ascii="宋体" w:hAnsi="宋体"/>
          <w:color w:val="auto"/>
          <w:sz w:val="24"/>
          <w:highlight w:val="none"/>
        </w:rPr>
        <w:t xml:space="preserve"> 投标人在准备投标书时，务必在所提供的商品的技术规格文件中，标明型号、商标名称、目录号。</w:t>
      </w:r>
    </w:p>
    <w:p w14:paraId="7F1D497A">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402FA8A2">
      <w:pPr>
        <w:spacing w:line="360" w:lineRule="auto"/>
        <w:ind w:left="554" w:hanging="554" w:hangingChars="231"/>
        <w:rPr>
          <w:rFonts w:ascii="宋体"/>
          <w:color w:val="auto"/>
          <w:sz w:val="24"/>
          <w:highlight w:val="none"/>
        </w:rPr>
      </w:pPr>
      <w:r>
        <w:rPr>
          <w:rFonts w:hint="eastAsia" w:ascii="宋体" w:hAnsi="宋体"/>
          <w:color w:val="auto"/>
          <w:sz w:val="24"/>
          <w:highlight w:val="none"/>
        </w:rPr>
        <w:t xml:space="preserve">1.3  </w:t>
      </w:r>
      <w:r>
        <w:rPr>
          <w:rFonts w:hint="eastAsia"/>
          <w:color w:val="auto"/>
          <w:sz w:val="24"/>
          <w:highlight w:val="none"/>
        </w:rPr>
        <w:t>投标人提供的</w:t>
      </w:r>
      <w:r>
        <w:rPr>
          <w:rFonts w:hint="eastAsia" w:ascii="宋体"/>
          <w:color w:val="auto"/>
          <w:sz w:val="24"/>
          <w:highlight w:val="none"/>
        </w:rPr>
        <w:t>产品</w:t>
      </w:r>
      <w:r>
        <w:rPr>
          <w:rFonts w:hint="eastAsia"/>
          <w:color w:val="auto"/>
          <w:sz w:val="24"/>
          <w:highlight w:val="none"/>
        </w:rPr>
        <w:t>样本，必须是“原件”而非复印件，</w:t>
      </w:r>
      <w:r>
        <w:rPr>
          <w:rFonts w:hint="eastAsia" w:ascii="宋体"/>
          <w:color w:val="auto"/>
          <w:sz w:val="24"/>
          <w:highlight w:val="none"/>
        </w:rPr>
        <w:t>图表、简图、电路图以及印刷电路板图等都应</w:t>
      </w:r>
      <w:r>
        <w:rPr>
          <w:rFonts w:hint="eastAsia"/>
          <w:color w:val="auto"/>
          <w:sz w:val="24"/>
          <w:highlight w:val="none"/>
        </w:rPr>
        <w:t>清晰易读。买方有权</w:t>
      </w:r>
      <w:r>
        <w:rPr>
          <w:rFonts w:hint="eastAsia" w:ascii="宋体"/>
          <w:color w:val="auto"/>
          <w:sz w:val="24"/>
          <w:highlight w:val="none"/>
        </w:rPr>
        <w:t>不付任何附加费用</w:t>
      </w:r>
      <w:r>
        <w:rPr>
          <w:rFonts w:hint="eastAsia"/>
          <w:color w:val="auto"/>
          <w:sz w:val="24"/>
          <w:highlight w:val="none"/>
        </w:rPr>
        <w:t>复制这些资料</w:t>
      </w:r>
      <w:r>
        <w:rPr>
          <w:rFonts w:hint="eastAsia" w:ascii="宋体"/>
          <w:color w:val="auto"/>
          <w:sz w:val="24"/>
          <w:highlight w:val="none"/>
        </w:rPr>
        <w:t>以供参考。</w:t>
      </w:r>
    </w:p>
    <w:p w14:paraId="0B6CD93D">
      <w:pPr>
        <w:spacing w:line="360" w:lineRule="auto"/>
        <w:ind w:left="554" w:hanging="554" w:hangingChars="231"/>
        <w:rPr>
          <w:rFonts w:ascii="宋体"/>
          <w:color w:val="auto"/>
          <w:sz w:val="24"/>
          <w:highlight w:val="none"/>
        </w:rPr>
      </w:pPr>
      <w:r>
        <w:rPr>
          <w:rFonts w:hint="eastAsia" w:ascii="宋体"/>
          <w:color w:val="auto"/>
          <w:sz w:val="24"/>
          <w:highlight w:val="none"/>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06854612">
      <w:pPr>
        <w:spacing w:before="156" w:beforeLines="50" w:after="156" w:afterLines="50" w:line="360" w:lineRule="auto"/>
        <w:ind w:left="601" w:hanging="601"/>
        <w:rPr>
          <w:rFonts w:hint="eastAsia" w:ascii="宋体" w:hAnsi="宋体"/>
          <w:b/>
          <w:color w:val="auto"/>
          <w:sz w:val="28"/>
          <w:highlight w:val="none"/>
        </w:rPr>
      </w:pPr>
      <w:r>
        <w:rPr>
          <w:rFonts w:hint="eastAsia" w:ascii="宋体" w:hAnsi="宋体"/>
          <w:b/>
          <w:color w:val="auto"/>
          <w:sz w:val="28"/>
          <w:highlight w:val="none"/>
        </w:rPr>
        <w:t>2、评标标准</w:t>
      </w:r>
    </w:p>
    <w:p w14:paraId="742EEF2C">
      <w:pPr>
        <w:spacing w:line="360" w:lineRule="auto"/>
        <w:ind w:left="554" w:hanging="554" w:hangingChars="231"/>
        <w:rPr>
          <w:rFonts w:ascii="宋体"/>
          <w:color w:val="auto"/>
          <w:sz w:val="24"/>
          <w:highlight w:val="none"/>
        </w:rPr>
      </w:pPr>
      <w:r>
        <w:rPr>
          <w:rFonts w:ascii="宋体" w:hAnsi="宋体"/>
          <w:color w:val="auto"/>
          <w:sz w:val="24"/>
          <w:highlight w:val="none"/>
        </w:rPr>
        <w:t>2.</w:t>
      </w:r>
      <w:r>
        <w:rPr>
          <w:rFonts w:hint="eastAsia" w:ascii="宋体" w:hAnsi="宋体"/>
          <w:color w:val="auto"/>
          <w:sz w:val="24"/>
          <w:highlight w:val="none"/>
        </w:rPr>
        <w:t xml:space="preserve">1  </w:t>
      </w:r>
      <w:r>
        <w:rPr>
          <w:rFonts w:hint="eastAsia"/>
          <w:color w:val="auto"/>
          <w:sz w:val="24"/>
          <w:highlight w:val="none"/>
        </w:rPr>
        <w:t>除招标文件中指定的附件和专用工具外，</w:t>
      </w:r>
      <w:r>
        <w:rPr>
          <w:rFonts w:hint="eastAsia" w:ascii="宋体"/>
          <w:color w:val="auto"/>
          <w:sz w:val="24"/>
          <w:highlight w:val="none"/>
        </w:rPr>
        <w:t>投标人应提供仪器设备的正常运行和常规保养所需的全套标准附件、专用工具</w:t>
      </w:r>
      <w:r>
        <w:rPr>
          <w:rFonts w:hint="eastAsia"/>
          <w:color w:val="auto"/>
          <w:sz w:val="24"/>
          <w:highlight w:val="none"/>
        </w:rPr>
        <w:t>和消耗品</w:t>
      </w:r>
      <w:r>
        <w:rPr>
          <w:rFonts w:hint="eastAsia" w:ascii="宋体"/>
          <w:color w:val="auto"/>
          <w:sz w:val="24"/>
          <w:highlight w:val="none"/>
        </w:rPr>
        <w:t>。投标人在投标书中需列出这些附件和工具的数量和单价的清单，这些附件和工具的报价的总值需计入投标价中。</w:t>
      </w:r>
    </w:p>
    <w:p w14:paraId="41B72C23">
      <w:pPr>
        <w:spacing w:line="360" w:lineRule="auto"/>
        <w:ind w:left="554" w:hanging="554" w:hangingChars="231"/>
        <w:rPr>
          <w:color w:val="auto"/>
          <w:sz w:val="24"/>
          <w:highlight w:val="none"/>
        </w:rPr>
      </w:pPr>
      <w:r>
        <w:rPr>
          <w:rFonts w:hint="eastAsia" w:ascii="宋体" w:hAnsi="宋体"/>
          <w:color w:val="auto"/>
          <w:sz w:val="24"/>
          <w:highlight w:val="none"/>
        </w:rPr>
        <w:t xml:space="preserve">2.2  </w:t>
      </w:r>
      <w:r>
        <w:rPr>
          <w:rFonts w:hint="eastAsia"/>
          <w:color w:val="auto"/>
          <w:sz w:val="24"/>
          <w:highlight w:val="none"/>
        </w:rPr>
        <w:t>对于标书</w:t>
      </w:r>
      <w:r>
        <w:rPr>
          <w:rFonts w:hint="eastAsia" w:ascii="宋体"/>
          <w:color w:val="auto"/>
          <w:sz w:val="24"/>
          <w:highlight w:val="none"/>
        </w:rPr>
        <w:t>技术规范中已列</w:t>
      </w:r>
      <w:r>
        <w:rPr>
          <w:rFonts w:hint="eastAsia"/>
          <w:color w:val="auto"/>
          <w:sz w:val="24"/>
          <w:highlight w:val="none"/>
        </w:rPr>
        <w:t>出的作为查询选件的附件、零配件、专用工具和消耗品，投标书中</w:t>
      </w:r>
      <w:r>
        <w:rPr>
          <w:rFonts w:hint="eastAsia" w:ascii="宋体"/>
          <w:color w:val="auto"/>
          <w:sz w:val="24"/>
          <w:highlight w:val="none"/>
        </w:rPr>
        <w:t>应列明其数量、单价、总价供买方参考。投标人也可推荐买方没有要求的附件或专用工具作为选件，并列明其数量、单价、总价供买方参考。选件价格不计入评标价中。</w:t>
      </w:r>
    </w:p>
    <w:p w14:paraId="2D9AE379">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2.3  为便于用户进行接收仪器的准备工作，卖方应在合同生效后</w:t>
      </w:r>
      <w:r>
        <w:rPr>
          <w:rFonts w:hint="eastAsia" w:ascii="宋体" w:hAnsi="宋体"/>
          <w:b/>
          <w:color w:val="auto"/>
          <w:sz w:val="24"/>
          <w:highlight w:val="none"/>
        </w:rPr>
        <w:t>60</w:t>
      </w:r>
      <w:r>
        <w:rPr>
          <w:rFonts w:hint="eastAsia" w:ascii="宋体" w:hAnsi="宋体"/>
          <w:color w:val="auto"/>
          <w:sz w:val="24"/>
          <w:highlight w:val="none"/>
        </w:rPr>
        <w:t>天内向用户提供一套完整的使用说明书、操作手册、维修及安装说明等文件。另一套完整上述资料应在交货时随货包装提供给用户，这些费用应计入投标价中。</w:t>
      </w:r>
    </w:p>
    <w:p w14:paraId="40425FD5">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4</w:t>
      </w:r>
      <w:r>
        <w:rPr>
          <w:rFonts w:ascii="宋体" w:hAnsi="宋体"/>
          <w:color w:val="auto"/>
          <w:sz w:val="24"/>
          <w:highlight w:val="none"/>
        </w:rPr>
        <w:t xml:space="preserve"> </w:t>
      </w:r>
      <w:r>
        <w:rPr>
          <w:rFonts w:hint="eastAsia" w:ascii="宋体" w:hAnsi="宋体"/>
          <w:color w:val="auto"/>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14:paraId="5F72464D">
      <w:pPr>
        <w:spacing w:line="360" w:lineRule="auto"/>
        <w:ind w:left="554" w:hanging="554" w:hangingChars="231"/>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5  制造厂家提供的培训指的是涉及货物的基本原理、操作使用和保养维修等有关内容的培训。培训教员的培训费、旅费、食宿费等费用和培训场地费及培训资料费均应由卖方支付。</w:t>
      </w:r>
    </w:p>
    <w:p w14:paraId="22B1C416">
      <w:pPr>
        <w:spacing w:before="156" w:beforeLines="50" w:after="156" w:afterLines="50" w:line="360" w:lineRule="auto"/>
        <w:ind w:left="601" w:hanging="601"/>
        <w:rPr>
          <w:rFonts w:hint="eastAsia" w:ascii="宋体" w:hAnsi="宋体"/>
          <w:b/>
          <w:color w:val="auto"/>
          <w:sz w:val="28"/>
          <w:highlight w:val="none"/>
        </w:rPr>
      </w:pPr>
      <w:r>
        <w:rPr>
          <w:rFonts w:hint="eastAsia" w:ascii="宋体" w:hAnsi="宋体"/>
          <w:b/>
          <w:color w:val="auto"/>
          <w:sz w:val="28"/>
          <w:highlight w:val="none"/>
        </w:rPr>
        <w:t>3、工作条件</w:t>
      </w:r>
    </w:p>
    <w:p w14:paraId="46B0EC04">
      <w:pPr>
        <w:spacing w:after="312" w:afterLines="100" w:line="360" w:lineRule="auto"/>
        <w:rPr>
          <w:rFonts w:hint="eastAsia" w:ascii="宋体" w:hAnsi="宋体"/>
          <w:color w:val="auto"/>
          <w:sz w:val="24"/>
          <w:highlight w:val="none"/>
        </w:rPr>
      </w:pPr>
      <w:r>
        <w:rPr>
          <w:rFonts w:hint="eastAsia" w:ascii="宋体" w:hAnsi="宋体"/>
          <w:color w:val="auto"/>
          <w:sz w:val="24"/>
          <w:highlight w:val="none"/>
        </w:rPr>
        <w:t>除非在技术规格中另有说明，所有仪器、设备和系统都应符合下列要求：</w:t>
      </w:r>
      <w:r>
        <w:rPr>
          <w:rFonts w:ascii="宋体" w:hAnsi="宋体"/>
          <w:color w:val="auto"/>
          <w:sz w:val="24"/>
          <w:highlight w:val="none"/>
        </w:rPr>
        <w:t xml:space="preserve"> </w:t>
      </w:r>
    </w:p>
    <w:p w14:paraId="4D87C4A6">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3.1  适于在气温为摄氏</w:t>
      </w:r>
      <w:r>
        <w:rPr>
          <w:rFonts w:ascii="宋体" w:hAnsi="宋体"/>
          <w:b/>
          <w:color w:val="auto"/>
          <w:sz w:val="24"/>
          <w:highlight w:val="none"/>
        </w:rPr>
        <w:t>-40</w:t>
      </w:r>
      <w:r>
        <w:rPr>
          <w:rFonts w:hint="eastAsia" w:ascii="宋体" w:hAnsi="宋体"/>
          <w:b/>
          <w:color w:val="auto"/>
          <w:sz w:val="24"/>
          <w:highlight w:val="none"/>
        </w:rPr>
        <w:t>℃～＋</w:t>
      </w:r>
      <w:r>
        <w:rPr>
          <w:rFonts w:ascii="宋体" w:hAnsi="宋体"/>
          <w:b/>
          <w:color w:val="auto"/>
          <w:sz w:val="24"/>
          <w:highlight w:val="none"/>
        </w:rPr>
        <w:t>50</w:t>
      </w:r>
      <w:r>
        <w:rPr>
          <w:rFonts w:hint="eastAsia" w:ascii="宋体" w:hAnsi="宋体"/>
          <w:b/>
          <w:color w:val="auto"/>
          <w:sz w:val="24"/>
          <w:highlight w:val="none"/>
        </w:rPr>
        <w:t>℃</w:t>
      </w:r>
      <w:r>
        <w:rPr>
          <w:rFonts w:hint="eastAsia" w:ascii="宋体" w:hAnsi="宋体"/>
          <w:color w:val="auto"/>
          <w:sz w:val="24"/>
          <w:highlight w:val="none"/>
        </w:rPr>
        <w:t>和相对湿度为</w:t>
      </w:r>
      <w:r>
        <w:rPr>
          <w:rFonts w:ascii="宋体" w:hAnsi="宋体"/>
          <w:b/>
          <w:color w:val="auto"/>
          <w:sz w:val="24"/>
          <w:highlight w:val="none"/>
        </w:rPr>
        <w:t>90</w:t>
      </w:r>
      <w:r>
        <w:rPr>
          <w:rFonts w:hint="eastAsia" w:ascii="宋体" w:hAnsi="宋体"/>
          <w:b/>
          <w:color w:val="auto"/>
          <w:sz w:val="24"/>
          <w:highlight w:val="none"/>
        </w:rPr>
        <w:t>％</w:t>
      </w:r>
      <w:r>
        <w:rPr>
          <w:rFonts w:hint="eastAsia" w:ascii="宋体" w:hAnsi="宋体"/>
          <w:color w:val="auto"/>
          <w:sz w:val="24"/>
          <w:highlight w:val="none"/>
        </w:rPr>
        <w:t>的环境条件下运输和贮存。</w:t>
      </w:r>
    </w:p>
    <w:p w14:paraId="179EDBF7">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3.2  适于在电源</w:t>
      </w:r>
      <w:r>
        <w:rPr>
          <w:rFonts w:ascii="宋体" w:hAnsi="宋体"/>
          <w:b/>
          <w:color w:val="auto"/>
          <w:sz w:val="24"/>
          <w:highlight w:val="none"/>
        </w:rPr>
        <w:t>220V</w:t>
      </w:r>
      <w:r>
        <w:rPr>
          <w:rFonts w:hint="eastAsia" w:ascii="宋体" w:hAnsi="宋体"/>
          <w:b/>
          <w:color w:val="auto"/>
          <w:sz w:val="24"/>
          <w:highlight w:val="none"/>
        </w:rPr>
        <w:t>（</w:t>
      </w:r>
      <w:r>
        <w:rPr>
          <w:rFonts w:ascii="宋体" w:hAnsi="宋体"/>
          <w:b/>
          <w:color w:val="auto"/>
          <w:sz w:val="24"/>
          <w:highlight w:val="none"/>
        </w:rPr>
        <w:sym w:font="Symbol" w:char="F0B1"/>
      </w:r>
      <w:r>
        <w:rPr>
          <w:rFonts w:ascii="宋体" w:hAnsi="宋体"/>
          <w:b/>
          <w:color w:val="auto"/>
          <w:sz w:val="24"/>
          <w:highlight w:val="none"/>
        </w:rPr>
        <w:t>10</w:t>
      </w:r>
      <w:r>
        <w:rPr>
          <w:rFonts w:hint="eastAsia" w:ascii="宋体" w:hAnsi="宋体"/>
          <w:b/>
          <w:color w:val="auto"/>
          <w:sz w:val="24"/>
          <w:highlight w:val="none"/>
        </w:rPr>
        <w:t>％）</w:t>
      </w:r>
      <w:r>
        <w:rPr>
          <w:rFonts w:ascii="宋体" w:hAnsi="宋体"/>
          <w:b/>
          <w:color w:val="auto"/>
          <w:sz w:val="24"/>
          <w:highlight w:val="none"/>
        </w:rPr>
        <w:t>/50Hz</w:t>
      </w:r>
      <w:r>
        <w:rPr>
          <w:rFonts w:hint="eastAsia" w:ascii="宋体" w:hAnsi="宋体"/>
          <w:color w:val="auto"/>
          <w:sz w:val="24"/>
          <w:highlight w:val="none"/>
        </w:rPr>
        <w:t>、气温摄氏</w:t>
      </w:r>
      <w:r>
        <w:rPr>
          <w:rFonts w:hint="eastAsia" w:ascii="宋体" w:hAnsi="宋体"/>
          <w:b/>
          <w:color w:val="auto"/>
          <w:sz w:val="24"/>
          <w:highlight w:val="none"/>
        </w:rPr>
        <w:t>＋1</w:t>
      </w:r>
      <w:r>
        <w:rPr>
          <w:rFonts w:ascii="宋体" w:hAnsi="宋体"/>
          <w:b/>
          <w:color w:val="auto"/>
          <w:sz w:val="24"/>
          <w:highlight w:val="none"/>
        </w:rPr>
        <w:t>5</w:t>
      </w:r>
      <w:r>
        <w:rPr>
          <w:rFonts w:hint="eastAsia" w:ascii="宋体" w:hAnsi="宋体"/>
          <w:b/>
          <w:color w:val="auto"/>
          <w:sz w:val="24"/>
          <w:highlight w:val="none"/>
        </w:rPr>
        <w:t>℃～＋3</w:t>
      </w:r>
      <w:r>
        <w:rPr>
          <w:rFonts w:ascii="宋体" w:hAnsi="宋体"/>
          <w:b/>
          <w:color w:val="auto"/>
          <w:sz w:val="24"/>
          <w:highlight w:val="none"/>
        </w:rPr>
        <w:t>0</w:t>
      </w:r>
      <w:r>
        <w:rPr>
          <w:rFonts w:hint="eastAsia" w:ascii="宋体" w:hAnsi="宋体"/>
          <w:b/>
          <w:color w:val="auto"/>
          <w:sz w:val="24"/>
          <w:highlight w:val="none"/>
        </w:rPr>
        <w:t>℃</w:t>
      </w:r>
      <w:r>
        <w:rPr>
          <w:rFonts w:hint="eastAsia" w:ascii="宋体" w:hAnsi="宋体"/>
          <w:color w:val="auto"/>
          <w:sz w:val="24"/>
          <w:highlight w:val="none"/>
        </w:rPr>
        <w:t>和相对湿度小于</w:t>
      </w:r>
      <w:r>
        <w:rPr>
          <w:rFonts w:ascii="宋体" w:hAnsi="宋体"/>
          <w:b/>
          <w:color w:val="auto"/>
          <w:sz w:val="24"/>
          <w:highlight w:val="none"/>
        </w:rPr>
        <w:t>8</w:t>
      </w:r>
      <w:r>
        <w:rPr>
          <w:rFonts w:hint="eastAsia" w:ascii="宋体" w:hAnsi="宋体"/>
          <w:b/>
          <w:color w:val="auto"/>
          <w:sz w:val="24"/>
          <w:highlight w:val="none"/>
        </w:rPr>
        <w:t>0％</w:t>
      </w:r>
      <w:r>
        <w:rPr>
          <w:rFonts w:hint="eastAsia" w:ascii="宋体" w:hAnsi="宋体"/>
          <w:color w:val="auto"/>
          <w:sz w:val="24"/>
          <w:highlight w:val="none"/>
        </w:rPr>
        <w:t>的环境条件下运行。</w:t>
      </w:r>
      <w:r>
        <w:rPr>
          <w:rFonts w:hint="eastAsia" w:ascii="宋体" w:hAnsi="宋体"/>
          <w:b/>
          <w:color w:val="auto"/>
          <w:sz w:val="24"/>
          <w:highlight w:val="none"/>
        </w:rPr>
        <w:t>能够连续正常工作。</w:t>
      </w:r>
    </w:p>
    <w:p w14:paraId="54418FA2">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3.3  配置符合中国有关标准要求的插头，如果没有这样的插头，则需</w:t>
      </w:r>
      <w:r>
        <w:rPr>
          <w:rFonts w:hint="eastAsia" w:ascii="宋体"/>
          <w:color w:val="auto"/>
          <w:sz w:val="24"/>
          <w:highlight w:val="none"/>
        </w:rPr>
        <w:t>提供适当的转</w:t>
      </w:r>
      <w:r>
        <w:rPr>
          <w:rFonts w:hint="eastAsia" w:ascii="宋体" w:hAnsi="宋体"/>
          <w:color w:val="auto"/>
          <w:sz w:val="24"/>
          <w:highlight w:val="none"/>
        </w:rPr>
        <w:t>换插座。</w:t>
      </w:r>
    </w:p>
    <w:p w14:paraId="335ACCE9">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3.4  如产品达不到上述要求，投标人应注明其偏差。如仪器设备需要特殊工作条件（如水、电源、磁场强度、温度、湿度、动强度等）投标人应在投标书中加以说明。</w:t>
      </w:r>
    </w:p>
    <w:p w14:paraId="3BCCB4B0">
      <w:pPr>
        <w:rPr>
          <w:rFonts w:eastAsia="黑体"/>
          <w:b/>
          <w:bCs/>
          <w:color w:val="auto"/>
          <w:kern w:val="44"/>
          <w:sz w:val="24"/>
          <w:highlight w:val="none"/>
        </w:rPr>
      </w:pPr>
    </w:p>
    <w:p w14:paraId="695D4BB8">
      <w:pPr>
        <w:spacing w:before="156" w:beforeLines="50" w:after="156" w:afterLines="50" w:line="360" w:lineRule="auto"/>
        <w:ind w:left="601" w:hanging="601"/>
        <w:rPr>
          <w:rFonts w:hint="eastAsia" w:ascii="宋体" w:hAnsi="宋体"/>
          <w:b/>
          <w:color w:val="auto"/>
          <w:sz w:val="28"/>
          <w:highlight w:val="none"/>
        </w:rPr>
      </w:pPr>
      <w:r>
        <w:rPr>
          <w:rFonts w:hint="eastAsia" w:ascii="宋体" w:hAnsi="宋体"/>
          <w:b/>
          <w:color w:val="auto"/>
          <w:sz w:val="28"/>
          <w:highlight w:val="none"/>
        </w:rPr>
        <w:t>4、验收标准</w:t>
      </w:r>
    </w:p>
    <w:p w14:paraId="4A0BF19A">
      <w:pPr>
        <w:spacing w:after="312" w:afterLines="100" w:line="360" w:lineRule="auto"/>
        <w:rPr>
          <w:rFonts w:hint="eastAsia" w:ascii="宋体" w:hAnsi="宋体"/>
          <w:color w:val="auto"/>
          <w:sz w:val="24"/>
          <w:highlight w:val="none"/>
        </w:rPr>
      </w:pPr>
      <w:r>
        <w:rPr>
          <w:rFonts w:hint="eastAsia" w:ascii="宋体" w:hAnsi="宋体"/>
          <w:color w:val="auto"/>
          <w:sz w:val="24"/>
          <w:highlight w:val="none"/>
        </w:rPr>
        <w:t>除非在技术规格中另有说明，所有仪器、设备和系统按下列要求进行验收：</w:t>
      </w:r>
      <w:r>
        <w:rPr>
          <w:rFonts w:ascii="宋体" w:hAnsi="宋体"/>
          <w:color w:val="auto"/>
          <w:sz w:val="24"/>
          <w:highlight w:val="none"/>
        </w:rPr>
        <w:t xml:space="preserve"> </w:t>
      </w:r>
    </w:p>
    <w:p w14:paraId="31E1301B">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4.1  仪器设备运抵安装现场后，买方将与卖方共同开箱验收</w:t>
      </w:r>
      <w:r>
        <w:rPr>
          <w:rFonts w:ascii="宋体" w:hAnsi="宋体"/>
          <w:color w:val="auto"/>
          <w:sz w:val="24"/>
          <w:highlight w:val="none"/>
        </w:rPr>
        <w:t xml:space="preserve">, </w:t>
      </w:r>
      <w:r>
        <w:rPr>
          <w:rFonts w:hint="eastAsia" w:ascii="宋体" w:hAnsi="宋体"/>
          <w:color w:val="auto"/>
          <w:sz w:val="24"/>
          <w:highlight w:val="none"/>
        </w:rPr>
        <w:t>如卖方届时不派人来</w:t>
      </w:r>
      <w:r>
        <w:rPr>
          <w:rFonts w:ascii="宋体" w:hAnsi="宋体"/>
          <w:color w:val="auto"/>
          <w:sz w:val="24"/>
          <w:highlight w:val="none"/>
        </w:rPr>
        <w:t xml:space="preserve">, </w:t>
      </w:r>
      <w:r>
        <w:rPr>
          <w:rFonts w:hint="eastAsia" w:ascii="宋体" w:hAnsi="宋体"/>
          <w:color w:val="auto"/>
          <w:sz w:val="24"/>
          <w:highlight w:val="none"/>
        </w:rPr>
        <w:t>则验收结果应以买方的验收报告为最终验收结果。验收时发现短缺、破损</w:t>
      </w:r>
      <w:r>
        <w:rPr>
          <w:rFonts w:ascii="宋体" w:hAnsi="宋体"/>
          <w:color w:val="auto"/>
          <w:sz w:val="24"/>
          <w:highlight w:val="none"/>
        </w:rPr>
        <w:t xml:space="preserve">, </w:t>
      </w:r>
      <w:r>
        <w:rPr>
          <w:rFonts w:hint="eastAsia" w:ascii="宋体" w:hAnsi="宋体"/>
          <w:color w:val="auto"/>
          <w:sz w:val="24"/>
          <w:highlight w:val="none"/>
        </w:rPr>
        <w:t>买方有权要求卖方负责更换。</w:t>
      </w:r>
    </w:p>
    <w:p w14:paraId="10A6EEEF">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 xml:space="preserve">4.2  </w:t>
      </w:r>
      <w:r>
        <w:rPr>
          <w:rFonts w:hint="eastAsia"/>
          <w:color w:val="auto"/>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14:paraId="3AB6DFA6">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 xml:space="preserve">4.3  </w:t>
      </w:r>
      <w:r>
        <w:rPr>
          <w:rFonts w:ascii="宋体" w:hAnsi="宋体"/>
          <w:color w:val="auto"/>
          <w:sz w:val="24"/>
          <w:highlight w:val="none"/>
        </w:rPr>
        <w:t>验收由采购人、中标人及相关人员依国家有关标准、合同及有关附件要求进行，验收完毕由采购人及中标人在验收报告上签名。</w:t>
      </w:r>
    </w:p>
    <w:p w14:paraId="7A952FBF">
      <w:pPr>
        <w:pStyle w:val="17"/>
        <w:spacing w:line="360" w:lineRule="auto"/>
        <w:ind w:left="410" w:hanging="410" w:hangingChars="170"/>
        <w:rPr>
          <w:rFonts w:hint="eastAsia" w:hAnsi="宋体"/>
          <w:b/>
          <w:color w:val="auto"/>
          <w:sz w:val="24"/>
          <w:szCs w:val="24"/>
          <w:highlight w:val="none"/>
        </w:rPr>
      </w:pPr>
    </w:p>
    <w:p w14:paraId="6FA611AF">
      <w:pPr>
        <w:pStyle w:val="17"/>
        <w:spacing w:line="360" w:lineRule="auto"/>
        <w:ind w:left="410" w:hanging="410" w:hangingChars="170"/>
        <w:rPr>
          <w:rFonts w:hint="eastAsia" w:hAnsi="宋体"/>
          <w:b/>
          <w:color w:val="auto"/>
          <w:sz w:val="24"/>
          <w:szCs w:val="24"/>
          <w:highlight w:val="none"/>
        </w:rPr>
      </w:pPr>
      <w:r>
        <w:rPr>
          <w:rFonts w:hint="eastAsia" w:hAnsi="宋体"/>
          <w:b/>
          <w:color w:val="auto"/>
          <w:sz w:val="24"/>
          <w:szCs w:val="24"/>
          <w:highlight w:val="none"/>
        </w:rPr>
        <w:t>5、本技术规格书中标注“*”号的为实质性要求，不满足其投标将被拒绝。</w:t>
      </w:r>
    </w:p>
    <w:p w14:paraId="280624E5">
      <w:pPr>
        <w:pStyle w:val="17"/>
        <w:spacing w:line="360" w:lineRule="auto"/>
        <w:rPr>
          <w:rFonts w:hint="eastAsia" w:hAnsi="宋体"/>
          <w:b/>
          <w:color w:val="auto"/>
          <w:sz w:val="24"/>
          <w:szCs w:val="24"/>
          <w:highlight w:val="none"/>
        </w:rPr>
      </w:pPr>
      <w:r>
        <w:rPr>
          <w:rFonts w:hint="eastAsia" w:hAnsi="宋体"/>
          <w:b/>
          <w:color w:val="auto"/>
          <w:sz w:val="24"/>
          <w:szCs w:val="24"/>
          <w:highlight w:val="none"/>
        </w:rPr>
        <w:t>6、如在具体技术规格中有本总则不一致之处，以具体技术规格中的要求为准。</w:t>
      </w:r>
    </w:p>
    <w:p w14:paraId="323C90C0">
      <w:pPr>
        <w:spacing w:after="156" w:afterLines="50"/>
        <w:ind w:left="601" w:hanging="601"/>
        <w:rPr>
          <w:rFonts w:hint="eastAsia" w:ascii="宋体" w:hAnsi="宋体"/>
          <w:b/>
          <w:color w:val="auto"/>
          <w:sz w:val="28"/>
          <w:highlight w:val="none"/>
        </w:rPr>
      </w:pPr>
      <w:r>
        <w:rPr>
          <w:rFonts w:hint="eastAsia" w:ascii="宋体" w:hAnsi="宋体"/>
          <w:b/>
          <w:color w:val="auto"/>
          <w:sz w:val="28"/>
          <w:highlight w:val="none"/>
        </w:rPr>
        <w:t>三、具体技术规格</w:t>
      </w:r>
    </w:p>
    <w:p w14:paraId="0409BC4E">
      <w:pPr>
        <w:rPr>
          <w:color w:val="auto"/>
          <w:sz w:val="24"/>
          <w:highlight w:val="none"/>
        </w:rPr>
      </w:pPr>
    </w:p>
    <w:p w14:paraId="3FBBE495">
      <w:pPr>
        <w:jc w:val="center"/>
        <w:rPr>
          <w:b/>
          <w:color w:val="auto"/>
          <w:sz w:val="24"/>
          <w:highlight w:val="none"/>
        </w:rPr>
      </w:pPr>
      <w:r>
        <w:rPr>
          <w:rFonts w:hint="eastAsia"/>
          <w:b/>
          <w:color w:val="auto"/>
          <w:sz w:val="24"/>
          <w:highlight w:val="none"/>
        </w:rPr>
        <w:t xml:space="preserve">第1包 </w:t>
      </w:r>
      <w:bookmarkStart w:id="1" w:name="_Hlk182415553"/>
      <w:r>
        <w:rPr>
          <w:rFonts w:hint="eastAsia" w:ascii="宋体" w:hAnsi="宋体" w:cs="宋体"/>
          <w:b/>
          <w:bCs/>
          <w:color w:val="auto"/>
          <w:kern w:val="0"/>
          <w:sz w:val="24"/>
          <w:highlight w:val="none"/>
        </w:rPr>
        <w:t>差热热重-红外联用测试仪</w:t>
      </w:r>
    </w:p>
    <w:p w14:paraId="72410489">
      <w:pPr>
        <w:rPr>
          <w:b/>
          <w:color w:val="auto"/>
          <w:sz w:val="24"/>
          <w:highlight w:val="none"/>
        </w:rPr>
      </w:pPr>
    </w:p>
    <w:p w14:paraId="480ABC1E">
      <w:pPr>
        <w:rPr>
          <w:b/>
          <w:color w:val="auto"/>
          <w:sz w:val="24"/>
          <w:highlight w:val="none"/>
        </w:rPr>
      </w:pPr>
    </w:p>
    <w:p w14:paraId="2BB8CA09">
      <w:pPr>
        <w:numPr>
          <w:ilvl w:val="0"/>
          <w:numId w:val="1"/>
        </w:numPr>
        <w:rPr>
          <w:b/>
          <w:color w:val="auto"/>
          <w:sz w:val="24"/>
          <w:highlight w:val="none"/>
        </w:rPr>
      </w:pPr>
      <w:r>
        <w:rPr>
          <w:rFonts w:hint="eastAsia"/>
          <w:b/>
          <w:color w:val="auto"/>
          <w:sz w:val="24"/>
          <w:highlight w:val="none"/>
        </w:rPr>
        <w:t>技术要求：</w:t>
      </w:r>
    </w:p>
    <w:p w14:paraId="7C2D845E">
      <w:pPr>
        <w:rPr>
          <w:b/>
          <w:color w:val="auto"/>
          <w:sz w:val="24"/>
          <w:highlight w:val="none"/>
        </w:rPr>
      </w:pPr>
    </w:p>
    <w:p w14:paraId="1D11478B">
      <w:pPr>
        <w:numPr>
          <w:ilvl w:val="0"/>
          <w:numId w:val="2"/>
        </w:numPr>
        <w:adjustRightInd w:val="0"/>
        <w:snapToGrid w:val="0"/>
        <w:spacing w:line="360" w:lineRule="auto"/>
        <w:rPr>
          <w:b/>
          <w:color w:val="auto"/>
          <w:sz w:val="24"/>
          <w:highlight w:val="none"/>
        </w:rPr>
      </w:pPr>
      <w:r>
        <w:rPr>
          <w:rFonts w:hint="eastAsia"/>
          <w:b/>
          <w:color w:val="auto"/>
          <w:sz w:val="24"/>
          <w:highlight w:val="none"/>
        </w:rPr>
        <w:t>工作条件：</w:t>
      </w:r>
    </w:p>
    <w:p w14:paraId="3AF24EC7">
      <w:pPr>
        <w:numPr>
          <w:ilvl w:val="1"/>
          <w:numId w:val="0"/>
        </w:numPr>
        <w:adjustRightInd w:val="0"/>
        <w:snapToGrid w:val="0"/>
        <w:spacing w:line="360" w:lineRule="auto"/>
        <w:rPr>
          <w:color w:val="auto"/>
          <w:sz w:val="24"/>
          <w:highlight w:val="none"/>
        </w:rPr>
      </w:pPr>
      <w:r>
        <w:rPr>
          <w:color w:val="auto"/>
          <w:sz w:val="24"/>
          <w:highlight w:val="none"/>
        </w:rPr>
        <w:t>1.1</w:t>
      </w:r>
      <w:r>
        <w:rPr>
          <w:rFonts w:hint="eastAsia"/>
          <w:color w:val="auto"/>
          <w:sz w:val="24"/>
          <w:highlight w:val="none"/>
        </w:rPr>
        <w:t xml:space="preserve"> 环境温度：15℃～40℃ </w:t>
      </w:r>
    </w:p>
    <w:p w14:paraId="7CC4F35E">
      <w:pPr>
        <w:adjustRightInd w:val="0"/>
        <w:snapToGrid w:val="0"/>
        <w:spacing w:line="360" w:lineRule="auto"/>
        <w:rPr>
          <w:color w:val="auto"/>
          <w:sz w:val="24"/>
          <w:highlight w:val="none"/>
        </w:rPr>
      </w:pPr>
      <w:r>
        <w:rPr>
          <w:rFonts w:hint="eastAsia"/>
          <w:color w:val="auto"/>
          <w:sz w:val="24"/>
          <w:highlight w:val="none"/>
        </w:rPr>
        <w:t>1.2 相对湿度：≤80%</w:t>
      </w:r>
    </w:p>
    <w:p w14:paraId="2AB95D81">
      <w:pPr>
        <w:adjustRightInd w:val="0"/>
        <w:snapToGrid w:val="0"/>
        <w:spacing w:line="360" w:lineRule="auto"/>
        <w:rPr>
          <w:color w:val="auto"/>
          <w:sz w:val="24"/>
          <w:highlight w:val="none"/>
        </w:rPr>
      </w:pPr>
      <w:bookmarkStart w:id="2" w:name="_Hlk181731870"/>
      <w:r>
        <w:rPr>
          <w:rFonts w:hint="eastAsia"/>
          <w:color w:val="auto"/>
          <w:sz w:val="24"/>
          <w:highlight w:val="none"/>
        </w:rPr>
        <w:t>1.3 大气压力：86.0 kPa～106.0 kPa</w:t>
      </w:r>
    </w:p>
    <w:bookmarkEnd w:id="2"/>
    <w:p w14:paraId="080D705D">
      <w:pPr>
        <w:adjustRightInd w:val="0"/>
        <w:snapToGrid w:val="0"/>
        <w:spacing w:line="360" w:lineRule="auto"/>
        <w:rPr>
          <w:color w:val="auto"/>
          <w:sz w:val="24"/>
          <w:highlight w:val="none"/>
        </w:rPr>
      </w:pPr>
      <w:r>
        <w:rPr>
          <w:color w:val="auto"/>
          <w:sz w:val="24"/>
          <w:highlight w:val="none"/>
        </w:rPr>
        <w:t xml:space="preserve">1.4 </w:t>
      </w:r>
      <w:r>
        <w:rPr>
          <w:rFonts w:hint="eastAsia"/>
          <w:color w:val="auto"/>
          <w:sz w:val="24"/>
          <w:highlight w:val="none"/>
        </w:rPr>
        <w:t>差热热重组件</w:t>
      </w:r>
      <w:r>
        <w:rPr>
          <w:color w:val="auto"/>
          <w:sz w:val="24"/>
          <w:highlight w:val="none"/>
        </w:rPr>
        <w:t>电源：AC220 V±22 V，50 Hz±1 Hz</w:t>
      </w:r>
    </w:p>
    <w:p w14:paraId="7BDAAD78">
      <w:pPr>
        <w:widowControl/>
        <w:shd w:val="clear" w:color="auto" w:fill="FFFFFF"/>
        <w:adjustRightInd w:val="0"/>
        <w:snapToGrid w:val="0"/>
        <w:spacing w:line="360" w:lineRule="auto"/>
        <w:rPr>
          <w:color w:val="auto"/>
          <w:sz w:val="24"/>
          <w:highlight w:val="none"/>
        </w:rPr>
      </w:pPr>
      <w:r>
        <w:rPr>
          <w:color w:val="auto"/>
          <w:sz w:val="24"/>
          <w:highlight w:val="none"/>
        </w:rPr>
        <w:t>1.</w:t>
      </w:r>
      <w:r>
        <w:rPr>
          <w:rFonts w:hint="eastAsia"/>
          <w:color w:val="auto"/>
          <w:sz w:val="24"/>
          <w:highlight w:val="none"/>
        </w:rPr>
        <w:t>5</w:t>
      </w:r>
      <w:r>
        <w:rPr>
          <w:color w:val="auto"/>
          <w:sz w:val="24"/>
          <w:highlight w:val="none"/>
        </w:rPr>
        <w:t xml:space="preserve"> </w:t>
      </w:r>
      <w:r>
        <w:rPr>
          <w:rFonts w:hint="eastAsia"/>
          <w:color w:val="auto"/>
          <w:sz w:val="24"/>
          <w:highlight w:val="none"/>
        </w:rPr>
        <w:t>红外组件</w:t>
      </w:r>
      <w:r>
        <w:rPr>
          <w:color w:val="auto"/>
          <w:sz w:val="24"/>
          <w:highlight w:val="none"/>
        </w:rPr>
        <w:t>电源: 100-240 VAC, 50-60Hz</w:t>
      </w:r>
    </w:p>
    <w:p w14:paraId="7FFFFE30">
      <w:pPr>
        <w:adjustRightInd w:val="0"/>
        <w:snapToGrid w:val="0"/>
        <w:spacing w:line="360" w:lineRule="auto"/>
        <w:rPr>
          <w:color w:val="auto"/>
          <w:sz w:val="24"/>
          <w:highlight w:val="none"/>
        </w:rPr>
      </w:pPr>
    </w:p>
    <w:p w14:paraId="1AC768A8">
      <w:pPr>
        <w:numPr>
          <w:ilvl w:val="0"/>
          <w:numId w:val="2"/>
        </w:numPr>
        <w:adjustRightInd w:val="0"/>
        <w:snapToGrid w:val="0"/>
        <w:spacing w:line="360" w:lineRule="auto"/>
        <w:rPr>
          <w:b/>
          <w:color w:val="auto"/>
          <w:sz w:val="24"/>
          <w:highlight w:val="none"/>
        </w:rPr>
      </w:pPr>
      <w:r>
        <w:rPr>
          <w:rFonts w:hint="eastAsia"/>
          <w:b/>
          <w:color w:val="auto"/>
          <w:sz w:val="24"/>
          <w:highlight w:val="none"/>
        </w:rPr>
        <w:t>设备用途：</w:t>
      </w:r>
    </w:p>
    <w:p w14:paraId="60B454EE">
      <w:pPr>
        <w:adjustRightInd w:val="0"/>
        <w:snapToGrid w:val="0"/>
        <w:spacing w:line="360" w:lineRule="auto"/>
        <w:ind w:firstLine="480" w:firstLineChars="200"/>
        <w:rPr>
          <w:color w:val="auto"/>
          <w:sz w:val="24"/>
          <w:highlight w:val="none"/>
        </w:rPr>
      </w:pPr>
      <w:r>
        <w:rPr>
          <w:rFonts w:hint="eastAsia"/>
          <w:color w:val="auto"/>
          <w:sz w:val="24"/>
          <w:highlight w:val="none"/>
        </w:rPr>
        <w:t>差热热重-红外联用测试仪能够在完全相同的测试条件下，研究样品的化学反应所引起的热量和质量的同步变化。可用来测量：熔融与结晶过程、玻璃化转变、相转变、共熔温度、热稳定性、分解温度、组分分析、氧化反应等。样品逸出气体可通过传输管线进入红外进行联用分析，进行材料分解机理、氧化还原反应、气-固反应、燃烧产物、溶剂残留量、前驱体反应、挥发、脱气等领域的研究。</w:t>
      </w:r>
    </w:p>
    <w:p w14:paraId="54A1429B">
      <w:pPr>
        <w:adjustRightInd w:val="0"/>
        <w:snapToGrid w:val="0"/>
        <w:spacing w:line="360" w:lineRule="auto"/>
        <w:ind w:firstLine="480" w:firstLineChars="200"/>
        <w:rPr>
          <w:color w:val="auto"/>
          <w:sz w:val="24"/>
          <w:highlight w:val="none"/>
        </w:rPr>
      </w:pPr>
    </w:p>
    <w:p w14:paraId="585E734A">
      <w:pPr>
        <w:numPr>
          <w:ilvl w:val="0"/>
          <w:numId w:val="2"/>
        </w:numPr>
        <w:adjustRightInd w:val="0"/>
        <w:snapToGrid w:val="0"/>
        <w:spacing w:line="360" w:lineRule="auto"/>
        <w:rPr>
          <w:b/>
          <w:color w:val="auto"/>
          <w:sz w:val="24"/>
          <w:highlight w:val="none"/>
        </w:rPr>
      </w:pPr>
      <w:bookmarkStart w:id="3" w:name="_Hlk182823300"/>
      <w:r>
        <w:rPr>
          <w:rFonts w:hint="eastAsia"/>
          <w:b/>
          <w:color w:val="auto"/>
          <w:sz w:val="24"/>
          <w:highlight w:val="none"/>
        </w:rPr>
        <w:t>技术规格：</w:t>
      </w:r>
    </w:p>
    <w:p w14:paraId="14FA3A38">
      <w:pPr>
        <w:adjustRightInd w:val="0"/>
        <w:snapToGrid w:val="0"/>
        <w:spacing w:line="360" w:lineRule="auto"/>
        <w:rPr>
          <w:b/>
          <w:bCs/>
          <w:color w:val="auto"/>
          <w:sz w:val="24"/>
          <w:highlight w:val="none"/>
        </w:rPr>
      </w:pPr>
      <w:r>
        <w:rPr>
          <w:rFonts w:hint="eastAsia"/>
          <w:b/>
          <w:bCs/>
          <w:color w:val="auto"/>
          <w:sz w:val="24"/>
          <w:highlight w:val="none"/>
        </w:rPr>
        <w:t>差热热重组件：</w:t>
      </w:r>
    </w:p>
    <w:p w14:paraId="2877AA5E">
      <w:pPr>
        <w:adjustRightInd w:val="0"/>
        <w:snapToGrid w:val="0"/>
        <w:spacing w:line="360" w:lineRule="auto"/>
        <w:rPr>
          <w:color w:val="auto"/>
          <w:sz w:val="24"/>
          <w:highlight w:val="none"/>
        </w:rPr>
      </w:pPr>
      <w:r>
        <w:rPr>
          <w:rFonts w:hint="eastAsia"/>
          <w:color w:val="auto"/>
          <w:sz w:val="24"/>
          <w:highlight w:val="none"/>
        </w:rPr>
        <w:t>*3.1 温度范围：RT～1600°C；</w:t>
      </w:r>
    </w:p>
    <w:p w14:paraId="11CFB0CB">
      <w:pPr>
        <w:adjustRightInd w:val="0"/>
        <w:snapToGrid w:val="0"/>
        <w:spacing w:line="360" w:lineRule="auto"/>
        <w:rPr>
          <w:color w:val="auto"/>
          <w:sz w:val="24"/>
          <w:highlight w:val="none"/>
        </w:rPr>
      </w:pPr>
      <w:r>
        <w:rPr>
          <w:color w:val="auto"/>
          <w:sz w:val="24"/>
          <w:highlight w:val="none"/>
        </w:rPr>
        <w:t>3.2</w:t>
      </w:r>
      <w:r>
        <w:rPr>
          <w:rFonts w:hint="eastAsia"/>
          <w:color w:val="auto"/>
          <w:sz w:val="24"/>
          <w:highlight w:val="none"/>
        </w:rPr>
        <w:t xml:space="preserve"> 温度精度：≤0.1°C（标准金属）；</w:t>
      </w:r>
    </w:p>
    <w:p w14:paraId="67BE0AA6">
      <w:pPr>
        <w:adjustRightInd w:val="0"/>
        <w:snapToGrid w:val="0"/>
        <w:spacing w:line="360" w:lineRule="auto"/>
        <w:rPr>
          <w:color w:val="auto"/>
          <w:sz w:val="24"/>
          <w:highlight w:val="none"/>
        </w:rPr>
      </w:pPr>
      <w:r>
        <w:rPr>
          <w:color w:val="auto"/>
          <w:sz w:val="24"/>
          <w:highlight w:val="none"/>
        </w:rPr>
        <w:t>3.3</w:t>
      </w:r>
      <w:r>
        <w:rPr>
          <w:rFonts w:hint="eastAsia" w:ascii="宋体" w:hAnsi="宋体" w:cs="宋体"/>
          <w:color w:val="auto"/>
          <w:sz w:val="24"/>
          <w:highlight w:val="none"/>
        </w:rPr>
        <w:t xml:space="preserve"> </w:t>
      </w:r>
      <w:r>
        <w:rPr>
          <w:rFonts w:hint="eastAsia"/>
          <w:color w:val="auto"/>
          <w:sz w:val="24"/>
          <w:highlight w:val="none"/>
        </w:rPr>
        <w:t>DSC灵敏度：≤1μW；</w:t>
      </w:r>
    </w:p>
    <w:p w14:paraId="00AB7746">
      <w:pPr>
        <w:adjustRightInd w:val="0"/>
        <w:snapToGrid w:val="0"/>
        <w:spacing w:line="360" w:lineRule="auto"/>
        <w:rPr>
          <w:color w:val="auto"/>
          <w:sz w:val="24"/>
          <w:highlight w:val="none"/>
        </w:rPr>
      </w:pPr>
      <w:r>
        <w:rPr>
          <w:color w:val="auto"/>
          <w:sz w:val="24"/>
          <w:highlight w:val="none"/>
        </w:rPr>
        <w:t>3.4</w:t>
      </w:r>
      <w:r>
        <w:rPr>
          <w:rFonts w:hint="eastAsia"/>
          <w:color w:val="auto"/>
          <w:sz w:val="24"/>
          <w:highlight w:val="none"/>
        </w:rPr>
        <w:t xml:space="preserve"> 热焓精度：≤1%（标准金属）；</w:t>
      </w:r>
    </w:p>
    <w:p w14:paraId="4D0B5A4C">
      <w:pPr>
        <w:adjustRightInd w:val="0"/>
        <w:snapToGrid w:val="0"/>
        <w:spacing w:line="360" w:lineRule="auto"/>
        <w:rPr>
          <w:color w:val="auto"/>
          <w:sz w:val="24"/>
          <w:highlight w:val="none"/>
        </w:rPr>
      </w:pPr>
      <w:r>
        <w:rPr>
          <w:rFonts w:hint="eastAsia"/>
          <w:color w:val="auto"/>
          <w:sz w:val="24"/>
          <w:highlight w:val="none"/>
        </w:rPr>
        <w:t>#</w:t>
      </w:r>
      <w:r>
        <w:rPr>
          <w:color w:val="auto"/>
          <w:sz w:val="24"/>
          <w:highlight w:val="none"/>
        </w:rPr>
        <w:t>3.5</w:t>
      </w:r>
      <w:r>
        <w:rPr>
          <w:rFonts w:hint="eastAsia"/>
          <w:color w:val="auto"/>
          <w:sz w:val="24"/>
          <w:highlight w:val="none"/>
        </w:rPr>
        <w:t xml:space="preserve"> 天平分辨率：≤0.1μg；</w:t>
      </w:r>
    </w:p>
    <w:p w14:paraId="4793F358">
      <w:pPr>
        <w:adjustRightInd w:val="0"/>
        <w:snapToGrid w:val="0"/>
        <w:spacing w:line="360" w:lineRule="auto"/>
        <w:rPr>
          <w:color w:val="auto"/>
          <w:sz w:val="24"/>
          <w:highlight w:val="none"/>
        </w:rPr>
      </w:pPr>
      <w:r>
        <w:rPr>
          <w:color w:val="auto"/>
          <w:sz w:val="24"/>
          <w:highlight w:val="none"/>
        </w:rPr>
        <w:t>3.6</w:t>
      </w:r>
      <w:r>
        <w:rPr>
          <w:rFonts w:hint="eastAsia"/>
          <w:color w:val="auto"/>
          <w:sz w:val="24"/>
          <w:highlight w:val="none"/>
        </w:rPr>
        <w:t xml:space="preserve"> 最大装样量：≥35g；</w:t>
      </w:r>
    </w:p>
    <w:p w14:paraId="11EB6531">
      <w:pPr>
        <w:adjustRightInd w:val="0"/>
        <w:snapToGrid w:val="0"/>
        <w:spacing w:line="360" w:lineRule="auto"/>
        <w:rPr>
          <w:color w:val="auto"/>
          <w:sz w:val="24"/>
          <w:highlight w:val="none"/>
        </w:rPr>
      </w:pPr>
      <w:r>
        <w:rPr>
          <w:color w:val="auto"/>
          <w:sz w:val="24"/>
          <w:highlight w:val="none"/>
        </w:rPr>
        <w:t>*3.7</w:t>
      </w:r>
      <w:r>
        <w:rPr>
          <w:rFonts w:hint="eastAsia"/>
          <w:color w:val="auto"/>
          <w:sz w:val="24"/>
          <w:highlight w:val="none"/>
        </w:rPr>
        <w:t xml:space="preserve"> 称量范围：≥35g；</w:t>
      </w:r>
    </w:p>
    <w:p w14:paraId="0E95C3B3">
      <w:pPr>
        <w:adjustRightInd w:val="0"/>
        <w:snapToGrid w:val="0"/>
        <w:spacing w:line="360" w:lineRule="auto"/>
        <w:rPr>
          <w:color w:val="auto"/>
          <w:sz w:val="24"/>
          <w:highlight w:val="none"/>
        </w:rPr>
      </w:pPr>
      <w:r>
        <w:rPr>
          <w:color w:val="auto"/>
          <w:sz w:val="24"/>
          <w:highlight w:val="none"/>
        </w:rPr>
        <w:t>3.8</w:t>
      </w:r>
      <w:r>
        <w:rPr>
          <w:rFonts w:hint="eastAsia"/>
          <w:color w:val="auto"/>
          <w:sz w:val="24"/>
          <w:highlight w:val="none"/>
        </w:rPr>
        <w:t xml:space="preserve"> 升温速率：0～50°C/min；</w:t>
      </w:r>
    </w:p>
    <w:p w14:paraId="228154AA">
      <w:pPr>
        <w:adjustRightInd w:val="0"/>
        <w:snapToGrid w:val="0"/>
        <w:spacing w:line="360" w:lineRule="auto"/>
        <w:rPr>
          <w:color w:val="auto"/>
          <w:sz w:val="24"/>
          <w:highlight w:val="none"/>
        </w:rPr>
      </w:pPr>
      <w:r>
        <w:rPr>
          <w:color w:val="auto"/>
          <w:sz w:val="24"/>
          <w:highlight w:val="none"/>
        </w:rPr>
        <w:t>3.9</w:t>
      </w:r>
      <w:r>
        <w:rPr>
          <w:rFonts w:hint="eastAsia"/>
          <w:color w:val="auto"/>
          <w:sz w:val="24"/>
          <w:highlight w:val="none"/>
        </w:rPr>
        <w:t xml:space="preserve"> 测试气氛：静态或动态；氧化、还原、惰性；</w:t>
      </w:r>
    </w:p>
    <w:p w14:paraId="5699BECB">
      <w:pPr>
        <w:adjustRightInd w:val="0"/>
        <w:snapToGrid w:val="0"/>
        <w:spacing w:line="360" w:lineRule="auto"/>
        <w:rPr>
          <w:color w:val="auto"/>
          <w:sz w:val="24"/>
          <w:highlight w:val="none"/>
        </w:rPr>
      </w:pPr>
      <w:r>
        <w:rPr>
          <w:color w:val="auto"/>
          <w:sz w:val="24"/>
          <w:highlight w:val="none"/>
        </w:rPr>
        <w:t>*3.10</w:t>
      </w:r>
      <w:r>
        <w:rPr>
          <w:rFonts w:hint="eastAsia"/>
          <w:color w:val="auto"/>
          <w:sz w:val="24"/>
          <w:highlight w:val="none"/>
        </w:rPr>
        <w:t xml:space="preserve"> 真空泵：转子泵，软件控制，可自动完成抽真空-充气循环；</w:t>
      </w:r>
    </w:p>
    <w:p w14:paraId="6339650F">
      <w:pPr>
        <w:adjustRightInd w:val="0"/>
        <w:snapToGrid w:val="0"/>
        <w:spacing w:line="360" w:lineRule="auto"/>
        <w:rPr>
          <w:color w:val="auto"/>
          <w:sz w:val="24"/>
          <w:highlight w:val="none"/>
        </w:rPr>
      </w:pPr>
      <w:r>
        <w:rPr>
          <w:color w:val="auto"/>
          <w:sz w:val="24"/>
          <w:highlight w:val="none"/>
        </w:rPr>
        <w:t>3.11</w:t>
      </w:r>
      <w:r>
        <w:rPr>
          <w:rFonts w:hint="eastAsia"/>
          <w:color w:val="auto"/>
          <w:sz w:val="24"/>
          <w:highlight w:val="none"/>
        </w:rPr>
        <w:t xml:space="preserve"> 软件：中文软件，支持Win 10，包含操作和分析功能；</w:t>
      </w:r>
    </w:p>
    <w:p w14:paraId="2BE6DF32">
      <w:pPr>
        <w:adjustRightInd w:val="0"/>
        <w:snapToGrid w:val="0"/>
        <w:spacing w:line="360" w:lineRule="auto"/>
        <w:rPr>
          <w:color w:val="auto"/>
          <w:sz w:val="24"/>
          <w:highlight w:val="none"/>
        </w:rPr>
      </w:pPr>
      <w:r>
        <w:rPr>
          <w:color w:val="auto"/>
          <w:sz w:val="24"/>
          <w:highlight w:val="none"/>
        </w:rPr>
        <w:t>3.12</w:t>
      </w:r>
      <w:r>
        <w:rPr>
          <w:rFonts w:hint="eastAsia"/>
          <w:color w:val="auto"/>
          <w:sz w:val="24"/>
          <w:highlight w:val="none"/>
        </w:rPr>
        <w:t xml:space="preserve"> 联用：可与红外光谱仪联用；</w:t>
      </w:r>
    </w:p>
    <w:p w14:paraId="530D4679">
      <w:pPr>
        <w:adjustRightInd w:val="0"/>
        <w:snapToGrid w:val="0"/>
        <w:spacing w:line="360" w:lineRule="auto"/>
        <w:rPr>
          <w:color w:val="auto"/>
          <w:sz w:val="24"/>
          <w:highlight w:val="none"/>
        </w:rPr>
      </w:pPr>
      <w:r>
        <w:rPr>
          <w:rFonts w:hint="eastAsia"/>
          <w:color w:val="auto"/>
          <w:sz w:val="24"/>
          <w:highlight w:val="none"/>
        </w:rPr>
        <w:t>#</w:t>
      </w:r>
      <w:r>
        <w:rPr>
          <w:color w:val="auto"/>
          <w:sz w:val="24"/>
          <w:highlight w:val="none"/>
        </w:rPr>
        <w:t>3.13</w:t>
      </w:r>
      <w:r>
        <w:rPr>
          <w:rFonts w:hint="eastAsia"/>
          <w:color w:val="auto"/>
          <w:sz w:val="24"/>
          <w:highlight w:val="none"/>
        </w:rPr>
        <w:t xml:space="preserve"> 联用接口最高加热温度：≥300°C；</w:t>
      </w:r>
    </w:p>
    <w:p w14:paraId="6D942974">
      <w:pPr>
        <w:adjustRightInd w:val="0"/>
        <w:snapToGrid w:val="0"/>
        <w:spacing w:line="360" w:lineRule="auto"/>
        <w:rPr>
          <w:color w:val="auto"/>
          <w:sz w:val="24"/>
          <w:highlight w:val="none"/>
        </w:rPr>
      </w:pPr>
      <w:r>
        <w:rPr>
          <w:color w:val="auto"/>
          <w:sz w:val="24"/>
          <w:highlight w:val="none"/>
        </w:rPr>
        <w:t>3.14</w:t>
      </w:r>
      <w:r>
        <w:rPr>
          <w:rFonts w:hint="eastAsia"/>
          <w:color w:val="auto"/>
          <w:sz w:val="24"/>
          <w:highlight w:val="none"/>
        </w:rPr>
        <w:t xml:space="preserve"> 传输管线最高加热温度：≥300°C。</w:t>
      </w:r>
    </w:p>
    <w:p w14:paraId="4F267E04">
      <w:pPr>
        <w:adjustRightInd w:val="0"/>
        <w:snapToGrid w:val="0"/>
        <w:spacing w:line="360" w:lineRule="auto"/>
        <w:rPr>
          <w:b/>
          <w:bCs/>
          <w:color w:val="auto"/>
          <w:sz w:val="24"/>
          <w:highlight w:val="none"/>
        </w:rPr>
      </w:pPr>
      <w:r>
        <w:rPr>
          <w:rFonts w:hint="eastAsia"/>
          <w:b/>
          <w:bCs/>
          <w:color w:val="auto"/>
          <w:sz w:val="24"/>
          <w:highlight w:val="none"/>
        </w:rPr>
        <w:t>红外组件：</w:t>
      </w:r>
    </w:p>
    <w:p w14:paraId="7BD91DBA">
      <w:pPr>
        <w:adjustRightInd w:val="0"/>
        <w:snapToGrid w:val="0"/>
        <w:spacing w:line="360" w:lineRule="auto"/>
        <w:rPr>
          <w:color w:val="auto"/>
          <w:sz w:val="24"/>
          <w:highlight w:val="none"/>
        </w:rPr>
      </w:pPr>
      <w:r>
        <w:rPr>
          <w:rFonts w:hint="eastAsia"/>
          <w:color w:val="auto"/>
          <w:sz w:val="24"/>
          <w:highlight w:val="none"/>
        </w:rPr>
        <w:t>3.15 光谱范围：8,000–350cm</w:t>
      </w:r>
      <w:r>
        <w:rPr>
          <w:rFonts w:hint="eastAsia"/>
          <w:color w:val="auto"/>
          <w:sz w:val="24"/>
          <w:highlight w:val="none"/>
          <w:vertAlign w:val="superscript"/>
        </w:rPr>
        <w:t>-1</w:t>
      </w:r>
      <w:r>
        <w:rPr>
          <w:rFonts w:hint="eastAsia"/>
          <w:color w:val="auto"/>
          <w:sz w:val="24"/>
          <w:highlight w:val="none"/>
        </w:rPr>
        <w:t>；</w:t>
      </w:r>
    </w:p>
    <w:p w14:paraId="53567057">
      <w:pPr>
        <w:adjustRightInd w:val="0"/>
        <w:snapToGrid w:val="0"/>
        <w:spacing w:line="360" w:lineRule="auto"/>
        <w:rPr>
          <w:color w:val="auto"/>
          <w:sz w:val="24"/>
          <w:highlight w:val="none"/>
        </w:rPr>
      </w:pPr>
      <w:r>
        <w:rPr>
          <w:rFonts w:hint="eastAsia"/>
          <w:color w:val="auto"/>
          <w:sz w:val="24"/>
          <w:highlight w:val="none"/>
        </w:rPr>
        <w:t>#3.16 光谱分辨率：0.4cm</w:t>
      </w:r>
      <w:r>
        <w:rPr>
          <w:rFonts w:hint="eastAsia"/>
          <w:color w:val="auto"/>
          <w:sz w:val="24"/>
          <w:highlight w:val="none"/>
          <w:vertAlign w:val="superscript"/>
        </w:rPr>
        <w:t>-1</w:t>
      </w:r>
      <w:r>
        <w:rPr>
          <w:rFonts w:hint="eastAsia"/>
          <w:color w:val="auto"/>
          <w:sz w:val="24"/>
          <w:highlight w:val="none"/>
        </w:rPr>
        <w:t>；</w:t>
      </w:r>
    </w:p>
    <w:p w14:paraId="3620988A">
      <w:pPr>
        <w:adjustRightInd w:val="0"/>
        <w:snapToGrid w:val="0"/>
        <w:spacing w:line="360" w:lineRule="auto"/>
        <w:rPr>
          <w:color w:val="auto"/>
          <w:sz w:val="24"/>
          <w:highlight w:val="none"/>
        </w:rPr>
      </w:pPr>
      <w:r>
        <w:rPr>
          <w:rFonts w:hint="eastAsia"/>
          <w:color w:val="auto"/>
          <w:sz w:val="24"/>
          <w:highlight w:val="none"/>
        </w:rPr>
        <w:t>#3.17 波数准确度：&lt; 0.005 cm</w:t>
      </w:r>
      <w:r>
        <w:rPr>
          <w:rFonts w:hint="eastAsia"/>
          <w:color w:val="auto"/>
          <w:sz w:val="24"/>
          <w:highlight w:val="none"/>
          <w:vertAlign w:val="superscript"/>
        </w:rPr>
        <w:t>-1</w:t>
      </w:r>
      <w:r>
        <w:rPr>
          <w:rFonts w:hint="eastAsia"/>
          <w:color w:val="auto"/>
          <w:highlight w:val="none"/>
        </w:rPr>
        <w:t>；</w:t>
      </w:r>
    </w:p>
    <w:p w14:paraId="1B88C54B">
      <w:pPr>
        <w:adjustRightInd w:val="0"/>
        <w:snapToGrid w:val="0"/>
        <w:spacing w:line="360" w:lineRule="auto"/>
        <w:rPr>
          <w:color w:val="auto"/>
          <w:sz w:val="24"/>
          <w:highlight w:val="none"/>
        </w:rPr>
      </w:pPr>
      <w:r>
        <w:rPr>
          <w:rFonts w:hint="eastAsia"/>
          <w:color w:val="auto"/>
          <w:sz w:val="24"/>
          <w:highlight w:val="none"/>
        </w:rPr>
        <w:t>3.18 透光率准度：优于0.07%T；</w:t>
      </w:r>
    </w:p>
    <w:p w14:paraId="69059BF2">
      <w:pPr>
        <w:adjustRightInd w:val="0"/>
        <w:snapToGrid w:val="0"/>
        <w:spacing w:line="360" w:lineRule="auto"/>
        <w:rPr>
          <w:color w:val="auto"/>
          <w:sz w:val="24"/>
          <w:highlight w:val="none"/>
        </w:rPr>
      </w:pPr>
      <w:r>
        <w:rPr>
          <w:rFonts w:hint="eastAsia"/>
          <w:color w:val="auto"/>
          <w:sz w:val="24"/>
          <w:highlight w:val="none"/>
        </w:rPr>
        <w:t>#3.19 波数重复性：&lt; 0.0005 cm</w:t>
      </w:r>
      <w:r>
        <w:rPr>
          <w:rFonts w:hint="eastAsia"/>
          <w:color w:val="auto"/>
          <w:sz w:val="24"/>
          <w:highlight w:val="none"/>
          <w:vertAlign w:val="superscript"/>
        </w:rPr>
        <w:t>-1</w:t>
      </w:r>
      <w:r>
        <w:rPr>
          <w:rFonts w:hint="eastAsia"/>
          <w:color w:val="auto"/>
          <w:highlight w:val="none"/>
        </w:rPr>
        <w:t>；</w:t>
      </w:r>
    </w:p>
    <w:p w14:paraId="173C7A9E">
      <w:pPr>
        <w:adjustRightInd w:val="0"/>
        <w:snapToGrid w:val="0"/>
        <w:spacing w:line="360" w:lineRule="auto"/>
        <w:rPr>
          <w:color w:val="auto"/>
          <w:sz w:val="24"/>
          <w:highlight w:val="none"/>
        </w:rPr>
      </w:pPr>
      <w:r>
        <w:rPr>
          <w:rFonts w:hint="eastAsia"/>
          <w:color w:val="auto"/>
          <w:sz w:val="24"/>
          <w:highlight w:val="none"/>
        </w:rPr>
        <w:t>*3.20 信噪比：优于60,000:1(峰-峰值，1分钟测试，分辨率4cm</w:t>
      </w:r>
      <w:r>
        <w:rPr>
          <w:rFonts w:hint="eastAsia"/>
          <w:color w:val="auto"/>
          <w:sz w:val="24"/>
          <w:highlight w:val="none"/>
          <w:vertAlign w:val="superscript"/>
        </w:rPr>
        <w:t>-1</w:t>
      </w:r>
      <w:r>
        <w:rPr>
          <w:rFonts w:hint="eastAsia"/>
          <w:color w:val="auto"/>
          <w:sz w:val="24"/>
          <w:highlight w:val="none"/>
        </w:rPr>
        <w:t>，DTGS检测器，@2100cm</w:t>
      </w:r>
      <w:r>
        <w:rPr>
          <w:rFonts w:hint="eastAsia"/>
          <w:color w:val="auto"/>
          <w:sz w:val="24"/>
          <w:highlight w:val="none"/>
          <w:vertAlign w:val="superscript"/>
        </w:rPr>
        <w:t>-1</w:t>
      </w:r>
      <w:r>
        <w:rPr>
          <w:rFonts w:hint="eastAsia"/>
          <w:color w:val="auto"/>
          <w:sz w:val="24"/>
          <w:highlight w:val="none"/>
        </w:rPr>
        <w:t>)；</w:t>
      </w:r>
    </w:p>
    <w:p w14:paraId="0638C1DD">
      <w:pPr>
        <w:adjustRightInd w:val="0"/>
        <w:snapToGrid w:val="0"/>
        <w:spacing w:line="360" w:lineRule="auto"/>
        <w:rPr>
          <w:color w:val="auto"/>
          <w:sz w:val="24"/>
          <w:highlight w:val="none"/>
        </w:rPr>
      </w:pPr>
      <w:r>
        <w:rPr>
          <w:rFonts w:hint="eastAsia"/>
          <w:color w:val="auto"/>
          <w:sz w:val="24"/>
          <w:highlight w:val="none"/>
        </w:rPr>
        <w:t>*3.21 干涉仪：光路永久准直、无需被动式动态调整；</w:t>
      </w:r>
    </w:p>
    <w:p w14:paraId="4A71F32E">
      <w:pPr>
        <w:adjustRightInd w:val="0"/>
        <w:snapToGrid w:val="0"/>
        <w:spacing w:line="360" w:lineRule="auto"/>
        <w:rPr>
          <w:color w:val="auto"/>
          <w:sz w:val="24"/>
          <w:highlight w:val="none"/>
        </w:rPr>
      </w:pPr>
      <w:r>
        <w:rPr>
          <w:rFonts w:hint="eastAsia"/>
          <w:color w:val="auto"/>
          <w:sz w:val="24"/>
          <w:highlight w:val="none"/>
        </w:rPr>
        <w:t>#3.22 检测器：DLATGS检测器。最多可内置7个检测器，各检测器均由软件控制自动切换，无需任何手动插拔或其他手动更换检测器的操作；</w:t>
      </w:r>
    </w:p>
    <w:p w14:paraId="33055984">
      <w:pPr>
        <w:adjustRightInd w:val="0"/>
        <w:snapToGrid w:val="0"/>
        <w:spacing w:line="360" w:lineRule="auto"/>
        <w:rPr>
          <w:color w:val="auto"/>
          <w:sz w:val="24"/>
          <w:highlight w:val="none"/>
        </w:rPr>
      </w:pPr>
      <w:r>
        <w:rPr>
          <w:rFonts w:hint="eastAsia"/>
          <w:color w:val="auto"/>
          <w:sz w:val="24"/>
          <w:highlight w:val="none"/>
        </w:rPr>
        <w:t>3.23 仪器内置包含各种标准物质，通过验证程序对仪器的各项指标随时进行验证，并给出验证报告；</w:t>
      </w:r>
    </w:p>
    <w:p w14:paraId="6F47EABA">
      <w:pPr>
        <w:adjustRightInd w:val="0"/>
        <w:snapToGrid w:val="0"/>
        <w:spacing w:line="360" w:lineRule="auto"/>
        <w:rPr>
          <w:color w:val="auto"/>
          <w:sz w:val="24"/>
          <w:highlight w:val="none"/>
        </w:rPr>
      </w:pPr>
      <w:r>
        <w:rPr>
          <w:rFonts w:hint="eastAsia"/>
          <w:color w:val="auto"/>
          <w:sz w:val="24"/>
          <w:highlight w:val="none"/>
        </w:rPr>
        <w:t>*3.24 外置式热红联机模块：置于仪器外侧，包含气体池和检测器；</w:t>
      </w:r>
    </w:p>
    <w:p w14:paraId="3504D03E">
      <w:pPr>
        <w:adjustRightInd w:val="0"/>
        <w:snapToGrid w:val="0"/>
        <w:spacing w:line="360" w:lineRule="auto"/>
        <w:rPr>
          <w:color w:val="auto"/>
          <w:sz w:val="24"/>
          <w:highlight w:val="none"/>
        </w:rPr>
      </w:pPr>
      <w:r>
        <w:rPr>
          <w:rFonts w:hint="eastAsia"/>
          <w:color w:val="auto"/>
          <w:sz w:val="24"/>
          <w:highlight w:val="none"/>
        </w:rPr>
        <w:t>#3.24.1 温度范围：室温－最高370</w:t>
      </w:r>
      <w:r>
        <w:rPr>
          <w:rFonts w:hint="eastAsia"/>
          <w:color w:val="auto"/>
          <w:sz w:val="24"/>
          <w:highlight w:val="none"/>
          <w:vertAlign w:val="superscript"/>
        </w:rPr>
        <w:t>o</w:t>
      </w:r>
      <w:r>
        <w:rPr>
          <w:rFonts w:hint="eastAsia"/>
          <w:color w:val="auto"/>
          <w:sz w:val="24"/>
          <w:highlight w:val="none"/>
        </w:rPr>
        <w:t>C；</w:t>
      </w:r>
    </w:p>
    <w:p w14:paraId="14B598F1">
      <w:pPr>
        <w:adjustRightInd w:val="0"/>
        <w:snapToGrid w:val="0"/>
        <w:spacing w:line="360" w:lineRule="auto"/>
        <w:rPr>
          <w:color w:val="auto"/>
          <w:sz w:val="24"/>
          <w:highlight w:val="none"/>
        </w:rPr>
      </w:pPr>
      <w:r>
        <w:rPr>
          <w:rFonts w:hint="eastAsia"/>
          <w:color w:val="auto"/>
          <w:sz w:val="24"/>
          <w:highlight w:val="none"/>
        </w:rPr>
        <w:t>#3.24.2 热红联用模块专用检测器：电制冷MCT检测器。</w:t>
      </w:r>
    </w:p>
    <w:p w14:paraId="03DEEF81">
      <w:pPr>
        <w:adjustRightInd w:val="0"/>
        <w:snapToGrid w:val="0"/>
        <w:spacing w:line="360" w:lineRule="auto"/>
        <w:rPr>
          <w:color w:val="auto"/>
          <w:sz w:val="24"/>
          <w:highlight w:val="none"/>
        </w:rPr>
      </w:pPr>
    </w:p>
    <w:p w14:paraId="1FEF2989">
      <w:pPr>
        <w:numPr>
          <w:ilvl w:val="0"/>
          <w:numId w:val="2"/>
        </w:numPr>
        <w:adjustRightInd w:val="0"/>
        <w:snapToGrid w:val="0"/>
        <w:spacing w:line="360" w:lineRule="auto"/>
        <w:rPr>
          <w:b/>
          <w:color w:val="auto"/>
          <w:sz w:val="24"/>
          <w:highlight w:val="none"/>
        </w:rPr>
      </w:pPr>
      <w:r>
        <w:rPr>
          <w:rFonts w:hint="eastAsia"/>
          <w:b/>
          <w:color w:val="auto"/>
          <w:sz w:val="24"/>
          <w:highlight w:val="none"/>
        </w:rPr>
        <w:t>产品配置要求</w:t>
      </w:r>
    </w:p>
    <w:p w14:paraId="68B001C0">
      <w:pPr>
        <w:adjustRightInd w:val="0"/>
        <w:snapToGrid w:val="0"/>
        <w:spacing w:line="360" w:lineRule="auto"/>
        <w:rPr>
          <w:b/>
          <w:bCs/>
          <w:color w:val="auto"/>
          <w:sz w:val="24"/>
          <w:highlight w:val="none"/>
        </w:rPr>
      </w:pPr>
      <w:r>
        <w:rPr>
          <w:rFonts w:hint="eastAsia"/>
          <w:b/>
          <w:bCs/>
          <w:color w:val="auto"/>
          <w:sz w:val="24"/>
          <w:highlight w:val="none"/>
        </w:rPr>
        <w:t>差热热重组件：</w:t>
      </w:r>
    </w:p>
    <w:p w14:paraId="30D31E9E">
      <w:pPr>
        <w:adjustRightInd w:val="0"/>
        <w:snapToGrid w:val="0"/>
        <w:spacing w:line="360" w:lineRule="auto"/>
        <w:rPr>
          <w:color w:val="auto"/>
          <w:sz w:val="24"/>
          <w:highlight w:val="none"/>
        </w:rPr>
      </w:pPr>
      <w:r>
        <w:rPr>
          <w:color w:val="auto"/>
          <w:sz w:val="24"/>
          <w:highlight w:val="none"/>
        </w:rPr>
        <w:t>4.1</w:t>
      </w:r>
      <w:r>
        <w:rPr>
          <w:rFonts w:hint="eastAsia"/>
          <w:color w:val="auto"/>
          <w:sz w:val="24"/>
          <w:highlight w:val="none"/>
        </w:rPr>
        <w:t xml:space="preserve"> 样品支架：标准TG-DSC样品支架1支；TG大样品支架1支，包含直径≥17mm平台1个</w:t>
      </w:r>
    </w:p>
    <w:p w14:paraId="2E4A6CC0">
      <w:pPr>
        <w:adjustRightInd w:val="0"/>
        <w:snapToGrid w:val="0"/>
        <w:spacing w:line="360" w:lineRule="auto"/>
        <w:rPr>
          <w:color w:val="auto"/>
          <w:sz w:val="24"/>
          <w:highlight w:val="none"/>
        </w:rPr>
      </w:pPr>
      <w:r>
        <w:rPr>
          <w:color w:val="auto"/>
          <w:sz w:val="24"/>
          <w:highlight w:val="none"/>
        </w:rPr>
        <w:t>4.2</w:t>
      </w:r>
      <w:r>
        <w:rPr>
          <w:rFonts w:hint="eastAsia"/>
          <w:color w:val="auto"/>
          <w:sz w:val="24"/>
          <w:highlight w:val="none"/>
        </w:rPr>
        <w:t xml:space="preserve"> 气路控制：3路气体质量流量计，实验中可自动切换气氛；</w:t>
      </w:r>
    </w:p>
    <w:p w14:paraId="783ADFAB">
      <w:pPr>
        <w:adjustRightInd w:val="0"/>
        <w:snapToGrid w:val="0"/>
        <w:spacing w:line="360" w:lineRule="auto"/>
        <w:rPr>
          <w:color w:val="auto"/>
          <w:sz w:val="24"/>
          <w:highlight w:val="none"/>
        </w:rPr>
      </w:pPr>
      <w:r>
        <w:rPr>
          <w:color w:val="auto"/>
          <w:sz w:val="24"/>
          <w:highlight w:val="none"/>
        </w:rPr>
        <w:t>4.3</w:t>
      </w:r>
      <w:r>
        <w:rPr>
          <w:rFonts w:hint="eastAsia"/>
          <w:color w:val="auto"/>
          <w:sz w:val="24"/>
          <w:highlight w:val="none"/>
        </w:rPr>
        <w:t xml:space="preserve"> 软件控制真空泵1套</w:t>
      </w:r>
    </w:p>
    <w:p w14:paraId="05A3AA7C">
      <w:pPr>
        <w:adjustRightInd w:val="0"/>
        <w:snapToGrid w:val="0"/>
        <w:spacing w:line="360" w:lineRule="auto"/>
        <w:rPr>
          <w:color w:val="auto"/>
          <w:sz w:val="24"/>
          <w:highlight w:val="none"/>
        </w:rPr>
      </w:pPr>
      <w:r>
        <w:rPr>
          <w:color w:val="auto"/>
          <w:sz w:val="24"/>
          <w:highlight w:val="none"/>
        </w:rPr>
        <w:t>4.4</w:t>
      </w:r>
      <w:r>
        <w:rPr>
          <w:rFonts w:hint="eastAsia"/>
          <w:color w:val="auto"/>
          <w:sz w:val="24"/>
          <w:highlight w:val="none"/>
        </w:rPr>
        <w:t xml:space="preserve"> 校准标样：用于标定热焓和温度的标准样品，不少于7种</w:t>
      </w:r>
    </w:p>
    <w:p w14:paraId="72CFFC95">
      <w:pPr>
        <w:adjustRightInd w:val="0"/>
        <w:snapToGrid w:val="0"/>
        <w:spacing w:line="360" w:lineRule="auto"/>
        <w:rPr>
          <w:color w:val="auto"/>
          <w:sz w:val="24"/>
          <w:highlight w:val="none"/>
        </w:rPr>
      </w:pPr>
      <w:r>
        <w:rPr>
          <w:color w:val="auto"/>
          <w:sz w:val="24"/>
          <w:highlight w:val="none"/>
        </w:rPr>
        <w:t>4.5</w:t>
      </w:r>
      <w:r>
        <w:rPr>
          <w:rFonts w:hint="eastAsia"/>
          <w:color w:val="auto"/>
          <w:sz w:val="24"/>
          <w:highlight w:val="none"/>
        </w:rPr>
        <w:t xml:space="preserve"> 用于与红外联用的气体传送系统适配器一个</w:t>
      </w:r>
    </w:p>
    <w:p w14:paraId="3019E068">
      <w:pPr>
        <w:adjustRightInd w:val="0"/>
        <w:snapToGrid w:val="0"/>
        <w:spacing w:line="360" w:lineRule="auto"/>
        <w:rPr>
          <w:color w:val="auto"/>
          <w:sz w:val="24"/>
          <w:highlight w:val="none"/>
        </w:rPr>
      </w:pPr>
      <w:r>
        <w:rPr>
          <w:color w:val="auto"/>
          <w:sz w:val="24"/>
          <w:highlight w:val="none"/>
        </w:rPr>
        <w:t>4.6</w:t>
      </w:r>
      <w:r>
        <w:rPr>
          <w:rFonts w:hint="eastAsia"/>
          <w:color w:val="auto"/>
          <w:sz w:val="24"/>
          <w:highlight w:val="none"/>
        </w:rPr>
        <w:t xml:space="preserve"> 双路温控器一套，分别控制气体传送系统适配器和传输管线温度</w:t>
      </w:r>
    </w:p>
    <w:p w14:paraId="6BC2CE6B">
      <w:pPr>
        <w:adjustRightInd w:val="0"/>
        <w:snapToGrid w:val="0"/>
        <w:spacing w:line="360" w:lineRule="auto"/>
        <w:rPr>
          <w:b/>
          <w:color w:val="auto"/>
          <w:sz w:val="24"/>
          <w:highlight w:val="none"/>
        </w:rPr>
      </w:pPr>
      <w:r>
        <w:rPr>
          <w:color w:val="auto"/>
          <w:sz w:val="24"/>
          <w:highlight w:val="none"/>
        </w:rPr>
        <w:t>4.7</w:t>
      </w:r>
      <w:r>
        <w:rPr>
          <w:rFonts w:hint="eastAsia"/>
          <w:color w:val="auto"/>
          <w:sz w:val="24"/>
          <w:highlight w:val="none"/>
        </w:rPr>
        <w:t xml:space="preserve"> 传输管线一套：长度1.5m</w:t>
      </w:r>
      <w:r>
        <w:rPr>
          <w:b/>
          <w:color w:val="auto"/>
          <w:sz w:val="24"/>
          <w:highlight w:val="none"/>
        </w:rPr>
        <w:t xml:space="preserve"> </w:t>
      </w:r>
    </w:p>
    <w:p w14:paraId="1C1D256D">
      <w:pPr>
        <w:adjustRightInd w:val="0"/>
        <w:snapToGrid w:val="0"/>
        <w:spacing w:line="360" w:lineRule="auto"/>
        <w:rPr>
          <w:b/>
          <w:bCs/>
          <w:color w:val="auto"/>
          <w:sz w:val="24"/>
          <w:highlight w:val="none"/>
        </w:rPr>
      </w:pPr>
      <w:r>
        <w:rPr>
          <w:rFonts w:hint="eastAsia"/>
          <w:b/>
          <w:bCs/>
          <w:color w:val="auto"/>
          <w:sz w:val="24"/>
          <w:highlight w:val="none"/>
        </w:rPr>
        <w:t>红外组件：</w:t>
      </w:r>
    </w:p>
    <w:p w14:paraId="66637555">
      <w:pPr>
        <w:adjustRightInd w:val="0"/>
        <w:snapToGrid w:val="0"/>
        <w:spacing w:line="360" w:lineRule="auto"/>
        <w:rPr>
          <w:color w:val="auto"/>
          <w:sz w:val="24"/>
          <w:highlight w:val="none"/>
        </w:rPr>
      </w:pPr>
      <w:r>
        <w:rPr>
          <w:color w:val="auto"/>
          <w:sz w:val="24"/>
          <w:highlight w:val="none"/>
        </w:rPr>
        <w:t>4.</w:t>
      </w:r>
      <w:r>
        <w:rPr>
          <w:rFonts w:hint="eastAsia"/>
          <w:color w:val="auto"/>
          <w:sz w:val="24"/>
          <w:highlight w:val="none"/>
        </w:rPr>
        <w:t>8</w:t>
      </w:r>
      <w:r>
        <w:rPr>
          <w:color w:val="auto"/>
          <w:sz w:val="24"/>
          <w:highlight w:val="none"/>
        </w:rPr>
        <w:t xml:space="preserve"> </w:t>
      </w:r>
      <w:r>
        <w:rPr>
          <w:rFonts w:hint="eastAsia"/>
          <w:color w:val="auto"/>
          <w:sz w:val="24"/>
          <w:highlight w:val="none"/>
        </w:rPr>
        <w:t>要求的附件、专用工具和消耗品</w:t>
      </w:r>
    </w:p>
    <w:p w14:paraId="10992C07">
      <w:pPr>
        <w:adjustRightInd w:val="0"/>
        <w:snapToGrid w:val="0"/>
        <w:spacing w:line="360" w:lineRule="auto"/>
        <w:ind w:firstLine="420"/>
        <w:rPr>
          <w:color w:val="auto"/>
          <w:sz w:val="24"/>
          <w:highlight w:val="none"/>
        </w:rPr>
      </w:pPr>
      <w:r>
        <w:rPr>
          <w:color w:val="auto"/>
          <w:sz w:val="24"/>
          <w:highlight w:val="none"/>
        </w:rPr>
        <w:t>4.</w:t>
      </w:r>
      <w:r>
        <w:rPr>
          <w:rFonts w:hint="eastAsia"/>
          <w:color w:val="auto"/>
          <w:sz w:val="24"/>
          <w:highlight w:val="none"/>
        </w:rPr>
        <w:t>8</w:t>
      </w:r>
      <w:r>
        <w:rPr>
          <w:color w:val="auto"/>
          <w:sz w:val="24"/>
          <w:highlight w:val="none"/>
        </w:rPr>
        <w:t xml:space="preserve">.1 </w:t>
      </w:r>
      <w:r>
        <w:rPr>
          <w:rFonts w:hint="eastAsia"/>
          <w:color w:val="auto"/>
          <w:sz w:val="24"/>
          <w:highlight w:val="none"/>
        </w:rPr>
        <w:t>红外光谱仪主机</w:t>
      </w:r>
      <w:r>
        <w:rPr>
          <w:color w:val="auto"/>
          <w:sz w:val="24"/>
          <w:highlight w:val="none"/>
        </w:rPr>
        <w:t>1</w:t>
      </w:r>
      <w:r>
        <w:rPr>
          <w:rFonts w:hint="eastAsia"/>
          <w:color w:val="auto"/>
          <w:sz w:val="24"/>
          <w:highlight w:val="none"/>
        </w:rPr>
        <w:t>台</w:t>
      </w:r>
    </w:p>
    <w:p w14:paraId="5F3ABC77">
      <w:pPr>
        <w:adjustRightInd w:val="0"/>
        <w:snapToGrid w:val="0"/>
        <w:spacing w:line="360" w:lineRule="auto"/>
        <w:ind w:firstLine="420"/>
        <w:rPr>
          <w:color w:val="auto"/>
          <w:sz w:val="24"/>
          <w:highlight w:val="none"/>
        </w:rPr>
      </w:pPr>
      <w:r>
        <w:rPr>
          <w:color w:val="auto"/>
          <w:sz w:val="24"/>
          <w:highlight w:val="none"/>
        </w:rPr>
        <w:t>4.</w:t>
      </w:r>
      <w:r>
        <w:rPr>
          <w:rFonts w:hint="eastAsia"/>
          <w:color w:val="auto"/>
          <w:sz w:val="24"/>
          <w:highlight w:val="none"/>
        </w:rPr>
        <w:t>8</w:t>
      </w:r>
      <w:r>
        <w:rPr>
          <w:color w:val="auto"/>
          <w:sz w:val="24"/>
          <w:highlight w:val="none"/>
        </w:rPr>
        <w:t xml:space="preserve">.2 </w:t>
      </w:r>
      <w:r>
        <w:rPr>
          <w:rFonts w:hint="eastAsia"/>
          <w:color w:val="auto"/>
          <w:sz w:val="24"/>
          <w:highlight w:val="none"/>
        </w:rPr>
        <w:t>国内采购制样工具箱：</w:t>
      </w:r>
      <w:r>
        <w:rPr>
          <w:color w:val="auto"/>
          <w:sz w:val="24"/>
          <w:highlight w:val="none"/>
        </w:rPr>
        <w:t>15</w:t>
      </w:r>
      <w:r>
        <w:rPr>
          <w:rFonts w:hint="eastAsia"/>
          <w:color w:val="auto"/>
          <w:sz w:val="24"/>
          <w:highlight w:val="none"/>
        </w:rPr>
        <w:t>吨压片机</w:t>
      </w:r>
      <w:r>
        <w:rPr>
          <w:color w:val="auto"/>
          <w:sz w:val="24"/>
          <w:highlight w:val="none"/>
        </w:rPr>
        <w:t>1</w:t>
      </w:r>
      <w:r>
        <w:rPr>
          <w:rFonts w:hint="eastAsia"/>
          <w:color w:val="auto"/>
          <w:sz w:val="24"/>
          <w:highlight w:val="none"/>
        </w:rPr>
        <w:t>套；</w:t>
      </w:r>
      <w:r>
        <w:rPr>
          <w:color w:val="auto"/>
          <w:sz w:val="24"/>
          <w:highlight w:val="none"/>
        </w:rPr>
        <w:t>13mm</w:t>
      </w:r>
      <w:r>
        <w:rPr>
          <w:rFonts w:hint="eastAsia"/>
          <w:color w:val="auto"/>
          <w:sz w:val="24"/>
          <w:highlight w:val="none"/>
        </w:rPr>
        <w:t>直径压片模具</w:t>
      </w:r>
      <w:r>
        <w:rPr>
          <w:color w:val="auto"/>
          <w:sz w:val="24"/>
          <w:highlight w:val="none"/>
        </w:rPr>
        <w:t>1</w:t>
      </w:r>
      <w:r>
        <w:rPr>
          <w:rFonts w:hint="eastAsia"/>
          <w:color w:val="auto"/>
          <w:sz w:val="24"/>
          <w:highlight w:val="none"/>
        </w:rPr>
        <w:t>套；玛瑙研钵</w:t>
      </w:r>
      <w:r>
        <w:rPr>
          <w:color w:val="auto"/>
          <w:sz w:val="24"/>
          <w:highlight w:val="none"/>
        </w:rPr>
        <w:t>1</w:t>
      </w:r>
      <w:r>
        <w:rPr>
          <w:rFonts w:hint="eastAsia"/>
          <w:color w:val="auto"/>
          <w:sz w:val="24"/>
          <w:highlight w:val="none"/>
        </w:rPr>
        <w:t>套；</w:t>
      </w:r>
      <w:r>
        <w:rPr>
          <w:color w:val="auto"/>
          <w:sz w:val="24"/>
          <w:highlight w:val="none"/>
        </w:rPr>
        <w:t>KBr</w:t>
      </w:r>
      <w:r>
        <w:rPr>
          <w:rFonts w:hint="eastAsia"/>
          <w:color w:val="auto"/>
          <w:sz w:val="24"/>
          <w:highlight w:val="none"/>
        </w:rPr>
        <w:t>碎晶</w:t>
      </w:r>
      <w:r>
        <w:rPr>
          <w:color w:val="auto"/>
          <w:sz w:val="24"/>
          <w:highlight w:val="none"/>
        </w:rPr>
        <w:t>100</w:t>
      </w:r>
      <w:r>
        <w:rPr>
          <w:rFonts w:hint="eastAsia"/>
          <w:color w:val="auto"/>
          <w:sz w:val="24"/>
          <w:highlight w:val="none"/>
        </w:rPr>
        <w:t>克；红外烤灯</w:t>
      </w:r>
      <w:r>
        <w:rPr>
          <w:color w:val="auto"/>
          <w:sz w:val="24"/>
          <w:highlight w:val="none"/>
        </w:rPr>
        <w:t>1</w:t>
      </w:r>
      <w:r>
        <w:rPr>
          <w:rFonts w:hint="eastAsia"/>
          <w:color w:val="auto"/>
          <w:sz w:val="24"/>
          <w:highlight w:val="none"/>
        </w:rPr>
        <w:t>套；可拆液体池</w:t>
      </w:r>
      <w:r>
        <w:rPr>
          <w:color w:val="auto"/>
          <w:sz w:val="24"/>
          <w:highlight w:val="none"/>
        </w:rPr>
        <w:t>1</w:t>
      </w:r>
      <w:r>
        <w:rPr>
          <w:rFonts w:hint="eastAsia"/>
          <w:color w:val="auto"/>
          <w:sz w:val="24"/>
          <w:highlight w:val="none"/>
        </w:rPr>
        <w:t>套。</w:t>
      </w:r>
    </w:p>
    <w:p w14:paraId="6B5D1CB6">
      <w:pPr>
        <w:adjustRightInd w:val="0"/>
        <w:snapToGrid w:val="0"/>
        <w:spacing w:line="360" w:lineRule="auto"/>
        <w:ind w:firstLine="420"/>
        <w:rPr>
          <w:color w:val="auto"/>
          <w:sz w:val="24"/>
          <w:highlight w:val="none"/>
        </w:rPr>
      </w:pPr>
      <w:r>
        <w:rPr>
          <w:color w:val="auto"/>
          <w:sz w:val="24"/>
          <w:highlight w:val="none"/>
        </w:rPr>
        <w:t>4.</w:t>
      </w:r>
      <w:r>
        <w:rPr>
          <w:rFonts w:hint="eastAsia"/>
          <w:color w:val="auto"/>
          <w:sz w:val="24"/>
          <w:highlight w:val="none"/>
        </w:rPr>
        <w:t>8</w:t>
      </w:r>
      <w:r>
        <w:rPr>
          <w:color w:val="auto"/>
          <w:sz w:val="24"/>
          <w:highlight w:val="none"/>
        </w:rPr>
        <w:t xml:space="preserve">.3 </w:t>
      </w:r>
      <w:r>
        <w:rPr>
          <w:rFonts w:hint="eastAsia"/>
          <w:color w:val="auto"/>
          <w:sz w:val="24"/>
          <w:highlight w:val="none"/>
        </w:rPr>
        <w:t>外置式热红联机模块（包含专用</w:t>
      </w:r>
      <w:r>
        <w:rPr>
          <w:color w:val="auto"/>
          <w:sz w:val="24"/>
          <w:highlight w:val="none"/>
        </w:rPr>
        <w:t>MCT</w:t>
      </w:r>
      <w:r>
        <w:rPr>
          <w:rFonts w:hint="eastAsia"/>
          <w:color w:val="auto"/>
          <w:sz w:val="24"/>
          <w:highlight w:val="none"/>
        </w:rPr>
        <w:t>检测器及</w:t>
      </w:r>
      <w:r>
        <w:rPr>
          <w:color w:val="auto"/>
          <w:sz w:val="24"/>
          <w:highlight w:val="none"/>
        </w:rPr>
        <w:t>3D</w:t>
      </w:r>
      <w:r>
        <w:rPr>
          <w:rFonts w:hint="eastAsia"/>
          <w:color w:val="auto"/>
          <w:sz w:val="24"/>
          <w:highlight w:val="none"/>
        </w:rPr>
        <w:t>软件）</w:t>
      </w:r>
    </w:p>
    <w:p w14:paraId="6E235924">
      <w:pPr>
        <w:adjustRightInd w:val="0"/>
        <w:snapToGrid w:val="0"/>
        <w:spacing w:line="360" w:lineRule="auto"/>
        <w:ind w:firstLine="420"/>
        <w:rPr>
          <w:color w:val="auto"/>
          <w:sz w:val="24"/>
          <w:highlight w:val="none"/>
        </w:rPr>
      </w:pPr>
      <w:r>
        <w:rPr>
          <w:color w:val="auto"/>
          <w:sz w:val="24"/>
          <w:highlight w:val="none"/>
        </w:rPr>
        <w:t>4.</w:t>
      </w:r>
      <w:r>
        <w:rPr>
          <w:rFonts w:hint="eastAsia"/>
          <w:color w:val="auto"/>
          <w:sz w:val="24"/>
          <w:highlight w:val="none"/>
        </w:rPr>
        <w:t>8</w:t>
      </w:r>
      <w:r>
        <w:rPr>
          <w:color w:val="auto"/>
          <w:sz w:val="24"/>
          <w:highlight w:val="none"/>
        </w:rPr>
        <w:t xml:space="preserve">.4 </w:t>
      </w:r>
      <w:r>
        <w:rPr>
          <w:rFonts w:hint="eastAsia"/>
          <w:color w:val="auto"/>
          <w:sz w:val="24"/>
          <w:highlight w:val="none"/>
        </w:rPr>
        <w:t>图谱库</w:t>
      </w:r>
      <w:r>
        <w:rPr>
          <w:color w:val="auto"/>
          <w:sz w:val="24"/>
          <w:highlight w:val="none"/>
        </w:rPr>
        <w:t>1</w:t>
      </w:r>
      <w:r>
        <w:rPr>
          <w:rFonts w:hint="eastAsia"/>
          <w:color w:val="auto"/>
          <w:sz w:val="24"/>
          <w:highlight w:val="none"/>
        </w:rPr>
        <w:t>套，不少于</w:t>
      </w:r>
      <w:r>
        <w:rPr>
          <w:color w:val="auto"/>
          <w:sz w:val="24"/>
          <w:highlight w:val="none"/>
        </w:rPr>
        <w:t>20</w:t>
      </w:r>
      <w:r>
        <w:rPr>
          <w:rFonts w:hint="eastAsia"/>
          <w:color w:val="auto"/>
          <w:sz w:val="24"/>
          <w:highlight w:val="none"/>
        </w:rPr>
        <w:t>万张</w:t>
      </w:r>
    </w:p>
    <w:p w14:paraId="23D5BDF1">
      <w:pPr>
        <w:adjustRightInd w:val="0"/>
        <w:snapToGrid w:val="0"/>
        <w:spacing w:line="360" w:lineRule="auto"/>
        <w:ind w:left="523" w:hanging="523" w:hangingChars="218"/>
        <w:rPr>
          <w:color w:val="auto"/>
          <w:sz w:val="24"/>
          <w:highlight w:val="none"/>
        </w:rPr>
      </w:pPr>
      <w:r>
        <w:rPr>
          <w:color w:val="auto"/>
          <w:sz w:val="24"/>
          <w:highlight w:val="none"/>
        </w:rPr>
        <w:t>4.</w:t>
      </w:r>
      <w:r>
        <w:rPr>
          <w:rFonts w:hint="eastAsia"/>
          <w:color w:val="auto"/>
          <w:sz w:val="24"/>
          <w:highlight w:val="none"/>
        </w:rPr>
        <w:t>9</w:t>
      </w:r>
      <w:r>
        <w:rPr>
          <w:color w:val="auto"/>
          <w:sz w:val="24"/>
          <w:highlight w:val="none"/>
        </w:rPr>
        <w:t xml:space="preserve"> </w:t>
      </w:r>
      <w:r>
        <w:rPr>
          <w:rFonts w:hint="eastAsia"/>
          <w:color w:val="auto"/>
          <w:sz w:val="24"/>
          <w:highlight w:val="none"/>
        </w:rPr>
        <w:t>其它保证仪器设备的正常运行和常规保养所需的附件、专用工具和消耗品。</w:t>
      </w:r>
    </w:p>
    <w:p w14:paraId="2E613FBC">
      <w:pPr>
        <w:adjustRightInd w:val="0"/>
        <w:snapToGrid w:val="0"/>
        <w:spacing w:line="360" w:lineRule="auto"/>
        <w:ind w:left="525" w:hanging="525" w:hangingChars="218"/>
        <w:rPr>
          <w:b/>
          <w:bCs/>
          <w:color w:val="auto"/>
          <w:sz w:val="24"/>
          <w:highlight w:val="none"/>
        </w:rPr>
      </w:pPr>
      <w:r>
        <w:rPr>
          <w:rFonts w:hint="eastAsia"/>
          <w:b/>
          <w:bCs/>
          <w:color w:val="auto"/>
          <w:sz w:val="24"/>
          <w:highlight w:val="none"/>
        </w:rPr>
        <w:t>电脑：</w:t>
      </w:r>
    </w:p>
    <w:p w14:paraId="3DE5F4AF">
      <w:pPr>
        <w:adjustRightInd w:val="0"/>
        <w:snapToGrid w:val="0"/>
        <w:spacing w:line="360" w:lineRule="auto"/>
        <w:rPr>
          <w:color w:val="auto"/>
          <w:sz w:val="24"/>
          <w:highlight w:val="none"/>
        </w:rPr>
      </w:pPr>
      <w:r>
        <w:rPr>
          <w:rFonts w:hint="eastAsia"/>
          <w:color w:val="auto"/>
          <w:sz w:val="24"/>
          <w:highlight w:val="none"/>
        </w:rPr>
        <w:t>4.10 电脑（电脑品牌机，i5或以上CPU，内存4G以上，正版64位中文专业版win10，22英寸液晶显示器）1套</w:t>
      </w:r>
    </w:p>
    <w:bookmarkEnd w:id="1"/>
    <w:p w14:paraId="5DEB049F">
      <w:pPr>
        <w:adjustRightInd w:val="0"/>
        <w:snapToGrid w:val="0"/>
        <w:spacing w:line="360" w:lineRule="auto"/>
        <w:rPr>
          <w:b/>
          <w:color w:val="auto"/>
          <w:sz w:val="24"/>
          <w:highlight w:val="none"/>
        </w:rPr>
      </w:pPr>
    </w:p>
    <w:p w14:paraId="672C8E70">
      <w:pPr>
        <w:tabs>
          <w:tab w:val="left" w:pos="540"/>
        </w:tabs>
        <w:adjustRightInd w:val="0"/>
        <w:snapToGrid w:val="0"/>
        <w:spacing w:line="360" w:lineRule="auto"/>
        <w:rPr>
          <w:b/>
          <w:color w:val="auto"/>
          <w:sz w:val="24"/>
          <w:highlight w:val="none"/>
        </w:rPr>
      </w:pPr>
      <w:r>
        <w:rPr>
          <w:rFonts w:hint="eastAsia"/>
          <w:b/>
          <w:color w:val="auto"/>
          <w:sz w:val="24"/>
          <w:highlight w:val="none"/>
        </w:rPr>
        <w:t>5.  技术文件：</w:t>
      </w:r>
    </w:p>
    <w:p w14:paraId="336149E9">
      <w:pPr>
        <w:adjustRightInd w:val="0"/>
        <w:snapToGrid w:val="0"/>
        <w:spacing w:line="360" w:lineRule="auto"/>
        <w:rPr>
          <w:color w:val="auto"/>
          <w:sz w:val="24"/>
          <w:highlight w:val="none"/>
        </w:rPr>
      </w:pPr>
      <w:r>
        <w:rPr>
          <w:rFonts w:hint="eastAsia"/>
          <w:color w:val="auto"/>
          <w:sz w:val="24"/>
          <w:highlight w:val="none"/>
        </w:rPr>
        <w:t>5.1 请参考总则第1.2条。</w:t>
      </w:r>
    </w:p>
    <w:p w14:paraId="365D46B6">
      <w:pPr>
        <w:adjustRightInd w:val="0"/>
        <w:snapToGrid w:val="0"/>
        <w:spacing w:line="360" w:lineRule="auto"/>
        <w:rPr>
          <w:color w:val="auto"/>
          <w:sz w:val="24"/>
          <w:highlight w:val="none"/>
        </w:rPr>
      </w:pPr>
      <w:r>
        <w:rPr>
          <w:rFonts w:hint="eastAsia"/>
          <w:color w:val="auto"/>
          <w:sz w:val="24"/>
          <w:highlight w:val="none"/>
        </w:rPr>
        <w:t>5.2 请参考总则第2.3条。</w:t>
      </w:r>
    </w:p>
    <w:bookmarkEnd w:id="3"/>
    <w:p w14:paraId="336E9081">
      <w:pPr>
        <w:adjustRightInd w:val="0"/>
        <w:snapToGrid w:val="0"/>
        <w:spacing w:line="360" w:lineRule="auto"/>
        <w:rPr>
          <w:color w:val="auto"/>
          <w:sz w:val="24"/>
          <w:highlight w:val="none"/>
        </w:rPr>
      </w:pPr>
    </w:p>
    <w:p w14:paraId="33AA7D48">
      <w:pPr>
        <w:adjustRightInd w:val="0"/>
        <w:snapToGrid w:val="0"/>
        <w:spacing w:line="360" w:lineRule="auto"/>
        <w:rPr>
          <w:b/>
          <w:color w:val="auto"/>
          <w:sz w:val="24"/>
          <w:highlight w:val="none"/>
        </w:rPr>
      </w:pPr>
      <w:r>
        <w:rPr>
          <w:rFonts w:hint="eastAsia"/>
          <w:b/>
          <w:color w:val="auto"/>
          <w:sz w:val="24"/>
          <w:highlight w:val="none"/>
        </w:rPr>
        <w:t>（二）质保及售后服务：</w:t>
      </w:r>
    </w:p>
    <w:p w14:paraId="2E94F385">
      <w:pPr>
        <w:adjustRightInd w:val="0"/>
        <w:snapToGrid w:val="0"/>
        <w:spacing w:line="360" w:lineRule="auto"/>
        <w:rPr>
          <w:color w:val="auto"/>
          <w:sz w:val="24"/>
          <w:highlight w:val="none"/>
        </w:rPr>
      </w:pPr>
      <w:r>
        <w:rPr>
          <w:rFonts w:hint="eastAsia"/>
          <w:color w:val="auto"/>
          <w:sz w:val="24"/>
          <w:highlight w:val="none"/>
        </w:rPr>
        <w:t>1.1 设备安装调试</w:t>
      </w:r>
    </w:p>
    <w:p w14:paraId="234F1048">
      <w:pPr>
        <w:adjustRightInd w:val="0"/>
        <w:snapToGrid w:val="0"/>
        <w:spacing w:line="360" w:lineRule="auto"/>
        <w:ind w:firstLine="480" w:firstLineChars="200"/>
        <w:rPr>
          <w:color w:val="auto"/>
          <w:sz w:val="24"/>
          <w:highlight w:val="none"/>
        </w:rPr>
      </w:pPr>
      <w:r>
        <w:rPr>
          <w:rFonts w:hint="eastAsia"/>
          <w:color w:val="auto"/>
          <w:sz w:val="24"/>
          <w:highlight w:val="none"/>
        </w:rPr>
        <w:t>1.1.1 设备交付后，需免费提供1次操作培训，时间为设备验收合格交付前和交付后客户现场。</w:t>
      </w:r>
    </w:p>
    <w:p w14:paraId="2B306144">
      <w:pPr>
        <w:adjustRightInd w:val="0"/>
        <w:snapToGrid w:val="0"/>
        <w:spacing w:line="360" w:lineRule="auto"/>
        <w:ind w:firstLine="480" w:firstLineChars="200"/>
        <w:rPr>
          <w:color w:val="auto"/>
          <w:sz w:val="24"/>
          <w:highlight w:val="none"/>
        </w:rPr>
      </w:pPr>
      <w:r>
        <w:rPr>
          <w:rFonts w:hint="eastAsia"/>
          <w:color w:val="auto"/>
          <w:sz w:val="24"/>
          <w:highlight w:val="none"/>
        </w:rPr>
        <w:t>1.1.2 安装验收期间，对用户进行仪器的基本操作和日常维护的现场培训，内容包括仪器原理，使用方法和维护方法等。</w:t>
      </w:r>
    </w:p>
    <w:p w14:paraId="7A102FA3">
      <w:pPr>
        <w:adjustRightInd w:val="0"/>
        <w:snapToGrid w:val="0"/>
        <w:spacing w:line="360" w:lineRule="auto"/>
        <w:rPr>
          <w:color w:val="auto"/>
          <w:sz w:val="24"/>
          <w:highlight w:val="none"/>
        </w:rPr>
      </w:pPr>
      <w:r>
        <w:rPr>
          <w:rFonts w:hint="eastAsia"/>
          <w:color w:val="auto"/>
          <w:sz w:val="24"/>
          <w:highlight w:val="none"/>
        </w:rPr>
        <w:t>1.2 技术培训：投标供应商须承诺提供该货物的技术培训、技术支持和维修巡检等服务。</w:t>
      </w:r>
    </w:p>
    <w:p w14:paraId="5A007A6C">
      <w:pPr>
        <w:adjustRightInd w:val="0"/>
        <w:snapToGrid w:val="0"/>
        <w:spacing w:line="360" w:lineRule="auto"/>
        <w:rPr>
          <w:color w:val="auto"/>
          <w:sz w:val="24"/>
          <w:highlight w:val="none"/>
        </w:rPr>
      </w:pPr>
      <w:r>
        <w:rPr>
          <w:rFonts w:hint="eastAsia"/>
          <w:color w:val="auto"/>
          <w:sz w:val="24"/>
          <w:highlight w:val="none"/>
        </w:rPr>
        <w:t>并在投标文件中提供相应书面方案。</w:t>
      </w:r>
    </w:p>
    <w:p w14:paraId="5F6564F6">
      <w:pPr>
        <w:adjustRightInd w:val="0"/>
        <w:snapToGrid w:val="0"/>
        <w:spacing w:line="360" w:lineRule="auto"/>
        <w:rPr>
          <w:color w:val="auto"/>
          <w:sz w:val="24"/>
          <w:highlight w:val="none"/>
        </w:rPr>
      </w:pPr>
      <w:r>
        <w:rPr>
          <w:rFonts w:hint="eastAsia"/>
          <w:color w:val="auto"/>
          <w:sz w:val="24"/>
          <w:highlight w:val="none"/>
        </w:rPr>
        <w:t>1.3 保修期</w:t>
      </w:r>
    </w:p>
    <w:p w14:paraId="4FDF2881">
      <w:pPr>
        <w:adjustRightInd w:val="0"/>
        <w:snapToGrid w:val="0"/>
        <w:spacing w:line="360" w:lineRule="auto"/>
        <w:ind w:firstLine="480" w:firstLineChars="200"/>
        <w:rPr>
          <w:color w:val="auto"/>
          <w:sz w:val="24"/>
          <w:highlight w:val="none"/>
        </w:rPr>
      </w:pPr>
      <w:r>
        <w:rPr>
          <w:rFonts w:hint="eastAsia"/>
          <w:color w:val="auto"/>
          <w:sz w:val="24"/>
          <w:highlight w:val="none"/>
        </w:rPr>
        <w:t>1.3.1 质量保证期：自交货验收完毕之日算起，设备质保1年。投标供应商对提供的货物及服务在质量保证期内，因设备质量而导致的缺陷，必须免费提供包修、包换、包退服务；因此导致的损失，采购单位有权向成交供应商追偿。</w:t>
      </w:r>
    </w:p>
    <w:p w14:paraId="3F21AF5C">
      <w:pPr>
        <w:adjustRightInd w:val="0"/>
        <w:snapToGrid w:val="0"/>
        <w:spacing w:line="360" w:lineRule="auto"/>
        <w:ind w:firstLine="480" w:firstLineChars="200"/>
        <w:rPr>
          <w:color w:val="auto"/>
          <w:sz w:val="24"/>
          <w:highlight w:val="none"/>
        </w:rPr>
      </w:pPr>
      <w:r>
        <w:rPr>
          <w:rFonts w:hint="eastAsia"/>
          <w:color w:val="auto"/>
          <w:sz w:val="24"/>
          <w:highlight w:val="none"/>
        </w:rPr>
        <w:t>1.3.2 所有设备产品提供全寿命维修，质保期之后按照市场价格由采购单位支付维修所产生的费用。</w:t>
      </w:r>
    </w:p>
    <w:p w14:paraId="0A5135BD">
      <w:pPr>
        <w:adjustRightInd w:val="0"/>
        <w:snapToGrid w:val="0"/>
        <w:spacing w:line="360" w:lineRule="auto"/>
        <w:rPr>
          <w:color w:val="auto"/>
          <w:sz w:val="24"/>
          <w:highlight w:val="none"/>
        </w:rPr>
      </w:pPr>
      <w:r>
        <w:rPr>
          <w:rFonts w:hint="eastAsia"/>
          <w:color w:val="auto"/>
          <w:sz w:val="24"/>
          <w:highlight w:val="none"/>
        </w:rPr>
        <w:t>1.4 维修响应时间：投标供应商须承诺，对售后服务需提供 7x24 小时响应，48小时内到达现场实施维修。48小时仍未排除故障、恢复正常运转的，由投标供应商提供同类型备品、备件等。</w:t>
      </w:r>
    </w:p>
    <w:p w14:paraId="68875AEA">
      <w:pPr>
        <w:adjustRightInd w:val="0"/>
        <w:snapToGrid w:val="0"/>
        <w:spacing w:line="360" w:lineRule="auto"/>
        <w:rPr>
          <w:color w:val="auto"/>
          <w:sz w:val="24"/>
          <w:highlight w:val="none"/>
        </w:rPr>
      </w:pPr>
      <w:r>
        <w:rPr>
          <w:rFonts w:hint="eastAsia"/>
          <w:color w:val="auto"/>
          <w:sz w:val="24"/>
          <w:highlight w:val="none"/>
        </w:rPr>
        <w:t>1.5 本系统所有元器件不得存在国外禁用、产权纠纷等问题，具有稳定的供货渠道和质量保证。</w:t>
      </w:r>
    </w:p>
    <w:p w14:paraId="2BB7B93F">
      <w:pPr>
        <w:adjustRightInd w:val="0"/>
        <w:snapToGrid w:val="0"/>
        <w:spacing w:line="360" w:lineRule="auto"/>
        <w:rPr>
          <w:color w:val="auto"/>
          <w:sz w:val="24"/>
          <w:highlight w:val="none"/>
        </w:rPr>
      </w:pPr>
      <w:r>
        <w:rPr>
          <w:rFonts w:hint="eastAsia"/>
          <w:color w:val="auto"/>
          <w:sz w:val="24"/>
          <w:highlight w:val="none"/>
        </w:rPr>
        <w:t>1.6 在中国境内有专门负责的经验丰富的维修工程师和在中国境内应有专门的技术应用支持工程师。保修期后，保证长期供应零备件和正常的售后服务。在国内的技术服务中心（包括维修中心）或消耗品代理商应当提供所有的服务，包括备用零配件及消耗品。</w:t>
      </w:r>
    </w:p>
    <w:p w14:paraId="424A717D">
      <w:pPr>
        <w:adjustRightInd w:val="0"/>
        <w:snapToGrid w:val="0"/>
        <w:spacing w:line="360" w:lineRule="auto"/>
        <w:rPr>
          <w:b/>
          <w:color w:val="auto"/>
          <w:sz w:val="24"/>
          <w:highlight w:val="none"/>
        </w:rPr>
      </w:pPr>
    </w:p>
    <w:p w14:paraId="3CF0ACD1">
      <w:pPr>
        <w:adjustRightInd w:val="0"/>
        <w:snapToGrid w:val="0"/>
        <w:spacing w:line="360" w:lineRule="auto"/>
        <w:rPr>
          <w:b/>
          <w:color w:val="auto"/>
          <w:sz w:val="24"/>
          <w:highlight w:val="none"/>
        </w:rPr>
      </w:pPr>
      <w:r>
        <w:rPr>
          <w:rFonts w:hint="eastAsia"/>
          <w:b/>
          <w:color w:val="auto"/>
          <w:sz w:val="24"/>
          <w:highlight w:val="none"/>
        </w:rPr>
        <w:t>（三） 订货数量：</w:t>
      </w:r>
    </w:p>
    <w:p w14:paraId="782290AF">
      <w:pPr>
        <w:adjustRightInd w:val="0"/>
        <w:snapToGrid w:val="0"/>
        <w:spacing w:line="360" w:lineRule="auto"/>
        <w:ind w:firstLine="480" w:firstLineChars="200"/>
        <w:rPr>
          <w:color w:val="auto"/>
          <w:sz w:val="24"/>
          <w:highlight w:val="none"/>
        </w:rPr>
      </w:pPr>
      <w:r>
        <w:rPr>
          <w:rFonts w:hint="eastAsia"/>
          <w:color w:val="auto"/>
          <w:sz w:val="24"/>
          <w:highlight w:val="none"/>
        </w:rPr>
        <w:t>1套</w:t>
      </w:r>
    </w:p>
    <w:p w14:paraId="611583B5">
      <w:pPr>
        <w:adjustRightInd w:val="0"/>
        <w:snapToGrid w:val="0"/>
        <w:spacing w:line="360" w:lineRule="auto"/>
        <w:rPr>
          <w:color w:val="auto"/>
          <w:sz w:val="24"/>
          <w:highlight w:val="none"/>
        </w:rPr>
      </w:pPr>
    </w:p>
    <w:p w14:paraId="116A9398">
      <w:pPr>
        <w:adjustRightInd w:val="0"/>
        <w:snapToGrid w:val="0"/>
        <w:spacing w:line="360" w:lineRule="auto"/>
        <w:rPr>
          <w:b/>
          <w:color w:val="auto"/>
          <w:sz w:val="24"/>
          <w:highlight w:val="none"/>
        </w:rPr>
      </w:pPr>
      <w:r>
        <w:rPr>
          <w:rFonts w:hint="eastAsia"/>
          <w:b/>
          <w:color w:val="auto"/>
          <w:sz w:val="24"/>
          <w:highlight w:val="none"/>
        </w:rPr>
        <w:t>（四） 交货地：</w:t>
      </w:r>
    </w:p>
    <w:p w14:paraId="40ACE3B8">
      <w:pPr>
        <w:adjustRightInd w:val="0"/>
        <w:snapToGrid w:val="0"/>
        <w:spacing w:line="360" w:lineRule="auto"/>
        <w:ind w:firstLine="480" w:firstLineChars="200"/>
        <w:rPr>
          <w:color w:val="auto"/>
          <w:sz w:val="24"/>
          <w:highlight w:val="none"/>
        </w:rPr>
      </w:pPr>
      <w:r>
        <w:rPr>
          <w:rFonts w:hint="eastAsia"/>
          <w:color w:val="auto"/>
          <w:sz w:val="24"/>
          <w:highlight w:val="none"/>
        </w:rPr>
        <w:t>用户指定地点。</w:t>
      </w:r>
    </w:p>
    <w:p w14:paraId="43A8D7D8">
      <w:pPr>
        <w:adjustRightInd w:val="0"/>
        <w:snapToGrid w:val="0"/>
        <w:spacing w:line="360" w:lineRule="auto"/>
        <w:rPr>
          <w:color w:val="auto"/>
          <w:sz w:val="24"/>
          <w:highlight w:val="none"/>
        </w:rPr>
      </w:pPr>
    </w:p>
    <w:p w14:paraId="3F6D56AE">
      <w:pPr>
        <w:numPr>
          <w:ilvl w:val="0"/>
          <w:numId w:val="3"/>
        </w:numPr>
        <w:adjustRightInd w:val="0"/>
        <w:snapToGrid w:val="0"/>
        <w:spacing w:line="360" w:lineRule="auto"/>
        <w:rPr>
          <w:b/>
          <w:color w:val="auto"/>
          <w:sz w:val="24"/>
          <w:highlight w:val="none"/>
        </w:rPr>
      </w:pPr>
      <w:r>
        <w:rPr>
          <w:rFonts w:hint="eastAsia"/>
          <w:b/>
          <w:color w:val="auto"/>
          <w:sz w:val="24"/>
          <w:highlight w:val="none"/>
        </w:rPr>
        <w:t>交货日期：</w:t>
      </w:r>
    </w:p>
    <w:p w14:paraId="60A3298D">
      <w:pPr>
        <w:adjustRightInd w:val="0"/>
        <w:snapToGrid w:val="0"/>
        <w:spacing w:line="360" w:lineRule="auto"/>
        <w:ind w:firstLine="480" w:firstLineChars="200"/>
        <w:rPr>
          <w:color w:val="auto"/>
          <w:sz w:val="24"/>
          <w:highlight w:val="none"/>
        </w:rPr>
      </w:pPr>
      <w:r>
        <w:rPr>
          <w:rFonts w:hint="eastAsia"/>
          <w:color w:val="auto"/>
          <w:sz w:val="24"/>
          <w:highlight w:val="none"/>
        </w:rPr>
        <w:t>合同签订后3个月到货。</w:t>
      </w:r>
    </w:p>
    <w:p w14:paraId="6E7DE5FA">
      <w:pPr>
        <w:adjustRightInd w:val="0"/>
        <w:snapToGrid w:val="0"/>
        <w:spacing w:line="360" w:lineRule="auto"/>
        <w:rPr>
          <w:color w:val="auto"/>
          <w:sz w:val="24"/>
          <w:highlight w:val="none"/>
        </w:rPr>
      </w:pPr>
    </w:p>
    <w:p w14:paraId="6EECAD44">
      <w:pPr>
        <w:numPr>
          <w:ilvl w:val="0"/>
          <w:numId w:val="3"/>
        </w:numPr>
        <w:adjustRightInd w:val="0"/>
        <w:snapToGrid w:val="0"/>
        <w:spacing w:line="360" w:lineRule="auto"/>
        <w:rPr>
          <w:b/>
          <w:color w:val="auto"/>
          <w:sz w:val="24"/>
          <w:highlight w:val="none"/>
        </w:rPr>
      </w:pPr>
      <w:r>
        <w:rPr>
          <w:rFonts w:hint="eastAsia"/>
          <w:b/>
          <w:color w:val="auto"/>
          <w:sz w:val="24"/>
          <w:highlight w:val="none"/>
        </w:rPr>
        <w:t>执行的相关标准：</w:t>
      </w:r>
    </w:p>
    <w:p w14:paraId="76004FA1">
      <w:pPr>
        <w:adjustRightInd w:val="0"/>
        <w:snapToGrid w:val="0"/>
        <w:spacing w:line="360" w:lineRule="auto"/>
        <w:ind w:firstLine="480" w:firstLineChars="200"/>
        <w:rPr>
          <w:color w:val="auto"/>
          <w:sz w:val="24"/>
          <w:highlight w:val="none"/>
        </w:rPr>
      </w:pPr>
      <w:r>
        <w:rPr>
          <w:rFonts w:hint="eastAsia"/>
          <w:color w:val="auto"/>
          <w:sz w:val="24"/>
          <w:highlight w:val="none"/>
        </w:rPr>
        <w:t>满足DIN 51004；JJF 1319-2011。</w:t>
      </w:r>
    </w:p>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长城仿宋">
    <w:altName w:val="仿宋"/>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inherit">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ime of new roman">
    <w:altName w:val="微软雅黑"/>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80FCF">
    <w:pPr>
      <w:pStyle w:val="21"/>
      <w:jc w:val="center"/>
    </w:pPr>
    <w:r>
      <w:fldChar w:fldCharType="begin"/>
    </w:r>
    <w:r>
      <w:instrText xml:space="preserve">PAGE   \* MERGEFORMAT</w:instrText>
    </w:r>
    <w:r>
      <w:fldChar w:fldCharType="separate"/>
    </w:r>
    <w:r>
      <w:rPr>
        <w:lang w:val="zh-CN"/>
      </w:rPr>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F4A53">
    <w:pPr>
      <w:pStyle w:val="2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C7C0A">
    <w:pPr>
      <w:pStyle w:val="22"/>
      <w:jc w:val="both"/>
    </w:pPr>
    <w:r>
      <w:rPr>
        <w:rFonts w:hint="eastAsia"/>
        <w:i/>
      </w:rPr>
      <w:t>东方国际招标有限责任公司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3E494D"/>
    <w:multiLevelType w:val="singleLevel"/>
    <w:tmpl w:val="AA3E494D"/>
    <w:lvl w:ilvl="0" w:tentative="0">
      <w:start w:val="5"/>
      <w:numFmt w:val="chineseCounting"/>
      <w:suff w:val="space"/>
      <w:lvlText w:val="（%1）"/>
      <w:lvlJc w:val="left"/>
      <w:rPr>
        <w:rFonts w:hint="eastAsia"/>
      </w:rPr>
    </w:lvl>
  </w:abstractNum>
  <w:abstractNum w:abstractNumId="1">
    <w:nsid w:val="D785B104"/>
    <w:multiLevelType w:val="singleLevel"/>
    <w:tmpl w:val="D785B104"/>
    <w:lvl w:ilvl="0" w:tentative="0">
      <w:start w:val="1"/>
      <w:numFmt w:val="chineseCounting"/>
      <w:suff w:val="nothing"/>
      <w:lvlText w:val="（%1）"/>
      <w:lvlJc w:val="left"/>
      <w:rPr>
        <w:rFonts w:hint="eastAsia"/>
      </w:rPr>
    </w:lvl>
  </w:abstractNum>
  <w:abstractNum w:abstractNumId="2">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E4NzdlZGU5MzMwZmQwMTQwY2ViYTFlNWQ5ZGM5ZTYifQ=="/>
  </w:docVars>
  <w:rsids>
    <w:rsidRoot w:val="00FA3835"/>
    <w:rsid w:val="000050A2"/>
    <w:rsid w:val="000206C1"/>
    <w:rsid w:val="00027C8D"/>
    <w:rsid w:val="00040005"/>
    <w:rsid w:val="000543E7"/>
    <w:rsid w:val="0006010D"/>
    <w:rsid w:val="000668DC"/>
    <w:rsid w:val="00081ADD"/>
    <w:rsid w:val="00085052"/>
    <w:rsid w:val="000922AF"/>
    <w:rsid w:val="000969BB"/>
    <w:rsid w:val="000973D2"/>
    <w:rsid w:val="000B12EC"/>
    <w:rsid w:val="000B59FC"/>
    <w:rsid w:val="000B636A"/>
    <w:rsid w:val="000C1F98"/>
    <w:rsid w:val="000C325D"/>
    <w:rsid w:val="000C505C"/>
    <w:rsid w:val="000D1A3C"/>
    <w:rsid w:val="000E0B0C"/>
    <w:rsid w:val="000E17D4"/>
    <w:rsid w:val="000E4DA9"/>
    <w:rsid w:val="000F0512"/>
    <w:rsid w:val="000F4571"/>
    <w:rsid w:val="00103352"/>
    <w:rsid w:val="00105333"/>
    <w:rsid w:val="00105949"/>
    <w:rsid w:val="00107AF4"/>
    <w:rsid w:val="001140D0"/>
    <w:rsid w:val="001235CA"/>
    <w:rsid w:val="00137D93"/>
    <w:rsid w:val="00140E76"/>
    <w:rsid w:val="001437EA"/>
    <w:rsid w:val="00144505"/>
    <w:rsid w:val="00144DDA"/>
    <w:rsid w:val="0014761F"/>
    <w:rsid w:val="00153F11"/>
    <w:rsid w:val="00154F47"/>
    <w:rsid w:val="00155A34"/>
    <w:rsid w:val="00164E27"/>
    <w:rsid w:val="00187304"/>
    <w:rsid w:val="001921CA"/>
    <w:rsid w:val="00194900"/>
    <w:rsid w:val="001A0E56"/>
    <w:rsid w:val="001A6E63"/>
    <w:rsid w:val="001B195C"/>
    <w:rsid w:val="001B5C65"/>
    <w:rsid w:val="001B62CC"/>
    <w:rsid w:val="001B66E1"/>
    <w:rsid w:val="001B6E57"/>
    <w:rsid w:val="001D67C6"/>
    <w:rsid w:val="001D7301"/>
    <w:rsid w:val="001E1467"/>
    <w:rsid w:val="001E152C"/>
    <w:rsid w:val="001E3480"/>
    <w:rsid w:val="001F18B7"/>
    <w:rsid w:val="001F1D2B"/>
    <w:rsid w:val="001F5FAD"/>
    <w:rsid w:val="001F79B6"/>
    <w:rsid w:val="002024C7"/>
    <w:rsid w:val="00206639"/>
    <w:rsid w:val="0021259E"/>
    <w:rsid w:val="00213C28"/>
    <w:rsid w:val="002208E1"/>
    <w:rsid w:val="00224FE7"/>
    <w:rsid w:val="0023013E"/>
    <w:rsid w:val="00233C8A"/>
    <w:rsid w:val="0023407F"/>
    <w:rsid w:val="00240E7B"/>
    <w:rsid w:val="00247ED0"/>
    <w:rsid w:val="00251DB7"/>
    <w:rsid w:val="00275598"/>
    <w:rsid w:val="002761A3"/>
    <w:rsid w:val="0028124D"/>
    <w:rsid w:val="00282A80"/>
    <w:rsid w:val="00282F14"/>
    <w:rsid w:val="00292E0B"/>
    <w:rsid w:val="00293D1D"/>
    <w:rsid w:val="002A05BB"/>
    <w:rsid w:val="002B44BD"/>
    <w:rsid w:val="002B6E7A"/>
    <w:rsid w:val="002B7380"/>
    <w:rsid w:val="002D5C47"/>
    <w:rsid w:val="002E03AA"/>
    <w:rsid w:val="002E6A76"/>
    <w:rsid w:val="002F1704"/>
    <w:rsid w:val="002F239F"/>
    <w:rsid w:val="002F6FCA"/>
    <w:rsid w:val="002F7EF8"/>
    <w:rsid w:val="00301191"/>
    <w:rsid w:val="00316BEC"/>
    <w:rsid w:val="00322611"/>
    <w:rsid w:val="003248D5"/>
    <w:rsid w:val="00326D72"/>
    <w:rsid w:val="0033189B"/>
    <w:rsid w:val="003442AE"/>
    <w:rsid w:val="0034443A"/>
    <w:rsid w:val="003474B8"/>
    <w:rsid w:val="00353E66"/>
    <w:rsid w:val="00357C16"/>
    <w:rsid w:val="003637C6"/>
    <w:rsid w:val="003654F9"/>
    <w:rsid w:val="003725C3"/>
    <w:rsid w:val="003732CC"/>
    <w:rsid w:val="00373B63"/>
    <w:rsid w:val="00374F9A"/>
    <w:rsid w:val="003752C8"/>
    <w:rsid w:val="00382C0C"/>
    <w:rsid w:val="00384D29"/>
    <w:rsid w:val="00397F24"/>
    <w:rsid w:val="003A298A"/>
    <w:rsid w:val="003B4F45"/>
    <w:rsid w:val="003B6193"/>
    <w:rsid w:val="003C172D"/>
    <w:rsid w:val="003C7092"/>
    <w:rsid w:val="003C785A"/>
    <w:rsid w:val="003D2B81"/>
    <w:rsid w:val="003F5F7A"/>
    <w:rsid w:val="003F76EE"/>
    <w:rsid w:val="004043A2"/>
    <w:rsid w:val="00404EA5"/>
    <w:rsid w:val="00415144"/>
    <w:rsid w:val="00420D92"/>
    <w:rsid w:val="0042297A"/>
    <w:rsid w:val="004362C7"/>
    <w:rsid w:val="0044106E"/>
    <w:rsid w:val="00446E68"/>
    <w:rsid w:val="00447503"/>
    <w:rsid w:val="0045465F"/>
    <w:rsid w:val="00456B20"/>
    <w:rsid w:val="0046038A"/>
    <w:rsid w:val="00471176"/>
    <w:rsid w:val="00484FF8"/>
    <w:rsid w:val="00491CC1"/>
    <w:rsid w:val="00494102"/>
    <w:rsid w:val="004A0EB1"/>
    <w:rsid w:val="004A3B49"/>
    <w:rsid w:val="004A5C14"/>
    <w:rsid w:val="004B3476"/>
    <w:rsid w:val="004B36B8"/>
    <w:rsid w:val="004B7C30"/>
    <w:rsid w:val="004C387C"/>
    <w:rsid w:val="004D0AB9"/>
    <w:rsid w:val="004D175F"/>
    <w:rsid w:val="004E042A"/>
    <w:rsid w:val="004E4504"/>
    <w:rsid w:val="004F0FDE"/>
    <w:rsid w:val="004F3E07"/>
    <w:rsid w:val="00504FD3"/>
    <w:rsid w:val="00512882"/>
    <w:rsid w:val="005134AD"/>
    <w:rsid w:val="005143FF"/>
    <w:rsid w:val="00516FEB"/>
    <w:rsid w:val="005244F5"/>
    <w:rsid w:val="00524665"/>
    <w:rsid w:val="005333F9"/>
    <w:rsid w:val="00543C0A"/>
    <w:rsid w:val="0054699B"/>
    <w:rsid w:val="005515EB"/>
    <w:rsid w:val="0055226E"/>
    <w:rsid w:val="00552E7C"/>
    <w:rsid w:val="005601D0"/>
    <w:rsid w:val="005613B2"/>
    <w:rsid w:val="0056304A"/>
    <w:rsid w:val="005656BB"/>
    <w:rsid w:val="0057066D"/>
    <w:rsid w:val="00572671"/>
    <w:rsid w:val="00590BEF"/>
    <w:rsid w:val="00591688"/>
    <w:rsid w:val="005916DF"/>
    <w:rsid w:val="00595627"/>
    <w:rsid w:val="00595D3F"/>
    <w:rsid w:val="00595EAC"/>
    <w:rsid w:val="005A2F5B"/>
    <w:rsid w:val="005A52D6"/>
    <w:rsid w:val="005C574A"/>
    <w:rsid w:val="005D09A0"/>
    <w:rsid w:val="005D479D"/>
    <w:rsid w:val="005E416B"/>
    <w:rsid w:val="005E7A21"/>
    <w:rsid w:val="005F24B2"/>
    <w:rsid w:val="0060103A"/>
    <w:rsid w:val="00601EE6"/>
    <w:rsid w:val="00602911"/>
    <w:rsid w:val="00602A7A"/>
    <w:rsid w:val="0060509A"/>
    <w:rsid w:val="006125F5"/>
    <w:rsid w:val="00612A9B"/>
    <w:rsid w:val="00614D00"/>
    <w:rsid w:val="006225E2"/>
    <w:rsid w:val="0062676A"/>
    <w:rsid w:val="00640DB1"/>
    <w:rsid w:val="006416E9"/>
    <w:rsid w:val="00641A23"/>
    <w:rsid w:val="0064545D"/>
    <w:rsid w:val="00646C82"/>
    <w:rsid w:val="00647CD5"/>
    <w:rsid w:val="006548A6"/>
    <w:rsid w:val="00655478"/>
    <w:rsid w:val="00655B80"/>
    <w:rsid w:val="00660515"/>
    <w:rsid w:val="00664D7F"/>
    <w:rsid w:val="006713CD"/>
    <w:rsid w:val="00673E97"/>
    <w:rsid w:val="006810E3"/>
    <w:rsid w:val="00681C84"/>
    <w:rsid w:val="006A377B"/>
    <w:rsid w:val="006A6511"/>
    <w:rsid w:val="006B0930"/>
    <w:rsid w:val="006C1EC0"/>
    <w:rsid w:val="006C4384"/>
    <w:rsid w:val="006C5135"/>
    <w:rsid w:val="006C546E"/>
    <w:rsid w:val="006D29F2"/>
    <w:rsid w:val="006E2DE0"/>
    <w:rsid w:val="006E5A8E"/>
    <w:rsid w:val="006E7CE4"/>
    <w:rsid w:val="0070081C"/>
    <w:rsid w:val="0071653B"/>
    <w:rsid w:val="00721985"/>
    <w:rsid w:val="00724C84"/>
    <w:rsid w:val="007252A8"/>
    <w:rsid w:val="00725C0A"/>
    <w:rsid w:val="00726300"/>
    <w:rsid w:val="0073119D"/>
    <w:rsid w:val="0073199C"/>
    <w:rsid w:val="007376B0"/>
    <w:rsid w:val="00740508"/>
    <w:rsid w:val="00740A78"/>
    <w:rsid w:val="00741A82"/>
    <w:rsid w:val="00743776"/>
    <w:rsid w:val="00751428"/>
    <w:rsid w:val="00753063"/>
    <w:rsid w:val="0075674B"/>
    <w:rsid w:val="00761F2B"/>
    <w:rsid w:val="00762D39"/>
    <w:rsid w:val="00763B74"/>
    <w:rsid w:val="007731D0"/>
    <w:rsid w:val="00775B16"/>
    <w:rsid w:val="00785A0A"/>
    <w:rsid w:val="00786491"/>
    <w:rsid w:val="00787CED"/>
    <w:rsid w:val="007905E0"/>
    <w:rsid w:val="0079112E"/>
    <w:rsid w:val="00791C1F"/>
    <w:rsid w:val="00792DB2"/>
    <w:rsid w:val="007967F8"/>
    <w:rsid w:val="007A3772"/>
    <w:rsid w:val="007A3CCF"/>
    <w:rsid w:val="007A7718"/>
    <w:rsid w:val="007C2696"/>
    <w:rsid w:val="007C4C31"/>
    <w:rsid w:val="007C5EA5"/>
    <w:rsid w:val="007D381E"/>
    <w:rsid w:val="007D3EE2"/>
    <w:rsid w:val="007E03CA"/>
    <w:rsid w:val="007E5775"/>
    <w:rsid w:val="007E6193"/>
    <w:rsid w:val="007E67CC"/>
    <w:rsid w:val="007F2F97"/>
    <w:rsid w:val="007F387D"/>
    <w:rsid w:val="007F7152"/>
    <w:rsid w:val="008029F6"/>
    <w:rsid w:val="008203E6"/>
    <w:rsid w:val="00822633"/>
    <w:rsid w:val="00830107"/>
    <w:rsid w:val="00831B02"/>
    <w:rsid w:val="00833174"/>
    <w:rsid w:val="00842553"/>
    <w:rsid w:val="00846609"/>
    <w:rsid w:val="00851370"/>
    <w:rsid w:val="00852958"/>
    <w:rsid w:val="00864F77"/>
    <w:rsid w:val="008661F8"/>
    <w:rsid w:val="008712FA"/>
    <w:rsid w:val="00876AA9"/>
    <w:rsid w:val="00876EFF"/>
    <w:rsid w:val="008823EF"/>
    <w:rsid w:val="00883AB2"/>
    <w:rsid w:val="008861B2"/>
    <w:rsid w:val="0089155D"/>
    <w:rsid w:val="00896377"/>
    <w:rsid w:val="008A09F5"/>
    <w:rsid w:val="008A4B18"/>
    <w:rsid w:val="008A738C"/>
    <w:rsid w:val="008B2645"/>
    <w:rsid w:val="008C36D3"/>
    <w:rsid w:val="008D0675"/>
    <w:rsid w:val="008D1425"/>
    <w:rsid w:val="008D3BC8"/>
    <w:rsid w:val="008D6F23"/>
    <w:rsid w:val="008E5316"/>
    <w:rsid w:val="008E5EB5"/>
    <w:rsid w:val="008F04C7"/>
    <w:rsid w:val="008F21A5"/>
    <w:rsid w:val="008F2440"/>
    <w:rsid w:val="00914619"/>
    <w:rsid w:val="009202C8"/>
    <w:rsid w:val="009246BA"/>
    <w:rsid w:val="0093012E"/>
    <w:rsid w:val="00930CDE"/>
    <w:rsid w:val="00935AA1"/>
    <w:rsid w:val="00944891"/>
    <w:rsid w:val="009451DC"/>
    <w:rsid w:val="009467F2"/>
    <w:rsid w:val="0095655E"/>
    <w:rsid w:val="009718ED"/>
    <w:rsid w:val="0097297B"/>
    <w:rsid w:val="0098154C"/>
    <w:rsid w:val="0098549E"/>
    <w:rsid w:val="009857EF"/>
    <w:rsid w:val="009941D8"/>
    <w:rsid w:val="00995597"/>
    <w:rsid w:val="009A2C18"/>
    <w:rsid w:val="009C0A0B"/>
    <w:rsid w:val="009C14BD"/>
    <w:rsid w:val="009C621D"/>
    <w:rsid w:val="009D1AF8"/>
    <w:rsid w:val="009E1C84"/>
    <w:rsid w:val="009E32D4"/>
    <w:rsid w:val="009E4080"/>
    <w:rsid w:val="009E46CF"/>
    <w:rsid w:val="009E4DCB"/>
    <w:rsid w:val="009E580F"/>
    <w:rsid w:val="009E5FCF"/>
    <w:rsid w:val="009F5A6A"/>
    <w:rsid w:val="00A0205F"/>
    <w:rsid w:val="00A04E9D"/>
    <w:rsid w:val="00A06893"/>
    <w:rsid w:val="00A12E15"/>
    <w:rsid w:val="00A21886"/>
    <w:rsid w:val="00A25682"/>
    <w:rsid w:val="00A2638C"/>
    <w:rsid w:val="00A27417"/>
    <w:rsid w:val="00A27AFD"/>
    <w:rsid w:val="00A354A8"/>
    <w:rsid w:val="00A4031E"/>
    <w:rsid w:val="00A432E0"/>
    <w:rsid w:val="00A44A2B"/>
    <w:rsid w:val="00A46F60"/>
    <w:rsid w:val="00A51826"/>
    <w:rsid w:val="00A53234"/>
    <w:rsid w:val="00A55E4D"/>
    <w:rsid w:val="00A57F47"/>
    <w:rsid w:val="00A870BB"/>
    <w:rsid w:val="00A944DF"/>
    <w:rsid w:val="00AA7A0D"/>
    <w:rsid w:val="00AB113B"/>
    <w:rsid w:val="00AD2FD2"/>
    <w:rsid w:val="00AD41E6"/>
    <w:rsid w:val="00AD4ECF"/>
    <w:rsid w:val="00AD70C8"/>
    <w:rsid w:val="00AF6067"/>
    <w:rsid w:val="00B0445C"/>
    <w:rsid w:val="00B07AAD"/>
    <w:rsid w:val="00B13E9B"/>
    <w:rsid w:val="00B15273"/>
    <w:rsid w:val="00B16887"/>
    <w:rsid w:val="00B1746F"/>
    <w:rsid w:val="00B27A2B"/>
    <w:rsid w:val="00B31F00"/>
    <w:rsid w:val="00B34A3D"/>
    <w:rsid w:val="00B351A2"/>
    <w:rsid w:val="00B41959"/>
    <w:rsid w:val="00B42C18"/>
    <w:rsid w:val="00B43CF7"/>
    <w:rsid w:val="00B44327"/>
    <w:rsid w:val="00B53944"/>
    <w:rsid w:val="00B61FDD"/>
    <w:rsid w:val="00B75B80"/>
    <w:rsid w:val="00B81149"/>
    <w:rsid w:val="00B8672D"/>
    <w:rsid w:val="00B94FB1"/>
    <w:rsid w:val="00BC4B24"/>
    <w:rsid w:val="00BC7FBC"/>
    <w:rsid w:val="00BD11D6"/>
    <w:rsid w:val="00BD2A3B"/>
    <w:rsid w:val="00BD646D"/>
    <w:rsid w:val="00BD6A33"/>
    <w:rsid w:val="00BD7ED0"/>
    <w:rsid w:val="00BE35E1"/>
    <w:rsid w:val="00BE5E06"/>
    <w:rsid w:val="00BE643E"/>
    <w:rsid w:val="00BE7CED"/>
    <w:rsid w:val="00BF59BF"/>
    <w:rsid w:val="00C019B6"/>
    <w:rsid w:val="00C056B5"/>
    <w:rsid w:val="00C10630"/>
    <w:rsid w:val="00C12939"/>
    <w:rsid w:val="00C132D4"/>
    <w:rsid w:val="00C132FC"/>
    <w:rsid w:val="00C14E3B"/>
    <w:rsid w:val="00C23BA4"/>
    <w:rsid w:val="00C241B2"/>
    <w:rsid w:val="00C34485"/>
    <w:rsid w:val="00C40AB3"/>
    <w:rsid w:val="00C43805"/>
    <w:rsid w:val="00C43E24"/>
    <w:rsid w:val="00C45235"/>
    <w:rsid w:val="00C60EF2"/>
    <w:rsid w:val="00C615B2"/>
    <w:rsid w:val="00C63F0E"/>
    <w:rsid w:val="00C702F0"/>
    <w:rsid w:val="00C72836"/>
    <w:rsid w:val="00C74553"/>
    <w:rsid w:val="00C8112C"/>
    <w:rsid w:val="00C87EF4"/>
    <w:rsid w:val="00CA510C"/>
    <w:rsid w:val="00CA623E"/>
    <w:rsid w:val="00CA630F"/>
    <w:rsid w:val="00CB4EB2"/>
    <w:rsid w:val="00CB7A41"/>
    <w:rsid w:val="00CC2250"/>
    <w:rsid w:val="00CC7A0B"/>
    <w:rsid w:val="00CD64CD"/>
    <w:rsid w:val="00CE2041"/>
    <w:rsid w:val="00CE3059"/>
    <w:rsid w:val="00CE4960"/>
    <w:rsid w:val="00CE56FA"/>
    <w:rsid w:val="00CF0912"/>
    <w:rsid w:val="00CF3831"/>
    <w:rsid w:val="00D0060C"/>
    <w:rsid w:val="00D027B8"/>
    <w:rsid w:val="00D04134"/>
    <w:rsid w:val="00D0571C"/>
    <w:rsid w:val="00D0679B"/>
    <w:rsid w:val="00D11879"/>
    <w:rsid w:val="00D12547"/>
    <w:rsid w:val="00D12FEB"/>
    <w:rsid w:val="00D22D44"/>
    <w:rsid w:val="00D378BA"/>
    <w:rsid w:val="00D40668"/>
    <w:rsid w:val="00D47C2A"/>
    <w:rsid w:val="00D514D9"/>
    <w:rsid w:val="00D605B1"/>
    <w:rsid w:val="00D6263A"/>
    <w:rsid w:val="00D75F69"/>
    <w:rsid w:val="00D778D7"/>
    <w:rsid w:val="00D83934"/>
    <w:rsid w:val="00D861C3"/>
    <w:rsid w:val="00D91A0C"/>
    <w:rsid w:val="00D9239C"/>
    <w:rsid w:val="00D95955"/>
    <w:rsid w:val="00D979AB"/>
    <w:rsid w:val="00DA5817"/>
    <w:rsid w:val="00DA590C"/>
    <w:rsid w:val="00DA703D"/>
    <w:rsid w:val="00DB54CF"/>
    <w:rsid w:val="00DC1546"/>
    <w:rsid w:val="00DC6502"/>
    <w:rsid w:val="00DD2172"/>
    <w:rsid w:val="00DD2E76"/>
    <w:rsid w:val="00DD4A09"/>
    <w:rsid w:val="00DD4C25"/>
    <w:rsid w:val="00DD6A1F"/>
    <w:rsid w:val="00DE4C00"/>
    <w:rsid w:val="00DE5C67"/>
    <w:rsid w:val="00DF2449"/>
    <w:rsid w:val="00DF7ACF"/>
    <w:rsid w:val="00E004CA"/>
    <w:rsid w:val="00E03391"/>
    <w:rsid w:val="00E0373B"/>
    <w:rsid w:val="00E07308"/>
    <w:rsid w:val="00E179B5"/>
    <w:rsid w:val="00E26286"/>
    <w:rsid w:val="00E30AC2"/>
    <w:rsid w:val="00E33D84"/>
    <w:rsid w:val="00E34813"/>
    <w:rsid w:val="00E356D2"/>
    <w:rsid w:val="00E401B3"/>
    <w:rsid w:val="00E458DA"/>
    <w:rsid w:val="00E4741B"/>
    <w:rsid w:val="00E5687E"/>
    <w:rsid w:val="00E639CC"/>
    <w:rsid w:val="00E63D5B"/>
    <w:rsid w:val="00E671AD"/>
    <w:rsid w:val="00E7142B"/>
    <w:rsid w:val="00E83E40"/>
    <w:rsid w:val="00E857B8"/>
    <w:rsid w:val="00E907E5"/>
    <w:rsid w:val="00E943B8"/>
    <w:rsid w:val="00EA11F7"/>
    <w:rsid w:val="00EA20B9"/>
    <w:rsid w:val="00EA4549"/>
    <w:rsid w:val="00EB3234"/>
    <w:rsid w:val="00EC729D"/>
    <w:rsid w:val="00ED0B37"/>
    <w:rsid w:val="00ED22DF"/>
    <w:rsid w:val="00ED4C66"/>
    <w:rsid w:val="00ED6781"/>
    <w:rsid w:val="00EE26B4"/>
    <w:rsid w:val="00EE4BD8"/>
    <w:rsid w:val="00EF383F"/>
    <w:rsid w:val="00EF5BA0"/>
    <w:rsid w:val="00EF64B8"/>
    <w:rsid w:val="00EF658F"/>
    <w:rsid w:val="00EF7C6A"/>
    <w:rsid w:val="00F116C3"/>
    <w:rsid w:val="00F1300D"/>
    <w:rsid w:val="00F13600"/>
    <w:rsid w:val="00F15FC0"/>
    <w:rsid w:val="00F17042"/>
    <w:rsid w:val="00F175D1"/>
    <w:rsid w:val="00F21DA9"/>
    <w:rsid w:val="00F22A75"/>
    <w:rsid w:val="00F30C1E"/>
    <w:rsid w:val="00F3185D"/>
    <w:rsid w:val="00F35217"/>
    <w:rsid w:val="00F35C50"/>
    <w:rsid w:val="00F36C43"/>
    <w:rsid w:val="00F42D68"/>
    <w:rsid w:val="00F42FF2"/>
    <w:rsid w:val="00F436FE"/>
    <w:rsid w:val="00F500D2"/>
    <w:rsid w:val="00F51A9D"/>
    <w:rsid w:val="00F57792"/>
    <w:rsid w:val="00F60048"/>
    <w:rsid w:val="00F6185A"/>
    <w:rsid w:val="00F73FE2"/>
    <w:rsid w:val="00F74944"/>
    <w:rsid w:val="00F8497C"/>
    <w:rsid w:val="00F91E41"/>
    <w:rsid w:val="00FA238D"/>
    <w:rsid w:val="00FA3835"/>
    <w:rsid w:val="00FA6816"/>
    <w:rsid w:val="00FB5D79"/>
    <w:rsid w:val="00FC1FDD"/>
    <w:rsid w:val="00FE3D91"/>
    <w:rsid w:val="00FE55D2"/>
    <w:rsid w:val="00FF3E9D"/>
    <w:rsid w:val="00FF728E"/>
    <w:rsid w:val="011B6D03"/>
    <w:rsid w:val="012A4E2C"/>
    <w:rsid w:val="0146689C"/>
    <w:rsid w:val="01763BD4"/>
    <w:rsid w:val="01B6221C"/>
    <w:rsid w:val="03822CFE"/>
    <w:rsid w:val="03B210F3"/>
    <w:rsid w:val="04B35850"/>
    <w:rsid w:val="05121E5F"/>
    <w:rsid w:val="051C3E09"/>
    <w:rsid w:val="06BA2C89"/>
    <w:rsid w:val="07002453"/>
    <w:rsid w:val="071F777F"/>
    <w:rsid w:val="08B258EB"/>
    <w:rsid w:val="09A45050"/>
    <w:rsid w:val="09D96A1A"/>
    <w:rsid w:val="0A5B05D9"/>
    <w:rsid w:val="0AE0030A"/>
    <w:rsid w:val="0B7A056A"/>
    <w:rsid w:val="0B927CBA"/>
    <w:rsid w:val="0C3705A0"/>
    <w:rsid w:val="0C523489"/>
    <w:rsid w:val="0C681B81"/>
    <w:rsid w:val="0CC46135"/>
    <w:rsid w:val="0D7C256C"/>
    <w:rsid w:val="0DD358E2"/>
    <w:rsid w:val="0E06452B"/>
    <w:rsid w:val="0E2B1ADA"/>
    <w:rsid w:val="0E5232CD"/>
    <w:rsid w:val="0E6C1B21"/>
    <w:rsid w:val="0E7E0566"/>
    <w:rsid w:val="0E8931ED"/>
    <w:rsid w:val="10630D41"/>
    <w:rsid w:val="10812156"/>
    <w:rsid w:val="10AD38CA"/>
    <w:rsid w:val="10E279BE"/>
    <w:rsid w:val="10FD3672"/>
    <w:rsid w:val="116F23E8"/>
    <w:rsid w:val="12AF1937"/>
    <w:rsid w:val="13B3093C"/>
    <w:rsid w:val="14BF5570"/>
    <w:rsid w:val="15431BC1"/>
    <w:rsid w:val="157B0461"/>
    <w:rsid w:val="157E709D"/>
    <w:rsid w:val="16255094"/>
    <w:rsid w:val="175A569D"/>
    <w:rsid w:val="182757CA"/>
    <w:rsid w:val="18513720"/>
    <w:rsid w:val="18B02F9E"/>
    <w:rsid w:val="191608B9"/>
    <w:rsid w:val="197E58BE"/>
    <w:rsid w:val="19CA335A"/>
    <w:rsid w:val="1A895A2E"/>
    <w:rsid w:val="1AA41E68"/>
    <w:rsid w:val="1AD722FD"/>
    <w:rsid w:val="1B012302"/>
    <w:rsid w:val="1B0421DB"/>
    <w:rsid w:val="1B601DCB"/>
    <w:rsid w:val="1B7F7E70"/>
    <w:rsid w:val="1B9E3D36"/>
    <w:rsid w:val="1C8F2A04"/>
    <w:rsid w:val="1CCE50AB"/>
    <w:rsid w:val="1CD468D8"/>
    <w:rsid w:val="1D091C84"/>
    <w:rsid w:val="1D3E4C23"/>
    <w:rsid w:val="1D760135"/>
    <w:rsid w:val="1E0265AE"/>
    <w:rsid w:val="1E166652"/>
    <w:rsid w:val="1E682F46"/>
    <w:rsid w:val="1E85E130"/>
    <w:rsid w:val="1EB8717C"/>
    <w:rsid w:val="1F100D66"/>
    <w:rsid w:val="1F105F79"/>
    <w:rsid w:val="1F6F4139"/>
    <w:rsid w:val="20D31544"/>
    <w:rsid w:val="212E4D5D"/>
    <w:rsid w:val="218B2C39"/>
    <w:rsid w:val="21D70261"/>
    <w:rsid w:val="22291A3F"/>
    <w:rsid w:val="232C78EC"/>
    <w:rsid w:val="2377224A"/>
    <w:rsid w:val="23A7419A"/>
    <w:rsid w:val="23D43367"/>
    <w:rsid w:val="23F97F85"/>
    <w:rsid w:val="24274406"/>
    <w:rsid w:val="243F7370"/>
    <w:rsid w:val="2451511E"/>
    <w:rsid w:val="250B456C"/>
    <w:rsid w:val="262B4CB4"/>
    <w:rsid w:val="2630502B"/>
    <w:rsid w:val="26B807B0"/>
    <w:rsid w:val="26C83883"/>
    <w:rsid w:val="26D25C1B"/>
    <w:rsid w:val="277B1CD6"/>
    <w:rsid w:val="294067C0"/>
    <w:rsid w:val="29C77A84"/>
    <w:rsid w:val="2A233FCE"/>
    <w:rsid w:val="2A8E004C"/>
    <w:rsid w:val="2AAB028D"/>
    <w:rsid w:val="2B9E76FA"/>
    <w:rsid w:val="2BC1063F"/>
    <w:rsid w:val="2C5168F6"/>
    <w:rsid w:val="2D230ADF"/>
    <w:rsid w:val="2D5179CF"/>
    <w:rsid w:val="2D9828C4"/>
    <w:rsid w:val="2DFF6B75"/>
    <w:rsid w:val="2E0E0B66"/>
    <w:rsid w:val="2EB36247"/>
    <w:rsid w:val="2EF67B6C"/>
    <w:rsid w:val="30292B21"/>
    <w:rsid w:val="31CC4FC0"/>
    <w:rsid w:val="327F0D3B"/>
    <w:rsid w:val="328E6C13"/>
    <w:rsid w:val="34AD3848"/>
    <w:rsid w:val="34D62889"/>
    <w:rsid w:val="34DC4254"/>
    <w:rsid w:val="35076310"/>
    <w:rsid w:val="35224842"/>
    <w:rsid w:val="35C0542C"/>
    <w:rsid w:val="36847D69"/>
    <w:rsid w:val="368C042F"/>
    <w:rsid w:val="368C11B1"/>
    <w:rsid w:val="36965A7B"/>
    <w:rsid w:val="38740160"/>
    <w:rsid w:val="394B4530"/>
    <w:rsid w:val="39C30C0C"/>
    <w:rsid w:val="39D6102C"/>
    <w:rsid w:val="3AE61680"/>
    <w:rsid w:val="3AF66579"/>
    <w:rsid w:val="3AFA0DF0"/>
    <w:rsid w:val="3AFF33E8"/>
    <w:rsid w:val="3B81506E"/>
    <w:rsid w:val="3C325184"/>
    <w:rsid w:val="3D476359"/>
    <w:rsid w:val="3D826C0D"/>
    <w:rsid w:val="3D9A658C"/>
    <w:rsid w:val="3DD91B7C"/>
    <w:rsid w:val="3DE10046"/>
    <w:rsid w:val="3DEE1D80"/>
    <w:rsid w:val="3F032ED3"/>
    <w:rsid w:val="3F4177F3"/>
    <w:rsid w:val="3FFC477B"/>
    <w:rsid w:val="40AF61D9"/>
    <w:rsid w:val="414A4154"/>
    <w:rsid w:val="436A3581"/>
    <w:rsid w:val="43F065F7"/>
    <w:rsid w:val="442F62DC"/>
    <w:rsid w:val="449744EA"/>
    <w:rsid w:val="44BD3991"/>
    <w:rsid w:val="45BFB8AB"/>
    <w:rsid w:val="46725D55"/>
    <w:rsid w:val="46DB7A17"/>
    <w:rsid w:val="470B1A6B"/>
    <w:rsid w:val="470D6E20"/>
    <w:rsid w:val="47263210"/>
    <w:rsid w:val="477749AA"/>
    <w:rsid w:val="47C16823"/>
    <w:rsid w:val="48333FF5"/>
    <w:rsid w:val="485F1589"/>
    <w:rsid w:val="492F1BD2"/>
    <w:rsid w:val="49DC2C1A"/>
    <w:rsid w:val="49FA5FEB"/>
    <w:rsid w:val="4A427EB3"/>
    <w:rsid w:val="4A836697"/>
    <w:rsid w:val="4B20193F"/>
    <w:rsid w:val="4B3E4CEE"/>
    <w:rsid w:val="4C3C013C"/>
    <w:rsid w:val="4C8E043C"/>
    <w:rsid w:val="4E73122C"/>
    <w:rsid w:val="4E7320AC"/>
    <w:rsid w:val="4F8462B8"/>
    <w:rsid w:val="4FF84687"/>
    <w:rsid w:val="50F33EC0"/>
    <w:rsid w:val="5157551B"/>
    <w:rsid w:val="51CD3614"/>
    <w:rsid w:val="51CE0A2E"/>
    <w:rsid w:val="52800E89"/>
    <w:rsid w:val="53FC6986"/>
    <w:rsid w:val="55BA1450"/>
    <w:rsid w:val="56095F34"/>
    <w:rsid w:val="56220AC4"/>
    <w:rsid w:val="56821842"/>
    <w:rsid w:val="57087F99"/>
    <w:rsid w:val="579B7ED0"/>
    <w:rsid w:val="57C9767E"/>
    <w:rsid w:val="585F0652"/>
    <w:rsid w:val="5912054F"/>
    <w:rsid w:val="5B65653D"/>
    <w:rsid w:val="5C1D270E"/>
    <w:rsid w:val="5C8A31FF"/>
    <w:rsid w:val="5D920F8A"/>
    <w:rsid w:val="5DB11A6F"/>
    <w:rsid w:val="5ED12060"/>
    <w:rsid w:val="5F3223A1"/>
    <w:rsid w:val="5F6D0F53"/>
    <w:rsid w:val="5F8D7FF9"/>
    <w:rsid w:val="6036685D"/>
    <w:rsid w:val="604428BF"/>
    <w:rsid w:val="60712451"/>
    <w:rsid w:val="60B3013B"/>
    <w:rsid w:val="60F313B0"/>
    <w:rsid w:val="62C0313B"/>
    <w:rsid w:val="62D25F79"/>
    <w:rsid w:val="6382320C"/>
    <w:rsid w:val="64DE7ECB"/>
    <w:rsid w:val="653E1685"/>
    <w:rsid w:val="654A5C21"/>
    <w:rsid w:val="65A62CD8"/>
    <w:rsid w:val="66524D8D"/>
    <w:rsid w:val="66730271"/>
    <w:rsid w:val="6710120C"/>
    <w:rsid w:val="67D85B6C"/>
    <w:rsid w:val="690305C1"/>
    <w:rsid w:val="6A601F79"/>
    <w:rsid w:val="6B4750DC"/>
    <w:rsid w:val="6B923E7E"/>
    <w:rsid w:val="6BC21862"/>
    <w:rsid w:val="6C5544DF"/>
    <w:rsid w:val="6C67192F"/>
    <w:rsid w:val="6CBD4F2A"/>
    <w:rsid w:val="6DDA7AC0"/>
    <w:rsid w:val="6E427DDD"/>
    <w:rsid w:val="6E5D3F90"/>
    <w:rsid w:val="6EC9290D"/>
    <w:rsid w:val="6F135C55"/>
    <w:rsid w:val="6F973DFD"/>
    <w:rsid w:val="712B4FF6"/>
    <w:rsid w:val="71630796"/>
    <w:rsid w:val="720D24B0"/>
    <w:rsid w:val="72621496"/>
    <w:rsid w:val="7273650F"/>
    <w:rsid w:val="727A5D81"/>
    <w:rsid w:val="72F91741"/>
    <w:rsid w:val="734D446A"/>
    <w:rsid w:val="73E26E41"/>
    <w:rsid w:val="75616D9B"/>
    <w:rsid w:val="758023D5"/>
    <w:rsid w:val="76285B0A"/>
    <w:rsid w:val="762F1382"/>
    <w:rsid w:val="764B5FBB"/>
    <w:rsid w:val="76F123A0"/>
    <w:rsid w:val="77054B2B"/>
    <w:rsid w:val="772667F8"/>
    <w:rsid w:val="773F3EC8"/>
    <w:rsid w:val="77636978"/>
    <w:rsid w:val="77AD4E5E"/>
    <w:rsid w:val="78144598"/>
    <w:rsid w:val="78C830A0"/>
    <w:rsid w:val="79B25E17"/>
    <w:rsid w:val="7A572A80"/>
    <w:rsid w:val="7B356B4E"/>
    <w:rsid w:val="7B4577C5"/>
    <w:rsid w:val="7BBF0AB5"/>
    <w:rsid w:val="7BFE3341"/>
    <w:rsid w:val="7C0E12FE"/>
    <w:rsid w:val="7D9D4043"/>
    <w:rsid w:val="7E7A6107"/>
    <w:rsid w:val="7E821CDD"/>
    <w:rsid w:val="7EE30C9C"/>
    <w:rsid w:val="7EFC6D94"/>
    <w:rsid w:val="7F3E01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9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Document Map"/>
    <w:basedOn w:val="1"/>
    <w:semiHidden/>
    <w:qFormat/>
    <w:uiPriority w:val="0"/>
    <w:pPr>
      <w:shd w:val="clear" w:color="auto" w:fill="000080"/>
    </w:pPr>
  </w:style>
  <w:style w:type="paragraph" w:styleId="13">
    <w:name w:val="annotation text"/>
    <w:basedOn w:val="1"/>
    <w:link w:val="36"/>
    <w:qFormat/>
    <w:uiPriority w:val="0"/>
    <w:pPr>
      <w:jc w:val="left"/>
    </w:pPr>
  </w:style>
  <w:style w:type="paragraph" w:styleId="14">
    <w:name w:val="Body Text 3"/>
    <w:basedOn w:val="1"/>
    <w:qFormat/>
    <w:uiPriority w:val="0"/>
    <w:pPr>
      <w:widowControl/>
      <w:ind w:right="720"/>
      <w:jc w:val="left"/>
    </w:pPr>
    <w:rPr>
      <w:kern w:val="0"/>
      <w:sz w:val="20"/>
      <w:szCs w:val="20"/>
      <w:lang w:eastAsia="en-US"/>
    </w:rPr>
  </w:style>
  <w:style w:type="paragraph" w:styleId="15">
    <w:name w:val="Body Text"/>
    <w:basedOn w:val="1"/>
    <w:qFormat/>
    <w:uiPriority w:val="0"/>
    <w:pPr>
      <w:tabs>
        <w:tab w:val="left" w:pos="567"/>
      </w:tabs>
      <w:spacing w:before="120" w:line="22" w:lineRule="atLeast"/>
    </w:pPr>
    <w:rPr>
      <w:rFonts w:ascii="宋体" w:hAnsi="宋体"/>
      <w:sz w:val="24"/>
    </w:rPr>
  </w:style>
  <w:style w:type="paragraph" w:styleId="16">
    <w:name w:val="Body Text Indent"/>
    <w:basedOn w:val="1"/>
    <w:qFormat/>
    <w:uiPriority w:val="0"/>
    <w:pPr>
      <w:spacing w:after="120"/>
      <w:ind w:left="420" w:leftChars="200"/>
    </w:pPr>
  </w:style>
  <w:style w:type="paragraph" w:styleId="17">
    <w:name w:val="Plain Text"/>
    <w:basedOn w:val="1"/>
    <w:link w:val="37"/>
    <w:qFormat/>
    <w:uiPriority w:val="0"/>
    <w:rPr>
      <w:rFonts w:ascii="宋体" w:hAnsi="Courier New"/>
      <w:szCs w:val="20"/>
    </w:rPr>
  </w:style>
  <w:style w:type="paragraph" w:styleId="18">
    <w:name w:val="Date"/>
    <w:basedOn w:val="1"/>
    <w:next w:val="1"/>
    <w:link w:val="38"/>
    <w:qFormat/>
    <w:uiPriority w:val="0"/>
    <w:rPr>
      <w:szCs w:val="20"/>
    </w:rPr>
  </w:style>
  <w:style w:type="paragraph" w:styleId="19">
    <w:name w:val="Body Text Indent 2"/>
    <w:basedOn w:val="1"/>
    <w:qFormat/>
    <w:uiPriority w:val="0"/>
    <w:pPr>
      <w:ind w:firstLine="480" w:firstLineChars="200"/>
    </w:pPr>
    <w:rPr>
      <w:rFonts w:ascii="仿宋_GB2312" w:eastAsia="仿宋_GB2312"/>
      <w:sz w:val="24"/>
    </w:rPr>
  </w:style>
  <w:style w:type="paragraph" w:styleId="20">
    <w:name w:val="Balloon Text"/>
    <w:basedOn w:val="1"/>
    <w:semiHidden/>
    <w:qFormat/>
    <w:uiPriority w:val="0"/>
    <w:rPr>
      <w:sz w:val="18"/>
      <w:szCs w:val="18"/>
    </w:rPr>
  </w:style>
  <w:style w:type="paragraph" w:styleId="21">
    <w:name w:val="footer"/>
    <w:basedOn w:val="1"/>
    <w:next w:val="1"/>
    <w:qFormat/>
    <w:uiPriority w:val="0"/>
    <w:pPr>
      <w:tabs>
        <w:tab w:val="center" w:pos="4153"/>
        <w:tab w:val="right" w:pos="8306"/>
      </w:tabs>
      <w:snapToGrid w:val="0"/>
      <w:jc w:val="left"/>
    </w:pPr>
    <w:rPr>
      <w:sz w:val="18"/>
      <w:szCs w:val="18"/>
    </w:rPr>
  </w:style>
  <w:style w:type="paragraph" w:styleId="22">
    <w:name w:val="header"/>
    <w:basedOn w:val="1"/>
    <w:next w:val="23"/>
    <w:qFormat/>
    <w:uiPriority w:val="0"/>
    <w:pPr>
      <w:pBdr>
        <w:bottom w:val="single" w:color="auto" w:sz="6" w:space="1"/>
      </w:pBdr>
      <w:tabs>
        <w:tab w:val="center" w:pos="4153"/>
        <w:tab w:val="right" w:pos="8306"/>
      </w:tabs>
      <w:snapToGrid w:val="0"/>
      <w:jc w:val="center"/>
    </w:pPr>
    <w:rPr>
      <w:sz w:val="18"/>
      <w:szCs w:val="18"/>
    </w:rPr>
  </w:style>
  <w:style w:type="paragraph" w:styleId="23">
    <w:name w:val="toc 4"/>
    <w:basedOn w:val="1"/>
    <w:next w:val="1"/>
    <w:qFormat/>
    <w:uiPriority w:val="99"/>
    <w:pPr>
      <w:ind w:left="1260" w:leftChars="600"/>
    </w:pPr>
  </w:style>
  <w:style w:type="paragraph" w:styleId="24">
    <w:name w:val="Body Text 2"/>
    <w:basedOn w:val="1"/>
    <w:qFormat/>
    <w:uiPriority w:val="0"/>
    <w:pPr>
      <w:widowControl/>
    </w:pPr>
    <w:rPr>
      <w:kern w:val="0"/>
      <w:sz w:val="20"/>
      <w:szCs w:val="20"/>
      <w:lang w:eastAsia="en-US"/>
    </w:rPr>
  </w:style>
  <w:style w:type="paragraph" w:styleId="2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26">
    <w:name w:val="Title"/>
    <w:basedOn w:val="1"/>
    <w:qFormat/>
    <w:uiPriority w:val="0"/>
    <w:pPr>
      <w:jc w:val="center"/>
    </w:pPr>
    <w:rPr>
      <w:sz w:val="30"/>
    </w:rPr>
  </w:style>
  <w:style w:type="paragraph" w:styleId="27">
    <w:name w:val="annotation subject"/>
    <w:basedOn w:val="13"/>
    <w:next w:val="13"/>
    <w:link w:val="39"/>
    <w:qFormat/>
    <w:uiPriority w:val="0"/>
    <w:rPr>
      <w:b/>
      <w:bCs/>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qFormat/>
    <w:uiPriority w:val="22"/>
    <w:rPr>
      <w:b/>
      <w:bCs/>
    </w:rPr>
  </w:style>
  <w:style w:type="character" w:styleId="32">
    <w:name w:val="page number"/>
    <w:qFormat/>
    <w:uiPriority w:val="0"/>
  </w:style>
  <w:style w:type="character" w:styleId="33">
    <w:name w:val="Emphasis"/>
    <w:qFormat/>
    <w:uiPriority w:val="20"/>
    <w:rPr>
      <w:i/>
      <w:iCs/>
    </w:rPr>
  </w:style>
  <w:style w:type="character" w:styleId="34">
    <w:name w:val="Hyperlink"/>
    <w:qFormat/>
    <w:uiPriority w:val="0"/>
    <w:rPr>
      <w:color w:val="0000FF"/>
      <w:u w:val="single"/>
    </w:rPr>
  </w:style>
  <w:style w:type="character" w:styleId="35">
    <w:name w:val="annotation reference"/>
    <w:qFormat/>
    <w:uiPriority w:val="0"/>
    <w:rPr>
      <w:sz w:val="21"/>
      <w:szCs w:val="21"/>
    </w:rPr>
  </w:style>
  <w:style w:type="character" w:customStyle="1" w:styleId="36">
    <w:name w:val="批注文字 字符"/>
    <w:link w:val="13"/>
    <w:qFormat/>
    <w:uiPriority w:val="0"/>
    <w:rPr>
      <w:kern w:val="2"/>
      <w:sz w:val="21"/>
      <w:szCs w:val="24"/>
    </w:rPr>
  </w:style>
  <w:style w:type="character" w:customStyle="1" w:styleId="37">
    <w:name w:val="纯文本 字符"/>
    <w:link w:val="17"/>
    <w:qFormat/>
    <w:uiPriority w:val="0"/>
    <w:rPr>
      <w:rFonts w:ascii="宋体" w:hAnsi="Courier New"/>
      <w:kern w:val="2"/>
      <w:sz w:val="21"/>
    </w:rPr>
  </w:style>
  <w:style w:type="character" w:customStyle="1" w:styleId="38">
    <w:name w:val="日期 字符"/>
    <w:link w:val="18"/>
    <w:qFormat/>
    <w:uiPriority w:val="0"/>
    <w:rPr>
      <w:rFonts w:eastAsia="宋体"/>
      <w:kern w:val="2"/>
      <w:sz w:val="21"/>
      <w:lang w:val="en-US" w:eastAsia="zh-CN" w:bidi="ar-SA"/>
    </w:rPr>
  </w:style>
  <w:style w:type="character" w:customStyle="1" w:styleId="39">
    <w:name w:val="批注主题 字符"/>
    <w:link w:val="27"/>
    <w:qFormat/>
    <w:uiPriority w:val="0"/>
    <w:rPr>
      <w:b/>
      <w:bCs/>
      <w:kern w:val="2"/>
      <w:sz w:val="21"/>
      <w:szCs w:val="24"/>
    </w:rPr>
  </w:style>
  <w:style w:type="character" w:customStyle="1" w:styleId="40">
    <w:name w:val="Char"/>
    <w:qFormat/>
    <w:uiPriority w:val="0"/>
    <w:rPr>
      <w:rFonts w:ascii="宋体" w:hAnsi="Courier New" w:eastAsia="宋体"/>
      <w:kern w:val="2"/>
      <w:sz w:val="21"/>
      <w:lang w:val="en-US" w:eastAsia="zh-CN" w:bidi="ar-SA"/>
    </w:rPr>
  </w:style>
  <w:style w:type="paragraph" w:customStyle="1" w:styleId="41">
    <w:name w:val="Char1"/>
    <w:basedOn w:val="1"/>
    <w:qFormat/>
    <w:uiPriority w:val="0"/>
    <w:rPr>
      <w:rFonts w:ascii="Tahoma" w:hAnsi="Tahoma"/>
      <w:sz w:val="24"/>
      <w:szCs w:val="20"/>
    </w:rPr>
  </w:style>
  <w:style w:type="paragraph" w:customStyle="1" w:styleId="42">
    <w:name w:val="彩色列表 - 强调文字颜色 11"/>
    <w:basedOn w:val="1"/>
    <w:qFormat/>
    <w:uiPriority w:val="34"/>
    <w:pPr>
      <w:ind w:firstLine="420" w:firstLineChars="200"/>
    </w:pPr>
    <w:rPr>
      <w:rFonts w:ascii="Calibri" w:hAnsi="Calibri"/>
      <w:szCs w:val="22"/>
    </w:rPr>
  </w:style>
  <w:style w:type="paragraph" w:customStyle="1" w:styleId="43">
    <w:name w:val="正文文本 21"/>
    <w:basedOn w:val="1"/>
    <w:qFormat/>
    <w:uiPriority w:val="0"/>
    <w:pPr>
      <w:adjustRightInd w:val="0"/>
      <w:spacing w:before="120" w:line="360" w:lineRule="auto"/>
      <w:ind w:firstLine="480"/>
      <w:textAlignment w:val="baseline"/>
    </w:pPr>
    <w:rPr>
      <w:sz w:val="24"/>
      <w:szCs w:val="20"/>
    </w:rPr>
  </w:style>
  <w:style w:type="paragraph" w:customStyle="1" w:styleId="44">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45">
    <w:name w:val="正文文本缩进 21"/>
    <w:basedOn w:val="1"/>
    <w:qFormat/>
    <w:uiPriority w:val="0"/>
    <w:pPr>
      <w:adjustRightInd w:val="0"/>
      <w:spacing w:before="120"/>
      <w:ind w:firstLine="420"/>
      <w:textAlignment w:val="baseline"/>
    </w:pPr>
    <w:rPr>
      <w:sz w:val="24"/>
      <w:szCs w:val="20"/>
    </w:rPr>
  </w:style>
  <w:style w:type="character" w:customStyle="1" w:styleId="46">
    <w:name w:val="ng-binding"/>
    <w:qFormat/>
    <w:uiPriority w:val="0"/>
  </w:style>
  <w:style w:type="character" w:customStyle="1" w:styleId="47">
    <w:name w:val="tgt1"/>
    <w:qFormat/>
    <w:uiPriority w:val="0"/>
  </w:style>
  <w:style w:type="paragraph" w:styleId="48">
    <w:name w:val="List Paragraph"/>
    <w:basedOn w:val="1"/>
    <w:qFormat/>
    <w:uiPriority w:val="34"/>
    <w:pPr>
      <w:ind w:firstLine="420" w:firstLineChars="200"/>
    </w:pPr>
  </w:style>
  <w:style w:type="paragraph" w:customStyle="1" w:styleId="49">
    <w:name w:val="Default"/>
    <w:qFormat/>
    <w:uiPriority w:val="0"/>
    <w:pPr>
      <w:widowControl w:val="0"/>
      <w:autoSpaceDE w:val="0"/>
      <w:autoSpaceDN w:val="0"/>
      <w:adjustRightInd w:val="0"/>
    </w:pPr>
    <w:rPr>
      <w:rFonts w:ascii="Arial" w:hAnsi="Arial" w:eastAsia="宋体" w:cs="Times New Roman"/>
      <w:color w:val="000000"/>
      <w:sz w:val="24"/>
      <w:lang w:val="en-US" w:eastAsia="zh-CN" w:bidi="ar-SA"/>
    </w:rPr>
  </w:style>
  <w:style w:type="character" w:customStyle="1" w:styleId="50">
    <w:name w:val="font61"/>
    <w:basedOn w:val="30"/>
    <w:qFormat/>
    <w:uiPriority w:val="0"/>
    <w:rPr>
      <w:rFonts w:hint="eastAsia" w:ascii="宋体" w:hAnsi="宋体" w:eastAsia="宋体" w:cs="宋体"/>
      <w:color w:val="000000"/>
      <w:sz w:val="22"/>
      <w:szCs w:val="22"/>
      <w:u w:val="none"/>
    </w:rPr>
  </w:style>
  <w:style w:type="character" w:customStyle="1" w:styleId="51">
    <w:name w:val="16"/>
    <w:basedOn w:val="30"/>
    <w:qFormat/>
    <w:uiPriority w:val="0"/>
    <w:rPr>
      <w:rFonts w:hint="eastAsia" w:ascii="宋体" w:hAnsi="宋体" w:eastAsia="宋体"/>
      <w:color w:val="000000"/>
      <w:sz w:val="22"/>
      <w:szCs w:val="22"/>
    </w:rPr>
  </w:style>
  <w:style w:type="character" w:customStyle="1" w:styleId="52">
    <w:name w:val="15"/>
    <w:basedOn w:val="30"/>
    <w:qFormat/>
    <w:uiPriority w:val="0"/>
    <w:rPr>
      <w:rFonts w:hint="default" w:ascii="Arial" w:hAnsi="Arial" w:cs="Arial"/>
      <w:color w:val="000000"/>
      <w:sz w:val="22"/>
      <w:szCs w:val="22"/>
    </w:rPr>
  </w:style>
  <w:style w:type="paragraph" w:customStyle="1" w:styleId="53">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54">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8</Pages>
  <Words>11478</Words>
  <Characters>12580</Characters>
  <Lines>97</Lines>
  <Paragraphs>27</Paragraphs>
  <TotalTime>4</TotalTime>
  <ScaleCrop>false</ScaleCrop>
  <LinksUpToDate>false</LinksUpToDate>
  <CharactersWithSpaces>12933</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2024-11-13T10:36:00Z</dcterms:created>
  <dc:creator>caowuning</dc:creator>
  <cp:lastModifiedBy>0:01</cp:lastModifiedBy>
  <cp:lastPrinted>2009-04-21T17:03:00Z</cp:lastPrinted>
  <dcterms:modified xsi:type="dcterms:W3CDTF">2024-11-20T12:52:42Z</dcterms:modified>
  <dc:title>北 京 市 政 府 采 购</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EE6530995FD04A0FB50B8ED91B26798C_13</vt:lpwstr>
  </property>
</Properties>
</file>