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440881-2026-03151</w:t>
      </w:r>
    </w:p>
    <w:p>
      <w:pPr>
        <w:pStyle w:val="null3"/>
        <w:jc w:val="center"/>
        <w:outlineLvl w:val="3"/>
      </w:pPr>
      <w:r>
        <w:rPr>
          <w:sz w:val="24"/>
          <w:b/>
        </w:rPr>
        <w:t>采购项目编号：</w:t>
      </w:r>
      <w:r>
        <w:rPr>
          <w:sz w:val="24"/>
          <w:b/>
        </w:rPr>
        <w:t>ZJCG2026－MFZB026</w:t>
      </w:r>
    </w:p>
    <w:p>
      <w:pPr>
        <w:pStyle w:val="null3"/>
        <w:jc w:val="center"/>
        <w:outlineLvl w:val="3"/>
      </w:pPr>
      <w:r>
        <w:rPr>
          <w:sz w:val="24"/>
          <w:b/>
        </w:rPr>
        <w:t>项目名称：</w:t>
      </w:r>
      <w:r>
        <w:rPr>
          <w:sz w:val="24"/>
          <w:b/>
        </w:rPr>
        <w:t>廉江市车板镇“百千万工程”典型镇培育建设项目—六乱整治项目</w:t>
      </w:r>
    </w:p>
    <w:p>
      <w:pPr>
        <w:pStyle w:val="null3"/>
        <w:jc w:val="center"/>
        <w:outlineLvl w:val="3"/>
      </w:pPr>
      <w:r>
        <w:rPr>
          <w:sz w:val="24"/>
          <w:b/>
        </w:rPr>
        <w:t>采购人：</w:t>
      </w:r>
      <w:r>
        <w:rPr>
          <w:sz w:val="24"/>
          <w:b/>
        </w:rPr>
        <w:t>廉江市车板镇人民政府</w:t>
      </w:r>
    </w:p>
    <w:p>
      <w:pPr>
        <w:pStyle w:val="null3"/>
        <w:jc w:val="center"/>
        <w:outlineLvl w:val="3"/>
      </w:pPr>
      <w:r>
        <w:rPr>
          <w:sz w:val="24"/>
          <w:b/>
        </w:rPr>
        <w:t>采购代理机构：</w:t>
      </w:r>
      <w:r>
        <w:rPr>
          <w:sz w:val="24"/>
          <w:b/>
        </w:rPr>
        <w:t>广东明峰项目管理有限公司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广东明峰项目管理有限公司</w:t>
      </w:r>
      <w:r>
        <w:rPr/>
        <w:t>受</w:t>
      </w:r>
      <w:r>
        <w:rPr/>
        <w:t>廉江市车板镇人民政府</w:t>
      </w:r>
      <w:r>
        <w:rPr/>
        <w:t>的委托，采用</w:t>
      </w:r>
      <w:r>
        <w:rPr/>
        <w:t>竞争性磋商</w:t>
      </w:r>
      <w:r>
        <w:rPr/>
        <w:t>方式组织采购</w:t>
      </w:r>
      <w:r>
        <w:rPr/>
        <w:t>廉江市车板镇“百千万工程”典型镇培育建设项目—六乱整治项目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廉江市车板镇“百千万工程”典型镇培育建设项目—六乱整治项目</w:t>
      </w:r>
    </w:p>
    <w:p>
      <w:pPr>
        <w:pStyle w:val="null3"/>
        <w:ind w:firstLine="480"/>
      </w:pPr>
      <w:r>
        <w:rPr/>
        <w:t>采购计划编号：</w:t>
      </w:r>
      <w:r>
        <w:rPr/>
        <w:t>440881-2026-03151</w:t>
      </w:r>
    </w:p>
    <w:p>
      <w:pPr>
        <w:pStyle w:val="null3"/>
        <w:ind w:firstLine="480"/>
      </w:pPr>
      <w:r>
        <w:rPr/>
        <w:t>采购项目编号：</w:t>
      </w:r>
      <w:r>
        <w:rPr/>
        <w:t>ZJCG2026－MFZB026</w:t>
      </w:r>
    </w:p>
    <w:p>
      <w:pPr>
        <w:pStyle w:val="null3"/>
        <w:ind w:firstLine="480"/>
      </w:pPr>
      <w:r>
        <w:rPr/>
        <w:t>采购方式：</w:t>
      </w:r>
      <w:r>
        <w:rPr/>
        <w:t>竞争性磋商</w:t>
      </w:r>
    </w:p>
    <w:p>
      <w:pPr>
        <w:pStyle w:val="null3"/>
        <w:ind w:firstLine="480"/>
      </w:pPr>
      <w:r>
        <w:rPr/>
        <w:t>预算金额：</w:t>
      </w:r>
      <w:r>
        <w:rPr/>
        <w:t>2,466,185.11</w:t>
      </w:r>
      <w:r>
        <w:rPr/>
        <w:t>元</w:t>
      </w:r>
    </w:p>
    <w:p>
      <w:pPr>
        <w:pStyle w:val="null3"/>
        <w:outlineLvl w:val="3"/>
      </w:pPr>
      <w:r>
        <w:rPr>
          <w:sz w:val="24"/>
          <w:b/>
        </w:rPr>
        <w:t>2.项目内容及需求情况（采购项目技术规格、参数及要求）</w:t>
      </w:r>
    </w:p>
    <w:p>
      <w:pPr>
        <w:pStyle w:val="null3"/>
      </w:pPr>
      <w:r>
        <w:rPr/>
        <w:t>采购包1(廉江市车板镇“百千万工程”典型镇培育建设项目—六乱整治项目):</w:t>
      </w:r>
    </w:p>
    <w:p>
      <w:pPr>
        <w:pStyle w:val="null3"/>
      </w:pPr>
      <w:r>
        <w:rPr/>
        <w:t>采购包预算金额：2,466,185.11元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廉江市车板镇“百千万工程”典型镇培育建设项目—六乱整治项目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2,466,185.11</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合同履行期限：自合同签订生效之日起120日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1）具有独立承担民事责任的能力：供应商须是在中华人民共和国境内注册的能独立承担民事责任的法人或其他组织（提供有效期内的营业执照副本，组织机构代码证副本, 税务登记证副本复印件或“三证合一”新版营业执照副本复印件或事业法人登记证复印件)。</w:t>
      </w:r>
    </w:p>
    <w:p>
      <w:pPr>
        <w:pStyle w:val="null3"/>
      </w:pPr>
      <w:r>
        <w:rPr/>
        <w:t>2）有依法缴纳税收和社会保障资金的良好记录：供应商提供《湛江市政府采购供应商资格信用承诺函》（格式详见附件）或提供磋商截止日前6个月内任意1个月依法缴纳税收和社会保障资金的相关材料，如依法免税或不需要缴纳社会保障资金的，则提供其依法免税和免缴纳社保的相应证明材料。如供应商已对接“粤省事”“粤商通”“粤信签”等系统且能通过系统查询到相关内容并提供截图。</w:t>
      </w:r>
    </w:p>
    <w:p>
      <w:pPr>
        <w:pStyle w:val="null3"/>
      </w:pPr>
      <w:r>
        <w:rPr/>
        <w:t>3）具有良好的商业信誉和健全的财务会计制度：供应商提供《湛江市政府采购供应商资格信用承诺函》（格式详见附件）或提供2024年度财务状况报告复印件（若响应供应商成立不满一年的，可提供本年度任意1个月的财务状况报表复印件）或基本户开户行出具的资信证明材料复印件。如响应供应商已对接“粤省事”“粤商通”“粤信签”等系统且能通过系统查询到相关内容并提供截图。</w:t>
      </w:r>
    </w:p>
    <w:p>
      <w:pPr>
        <w:pStyle w:val="null3"/>
      </w:pPr>
      <w:r>
        <w:rPr/>
        <w:t>4）履行合同所必需的设备和专业技术能力：按响应文件格式填报设备及专业技术能力情况或提供声明函(格式自拟)；</w:t>
      </w:r>
    </w:p>
    <w:p>
      <w:pPr>
        <w:pStyle w:val="null3"/>
      </w:pPr>
      <w:r>
        <w:rPr/>
        <w:t>5）参加采购活动前3年内，在经营活动中没有重大违法记录：供应商参加采购活动前三年内，在经营活动中没有重大违法记录；【供应商提供《湛江市政府采购供应商资格信用承诺函》（格式详见附件）或按响应文件格式中的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采购包1（廉江市车板镇“百千万工程”典型镇培育建设项目—六乱整治项目）：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采购包1（廉江市车板镇“百千万工程”典型镇培育建设项目—六乱整治项目）：</w:t>
      </w:r>
    </w:p>
    <w:p>
      <w:pPr>
        <w:pStyle w:val="null3"/>
      </w:pPr>
      <w:r>
        <w:rPr/>
        <w:t>1)供应商未被列入在“信用中国”网站（www.creditchina.gov.cn）“记录失信被执行人或重大税收违法失信主体或政府采购严重违法失信行为”记录名单；不处于中国政府采购网（www.ccgp.gov.cn）“政府采购严重违法失信行为记录”中的禁止参加政府采购活动期间；以采购代理机构在磋商截止日当天在“信用中国”及“中国政府采购网”查询结果为准，如相关失信记录已失效，供应商须提供项目证明资料。</w:t>
      </w:r>
    </w:p>
    <w:p>
      <w:pPr>
        <w:pStyle w:val="null3"/>
      </w:pPr>
      <w:r>
        <w:rPr/>
        <w:t>2)单位负责人为同一人或者存在直接控股、管理关系的不同供应商，不得同时参加本采购项目（或采购包） 投标（响应）。 为本项目提供整体设计、规范编制或者项目管理、监理、检测等服务的供应商， 不得再参与本项目投标（响应）。响应承诺函相关承诺要求内容。</w:t>
      </w:r>
    </w:p>
    <w:p>
      <w:pPr>
        <w:pStyle w:val="null3"/>
      </w:pPr>
      <w:r>
        <w:rPr/>
        <w:t>3)本项目不接受联合体磋商（响应），提供承诺函(格式自拟)。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廉江市车板镇人民政府</w:t>
      </w:r>
    </w:p>
    <w:p>
      <w:pPr>
        <w:pStyle w:val="null3"/>
        <w:ind w:firstLine="480"/>
      </w:pPr>
      <w:r>
        <w:rPr/>
        <w:t>地址：</w:t>
      </w:r>
      <w:r>
        <w:rPr/>
        <w:t>车板镇前进路37号</w:t>
      </w:r>
    </w:p>
    <w:p>
      <w:pPr>
        <w:pStyle w:val="null3"/>
        <w:ind w:firstLine="480"/>
      </w:pPr>
      <w:r>
        <w:rPr/>
        <w:t>联系方式：</w:t>
      </w:r>
      <w:r>
        <w:rPr/>
        <w:t>0759-6374162</w:t>
      </w:r>
    </w:p>
    <w:p>
      <w:pPr>
        <w:pStyle w:val="null3"/>
        <w:outlineLvl w:val="3"/>
      </w:pPr>
      <w:r>
        <w:rPr>
          <w:sz w:val="24"/>
          <w:b/>
        </w:rPr>
        <w:t>2.采购代理机构信息</w:t>
      </w:r>
    </w:p>
    <w:p>
      <w:pPr>
        <w:pStyle w:val="null3"/>
        <w:ind w:firstLine="480"/>
      </w:pPr>
      <w:r>
        <w:rPr/>
        <w:t>名称：</w:t>
      </w:r>
      <w:r>
        <w:rPr/>
        <w:t>广东明峰项目管理有限公司</w:t>
      </w:r>
    </w:p>
    <w:p>
      <w:pPr>
        <w:pStyle w:val="null3"/>
        <w:ind w:firstLine="480"/>
      </w:pPr>
      <w:r>
        <w:rPr/>
        <w:t xml:space="preserve"> 地址：</w:t>
      </w:r>
      <w:r>
        <w:rPr/>
        <w:t>湛江经济技术开发区泉庄街道人民大道中37号B栋2楼</w:t>
      </w:r>
    </w:p>
    <w:p>
      <w:pPr>
        <w:pStyle w:val="null3"/>
        <w:ind w:firstLine="480"/>
      </w:pPr>
      <w:r>
        <w:rPr/>
        <w:t xml:space="preserve"> 联系方式：</w:t>
      </w:r>
      <w:r>
        <w:rPr/>
        <w:t>0759-3333392</w:t>
      </w:r>
    </w:p>
    <w:p>
      <w:pPr>
        <w:pStyle w:val="null3"/>
        <w:outlineLvl w:val="3"/>
      </w:pPr>
      <w:r>
        <w:rPr>
          <w:sz w:val="24"/>
          <w:b/>
        </w:rPr>
        <w:t xml:space="preserve"> 3.项目联系方式</w:t>
      </w:r>
    </w:p>
    <w:p>
      <w:pPr>
        <w:pStyle w:val="null3"/>
        <w:ind w:firstLine="480"/>
      </w:pPr>
      <w:r>
        <w:rPr/>
        <w:t xml:space="preserve"> 项目联系人：</w:t>
      </w:r>
      <w:r>
        <w:rPr/>
        <w:t>彭焕原</w:t>
      </w:r>
    </w:p>
    <w:p>
      <w:pPr>
        <w:pStyle w:val="null3"/>
        <w:ind w:firstLine="480"/>
      </w:pPr>
      <w:r>
        <w:rPr/>
        <w:t xml:space="preserve"> 电话：</w:t>
      </w:r>
      <w:r>
        <w:rPr/>
        <w:t>0759-3333392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广东明峰项目管理有限公司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991"/>
        <w:gridCol w:w="5300"/>
      </w:tblGrid>
      <w:tr>
        <w:tc>
          <w:tcPr>
            <w:tcW w:type="dxa" w:w="2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5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廉江市车板镇“百千万工程”典型镇培育建设项目—六乱整治项目</w:t>
            </w:r>
          </w:p>
        </w:tc>
      </w:tr>
      <w:tr>
        <w:tc>
          <w:tcPr>
            <w:tcW w:type="dxa" w:w="2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项目预算（单位：万元）</w:t>
            </w:r>
          </w:p>
        </w:tc>
        <w:tc>
          <w:tcPr>
            <w:tcW w:type="dxa" w:w="5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246.618511万元</w:t>
            </w:r>
          </w:p>
        </w:tc>
      </w:tr>
      <w:tr>
        <w:tc>
          <w:tcPr>
            <w:tcW w:type="dxa" w:w="2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采购人单位</w:t>
            </w:r>
          </w:p>
        </w:tc>
        <w:tc>
          <w:tcPr>
            <w:tcW w:type="dxa" w:w="5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廉江市车板镇人民政府</w:t>
            </w:r>
          </w:p>
        </w:tc>
      </w:tr>
      <w:tr>
        <w:tc>
          <w:tcPr>
            <w:tcW w:type="dxa" w:w="2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负责人/联系电话</w:t>
            </w:r>
          </w:p>
        </w:tc>
        <w:tc>
          <w:tcPr>
            <w:tcW w:type="dxa" w:w="5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钟如达 0759-6374162</w:t>
            </w:r>
          </w:p>
        </w:tc>
      </w:tr>
    </w:tbl>
    <w:p>
      <w:pPr>
        <w:pStyle w:val="null3"/>
      </w:pPr>
      <w:r>
        <w:rPr/>
        <w:t>采购包1（廉江市车板镇“百千万工程”典型镇培育建设项目—六乱整治项目）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自合同签订生效之日起120日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1期：支付比例100%,按月支付，每月根据KPI进行打分，考核结果作为支付月度服务费的主要依据。 （1）考核周期 实行“月度考核 + 项目总评”制度。月度考核结果与当月服务费支付挂钩；项目总评作为续约、奖惩及未来采购的重要依据。 （2）考核主体由廉江市车板镇人民政府“整治工作领导小组”牵头，其常设办公室具体执行，并可邀请相关职能部门、社区代表参与。 （3）考核方式 采取“数据核查 + 现场随机抽查 + 影像资料复查 + 满意度调查”多维方式结合。 （4）费用支付挂钩设定每月服务费基础支付比例为90%，剩余10%作为绩效费用。每月根据考核得分（百分制）计算实际绩效费用。 例：若月服务费10万元，绩效费用占比10%（即1万元）。若某月考核得分为85分，则当月支付费用 = 9万元（基础）+ 1万元 × (85/100) = 9.85万元。</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1期：（1）符合国家相关法律法规要求； （2）按采购文件和采购合同相关规定执行。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异常低价审查：，根据《关于推动解决政府采购异常低价问题的通知》（财库〔2026〕2号）等相关规定，政府采购评审中出现下列情形之一的，评审委员会应当启动异常低价投标（响应）审查程序：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廉江市车板镇“百千万工程”典型镇培育建设项目—六乱整治项目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2,466,185.11</w:t>
            </w:r>
          </w:p>
        </w:tc>
        <w:tc>
          <w:tcPr>
            <w:tcW w:type="dxa" w:w="933"/>
          </w:tcPr>
          <w:p>
            <w:pPr>
              <w:pStyle w:val="null3"/>
              <w:jc w:val="right"/>
            </w:pPr>
            <w:r>
              <w:rPr/>
              <w:t>2,466,185.11</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廉江市车板镇“百千万工程”典型镇培育建设项目—六乱整治项目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60"/>
              <w:jc w:val="both"/>
            </w:pPr>
            <w:r>
              <w:rPr>
                <w:sz w:val="21"/>
                <w:b/>
              </w:rPr>
              <w:t>1、工作内容与范围、期限</w:t>
            </w:r>
          </w:p>
          <w:p>
            <w:pPr>
              <w:pStyle w:val="null3"/>
              <w:ind w:firstLine="420"/>
              <w:jc w:val="both"/>
            </w:pPr>
            <w:r>
              <w:rPr>
                <w:sz w:val="21"/>
              </w:rPr>
              <w:t>（1）整治范围</w:t>
            </w:r>
          </w:p>
          <w:p>
            <w:pPr>
              <w:pStyle w:val="null3"/>
              <w:ind w:firstLine="420"/>
              <w:jc w:val="both"/>
            </w:pPr>
            <w:r>
              <w:rPr>
                <w:sz w:val="21"/>
              </w:rPr>
              <w:t>本项目的整治范围，主要是廉江市车板镇镇区划定区域内的主要街道、背街小巷及公共区域。</w:t>
            </w:r>
          </w:p>
          <w:p>
            <w:pPr>
              <w:pStyle w:val="null3"/>
              <w:ind w:firstLine="420"/>
              <w:jc w:val="both"/>
            </w:pPr>
            <w:r>
              <w:rPr>
                <w:sz w:val="21"/>
              </w:rPr>
              <w:t>（2）核心整治内容</w:t>
            </w:r>
          </w:p>
          <w:p>
            <w:pPr>
              <w:pStyle w:val="null3"/>
              <w:ind w:firstLine="420"/>
              <w:jc w:val="both"/>
            </w:pPr>
            <w:r>
              <w:rPr>
                <w:sz w:val="21"/>
              </w:rPr>
              <w:t>①乱堆乱放：清理公共区域、房前屋后、巷道内无主或未经批准的废弃家具、建筑垃圾、杂物、物料等。</w:t>
            </w:r>
          </w:p>
          <w:p>
            <w:pPr>
              <w:pStyle w:val="null3"/>
              <w:ind w:firstLine="420"/>
              <w:jc w:val="both"/>
            </w:pPr>
            <w:r>
              <w:rPr>
                <w:sz w:val="21"/>
              </w:rPr>
              <w:t>②乱摆乱卖：对超出店铺门窗范围经营（店外经营）、未经批准占用公共区域设摊经营（流动摊贩）等行为进行劝导、规范，引导至指定区域或按要求进行经营。</w:t>
            </w:r>
          </w:p>
          <w:p>
            <w:pPr>
              <w:pStyle w:val="null3"/>
              <w:ind w:firstLine="420"/>
              <w:jc w:val="both"/>
            </w:pPr>
            <w:r>
              <w:rPr>
                <w:sz w:val="21"/>
              </w:rPr>
              <w:t>③乱搭乱建：对新增的、未经审批的简易棚屋、遮阳棚、构筑物等进行排查、登记、劝阻和报告；协助政府对历史存量违建进行巡查监控，防止新增。</w:t>
            </w:r>
          </w:p>
          <w:p>
            <w:pPr>
              <w:pStyle w:val="null3"/>
              <w:ind w:firstLine="420"/>
              <w:jc w:val="both"/>
            </w:pPr>
            <w:r>
              <w:rPr>
                <w:sz w:val="21"/>
              </w:rPr>
              <w:t>④乱拉乱挂：清理违规悬挂、拉设的横幅、标语、晾晒衣物、电线电缆（非主干线路，主要指私拉乱接的明线）等，对必要线路进行规范整理建议。</w:t>
            </w:r>
          </w:p>
          <w:p>
            <w:pPr>
              <w:pStyle w:val="null3"/>
              <w:ind w:firstLine="420"/>
              <w:jc w:val="both"/>
            </w:pPr>
            <w:r>
              <w:rPr>
                <w:sz w:val="21"/>
              </w:rPr>
              <w:t>⑤乱停乱放：集中整治主次干道、公共场所车辆乱停乱放行为，消除交通堵塞隐患，保障道路畅通有序。</w:t>
            </w:r>
          </w:p>
          <w:p>
            <w:pPr>
              <w:pStyle w:val="null3"/>
              <w:ind w:firstLine="420"/>
              <w:jc w:val="both"/>
            </w:pPr>
            <w:r>
              <w:rPr>
                <w:sz w:val="21"/>
              </w:rPr>
              <w:t>⑥乱贴乱画：针对镇区乱贴画问题，实施全面清理行动，清除公共区域的非法广告。</w:t>
            </w:r>
          </w:p>
          <w:p>
            <w:pPr>
              <w:pStyle w:val="null3"/>
              <w:ind w:firstLine="420"/>
              <w:jc w:val="both"/>
            </w:pPr>
            <w:r>
              <w:rPr>
                <w:sz w:val="21"/>
              </w:rPr>
              <w:t>（3）期限</w:t>
            </w:r>
          </w:p>
          <w:p>
            <w:pPr>
              <w:pStyle w:val="null3"/>
              <w:ind w:firstLine="420"/>
              <w:jc w:val="both"/>
            </w:pPr>
            <w:r>
              <w:rPr>
                <w:sz w:val="21"/>
              </w:rPr>
              <w:t>整治时间为120天，具体的起止时间以实际签订合同约定为准。</w:t>
            </w:r>
          </w:p>
          <w:p>
            <w:pPr>
              <w:pStyle w:val="null3"/>
              <w:spacing w:before="60"/>
              <w:jc w:val="both"/>
            </w:pPr>
            <w:r>
              <w:rPr>
                <w:sz w:val="21"/>
                <w:b/>
              </w:rPr>
              <w:t>2、整治工作要求</w:t>
            </w:r>
          </w:p>
          <w:p>
            <w:pPr>
              <w:pStyle w:val="null3"/>
              <w:jc w:val="both"/>
            </w:pPr>
            <w:r>
              <w:rPr>
                <w:sz w:val="21"/>
                <w:b/>
              </w:rPr>
              <w:t>2.1 基本要求</w:t>
            </w:r>
          </w:p>
          <w:p>
            <w:pPr>
              <w:pStyle w:val="null3"/>
              <w:ind w:firstLine="420"/>
              <w:jc w:val="both"/>
            </w:pPr>
            <w:r>
              <w:rPr>
                <w:sz w:val="21"/>
              </w:rPr>
              <w:t>（1）资质与团队要求</w:t>
            </w:r>
          </w:p>
          <w:p>
            <w:pPr>
              <w:pStyle w:val="null3"/>
              <w:ind w:firstLine="420"/>
              <w:jc w:val="both"/>
            </w:pPr>
            <w:r>
              <w:rPr>
                <w:sz w:val="21"/>
              </w:rPr>
              <w:t>须在合同签订后5日内，向采购人提交全部驻场人员的花名册、身份证复印件及体检报告备案。</w:t>
            </w:r>
          </w:p>
          <w:p>
            <w:pPr>
              <w:pStyle w:val="null3"/>
              <w:ind w:firstLine="420"/>
              <w:jc w:val="both"/>
            </w:pPr>
            <w:r>
              <w:rPr>
                <w:sz w:val="21"/>
              </w:rPr>
              <w:t>项目负责人必须常驻廉江市车板镇，24小时保持通讯畅通，并每周至少一次向采购人指定部门进行当面汇报。</w:t>
            </w:r>
          </w:p>
          <w:p>
            <w:pPr>
              <w:pStyle w:val="null3"/>
              <w:ind w:firstLine="420"/>
              <w:jc w:val="both"/>
            </w:pPr>
            <w:r>
              <w:rPr>
                <w:sz w:val="21"/>
              </w:rPr>
              <w:t>人员变动率每月不得超过10%，核心人员变动需提前15天书面备案。</w:t>
            </w:r>
          </w:p>
          <w:p>
            <w:pPr>
              <w:pStyle w:val="null3"/>
              <w:ind w:firstLine="420"/>
              <w:jc w:val="both"/>
            </w:pPr>
            <w:r>
              <w:rPr>
                <w:sz w:val="21"/>
              </w:rPr>
              <w:t>（2）形象与装备要求</w:t>
            </w:r>
          </w:p>
          <w:p>
            <w:pPr>
              <w:pStyle w:val="null3"/>
              <w:ind w:firstLine="420"/>
              <w:jc w:val="both"/>
            </w:pPr>
            <w:r>
              <w:rPr>
                <w:sz w:val="21"/>
              </w:rPr>
              <w:t>统一形象：所有一线人员必须穿着采购人认可的统一制式服装（含反光背心）、佩戴清晰的工作证件。服装应印有统一标识。</w:t>
            </w:r>
          </w:p>
          <w:p>
            <w:pPr>
              <w:pStyle w:val="null3"/>
              <w:ind w:firstLine="420"/>
              <w:jc w:val="both"/>
            </w:pPr>
            <w:r>
              <w:rPr>
                <w:sz w:val="21"/>
              </w:rPr>
              <w:t>标配装备：必须配备并全程开启使用工作记录仪（影像资料需留存）；巡查车辆须喷涂统一标识。</w:t>
            </w:r>
          </w:p>
          <w:p>
            <w:pPr>
              <w:pStyle w:val="null3"/>
              <w:ind w:firstLine="420"/>
              <w:jc w:val="both"/>
            </w:pPr>
            <w:r>
              <w:rPr>
                <w:sz w:val="21"/>
              </w:rPr>
              <w:t>工具器械：自备完成工作所需的全部工具、车辆（如清运车、巡查电动车）、安全防护用品，并保证其性能良好。</w:t>
            </w:r>
          </w:p>
          <w:p>
            <w:pPr>
              <w:pStyle w:val="null3"/>
              <w:jc w:val="both"/>
            </w:pPr>
            <w:r>
              <w:rPr>
                <w:sz w:val="21"/>
                <w:b/>
              </w:rPr>
              <w:t>2.2 作业规范要求</w:t>
            </w:r>
          </w:p>
          <w:p>
            <w:pPr>
              <w:pStyle w:val="null3"/>
              <w:ind w:firstLine="420"/>
              <w:jc w:val="both"/>
            </w:pPr>
            <w:r>
              <w:rPr>
                <w:sz w:val="21"/>
              </w:rPr>
              <w:t>（1）权限红线</w:t>
            </w:r>
          </w:p>
          <w:p>
            <w:pPr>
              <w:pStyle w:val="null3"/>
              <w:ind w:firstLine="420"/>
              <w:jc w:val="both"/>
            </w:pPr>
            <w:r>
              <w:rPr>
                <w:sz w:val="21"/>
              </w:rPr>
              <w:t>第三方企业没有执法权，严禁实施任何形式的行政处罚、行政强制措施（如罚款、扣押物品、强制拆除建筑物）。所有超出劝导、说服、协助范围的行为，必须立即上报并等待政府执法人员到场处理。</w:t>
            </w:r>
          </w:p>
          <w:p>
            <w:pPr>
              <w:pStyle w:val="null3"/>
              <w:ind w:firstLine="420"/>
              <w:jc w:val="both"/>
            </w:pPr>
            <w:r>
              <w:rPr>
                <w:sz w:val="21"/>
              </w:rPr>
              <w:t>（2）“三步工作法”流程</w:t>
            </w:r>
          </w:p>
          <w:p>
            <w:pPr>
              <w:pStyle w:val="null3"/>
              <w:ind w:firstLine="420"/>
              <w:jc w:val="both"/>
            </w:pPr>
            <w:r>
              <w:rPr>
                <w:sz w:val="21"/>
              </w:rPr>
              <w:t>一劝（宣传教育）：首次发现违规，以发放宣传单、口头告知等形式，宣传管理规定，要求当事人自行整改。</w:t>
            </w:r>
          </w:p>
          <w:p>
            <w:pPr>
              <w:pStyle w:val="null3"/>
              <w:ind w:firstLine="420"/>
              <w:jc w:val="both"/>
            </w:pPr>
            <w:r>
              <w:rPr>
                <w:sz w:val="21"/>
              </w:rPr>
              <w:t>二记（取证锁定）：对劝阻无效或当事人不在场的，进行多角度拍照、录像取证，准确记录时间、地点、物品特征。</w:t>
            </w:r>
          </w:p>
          <w:p>
            <w:pPr>
              <w:pStyle w:val="null3"/>
              <w:ind w:firstLine="420"/>
              <w:jc w:val="both"/>
            </w:pPr>
            <w:r>
              <w:rPr>
                <w:sz w:val="21"/>
              </w:rPr>
              <w:t>三报（上报联动）：将完整证据链和信息即时上报。对于安全隐患、激烈对抗等紧急情况，必须立即电话报告。</w:t>
            </w:r>
          </w:p>
          <w:p>
            <w:pPr>
              <w:pStyle w:val="null3"/>
              <w:ind w:firstLine="420"/>
              <w:jc w:val="both"/>
            </w:pPr>
            <w:r>
              <w:rPr>
                <w:sz w:val="21"/>
              </w:rPr>
              <w:t>（3）分类处置标准</w:t>
            </w:r>
          </w:p>
          <w:p>
            <w:pPr>
              <w:pStyle w:val="null3"/>
              <w:ind w:firstLine="420"/>
              <w:jc w:val="both"/>
            </w:pPr>
            <w:r>
              <w:rPr>
                <w:sz w:val="21"/>
              </w:rPr>
              <w:t>对乱堆乱放：区分有主物与无主垃圾。有主物须找到物主并劝导清理；无主垃圾或废弃物，经现场管理人员确认后，方可进行清理清运。</w:t>
            </w:r>
          </w:p>
          <w:p>
            <w:pPr>
              <w:pStyle w:val="null3"/>
              <w:ind w:firstLine="420"/>
              <w:jc w:val="both"/>
            </w:pPr>
            <w:r>
              <w:rPr>
                <w:sz w:val="21"/>
              </w:rPr>
              <w:t>对乱摆乱卖：以引导至指定区域或合规经营为主，严禁发生肢体冲突或辱骂行为。对反复出现的“钉子户”，重点记录、重点上报。</w:t>
            </w:r>
          </w:p>
          <w:p>
            <w:pPr>
              <w:pStyle w:val="null3"/>
              <w:ind w:firstLine="420"/>
              <w:jc w:val="both"/>
            </w:pPr>
            <w:r>
              <w:rPr>
                <w:sz w:val="21"/>
              </w:rPr>
              <w:t>对乱搭乱建：仅限于对正在搭建的、简易的、可逆的构筑物进行劝阻和上报。对已建成的、结构复杂的疑似违建，只负责日常巡查监控，发现动工迹象立即上报，不得进行任何干预。</w:t>
            </w:r>
          </w:p>
          <w:p>
            <w:pPr>
              <w:pStyle w:val="null3"/>
              <w:ind w:firstLine="420"/>
              <w:jc w:val="both"/>
            </w:pPr>
            <w:r>
              <w:rPr>
                <w:sz w:val="21"/>
              </w:rPr>
              <w:t>对乱拉乱挂：对可清除的横幅、晾晒衣物等，在劝导无效后可进行清除并妥善保管（如可能）。对电力、通信等专业线路，只负责报告其杂乱情况，不得触碰。</w:t>
            </w:r>
          </w:p>
          <w:p>
            <w:pPr>
              <w:pStyle w:val="null3"/>
              <w:ind w:firstLine="420"/>
              <w:jc w:val="both"/>
            </w:pPr>
            <w:r>
              <w:rPr>
                <w:sz w:val="21"/>
              </w:rPr>
              <w:t>对乱停乱放：对于非机动车，劝导车主停入划线区域。对未按规定停放且车主不在现场的，需拍照记录位置。对于机动车，对正在停放的驾驶人，劝导其驶离或停入车位。对已停放车辆，严禁锁车、贴单、拖曳。可采取“温馨提示单”（印有劝导语）放置于车窗的方式进行提醒。对于堵塞消防通道、急救通道、主要出入口的车辆：立即通过广播、上门寻找等方式联系车主移车。若无法联系，立即电话报告公安交警或消防部门，并现场守护至执法人员到达。对长期违停的“僵尸车”、反复违停的重点车辆，进行拍照取证（车牌、违停地点、时间）并系统上报。</w:t>
            </w:r>
          </w:p>
          <w:p>
            <w:pPr>
              <w:pStyle w:val="null3"/>
              <w:ind w:firstLine="420"/>
              <w:jc w:val="both"/>
            </w:pPr>
            <w:r>
              <w:rPr>
                <w:sz w:val="21"/>
              </w:rPr>
              <w:t>对乱贴乱画：对于小广告、海报等张贴物，需配备专业清理工具（如铲刀、喷壶、除胶剂）。发现后，原则上应进行清理。清理时需注意方法，避免损坏建筑物原有表面。对于喷涂、刻写的小广告或涂鸦，可使用相近颜色的涂料进行覆盖。覆盖需整洁、规整。清理过程中如发现涉黄、涉赌、涉诈等违法广告，或有组织、高频次的张贴行为，需保留证据并专项上报。对高空、难以清理的位置，上报后需确保规范、安全操作。</w:t>
            </w:r>
          </w:p>
          <w:p>
            <w:pPr>
              <w:pStyle w:val="null3"/>
              <w:jc w:val="both"/>
            </w:pPr>
            <w:r>
              <w:rPr>
                <w:sz w:val="21"/>
                <w:b/>
              </w:rPr>
              <w:t>2.3 管理与报告要求</w:t>
            </w:r>
          </w:p>
          <w:p>
            <w:pPr>
              <w:pStyle w:val="null3"/>
              <w:ind w:firstLine="420"/>
              <w:jc w:val="both"/>
            </w:pPr>
            <w:r>
              <w:rPr>
                <w:sz w:val="21"/>
              </w:rPr>
              <w:t>（1）网格化巡查制度</w:t>
            </w:r>
          </w:p>
          <w:p>
            <w:pPr>
              <w:pStyle w:val="null3"/>
              <w:ind w:firstLine="420"/>
              <w:jc w:val="both"/>
            </w:pPr>
            <w:r>
              <w:rPr>
                <w:sz w:val="21"/>
              </w:rPr>
              <w:t>必须制定详细的网格化巡查方案，明确每个网格的责任人、巡查路线、频次（重点区域每日不少于4次，一般区域不少于2次）。</w:t>
            </w:r>
          </w:p>
          <w:p>
            <w:pPr>
              <w:pStyle w:val="null3"/>
              <w:ind w:firstLine="420"/>
              <w:jc w:val="both"/>
            </w:pPr>
            <w:r>
              <w:rPr>
                <w:sz w:val="21"/>
              </w:rPr>
              <w:t>（2）信息化报告制度</w:t>
            </w:r>
          </w:p>
          <w:p>
            <w:pPr>
              <w:pStyle w:val="null3"/>
              <w:ind w:firstLine="420"/>
              <w:jc w:val="both"/>
            </w:pPr>
            <w:r>
              <w:rPr>
                <w:sz w:val="21"/>
              </w:rPr>
              <w:t>问题上报采用“图片+文字+定位+时间”形式。</w:t>
            </w:r>
          </w:p>
          <w:p>
            <w:pPr>
              <w:pStyle w:val="null3"/>
              <w:ind w:firstLine="420"/>
              <w:jc w:val="both"/>
            </w:pPr>
            <w:r>
              <w:rPr>
                <w:sz w:val="21"/>
              </w:rPr>
              <w:t>每日上午9点前报送前一日《工作日报》，每周一报送《上周工作总结与本周计划》，每月5日前报送《月度综合分析与数据报告》。</w:t>
            </w:r>
          </w:p>
          <w:p>
            <w:pPr>
              <w:pStyle w:val="null3"/>
              <w:ind w:firstLine="420"/>
              <w:jc w:val="both"/>
            </w:pPr>
            <w:r>
              <w:rPr>
                <w:sz w:val="21"/>
              </w:rPr>
              <w:t>（3）台账与档案管理</w:t>
            </w:r>
          </w:p>
          <w:p>
            <w:pPr>
              <w:pStyle w:val="null3"/>
              <w:ind w:firstLine="420"/>
              <w:jc w:val="both"/>
            </w:pPr>
            <w:r>
              <w:rPr>
                <w:sz w:val="21"/>
              </w:rPr>
              <w:t>建立“一店一档”、“一难一策”的动态管理台账，记录重点商户、难点问题的整治历程。</w:t>
            </w:r>
          </w:p>
          <w:p>
            <w:pPr>
              <w:pStyle w:val="null3"/>
              <w:ind w:firstLine="420"/>
              <w:jc w:val="both"/>
            </w:pPr>
            <w:r>
              <w:rPr>
                <w:sz w:val="21"/>
              </w:rPr>
              <w:t>所有工作记录仪影像、上报单据、考核文件需分类存档，合同期满后一并移交采购人。</w:t>
            </w:r>
          </w:p>
          <w:p>
            <w:pPr>
              <w:pStyle w:val="null3"/>
              <w:jc w:val="both"/>
            </w:pPr>
            <w:r>
              <w:rPr>
                <w:sz w:val="21"/>
                <w:b/>
              </w:rPr>
              <w:t>2.4 安全与纪律要求</w:t>
            </w:r>
          </w:p>
          <w:p>
            <w:pPr>
              <w:pStyle w:val="null3"/>
              <w:ind w:firstLine="420"/>
              <w:jc w:val="both"/>
            </w:pPr>
            <w:r>
              <w:rPr>
                <w:sz w:val="21"/>
              </w:rPr>
              <w:t>（1）安全作业</w:t>
            </w:r>
          </w:p>
          <w:p>
            <w:pPr>
              <w:pStyle w:val="null3"/>
              <w:ind w:firstLine="420"/>
              <w:jc w:val="both"/>
            </w:pPr>
            <w:r>
              <w:rPr>
                <w:sz w:val="21"/>
              </w:rPr>
              <w:t>开展作业时必须设置安全警示区域，清运过程符合安全操作规范。须为全体工作人员购买足额人身意外伤害保险和公众责任险。</w:t>
            </w:r>
          </w:p>
          <w:p>
            <w:pPr>
              <w:pStyle w:val="null3"/>
              <w:ind w:firstLine="420"/>
              <w:jc w:val="both"/>
            </w:pPr>
            <w:r>
              <w:rPr>
                <w:sz w:val="21"/>
              </w:rPr>
              <w:t>（2）廉洁与纪律</w:t>
            </w:r>
          </w:p>
          <w:p>
            <w:pPr>
              <w:pStyle w:val="null3"/>
              <w:ind w:firstLine="420"/>
              <w:jc w:val="both"/>
            </w:pPr>
            <w:r>
              <w:rPr>
                <w:sz w:val="21"/>
              </w:rPr>
              <w:t>严禁任何人员接受管理对象的吃请、馈赠或存在任何利益往来。</w:t>
            </w:r>
          </w:p>
          <w:p>
            <w:pPr>
              <w:pStyle w:val="null3"/>
              <w:ind w:firstLine="420"/>
              <w:jc w:val="both"/>
            </w:pPr>
            <w:r>
              <w:rPr>
                <w:sz w:val="21"/>
              </w:rPr>
              <w:t>严禁“以权谋私”，如向管理对象收取“管理费”、“保洁费”等。</w:t>
            </w:r>
          </w:p>
          <w:p>
            <w:pPr>
              <w:pStyle w:val="null3"/>
              <w:ind w:firstLine="420"/>
              <w:jc w:val="both"/>
            </w:pPr>
            <w:r>
              <w:rPr>
                <w:sz w:val="21"/>
              </w:rPr>
              <w:t>严禁与群众发生争吵、打架等冲突事件。遇到辱骂、威胁等情况，应保持克制，迅速撤离并报警。</w:t>
            </w:r>
          </w:p>
          <w:p>
            <w:pPr>
              <w:pStyle w:val="null3"/>
              <w:ind w:firstLine="420"/>
              <w:jc w:val="both"/>
            </w:pPr>
            <w:r>
              <w:rPr>
                <w:sz w:val="21"/>
              </w:rPr>
              <w:t>对工作中知悉的任何信息负有责任。未经采购人许可，任何人员不得接受媒体采访，不得在社交平台发布与项目工作相关的图文、音视频。</w:t>
            </w:r>
          </w:p>
          <w:p>
            <w:pPr>
              <w:pStyle w:val="null3"/>
              <w:spacing w:before="60"/>
              <w:jc w:val="both"/>
            </w:pPr>
            <w:r>
              <w:rPr>
                <w:sz w:val="21"/>
                <w:b/>
              </w:rPr>
              <w:t>3、工作流程与部门协调配合</w:t>
            </w:r>
          </w:p>
          <w:p>
            <w:pPr>
              <w:pStyle w:val="null3"/>
              <w:ind w:firstLine="420"/>
              <w:jc w:val="both"/>
            </w:pPr>
            <w:r>
              <w:rPr>
                <w:sz w:val="21"/>
              </w:rPr>
              <w:t>（1）日常巡查与发现</w:t>
            </w:r>
          </w:p>
          <w:p>
            <w:pPr>
              <w:pStyle w:val="null3"/>
              <w:ind w:firstLine="420"/>
              <w:jc w:val="both"/>
            </w:pPr>
            <w:r>
              <w:rPr>
                <w:sz w:val="21"/>
              </w:rPr>
              <w:t>按网格化分工，每日对责任区域进行不间断巡查，利用工作工具实时上报发现的问题（如文字、照片、定位等）。</w:t>
            </w:r>
          </w:p>
          <w:p>
            <w:pPr>
              <w:pStyle w:val="null3"/>
              <w:ind w:firstLine="420"/>
              <w:jc w:val="both"/>
            </w:pPr>
            <w:r>
              <w:rPr>
                <w:sz w:val="21"/>
              </w:rPr>
              <w:t>（2）现场劝导与处置</w:t>
            </w:r>
          </w:p>
          <w:p>
            <w:pPr>
              <w:pStyle w:val="null3"/>
              <w:ind w:firstLine="420"/>
              <w:jc w:val="both"/>
            </w:pPr>
            <w:r>
              <w:rPr>
                <w:sz w:val="21"/>
              </w:rPr>
              <w:t>对轻微违规行为，现场进行文明劝导，宣传相关规定，协助当事人立即整改（如收回店外商品、清理少量杂物）。对需要工具清理的无主杂物、废弃物，在报请镇主管部门现场确认后，组织人员进行清理、清运。</w:t>
            </w:r>
          </w:p>
          <w:p>
            <w:pPr>
              <w:pStyle w:val="null3"/>
              <w:ind w:firstLine="420"/>
              <w:jc w:val="both"/>
            </w:pPr>
            <w:r>
              <w:rPr>
                <w:sz w:val="21"/>
              </w:rPr>
              <w:t>（3）上报与联动</w:t>
            </w:r>
          </w:p>
          <w:p>
            <w:pPr>
              <w:pStyle w:val="null3"/>
              <w:ind w:firstLine="420"/>
              <w:jc w:val="both"/>
            </w:pPr>
            <w:r>
              <w:rPr>
                <w:sz w:val="21"/>
              </w:rPr>
              <w:t>对经多次劝导无效、拒绝整改的当事人或商户，详细记录情况（时间、地点、人物、事件、影像），形成《违规行为劝阻无效报告单》，每日定时报送至廉江市车板镇指定的主管部门。对发现的安全隐患、疑似新增违建、需要专业力量处置的难点问题，立即电话报告并提交正式报告。配合镇政府组织的集中整治行动，提供前期排查信息、现场辅助秩序维护、后期巡查固守等服务。</w:t>
            </w:r>
          </w:p>
          <w:p>
            <w:pPr>
              <w:pStyle w:val="null3"/>
              <w:ind w:firstLine="420"/>
              <w:jc w:val="both"/>
            </w:pPr>
            <w:r>
              <w:rPr>
                <w:sz w:val="21"/>
              </w:rPr>
              <w:t>（4）记录与归档</w:t>
            </w:r>
          </w:p>
          <w:p>
            <w:pPr>
              <w:pStyle w:val="null3"/>
              <w:ind w:firstLine="420"/>
              <w:jc w:val="both"/>
            </w:pPr>
            <w:r>
              <w:rPr>
                <w:sz w:val="21"/>
              </w:rPr>
              <w:t>为一线人员配备工作记录仪，关键劝导过程必须录音录像。建立电子化工作台账，记录每日巡查轨迹、处理事项、上报问题及处理结果反馈，定期向镇政府提交工作报告和数据统计分析。</w:t>
            </w:r>
          </w:p>
          <w:p>
            <w:pPr>
              <w:pStyle w:val="null3"/>
              <w:spacing w:before="60"/>
              <w:jc w:val="both"/>
            </w:pPr>
            <w:r>
              <w:rPr>
                <w:sz w:val="21"/>
                <w:b/>
              </w:rPr>
              <w:t>4、人员、车辆、工具器械配备要求</w:t>
            </w:r>
          </w:p>
          <w:p>
            <w:pPr>
              <w:pStyle w:val="null3"/>
              <w:ind w:firstLine="420"/>
              <w:jc w:val="both"/>
            </w:pPr>
            <w:r>
              <w:rPr>
                <w:sz w:val="21"/>
              </w:rPr>
              <w:t>（1）人员配置</w:t>
            </w:r>
          </w:p>
          <w:p>
            <w:pPr>
              <w:pStyle w:val="null3"/>
              <w:ind w:firstLine="420"/>
              <w:jc w:val="both"/>
            </w:pPr>
            <w:r>
              <w:rPr>
                <w:sz w:val="21"/>
              </w:rPr>
              <w:t>项目负责人（1名）：全权负责项目对接、团队管理、应急处理，常驻镇政府或指定办公点。</w:t>
            </w:r>
          </w:p>
          <w:p>
            <w:pPr>
              <w:pStyle w:val="null3"/>
              <w:ind w:firstLine="420"/>
              <w:jc w:val="both"/>
            </w:pPr>
            <w:r>
              <w:rPr>
                <w:sz w:val="21"/>
              </w:rPr>
              <w:t>拆除小组（6名）：整治主次干道及沿街违法乱搭乱建现象，依法拆除破旧雨篷、遮阳蓬、铁皮棚等临时构筑物，以及违规商业广告和招牌等附属设施。对道路两旁和公共场所的各类违规标语、横幅、帐篷、空中管线等乱拉挂行为进行全面清理。</w:t>
            </w:r>
          </w:p>
          <w:p>
            <w:pPr>
              <w:pStyle w:val="null3"/>
              <w:ind w:firstLine="420"/>
              <w:jc w:val="both"/>
            </w:pPr>
            <w:r>
              <w:rPr>
                <w:sz w:val="21"/>
              </w:rPr>
              <w:t>搬运小组（6名）：负责对已批准清理的杂物进行搬运。全面清理道路两旁及公共场所、废品收购点、房前屋后、街巷边角、老旧居民区和农贸市场等公共区域乱堆放的各类杂物。包括但不限于雪糕筒、灯箱、广告牌等杂物。</w:t>
            </w:r>
          </w:p>
          <w:p>
            <w:pPr>
              <w:pStyle w:val="null3"/>
              <w:ind w:firstLine="420"/>
              <w:jc w:val="both"/>
            </w:pPr>
            <w:r>
              <w:rPr>
                <w:sz w:val="21"/>
              </w:rPr>
              <w:t>清理小组（3名）：对乱贴画问题，实施全面清理行动，清除公共区域的非法广告。工作内容不包含街道卫生保洁。</w:t>
            </w:r>
          </w:p>
          <w:p>
            <w:pPr>
              <w:pStyle w:val="null3"/>
              <w:ind w:firstLine="420"/>
              <w:jc w:val="both"/>
            </w:pPr>
            <w:r>
              <w:rPr>
                <w:sz w:val="21"/>
              </w:rPr>
              <w:t>安保小组（25名）：全面整治主次干道及沿街的占道经营、流动摊贩无序经营、固定商户店外经营、跨门经营、店外修理和加工等违法违规行为。整治主次干道、公共场所车辆乱停乱放行为，消除交通堵塞隐患，保障道路畅通有序。</w:t>
            </w:r>
          </w:p>
          <w:p>
            <w:pPr>
              <w:pStyle w:val="null3"/>
              <w:ind w:firstLine="420"/>
              <w:jc w:val="both"/>
            </w:pPr>
            <w:r>
              <w:rPr>
                <w:sz w:val="21"/>
              </w:rPr>
              <w:t>司机（3名）：驾驶装载自卸车辆，配合拆除、搬运等工作。</w:t>
            </w:r>
          </w:p>
          <w:p>
            <w:pPr>
              <w:pStyle w:val="null3"/>
              <w:ind w:firstLine="420"/>
              <w:jc w:val="both"/>
            </w:pPr>
            <w:r>
              <w:rPr>
                <w:sz w:val="21"/>
              </w:rPr>
              <w:t>所有人员需统一着装（含反光标识）、佩戴工牌、配备工作记录仪，并接受岗前培训（法规、礼仪、安全、流程）。</w:t>
            </w:r>
          </w:p>
          <w:p>
            <w:pPr>
              <w:pStyle w:val="null3"/>
              <w:ind w:firstLine="420"/>
              <w:jc w:val="both"/>
            </w:pPr>
            <w:r>
              <w:rPr>
                <w:sz w:val="21"/>
              </w:rPr>
              <w:t>具体工作情况列表如下：</w:t>
            </w:r>
          </w:p>
          <w:p>
            <w:pPr>
              <w:pStyle w:val="null3"/>
              <w:jc w:val="center"/>
            </w:pPr>
            <w:r>
              <w:rPr>
                <w:sz w:val="21"/>
              </w:rPr>
              <w:t>人员配置表</w:t>
            </w:r>
          </w:p>
          <w:tbl>
            <w:tblPr>
              <w:tblBorders>
                <w:top w:val="none" w:color="000000" w:sz="4"/>
                <w:left w:val="none" w:color="000000" w:sz="4"/>
                <w:bottom w:val="none" w:color="000000" w:sz="4"/>
                <w:right w:val="none" w:color="000000" w:sz="4"/>
                <w:insideH w:val="none"/>
                <w:insideV w:val="none"/>
              </w:tblBorders>
            </w:tblPr>
            <w:tblGrid>
              <w:gridCol w:w="815"/>
              <w:gridCol w:w="1298"/>
              <w:gridCol w:w="966"/>
              <w:gridCol w:w="1433"/>
              <w:gridCol w:w="1086"/>
            </w:tblGrid>
            <w:tr>
              <w:tc>
                <w:tcPr>
                  <w:tcW w:type="dxa" w:w="81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129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岗位</w:t>
                  </w:r>
                </w:p>
              </w:tc>
              <w:tc>
                <w:tcPr>
                  <w:tcW w:type="dxa" w:w="96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c>
                <w:tcPr>
                  <w:tcW w:type="dxa" w:w="14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工作时长</w:t>
                  </w:r>
                </w:p>
              </w:tc>
              <w:tc>
                <w:tcPr>
                  <w:tcW w:type="dxa" w:w="108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工作天数</w:t>
                  </w:r>
                </w:p>
              </w:tc>
            </w:tr>
            <w:tr>
              <w:tc>
                <w:tcPr>
                  <w:tcW w:type="dxa" w:w="81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29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项目负责人</w:t>
                  </w:r>
                </w:p>
              </w:tc>
              <w:tc>
                <w:tcPr>
                  <w:tcW w:type="dxa" w:w="9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1名</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8小时/天</w:t>
                  </w:r>
                </w:p>
              </w:tc>
              <w:tc>
                <w:tcPr>
                  <w:tcW w:type="dxa" w:w="108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120天</w:t>
                  </w:r>
                </w:p>
              </w:tc>
            </w:tr>
            <w:tr>
              <w:tc>
                <w:tcPr>
                  <w:tcW w:type="dxa" w:w="81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129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拆除小组</w:t>
                  </w:r>
                </w:p>
              </w:tc>
              <w:tc>
                <w:tcPr>
                  <w:tcW w:type="dxa" w:w="9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6名</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8小时/天</w:t>
                  </w:r>
                </w:p>
              </w:tc>
              <w:tc>
                <w:tcPr>
                  <w:tcW w:type="dxa" w:w="108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120天</w:t>
                  </w:r>
                </w:p>
              </w:tc>
            </w:tr>
            <w:tr>
              <w:tc>
                <w:tcPr>
                  <w:tcW w:type="dxa" w:w="81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129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搬运小组</w:t>
                  </w:r>
                </w:p>
              </w:tc>
              <w:tc>
                <w:tcPr>
                  <w:tcW w:type="dxa" w:w="9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6名</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8小时/天</w:t>
                  </w:r>
                </w:p>
              </w:tc>
              <w:tc>
                <w:tcPr>
                  <w:tcW w:type="dxa" w:w="108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120天</w:t>
                  </w:r>
                </w:p>
              </w:tc>
            </w:tr>
            <w:tr>
              <w:tc>
                <w:tcPr>
                  <w:tcW w:type="dxa" w:w="81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129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清理小组</w:t>
                  </w:r>
                </w:p>
              </w:tc>
              <w:tc>
                <w:tcPr>
                  <w:tcW w:type="dxa" w:w="9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3名</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8小时/天</w:t>
                  </w:r>
                </w:p>
              </w:tc>
              <w:tc>
                <w:tcPr>
                  <w:tcW w:type="dxa" w:w="108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120天</w:t>
                  </w:r>
                </w:p>
              </w:tc>
            </w:tr>
            <w:tr>
              <w:tc>
                <w:tcPr>
                  <w:tcW w:type="dxa" w:w="81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129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安保小组</w:t>
                  </w:r>
                </w:p>
              </w:tc>
              <w:tc>
                <w:tcPr>
                  <w:tcW w:type="dxa" w:w="9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25名</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8小时/天</w:t>
                  </w:r>
                </w:p>
              </w:tc>
              <w:tc>
                <w:tcPr>
                  <w:tcW w:type="dxa" w:w="108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120天</w:t>
                  </w:r>
                </w:p>
              </w:tc>
            </w:tr>
            <w:tr>
              <w:tc>
                <w:tcPr>
                  <w:tcW w:type="dxa" w:w="81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129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司机</w:t>
                  </w:r>
                </w:p>
              </w:tc>
              <w:tc>
                <w:tcPr>
                  <w:tcW w:type="dxa" w:w="9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3名</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8小时/天</w:t>
                  </w:r>
                </w:p>
              </w:tc>
              <w:tc>
                <w:tcPr>
                  <w:tcW w:type="dxa" w:w="108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120天</w:t>
                  </w:r>
                </w:p>
              </w:tc>
            </w:tr>
          </w:tbl>
          <w:p>
            <w:pPr>
              <w:pStyle w:val="null3"/>
              <w:ind w:firstLine="420"/>
              <w:jc w:val="both"/>
            </w:pPr>
            <w:r>
              <w:rPr>
                <w:sz w:val="21"/>
              </w:rPr>
              <w:t>（2）车辆配置</w:t>
            </w:r>
          </w:p>
          <w:p>
            <w:pPr>
              <w:pStyle w:val="null3"/>
              <w:ind w:firstLine="420"/>
              <w:jc w:val="both"/>
            </w:pPr>
            <w:r>
              <w:rPr>
                <w:sz w:val="21"/>
              </w:rPr>
              <w:t>清运车辆：手扶农用车3辆，用于运输清理物品。</w:t>
            </w:r>
          </w:p>
          <w:p>
            <w:pPr>
              <w:pStyle w:val="null3"/>
              <w:jc w:val="center"/>
            </w:pPr>
            <w:r>
              <w:rPr>
                <w:sz w:val="21"/>
              </w:rPr>
              <w:t>车辆配置表</w:t>
            </w:r>
          </w:p>
          <w:tbl>
            <w:tblPr>
              <w:tblBorders>
                <w:top w:val="none" w:color="000000" w:sz="4"/>
                <w:left w:val="none" w:color="000000" w:sz="4"/>
                <w:bottom w:val="none" w:color="000000" w:sz="4"/>
                <w:right w:val="none" w:color="000000" w:sz="4"/>
                <w:insideH w:val="none"/>
                <w:insideV w:val="none"/>
              </w:tblBorders>
            </w:tblPr>
            <w:tblGrid>
              <w:gridCol w:w="815"/>
              <w:gridCol w:w="1298"/>
              <w:gridCol w:w="770"/>
              <w:gridCol w:w="875"/>
              <w:gridCol w:w="1841"/>
            </w:tblGrid>
            <w:tr>
              <w:tc>
                <w:tcPr>
                  <w:tcW w:type="dxa" w:w="81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129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车辆</w:t>
                  </w:r>
                </w:p>
              </w:tc>
              <w:tc>
                <w:tcPr>
                  <w:tcW w:type="dxa" w:w="77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规格</w:t>
                  </w:r>
                </w:p>
              </w:tc>
              <w:tc>
                <w:tcPr>
                  <w:tcW w:type="dxa" w:w="87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c>
                <w:tcPr>
                  <w:tcW w:type="dxa" w:w="184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整治期内每辆车工作台班</w:t>
                  </w:r>
                </w:p>
              </w:tc>
            </w:tr>
            <w:tr>
              <w:tc>
                <w:tcPr>
                  <w:tcW w:type="dxa" w:w="81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29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装载自卸车</w:t>
                  </w:r>
                </w:p>
              </w:tc>
              <w:tc>
                <w:tcPr>
                  <w:tcW w:type="dxa" w:w="7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5m</w:t>
                  </w:r>
                  <w:r>
                    <w:rPr>
                      <w:sz w:val="21"/>
                      <w:vertAlign w:val="superscript"/>
                    </w:rPr>
                    <w:t>3</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3辆</w:t>
                  </w:r>
                </w:p>
              </w:tc>
              <w:tc>
                <w:tcPr>
                  <w:tcW w:type="dxa" w:w="18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w:t>
                  </w:r>
                </w:p>
              </w:tc>
            </w:tr>
          </w:tbl>
          <w:p>
            <w:pPr>
              <w:pStyle w:val="null3"/>
              <w:ind w:firstLine="420"/>
              <w:jc w:val="both"/>
            </w:pPr>
            <w:r>
              <w:rPr>
                <w:sz w:val="21"/>
                <w:b/>
              </w:rPr>
              <w:t>5、组织和保障</w:t>
            </w:r>
          </w:p>
          <w:p>
            <w:pPr>
              <w:pStyle w:val="null3"/>
              <w:ind w:firstLine="420"/>
              <w:jc w:val="both"/>
            </w:pPr>
            <w:r>
              <w:rPr>
                <w:sz w:val="21"/>
              </w:rPr>
              <w:t>为确保廉江市车板镇“百千万工程”典型镇培育建设项目—六乱整治项目顺利实施并实现预期整治效果和长效管理，政府部门必须发挥主导、监督和保障作用。</w:t>
            </w:r>
          </w:p>
          <w:p>
            <w:pPr>
              <w:pStyle w:val="null3"/>
              <w:jc w:val="both"/>
            </w:pPr>
            <w:r>
              <w:rPr>
                <w:sz w:val="21"/>
                <w:b/>
              </w:rPr>
              <w:t>5.1 组织领导与机制保障</w:t>
            </w:r>
          </w:p>
          <w:p>
            <w:pPr>
              <w:pStyle w:val="null3"/>
              <w:ind w:firstLine="420"/>
              <w:jc w:val="both"/>
            </w:pPr>
            <w:r>
              <w:rPr>
                <w:sz w:val="21"/>
              </w:rPr>
              <w:t>（1）成立专项领导小组</w:t>
            </w:r>
          </w:p>
          <w:p>
            <w:pPr>
              <w:pStyle w:val="null3"/>
              <w:ind w:firstLine="420"/>
              <w:jc w:val="both"/>
            </w:pPr>
            <w:r>
              <w:rPr>
                <w:sz w:val="21"/>
              </w:rPr>
              <w:t>成立由镇主要领导任组长，综合行政执法办公室、规划建设办、应急管理办、派出所、市场监管所、村（居）委等部门负责人为成员的“整治工作领导小组”。负责项目的顶层设计、重大决策、部门协调和应急指挥。</w:t>
            </w:r>
          </w:p>
          <w:p>
            <w:pPr>
              <w:pStyle w:val="null3"/>
              <w:ind w:firstLine="420"/>
              <w:jc w:val="both"/>
            </w:pPr>
            <w:r>
              <w:rPr>
                <w:sz w:val="21"/>
              </w:rPr>
              <w:t>（2）设立联动办公室</w:t>
            </w:r>
          </w:p>
          <w:p>
            <w:pPr>
              <w:pStyle w:val="null3"/>
              <w:ind w:firstLine="420"/>
              <w:jc w:val="both"/>
            </w:pPr>
            <w:r>
              <w:rPr>
                <w:sz w:val="21"/>
              </w:rPr>
              <w:t>在领导小组下设立办公室，作为与中标人（成交人）的日常对接、指挥调度、考核监督中枢。建立“日常联络员”制度，确保信息24小时畅通。</w:t>
            </w:r>
          </w:p>
          <w:p>
            <w:pPr>
              <w:pStyle w:val="null3"/>
              <w:ind w:firstLine="420"/>
              <w:jc w:val="both"/>
            </w:pPr>
            <w:r>
              <w:rPr>
                <w:sz w:val="21"/>
              </w:rPr>
              <w:t>（3）建立联席会议制度</w:t>
            </w:r>
          </w:p>
          <w:p>
            <w:pPr>
              <w:pStyle w:val="null3"/>
              <w:ind w:firstLine="420"/>
              <w:jc w:val="both"/>
            </w:pPr>
            <w:r>
              <w:rPr>
                <w:sz w:val="21"/>
              </w:rPr>
              <w:t>每月至少召开一次联席会议，由领导小组召集，中标人（成交人）项目负责人列席。通报进展、研判难点、部署联合行动，确保问题闭环处理。</w:t>
            </w:r>
          </w:p>
          <w:p>
            <w:pPr>
              <w:pStyle w:val="null3"/>
              <w:jc w:val="both"/>
            </w:pPr>
            <w:r>
              <w:rPr>
                <w:sz w:val="21"/>
                <w:b/>
              </w:rPr>
              <w:t>5.2 法规与政策保障</w:t>
            </w:r>
          </w:p>
          <w:p>
            <w:pPr>
              <w:pStyle w:val="null3"/>
              <w:ind w:firstLine="420"/>
              <w:jc w:val="both"/>
            </w:pPr>
            <w:r>
              <w:rPr>
                <w:sz w:val="21"/>
              </w:rPr>
              <w:t>（1）明确授权与工作边界</w:t>
            </w:r>
          </w:p>
          <w:p>
            <w:pPr>
              <w:pStyle w:val="null3"/>
              <w:ind w:firstLine="420"/>
              <w:jc w:val="both"/>
            </w:pPr>
            <w:r>
              <w:rPr>
                <w:sz w:val="21"/>
              </w:rPr>
              <w:t>向社会公布“六乱”整治服务具体工作职责和权限边界，所有执法行为必须由政府部门人员实施。</w:t>
            </w:r>
          </w:p>
          <w:p>
            <w:pPr>
              <w:pStyle w:val="null3"/>
              <w:ind w:firstLine="420"/>
              <w:jc w:val="both"/>
            </w:pPr>
            <w:r>
              <w:rPr>
                <w:sz w:val="21"/>
              </w:rPr>
              <w:t>（2）梳理并公开整治标准</w:t>
            </w:r>
          </w:p>
          <w:p>
            <w:pPr>
              <w:pStyle w:val="null3"/>
              <w:ind w:firstLine="420"/>
              <w:jc w:val="both"/>
            </w:pPr>
            <w:r>
              <w:rPr>
                <w:sz w:val="21"/>
              </w:rPr>
              <w:t>明确“堆、摆、建、挂、停、贴”的合法合规与违法违规界限，如“门前三包”范围、可摆放物品尺寸、广告设置规范等。让商户、居民和中标人（成交人）都有章可循。</w:t>
            </w:r>
          </w:p>
          <w:p>
            <w:pPr>
              <w:pStyle w:val="null3"/>
              <w:ind w:firstLine="420"/>
              <w:jc w:val="both"/>
            </w:pPr>
            <w:r>
              <w:rPr>
                <w:sz w:val="21"/>
              </w:rPr>
              <w:t>（3）制定应急预案</w:t>
            </w:r>
          </w:p>
          <w:p>
            <w:pPr>
              <w:pStyle w:val="null3"/>
              <w:ind w:firstLine="420"/>
              <w:jc w:val="both"/>
            </w:pPr>
            <w:r>
              <w:rPr>
                <w:sz w:val="21"/>
              </w:rPr>
              <w:t>针对整治中可能出现的抗拒、冲突、投诉等，制定详细的应急预案。明确公安、司法、信访等部门在预案中的介入时机和流程，为整治工作提供“后方支援”。</w:t>
            </w:r>
          </w:p>
          <w:p>
            <w:pPr>
              <w:pStyle w:val="null3"/>
              <w:jc w:val="both"/>
            </w:pPr>
            <w:r>
              <w:rPr>
                <w:sz w:val="21"/>
                <w:b/>
              </w:rPr>
              <w:t>5.3 宣传引导与社会动员</w:t>
            </w:r>
          </w:p>
          <w:p>
            <w:pPr>
              <w:pStyle w:val="null3"/>
              <w:ind w:firstLine="420"/>
              <w:jc w:val="both"/>
            </w:pPr>
            <w:r>
              <w:rPr>
                <w:sz w:val="21"/>
              </w:rPr>
              <w:t>（1）发起立体宣传攻势</w:t>
            </w:r>
          </w:p>
          <w:p>
            <w:pPr>
              <w:pStyle w:val="null3"/>
              <w:ind w:firstLine="420"/>
              <w:jc w:val="both"/>
            </w:pPr>
            <w:r>
              <w:rPr>
                <w:sz w:val="21"/>
              </w:rPr>
              <w:t>在项目启动前和初期，利用公告栏、微信公众号、村镇广播、宣传车等多种形式，广泛宣传整治目的、意义、标准和时限。营造“整治为大家，大家齐参与”的氛围。</w:t>
            </w:r>
          </w:p>
          <w:p>
            <w:pPr>
              <w:pStyle w:val="null3"/>
              <w:ind w:firstLine="420"/>
              <w:jc w:val="both"/>
            </w:pPr>
            <w:r>
              <w:rPr>
                <w:sz w:val="21"/>
              </w:rPr>
              <w:t>（2）开展“柔性执法”宣教期</w:t>
            </w:r>
          </w:p>
          <w:p>
            <w:pPr>
              <w:pStyle w:val="null3"/>
              <w:ind w:firstLine="420"/>
              <w:jc w:val="both"/>
            </w:pPr>
            <w:r>
              <w:rPr>
                <w:sz w:val="21"/>
              </w:rPr>
              <w:t>设定“宣传劝导期”。在此期间，以中标人（成交人）上门宣传、政府工作人员教育为主，责令自行整改为辅，给群众充分的认知和调整时间，减少后期矛盾。</w:t>
            </w:r>
          </w:p>
          <w:p>
            <w:pPr>
              <w:pStyle w:val="null3"/>
              <w:ind w:firstLine="420"/>
              <w:jc w:val="both"/>
            </w:pPr>
            <w:r>
              <w:rPr>
                <w:sz w:val="21"/>
              </w:rPr>
              <w:t>（3）建立公众参与渠道</w:t>
            </w:r>
          </w:p>
          <w:p>
            <w:pPr>
              <w:pStyle w:val="null3"/>
              <w:ind w:firstLine="420"/>
              <w:jc w:val="both"/>
            </w:pPr>
            <w:r>
              <w:rPr>
                <w:sz w:val="21"/>
              </w:rPr>
              <w:t>设立并公布有奖举报电话或微信平台，鼓励居民举报“六乱”问题和新发违建，形成社会监督网络，补充巡查盲区。</w:t>
            </w:r>
          </w:p>
          <w:p>
            <w:pPr>
              <w:pStyle w:val="null3"/>
              <w:jc w:val="both"/>
            </w:pPr>
            <w:r>
              <w:rPr>
                <w:sz w:val="21"/>
                <w:b/>
              </w:rPr>
              <w:t>5.4 协同作战与执法支撑</w:t>
            </w:r>
          </w:p>
          <w:p>
            <w:pPr>
              <w:pStyle w:val="null3"/>
              <w:ind w:firstLine="420"/>
              <w:jc w:val="both"/>
            </w:pPr>
            <w:r>
              <w:rPr>
                <w:sz w:val="21"/>
              </w:rPr>
              <w:t>（1）固化“巡查-上报-处置”闭环流程</w:t>
            </w:r>
          </w:p>
          <w:p>
            <w:pPr>
              <w:pStyle w:val="null3"/>
              <w:ind w:firstLine="420"/>
              <w:jc w:val="both"/>
            </w:pPr>
            <w:r>
              <w:rPr>
                <w:sz w:val="21"/>
              </w:rPr>
              <w:t>明确上报问题的分类、接收部门、响应时限和处置反馈要求。</w:t>
            </w:r>
          </w:p>
          <w:p>
            <w:pPr>
              <w:pStyle w:val="null3"/>
              <w:ind w:firstLine="420"/>
              <w:jc w:val="both"/>
            </w:pPr>
            <w:r>
              <w:rPr>
                <w:sz w:val="21"/>
              </w:rPr>
              <w:t>（2）组织定期联合整治行动</w:t>
            </w:r>
          </w:p>
          <w:p>
            <w:pPr>
              <w:pStyle w:val="null3"/>
              <w:ind w:firstLine="420"/>
              <w:jc w:val="both"/>
            </w:pPr>
            <w:r>
              <w:rPr>
                <w:sz w:val="21"/>
              </w:rPr>
              <w:t>定期或不定期，由领导小组牵头，组织综合执法、公安、市场监管、中标人（成交人）等力量，对上报的“钉子户”、“难点区域”开展2-3次集中联合整治行动。行动中，政府执法人员必须在前，依法执行暂扣、拆除、处罚等强制措施，第三方人员负责外围秩序、搬运等辅助工作。</w:t>
            </w:r>
          </w:p>
          <w:p>
            <w:pPr>
              <w:pStyle w:val="null3"/>
              <w:ind w:firstLine="420"/>
              <w:jc w:val="both"/>
            </w:pPr>
            <w:r>
              <w:rPr>
                <w:sz w:val="21"/>
              </w:rPr>
              <w:t>（3）提供专业认定支持</w:t>
            </w:r>
          </w:p>
          <w:p>
            <w:pPr>
              <w:pStyle w:val="null3"/>
              <w:ind w:firstLine="420"/>
              <w:jc w:val="both"/>
            </w:pPr>
            <w:r>
              <w:rPr>
                <w:sz w:val="21"/>
              </w:rPr>
              <w:t>对于“乱搭乱建”是否属于违建、如何定性等专业问题，职能部门需及时提供认定意见，作为后续处置的依据。</w:t>
            </w:r>
          </w:p>
          <w:p>
            <w:pPr>
              <w:pStyle w:val="null3"/>
              <w:jc w:val="both"/>
            </w:pPr>
            <w:r>
              <w:rPr>
                <w:sz w:val="21"/>
                <w:b/>
              </w:rPr>
              <w:t>5.5 监督考核与长效建设</w:t>
            </w:r>
          </w:p>
          <w:p>
            <w:pPr>
              <w:pStyle w:val="null3"/>
              <w:ind w:firstLine="420"/>
              <w:jc w:val="both"/>
            </w:pPr>
            <w:r>
              <w:rPr>
                <w:sz w:val="21"/>
              </w:rPr>
              <w:t>（1）制定科学的绩效考核办法</w:t>
            </w:r>
          </w:p>
          <w:p>
            <w:pPr>
              <w:pStyle w:val="null3"/>
              <w:ind w:firstLine="420"/>
              <w:jc w:val="both"/>
            </w:pPr>
            <w:r>
              <w:rPr>
                <w:sz w:val="21"/>
              </w:rPr>
              <w:t>考核指标与合同金额挂钩，考核应侧重于过程和效果相结合。</w:t>
            </w:r>
          </w:p>
          <w:p>
            <w:pPr>
              <w:pStyle w:val="null3"/>
              <w:ind w:firstLine="420"/>
              <w:jc w:val="both"/>
            </w:pPr>
            <w:r>
              <w:rPr>
                <w:sz w:val="21"/>
              </w:rPr>
              <w:t>（2）实施多重监督</w:t>
            </w:r>
          </w:p>
          <w:p>
            <w:pPr>
              <w:pStyle w:val="null3"/>
              <w:ind w:firstLine="420"/>
              <w:jc w:val="both"/>
            </w:pPr>
            <w:r>
              <w:rPr>
                <w:sz w:val="21"/>
              </w:rPr>
              <w:t>日常监管：办公室不定期进行现场抽查、调阅工作记录仪录像、检查工作台账。</w:t>
            </w:r>
          </w:p>
          <w:p>
            <w:pPr>
              <w:pStyle w:val="null3"/>
              <w:ind w:firstLine="420"/>
              <w:jc w:val="both"/>
            </w:pPr>
            <w:r>
              <w:rPr>
                <w:sz w:val="21"/>
              </w:rPr>
              <w:t>月度考核：每月根据KPI进行打分，考核结果作为支付月度服务费的主要依据。</w:t>
            </w:r>
          </w:p>
          <w:p>
            <w:pPr>
              <w:pStyle w:val="null3"/>
              <w:ind w:firstLine="420"/>
              <w:jc w:val="both"/>
            </w:pPr>
            <w:r>
              <w:rPr>
                <w:sz w:val="21"/>
              </w:rPr>
              <w:t>社会监督：邀请商户、居民代表等组成监督小组进行评议。</w:t>
            </w:r>
          </w:p>
          <w:p>
            <w:pPr>
              <w:pStyle w:val="null3"/>
              <w:ind w:firstLine="420"/>
              <w:jc w:val="both"/>
            </w:pPr>
            <w:r>
              <w:rPr>
                <w:sz w:val="21"/>
              </w:rPr>
              <w:t>（3）推动长效管理机制建设</w:t>
            </w:r>
          </w:p>
          <w:p>
            <w:pPr>
              <w:pStyle w:val="null3"/>
              <w:ind w:firstLine="420"/>
              <w:jc w:val="both"/>
            </w:pPr>
            <w:r>
              <w:rPr>
                <w:sz w:val="21"/>
              </w:rPr>
              <w:t>数据共享与分析：要求中标人（成交人）定期提供数据报告，分析“六乱”高发时段、区域、类型，为政府优化管理资源配置提供决策依据。</w:t>
            </w:r>
          </w:p>
          <w:p>
            <w:pPr>
              <w:pStyle w:val="null3"/>
              <w:ind w:firstLine="420"/>
              <w:jc w:val="both"/>
            </w:pPr>
            <w:r>
              <w:rPr>
                <w:sz w:val="21"/>
              </w:rPr>
              <w:t>推动“门前三包”升级：借助整治势头，推动“门前三包”管理方式。</w:t>
            </w:r>
          </w:p>
          <w:p>
            <w:pPr>
              <w:pStyle w:val="null3"/>
              <w:ind w:firstLine="420"/>
              <w:jc w:val="both"/>
            </w:pPr>
            <w:r>
              <w:rPr>
                <w:sz w:val="21"/>
              </w:rPr>
              <w:t>规划疏导场所：针对“乱摆卖”需求，规划、建设或指定一批便民疏导点、临时摆卖区，实现“疏堵结合”，从源头减少矛盾。</w:t>
            </w:r>
          </w:p>
          <w:p>
            <w:pPr>
              <w:pStyle w:val="null3"/>
              <w:jc w:val="both"/>
            </w:pPr>
            <w:r>
              <w:rPr>
                <w:sz w:val="21"/>
                <w:b/>
              </w:rPr>
              <w:t>5.6 风险防控与权益保障</w:t>
            </w:r>
          </w:p>
          <w:p>
            <w:pPr>
              <w:pStyle w:val="null3"/>
              <w:ind w:firstLine="420"/>
              <w:jc w:val="both"/>
            </w:pPr>
            <w:r>
              <w:rPr>
                <w:sz w:val="21"/>
              </w:rPr>
              <w:t>（1）强化安全教育与保险</w:t>
            </w:r>
          </w:p>
          <w:p>
            <w:pPr>
              <w:pStyle w:val="null3"/>
              <w:ind w:firstLine="420"/>
              <w:jc w:val="both"/>
            </w:pPr>
            <w:r>
              <w:rPr>
                <w:sz w:val="21"/>
              </w:rPr>
              <w:t>监督中标人（成交人）为员工购买足额意外伤害和公众责任险。联合对第三方人员进行安全培训和应急演练。</w:t>
            </w:r>
          </w:p>
          <w:p>
            <w:pPr>
              <w:pStyle w:val="null3"/>
              <w:ind w:firstLine="420"/>
              <w:jc w:val="both"/>
            </w:pPr>
            <w:r>
              <w:rPr>
                <w:sz w:val="21"/>
              </w:rPr>
              <w:t>（2）建立投诉仲裁机制</w:t>
            </w:r>
          </w:p>
          <w:p>
            <w:pPr>
              <w:pStyle w:val="null3"/>
              <w:ind w:firstLine="420"/>
              <w:jc w:val="both"/>
            </w:pPr>
            <w:r>
              <w:rPr>
                <w:sz w:val="21"/>
              </w:rPr>
              <w:t>对于中标人（成交人）工作方式不当引发的纠纷，或商户居民对整治不公的投诉，政府相关部门要公正、及时地进行调查、调解和仲裁，防止矛盾激化。</w:t>
            </w:r>
          </w:p>
          <w:p>
            <w:pPr>
              <w:pStyle w:val="null3"/>
              <w:ind w:firstLine="420"/>
              <w:jc w:val="both"/>
            </w:pPr>
            <w:r>
              <w:rPr>
                <w:sz w:val="21"/>
              </w:rPr>
              <w:t>（3）保障项目资金支付</w:t>
            </w:r>
          </w:p>
          <w:p>
            <w:pPr>
              <w:pStyle w:val="null3"/>
              <w:ind w:firstLine="420"/>
              <w:jc w:val="both"/>
            </w:pPr>
            <w:r>
              <w:rPr>
                <w:sz w:val="21"/>
              </w:rPr>
              <w:t>项目服务费按照考核结果及时支付，确保中标人（成交人）正常运营和人员稳定。</w:t>
            </w:r>
          </w:p>
          <w:p>
            <w:pPr>
              <w:pStyle w:val="null3"/>
              <w:spacing w:before="60"/>
              <w:jc w:val="both"/>
            </w:pPr>
            <w:r>
              <w:rPr>
                <w:sz w:val="21"/>
                <w:b/>
              </w:rPr>
              <w:t>6、 绩效管理</w:t>
            </w:r>
          </w:p>
          <w:p>
            <w:pPr>
              <w:pStyle w:val="null3"/>
              <w:ind w:firstLine="420"/>
              <w:jc w:val="both"/>
            </w:pPr>
            <w:r>
              <w:rPr>
                <w:sz w:val="21"/>
              </w:rPr>
              <w:t>制定一套科学、公平、可操作且能有效驱动预期结果的绩效考核评价体系，是本项目成功的关键。体系应遵循“过程与结果并重、定量与定性结合、激励与约束并存”的原则，并与服务费用支付直接挂钩。</w:t>
            </w:r>
          </w:p>
          <w:p>
            <w:pPr>
              <w:pStyle w:val="null3"/>
              <w:ind w:firstLine="420"/>
              <w:jc w:val="both"/>
            </w:pPr>
            <w:r>
              <w:rPr>
                <w:sz w:val="21"/>
              </w:rPr>
              <w:t>建议绩效考核评价方案如下：</w:t>
            </w:r>
          </w:p>
          <w:p>
            <w:pPr>
              <w:pStyle w:val="null3"/>
              <w:jc w:val="both"/>
            </w:pPr>
            <w:r>
              <w:rPr>
                <w:sz w:val="21"/>
                <w:b/>
              </w:rPr>
              <w:t>6.1 考核框架与基本规则</w:t>
            </w:r>
          </w:p>
          <w:p>
            <w:pPr>
              <w:pStyle w:val="null3"/>
              <w:ind w:firstLine="420"/>
              <w:jc w:val="both"/>
            </w:pPr>
            <w:r>
              <w:rPr>
                <w:sz w:val="21"/>
              </w:rPr>
              <w:t>（1）考核周期</w:t>
            </w:r>
          </w:p>
          <w:p>
            <w:pPr>
              <w:pStyle w:val="null3"/>
              <w:ind w:firstLine="420"/>
              <w:jc w:val="both"/>
            </w:pPr>
            <w:r>
              <w:rPr>
                <w:sz w:val="21"/>
              </w:rPr>
              <w:t>实行“月度考核 + 项目总评”制度。月度考核结果与当月服务费支付挂钩；项目总评作为续约、奖惩及未来采购的重要依据。</w:t>
            </w:r>
          </w:p>
          <w:p>
            <w:pPr>
              <w:pStyle w:val="null3"/>
              <w:ind w:firstLine="420"/>
              <w:jc w:val="both"/>
            </w:pPr>
            <w:r>
              <w:rPr>
                <w:sz w:val="21"/>
              </w:rPr>
              <w:t>（2）考核主体</w:t>
            </w:r>
          </w:p>
          <w:p>
            <w:pPr>
              <w:pStyle w:val="null3"/>
              <w:ind w:firstLine="420"/>
              <w:jc w:val="both"/>
            </w:pPr>
            <w:r>
              <w:rPr>
                <w:sz w:val="21"/>
              </w:rPr>
              <w:t>由廉江市车板镇人民政府“整治工作领导小组”牵头，其常设办公室具体执行，并可邀请相关职能部门、社区代表参与。</w:t>
            </w:r>
          </w:p>
          <w:p>
            <w:pPr>
              <w:pStyle w:val="null3"/>
              <w:ind w:firstLine="420"/>
              <w:jc w:val="both"/>
            </w:pPr>
            <w:r>
              <w:rPr>
                <w:sz w:val="21"/>
              </w:rPr>
              <w:t>（3）考核方式</w:t>
            </w:r>
          </w:p>
          <w:p>
            <w:pPr>
              <w:pStyle w:val="null3"/>
              <w:ind w:firstLine="420"/>
              <w:jc w:val="both"/>
            </w:pPr>
            <w:r>
              <w:rPr>
                <w:sz w:val="21"/>
              </w:rPr>
              <w:t>采取“数据核查 + 现场随机抽查 + 影像资料复查 + 满意度调查”多维方式结合。</w:t>
            </w:r>
          </w:p>
          <w:p>
            <w:pPr>
              <w:pStyle w:val="null3"/>
              <w:ind w:firstLine="420"/>
              <w:jc w:val="both"/>
            </w:pPr>
            <w:r>
              <w:rPr>
                <w:sz w:val="21"/>
              </w:rPr>
              <w:t>（4）费用支付挂钩</w:t>
            </w:r>
          </w:p>
          <w:p>
            <w:pPr>
              <w:pStyle w:val="null3"/>
              <w:ind w:firstLine="420"/>
              <w:jc w:val="both"/>
            </w:pPr>
            <w:r>
              <w:rPr>
                <w:sz w:val="21"/>
              </w:rPr>
              <w:t>设定每月服务费基础支付比例为90%，剩余10%作为绩效费用。每月根据考核得分（百分制）计算实际绩效费用。</w:t>
            </w:r>
          </w:p>
          <w:p>
            <w:pPr>
              <w:pStyle w:val="null3"/>
              <w:ind w:firstLine="420"/>
              <w:jc w:val="both"/>
            </w:pPr>
            <w:r>
              <w:rPr>
                <w:sz w:val="21"/>
              </w:rPr>
              <w:t>例：若月服务费10万元，绩效费用占比10%（即1万元）。若某月考核得分为85分，则当月支付费用 = 9万元（基础）+ 1万元 × (85/100) = 9.85万元。</w:t>
            </w:r>
          </w:p>
          <w:p>
            <w:pPr>
              <w:pStyle w:val="null3"/>
              <w:jc w:val="both"/>
            </w:pPr>
            <w:r>
              <w:rPr>
                <w:sz w:val="21"/>
                <w:b/>
              </w:rPr>
              <w:t>6.2 绩效考核指标及评分细则</w:t>
            </w:r>
          </w:p>
          <w:p>
            <w:pPr>
              <w:pStyle w:val="null3"/>
              <w:ind w:firstLine="420"/>
              <w:jc w:val="both"/>
            </w:pPr>
            <w:r>
              <w:rPr>
                <w:sz w:val="21"/>
              </w:rPr>
              <w:t>指标分为四大类：基础管理、过程管控、成效指标、协同与满意度。</w:t>
            </w:r>
          </w:p>
          <w:p>
            <w:pPr>
              <w:pStyle w:val="null3"/>
              <w:ind w:firstLine="420"/>
              <w:jc w:val="both"/>
            </w:pPr>
            <w:r>
              <w:rPr>
                <w:sz w:val="21"/>
              </w:rPr>
              <w:t>（1）基础管理</w:t>
            </w:r>
          </w:p>
          <w:p>
            <w:pPr>
              <w:pStyle w:val="null3"/>
              <w:ind w:firstLine="420"/>
              <w:jc w:val="both"/>
            </w:pPr>
            <w:r>
              <w:rPr>
                <w:sz w:val="21"/>
              </w:rPr>
              <w:t>确保队伍稳定、形象规范、保障到位，共15分。</w:t>
            </w:r>
          </w:p>
          <w:p>
            <w:pPr>
              <w:pStyle w:val="null3"/>
              <w:ind w:firstLine="420"/>
              <w:jc w:val="both"/>
            </w:pPr>
            <w:r>
              <w:rPr>
                <w:sz w:val="21"/>
              </w:rPr>
              <w:t>人员配备与资质（5分）：核查在岗人员数量、姓名是否与合同备案一致，抽查人员岗前培训记录。每发现1例不符合，扣1分。</w:t>
            </w:r>
          </w:p>
          <w:p>
            <w:pPr>
              <w:pStyle w:val="null3"/>
              <w:ind w:firstLine="420"/>
              <w:jc w:val="both"/>
            </w:pPr>
            <w:r>
              <w:rPr>
                <w:sz w:val="21"/>
              </w:rPr>
              <w:t>队伍形象与装备（5分）：随机抽查，发现未统一着装、未佩戴工牌、未按规定使用工作记录仪等情况，每人次扣0.5分。</w:t>
            </w:r>
          </w:p>
          <w:p>
            <w:pPr>
              <w:pStyle w:val="null3"/>
              <w:ind w:firstLine="420"/>
              <w:jc w:val="both"/>
            </w:pPr>
            <w:r>
              <w:rPr>
                <w:sz w:val="21"/>
              </w:rPr>
              <w:t>内部管理与安全（5分）：检查公司内部管理制度、安全培训记录、保险购买凭证，每发现1例不符合，扣1分。发生一起因公司主责导致的安全事故，本项得0分。</w:t>
            </w:r>
          </w:p>
          <w:p>
            <w:pPr>
              <w:pStyle w:val="null3"/>
              <w:ind w:firstLine="420"/>
              <w:jc w:val="both"/>
            </w:pPr>
            <w:r>
              <w:rPr>
                <w:sz w:val="21"/>
              </w:rPr>
              <w:t>（2）过程管控</w:t>
            </w:r>
          </w:p>
          <w:p>
            <w:pPr>
              <w:pStyle w:val="null3"/>
              <w:ind w:firstLine="420"/>
              <w:jc w:val="both"/>
            </w:pPr>
            <w:r>
              <w:rPr>
                <w:sz w:val="21"/>
              </w:rPr>
              <w:t>确保巡查到位、操作规范、记录清晰、上报及时，共35分。</w:t>
            </w:r>
          </w:p>
          <w:p>
            <w:pPr>
              <w:pStyle w:val="null3"/>
              <w:ind w:firstLine="420"/>
              <w:jc w:val="both"/>
            </w:pPr>
            <w:r>
              <w:rPr>
                <w:sz w:val="21"/>
              </w:rPr>
              <w:t>巡查覆盖率与密度（10分）：核查是否按合同要求对责任区域进行全时段、网格化巡查。统计巡查次数等，每发现1处/次未达标，扣0.5分。</w:t>
            </w:r>
          </w:p>
          <w:p>
            <w:pPr>
              <w:pStyle w:val="null3"/>
              <w:ind w:firstLine="420"/>
              <w:jc w:val="both"/>
            </w:pPr>
            <w:r>
              <w:rPr>
                <w:sz w:val="21"/>
              </w:rPr>
              <w:t>问题主动发现率（10分）：计算公式：（考核期内第三方自行发现并上报的问题数 ÷ 同期该区域发生的“六乱”问题总数）× 100%。问题总数以政府巡查发现、公众投诉、上级督办及第三方上报等所有渠道汇总为准。目标值设定不低于90%。每低于目标值1个百分点，扣1分。</w:t>
            </w:r>
          </w:p>
          <w:p>
            <w:pPr>
              <w:pStyle w:val="null3"/>
              <w:ind w:firstLine="420"/>
              <w:jc w:val="both"/>
            </w:pPr>
            <w:r>
              <w:rPr>
                <w:sz w:val="21"/>
              </w:rPr>
              <w:t>劝导处置规范性（10分）：随机调阅工作记录仪影像（每周不少于5人次/小时），评估用语是否文明、程序是否合规、处置方式是否得当。发生有责投诉，经查证属实，每起扣2分；发现粗暴、不当行为，本项0分并追究责任。</w:t>
            </w:r>
          </w:p>
          <w:p>
            <w:pPr>
              <w:pStyle w:val="null3"/>
              <w:ind w:firstLine="420"/>
              <w:jc w:val="both"/>
            </w:pPr>
            <w:r>
              <w:rPr>
                <w:sz w:val="21"/>
              </w:rPr>
              <w:t>信息上报质量与时效（5分）：检查上报材料的准确性、完整性和照片清晰度。规定一般问题需在发现后2小时内上报，紧急问题30分钟内电话报告并补单。每出现1次迟报、漏报、错报，扣0.5分。</w:t>
            </w:r>
          </w:p>
          <w:p>
            <w:pPr>
              <w:pStyle w:val="null3"/>
              <w:ind w:firstLine="420"/>
              <w:jc w:val="both"/>
            </w:pPr>
            <w:r>
              <w:rPr>
                <w:sz w:val="21"/>
              </w:rPr>
              <w:t>（3）成效指标</w:t>
            </w:r>
          </w:p>
          <w:p>
            <w:pPr>
              <w:pStyle w:val="null3"/>
              <w:ind w:firstLine="420"/>
              <w:jc w:val="both"/>
            </w:pPr>
            <w:r>
              <w:rPr>
                <w:sz w:val="21"/>
              </w:rPr>
              <w:t>这是考核的核心，直接反映整治效果。可采用“整治达标率”和“问题反弹率”来衡量，共40分。</w:t>
            </w:r>
          </w:p>
          <w:p>
            <w:pPr>
              <w:pStyle w:val="null3"/>
              <w:ind w:firstLine="420"/>
              <w:jc w:val="both"/>
            </w:pPr>
            <w:r>
              <w:rPr>
                <w:sz w:val="21"/>
              </w:rPr>
              <w:t>“六乱”现象整治达标率（25分）：每月由考核小组随机抽取固定样本点和随机样本区域，进行现场检查。“达标”指无新发或已整改到位未反弹。“整治达标率” = （达标样本数 ÷ 总样本数）× 100%。设定分阶段目标（如首月60%，第三月85%，第六月后稳定在90%以上）。每低于当月目标值1个百分点，扣1分。高于目标值可酌情加分。</w:t>
            </w:r>
          </w:p>
          <w:p>
            <w:pPr>
              <w:pStyle w:val="null3"/>
              <w:ind w:firstLine="420"/>
              <w:jc w:val="both"/>
            </w:pPr>
            <w:r>
              <w:rPr>
                <w:sz w:val="21"/>
              </w:rPr>
              <w:t>重点/难点问题反弹率（15分）：对经联合整治或多次督办的“钉子户”问题、重点区域，在整治后一周、一月进行复查。计算公式：（考核期内发生反弹的重点问题数 ÷ 期内已整治的重点问题总数）× 100%。反弹率应逐步降低。反弹率每高于控制目标1个百分点，扣1分。反弹率极低或实现长效管控，可加分。</w:t>
            </w:r>
          </w:p>
          <w:p>
            <w:pPr>
              <w:pStyle w:val="null3"/>
              <w:ind w:firstLine="420"/>
              <w:jc w:val="both"/>
            </w:pPr>
            <w:r>
              <w:rPr>
                <w:sz w:val="21"/>
              </w:rPr>
              <w:t>（4）协同与满意度</w:t>
            </w:r>
          </w:p>
          <w:p>
            <w:pPr>
              <w:pStyle w:val="null3"/>
              <w:ind w:firstLine="420"/>
              <w:jc w:val="both"/>
            </w:pPr>
            <w:r>
              <w:rPr>
                <w:sz w:val="21"/>
              </w:rPr>
              <w:t>考核其与政府体系的融合度及社会评价，共10分。</w:t>
            </w:r>
          </w:p>
          <w:p>
            <w:pPr>
              <w:pStyle w:val="null3"/>
              <w:ind w:firstLine="420"/>
              <w:jc w:val="both"/>
            </w:pPr>
            <w:r>
              <w:rPr>
                <w:sz w:val="21"/>
              </w:rPr>
              <w:t>协同配合度（5分）：由领导小组各成员部门评价。对交办任务、联合行动的响应速度、支持力度、配合效果进行打分。取平均分。</w:t>
            </w:r>
          </w:p>
          <w:p>
            <w:pPr>
              <w:pStyle w:val="null3"/>
              <w:ind w:firstLine="420"/>
              <w:jc w:val="both"/>
            </w:pPr>
            <w:r>
              <w:rPr>
                <w:sz w:val="21"/>
              </w:rPr>
              <w:t>社会满意度（5分）：通过随机街访（商户、居民）、微信公众号发放电子问卷等方式，收集对镇容秩序改善的满意度、对第三方工作人员工作的评价。满意度在90%以上得满分，每低5个百分点扣1分。</w:t>
            </w:r>
          </w:p>
          <w:p>
            <w:pPr>
              <w:pStyle w:val="null3"/>
              <w:jc w:val="both"/>
            </w:pPr>
            <w:r>
              <w:rPr>
                <w:sz w:val="21"/>
                <w:b/>
              </w:rPr>
              <w:t>6.3 加分项与“一票否决”项</w:t>
            </w:r>
          </w:p>
          <w:p>
            <w:pPr>
              <w:pStyle w:val="null3"/>
              <w:ind w:firstLine="420"/>
              <w:jc w:val="both"/>
            </w:pPr>
            <w:r>
              <w:rPr>
                <w:sz w:val="21"/>
              </w:rPr>
              <w:t>（1）加分项</w:t>
            </w:r>
          </w:p>
          <w:p>
            <w:pPr>
              <w:pStyle w:val="null3"/>
              <w:ind w:firstLine="420"/>
              <w:jc w:val="both"/>
            </w:pPr>
            <w:r>
              <w:rPr>
                <w:sz w:val="21"/>
              </w:rPr>
              <w:t>加分项总分不超过10分。</w:t>
            </w:r>
          </w:p>
          <w:p>
            <w:pPr>
              <w:pStyle w:val="null3"/>
              <w:ind w:firstLine="420"/>
              <w:jc w:val="both"/>
            </w:pPr>
            <w:r>
              <w:rPr>
                <w:sz w:val="21"/>
              </w:rPr>
              <w:t>创新建议：提出并被采纳的管理优化、技术创新建议，每条加1-2分。</w:t>
            </w:r>
          </w:p>
          <w:p>
            <w:pPr>
              <w:pStyle w:val="null3"/>
              <w:ind w:firstLine="420"/>
              <w:jc w:val="both"/>
            </w:pPr>
            <w:r>
              <w:rPr>
                <w:sz w:val="21"/>
              </w:rPr>
              <w:t>应急处置：在突发事件（如台风后清理、安全事故前期处置）中表现突出，加2-5分。</w:t>
            </w:r>
          </w:p>
          <w:p>
            <w:pPr>
              <w:pStyle w:val="null3"/>
              <w:ind w:firstLine="420"/>
              <w:jc w:val="both"/>
            </w:pPr>
            <w:r>
              <w:rPr>
                <w:sz w:val="21"/>
              </w:rPr>
              <w:t>超额贡献：在合同范围外，主动承担并出色完成临时性重要任务，加1-3分。</w:t>
            </w:r>
          </w:p>
          <w:p>
            <w:pPr>
              <w:pStyle w:val="null3"/>
              <w:ind w:firstLine="420"/>
              <w:jc w:val="both"/>
            </w:pPr>
            <w:r>
              <w:rPr>
                <w:sz w:val="21"/>
              </w:rPr>
              <w:t>（2）“一票否决”项</w:t>
            </w:r>
          </w:p>
          <w:p>
            <w:pPr>
              <w:pStyle w:val="null3"/>
              <w:ind w:firstLine="420"/>
              <w:jc w:val="both"/>
            </w:pPr>
            <w:r>
              <w:rPr>
                <w:sz w:val="21"/>
              </w:rPr>
              <w:t>出现即当月考核不合格，扣罚全部绩效费用，并追究违约责任：</w:t>
            </w:r>
          </w:p>
          <w:p>
            <w:pPr>
              <w:pStyle w:val="null3"/>
              <w:ind w:firstLine="420"/>
              <w:jc w:val="both"/>
            </w:pPr>
            <w:r>
              <w:rPr>
                <w:sz w:val="21"/>
              </w:rPr>
              <w:t>①工作人员存在违法违规行为（如敲诈勒索、收受财物）。</w:t>
            </w:r>
          </w:p>
          <w:p>
            <w:pPr>
              <w:pStyle w:val="null3"/>
              <w:ind w:firstLine="420"/>
              <w:jc w:val="both"/>
            </w:pPr>
            <w:r>
              <w:rPr>
                <w:sz w:val="21"/>
              </w:rPr>
              <w:t>②因工作不当引发重大负面群体性事件，造成恶劣影响。</w:t>
            </w:r>
          </w:p>
          <w:p>
            <w:pPr>
              <w:pStyle w:val="null3"/>
              <w:ind w:firstLine="420"/>
              <w:jc w:val="both"/>
            </w:pPr>
            <w:r>
              <w:rPr>
                <w:sz w:val="21"/>
              </w:rPr>
              <w:t>③伪造巡查、上报等数据，弄虚作假。</w:t>
            </w:r>
          </w:p>
          <w:p>
            <w:pPr>
              <w:pStyle w:val="null3"/>
              <w:ind w:firstLine="420"/>
              <w:jc w:val="both"/>
            </w:pPr>
            <w:r>
              <w:rPr>
                <w:sz w:val="21"/>
              </w:rPr>
              <w:t>④发生重大安全责任事故。</w:t>
            </w:r>
          </w:p>
          <w:p>
            <w:pPr>
              <w:pStyle w:val="null3"/>
              <w:jc w:val="both"/>
            </w:pPr>
            <w:r>
              <w:rPr>
                <w:sz w:val="21"/>
                <w:b/>
              </w:rPr>
              <w:t>6.4 考核结果的应用</w:t>
            </w:r>
          </w:p>
          <w:p>
            <w:pPr>
              <w:pStyle w:val="null3"/>
              <w:ind w:firstLine="420"/>
              <w:jc w:val="both"/>
            </w:pPr>
            <w:r>
              <w:rPr>
                <w:sz w:val="21"/>
              </w:rPr>
              <w:t>（1）月度反馈与改进</w:t>
            </w:r>
          </w:p>
          <w:p>
            <w:pPr>
              <w:pStyle w:val="null3"/>
              <w:ind w:firstLine="420"/>
              <w:jc w:val="both"/>
            </w:pPr>
            <w:r>
              <w:rPr>
                <w:sz w:val="21"/>
              </w:rPr>
              <w:t>每月考核后3日内，向中标人（成交人）出具书面考核报告，指出问题，要求限期整改。召开月度联席会议，共同分析问题根源。</w:t>
            </w:r>
          </w:p>
          <w:p>
            <w:pPr>
              <w:pStyle w:val="null3"/>
              <w:ind w:firstLine="420"/>
              <w:jc w:val="both"/>
            </w:pPr>
            <w:r>
              <w:rPr>
                <w:sz w:val="21"/>
              </w:rPr>
              <w:t>（2）费用支付依据</w:t>
            </w:r>
          </w:p>
          <w:p>
            <w:pPr>
              <w:pStyle w:val="null3"/>
              <w:ind w:firstLine="420"/>
              <w:jc w:val="both"/>
            </w:pPr>
            <w:r>
              <w:rPr>
                <w:sz w:val="21"/>
              </w:rPr>
              <w:t>严格按得分支付绩效费用。</w:t>
            </w:r>
          </w:p>
          <w:p>
            <w:pPr>
              <w:pStyle w:val="null3"/>
              <w:ind w:firstLine="420"/>
              <w:jc w:val="both"/>
            </w:pPr>
            <w:r>
              <w:rPr>
                <w:sz w:val="21"/>
              </w:rPr>
              <w:t>（3）风险预警</w:t>
            </w:r>
          </w:p>
          <w:p>
            <w:pPr>
              <w:pStyle w:val="null3"/>
            </w:pPr>
            <w:r>
              <w:rPr>
                <w:sz w:val="21"/>
              </w:rPr>
              <w:t>连续两个月考核低于70分，或任何一个月出现“一票否决”项，政府有权启动警告、约谈、直至解除合同的程序。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1.采购代理机构：本项目是指广东明峰项目管理有限公司，负责整个采购活动的组织，依法负责编制和发布磋商文件，对磋商文件拥有最终的解释权，不以任何身份出任磋商小组成员。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廉江市车板镇人民政府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采购机构代理服务收费标准：按照《招标代理收费管理暂行办法》的通知（计价格[2002]1980号）及国家发改委[2003]857号及发改价格[2011]534号文件向成交单位以服务类计算并收取采购代理服务费。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广东明峰项目管理有限公司</w:t>
      </w:r>
      <w:r>
        <w:rPr/>
        <w:t>代收。具体操作要求详见</w:t>
      </w:r>
      <w:r>
        <w:rPr/>
        <w:t>广东明峰项目管理有限公司</w:t>
      </w:r>
      <w:r>
        <w:rPr/>
        <w:t>有关指引，递交事宜请自行咨询</w:t>
      </w:r>
      <w:r>
        <w:rPr/>
        <w:t>广东明峰项目管理有限公司</w:t>
      </w:r>
      <w:r>
        <w:rPr/>
        <w:t>；请各供应商在响应文件递交截止时间前按须知前附表规定的金额递交至</w:t>
      </w:r>
      <w:r>
        <w:rPr/>
        <w:t>广东明峰项目管理有限公司</w:t>
      </w:r>
      <w:r>
        <w:rPr/>
        <w:t>，到账情况以开启时</w:t>
      </w:r>
      <w:r>
        <w:rPr/>
        <w:t>广东明峰项目管理有限公司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彭焕原</w:t>
      </w:r>
    </w:p>
    <w:p>
      <w:pPr>
        <w:pStyle w:val="null3"/>
        <w:ind w:firstLine="480"/>
      </w:pPr>
      <w:r>
        <w:rPr/>
        <w:t>电话：</w:t>
      </w:r>
      <w:r>
        <w:rPr/>
        <w:t>0759-3333392</w:t>
      </w:r>
    </w:p>
    <w:p>
      <w:pPr>
        <w:pStyle w:val="null3"/>
        <w:ind w:firstLine="480"/>
      </w:pPr>
      <w:r>
        <w:rPr/>
        <w:t>传真：</w:t>
      </w:r>
      <w:r>
        <w:rPr/>
        <w:t>/</w:t>
      </w:r>
    </w:p>
    <w:p>
      <w:pPr>
        <w:pStyle w:val="null3"/>
        <w:ind w:firstLine="480"/>
      </w:pPr>
      <w:r>
        <w:rPr/>
        <w:t>邮箱：</w:t>
      </w:r>
      <w:r>
        <w:rPr/>
        <w:t>3240183696@qq.com</w:t>
      </w:r>
    </w:p>
    <w:p>
      <w:pPr>
        <w:pStyle w:val="null3"/>
        <w:ind w:firstLine="480"/>
      </w:pPr>
      <w:r>
        <w:rPr/>
        <w:t>地址：</w:t>
      </w:r>
      <w:r>
        <w:rPr/>
        <w:t>湛江经济技术开发区泉庄街道人民大道中37号B栋2楼</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政府采购监督管理机构名称：廉江市政府采购监督管理办公室</w:t>
      </w:r>
    </w:p>
    <w:p>
      <w:pPr>
        <w:pStyle w:val="null3"/>
      </w:pPr>
      <w:r>
        <w:rPr/>
        <w:t>地 址：廉江市罗州街道人民大道136号</w:t>
      </w:r>
    </w:p>
    <w:p>
      <w:pPr>
        <w:pStyle w:val="null3"/>
      </w:pPr>
      <w:r>
        <w:rPr/>
        <w:t>电 话：0759-6671006</w:t>
      </w:r>
    </w:p>
    <w:p>
      <w:pPr>
        <w:pStyle w:val="null3"/>
      </w:pPr>
      <w:r>
        <w:rPr/>
        <w:t>邮 编：524400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廉江市车板镇“百千万工程”典型镇培育建设项目—六乱整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广东明峰项目管理有限公司</w:t>
      </w:r>
      <w:r>
        <w:rPr/>
        <w:t>统一对外发布。</w:t>
      </w:r>
    </w:p>
    <w:p>
      <w:pPr>
        <w:pStyle w:val="null3"/>
        <w:ind w:firstLine="480"/>
      </w:pPr>
      <w:r>
        <w:rPr/>
        <w:t>（2）对</w:t>
      </w:r>
      <w:r>
        <w:rPr/>
        <w:t>广东明峰项目管理有限公司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采购包1（廉江市车板镇“百千万工程”典型镇培育建设项目—六乱整治项目）：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采购包1（廉江市车板镇“百千万工程”典型镇培育建设项目—六乱整治项目）：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供应商须是在中华人民共和国境内注册的能独立承担民事责任的法人或其他组织（提供有效期内的营业执照副本，组织机构代码证副本, 税务登记证副本复印件或“三证合一”新版营业执照副本复印件或事业法人登记证复印件)。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湛江市政府采购供应商资格信用承诺函》（格式详见附件）或提供磋商截止日前6个月内任意1个月依法缴纳税收和社会保障资金的相关材料，如依法免税或不需要缴纳社会保障资金的，则提供其依法免税和免缴纳社保的相应证明材料。如供应商已对接“粤省事”“粤商通”“粤信签”等系统且能通过系统查询到相关内容并提供截图。</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湛江市政府采购供应商资格信用承诺函》（格式详见附件）或提供2024年度财务状况报告复印件（若响应供应商成立不满一年的，可提供本年度任意1个月的财务状况报表复印件）或基本户开户行出具的资信证明材料复印件。如响应供应商已对接“粤省事”“粤商通”“粤信签”等系统且能通过系统查询到相关内容并提供截图。</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三年内，在经营活动中没有重大违法记录；【供应商提供《湛江市政府采购供应商资格信用承诺函》（格式详见附件）或按响应文件格式中的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在“信用中国”网站（www.creditchina.gov.cn）“记录失信被执行人或重大税收违法失信主体或政府采购严重违法失信行为”记录名单；不处于中国政府采购网（www.ccgp.gov.cn）“政府采购严重违法失信行为记录”中的禁止参加政府采购活动期间；以采购代理机构在磋商截止日当天在“信用中国”及“中国政府采购网”查询结果为准，如相关失信记录已失效，供应商须提供项目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 为本项目提供整体设计、规范编制或者项目管理、监理、检测等服务的供应商， 不得再参与本项目投标（响应）。响应承诺函相关承诺要求内容。</w:t>
            </w:r>
          </w:p>
        </w:tc>
      </w:tr>
      <w:tr>
        <w:tc>
          <w:tcPr>
            <w:tcW w:type="dxa" w:w="890"/>
          </w:tcPr>
          <w:p>
            <w:pPr>
              <w:pStyle w:val="null3"/>
            </w:pPr>
            <w:r>
              <w:rPr/>
              <w:t>8</w:t>
            </w:r>
          </w:p>
        </w:tc>
        <w:tc>
          <w:tcPr>
            <w:tcW w:type="dxa" w:w="3178"/>
          </w:tcPr>
          <w:p>
            <w:pPr>
              <w:pStyle w:val="null3"/>
            </w:pPr>
            <w:r>
              <w:rPr/>
              <w:t>本项目不接受联合体磋商（响应）</w:t>
            </w:r>
          </w:p>
        </w:tc>
        <w:tc>
          <w:tcPr>
            <w:tcW w:type="dxa" w:w="4238"/>
          </w:tcPr>
          <w:p>
            <w:pPr>
              <w:pStyle w:val="null3"/>
            </w:pPr>
            <w:r>
              <w:rPr/>
              <w:t>本项目不接受联合体磋商（响应），提供承诺函(格式自拟)。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采购包1（廉江市车板镇“百千万工程”典型镇培育建设项目—六乱整治项目）：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响应文件的式样、签署和盖章符合磋商文件要求。</w:t>
            </w:r>
          </w:p>
        </w:tc>
      </w:tr>
      <w:tr>
        <w:tc>
          <w:tcPr>
            <w:tcW w:type="dxa" w:w="890"/>
          </w:tcPr>
          <w:p>
            <w:pPr>
              <w:pStyle w:val="null3"/>
            </w:pPr>
            <w:r>
              <w:rPr/>
              <w:t>2</w:t>
            </w:r>
          </w:p>
        </w:tc>
        <w:tc>
          <w:tcPr>
            <w:tcW w:type="dxa" w:w="3178"/>
          </w:tcPr>
          <w:p>
            <w:pPr>
              <w:pStyle w:val="null3"/>
            </w:pPr>
            <w:r>
              <w:rPr/>
              <w:t>磋商报价</w:t>
            </w:r>
          </w:p>
        </w:tc>
        <w:tc>
          <w:tcPr>
            <w:tcW w:type="dxa" w:w="4238"/>
          </w:tcPr>
          <w:p>
            <w:pPr>
              <w:pStyle w:val="null3"/>
            </w:pPr>
            <w:r>
              <w:rPr/>
              <w:t>响应供应商的磋商报价是固定价且是唯一的，磋商报价没有超出采购预算 (或最高限价) 。</w:t>
            </w:r>
          </w:p>
        </w:tc>
      </w:tr>
      <w:tr>
        <w:tc>
          <w:tcPr>
            <w:tcW w:type="dxa" w:w="890"/>
          </w:tcPr>
          <w:p>
            <w:pPr>
              <w:pStyle w:val="null3"/>
            </w:pPr>
            <w:r>
              <w:rPr/>
              <w:t>3</w:t>
            </w:r>
          </w:p>
        </w:tc>
        <w:tc>
          <w:tcPr>
            <w:tcW w:type="dxa" w:w="3178"/>
          </w:tcPr>
          <w:p>
            <w:pPr>
              <w:pStyle w:val="null3"/>
            </w:pPr>
            <w:r>
              <w:rPr/>
              <w:t>磋商有效期</w:t>
            </w:r>
          </w:p>
        </w:tc>
        <w:tc>
          <w:tcPr>
            <w:tcW w:type="dxa" w:w="4238"/>
          </w:tcPr>
          <w:p>
            <w:pPr>
              <w:pStyle w:val="null3"/>
            </w:pPr>
            <w:r>
              <w:rPr/>
              <w:t>响应文件的磋商有效期满足磋商文件的要求。</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响应文件对磋商文件“★”项 (如有) 的响应无负偏离。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响应文件未含有采购人不能接受的附加条件。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响应文件未含有法律、法规和采购文件规定的其他无效情形。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采购包1(廉江市车板镇“百千万工程”典型镇培育建设项目—六乱整治项目):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项目实施服务方案 (12.0分)</w:t>
            </w:r>
          </w:p>
        </w:tc>
        <w:tc>
          <w:tcPr>
            <w:tcW w:type="dxa" w:w="5076"/>
          </w:tcPr>
          <w:p>
            <w:pPr>
              <w:pStyle w:val="null3"/>
              <w:jc w:val="left"/>
            </w:pPr>
            <w:r>
              <w:rPr/>
              <w:t>根据各供应商针对本项目制定的项目实施服务方案(包括但不仅限于清理拆除方案、质量要求、运输方案、存储方案等)进行综合评审： （1）项目实施服务方案对项目清理、运输、存放方案有明确详细的计划和步骤，有根据用户需求编制系统科学、合理可行的进度计划安排，项目整体实施方案内容详细完整，并能根据项目需求提出合理可行的建议的，得12分； （2）项目实施服务方案对项目清理、拆除、运输、存放方案有较明确的计划和步骤，有根据用户需求编制合理可行的进度计划安排，项目整体实施方案内容较详细完整的，得7分； （3）项目实施服务方案对项目清理、拆除、运输、存放方案基本明确，进度计划安排基本合理，项目整体实施方案内容简单的，得2分； 未提供对应方案不得分。</w:t>
            </w:r>
          </w:p>
        </w:tc>
      </w:tr>
      <w:tr>
        <w:tc>
          <w:tcPr>
            <w:tcW w:type="dxa" w:w="922"/>
            <w:gridSpan w:val="2"/>
            <w:vMerge/>
          </w:tcPr>
          <w:p/>
        </w:tc>
        <w:tc>
          <w:tcPr>
            <w:tcW w:type="dxa" w:w="2307"/>
          </w:tcPr>
          <w:p>
            <w:pPr>
              <w:pStyle w:val="null3"/>
              <w:jc w:val="left"/>
            </w:pPr>
            <w:r>
              <w:rPr/>
              <w:t>人员设备配置及管理方案 (12.0分)</w:t>
            </w:r>
          </w:p>
        </w:tc>
        <w:tc>
          <w:tcPr>
            <w:tcW w:type="dxa" w:w="5076"/>
          </w:tcPr>
          <w:p>
            <w:pPr>
              <w:pStyle w:val="null3"/>
              <w:jc w:val="left"/>
            </w:pPr>
            <w:r>
              <w:rPr/>
              <w:t>根据各供应商针对本项目制定的拟人员设备配置及管理方案（包括但不限于拟投入设备、设施及人员管理架构、岗位责任、负责人管理能力、服务人员专业水平等内容）进行综合评审： （1）人员设备配置及管理方案非常完善，分工明确，岗位责任制非常强，项目负责人具有丰富的管理经验，服务人员的技术专业水平高，有相关的技能特长，能全面高效实施项目的，得12分； （2）人员设备配置及管理方案完善，分工较为明确，岗位责任制强，项目负责人具有一定管理经验，服务人员的技术专业水平较高，有相关的技能，能高效实施项目的，得7分； （3）人员设备配置及管理方案不够具体，岗位责任分工不明确，项目负责人管理经验欠缺，服务人员技术专业水平低，难以实施项目的，得2分； 未提供对应方案不得分。</w:t>
            </w:r>
          </w:p>
        </w:tc>
      </w:tr>
      <w:tr>
        <w:tc>
          <w:tcPr>
            <w:tcW w:type="dxa" w:w="922"/>
            <w:gridSpan w:val="2"/>
            <w:vMerge/>
          </w:tcPr>
          <w:p/>
        </w:tc>
        <w:tc>
          <w:tcPr>
            <w:tcW w:type="dxa" w:w="2307"/>
          </w:tcPr>
          <w:p>
            <w:pPr>
              <w:pStyle w:val="null3"/>
              <w:jc w:val="left"/>
            </w:pPr>
            <w:r>
              <w:rPr/>
              <w:t>服务质量保证方案 (12.0分)</w:t>
            </w:r>
          </w:p>
        </w:tc>
        <w:tc>
          <w:tcPr>
            <w:tcW w:type="dxa" w:w="5076"/>
          </w:tcPr>
          <w:p>
            <w:pPr>
              <w:pStyle w:val="null3"/>
              <w:jc w:val="left"/>
            </w:pPr>
            <w:r>
              <w:rPr/>
              <w:t>根据各供应商针对本项目制定的服务质量保证方案（包括但不仅限于质量控制、质量目标、保证措施、质量保障管理及制度等内容）进行综合评审： （1）服务质量保证方案架构健全、合理，各工作阶段及任务管理清晰、质量控制流程划分合理，质量目标清晰明确，质量控制措施合理可行，保证措施严谨规范，质量保障管理及制度科学合理具体，质量保证方案内容完善详细，并能根据项目特点及用户需求提出合理可行的建议的，得12分； （2）服务质量保证方案架构较健全、合理，各工作阶段及任务管理清晰、质量控制流程划分基本合理，质量目标较清晰明确，质量控制措施合理可行，保证措施较严谨规范，质量保障管理及制度较具体，质量保证方案内容较详细，能根据项目特点及用户需求提出合理可行的建议的，得7分； （3）服务质量保证方案架构不合理，各工作阶段及任务管理不清晰、质量控制流程划欠缺，质量目标不清晰，质量保障管理及制度不具体，质量保证方案内容简单，得2分； 未提供对应方案不得分。</w:t>
            </w:r>
          </w:p>
        </w:tc>
      </w:tr>
      <w:tr>
        <w:tc>
          <w:tcPr>
            <w:tcW w:type="dxa" w:w="922"/>
            <w:gridSpan w:val="2"/>
            <w:vMerge/>
          </w:tcPr>
          <w:p/>
        </w:tc>
        <w:tc>
          <w:tcPr>
            <w:tcW w:type="dxa" w:w="2307"/>
          </w:tcPr>
          <w:p>
            <w:pPr>
              <w:pStyle w:val="null3"/>
              <w:jc w:val="left"/>
            </w:pPr>
            <w:r>
              <w:rPr/>
              <w:t>安全、文明实施方案 (12.0分)</w:t>
            </w:r>
          </w:p>
        </w:tc>
        <w:tc>
          <w:tcPr>
            <w:tcW w:type="dxa" w:w="5076"/>
          </w:tcPr>
          <w:p>
            <w:pPr>
              <w:pStyle w:val="null3"/>
              <w:jc w:val="left"/>
            </w:pPr>
            <w:r>
              <w:rPr/>
              <w:t>根据各供应商针对本项目制定的安全、文明实施方案的详细性、操作性及针对性进行综合评审： （1）安全、文明实施方案全面完善、非常详细、表述非常清晰、合理性高，完全满足并优于采购需求要求，得12分； （2）安全、文明实施方案全面、比较详细、表述清晰、合理，满足并部分优于采购需求要求的，得7分； （3）安全、文明实施方案比较具体、内容简单，满足采购需求要求的，得2分； 未提供对应方案不得分。</w:t>
            </w:r>
          </w:p>
        </w:tc>
      </w:tr>
      <w:tr>
        <w:tc>
          <w:tcPr>
            <w:tcW w:type="dxa" w:w="922"/>
            <w:gridSpan w:val="2"/>
            <w:vMerge/>
          </w:tcPr>
          <w:p/>
        </w:tc>
        <w:tc>
          <w:tcPr>
            <w:tcW w:type="dxa" w:w="2307"/>
          </w:tcPr>
          <w:p>
            <w:pPr>
              <w:pStyle w:val="null3"/>
              <w:jc w:val="left"/>
            </w:pPr>
            <w:r>
              <w:rPr/>
              <w:t>应急预案方案 (12.0分)</w:t>
            </w:r>
          </w:p>
        </w:tc>
        <w:tc>
          <w:tcPr>
            <w:tcW w:type="dxa" w:w="5076"/>
          </w:tcPr>
          <w:p>
            <w:pPr>
              <w:pStyle w:val="null3"/>
              <w:jc w:val="left"/>
            </w:pPr>
            <w:r>
              <w:rPr/>
              <w:t>根据各供应商针对本项目制定的应急预案（包括但不限于台风、暴雨等天气影响，重大接待任务，节假日或活动等特殊情况）进行综合评审： （1）应急预案方案对项目服务期间出现的突发性事件的预判机制非常完善，对可能出现的突发性事件有完整详尽的应急预案，具有高效可行的传达机制，人员和设备的紧急调配非常科学、合理，服务承诺目标及责任非常详细可行的，得12分； （2）应急预案方案对项目服务期间出现的突发性事件的预判机制较为完善，对可能出现的突发性事件有对应的应急预案，具有可行的传达机制，人员和设备的紧急调配较为科学、合理，服务承诺目标及责任详细可行的，得7分； （3）应急预案方案对项目服务期间出现的突发性事件提供的应急预案不太合理，传达机制及人员和设备的调配欠缺，服务承诺目标及责任不太可行性，得2分； (4)未提供对应方案不得分。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根据供应商承诺在接到采购人通知后到达采购人指定整治现场时间响应情况进行评审： （1）供应商承诺在接到采购人通知后2小时内到达现场，得6分； （2）供应商承诺在接到采购人通知后2小时（不含）至3小时（含）内到达现场，得3分； （3）供应商承诺在接到采购人通知后3小时（不含）至4小时内（含）到达现场，得1分； （4）其他情况不得分。 【注：供应商须提供服务承诺书并加盖供应商公章，格式自拟。】</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2023年至今，供应商承接过同类项目业绩（以合同签订时间为准），每项得3分，最多得12分。 【注：提供合同关键页复印件作为评审依据；业绩时间以签订合同时间为准；不提供不得分。】</w:t>
            </w:r>
          </w:p>
        </w:tc>
      </w:tr>
      <w:tr>
        <w:tc>
          <w:tcPr>
            <w:tcW w:type="dxa" w:w="922"/>
            <w:gridSpan w:val="2"/>
            <w:vMerge/>
          </w:tcPr>
          <w:p/>
        </w:tc>
        <w:tc>
          <w:tcPr>
            <w:tcW w:type="dxa" w:w="2307"/>
          </w:tcPr>
          <w:p>
            <w:pPr>
              <w:pStyle w:val="null3"/>
              <w:jc w:val="left"/>
            </w:pPr>
            <w:r>
              <w:rPr/>
              <w:t>服务满意度 (12.0分)</w:t>
            </w:r>
          </w:p>
        </w:tc>
        <w:tc>
          <w:tcPr>
            <w:tcW w:type="dxa" w:w="5076"/>
          </w:tcPr>
          <w:p>
            <w:pPr>
              <w:pStyle w:val="null3"/>
              <w:jc w:val="left"/>
            </w:pPr>
            <w:r>
              <w:rPr/>
              <w:t>根据供应商提供的上述项目委托方的正面评价材料（优秀、优良、良好、满意或相当于类似评价）进行评审，每提供一份有效评价材料得3分，最高得12分。 【注：需为上一项“同类项目业绩”有效认定的业绩，提供具有委托方公章（或部门章）的评价材料，同一个项目按一份计算，不重复计分。】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440881-2026-03151</w:t>
      </w:r>
    </w:p>
    <w:p>
      <w:pPr>
        <w:pStyle w:val="null3"/>
        <w:jc w:val="center"/>
        <w:outlineLvl w:val="3"/>
      </w:pPr>
      <w:r>
        <w:rPr>
          <w:sz w:val="24"/>
          <w:b/>
        </w:rPr>
        <w:t>采购项目编号：</w:t>
      </w:r>
      <w:r>
        <w:rPr>
          <w:sz w:val="24"/>
          <w:b/>
        </w:rPr>
        <w:t>ZJCG2026－MFZB026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广东明峰项目管理有限公司</w:t>
      </w:r>
    </w:p>
    <w:p>
      <w:pPr>
        <w:pStyle w:val="null3"/>
        <w:ind w:firstLine="480"/>
      </w:pPr>
      <w:r>
        <w:rPr/>
        <w:t xml:space="preserve"> 你方组织的</w:t>
      </w:r>
      <w:r>
        <w:rPr>
          <w:u w:val="single"/>
        </w:rPr>
        <w:t>“</w:t>
      </w:r>
      <w:r>
        <w:rPr>
          <w:u w:val="single"/>
        </w:rPr>
        <w:t>廉江市车板镇“百千万工程”典型镇培育建设项目—六乱整治项目</w:t>
      </w:r>
      <w:r>
        <w:rPr>
          <w:u w:val="single"/>
        </w:rPr>
        <w:t>”</w:t>
      </w:r>
      <w:r>
        <w:rPr/>
        <w:t>项目的竞争性磋商[采购项目编号为：</w:t>
      </w:r>
      <w:r>
        <w:rPr>
          <w:u w:val="single"/>
        </w:rPr>
        <w:t>ZJCG2026－MFZB026</w:t>
      </w:r>
      <w:r>
        <w:rPr/>
        <w:t>]，我方愿参与响应。</w:t>
      </w:r>
    </w:p>
    <w:p>
      <w:pPr>
        <w:pStyle w:val="null3"/>
        <w:ind w:firstLine="480"/>
      </w:pPr>
      <w:r>
        <w:rPr/>
        <w:t>我方确认收到贵方提供的</w:t>
      </w:r>
      <w:r>
        <w:rPr>
          <w:u w:val="single"/>
        </w:rPr>
        <w:t>“</w:t>
      </w:r>
      <w:r>
        <w:rPr>
          <w:u w:val="single"/>
        </w:rPr>
        <w:t>廉江市车板镇“百千万工程”典型镇培育建设项目—六乱整治项目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广东明峰项目管理有限公司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廉江市车板镇“百千万工程”典型镇培育建设项目—六乱整治项目</w:t>
      </w:r>
      <w:r>
        <w:rPr/>
        <w:t>”项目采购[采购项目编号为</w:t>
      </w:r>
      <w:r>
        <w:rPr/>
        <w:t>ZJCG2026－MFZB026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廉江市车板镇人民政府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广东明峰项目管理有限公司</w:t>
      </w:r>
    </w:p>
    <w:p>
      <w:pPr>
        <w:pStyle w:val="null3"/>
        <w:ind w:firstLine="480"/>
      </w:pPr>
      <w:r>
        <w:rPr/>
        <w:t>我单位参加贵公司组织的</w:t>
      </w:r>
      <w:r>
        <w:rPr/>
        <w:t>廉江市车板镇“百千万工程”典型镇培育建设项目—六乱整治项目</w:t>
      </w:r>
      <w:r>
        <w:rPr/>
        <w:t>（采购项目编号：</w:t>
      </w:r>
      <w:r>
        <w:rPr/>
        <w:t>ZJCG2026－MFZB026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广东明峰项目管理有限公司</w:t>
      </w:r>
    </w:p>
    <w:p>
      <w:pPr>
        <w:pStyle w:val="null3"/>
        <w:ind w:firstLine="480"/>
      </w:pPr>
      <w:r>
        <w:rPr/>
        <w:t>我单位已登记并准备参与“</w:t>
      </w:r>
      <w:r>
        <w:rPr/>
        <w:t>廉江市车板镇“百千万工程”典型镇培育建设项目—六乱整治项目</w:t>
      </w:r>
      <w:r>
        <w:rPr/>
        <w:t>”项目（采购项目编号：</w:t>
      </w:r>
      <w:r>
        <w:rPr/>
        <w:t>ZJCG2026－MFZB026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