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版本号：N510923202500010220250724001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大英县竞争性资金争取咨询服务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N5109232025000102</w:t>
      </w:r>
    </w:p>
    <w:p>
      <w:pPr>
        <w:pStyle w:val="null3"/>
        <w:jc w:val="center"/>
        <w:outlineLvl w:val="2"/>
      </w:pPr>
      <w:r>
        <w:rPr>
          <w:rFonts w:ascii="仿宋_GB2312" w:hAnsi="仿宋_GB2312" w:cs="仿宋_GB2312" w:eastAsia="仿宋_GB2312"/>
          <w:sz w:val="28"/>
          <w:b/>
        </w:rPr>
        <w:t>大英县发展和改革局</w:t>
      </w:r>
    </w:p>
    <w:p>
      <w:pPr>
        <w:pStyle w:val="null3"/>
        <w:jc w:val="center"/>
        <w:outlineLvl w:val="2"/>
      </w:pPr>
      <w:r>
        <w:rPr>
          <w:rFonts w:ascii="仿宋_GB2312" w:hAnsi="仿宋_GB2312" w:cs="仿宋_GB2312" w:eastAsia="仿宋_GB2312"/>
          <w:sz w:val="28"/>
          <w:b/>
        </w:rPr>
        <w:t>四川省富盛工程项目管理有限公司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四川省富盛工程项目管理有限公司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大英县发展和改革局</w:t>
      </w:r>
      <w:r>
        <w:rPr>
          <w:rFonts w:ascii="仿宋_GB2312" w:hAnsi="仿宋_GB2312" w:cs="仿宋_GB2312" w:eastAsia="仿宋_GB2312"/>
        </w:rPr>
        <w:t xml:space="preserve"> 委托，拟对 </w:t>
      </w:r>
      <w:r>
        <w:rPr>
          <w:rFonts w:ascii="仿宋_GB2312" w:hAnsi="仿宋_GB2312" w:cs="仿宋_GB2312" w:eastAsia="仿宋_GB2312"/>
        </w:rPr>
        <w:t>大英县竞争性资金争取咨询服务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遂宁市大英县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N5109232025000102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大英县竞争性资金争取咨询服务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为紧密贴合大英县当前发展态势，抢抓国家政策机遇、积极争取各类资金部署要求，我单位拟通过政府采购方式确定一家咨询机构，为我区政策性资金项目提供前期谋划、政策解读、资金申请方面提供服务。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大英县发展和改革局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四川省大英县政府街94号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629300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0825-7824999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四川省富盛工程项目管理有限公司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四川省成都市锦江区东大路318号环球都汇IMP写字楼1701号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13408552231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代理服务费收费标准：参照《招标代理服务收费管理暂行办法》（计价格[2002]1980号）下浮20%收取。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大英县发展和改革局</w:t>
      </w:r>
      <w:r>
        <w:rPr>
          <w:rFonts w:ascii="仿宋_GB2312" w:hAnsi="仿宋_GB2312" w:cs="仿宋_GB2312" w:eastAsia="仿宋_GB2312"/>
        </w:rPr>
        <w:t xml:space="preserve"> 和 </w:t>
      </w:r>
      <w:r>
        <w:rPr>
          <w:rFonts w:ascii="仿宋_GB2312" w:hAnsi="仿宋_GB2312" w:cs="仿宋_GB2312" w:eastAsia="仿宋_GB2312"/>
        </w:rPr>
        <w:t>四川省富盛工程项目管理有限公司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大英县发展和改革局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四川省富盛工程项目管理有限公司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按国家有关规定以及本项目采购文件的技术要求、成交供应商响应文件及承诺与本合同约定标准进行技术履约验收。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按本项目采购文件要求及成交供应商响应文件商务响应为准。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1.严格按照国家现行验收方法和标准执行。 2.按照国家相关法律法规以及《关于进一步加强政府采购需求和履约验收管理的指导意见》（财库〔2016〕205号）等规定进行验收。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大英县发展和改革局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四川省富盛工程项目管理有限公司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四川省富盛工程项目管理有限公司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联系人：邓女士</w:t>
      </w:r>
    </w:p>
    <w:p>
      <w:pPr>
        <w:pStyle w:val="null3"/>
        <w:jc w:val="left"/>
      </w:pPr>
      <w:r>
        <w:rPr>
          <w:rFonts w:ascii="仿宋_GB2312" w:hAnsi="仿宋_GB2312" w:cs="仿宋_GB2312" w:eastAsia="仿宋_GB2312"/>
        </w:rPr>
        <w:t>联系电话：028-84352226</w:t>
      </w:r>
    </w:p>
    <w:p>
      <w:pPr>
        <w:pStyle w:val="null3"/>
        <w:jc w:val="left"/>
      </w:pPr>
      <w:r>
        <w:rPr>
          <w:rFonts w:ascii="仿宋_GB2312" w:hAnsi="仿宋_GB2312" w:cs="仿宋_GB2312" w:eastAsia="仿宋_GB2312"/>
        </w:rPr>
        <w:t>地址：四川省成都市锦江区东大路318号环球都汇IMP写字楼1701号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1,500,000.00</w:t>
      </w:r>
    </w:p>
    <w:p>
      <w:pPr>
        <w:pStyle w:val="null3"/>
        <w:jc w:val="left"/>
      </w:pPr>
      <w:r>
        <w:rPr>
          <w:rFonts w:ascii="仿宋_GB2312" w:hAnsi="仿宋_GB2312" w:cs="仿宋_GB2312" w:eastAsia="仿宋_GB2312"/>
        </w:rPr>
        <w:t>采购包最高限价（元）: 1,500,000.00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C20039900 其他咨询服务</w:t>
            </w:r>
          </w:p>
        </w:tc>
        <w:tc>
          <w:tcPr>
            <w:tcW w:type="dxa" w:w="821"/>
          </w:tcPr>
          <w:p>
            <w:pPr>
              <w:pStyle w:val="null3"/>
              <w:jc w:val="left"/>
            </w:pPr>
            <w:r>
              <w:rPr>
                <w:rFonts w:ascii="仿宋_GB2312" w:hAnsi="仿宋_GB2312" w:cs="仿宋_GB2312" w:eastAsia="仿宋_GB2312"/>
              </w:rPr>
              <w:t>大英县竞争性资金争取咨询服务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大英县竞争性资金争取咨询服务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标的名称：大英县竞争性资金争取咨询服务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80"/>
              <w:jc w:val="both"/>
            </w:pPr>
            <w:r>
              <w:rPr>
                <w:rFonts w:ascii="仿宋_GB2312" w:hAnsi="仿宋_GB2312" w:cs="仿宋_GB2312" w:eastAsia="仿宋_GB2312"/>
                <w:sz w:val="24"/>
              </w:rPr>
              <w:t>（一）项目概述</w:t>
            </w:r>
          </w:p>
          <w:p>
            <w:pPr>
              <w:pStyle w:val="null3"/>
              <w:ind w:firstLine="480"/>
              <w:jc w:val="both"/>
            </w:pPr>
            <w:r>
              <w:rPr>
                <w:rFonts w:ascii="仿宋_GB2312" w:hAnsi="仿宋_GB2312" w:cs="仿宋_GB2312" w:eastAsia="仿宋_GB2312"/>
                <w:sz w:val="24"/>
              </w:rPr>
              <w:t>为紧密贴合大英县当前发展态势，抢抓国家政策机遇、积极争取各类资金部署要求，我单位拟通过政府采购方式确定一家咨询机构，为我区政策性资金项目提供前期谋划、政策解读、资金申请方面提供服务。</w:t>
            </w:r>
          </w:p>
          <w:p>
            <w:pPr>
              <w:pStyle w:val="null3"/>
              <w:ind w:firstLine="480"/>
              <w:jc w:val="both"/>
            </w:pPr>
            <w:r>
              <w:rPr>
                <w:rFonts w:ascii="仿宋_GB2312" w:hAnsi="仿宋_GB2312" w:cs="仿宋_GB2312" w:eastAsia="仿宋_GB2312"/>
                <w:sz w:val="24"/>
              </w:rPr>
              <w:t>（二）服务内容及技术要求</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1、服务内容：为大英县2025-2026年超长期特别国债、中央预算内投资咨询服务采购项目提供技术咨询服务工作。</w:t>
            </w:r>
          </w:p>
          <w:p>
            <w:pPr>
              <w:pStyle w:val="null3"/>
              <w:ind w:firstLine="480"/>
              <w:jc w:val="both"/>
            </w:pPr>
            <w:r>
              <w:rPr>
                <w:rFonts w:ascii="仿宋_GB2312" w:hAnsi="仿宋_GB2312" w:cs="仿宋_GB2312" w:eastAsia="仿宋_GB2312"/>
                <w:sz w:val="24"/>
              </w:rPr>
              <w:t>2、服务要求：（1）专题培训。针对大英县发展和改革局及相关部门和企业等，结合最新超长期国债、中央预算内投资政策背景及内容，组织相关专题培训及答疑。（2）项目梳理及谋划。供应商方派遣工作组在大英县驻点，与大英县发改局及相关部门进行面对面帮扶，全面了解大英县2025年超长期特别国债、中央预算内投资申报项目的情况，针对申报项目存在的问题，提出指导意见和谋划思路，聚焦超长期特别国债、中央预算内投资重点支持的领域，通过“筛、改、谋、补”，建立更加完善的项目储备库。（3）各部门一对一谋划指导。组织大英县相关部门进行一对一指导，对口梳理申报的项目，结合实际情况，提出谋划及修改建议。（4）申报辅导。对全县申报超长期特别国债、中央预算内投资的项目名称、建设内容、批复文件、重大项目库填报内容、资料完整性等方面进行全面审查，并协助大英县完善申报材料，同时，加强向上沟通对接，提高项目申报质量和通过率。（5）进驻辅导。供应商派遣专门工作组，在超长期特别国债、中央预算内投资申报期间进驻当地办公，以便对大英县发改局、各部门的需求进行第一时间响应及解答。</w:t>
            </w:r>
          </w:p>
          <w:p>
            <w:pPr>
              <w:pStyle w:val="null3"/>
              <w:ind w:firstLine="480"/>
              <w:jc w:val="both"/>
            </w:pPr>
            <w:r>
              <w:rPr>
                <w:rFonts w:ascii="仿宋_GB2312" w:hAnsi="仿宋_GB2312" w:cs="仿宋_GB2312" w:eastAsia="仿宋_GB2312"/>
                <w:sz w:val="24"/>
              </w:rPr>
              <w:t>3、技术要求：（1）应组建专业的服务团队，团队成员应具备相关的专业知识、技能和经验，能够胜任本合同约定的服务工作。供应商应保证服务团队的稳定性，如因人员变动影响服务质量和进度，应提前书面通知采购人并采取有效的补救措施。 （2）应严格遵守国家法律法规、政策规定以及上级部门的相关要求，确保为采购人提供的服务工作合法、合规、有效。在服务过程中，不得泄露采购人的项目信息，不得利用采购人的名义从事任何违法违规活动。 （3）应按照本合同约定的服务内容、质量标准和时间进度，认真、负责、高效地完成各项服务工作，确保项目资金争取工作的顺利进行。如因供应商原因导致项目未能成功争取到资金或服务质量不符合要求，供应商应承担相应的违约责任，包括但不限于退还已收取的服务费用等。 （4）应定期向采购人书面报告项目资金争取工作的进展情况和存在的问题，及时反馈与上 级部门沟通协调的结果和意见建议，并根据采购人的要求和反馈意见对服务工作进行调整和优化。</w:t>
            </w:r>
          </w:p>
          <w:p>
            <w:pPr>
              <w:pStyle w:val="null3"/>
              <w:ind w:firstLine="480"/>
              <w:jc w:val="both"/>
            </w:pPr>
            <w:r>
              <w:rPr>
                <w:rFonts w:ascii="仿宋_GB2312" w:hAnsi="仿宋_GB2312" w:cs="仿宋_GB2312" w:eastAsia="仿宋_GB2312"/>
                <w:sz w:val="24"/>
              </w:rPr>
              <w:t>（三）绩效目标与咨询服务费支付方式：</w:t>
            </w:r>
          </w:p>
          <w:p>
            <w:pPr>
              <w:pStyle w:val="null3"/>
              <w:ind w:firstLine="480"/>
              <w:jc w:val="both"/>
            </w:pPr>
            <w:r>
              <w:rPr>
                <w:rFonts w:ascii="仿宋_GB2312" w:hAnsi="仿宋_GB2312" w:cs="仿宋_GB2312" w:eastAsia="仿宋_GB2312"/>
                <w:sz w:val="24"/>
              </w:rPr>
              <w:t>1、咨询服务费由基础咨询服务费+绩效奖励服务费组成。其中基础咨询服务费为合同总额的20%，绩效奖励服务费根据供应商在服务期内为采购人争取到的竞争性资金金额按照以下比例计算确定，具体比例规则如下：（1）若供应商根据采购人提供符合申报基本要求的项目清单，协助采购人争取资金额度在 1.5亿元（含）至2亿元（含）之间，供应商收取合同总额的20%作为绩效奖励；（2）若供应商根据采购人提供符合申报基本要求的项目清单，协助采购人争取到资金额度 超过2亿元（不含）但不超过3亿元（含），供应商收取合同总额的40%作为绩效奖励；（3） 若供应商根据采购人提供符合申报基本要求的项目清单，协助采购人争取到资金额 度超过3亿元（不含），供应商收取合同总额的80%作为绩效奖励；（4）若供应商根据采购人提供符合申报基本要求的项目清单，协助采购人争取资金额度低于1.5亿元（不含）或未争取到资金，绩效奖励为0。（5）项目清单由采购人提供，申报资金额度为采购人在2025年度内提供的项目清单资金需求之和，供应商需在采购人提供的项目清单内进行资金争取服务。各档次绩效奖励不重复、不叠加计算。</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1.严格按照国家现行验收方法和标准执行。 2.按照国家相关法律法规以及《关于进一步加强政府采购需求和履约验收管理的指导意见》（财库〔2016〕205号）等规定进行验收。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1、基础咨询报酬：合同签订后10日内，达到付款条件起10日内，据实情况说明为采购人向供应商支付合同总额的20%</w:t>
            </w:r>
          </w:p>
          <w:p>
            <w:pPr>
              <w:pStyle w:val="null3"/>
              <w:jc w:val="left"/>
            </w:pPr>
            <w:r>
              <w:rPr>
                <w:rFonts w:ascii="仿宋_GB2312" w:hAnsi="仿宋_GB2312" w:cs="仿宋_GB2312" w:eastAsia="仿宋_GB2312"/>
              </w:rPr>
              <w:t>2、绩效奖励服务费，达到付款条件起10日内，据实情况说明为在供应商协助采购人成功争取到1.5亿元（含）以上资金的前提下，甲方应向乙方出具书面的资金确认函，并根据约定的绩效奖励计算规则确定应付绩效奖励费用金额</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采购人及供应商双方必须遵守采购合同并执行合同中的各项规定，保证采购合同的正常履行。任何一方违约给对方造成的直接损失均负有赔偿责任，对方均有权视情况要求对方继续履行合同或提出解除合同。（1）采购人违约责任：①采购人无正当理由导致变更、中止或者终止政府采购合同的，采购人应对供应商受到的损失予以赔偿或者补偿；②采购人偿付的违约金不足以弥补成交供应商损失的，还应按成交供应商损失尚未弥补的部分，支付赔偿金给成交供应商。（2）成交供应商违约责任：①如因供应商在履行过程中的疏忽、失职、过错等故意或者过失原因给采购人造成损失或侵害，包括但不限于采购人本身的财产损失、由此而导致的采购人对任何第三方的法律责任等，供应商对此均应承担全部的赔偿责任；②如供应商提供服务不符合合同约定或采购人要求的，采购方有权要求成交供应商在合理的期限内整改。如供应商拒绝整改或经整改仍不符合要求的，采购人有权解除合同，并要求供应商退还已支付但尚未执行的费用、支付本合同总金额10%的违约金，同时成交供应商应赔偿因此给采购方造成的损失，包括但不限于重新履行采购程序所产生的费用、因主张权利发生的费用（包括但不限于律师费、诉讼费、保全费、交通费、差旅费、鉴定费）等。（3）争议解决方法：双方因履行本合同而发生的争议，应协商、调解解决。协商、调解不成的，提交遂宁仲裁委员会仲裁。</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1、供应商应针对本项目提供服务方案，方案包括： （1）项目实施方案：(1)项目认识及现状分析：投标人根据本项目特点提项目认识及现状分析，内容至少包括： ①项目研判分析； ②重难点分析； ③风险评估。 (2)进度保证措施： 投标人根据本项目特点提供进度保证措施，内容至少包括： ①服务计划； ②合理分配资源； ③进行持续的进度监控。 (3)质量保证措施： 投标人根据本项目特点提供质量保证措施，内容至少包括： ①质量目标； ②质量管理； ③保证措施。 (4)后续服务方案：投标人根据本项目特点提供后续服务方案，内容至少包括： ①后续服务承诺； ②后续服务实施方案； ③后续服务保障措施。 2、综合实力：拟投入的人员及证书、类似业绩。 3、本项目采购文件为电子交易系统编制，因一体化电子交易系统文件编制固化及自动填充问题，部分语句描述可能存在前后不一致、歧义等情形，评审小组在评审时如遇类似情况，应在采购人或采购代理补正、澄清该问题后继续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磋商小组可以根据磋商文件和磋商情况实质性变动，但不得变动磋商文件中的其他内容。实质性变动的内容，须经采购人代表确认。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磋商小组可以根据磋商文件和磋商情况实质性变动，但不得变动磋商文件中的其他内容。实质性变动的内容，须经采购人代表确认。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具有健全的财务会计制度的证明材料： 供应商在使用投标(响应)客户端编制响应文件时，按要求填写《投标（响应）函》完成承诺并进行电子签章。并提供：（1）可提供近3年（2022年或2023年或2024年）任一年度经审计的财务报告（包含审计报告和审计报告中所涉及的财务报表和报表附注）。 （2）也可提供近三年（2022年或2023年或2024年）任一年度供应商财务报表（至少包括资产负债表）。 （3）可提供截至响应文件提交截止日一年内银行出具的资信证明。 （4）供应商注册时间截至响应文件提交截止日不足一年的，也可提供在工商管理部门备案的公司章程。 以上据实提供（1）（2）（3）（4）项任一项即可。 供应商需在项目电子化交易系统中按要求上传相应证明文件并进行电子签章。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具有健全的财务会计制度的证明材料.docx,投标（响应）函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技术要求响应</w:t>
            </w:r>
          </w:p>
        </w:tc>
        <w:tc>
          <w:tcPr>
            <w:tcW w:type="dxa" w:w="3322"/>
          </w:tcPr>
          <w:p>
            <w:pPr>
              <w:pStyle w:val="null3"/>
              <w:jc w:val="left"/>
            </w:pPr>
            <w:r>
              <w:rPr>
                <w:rFonts w:ascii="仿宋_GB2312" w:hAnsi="仿宋_GB2312" w:cs="仿宋_GB2312" w:eastAsia="仿宋_GB2312"/>
              </w:rPr>
              <w:t>供应商应响应磋商文件第三章3.2.技术要求的全部内容。其中标注“★”的内容均为实质性要求，不允许有负偏离。</w:t>
            </w:r>
          </w:p>
        </w:tc>
        <w:tc>
          <w:tcPr>
            <w:tcW w:type="dxa" w:w="1910"/>
          </w:tcPr>
          <w:p>
            <w:pPr>
              <w:pStyle w:val="null3"/>
              <w:jc w:val="left"/>
            </w:pPr>
            <w:r>
              <w:rPr>
                <w:rFonts w:ascii="仿宋_GB2312" w:hAnsi="仿宋_GB2312" w:cs="仿宋_GB2312" w:eastAsia="仿宋_GB2312"/>
              </w:rPr>
              <w:t>技术要求应答表.docx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服务要求响应</w:t>
            </w:r>
          </w:p>
        </w:tc>
        <w:tc>
          <w:tcPr>
            <w:tcW w:type="dxa" w:w="3322"/>
          </w:tcPr>
          <w:p>
            <w:pPr>
              <w:pStyle w:val="null3"/>
              <w:jc w:val="left"/>
            </w:pPr>
            <w:r>
              <w:rPr>
                <w:rFonts w:ascii="仿宋_GB2312" w:hAnsi="仿宋_GB2312" w:cs="仿宋_GB2312" w:eastAsia="仿宋_GB2312"/>
              </w:rPr>
              <w:t>供应商应响应磋商文件第三章3.3.服务要求的全部内容。其中标注“★”的内容均为实质性要求，不允许有负偏离。</w:t>
            </w:r>
          </w:p>
        </w:tc>
        <w:tc>
          <w:tcPr>
            <w:tcW w:type="dxa" w:w="1910"/>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(1)项目认识及现状分析（15分） 投标人根据本项目特点提供项目认识及现状分析，内容包括： ①项目研判分析； ②重难点分析； ③风险评估。 上述方案满足本项目实际需求的得15分，每缺少一项内容扣5分，方案中存在缺陷或不足的，每有一项扣2.5分，扣完为止。 注：缺陷或不足是指：存在不适用项目实际情况的情形、方案中内容前后不一致、前后逻辑错误、涉及的规范及标准错误、地点区域错误、不符合项目实际情况等。 (2)进度保证措施（15分） 投标人根据本项目特点提供进度保证措施，内容包括： ①服务计划； ②合理分配资源； ③进行持续的进度监控。 上述方案满足本项目实际需求的得15分，每缺少一项内容扣5分，方案中存在缺陷或不足的，每有一项扣2.5分，扣完为止。 注：缺陷或不足是指：存在不适用项目实际情况的情形、方案中内容前后不一致、前后逻辑错误、涉及的规范及标准错误、地点区域错误、不符合项目实际情况等。 (3)质量保证措施（15分） 投标人根据本项目特点提供质量保证措施，内容包括： ①质量目标； ②质量管理； ③保证措施。 上述方案满足本项目实际需求的得15分，每缺少一项内容扣5分，方案中存在缺陷或不足的，每有一项扣2.5分，扣完为止。 注：缺陷或不足是指：存在不适用项目实际情况的情形、方案中内容前后不一致、前后逻辑错误、涉及的规范及标准错误、地点区域错误、不符合项目实际情况等。 (4)后续服务方案（15分） 投标人根据本项目特点提供后续服务方案，内容包括： ①后续服务承诺； ②后续服务实施方案； ③后续服务保障措施。 上述方案满足本项目实际需求的得15分，每缺少一项内容扣5分，方案中存在缺陷或不足的，每有一项扣2.5分，扣完为止。 注：缺陷或不足是指：存在不适用项目实际情况的情形、方案中内容前后不一致、前后逻辑错误、涉及的规范及标准错误、地点区域错误、不符合项目实际情况等。</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团队实力</w:t>
            </w:r>
          </w:p>
        </w:tc>
        <w:tc>
          <w:tcPr>
            <w:tcW w:type="dxa" w:w="2575"/>
          </w:tcPr>
          <w:p>
            <w:pPr>
              <w:pStyle w:val="null3"/>
              <w:jc w:val="left"/>
            </w:pPr>
            <w:r>
              <w:rPr>
                <w:rFonts w:ascii="仿宋_GB2312" w:hAnsi="仿宋_GB2312" w:cs="仿宋_GB2312" w:eastAsia="仿宋_GB2312"/>
              </w:rPr>
              <w:t>1、拟投入本项目的项目负责人（1人）：具有咨询工程师（投资）资格证书的得3分，具有高级及以上职称的得3分，本项满分6分；2、拟投入本项目的其他人员（3人）：每有一名具有人力资源类或商务咨询类或经济类或工程类等相关专业大学专科及以上学历证书的得3分，本项最多得9分。注：以上人员不重复计分，须提供人员在职证明及有效的证书复印件并加盖公章，未提供、提供不全或虚假响应，此项不得分。</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团队实力.docx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投标人2022年1月1日（含1日）以来具有一个类似项目业绩的得5分，最多得15分。提供服务合同或授权委托文件或中标（成交）通知书复印件加盖投标人公章。</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详见附件：具有健全的财务会计制度的证明材料.docx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详见附件：团队实力.docx</w:t>
      </w:r>
    </w:p>
    <w:p>
      <w:pPr>
        <w:pStyle w:val="null3"/>
        <w:ind w:firstLine="960"/>
        <w:jc w:val="left"/>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