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078B4C">
      <w:pPr>
        <w:pStyle w:val="6"/>
        <w:jc w:val="center"/>
        <w:outlineLvl w:val="1"/>
      </w:pPr>
      <w:r>
        <w:rPr>
          <w:b/>
          <w:sz w:val="36"/>
        </w:rPr>
        <w:t>第二章 采购需求</w:t>
      </w:r>
    </w:p>
    <w:p w14:paraId="047114E7">
      <w:pPr>
        <w:pStyle w:val="6"/>
        <w:outlineLvl w:val="2"/>
      </w:pPr>
      <w:r>
        <w:rPr>
          <w:b/>
          <w:sz w:val="28"/>
        </w:rPr>
        <w:t>一、项目概况：</w:t>
      </w:r>
    </w:p>
    <w:p w14:paraId="07FDE8F4">
      <w:pPr>
        <w:ind w:firstLine="400" w:firstLineChars="200"/>
        <w:rPr>
          <w:rFonts w:hint="eastAsia" w:ascii="宋体" w:hAnsi="宋体" w:cs="宋体"/>
          <w:bCs/>
          <w:sz w:val="20"/>
          <w:highlight w:val="none"/>
        </w:rPr>
      </w:pPr>
      <w:r>
        <w:rPr>
          <w:rFonts w:hint="eastAsia" w:ascii="宋体" w:hAnsi="宋体" w:cs="宋体"/>
          <w:bCs/>
          <w:sz w:val="20"/>
          <w:highlight w:val="none"/>
        </w:rPr>
        <w:t>项目属性：工程类</w:t>
      </w:r>
    </w:p>
    <w:p w14:paraId="68C35AAC">
      <w:pPr>
        <w:ind w:firstLine="400" w:firstLineChars="200"/>
        <w:rPr>
          <w:rFonts w:hint="eastAsia" w:ascii="宋体" w:hAnsi="宋体" w:cs="宋体"/>
          <w:bCs/>
          <w:sz w:val="20"/>
          <w:highlight w:val="none"/>
        </w:rPr>
      </w:pPr>
      <w:r>
        <w:rPr>
          <w:rFonts w:hint="eastAsia" w:ascii="宋体" w:hAnsi="宋体" w:cs="宋体"/>
          <w:bCs/>
          <w:sz w:val="20"/>
          <w:highlight w:val="none"/>
        </w:rPr>
        <w:t>本项目采购预算为￥1,</w:t>
      </w:r>
      <w:r>
        <w:rPr>
          <w:rFonts w:hint="eastAsia" w:ascii="宋体" w:hAnsi="宋体" w:cs="宋体"/>
          <w:bCs/>
          <w:sz w:val="20"/>
          <w:highlight w:val="none"/>
          <w:lang w:val="en-US" w:eastAsia="zh-CN"/>
        </w:rPr>
        <w:t>0</w:t>
      </w:r>
      <w:r>
        <w:rPr>
          <w:rFonts w:hint="eastAsia" w:ascii="宋体" w:hAnsi="宋体" w:cs="宋体"/>
          <w:bCs/>
          <w:sz w:val="20"/>
          <w:highlight w:val="none"/>
        </w:rPr>
        <w:t>7</w:t>
      </w:r>
      <w:r>
        <w:rPr>
          <w:rFonts w:hint="eastAsia" w:ascii="宋体" w:hAnsi="宋体" w:cs="宋体"/>
          <w:bCs/>
          <w:sz w:val="20"/>
          <w:highlight w:val="none"/>
          <w:lang w:val="en-US" w:eastAsia="zh-CN"/>
        </w:rPr>
        <w:t>2</w:t>
      </w:r>
      <w:r>
        <w:rPr>
          <w:rFonts w:hint="eastAsia" w:ascii="宋体" w:hAnsi="宋体" w:cs="宋体"/>
          <w:bCs/>
          <w:sz w:val="20"/>
          <w:highlight w:val="none"/>
        </w:rPr>
        <w:t>,</w:t>
      </w:r>
      <w:r>
        <w:rPr>
          <w:rFonts w:hint="eastAsia" w:ascii="宋体" w:hAnsi="宋体" w:cs="宋体"/>
          <w:bCs/>
          <w:sz w:val="20"/>
          <w:highlight w:val="none"/>
          <w:lang w:val="en-US" w:eastAsia="zh-CN"/>
        </w:rPr>
        <w:t>531</w:t>
      </w:r>
      <w:r>
        <w:rPr>
          <w:rFonts w:hint="eastAsia" w:ascii="宋体" w:hAnsi="宋体" w:cs="宋体"/>
          <w:bCs/>
          <w:sz w:val="20"/>
          <w:highlight w:val="none"/>
        </w:rPr>
        <w:t>.</w:t>
      </w:r>
      <w:r>
        <w:rPr>
          <w:rFonts w:hint="eastAsia" w:ascii="宋体" w:hAnsi="宋体" w:cs="宋体"/>
          <w:bCs/>
          <w:sz w:val="20"/>
          <w:highlight w:val="none"/>
          <w:lang w:val="en-US" w:eastAsia="zh-CN"/>
        </w:rPr>
        <w:t>88</w:t>
      </w:r>
      <w:r>
        <w:rPr>
          <w:rFonts w:hint="eastAsia" w:ascii="宋体" w:hAnsi="宋体" w:cs="宋体"/>
          <w:bCs/>
          <w:sz w:val="20"/>
          <w:highlight w:val="none"/>
        </w:rPr>
        <w:t>元，202</w:t>
      </w:r>
      <w:r>
        <w:rPr>
          <w:rFonts w:hint="eastAsia" w:ascii="宋体" w:hAnsi="宋体" w:cs="宋体"/>
          <w:bCs/>
          <w:sz w:val="20"/>
          <w:highlight w:val="none"/>
          <w:lang w:val="en-US" w:eastAsia="zh-CN"/>
        </w:rPr>
        <w:t>6</w:t>
      </w:r>
      <w:r>
        <w:rPr>
          <w:rFonts w:hint="eastAsia" w:ascii="宋体" w:hAnsi="宋体" w:cs="宋体"/>
          <w:bCs/>
          <w:sz w:val="20"/>
          <w:highlight w:val="none"/>
        </w:rPr>
        <w:t>年安排80%-100%预算(视结算审核进度而定），根据项目实际进度情况支付。</w:t>
      </w:r>
    </w:p>
    <w:p w14:paraId="3A1BBD65">
      <w:pPr>
        <w:ind w:firstLine="400" w:firstLineChars="200"/>
        <w:rPr>
          <w:rFonts w:hint="eastAsia" w:ascii="宋体" w:hAnsi="宋体" w:cs="宋体"/>
          <w:bCs/>
          <w:sz w:val="20"/>
          <w:highlight w:val="none"/>
        </w:rPr>
      </w:pPr>
      <w:r>
        <w:rPr>
          <w:rFonts w:hint="eastAsia" w:ascii="宋体" w:hAnsi="宋体" w:cs="宋体"/>
          <w:bCs/>
          <w:sz w:val="20"/>
          <w:highlight w:val="none"/>
        </w:rPr>
        <w:t>（一）项目名称：广州工程技术职业学院2026年从化校区体育场地维修改造项目</w:t>
      </w:r>
    </w:p>
    <w:p w14:paraId="2D9756CD">
      <w:pPr>
        <w:ind w:firstLine="400" w:firstLineChars="200"/>
        <w:rPr>
          <w:rFonts w:hint="eastAsia" w:ascii="宋体" w:hAnsi="宋体" w:cs="宋体"/>
          <w:bCs/>
          <w:sz w:val="20"/>
          <w:highlight w:val="none"/>
        </w:rPr>
      </w:pPr>
      <w:r>
        <w:rPr>
          <w:rFonts w:hint="eastAsia" w:ascii="宋体" w:hAnsi="宋体" w:cs="宋体"/>
          <w:bCs/>
          <w:sz w:val="20"/>
          <w:highlight w:val="none"/>
        </w:rPr>
        <w:t>（二）施工地点：广州市从化区从化大道南路79号。</w:t>
      </w:r>
    </w:p>
    <w:p w14:paraId="013474F2">
      <w:pPr>
        <w:ind w:firstLine="400" w:firstLineChars="200"/>
        <w:rPr>
          <w:rFonts w:hint="eastAsia" w:ascii="宋体" w:hAnsi="宋体" w:eastAsia="宋体" w:cs="宋体"/>
          <w:bCs/>
          <w:sz w:val="20"/>
          <w:highlight w:val="none"/>
          <w:lang w:eastAsia="zh-CN"/>
        </w:rPr>
      </w:pPr>
      <w:r>
        <w:rPr>
          <w:rFonts w:hint="eastAsia" w:ascii="宋体" w:hAnsi="宋体" w:cs="宋体"/>
          <w:bCs/>
          <w:sz w:val="20"/>
          <w:highlight w:val="none"/>
        </w:rPr>
        <w:t>（三）施工内容与规模</w:t>
      </w:r>
      <w:r>
        <w:rPr>
          <w:rFonts w:hint="eastAsia" w:ascii="宋体" w:hAnsi="宋体" w:cs="宋体"/>
          <w:bCs/>
          <w:sz w:val="20"/>
          <w:highlight w:val="none"/>
          <w:lang w:eastAsia="zh-CN"/>
        </w:rPr>
        <w:t>：</w:t>
      </w:r>
    </w:p>
    <w:p w14:paraId="3D6730CA">
      <w:pPr>
        <w:ind w:firstLine="400" w:firstLineChars="200"/>
        <w:rPr>
          <w:rFonts w:hint="eastAsia" w:ascii="宋体" w:hAnsi="宋体" w:cs="宋体"/>
          <w:bCs/>
          <w:sz w:val="20"/>
          <w:highlight w:val="none"/>
        </w:rPr>
      </w:pPr>
      <w:r>
        <w:rPr>
          <w:rFonts w:hint="eastAsia" w:ascii="宋体" w:hAnsi="宋体" w:cs="宋体"/>
          <w:bCs/>
          <w:sz w:val="20"/>
          <w:highlight w:val="none"/>
        </w:rPr>
        <w:t>广州工程技术职业学院2026年从化校区体育场地维修改造项目（详见图纸及工程量清单）</w:t>
      </w:r>
    </w:p>
    <w:p w14:paraId="1137B4E0">
      <w:pPr>
        <w:ind w:firstLine="400" w:firstLineChars="200"/>
        <w:rPr>
          <w:rFonts w:hint="eastAsia" w:ascii="宋体" w:hAnsi="宋体" w:cs="宋体"/>
          <w:bCs/>
          <w:sz w:val="20"/>
          <w:highlight w:val="none"/>
        </w:rPr>
      </w:pPr>
      <w:r>
        <w:rPr>
          <w:rFonts w:hint="eastAsia" w:ascii="宋体" w:hAnsi="宋体" w:cs="宋体"/>
          <w:bCs/>
          <w:sz w:val="20"/>
          <w:highlight w:val="none"/>
        </w:rPr>
        <w:t>（</w:t>
      </w:r>
      <w:r>
        <w:rPr>
          <w:rFonts w:hint="eastAsia" w:ascii="宋体" w:hAnsi="宋体" w:cs="宋体"/>
          <w:bCs/>
          <w:sz w:val="20"/>
          <w:highlight w:val="none"/>
          <w:lang w:val="en-US" w:eastAsia="zh-CN"/>
        </w:rPr>
        <w:t>四</w:t>
      </w:r>
      <w:r>
        <w:rPr>
          <w:rFonts w:hint="eastAsia" w:ascii="宋体" w:hAnsi="宋体" w:cs="宋体"/>
          <w:bCs/>
          <w:sz w:val="20"/>
          <w:highlight w:val="none"/>
        </w:rPr>
        <w:t>）项目采购总金额</w:t>
      </w:r>
    </w:p>
    <w:p w14:paraId="01A7D5DD">
      <w:pPr>
        <w:ind w:firstLine="400" w:firstLineChars="200"/>
        <w:rPr>
          <w:rFonts w:ascii="宋体" w:hAnsi="宋体" w:cs="宋体"/>
          <w:bCs/>
          <w:sz w:val="20"/>
          <w:highlight w:val="none"/>
        </w:rPr>
      </w:pPr>
      <w:r>
        <w:rPr>
          <w:rFonts w:ascii="宋体" w:hAnsi="宋体" w:cs="宋体"/>
          <w:bCs/>
          <w:sz w:val="20"/>
          <w:highlight w:val="none"/>
        </w:rPr>
        <w:t>项目采购总金额：￥</w:t>
      </w:r>
      <w:r>
        <w:rPr>
          <w:rFonts w:hint="eastAsia" w:ascii="宋体" w:hAnsi="宋体" w:cs="宋体"/>
          <w:bCs/>
          <w:sz w:val="20"/>
          <w:highlight w:val="none"/>
        </w:rPr>
        <w:t>1,072,531.88</w:t>
      </w:r>
      <w:r>
        <w:rPr>
          <w:rFonts w:ascii="宋体" w:hAnsi="宋体" w:cs="宋体"/>
          <w:bCs/>
          <w:sz w:val="20"/>
          <w:highlight w:val="none"/>
        </w:rPr>
        <w:t>元</w:t>
      </w:r>
      <w:r>
        <w:rPr>
          <w:rFonts w:hint="eastAsia" w:ascii="宋体" w:hAnsi="宋体" w:cs="宋体"/>
          <w:bCs/>
          <w:sz w:val="20"/>
          <w:highlight w:val="none"/>
        </w:rPr>
        <w:t>（</w:t>
      </w:r>
      <w:r>
        <w:rPr>
          <w:rFonts w:ascii="宋体" w:hAnsi="宋体" w:cs="宋体"/>
          <w:bCs/>
          <w:sz w:val="20"/>
          <w:highlight w:val="none"/>
        </w:rPr>
        <w:t>注：</w:t>
      </w:r>
      <w:r>
        <w:rPr>
          <w:rFonts w:hint="eastAsia" w:ascii="宋体" w:hAnsi="宋体" w:cs="宋体"/>
          <w:bCs/>
          <w:sz w:val="20"/>
          <w:highlight w:val="none"/>
        </w:rPr>
        <w:t>已</w:t>
      </w:r>
      <w:r>
        <w:rPr>
          <w:rFonts w:ascii="宋体" w:hAnsi="宋体" w:cs="宋体"/>
          <w:bCs/>
          <w:sz w:val="20"/>
          <w:highlight w:val="none"/>
        </w:rPr>
        <w:t>包含</w:t>
      </w:r>
      <w:r>
        <w:rPr>
          <w:rFonts w:hint="eastAsia" w:ascii="宋体" w:hAnsi="宋体" w:cs="宋体"/>
          <w:bCs/>
          <w:sz w:val="20"/>
          <w:highlight w:val="none"/>
        </w:rPr>
        <w:t>安全生产措施费￥14952.41元</w:t>
      </w:r>
      <w:r>
        <w:rPr>
          <w:rFonts w:ascii="宋体" w:hAnsi="宋体" w:cs="宋体"/>
          <w:bCs/>
          <w:sz w:val="20"/>
          <w:highlight w:val="none"/>
        </w:rPr>
        <w:t>、暂列金额</w:t>
      </w:r>
      <w:r>
        <w:rPr>
          <w:rFonts w:hint="eastAsia" w:ascii="宋体" w:hAnsi="宋体" w:cs="宋体"/>
          <w:bCs/>
          <w:sz w:val="20"/>
          <w:highlight w:val="none"/>
        </w:rPr>
        <w:t>￥46</w:t>
      </w:r>
      <w:r>
        <w:rPr>
          <w:rFonts w:hint="eastAsia" w:ascii="宋体" w:hAnsi="宋体" w:cs="宋体"/>
          <w:bCs/>
          <w:sz w:val="20"/>
          <w:highlight w:val="none"/>
          <w:lang w:val="en-US" w:eastAsia="zh-CN"/>
        </w:rPr>
        <w:t>,</w:t>
      </w:r>
      <w:r>
        <w:rPr>
          <w:rFonts w:hint="eastAsia" w:ascii="宋体" w:hAnsi="宋体" w:cs="宋体"/>
          <w:bCs/>
          <w:sz w:val="20"/>
          <w:highlight w:val="none"/>
        </w:rPr>
        <w:t>961.72</w:t>
      </w:r>
      <w:r>
        <w:rPr>
          <w:rFonts w:ascii="宋体" w:hAnsi="宋体" w:cs="宋体"/>
          <w:bCs/>
          <w:sz w:val="20"/>
          <w:highlight w:val="none"/>
        </w:rPr>
        <w:t>元等</w:t>
      </w:r>
      <w:r>
        <w:rPr>
          <w:rFonts w:hint="eastAsia" w:ascii="宋体" w:hAnsi="宋体" w:cs="宋体"/>
          <w:bCs/>
          <w:sz w:val="20"/>
          <w:highlight w:val="none"/>
        </w:rPr>
        <w:t>）</w:t>
      </w:r>
      <w:r>
        <w:rPr>
          <w:rFonts w:ascii="宋体" w:hAnsi="宋体" w:cs="宋体"/>
          <w:bCs/>
          <w:sz w:val="20"/>
          <w:highlight w:val="none"/>
        </w:rPr>
        <w:t>。</w:t>
      </w:r>
    </w:p>
    <w:p w14:paraId="197F5AF4">
      <w:pPr>
        <w:ind w:firstLine="400" w:firstLineChars="200"/>
        <w:rPr>
          <w:rFonts w:hint="default" w:ascii="宋体" w:hAnsi="宋体" w:eastAsia="宋体" w:cs="宋体"/>
          <w:bCs/>
          <w:sz w:val="20"/>
          <w:highlight w:val="none"/>
          <w:lang w:val="en-US" w:eastAsia="zh-CN"/>
        </w:rPr>
      </w:pPr>
      <w:r>
        <w:rPr>
          <w:rFonts w:hint="eastAsia" w:ascii="宋体" w:hAnsi="宋体" w:cs="宋体"/>
          <w:bCs/>
          <w:sz w:val="20"/>
          <w:highlight w:val="none"/>
          <w:lang w:eastAsia="zh-CN"/>
        </w:rPr>
        <w:t>（</w:t>
      </w:r>
      <w:r>
        <w:rPr>
          <w:rFonts w:hint="eastAsia" w:ascii="宋体" w:hAnsi="宋体" w:cs="宋体"/>
          <w:bCs/>
          <w:sz w:val="20"/>
          <w:highlight w:val="none"/>
          <w:lang w:val="en-US" w:eastAsia="zh-CN"/>
        </w:rPr>
        <w:t>五）项目承包方式：本工程实行综合单价包干：即按照图纸和工程量清单内容，要求包工、包料、包机械、包工期、包质量、包安全生产、包文明施工、包余泥排放、包劳保、包验收、包保修等的承包方式。</w:t>
      </w:r>
    </w:p>
    <w:p w14:paraId="2556A8A7">
      <w:pPr>
        <w:pStyle w:val="6"/>
        <w:outlineLvl w:val="2"/>
        <w:rPr>
          <w:rFonts w:hint="default"/>
          <w:b/>
          <w:sz w:val="28"/>
          <w:highlight w:val="none"/>
        </w:rPr>
      </w:pPr>
      <w:r>
        <w:rPr>
          <w:rFonts w:hint="eastAsia"/>
          <w:b/>
          <w:sz w:val="28"/>
          <w:highlight w:val="none"/>
          <w:lang w:val="en-US" w:eastAsia="zh-CN"/>
        </w:rPr>
        <w:t>二、</w:t>
      </w:r>
      <w:r>
        <w:rPr>
          <w:b/>
          <w:sz w:val="28"/>
          <w:highlight w:val="none"/>
        </w:rPr>
        <w:t>服务要求</w:t>
      </w:r>
    </w:p>
    <w:p w14:paraId="5DD6FCA4">
      <w:pPr>
        <w:pStyle w:val="6"/>
        <w:ind w:firstLine="400"/>
        <w:jc w:val="both"/>
        <w:rPr>
          <w:rFonts w:hint="default"/>
          <w:highlight w:val="none"/>
        </w:rPr>
      </w:pPr>
      <w:r>
        <w:rPr>
          <w:highlight w:val="none"/>
          <w:lang w:eastAsia="zh-CN"/>
        </w:rPr>
        <w:t>供应商</w:t>
      </w:r>
      <w:r>
        <w:rPr>
          <w:highlight w:val="none"/>
        </w:rPr>
        <w:t>应清楚知晓下列服务要求，参与</w:t>
      </w:r>
      <w:r>
        <w:rPr>
          <w:highlight w:val="none"/>
          <w:lang w:eastAsia="zh-CN"/>
        </w:rPr>
        <w:t>响应</w:t>
      </w:r>
      <w:r>
        <w:rPr>
          <w:highlight w:val="none"/>
        </w:rPr>
        <w:t>的，视为完全响应下列要求，并愿意承担相应的风险及责任（提供承诺函，格式自拟）。</w:t>
      </w:r>
    </w:p>
    <w:p w14:paraId="23EA062B">
      <w:pPr>
        <w:pStyle w:val="6"/>
        <w:ind w:firstLine="400"/>
        <w:jc w:val="both"/>
        <w:rPr>
          <w:rFonts w:hint="default"/>
          <w:highlight w:val="none"/>
        </w:rPr>
      </w:pPr>
      <w:r>
        <w:rPr>
          <w:highlight w:val="none"/>
        </w:rPr>
        <w:t>（一）采购人已聘请工程监理单位，</w:t>
      </w:r>
      <w:r>
        <w:rPr>
          <w:highlight w:val="none"/>
          <w:lang w:eastAsia="zh-CN"/>
        </w:rPr>
        <w:t>成交</w:t>
      </w:r>
      <w:r>
        <w:rPr>
          <w:highlight w:val="none"/>
        </w:rPr>
        <w:t>供应商的施工质量标准应满足国家现行施工验收规范要求及合同约定，并接受监理单位的监督。如因</w:t>
      </w:r>
      <w:r>
        <w:rPr>
          <w:highlight w:val="none"/>
          <w:lang w:eastAsia="zh-CN"/>
        </w:rPr>
        <w:t>成交</w:t>
      </w:r>
      <w:r>
        <w:rPr>
          <w:highlight w:val="none"/>
        </w:rPr>
        <w:t>供应商的施工质量不符合规范、标准要求导致了停工、返工、工期延误等后果，由</w:t>
      </w:r>
      <w:r>
        <w:rPr>
          <w:highlight w:val="none"/>
          <w:lang w:eastAsia="zh-CN"/>
        </w:rPr>
        <w:t>成交</w:t>
      </w:r>
      <w:r>
        <w:rPr>
          <w:highlight w:val="none"/>
        </w:rPr>
        <w:t>供应商承担相应的责任及费用。</w:t>
      </w:r>
    </w:p>
    <w:p w14:paraId="73DE3D0F">
      <w:pPr>
        <w:pStyle w:val="6"/>
        <w:ind w:firstLine="400"/>
        <w:jc w:val="both"/>
        <w:rPr>
          <w:rFonts w:hint="default"/>
          <w:highlight w:val="none"/>
        </w:rPr>
      </w:pPr>
      <w:r>
        <w:rPr>
          <w:highlight w:val="none"/>
        </w:rPr>
        <w:t>（二）</w:t>
      </w:r>
      <w:r>
        <w:rPr>
          <w:highlight w:val="none"/>
          <w:lang w:eastAsia="zh-CN"/>
        </w:rPr>
        <w:t>成交</w:t>
      </w:r>
      <w:r>
        <w:rPr>
          <w:highlight w:val="none"/>
        </w:rPr>
        <w:t>供应商提供的材料应当符合国家规范、行业标准及项目设计要求，需向采购人提供厂家批号、出厂合格证、质量检验书等资料证明。如因</w:t>
      </w:r>
      <w:r>
        <w:rPr>
          <w:highlight w:val="none"/>
          <w:lang w:eastAsia="zh-CN"/>
        </w:rPr>
        <w:t>成交</w:t>
      </w:r>
      <w:r>
        <w:rPr>
          <w:highlight w:val="none"/>
        </w:rPr>
        <w:t>供应商提供的材料或资料证明不符合规范、标准要求导致了停工、返工、工期延误等后果，由</w:t>
      </w:r>
      <w:r>
        <w:rPr>
          <w:highlight w:val="none"/>
          <w:lang w:eastAsia="zh-CN"/>
        </w:rPr>
        <w:t>成交</w:t>
      </w:r>
      <w:r>
        <w:rPr>
          <w:highlight w:val="none"/>
        </w:rPr>
        <w:t>供应商承担相应的责任及费用。</w:t>
      </w:r>
    </w:p>
    <w:p w14:paraId="24FDC245">
      <w:pPr>
        <w:pStyle w:val="6"/>
        <w:ind w:firstLine="400"/>
        <w:jc w:val="both"/>
        <w:rPr>
          <w:rFonts w:hint="default"/>
          <w:highlight w:val="none"/>
        </w:rPr>
      </w:pPr>
      <w:r>
        <w:rPr>
          <w:highlight w:val="none"/>
        </w:rPr>
        <w:t>（三）因业务需求，采购人对施工工期（</w:t>
      </w:r>
      <w:r>
        <w:rPr>
          <w:rFonts w:hint="eastAsia"/>
          <w:highlight w:val="none"/>
          <w:lang w:val="en-US" w:eastAsia="zh-CN"/>
        </w:rPr>
        <w:t>50</w:t>
      </w:r>
      <w:r>
        <w:rPr>
          <w:highlight w:val="none"/>
        </w:rPr>
        <w:t>天）要求严格，</w:t>
      </w:r>
      <w:r>
        <w:rPr>
          <w:highlight w:val="none"/>
          <w:lang w:eastAsia="zh-CN"/>
        </w:rPr>
        <w:t>供应商</w:t>
      </w:r>
      <w:r>
        <w:rPr>
          <w:highlight w:val="none"/>
        </w:rPr>
        <w:t>在了解现场后，应结合自身条件对该工程的工程量、施工工期、按期完工所需的费用（含赶工措施费）认真分析评估，参与</w:t>
      </w:r>
      <w:r>
        <w:rPr>
          <w:highlight w:val="none"/>
          <w:lang w:eastAsia="zh-CN"/>
        </w:rPr>
        <w:t>响应</w:t>
      </w:r>
      <w:r>
        <w:rPr>
          <w:highlight w:val="none"/>
        </w:rPr>
        <w:t>则视为</w:t>
      </w:r>
      <w:r>
        <w:rPr>
          <w:highlight w:val="none"/>
          <w:lang w:eastAsia="zh-CN"/>
        </w:rPr>
        <w:t>供应商</w:t>
      </w:r>
      <w:r>
        <w:rPr>
          <w:highlight w:val="none"/>
        </w:rPr>
        <w:t>接受并可以按期完工。如</w:t>
      </w:r>
      <w:r>
        <w:rPr>
          <w:highlight w:val="none"/>
          <w:lang w:eastAsia="zh-CN"/>
        </w:rPr>
        <w:t>成交</w:t>
      </w:r>
      <w:r>
        <w:rPr>
          <w:highlight w:val="none"/>
        </w:rPr>
        <w:t>供应商无法按期完工，采购人有权对其施工工期延误的行为要求赔偿并在结算款中扣除，每超期1天扣除合同价的千分之一，最高不超过合同总价的5%。</w:t>
      </w:r>
    </w:p>
    <w:p w14:paraId="678375D9">
      <w:pPr>
        <w:pStyle w:val="6"/>
        <w:ind w:firstLine="400"/>
        <w:jc w:val="both"/>
        <w:rPr>
          <w:rFonts w:hint="default"/>
          <w:highlight w:val="none"/>
          <w:lang w:val="en-US" w:eastAsia="zh-CN"/>
        </w:rPr>
      </w:pPr>
      <w:r>
        <w:rPr>
          <w:rFonts w:hint="eastAsia"/>
          <w:highlight w:val="none"/>
        </w:rPr>
        <w:t>★</w:t>
      </w:r>
      <w:r>
        <w:rPr>
          <w:highlight w:val="none"/>
        </w:rPr>
        <w:t>（四）</w:t>
      </w:r>
      <w:r>
        <w:rPr>
          <w:rFonts w:hint="eastAsia"/>
          <w:highlight w:val="none"/>
          <w:lang w:val="en-US" w:eastAsia="zh-CN"/>
        </w:rPr>
        <w:t>供应商承诺在成交通知书发出之日，联系采购方，协商合同签约事宜，确保10个工作日内签订书面合同；提交承诺书，格式自拟。</w:t>
      </w:r>
    </w:p>
    <w:p w14:paraId="7E4EE56E">
      <w:pPr>
        <w:pStyle w:val="6"/>
        <w:ind w:firstLine="400"/>
        <w:jc w:val="both"/>
        <w:rPr>
          <w:rFonts w:hint="default"/>
          <w:highlight w:val="none"/>
        </w:rPr>
      </w:pPr>
      <w:r>
        <w:rPr>
          <w:highlight w:val="none"/>
        </w:rPr>
        <w:t>（五）</w:t>
      </w:r>
      <w:r>
        <w:rPr>
          <w:highlight w:val="none"/>
          <w:lang w:eastAsia="zh-CN"/>
        </w:rPr>
        <w:t>成交</w:t>
      </w:r>
      <w:r>
        <w:rPr>
          <w:highlight w:val="none"/>
        </w:rPr>
        <w:t>供应商应参加采购人组织的现场会，并于</w:t>
      </w:r>
      <w:r>
        <w:rPr>
          <w:highlight w:val="none"/>
          <w:lang w:eastAsia="zh-CN"/>
        </w:rPr>
        <w:t>成交</w:t>
      </w:r>
      <w:r>
        <w:rPr>
          <w:highlight w:val="none"/>
        </w:rPr>
        <w:t>后马上整理并在开工前提交施工方案、进度计划以及人员配备资料（包括专业技术人员、专业资格证书、项目负责人执业证书、安全考核合格证书等）。</w:t>
      </w:r>
    </w:p>
    <w:p w14:paraId="31DF7A68">
      <w:pPr>
        <w:pStyle w:val="6"/>
        <w:ind w:firstLine="400"/>
        <w:jc w:val="both"/>
        <w:rPr>
          <w:rFonts w:hint="default"/>
          <w:highlight w:val="none"/>
        </w:rPr>
      </w:pPr>
      <w:r>
        <w:rPr>
          <w:highlight w:val="none"/>
        </w:rPr>
        <w:t>（六）成交供应商应指派专人作为驻工地代表，按要求组织施工，保质、保量、保安全、按期完成施工任务，解决由成交供应商负责的各项事宜。</w:t>
      </w:r>
    </w:p>
    <w:p w14:paraId="789E38D5">
      <w:pPr>
        <w:pStyle w:val="6"/>
        <w:ind w:firstLine="400"/>
        <w:jc w:val="both"/>
        <w:rPr>
          <w:highlight w:val="none"/>
        </w:rPr>
      </w:pPr>
      <w:r>
        <w:rPr>
          <w:rFonts w:hint="eastAsia"/>
          <w:highlight w:val="none"/>
          <w:lang w:eastAsia="zh-CN"/>
        </w:rPr>
        <w:t>（</w:t>
      </w:r>
      <w:r>
        <w:rPr>
          <w:rFonts w:hint="eastAsia"/>
          <w:highlight w:val="none"/>
          <w:lang w:val="en-US" w:eastAsia="zh-CN"/>
        </w:rPr>
        <w:t>七）</w:t>
      </w:r>
      <w:r>
        <w:rPr>
          <w:highlight w:val="none"/>
        </w:rPr>
        <w:t>成交供应商应严格执行施工规范、安全操作规程、防火安全规定、环境保护规定。严格按照图纸或</w:t>
      </w:r>
      <w:r>
        <w:rPr>
          <w:rFonts w:hint="eastAsia"/>
          <w:highlight w:val="none"/>
          <w:lang w:eastAsia="zh-CN"/>
        </w:rPr>
        <w:t>做法</w:t>
      </w:r>
      <w:r>
        <w:rPr>
          <w:highlight w:val="none"/>
        </w:rPr>
        <w:t>说明进行施工，做好各项质量检查记录。</w:t>
      </w:r>
    </w:p>
    <w:p w14:paraId="4B643C35">
      <w:pPr>
        <w:pStyle w:val="6"/>
        <w:ind w:firstLine="400"/>
        <w:jc w:val="both"/>
        <w:rPr>
          <w:rFonts w:hint="default"/>
          <w:highlight w:val="none"/>
        </w:rPr>
      </w:pPr>
      <w:r>
        <w:rPr>
          <w:rFonts w:hint="eastAsia"/>
          <w:highlight w:val="none"/>
        </w:rPr>
        <w:t>★（八）承诺竣工验收合格后28 天内，向采购人提交全套竣工结算书与资料，确保2个月内完成结算审核；成交供应商需对结算送审资料的真实性、合法性、完整性负责；提交承诺书，格式自拟</w:t>
      </w:r>
      <w:r>
        <w:rPr>
          <w:highlight w:val="none"/>
        </w:rPr>
        <w:t>。</w:t>
      </w:r>
    </w:p>
    <w:p w14:paraId="67DBAC90">
      <w:pPr>
        <w:pStyle w:val="6"/>
        <w:ind w:firstLine="400"/>
        <w:jc w:val="both"/>
        <w:rPr>
          <w:rFonts w:hint="default"/>
          <w:highlight w:val="none"/>
        </w:rPr>
      </w:pPr>
      <w:r>
        <w:rPr>
          <w:highlight w:val="none"/>
        </w:rPr>
        <w:t>（</w:t>
      </w:r>
      <w:r>
        <w:rPr>
          <w:rFonts w:hint="eastAsia"/>
          <w:highlight w:val="none"/>
          <w:lang w:val="en-US" w:eastAsia="zh-CN"/>
        </w:rPr>
        <w:t>九</w:t>
      </w:r>
      <w:r>
        <w:rPr>
          <w:highlight w:val="none"/>
        </w:rPr>
        <w:t>）成交供应商应遵守国家或地方政府及有关部门对施工现场管理的规定，妥善保护好施工现场周围建筑物、设备管线、古树名木不受损坏。做好施工现场保卫和垃圾消纳等工作，并承担相应费用。</w:t>
      </w:r>
      <w:r>
        <w:rPr>
          <w:b/>
          <w:highlight w:val="none"/>
        </w:rPr>
        <w:t>如成交供应商未及时清理建筑垃圾，采购人将按照500元/㎥从工程款中扣罚，并另行委托有资质的第三方清运，由此造成的额外支出费用由成交供应商</w:t>
      </w:r>
      <w:r>
        <w:rPr>
          <w:highlight w:val="none"/>
        </w:rPr>
        <w:t>承担</w:t>
      </w:r>
      <w:r>
        <w:rPr>
          <w:b/>
          <w:highlight w:val="none"/>
        </w:rPr>
        <w:t>。</w:t>
      </w:r>
    </w:p>
    <w:p w14:paraId="386B51E9">
      <w:pPr>
        <w:pStyle w:val="6"/>
        <w:ind w:firstLine="400"/>
        <w:jc w:val="both"/>
        <w:rPr>
          <w:rFonts w:hint="default"/>
          <w:highlight w:val="none"/>
        </w:rPr>
      </w:pPr>
      <w:r>
        <w:rPr>
          <w:highlight w:val="none"/>
        </w:rPr>
        <w:t>（</w:t>
      </w:r>
      <w:r>
        <w:rPr>
          <w:rFonts w:hint="eastAsia"/>
          <w:highlight w:val="none"/>
          <w:lang w:val="en-US" w:eastAsia="zh-CN"/>
        </w:rPr>
        <w:t>十</w:t>
      </w:r>
      <w:r>
        <w:rPr>
          <w:highlight w:val="none"/>
        </w:rPr>
        <w:t>）成交供应商在施工过程中未经采购人同意或有关部门批准，不得随意拆改原建筑物结构及各种设备管线。确有必要拆除，应经采购人书面确认后，方可拆除旧的线路材料并负责搬运至采购人指定地点。</w:t>
      </w:r>
    </w:p>
    <w:p w14:paraId="79BF9BDF">
      <w:pPr>
        <w:pStyle w:val="6"/>
        <w:ind w:firstLine="400"/>
        <w:jc w:val="both"/>
        <w:rPr>
          <w:rFonts w:hint="default"/>
          <w:highlight w:val="none"/>
        </w:rPr>
      </w:pPr>
      <w:r>
        <w:rPr>
          <w:highlight w:val="none"/>
        </w:rPr>
        <w:t>（十</w:t>
      </w:r>
      <w:r>
        <w:rPr>
          <w:rFonts w:hint="eastAsia"/>
          <w:highlight w:val="none"/>
          <w:lang w:val="en-US" w:eastAsia="zh-CN"/>
        </w:rPr>
        <w:t>一</w:t>
      </w:r>
      <w:r>
        <w:rPr>
          <w:highlight w:val="none"/>
        </w:rPr>
        <w:t>）工程竣工未移交采购人之前，成交供应商应负责对现场的一切设施和工程成品进行保护，保护费用由成交供应商承担。</w:t>
      </w:r>
    </w:p>
    <w:p w14:paraId="02FE868E">
      <w:pPr>
        <w:pStyle w:val="6"/>
        <w:ind w:firstLine="400"/>
        <w:jc w:val="both"/>
        <w:rPr>
          <w:rFonts w:hint="default"/>
          <w:highlight w:val="none"/>
        </w:rPr>
      </w:pPr>
      <w:r>
        <w:rPr>
          <w:highlight w:val="none"/>
          <w:lang w:eastAsia="zh-CN"/>
        </w:rPr>
        <w:t>（十</w:t>
      </w:r>
      <w:r>
        <w:rPr>
          <w:rFonts w:hint="eastAsia"/>
          <w:highlight w:val="none"/>
          <w:lang w:val="en-US" w:eastAsia="zh-CN"/>
        </w:rPr>
        <w:t>二</w:t>
      </w:r>
      <w:r>
        <w:rPr>
          <w:highlight w:val="none"/>
          <w:lang w:eastAsia="zh-CN"/>
        </w:rPr>
        <w:t>）</w:t>
      </w:r>
      <w:r>
        <w:rPr>
          <w:highlight w:val="none"/>
        </w:rPr>
        <w:t>采购人工作场所的特殊性，成交供应商应做好施工人员的教育工作，遵守采购人的各项管理规定，不得随意对采购人内部设施等拍照和发社交媒体。</w:t>
      </w:r>
    </w:p>
    <w:p w14:paraId="5180FCC6">
      <w:pPr>
        <w:pStyle w:val="6"/>
        <w:ind w:firstLine="400"/>
        <w:jc w:val="both"/>
        <w:rPr>
          <w:rFonts w:hint="default"/>
          <w:highlight w:val="none"/>
          <w:lang w:eastAsia="zh-CN"/>
        </w:rPr>
      </w:pPr>
      <w:r>
        <w:rPr>
          <w:highlight w:val="none"/>
          <w:lang w:eastAsia="zh-CN"/>
        </w:rPr>
        <w:t>（十</w:t>
      </w:r>
      <w:r>
        <w:rPr>
          <w:rFonts w:hint="eastAsia"/>
          <w:highlight w:val="none"/>
          <w:lang w:val="en-US" w:eastAsia="zh-CN"/>
        </w:rPr>
        <w:t>三</w:t>
      </w:r>
      <w:r>
        <w:rPr>
          <w:highlight w:val="none"/>
          <w:lang w:eastAsia="zh-CN"/>
        </w:rPr>
        <w:t>）当采购人出现紧急需求时，响应供应商响应时间必须≤60分钟。</w:t>
      </w:r>
    </w:p>
    <w:p w14:paraId="70515F33">
      <w:pPr>
        <w:pStyle w:val="6"/>
        <w:outlineLvl w:val="2"/>
        <w:rPr>
          <w:rFonts w:hint="default"/>
          <w:b/>
          <w:sz w:val="28"/>
          <w:highlight w:val="none"/>
        </w:rPr>
      </w:pPr>
      <w:r>
        <w:rPr>
          <w:rFonts w:hint="eastAsia"/>
          <w:b/>
          <w:sz w:val="28"/>
          <w:highlight w:val="none"/>
          <w:lang w:val="en-US" w:eastAsia="zh-CN"/>
        </w:rPr>
        <w:t>三</w:t>
      </w:r>
      <w:r>
        <w:rPr>
          <w:b/>
          <w:sz w:val="28"/>
          <w:highlight w:val="none"/>
        </w:rPr>
        <w:t>、服务范围</w:t>
      </w:r>
    </w:p>
    <w:p w14:paraId="2D520F19">
      <w:pPr>
        <w:pStyle w:val="6"/>
        <w:ind w:firstLine="400"/>
        <w:jc w:val="both"/>
        <w:rPr>
          <w:rFonts w:hint="default"/>
          <w:highlight w:val="none"/>
        </w:rPr>
      </w:pPr>
      <w:r>
        <w:rPr>
          <w:highlight w:val="none"/>
        </w:rPr>
        <w:t>（一）成交供应商应根据项目合同、施工图、</w:t>
      </w:r>
      <w:r>
        <w:rPr>
          <w:rFonts w:hint="eastAsia"/>
          <w:highlight w:val="none"/>
          <w:lang w:val="en-US" w:eastAsia="zh-CN"/>
        </w:rPr>
        <w:t>施工深化图、</w:t>
      </w:r>
      <w:r>
        <w:rPr>
          <w:highlight w:val="none"/>
        </w:rPr>
        <w:t>工程量清单</w:t>
      </w:r>
      <w:r>
        <w:rPr>
          <w:rFonts w:hint="eastAsia"/>
          <w:highlight w:val="none"/>
          <w:lang w:eastAsia="zh-CN"/>
        </w:rPr>
        <w:t>、</w:t>
      </w:r>
      <w:r>
        <w:rPr>
          <w:rFonts w:hint="eastAsia"/>
          <w:highlight w:val="none"/>
          <w:lang w:val="en-US" w:eastAsia="zh-CN"/>
        </w:rPr>
        <w:t>响应文件</w:t>
      </w:r>
      <w:r>
        <w:rPr>
          <w:highlight w:val="none"/>
        </w:rPr>
        <w:t>完成工程实体施工，确保施工安全和工程质量。</w:t>
      </w:r>
    </w:p>
    <w:p w14:paraId="2021B426">
      <w:pPr>
        <w:pStyle w:val="6"/>
        <w:ind w:firstLine="400"/>
        <w:rPr>
          <w:rFonts w:hint="eastAsia" w:eastAsiaTheme="minorEastAsia"/>
          <w:highlight w:val="none"/>
          <w:lang w:eastAsia="zh-CN"/>
        </w:rPr>
      </w:pPr>
      <w:r>
        <w:rPr>
          <w:highlight w:val="none"/>
        </w:rPr>
        <w:t>（二）施工前，</w:t>
      </w:r>
      <w:r>
        <w:rPr>
          <w:highlight w:val="none"/>
          <w:lang w:eastAsia="zh-CN"/>
        </w:rPr>
        <w:t>成交</w:t>
      </w:r>
      <w:r>
        <w:rPr>
          <w:highlight w:val="none"/>
        </w:rPr>
        <w:t>供应商应对本工程范围内的地下电缆、光纤缆线、供水管、雨污水管（涵）等进行摸查，应与有关管线单位协调好施工安全事宜。相距现有地下管线较近时，须会同相关单位对现有管线的保护、改线和迁移制定可行的方案</w:t>
      </w:r>
      <w:r>
        <w:rPr>
          <w:rFonts w:hint="eastAsia"/>
          <w:highlight w:val="none"/>
          <w:lang w:eastAsia="zh-CN"/>
        </w:rPr>
        <w:t>。</w:t>
      </w:r>
    </w:p>
    <w:p w14:paraId="6B2F951E">
      <w:pPr>
        <w:pStyle w:val="6"/>
        <w:ind w:firstLine="400"/>
        <w:jc w:val="both"/>
        <w:rPr>
          <w:rFonts w:hint="default"/>
          <w:highlight w:val="none"/>
        </w:rPr>
      </w:pPr>
      <w:r>
        <w:rPr>
          <w:highlight w:val="none"/>
        </w:rPr>
        <w:t>（三）配合相关主管部门做好验收、结算等工作。</w:t>
      </w:r>
    </w:p>
    <w:p w14:paraId="3AD33E02">
      <w:pPr>
        <w:pStyle w:val="6"/>
        <w:outlineLvl w:val="2"/>
        <w:rPr>
          <w:rFonts w:hint="default"/>
          <w:b/>
          <w:sz w:val="28"/>
          <w:highlight w:val="none"/>
        </w:rPr>
      </w:pPr>
      <w:r>
        <w:rPr>
          <w:rFonts w:hint="eastAsia"/>
          <w:b/>
          <w:sz w:val="28"/>
          <w:highlight w:val="none"/>
          <w:lang w:val="en-US" w:eastAsia="zh-CN"/>
        </w:rPr>
        <w:t>四</w:t>
      </w:r>
      <w:r>
        <w:rPr>
          <w:b/>
          <w:sz w:val="28"/>
          <w:highlight w:val="none"/>
        </w:rPr>
        <w:t>、其他服务要求</w:t>
      </w:r>
    </w:p>
    <w:p w14:paraId="3A5791D5">
      <w:pPr>
        <w:pStyle w:val="6"/>
        <w:ind w:firstLine="400"/>
        <w:jc w:val="both"/>
        <w:rPr>
          <w:rFonts w:hint="default"/>
          <w:highlight w:val="none"/>
        </w:rPr>
      </w:pPr>
      <w:r>
        <w:rPr>
          <w:highlight w:val="none"/>
        </w:rPr>
        <w:t>（一）供应商不得有拖欠工人工资行为。</w:t>
      </w:r>
    </w:p>
    <w:p w14:paraId="02C2296E">
      <w:pPr>
        <w:pStyle w:val="6"/>
        <w:ind w:firstLine="400"/>
        <w:jc w:val="both"/>
        <w:rPr>
          <w:rFonts w:hint="default"/>
          <w:highlight w:val="none"/>
        </w:rPr>
      </w:pPr>
      <w:r>
        <w:rPr>
          <w:highlight w:val="none"/>
        </w:rPr>
        <w:t>（二）成交供应商负责施工人员的自身安全，进场施工前需先为其施工人员购买意外保险，并交由采购人审核后方可进场施工。</w:t>
      </w:r>
    </w:p>
    <w:p w14:paraId="5F1151CC">
      <w:pPr>
        <w:pStyle w:val="6"/>
        <w:ind w:firstLine="400"/>
        <w:jc w:val="both"/>
        <w:rPr>
          <w:rFonts w:hint="default"/>
          <w:highlight w:val="none"/>
        </w:rPr>
      </w:pPr>
      <w:r>
        <w:rPr>
          <w:highlight w:val="none"/>
        </w:rPr>
        <w:t>（三）施工方案需考虑对采购人现有管井和自来水、强弱电管网的影响，提前做好标注和保护；如施工过程中造成自来水、强弱电线路损坏的，需按不低于原有标准进行修复，修复的费用由成交供应商负责。</w:t>
      </w:r>
    </w:p>
    <w:p w14:paraId="591E3FAD">
      <w:pPr>
        <w:pStyle w:val="6"/>
        <w:ind w:firstLine="400"/>
        <w:jc w:val="both"/>
        <w:rPr>
          <w:highlight w:val="none"/>
        </w:rPr>
      </w:pPr>
      <w:r>
        <w:rPr>
          <w:highlight w:val="none"/>
        </w:rPr>
        <w:t>（</w:t>
      </w:r>
      <w:r>
        <w:rPr>
          <w:rFonts w:hint="eastAsia"/>
          <w:highlight w:val="none"/>
          <w:lang w:val="en-US" w:eastAsia="zh-CN"/>
        </w:rPr>
        <w:t>四</w:t>
      </w:r>
      <w:r>
        <w:rPr>
          <w:highlight w:val="none"/>
        </w:rPr>
        <w:t>）供应商应制定安全施工、文明施工、环境保护措施方案，制定施工作业资源配备计划，制定质量保证措施，并认真履行。</w:t>
      </w:r>
    </w:p>
    <w:p w14:paraId="1A27D01B">
      <w:pPr>
        <w:pStyle w:val="6"/>
        <w:outlineLvl w:val="2"/>
        <w:rPr>
          <w:rFonts w:hint="default" w:eastAsiaTheme="minorEastAsia"/>
          <w:b/>
          <w:sz w:val="28"/>
          <w:highlight w:val="none"/>
          <w:lang w:val="en-US" w:eastAsia="zh-CN"/>
        </w:rPr>
      </w:pPr>
      <w:r>
        <w:rPr>
          <w:rFonts w:hint="eastAsia"/>
          <w:b/>
          <w:sz w:val="28"/>
          <w:highlight w:val="none"/>
          <w:lang w:val="en-US" w:eastAsia="zh-CN"/>
        </w:rPr>
        <w:t>五</w:t>
      </w:r>
      <w:r>
        <w:rPr>
          <w:b/>
          <w:sz w:val="28"/>
          <w:highlight w:val="none"/>
        </w:rPr>
        <w:t>、</w:t>
      </w:r>
      <w:r>
        <w:rPr>
          <w:rFonts w:hint="eastAsia"/>
          <w:b/>
          <w:sz w:val="28"/>
          <w:highlight w:val="none"/>
        </w:rPr>
        <w:t>施工总进度计划及</w:t>
      </w:r>
      <w:r>
        <w:rPr>
          <w:rFonts w:hint="eastAsia"/>
          <w:b/>
          <w:sz w:val="28"/>
          <w:highlight w:val="none"/>
          <w:lang w:val="en-US" w:eastAsia="zh-CN"/>
        </w:rPr>
        <w:t>工期要求</w:t>
      </w:r>
    </w:p>
    <w:p w14:paraId="5D094CCA">
      <w:pPr>
        <w:pStyle w:val="6"/>
        <w:ind w:firstLine="400"/>
        <w:jc w:val="both"/>
        <w:rPr>
          <w:rFonts w:hint="default"/>
          <w:highlight w:val="none"/>
        </w:rPr>
      </w:pPr>
      <w:r>
        <w:rPr>
          <w:rFonts w:hint="eastAsia"/>
          <w:highlight w:val="none"/>
          <w:lang w:eastAsia="zh-CN"/>
        </w:rPr>
        <w:t>（</w:t>
      </w:r>
      <w:r>
        <w:rPr>
          <w:rFonts w:hint="eastAsia"/>
          <w:highlight w:val="none"/>
          <w:lang w:val="en-US" w:eastAsia="zh-CN"/>
        </w:rPr>
        <w:t>一）</w:t>
      </w:r>
      <w:r>
        <w:rPr>
          <w:highlight w:val="none"/>
        </w:rPr>
        <w:t>供应商应编制</w:t>
      </w:r>
      <w:r>
        <w:rPr>
          <w:rFonts w:hint="eastAsia"/>
          <w:highlight w:val="none"/>
          <w:lang w:val="en-US" w:eastAsia="zh-CN"/>
        </w:rPr>
        <w:t>施工总</w:t>
      </w:r>
      <w:r>
        <w:rPr>
          <w:highlight w:val="none"/>
        </w:rPr>
        <w:t>进度计划</w:t>
      </w:r>
      <w:r>
        <w:rPr>
          <w:rFonts w:hint="eastAsia"/>
          <w:highlight w:val="none"/>
          <w:lang w:eastAsia="zh-CN"/>
        </w:rPr>
        <w:t>、</w:t>
      </w:r>
      <w:r>
        <w:rPr>
          <w:highlight w:val="none"/>
        </w:rPr>
        <w:t>工期</w:t>
      </w:r>
      <w:r>
        <w:rPr>
          <w:rFonts w:hint="eastAsia"/>
          <w:highlight w:val="none"/>
          <w:lang w:val="en-US" w:eastAsia="zh-CN"/>
        </w:rPr>
        <w:t>安排</w:t>
      </w:r>
      <w:r>
        <w:rPr>
          <w:highlight w:val="none"/>
        </w:rPr>
        <w:t>及资源安排方案，包括施工</w:t>
      </w:r>
      <w:r>
        <w:rPr>
          <w:rFonts w:hint="eastAsia"/>
          <w:highlight w:val="none"/>
          <w:lang w:val="en-US" w:eastAsia="zh-CN"/>
        </w:rPr>
        <w:t>总</w:t>
      </w:r>
      <w:r>
        <w:rPr>
          <w:highlight w:val="none"/>
        </w:rPr>
        <w:t>进度计划、工期目标、工期目标保证措施3项内容，应与“施工作业资源配备计划”要求匹配，按项目实施进度划分阶段任务，安排人员、材料入场时间，确定合理的工期目标和关键节点。</w:t>
      </w:r>
    </w:p>
    <w:p w14:paraId="580ACF1E">
      <w:pPr>
        <w:pStyle w:val="6"/>
        <w:ind w:firstLine="400"/>
        <w:jc w:val="both"/>
        <w:rPr>
          <w:highlight w:val="none"/>
        </w:rPr>
      </w:pPr>
      <w:r>
        <w:rPr>
          <w:rFonts w:hint="eastAsia"/>
          <w:highlight w:val="none"/>
          <w:lang w:eastAsia="zh-CN"/>
        </w:rPr>
        <w:t>（</w:t>
      </w:r>
      <w:r>
        <w:rPr>
          <w:rFonts w:hint="eastAsia"/>
          <w:highlight w:val="none"/>
          <w:lang w:val="en-US" w:eastAsia="zh-CN"/>
        </w:rPr>
        <w:t>二）工期：</w:t>
      </w:r>
      <w:r>
        <w:rPr>
          <w:highlight w:val="none"/>
        </w:rPr>
        <w:t>施工工期为</w:t>
      </w:r>
      <w:r>
        <w:rPr>
          <w:rFonts w:hint="eastAsia"/>
          <w:highlight w:val="none"/>
          <w:lang w:val="en-US" w:eastAsia="zh-CN"/>
        </w:rPr>
        <w:t>50</w:t>
      </w:r>
      <w:r>
        <w:rPr>
          <w:highlight w:val="none"/>
        </w:rPr>
        <w:t>天，开工时间自开工令签发之日起计算。</w:t>
      </w:r>
    </w:p>
    <w:p w14:paraId="3C2E7F19">
      <w:pPr>
        <w:pStyle w:val="6"/>
        <w:ind w:firstLine="400"/>
        <w:jc w:val="both"/>
        <w:rPr>
          <w:rFonts w:hint="default"/>
        </w:rPr>
      </w:pPr>
      <w:r>
        <w:rPr>
          <w:rFonts w:hint="default"/>
        </w:rPr>
        <w:t>总施工工期：</w:t>
      </w:r>
      <w:r>
        <w:rPr>
          <w:lang w:eastAsia="zh-CN"/>
        </w:rPr>
        <w:t>5</w:t>
      </w:r>
      <w:r>
        <w:rPr>
          <w:rFonts w:hint="default"/>
        </w:rPr>
        <w:t>0个自然日历天，从监理签发开工令当日起算，不含质保期；</w:t>
      </w:r>
      <w:r>
        <w:rPr>
          <w:lang w:eastAsia="zh-CN"/>
        </w:rPr>
        <w:t>其中</w:t>
      </w:r>
      <w:r>
        <w:rPr>
          <w:rFonts w:hint="default"/>
        </w:rPr>
        <w:t>阶段性节点硬性目标：前期准备≤</w:t>
      </w:r>
      <w:r>
        <w:rPr>
          <w:rFonts w:hint="eastAsia"/>
          <w:lang w:val="en-US" w:eastAsia="zh-CN"/>
        </w:rPr>
        <w:t>20</w:t>
      </w:r>
      <w:r>
        <w:rPr>
          <w:rFonts w:hint="default"/>
        </w:rPr>
        <w:t>天、收尾保洁及竣工验收≤8天；</w:t>
      </w:r>
    </w:p>
    <w:p w14:paraId="75796122">
      <w:pPr>
        <w:pStyle w:val="6"/>
        <w:ind w:firstLine="400"/>
        <w:jc w:val="both"/>
        <w:rPr>
          <w:rFonts w:hint="default"/>
          <w:highlight w:val="none"/>
        </w:rPr>
      </w:pPr>
    </w:p>
    <w:p w14:paraId="04626470">
      <w:pPr>
        <w:pStyle w:val="6"/>
        <w:outlineLvl w:val="2"/>
        <w:rPr>
          <w:rFonts w:hint="default"/>
          <w:b/>
          <w:sz w:val="28"/>
          <w:highlight w:val="none"/>
        </w:rPr>
      </w:pPr>
      <w:r>
        <w:rPr>
          <w:rFonts w:hint="eastAsia"/>
          <w:b/>
          <w:sz w:val="28"/>
          <w:highlight w:val="none"/>
        </w:rPr>
        <w:t>★</w:t>
      </w:r>
      <w:r>
        <w:rPr>
          <w:rFonts w:hint="eastAsia"/>
          <w:b/>
          <w:sz w:val="28"/>
          <w:highlight w:val="none"/>
          <w:lang w:val="en-US" w:eastAsia="zh-CN"/>
        </w:rPr>
        <w:t>六</w:t>
      </w:r>
      <w:r>
        <w:rPr>
          <w:b/>
          <w:sz w:val="28"/>
          <w:highlight w:val="none"/>
        </w:rPr>
        <w:t>、报价要求</w:t>
      </w:r>
    </w:p>
    <w:p w14:paraId="009AB350">
      <w:pPr>
        <w:pStyle w:val="6"/>
        <w:ind w:firstLine="400" w:firstLineChars="200"/>
        <w:jc w:val="both"/>
        <w:rPr>
          <w:highlight w:val="none"/>
        </w:rPr>
      </w:pPr>
      <w:r>
        <w:rPr>
          <w:highlight w:val="none"/>
        </w:rPr>
        <w:t>最高</w:t>
      </w:r>
      <w:r>
        <w:rPr>
          <w:highlight w:val="none"/>
          <w:lang w:eastAsia="zh-CN"/>
        </w:rPr>
        <w:t>报价</w:t>
      </w:r>
      <w:r>
        <w:rPr>
          <w:highlight w:val="none"/>
        </w:rPr>
        <w:t>限价</w:t>
      </w:r>
      <w:r>
        <w:rPr>
          <w:rFonts w:hint="default" w:ascii="宋体" w:hAnsi="宋体" w:eastAsia="宋体" w:cs="宋体"/>
          <w:bCs/>
          <w:highlight w:val="none"/>
        </w:rPr>
        <w:t>￥1,072,531.88元</w:t>
      </w:r>
      <w:r>
        <w:rPr>
          <w:highlight w:val="none"/>
        </w:rPr>
        <w:t>（其中</w:t>
      </w:r>
      <w:r>
        <w:rPr>
          <w:rFonts w:hint="eastAsia"/>
          <w:highlight w:val="none"/>
        </w:rPr>
        <w:t>安全生产措施费￥14952.41元</w:t>
      </w:r>
      <w:r>
        <w:rPr>
          <w:highlight w:val="none"/>
        </w:rPr>
        <w:t>、暂列金额</w:t>
      </w:r>
      <w:r>
        <w:rPr>
          <w:rFonts w:hint="eastAsia"/>
          <w:highlight w:val="none"/>
        </w:rPr>
        <w:t>￥</w:t>
      </w:r>
      <w:r>
        <w:rPr>
          <w:rFonts w:hint="eastAsia" w:ascii="宋体" w:hAnsi="宋体" w:eastAsia="宋体" w:cs="宋体"/>
          <w:bCs/>
          <w:highlight w:val="none"/>
          <w:lang w:eastAsia="zh-CN"/>
        </w:rPr>
        <w:t>46,961.72</w:t>
      </w:r>
      <w:r>
        <w:rPr>
          <w:rFonts w:hint="default" w:ascii="宋体" w:hAnsi="宋体" w:eastAsia="宋体" w:cs="宋体"/>
          <w:bCs/>
          <w:highlight w:val="none"/>
        </w:rPr>
        <w:t>元</w:t>
      </w:r>
      <w:r>
        <w:rPr>
          <w:highlight w:val="none"/>
        </w:rPr>
        <w:t>、暂估价0元），超出最高投标限价的报价将会视为无效报价。具体费用详见</w:t>
      </w:r>
      <w:r>
        <w:rPr>
          <w:highlight w:val="none"/>
          <w:lang w:eastAsia="zh-CN"/>
        </w:rPr>
        <w:t>采购公告</w:t>
      </w:r>
      <w:r>
        <w:rPr>
          <w:highlight w:val="none"/>
        </w:rPr>
        <w:t>附件（暂列金额、暂估价、</w:t>
      </w:r>
      <w:r>
        <w:rPr>
          <w:rFonts w:hint="eastAsia"/>
          <w:highlight w:val="none"/>
        </w:rPr>
        <w:t>安全生产措施费</w:t>
      </w:r>
      <w:r>
        <w:rPr>
          <w:highlight w:val="none"/>
        </w:rPr>
        <w:t>为不可竞争费用，报价时不可变更）。</w:t>
      </w:r>
    </w:p>
    <w:p w14:paraId="2F3F86A5">
      <w:pPr>
        <w:pStyle w:val="6"/>
        <w:ind w:firstLine="400" w:firstLineChars="200"/>
        <w:jc w:val="both"/>
        <w:rPr>
          <w:rFonts w:hint="default"/>
          <w:highlight w:val="none"/>
        </w:rPr>
      </w:pPr>
      <w:r>
        <w:rPr>
          <w:rFonts w:hint="default"/>
          <w:highlight w:val="none"/>
        </w:rPr>
        <w:t>供应商必须对本项目的全部内容进行报价，应在报价响应文件中，应根据工程量清单格式及内容制作分项报价表，若缺项漏项，则视为报价已包含缺项漏项内容价格（工程量清单见采购公告附件），必须按工程量清单内容施工完成。如二次报价低于首次报价，供应商还需在最后报价环节提供根据工程量清单格式及内容制作的分项报价表，若缺项漏项，则视为报价已包含缺项漏项内容价格，若未提供，则视为响应无效。</w:t>
      </w:r>
    </w:p>
    <w:p w14:paraId="415A89F8">
      <w:pPr>
        <w:pStyle w:val="6"/>
        <w:outlineLvl w:val="2"/>
        <w:rPr>
          <w:rFonts w:hint="default"/>
          <w:b/>
          <w:sz w:val="28"/>
          <w:highlight w:val="none"/>
        </w:rPr>
      </w:pPr>
      <w:r>
        <w:rPr>
          <w:rFonts w:hint="eastAsia"/>
          <w:b/>
          <w:sz w:val="28"/>
          <w:highlight w:val="none"/>
          <w:lang w:val="en-US" w:eastAsia="zh-CN"/>
        </w:rPr>
        <w:t>七</w:t>
      </w:r>
      <w:r>
        <w:rPr>
          <w:b/>
          <w:sz w:val="28"/>
          <w:highlight w:val="none"/>
        </w:rPr>
        <w:t>、工程验收</w:t>
      </w:r>
    </w:p>
    <w:p w14:paraId="2CD4641F">
      <w:pPr>
        <w:pStyle w:val="6"/>
        <w:ind w:firstLine="400"/>
        <w:jc w:val="both"/>
        <w:rPr>
          <w:rFonts w:hint="default"/>
          <w:highlight w:val="none"/>
        </w:rPr>
      </w:pPr>
      <w:r>
        <w:rPr>
          <w:highlight w:val="none"/>
        </w:rPr>
        <w:t>（一）本工程以施工图纸、设计变更和参照</w:t>
      </w:r>
      <w:r>
        <w:rPr>
          <w:rFonts w:hint="eastAsia"/>
          <w:highlight w:val="none"/>
        </w:rPr>
        <w:t>《中小学合成材料面层运动场地》</w:t>
      </w:r>
      <w:r>
        <w:rPr>
          <w:highlight w:val="none"/>
        </w:rPr>
        <w:t>（</w:t>
      </w:r>
      <w:r>
        <w:rPr>
          <w:rFonts w:hint="eastAsia"/>
          <w:highlight w:val="none"/>
        </w:rPr>
        <w:t>GB 36246-2018</w:t>
      </w:r>
      <w:r>
        <w:rPr>
          <w:highlight w:val="none"/>
        </w:rPr>
        <w:t>）、《</w:t>
      </w:r>
      <w:r>
        <w:rPr>
          <w:rFonts w:hint="eastAsia"/>
          <w:highlight w:val="none"/>
        </w:rPr>
        <w:t>中小学人造草面层足球场地</w:t>
      </w:r>
      <w:r>
        <w:rPr>
          <w:highlight w:val="none"/>
        </w:rPr>
        <w:t>》（</w:t>
      </w:r>
      <w:r>
        <w:rPr>
          <w:rFonts w:hint="eastAsia"/>
          <w:highlight w:val="none"/>
        </w:rPr>
        <w:t>GB/T</w:t>
      </w:r>
      <w:r>
        <w:rPr>
          <w:rFonts w:hint="eastAsia"/>
          <w:highlight w:val="none"/>
          <w:lang w:val="en-US" w:eastAsia="zh-CN"/>
        </w:rPr>
        <w:t xml:space="preserve"> </w:t>
      </w:r>
      <w:r>
        <w:rPr>
          <w:rFonts w:hint="eastAsia"/>
          <w:highlight w:val="none"/>
        </w:rPr>
        <w:t>43566—2023</w:t>
      </w:r>
      <w:r>
        <w:rPr>
          <w:highlight w:val="none"/>
        </w:rPr>
        <w:t>）</w:t>
      </w:r>
      <w:r>
        <w:rPr>
          <w:rFonts w:hint="eastAsia"/>
          <w:highlight w:val="none"/>
          <w:lang w:eastAsia="zh-CN"/>
        </w:rPr>
        <w:t>、《</w:t>
      </w:r>
      <w:r>
        <w:rPr>
          <w:rFonts w:hint="eastAsia"/>
          <w:highlight w:val="none"/>
          <w:lang w:val="en-US" w:eastAsia="zh-CN"/>
        </w:rPr>
        <w:t>体育用人造草》（GB/T 20394—2019）、《运动场地建设与验收标准》（T/ZSVA001-2023）</w:t>
      </w:r>
      <w:r>
        <w:rPr>
          <w:highlight w:val="none"/>
        </w:rPr>
        <w:t>等国家制订的施工及验收规范为质量评定验收标准</w:t>
      </w:r>
      <w:r>
        <w:rPr>
          <w:rFonts w:hint="eastAsia"/>
          <w:highlight w:val="none"/>
          <w:lang w:eastAsia="zh-CN"/>
        </w:rPr>
        <w:t>，</w:t>
      </w:r>
      <w:r>
        <w:rPr>
          <w:highlight w:val="none"/>
        </w:rPr>
        <w:t>并达到合格标准。</w:t>
      </w:r>
    </w:p>
    <w:p w14:paraId="6C0425FC">
      <w:pPr>
        <w:pStyle w:val="6"/>
        <w:ind w:firstLine="400"/>
        <w:jc w:val="both"/>
        <w:rPr>
          <w:rFonts w:hint="eastAsia"/>
          <w:highlight w:val="none"/>
          <w:lang w:val="en-US" w:eastAsia="zh-CN"/>
        </w:rPr>
      </w:pPr>
      <w:r>
        <w:rPr>
          <w:highlight w:val="none"/>
          <w:lang w:eastAsia="zh-CN"/>
        </w:rPr>
        <w:t>（二）</w:t>
      </w:r>
      <w:r>
        <w:rPr>
          <w:rFonts w:hint="eastAsia"/>
          <w:highlight w:val="none"/>
          <w:lang w:val="en-US" w:eastAsia="zh-CN"/>
        </w:rPr>
        <w:t>提供本项目所用产品的以下检测报告作为验收合格标准（竣工验收前提供）：</w:t>
      </w:r>
    </w:p>
    <w:p w14:paraId="5E184395">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2" w:firstLineChars="200"/>
        <w:textAlignment w:val="auto"/>
        <w:outlineLvl w:val="9"/>
        <w:rPr>
          <w:rFonts w:hint="default" w:ascii="宋体" w:hAnsi="宋体" w:cs="宋体"/>
          <w:b/>
          <w:bCs/>
          <w:color w:val="auto"/>
          <w:sz w:val="20"/>
          <w:szCs w:val="20"/>
          <w:highlight w:val="none"/>
          <w:shd w:val="clear" w:color="auto" w:fill="FFFFFF"/>
          <w:lang w:val="en-US" w:eastAsia="zh-CN"/>
        </w:rPr>
      </w:pPr>
      <w:r>
        <w:rPr>
          <w:rFonts w:hint="eastAsia" w:ascii="宋体" w:hAnsi="宋体" w:cs="宋体"/>
          <w:b/>
          <w:bCs/>
          <w:color w:val="auto"/>
          <w:sz w:val="20"/>
          <w:szCs w:val="20"/>
          <w:highlight w:val="none"/>
          <w:shd w:val="clear" w:color="auto" w:fill="FFFFFF"/>
          <w:lang w:val="en-US" w:eastAsia="zh-CN"/>
        </w:rPr>
        <w:t>1、人造草坪</w:t>
      </w:r>
    </w:p>
    <w:p w14:paraId="71D4FAD1">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default" w:ascii="宋体" w:hAnsi="宋体" w:eastAsia="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1)</w:t>
      </w:r>
      <w:r>
        <w:rPr>
          <w:rFonts w:hint="eastAsia" w:ascii="宋体" w:hAnsi="宋体" w:eastAsia="宋体" w:cs="宋体"/>
          <w:color w:val="auto"/>
          <w:sz w:val="20"/>
          <w:szCs w:val="20"/>
          <w:highlight w:val="none"/>
          <w:shd w:val="clear" w:color="auto" w:fill="FFFFFF"/>
          <w:lang w:val="en-US" w:eastAsia="zh-CN"/>
        </w:rPr>
        <w:t>提供</w:t>
      </w:r>
      <w:r>
        <w:rPr>
          <w:rFonts w:hint="default" w:ascii="宋体" w:hAnsi="宋体" w:eastAsia="宋体" w:cs="宋体"/>
          <w:color w:val="auto"/>
          <w:sz w:val="20"/>
          <w:szCs w:val="20"/>
          <w:highlight w:val="none"/>
          <w:shd w:val="clear" w:color="auto" w:fill="FFFFFF"/>
          <w:lang w:val="en-US" w:eastAsia="zh-CN"/>
        </w:rPr>
        <w:t>CMA认证资质的</w:t>
      </w:r>
      <w:r>
        <w:rPr>
          <w:rFonts w:hint="eastAsia" w:ascii="宋体" w:hAnsi="宋体" w:eastAsia="宋体" w:cs="宋体"/>
          <w:color w:val="auto"/>
          <w:sz w:val="20"/>
          <w:szCs w:val="20"/>
          <w:highlight w:val="none"/>
          <w:shd w:val="clear" w:color="auto" w:fill="FFFFFF"/>
          <w:lang w:val="en-US" w:eastAsia="zh-CN"/>
        </w:rPr>
        <w:t>专业检测机构出具的</w:t>
      </w:r>
      <w:r>
        <w:rPr>
          <w:rFonts w:hint="default" w:ascii="宋体" w:hAnsi="宋体" w:eastAsia="宋体" w:cs="宋体"/>
          <w:color w:val="auto"/>
          <w:sz w:val="20"/>
          <w:szCs w:val="20"/>
          <w:highlight w:val="none"/>
          <w:shd w:val="clear" w:color="auto" w:fill="FFFFFF"/>
          <w:lang w:val="en-US" w:eastAsia="zh-CN"/>
        </w:rPr>
        <w:t>符合GB/T 20394-2019标准</w:t>
      </w:r>
      <w:r>
        <w:rPr>
          <w:rFonts w:hint="eastAsia" w:ascii="宋体" w:hAnsi="宋体" w:eastAsia="宋体" w:cs="宋体"/>
          <w:color w:val="auto"/>
          <w:sz w:val="20"/>
          <w:szCs w:val="20"/>
          <w:highlight w:val="none"/>
          <w:shd w:val="clear" w:color="auto" w:fill="FFFFFF"/>
          <w:lang w:val="en-US" w:eastAsia="zh-CN"/>
        </w:rPr>
        <w:t>中理化性能要求的合格检测报告</w:t>
      </w:r>
      <w:r>
        <w:rPr>
          <w:rFonts w:hint="eastAsia" w:ascii="宋体" w:hAnsi="宋体" w:cs="宋体"/>
          <w:color w:val="auto"/>
          <w:sz w:val="20"/>
          <w:szCs w:val="20"/>
          <w:highlight w:val="none"/>
          <w:shd w:val="clear" w:color="auto" w:fill="FFFFFF"/>
          <w:lang w:val="en-US" w:eastAsia="zh-CN"/>
        </w:rPr>
        <w:t>。</w:t>
      </w:r>
    </w:p>
    <w:p w14:paraId="09DC5590">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eastAsia="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2)</w:t>
      </w:r>
      <w:r>
        <w:rPr>
          <w:rFonts w:hint="eastAsia" w:ascii="宋体" w:hAnsi="宋体" w:eastAsia="宋体" w:cs="宋体"/>
          <w:color w:val="auto"/>
          <w:sz w:val="20"/>
          <w:szCs w:val="20"/>
          <w:highlight w:val="none"/>
          <w:shd w:val="clear" w:color="auto" w:fill="FFFFFF"/>
          <w:lang w:val="en-US" w:eastAsia="zh-CN"/>
        </w:rPr>
        <w:t>提供</w:t>
      </w:r>
      <w:r>
        <w:rPr>
          <w:rFonts w:hint="eastAsia" w:ascii="宋体" w:hAnsi="宋体" w:cs="宋体"/>
          <w:color w:val="auto"/>
          <w:sz w:val="20"/>
          <w:szCs w:val="20"/>
          <w:highlight w:val="none"/>
          <w:shd w:val="clear" w:color="auto" w:fill="FFFFFF"/>
          <w:lang w:val="en-US" w:eastAsia="zh-CN"/>
        </w:rPr>
        <w:t>第三方专业</w:t>
      </w:r>
      <w:r>
        <w:rPr>
          <w:rFonts w:hint="eastAsia" w:ascii="宋体" w:hAnsi="宋体" w:eastAsia="宋体" w:cs="宋体"/>
          <w:color w:val="auto"/>
          <w:sz w:val="20"/>
          <w:szCs w:val="20"/>
          <w:highlight w:val="none"/>
          <w:shd w:val="clear" w:color="auto" w:fill="FFFFFF"/>
          <w:lang w:val="en-US" w:eastAsia="zh-CN"/>
        </w:rPr>
        <w:t>检测机构出具的符合</w:t>
      </w:r>
      <w:r>
        <w:rPr>
          <w:rFonts w:hint="eastAsia" w:ascii="宋体" w:hAnsi="宋体" w:eastAsia="宋体" w:cs="宋体"/>
          <w:color w:val="auto"/>
          <w:sz w:val="20"/>
          <w:szCs w:val="20"/>
          <w:highlight w:val="none"/>
          <w:shd w:val="clear" w:color="auto" w:fill="FFFFFF"/>
          <w:lang w:eastAsia="zh-CN"/>
        </w:rPr>
        <w:t>GB36246</w:t>
      </w:r>
      <w:r>
        <w:rPr>
          <w:rFonts w:hint="eastAsia" w:ascii="宋体" w:hAnsi="宋体" w:eastAsia="宋体" w:cs="宋体"/>
          <w:color w:val="auto"/>
          <w:sz w:val="20"/>
          <w:szCs w:val="20"/>
          <w:highlight w:val="none"/>
          <w:shd w:val="clear" w:color="auto" w:fill="FFFFFF"/>
          <w:lang w:val="en-US" w:eastAsia="zh-CN"/>
        </w:rPr>
        <w:t>-2018标准人造草面层成品中物理机械性能及有害物质限量要求的合格检测报告。</w:t>
      </w:r>
    </w:p>
    <w:p w14:paraId="12A0B9EE">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3)</w:t>
      </w:r>
      <w:r>
        <w:rPr>
          <w:rFonts w:hint="eastAsia" w:ascii="宋体" w:hAnsi="宋体" w:eastAsia="宋体" w:cs="宋体"/>
          <w:color w:val="auto"/>
          <w:sz w:val="20"/>
          <w:szCs w:val="20"/>
          <w:highlight w:val="none"/>
          <w:shd w:val="clear" w:color="auto" w:fill="FFFFFF"/>
          <w:lang w:val="en-US" w:eastAsia="zh-CN"/>
        </w:rPr>
        <w:t>提供</w:t>
      </w:r>
      <w:r>
        <w:rPr>
          <w:rFonts w:hint="default" w:ascii="宋体" w:hAnsi="宋体" w:eastAsia="宋体" w:cs="宋体"/>
          <w:color w:val="auto"/>
          <w:sz w:val="20"/>
          <w:szCs w:val="20"/>
          <w:highlight w:val="none"/>
          <w:shd w:val="clear" w:color="auto" w:fill="FFFFFF"/>
          <w:lang w:val="en-US" w:eastAsia="zh-CN"/>
        </w:rPr>
        <w:t>CMA认证资质的</w:t>
      </w:r>
      <w:r>
        <w:rPr>
          <w:rFonts w:hint="eastAsia" w:ascii="宋体" w:hAnsi="宋体" w:eastAsia="宋体" w:cs="宋体"/>
          <w:color w:val="auto"/>
          <w:sz w:val="20"/>
          <w:szCs w:val="20"/>
          <w:highlight w:val="none"/>
          <w:shd w:val="clear" w:color="auto" w:fill="FFFFFF"/>
          <w:lang w:val="en-US" w:eastAsia="zh-CN"/>
        </w:rPr>
        <w:t>专业检测机构出具的</w:t>
      </w:r>
      <w:r>
        <w:rPr>
          <w:rFonts w:hint="default" w:ascii="宋体" w:hAnsi="宋体" w:eastAsia="宋体" w:cs="宋体"/>
          <w:color w:val="auto"/>
          <w:sz w:val="20"/>
          <w:szCs w:val="20"/>
          <w:highlight w:val="none"/>
          <w:shd w:val="clear" w:color="auto" w:fill="FFFFFF"/>
          <w:lang w:val="en-US" w:eastAsia="zh-CN"/>
        </w:rPr>
        <w:t>符合GB/T 20394-2019标准</w:t>
      </w:r>
      <w:r>
        <w:rPr>
          <w:rFonts w:hint="eastAsia" w:ascii="宋体" w:hAnsi="宋体" w:cs="宋体"/>
          <w:color w:val="auto"/>
          <w:sz w:val="20"/>
          <w:szCs w:val="20"/>
          <w:highlight w:val="none"/>
          <w:shd w:val="clear" w:color="auto" w:fill="FFFFFF"/>
          <w:lang w:val="en-US" w:eastAsia="zh-CN"/>
        </w:rPr>
        <w:t>人造草面层成品</w:t>
      </w:r>
      <w:r>
        <w:rPr>
          <w:rFonts w:hint="eastAsia" w:ascii="宋体" w:hAnsi="宋体" w:eastAsia="宋体" w:cs="宋体"/>
          <w:color w:val="auto"/>
          <w:sz w:val="20"/>
          <w:szCs w:val="20"/>
          <w:highlight w:val="none"/>
          <w:shd w:val="clear" w:color="auto" w:fill="FFFFFF"/>
          <w:lang w:val="en-US" w:eastAsia="zh-CN"/>
        </w:rPr>
        <w:t>中可迁移元素最大限量要求的合格检测报告</w:t>
      </w:r>
      <w:r>
        <w:rPr>
          <w:rFonts w:hint="eastAsia" w:ascii="宋体" w:hAnsi="宋体" w:cs="宋体"/>
          <w:color w:val="auto"/>
          <w:sz w:val="20"/>
          <w:szCs w:val="20"/>
          <w:highlight w:val="none"/>
          <w:shd w:val="clear" w:color="auto" w:fill="FFFFFF"/>
          <w:lang w:val="en-US" w:eastAsia="zh-CN"/>
        </w:rPr>
        <w:t>。</w:t>
      </w:r>
    </w:p>
    <w:p w14:paraId="2590550B">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2、</w:t>
      </w:r>
      <w:r>
        <w:rPr>
          <w:rFonts w:hint="eastAsia" w:ascii="宋体" w:hAnsi="宋体" w:eastAsia="宋体" w:cs="宋体"/>
          <w:b/>
          <w:bCs/>
          <w:color w:val="auto"/>
          <w:sz w:val="20"/>
          <w:szCs w:val="20"/>
          <w:highlight w:val="none"/>
          <w:shd w:val="clear" w:color="auto" w:fill="FFFFFF"/>
          <w:lang w:eastAsia="zh-CN"/>
        </w:rPr>
        <w:t>填充料石英砂</w:t>
      </w:r>
    </w:p>
    <w:p w14:paraId="1A2858B0">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提供</w:t>
      </w:r>
      <w:r>
        <w:rPr>
          <w:rFonts w:hint="eastAsia" w:ascii="宋体" w:hAnsi="宋体" w:cs="宋体"/>
          <w:color w:val="auto"/>
          <w:sz w:val="20"/>
          <w:szCs w:val="20"/>
          <w:highlight w:val="none"/>
          <w:shd w:val="clear" w:color="auto" w:fill="FFFFFF"/>
          <w:lang w:val="en-US" w:eastAsia="zh-CN"/>
        </w:rPr>
        <w:t>第三方专业</w:t>
      </w:r>
      <w:r>
        <w:rPr>
          <w:rFonts w:hint="eastAsia" w:ascii="宋体" w:hAnsi="宋体" w:eastAsia="宋体" w:cs="宋体"/>
          <w:color w:val="auto"/>
          <w:sz w:val="20"/>
          <w:szCs w:val="20"/>
          <w:highlight w:val="none"/>
          <w:shd w:val="clear" w:color="auto" w:fill="FFFFFF"/>
          <w:lang w:val="en-US" w:eastAsia="zh-CN"/>
        </w:rPr>
        <w:t>检测机构出具的</w:t>
      </w:r>
      <w:r>
        <w:rPr>
          <w:rFonts w:hint="eastAsia" w:ascii="宋体" w:hAnsi="宋体" w:cs="宋体"/>
          <w:color w:val="auto"/>
          <w:sz w:val="20"/>
          <w:szCs w:val="20"/>
          <w:highlight w:val="none"/>
          <w:shd w:val="clear" w:color="auto" w:fill="FFFFFF"/>
          <w:lang w:val="en-US" w:eastAsia="zh-CN"/>
        </w:rPr>
        <w:t>符合</w:t>
      </w:r>
      <w:r>
        <w:rPr>
          <w:rFonts w:hint="eastAsia" w:ascii="宋体" w:hAnsi="宋体" w:cs="宋体"/>
          <w:color w:val="auto"/>
          <w:sz w:val="20"/>
          <w:highlight w:val="none"/>
          <w:shd w:val="clear" w:color="auto" w:fill="FFFFFF"/>
        </w:rPr>
        <w:t>GB/T 43566-2023</w:t>
      </w:r>
      <w:r>
        <w:rPr>
          <w:rFonts w:hint="eastAsia"/>
          <w:lang w:val="en-US" w:eastAsia="zh-CN"/>
        </w:rPr>
        <w:t>标准</w:t>
      </w:r>
      <w:r>
        <w:rPr>
          <w:rFonts w:hint="eastAsia" w:ascii="宋体" w:hAnsi="宋体" w:eastAsia="宋体" w:cs="宋体"/>
          <w:b w:val="0"/>
          <w:bCs w:val="0"/>
          <w:color w:val="auto"/>
          <w:sz w:val="20"/>
          <w:szCs w:val="20"/>
          <w:highlight w:val="none"/>
          <w:shd w:val="clear" w:color="auto" w:fill="FFFFFF"/>
          <w:lang w:eastAsia="zh-CN"/>
        </w:rPr>
        <w:t>石英砂</w:t>
      </w:r>
      <w:r>
        <w:rPr>
          <w:rFonts w:hint="eastAsia" w:ascii="宋体" w:hAnsi="宋体" w:cs="宋体"/>
          <w:color w:val="auto"/>
          <w:sz w:val="20"/>
          <w:szCs w:val="20"/>
          <w:highlight w:val="none"/>
          <w:shd w:val="clear" w:color="auto" w:fill="FFFFFF"/>
          <w:lang w:val="en-US" w:eastAsia="zh-CN"/>
        </w:rPr>
        <w:t>中</w:t>
      </w:r>
      <w:r>
        <w:rPr>
          <w:rFonts w:hint="eastAsia" w:ascii="宋体" w:hAnsi="宋体" w:eastAsia="宋体" w:cs="宋体"/>
          <w:color w:val="auto"/>
          <w:sz w:val="20"/>
          <w:szCs w:val="20"/>
          <w:highlight w:val="none"/>
          <w:shd w:val="clear" w:color="auto" w:fill="FFFFFF"/>
          <w:lang w:val="en-US" w:eastAsia="zh-CN"/>
        </w:rPr>
        <w:t>二氧化硅(SiO2)含量应不小于90%</w:t>
      </w:r>
      <w:r>
        <w:rPr>
          <w:rFonts w:hint="eastAsia" w:ascii="宋体" w:hAnsi="宋体" w:cs="宋体"/>
          <w:color w:val="auto"/>
          <w:sz w:val="20"/>
          <w:szCs w:val="20"/>
          <w:highlight w:val="none"/>
          <w:shd w:val="clear" w:color="auto" w:fill="FFFFFF"/>
          <w:lang w:val="en-US" w:eastAsia="zh-CN"/>
        </w:rPr>
        <w:t>的</w:t>
      </w:r>
      <w:r>
        <w:rPr>
          <w:rFonts w:hint="eastAsia" w:ascii="宋体" w:hAnsi="宋体" w:eastAsia="宋体" w:cs="宋体"/>
          <w:color w:val="auto"/>
          <w:sz w:val="20"/>
          <w:szCs w:val="20"/>
          <w:highlight w:val="none"/>
          <w:shd w:val="clear" w:color="auto" w:fill="FFFFFF"/>
          <w:lang w:val="en-US" w:eastAsia="zh-CN"/>
        </w:rPr>
        <w:t>合格检测报告。</w:t>
      </w:r>
    </w:p>
    <w:p w14:paraId="02D46135">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3、</w:t>
      </w:r>
      <w:r>
        <w:rPr>
          <w:rFonts w:hint="eastAsia" w:ascii="宋体" w:hAnsi="宋体" w:eastAsia="宋体" w:cs="宋体"/>
          <w:b/>
          <w:bCs/>
          <w:color w:val="auto"/>
          <w:sz w:val="20"/>
          <w:szCs w:val="20"/>
          <w:highlight w:val="none"/>
          <w:shd w:val="clear" w:color="auto" w:fill="FFFFFF"/>
          <w:lang w:eastAsia="zh-CN"/>
        </w:rPr>
        <w:t>填充料环保颗粒</w:t>
      </w:r>
    </w:p>
    <w:p w14:paraId="2AB2881F">
      <w:pPr>
        <w:widowControl w:val="0"/>
        <w:numPr>
          <w:ilvl w:val="0"/>
          <w:numId w:val="0"/>
        </w:numPr>
        <w:kinsoku/>
        <w:topLinePunct/>
        <w:autoSpaceDE/>
        <w:spacing w:line="360" w:lineRule="auto"/>
        <w:ind w:firstLine="400" w:firstLineChars="200"/>
        <w:textAlignment w:val="auto"/>
        <w:rPr>
          <w:rFonts w:hint="eastAsia"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1)</w:t>
      </w:r>
      <w:r>
        <w:rPr>
          <w:rFonts w:hint="eastAsia" w:ascii="宋体" w:hAnsi="宋体" w:cs="宋体"/>
          <w:color w:val="auto"/>
          <w:sz w:val="20"/>
          <w:highlight w:val="none"/>
          <w:shd w:val="clear" w:color="auto" w:fill="FFFFFF"/>
        </w:rPr>
        <w:t>提供第三方专业检测机构依据GB36246-2018标准出具的EPDM环保橡胶颗粒中高聚物含量≥20%</w:t>
      </w:r>
      <w:r>
        <w:rPr>
          <w:rFonts w:hint="eastAsia" w:ascii="宋体" w:hAnsi="宋体" w:cs="宋体"/>
          <w:color w:val="auto"/>
          <w:sz w:val="20"/>
          <w:szCs w:val="20"/>
          <w:highlight w:val="none"/>
          <w:shd w:val="clear" w:color="auto" w:fill="FFFFFF"/>
          <w:lang w:val="en-US" w:eastAsia="zh-CN"/>
        </w:rPr>
        <w:t>，</w:t>
      </w:r>
      <w:r>
        <w:rPr>
          <w:rFonts w:hint="eastAsia" w:ascii="宋体" w:hAnsi="宋体" w:eastAsia="宋体" w:cs="宋体"/>
          <w:color w:val="auto"/>
          <w:sz w:val="20"/>
          <w:szCs w:val="20"/>
          <w:highlight w:val="none"/>
          <w:shd w:val="clear" w:color="auto" w:fill="FFFFFF"/>
          <w:lang w:val="en-US" w:eastAsia="zh-CN"/>
        </w:rPr>
        <w:t>固体原料中有害物质限量和气味要求的</w:t>
      </w:r>
      <w:r>
        <w:rPr>
          <w:rFonts w:hint="eastAsia" w:ascii="宋体" w:hAnsi="宋体" w:cs="宋体"/>
          <w:color w:val="auto"/>
          <w:sz w:val="20"/>
          <w:szCs w:val="20"/>
          <w:highlight w:val="none"/>
          <w:shd w:val="clear" w:color="auto" w:fill="FFFFFF"/>
          <w:lang w:val="en-US" w:eastAsia="zh-CN"/>
        </w:rPr>
        <w:t>合格</w:t>
      </w:r>
      <w:r>
        <w:rPr>
          <w:rFonts w:hint="eastAsia" w:ascii="宋体" w:hAnsi="宋体" w:eastAsia="宋体" w:cs="宋体"/>
          <w:color w:val="auto"/>
          <w:sz w:val="20"/>
          <w:szCs w:val="20"/>
          <w:highlight w:val="none"/>
          <w:shd w:val="clear" w:color="auto" w:fill="FFFFFF"/>
          <w:lang w:val="en-US" w:eastAsia="zh-CN"/>
        </w:rPr>
        <w:t>检测报告</w:t>
      </w:r>
      <w:r>
        <w:rPr>
          <w:rFonts w:hint="eastAsia" w:ascii="宋体" w:hAnsi="宋体" w:cs="宋体"/>
          <w:color w:val="auto"/>
          <w:sz w:val="20"/>
          <w:szCs w:val="20"/>
          <w:highlight w:val="none"/>
          <w:shd w:val="clear" w:color="auto" w:fill="FFFFFF"/>
          <w:lang w:val="en-US" w:eastAsia="zh-CN"/>
        </w:rPr>
        <w:t>。</w:t>
      </w:r>
    </w:p>
    <w:p w14:paraId="75D1D491">
      <w:pPr>
        <w:widowControl w:val="0"/>
        <w:numPr>
          <w:ilvl w:val="0"/>
          <w:numId w:val="0"/>
        </w:numPr>
        <w:kinsoku/>
        <w:topLinePunct/>
        <w:autoSpaceDE/>
        <w:spacing w:line="360" w:lineRule="auto"/>
        <w:ind w:firstLine="400" w:firstLineChars="200"/>
        <w:textAlignment w:val="auto"/>
        <w:rPr>
          <w:rFonts w:hint="eastAsia" w:ascii="宋体" w:hAnsi="宋体" w:cs="宋体"/>
          <w:color w:val="auto"/>
          <w:sz w:val="20"/>
          <w:highlight w:val="none"/>
          <w:shd w:val="clear" w:color="auto" w:fill="FFFFFF"/>
        </w:rPr>
      </w:pPr>
      <w:r>
        <w:rPr>
          <w:rFonts w:hint="eastAsia" w:ascii="宋体" w:hAnsi="宋体" w:cs="宋体"/>
          <w:color w:val="auto"/>
          <w:sz w:val="20"/>
          <w:szCs w:val="20"/>
          <w:highlight w:val="none"/>
          <w:shd w:val="clear" w:color="auto" w:fill="FFFFFF"/>
          <w:lang w:val="en-US" w:eastAsia="zh-CN"/>
        </w:rPr>
        <w:t>2)</w:t>
      </w:r>
      <w:r>
        <w:rPr>
          <w:rFonts w:hint="eastAsia" w:ascii="宋体" w:hAnsi="宋体" w:cs="宋体"/>
          <w:color w:val="auto"/>
          <w:sz w:val="20"/>
          <w:highlight w:val="none"/>
          <w:shd w:val="clear" w:color="auto" w:fill="FFFFFF"/>
        </w:rPr>
        <w:t>提供第三方专业检测机构依据GB/T3512-2014、GB/T 250-2008出具的EPDM环保橡胶颗粒耐高温70度，</w:t>
      </w:r>
      <w:r>
        <w:rPr>
          <w:rFonts w:hint="eastAsia" w:ascii="宋体" w:hAnsi="宋体" w:cs="宋体"/>
          <w:color w:val="auto"/>
          <w:sz w:val="20"/>
          <w:highlight w:val="none"/>
          <w:shd w:val="clear" w:color="auto" w:fill="FFFFFF"/>
          <w:lang w:val="en-US" w:eastAsia="zh-CN"/>
        </w:rPr>
        <w:t>不低于168</w:t>
      </w:r>
      <w:r>
        <w:rPr>
          <w:rFonts w:hint="eastAsia" w:ascii="宋体" w:hAnsi="宋体" w:cs="宋体"/>
          <w:color w:val="auto"/>
          <w:sz w:val="20"/>
          <w:highlight w:val="none"/>
          <w:shd w:val="clear" w:color="auto" w:fill="FFFFFF"/>
        </w:rPr>
        <w:t>小时老化后灰卡变色等级≥4 级（外观无明显变色，无粉化、开裂、起泡、剥落、发粘等现象）的合格检测报告。</w:t>
      </w:r>
    </w:p>
    <w:p w14:paraId="58E259E8">
      <w:pPr>
        <w:widowControl w:val="0"/>
        <w:numPr>
          <w:ilvl w:val="0"/>
          <w:numId w:val="0"/>
        </w:numPr>
        <w:kinsoku/>
        <w:topLinePunct/>
        <w:autoSpaceDE/>
        <w:spacing w:line="360" w:lineRule="auto"/>
        <w:ind w:firstLine="400" w:firstLineChars="200"/>
        <w:textAlignment w:val="auto"/>
        <w:rPr>
          <w:rFonts w:hint="default" w:ascii="宋体" w:hAnsi="宋体" w:cs="宋体"/>
          <w:color w:val="auto"/>
          <w:sz w:val="20"/>
          <w:szCs w:val="20"/>
          <w:highlight w:val="none"/>
          <w:shd w:val="clear" w:color="auto" w:fill="FFFFFF"/>
          <w:lang w:val="en-US" w:eastAsia="zh-CN"/>
        </w:rPr>
      </w:pPr>
      <w:r>
        <w:rPr>
          <w:rFonts w:hint="eastAsia" w:ascii="宋体" w:hAnsi="宋体" w:cs="宋体"/>
          <w:color w:val="auto"/>
          <w:sz w:val="20"/>
          <w:highlight w:val="none"/>
          <w:shd w:val="clear" w:color="auto" w:fill="FFFFFF"/>
        </w:rPr>
        <w:t>3)提供第三方专业检测机构依据GB/T15251-2008《橡胶 游离硫的测定》检测标准出具的EPDM环保橡胶颗粒游离硫含量≤0.16%的合格检测报告。</w:t>
      </w:r>
    </w:p>
    <w:p w14:paraId="5866813A">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cs="宋体"/>
          <w:b/>
          <w:bCs/>
          <w:color w:val="auto"/>
          <w:sz w:val="20"/>
          <w:szCs w:val="20"/>
          <w:highlight w:val="none"/>
          <w:shd w:val="clear" w:color="auto" w:fill="FFFFFF"/>
          <w:lang w:eastAsia="zh-CN"/>
        </w:rPr>
      </w:pPr>
      <w:r>
        <w:rPr>
          <w:rFonts w:hint="eastAsia" w:ascii="宋体" w:hAnsi="宋体" w:cs="宋体"/>
          <w:color w:val="auto"/>
          <w:sz w:val="20"/>
          <w:szCs w:val="20"/>
          <w:highlight w:val="none"/>
          <w:shd w:val="clear" w:color="auto" w:fill="FFFFFF"/>
          <w:lang w:val="en-US" w:eastAsia="zh-CN"/>
        </w:rPr>
        <w:t>4、</w:t>
      </w:r>
      <w:r>
        <w:rPr>
          <w:rFonts w:hint="eastAsia" w:ascii="宋体" w:hAnsi="宋体" w:eastAsia="宋体" w:cs="宋体"/>
          <w:b/>
          <w:bCs/>
          <w:color w:val="auto"/>
          <w:sz w:val="20"/>
          <w:szCs w:val="20"/>
          <w:highlight w:val="none"/>
          <w:shd w:val="clear" w:color="auto" w:fill="FFFFFF"/>
          <w:lang w:eastAsia="zh-CN"/>
        </w:rPr>
        <w:t>人造草坪胶水</w:t>
      </w:r>
    </w:p>
    <w:p w14:paraId="1AB68D77">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default" w:ascii="宋体" w:hAnsi="宋体" w:cs="宋体"/>
          <w:color w:val="auto"/>
          <w:sz w:val="20"/>
          <w:szCs w:val="20"/>
          <w:highlight w:val="none"/>
          <w:shd w:val="clear" w:color="auto" w:fill="FFFFFF"/>
          <w:lang w:val="en-US" w:eastAsia="zh-CN"/>
        </w:rPr>
      </w:pPr>
      <w:r>
        <w:rPr>
          <w:rFonts w:hint="eastAsia" w:ascii="宋体" w:hAnsi="宋体" w:cs="宋体"/>
          <w:color w:val="auto"/>
          <w:sz w:val="20"/>
          <w:highlight w:val="none"/>
          <w:shd w:val="clear" w:color="auto" w:fill="FFFFFF"/>
        </w:rPr>
        <w:t>提供第三方专业检测机构依据GB36246-2018标准出具的人造草坪胶有害物质含量未检出的合格检测报告</w:t>
      </w:r>
      <w:r>
        <w:rPr>
          <w:rFonts w:hint="eastAsia" w:ascii="宋体" w:hAnsi="宋体" w:cs="宋体"/>
          <w:color w:val="auto"/>
          <w:sz w:val="20"/>
          <w:szCs w:val="20"/>
          <w:highlight w:val="none"/>
          <w:shd w:val="clear" w:color="auto" w:fill="FFFFFF"/>
          <w:lang w:val="en-US" w:eastAsia="zh-CN"/>
        </w:rPr>
        <w:t>。</w:t>
      </w:r>
    </w:p>
    <w:p w14:paraId="550FEC90">
      <w:pPr>
        <w:pStyle w:val="6"/>
        <w:ind w:firstLine="400"/>
        <w:jc w:val="both"/>
        <w:rPr>
          <w:rFonts w:hint="default"/>
          <w:highlight w:val="none"/>
        </w:rPr>
      </w:pPr>
      <w:r>
        <w:rPr>
          <w:rFonts w:hint="eastAsia"/>
          <w:highlight w:val="none"/>
          <w:lang w:eastAsia="zh-CN"/>
        </w:rPr>
        <w:t>（</w:t>
      </w:r>
      <w:r>
        <w:rPr>
          <w:rFonts w:hint="eastAsia"/>
          <w:highlight w:val="none"/>
          <w:lang w:val="en-US" w:eastAsia="zh-CN"/>
        </w:rPr>
        <w:t>三）</w:t>
      </w:r>
      <w:r>
        <w:rPr>
          <w:highlight w:val="none"/>
        </w:rPr>
        <w:t>项目施工完成后，采购人负责组织验收工作，成交供应商负责协调相关主管部门参与项目验收。如验收合格，采购人、设计、施工方、监理负责本项目的代表人员共同签署相应的验收表确认结果。当相应的验收表签署盖章后，验收工作方为完成。成交供应商</w:t>
      </w:r>
      <w:r>
        <w:rPr>
          <w:rFonts w:hint="eastAsia"/>
          <w:highlight w:val="none"/>
          <w:lang w:val="en-US" w:eastAsia="zh-CN"/>
        </w:rPr>
        <w:t>非</w:t>
      </w:r>
      <w:r>
        <w:rPr>
          <w:highlight w:val="none"/>
        </w:rPr>
        <w:t>本项目负责代表</w:t>
      </w:r>
      <w:r>
        <w:rPr>
          <w:rFonts w:hint="eastAsia"/>
          <w:highlight w:val="none"/>
          <w:lang w:eastAsia="zh-CN"/>
        </w:rPr>
        <w:t>，</w:t>
      </w:r>
      <w:r>
        <w:rPr>
          <w:highlight w:val="none"/>
        </w:rPr>
        <w:t>其他人员签署验收无效。</w:t>
      </w:r>
    </w:p>
    <w:p w14:paraId="4274B2A8">
      <w:pPr>
        <w:pStyle w:val="6"/>
        <w:ind w:firstLine="400"/>
        <w:jc w:val="both"/>
        <w:rPr>
          <w:rFonts w:hint="default"/>
          <w:highlight w:val="none"/>
        </w:rPr>
      </w:pPr>
      <w:r>
        <w:rPr>
          <w:highlight w:val="none"/>
        </w:rPr>
        <w:t>（</w:t>
      </w:r>
      <w:r>
        <w:rPr>
          <w:rFonts w:hint="eastAsia"/>
          <w:highlight w:val="none"/>
          <w:lang w:val="en-US" w:eastAsia="zh-CN"/>
        </w:rPr>
        <w:t>四</w:t>
      </w:r>
      <w:r>
        <w:rPr>
          <w:highlight w:val="none"/>
        </w:rPr>
        <w:t>）如采购验收未通过，成交供应商应在10个工作日内整改完毕，如有特殊情况未能按时整改完毕，可书面向采购人提出顺延10个工作日的申请，采购人签署同意后可顺延，但本次顺延后不得再提出顺延。如首次顺延后，仍无法整改完毕，采购人有权单方解除合同，采购人已支付的款项成交供应商应退回给采购人，因合同解除造成采购人的所有损失由成交供应商承担。</w:t>
      </w:r>
    </w:p>
    <w:p w14:paraId="460C5F3E">
      <w:pPr>
        <w:pStyle w:val="6"/>
        <w:outlineLvl w:val="2"/>
        <w:rPr>
          <w:rFonts w:hint="default"/>
          <w:b/>
          <w:sz w:val="28"/>
          <w:highlight w:val="none"/>
        </w:rPr>
      </w:pPr>
      <w:r>
        <w:rPr>
          <w:rFonts w:hint="eastAsia"/>
          <w:b/>
          <w:sz w:val="28"/>
          <w:highlight w:val="none"/>
          <w:lang w:val="en-US" w:eastAsia="zh-CN"/>
        </w:rPr>
        <w:t>八</w:t>
      </w:r>
      <w:r>
        <w:rPr>
          <w:b/>
          <w:sz w:val="28"/>
          <w:highlight w:val="none"/>
          <w:lang w:eastAsia="zh-CN"/>
        </w:rPr>
        <w:t>、</w:t>
      </w:r>
      <w:r>
        <w:rPr>
          <w:b/>
          <w:sz w:val="28"/>
          <w:highlight w:val="none"/>
        </w:rPr>
        <w:t>工程结算方式及付款方式</w:t>
      </w:r>
    </w:p>
    <w:p w14:paraId="39559FD7">
      <w:pPr>
        <w:pStyle w:val="6"/>
        <w:ind w:firstLine="400"/>
        <w:jc w:val="both"/>
        <w:rPr>
          <w:rFonts w:hint="default"/>
          <w:highlight w:val="none"/>
        </w:rPr>
      </w:pPr>
      <w:r>
        <w:rPr>
          <w:highlight w:val="none"/>
        </w:rPr>
        <w:t>（一）结算方式</w:t>
      </w:r>
    </w:p>
    <w:p w14:paraId="0FE502B5">
      <w:pPr>
        <w:pStyle w:val="6"/>
        <w:ind w:firstLine="400"/>
        <w:jc w:val="both"/>
        <w:rPr>
          <w:rFonts w:hint="default"/>
          <w:highlight w:val="none"/>
        </w:rPr>
      </w:pPr>
      <w:r>
        <w:rPr>
          <w:highlight w:val="none"/>
        </w:rPr>
        <w:t>本项目分部分项工程费按成交供应商报价综合单价包干、工程量按实结算的形式承包，措施费总价包干，其他费用按实计取。按照图纸和工程量清单内容，要求包工、包料、包机械、包工期、包质量、包安全生产、包文明施工、包余泥排放、包劳保、包验收、包保修、包风险等的承包方式。</w:t>
      </w:r>
    </w:p>
    <w:p w14:paraId="65E02104">
      <w:pPr>
        <w:pStyle w:val="6"/>
        <w:ind w:firstLine="400"/>
        <w:jc w:val="both"/>
        <w:rPr>
          <w:rFonts w:hint="default"/>
          <w:highlight w:val="none"/>
        </w:rPr>
      </w:pPr>
      <w:r>
        <w:rPr>
          <w:highlight w:val="none"/>
        </w:rPr>
        <w:t>★（二）付款方式</w:t>
      </w:r>
    </w:p>
    <w:p w14:paraId="42C46E0D">
      <w:pPr>
        <w:pStyle w:val="6"/>
        <w:ind w:firstLine="400"/>
        <w:jc w:val="both"/>
        <w:rPr>
          <w:rFonts w:hint="default"/>
          <w:highlight w:val="none"/>
        </w:rPr>
      </w:pPr>
      <w:r>
        <w:rPr>
          <w:highlight w:val="none"/>
        </w:rPr>
        <w:t>成交供应商需承诺接受采购人支付工程费用根据财政资金到位情况分期付款；提交承诺书，格式自拟。</w:t>
      </w:r>
    </w:p>
    <w:p w14:paraId="2983DC0E">
      <w:pPr>
        <w:pStyle w:val="6"/>
        <w:ind w:firstLine="400"/>
        <w:jc w:val="both"/>
        <w:rPr>
          <w:rFonts w:hint="default"/>
          <w:highlight w:val="none"/>
        </w:rPr>
      </w:pPr>
      <w:r>
        <w:rPr>
          <w:highlight w:val="none"/>
          <w:lang w:eastAsia="zh-CN"/>
        </w:rPr>
        <w:t>1、</w:t>
      </w:r>
      <w:r>
        <w:rPr>
          <w:highlight w:val="none"/>
        </w:rPr>
        <w:t>项目施工合同款结合年度财政资金批复情况，分期支付。</w:t>
      </w:r>
    </w:p>
    <w:p w14:paraId="07348723">
      <w:pPr>
        <w:pStyle w:val="6"/>
        <w:ind w:firstLine="400"/>
        <w:jc w:val="both"/>
        <w:rPr>
          <w:rFonts w:hint="default"/>
          <w:highlight w:val="none"/>
        </w:rPr>
      </w:pPr>
      <w:r>
        <w:rPr>
          <w:highlight w:val="none"/>
          <w:lang w:eastAsia="zh-CN"/>
        </w:rPr>
        <w:t>2、第</w:t>
      </w:r>
      <w:r>
        <w:rPr>
          <w:highlight w:val="none"/>
        </w:rPr>
        <w:t>1期</w:t>
      </w:r>
      <w:r>
        <w:rPr>
          <w:highlight w:val="none"/>
          <w:lang w:eastAsia="zh-CN"/>
        </w:rPr>
        <w:t>（预付款）</w:t>
      </w:r>
      <w:r>
        <w:rPr>
          <w:highlight w:val="none"/>
        </w:rPr>
        <w:t>：合同签订生效后，收到发票</w:t>
      </w:r>
      <w:r>
        <w:rPr>
          <w:rFonts w:hint="eastAsia"/>
          <w:highlight w:val="none"/>
          <w:lang w:eastAsia="zh-CN"/>
        </w:rPr>
        <w:t>、</w:t>
      </w:r>
      <w:r>
        <w:rPr>
          <w:highlight w:val="none"/>
        </w:rPr>
        <w:t>相关支付申请</w:t>
      </w:r>
      <w:r>
        <w:rPr>
          <w:rFonts w:hint="eastAsia"/>
          <w:highlight w:val="none"/>
          <w:lang w:val="en-US" w:eastAsia="zh-CN"/>
        </w:rPr>
        <w:t>和</w:t>
      </w:r>
      <w:r>
        <w:rPr>
          <w:highlight w:val="none"/>
        </w:rPr>
        <w:t>支付审批文件后5个工作日内，办理预付款支付手续，金额为合同价的30%。</w:t>
      </w:r>
    </w:p>
    <w:p w14:paraId="1DD2FE09">
      <w:pPr>
        <w:pStyle w:val="6"/>
        <w:ind w:firstLine="400"/>
        <w:jc w:val="both"/>
        <w:rPr>
          <w:rFonts w:hint="default"/>
          <w:highlight w:val="none"/>
        </w:rPr>
      </w:pPr>
      <w:r>
        <w:rPr>
          <w:highlight w:val="none"/>
          <w:lang w:eastAsia="zh-CN"/>
        </w:rPr>
        <w:t>3、第</w:t>
      </w:r>
      <w:r>
        <w:rPr>
          <w:highlight w:val="none"/>
        </w:rPr>
        <w:t>2期</w:t>
      </w:r>
      <w:r>
        <w:rPr>
          <w:highlight w:val="none"/>
          <w:lang w:eastAsia="zh-CN"/>
        </w:rPr>
        <w:t>（进度款）</w:t>
      </w:r>
      <w:r>
        <w:rPr>
          <w:highlight w:val="none"/>
        </w:rPr>
        <w:t>：项目竣工验收合格后，收到发票</w:t>
      </w:r>
      <w:r>
        <w:rPr>
          <w:rFonts w:hint="eastAsia"/>
          <w:highlight w:val="none"/>
          <w:lang w:eastAsia="zh-CN"/>
        </w:rPr>
        <w:t>、</w:t>
      </w:r>
      <w:r>
        <w:rPr>
          <w:highlight w:val="none"/>
        </w:rPr>
        <w:t>竣工验收表或报告、</w:t>
      </w:r>
      <w:r>
        <w:rPr>
          <w:rFonts w:hint="eastAsia"/>
          <w:highlight w:val="none"/>
        </w:rPr>
        <w:t>相关支付申请</w:t>
      </w:r>
      <w:r>
        <w:rPr>
          <w:rFonts w:hint="eastAsia"/>
          <w:highlight w:val="none"/>
          <w:lang w:val="en-US" w:eastAsia="zh-CN"/>
        </w:rPr>
        <w:t>和</w:t>
      </w:r>
      <w:r>
        <w:rPr>
          <w:highlight w:val="none"/>
        </w:rPr>
        <w:t>支付审批文件后5个工作日内（寒暑假除外），办理进度款支付手续，金额为合同价的50%，累计支付至合同价的80%。</w:t>
      </w:r>
    </w:p>
    <w:p w14:paraId="301E5562">
      <w:pPr>
        <w:pStyle w:val="6"/>
        <w:ind w:firstLine="400"/>
        <w:jc w:val="both"/>
        <w:rPr>
          <w:rFonts w:hint="default"/>
          <w:highlight w:val="none"/>
        </w:rPr>
      </w:pPr>
      <w:r>
        <w:rPr>
          <w:highlight w:val="none"/>
          <w:lang w:eastAsia="zh-CN"/>
        </w:rPr>
        <w:t>4、第</w:t>
      </w:r>
      <w:r>
        <w:rPr>
          <w:highlight w:val="none"/>
        </w:rPr>
        <w:t>3期</w:t>
      </w:r>
      <w:r>
        <w:rPr>
          <w:highlight w:val="none"/>
          <w:lang w:eastAsia="zh-CN"/>
        </w:rPr>
        <w:t>（尾款）</w:t>
      </w:r>
      <w:r>
        <w:rPr>
          <w:highlight w:val="none"/>
        </w:rPr>
        <w:t>：</w:t>
      </w:r>
      <w:r>
        <w:rPr>
          <w:highlight w:val="none"/>
          <w:lang w:eastAsia="zh-CN"/>
        </w:rPr>
        <w:t>结算审核完成后，收到发票、结算审核报告关键页、</w:t>
      </w:r>
      <w:r>
        <w:rPr>
          <w:rFonts w:hint="eastAsia"/>
          <w:highlight w:val="none"/>
          <w:lang w:eastAsia="zh-CN"/>
        </w:rPr>
        <w:t>相关支付申请</w:t>
      </w:r>
      <w:r>
        <w:rPr>
          <w:rFonts w:hint="eastAsia"/>
          <w:highlight w:val="none"/>
          <w:lang w:val="en-US" w:eastAsia="zh-CN"/>
        </w:rPr>
        <w:t>、</w:t>
      </w:r>
      <w:r>
        <w:rPr>
          <w:highlight w:val="none"/>
          <w:lang w:eastAsia="zh-CN"/>
        </w:rPr>
        <w:t>支付审批文件</w:t>
      </w:r>
      <w:r>
        <w:rPr>
          <w:rFonts w:hint="eastAsia"/>
          <w:highlight w:val="none"/>
          <w:lang w:val="en-US" w:eastAsia="zh-CN"/>
        </w:rPr>
        <w:t>和</w:t>
      </w:r>
      <w:r>
        <w:rPr>
          <w:highlight w:val="none"/>
          <w:lang w:eastAsia="zh-CN"/>
        </w:rPr>
        <w:t>质量保证金保函（保险）原件后5个工作日内（寒暑假除外），给与办理结算尾款支付手续。</w:t>
      </w:r>
    </w:p>
    <w:p w14:paraId="100E6B8B">
      <w:pPr>
        <w:pStyle w:val="6"/>
        <w:ind w:firstLine="400"/>
        <w:jc w:val="both"/>
        <w:rPr>
          <w:rFonts w:hint="default"/>
          <w:highlight w:val="none"/>
          <w:lang w:eastAsia="zh-CN"/>
        </w:rPr>
      </w:pPr>
      <w:r>
        <w:rPr>
          <w:highlight w:val="none"/>
          <w:lang w:eastAsia="zh-CN"/>
        </w:rPr>
        <w:t>5、</w:t>
      </w:r>
      <w:r>
        <w:rPr>
          <w:highlight w:val="none"/>
        </w:rPr>
        <w:t>成交供应商需无条件配合采购人开展结算评审工作。</w:t>
      </w:r>
    </w:p>
    <w:p w14:paraId="095D4A15">
      <w:pPr>
        <w:pStyle w:val="6"/>
        <w:ind w:firstLine="400"/>
        <w:jc w:val="both"/>
        <w:rPr>
          <w:rFonts w:hint="default"/>
          <w:highlight w:val="none"/>
        </w:rPr>
      </w:pPr>
      <w:r>
        <w:rPr>
          <w:highlight w:val="none"/>
          <w:lang w:eastAsia="zh-CN"/>
        </w:rPr>
        <w:t>6、</w:t>
      </w:r>
      <w:r>
        <w:rPr>
          <w:highlight w:val="none"/>
        </w:rPr>
        <w:t>因采购人使用的是财政资金，在规定时间内办理进度款支付手续</w:t>
      </w:r>
      <w:r>
        <w:rPr>
          <w:highlight w:val="none"/>
          <w:lang w:eastAsia="zh-CN"/>
        </w:rPr>
        <w:t>，指采购人经办部门将相关申请支付资料提交给采购人财务处办理</w:t>
      </w:r>
      <w:r>
        <w:rPr>
          <w:highlight w:val="none"/>
        </w:rPr>
        <w:t>后即视为采购人已经按期支付</w:t>
      </w:r>
      <w:r>
        <w:rPr>
          <w:highlight w:val="none"/>
          <w:lang w:eastAsia="zh-CN"/>
        </w:rPr>
        <w:t>；寒暑假除外是因为除采购人经办部门继续办公外，其他部门人员均在放假，因此是无法5个工作日内完成办理支付手续，付款期限最长不超过30日</w:t>
      </w:r>
      <w:r>
        <w:rPr>
          <w:highlight w:val="none"/>
        </w:rPr>
        <w:t>。</w:t>
      </w:r>
    </w:p>
    <w:p w14:paraId="078E5ACC">
      <w:pPr>
        <w:pStyle w:val="6"/>
        <w:outlineLvl w:val="2"/>
        <w:rPr>
          <w:rFonts w:hint="default"/>
          <w:b/>
          <w:sz w:val="28"/>
          <w:highlight w:val="none"/>
        </w:rPr>
      </w:pPr>
      <w:r>
        <w:rPr>
          <w:rFonts w:hint="eastAsia"/>
          <w:b/>
          <w:sz w:val="28"/>
          <w:highlight w:val="none"/>
          <w:lang w:val="en-US" w:eastAsia="zh-CN"/>
        </w:rPr>
        <w:t>九</w:t>
      </w:r>
      <w:r>
        <w:rPr>
          <w:b/>
          <w:sz w:val="28"/>
          <w:highlight w:val="none"/>
        </w:rPr>
        <w:t>、</w:t>
      </w:r>
      <w:r>
        <w:rPr>
          <w:rFonts w:hint="eastAsia"/>
          <w:b/>
          <w:sz w:val="28"/>
          <w:highlight w:val="none"/>
        </w:rPr>
        <w:t>工程保修期、质保期</w:t>
      </w:r>
      <w:r>
        <w:rPr>
          <w:rFonts w:hint="eastAsia"/>
          <w:b/>
          <w:sz w:val="28"/>
          <w:highlight w:val="none"/>
          <w:lang w:eastAsia="zh-CN"/>
        </w:rPr>
        <w:t>、</w:t>
      </w:r>
      <w:r>
        <w:rPr>
          <w:rFonts w:hint="eastAsia"/>
          <w:b/>
          <w:sz w:val="28"/>
          <w:highlight w:val="none"/>
          <w:lang w:val="en-US" w:eastAsia="zh-CN"/>
        </w:rPr>
        <w:t>保养</w:t>
      </w:r>
      <w:r>
        <w:rPr>
          <w:rFonts w:hint="eastAsia"/>
          <w:b/>
          <w:sz w:val="28"/>
          <w:highlight w:val="none"/>
        </w:rPr>
        <w:t>及售后服务</w:t>
      </w:r>
    </w:p>
    <w:p w14:paraId="77B8C442">
      <w:pPr>
        <w:pStyle w:val="6"/>
        <w:ind w:firstLine="400"/>
        <w:jc w:val="both"/>
        <w:rPr>
          <w:rFonts w:hint="eastAsia" w:eastAsiaTheme="minorEastAsia"/>
          <w:highlight w:val="none"/>
          <w:lang w:eastAsia="zh-CN"/>
        </w:rPr>
      </w:pPr>
      <w:r>
        <w:rPr>
          <w:highlight w:val="none"/>
        </w:rPr>
        <w:t>（一）</w:t>
      </w:r>
      <w:r>
        <w:rPr>
          <w:rFonts w:hint="eastAsia"/>
          <w:highlight w:val="none"/>
        </w:rPr>
        <w:t>工程质量保修期（简称“保修期”），保修期自竣工验收合格之日起计算</w:t>
      </w:r>
      <w:r>
        <w:rPr>
          <w:rFonts w:hint="eastAsia"/>
          <w:highlight w:val="none"/>
          <w:lang w:eastAsia="zh-CN"/>
        </w:rPr>
        <w:t>：</w:t>
      </w:r>
    </w:p>
    <w:p w14:paraId="0514452D">
      <w:pPr>
        <w:pStyle w:val="6"/>
        <w:ind w:firstLine="400"/>
        <w:jc w:val="both"/>
        <w:rPr>
          <w:rFonts w:hint="default" w:eastAsiaTheme="minorEastAsia"/>
          <w:highlight w:val="none"/>
          <w:lang w:val="en-US" w:eastAsia="zh-CN"/>
        </w:rPr>
      </w:pPr>
      <w:r>
        <w:rPr>
          <w:highlight w:val="none"/>
          <w:lang w:eastAsia="zh-CN"/>
        </w:rPr>
        <w:t>1、</w:t>
      </w:r>
      <w:r>
        <w:rPr>
          <w:rFonts w:hint="eastAsia"/>
          <w:highlight w:val="none"/>
          <w:lang w:val="en-US" w:eastAsia="zh-CN"/>
        </w:rPr>
        <w:t>足球场人造草坪</w:t>
      </w:r>
      <w:r>
        <w:rPr>
          <w:rFonts w:hint="eastAsia"/>
          <w:highlight w:val="none"/>
          <w:lang w:eastAsia="zh-CN"/>
        </w:rPr>
        <w:t>，</w:t>
      </w:r>
      <w:r>
        <w:rPr>
          <w:rFonts w:hint="eastAsia"/>
          <w:highlight w:val="none"/>
          <w:lang w:val="en-US" w:eastAsia="zh-CN"/>
        </w:rPr>
        <w:t>为5年；在保修期内，所有非人为故破坏（正常使用损坏，不算人为破坏）而产生质量问题（如：草丝大面积风化，断裂，褪色、脱落、脱胶、腐烂等）的人造草坪，成交供应商在收到采购人书面通知及证明材料的情况下，成交供应商免费更换，所有费用由成交供应商负责。</w:t>
      </w:r>
    </w:p>
    <w:p w14:paraId="5FBCC95A">
      <w:pPr>
        <w:pStyle w:val="6"/>
        <w:ind w:firstLine="400"/>
        <w:jc w:val="both"/>
        <w:rPr>
          <w:rFonts w:hint="default"/>
          <w:highlight w:val="none"/>
        </w:rPr>
      </w:pPr>
      <w:r>
        <w:rPr>
          <w:rFonts w:hint="eastAsia"/>
          <w:highlight w:val="none"/>
          <w:lang w:val="en-US" w:eastAsia="zh-CN"/>
        </w:rPr>
        <w:t>2、篮球场照明系统，</w:t>
      </w:r>
      <w:r>
        <w:rPr>
          <w:highlight w:val="none"/>
        </w:rPr>
        <w:t>为2年；</w:t>
      </w:r>
    </w:p>
    <w:p w14:paraId="6BA32B0D">
      <w:pPr>
        <w:pStyle w:val="6"/>
        <w:ind w:firstLine="400"/>
        <w:jc w:val="both"/>
        <w:rPr>
          <w:rFonts w:hint="default"/>
          <w:highlight w:val="none"/>
        </w:rPr>
      </w:pPr>
      <w:r>
        <w:rPr>
          <w:rFonts w:hint="eastAsia"/>
          <w:highlight w:val="none"/>
          <w:lang w:val="en-US" w:eastAsia="zh-CN"/>
        </w:rPr>
        <w:t>3、</w:t>
      </w:r>
      <w:r>
        <w:rPr>
          <w:highlight w:val="none"/>
        </w:rPr>
        <w:t>其他项目工程，为2年；</w:t>
      </w:r>
    </w:p>
    <w:p w14:paraId="68E8AF08">
      <w:pPr>
        <w:pStyle w:val="6"/>
        <w:ind w:firstLine="400"/>
        <w:jc w:val="both"/>
        <w:rPr>
          <w:rFonts w:hint="eastAsia" w:eastAsiaTheme="minorEastAsia"/>
          <w:highlight w:val="none"/>
          <w:lang w:eastAsia="zh-CN"/>
        </w:rPr>
      </w:pPr>
      <w:r>
        <w:rPr>
          <w:highlight w:val="none"/>
        </w:rPr>
        <w:t>（二）</w:t>
      </w:r>
      <w:r>
        <w:rPr>
          <w:rFonts w:hint="eastAsia"/>
          <w:highlight w:val="none"/>
        </w:rPr>
        <w:t>工程质量缺陷责任期（简称“质保期”），质保期自竣工验收合格之日起计算，为2年</w:t>
      </w:r>
      <w:r>
        <w:rPr>
          <w:rFonts w:hint="eastAsia"/>
          <w:highlight w:val="none"/>
          <w:lang w:eastAsia="zh-CN"/>
        </w:rPr>
        <w:t>。</w:t>
      </w:r>
    </w:p>
    <w:p w14:paraId="30309303">
      <w:pPr>
        <w:pStyle w:val="6"/>
        <w:ind w:firstLine="400"/>
        <w:jc w:val="both"/>
        <w:rPr>
          <w:rFonts w:hint="eastAsia"/>
          <w:highlight w:val="none"/>
          <w:lang w:eastAsia="zh-CN"/>
        </w:rPr>
      </w:pPr>
      <w:r>
        <w:rPr>
          <w:highlight w:val="none"/>
        </w:rPr>
        <w:t>（三）</w:t>
      </w:r>
      <w:r>
        <w:rPr>
          <w:rFonts w:hint="eastAsia"/>
          <w:highlight w:val="none"/>
        </w:rPr>
        <w:t>保修期</w:t>
      </w:r>
      <w:r>
        <w:rPr>
          <w:highlight w:val="none"/>
        </w:rPr>
        <w:t>内，</w:t>
      </w:r>
      <w:r>
        <w:rPr>
          <w:rFonts w:hint="eastAsia"/>
          <w:highlight w:val="none"/>
        </w:rPr>
        <w:t>因施工铺装质量问题（接缝开胶、起鼓、脱丝、填充不均匀、铺装平整度不合格、基础排水施工缺陷），施工单位必须免费维修、返工、修补，甲方不用付费</w:t>
      </w:r>
      <w:r>
        <w:rPr>
          <w:rFonts w:hint="eastAsia"/>
          <w:highlight w:val="none"/>
          <w:lang w:eastAsia="zh-CN"/>
        </w:rPr>
        <w:t>。</w:t>
      </w:r>
    </w:p>
    <w:p w14:paraId="135DFD11">
      <w:pPr>
        <w:pStyle w:val="6"/>
        <w:ind w:firstLine="400"/>
        <w:jc w:val="both"/>
        <w:rPr>
          <w:rFonts w:hint="default"/>
          <w:highlight w:val="none"/>
        </w:rPr>
      </w:pPr>
      <w:r>
        <w:rPr>
          <w:rFonts w:hint="eastAsia"/>
          <w:highlight w:val="none"/>
          <w:lang w:eastAsia="zh-CN"/>
        </w:rPr>
        <w:t>（</w:t>
      </w:r>
      <w:r>
        <w:rPr>
          <w:rFonts w:hint="eastAsia"/>
          <w:highlight w:val="none"/>
          <w:lang w:val="en-US" w:eastAsia="zh-CN"/>
        </w:rPr>
        <w:t>四）在保修期内，所有非人为故破坏（正常使用损坏，不算人为破坏）而产生质量问题（如：草丝大面积风化，断裂，褪色、脱落、脱胶、腐烂等）的人造草坪，成交供应商在收到采购人通知及证明材料的情况下，成交供应商免费更换，所有费用由成交供应商负责</w:t>
      </w:r>
      <w:r>
        <w:rPr>
          <w:highlight w:val="none"/>
        </w:rPr>
        <w:t>。</w:t>
      </w:r>
    </w:p>
    <w:p w14:paraId="74BF23FE">
      <w:pPr>
        <w:pStyle w:val="6"/>
        <w:ind w:firstLine="400" w:firstLineChars="200"/>
        <w:jc w:val="both"/>
        <w:rPr>
          <w:rFonts w:hint="default"/>
          <w:highlight w:val="none"/>
        </w:rPr>
      </w:pPr>
      <w:r>
        <w:rPr>
          <w:highlight w:val="none"/>
        </w:rPr>
        <w:t>（</w:t>
      </w:r>
      <w:r>
        <w:rPr>
          <w:rFonts w:hint="eastAsia"/>
          <w:highlight w:val="none"/>
          <w:lang w:val="en-US" w:eastAsia="zh-CN"/>
        </w:rPr>
        <w:t>五</w:t>
      </w:r>
      <w:r>
        <w:rPr>
          <w:highlight w:val="none"/>
        </w:rPr>
        <w:t>）</w:t>
      </w:r>
      <w:r>
        <w:rPr>
          <w:rFonts w:hint="eastAsia"/>
          <w:highlight w:val="none"/>
        </w:rPr>
        <w:t>保修期内，</w:t>
      </w:r>
      <w:r>
        <w:rPr>
          <w:highlight w:val="none"/>
        </w:rPr>
        <w:t>质量问题报修</w:t>
      </w:r>
      <w:r>
        <w:rPr>
          <w:rFonts w:hint="default"/>
          <w:highlight w:val="none"/>
          <w:u w:val="single"/>
        </w:rPr>
        <w:t>2</w:t>
      </w:r>
      <w:r>
        <w:rPr>
          <w:highlight w:val="none"/>
        </w:rPr>
        <w:t>小时内响应，</w:t>
      </w:r>
      <w:r>
        <w:rPr>
          <w:highlight w:val="none"/>
          <w:u w:val="single"/>
        </w:rPr>
        <w:t>24</w:t>
      </w:r>
      <w:r>
        <w:rPr>
          <w:highlight w:val="none"/>
        </w:rPr>
        <w:t>小时内到达现场，解决质量问题不得超过3个工作日</w:t>
      </w:r>
      <w:r>
        <w:rPr>
          <w:highlight w:val="none"/>
          <w:lang w:eastAsia="zh-CN"/>
        </w:rPr>
        <w:t>；否则，采购人有权另请他人维修，一切费用由成交供应商负责</w:t>
      </w:r>
      <w:r>
        <w:rPr>
          <w:highlight w:val="none"/>
        </w:rPr>
        <w:t>；在保修期内无偿提供人员和技术支持，配合采购人进行技术改进。</w:t>
      </w:r>
    </w:p>
    <w:p w14:paraId="65B7D216">
      <w:pPr>
        <w:pStyle w:val="6"/>
        <w:ind w:firstLine="400"/>
        <w:jc w:val="both"/>
        <w:rPr>
          <w:rFonts w:hint="default"/>
          <w:highlight w:val="none"/>
        </w:rPr>
      </w:pPr>
      <w:r>
        <w:rPr>
          <w:highlight w:val="none"/>
        </w:rPr>
        <w:t>（</w:t>
      </w:r>
      <w:r>
        <w:rPr>
          <w:rFonts w:hint="eastAsia"/>
          <w:highlight w:val="none"/>
          <w:lang w:val="en-US" w:eastAsia="zh-CN"/>
        </w:rPr>
        <w:t>六</w:t>
      </w:r>
      <w:r>
        <w:rPr>
          <w:highlight w:val="none"/>
        </w:rPr>
        <w:t>）</w:t>
      </w:r>
      <w:r>
        <w:rPr>
          <w:rFonts w:hint="eastAsia"/>
          <w:highlight w:val="none"/>
        </w:rPr>
        <w:t>保修期内，</w:t>
      </w:r>
      <w:r>
        <w:rPr>
          <w:highlight w:val="none"/>
        </w:rPr>
        <w:t>所有质量问题</w:t>
      </w:r>
      <w:r>
        <w:rPr>
          <w:rFonts w:hint="eastAsia"/>
          <w:highlight w:val="none"/>
          <w:lang w:val="en-US" w:eastAsia="zh-CN"/>
        </w:rPr>
        <w:t>保修</w:t>
      </w:r>
      <w:r>
        <w:rPr>
          <w:highlight w:val="none"/>
        </w:rPr>
        <w:t>服务方式均为成交供应商上门服务，即由成交供应商派员到现场维修，由此产生的一切费用均由成交供应商承担。</w:t>
      </w:r>
    </w:p>
    <w:p w14:paraId="5B8EB6DE">
      <w:pPr>
        <w:pStyle w:val="6"/>
        <w:ind w:left="420"/>
        <w:jc w:val="both"/>
        <w:rPr>
          <w:highlight w:val="none"/>
        </w:rPr>
      </w:pPr>
      <w:r>
        <w:rPr>
          <w:rFonts w:hint="eastAsia"/>
          <w:highlight w:val="none"/>
          <w:lang w:eastAsia="zh-CN"/>
        </w:rPr>
        <w:t>（</w:t>
      </w:r>
      <w:r>
        <w:rPr>
          <w:rFonts w:hint="eastAsia"/>
          <w:highlight w:val="none"/>
          <w:lang w:val="en-US" w:eastAsia="zh-CN"/>
        </w:rPr>
        <w:t>七）</w:t>
      </w:r>
      <w:r>
        <w:rPr>
          <w:rFonts w:hint="eastAsia"/>
          <w:highlight w:val="none"/>
        </w:rPr>
        <w:t>保修期</w:t>
      </w:r>
      <w:r>
        <w:rPr>
          <w:highlight w:val="none"/>
        </w:rPr>
        <w:t>后的维护由双方协商再定。</w:t>
      </w:r>
    </w:p>
    <w:p w14:paraId="3DD6FF41">
      <w:pPr>
        <w:pStyle w:val="6"/>
        <w:outlineLvl w:val="2"/>
        <w:rPr>
          <w:rFonts w:hint="default"/>
          <w:b/>
          <w:sz w:val="28"/>
          <w:highlight w:val="none"/>
          <w:lang w:eastAsia="zh-CN"/>
        </w:rPr>
      </w:pPr>
      <w:r>
        <w:rPr>
          <w:b/>
          <w:sz w:val="28"/>
          <w:highlight w:val="none"/>
          <w:lang w:eastAsia="zh-CN"/>
        </w:rPr>
        <w:t>十、质量保证金：</w:t>
      </w:r>
    </w:p>
    <w:p w14:paraId="13BBF4C5">
      <w:pPr>
        <w:pStyle w:val="6"/>
        <w:ind w:firstLine="400"/>
        <w:rPr>
          <w:rFonts w:hint="default"/>
          <w:highlight w:val="none"/>
          <w:lang w:eastAsia="zh-CN"/>
        </w:rPr>
      </w:pPr>
      <w:r>
        <w:rPr>
          <w:highlight w:val="none"/>
          <w:lang w:eastAsia="zh-CN"/>
        </w:rPr>
        <w:t>（一）数额：3%结算审核审定价款</w:t>
      </w:r>
    </w:p>
    <w:p w14:paraId="6C5488BA">
      <w:pPr>
        <w:pStyle w:val="6"/>
        <w:ind w:firstLine="400"/>
        <w:rPr>
          <w:rFonts w:hint="default"/>
          <w:highlight w:val="none"/>
          <w:lang w:eastAsia="zh-CN"/>
        </w:rPr>
      </w:pPr>
      <w:r>
        <w:rPr>
          <w:highlight w:val="none"/>
          <w:lang w:eastAsia="zh-CN"/>
        </w:rPr>
        <w:t>（二）提交方式：</w:t>
      </w:r>
      <w:r>
        <w:rPr>
          <w:rFonts w:hint="eastAsia"/>
        </w:rPr>
        <w:t>以支票、汇票、本票或者金融机构、担保机构出具的保函等非现金形式向采购人提交</w:t>
      </w:r>
      <w:r>
        <w:rPr>
          <w:highlight w:val="none"/>
          <w:lang w:eastAsia="zh-CN"/>
        </w:rPr>
        <w:t>，具备使用电子保函条件的，</w:t>
      </w:r>
      <w:r>
        <w:rPr>
          <w:rFonts w:hint="eastAsia"/>
          <w:highlight w:val="none"/>
          <w:lang w:val="en-US" w:eastAsia="zh-CN"/>
        </w:rPr>
        <w:t>建议</w:t>
      </w:r>
      <w:r>
        <w:rPr>
          <w:highlight w:val="none"/>
          <w:lang w:eastAsia="zh-CN"/>
        </w:rPr>
        <w:t>优先选择使用电子保函。</w:t>
      </w:r>
    </w:p>
    <w:p w14:paraId="7D953489">
      <w:pPr>
        <w:pStyle w:val="6"/>
        <w:ind w:firstLine="400"/>
        <w:rPr>
          <w:rFonts w:hint="default"/>
          <w:highlight w:val="none"/>
          <w:lang w:eastAsia="zh-CN"/>
        </w:rPr>
      </w:pPr>
      <w:r>
        <w:rPr>
          <w:highlight w:val="none"/>
          <w:lang w:eastAsia="zh-CN"/>
        </w:rPr>
        <w:t>（三）保函（保险）生效期限：开具之日至质保期满2年之日</w:t>
      </w:r>
      <w:r>
        <w:rPr>
          <w:rFonts w:hint="eastAsia"/>
          <w:highlight w:val="none"/>
          <w:lang w:eastAsia="zh-CN"/>
        </w:rPr>
        <w:t>。</w:t>
      </w:r>
    </w:p>
    <w:p w14:paraId="5067221E">
      <w:pPr>
        <w:pStyle w:val="6"/>
        <w:ind w:firstLine="400"/>
        <w:rPr>
          <w:rFonts w:hint="default"/>
          <w:highlight w:val="none"/>
          <w:lang w:eastAsia="zh-CN"/>
        </w:rPr>
      </w:pPr>
      <w:r>
        <w:rPr>
          <w:highlight w:val="none"/>
          <w:lang w:eastAsia="zh-CN"/>
        </w:rPr>
        <w:t>（四）</w:t>
      </w:r>
      <w:r>
        <w:rPr>
          <w:rFonts w:hint="eastAsia"/>
          <w:highlight w:val="none"/>
          <w:lang w:eastAsia="zh-CN"/>
        </w:rPr>
        <w:t>保函（保险）失效期限：质保期满2年后，到期自动失效</w:t>
      </w:r>
      <w:r>
        <w:rPr>
          <w:highlight w:val="none"/>
          <w:lang w:eastAsia="zh-CN"/>
        </w:rPr>
        <w:t>。</w:t>
      </w:r>
    </w:p>
    <w:p w14:paraId="2FD314B3">
      <w:pPr>
        <w:pStyle w:val="6"/>
        <w:outlineLvl w:val="2"/>
        <w:rPr>
          <w:rFonts w:hint="default"/>
          <w:b/>
          <w:sz w:val="28"/>
          <w:highlight w:val="none"/>
        </w:rPr>
      </w:pPr>
      <w:r>
        <w:rPr>
          <w:b/>
          <w:sz w:val="28"/>
          <w:highlight w:val="none"/>
        </w:rPr>
        <w:t>十</w:t>
      </w:r>
      <w:r>
        <w:rPr>
          <w:rFonts w:hint="eastAsia"/>
          <w:b/>
          <w:sz w:val="28"/>
          <w:highlight w:val="none"/>
          <w:lang w:val="en-US" w:eastAsia="zh-CN"/>
        </w:rPr>
        <w:t>一</w:t>
      </w:r>
      <w:r>
        <w:rPr>
          <w:b/>
          <w:sz w:val="28"/>
          <w:highlight w:val="none"/>
        </w:rPr>
        <w:t>、施工方法及技术保证措施</w:t>
      </w:r>
    </w:p>
    <w:p w14:paraId="77461DBF">
      <w:pPr>
        <w:pStyle w:val="6"/>
        <w:numPr>
          <w:ilvl w:val="255"/>
          <w:numId w:val="0"/>
        </w:numPr>
        <w:ind w:firstLine="400" w:firstLineChars="200"/>
        <w:outlineLvl w:val="2"/>
        <w:rPr>
          <w:rFonts w:hint="eastAsia"/>
          <w:highlight w:val="none"/>
          <w:lang w:eastAsia="zh-CN"/>
        </w:rPr>
      </w:pPr>
      <w:r>
        <w:rPr>
          <w:highlight w:val="none"/>
        </w:rPr>
        <w:t>供应商</w:t>
      </w:r>
      <w:r>
        <w:rPr>
          <w:highlight w:val="none"/>
          <w:lang w:eastAsia="zh-CN"/>
        </w:rPr>
        <w:t>应根据本项目施工图纸（详见附件）编制</w:t>
      </w:r>
      <w:r>
        <w:rPr>
          <w:highlight w:val="none"/>
        </w:rPr>
        <w:t>施工方法及技术保证措施</w:t>
      </w:r>
      <w:r>
        <w:rPr>
          <w:highlight w:val="none"/>
          <w:lang w:eastAsia="zh-CN"/>
        </w:rPr>
        <w:t>，且应包含</w:t>
      </w:r>
      <w:r>
        <w:rPr>
          <w:highlight w:val="none"/>
        </w:rPr>
        <w:t>提施工总体部署、施工总体流程、施工总平面布置各分部分项工程的施工</w:t>
      </w:r>
      <w:r>
        <w:rPr>
          <w:rFonts w:hint="eastAsia"/>
          <w:highlight w:val="none"/>
          <w:lang w:val="en-US" w:eastAsia="zh-CN"/>
        </w:rPr>
        <w:t>技术工艺</w:t>
      </w:r>
      <w:r>
        <w:rPr>
          <w:highlight w:val="none"/>
        </w:rPr>
        <w:t>、技术保证措施4项内容</w:t>
      </w:r>
      <w:r>
        <w:rPr>
          <w:rFonts w:hint="eastAsia"/>
          <w:highlight w:val="none"/>
          <w:lang w:eastAsia="zh-CN"/>
        </w:rPr>
        <w:t>：</w:t>
      </w:r>
    </w:p>
    <w:p w14:paraId="416B9E5F">
      <w:pPr>
        <w:pStyle w:val="6"/>
        <w:numPr>
          <w:ilvl w:val="255"/>
          <w:numId w:val="0"/>
        </w:numPr>
        <w:ind w:firstLine="400" w:firstLineChars="200"/>
        <w:outlineLvl w:val="2"/>
        <w:rPr>
          <w:rFonts w:hint="default"/>
          <w:highlight w:val="none"/>
          <w:lang w:val="en-US" w:eastAsia="zh-CN"/>
        </w:rPr>
      </w:pPr>
      <w:r>
        <w:rPr>
          <w:rFonts w:hint="eastAsia"/>
          <w:highlight w:val="none"/>
          <w:lang w:val="en-US" w:eastAsia="zh-CN"/>
        </w:rPr>
        <w:t>(一）施工总体部署</w:t>
      </w:r>
    </w:p>
    <w:p w14:paraId="453070DA">
      <w:pPr>
        <w:pStyle w:val="6"/>
        <w:numPr>
          <w:ilvl w:val="255"/>
          <w:numId w:val="0"/>
        </w:numPr>
        <w:ind w:firstLine="400" w:firstLineChars="200"/>
        <w:outlineLvl w:val="2"/>
        <w:rPr>
          <w:rFonts w:hint="eastAsia"/>
          <w:highlight w:val="none"/>
          <w:lang w:eastAsia="zh-CN"/>
        </w:rPr>
      </w:pPr>
      <w:r>
        <w:rPr>
          <w:rFonts w:hint="eastAsia"/>
          <w:highlight w:val="none"/>
          <w:lang w:eastAsia="zh-CN"/>
        </w:rPr>
        <w:t>1、 施工分区量化部署</w:t>
      </w:r>
    </w:p>
    <w:p w14:paraId="5E1C36E0">
      <w:pPr>
        <w:pStyle w:val="6"/>
        <w:numPr>
          <w:ilvl w:val="255"/>
          <w:numId w:val="0"/>
        </w:numPr>
        <w:ind w:firstLine="400" w:firstLineChars="200"/>
        <w:outlineLvl w:val="2"/>
        <w:rPr>
          <w:rFonts w:hint="eastAsia"/>
          <w:highlight w:val="none"/>
          <w:lang w:eastAsia="zh-CN"/>
        </w:rPr>
      </w:pPr>
      <w:r>
        <w:rPr>
          <w:rFonts w:hint="eastAsia"/>
          <w:highlight w:val="none"/>
          <w:lang w:eastAsia="zh-CN"/>
        </w:rPr>
        <w:t>根据施工现场平面布局，科学划分施工作业区、材料堆放区、机械作业区、办公生活区，做到区域划分清晰、隔离防护规范、场地布局合理，现场布置合规性符合国家及行业强制标准。实行定岗定人、定责定管的分区管理制度，规范现场施工秩序。优化场地管控力度，实施每日2次场区文明施工专项巡查，保障场区标识齐全、物料堆放规整，有效杜绝场地乱堆乱放、违规占用问题，文明施工管控成效优于常规标准。</w:t>
      </w:r>
    </w:p>
    <w:p w14:paraId="18577C14">
      <w:pPr>
        <w:pStyle w:val="6"/>
        <w:numPr>
          <w:ilvl w:val="255"/>
          <w:numId w:val="0"/>
        </w:numPr>
        <w:ind w:firstLine="400" w:firstLineChars="200"/>
        <w:outlineLvl w:val="2"/>
        <w:rPr>
          <w:rFonts w:hint="eastAsia"/>
          <w:highlight w:val="none"/>
          <w:lang w:eastAsia="zh-CN"/>
        </w:rPr>
      </w:pPr>
      <w:r>
        <w:rPr>
          <w:rFonts w:hint="eastAsia"/>
          <w:highlight w:val="none"/>
          <w:lang w:eastAsia="zh-CN"/>
        </w:rPr>
        <w:t>2、 工期节点部署</w:t>
      </w:r>
    </w:p>
    <w:p w14:paraId="21108BFF">
      <w:pPr>
        <w:pStyle w:val="6"/>
        <w:numPr>
          <w:ilvl w:val="255"/>
          <w:numId w:val="0"/>
        </w:numPr>
        <w:ind w:firstLine="400" w:firstLineChars="200"/>
        <w:outlineLvl w:val="2"/>
        <w:rPr>
          <w:rFonts w:hint="eastAsia"/>
          <w:highlight w:val="none"/>
          <w:lang w:eastAsia="zh-CN"/>
        </w:rPr>
      </w:pPr>
      <w:r>
        <w:rPr>
          <w:rFonts w:hint="eastAsia"/>
          <w:highlight w:val="none"/>
          <w:lang w:eastAsia="zh-CN"/>
        </w:rPr>
        <w:t>将整体工期拆解为前期准备、基础施工、主体施工、附属配套、竣工验收大阶段，细化各阶段施工任务与管控目标，科学预留工期缓冲余量，应对各类突发施工影响，保障项目按期交付，工期管控基础要求符合工程建设管理规范。升级工期动态管控模式，实施每周2次进度复盘+关键节点每日核查，对轻微进度偏差24小时内制定纠偏追赶方案，工期动态管控能力优于常规管控模式。</w:t>
      </w:r>
    </w:p>
    <w:p w14:paraId="4CBB2062">
      <w:pPr>
        <w:pStyle w:val="6"/>
        <w:numPr>
          <w:ilvl w:val="255"/>
          <w:numId w:val="0"/>
        </w:numPr>
        <w:ind w:firstLine="400" w:firstLineChars="200"/>
        <w:outlineLvl w:val="2"/>
        <w:rPr>
          <w:rFonts w:hint="eastAsia"/>
          <w:highlight w:val="none"/>
          <w:lang w:eastAsia="zh-CN"/>
        </w:rPr>
      </w:pPr>
      <w:r>
        <w:rPr>
          <w:rFonts w:hint="eastAsia"/>
          <w:highlight w:val="none"/>
          <w:lang w:eastAsia="zh-CN"/>
        </w:rPr>
        <w:t>3、施工资源部署</w:t>
      </w:r>
    </w:p>
    <w:p w14:paraId="2837B195">
      <w:pPr>
        <w:pStyle w:val="6"/>
        <w:numPr>
          <w:ilvl w:val="255"/>
          <w:numId w:val="0"/>
        </w:numPr>
        <w:ind w:firstLine="400" w:firstLineChars="200"/>
        <w:outlineLvl w:val="2"/>
        <w:rPr>
          <w:rFonts w:hint="eastAsia"/>
          <w:highlight w:val="none"/>
          <w:lang w:eastAsia="zh-CN"/>
        </w:rPr>
      </w:pPr>
      <w:r>
        <w:rPr>
          <w:rFonts w:hint="eastAsia"/>
          <w:highlight w:val="none"/>
          <w:lang w:eastAsia="zh-CN"/>
        </w:rPr>
        <w:t>根据各施工阶段作业体量、施工难度及进度要求，动态精准匹配劳动力、机械设备、专项材料等施工资源，关键工序优先配置优质施工资源，杜绝资源错配、短缺问题，保障施工有序推进，资源配置基础要求满足施工规范。提升资源管控精细化水平，每5日更新一次资源动态计划表，提前预判施工资源需求，提前补给调配，规避资源制约施工的情况，资源管控精细化程度更高。</w:t>
      </w:r>
    </w:p>
    <w:p w14:paraId="242AD81C">
      <w:pPr>
        <w:pStyle w:val="6"/>
        <w:numPr>
          <w:ilvl w:val="255"/>
          <w:numId w:val="0"/>
        </w:numPr>
        <w:ind w:firstLine="400" w:firstLineChars="200"/>
        <w:outlineLvl w:val="2"/>
        <w:rPr>
          <w:rFonts w:hint="eastAsia"/>
          <w:highlight w:val="none"/>
          <w:lang w:eastAsia="zh-CN"/>
        </w:rPr>
      </w:pPr>
      <w:r>
        <w:rPr>
          <w:rFonts w:hint="eastAsia"/>
          <w:highlight w:val="none"/>
          <w:lang w:eastAsia="zh-CN"/>
        </w:rPr>
        <w:t>（</w:t>
      </w:r>
      <w:r>
        <w:rPr>
          <w:rFonts w:hint="eastAsia"/>
          <w:highlight w:val="none"/>
          <w:lang w:val="en-US" w:eastAsia="zh-CN"/>
        </w:rPr>
        <w:t>二</w:t>
      </w:r>
      <w:r>
        <w:rPr>
          <w:rFonts w:hint="eastAsia"/>
          <w:highlight w:val="none"/>
          <w:lang w:eastAsia="zh-CN"/>
        </w:rPr>
        <w:t>）施工总体流程</w:t>
      </w:r>
    </w:p>
    <w:p w14:paraId="7D21358D">
      <w:pPr>
        <w:pStyle w:val="6"/>
        <w:numPr>
          <w:ilvl w:val="255"/>
          <w:numId w:val="0"/>
        </w:numPr>
        <w:ind w:firstLine="400" w:firstLineChars="200"/>
        <w:outlineLvl w:val="2"/>
        <w:rPr>
          <w:rFonts w:hint="eastAsia"/>
          <w:highlight w:val="none"/>
          <w:lang w:eastAsia="zh-CN"/>
        </w:rPr>
      </w:pPr>
      <w:r>
        <w:rPr>
          <w:rFonts w:hint="eastAsia"/>
          <w:highlight w:val="none"/>
          <w:lang w:eastAsia="zh-CN"/>
        </w:rPr>
        <w:t>1、严格遵循国家规范及设计要求排布施工工序，按标准工艺流程有序施工，杜绝跳序、漏序、乱序施工，工序施工合规性满足国家强制标准。</w:t>
      </w:r>
    </w:p>
    <w:p w14:paraId="034E8A62">
      <w:pPr>
        <w:pStyle w:val="6"/>
        <w:numPr>
          <w:ilvl w:val="255"/>
          <w:numId w:val="0"/>
        </w:numPr>
        <w:ind w:firstLine="400" w:firstLineChars="200"/>
        <w:outlineLvl w:val="2"/>
        <w:rPr>
          <w:rFonts w:hint="eastAsia"/>
          <w:highlight w:val="none"/>
          <w:lang w:eastAsia="zh-CN"/>
        </w:rPr>
      </w:pPr>
      <w:r>
        <w:rPr>
          <w:rFonts w:hint="eastAsia"/>
          <w:highlight w:val="none"/>
          <w:lang w:eastAsia="zh-CN"/>
        </w:rPr>
        <w:t>2、 建立工序全过程溯源管理机制，工序完工后及时收集整理施工台账、验收资料、影像资料，实现施工过程可追溯，资料管理基础要求符合归档规范。</w:t>
      </w:r>
    </w:p>
    <w:p w14:paraId="1B297445">
      <w:pPr>
        <w:pStyle w:val="6"/>
        <w:numPr>
          <w:ilvl w:val="255"/>
          <w:numId w:val="0"/>
        </w:numPr>
        <w:ind w:firstLine="400" w:firstLineChars="200"/>
        <w:outlineLvl w:val="2"/>
        <w:rPr>
          <w:rFonts w:hint="eastAsia"/>
          <w:highlight w:val="none"/>
          <w:lang w:eastAsia="zh-CN"/>
        </w:rPr>
      </w:pPr>
      <w:r>
        <w:rPr>
          <w:rFonts w:hint="eastAsia"/>
          <w:highlight w:val="none"/>
          <w:lang w:val="en-US" w:eastAsia="zh-CN"/>
        </w:rPr>
        <w:t>3、</w:t>
      </w:r>
      <w:r>
        <w:rPr>
          <w:rFonts w:hint="eastAsia"/>
          <w:highlight w:val="none"/>
          <w:lang w:eastAsia="zh-CN"/>
        </w:rPr>
        <w:t>严控工序衔接间隔，常规工序合理衔接、关键工序无缝施工，保障施工连续性，施工流程管控符合行业标准。优化资料溯源管理模式，实行工序资料即时归集+每日1次资料复核校准，有效保障施工资料与现场进度同步、资料完整规范，溯源管理成效优于常规标准。</w:t>
      </w:r>
    </w:p>
    <w:p w14:paraId="55DCA02E">
      <w:pPr>
        <w:pStyle w:val="6"/>
        <w:numPr>
          <w:ilvl w:val="255"/>
          <w:numId w:val="0"/>
        </w:numPr>
        <w:ind w:firstLine="400" w:firstLineChars="200"/>
        <w:outlineLvl w:val="2"/>
        <w:rPr>
          <w:rFonts w:hint="eastAsia"/>
          <w:highlight w:val="none"/>
          <w:lang w:eastAsia="zh-CN"/>
        </w:rPr>
      </w:pPr>
      <w:r>
        <w:rPr>
          <w:rFonts w:hint="eastAsia"/>
          <w:highlight w:val="none"/>
          <w:lang w:eastAsia="zh-CN"/>
        </w:rPr>
        <w:t>（</w:t>
      </w:r>
      <w:r>
        <w:rPr>
          <w:rFonts w:hint="eastAsia"/>
          <w:highlight w:val="none"/>
          <w:lang w:val="en-US" w:eastAsia="zh-CN"/>
        </w:rPr>
        <w:t>三</w:t>
      </w:r>
      <w:r>
        <w:rPr>
          <w:rFonts w:hint="eastAsia"/>
          <w:highlight w:val="none"/>
          <w:lang w:eastAsia="zh-CN"/>
        </w:rPr>
        <w:t>）各分部分项工程的施工技术工艺</w:t>
      </w:r>
    </w:p>
    <w:p w14:paraId="739CEA36">
      <w:pPr>
        <w:pStyle w:val="6"/>
        <w:numPr>
          <w:ilvl w:val="255"/>
          <w:numId w:val="0"/>
        </w:numPr>
        <w:ind w:firstLine="400" w:firstLineChars="200"/>
        <w:outlineLvl w:val="2"/>
        <w:rPr>
          <w:rFonts w:hint="eastAsia"/>
          <w:highlight w:val="none"/>
          <w:lang w:eastAsia="zh-CN"/>
        </w:rPr>
      </w:pPr>
      <w:r>
        <w:rPr>
          <w:rFonts w:hint="eastAsia"/>
          <w:highlight w:val="none"/>
          <w:lang w:eastAsia="zh-CN"/>
        </w:rPr>
        <w:t>1、 施工前期准备工艺</w:t>
      </w:r>
    </w:p>
    <w:p w14:paraId="52D433B0">
      <w:pPr>
        <w:pStyle w:val="6"/>
        <w:numPr>
          <w:ilvl w:val="255"/>
          <w:numId w:val="0"/>
        </w:numPr>
        <w:ind w:firstLine="400" w:firstLineChars="200"/>
        <w:outlineLvl w:val="2"/>
        <w:rPr>
          <w:rFonts w:hint="eastAsia"/>
          <w:highlight w:val="none"/>
          <w:lang w:eastAsia="zh-CN"/>
        </w:rPr>
      </w:pPr>
      <w:r>
        <w:rPr>
          <w:rFonts w:hint="eastAsia"/>
          <w:highlight w:val="none"/>
          <w:lang w:eastAsia="zh-CN"/>
        </w:rPr>
        <w:t>图纸复核：开工前完成图纸会审、现场点位、尺寸标高复核，提前排查整改图纸及现场偏差问题，图纸复核工作满足国家施工前置管理强制要求。提升技术校核精度，实行初审+现场复核+开工终审3次校核机制，细化校核台账，从源头降低施工偏差，前期技术筹备精度更高。</w:t>
      </w:r>
    </w:p>
    <w:p w14:paraId="7CC1AC02">
      <w:pPr>
        <w:pStyle w:val="6"/>
        <w:numPr>
          <w:ilvl w:val="255"/>
          <w:numId w:val="0"/>
        </w:numPr>
        <w:ind w:firstLine="400" w:firstLineChars="200"/>
        <w:outlineLvl w:val="2"/>
        <w:rPr>
          <w:rFonts w:hint="eastAsia"/>
          <w:highlight w:val="none"/>
          <w:lang w:eastAsia="zh-CN"/>
        </w:rPr>
      </w:pPr>
      <w:r>
        <w:rPr>
          <w:rFonts w:hint="eastAsia"/>
          <w:highlight w:val="none"/>
          <w:lang w:eastAsia="zh-CN"/>
        </w:rPr>
        <w:t>方案准备：所有分部分项、危大工程专项方案按规范时限完成编审、交底及专家论证，方案编制、审批、交底流程完全符合国家强制管理标准。升级技术交底机制，实行方案总交底+工序班前复交底双重机制，重难点工序每日专项交底，全方位保障作业人员掌握施工工艺标准。</w:t>
      </w:r>
    </w:p>
    <w:p w14:paraId="5B448446">
      <w:pPr>
        <w:pStyle w:val="6"/>
        <w:numPr>
          <w:ilvl w:val="255"/>
          <w:numId w:val="0"/>
        </w:numPr>
        <w:ind w:firstLine="400" w:firstLineChars="200"/>
        <w:outlineLvl w:val="2"/>
        <w:rPr>
          <w:rFonts w:hint="eastAsia"/>
          <w:highlight w:val="none"/>
          <w:lang w:eastAsia="zh-CN"/>
        </w:rPr>
      </w:pPr>
      <w:r>
        <w:rPr>
          <w:rFonts w:hint="eastAsia"/>
          <w:highlight w:val="none"/>
          <w:lang w:eastAsia="zh-CN"/>
        </w:rPr>
        <w:t>现场准备：开工前完成场地平整、围挡搭设、临电临水、排水系统等临建设施施工及自检整改，临建设施安全、合规性满足国家强制标准。强化临建设施验收管控，实行自检+复检+竣工验收3级核查流程，全面提升临建设施标准化、规范化建设水平。</w:t>
      </w:r>
    </w:p>
    <w:p w14:paraId="1AA72A9E">
      <w:pPr>
        <w:pStyle w:val="6"/>
        <w:numPr>
          <w:ilvl w:val="255"/>
          <w:numId w:val="0"/>
        </w:numPr>
        <w:ind w:firstLine="400" w:firstLineChars="200"/>
        <w:outlineLvl w:val="2"/>
        <w:rPr>
          <w:rFonts w:hint="eastAsia"/>
          <w:highlight w:val="none"/>
          <w:lang w:eastAsia="zh-CN"/>
        </w:rPr>
      </w:pPr>
      <w:r>
        <w:rPr>
          <w:rFonts w:hint="eastAsia"/>
          <w:highlight w:val="none"/>
          <w:lang w:eastAsia="zh-CN"/>
        </w:rPr>
        <w:t>2、 附属工程施工工艺</w:t>
      </w:r>
    </w:p>
    <w:p w14:paraId="24CF8244">
      <w:pPr>
        <w:pStyle w:val="6"/>
        <w:numPr>
          <w:ilvl w:val="255"/>
          <w:numId w:val="0"/>
        </w:numPr>
        <w:ind w:firstLine="400" w:firstLineChars="200"/>
        <w:outlineLvl w:val="2"/>
        <w:rPr>
          <w:rFonts w:hint="eastAsia"/>
          <w:highlight w:val="none"/>
          <w:lang w:eastAsia="zh-CN"/>
        </w:rPr>
      </w:pPr>
      <w:r>
        <w:rPr>
          <w:rFonts w:hint="eastAsia"/>
          <w:highlight w:val="none"/>
          <w:lang w:eastAsia="zh-CN"/>
        </w:rPr>
        <w:t>附属配套工程：给排水、电气、管线等配套设施精准安装、牢固排布、接口严密，设备安装、功能调试、试压试运行均满足国家强制验收规范。实行试压检测+静置复检2次测试流程，进一步保障管线、设备运行稳定，杜绝渗漏、故障等问题。</w:t>
      </w:r>
    </w:p>
    <w:p w14:paraId="2BCAB49A">
      <w:pPr>
        <w:pStyle w:val="6"/>
        <w:numPr>
          <w:ilvl w:val="255"/>
          <w:numId w:val="0"/>
        </w:numPr>
        <w:ind w:firstLine="400" w:firstLineChars="200"/>
        <w:outlineLvl w:val="2"/>
        <w:rPr>
          <w:rFonts w:hint="eastAsia"/>
          <w:highlight w:val="none"/>
          <w:lang w:eastAsia="zh-CN"/>
        </w:rPr>
      </w:pPr>
      <w:r>
        <w:rPr>
          <w:rFonts w:hint="eastAsia"/>
          <w:highlight w:val="none"/>
          <w:lang w:eastAsia="zh-CN"/>
        </w:rPr>
        <w:t>3、 成品及收尾施工工艺</w:t>
      </w:r>
    </w:p>
    <w:p w14:paraId="71AE0AFC">
      <w:pPr>
        <w:pStyle w:val="6"/>
        <w:numPr>
          <w:ilvl w:val="255"/>
          <w:numId w:val="0"/>
        </w:numPr>
        <w:ind w:firstLine="400" w:firstLineChars="200"/>
        <w:outlineLvl w:val="2"/>
        <w:rPr>
          <w:rFonts w:hint="eastAsia"/>
          <w:highlight w:val="none"/>
          <w:lang w:eastAsia="zh-CN"/>
        </w:rPr>
      </w:pPr>
      <w:r>
        <w:rPr>
          <w:rFonts w:hint="eastAsia"/>
          <w:highlight w:val="none"/>
          <w:lang w:eastAsia="zh-CN"/>
        </w:rPr>
        <w:t>工程收尾阶段开展全覆盖质量排查整改，建立缺陷整改台账，落实闭环管理，确保工程质量、使用功能、竣工验收指标全部满足国家强制标准。加大质量排查力度与频次，实施每日2次全覆盖质量隐患排查整改，提升缺陷整改闭环效率，强化成品保护成效，工程整体观感达到优良标准。</w:t>
      </w:r>
    </w:p>
    <w:p w14:paraId="5E2E272B">
      <w:pPr>
        <w:pStyle w:val="6"/>
        <w:numPr>
          <w:ilvl w:val="0"/>
          <w:numId w:val="1"/>
        </w:numPr>
        <w:ind w:firstLine="400" w:firstLineChars="200"/>
        <w:outlineLvl w:val="2"/>
        <w:rPr>
          <w:rFonts w:hint="eastAsia"/>
          <w:highlight w:val="none"/>
          <w:lang w:eastAsia="zh-CN"/>
        </w:rPr>
      </w:pPr>
      <w:r>
        <w:rPr>
          <w:rFonts w:hint="eastAsia"/>
          <w:highlight w:val="none"/>
          <w:lang w:eastAsia="zh-CN"/>
        </w:rPr>
        <w:t>技术保证措施</w:t>
      </w:r>
    </w:p>
    <w:p w14:paraId="3CF191BE">
      <w:pPr>
        <w:pStyle w:val="6"/>
        <w:numPr>
          <w:ilvl w:val="-1"/>
          <w:numId w:val="0"/>
        </w:numPr>
        <w:ind w:firstLine="400" w:firstLineChars="200"/>
        <w:outlineLvl w:val="2"/>
        <w:rPr>
          <w:rFonts w:hint="eastAsia"/>
          <w:highlight w:val="none"/>
          <w:lang w:eastAsia="zh-CN"/>
        </w:rPr>
      </w:pPr>
      <w:r>
        <w:rPr>
          <w:rFonts w:hint="eastAsia"/>
          <w:highlight w:val="none"/>
          <w:lang w:val="en-US" w:eastAsia="zh-CN"/>
        </w:rPr>
        <w:t>1、</w:t>
      </w:r>
      <w:r>
        <w:rPr>
          <w:rFonts w:hint="eastAsia"/>
          <w:highlight w:val="none"/>
          <w:lang w:eastAsia="zh-CN"/>
        </w:rPr>
        <w:t>本项目人造草坪更换施工严格遵循GB 36246-2018、GB/T 43566-2023等现行规范，全过程落实质量技术管控措施，确保工程质量达标。原材料进场严格验收，人造草坪、胶水、填充料等均提供合规检测报告，其中填充石英砂二氧化硅含量不低于90%，粒径、含泥量等指标满足规范要求，杜绝不合格材料进场。</w:t>
      </w:r>
    </w:p>
    <w:p w14:paraId="5F76DD23">
      <w:pPr>
        <w:pStyle w:val="6"/>
        <w:numPr>
          <w:ilvl w:val="-1"/>
          <w:numId w:val="0"/>
        </w:numPr>
        <w:ind w:firstLine="400" w:firstLineChars="200"/>
        <w:outlineLvl w:val="2"/>
        <w:rPr>
          <w:rFonts w:hint="eastAsia"/>
          <w:highlight w:val="none"/>
          <w:lang w:eastAsia="zh-CN"/>
        </w:rPr>
      </w:pPr>
      <w:r>
        <w:rPr>
          <w:rFonts w:hint="eastAsia"/>
          <w:highlight w:val="none"/>
          <w:lang w:val="en-US" w:eastAsia="zh-CN"/>
        </w:rPr>
        <w:t>2、</w:t>
      </w:r>
      <w:r>
        <w:rPr>
          <w:rFonts w:hint="eastAsia"/>
          <w:highlight w:val="none"/>
          <w:lang w:eastAsia="zh-CN"/>
        </w:rPr>
        <w:t>旧草坪采用分区切割拆除工艺，机械配合人工清理，彻底清除原有填充料及杂物，严控施工扰动，保护原有基础完好。对场地基层进行全面检测，针对起砂、裂缝、坑洼、积水等病害逐一修补找平，复核场地排水坡度，保障基面平整、干燥、坚实，满足铺装施工条件。</w:t>
      </w:r>
    </w:p>
    <w:p w14:paraId="04E3D64C">
      <w:pPr>
        <w:pStyle w:val="6"/>
        <w:numPr>
          <w:ilvl w:val="-1"/>
          <w:numId w:val="0"/>
        </w:numPr>
        <w:ind w:firstLine="400" w:firstLineChars="200"/>
        <w:outlineLvl w:val="2"/>
        <w:rPr>
          <w:rFonts w:hint="eastAsia"/>
          <w:highlight w:val="none"/>
          <w:lang w:eastAsia="zh-CN"/>
        </w:rPr>
      </w:pPr>
      <w:r>
        <w:rPr>
          <w:rFonts w:hint="eastAsia"/>
          <w:highlight w:val="none"/>
          <w:lang w:val="en-US" w:eastAsia="zh-CN"/>
        </w:rPr>
        <w:t>3、</w:t>
      </w:r>
      <w:r>
        <w:rPr>
          <w:rFonts w:hint="eastAsia"/>
          <w:highlight w:val="none"/>
          <w:lang w:eastAsia="zh-CN"/>
        </w:rPr>
        <w:t>草坪铺装前充分释放卷材应力，统一草丝倒伏方向，精准放线定位；接缝施工严控缝隙宽度，规范涂刷专用胶水、粘贴接缝带，滚压密实，杜绝翘边、起鼓问题。填充施工严格执行先砂后粒、分层梳理工艺，保证填充均匀、场地平整度及弹性一致。</w:t>
      </w:r>
    </w:p>
    <w:p w14:paraId="1AFDB07B">
      <w:pPr>
        <w:pStyle w:val="6"/>
        <w:numPr>
          <w:ilvl w:val="-1"/>
          <w:numId w:val="0"/>
        </w:numPr>
        <w:ind w:firstLine="0" w:firstLineChars="0"/>
        <w:outlineLvl w:val="2"/>
        <w:rPr>
          <w:rFonts w:hint="eastAsia"/>
          <w:highlight w:val="none"/>
          <w:lang w:eastAsia="zh-CN"/>
        </w:rPr>
      </w:pPr>
      <w:r>
        <w:rPr>
          <w:rFonts w:hint="eastAsia"/>
          <w:highlight w:val="none"/>
          <w:lang w:eastAsia="zh-CN"/>
        </w:rPr>
        <w:t>施工全程执行自检、复检、抽检三检制度，完工后开展场地性能及环保指标检测，同步做好成品封闭养护，落实后期常态化养护维保工作，确保人造草坪场地整体质量、使用性能及使用寿命满足设计及规范要求。</w:t>
      </w:r>
    </w:p>
    <w:p w14:paraId="5AA1D00E">
      <w:pPr>
        <w:pStyle w:val="6"/>
        <w:numPr>
          <w:ilvl w:val="255"/>
          <w:numId w:val="0"/>
        </w:numPr>
        <w:ind w:firstLine="400" w:firstLineChars="200"/>
        <w:outlineLvl w:val="2"/>
        <w:rPr>
          <w:rFonts w:hint="default"/>
          <w:b/>
          <w:sz w:val="28"/>
          <w:highlight w:val="none"/>
          <w:lang w:eastAsia="zh-CN"/>
        </w:rPr>
      </w:pPr>
      <w:r>
        <w:rPr>
          <w:rFonts w:hint="eastAsia"/>
          <w:highlight w:val="none"/>
          <w:lang w:eastAsia="zh-CN"/>
        </w:rPr>
        <w:t>（</w:t>
      </w:r>
      <w:r>
        <w:rPr>
          <w:rFonts w:hint="eastAsia"/>
          <w:highlight w:val="none"/>
          <w:lang w:val="en-US" w:eastAsia="zh-CN"/>
        </w:rPr>
        <w:t>五）其他</w:t>
      </w:r>
      <w:r>
        <w:rPr>
          <w:highlight w:val="none"/>
          <w:lang w:eastAsia="zh-CN"/>
        </w:rPr>
        <w:t>要求：</w:t>
      </w:r>
    </w:p>
    <w:p w14:paraId="2AE944DE">
      <w:pPr>
        <w:pStyle w:val="6"/>
        <w:numPr>
          <w:ilvl w:val="0"/>
          <w:numId w:val="0"/>
        </w:numPr>
        <w:ind w:firstLine="400" w:firstLineChars="200"/>
        <w:outlineLvl w:val="2"/>
        <w:rPr>
          <w:rFonts w:hint="eastAsia"/>
          <w:highlight w:val="none"/>
          <w:lang w:eastAsia="zh-CN"/>
        </w:rPr>
      </w:pPr>
      <w:r>
        <w:rPr>
          <w:rFonts w:hint="eastAsia" w:cstheme="minorBidi"/>
          <w:lang w:val="en-US" w:eastAsia="zh-CN" w:bidi="ar-SA"/>
        </w:rPr>
        <w:t>1、</w:t>
      </w:r>
      <w:r>
        <w:rPr>
          <w:rFonts w:hint="eastAsia"/>
          <w:highlight w:val="none"/>
          <w:lang w:eastAsia="zh-CN"/>
        </w:rPr>
        <w:t>足球场人造草坪：</w:t>
      </w:r>
    </w:p>
    <w:p w14:paraId="74F281CE">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（1）施工图纸深化和定位划线</w:t>
      </w:r>
    </w:p>
    <w:p w14:paraId="530F1EFD">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1）施工进场前复核场地整体尺寸，人造草面层足球场地的规格及安全区应符合《中小学人造草面层足球场地》（GB/T 43566—2023）表 4要求，结合现场实际情况，同时按1个11 人制比赛场地和2个7人制教学训练场地进行深化施工图：</w:t>
      </w:r>
    </w:p>
    <w:p w14:paraId="701EF7E7">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2）各场地线宽以及中点、罚球点尺寸符合下列要求:</w:t>
      </w:r>
    </w:p>
    <w:p w14:paraId="6A09FFC6">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-11 人制足球场线宽应不超过12 cm, 中点、罚球点直径应为24 cm;</w:t>
      </w:r>
    </w:p>
    <w:p w14:paraId="00DAA92E">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-7 人制足球场线宽宜为10 cm, 中点、罚球点半径宜为8 cm;</w:t>
      </w:r>
    </w:p>
    <w:p w14:paraId="16D182CB">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-7 人制教学训练场地应根据实际条件制定场地尺寸, 场地边线的长度应大于球门线的长度。</w:t>
      </w:r>
    </w:p>
    <w:p w14:paraId="1F1974CA">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 xml:space="preserve">-应按施工铺装图纸并结合场地实际情况进行定位划线, 比赛场地划线应参见《中小学人造草面层足球场地》（GB/T 43566—2023）图1，2个7人制教学训练场地划线参见《中小学人造草面层足球场地》（GB/T 43566—2023）图2，根据场地实际情况，结合采购人实际布设需求进行修改深化。 </w:t>
      </w:r>
    </w:p>
    <w:p w14:paraId="54E6F86B">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-场地界线宽度应包含在场地各个区域之内。 除比赛场地外, 场地各划线允差应不大于尺寸长度的1%。</w:t>
      </w:r>
    </w:p>
    <w:p w14:paraId="3523F6AC">
      <w:pPr>
        <w:pStyle w:val="6"/>
        <w:numPr>
          <w:ilvl w:val="0"/>
          <w:numId w:val="0"/>
        </w:numPr>
        <w:ind w:firstLine="400" w:firstLineChars="200"/>
        <w:outlineLvl w:val="2"/>
        <w:rPr>
          <w:rFonts w:hint="eastAsia"/>
          <w:highlight w:val="none"/>
          <w:lang w:eastAsia="zh-CN"/>
        </w:rPr>
      </w:pPr>
      <w:r>
        <w:rPr>
          <w:rFonts w:hint="eastAsia"/>
          <w:highlight w:val="none"/>
          <w:lang w:val="en-US" w:eastAsia="zh-CN"/>
        </w:rPr>
        <w:t>-</w:t>
      </w:r>
      <w:r>
        <w:rPr>
          <w:rFonts w:hint="eastAsia"/>
          <w:highlight w:val="none"/>
          <w:lang w:eastAsia="zh-CN"/>
        </w:rPr>
        <w:t>深化施工图纸</w:t>
      </w:r>
      <w:r>
        <w:rPr>
          <w:rFonts w:hint="eastAsia"/>
          <w:highlight w:val="none"/>
          <w:lang w:val="en-US" w:eastAsia="zh-CN"/>
        </w:rPr>
        <w:t>完成后</w:t>
      </w:r>
      <w:r>
        <w:rPr>
          <w:rFonts w:hint="eastAsia"/>
          <w:highlight w:val="none"/>
          <w:lang w:eastAsia="zh-CN"/>
        </w:rPr>
        <w:t>，提交采购人、设计方、监理方审核确认；</w:t>
      </w:r>
    </w:p>
    <w:p w14:paraId="55D47FA7">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（2）原有旧场地清除清运</w:t>
      </w:r>
    </w:p>
    <w:p w14:paraId="6B77AE71">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1）彻底铲除场地原有老旧人造草坪及草皮里填充物（石英砂及黑颗粒）、场地垫层、收边条等所有废旧物料；</w:t>
      </w:r>
    </w:p>
    <w:p w14:paraId="2A4CE88A">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2）所有建筑垃圾、废旧体育场地材料统一集中清运，严格按照广州市城管、生态环境部门相关规定外运至合规消纳场地，施工单位自行承担运输、处置、环保管控全部费用；</w:t>
      </w:r>
    </w:p>
    <w:p w14:paraId="681862A6">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（3）</w:t>
      </w:r>
      <w:r>
        <w:rPr>
          <w:rFonts w:hint="default"/>
          <w:highlight w:val="none"/>
          <w:lang w:val="en-US" w:eastAsia="zh-CN"/>
        </w:rPr>
        <w:t>场地基层修整处理</w:t>
      </w:r>
    </w:p>
    <w:p w14:paraId="3911EE15">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1）对清理完的场地基础全场试水，</w:t>
      </w:r>
      <w:r>
        <w:rPr>
          <w:rFonts w:hint="default"/>
          <w:highlight w:val="none"/>
          <w:lang w:val="en-US" w:eastAsia="zh-CN"/>
        </w:rPr>
        <w:t>全面排查场地基层平整度、密实度、排水坡度，对基层起砂、开裂、松动、坑洼、下沉等病害部位进行切割剔除、</w:t>
      </w:r>
      <w:r>
        <w:rPr>
          <w:rFonts w:hint="eastAsia"/>
          <w:highlight w:val="none"/>
          <w:lang w:val="en-US" w:eastAsia="zh-CN"/>
        </w:rPr>
        <w:t>强力</w:t>
      </w:r>
      <w:r>
        <w:rPr>
          <w:rFonts w:hint="default"/>
          <w:highlight w:val="none"/>
          <w:lang w:val="en-US" w:eastAsia="zh-CN"/>
        </w:rPr>
        <w:t>水泥砂浆修补、找平加固</w:t>
      </w:r>
      <w:r>
        <w:rPr>
          <w:rFonts w:hint="eastAsia"/>
          <w:highlight w:val="none"/>
          <w:lang w:val="en-US" w:eastAsia="zh-CN"/>
        </w:rPr>
        <w:t>，使场地平整度符合以下要求：</w:t>
      </w:r>
    </w:p>
    <w:p w14:paraId="1DB65D24">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-在3m 金属直尺下不应有大于3mm 的间隙,合格率应不小于85%;</w:t>
      </w:r>
    </w:p>
    <w:p w14:paraId="7D80A24E">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-不应有大于2mm 的阶梯状起伏。</w:t>
      </w:r>
    </w:p>
    <w:p w14:paraId="7D673F20">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2）</w:t>
      </w:r>
      <w:r>
        <w:rPr>
          <w:rFonts w:hint="default"/>
          <w:highlight w:val="none"/>
          <w:lang w:val="en-US" w:eastAsia="zh-CN"/>
        </w:rPr>
        <w:t>严格复核场地排水坡度，</w:t>
      </w:r>
      <w:r>
        <w:rPr>
          <w:rFonts w:hint="eastAsia"/>
          <w:highlight w:val="none"/>
          <w:lang w:val="en-US" w:eastAsia="zh-CN"/>
        </w:rPr>
        <w:t>检查并疏通排水管、排水沟，确保场地排水顺畅无积水。</w:t>
      </w:r>
    </w:p>
    <w:p w14:paraId="70F2C7FE">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3）全面清理场地浮尘、杂物、残留废料，保证场地干净整洁。</w:t>
      </w:r>
    </w:p>
    <w:p w14:paraId="557F0274">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（4）放线</w:t>
      </w:r>
    </w:p>
    <w:p w14:paraId="31C445A2">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1）放线宜在晴天进行，按照深化图纸，精准定位场地各类功能标线，在地面上清晰地面画出标线宽度，并确保在施工过程中不易被擦除。</w:t>
      </w:r>
    </w:p>
    <w:p w14:paraId="4F246D2B">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2）进行自检和监理复检，确保标线的正确性。</w:t>
      </w:r>
    </w:p>
    <w:p w14:paraId="0F95B7B2">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（5）铺装</w:t>
      </w:r>
      <w:r>
        <w:rPr>
          <w:rFonts w:hint="default"/>
          <w:highlight w:val="none"/>
          <w:lang w:val="en-US" w:eastAsia="zh-CN"/>
        </w:rPr>
        <w:t>：</w:t>
      </w:r>
    </w:p>
    <w:p w14:paraId="2150444F">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1）铺装环境</w:t>
      </w:r>
    </w:p>
    <w:p w14:paraId="6107C277">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-施工环境温度应不低于5 ℃ 。</w:t>
      </w:r>
    </w:p>
    <w:p w14:paraId="4D8489C8">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-在5 级及以上风、 雨雪天和雨雪后场地潮湿等环境条件下, 不应进行面层施工。</w:t>
      </w:r>
    </w:p>
    <w:p w14:paraId="0BF6C8EF">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-应符合《建设工程施工现场环境与卫生标准》（JGJ 146-2013）有关铺装环境和卫生的要求。</w:t>
      </w:r>
    </w:p>
    <w:p w14:paraId="34C7C1E9">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2）铺装前准备</w:t>
      </w:r>
    </w:p>
    <w:p w14:paraId="75F35285">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-应符合《中小学合成材料面层运动场地》（GB 36246-2018）有关铺装要求。</w:t>
      </w:r>
    </w:p>
    <w:p w14:paraId="2A4C3D58">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-铺设前应经采购人和监理检查验收场地, 确保场地基础平整, 基础表面应无砂砾、粉尘和杂物，方可开展草坪铺设作业。</w:t>
      </w:r>
    </w:p>
    <w:p w14:paraId="3DC332F1">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-摊铺人造草面层后应进行醒草, 使草丝伸直, 消除生产过程中产生的内应力; 晾晒时间应不小于12 h, 如冬季施工, 晾晒时间应不小于48 h。注: 避免面层因热胀冷缩而引起褶皱或起鼓。</w:t>
      </w:r>
    </w:p>
    <w:p w14:paraId="33C5B289">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-应使用裁剪刀平齐地裁剪掉多余的底布。</w:t>
      </w:r>
    </w:p>
    <w:p w14:paraId="5A285CCA">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3）人造草坪面层拼接和粘合</w:t>
      </w:r>
    </w:p>
    <w:p w14:paraId="5A2D73BC">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-拼接前, 应清洁人造草面层底背、接缝带, 表面应干燥无水分。</w:t>
      </w:r>
    </w:p>
    <w:p w14:paraId="616AC96E">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-按照深化施工图纸顺序摊铺人造草坪，合理对齐场地功能标线，减少切割损耗；</w:t>
      </w:r>
    </w:p>
    <w:p w14:paraId="04FA6FA4">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-人造草坪铺拉平整、舒展，释放内在应力。</w:t>
      </w:r>
    </w:p>
    <w:p w14:paraId="3B8DE5A5">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-确保人造草坪的方向一致，方向不一致会造成视觉色差。</w:t>
      </w:r>
    </w:p>
    <w:p w14:paraId="0AB694B6">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-将人造草坪修剪并靠拢至合适位置后，翻开人造草坪边沿，平整地铺入接缝带；</w:t>
      </w:r>
    </w:p>
    <w:p w14:paraId="35B1A67B">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-角球线等狭窄区域可将整个角球区切除, 切割成小块后逐块拼接；</w:t>
      </w:r>
    </w:p>
    <w:p w14:paraId="2A2C7971">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-各接缝处应位于接缝带中央，接缝处搭接应均匀,接缝间隙应不大于草丝的行距或间距；</w:t>
      </w:r>
    </w:p>
    <w:p w14:paraId="5E884E4E">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-接缝带宽度应不小于20 cm, 中圈和禁区弧顶以及各处标志线连接带宽度应不小于30 cm；</w:t>
      </w:r>
    </w:p>
    <w:p w14:paraId="03BE6123">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-摊铺完成后,对草坪褶皱、重叠部位进行裁切修整, 拉直对接, 切除重叠的部分；</w:t>
      </w:r>
    </w:p>
    <w:p w14:paraId="6B65B51C">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-草坪底部、接缝带及人造草坪边沿均匀涂刷专用环保胶水；草坪底部及接缝带涂刷胶水宽度不得少于标线白草的宽度再加 10 cm；人造草坪边沿涂刷宽度不得低于5 cm；待胶水中溶剂挥发至胶面不粘手时，将草坪粘合，并用橡皮锤敲击或者机械辗压，一次性对齐压实粘接，严禁反复挪动；</w:t>
      </w:r>
    </w:p>
    <w:p w14:paraId="392C084E">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-胶粘剂的有害物质限量应符合《中小学合成材料面层运动场地》 （GB36246-2018）对非固体原料的要求，涂刮应均匀,外形美观。</w:t>
      </w:r>
    </w:p>
    <w:p w14:paraId="19E47D38">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-全部粘接完成且胶粘剂固化后, 应用专业刷草机梳理, 使全场倒伏草丝竖立起来。</w:t>
      </w:r>
    </w:p>
    <w:p w14:paraId="3D90372F">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-应自检场地是否有缺胶处; 若发现有缺胶处, 应及时将草坪与周边基础层粘接牢固。</w:t>
      </w:r>
    </w:p>
    <w:p w14:paraId="25E8DA0C">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4）辅料注填</w:t>
      </w:r>
    </w:p>
    <w:p w14:paraId="5B977964">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w:t>
      </w:r>
      <w:r>
        <w:rPr>
          <w:rFonts w:hint="default"/>
          <w:highlight w:val="none"/>
          <w:lang w:val="en-US" w:eastAsia="zh-CN"/>
        </w:rPr>
        <w:t>分层均匀铺设填充材料</w:t>
      </w:r>
      <w:r>
        <w:rPr>
          <w:rFonts w:hint="eastAsia"/>
          <w:highlight w:val="none"/>
          <w:lang w:val="en-US" w:eastAsia="zh-CN"/>
        </w:rPr>
        <w:t>：</w:t>
      </w:r>
      <w:r>
        <w:rPr>
          <w:rFonts w:hint="default"/>
          <w:highlight w:val="none"/>
          <w:lang w:val="en-US" w:eastAsia="zh-CN"/>
        </w:rPr>
        <w:t>先摊铺</w:t>
      </w:r>
      <w:r>
        <w:rPr>
          <w:rFonts w:hint="eastAsia"/>
          <w:highlight w:val="none"/>
          <w:lang w:val="en-US" w:eastAsia="zh-CN"/>
        </w:rPr>
        <w:t>水洗</w:t>
      </w:r>
      <w:r>
        <w:rPr>
          <w:rFonts w:hint="default"/>
          <w:highlight w:val="none"/>
          <w:lang w:val="en-US" w:eastAsia="zh-CN"/>
        </w:rPr>
        <w:t>石英砂</w:t>
      </w:r>
      <w:r>
        <w:rPr>
          <w:rFonts w:hint="eastAsia"/>
          <w:highlight w:val="none"/>
          <w:lang w:val="en-US" w:eastAsia="zh-CN"/>
        </w:rPr>
        <w:t>，用专业刷草机</w:t>
      </w:r>
      <w:r>
        <w:rPr>
          <w:rFonts w:hint="default"/>
          <w:highlight w:val="none"/>
          <w:lang w:val="en-US" w:eastAsia="zh-CN"/>
        </w:rPr>
        <w:t>梳理平整，</w:t>
      </w:r>
      <w:r>
        <w:rPr>
          <w:rFonts w:hint="eastAsia"/>
          <w:highlight w:val="none"/>
          <w:lang w:val="en-US" w:eastAsia="zh-CN"/>
        </w:rPr>
        <w:t>使</w:t>
      </w:r>
      <w:r>
        <w:rPr>
          <w:rFonts w:hint="default"/>
          <w:highlight w:val="none"/>
          <w:lang w:val="en-US" w:eastAsia="zh-CN"/>
        </w:rPr>
        <w:t>砂粒</w:t>
      </w:r>
      <w:r>
        <w:rPr>
          <w:rFonts w:hint="eastAsia"/>
          <w:highlight w:val="none"/>
          <w:lang w:val="en-US" w:eastAsia="zh-CN"/>
        </w:rPr>
        <w:t>均匀分布</w:t>
      </w:r>
      <w:r>
        <w:rPr>
          <w:rFonts w:hint="default"/>
          <w:highlight w:val="none"/>
          <w:lang w:val="en-US" w:eastAsia="zh-CN"/>
        </w:rPr>
        <w:t>, 填充量</w:t>
      </w:r>
      <w:r>
        <w:rPr>
          <w:rFonts w:hint="eastAsia"/>
          <w:highlight w:val="none"/>
          <w:lang w:val="en-US" w:eastAsia="zh-CN"/>
        </w:rPr>
        <w:t>2</w:t>
      </w:r>
      <w:r>
        <w:rPr>
          <w:rFonts w:hint="default"/>
          <w:highlight w:val="none"/>
          <w:lang w:val="en-US" w:eastAsia="zh-CN"/>
        </w:rPr>
        <w:t>0kg/m2</w:t>
      </w:r>
      <w:r>
        <w:rPr>
          <w:rFonts w:hint="eastAsia"/>
          <w:highlight w:val="none"/>
          <w:lang w:val="en-US" w:eastAsia="zh-CN"/>
        </w:rPr>
        <w:t>-30kg/m2</w:t>
      </w:r>
      <w:r>
        <w:rPr>
          <w:rFonts w:hint="default"/>
          <w:highlight w:val="none"/>
          <w:lang w:val="en-US" w:eastAsia="zh-CN"/>
        </w:rPr>
        <w:t>，</w:t>
      </w:r>
      <w:r>
        <w:rPr>
          <w:rFonts w:hint="eastAsia"/>
          <w:highlight w:val="none"/>
          <w:lang w:val="en-US" w:eastAsia="zh-CN"/>
        </w:rPr>
        <w:t>露出的草丝应整齐且高度一致；</w:t>
      </w:r>
      <w:r>
        <w:rPr>
          <w:rFonts w:hint="default"/>
          <w:highlight w:val="none"/>
          <w:lang w:val="en-US" w:eastAsia="zh-CN"/>
        </w:rPr>
        <w:t>再摊铺 EPDM 环保颗粒，用专业刷草机二次梳理确保填充均匀、场地平整</w:t>
      </w:r>
      <w:r>
        <w:rPr>
          <w:rFonts w:hint="eastAsia"/>
          <w:highlight w:val="none"/>
          <w:lang w:val="en-US" w:eastAsia="zh-CN"/>
        </w:rPr>
        <w:t>，填充量≥6kg/m2，填充颗粒之上露出的草丝应竖直站立, 草丝露出高度不应超出草丝高度的30%,</w:t>
      </w:r>
      <w:r>
        <w:rPr>
          <w:rFonts w:hint="default"/>
          <w:highlight w:val="none"/>
          <w:lang w:val="en-US" w:eastAsia="zh-CN"/>
        </w:rPr>
        <w:t>；</w:t>
      </w:r>
    </w:p>
    <w:p w14:paraId="7E12E02F">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-全部注填完成后, 应纵横梳理草丝各至少一次。</w:t>
      </w:r>
    </w:p>
    <w:p w14:paraId="582D453A">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-施工完成后应进行检查, 整改不合格处。</w:t>
      </w:r>
    </w:p>
    <w:p w14:paraId="2EEAE27D">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（6）成品保护：</w:t>
      </w:r>
      <w:r>
        <w:rPr>
          <w:rFonts w:hint="default"/>
          <w:highlight w:val="none"/>
          <w:lang w:val="en-US" w:eastAsia="zh-CN"/>
        </w:rPr>
        <w:t>施工完成后设置现场警示围挡，做好成品保护工作。</w:t>
      </w:r>
    </w:p>
    <w:p w14:paraId="506E8BA3">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（7）标志牌：人造草面层铺设完工后应设置永久标志牌, 标志牌内容详见《中小学人造草面层足球场地》（GB/T 43566—2023）图4。</w:t>
      </w:r>
    </w:p>
    <w:p w14:paraId="1C9353BB">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（8）保养：</w:t>
      </w:r>
    </w:p>
    <w:p w14:paraId="2B29FD88">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1）人造草坪铺装完成后,保养时间应不少于14d。</w:t>
      </w:r>
    </w:p>
    <w:p w14:paraId="12986EE9">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2）施工方应定期开展场地维护保养,并提供使用保养手册。</w:t>
      </w:r>
    </w:p>
    <w:p w14:paraId="75AF1CEE">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3）保养期间，高温天气时不应清扫。</w:t>
      </w:r>
    </w:p>
    <w:p w14:paraId="3D975630">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4）应保持清洁,定期用水冲洗,及时清理杂物、污溃、油渍。</w:t>
      </w:r>
    </w:p>
    <w:p w14:paraId="0708825F">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5）气温在33 ℃及以上时,不应使用清洁剂清洁。</w:t>
      </w:r>
    </w:p>
    <w:p w14:paraId="62EC3DA4">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6）应及时检查场地排水设施,如有堵塞要立即疏通,确保场地排水畅通,避免场地内积水。</w:t>
      </w:r>
    </w:p>
    <w:p w14:paraId="1BB5EA94">
      <w:pPr>
        <w:pStyle w:val="6"/>
        <w:numPr>
          <w:ilvl w:val="0"/>
          <w:numId w:val="0"/>
        </w:numPr>
        <w:ind w:firstLine="400" w:firstLineChars="200"/>
        <w:outlineLvl w:val="2"/>
        <w:rPr>
          <w:rFonts w:hint="eastAsia"/>
          <w:highlight w:val="none"/>
          <w:lang w:val="en-US" w:eastAsia="zh-CN"/>
        </w:rPr>
      </w:pPr>
      <w:r>
        <w:rPr>
          <w:rFonts w:hint="eastAsia"/>
          <w:highlight w:val="none"/>
          <w:lang w:val="en-US" w:eastAsia="zh-CN"/>
        </w:rPr>
        <w:t>2、篮球场照明系统：</w:t>
      </w:r>
    </w:p>
    <w:p w14:paraId="4020D4CC">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w:t>
      </w:r>
      <w:r>
        <w:rPr>
          <w:rFonts w:hint="default"/>
          <w:highlight w:val="none"/>
          <w:lang w:val="en-US" w:eastAsia="zh-CN"/>
        </w:rPr>
        <w:t>1</w:t>
      </w:r>
      <w:r>
        <w:rPr>
          <w:rFonts w:hint="eastAsia"/>
          <w:highlight w:val="none"/>
          <w:lang w:val="en-US" w:eastAsia="zh-CN"/>
        </w:rPr>
        <w:t>）</w:t>
      </w:r>
      <w:r>
        <w:rPr>
          <w:rFonts w:hint="default"/>
          <w:highlight w:val="none"/>
          <w:lang w:val="en-US" w:eastAsia="zh-CN"/>
        </w:rPr>
        <w:t>施工前精准放线定位灯杆基础、管线走向，划定施工警示区域，设置安全防护设施；</w:t>
      </w:r>
    </w:p>
    <w:p w14:paraId="338874D1">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w:t>
      </w:r>
      <w:r>
        <w:rPr>
          <w:rFonts w:hint="default"/>
          <w:highlight w:val="none"/>
          <w:lang w:val="en-US" w:eastAsia="zh-CN"/>
        </w:rPr>
        <w:t>2</w:t>
      </w:r>
      <w:r>
        <w:rPr>
          <w:rFonts w:hint="eastAsia"/>
          <w:highlight w:val="none"/>
          <w:lang w:val="en-US" w:eastAsia="zh-CN"/>
        </w:rPr>
        <w:t>）</w:t>
      </w:r>
      <w:r>
        <w:rPr>
          <w:rFonts w:hint="default"/>
          <w:highlight w:val="none"/>
          <w:lang w:val="en-US" w:eastAsia="zh-CN"/>
        </w:rPr>
        <w:t>开展基坑开挖、垫层浇筑、钢筋布设、热镀锌地脚螺栓及预埋钢板预埋，浇筑混凝土基础并规范养护；</w:t>
      </w:r>
    </w:p>
    <w:p w14:paraId="23B5E19A">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w:t>
      </w:r>
      <w:r>
        <w:rPr>
          <w:rFonts w:hint="default"/>
          <w:highlight w:val="none"/>
          <w:lang w:val="en-US" w:eastAsia="zh-CN"/>
        </w:rPr>
        <w:t>3</w:t>
      </w:r>
      <w:r>
        <w:rPr>
          <w:rFonts w:hint="eastAsia"/>
          <w:highlight w:val="none"/>
          <w:lang w:val="en-US" w:eastAsia="zh-CN"/>
        </w:rPr>
        <w:t>）</w:t>
      </w:r>
      <w:r>
        <w:rPr>
          <w:rFonts w:hint="default"/>
          <w:highlight w:val="none"/>
          <w:lang w:val="en-US" w:eastAsia="zh-CN"/>
        </w:rPr>
        <w:t>对校园路面进行规范切割开槽，布设电气预埋管线，横穿道路位置加装防护套管，沟槽回填夯实，原样修复破损路面；</w:t>
      </w:r>
    </w:p>
    <w:p w14:paraId="496F1120">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w:t>
      </w:r>
      <w:r>
        <w:rPr>
          <w:rFonts w:hint="default"/>
          <w:highlight w:val="none"/>
          <w:lang w:val="en-US" w:eastAsia="zh-CN"/>
        </w:rPr>
        <w:t>4</w:t>
      </w:r>
      <w:r>
        <w:rPr>
          <w:rFonts w:hint="eastAsia"/>
          <w:highlight w:val="none"/>
          <w:lang w:val="en-US" w:eastAsia="zh-CN"/>
        </w:rPr>
        <w:t>）</w:t>
      </w:r>
      <w:r>
        <w:rPr>
          <w:rFonts w:hint="default"/>
          <w:highlight w:val="none"/>
          <w:lang w:val="en-US" w:eastAsia="zh-CN"/>
        </w:rPr>
        <w:t>安装配电箱，布设供电线路，完成接地系统施工并实测接地电阻，阻值不达标的必须增设防雷接地极；</w:t>
      </w:r>
    </w:p>
    <w:p w14:paraId="5459FAFC">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w:t>
      </w:r>
      <w:r>
        <w:rPr>
          <w:rFonts w:hint="default"/>
          <w:highlight w:val="none"/>
          <w:lang w:val="en-US" w:eastAsia="zh-CN"/>
        </w:rPr>
        <w:t>5</w:t>
      </w:r>
      <w:r>
        <w:rPr>
          <w:rFonts w:hint="eastAsia"/>
          <w:highlight w:val="none"/>
          <w:lang w:val="en-US" w:eastAsia="zh-CN"/>
        </w:rPr>
        <w:t>）</w:t>
      </w:r>
      <w:r>
        <w:rPr>
          <w:rFonts w:hint="default"/>
          <w:highlight w:val="none"/>
          <w:lang w:val="en-US" w:eastAsia="zh-CN"/>
        </w:rPr>
        <w:t>完成高杆灯、投光灯安装、角度调试、整体通电试运行，确保夜间照明亮度均匀、使用安全稳定；</w:t>
      </w:r>
    </w:p>
    <w:p w14:paraId="4BA5CD5C">
      <w:pPr>
        <w:pStyle w:val="6"/>
        <w:numPr>
          <w:ilvl w:val="0"/>
          <w:numId w:val="0"/>
        </w:numPr>
        <w:ind w:firstLine="400" w:firstLineChars="200"/>
        <w:outlineLvl w:val="2"/>
        <w:rPr>
          <w:rFonts w:hint="default"/>
          <w:highlight w:val="none"/>
          <w:lang w:val="en-US" w:eastAsia="zh-CN"/>
        </w:rPr>
      </w:pPr>
      <w:r>
        <w:rPr>
          <w:rFonts w:hint="eastAsia"/>
          <w:highlight w:val="none"/>
          <w:lang w:val="en-US" w:eastAsia="zh-CN"/>
        </w:rPr>
        <w:t>（</w:t>
      </w:r>
      <w:r>
        <w:rPr>
          <w:rFonts w:hint="default"/>
          <w:highlight w:val="none"/>
          <w:lang w:val="en-US" w:eastAsia="zh-CN"/>
        </w:rPr>
        <w:t>6</w:t>
      </w:r>
      <w:r>
        <w:rPr>
          <w:rFonts w:hint="eastAsia"/>
          <w:highlight w:val="none"/>
          <w:lang w:val="en-US" w:eastAsia="zh-CN"/>
        </w:rPr>
        <w:t>）</w:t>
      </w:r>
      <w:r>
        <w:rPr>
          <w:rFonts w:hint="default"/>
          <w:highlight w:val="none"/>
          <w:lang w:val="en-US" w:eastAsia="zh-CN"/>
        </w:rPr>
        <w:t>施工过程中造成的篮球场丙烯酸场地破损，全部统一修补复原。</w:t>
      </w:r>
    </w:p>
    <w:p w14:paraId="1A777CE6">
      <w:pPr>
        <w:pStyle w:val="6"/>
        <w:numPr>
          <w:ilvl w:val="255"/>
          <w:numId w:val="0"/>
        </w:numPr>
        <w:ind w:firstLine="400" w:firstLineChars="200"/>
        <w:outlineLvl w:val="2"/>
        <w:rPr>
          <w:rFonts w:hint="eastAsia"/>
          <w:highlight w:val="none"/>
          <w:lang w:eastAsia="zh-CN"/>
        </w:rPr>
      </w:pPr>
      <w:r>
        <w:rPr>
          <w:rFonts w:hint="eastAsia"/>
          <w:highlight w:val="none"/>
          <w:lang w:val="en-US" w:eastAsia="zh-CN"/>
        </w:rPr>
        <w:t>3、</w:t>
      </w:r>
      <w:r>
        <w:rPr>
          <w:rFonts w:hint="eastAsia"/>
          <w:highlight w:val="none"/>
          <w:lang w:eastAsia="zh-CN"/>
        </w:rPr>
        <w:t>体育馆二楼篮球架移装施工要求</w:t>
      </w:r>
    </w:p>
    <w:p w14:paraId="00D7C3CA">
      <w:pPr>
        <w:pStyle w:val="6"/>
        <w:numPr>
          <w:ilvl w:val="255"/>
          <w:numId w:val="0"/>
        </w:numPr>
        <w:ind w:firstLine="400" w:firstLineChars="200"/>
        <w:outlineLvl w:val="2"/>
        <w:rPr>
          <w:rFonts w:hint="eastAsia"/>
          <w:highlight w:val="none"/>
          <w:lang w:eastAsia="zh-CN"/>
        </w:rPr>
      </w:pPr>
      <w:r>
        <w:rPr>
          <w:rFonts w:hint="eastAsia"/>
          <w:highlight w:val="none"/>
          <w:lang w:eastAsia="zh-CN"/>
        </w:rPr>
        <w:t>（1）施工人员做好安全防护，对原有篮球架进行无损拆分拆卸，保护篮板、篮筐、支架、所有零配件完好无损；</w:t>
      </w:r>
    </w:p>
    <w:p w14:paraId="6CFDECB3">
      <w:pPr>
        <w:pStyle w:val="6"/>
        <w:numPr>
          <w:ilvl w:val="255"/>
          <w:numId w:val="0"/>
        </w:numPr>
        <w:ind w:firstLine="400" w:firstLineChars="200"/>
        <w:outlineLvl w:val="2"/>
        <w:rPr>
          <w:rFonts w:hint="eastAsia"/>
          <w:highlight w:val="none"/>
          <w:lang w:eastAsia="zh-CN"/>
        </w:rPr>
      </w:pPr>
      <w:r>
        <w:rPr>
          <w:rFonts w:hint="eastAsia"/>
          <w:highlight w:val="none"/>
          <w:lang w:eastAsia="zh-CN"/>
        </w:rPr>
        <w:t>（2）通过人工搬运结合小型机械转运方式，平稳转运至户外指定安装点位；</w:t>
      </w:r>
    </w:p>
    <w:p w14:paraId="70B18A8C">
      <w:pPr>
        <w:pStyle w:val="6"/>
        <w:numPr>
          <w:ilvl w:val="255"/>
          <w:numId w:val="0"/>
        </w:numPr>
        <w:ind w:firstLine="400" w:firstLineChars="200"/>
        <w:outlineLvl w:val="2"/>
        <w:rPr>
          <w:rFonts w:hint="eastAsia"/>
          <w:highlight w:val="none"/>
          <w:lang w:eastAsia="zh-CN"/>
        </w:rPr>
      </w:pPr>
      <w:r>
        <w:rPr>
          <w:rFonts w:hint="eastAsia"/>
          <w:highlight w:val="none"/>
          <w:lang w:eastAsia="zh-CN"/>
        </w:rPr>
        <w:t>（3</w:t>
      </w:r>
      <w:r>
        <w:rPr>
          <w:rFonts w:hint="eastAsia"/>
          <w:highlight w:val="none"/>
          <w:lang w:val="en-US" w:eastAsia="zh-CN"/>
        </w:rPr>
        <w:t>）</w:t>
      </w:r>
      <w:r>
        <w:rPr>
          <w:rFonts w:hint="eastAsia"/>
          <w:highlight w:val="none"/>
          <w:lang w:eastAsia="zh-CN"/>
        </w:rPr>
        <w:t>按照体育场地建设标准精准定位、固定安装、调平校正，完成安全稳定性检测；</w:t>
      </w:r>
    </w:p>
    <w:p w14:paraId="77B92545">
      <w:pPr>
        <w:pStyle w:val="6"/>
        <w:numPr>
          <w:ilvl w:val="255"/>
          <w:numId w:val="0"/>
        </w:numPr>
        <w:ind w:firstLine="400" w:firstLineChars="200"/>
        <w:outlineLvl w:val="2"/>
        <w:rPr>
          <w:highlight w:val="none"/>
          <w:lang w:eastAsia="zh-CN"/>
        </w:rPr>
      </w:pPr>
      <w:r>
        <w:rPr>
          <w:rFonts w:hint="eastAsia"/>
          <w:highlight w:val="none"/>
          <w:lang w:eastAsia="zh-CN"/>
        </w:rPr>
        <w:t>（4）施工完毕清理现场所有杂物，恢复场地整洁。</w:t>
      </w:r>
    </w:p>
    <w:p w14:paraId="4929FC71">
      <w:pPr>
        <w:pStyle w:val="6"/>
        <w:numPr>
          <w:ilvl w:val="255"/>
          <w:numId w:val="0"/>
        </w:numPr>
        <w:ind w:firstLine="400" w:firstLineChars="200"/>
        <w:outlineLvl w:val="2"/>
        <w:rPr>
          <w:highlight w:val="none"/>
          <w:lang w:eastAsia="zh-CN"/>
        </w:rPr>
      </w:pPr>
      <w:r>
        <w:rPr>
          <w:rFonts w:hint="eastAsia"/>
          <w:highlight w:val="none"/>
          <w:lang w:val="en-US" w:eastAsia="zh-CN"/>
        </w:rPr>
        <w:t>4、</w:t>
      </w:r>
      <w:r>
        <w:rPr>
          <w:highlight w:val="none"/>
          <w:lang w:eastAsia="zh-CN"/>
        </w:rPr>
        <w:t>所有施工活动、措施能确保不影响其它非施工区域的正常使用。</w:t>
      </w:r>
    </w:p>
    <w:p w14:paraId="3D3268DC">
      <w:pPr>
        <w:pStyle w:val="6"/>
        <w:outlineLvl w:val="2"/>
        <w:rPr>
          <w:rFonts w:hint="default"/>
          <w:b/>
          <w:sz w:val="28"/>
          <w:highlight w:val="none"/>
        </w:rPr>
      </w:pPr>
      <w:r>
        <w:rPr>
          <w:b/>
          <w:sz w:val="28"/>
          <w:highlight w:val="none"/>
        </w:rPr>
        <w:t>十</w:t>
      </w:r>
      <w:r>
        <w:rPr>
          <w:rFonts w:hint="eastAsia"/>
          <w:b/>
          <w:sz w:val="28"/>
          <w:highlight w:val="none"/>
          <w:lang w:val="en-US" w:eastAsia="zh-CN"/>
        </w:rPr>
        <w:t>二</w:t>
      </w:r>
      <w:r>
        <w:rPr>
          <w:b/>
          <w:sz w:val="28"/>
          <w:highlight w:val="none"/>
        </w:rPr>
        <w:t>、材料设备要求</w:t>
      </w:r>
    </w:p>
    <w:p w14:paraId="474A32E7">
      <w:pPr>
        <w:pStyle w:val="6"/>
        <w:ind w:firstLine="400" w:firstLineChars="200"/>
        <w:jc w:val="both"/>
        <w:rPr>
          <w:rFonts w:hint="default"/>
          <w:highlight w:val="none"/>
        </w:rPr>
      </w:pPr>
      <w:r>
        <w:rPr>
          <w:highlight w:val="none"/>
        </w:rPr>
        <w:t>（一）设备材料必须按项目图纸及工程量清单列明的相关技术参数要求进行施工（需提供设备及材料的品牌）。在实际施工中，如</w:t>
      </w:r>
      <w:r>
        <w:rPr>
          <w:highlight w:val="none"/>
          <w:lang w:eastAsia="zh-CN"/>
        </w:rPr>
        <w:t>成交</w:t>
      </w:r>
      <w:r>
        <w:rPr>
          <w:highlight w:val="none"/>
        </w:rPr>
        <w:t>供应商有充足的证据证明该产品无法满足本工程的质量要求或供货需要，应呈报专题报告上报更换设备材料技术参数的原因，获得采购人批准后，方可选用其他设备材料技术参数。</w:t>
      </w:r>
    </w:p>
    <w:p w14:paraId="76F81C48">
      <w:pPr>
        <w:pStyle w:val="6"/>
        <w:ind w:firstLine="400" w:firstLineChars="200"/>
        <w:jc w:val="both"/>
        <w:rPr>
          <w:highlight w:val="none"/>
        </w:rPr>
      </w:pPr>
      <w:r>
        <w:rPr>
          <w:highlight w:val="none"/>
        </w:rPr>
        <w:t>（二）所有材料须由采购人定版确认，若供应商选用设备材料不符合使用要求，采购人有权要求供应商无偿更换。</w:t>
      </w:r>
    </w:p>
    <w:p w14:paraId="61FF4F17">
      <w:pPr>
        <w:pStyle w:val="6"/>
        <w:ind w:firstLine="400" w:firstLineChars="200"/>
        <w:jc w:val="both"/>
        <w:rPr>
          <w:rFonts w:hint="eastAsia" w:asciiTheme="minorHAnsi" w:hAnsiTheme="minorHAnsi" w:eastAsiaTheme="minorEastAsia" w:cstheme="minorBidi"/>
          <w:kern w:val="0"/>
          <w:sz w:val="20"/>
          <w:highlight w:val="none"/>
          <w:lang w:val="en-US" w:eastAsia="zh-CN" w:bidi="ar-SA"/>
        </w:rPr>
      </w:pPr>
      <w:r>
        <w:rPr>
          <w:rFonts w:hint="eastAsia"/>
          <w:highlight w:val="none"/>
          <w:lang w:eastAsia="zh-CN"/>
        </w:rPr>
        <w:t>（</w:t>
      </w:r>
      <w:r>
        <w:rPr>
          <w:rFonts w:hint="eastAsia"/>
          <w:highlight w:val="none"/>
          <w:lang w:val="en-US" w:eastAsia="zh-CN"/>
        </w:rPr>
        <w:t>三）</w:t>
      </w:r>
      <w:r>
        <w:rPr>
          <w:rFonts w:hint="eastAsia" w:asciiTheme="minorHAnsi" w:hAnsiTheme="minorHAnsi" w:eastAsiaTheme="minorEastAsia" w:cstheme="minorBidi"/>
          <w:kern w:val="0"/>
          <w:sz w:val="20"/>
          <w:highlight w:val="none"/>
          <w:lang w:val="en-US" w:eastAsia="zh-CN" w:bidi="ar-SA"/>
        </w:rPr>
        <w:t>主要材料技术参数要求如下：</w:t>
      </w:r>
    </w:p>
    <w:p w14:paraId="38693B0E">
      <w:pPr>
        <w:widowControl w:val="0"/>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eastAsia="zh-CN"/>
        </w:rPr>
      </w:pPr>
      <w:r>
        <w:rPr>
          <w:rFonts w:hint="eastAsia" w:ascii="宋体" w:hAnsi="宋体" w:eastAsia="宋体" w:cs="宋体"/>
          <w:b/>
          <w:bCs/>
          <w:color w:val="auto"/>
          <w:sz w:val="20"/>
          <w:szCs w:val="20"/>
          <w:highlight w:val="none"/>
          <w:shd w:val="clear" w:color="auto" w:fill="FFFFFF"/>
          <w:lang w:val="en-US" w:eastAsia="zh-CN"/>
        </w:rPr>
        <w:t>1</w:t>
      </w:r>
      <w:r>
        <w:rPr>
          <w:rFonts w:hint="eastAsia" w:ascii="宋体" w:hAnsi="宋体" w:eastAsia="宋体" w:cs="宋体"/>
          <w:b/>
          <w:bCs/>
          <w:color w:val="auto"/>
          <w:sz w:val="20"/>
          <w:szCs w:val="20"/>
          <w:highlight w:val="none"/>
          <w:shd w:val="clear" w:color="auto" w:fill="FFFFFF"/>
          <w:lang w:eastAsia="zh-CN"/>
        </w:rPr>
        <w:t>、人造草坪技术参数：</w:t>
      </w:r>
    </w:p>
    <w:p w14:paraId="2DFFE219">
      <w:pPr>
        <w:widowControl w:val="0"/>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（1）基本参数要求</w:t>
      </w:r>
      <w:r>
        <w:rPr>
          <w:rFonts w:hint="eastAsia" w:ascii="宋体" w:hAnsi="宋体" w:cs="宋体"/>
          <w:b/>
          <w:bCs/>
          <w:color w:val="auto"/>
          <w:sz w:val="20"/>
          <w:szCs w:val="20"/>
          <w:highlight w:val="none"/>
          <w:shd w:val="clear" w:color="auto" w:fill="FFFFFF"/>
          <w:lang w:val="en-US" w:eastAsia="zh-CN"/>
        </w:rPr>
        <w:t>（投标时需提供人造草坪投标样品）</w:t>
      </w:r>
    </w:p>
    <w:tbl>
      <w:tblPr>
        <w:tblStyle w:val="2"/>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12"/>
        <w:gridCol w:w="5556"/>
      </w:tblGrid>
      <w:tr w14:paraId="547BD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6" w:hRule="exact"/>
          <w:jc w:val="center"/>
        </w:trPr>
        <w:tc>
          <w:tcPr>
            <w:tcW w:w="3612" w:type="dxa"/>
            <w:noWrap w:val="0"/>
            <w:vAlign w:val="center"/>
          </w:tcPr>
          <w:p w14:paraId="6EBE3BE3">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草丝形状及编织工艺</w:t>
            </w:r>
          </w:p>
        </w:tc>
        <w:tc>
          <w:tcPr>
            <w:tcW w:w="5556" w:type="dxa"/>
            <w:noWrap w:val="0"/>
            <w:vAlign w:val="center"/>
          </w:tcPr>
          <w:p w14:paraId="5B68117F">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高分子高耐磨PE材料加筋单丝</w:t>
            </w:r>
          </w:p>
        </w:tc>
      </w:tr>
      <w:tr w14:paraId="2633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3612" w:type="dxa"/>
            <w:noWrap w:val="0"/>
            <w:vAlign w:val="center"/>
          </w:tcPr>
          <w:p w14:paraId="1D17A099">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草丝颜色</w:t>
            </w:r>
          </w:p>
        </w:tc>
        <w:tc>
          <w:tcPr>
            <w:tcW w:w="5556" w:type="dxa"/>
            <w:noWrap w:val="0"/>
            <w:vAlign w:val="center"/>
          </w:tcPr>
          <w:p w14:paraId="12F26844">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双色各半</w:t>
            </w:r>
          </w:p>
        </w:tc>
      </w:tr>
      <w:tr w14:paraId="7091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noWrap w:val="0"/>
            <w:vAlign w:val="center"/>
          </w:tcPr>
          <w:p w14:paraId="3E53800C">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草坪底布编织工艺</w:t>
            </w:r>
          </w:p>
        </w:tc>
        <w:tc>
          <w:tcPr>
            <w:tcW w:w="5556" w:type="dxa"/>
            <w:noWrap w:val="0"/>
            <w:vAlign w:val="center"/>
          </w:tcPr>
          <w:p w14:paraId="5A84EE31">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簇绒法一字走针，草丝不带绒毛、不包纱</w:t>
            </w:r>
          </w:p>
        </w:tc>
      </w:tr>
      <w:tr w14:paraId="12E2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noWrap w:val="0"/>
            <w:vAlign w:val="center"/>
          </w:tcPr>
          <w:p w14:paraId="0C3BCD36">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草纤维磅重（dtex）</w:t>
            </w:r>
          </w:p>
        </w:tc>
        <w:tc>
          <w:tcPr>
            <w:tcW w:w="5556" w:type="dxa"/>
            <w:noWrap w:val="0"/>
            <w:vAlign w:val="center"/>
          </w:tcPr>
          <w:p w14:paraId="7E2ED67E">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≥12000</w:t>
            </w:r>
          </w:p>
        </w:tc>
      </w:tr>
      <w:tr w14:paraId="0009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noWrap w:val="0"/>
            <w:vAlign w:val="center"/>
          </w:tcPr>
          <w:p w14:paraId="2C76B0D6">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草丝形状</w:t>
            </w:r>
          </w:p>
        </w:tc>
        <w:tc>
          <w:tcPr>
            <w:tcW w:w="5556" w:type="dxa"/>
            <w:noWrap w:val="0"/>
            <w:vAlign w:val="center"/>
          </w:tcPr>
          <w:p w14:paraId="4383BA37">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加筋单丝</w:t>
            </w:r>
          </w:p>
        </w:tc>
      </w:tr>
      <w:tr w14:paraId="59C8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noWrap w:val="0"/>
            <w:vAlign w:val="center"/>
          </w:tcPr>
          <w:p w14:paraId="6035FC48">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行距</w:t>
            </w:r>
          </w:p>
        </w:tc>
        <w:tc>
          <w:tcPr>
            <w:tcW w:w="5556" w:type="dxa"/>
            <w:noWrap w:val="0"/>
            <w:vAlign w:val="center"/>
          </w:tcPr>
          <w:p w14:paraId="02CDFF70">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5/8英寸</w:t>
            </w:r>
          </w:p>
        </w:tc>
      </w:tr>
      <w:tr w14:paraId="2CE5B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noWrap w:val="0"/>
            <w:vAlign w:val="center"/>
          </w:tcPr>
          <w:p w14:paraId="672522D6">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b w:val="0"/>
                <w:bCs w:val="0"/>
                <w:kern w:val="0"/>
                <w:sz w:val="20"/>
                <w:szCs w:val="20"/>
                <w:lang w:val="en-US" w:eastAsia="zh-CN" w:bidi="ar"/>
              </w:rPr>
              <w:t>簇</w:t>
            </w:r>
            <w:r>
              <w:rPr>
                <w:rFonts w:hint="eastAsia" w:ascii="宋体" w:hAnsi="宋体" w:eastAsia="宋体" w:cs="宋体"/>
                <w:color w:val="auto"/>
                <w:sz w:val="20"/>
                <w:szCs w:val="20"/>
                <w:highlight w:val="none"/>
                <w:shd w:val="clear" w:color="auto" w:fill="FFFFFF"/>
                <w:lang w:val="en-US" w:eastAsia="zh-CN"/>
              </w:rPr>
              <w:t>密度</w:t>
            </w:r>
          </w:p>
        </w:tc>
        <w:tc>
          <w:tcPr>
            <w:tcW w:w="5556" w:type="dxa"/>
            <w:noWrap w:val="0"/>
            <w:vAlign w:val="center"/>
          </w:tcPr>
          <w:p w14:paraId="1A1E0174">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≥10500针/平方米</w:t>
            </w:r>
          </w:p>
        </w:tc>
      </w:tr>
      <w:tr w14:paraId="1A33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noWrap w:val="0"/>
            <w:vAlign w:val="center"/>
          </w:tcPr>
          <w:p w14:paraId="6DCB44BC">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草高（不含底布高度）</w:t>
            </w:r>
          </w:p>
        </w:tc>
        <w:tc>
          <w:tcPr>
            <w:tcW w:w="5556" w:type="dxa"/>
            <w:noWrap w:val="0"/>
            <w:vAlign w:val="center"/>
          </w:tcPr>
          <w:p w14:paraId="7A6FEA70">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50mm</w:t>
            </w:r>
          </w:p>
          <w:p w14:paraId="50F9AE39">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p>
          <w:p w14:paraId="24B5E06A">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p>
        </w:tc>
      </w:tr>
      <w:tr w14:paraId="7DC4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3612" w:type="dxa"/>
            <w:shd w:val="clear" w:color="auto" w:fill="auto"/>
            <w:noWrap w:val="0"/>
            <w:vAlign w:val="center"/>
          </w:tcPr>
          <w:p w14:paraId="7C590382">
            <w:pPr>
              <w:widowControl w:val="0"/>
              <w:kinsoku/>
              <w:topLinePunct/>
              <w:autoSpaceDE/>
              <w:spacing w:line="360" w:lineRule="auto"/>
              <w:jc w:val="center"/>
              <w:textAlignment w:val="auto"/>
              <w:rPr>
                <w:rFonts w:hint="eastAsia" w:ascii="Times New Roman" w:hAnsi="Times New Roman" w:eastAsia="宋体" w:cs="Times New Roman"/>
                <w:kern w:val="2"/>
                <w:sz w:val="20"/>
                <w:szCs w:val="20"/>
                <w:highlight w:val="none"/>
                <w:lang w:val="en-US" w:eastAsia="zh-CN" w:bidi="ar-SA"/>
              </w:rPr>
            </w:pPr>
            <w:r>
              <w:rPr>
                <w:rFonts w:hint="eastAsia"/>
                <w:sz w:val="20"/>
                <w:szCs w:val="20"/>
                <w:highlight w:val="none"/>
                <w:lang w:val="en-US" w:eastAsia="zh-CN"/>
              </w:rPr>
              <w:t>标线</w:t>
            </w:r>
          </w:p>
        </w:tc>
        <w:tc>
          <w:tcPr>
            <w:tcW w:w="5556" w:type="dxa"/>
            <w:shd w:val="clear" w:color="auto" w:fill="auto"/>
            <w:noWrap w:val="0"/>
            <w:vAlign w:val="center"/>
          </w:tcPr>
          <w:p w14:paraId="7A80EF83">
            <w:pPr>
              <w:widowControl w:val="0"/>
              <w:kinsoku/>
              <w:topLinePunct/>
              <w:autoSpaceDE/>
              <w:spacing w:line="360" w:lineRule="auto"/>
              <w:jc w:val="center"/>
              <w:textAlignment w:val="auto"/>
              <w:rPr>
                <w:rFonts w:hint="default"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sz w:val="20"/>
                <w:szCs w:val="20"/>
                <w:highlight w:val="none"/>
                <w:lang w:val="en-US" w:eastAsia="zh-CN"/>
              </w:rPr>
              <w:t>双色人造草坪与标线一体制作，连为一体，</w:t>
            </w:r>
            <w:r>
              <w:rPr>
                <w:rFonts w:hint="eastAsia" w:ascii="宋体" w:hAnsi="宋体" w:cs="宋体"/>
                <w:color w:val="auto"/>
                <w:sz w:val="20"/>
                <w:szCs w:val="20"/>
                <w:highlight w:val="none"/>
                <w:shd w:val="clear" w:color="auto" w:fill="FFFFFF"/>
                <w:lang w:val="en-US" w:eastAsia="zh-CN"/>
              </w:rPr>
              <w:t>不是单独标线</w:t>
            </w:r>
          </w:p>
        </w:tc>
      </w:tr>
      <w:tr w14:paraId="4DAEA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shd w:val="clear" w:color="auto" w:fill="auto"/>
            <w:noWrap w:val="0"/>
            <w:vAlign w:val="center"/>
          </w:tcPr>
          <w:p w14:paraId="54F6F8EA">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底布类型</w:t>
            </w:r>
          </w:p>
        </w:tc>
        <w:tc>
          <w:tcPr>
            <w:tcW w:w="5556" w:type="dxa"/>
            <w:shd w:val="clear" w:color="auto" w:fill="auto"/>
            <w:noWrap w:val="0"/>
            <w:vAlign w:val="center"/>
          </w:tcPr>
          <w:p w14:paraId="6940021B">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sz w:val="20"/>
                <w:szCs w:val="20"/>
              </w:rPr>
              <w:t>PP 抗 UV 编织基布 + PP 加强网格布</w:t>
            </w:r>
          </w:p>
        </w:tc>
      </w:tr>
      <w:tr w14:paraId="776E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shd w:val="clear" w:color="auto" w:fill="auto"/>
            <w:noWrap w:val="0"/>
            <w:vAlign w:val="center"/>
          </w:tcPr>
          <w:p w14:paraId="6F5D745E">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底布背胶</w:t>
            </w:r>
          </w:p>
        </w:tc>
        <w:tc>
          <w:tcPr>
            <w:tcW w:w="5556" w:type="dxa"/>
            <w:shd w:val="clear" w:color="auto" w:fill="auto"/>
            <w:noWrap w:val="0"/>
            <w:vAlign w:val="center"/>
          </w:tcPr>
          <w:p w14:paraId="4FA483A2">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sz w:val="20"/>
                <w:szCs w:val="20"/>
              </w:rPr>
              <w:t>环保水性聚氨酯 PU 背胶</w:t>
            </w:r>
          </w:p>
        </w:tc>
      </w:tr>
      <w:tr w14:paraId="2E15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shd w:val="clear" w:color="auto" w:fill="auto"/>
            <w:noWrap w:val="0"/>
            <w:vAlign w:val="center"/>
          </w:tcPr>
          <w:p w14:paraId="74E8DA4F">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卷宽（有效幅度）</w:t>
            </w:r>
          </w:p>
        </w:tc>
        <w:tc>
          <w:tcPr>
            <w:tcW w:w="5556" w:type="dxa"/>
            <w:shd w:val="clear" w:color="auto" w:fill="auto"/>
            <w:noWrap w:val="0"/>
            <w:vAlign w:val="center"/>
          </w:tcPr>
          <w:p w14:paraId="211CFB60">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4米（卷长：按场地实际需要）</w:t>
            </w:r>
          </w:p>
        </w:tc>
      </w:tr>
      <w:tr w14:paraId="761B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3612" w:type="dxa"/>
            <w:shd w:val="clear" w:color="auto" w:fill="auto"/>
            <w:noWrap w:val="0"/>
            <w:vAlign w:val="center"/>
          </w:tcPr>
          <w:p w14:paraId="5CB06DAA">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接缝带</w:t>
            </w:r>
          </w:p>
        </w:tc>
        <w:tc>
          <w:tcPr>
            <w:tcW w:w="5556" w:type="dxa"/>
            <w:shd w:val="clear" w:color="auto" w:fill="auto"/>
            <w:noWrap w:val="0"/>
            <w:vAlign w:val="center"/>
          </w:tcPr>
          <w:p w14:paraId="74A7C1F7">
            <w:pPr>
              <w:widowControl w:val="0"/>
              <w:kinsoku/>
              <w:topLinePunct/>
              <w:autoSpaceDE/>
              <w:spacing w:line="360" w:lineRule="auto"/>
              <w:jc w:val="center"/>
              <w:textAlignment w:val="auto"/>
              <w:rPr>
                <w:rFonts w:hint="eastAsia" w:ascii="宋体" w:hAnsi="宋体" w:eastAsia="宋体" w:cs="宋体"/>
                <w:color w:val="auto"/>
                <w:kern w:val="2"/>
                <w:sz w:val="20"/>
                <w:szCs w:val="20"/>
                <w:highlight w:val="yellow"/>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抗撕裂耐紫外线专业接缝带，20-30cm宽</w:t>
            </w:r>
          </w:p>
        </w:tc>
      </w:tr>
    </w:tbl>
    <w:p w14:paraId="16534837">
      <w:pPr>
        <w:widowControl w:val="0"/>
        <w:numPr>
          <w:ilvl w:val="0"/>
          <w:numId w:val="0"/>
        </w:numPr>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（2）产品规格尺寸要求</w:t>
      </w:r>
    </w:p>
    <w:tbl>
      <w:tblPr>
        <w:tblStyle w:val="2"/>
        <w:tblW w:w="9166" w:type="dxa"/>
        <w:tblInd w:w="-3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2"/>
        <w:gridCol w:w="2403"/>
        <w:gridCol w:w="2513"/>
        <w:gridCol w:w="1806"/>
        <w:gridCol w:w="1722"/>
      </w:tblGrid>
      <w:tr w14:paraId="341C1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2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A3C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4916"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05F1D29">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w:t>
            </w:r>
          </w:p>
        </w:tc>
        <w:tc>
          <w:tcPr>
            <w:tcW w:w="1806"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DE94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1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2F3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要求</w:t>
            </w:r>
          </w:p>
        </w:tc>
      </w:tr>
      <w:tr w14:paraId="3C0BC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22" w:type="dxa"/>
            <w:vMerge w:val="restart"/>
            <w:tcBorders>
              <w:top w:val="single" w:color="auto" w:sz="4" w:space="0"/>
              <w:left w:val="single" w:color="000000" w:sz="4" w:space="0"/>
              <w:right w:val="single" w:color="000000" w:sz="4" w:space="0"/>
            </w:tcBorders>
            <w:shd w:val="clear" w:color="auto" w:fill="auto"/>
            <w:noWrap/>
            <w:vAlign w:val="center"/>
          </w:tcPr>
          <w:p w14:paraId="6348E5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40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A9BFF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纵向密度</w:t>
            </w:r>
          </w:p>
        </w:tc>
        <w:tc>
          <w:tcPr>
            <w:tcW w:w="251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0F315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纵向标称值允差率</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92E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7D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4CA51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22" w:type="dxa"/>
            <w:vMerge w:val="continue"/>
            <w:tcBorders>
              <w:left w:val="single" w:color="000000" w:sz="4" w:space="0"/>
              <w:bottom w:val="single" w:color="000000" w:sz="4" w:space="0"/>
              <w:right w:val="single" w:color="000000" w:sz="4" w:space="0"/>
            </w:tcBorders>
            <w:shd w:val="clear" w:color="auto" w:fill="auto"/>
            <w:noWrap/>
            <w:vAlign w:val="center"/>
          </w:tcPr>
          <w:p w14:paraId="1BD30185">
            <w:pPr>
              <w:jc w:val="center"/>
              <w:rPr>
                <w:rFonts w:hint="eastAsia" w:ascii="宋体" w:hAnsi="宋体" w:eastAsia="宋体" w:cs="宋体"/>
                <w:i w:val="0"/>
                <w:iCs w:val="0"/>
                <w:color w:val="000000"/>
                <w:sz w:val="20"/>
                <w:szCs w:val="20"/>
                <w:u w:val="none"/>
              </w:rPr>
            </w:pPr>
          </w:p>
        </w:tc>
        <w:tc>
          <w:tcPr>
            <w:tcW w:w="2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95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横向密度</w:t>
            </w:r>
          </w:p>
        </w:tc>
        <w:tc>
          <w:tcPr>
            <w:tcW w:w="2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418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横向标称值允差率</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A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FF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w:t>
            </w:r>
          </w:p>
        </w:tc>
      </w:tr>
      <w:tr w14:paraId="630AF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399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B0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草丝高度</w:t>
            </w:r>
          </w:p>
        </w:tc>
        <w:tc>
          <w:tcPr>
            <w:tcW w:w="2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35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标称值允差</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2D4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mm</w:t>
            </w:r>
          </w:p>
        </w:tc>
        <w:tc>
          <w:tcPr>
            <w:tcW w:w="1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120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 +3</w:t>
            </w:r>
          </w:p>
        </w:tc>
      </w:tr>
      <w:tr w14:paraId="04A5F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E2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4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2D9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草丝克重</w:t>
            </w:r>
          </w:p>
        </w:tc>
        <w:tc>
          <w:tcPr>
            <w:tcW w:w="2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D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标称值允差率</w:t>
            </w:r>
          </w:p>
        </w:tc>
        <w:tc>
          <w:tcPr>
            <w:tcW w:w="18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EAD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9EB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bl>
    <w:p w14:paraId="7C4BCECA">
      <w:pPr>
        <w:widowControl w:val="0"/>
        <w:numPr>
          <w:ilvl w:val="0"/>
          <w:numId w:val="0"/>
        </w:numPr>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（3）理化性能要求</w:t>
      </w:r>
    </w:p>
    <w:tbl>
      <w:tblPr>
        <w:tblStyle w:val="2"/>
        <w:tblW w:w="54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737"/>
        <w:gridCol w:w="1267"/>
        <w:gridCol w:w="2373"/>
        <w:gridCol w:w="1255"/>
        <w:gridCol w:w="3627"/>
      </w:tblGrid>
      <w:tr w14:paraId="2F7B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jc w:val="center"/>
        </w:trPr>
        <w:tc>
          <w:tcPr>
            <w:tcW w:w="397" w:type="pct"/>
            <w:shd w:val="clear" w:color="auto" w:fill="auto"/>
            <w:tcMar>
              <w:top w:w="120" w:type="dxa"/>
              <w:left w:w="120" w:type="dxa"/>
              <w:bottom w:w="120" w:type="dxa"/>
              <w:right w:w="120" w:type="dxa"/>
            </w:tcMar>
            <w:vAlign w:val="center"/>
          </w:tcPr>
          <w:p w14:paraId="3054D661">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序号</w:t>
            </w:r>
          </w:p>
        </w:tc>
        <w:tc>
          <w:tcPr>
            <w:tcW w:w="1965" w:type="pct"/>
            <w:gridSpan w:val="2"/>
            <w:shd w:val="clear" w:color="auto" w:fill="auto"/>
            <w:tcMar>
              <w:top w:w="120" w:type="dxa"/>
              <w:left w:w="120" w:type="dxa"/>
              <w:bottom w:w="120" w:type="dxa"/>
              <w:right w:w="120" w:type="dxa"/>
            </w:tcMar>
            <w:vAlign w:val="center"/>
          </w:tcPr>
          <w:p w14:paraId="4F02AF4F">
            <w:pPr>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项目</w:t>
            </w:r>
          </w:p>
        </w:tc>
        <w:tc>
          <w:tcPr>
            <w:tcW w:w="677" w:type="pct"/>
            <w:shd w:val="clear" w:color="auto" w:fill="auto"/>
            <w:tcMar>
              <w:top w:w="120" w:type="dxa"/>
              <w:left w:w="120" w:type="dxa"/>
              <w:bottom w:w="120" w:type="dxa"/>
              <w:right w:w="120" w:type="dxa"/>
            </w:tcMar>
            <w:vAlign w:val="center"/>
          </w:tcPr>
          <w:p w14:paraId="54A824E2">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单位</w:t>
            </w:r>
          </w:p>
        </w:tc>
        <w:tc>
          <w:tcPr>
            <w:tcW w:w="1958" w:type="pct"/>
            <w:shd w:val="clear" w:color="auto" w:fill="auto"/>
            <w:tcMar>
              <w:top w:w="120" w:type="dxa"/>
              <w:left w:w="120" w:type="dxa"/>
              <w:bottom w:w="120" w:type="dxa"/>
              <w:right w:w="120" w:type="dxa"/>
            </w:tcMar>
            <w:vAlign w:val="center"/>
          </w:tcPr>
          <w:p w14:paraId="46AF7DD7">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技术要求（簇密度小于 18000）</w:t>
            </w:r>
          </w:p>
        </w:tc>
      </w:tr>
      <w:tr w14:paraId="0978D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97" w:type="pct"/>
            <w:shd w:val="clear" w:color="auto" w:fill="auto"/>
            <w:tcMar>
              <w:top w:w="120" w:type="dxa"/>
              <w:left w:w="120" w:type="dxa"/>
              <w:bottom w:w="120" w:type="dxa"/>
              <w:right w:w="120" w:type="dxa"/>
            </w:tcMar>
            <w:vAlign w:val="center"/>
          </w:tcPr>
          <w:p w14:paraId="4D148D1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w:t>
            </w:r>
          </w:p>
        </w:tc>
        <w:tc>
          <w:tcPr>
            <w:tcW w:w="1965" w:type="pct"/>
            <w:gridSpan w:val="2"/>
            <w:shd w:val="clear" w:color="auto" w:fill="auto"/>
            <w:tcMar>
              <w:top w:w="120" w:type="dxa"/>
              <w:left w:w="120" w:type="dxa"/>
              <w:bottom w:w="120" w:type="dxa"/>
              <w:right w:w="120" w:type="dxa"/>
            </w:tcMar>
            <w:vAlign w:val="center"/>
          </w:tcPr>
          <w:p w14:paraId="07430849">
            <w:pPr>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渗水性 (充砂前)</w:t>
            </w:r>
          </w:p>
        </w:tc>
        <w:tc>
          <w:tcPr>
            <w:tcW w:w="677" w:type="pct"/>
            <w:shd w:val="clear" w:color="auto" w:fill="auto"/>
            <w:tcMar>
              <w:top w:w="120" w:type="dxa"/>
              <w:left w:w="120" w:type="dxa"/>
              <w:bottom w:w="120" w:type="dxa"/>
              <w:right w:w="120" w:type="dxa"/>
            </w:tcMar>
            <w:vAlign w:val="center"/>
          </w:tcPr>
          <w:p w14:paraId="14C10D8A">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L/(min·m²)</w:t>
            </w:r>
          </w:p>
        </w:tc>
        <w:tc>
          <w:tcPr>
            <w:tcW w:w="1958" w:type="pct"/>
            <w:shd w:val="clear" w:color="auto" w:fill="auto"/>
            <w:tcMar>
              <w:top w:w="120" w:type="dxa"/>
              <w:left w:w="120" w:type="dxa"/>
              <w:bottom w:w="120" w:type="dxa"/>
              <w:right w:w="120" w:type="dxa"/>
            </w:tcMar>
            <w:vAlign w:val="center"/>
          </w:tcPr>
          <w:p w14:paraId="517E42BB">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≥20</w:t>
            </w:r>
          </w:p>
        </w:tc>
      </w:tr>
      <w:tr w14:paraId="36CD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97" w:type="pct"/>
            <w:shd w:val="clear" w:color="auto" w:fill="auto"/>
            <w:tcMar>
              <w:top w:w="120" w:type="dxa"/>
              <w:left w:w="120" w:type="dxa"/>
              <w:bottom w:w="120" w:type="dxa"/>
              <w:right w:w="120" w:type="dxa"/>
            </w:tcMar>
            <w:vAlign w:val="center"/>
          </w:tcPr>
          <w:p w14:paraId="1F83F54D">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2</w:t>
            </w:r>
          </w:p>
        </w:tc>
        <w:tc>
          <w:tcPr>
            <w:tcW w:w="1965" w:type="pct"/>
            <w:gridSpan w:val="2"/>
            <w:shd w:val="clear" w:color="auto" w:fill="auto"/>
            <w:tcMar>
              <w:top w:w="120" w:type="dxa"/>
              <w:left w:w="120" w:type="dxa"/>
              <w:bottom w:w="120" w:type="dxa"/>
              <w:right w:w="120" w:type="dxa"/>
            </w:tcMar>
            <w:vAlign w:val="center"/>
          </w:tcPr>
          <w:p w14:paraId="73C59F1F">
            <w:pPr>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耐酸性 (试验时间：48 h)</w:t>
            </w:r>
          </w:p>
        </w:tc>
        <w:tc>
          <w:tcPr>
            <w:tcW w:w="677" w:type="pct"/>
            <w:shd w:val="clear" w:color="auto" w:fill="auto"/>
            <w:tcMar>
              <w:top w:w="120" w:type="dxa"/>
              <w:left w:w="120" w:type="dxa"/>
              <w:bottom w:w="120" w:type="dxa"/>
              <w:right w:w="120" w:type="dxa"/>
            </w:tcMar>
            <w:vAlign w:val="center"/>
          </w:tcPr>
          <w:p w14:paraId="114EFF45">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w:t>
            </w:r>
          </w:p>
        </w:tc>
        <w:tc>
          <w:tcPr>
            <w:tcW w:w="1958" w:type="pct"/>
            <w:shd w:val="clear" w:color="auto" w:fill="auto"/>
            <w:tcMar>
              <w:top w:w="120" w:type="dxa"/>
              <w:left w:w="120" w:type="dxa"/>
              <w:bottom w:w="120" w:type="dxa"/>
              <w:right w:w="120" w:type="dxa"/>
            </w:tcMar>
            <w:vAlign w:val="center"/>
          </w:tcPr>
          <w:p w14:paraId="6EE09538">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草丝颜色无明显变化，背胶无老化现象</w:t>
            </w:r>
          </w:p>
        </w:tc>
      </w:tr>
      <w:tr w14:paraId="16BC3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97" w:type="pct"/>
            <w:shd w:val="clear" w:color="auto" w:fill="auto"/>
            <w:tcMar>
              <w:top w:w="120" w:type="dxa"/>
              <w:left w:w="120" w:type="dxa"/>
              <w:bottom w:w="120" w:type="dxa"/>
              <w:right w:w="120" w:type="dxa"/>
            </w:tcMar>
            <w:vAlign w:val="center"/>
          </w:tcPr>
          <w:p w14:paraId="6998DEC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3</w:t>
            </w:r>
          </w:p>
        </w:tc>
        <w:tc>
          <w:tcPr>
            <w:tcW w:w="1965" w:type="pct"/>
            <w:gridSpan w:val="2"/>
            <w:shd w:val="clear" w:color="auto" w:fill="auto"/>
            <w:tcMar>
              <w:top w:w="120" w:type="dxa"/>
              <w:left w:w="120" w:type="dxa"/>
              <w:bottom w:w="120" w:type="dxa"/>
              <w:right w:w="120" w:type="dxa"/>
            </w:tcMar>
            <w:vAlign w:val="center"/>
          </w:tcPr>
          <w:p w14:paraId="34ED3C89">
            <w:pPr>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耐碱性 (试验时间：48 h)</w:t>
            </w:r>
          </w:p>
        </w:tc>
        <w:tc>
          <w:tcPr>
            <w:tcW w:w="677" w:type="pct"/>
            <w:shd w:val="clear" w:color="auto" w:fill="auto"/>
            <w:tcMar>
              <w:top w:w="120" w:type="dxa"/>
              <w:left w:w="120" w:type="dxa"/>
              <w:bottom w:w="120" w:type="dxa"/>
              <w:right w:w="120" w:type="dxa"/>
            </w:tcMar>
            <w:vAlign w:val="center"/>
          </w:tcPr>
          <w:p w14:paraId="534EE390">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w:t>
            </w:r>
          </w:p>
        </w:tc>
        <w:tc>
          <w:tcPr>
            <w:tcW w:w="1958" w:type="pct"/>
            <w:shd w:val="clear" w:color="auto" w:fill="auto"/>
            <w:tcMar>
              <w:top w:w="120" w:type="dxa"/>
              <w:left w:w="120" w:type="dxa"/>
              <w:bottom w:w="120" w:type="dxa"/>
              <w:right w:w="120" w:type="dxa"/>
            </w:tcMar>
            <w:vAlign w:val="center"/>
          </w:tcPr>
          <w:p w14:paraId="6AD3F565">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草丝颜色无明显变化，背胶无老化现象</w:t>
            </w:r>
          </w:p>
        </w:tc>
      </w:tr>
      <w:tr w14:paraId="0781F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397" w:type="pct"/>
            <w:shd w:val="clear" w:color="auto" w:fill="auto"/>
            <w:tcMar>
              <w:top w:w="120" w:type="dxa"/>
              <w:left w:w="120" w:type="dxa"/>
              <w:bottom w:w="120" w:type="dxa"/>
              <w:right w:w="120" w:type="dxa"/>
            </w:tcMar>
            <w:vAlign w:val="center"/>
          </w:tcPr>
          <w:p w14:paraId="7F2F044F">
            <w:pPr>
              <w:keepNext w:val="0"/>
              <w:keepLines w:val="0"/>
              <w:widowControl/>
              <w:suppressLineNumbers w:val="0"/>
              <w:jc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4</w:t>
            </w:r>
          </w:p>
        </w:tc>
        <w:tc>
          <w:tcPr>
            <w:tcW w:w="1965" w:type="pct"/>
            <w:gridSpan w:val="2"/>
            <w:shd w:val="clear" w:color="auto" w:fill="auto"/>
            <w:tcMar>
              <w:top w:w="120" w:type="dxa"/>
              <w:left w:w="120" w:type="dxa"/>
              <w:bottom w:w="120" w:type="dxa"/>
              <w:right w:w="120" w:type="dxa"/>
            </w:tcMar>
            <w:vAlign w:val="center"/>
          </w:tcPr>
          <w:p w14:paraId="2A87ED64">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冲击吸收</w:t>
            </w:r>
          </w:p>
        </w:tc>
        <w:tc>
          <w:tcPr>
            <w:tcW w:w="677" w:type="pct"/>
            <w:shd w:val="clear" w:color="auto" w:fill="auto"/>
            <w:tcMar>
              <w:top w:w="120" w:type="dxa"/>
              <w:left w:w="120" w:type="dxa"/>
              <w:bottom w:w="120" w:type="dxa"/>
              <w:right w:w="120" w:type="dxa"/>
            </w:tcMar>
            <w:vAlign w:val="center"/>
          </w:tcPr>
          <w:p w14:paraId="3B926207">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w:t>
            </w:r>
          </w:p>
        </w:tc>
        <w:tc>
          <w:tcPr>
            <w:tcW w:w="1958" w:type="pct"/>
            <w:shd w:val="clear" w:color="auto" w:fill="auto"/>
            <w:tcMar>
              <w:top w:w="120" w:type="dxa"/>
              <w:left w:w="120" w:type="dxa"/>
              <w:bottom w:w="120" w:type="dxa"/>
              <w:right w:w="120" w:type="dxa"/>
            </w:tcMar>
            <w:vAlign w:val="center"/>
          </w:tcPr>
          <w:p w14:paraId="495B2CC2">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45～70</w:t>
            </w:r>
          </w:p>
        </w:tc>
      </w:tr>
      <w:tr w14:paraId="2B50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397" w:type="pct"/>
            <w:shd w:val="clear" w:color="auto" w:fill="auto"/>
            <w:tcMar>
              <w:top w:w="120" w:type="dxa"/>
              <w:left w:w="120" w:type="dxa"/>
              <w:bottom w:w="120" w:type="dxa"/>
              <w:right w:w="120" w:type="dxa"/>
            </w:tcMar>
            <w:vAlign w:val="center"/>
          </w:tcPr>
          <w:p w14:paraId="1211CBD1">
            <w:pPr>
              <w:keepNext w:val="0"/>
              <w:keepLines w:val="0"/>
              <w:widowControl/>
              <w:suppressLineNumbers w:val="0"/>
              <w:jc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5</w:t>
            </w:r>
          </w:p>
        </w:tc>
        <w:tc>
          <w:tcPr>
            <w:tcW w:w="1965" w:type="pct"/>
            <w:gridSpan w:val="2"/>
            <w:shd w:val="clear" w:color="auto" w:fill="auto"/>
            <w:tcMar>
              <w:top w:w="120" w:type="dxa"/>
              <w:left w:w="120" w:type="dxa"/>
              <w:bottom w:w="120" w:type="dxa"/>
              <w:right w:w="120" w:type="dxa"/>
            </w:tcMar>
            <w:vAlign w:val="center"/>
          </w:tcPr>
          <w:p w14:paraId="4F22F560">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垂直变形</w:t>
            </w:r>
          </w:p>
        </w:tc>
        <w:tc>
          <w:tcPr>
            <w:tcW w:w="677" w:type="pct"/>
            <w:shd w:val="clear" w:color="auto" w:fill="auto"/>
            <w:tcMar>
              <w:top w:w="120" w:type="dxa"/>
              <w:left w:w="120" w:type="dxa"/>
              <w:bottom w:w="120" w:type="dxa"/>
              <w:right w:w="120" w:type="dxa"/>
            </w:tcMar>
            <w:vAlign w:val="center"/>
          </w:tcPr>
          <w:p w14:paraId="5E49BE0A">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mm</w:t>
            </w:r>
          </w:p>
        </w:tc>
        <w:tc>
          <w:tcPr>
            <w:tcW w:w="1958" w:type="pct"/>
            <w:shd w:val="clear" w:color="auto" w:fill="auto"/>
            <w:tcMar>
              <w:top w:w="120" w:type="dxa"/>
              <w:left w:w="120" w:type="dxa"/>
              <w:bottom w:w="120" w:type="dxa"/>
              <w:right w:w="120" w:type="dxa"/>
            </w:tcMar>
            <w:vAlign w:val="center"/>
          </w:tcPr>
          <w:p w14:paraId="363AA83F">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4～11</w:t>
            </w:r>
          </w:p>
        </w:tc>
      </w:tr>
      <w:tr w14:paraId="1C39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397" w:type="pct"/>
            <w:shd w:val="clear" w:color="auto" w:fill="auto"/>
            <w:tcMar>
              <w:top w:w="120" w:type="dxa"/>
              <w:left w:w="120" w:type="dxa"/>
              <w:bottom w:w="120" w:type="dxa"/>
              <w:right w:w="120" w:type="dxa"/>
            </w:tcMar>
            <w:vAlign w:val="center"/>
          </w:tcPr>
          <w:p w14:paraId="47770D09">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6</w:t>
            </w:r>
          </w:p>
        </w:tc>
        <w:tc>
          <w:tcPr>
            <w:tcW w:w="1965" w:type="pct"/>
            <w:gridSpan w:val="2"/>
            <w:shd w:val="clear" w:color="auto" w:fill="auto"/>
            <w:tcMar>
              <w:top w:w="120" w:type="dxa"/>
              <w:left w:w="120" w:type="dxa"/>
              <w:bottom w:w="120" w:type="dxa"/>
              <w:right w:w="120" w:type="dxa"/>
            </w:tcMar>
            <w:vAlign w:val="center"/>
          </w:tcPr>
          <w:p w14:paraId="24BC51D7">
            <w:pPr>
              <w:jc w:val="center"/>
              <w:rPr>
                <w:rFonts w:hint="eastAsia"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草丝拉断力 (单丝)ᵃ</w:t>
            </w:r>
          </w:p>
        </w:tc>
        <w:tc>
          <w:tcPr>
            <w:tcW w:w="677" w:type="pct"/>
            <w:shd w:val="clear" w:color="auto" w:fill="auto"/>
            <w:tcMar>
              <w:top w:w="120" w:type="dxa"/>
              <w:left w:w="120" w:type="dxa"/>
              <w:bottom w:w="120" w:type="dxa"/>
              <w:right w:w="120" w:type="dxa"/>
            </w:tcMar>
            <w:vAlign w:val="center"/>
          </w:tcPr>
          <w:p w14:paraId="50A49A6C">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N</w:t>
            </w:r>
          </w:p>
        </w:tc>
        <w:tc>
          <w:tcPr>
            <w:tcW w:w="1958" w:type="pct"/>
            <w:shd w:val="clear" w:color="auto" w:fill="auto"/>
            <w:tcMar>
              <w:top w:w="120" w:type="dxa"/>
              <w:left w:w="120" w:type="dxa"/>
              <w:bottom w:w="120" w:type="dxa"/>
              <w:right w:w="120" w:type="dxa"/>
            </w:tcMar>
            <w:vAlign w:val="center"/>
          </w:tcPr>
          <w:p w14:paraId="6E8D5177">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74161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97" w:type="pct"/>
            <w:shd w:val="clear" w:color="auto" w:fill="auto"/>
            <w:tcMar>
              <w:top w:w="120" w:type="dxa"/>
              <w:left w:w="120" w:type="dxa"/>
              <w:bottom w:w="120" w:type="dxa"/>
              <w:right w:w="120" w:type="dxa"/>
            </w:tcMar>
            <w:vAlign w:val="center"/>
          </w:tcPr>
          <w:p w14:paraId="4161CC78">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7</w:t>
            </w:r>
          </w:p>
        </w:tc>
        <w:tc>
          <w:tcPr>
            <w:tcW w:w="1965" w:type="pct"/>
            <w:gridSpan w:val="2"/>
            <w:shd w:val="clear" w:color="auto" w:fill="auto"/>
            <w:tcMar>
              <w:top w:w="120" w:type="dxa"/>
              <w:left w:w="120" w:type="dxa"/>
              <w:bottom w:w="120" w:type="dxa"/>
              <w:right w:w="120" w:type="dxa"/>
            </w:tcMar>
            <w:vAlign w:val="center"/>
          </w:tcPr>
          <w:p w14:paraId="1FEE3A29">
            <w:pPr>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草丝耐磨性保留率</w:t>
            </w:r>
          </w:p>
        </w:tc>
        <w:tc>
          <w:tcPr>
            <w:tcW w:w="677" w:type="pct"/>
            <w:shd w:val="clear" w:color="auto" w:fill="auto"/>
            <w:tcMar>
              <w:top w:w="120" w:type="dxa"/>
              <w:left w:w="120" w:type="dxa"/>
              <w:bottom w:w="120" w:type="dxa"/>
              <w:right w:w="120" w:type="dxa"/>
            </w:tcMar>
            <w:vAlign w:val="center"/>
          </w:tcPr>
          <w:p w14:paraId="5B519AB5">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w:t>
            </w:r>
          </w:p>
        </w:tc>
        <w:tc>
          <w:tcPr>
            <w:tcW w:w="1958" w:type="pct"/>
            <w:shd w:val="clear" w:color="auto" w:fill="auto"/>
            <w:tcMar>
              <w:top w:w="120" w:type="dxa"/>
              <w:left w:w="120" w:type="dxa"/>
              <w:bottom w:w="120" w:type="dxa"/>
              <w:right w:w="120" w:type="dxa"/>
            </w:tcMar>
            <w:vAlign w:val="center"/>
          </w:tcPr>
          <w:p w14:paraId="7FA71177">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≥97</w:t>
            </w:r>
          </w:p>
        </w:tc>
      </w:tr>
      <w:tr w14:paraId="5254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jc w:val="center"/>
        </w:trPr>
        <w:tc>
          <w:tcPr>
            <w:tcW w:w="397" w:type="pct"/>
            <w:shd w:val="clear" w:color="auto" w:fill="auto"/>
            <w:tcMar>
              <w:top w:w="120" w:type="dxa"/>
              <w:left w:w="120" w:type="dxa"/>
              <w:bottom w:w="120" w:type="dxa"/>
              <w:right w:w="120" w:type="dxa"/>
            </w:tcMar>
            <w:vAlign w:val="center"/>
          </w:tcPr>
          <w:p w14:paraId="5EFC3890">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8</w:t>
            </w:r>
          </w:p>
        </w:tc>
        <w:tc>
          <w:tcPr>
            <w:tcW w:w="1965" w:type="pct"/>
            <w:gridSpan w:val="2"/>
            <w:shd w:val="clear" w:color="auto" w:fill="auto"/>
            <w:tcMar>
              <w:top w:w="120" w:type="dxa"/>
              <w:left w:w="120" w:type="dxa"/>
              <w:bottom w:w="120" w:type="dxa"/>
              <w:right w:w="120" w:type="dxa"/>
            </w:tcMar>
            <w:vAlign w:val="center"/>
          </w:tcPr>
          <w:p w14:paraId="58F0F4F4">
            <w:pPr>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老化试验后的草丝拉断力保留率ᵃ</w:t>
            </w:r>
          </w:p>
        </w:tc>
        <w:tc>
          <w:tcPr>
            <w:tcW w:w="677" w:type="pct"/>
            <w:shd w:val="clear" w:color="auto" w:fill="auto"/>
            <w:tcMar>
              <w:top w:w="120" w:type="dxa"/>
              <w:left w:w="120" w:type="dxa"/>
              <w:bottom w:w="120" w:type="dxa"/>
              <w:right w:w="120" w:type="dxa"/>
            </w:tcMar>
            <w:vAlign w:val="center"/>
          </w:tcPr>
          <w:p w14:paraId="1C2C281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w:t>
            </w:r>
          </w:p>
        </w:tc>
        <w:tc>
          <w:tcPr>
            <w:tcW w:w="1958" w:type="pct"/>
            <w:shd w:val="clear" w:color="auto" w:fill="auto"/>
            <w:tcMar>
              <w:top w:w="120" w:type="dxa"/>
              <w:left w:w="120" w:type="dxa"/>
              <w:bottom w:w="120" w:type="dxa"/>
              <w:right w:w="120" w:type="dxa"/>
            </w:tcMar>
            <w:vAlign w:val="center"/>
          </w:tcPr>
          <w:p w14:paraId="4CA77219">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≥80</w:t>
            </w:r>
          </w:p>
        </w:tc>
      </w:tr>
      <w:tr w14:paraId="776ED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97" w:type="pct"/>
            <w:shd w:val="clear" w:color="auto" w:fill="auto"/>
            <w:tcMar>
              <w:top w:w="120" w:type="dxa"/>
              <w:left w:w="120" w:type="dxa"/>
              <w:bottom w:w="120" w:type="dxa"/>
              <w:right w:w="120" w:type="dxa"/>
            </w:tcMar>
            <w:vAlign w:val="center"/>
          </w:tcPr>
          <w:p w14:paraId="3867E71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9</w:t>
            </w:r>
          </w:p>
        </w:tc>
        <w:tc>
          <w:tcPr>
            <w:tcW w:w="1965" w:type="pct"/>
            <w:gridSpan w:val="2"/>
            <w:shd w:val="clear" w:color="auto" w:fill="auto"/>
            <w:tcMar>
              <w:top w:w="120" w:type="dxa"/>
              <w:left w:w="120" w:type="dxa"/>
              <w:bottom w:w="120" w:type="dxa"/>
              <w:right w:w="120" w:type="dxa"/>
            </w:tcMar>
            <w:vAlign w:val="center"/>
          </w:tcPr>
          <w:p w14:paraId="73BA30C2">
            <w:pPr>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耐气候色牢度</w:t>
            </w:r>
          </w:p>
        </w:tc>
        <w:tc>
          <w:tcPr>
            <w:tcW w:w="677" w:type="pct"/>
            <w:shd w:val="clear" w:color="auto" w:fill="auto"/>
            <w:tcMar>
              <w:top w:w="120" w:type="dxa"/>
              <w:left w:w="120" w:type="dxa"/>
              <w:bottom w:w="120" w:type="dxa"/>
              <w:right w:w="120" w:type="dxa"/>
            </w:tcMar>
            <w:vAlign w:val="center"/>
          </w:tcPr>
          <w:p w14:paraId="49B8A57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级</w:t>
            </w:r>
          </w:p>
        </w:tc>
        <w:tc>
          <w:tcPr>
            <w:tcW w:w="1958" w:type="pct"/>
            <w:shd w:val="clear" w:color="auto" w:fill="auto"/>
            <w:tcMar>
              <w:top w:w="120" w:type="dxa"/>
              <w:left w:w="120" w:type="dxa"/>
              <w:bottom w:w="120" w:type="dxa"/>
              <w:right w:w="120" w:type="dxa"/>
            </w:tcMar>
            <w:vAlign w:val="center"/>
          </w:tcPr>
          <w:p w14:paraId="1B39B841">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≥5</w:t>
            </w:r>
          </w:p>
        </w:tc>
      </w:tr>
      <w:tr w14:paraId="1AA8E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97" w:type="pct"/>
            <w:vMerge w:val="restart"/>
            <w:shd w:val="clear" w:color="auto" w:fill="auto"/>
            <w:tcMar>
              <w:top w:w="120" w:type="dxa"/>
              <w:left w:w="120" w:type="dxa"/>
              <w:bottom w:w="120" w:type="dxa"/>
              <w:right w:w="120" w:type="dxa"/>
            </w:tcMar>
            <w:vAlign w:val="center"/>
          </w:tcPr>
          <w:p w14:paraId="2EEAFA8A">
            <w:pPr>
              <w:keepNext w:val="0"/>
              <w:keepLines w:val="0"/>
              <w:widowControl/>
              <w:suppressLineNumbers w:val="0"/>
              <w:jc w:val="center"/>
              <w:rPr>
                <w:rFonts w:hint="eastAsia" w:ascii="宋体" w:hAnsi="宋体" w:eastAsia="宋体" w:cs="宋体"/>
                <w:sz w:val="20"/>
                <w:szCs w:val="20"/>
                <w:lang w:val="en-US"/>
              </w:rPr>
            </w:pPr>
            <w:r>
              <w:rPr>
                <w:rFonts w:hint="eastAsia" w:ascii="宋体" w:hAnsi="宋体" w:eastAsia="宋体" w:cs="宋体"/>
                <w:kern w:val="0"/>
                <w:sz w:val="20"/>
                <w:szCs w:val="20"/>
                <w:lang w:val="en-US" w:eastAsia="zh-CN" w:bidi="ar"/>
              </w:rPr>
              <w:t>10</w:t>
            </w:r>
          </w:p>
        </w:tc>
        <w:tc>
          <w:tcPr>
            <w:tcW w:w="684" w:type="pct"/>
            <w:vMerge w:val="restart"/>
            <w:shd w:val="clear" w:color="auto" w:fill="auto"/>
            <w:tcMar>
              <w:top w:w="120" w:type="dxa"/>
              <w:left w:w="120" w:type="dxa"/>
              <w:bottom w:w="120" w:type="dxa"/>
              <w:right w:w="120" w:type="dxa"/>
            </w:tcMar>
            <w:vAlign w:val="center"/>
          </w:tcPr>
          <w:p w14:paraId="71171F2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低温试验</w:t>
            </w:r>
          </w:p>
        </w:tc>
        <w:tc>
          <w:tcPr>
            <w:tcW w:w="1281" w:type="pct"/>
            <w:shd w:val="clear" w:color="auto" w:fill="auto"/>
            <w:tcMar>
              <w:top w:w="120" w:type="dxa"/>
              <w:left w:w="120" w:type="dxa"/>
              <w:bottom w:w="120" w:type="dxa"/>
              <w:right w:w="120" w:type="dxa"/>
            </w:tcMar>
            <w:vAlign w:val="center"/>
          </w:tcPr>
          <w:p w14:paraId="76AEE6C1">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草丝拉断力保留率ᵃ</w:t>
            </w:r>
          </w:p>
        </w:tc>
        <w:tc>
          <w:tcPr>
            <w:tcW w:w="677" w:type="pct"/>
            <w:shd w:val="clear" w:color="auto" w:fill="auto"/>
            <w:tcMar>
              <w:top w:w="120" w:type="dxa"/>
              <w:left w:w="120" w:type="dxa"/>
              <w:bottom w:w="120" w:type="dxa"/>
              <w:right w:w="120" w:type="dxa"/>
            </w:tcMar>
            <w:vAlign w:val="center"/>
          </w:tcPr>
          <w:p w14:paraId="454B514B">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w:t>
            </w:r>
          </w:p>
        </w:tc>
        <w:tc>
          <w:tcPr>
            <w:tcW w:w="1958" w:type="pct"/>
            <w:shd w:val="clear" w:color="auto" w:fill="auto"/>
            <w:tcMar>
              <w:top w:w="120" w:type="dxa"/>
              <w:left w:w="120" w:type="dxa"/>
              <w:bottom w:w="120" w:type="dxa"/>
              <w:right w:w="120" w:type="dxa"/>
            </w:tcMar>
            <w:vAlign w:val="center"/>
          </w:tcPr>
          <w:p w14:paraId="5663BF4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≥80</w:t>
            </w:r>
          </w:p>
        </w:tc>
      </w:tr>
      <w:tr w14:paraId="684EB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397" w:type="pct"/>
            <w:vMerge w:val="continue"/>
            <w:shd w:val="clear" w:color="auto" w:fill="auto"/>
            <w:tcMar>
              <w:top w:w="120" w:type="dxa"/>
              <w:left w:w="120" w:type="dxa"/>
              <w:bottom w:w="120" w:type="dxa"/>
              <w:right w:w="120" w:type="dxa"/>
            </w:tcMar>
            <w:vAlign w:val="center"/>
          </w:tcPr>
          <w:p w14:paraId="1C0D910C">
            <w:pPr>
              <w:jc w:val="center"/>
              <w:rPr>
                <w:rFonts w:hint="eastAsia" w:ascii="宋体" w:hAnsi="宋体" w:eastAsia="宋体" w:cs="宋体"/>
                <w:sz w:val="20"/>
                <w:szCs w:val="20"/>
              </w:rPr>
            </w:pPr>
          </w:p>
        </w:tc>
        <w:tc>
          <w:tcPr>
            <w:tcW w:w="684" w:type="pct"/>
            <w:vMerge w:val="continue"/>
            <w:shd w:val="clear" w:color="auto" w:fill="auto"/>
            <w:tcMar>
              <w:top w:w="120" w:type="dxa"/>
              <w:left w:w="120" w:type="dxa"/>
              <w:bottom w:w="120" w:type="dxa"/>
              <w:right w:w="120" w:type="dxa"/>
            </w:tcMar>
            <w:vAlign w:val="center"/>
          </w:tcPr>
          <w:p w14:paraId="78D7A560">
            <w:pPr>
              <w:jc w:val="center"/>
              <w:rPr>
                <w:rFonts w:hint="eastAsia" w:ascii="宋体" w:hAnsi="宋体" w:eastAsia="宋体" w:cs="宋体"/>
                <w:sz w:val="20"/>
                <w:szCs w:val="20"/>
              </w:rPr>
            </w:pPr>
          </w:p>
        </w:tc>
        <w:tc>
          <w:tcPr>
            <w:tcW w:w="1281" w:type="pct"/>
            <w:shd w:val="clear" w:color="auto" w:fill="auto"/>
            <w:tcMar>
              <w:top w:w="120" w:type="dxa"/>
              <w:left w:w="120" w:type="dxa"/>
              <w:bottom w:w="120" w:type="dxa"/>
              <w:right w:w="120" w:type="dxa"/>
            </w:tcMar>
            <w:vAlign w:val="center"/>
          </w:tcPr>
          <w:p w14:paraId="3046A390">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单簇草丝拔出力保留率ᵇ</w:t>
            </w:r>
          </w:p>
        </w:tc>
        <w:tc>
          <w:tcPr>
            <w:tcW w:w="677" w:type="pct"/>
            <w:shd w:val="clear" w:color="auto" w:fill="auto"/>
            <w:tcMar>
              <w:top w:w="120" w:type="dxa"/>
              <w:left w:w="120" w:type="dxa"/>
              <w:bottom w:w="120" w:type="dxa"/>
              <w:right w:w="120" w:type="dxa"/>
            </w:tcMar>
            <w:vAlign w:val="center"/>
          </w:tcPr>
          <w:p w14:paraId="35370FB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w:t>
            </w:r>
          </w:p>
        </w:tc>
        <w:tc>
          <w:tcPr>
            <w:tcW w:w="1958" w:type="pct"/>
            <w:shd w:val="clear" w:color="auto" w:fill="auto"/>
            <w:tcMar>
              <w:top w:w="120" w:type="dxa"/>
              <w:left w:w="120" w:type="dxa"/>
              <w:bottom w:w="120" w:type="dxa"/>
              <w:right w:w="120" w:type="dxa"/>
            </w:tcMar>
            <w:vAlign w:val="center"/>
          </w:tcPr>
          <w:p w14:paraId="0F7E1801">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≥80</w:t>
            </w:r>
          </w:p>
        </w:tc>
      </w:tr>
      <w:tr w14:paraId="70F5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397" w:type="pct"/>
            <w:shd w:val="clear" w:color="auto" w:fill="auto"/>
            <w:tcMar>
              <w:top w:w="120" w:type="dxa"/>
              <w:left w:w="120" w:type="dxa"/>
              <w:bottom w:w="120" w:type="dxa"/>
              <w:right w:w="120" w:type="dxa"/>
            </w:tcMar>
            <w:vAlign w:val="center"/>
          </w:tcPr>
          <w:p w14:paraId="29B0FFA9">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11</w:t>
            </w:r>
          </w:p>
        </w:tc>
        <w:tc>
          <w:tcPr>
            <w:tcW w:w="1965" w:type="pct"/>
            <w:gridSpan w:val="2"/>
            <w:shd w:val="clear" w:color="auto" w:fill="auto"/>
            <w:tcMar>
              <w:top w:w="120" w:type="dxa"/>
              <w:left w:w="120" w:type="dxa"/>
              <w:bottom w:w="120" w:type="dxa"/>
              <w:right w:w="120" w:type="dxa"/>
            </w:tcMar>
            <w:vAlign w:val="center"/>
          </w:tcPr>
          <w:p w14:paraId="359B77C4">
            <w:pPr>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单簇草丝拔出力ᵇ</w:t>
            </w:r>
          </w:p>
        </w:tc>
        <w:tc>
          <w:tcPr>
            <w:tcW w:w="677" w:type="pct"/>
            <w:shd w:val="clear" w:color="auto" w:fill="auto"/>
            <w:tcMar>
              <w:top w:w="120" w:type="dxa"/>
              <w:left w:w="120" w:type="dxa"/>
              <w:bottom w:w="120" w:type="dxa"/>
              <w:right w:w="120" w:type="dxa"/>
            </w:tcMar>
            <w:vAlign w:val="center"/>
          </w:tcPr>
          <w:p w14:paraId="05A7EFCF">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N</w:t>
            </w:r>
          </w:p>
        </w:tc>
        <w:tc>
          <w:tcPr>
            <w:tcW w:w="1958" w:type="pct"/>
            <w:shd w:val="clear" w:color="auto" w:fill="auto"/>
            <w:tcMar>
              <w:top w:w="120" w:type="dxa"/>
              <w:left w:w="120" w:type="dxa"/>
              <w:bottom w:w="120" w:type="dxa"/>
              <w:right w:w="120" w:type="dxa"/>
            </w:tcMar>
            <w:vAlign w:val="center"/>
          </w:tcPr>
          <w:p w14:paraId="12CB963E">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≥30</w:t>
            </w:r>
          </w:p>
        </w:tc>
      </w:tr>
      <w:tr w14:paraId="382C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97" w:type="pct"/>
            <w:vMerge w:val="restart"/>
            <w:shd w:val="clear" w:color="auto" w:fill="auto"/>
            <w:tcMar>
              <w:top w:w="120" w:type="dxa"/>
              <w:left w:w="120" w:type="dxa"/>
              <w:bottom w:w="120" w:type="dxa"/>
              <w:right w:w="120" w:type="dxa"/>
            </w:tcMar>
            <w:vAlign w:val="center"/>
          </w:tcPr>
          <w:p w14:paraId="5EB9B767">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12</w:t>
            </w:r>
          </w:p>
        </w:tc>
        <w:tc>
          <w:tcPr>
            <w:tcW w:w="684" w:type="pct"/>
            <w:vMerge w:val="restart"/>
            <w:shd w:val="clear" w:color="auto" w:fill="auto"/>
            <w:tcMar>
              <w:top w:w="120" w:type="dxa"/>
              <w:left w:w="120" w:type="dxa"/>
              <w:bottom w:w="120" w:type="dxa"/>
              <w:right w:w="120" w:type="dxa"/>
            </w:tcMar>
            <w:vAlign w:val="center"/>
          </w:tcPr>
          <w:p w14:paraId="6ED2C14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底布拉断力</w:t>
            </w:r>
          </w:p>
        </w:tc>
        <w:tc>
          <w:tcPr>
            <w:tcW w:w="1281" w:type="pct"/>
            <w:shd w:val="clear" w:color="auto" w:fill="auto"/>
            <w:tcMar>
              <w:top w:w="120" w:type="dxa"/>
              <w:left w:w="120" w:type="dxa"/>
              <w:bottom w:w="120" w:type="dxa"/>
              <w:right w:w="120" w:type="dxa"/>
            </w:tcMar>
            <w:vAlign w:val="center"/>
          </w:tcPr>
          <w:p w14:paraId="40621A39">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纵向</w:t>
            </w:r>
          </w:p>
        </w:tc>
        <w:tc>
          <w:tcPr>
            <w:tcW w:w="677" w:type="pct"/>
            <w:shd w:val="clear" w:color="auto" w:fill="auto"/>
            <w:tcMar>
              <w:top w:w="120" w:type="dxa"/>
              <w:left w:w="120" w:type="dxa"/>
              <w:bottom w:w="120" w:type="dxa"/>
              <w:right w:w="120" w:type="dxa"/>
            </w:tcMar>
            <w:vAlign w:val="center"/>
          </w:tcPr>
          <w:p w14:paraId="5CB2F1D0">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N</w:t>
            </w:r>
          </w:p>
        </w:tc>
        <w:tc>
          <w:tcPr>
            <w:tcW w:w="1958" w:type="pct"/>
            <w:shd w:val="clear" w:color="auto" w:fill="auto"/>
            <w:tcMar>
              <w:top w:w="120" w:type="dxa"/>
              <w:left w:w="120" w:type="dxa"/>
              <w:bottom w:w="120" w:type="dxa"/>
              <w:right w:w="120" w:type="dxa"/>
            </w:tcMar>
            <w:vAlign w:val="center"/>
          </w:tcPr>
          <w:p w14:paraId="157980EF">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≥800</w:t>
            </w:r>
          </w:p>
        </w:tc>
      </w:tr>
      <w:tr w14:paraId="567F2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97" w:type="pct"/>
            <w:vMerge w:val="continue"/>
            <w:shd w:val="clear" w:color="auto" w:fill="auto"/>
            <w:tcMar>
              <w:top w:w="120" w:type="dxa"/>
              <w:left w:w="120" w:type="dxa"/>
              <w:bottom w:w="120" w:type="dxa"/>
              <w:right w:w="120" w:type="dxa"/>
            </w:tcMar>
            <w:vAlign w:val="center"/>
          </w:tcPr>
          <w:p w14:paraId="707ACDB5">
            <w:pPr>
              <w:jc w:val="center"/>
              <w:rPr>
                <w:rFonts w:hint="eastAsia" w:ascii="宋体" w:hAnsi="宋体" w:eastAsia="宋体" w:cs="宋体"/>
                <w:sz w:val="20"/>
                <w:szCs w:val="20"/>
              </w:rPr>
            </w:pPr>
          </w:p>
        </w:tc>
        <w:tc>
          <w:tcPr>
            <w:tcW w:w="684" w:type="pct"/>
            <w:vMerge w:val="continue"/>
            <w:shd w:val="clear" w:color="auto" w:fill="auto"/>
            <w:tcMar>
              <w:top w:w="120" w:type="dxa"/>
              <w:left w:w="120" w:type="dxa"/>
              <w:bottom w:w="120" w:type="dxa"/>
              <w:right w:w="120" w:type="dxa"/>
            </w:tcMar>
            <w:vAlign w:val="center"/>
          </w:tcPr>
          <w:p w14:paraId="4EB16F5F">
            <w:pPr>
              <w:jc w:val="center"/>
              <w:rPr>
                <w:rFonts w:hint="eastAsia" w:ascii="宋体" w:hAnsi="宋体" w:eastAsia="宋体" w:cs="宋体"/>
                <w:sz w:val="20"/>
                <w:szCs w:val="20"/>
              </w:rPr>
            </w:pPr>
          </w:p>
        </w:tc>
        <w:tc>
          <w:tcPr>
            <w:tcW w:w="1281" w:type="pct"/>
            <w:shd w:val="clear" w:color="auto" w:fill="auto"/>
            <w:tcMar>
              <w:top w:w="120" w:type="dxa"/>
              <w:left w:w="120" w:type="dxa"/>
              <w:bottom w:w="120" w:type="dxa"/>
              <w:right w:w="120" w:type="dxa"/>
            </w:tcMar>
            <w:vAlign w:val="center"/>
          </w:tcPr>
          <w:p w14:paraId="25B9DBCD">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横向</w:t>
            </w:r>
          </w:p>
        </w:tc>
        <w:tc>
          <w:tcPr>
            <w:tcW w:w="677" w:type="pct"/>
            <w:shd w:val="clear" w:color="auto" w:fill="auto"/>
            <w:tcMar>
              <w:top w:w="120" w:type="dxa"/>
              <w:left w:w="120" w:type="dxa"/>
              <w:bottom w:w="120" w:type="dxa"/>
              <w:right w:w="120" w:type="dxa"/>
            </w:tcMar>
            <w:vAlign w:val="center"/>
          </w:tcPr>
          <w:p w14:paraId="2D6EECDA">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N</w:t>
            </w:r>
          </w:p>
        </w:tc>
        <w:tc>
          <w:tcPr>
            <w:tcW w:w="1958" w:type="pct"/>
            <w:shd w:val="clear" w:color="auto" w:fill="auto"/>
            <w:tcMar>
              <w:top w:w="120" w:type="dxa"/>
              <w:left w:w="120" w:type="dxa"/>
              <w:bottom w:w="120" w:type="dxa"/>
              <w:right w:w="120" w:type="dxa"/>
            </w:tcMar>
            <w:vAlign w:val="center"/>
          </w:tcPr>
          <w:p w14:paraId="47F668B2">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≥800</w:t>
            </w:r>
          </w:p>
        </w:tc>
      </w:tr>
      <w:tr w14:paraId="0388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5000" w:type="pct"/>
            <w:gridSpan w:val="5"/>
            <w:shd w:val="clear" w:color="auto" w:fill="auto"/>
            <w:tcMar>
              <w:top w:w="120" w:type="dxa"/>
              <w:left w:w="120" w:type="dxa"/>
              <w:bottom w:w="120" w:type="dxa"/>
              <w:right w:w="120" w:type="dxa"/>
            </w:tcMar>
            <w:vAlign w:val="center"/>
          </w:tcPr>
          <w:p w14:paraId="46EC1FC6">
            <w:pPr>
              <w:keepNext w:val="0"/>
              <w:keepLines w:val="0"/>
              <w:widowControl/>
              <w:suppressLineNumbers w:val="0"/>
              <w:jc w:val="left"/>
              <w:rPr>
                <w:rFonts w:hint="eastAsia" w:ascii="宋体" w:hAnsi="宋体" w:eastAsia="宋体" w:cs="宋体"/>
                <w:sz w:val="20"/>
                <w:szCs w:val="20"/>
              </w:rPr>
            </w:pPr>
            <w:r>
              <w:rPr>
                <w:rFonts w:hint="eastAsia" w:ascii="宋体" w:hAnsi="宋体" w:eastAsia="宋体" w:cs="宋体"/>
                <w:sz w:val="20"/>
                <w:szCs w:val="20"/>
              </w:rPr>
              <w:t xml:space="preserve">ᵃ 草丝拉断力及其保留率仅检测标称草丝高度大于或等于 30 mm 的单丝和开网丝，草丝高度小于 30 mm 的不检测，卷曲丝的不检测。 </w:t>
            </w:r>
          </w:p>
          <w:p w14:paraId="1A8B4656">
            <w:pPr>
              <w:keepNext w:val="0"/>
              <w:keepLines w:val="0"/>
              <w:widowControl/>
              <w:suppressLineNumbers w:val="0"/>
              <w:jc w:val="left"/>
              <w:rPr>
                <w:rFonts w:hint="eastAsia" w:ascii="宋体" w:hAnsi="宋体" w:eastAsia="宋体" w:cs="宋体"/>
                <w:kern w:val="0"/>
                <w:sz w:val="20"/>
                <w:szCs w:val="20"/>
                <w:lang w:val="en-US" w:eastAsia="zh-CN" w:bidi="ar"/>
              </w:rPr>
            </w:pPr>
            <w:r>
              <w:rPr>
                <w:rFonts w:hint="eastAsia" w:ascii="宋体" w:hAnsi="宋体" w:eastAsia="宋体" w:cs="宋体"/>
                <w:sz w:val="20"/>
                <w:szCs w:val="20"/>
              </w:rPr>
              <w:t>ᵇ 单簇草丝拔出力及其保留率仅检测标称草丝高度大于或等于 20 mm 的草坪，草丝高度小于 20 mm 的不检测。</w:t>
            </w:r>
          </w:p>
        </w:tc>
      </w:tr>
    </w:tbl>
    <w:p w14:paraId="011012DC">
      <w:pPr>
        <w:widowControl w:val="0"/>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（4)人造草面层成品中有害物质限量和气味要求</w:t>
      </w:r>
    </w:p>
    <w:tbl>
      <w:tblPr>
        <w:tblStyle w:val="2"/>
        <w:tblW w:w="5369" w:type="pct"/>
        <w:tblInd w:w="-3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896"/>
        <w:gridCol w:w="5840"/>
        <w:gridCol w:w="1441"/>
      </w:tblGrid>
      <w:tr w14:paraId="5CB6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blHeader/>
        </w:trPr>
        <w:tc>
          <w:tcPr>
            <w:tcW w:w="1033" w:type="pct"/>
            <w:shd w:val="clear" w:color="auto" w:fill="auto"/>
            <w:tcMar>
              <w:top w:w="120" w:type="dxa"/>
              <w:left w:w="120" w:type="dxa"/>
              <w:bottom w:w="120" w:type="dxa"/>
              <w:right w:w="120" w:type="dxa"/>
            </w:tcMar>
            <w:vAlign w:val="center"/>
          </w:tcPr>
          <w:p w14:paraId="67C5F30D">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大类</w:t>
            </w:r>
          </w:p>
        </w:tc>
        <w:tc>
          <w:tcPr>
            <w:tcW w:w="3181" w:type="pct"/>
            <w:shd w:val="clear" w:color="auto" w:fill="auto"/>
            <w:tcMar>
              <w:top w:w="120" w:type="dxa"/>
              <w:left w:w="120" w:type="dxa"/>
              <w:bottom w:w="120" w:type="dxa"/>
              <w:right w:w="120" w:type="dxa"/>
            </w:tcMar>
            <w:vAlign w:val="center"/>
          </w:tcPr>
          <w:p w14:paraId="741EF9A8">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检测项目</w:t>
            </w:r>
          </w:p>
        </w:tc>
        <w:tc>
          <w:tcPr>
            <w:tcW w:w="785" w:type="pct"/>
            <w:shd w:val="clear" w:color="auto" w:fill="auto"/>
            <w:tcMar>
              <w:top w:w="120" w:type="dxa"/>
              <w:left w:w="120" w:type="dxa"/>
              <w:bottom w:w="120" w:type="dxa"/>
              <w:right w:w="120" w:type="dxa"/>
            </w:tcMar>
            <w:vAlign w:val="center"/>
          </w:tcPr>
          <w:p w14:paraId="01EED09C">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限值要求</w:t>
            </w:r>
          </w:p>
        </w:tc>
      </w:tr>
      <w:tr w14:paraId="6CEA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33" w:type="pct"/>
            <w:vMerge w:val="restart"/>
            <w:shd w:val="clear" w:color="auto" w:fill="auto"/>
            <w:tcMar>
              <w:top w:w="120" w:type="dxa"/>
              <w:left w:w="120" w:type="dxa"/>
              <w:bottom w:w="120" w:type="dxa"/>
              <w:right w:w="120" w:type="dxa"/>
            </w:tcMar>
            <w:vAlign w:val="center"/>
          </w:tcPr>
          <w:p w14:paraId="69CD7060">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有害物质含量</w:t>
            </w:r>
          </w:p>
        </w:tc>
        <w:tc>
          <w:tcPr>
            <w:tcW w:w="3181" w:type="pct"/>
            <w:shd w:val="clear" w:color="auto" w:fill="auto"/>
            <w:tcMar>
              <w:top w:w="120" w:type="dxa"/>
              <w:left w:w="120" w:type="dxa"/>
              <w:bottom w:w="120" w:type="dxa"/>
              <w:right w:w="120" w:type="dxa"/>
            </w:tcMar>
            <w:vAlign w:val="center"/>
          </w:tcPr>
          <w:p w14:paraId="25F9751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3 种邻苯二甲酸酯类化合物 (DBP、BBP、DEHP) 总和a / (g/kg)</w:t>
            </w:r>
          </w:p>
        </w:tc>
        <w:tc>
          <w:tcPr>
            <w:tcW w:w="785" w:type="pct"/>
            <w:shd w:val="clear" w:color="auto" w:fill="auto"/>
            <w:tcMar>
              <w:top w:w="120" w:type="dxa"/>
              <w:left w:w="120" w:type="dxa"/>
              <w:bottom w:w="120" w:type="dxa"/>
              <w:right w:w="120" w:type="dxa"/>
            </w:tcMar>
            <w:vAlign w:val="center"/>
          </w:tcPr>
          <w:p w14:paraId="7314F016">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3556C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047A4184">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36131AB6">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3 种邻苯二甲酸酯类化合物 (DNOP、DINP、DIDP) 总和a / (g/kg)</w:t>
            </w:r>
          </w:p>
        </w:tc>
        <w:tc>
          <w:tcPr>
            <w:tcW w:w="785" w:type="pct"/>
            <w:shd w:val="clear" w:color="auto" w:fill="auto"/>
            <w:tcMar>
              <w:top w:w="120" w:type="dxa"/>
              <w:left w:w="120" w:type="dxa"/>
              <w:bottom w:w="120" w:type="dxa"/>
              <w:right w:w="120" w:type="dxa"/>
            </w:tcMar>
            <w:vAlign w:val="center"/>
          </w:tcPr>
          <w:p w14:paraId="139DFA5F">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21D4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7EEAB63D">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585734B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18 种多环芳烃总和b / (mg/kg)</w:t>
            </w:r>
          </w:p>
        </w:tc>
        <w:tc>
          <w:tcPr>
            <w:tcW w:w="785" w:type="pct"/>
            <w:shd w:val="clear" w:color="auto" w:fill="auto"/>
            <w:tcMar>
              <w:top w:w="120" w:type="dxa"/>
              <w:left w:w="120" w:type="dxa"/>
              <w:bottom w:w="120" w:type="dxa"/>
              <w:right w:w="120" w:type="dxa"/>
            </w:tcMar>
            <w:vAlign w:val="center"/>
          </w:tcPr>
          <w:p w14:paraId="65FD35D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≤50</w:t>
            </w:r>
          </w:p>
        </w:tc>
      </w:tr>
      <w:tr w14:paraId="12F9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483F3D77">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6496E24C">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苯并 [a] 芘 / (mg/kg)</w:t>
            </w:r>
          </w:p>
        </w:tc>
        <w:tc>
          <w:tcPr>
            <w:tcW w:w="785" w:type="pct"/>
            <w:shd w:val="clear" w:color="auto" w:fill="auto"/>
            <w:tcMar>
              <w:top w:w="120" w:type="dxa"/>
              <w:left w:w="120" w:type="dxa"/>
              <w:bottom w:w="120" w:type="dxa"/>
              <w:right w:w="120" w:type="dxa"/>
            </w:tcMar>
            <w:vAlign w:val="center"/>
          </w:tcPr>
          <w:p w14:paraId="3B9CC25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2412D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0D42F3AF">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7D016305">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可溶性铅 / (mg/kg)</w:t>
            </w:r>
          </w:p>
        </w:tc>
        <w:tc>
          <w:tcPr>
            <w:tcW w:w="785" w:type="pct"/>
            <w:shd w:val="clear" w:color="auto" w:fill="auto"/>
            <w:tcMar>
              <w:top w:w="120" w:type="dxa"/>
              <w:left w:w="120" w:type="dxa"/>
              <w:bottom w:w="120" w:type="dxa"/>
              <w:right w:w="120" w:type="dxa"/>
            </w:tcMar>
            <w:vAlign w:val="center"/>
          </w:tcPr>
          <w:p w14:paraId="0B0691D1">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≤50</w:t>
            </w:r>
          </w:p>
        </w:tc>
      </w:tr>
      <w:tr w14:paraId="768A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62BD8B3C">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2E148DCE">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可溶性镉 / (mg/kg)</w:t>
            </w:r>
          </w:p>
        </w:tc>
        <w:tc>
          <w:tcPr>
            <w:tcW w:w="785" w:type="pct"/>
            <w:shd w:val="clear" w:color="auto" w:fill="auto"/>
            <w:tcMar>
              <w:top w:w="120" w:type="dxa"/>
              <w:left w:w="120" w:type="dxa"/>
              <w:bottom w:w="120" w:type="dxa"/>
              <w:right w:w="120" w:type="dxa"/>
            </w:tcMar>
            <w:vAlign w:val="center"/>
          </w:tcPr>
          <w:p w14:paraId="078F7AD8">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2710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6A044343">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4D57C7C7">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可溶性铬 / (mg/kg)</w:t>
            </w:r>
          </w:p>
        </w:tc>
        <w:tc>
          <w:tcPr>
            <w:tcW w:w="785" w:type="pct"/>
            <w:shd w:val="clear" w:color="auto" w:fill="auto"/>
            <w:tcMar>
              <w:top w:w="120" w:type="dxa"/>
              <w:left w:w="120" w:type="dxa"/>
              <w:bottom w:w="120" w:type="dxa"/>
              <w:right w:w="120" w:type="dxa"/>
            </w:tcMar>
            <w:vAlign w:val="center"/>
          </w:tcPr>
          <w:p w14:paraId="1356477D">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52B43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292F6A2B">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6CD712A1">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可溶性汞 / (mg/kg)</w:t>
            </w:r>
          </w:p>
        </w:tc>
        <w:tc>
          <w:tcPr>
            <w:tcW w:w="785" w:type="pct"/>
            <w:shd w:val="clear" w:color="auto" w:fill="auto"/>
            <w:tcMar>
              <w:top w:w="120" w:type="dxa"/>
              <w:left w:w="120" w:type="dxa"/>
              <w:bottom w:w="120" w:type="dxa"/>
              <w:right w:w="120" w:type="dxa"/>
            </w:tcMar>
            <w:vAlign w:val="center"/>
          </w:tcPr>
          <w:p w14:paraId="6DE39707">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≤2</w:t>
            </w:r>
          </w:p>
        </w:tc>
      </w:tr>
      <w:tr w14:paraId="6817D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3" w:type="pct"/>
            <w:vMerge w:val="restart"/>
            <w:shd w:val="clear" w:color="auto" w:fill="auto"/>
            <w:tcMar>
              <w:top w:w="120" w:type="dxa"/>
              <w:left w:w="120" w:type="dxa"/>
              <w:bottom w:w="120" w:type="dxa"/>
              <w:right w:w="120" w:type="dxa"/>
            </w:tcMar>
            <w:vAlign w:val="center"/>
          </w:tcPr>
          <w:p w14:paraId="19BC4D3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有害物质释放量</w:t>
            </w:r>
          </w:p>
        </w:tc>
        <w:tc>
          <w:tcPr>
            <w:tcW w:w="3181" w:type="pct"/>
            <w:shd w:val="clear" w:color="auto" w:fill="auto"/>
            <w:tcMar>
              <w:top w:w="120" w:type="dxa"/>
              <w:left w:w="120" w:type="dxa"/>
              <w:bottom w:w="120" w:type="dxa"/>
              <w:right w:w="120" w:type="dxa"/>
            </w:tcMar>
            <w:vAlign w:val="center"/>
          </w:tcPr>
          <w:p w14:paraId="60EB2D60">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总挥发性有机化合物 (TVOC) / [mg/(m²・h)]</w:t>
            </w:r>
          </w:p>
        </w:tc>
        <w:tc>
          <w:tcPr>
            <w:tcW w:w="785" w:type="pct"/>
            <w:shd w:val="clear" w:color="auto" w:fill="auto"/>
            <w:tcMar>
              <w:top w:w="120" w:type="dxa"/>
              <w:left w:w="120" w:type="dxa"/>
              <w:bottom w:w="120" w:type="dxa"/>
              <w:right w:w="120" w:type="dxa"/>
            </w:tcMar>
            <w:vAlign w:val="center"/>
          </w:tcPr>
          <w:p w14:paraId="70F8BCBA">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≤5.0</w:t>
            </w:r>
          </w:p>
        </w:tc>
      </w:tr>
      <w:tr w14:paraId="0DDB9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492A1EAF">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5FFC4DF8">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甲醛 / [mg/(m²・h)]</w:t>
            </w:r>
          </w:p>
        </w:tc>
        <w:tc>
          <w:tcPr>
            <w:tcW w:w="785" w:type="pct"/>
            <w:shd w:val="clear" w:color="auto" w:fill="auto"/>
            <w:tcMar>
              <w:top w:w="120" w:type="dxa"/>
              <w:left w:w="120" w:type="dxa"/>
              <w:bottom w:w="120" w:type="dxa"/>
              <w:right w:w="120" w:type="dxa"/>
            </w:tcMar>
            <w:vAlign w:val="center"/>
          </w:tcPr>
          <w:p w14:paraId="42E46277">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≤0.4</w:t>
            </w:r>
          </w:p>
        </w:tc>
      </w:tr>
      <w:tr w14:paraId="11C2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0B029EC7">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0EE37945">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苯 / [mg/(m²・h)]</w:t>
            </w:r>
          </w:p>
        </w:tc>
        <w:tc>
          <w:tcPr>
            <w:tcW w:w="785" w:type="pct"/>
            <w:shd w:val="clear" w:color="auto" w:fill="auto"/>
            <w:tcMar>
              <w:top w:w="120" w:type="dxa"/>
              <w:left w:w="120" w:type="dxa"/>
              <w:bottom w:w="120" w:type="dxa"/>
              <w:right w:w="120" w:type="dxa"/>
            </w:tcMar>
            <w:vAlign w:val="center"/>
          </w:tcPr>
          <w:p w14:paraId="56F38E0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≤0.1</w:t>
            </w:r>
          </w:p>
        </w:tc>
      </w:tr>
      <w:tr w14:paraId="2726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33" w:type="pct"/>
            <w:vMerge w:val="continue"/>
            <w:shd w:val="clear" w:color="auto" w:fill="auto"/>
            <w:tcMar>
              <w:top w:w="120" w:type="dxa"/>
              <w:left w:w="120" w:type="dxa"/>
              <w:bottom w:w="120" w:type="dxa"/>
              <w:right w:w="120" w:type="dxa"/>
            </w:tcMar>
            <w:vAlign w:val="center"/>
          </w:tcPr>
          <w:p w14:paraId="58A7D89C">
            <w:pPr>
              <w:jc w:val="center"/>
              <w:rPr>
                <w:rFonts w:hint="eastAsia" w:ascii="宋体" w:hAnsi="宋体" w:eastAsia="宋体" w:cs="宋体"/>
                <w:sz w:val="20"/>
                <w:szCs w:val="20"/>
              </w:rPr>
            </w:pPr>
          </w:p>
        </w:tc>
        <w:tc>
          <w:tcPr>
            <w:tcW w:w="3181" w:type="pct"/>
            <w:shd w:val="clear" w:color="auto" w:fill="auto"/>
            <w:tcMar>
              <w:top w:w="120" w:type="dxa"/>
              <w:left w:w="120" w:type="dxa"/>
              <w:bottom w:w="120" w:type="dxa"/>
              <w:right w:w="120" w:type="dxa"/>
            </w:tcMar>
            <w:vAlign w:val="center"/>
          </w:tcPr>
          <w:p w14:paraId="17B89C0B">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甲苯、二甲苯和乙苯总和 / [mg/(m²・h)]</w:t>
            </w:r>
          </w:p>
        </w:tc>
        <w:tc>
          <w:tcPr>
            <w:tcW w:w="785" w:type="pct"/>
            <w:shd w:val="clear" w:color="auto" w:fill="auto"/>
            <w:tcMar>
              <w:top w:w="120" w:type="dxa"/>
              <w:left w:w="120" w:type="dxa"/>
              <w:bottom w:w="120" w:type="dxa"/>
              <w:right w:w="120" w:type="dxa"/>
            </w:tcMar>
            <w:vAlign w:val="center"/>
          </w:tcPr>
          <w:p w14:paraId="08E9C31C">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590B7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33" w:type="pct"/>
            <w:shd w:val="clear" w:color="auto" w:fill="auto"/>
            <w:tcMar>
              <w:top w:w="120" w:type="dxa"/>
              <w:left w:w="120" w:type="dxa"/>
              <w:bottom w:w="120" w:type="dxa"/>
              <w:right w:w="120" w:type="dxa"/>
            </w:tcMar>
            <w:vAlign w:val="center"/>
          </w:tcPr>
          <w:p w14:paraId="7E6B01D5">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气味</w:t>
            </w:r>
          </w:p>
        </w:tc>
        <w:tc>
          <w:tcPr>
            <w:tcW w:w="3181" w:type="pct"/>
            <w:shd w:val="clear" w:color="auto" w:fill="auto"/>
            <w:tcMar>
              <w:top w:w="120" w:type="dxa"/>
              <w:left w:w="120" w:type="dxa"/>
              <w:bottom w:w="120" w:type="dxa"/>
              <w:right w:w="120" w:type="dxa"/>
            </w:tcMar>
            <w:vAlign w:val="center"/>
          </w:tcPr>
          <w:p w14:paraId="6791112C">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气味等级/级</w:t>
            </w:r>
          </w:p>
        </w:tc>
        <w:tc>
          <w:tcPr>
            <w:tcW w:w="785" w:type="pct"/>
            <w:shd w:val="clear" w:color="auto" w:fill="auto"/>
            <w:tcMar>
              <w:top w:w="120" w:type="dxa"/>
              <w:left w:w="120" w:type="dxa"/>
              <w:bottom w:w="120" w:type="dxa"/>
              <w:right w:w="120" w:type="dxa"/>
            </w:tcMar>
            <w:vAlign w:val="center"/>
          </w:tcPr>
          <w:p w14:paraId="1F1C697C">
            <w:pPr>
              <w:keepNext w:val="0"/>
              <w:keepLines w:val="0"/>
              <w:widowControl/>
              <w:suppressLineNumbers w:val="0"/>
              <w:jc w:val="center"/>
              <w:rPr>
                <w:rFonts w:hint="eastAsia" w:ascii="宋体" w:hAnsi="宋体" w:eastAsia="宋体" w:cs="宋体"/>
                <w:kern w:val="0"/>
                <w:sz w:val="20"/>
                <w:szCs w:val="20"/>
                <w:highlight w:val="none"/>
                <w:lang w:val="en-US" w:eastAsia="zh-CN" w:bidi="ar"/>
              </w:rPr>
            </w:pPr>
            <w:r>
              <w:rPr>
                <w:rFonts w:hint="eastAsia" w:ascii="宋体" w:hAnsi="宋体" w:eastAsia="宋体" w:cs="宋体"/>
                <w:color w:val="auto"/>
                <w:sz w:val="20"/>
                <w:szCs w:val="20"/>
                <w:highlight w:val="none"/>
                <w:shd w:val="clear" w:color="auto" w:fill="FFFFFF"/>
                <w:lang w:val="en-US" w:eastAsia="zh-CN"/>
              </w:rPr>
              <w:t>≤3</w:t>
            </w:r>
          </w:p>
        </w:tc>
      </w:tr>
    </w:tbl>
    <w:p w14:paraId="2CA9628A">
      <w:pPr>
        <w:widowControl w:val="0"/>
        <w:numPr>
          <w:ilvl w:val="0"/>
          <w:numId w:val="0"/>
        </w:numPr>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（5）可迁移元素最大限量要求</w:t>
      </w:r>
    </w:p>
    <w:tbl>
      <w:tblPr>
        <w:tblStyle w:val="2"/>
        <w:tblW w:w="5362" w:type="pct"/>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797"/>
        <w:gridCol w:w="796"/>
        <w:gridCol w:w="796"/>
        <w:gridCol w:w="796"/>
        <w:gridCol w:w="796"/>
        <w:gridCol w:w="796"/>
        <w:gridCol w:w="796"/>
        <w:gridCol w:w="796"/>
        <w:gridCol w:w="796"/>
      </w:tblGrid>
      <w:tr w14:paraId="6249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055" w:type="pct"/>
            <w:shd w:val="clear" w:color="auto" w:fill="auto"/>
            <w:tcMar>
              <w:top w:w="120" w:type="dxa"/>
              <w:left w:w="120" w:type="dxa"/>
              <w:bottom w:w="120" w:type="dxa"/>
              <w:right w:w="120" w:type="dxa"/>
            </w:tcMar>
            <w:vAlign w:val="center"/>
          </w:tcPr>
          <w:p w14:paraId="046FCC07">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可迁移元素种类</w:t>
            </w:r>
          </w:p>
        </w:tc>
        <w:tc>
          <w:tcPr>
            <w:tcW w:w="300" w:type="pct"/>
            <w:shd w:val="clear" w:color="auto" w:fill="auto"/>
            <w:tcMar>
              <w:top w:w="120" w:type="dxa"/>
              <w:left w:w="120" w:type="dxa"/>
              <w:bottom w:w="120" w:type="dxa"/>
              <w:right w:w="120" w:type="dxa"/>
            </w:tcMar>
            <w:vAlign w:val="center"/>
          </w:tcPr>
          <w:p w14:paraId="6CF986E7">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锑 (Sb)</w:t>
            </w:r>
          </w:p>
        </w:tc>
        <w:tc>
          <w:tcPr>
            <w:tcW w:w="300" w:type="pct"/>
            <w:shd w:val="clear" w:color="auto" w:fill="auto"/>
            <w:tcMar>
              <w:top w:w="120" w:type="dxa"/>
              <w:left w:w="120" w:type="dxa"/>
              <w:bottom w:w="120" w:type="dxa"/>
              <w:right w:w="120" w:type="dxa"/>
            </w:tcMar>
            <w:vAlign w:val="center"/>
          </w:tcPr>
          <w:p w14:paraId="1446B53B">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砷 (As)</w:t>
            </w:r>
          </w:p>
        </w:tc>
        <w:tc>
          <w:tcPr>
            <w:tcW w:w="300" w:type="pct"/>
            <w:shd w:val="clear" w:color="auto" w:fill="auto"/>
            <w:tcMar>
              <w:top w:w="120" w:type="dxa"/>
              <w:left w:w="120" w:type="dxa"/>
              <w:bottom w:w="120" w:type="dxa"/>
              <w:right w:w="120" w:type="dxa"/>
            </w:tcMar>
            <w:vAlign w:val="center"/>
          </w:tcPr>
          <w:p w14:paraId="64E305F8">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钡 (Ba)</w:t>
            </w:r>
          </w:p>
        </w:tc>
        <w:tc>
          <w:tcPr>
            <w:tcW w:w="300" w:type="pct"/>
            <w:shd w:val="clear" w:color="auto" w:fill="auto"/>
            <w:tcMar>
              <w:top w:w="120" w:type="dxa"/>
              <w:left w:w="120" w:type="dxa"/>
              <w:bottom w:w="120" w:type="dxa"/>
              <w:right w:w="120" w:type="dxa"/>
            </w:tcMar>
            <w:vAlign w:val="center"/>
          </w:tcPr>
          <w:p w14:paraId="35809229">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镉 (Cd)</w:t>
            </w:r>
          </w:p>
        </w:tc>
        <w:tc>
          <w:tcPr>
            <w:tcW w:w="300" w:type="pct"/>
            <w:shd w:val="clear" w:color="auto" w:fill="auto"/>
            <w:tcMar>
              <w:top w:w="120" w:type="dxa"/>
              <w:left w:w="120" w:type="dxa"/>
              <w:bottom w:w="120" w:type="dxa"/>
              <w:right w:w="120" w:type="dxa"/>
            </w:tcMar>
            <w:vAlign w:val="center"/>
          </w:tcPr>
          <w:p w14:paraId="12BA09E8">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铬 (Cr)</w:t>
            </w:r>
          </w:p>
        </w:tc>
        <w:tc>
          <w:tcPr>
            <w:tcW w:w="300" w:type="pct"/>
            <w:shd w:val="clear" w:color="auto" w:fill="auto"/>
            <w:tcMar>
              <w:top w:w="120" w:type="dxa"/>
              <w:left w:w="120" w:type="dxa"/>
              <w:bottom w:w="120" w:type="dxa"/>
              <w:right w:w="120" w:type="dxa"/>
            </w:tcMar>
            <w:vAlign w:val="center"/>
          </w:tcPr>
          <w:p w14:paraId="52023CEB">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铅 (Pb)</w:t>
            </w:r>
          </w:p>
        </w:tc>
        <w:tc>
          <w:tcPr>
            <w:tcW w:w="300" w:type="pct"/>
            <w:shd w:val="clear" w:color="auto" w:fill="auto"/>
            <w:tcMar>
              <w:top w:w="120" w:type="dxa"/>
              <w:left w:w="120" w:type="dxa"/>
              <w:bottom w:w="120" w:type="dxa"/>
              <w:right w:w="120" w:type="dxa"/>
            </w:tcMar>
            <w:vAlign w:val="center"/>
          </w:tcPr>
          <w:p w14:paraId="5FABA98A">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汞 (Hg)</w:t>
            </w:r>
          </w:p>
        </w:tc>
        <w:tc>
          <w:tcPr>
            <w:tcW w:w="300" w:type="pct"/>
            <w:shd w:val="clear" w:color="auto" w:fill="auto"/>
            <w:tcMar>
              <w:top w:w="120" w:type="dxa"/>
              <w:left w:w="120" w:type="dxa"/>
              <w:bottom w:w="120" w:type="dxa"/>
              <w:right w:w="120" w:type="dxa"/>
            </w:tcMar>
            <w:vAlign w:val="center"/>
          </w:tcPr>
          <w:p w14:paraId="56D302F8">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硒 (Se)</w:t>
            </w:r>
          </w:p>
        </w:tc>
      </w:tr>
      <w:tr w14:paraId="3DB4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55" w:type="pct"/>
            <w:shd w:val="clear" w:color="auto" w:fill="auto"/>
            <w:tcMar>
              <w:top w:w="120" w:type="dxa"/>
              <w:left w:w="120" w:type="dxa"/>
              <w:bottom w:w="120" w:type="dxa"/>
              <w:right w:w="120" w:type="dxa"/>
            </w:tcMar>
            <w:vAlign w:val="center"/>
          </w:tcPr>
          <w:p w14:paraId="72EAFAD0">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最大限量 /(mg/kg)</w:t>
            </w:r>
          </w:p>
        </w:tc>
        <w:tc>
          <w:tcPr>
            <w:tcW w:w="300" w:type="pct"/>
            <w:shd w:val="clear" w:color="auto" w:fill="auto"/>
            <w:tcMar>
              <w:top w:w="120" w:type="dxa"/>
              <w:left w:w="120" w:type="dxa"/>
              <w:bottom w:w="120" w:type="dxa"/>
              <w:right w:w="120" w:type="dxa"/>
            </w:tcMar>
            <w:vAlign w:val="center"/>
          </w:tcPr>
          <w:p w14:paraId="13A2ED4F">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60</w:t>
            </w:r>
          </w:p>
        </w:tc>
        <w:tc>
          <w:tcPr>
            <w:tcW w:w="300" w:type="pct"/>
            <w:shd w:val="clear" w:color="auto" w:fill="auto"/>
            <w:tcMar>
              <w:top w:w="120" w:type="dxa"/>
              <w:left w:w="120" w:type="dxa"/>
              <w:bottom w:w="120" w:type="dxa"/>
              <w:right w:w="120" w:type="dxa"/>
            </w:tcMar>
            <w:vAlign w:val="center"/>
          </w:tcPr>
          <w:p w14:paraId="1DF649F9">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25</w:t>
            </w:r>
          </w:p>
        </w:tc>
        <w:tc>
          <w:tcPr>
            <w:tcW w:w="300" w:type="pct"/>
            <w:shd w:val="clear" w:color="auto" w:fill="auto"/>
            <w:tcMar>
              <w:top w:w="120" w:type="dxa"/>
              <w:left w:w="120" w:type="dxa"/>
              <w:bottom w:w="120" w:type="dxa"/>
              <w:right w:w="120" w:type="dxa"/>
            </w:tcMar>
            <w:vAlign w:val="center"/>
          </w:tcPr>
          <w:p w14:paraId="260CCE25">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1000</w:t>
            </w:r>
          </w:p>
        </w:tc>
        <w:tc>
          <w:tcPr>
            <w:tcW w:w="300" w:type="pct"/>
            <w:shd w:val="clear" w:color="auto" w:fill="auto"/>
            <w:tcMar>
              <w:top w:w="120" w:type="dxa"/>
              <w:left w:w="120" w:type="dxa"/>
              <w:bottom w:w="120" w:type="dxa"/>
              <w:right w:w="120" w:type="dxa"/>
            </w:tcMar>
            <w:vAlign w:val="center"/>
          </w:tcPr>
          <w:p w14:paraId="3C5C6272">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75</w:t>
            </w:r>
          </w:p>
        </w:tc>
        <w:tc>
          <w:tcPr>
            <w:tcW w:w="300" w:type="pct"/>
            <w:shd w:val="clear" w:color="auto" w:fill="auto"/>
            <w:tcMar>
              <w:top w:w="120" w:type="dxa"/>
              <w:left w:w="120" w:type="dxa"/>
              <w:bottom w:w="120" w:type="dxa"/>
              <w:right w:w="120" w:type="dxa"/>
            </w:tcMar>
            <w:vAlign w:val="center"/>
          </w:tcPr>
          <w:p w14:paraId="10C99AE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60</w:t>
            </w:r>
          </w:p>
        </w:tc>
        <w:tc>
          <w:tcPr>
            <w:tcW w:w="300" w:type="pct"/>
            <w:shd w:val="clear" w:color="auto" w:fill="auto"/>
            <w:tcMar>
              <w:top w:w="120" w:type="dxa"/>
              <w:left w:w="120" w:type="dxa"/>
              <w:bottom w:w="120" w:type="dxa"/>
              <w:right w:w="120" w:type="dxa"/>
            </w:tcMar>
            <w:vAlign w:val="center"/>
          </w:tcPr>
          <w:p w14:paraId="369F14E1">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90</w:t>
            </w:r>
          </w:p>
        </w:tc>
        <w:tc>
          <w:tcPr>
            <w:tcW w:w="300" w:type="pct"/>
            <w:shd w:val="clear" w:color="auto" w:fill="auto"/>
            <w:tcMar>
              <w:top w:w="120" w:type="dxa"/>
              <w:left w:w="120" w:type="dxa"/>
              <w:bottom w:w="120" w:type="dxa"/>
              <w:right w:w="120" w:type="dxa"/>
            </w:tcMar>
            <w:vAlign w:val="center"/>
          </w:tcPr>
          <w:p w14:paraId="4DFB8A8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60</w:t>
            </w:r>
          </w:p>
        </w:tc>
        <w:tc>
          <w:tcPr>
            <w:tcW w:w="300" w:type="pct"/>
            <w:shd w:val="clear" w:color="auto" w:fill="auto"/>
            <w:tcMar>
              <w:top w:w="120" w:type="dxa"/>
              <w:left w:w="120" w:type="dxa"/>
              <w:bottom w:w="120" w:type="dxa"/>
              <w:right w:w="120" w:type="dxa"/>
            </w:tcMar>
            <w:vAlign w:val="center"/>
          </w:tcPr>
          <w:p w14:paraId="7AF92D32">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500</w:t>
            </w:r>
          </w:p>
        </w:tc>
      </w:tr>
    </w:tbl>
    <w:p w14:paraId="2F31A782">
      <w:pPr>
        <w:widowControl w:val="0"/>
        <w:numPr>
          <w:ilvl w:val="0"/>
          <w:numId w:val="0"/>
        </w:numPr>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（6）阻燃性要求：Ⅰ级阻燃。</w:t>
      </w:r>
    </w:p>
    <w:p w14:paraId="19472C33">
      <w:pPr>
        <w:widowControl w:val="0"/>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eastAsia="zh-CN"/>
        </w:rPr>
      </w:pPr>
      <w:r>
        <w:rPr>
          <w:rFonts w:hint="eastAsia" w:ascii="宋体" w:hAnsi="宋体" w:eastAsia="宋体" w:cs="宋体"/>
          <w:b/>
          <w:bCs/>
          <w:color w:val="auto"/>
          <w:sz w:val="20"/>
          <w:szCs w:val="20"/>
          <w:highlight w:val="none"/>
          <w:shd w:val="clear" w:color="auto" w:fill="FFFFFF"/>
          <w:lang w:val="en-US" w:eastAsia="zh-CN"/>
        </w:rPr>
        <w:t>2</w:t>
      </w:r>
      <w:r>
        <w:rPr>
          <w:rFonts w:hint="eastAsia" w:ascii="宋体" w:hAnsi="宋体" w:eastAsia="宋体" w:cs="宋体"/>
          <w:b/>
          <w:bCs/>
          <w:color w:val="auto"/>
          <w:sz w:val="20"/>
          <w:szCs w:val="20"/>
          <w:highlight w:val="none"/>
          <w:shd w:val="clear" w:color="auto" w:fill="FFFFFF"/>
          <w:lang w:eastAsia="zh-CN"/>
        </w:rPr>
        <w:t>、人造草坪填充料石英砂技术参数</w:t>
      </w:r>
    </w:p>
    <w:tbl>
      <w:tblPr>
        <w:tblStyle w:val="2"/>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21"/>
        <w:gridCol w:w="5565"/>
      </w:tblGrid>
      <w:tr w14:paraId="43F9A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exact"/>
          <w:jc w:val="center"/>
        </w:trPr>
        <w:tc>
          <w:tcPr>
            <w:tcW w:w="3621" w:type="dxa"/>
            <w:shd w:val="clear" w:color="auto" w:fill="auto"/>
            <w:vAlign w:val="center"/>
          </w:tcPr>
          <w:p w14:paraId="2BFE01E2">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eastAsia="zh-CN"/>
              </w:rPr>
            </w:pPr>
            <w:r>
              <w:rPr>
                <w:rFonts w:hint="eastAsia" w:ascii="宋体" w:hAnsi="宋体" w:eastAsia="宋体" w:cs="宋体"/>
                <w:color w:val="auto"/>
                <w:sz w:val="20"/>
                <w:szCs w:val="20"/>
                <w:highlight w:val="none"/>
                <w:shd w:val="clear" w:color="auto" w:fill="FFFFFF"/>
                <w:lang w:eastAsia="zh-CN"/>
              </w:rPr>
              <w:t>填充</w:t>
            </w:r>
            <w:r>
              <w:rPr>
                <w:rFonts w:hint="eastAsia" w:ascii="宋体" w:hAnsi="宋体" w:eastAsia="宋体" w:cs="宋体"/>
                <w:color w:val="auto"/>
                <w:sz w:val="20"/>
                <w:szCs w:val="20"/>
                <w:highlight w:val="none"/>
                <w:shd w:val="clear" w:color="auto" w:fill="FFFFFF"/>
                <w:lang w:val="en-US" w:eastAsia="zh-CN"/>
              </w:rPr>
              <w:t>水洗</w:t>
            </w:r>
            <w:r>
              <w:rPr>
                <w:rFonts w:hint="eastAsia" w:ascii="宋体" w:hAnsi="宋体" w:eastAsia="宋体" w:cs="宋体"/>
                <w:color w:val="auto"/>
                <w:sz w:val="20"/>
                <w:szCs w:val="20"/>
                <w:highlight w:val="none"/>
                <w:shd w:val="clear" w:color="auto" w:fill="FFFFFF"/>
                <w:lang w:eastAsia="zh-CN"/>
              </w:rPr>
              <w:t>石英砂</w:t>
            </w:r>
          </w:p>
        </w:tc>
        <w:tc>
          <w:tcPr>
            <w:tcW w:w="5565" w:type="dxa"/>
            <w:shd w:val="clear" w:color="auto" w:fill="auto"/>
            <w:vAlign w:val="center"/>
          </w:tcPr>
          <w:p w14:paraId="28E42C64">
            <w:pPr>
              <w:widowControl w:val="0"/>
              <w:kinsoku/>
              <w:topLinePunct/>
              <w:autoSpaceDE/>
              <w:spacing w:line="360" w:lineRule="auto"/>
              <w:jc w:val="both"/>
              <w:textAlignment w:val="auto"/>
              <w:rPr>
                <w:rFonts w:hint="eastAsia" w:ascii="宋体" w:hAnsi="宋体" w:eastAsia="宋体" w:cs="宋体"/>
                <w:color w:val="auto"/>
                <w:sz w:val="20"/>
                <w:szCs w:val="20"/>
                <w:highlight w:val="none"/>
                <w:shd w:val="clear" w:color="auto" w:fill="FFFFFF"/>
                <w:lang w:eastAsia="zh-CN"/>
              </w:rPr>
            </w:pPr>
            <w:r>
              <w:rPr>
                <w:rFonts w:hint="eastAsia" w:ascii="宋体" w:hAnsi="宋体" w:eastAsia="宋体" w:cs="宋体"/>
                <w:color w:val="auto"/>
                <w:sz w:val="20"/>
                <w:szCs w:val="20"/>
                <w:highlight w:val="none"/>
                <w:shd w:val="clear" w:color="auto" w:fill="FFFFFF"/>
                <w:lang w:val="en-US" w:eastAsia="zh-CN"/>
              </w:rPr>
              <w:t>类型：水洗石英砂；</w:t>
            </w:r>
            <w:r>
              <w:rPr>
                <w:rFonts w:hint="eastAsia" w:ascii="宋体" w:hAnsi="宋体" w:eastAsia="宋体" w:cs="宋体"/>
                <w:color w:val="auto"/>
                <w:sz w:val="20"/>
                <w:szCs w:val="20"/>
                <w:highlight w:val="none"/>
                <w:shd w:val="clear" w:color="auto" w:fill="FFFFFF"/>
                <w:lang w:eastAsia="zh-CN"/>
              </w:rPr>
              <w:t>粒径范围:粒径应为0.5 mm</w:t>
            </w:r>
            <w:r>
              <w:rPr>
                <w:rFonts w:hint="eastAsia" w:ascii="宋体" w:hAnsi="宋体" w:eastAsia="宋体" w:cs="宋体"/>
                <w:color w:val="auto"/>
                <w:sz w:val="20"/>
                <w:szCs w:val="20"/>
                <w:highlight w:val="none"/>
                <w:shd w:val="clear" w:color="auto" w:fill="FFFFFF"/>
                <w:lang w:val="en-US" w:eastAsia="zh-CN"/>
              </w:rPr>
              <w:t>-</w:t>
            </w:r>
            <w:r>
              <w:rPr>
                <w:rFonts w:hint="eastAsia" w:ascii="宋体" w:hAnsi="宋体" w:eastAsia="宋体" w:cs="宋体"/>
                <w:color w:val="auto"/>
                <w:sz w:val="20"/>
                <w:szCs w:val="20"/>
                <w:highlight w:val="none"/>
                <w:shd w:val="clear" w:color="auto" w:fill="FFFFFF"/>
                <w:lang w:eastAsia="zh-CN"/>
              </w:rPr>
              <w:t>1.5 mm(20目</w:t>
            </w:r>
            <w:r>
              <w:rPr>
                <w:rFonts w:hint="eastAsia" w:ascii="宋体" w:hAnsi="宋体" w:eastAsia="宋体" w:cs="宋体"/>
                <w:color w:val="auto"/>
                <w:sz w:val="20"/>
                <w:szCs w:val="20"/>
                <w:highlight w:val="none"/>
                <w:shd w:val="clear" w:color="auto" w:fill="FFFFFF"/>
                <w:lang w:val="en-US" w:eastAsia="zh-CN"/>
              </w:rPr>
              <w:t>-</w:t>
            </w:r>
            <w:r>
              <w:rPr>
                <w:rFonts w:hint="eastAsia" w:ascii="宋体" w:hAnsi="宋体" w:eastAsia="宋体" w:cs="宋体"/>
                <w:color w:val="auto"/>
                <w:sz w:val="20"/>
                <w:szCs w:val="20"/>
                <w:highlight w:val="none"/>
                <w:shd w:val="clear" w:color="auto" w:fill="FFFFFF"/>
                <w:lang w:eastAsia="zh-CN"/>
              </w:rPr>
              <w:t>40目).0.5 mm筛下量占比不大于1%,1.5 mm筛上量占比不大于1%,颗粒形状：圆度≥80%，以圆形或多角形颗粒为主，避免片状、针状颗粒（易导致填充层疏松），棱角度 ≤15%，减少对草丝的磨损；填充量：</w:t>
            </w:r>
            <w:r>
              <w:rPr>
                <w:rFonts w:hint="eastAsia" w:ascii="宋体" w:hAnsi="宋体" w:eastAsia="宋体" w:cs="宋体"/>
                <w:color w:val="auto"/>
                <w:sz w:val="20"/>
                <w:szCs w:val="20"/>
                <w:highlight w:val="none"/>
                <w:shd w:val="clear" w:color="auto" w:fill="FFFFFF"/>
                <w:lang w:val="en-US" w:eastAsia="zh-CN"/>
              </w:rPr>
              <w:t>20-30</w:t>
            </w:r>
            <w:r>
              <w:rPr>
                <w:rFonts w:hint="eastAsia" w:ascii="宋体" w:hAnsi="宋体" w:eastAsia="宋体" w:cs="宋体"/>
                <w:sz w:val="20"/>
                <w:szCs w:val="20"/>
                <w:highlight w:val="none"/>
                <w:lang w:val="en-US" w:eastAsia="zh-CN"/>
              </w:rPr>
              <w:t>kg/m2</w:t>
            </w:r>
            <w:r>
              <w:rPr>
                <w:rFonts w:hint="eastAsia" w:ascii="宋体" w:hAnsi="宋体" w:eastAsia="宋体" w:cs="宋体"/>
                <w:color w:val="auto"/>
                <w:sz w:val="20"/>
                <w:szCs w:val="20"/>
                <w:highlight w:val="none"/>
                <w:shd w:val="clear" w:color="auto" w:fill="FFFFFF"/>
                <w:lang w:eastAsia="zh-CN"/>
              </w:rPr>
              <w:t>）；二氧化硅(SiO2)含量应不小于90%。</w:t>
            </w:r>
          </w:p>
        </w:tc>
      </w:tr>
    </w:tbl>
    <w:p w14:paraId="70D03B50">
      <w:pPr>
        <w:widowControl w:val="0"/>
        <w:numPr>
          <w:ilvl w:val="0"/>
          <w:numId w:val="0"/>
        </w:numPr>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eastAsia="zh-CN"/>
        </w:rPr>
      </w:pPr>
      <w:r>
        <w:rPr>
          <w:rFonts w:hint="eastAsia" w:ascii="宋体" w:hAnsi="宋体" w:eastAsia="宋体" w:cs="宋体"/>
          <w:b/>
          <w:bCs/>
          <w:color w:val="auto"/>
          <w:sz w:val="20"/>
          <w:szCs w:val="20"/>
          <w:highlight w:val="none"/>
          <w:shd w:val="clear" w:color="auto" w:fill="FFFFFF"/>
          <w:lang w:val="en-US" w:eastAsia="zh-CN"/>
        </w:rPr>
        <w:t>3、</w:t>
      </w:r>
      <w:r>
        <w:rPr>
          <w:rFonts w:hint="eastAsia" w:ascii="宋体" w:hAnsi="宋体" w:eastAsia="宋体" w:cs="宋体"/>
          <w:b/>
          <w:bCs/>
          <w:color w:val="auto"/>
          <w:sz w:val="20"/>
          <w:szCs w:val="20"/>
          <w:highlight w:val="none"/>
          <w:shd w:val="clear" w:color="auto" w:fill="FFFFFF"/>
          <w:lang w:eastAsia="zh-CN"/>
        </w:rPr>
        <w:t>人造草坪填充料环保颗粒技术参数</w:t>
      </w:r>
    </w:p>
    <w:p w14:paraId="79810AC8">
      <w:pPr>
        <w:widowControl w:val="0"/>
        <w:numPr>
          <w:ilvl w:val="0"/>
          <w:numId w:val="0"/>
        </w:numPr>
        <w:kinsoku/>
        <w:topLinePunct/>
        <w:autoSpaceDE/>
        <w:spacing w:line="360" w:lineRule="auto"/>
        <w:ind w:firstLine="402" w:firstLineChars="200"/>
        <w:textAlignment w:val="auto"/>
        <w:rPr>
          <w:rFonts w:hint="default"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（1）基本参数要求</w:t>
      </w:r>
    </w:p>
    <w:tbl>
      <w:tblPr>
        <w:tblStyle w:val="2"/>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50"/>
        <w:gridCol w:w="5730"/>
      </w:tblGrid>
      <w:tr w14:paraId="48108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jc w:val="center"/>
        </w:trPr>
        <w:tc>
          <w:tcPr>
            <w:tcW w:w="3450" w:type="dxa"/>
            <w:noWrap w:val="0"/>
            <w:vAlign w:val="center"/>
          </w:tcPr>
          <w:p w14:paraId="559E0371">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材质</w:t>
            </w:r>
          </w:p>
        </w:tc>
        <w:tc>
          <w:tcPr>
            <w:tcW w:w="5730" w:type="dxa"/>
            <w:noWrap w:val="0"/>
            <w:vAlign w:val="center"/>
          </w:tcPr>
          <w:p w14:paraId="46EB12D7">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sz w:val="20"/>
                <w:szCs w:val="20"/>
              </w:rPr>
              <w:t>100% 原生 EPDM 三元乙丙橡胶，无再生胶、无废胶粉填充</w:t>
            </w:r>
          </w:p>
        </w:tc>
      </w:tr>
      <w:tr w14:paraId="0476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jc w:val="center"/>
        </w:trPr>
        <w:tc>
          <w:tcPr>
            <w:tcW w:w="3450" w:type="dxa"/>
            <w:noWrap w:val="0"/>
            <w:vAlign w:val="center"/>
          </w:tcPr>
          <w:p w14:paraId="40E2FFFE">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形状</w:t>
            </w:r>
          </w:p>
        </w:tc>
        <w:tc>
          <w:tcPr>
            <w:tcW w:w="5730" w:type="dxa"/>
            <w:noWrap w:val="0"/>
            <w:vAlign w:val="center"/>
          </w:tcPr>
          <w:p w14:paraId="727271A3">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sz w:val="20"/>
                <w:szCs w:val="20"/>
              </w:rPr>
              <w:t>圆润短圆柱状，无尖锐棱角、无片状 / 针状 / 碎石状破碎颗粒</w:t>
            </w:r>
          </w:p>
        </w:tc>
      </w:tr>
      <w:tr w14:paraId="00BF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jc w:val="center"/>
        </w:trPr>
        <w:tc>
          <w:tcPr>
            <w:tcW w:w="3450" w:type="dxa"/>
            <w:noWrap w:val="0"/>
            <w:vAlign w:val="center"/>
          </w:tcPr>
          <w:p w14:paraId="387A05F5">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颜色</w:t>
            </w:r>
          </w:p>
        </w:tc>
        <w:tc>
          <w:tcPr>
            <w:tcW w:w="5730" w:type="dxa"/>
            <w:noWrap w:val="0"/>
            <w:vAlign w:val="center"/>
          </w:tcPr>
          <w:p w14:paraId="2692B492">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sz w:val="20"/>
                <w:szCs w:val="20"/>
              </w:rPr>
              <w:t>绿色，颜色均匀一致，无明显色差，耐晒色牢度≥4 级</w:t>
            </w:r>
          </w:p>
        </w:tc>
      </w:tr>
      <w:tr w14:paraId="049F0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exact"/>
          <w:jc w:val="center"/>
        </w:trPr>
        <w:tc>
          <w:tcPr>
            <w:tcW w:w="3450" w:type="dxa"/>
            <w:noWrap w:val="0"/>
            <w:vAlign w:val="center"/>
          </w:tcPr>
          <w:p w14:paraId="281B900B">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规格</w:t>
            </w:r>
          </w:p>
        </w:tc>
        <w:tc>
          <w:tcPr>
            <w:tcW w:w="5730" w:type="dxa"/>
            <w:noWrap w:val="0"/>
            <w:vAlign w:val="center"/>
          </w:tcPr>
          <w:p w14:paraId="107792CA">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sz w:val="20"/>
                <w:szCs w:val="20"/>
              </w:rPr>
              <w:t>圆柱直径 2.0-3.0mm，颗粒长度 2.0-3.0mm，长径比 1:1±0.2，粒径允许偏差 ±0.2mm，级配均匀</w:t>
            </w:r>
          </w:p>
        </w:tc>
      </w:tr>
      <w:tr w14:paraId="13D6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3450" w:type="dxa"/>
            <w:noWrap w:val="0"/>
            <w:vAlign w:val="center"/>
          </w:tcPr>
          <w:p w14:paraId="064A2541">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耐高温</w:t>
            </w:r>
          </w:p>
        </w:tc>
        <w:tc>
          <w:tcPr>
            <w:tcW w:w="5730" w:type="dxa"/>
            <w:noWrap w:val="0"/>
            <w:vAlign w:val="center"/>
          </w:tcPr>
          <w:p w14:paraId="3071867D">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110℃</w:t>
            </w:r>
            <w:r>
              <w:rPr>
                <w:rFonts w:hint="eastAsia" w:ascii="宋体" w:hAnsi="宋体" w:eastAsia="宋体" w:cs="宋体"/>
                <w:sz w:val="20"/>
                <w:szCs w:val="20"/>
              </w:rPr>
              <w:t>无结块、无粘连、无明显变形、性能无明显衰减</w:t>
            </w:r>
          </w:p>
        </w:tc>
      </w:tr>
      <w:tr w14:paraId="27740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450" w:type="dxa"/>
            <w:noWrap w:val="0"/>
            <w:vAlign w:val="center"/>
          </w:tcPr>
          <w:p w14:paraId="1C3DEFD1">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耐低温</w:t>
            </w:r>
          </w:p>
        </w:tc>
        <w:tc>
          <w:tcPr>
            <w:tcW w:w="5730" w:type="dxa"/>
            <w:noWrap w:val="0"/>
            <w:vAlign w:val="center"/>
          </w:tcPr>
          <w:p w14:paraId="02813EEF">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-60℃</w:t>
            </w:r>
            <w:r>
              <w:rPr>
                <w:rFonts w:hint="eastAsia" w:ascii="宋体" w:hAnsi="宋体" w:eastAsia="宋体" w:cs="宋体"/>
                <w:sz w:val="20"/>
                <w:szCs w:val="20"/>
              </w:rPr>
              <w:t>无脆裂、无断裂、弹性无明显损失</w:t>
            </w:r>
          </w:p>
        </w:tc>
      </w:tr>
      <w:tr w14:paraId="664D1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jc w:val="center"/>
        </w:trPr>
        <w:tc>
          <w:tcPr>
            <w:tcW w:w="3450" w:type="dxa"/>
            <w:noWrap w:val="0"/>
            <w:vAlign w:val="center"/>
          </w:tcPr>
          <w:p w14:paraId="73083D2E">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高聚物含量</w:t>
            </w:r>
          </w:p>
        </w:tc>
        <w:tc>
          <w:tcPr>
            <w:tcW w:w="5730" w:type="dxa"/>
            <w:noWrap w:val="0"/>
            <w:vAlign w:val="center"/>
          </w:tcPr>
          <w:p w14:paraId="4B91C316">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jc w:val="center"/>
              <w:textAlignment w:val="auto"/>
              <w:outlineLvl w:val="9"/>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‌≥20%‌</w:t>
            </w:r>
          </w:p>
        </w:tc>
      </w:tr>
      <w:tr w14:paraId="49B9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450" w:type="dxa"/>
            <w:shd w:val="clear" w:color="auto" w:fill="auto"/>
            <w:noWrap w:val="0"/>
            <w:vAlign w:val="center"/>
          </w:tcPr>
          <w:p w14:paraId="0224193C">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EPDM颗粒填充量</w:t>
            </w:r>
          </w:p>
        </w:tc>
        <w:tc>
          <w:tcPr>
            <w:tcW w:w="5730" w:type="dxa"/>
            <w:shd w:val="clear" w:color="auto" w:fill="auto"/>
            <w:noWrap w:val="0"/>
            <w:vAlign w:val="center"/>
          </w:tcPr>
          <w:p w14:paraId="7CB5EE44">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每平方6-8kg</w:t>
            </w:r>
          </w:p>
        </w:tc>
      </w:tr>
    </w:tbl>
    <w:p w14:paraId="197E3758">
      <w:pPr>
        <w:widowControl w:val="0"/>
        <w:kinsoku/>
        <w:topLinePunct/>
        <w:autoSpaceDE/>
        <w:spacing w:line="360" w:lineRule="auto"/>
        <w:ind w:firstLine="402" w:firstLineChars="200"/>
        <w:textAlignment w:val="auto"/>
        <w:rPr>
          <w:rFonts w:hint="default"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w:t>
      </w:r>
      <w:r>
        <w:rPr>
          <w:rFonts w:hint="eastAsia" w:ascii="宋体" w:hAnsi="宋体" w:cs="宋体"/>
          <w:b/>
          <w:bCs/>
          <w:color w:val="auto"/>
          <w:sz w:val="20"/>
          <w:szCs w:val="20"/>
          <w:highlight w:val="none"/>
          <w:shd w:val="clear" w:color="auto" w:fill="FFFFFF"/>
          <w:lang w:val="en-US" w:eastAsia="zh-CN"/>
        </w:rPr>
        <w:t>2</w:t>
      </w:r>
      <w:r>
        <w:rPr>
          <w:rFonts w:hint="eastAsia" w:ascii="宋体" w:hAnsi="宋体" w:eastAsia="宋体" w:cs="宋体"/>
          <w:b/>
          <w:bCs/>
          <w:color w:val="auto"/>
          <w:sz w:val="20"/>
          <w:szCs w:val="20"/>
          <w:highlight w:val="none"/>
          <w:shd w:val="clear" w:color="auto" w:fill="FFFFFF"/>
          <w:lang w:val="en-US" w:eastAsia="zh-CN"/>
        </w:rPr>
        <w:t>）固体原料中有害物质限量及气味要求</w:t>
      </w:r>
    </w:p>
    <w:tbl>
      <w:tblPr>
        <w:tblStyle w:val="2"/>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060"/>
        <w:gridCol w:w="3060"/>
        <w:gridCol w:w="3060"/>
      </w:tblGrid>
      <w:tr w14:paraId="528AE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blHeader/>
          <w:jc w:val="center"/>
        </w:trPr>
        <w:tc>
          <w:tcPr>
            <w:tcW w:w="3060" w:type="dxa"/>
            <w:shd w:val="clear" w:color="auto" w:fill="auto"/>
            <w:tcMar>
              <w:top w:w="120" w:type="dxa"/>
              <w:left w:w="120" w:type="dxa"/>
              <w:bottom w:w="120" w:type="dxa"/>
              <w:right w:w="120" w:type="dxa"/>
            </w:tcMar>
            <w:vAlign w:val="center"/>
          </w:tcPr>
          <w:p w14:paraId="127471E9">
            <w:pPr>
              <w:keepNext w:val="0"/>
              <w:keepLines w:val="0"/>
              <w:widowControl/>
              <w:suppressLineNumbers w:val="0"/>
              <w:jc w:val="center"/>
              <w:rPr>
                <w:b/>
                <w:bCs/>
                <w:sz w:val="20"/>
                <w:szCs w:val="20"/>
              </w:rPr>
            </w:pPr>
            <w:r>
              <w:rPr>
                <w:rFonts w:ascii="宋体" w:hAnsi="宋体" w:eastAsia="宋体" w:cs="宋体"/>
                <w:b/>
                <w:bCs/>
                <w:kern w:val="0"/>
                <w:sz w:val="20"/>
                <w:szCs w:val="20"/>
                <w:lang w:val="en-US" w:eastAsia="zh-CN" w:bidi="ar"/>
              </w:rPr>
              <w:t>大类</w:t>
            </w:r>
          </w:p>
        </w:tc>
        <w:tc>
          <w:tcPr>
            <w:tcW w:w="3060" w:type="dxa"/>
            <w:shd w:val="clear" w:color="auto" w:fill="auto"/>
            <w:tcMar>
              <w:top w:w="120" w:type="dxa"/>
              <w:left w:w="120" w:type="dxa"/>
              <w:bottom w:w="120" w:type="dxa"/>
              <w:right w:w="120" w:type="dxa"/>
            </w:tcMar>
            <w:vAlign w:val="center"/>
          </w:tcPr>
          <w:p w14:paraId="00DE026D">
            <w:pPr>
              <w:keepNext w:val="0"/>
              <w:keepLines w:val="0"/>
              <w:widowControl/>
              <w:suppressLineNumbers w:val="0"/>
              <w:jc w:val="center"/>
              <w:rPr>
                <w:b/>
                <w:bCs/>
                <w:sz w:val="20"/>
                <w:szCs w:val="20"/>
              </w:rPr>
            </w:pPr>
            <w:r>
              <w:rPr>
                <w:rFonts w:ascii="宋体" w:hAnsi="宋体" w:eastAsia="宋体" w:cs="宋体"/>
                <w:b/>
                <w:bCs/>
                <w:kern w:val="0"/>
                <w:sz w:val="20"/>
                <w:szCs w:val="20"/>
                <w:lang w:val="en-US" w:eastAsia="zh-CN" w:bidi="ar"/>
              </w:rPr>
              <w:t>项目</w:t>
            </w:r>
          </w:p>
        </w:tc>
        <w:tc>
          <w:tcPr>
            <w:tcW w:w="3060" w:type="dxa"/>
            <w:shd w:val="clear" w:color="auto" w:fill="auto"/>
            <w:tcMar>
              <w:top w:w="120" w:type="dxa"/>
              <w:left w:w="120" w:type="dxa"/>
              <w:bottom w:w="120" w:type="dxa"/>
              <w:right w:w="120" w:type="dxa"/>
            </w:tcMar>
            <w:vAlign w:val="center"/>
          </w:tcPr>
          <w:p w14:paraId="11714CF3">
            <w:pPr>
              <w:keepNext w:val="0"/>
              <w:keepLines w:val="0"/>
              <w:widowControl/>
              <w:suppressLineNumbers w:val="0"/>
              <w:jc w:val="center"/>
              <w:rPr>
                <w:b/>
                <w:bCs/>
                <w:sz w:val="20"/>
                <w:szCs w:val="20"/>
              </w:rPr>
            </w:pPr>
            <w:r>
              <w:rPr>
                <w:rFonts w:ascii="宋体" w:hAnsi="宋体" w:eastAsia="宋体" w:cs="宋体"/>
                <w:b/>
                <w:bCs/>
                <w:kern w:val="0"/>
                <w:sz w:val="20"/>
                <w:szCs w:val="20"/>
                <w:lang w:val="en-US" w:eastAsia="zh-CN" w:bidi="ar"/>
              </w:rPr>
              <w:t>要求</w:t>
            </w:r>
          </w:p>
        </w:tc>
      </w:tr>
      <w:tr w14:paraId="7A3D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3060" w:type="dxa"/>
            <w:vMerge w:val="restart"/>
            <w:shd w:val="clear" w:color="auto" w:fill="auto"/>
            <w:tcMar>
              <w:top w:w="120" w:type="dxa"/>
              <w:left w:w="120" w:type="dxa"/>
              <w:bottom w:w="120" w:type="dxa"/>
              <w:right w:w="120" w:type="dxa"/>
            </w:tcMar>
            <w:vAlign w:val="center"/>
          </w:tcPr>
          <w:p w14:paraId="649FB220">
            <w:pPr>
              <w:keepNext w:val="0"/>
              <w:keepLines w:val="0"/>
              <w:widowControl/>
              <w:suppressLineNumbers w:val="0"/>
              <w:jc w:val="center"/>
              <w:rPr>
                <w:sz w:val="20"/>
                <w:szCs w:val="20"/>
              </w:rPr>
            </w:pPr>
            <w:r>
              <w:rPr>
                <w:rStyle w:val="5"/>
                <w:rFonts w:ascii="宋体" w:hAnsi="宋体" w:eastAsia="宋体" w:cs="宋体"/>
                <w:kern w:val="0"/>
                <w:sz w:val="20"/>
                <w:szCs w:val="20"/>
                <w:lang w:val="en-US" w:eastAsia="zh-CN" w:bidi="ar"/>
              </w:rPr>
              <w:t>有害物质含量</w:t>
            </w:r>
          </w:p>
        </w:tc>
        <w:tc>
          <w:tcPr>
            <w:tcW w:w="3060" w:type="dxa"/>
            <w:shd w:val="clear" w:color="auto" w:fill="auto"/>
            <w:tcMar>
              <w:top w:w="120" w:type="dxa"/>
              <w:left w:w="120" w:type="dxa"/>
              <w:bottom w:w="120" w:type="dxa"/>
              <w:right w:w="120" w:type="dxa"/>
            </w:tcMar>
            <w:vAlign w:val="center"/>
          </w:tcPr>
          <w:p w14:paraId="4DFD9382">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18 种多环芳烃总和ᵃ/(mg/kg)</w:t>
            </w:r>
          </w:p>
        </w:tc>
        <w:tc>
          <w:tcPr>
            <w:tcW w:w="3060" w:type="dxa"/>
            <w:shd w:val="clear" w:color="auto" w:fill="auto"/>
            <w:tcMar>
              <w:top w:w="120" w:type="dxa"/>
              <w:left w:w="120" w:type="dxa"/>
              <w:bottom w:w="120" w:type="dxa"/>
              <w:right w:w="120" w:type="dxa"/>
            </w:tcMar>
            <w:vAlign w:val="center"/>
          </w:tcPr>
          <w:p w14:paraId="48708CF9">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≤20ᵇ</w:t>
            </w:r>
          </w:p>
        </w:tc>
      </w:tr>
      <w:tr w14:paraId="38C0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060" w:type="dxa"/>
            <w:vMerge w:val="continue"/>
            <w:shd w:val="clear" w:color="auto" w:fill="auto"/>
            <w:tcMar>
              <w:top w:w="120" w:type="dxa"/>
              <w:left w:w="120" w:type="dxa"/>
              <w:bottom w:w="120" w:type="dxa"/>
              <w:right w:w="120" w:type="dxa"/>
            </w:tcMar>
            <w:vAlign w:val="center"/>
          </w:tcPr>
          <w:p w14:paraId="2F83FA06">
            <w:pPr>
              <w:jc w:val="center"/>
              <w:rPr>
                <w:rFonts w:hint="eastAsia" w:ascii="宋体"/>
                <w:sz w:val="20"/>
                <w:szCs w:val="20"/>
              </w:rPr>
            </w:pPr>
          </w:p>
        </w:tc>
        <w:tc>
          <w:tcPr>
            <w:tcW w:w="3060" w:type="dxa"/>
            <w:shd w:val="clear" w:color="auto" w:fill="auto"/>
            <w:tcMar>
              <w:top w:w="120" w:type="dxa"/>
              <w:left w:w="120" w:type="dxa"/>
              <w:bottom w:w="120" w:type="dxa"/>
              <w:right w:w="120" w:type="dxa"/>
            </w:tcMar>
            <w:vAlign w:val="center"/>
          </w:tcPr>
          <w:p w14:paraId="7E7EDE98">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苯并 [a] 芘 /(mg/kg)</w:t>
            </w:r>
          </w:p>
        </w:tc>
        <w:tc>
          <w:tcPr>
            <w:tcW w:w="3060" w:type="dxa"/>
            <w:shd w:val="clear" w:color="auto" w:fill="auto"/>
            <w:tcMar>
              <w:top w:w="120" w:type="dxa"/>
              <w:left w:w="120" w:type="dxa"/>
              <w:bottom w:w="120" w:type="dxa"/>
              <w:right w:w="120" w:type="dxa"/>
            </w:tcMar>
            <w:vAlign w:val="center"/>
          </w:tcPr>
          <w:p w14:paraId="60E4180D">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≤1.0</w:t>
            </w:r>
          </w:p>
        </w:tc>
      </w:tr>
      <w:tr w14:paraId="6FD44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060" w:type="dxa"/>
            <w:vMerge w:val="continue"/>
            <w:shd w:val="clear" w:color="auto" w:fill="auto"/>
            <w:tcMar>
              <w:top w:w="120" w:type="dxa"/>
              <w:left w:w="120" w:type="dxa"/>
              <w:bottom w:w="120" w:type="dxa"/>
              <w:right w:w="120" w:type="dxa"/>
            </w:tcMar>
            <w:vAlign w:val="center"/>
          </w:tcPr>
          <w:p w14:paraId="01053313">
            <w:pPr>
              <w:jc w:val="center"/>
              <w:rPr>
                <w:rFonts w:hint="eastAsia" w:ascii="宋体"/>
                <w:sz w:val="20"/>
                <w:szCs w:val="20"/>
              </w:rPr>
            </w:pPr>
          </w:p>
        </w:tc>
        <w:tc>
          <w:tcPr>
            <w:tcW w:w="3060" w:type="dxa"/>
            <w:shd w:val="clear" w:color="auto" w:fill="auto"/>
            <w:tcMar>
              <w:top w:w="120" w:type="dxa"/>
              <w:left w:w="120" w:type="dxa"/>
              <w:bottom w:w="120" w:type="dxa"/>
              <w:right w:w="120" w:type="dxa"/>
            </w:tcMar>
            <w:vAlign w:val="center"/>
          </w:tcPr>
          <w:p w14:paraId="45FB8744">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可溶性铅 /(mg/kg)</w:t>
            </w:r>
          </w:p>
        </w:tc>
        <w:tc>
          <w:tcPr>
            <w:tcW w:w="3060" w:type="dxa"/>
            <w:shd w:val="clear" w:color="auto" w:fill="auto"/>
            <w:tcMar>
              <w:top w:w="120" w:type="dxa"/>
              <w:left w:w="120" w:type="dxa"/>
              <w:bottom w:w="120" w:type="dxa"/>
              <w:right w:w="120" w:type="dxa"/>
            </w:tcMar>
            <w:vAlign w:val="center"/>
          </w:tcPr>
          <w:p w14:paraId="7F148512">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≤50</w:t>
            </w:r>
          </w:p>
        </w:tc>
      </w:tr>
      <w:tr w14:paraId="769F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060" w:type="dxa"/>
            <w:vMerge w:val="continue"/>
            <w:shd w:val="clear" w:color="auto" w:fill="auto"/>
            <w:tcMar>
              <w:top w:w="120" w:type="dxa"/>
              <w:left w:w="120" w:type="dxa"/>
              <w:bottom w:w="120" w:type="dxa"/>
              <w:right w:w="120" w:type="dxa"/>
            </w:tcMar>
            <w:vAlign w:val="center"/>
          </w:tcPr>
          <w:p w14:paraId="4BFD81AC">
            <w:pPr>
              <w:jc w:val="center"/>
              <w:rPr>
                <w:rFonts w:hint="eastAsia" w:ascii="宋体"/>
                <w:sz w:val="20"/>
                <w:szCs w:val="20"/>
              </w:rPr>
            </w:pPr>
          </w:p>
        </w:tc>
        <w:tc>
          <w:tcPr>
            <w:tcW w:w="3060" w:type="dxa"/>
            <w:shd w:val="clear" w:color="auto" w:fill="auto"/>
            <w:tcMar>
              <w:top w:w="120" w:type="dxa"/>
              <w:left w:w="120" w:type="dxa"/>
              <w:bottom w:w="120" w:type="dxa"/>
              <w:right w:w="120" w:type="dxa"/>
            </w:tcMar>
            <w:vAlign w:val="center"/>
          </w:tcPr>
          <w:p w14:paraId="44650545">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可溶性镉 /(mg/kg)</w:t>
            </w:r>
          </w:p>
        </w:tc>
        <w:tc>
          <w:tcPr>
            <w:tcW w:w="3060" w:type="dxa"/>
            <w:shd w:val="clear" w:color="auto" w:fill="auto"/>
            <w:tcMar>
              <w:top w:w="120" w:type="dxa"/>
              <w:left w:w="120" w:type="dxa"/>
              <w:bottom w:w="120" w:type="dxa"/>
              <w:right w:w="120" w:type="dxa"/>
            </w:tcMar>
            <w:vAlign w:val="center"/>
          </w:tcPr>
          <w:p w14:paraId="42897C70">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≤10</w:t>
            </w:r>
          </w:p>
        </w:tc>
      </w:tr>
      <w:tr w14:paraId="6BD1A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060" w:type="dxa"/>
            <w:vMerge w:val="continue"/>
            <w:shd w:val="clear" w:color="auto" w:fill="auto"/>
            <w:tcMar>
              <w:top w:w="120" w:type="dxa"/>
              <w:left w:w="120" w:type="dxa"/>
              <w:bottom w:w="120" w:type="dxa"/>
              <w:right w:w="120" w:type="dxa"/>
            </w:tcMar>
            <w:vAlign w:val="center"/>
          </w:tcPr>
          <w:p w14:paraId="31DCBBB9">
            <w:pPr>
              <w:jc w:val="center"/>
              <w:rPr>
                <w:rFonts w:hint="eastAsia" w:ascii="宋体"/>
                <w:sz w:val="20"/>
                <w:szCs w:val="20"/>
              </w:rPr>
            </w:pPr>
          </w:p>
        </w:tc>
        <w:tc>
          <w:tcPr>
            <w:tcW w:w="3060" w:type="dxa"/>
            <w:shd w:val="clear" w:color="auto" w:fill="auto"/>
            <w:tcMar>
              <w:top w:w="120" w:type="dxa"/>
              <w:left w:w="120" w:type="dxa"/>
              <w:bottom w:w="120" w:type="dxa"/>
              <w:right w:w="120" w:type="dxa"/>
            </w:tcMar>
            <w:vAlign w:val="center"/>
          </w:tcPr>
          <w:p w14:paraId="01CA3B87">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可溶性铬 /(mg/kg)</w:t>
            </w:r>
          </w:p>
        </w:tc>
        <w:tc>
          <w:tcPr>
            <w:tcW w:w="3060" w:type="dxa"/>
            <w:shd w:val="clear" w:color="auto" w:fill="auto"/>
            <w:tcMar>
              <w:top w:w="120" w:type="dxa"/>
              <w:left w:w="120" w:type="dxa"/>
              <w:bottom w:w="120" w:type="dxa"/>
              <w:right w:w="120" w:type="dxa"/>
            </w:tcMar>
            <w:vAlign w:val="center"/>
          </w:tcPr>
          <w:p w14:paraId="3BA565A3">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≤10</w:t>
            </w:r>
          </w:p>
        </w:tc>
      </w:tr>
      <w:tr w14:paraId="7143C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3060" w:type="dxa"/>
            <w:vMerge w:val="continue"/>
            <w:shd w:val="clear" w:color="auto" w:fill="auto"/>
            <w:tcMar>
              <w:top w:w="120" w:type="dxa"/>
              <w:left w:w="120" w:type="dxa"/>
              <w:bottom w:w="120" w:type="dxa"/>
              <w:right w:w="120" w:type="dxa"/>
            </w:tcMar>
            <w:vAlign w:val="center"/>
          </w:tcPr>
          <w:p w14:paraId="50C27697">
            <w:pPr>
              <w:jc w:val="center"/>
              <w:rPr>
                <w:rFonts w:hint="eastAsia" w:ascii="宋体"/>
                <w:sz w:val="20"/>
                <w:szCs w:val="20"/>
              </w:rPr>
            </w:pPr>
          </w:p>
        </w:tc>
        <w:tc>
          <w:tcPr>
            <w:tcW w:w="3060" w:type="dxa"/>
            <w:shd w:val="clear" w:color="auto" w:fill="auto"/>
            <w:tcMar>
              <w:top w:w="120" w:type="dxa"/>
              <w:left w:w="120" w:type="dxa"/>
              <w:bottom w:w="120" w:type="dxa"/>
              <w:right w:w="120" w:type="dxa"/>
            </w:tcMar>
            <w:vAlign w:val="center"/>
          </w:tcPr>
          <w:p w14:paraId="1DFAB6C4">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可溶性汞 /(mg/kg)</w:t>
            </w:r>
          </w:p>
        </w:tc>
        <w:tc>
          <w:tcPr>
            <w:tcW w:w="3060" w:type="dxa"/>
            <w:shd w:val="clear" w:color="auto" w:fill="auto"/>
            <w:tcMar>
              <w:top w:w="120" w:type="dxa"/>
              <w:left w:w="120" w:type="dxa"/>
              <w:bottom w:w="120" w:type="dxa"/>
              <w:right w:w="120" w:type="dxa"/>
            </w:tcMar>
            <w:vAlign w:val="center"/>
          </w:tcPr>
          <w:p w14:paraId="731C915E">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≤2</w:t>
            </w:r>
          </w:p>
        </w:tc>
      </w:tr>
      <w:tr w14:paraId="5FED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3060" w:type="dxa"/>
            <w:shd w:val="clear" w:color="auto" w:fill="auto"/>
            <w:tcMar>
              <w:top w:w="120" w:type="dxa"/>
              <w:left w:w="120" w:type="dxa"/>
              <w:bottom w:w="120" w:type="dxa"/>
              <w:right w:w="120" w:type="dxa"/>
            </w:tcMar>
            <w:vAlign w:val="center"/>
          </w:tcPr>
          <w:p w14:paraId="6882E457">
            <w:pPr>
              <w:keepNext w:val="0"/>
              <w:keepLines w:val="0"/>
              <w:widowControl/>
              <w:suppressLineNumbers w:val="0"/>
              <w:jc w:val="center"/>
              <w:rPr>
                <w:sz w:val="20"/>
                <w:szCs w:val="20"/>
              </w:rPr>
            </w:pPr>
            <w:r>
              <w:rPr>
                <w:rStyle w:val="5"/>
                <w:rFonts w:ascii="宋体" w:hAnsi="宋体" w:eastAsia="宋体" w:cs="宋体"/>
                <w:kern w:val="0"/>
                <w:sz w:val="20"/>
                <w:szCs w:val="20"/>
                <w:lang w:val="en-US" w:eastAsia="zh-CN" w:bidi="ar"/>
              </w:rPr>
              <w:t>气味</w:t>
            </w:r>
          </w:p>
        </w:tc>
        <w:tc>
          <w:tcPr>
            <w:tcW w:w="3060" w:type="dxa"/>
            <w:shd w:val="clear" w:color="auto" w:fill="auto"/>
            <w:tcMar>
              <w:top w:w="120" w:type="dxa"/>
              <w:left w:w="120" w:type="dxa"/>
              <w:bottom w:w="120" w:type="dxa"/>
              <w:right w:w="120" w:type="dxa"/>
            </w:tcMar>
            <w:vAlign w:val="center"/>
          </w:tcPr>
          <w:p w14:paraId="6A90D557">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气味等级ᵇ/ 级</w:t>
            </w:r>
          </w:p>
        </w:tc>
        <w:tc>
          <w:tcPr>
            <w:tcW w:w="3060" w:type="dxa"/>
            <w:shd w:val="clear" w:color="auto" w:fill="auto"/>
            <w:tcMar>
              <w:top w:w="120" w:type="dxa"/>
              <w:left w:w="120" w:type="dxa"/>
              <w:bottom w:w="120" w:type="dxa"/>
              <w:right w:w="120" w:type="dxa"/>
            </w:tcMar>
            <w:vAlign w:val="center"/>
          </w:tcPr>
          <w:p w14:paraId="2B0C6FCC">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≤3</w:t>
            </w:r>
          </w:p>
        </w:tc>
      </w:tr>
      <w:tr w14:paraId="07BE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9180" w:type="dxa"/>
            <w:gridSpan w:val="3"/>
            <w:shd w:val="clear" w:color="auto" w:fill="auto"/>
            <w:tcMar>
              <w:top w:w="120" w:type="dxa"/>
              <w:left w:w="120" w:type="dxa"/>
              <w:bottom w:w="120" w:type="dxa"/>
              <w:right w:w="120" w:type="dxa"/>
            </w:tcMar>
            <w:vAlign w:val="center"/>
          </w:tcPr>
          <w:p w14:paraId="43EED421">
            <w:pPr>
              <w:keepNext w:val="0"/>
              <w:keepLines w:val="0"/>
              <w:widowControl/>
              <w:suppressLineNumbers w:val="0"/>
              <w:jc w:val="left"/>
              <w:rPr>
                <w:rFonts w:hint="eastAsia" w:ascii="宋体" w:hAnsi="宋体" w:eastAsia="宋体" w:cs="宋体"/>
                <w:sz w:val="20"/>
                <w:szCs w:val="20"/>
              </w:rPr>
            </w:pPr>
            <w:r>
              <w:rPr>
                <w:rFonts w:hint="eastAsia" w:ascii="宋体" w:hAnsi="宋体" w:eastAsia="宋体" w:cs="宋体"/>
                <w:sz w:val="20"/>
                <w:szCs w:val="20"/>
              </w:rPr>
              <w:t xml:space="preserve">ᵃ 18 种多环芳烃的具体名称见 GB36246-2018《中小学合成材料面层运动场地》附录 B。 </w:t>
            </w:r>
          </w:p>
          <w:p w14:paraId="550BE0B9">
            <w:pPr>
              <w:keepNext w:val="0"/>
              <w:keepLines w:val="0"/>
              <w:widowControl/>
              <w:suppressLineNumbers w:val="0"/>
              <w:jc w:val="left"/>
              <w:rPr>
                <w:rFonts w:hint="eastAsia" w:ascii="宋体" w:hAnsi="宋体" w:eastAsia="宋体" w:cs="宋体"/>
                <w:kern w:val="0"/>
                <w:sz w:val="20"/>
                <w:szCs w:val="20"/>
                <w:lang w:val="en-US" w:eastAsia="zh-CN" w:bidi="ar"/>
              </w:rPr>
            </w:pPr>
            <w:r>
              <w:rPr>
                <w:rFonts w:hint="eastAsia" w:ascii="宋体" w:hAnsi="宋体" w:eastAsia="宋体" w:cs="宋体"/>
                <w:sz w:val="20"/>
                <w:szCs w:val="20"/>
              </w:rPr>
              <w:t>ᵇ 仅人造草面层填充用合成材料颗粒适用此项。</w:t>
            </w:r>
          </w:p>
        </w:tc>
      </w:tr>
    </w:tbl>
    <w:p w14:paraId="3FF2CCDC">
      <w:pPr>
        <w:widowControl w:val="0"/>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eastAsia="zh-CN"/>
        </w:rPr>
      </w:pPr>
      <w:r>
        <w:rPr>
          <w:rFonts w:hint="eastAsia" w:ascii="宋体" w:hAnsi="宋体" w:eastAsia="宋体" w:cs="宋体"/>
          <w:b/>
          <w:bCs/>
          <w:color w:val="auto"/>
          <w:sz w:val="20"/>
          <w:szCs w:val="20"/>
          <w:highlight w:val="none"/>
          <w:shd w:val="clear" w:color="auto" w:fill="FFFFFF"/>
          <w:lang w:val="en-US" w:eastAsia="zh-CN"/>
        </w:rPr>
        <w:t>4</w:t>
      </w:r>
      <w:r>
        <w:rPr>
          <w:rFonts w:hint="eastAsia" w:ascii="宋体" w:hAnsi="宋体" w:eastAsia="宋体" w:cs="宋体"/>
          <w:b/>
          <w:bCs/>
          <w:color w:val="auto"/>
          <w:sz w:val="20"/>
          <w:szCs w:val="20"/>
          <w:highlight w:val="none"/>
          <w:shd w:val="clear" w:color="auto" w:fill="FFFFFF"/>
          <w:lang w:eastAsia="zh-CN"/>
        </w:rPr>
        <w:t>、人造草坪胶水技术参数：</w:t>
      </w:r>
    </w:p>
    <w:p w14:paraId="72661916">
      <w:pPr>
        <w:widowControl w:val="0"/>
        <w:kinsoku/>
        <w:topLinePunct/>
        <w:autoSpaceDE/>
        <w:spacing w:line="360" w:lineRule="auto"/>
        <w:ind w:firstLine="402" w:firstLineChars="200"/>
        <w:textAlignment w:val="auto"/>
        <w:rPr>
          <w:rFonts w:hint="default"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eastAsia="zh-CN"/>
        </w:rPr>
        <w:t>（</w:t>
      </w:r>
      <w:r>
        <w:rPr>
          <w:rFonts w:hint="eastAsia" w:ascii="宋体" w:hAnsi="宋体" w:eastAsia="宋体" w:cs="宋体"/>
          <w:b/>
          <w:bCs/>
          <w:color w:val="auto"/>
          <w:sz w:val="20"/>
          <w:szCs w:val="20"/>
          <w:highlight w:val="none"/>
          <w:shd w:val="clear" w:color="auto" w:fill="FFFFFF"/>
          <w:lang w:val="en-US" w:eastAsia="zh-CN"/>
        </w:rPr>
        <w:t>1）基本参数要求</w:t>
      </w:r>
    </w:p>
    <w:tbl>
      <w:tblPr>
        <w:tblStyle w:val="2"/>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32"/>
        <w:gridCol w:w="5577"/>
      </w:tblGrid>
      <w:tr w14:paraId="75077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exact"/>
          <w:jc w:val="center"/>
        </w:trPr>
        <w:tc>
          <w:tcPr>
            <w:tcW w:w="3632" w:type="dxa"/>
            <w:shd w:val="clear" w:color="auto" w:fill="auto"/>
            <w:vAlign w:val="center"/>
          </w:tcPr>
          <w:p w14:paraId="20C68046">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eastAsia="zh-CN"/>
              </w:rPr>
            </w:pPr>
            <w:r>
              <w:rPr>
                <w:rFonts w:hint="eastAsia" w:ascii="宋体" w:hAnsi="宋体" w:eastAsia="宋体" w:cs="宋体"/>
                <w:color w:val="auto"/>
                <w:sz w:val="20"/>
                <w:szCs w:val="20"/>
                <w:highlight w:val="none"/>
                <w:shd w:val="clear" w:color="auto" w:fill="FFFFFF"/>
                <w:lang w:eastAsia="zh-CN"/>
              </w:rPr>
              <w:t>草坪胶水</w:t>
            </w:r>
          </w:p>
        </w:tc>
        <w:tc>
          <w:tcPr>
            <w:tcW w:w="5577" w:type="dxa"/>
            <w:shd w:val="clear" w:color="auto" w:fill="auto"/>
            <w:vAlign w:val="center"/>
          </w:tcPr>
          <w:p w14:paraId="677A3409">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eastAsia="zh-CN"/>
              </w:rPr>
            </w:pPr>
            <w:r>
              <w:rPr>
                <w:rFonts w:hint="eastAsia" w:ascii="宋体" w:hAnsi="宋体" w:eastAsia="宋体" w:cs="宋体"/>
                <w:sz w:val="20"/>
                <w:szCs w:val="20"/>
              </w:rPr>
              <w:t>双组份聚氨酯胶水</w:t>
            </w:r>
            <w:r>
              <w:rPr>
                <w:rFonts w:hint="eastAsia" w:ascii="宋体" w:hAnsi="宋体" w:cs="宋体"/>
                <w:sz w:val="20"/>
              </w:rPr>
              <w:t>，有害物质含量不得检出。</w:t>
            </w:r>
          </w:p>
        </w:tc>
      </w:tr>
    </w:tbl>
    <w:p w14:paraId="18E791F2">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2" w:firstLineChars="200"/>
        <w:textAlignment w:val="auto"/>
        <w:outlineLvl w:val="9"/>
        <w:rPr>
          <w:rFonts w:hint="default"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（2）非固体原料中有害物质限量要求ᵃ：</w:t>
      </w:r>
    </w:p>
    <w:tbl>
      <w:tblPr>
        <w:tblStyle w:val="2"/>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271"/>
        <w:gridCol w:w="3868"/>
        <w:gridCol w:w="3070"/>
      </w:tblGrid>
      <w:tr w14:paraId="18B7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jc w:val="center"/>
        </w:trPr>
        <w:tc>
          <w:tcPr>
            <w:tcW w:w="2271" w:type="dxa"/>
            <w:shd w:val="clear" w:color="auto" w:fill="auto"/>
            <w:tcMar>
              <w:top w:w="120" w:type="dxa"/>
              <w:left w:w="120" w:type="dxa"/>
              <w:bottom w:w="120" w:type="dxa"/>
              <w:right w:w="120" w:type="dxa"/>
            </w:tcMar>
            <w:vAlign w:val="center"/>
          </w:tcPr>
          <w:p w14:paraId="4579DDB2">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类别</w:t>
            </w:r>
          </w:p>
        </w:tc>
        <w:tc>
          <w:tcPr>
            <w:tcW w:w="3868" w:type="dxa"/>
            <w:shd w:val="clear" w:color="auto" w:fill="auto"/>
            <w:tcMar>
              <w:top w:w="120" w:type="dxa"/>
              <w:left w:w="120" w:type="dxa"/>
              <w:bottom w:w="120" w:type="dxa"/>
              <w:right w:w="120" w:type="dxa"/>
            </w:tcMar>
            <w:vAlign w:val="center"/>
          </w:tcPr>
          <w:p w14:paraId="52051649">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项目</w:t>
            </w:r>
          </w:p>
        </w:tc>
        <w:tc>
          <w:tcPr>
            <w:tcW w:w="3070" w:type="dxa"/>
            <w:shd w:val="clear" w:color="auto" w:fill="auto"/>
            <w:tcMar>
              <w:top w:w="120" w:type="dxa"/>
              <w:left w:w="120" w:type="dxa"/>
              <w:bottom w:w="120" w:type="dxa"/>
              <w:right w:w="120" w:type="dxa"/>
            </w:tcMar>
            <w:vAlign w:val="center"/>
          </w:tcPr>
          <w:p w14:paraId="54E3FDA1">
            <w:pPr>
              <w:keepNext w:val="0"/>
              <w:keepLines w:val="0"/>
              <w:widowControl/>
              <w:suppressLineNumbers w:val="0"/>
              <w:jc w:val="center"/>
              <w:rPr>
                <w:rFonts w:hint="eastAsia" w:ascii="宋体" w:hAnsi="宋体" w:eastAsia="宋体" w:cs="宋体"/>
                <w:b/>
                <w:bCs/>
                <w:sz w:val="20"/>
                <w:szCs w:val="20"/>
              </w:rPr>
            </w:pPr>
            <w:r>
              <w:rPr>
                <w:rFonts w:hint="eastAsia" w:ascii="宋体" w:hAnsi="宋体" w:eastAsia="宋体" w:cs="宋体"/>
                <w:b/>
                <w:bCs/>
                <w:kern w:val="0"/>
                <w:sz w:val="20"/>
                <w:szCs w:val="20"/>
                <w:lang w:val="en-US" w:eastAsia="zh-CN" w:bidi="ar"/>
              </w:rPr>
              <w:t>要求</w:t>
            </w:r>
          </w:p>
        </w:tc>
      </w:tr>
      <w:tr w14:paraId="63CA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restart"/>
            <w:shd w:val="clear" w:color="auto" w:fill="auto"/>
            <w:tcMar>
              <w:top w:w="120" w:type="dxa"/>
              <w:left w:w="120" w:type="dxa"/>
              <w:bottom w:w="120" w:type="dxa"/>
              <w:right w:w="120" w:type="dxa"/>
            </w:tcMar>
            <w:vAlign w:val="center"/>
          </w:tcPr>
          <w:p w14:paraId="41042C2F">
            <w:pPr>
              <w:keepNext w:val="0"/>
              <w:keepLines w:val="0"/>
              <w:widowControl/>
              <w:suppressLineNumbers w:val="0"/>
              <w:jc w:val="center"/>
              <w:rPr>
                <w:rFonts w:hint="eastAsia" w:ascii="宋体" w:hAnsi="宋体" w:eastAsia="宋体" w:cs="宋体"/>
                <w:sz w:val="20"/>
                <w:szCs w:val="20"/>
              </w:rPr>
            </w:pPr>
            <w:r>
              <w:rPr>
                <w:rStyle w:val="5"/>
                <w:rFonts w:hint="eastAsia" w:ascii="宋体" w:hAnsi="宋体" w:eastAsia="宋体" w:cs="宋体"/>
                <w:kern w:val="0"/>
                <w:sz w:val="20"/>
                <w:szCs w:val="20"/>
                <w:lang w:val="en-US" w:eastAsia="zh-CN" w:bidi="ar"/>
              </w:rPr>
              <w:t>有害物质含量</w:t>
            </w:r>
          </w:p>
        </w:tc>
        <w:tc>
          <w:tcPr>
            <w:tcW w:w="3868" w:type="dxa"/>
            <w:shd w:val="clear" w:color="auto" w:fill="auto"/>
            <w:tcMar>
              <w:top w:w="120" w:type="dxa"/>
              <w:left w:w="120" w:type="dxa"/>
              <w:bottom w:w="120" w:type="dxa"/>
              <w:right w:w="120" w:type="dxa"/>
            </w:tcMar>
            <w:vAlign w:val="center"/>
          </w:tcPr>
          <w:p w14:paraId="224FBDB1">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3 种邻苯二甲酸酯类化合物 (DBP、BBP、DEHP) 总和ᵇ/(g/kg)</w:t>
            </w:r>
          </w:p>
        </w:tc>
        <w:tc>
          <w:tcPr>
            <w:tcW w:w="3070" w:type="dxa"/>
            <w:shd w:val="clear" w:color="auto" w:fill="auto"/>
            <w:tcMar>
              <w:top w:w="120" w:type="dxa"/>
              <w:left w:w="120" w:type="dxa"/>
              <w:bottom w:w="120" w:type="dxa"/>
              <w:right w:w="120" w:type="dxa"/>
            </w:tcMar>
            <w:vAlign w:val="center"/>
          </w:tcPr>
          <w:p w14:paraId="6FE5F2DA">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23B06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766EC595">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02436411">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3 种邻苯二甲酸酯类化合物 (DNOP、DINP、DIDP) 总和ᵇ/(g/kg)</w:t>
            </w:r>
          </w:p>
        </w:tc>
        <w:tc>
          <w:tcPr>
            <w:tcW w:w="3070" w:type="dxa"/>
            <w:shd w:val="clear" w:color="auto" w:fill="auto"/>
            <w:tcMar>
              <w:top w:w="120" w:type="dxa"/>
              <w:left w:w="120" w:type="dxa"/>
              <w:bottom w:w="120" w:type="dxa"/>
              <w:right w:w="120" w:type="dxa"/>
            </w:tcMar>
            <w:vAlign w:val="center"/>
          </w:tcPr>
          <w:p w14:paraId="7EFC0B7F">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0D57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52C848D8">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2B7D6881">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短链氯化石蜡 (C10​-C13​)/(g/kg)</w:t>
            </w:r>
          </w:p>
        </w:tc>
        <w:tc>
          <w:tcPr>
            <w:tcW w:w="3070" w:type="dxa"/>
            <w:shd w:val="clear" w:color="auto" w:fill="auto"/>
            <w:tcMar>
              <w:top w:w="120" w:type="dxa"/>
              <w:left w:w="120" w:type="dxa"/>
              <w:bottom w:w="120" w:type="dxa"/>
              <w:right w:w="120" w:type="dxa"/>
            </w:tcMar>
            <w:vAlign w:val="center"/>
          </w:tcPr>
          <w:p w14:paraId="2260851B">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≤1.5</w:t>
            </w:r>
          </w:p>
        </w:tc>
      </w:tr>
      <w:tr w14:paraId="08E5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04AF9D75">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6328C6CE">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游离甲苯二异氰酸酯 (TDI) 和游离六亚甲基二异氰酸酯 (HDI) 总和 /(g/kg)</w:t>
            </w:r>
          </w:p>
        </w:tc>
        <w:tc>
          <w:tcPr>
            <w:tcW w:w="3070" w:type="dxa"/>
            <w:shd w:val="clear" w:color="auto" w:fill="auto"/>
            <w:tcMar>
              <w:top w:w="120" w:type="dxa"/>
              <w:left w:w="120" w:type="dxa"/>
              <w:bottom w:w="120" w:type="dxa"/>
              <w:right w:w="120" w:type="dxa"/>
            </w:tcMar>
            <w:vAlign w:val="center"/>
          </w:tcPr>
          <w:p w14:paraId="0641D71C">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40040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06ECF247">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219BA7FF">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挥发性有机化合物 /(g/L)</w:t>
            </w:r>
          </w:p>
        </w:tc>
        <w:tc>
          <w:tcPr>
            <w:tcW w:w="3070" w:type="dxa"/>
            <w:shd w:val="clear" w:color="auto" w:fill="auto"/>
            <w:tcMar>
              <w:top w:w="120" w:type="dxa"/>
              <w:left w:w="120" w:type="dxa"/>
              <w:bottom w:w="120" w:type="dxa"/>
              <w:right w:w="120" w:type="dxa"/>
            </w:tcMar>
            <w:vAlign w:val="center"/>
          </w:tcPr>
          <w:p w14:paraId="1F0BCB7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≤50</w:t>
            </w:r>
          </w:p>
        </w:tc>
      </w:tr>
      <w:tr w14:paraId="3FC4A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110E69EE">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75B2CEDC">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游离甲醛 /(g/kg)</w:t>
            </w:r>
          </w:p>
        </w:tc>
        <w:tc>
          <w:tcPr>
            <w:tcW w:w="3070" w:type="dxa"/>
            <w:shd w:val="clear" w:color="auto" w:fill="auto"/>
            <w:tcMar>
              <w:top w:w="120" w:type="dxa"/>
              <w:left w:w="120" w:type="dxa"/>
              <w:bottom w:w="120" w:type="dxa"/>
              <w:right w:w="120" w:type="dxa"/>
            </w:tcMar>
            <w:vAlign w:val="center"/>
          </w:tcPr>
          <w:p w14:paraId="783CA36B">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≤0.50</w:t>
            </w:r>
          </w:p>
        </w:tc>
      </w:tr>
      <w:tr w14:paraId="17F5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483A5AB1">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4736D048">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苯 /(g/kg)</w:t>
            </w:r>
          </w:p>
        </w:tc>
        <w:tc>
          <w:tcPr>
            <w:tcW w:w="3070" w:type="dxa"/>
            <w:shd w:val="clear" w:color="auto" w:fill="auto"/>
            <w:tcMar>
              <w:top w:w="120" w:type="dxa"/>
              <w:left w:w="120" w:type="dxa"/>
              <w:bottom w:w="120" w:type="dxa"/>
              <w:right w:w="120" w:type="dxa"/>
            </w:tcMar>
            <w:vAlign w:val="center"/>
          </w:tcPr>
          <w:p w14:paraId="441770C0">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≤0.05</w:t>
            </w:r>
          </w:p>
        </w:tc>
      </w:tr>
      <w:tr w14:paraId="56A6B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7815C17E">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166EF73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甲苯、二甲苯和乙苯总和 /(g/kg)</w:t>
            </w:r>
          </w:p>
        </w:tc>
        <w:tc>
          <w:tcPr>
            <w:tcW w:w="3070" w:type="dxa"/>
            <w:shd w:val="clear" w:color="auto" w:fill="auto"/>
            <w:tcMar>
              <w:top w:w="120" w:type="dxa"/>
              <w:left w:w="120" w:type="dxa"/>
              <w:bottom w:w="120" w:type="dxa"/>
              <w:right w:w="120" w:type="dxa"/>
            </w:tcMar>
            <w:vAlign w:val="center"/>
          </w:tcPr>
          <w:p w14:paraId="54EFA0BA">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3ED79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338A6E77">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2D6039D7">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可溶性铅 /(mg/kg)</w:t>
            </w:r>
          </w:p>
        </w:tc>
        <w:tc>
          <w:tcPr>
            <w:tcW w:w="3070" w:type="dxa"/>
            <w:shd w:val="clear" w:color="auto" w:fill="auto"/>
            <w:tcMar>
              <w:top w:w="120" w:type="dxa"/>
              <w:left w:w="120" w:type="dxa"/>
              <w:bottom w:w="120" w:type="dxa"/>
              <w:right w:w="120" w:type="dxa"/>
            </w:tcMar>
            <w:vAlign w:val="center"/>
          </w:tcPr>
          <w:p w14:paraId="65DDB964">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≤50</w:t>
            </w:r>
          </w:p>
        </w:tc>
      </w:tr>
      <w:tr w14:paraId="537A4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3819B6B1">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4E39984F">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可溶性镉 /(mg/kg)</w:t>
            </w:r>
          </w:p>
        </w:tc>
        <w:tc>
          <w:tcPr>
            <w:tcW w:w="3070" w:type="dxa"/>
            <w:shd w:val="clear" w:color="auto" w:fill="auto"/>
            <w:tcMar>
              <w:top w:w="120" w:type="dxa"/>
              <w:left w:w="120" w:type="dxa"/>
              <w:bottom w:w="120" w:type="dxa"/>
              <w:right w:w="120" w:type="dxa"/>
            </w:tcMar>
            <w:vAlign w:val="center"/>
          </w:tcPr>
          <w:p w14:paraId="53E675C3">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2216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32E5B534">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04605D9B">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可溶性铬 /(mg/kg)</w:t>
            </w:r>
          </w:p>
        </w:tc>
        <w:tc>
          <w:tcPr>
            <w:tcW w:w="3070" w:type="dxa"/>
            <w:shd w:val="clear" w:color="auto" w:fill="auto"/>
            <w:tcMar>
              <w:top w:w="120" w:type="dxa"/>
              <w:left w:w="120" w:type="dxa"/>
              <w:bottom w:w="120" w:type="dxa"/>
              <w:right w:w="120" w:type="dxa"/>
            </w:tcMar>
            <w:vAlign w:val="center"/>
          </w:tcPr>
          <w:p w14:paraId="4711655B">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≤10</w:t>
            </w:r>
          </w:p>
        </w:tc>
      </w:tr>
      <w:tr w14:paraId="3E24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271" w:type="dxa"/>
            <w:vMerge w:val="continue"/>
            <w:shd w:val="clear" w:color="auto" w:fill="auto"/>
            <w:tcMar>
              <w:top w:w="120" w:type="dxa"/>
              <w:left w:w="120" w:type="dxa"/>
              <w:bottom w:w="120" w:type="dxa"/>
              <w:right w:w="120" w:type="dxa"/>
            </w:tcMar>
            <w:vAlign w:val="center"/>
          </w:tcPr>
          <w:p w14:paraId="18EE69AE">
            <w:pPr>
              <w:jc w:val="center"/>
              <w:rPr>
                <w:rFonts w:hint="eastAsia" w:ascii="宋体" w:hAnsi="宋体" w:eastAsia="宋体" w:cs="宋体"/>
                <w:sz w:val="20"/>
                <w:szCs w:val="20"/>
              </w:rPr>
            </w:pPr>
          </w:p>
        </w:tc>
        <w:tc>
          <w:tcPr>
            <w:tcW w:w="3868" w:type="dxa"/>
            <w:shd w:val="clear" w:color="auto" w:fill="auto"/>
            <w:tcMar>
              <w:top w:w="120" w:type="dxa"/>
              <w:left w:w="120" w:type="dxa"/>
              <w:bottom w:w="120" w:type="dxa"/>
              <w:right w:w="120" w:type="dxa"/>
            </w:tcMar>
            <w:vAlign w:val="center"/>
          </w:tcPr>
          <w:p w14:paraId="31F98D55">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可溶性汞 /(mg/kg)</w:t>
            </w:r>
          </w:p>
        </w:tc>
        <w:tc>
          <w:tcPr>
            <w:tcW w:w="3070" w:type="dxa"/>
            <w:shd w:val="clear" w:color="auto" w:fill="auto"/>
            <w:tcMar>
              <w:top w:w="120" w:type="dxa"/>
              <w:left w:w="120" w:type="dxa"/>
              <w:bottom w:w="120" w:type="dxa"/>
              <w:right w:w="120" w:type="dxa"/>
            </w:tcMar>
            <w:vAlign w:val="center"/>
          </w:tcPr>
          <w:p w14:paraId="7D291E4E">
            <w:pPr>
              <w:keepNext w:val="0"/>
              <w:keepLines w:val="0"/>
              <w:widowControl/>
              <w:suppressLineNumbers w:val="0"/>
              <w:jc w:val="center"/>
              <w:rPr>
                <w:rFonts w:hint="eastAsia" w:ascii="宋体" w:hAnsi="宋体" w:eastAsia="宋体" w:cs="宋体"/>
                <w:sz w:val="20"/>
                <w:szCs w:val="20"/>
              </w:rPr>
            </w:pPr>
            <w:r>
              <w:rPr>
                <w:rFonts w:hint="eastAsia" w:ascii="宋体" w:hAnsi="宋体" w:eastAsia="宋体" w:cs="宋体"/>
                <w:kern w:val="0"/>
                <w:sz w:val="20"/>
                <w:szCs w:val="20"/>
                <w:lang w:val="en-US" w:eastAsia="zh-CN" w:bidi="ar"/>
              </w:rPr>
              <w:t>≤2</w:t>
            </w:r>
          </w:p>
        </w:tc>
      </w:tr>
      <w:tr w14:paraId="2C156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9209" w:type="dxa"/>
            <w:gridSpan w:val="3"/>
            <w:shd w:val="clear" w:color="auto" w:fill="auto"/>
            <w:tcMar>
              <w:top w:w="120" w:type="dxa"/>
              <w:left w:w="120" w:type="dxa"/>
              <w:bottom w:w="120" w:type="dxa"/>
              <w:right w:w="120" w:type="dxa"/>
            </w:tcMar>
            <w:vAlign w:val="center"/>
          </w:tcPr>
          <w:p w14:paraId="63A3BA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0"/>
                <w:szCs w:val="20"/>
              </w:rPr>
            </w:pPr>
            <w:r>
              <w:rPr>
                <w:rFonts w:ascii="宋体" w:hAnsi="宋体" w:eastAsia="宋体" w:cs="宋体"/>
                <w:color w:val="000000"/>
                <w:kern w:val="0"/>
                <w:sz w:val="20"/>
                <w:szCs w:val="20"/>
                <w:lang w:val="en-US" w:eastAsia="zh-CN" w:bidi="ar"/>
              </w:rPr>
              <w:t>ᵃ 多组分样品，在测试游离甲苯二异氰酸酯 (TDI) 和游离六亚甲基二异氰酸酯 (HDI) 总和时，应先检测固化剂样品中游离甲苯二异氰酸酯 (TDI) 和游离六亚甲基二异氰酸酯 (HDI) 含量，然后按产品明示的施工配比进行计算；其他检测项目按照产品明示的施工配比混合后测定。</w:t>
            </w:r>
          </w:p>
          <w:p w14:paraId="3EA37B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kern w:val="0"/>
                <w:sz w:val="20"/>
                <w:szCs w:val="20"/>
                <w:lang w:val="en-US" w:eastAsia="zh-CN" w:bidi="ar"/>
              </w:rPr>
            </w:pPr>
            <w:r>
              <w:rPr>
                <w:rFonts w:ascii="宋体" w:hAnsi="宋体" w:eastAsia="宋体" w:cs="宋体"/>
                <w:color w:val="000000"/>
                <w:kern w:val="0"/>
                <w:sz w:val="20"/>
                <w:szCs w:val="20"/>
                <w:lang w:val="en-US" w:eastAsia="zh-CN" w:bidi="ar"/>
              </w:rPr>
              <w:t>ᵇ 邻苯二甲酸酯类化合物的具体名称见</w:t>
            </w:r>
            <w:r>
              <w:rPr>
                <w:rFonts w:hint="eastAsia" w:ascii="宋体" w:hAnsi="宋体" w:eastAsia="宋体" w:cs="宋体"/>
                <w:sz w:val="20"/>
                <w:szCs w:val="20"/>
              </w:rPr>
              <w:t>GB36246-2018《中小学合成材料面层运动场地》</w:t>
            </w:r>
            <w:r>
              <w:rPr>
                <w:rFonts w:ascii="宋体" w:hAnsi="宋体" w:eastAsia="宋体" w:cs="宋体"/>
                <w:color w:val="000000"/>
                <w:kern w:val="0"/>
                <w:sz w:val="20"/>
                <w:szCs w:val="20"/>
                <w:lang w:val="en-US" w:eastAsia="zh-CN" w:bidi="ar"/>
              </w:rPr>
              <w:t>附录 A。</w:t>
            </w:r>
          </w:p>
        </w:tc>
      </w:tr>
    </w:tbl>
    <w:p w14:paraId="14E58784">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textAlignment w:val="auto"/>
        <w:outlineLvl w:val="9"/>
        <w:rPr>
          <w:rFonts w:hint="eastAsia" w:ascii="宋体" w:hAnsi="宋体" w:eastAsia="宋体" w:cs="宋体"/>
          <w:b/>
          <w:bCs/>
          <w:color w:val="auto"/>
          <w:sz w:val="20"/>
          <w:szCs w:val="20"/>
          <w:highlight w:val="none"/>
          <w:shd w:val="clear" w:color="auto" w:fill="FFFFFF"/>
          <w:lang w:val="en-US" w:eastAsia="zh-CN"/>
        </w:rPr>
      </w:pPr>
    </w:p>
    <w:p w14:paraId="0C95EF4B">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2、篮球场投光灯技术参数</w:t>
      </w:r>
    </w:p>
    <w:tbl>
      <w:tblPr>
        <w:tblStyle w:val="2"/>
        <w:tblW w:w="53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118"/>
        <w:gridCol w:w="2838"/>
        <w:gridCol w:w="4267"/>
      </w:tblGrid>
      <w:tr w14:paraId="2DDDC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jc w:val="center"/>
        </w:trPr>
        <w:tc>
          <w:tcPr>
            <w:tcW w:w="1148" w:type="pct"/>
            <w:shd w:val="clear" w:color="auto" w:fill="auto"/>
            <w:tcMar>
              <w:top w:w="120" w:type="dxa"/>
              <w:left w:w="120" w:type="dxa"/>
              <w:bottom w:w="120" w:type="dxa"/>
              <w:right w:w="120" w:type="dxa"/>
            </w:tcMar>
            <w:vAlign w:val="center"/>
          </w:tcPr>
          <w:p w14:paraId="66977A35">
            <w:pPr>
              <w:keepNext w:val="0"/>
              <w:keepLines w:val="0"/>
              <w:widowControl/>
              <w:suppressLineNumbers w:val="0"/>
              <w:jc w:val="center"/>
              <w:rPr>
                <w:b/>
                <w:bCs/>
                <w:sz w:val="20"/>
                <w:szCs w:val="20"/>
              </w:rPr>
            </w:pPr>
            <w:r>
              <w:rPr>
                <w:rFonts w:ascii="宋体" w:hAnsi="宋体" w:eastAsia="宋体" w:cs="宋体"/>
                <w:b/>
                <w:bCs/>
                <w:kern w:val="0"/>
                <w:sz w:val="20"/>
                <w:szCs w:val="20"/>
                <w:lang w:val="en-US" w:eastAsia="zh-CN" w:bidi="ar"/>
              </w:rPr>
              <w:t>名称</w:t>
            </w:r>
          </w:p>
        </w:tc>
        <w:tc>
          <w:tcPr>
            <w:tcW w:w="1538" w:type="pct"/>
            <w:shd w:val="clear" w:color="auto" w:fill="auto"/>
            <w:tcMar>
              <w:top w:w="120" w:type="dxa"/>
              <w:left w:w="120" w:type="dxa"/>
              <w:bottom w:w="120" w:type="dxa"/>
              <w:right w:w="120" w:type="dxa"/>
            </w:tcMar>
            <w:vAlign w:val="center"/>
          </w:tcPr>
          <w:p w14:paraId="2F8A597B">
            <w:pPr>
              <w:keepNext w:val="0"/>
              <w:keepLines w:val="0"/>
              <w:widowControl/>
              <w:suppressLineNumbers w:val="0"/>
              <w:jc w:val="center"/>
              <w:rPr>
                <w:b/>
                <w:bCs/>
                <w:sz w:val="20"/>
                <w:szCs w:val="20"/>
              </w:rPr>
            </w:pPr>
            <w:r>
              <w:rPr>
                <w:rFonts w:hint="eastAsia" w:ascii="宋体" w:hAnsi="宋体" w:cs="宋体"/>
                <w:b/>
                <w:bCs/>
                <w:kern w:val="0"/>
                <w:sz w:val="20"/>
                <w:szCs w:val="20"/>
                <w:lang w:val="en-US" w:eastAsia="zh-CN" w:bidi="ar"/>
              </w:rPr>
              <w:t>项目</w:t>
            </w:r>
          </w:p>
        </w:tc>
        <w:tc>
          <w:tcPr>
            <w:tcW w:w="2313" w:type="pct"/>
            <w:shd w:val="clear" w:color="auto" w:fill="auto"/>
            <w:tcMar>
              <w:top w:w="120" w:type="dxa"/>
              <w:left w:w="120" w:type="dxa"/>
              <w:bottom w:w="120" w:type="dxa"/>
              <w:right w:w="120" w:type="dxa"/>
            </w:tcMar>
            <w:vAlign w:val="center"/>
          </w:tcPr>
          <w:p w14:paraId="67F57C70">
            <w:pPr>
              <w:keepNext w:val="0"/>
              <w:keepLines w:val="0"/>
              <w:widowControl/>
              <w:suppressLineNumbers w:val="0"/>
              <w:jc w:val="center"/>
              <w:rPr>
                <w:rFonts w:hint="default" w:ascii="宋体" w:hAnsi="宋体" w:eastAsia="宋体" w:cs="宋体"/>
                <w:b/>
                <w:bCs/>
                <w:kern w:val="0"/>
                <w:sz w:val="20"/>
                <w:szCs w:val="20"/>
                <w:lang w:val="en-US" w:eastAsia="zh-CN" w:bidi="ar"/>
              </w:rPr>
            </w:pPr>
            <w:r>
              <w:rPr>
                <w:rFonts w:hint="eastAsia" w:ascii="宋体" w:hAnsi="宋体" w:cs="宋体"/>
                <w:b/>
                <w:bCs/>
                <w:kern w:val="0"/>
                <w:sz w:val="20"/>
                <w:szCs w:val="20"/>
                <w:lang w:val="en-US" w:eastAsia="zh-CN" w:bidi="ar"/>
              </w:rPr>
              <w:t>要求</w:t>
            </w:r>
          </w:p>
        </w:tc>
      </w:tr>
      <w:tr w14:paraId="08291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restart"/>
            <w:shd w:val="clear" w:color="auto" w:fill="auto"/>
            <w:tcMar>
              <w:top w:w="120" w:type="dxa"/>
              <w:left w:w="120" w:type="dxa"/>
              <w:bottom w:w="120" w:type="dxa"/>
              <w:right w:w="120" w:type="dxa"/>
            </w:tcMar>
            <w:vAlign w:val="center"/>
          </w:tcPr>
          <w:p w14:paraId="758D4E5A">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投光灯</w:t>
            </w:r>
          </w:p>
        </w:tc>
        <w:tc>
          <w:tcPr>
            <w:tcW w:w="1538" w:type="pct"/>
            <w:shd w:val="clear" w:color="auto" w:fill="auto"/>
            <w:tcMar>
              <w:top w:w="120" w:type="dxa"/>
              <w:left w:w="120" w:type="dxa"/>
              <w:bottom w:w="120" w:type="dxa"/>
              <w:right w:w="120" w:type="dxa"/>
            </w:tcMar>
            <w:vAlign w:val="center"/>
          </w:tcPr>
          <w:p w14:paraId="41E553D3">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灯具</w:t>
            </w:r>
          </w:p>
        </w:tc>
        <w:tc>
          <w:tcPr>
            <w:tcW w:w="2313" w:type="pct"/>
            <w:shd w:val="clear" w:color="auto" w:fill="auto"/>
            <w:tcMar>
              <w:top w:w="120" w:type="dxa"/>
              <w:left w:w="120" w:type="dxa"/>
              <w:bottom w:w="120" w:type="dxa"/>
              <w:right w:w="120" w:type="dxa"/>
            </w:tcMar>
            <w:vAlign w:val="center"/>
          </w:tcPr>
          <w:p w14:paraId="1404E11C">
            <w:pPr>
              <w:keepNext w:val="0"/>
              <w:keepLines w:val="0"/>
              <w:widowControl/>
              <w:suppressLineNumbers w:val="0"/>
              <w:jc w:val="center"/>
              <w:rPr>
                <w:rFonts w:ascii="宋体" w:hAnsi="宋体" w:eastAsia="宋体" w:cs="宋体"/>
                <w:kern w:val="0"/>
                <w:sz w:val="20"/>
                <w:szCs w:val="20"/>
                <w:lang w:val="en-US" w:eastAsia="zh-CN" w:bidi="ar"/>
              </w:rPr>
            </w:pPr>
            <w:r>
              <w:rPr>
                <w:rFonts w:ascii="宋体" w:hAnsi="宋体" w:eastAsia="宋体" w:cs="宋体"/>
                <w:kern w:val="0"/>
                <w:sz w:val="20"/>
                <w:szCs w:val="20"/>
                <w:lang w:val="en-US" w:eastAsia="zh-CN" w:bidi="ar"/>
              </w:rPr>
              <w:t>投光灯</w:t>
            </w:r>
          </w:p>
        </w:tc>
      </w:tr>
      <w:tr w14:paraId="53E4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3E0DC0DD">
            <w:pPr>
              <w:keepNext w:val="0"/>
              <w:keepLines w:val="0"/>
              <w:widowControl/>
              <w:suppressLineNumbers w:val="0"/>
              <w:jc w:val="center"/>
              <w:rPr>
                <w:sz w:val="20"/>
                <w:szCs w:val="20"/>
              </w:rPr>
            </w:pPr>
          </w:p>
        </w:tc>
        <w:tc>
          <w:tcPr>
            <w:tcW w:w="1538" w:type="pct"/>
            <w:shd w:val="clear" w:color="auto" w:fill="auto"/>
            <w:tcMar>
              <w:top w:w="120" w:type="dxa"/>
              <w:left w:w="120" w:type="dxa"/>
              <w:bottom w:w="120" w:type="dxa"/>
              <w:right w:w="120" w:type="dxa"/>
            </w:tcMar>
            <w:vAlign w:val="center"/>
          </w:tcPr>
          <w:p w14:paraId="5B5858A4">
            <w:pPr>
              <w:keepNext w:val="0"/>
              <w:keepLines w:val="0"/>
              <w:widowControl/>
              <w:suppressLineNumbers w:val="0"/>
              <w:jc w:val="center"/>
              <w:rPr>
                <w:sz w:val="20"/>
                <w:szCs w:val="20"/>
              </w:rPr>
            </w:pPr>
            <w:r>
              <w:rPr>
                <w:rFonts w:ascii="宋体" w:hAnsi="宋体" w:eastAsia="宋体" w:cs="宋体"/>
                <w:kern w:val="0"/>
                <w:sz w:val="20"/>
                <w:szCs w:val="20"/>
                <w:lang w:val="en-US" w:eastAsia="zh-CN" w:bidi="ar"/>
              </w:rPr>
              <w:t>功率</w:t>
            </w:r>
          </w:p>
        </w:tc>
        <w:tc>
          <w:tcPr>
            <w:tcW w:w="2313" w:type="pct"/>
            <w:shd w:val="clear" w:color="auto" w:fill="auto"/>
            <w:tcMar>
              <w:top w:w="120" w:type="dxa"/>
              <w:left w:w="120" w:type="dxa"/>
              <w:bottom w:w="120" w:type="dxa"/>
              <w:right w:w="120" w:type="dxa"/>
            </w:tcMar>
            <w:vAlign w:val="center"/>
          </w:tcPr>
          <w:p w14:paraId="491607EA">
            <w:pPr>
              <w:keepNext w:val="0"/>
              <w:keepLines w:val="0"/>
              <w:widowControl/>
              <w:suppressLineNumbers w:val="0"/>
              <w:jc w:val="center"/>
              <w:rPr>
                <w:rFonts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双头灯:2X200W，四头灯:4X200W</w:t>
            </w:r>
          </w:p>
        </w:tc>
      </w:tr>
      <w:tr w14:paraId="66741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219CD199">
            <w:pPr>
              <w:keepNext w:val="0"/>
              <w:keepLines w:val="0"/>
              <w:widowControl/>
              <w:suppressLineNumbers w:val="0"/>
              <w:jc w:val="center"/>
              <w:rPr>
                <w:rFonts w:ascii="宋体" w:hAnsi="宋体" w:eastAsia="宋体" w:cs="宋体"/>
                <w:kern w:val="0"/>
                <w:sz w:val="20"/>
                <w:szCs w:val="20"/>
                <w:lang w:val="en-US" w:eastAsia="zh-CN" w:bidi="ar"/>
              </w:rPr>
            </w:pPr>
          </w:p>
        </w:tc>
        <w:tc>
          <w:tcPr>
            <w:tcW w:w="1538" w:type="pct"/>
            <w:shd w:val="clear" w:color="auto" w:fill="auto"/>
            <w:tcMar>
              <w:top w:w="120" w:type="dxa"/>
              <w:left w:w="120" w:type="dxa"/>
              <w:bottom w:w="120" w:type="dxa"/>
              <w:right w:w="120" w:type="dxa"/>
            </w:tcMar>
            <w:vAlign w:val="center"/>
          </w:tcPr>
          <w:p w14:paraId="31139E61">
            <w:pPr>
              <w:keepNext w:val="0"/>
              <w:keepLines w:val="0"/>
              <w:widowControl/>
              <w:suppressLineNumbers w:val="0"/>
              <w:jc w:val="center"/>
              <w:rPr>
                <w:rFonts w:ascii="宋体" w:hAnsi="宋体" w:eastAsia="宋体" w:cs="宋体"/>
                <w:kern w:val="0"/>
                <w:sz w:val="20"/>
                <w:szCs w:val="20"/>
                <w:lang w:val="en-US" w:eastAsia="zh-CN" w:bidi="ar"/>
              </w:rPr>
            </w:pPr>
            <w:r>
              <w:rPr>
                <w:rFonts w:ascii="宋体" w:hAnsi="宋体" w:eastAsia="宋体" w:cs="宋体"/>
                <w:kern w:val="0"/>
                <w:sz w:val="20"/>
                <w:szCs w:val="20"/>
                <w:lang w:val="en-US" w:eastAsia="zh-CN" w:bidi="ar"/>
              </w:rPr>
              <w:t>光源</w:t>
            </w:r>
          </w:p>
        </w:tc>
        <w:tc>
          <w:tcPr>
            <w:tcW w:w="2313" w:type="pct"/>
            <w:shd w:val="clear" w:color="auto" w:fill="auto"/>
            <w:tcMar>
              <w:top w:w="120" w:type="dxa"/>
              <w:left w:w="120" w:type="dxa"/>
              <w:bottom w:w="120" w:type="dxa"/>
              <w:right w:w="120" w:type="dxa"/>
            </w:tcMar>
            <w:vAlign w:val="center"/>
          </w:tcPr>
          <w:p w14:paraId="30461F1C">
            <w:pPr>
              <w:keepNext w:val="0"/>
              <w:keepLines w:val="0"/>
              <w:widowControl/>
              <w:suppressLineNumbers w:val="0"/>
              <w:jc w:val="center"/>
              <w:rPr>
                <w:rFonts w:ascii="宋体" w:hAnsi="宋体" w:eastAsia="宋体" w:cs="宋体"/>
                <w:kern w:val="0"/>
                <w:sz w:val="20"/>
                <w:szCs w:val="20"/>
                <w:lang w:val="en-US" w:eastAsia="zh-CN" w:bidi="ar"/>
              </w:rPr>
            </w:pPr>
            <w:r>
              <w:rPr>
                <w:rFonts w:ascii="宋体" w:hAnsi="宋体" w:eastAsia="宋体" w:cs="宋体"/>
                <w:kern w:val="0"/>
                <w:sz w:val="20"/>
                <w:szCs w:val="20"/>
                <w:lang w:val="en-US" w:eastAsia="zh-CN" w:bidi="ar"/>
              </w:rPr>
              <w:t>LED</w:t>
            </w:r>
          </w:p>
        </w:tc>
      </w:tr>
      <w:tr w14:paraId="08FD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15347BA5">
            <w:pPr>
              <w:keepNext w:val="0"/>
              <w:keepLines w:val="0"/>
              <w:widowControl/>
              <w:suppressLineNumbers w:val="0"/>
              <w:jc w:val="center"/>
              <w:rPr>
                <w:rFonts w:ascii="宋体" w:hAnsi="宋体" w:eastAsia="宋体" w:cs="宋体"/>
                <w:kern w:val="0"/>
                <w:sz w:val="20"/>
                <w:szCs w:val="20"/>
                <w:lang w:val="en-US" w:eastAsia="zh-CN" w:bidi="ar"/>
              </w:rPr>
            </w:pPr>
          </w:p>
        </w:tc>
        <w:tc>
          <w:tcPr>
            <w:tcW w:w="1538" w:type="pct"/>
            <w:shd w:val="clear" w:color="auto" w:fill="auto"/>
            <w:tcMar>
              <w:top w:w="120" w:type="dxa"/>
              <w:left w:w="120" w:type="dxa"/>
              <w:bottom w:w="120" w:type="dxa"/>
              <w:right w:w="120" w:type="dxa"/>
            </w:tcMar>
            <w:vAlign w:val="center"/>
          </w:tcPr>
          <w:p w14:paraId="66971988">
            <w:pPr>
              <w:keepNext w:val="0"/>
              <w:keepLines w:val="0"/>
              <w:widowControl/>
              <w:suppressLineNumbers w:val="0"/>
              <w:jc w:val="center"/>
              <w:rPr>
                <w:rFonts w:ascii="宋体" w:hAnsi="宋体" w:eastAsia="宋体" w:cs="宋体"/>
                <w:kern w:val="0"/>
                <w:sz w:val="20"/>
                <w:szCs w:val="20"/>
                <w:lang w:val="en-US" w:eastAsia="zh-CN" w:bidi="ar"/>
              </w:rPr>
            </w:pPr>
            <w:r>
              <w:rPr>
                <w:rFonts w:hint="eastAsia" w:ascii="宋体" w:hAnsi="宋体" w:eastAsia="宋体" w:cs="宋体"/>
                <w:kern w:val="0"/>
                <w:sz w:val="20"/>
                <w:szCs w:val="20"/>
                <w:lang w:val="en-US" w:eastAsia="zh-CN" w:bidi="ar"/>
              </w:rPr>
              <w:t>电压</w:t>
            </w:r>
          </w:p>
        </w:tc>
        <w:tc>
          <w:tcPr>
            <w:tcW w:w="2313" w:type="pct"/>
            <w:shd w:val="clear" w:color="auto" w:fill="auto"/>
            <w:tcMar>
              <w:top w:w="120" w:type="dxa"/>
              <w:left w:w="120" w:type="dxa"/>
              <w:bottom w:w="120" w:type="dxa"/>
              <w:right w:w="120" w:type="dxa"/>
            </w:tcMar>
            <w:vAlign w:val="center"/>
          </w:tcPr>
          <w:p w14:paraId="25E545B6">
            <w:pPr>
              <w:keepNext w:val="0"/>
              <w:keepLines w:val="0"/>
              <w:widowControl/>
              <w:suppressLineNumbers w:val="0"/>
              <w:jc w:val="center"/>
              <w:rPr>
                <w:rFonts w:ascii="宋体" w:hAnsi="宋体" w:eastAsia="宋体" w:cs="宋体"/>
                <w:kern w:val="0"/>
                <w:sz w:val="20"/>
                <w:szCs w:val="20"/>
                <w:lang w:val="en-US" w:eastAsia="zh-CN" w:bidi="ar"/>
              </w:rPr>
            </w:pPr>
            <w:r>
              <w:rPr>
                <w:rFonts w:ascii="宋体" w:hAnsi="宋体" w:eastAsia="宋体" w:cs="宋体"/>
                <w:kern w:val="0"/>
                <w:sz w:val="20"/>
                <w:szCs w:val="20"/>
                <w:lang w:val="en-US" w:eastAsia="zh-CN" w:bidi="ar"/>
              </w:rPr>
              <w:t>220V</w:t>
            </w:r>
          </w:p>
        </w:tc>
      </w:tr>
      <w:tr w14:paraId="0195F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7ADB5736">
            <w:pPr>
              <w:keepNext w:val="0"/>
              <w:keepLines w:val="0"/>
              <w:widowControl/>
              <w:suppressLineNumbers w:val="0"/>
              <w:jc w:val="center"/>
              <w:rPr>
                <w:rFonts w:ascii="宋体" w:hAnsi="宋体" w:eastAsia="宋体" w:cs="宋体"/>
                <w:kern w:val="0"/>
                <w:sz w:val="20"/>
                <w:szCs w:val="20"/>
                <w:lang w:val="en-US" w:eastAsia="zh-CN" w:bidi="ar"/>
              </w:rPr>
            </w:pPr>
          </w:p>
        </w:tc>
        <w:tc>
          <w:tcPr>
            <w:tcW w:w="1538" w:type="pct"/>
            <w:shd w:val="clear" w:color="auto" w:fill="auto"/>
            <w:tcMar>
              <w:top w:w="120" w:type="dxa"/>
              <w:left w:w="120" w:type="dxa"/>
              <w:bottom w:w="120" w:type="dxa"/>
              <w:right w:w="120" w:type="dxa"/>
            </w:tcMar>
            <w:vAlign w:val="center"/>
          </w:tcPr>
          <w:p w14:paraId="1759F594">
            <w:pPr>
              <w:keepNext w:val="0"/>
              <w:keepLines w:val="0"/>
              <w:widowControl/>
              <w:suppressLineNumbers w:val="0"/>
              <w:jc w:val="center"/>
              <w:rPr>
                <w:rFonts w:ascii="宋体" w:hAnsi="宋体" w:eastAsia="宋体" w:cs="宋体"/>
                <w:kern w:val="0"/>
                <w:sz w:val="20"/>
                <w:szCs w:val="20"/>
                <w:lang w:val="en-US" w:eastAsia="zh-CN" w:bidi="ar"/>
              </w:rPr>
            </w:pPr>
            <w:r>
              <w:rPr>
                <w:rFonts w:ascii="宋体" w:hAnsi="宋体" w:eastAsia="宋体" w:cs="宋体"/>
                <w:kern w:val="0"/>
                <w:sz w:val="20"/>
                <w:szCs w:val="20"/>
                <w:lang w:val="en-US" w:eastAsia="zh-CN" w:bidi="ar"/>
              </w:rPr>
              <w:t>光色 / 色温</w:t>
            </w:r>
          </w:p>
        </w:tc>
        <w:tc>
          <w:tcPr>
            <w:tcW w:w="2313" w:type="pct"/>
            <w:shd w:val="clear" w:color="auto" w:fill="auto"/>
            <w:tcMar>
              <w:top w:w="120" w:type="dxa"/>
              <w:left w:w="120" w:type="dxa"/>
              <w:bottom w:w="120" w:type="dxa"/>
              <w:right w:w="120" w:type="dxa"/>
            </w:tcMar>
            <w:vAlign w:val="center"/>
          </w:tcPr>
          <w:p w14:paraId="6254EEFC">
            <w:pPr>
              <w:keepNext w:val="0"/>
              <w:keepLines w:val="0"/>
              <w:widowControl/>
              <w:suppressLineNumbers w:val="0"/>
              <w:jc w:val="center"/>
              <w:rPr>
                <w:rFonts w:ascii="宋体" w:hAnsi="宋体" w:eastAsia="宋体" w:cs="宋体"/>
                <w:kern w:val="0"/>
                <w:sz w:val="20"/>
                <w:szCs w:val="20"/>
                <w:lang w:val="en-US" w:eastAsia="zh-CN" w:bidi="ar"/>
              </w:rPr>
            </w:pPr>
            <w:r>
              <w:rPr>
                <w:rFonts w:ascii="宋体" w:hAnsi="宋体" w:eastAsia="宋体" w:cs="宋体"/>
                <w:kern w:val="0"/>
                <w:sz w:val="20"/>
                <w:szCs w:val="20"/>
                <w:lang w:val="en-US" w:eastAsia="zh-CN" w:bidi="ar"/>
              </w:rPr>
              <w:t>5500K</w:t>
            </w:r>
          </w:p>
        </w:tc>
      </w:tr>
      <w:tr w14:paraId="0EA4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35D95B7A">
            <w:pPr>
              <w:keepNext w:val="0"/>
              <w:keepLines w:val="0"/>
              <w:widowControl/>
              <w:suppressLineNumbers w:val="0"/>
              <w:jc w:val="center"/>
              <w:rPr>
                <w:rFonts w:ascii="宋体" w:hAnsi="宋体" w:eastAsia="宋体" w:cs="宋体"/>
                <w:kern w:val="0"/>
                <w:sz w:val="20"/>
                <w:szCs w:val="20"/>
                <w:lang w:val="en-US" w:eastAsia="zh-CN" w:bidi="ar"/>
              </w:rPr>
            </w:pPr>
          </w:p>
        </w:tc>
        <w:tc>
          <w:tcPr>
            <w:tcW w:w="1538" w:type="pct"/>
            <w:shd w:val="clear" w:color="auto" w:fill="auto"/>
            <w:tcMar>
              <w:top w:w="120" w:type="dxa"/>
              <w:left w:w="120" w:type="dxa"/>
              <w:bottom w:w="120" w:type="dxa"/>
              <w:right w:w="120" w:type="dxa"/>
            </w:tcMar>
            <w:vAlign w:val="center"/>
          </w:tcPr>
          <w:p w14:paraId="631110BE">
            <w:pPr>
              <w:keepNext w:val="0"/>
              <w:keepLines w:val="0"/>
              <w:widowControl/>
              <w:suppressLineNumbers w:val="0"/>
              <w:jc w:val="center"/>
              <w:rPr>
                <w:rFonts w:ascii="宋体" w:hAnsi="宋体" w:eastAsia="宋体" w:cs="宋体"/>
                <w:kern w:val="0"/>
                <w:sz w:val="20"/>
                <w:szCs w:val="20"/>
                <w:lang w:val="en-US" w:eastAsia="zh-CN" w:bidi="ar"/>
              </w:rPr>
            </w:pPr>
            <w:r>
              <w:rPr>
                <w:rFonts w:hint="default" w:ascii="宋体" w:hAnsi="宋体" w:cs="宋体"/>
                <w:color w:val="auto"/>
                <w:sz w:val="20"/>
                <w:szCs w:val="20"/>
                <w:highlight w:val="none"/>
                <w:shd w:val="clear" w:color="auto" w:fill="FFFFFF"/>
                <w:lang w:val="en-US" w:eastAsia="zh-CN"/>
              </w:rPr>
              <w:t>照度</w:t>
            </w:r>
          </w:p>
        </w:tc>
        <w:tc>
          <w:tcPr>
            <w:tcW w:w="2313" w:type="pct"/>
            <w:shd w:val="clear" w:color="auto" w:fill="auto"/>
            <w:tcMar>
              <w:top w:w="120" w:type="dxa"/>
              <w:left w:w="120" w:type="dxa"/>
              <w:bottom w:w="120" w:type="dxa"/>
              <w:right w:w="120" w:type="dxa"/>
            </w:tcMar>
            <w:vAlign w:val="center"/>
          </w:tcPr>
          <w:p w14:paraId="03371F19">
            <w:pPr>
              <w:keepNext w:val="0"/>
              <w:keepLines w:val="0"/>
              <w:widowControl/>
              <w:suppressLineNumbers w:val="0"/>
              <w:jc w:val="center"/>
              <w:rPr>
                <w:rFonts w:hint="default" w:ascii="宋体" w:hAnsi="宋体" w:cs="宋体"/>
                <w:color w:val="auto"/>
                <w:sz w:val="20"/>
                <w:szCs w:val="20"/>
                <w:highlight w:val="none"/>
                <w:shd w:val="clear" w:color="auto" w:fill="FFFFFF"/>
                <w:lang w:val="en-US" w:eastAsia="zh-CN"/>
              </w:rPr>
            </w:pPr>
            <w:r>
              <w:rPr>
                <w:rFonts w:hint="default" w:ascii="宋体" w:hAnsi="宋体" w:cs="宋体"/>
                <w:color w:val="auto"/>
                <w:sz w:val="20"/>
                <w:szCs w:val="20"/>
                <w:highlight w:val="none"/>
                <w:shd w:val="clear" w:color="auto" w:fill="FFFFFF"/>
                <w:lang w:val="en-US" w:eastAsia="zh-CN"/>
              </w:rPr>
              <w:t>200~300lux</w:t>
            </w:r>
            <w:r>
              <w:rPr>
                <w:rFonts w:hint="eastAsia" w:ascii="宋体" w:hAnsi="宋体" w:cs="宋体"/>
                <w:color w:val="auto"/>
                <w:sz w:val="20"/>
                <w:szCs w:val="20"/>
                <w:highlight w:val="none"/>
                <w:shd w:val="clear" w:color="auto" w:fill="FFFFFF"/>
                <w:lang w:val="en-US" w:eastAsia="zh-CN"/>
              </w:rPr>
              <w:t>，</w:t>
            </w:r>
            <w:r>
              <w:rPr>
                <w:rFonts w:hint="default" w:ascii="宋体" w:hAnsi="宋体" w:cs="宋体"/>
                <w:color w:val="auto"/>
                <w:sz w:val="20"/>
                <w:szCs w:val="20"/>
                <w:highlight w:val="none"/>
                <w:shd w:val="clear" w:color="auto" w:fill="FFFFFF"/>
                <w:lang w:val="en-US" w:eastAsia="zh-CN"/>
              </w:rPr>
              <w:t>眩光</w:t>
            </w:r>
            <w:r>
              <w:rPr>
                <w:rFonts w:hint="eastAsia" w:ascii="宋体" w:hAnsi="宋体" w:cs="宋体"/>
                <w:color w:val="auto"/>
                <w:sz w:val="20"/>
                <w:szCs w:val="20"/>
                <w:highlight w:val="none"/>
                <w:shd w:val="clear" w:color="auto" w:fill="FFFFFF"/>
                <w:lang w:val="en-US" w:eastAsia="zh-CN"/>
              </w:rPr>
              <w:t>控</w:t>
            </w:r>
            <w:r>
              <w:rPr>
                <w:rFonts w:hint="default" w:ascii="宋体" w:hAnsi="宋体" w:cs="宋体"/>
                <w:color w:val="auto"/>
                <w:sz w:val="20"/>
                <w:szCs w:val="20"/>
                <w:highlight w:val="none"/>
                <w:shd w:val="clear" w:color="auto" w:fill="FFFFFF"/>
                <w:lang w:val="en-US" w:eastAsia="zh-CN"/>
              </w:rPr>
              <w:t>制</w:t>
            </w:r>
          </w:p>
        </w:tc>
      </w:tr>
      <w:tr w14:paraId="59E5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16A029D5">
            <w:pPr>
              <w:keepNext w:val="0"/>
              <w:keepLines w:val="0"/>
              <w:widowControl/>
              <w:suppressLineNumbers w:val="0"/>
              <w:jc w:val="center"/>
              <w:rPr>
                <w:rFonts w:ascii="宋体" w:hAnsi="宋体" w:eastAsia="宋体" w:cs="宋体"/>
                <w:kern w:val="0"/>
                <w:sz w:val="20"/>
                <w:szCs w:val="20"/>
                <w:lang w:val="en-US" w:eastAsia="zh-CN" w:bidi="ar"/>
              </w:rPr>
            </w:pPr>
          </w:p>
        </w:tc>
        <w:tc>
          <w:tcPr>
            <w:tcW w:w="1538" w:type="pct"/>
            <w:shd w:val="clear" w:color="auto" w:fill="auto"/>
            <w:tcMar>
              <w:top w:w="120" w:type="dxa"/>
              <w:left w:w="120" w:type="dxa"/>
              <w:bottom w:w="120" w:type="dxa"/>
              <w:right w:w="120" w:type="dxa"/>
            </w:tcMar>
            <w:vAlign w:val="center"/>
          </w:tcPr>
          <w:p w14:paraId="6885AE8A">
            <w:pPr>
              <w:keepNext w:val="0"/>
              <w:keepLines w:val="0"/>
              <w:widowControl/>
              <w:suppressLineNumbers w:val="0"/>
              <w:jc w:val="center"/>
              <w:rPr>
                <w:rFonts w:ascii="宋体" w:hAnsi="宋体" w:eastAsia="宋体" w:cs="宋体"/>
                <w:kern w:val="0"/>
                <w:sz w:val="20"/>
                <w:szCs w:val="20"/>
                <w:lang w:val="en-US" w:eastAsia="zh-CN" w:bidi="ar"/>
              </w:rPr>
            </w:pPr>
            <w:r>
              <w:rPr>
                <w:rFonts w:hint="default" w:ascii="宋体" w:hAnsi="宋体" w:cs="宋体"/>
                <w:color w:val="auto"/>
                <w:sz w:val="20"/>
                <w:szCs w:val="20"/>
                <w:highlight w:val="none"/>
                <w:shd w:val="clear" w:color="auto" w:fill="FFFFFF"/>
                <w:lang w:val="en-US" w:eastAsia="zh-CN"/>
              </w:rPr>
              <w:t>防护等级</w:t>
            </w:r>
          </w:p>
        </w:tc>
        <w:tc>
          <w:tcPr>
            <w:tcW w:w="2313" w:type="pct"/>
            <w:shd w:val="clear" w:color="auto" w:fill="auto"/>
            <w:tcMar>
              <w:top w:w="120" w:type="dxa"/>
              <w:left w:w="120" w:type="dxa"/>
              <w:bottom w:w="120" w:type="dxa"/>
              <w:right w:w="120" w:type="dxa"/>
            </w:tcMar>
            <w:vAlign w:val="center"/>
          </w:tcPr>
          <w:p w14:paraId="72D2AEE4">
            <w:pPr>
              <w:keepNext w:val="0"/>
              <w:keepLines w:val="0"/>
              <w:widowControl/>
              <w:suppressLineNumbers w:val="0"/>
              <w:jc w:val="center"/>
              <w:rPr>
                <w:rFonts w:hint="default" w:ascii="宋体" w:hAnsi="宋体" w:cs="宋体"/>
                <w:color w:val="auto"/>
                <w:sz w:val="20"/>
                <w:szCs w:val="20"/>
                <w:highlight w:val="none"/>
                <w:shd w:val="clear" w:color="auto" w:fill="FFFFFF"/>
                <w:lang w:val="en-US" w:eastAsia="zh-CN"/>
              </w:rPr>
            </w:pPr>
            <w:r>
              <w:rPr>
                <w:rFonts w:hint="default" w:ascii="宋体" w:hAnsi="宋体" w:cs="宋体"/>
                <w:color w:val="auto"/>
                <w:sz w:val="20"/>
                <w:szCs w:val="20"/>
                <w:highlight w:val="none"/>
                <w:shd w:val="clear" w:color="auto" w:fill="FFFFFF"/>
                <w:lang w:val="en-US" w:eastAsia="zh-CN"/>
              </w:rPr>
              <w:t>IP65</w:t>
            </w:r>
          </w:p>
        </w:tc>
      </w:tr>
      <w:tr w14:paraId="7205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3E25DDF2">
            <w:pPr>
              <w:keepNext w:val="0"/>
              <w:keepLines w:val="0"/>
              <w:widowControl/>
              <w:suppressLineNumbers w:val="0"/>
              <w:jc w:val="center"/>
              <w:rPr>
                <w:rFonts w:ascii="宋体" w:hAnsi="宋体" w:eastAsia="宋体" w:cs="宋体"/>
                <w:kern w:val="0"/>
                <w:sz w:val="20"/>
                <w:szCs w:val="20"/>
                <w:lang w:val="en-US" w:eastAsia="zh-CN" w:bidi="ar"/>
              </w:rPr>
            </w:pPr>
          </w:p>
        </w:tc>
        <w:tc>
          <w:tcPr>
            <w:tcW w:w="1538" w:type="pct"/>
            <w:shd w:val="clear" w:color="auto" w:fill="auto"/>
            <w:tcMar>
              <w:top w:w="120" w:type="dxa"/>
              <w:left w:w="120" w:type="dxa"/>
              <w:bottom w:w="120" w:type="dxa"/>
              <w:right w:w="120" w:type="dxa"/>
            </w:tcMar>
            <w:vAlign w:val="center"/>
          </w:tcPr>
          <w:p w14:paraId="1288CC56">
            <w:pPr>
              <w:keepNext w:val="0"/>
              <w:keepLines w:val="0"/>
              <w:widowControl/>
              <w:suppressLineNumbers w:val="0"/>
              <w:jc w:val="center"/>
              <w:rPr>
                <w:rFonts w:ascii="宋体" w:hAnsi="宋体" w:eastAsia="宋体" w:cs="宋体"/>
                <w:kern w:val="0"/>
                <w:sz w:val="20"/>
                <w:szCs w:val="20"/>
                <w:lang w:val="en-US" w:eastAsia="zh-CN" w:bidi="ar"/>
              </w:rPr>
            </w:pPr>
            <w:r>
              <w:rPr>
                <w:rFonts w:hint="default" w:ascii="宋体" w:hAnsi="宋体" w:cs="宋体"/>
                <w:color w:val="auto"/>
                <w:sz w:val="20"/>
                <w:szCs w:val="20"/>
                <w:highlight w:val="none"/>
                <w:shd w:val="clear" w:color="auto" w:fill="FFFFFF"/>
                <w:lang w:val="en-US" w:eastAsia="zh-CN"/>
              </w:rPr>
              <w:t>光源设计寿命</w:t>
            </w:r>
          </w:p>
        </w:tc>
        <w:tc>
          <w:tcPr>
            <w:tcW w:w="2313" w:type="pct"/>
            <w:shd w:val="clear" w:color="auto" w:fill="auto"/>
            <w:tcMar>
              <w:top w:w="120" w:type="dxa"/>
              <w:left w:w="120" w:type="dxa"/>
              <w:bottom w:w="120" w:type="dxa"/>
              <w:right w:w="120" w:type="dxa"/>
            </w:tcMar>
            <w:vAlign w:val="center"/>
          </w:tcPr>
          <w:p w14:paraId="3CB97FFA">
            <w:pPr>
              <w:keepNext w:val="0"/>
              <w:keepLines w:val="0"/>
              <w:widowControl/>
              <w:suppressLineNumbers w:val="0"/>
              <w:jc w:val="center"/>
              <w:rPr>
                <w:rFonts w:ascii="宋体" w:hAnsi="宋体" w:eastAsia="宋体" w:cs="宋体"/>
                <w:kern w:val="0"/>
                <w:sz w:val="20"/>
                <w:szCs w:val="20"/>
                <w:lang w:val="en-US" w:eastAsia="zh-CN" w:bidi="ar"/>
              </w:rPr>
            </w:pPr>
            <w:r>
              <w:rPr>
                <w:rFonts w:hint="default" w:ascii="宋体" w:hAnsi="宋体" w:cs="宋体"/>
                <w:color w:val="auto"/>
                <w:sz w:val="20"/>
                <w:szCs w:val="20"/>
                <w:highlight w:val="none"/>
                <w:shd w:val="clear" w:color="auto" w:fill="FFFFFF"/>
                <w:lang w:val="en-US" w:eastAsia="zh-CN"/>
              </w:rPr>
              <w:t>≥50000 小时</w:t>
            </w:r>
          </w:p>
        </w:tc>
      </w:tr>
      <w:tr w14:paraId="49AF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2D607E59">
            <w:pPr>
              <w:keepNext w:val="0"/>
              <w:keepLines w:val="0"/>
              <w:widowControl/>
              <w:suppressLineNumbers w:val="0"/>
              <w:jc w:val="center"/>
              <w:rPr>
                <w:rFonts w:ascii="宋体" w:hAnsi="宋体" w:eastAsia="宋体" w:cs="宋体"/>
                <w:kern w:val="0"/>
                <w:sz w:val="20"/>
                <w:szCs w:val="20"/>
                <w:lang w:val="en-US" w:eastAsia="zh-CN" w:bidi="ar"/>
              </w:rPr>
            </w:pPr>
          </w:p>
        </w:tc>
        <w:tc>
          <w:tcPr>
            <w:tcW w:w="1538" w:type="pct"/>
            <w:shd w:val="clear" w:color="auto" w:fill="auto"/>
            <w:tcMar>
              <w:top w:w="120" w:type="dxa"/>
              <w:left w:w="120" w:type="dxa"/>
              <w:bottom w:w="120" w:type="dxa"/>
              <w:right w:w="120" w:type="dxa"/>
            </w:tcMar>
            <w:vAlign w:val="center"/>
          </w:tcPr>
          <w:p w14:paraId="7690CFE1">
            <w:pPr>
              <w:keepNext w:val="0"/>
              <w:keepLines w:val="0"/>
              <w:widowControl/>
              <w:suppressLineNumbers w:val="0"/>
              <w:jc w:val="center"/>
              <w:rPr>
                <w:rFonts w:hint="default"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灯杆高度</w:t>
            </w:r>
          </w:p>
        </w:tc>
        <w:tc>
          <w:tcPr>
            <w:tcW w:w="2313" w:type="pct"/>
            <w:shd w:val="clear" w:color="auto" w:fill="auto"/>
            <w:tcMar>
              <w:top w:w="120" w:type="dxa"/>
              <w:left w:w="120" w:type="dxa"/>
              <w:bottom w:w="120" w:type="dxa"/>
              <w:right w:w="120" w:type="dxa"/>
            </w:tcMar>
            <w:vAlign w:val="center"/>
          </w:tcPr>
          <w:p w14:paraId="0649D440">
            <w:pPr>
              <w:keepNext w:val="0"/>
              <w:keepLines w:val="0"/>
              <w:widowControl/>
              <w:suppressLineNumbers w:val="0"/>
              <w:jc w:val="center"/>
              <w:rPr>
                <w:rFonts w:hint="default"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8m</w:t>
            </w:r>
          </w:p>
        </w:tc>
      </w:tr>
      <w:tr w14:paraId="75787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6564F3D7">
            <w:pPr>
              <w:keepNext w:val="0"/>
              <w:keepLines w:val="0"/>
              <w:widowControl/>
              <w:suppressLineNumbers w:val="0"/>
              <w:jc w:val="center"/>
              <w:rPr>
                <w:rFonts w:ascii="宋体" w:hAnsi="宋体" w:eastAsia="宋体" w:cs="宋体"/>
                <w:kern w:val="0"/>
                <w:sz w:val="20"/>
                <w:szCs w:val="20"/>
                <w:lang w:val="en-US" w:eastAsia="zh-CN" w:bidi="ar"/>
              </w:rPr>
            </w:pPr>
          </w:p>
        </w:tc>
        <w:tc>
          <w:tcPr>
            <w:tcW w:w="1538" w:type="pct"/>
            <w:shd w:val="clear" w:color="auto" w:fill="auto"/>
            <w:tcMar>
              <w:top w:w="120" w:type="dxa"/>
              <w:left w:w="120" w:type="dxa"/>
              <w:bottom w:w="120" w:type="dxa"/>
              <w:right w:w="120" w:type="dxa"/>
            </w:tcMar>
            <w:vAlign w:val="center"/>
          </w:tcPr>
          <w:p w14:paraId="7CC44ED1">
            <w:pPr>
              <w:keepNext w:val="0"/>
              <w:keepLines w:val="0"/>
              <w:widowControl/>
              <w:suppressLineNumbers w:val="0"/>
              <w:jc w:val="center"/>
              <w:rPr>
                <w:rFonts w:hint="default"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灯杆表面处理</w:t>
            </w:r>
          </w:p>
        </w:tc>
        <w:tc>
          <w:tcPr>
            <w:tcW w:w="2313" w:type="pct"/>
            <w:shd w:val="clear" w:color="auto" w:fill="auto"/>
            <w:tcMar>
              <w:top w:w="120" w:type="dxa"/>
              <w:left w:w="120" w:type="dxa"/>
              <w:bottom w:w="120" w:type="dxa"/>
              <w:right w:w="120" w:type="dxa"/>
            </w:tcMar>
            <w:vAlign w:val="center"/>
          </w:tcPr>
          <w:p w14:paraId="54E10E1D">
            <w:pPr>
              <w:keepNext w:val="0"/>
              <w:keepLines w:val="0"/>
              <w:widowControl/>
              <w:suppressLineNumbers w:val="0"/>
              <w:jc w:val="center"/>
              <w:rPr>
                <w:rFonts w:hint="default"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表面热镀锌后喷塑处理</w:t>
            </w:r>
          </w:p>
        </w:tc>
      </w:tr>
      <w:tr w14:paraId="5441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148" w:type="pct"/>
            <w:vMerge w:val="continue"/>
            <w:shd w:val="clear" w:color="auto" w:fill="auto"/>
            <w:tcMar>
              <w:top w:w="120" w:type="dxa"/>
              <w:left w:w="120" w:type="dxa"/>
              <w:bottom w:w="120" w:type="dxa"/>
              <w:right w:w="120" w:type="dxa"/>
            </w:tcMar>
            <w:vAlign w:val="center"/>
          </w:tcPr>
          <w:p w14:paraId="6BCE61D9">
            <w:pPr>
              <w:keepNext w:val="0"/>
              <w:keepLines w:val="0"/>
              <w:widowControl/>
              <w:suppressLineNumbers w:val="0"/>
              <w:jc w:val="center"/>
              <w:rPr>
                <w:rFonts w:ascii="宋体" w:hAnsi="宋体" w:eastAsia="宋体" w:cs="宋体"/>
                <w:kern w:val="0"/>
                <w:sz w:val="20"/>
                <w:szCs w:val="20"/>
                <w:lang w:val="en-US" w:eastAsia="zh-CN" w:bidi="ar"/>
              </w:rPr>
            </w:pPr>
          </w:p>
        </w:tc>
        <w:tc>
          <w:tcPr>
            <w:tcW w:w="1538" w:type="pct"/>
            <w:shd w:val="clear" w:color="auto" w:fill="auto"/>
            <w:tcMar>
              <w:top w:w="120" w:type="dxa"/>
              <w:left w:w="120" w:type="dxa"/>
              <w:bottom w:w="120" w:type="dxa"/>
              <w:right w:w="120" w:type="dxa"/>
            </w:tcMar>
            <w:vAlign w:val="center"/>
          </w:tcPr>
          <w:p w14:paraId="63DC5ECE">
            <w:pPr>
              <w:keepNext w:val="0"/>
              <w:keepLines w:val="0"/>
              <w:widowControl/>
              <w:suppressLineNumbers w:val="0"/>
              <w:jc w:val="center"/>
              <w:rPr>
                <w:rFonts w:hint="default"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灯杆底板、螺栓</w:t>
            </w:r>
          </w:p>
        </w:tc>
        <w:tc>
          <w:tcPr>
            <w:tcW w:w="2313" w:type="pct"/>
            <w:shd w:val="clear" w:color="auto" w:fill="auto"/>
            <w:tcMar>
              <w:top w:w="120" w:type="dxa"/>
              <w:left w:w="120" w:type="dxa"/>
              <w:bottom w:w="120" w:type="dxa"/>
              <w:right w:w="120" w:type="dxa"/>
            </w:tcMar>
            <w:vAlign w:val="center"/>
          </w:tcPr>
          <w:p w14:paraId="00327975">
            <w:pPr>
              <w:keepNext w:val="0"/>
              <w:keepLines w:val="0"/>
              <w:widowControl/>
              <w:suppressLineNumbers w:val="0"/>
              <w:jc w:val="center"/>
              <w:rPr>
                <w:rFonts w:hint="default"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热镀锌</w:t>
            </w:r>
          </w:p>
        </w:tc>
      </w:tr>
    </w:tbl>
    <w:p w14:paraId="40482144">
      <w:pPr>
        <w:pStyle w:val="6"/>
        <w:outlineLvl w:val="2"/>
        <w:rPr>
          <w:b/>
          <w:sz w:val="28"/>
          <w:highlight w:val="none"/>
        </w:rPr>
      </w:pPr>
    </w:p>
    <w:p w14:paraId="52654DFF">
      <w:pPr>
        <w:pStyle w:val="6"/>
        <w:outlineLvl w:val="2"/>
        <w:rPr>
          <w:rFonts w:hint="eastAsia"/>
          <w:b/>
          <w:sz w:val="28"/>
          <w:highlight w:val="none"/>
          <w:lang w:eastAsia="zh-Hans"/>
        </w:rPr>
      </w:pPr>
      <w:r>
        <w:rPr>
          <w:b/>
          <w:sz w:val="28"/>
          <w:highlight w:val="none"/>
        </w:rPr>
        <w:t>十</w:t>
      </w:r>
      <w:r>
        <w:rPr>
          <w:rFonts w:hint="eastAsia"/>
          <w:b/>
          <w:sz w:val="28"/>
          <w:highlight w:val="none"/>
          <w:lang w:val="en-US" w:eastAsia="zh-CN"/>
        </w:rPr>
        <w:t>三</w:t>
      </w:r>
      <w:r>
        <w:rPr>
          <w:b/>
          <w:sz w:val="28"/>
          <w:highlight w:val="none"/>
        </w:rPr>
        <w:t>、</w:t>
      </w:r>
      <w:r>
        <w:rPr>
          <w:rFonts w:hint="eastAsia"/>
          <w:b/>
          <w:sz w:val="28"/>
          <w:highlight w:val="none"/>
          <w:lang w:eastAsia="zh-CN"/>
        </w:rPr>
        <w:t>投标样品</w:t>
      </w:r>
    </w:p>
    <w:p w14:paraId="6B4B13AF">
      <w:pPr>
        <w:pStyle w:val="6"/>
        <w:ind w:firstLine="400"/>
        <w:rPr>
          <w:rFonts w:hint="default" w:asciiTheme="minorHAnsi" w:hAnsiTheme="minorHAnsi" w:eastAsiaTheme="minorEastAsia" w:cstheme="minorBidi"/>
          <w:b w:val="0"/>
          <w:bCs w:val="0"/>
          <w:sz w:val="20"/>
          <w:szCs w:val="20"/>
          <w:highlight w:val="none"/>
          <w:shd w:val="clear"/>
          <w:lang w:eastAsia="zh-CN"/>
        </w:rPr>
      </w:pPr>
      <w:r>
        <w:rPr>
          <w:rFonts w:hint="default" w:asciiTheme="minorHAnsi" w:hAnsiTheme="minorHAnsi" w:eastAsiaTheme="minorEastAsia" w:cstheme="minorBidi"/>
          <w:b w:val="0"/>
          <w:bCs w:val="0"/>
          <w:sz w:val="20"/>
          <w:szCs w:val="20"/>
          <w:highlight w:val="none"/>
          <w:shd w:val="clear"/>
          <w:lang w:eastAsia="zh-CN"/>
        </w:rPr>
        <w:t>（一）本项目要求提交投标</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，供应商应在提交投标文件截止时间前将投标</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提交到采购代理机构</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室，迟于提交投标文件截止时间提交的投标</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，采购代理机构不予收取（为便于操作，请供应商尽可能在提交投标文件当日截止时间前1小时内提交投标</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）。采购代理机构</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室地点：广州市天河区天润路447号广州市政府采购中心（太阳广场）四楼。</w:t>
      </w:r>
    </w:p>
    <w:p w14:paraId="03961FD4">
      <w:pPr>
        <w:pStyle w:val="6"/>
        <w:ind w:firstLine="400"/>
        <w:rPr>
          <w:rFonts w:hint="default" w:asciiTheme="minorHAnsi" w:hAnsiTheme="minorHAnsi" w:eastAsiaTheme="minorEastAsia" w:cstheme="minorBidi"/>
          <w:b w:val="0"/>
          <w:bCs w:val="0"/>
          <w:sz w:val="20"/>
          <w:szCs w:val="20"/>
          <w:highlight w:val="none"/>
          <w:shd w:val="clear"/>
          <w:lang w:eastAsia="zh-CN"/>
        </w:rPr>
      </w:pPr>
      <w:r>
        <w:rPr>
          <w:rFonts w:hint="default" w:asciiTheme="minorHAnsi" w:hAnsiTheme="minorHAnsi" w:eastAsiaTheme="minorEastAsia" w:cstheme="minorBidi"/>
          <w:b w:val="0"/>
          <w:bCs w:val="0"/>
          <w:sz w:val="20"/>
          <w:szCs w:val="20"/>
          <w:highlight w:val="none"/>
          <w:shd w:val="clear"/>
          <w:lang w:eastAsia="zh-CN"/>
        </w:rPr>
        <w:t>（二）关于提交</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要求：投标人在提交投标文件的同时必须按照招标文件中</w:t>
      </w:r>
      <w:r>
        <w:rPr>
          <w:rFonts w:hint="default"/>
          <w:highlight w:val="none"/>
          <w:lang w:eastAsia="zh-CN"/>
        </w:rPr>
        <w:t>人造草坪</w:t>
      </w:r>
      <w:r>
        <w:rPr>
          <w:rFonts w:hint="default" w:asciiTheme="minorHAnsi" w:hAnsiTheme="minorHAnsi" w:eastAsiaTheme="minorEastAsia" w:cstheme="minorBidi"/>
          <w:b w:val="0"/>
          <w:bCs w:val="0"/>
          <w:sz w:val="20"/>
          <w:szCs w:val="20"/>
          <w:highlight w:val="none"/>
          <w:shd w:val="clear"/>
          <w:lang w:eastAsia="zh-CN"/>
        </w:rPr>
        <w:t>的配置要求提供</w:t>
      </w:r>
      <w:r>
        <w:rPr>
          <w:rFonts w:hint="default"/>
          <w:highlight w:val="none"/>
          <w:lang w:eastAsia="zh-CN"/>
        </w:rPr>
        <w:t>人造草坪</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一</w:t>
      </w:r>
      <w:r>
        <w:rPr>
          <w:rFonts w:hint="eastAsia" w:cstheme="minorBidi"/>
          <w:b w:val="0"/>
          <w:bCs w:val="0"/>
          <w:sz w:val="20"/>
          <w:szCs w:val="20"/>
          <w:highlight w:val="none"/>
          <w:shd w:val="clear"/>
          <w:lang w:val="en-US" w:eastAsia="zh-CN"/>
        </w:rPr>
        <w:t>份</w:t>
      </w:r>
      <w:r>
        <w:rPr>
          <w:rFonts w:hint="default" w:asciiTheme="minorHAnsi" w:hAnsiTheme="minorHAnsi" w:eastAsiaTheme="minorEastAsia" w:cstheme="minorBidi"/>
          <w:b w:val="0"/>
          <w:bCs w:val="0"/>
          <w:sz w:val="20"/>
          <w:szCs w:val="20"/>
          <w:highlight w:val="none"/>
          <w:shd w:val="clear"/>
          <w:lang w:eastAsia="zh-CN"/>
        </w:rPr>
        <w:t>，供评标现场</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展示。</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配置必须与投标文件列报的配置一致；中标人的</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留样直至项目验收。</w:t>
      </w:r>
    </w:p>
    <w:p w14:paraId="4F73C589">
      <w:pPr>
        <w:pStyle w:val="6"/>
        <w:ind w:firstLine="400"/>
        <w:rPr>
          <w:rFonts w:hint="default" w:asciiTheme="minorHAnsi" w:hAnsiTheme="minorHAnsi" w:eastAsiaTheme="minorEastAsia" w:cstheme="minorBidi"/>
          <w:b w:val="0"/>
          <w:bCs w:val="0"/>
          <w:sz w:val="20"/>
          <w:szCs w:val="20"/>
          <w:highlight w:val="none"/>
          <w:shd w:val="clear"/>
          <w:lang w:val="en-US" w:eastAsia="zh-CN"/>
        </w:rPr>
      </w:pPr>
      <w:r>
        <w:rPr>
          <w:rFonts w:hint="eastAsia" w:cstheme="minorBidi"/>
          <w:b w:val="0"/>
          <w:bCs w:val="0"/>
          <w:sz w:val="20"/>
          <w:szCs w:val="20"/>
          <w:highlight w:val="none"/>
          <w:shd w:val="clear"/>
          <w:lang w:val="en-US" w:eastAsia="zh-CN"/>
        </w:rPr>
        <w:t>样品要求：</w:t>
      </w:r>
    </w:p>
    <w:tbl>
      <w:tblPr>
        <w:tblStyle w:val="2"/>
        <w:tblW w:w="8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5"/>
        <w:gridCol w:w="5556"/>
      </w:tblGrid>
      <w:tr w14:paraId="2E55F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exact"/>
          <w:jc w:val="center"/>
        </w:trPr>
        <w:tc>
          <w:tcPr>
            <w:tcW w:w="2585" w:type="dxa"/>
            <w:noWrap w:val="0"/>
            <w:vAlign w:val="center"/>
          </w:tcPr>
          <w:p w14:paraId="51D835E1">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草丝形状及编织工艺</w:t>
            </w:r>
          </w:p>
        </w:tc>
        <w:tc>
          <w:tcPr>
            <w:tcW w:w="5556" w:type="dxa"/>
            <w:noWrap w:val="0"/>
            <w:vAlign w:val="center"/>
          </w:tcPr>
          <w:p w14:paraId="1F47841D">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高分子高耐磨PE材料加筋单丝</w:t>
            </w:r>
          </w:p>
        </w:tc>
      </w:tr>
      <w:tr w14:paraId="558F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2585" w:type="dxa"/>
            <w:noWrap w:val="0"/>
            <w:vAlign w:val="center"/>
          </w:tcPr>
          <w:p w14:paraId="53EC0E95">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草丝颜色</w:t>
            </w:r>
          </w:p>
        </w:tc>
        <w:tc>
          <w:tcPr>
            <w:tcW w:w="5556" w:type="dxa"/>
            <w:noWrap w:val="0"/>
            <w:vAlign w:val="center"/>
          </w:tcPr>
          <w:p w14:paraId="375EC11A">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双色各半</w:t>
            </w:r>
          </w:p>
        </w:tc>
      </w:tr>
      <w:tr w14:paraId="4ED44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noWrap w:val="0"/>
            <w:vAlign w:val="center"/>
          </w:tcPr>
          <w:p w14:paraId="73325BFF">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草坪底布编织工艺</w:t>
            </w:r>
          </w:p>
        </w:tc>
        <w:tc>
          <w:tcPr>
            <w:tcW w:w="5556" w:type="dxa"/>
            <w:noWrap w:val="0"/>
            <w:vAlign w:val="center"/>
          </w:tcPr>
          <w:p w14:paraId="3A39D6FC">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簇绒法一字走针，草丝不带绒毛、不包纱</w:t>
            </w:r>
          </w:p>
        </w:tc>
      </w:tr>
      <w:tr w14:paraId="1302C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noWrap w:val="0"/>
            <w:vAlign w:val="center"/>
          </w:tcPr>
          <w:p w14:paraId="0BE8004A">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草纤维磅重（dtex）</w:t>
            </w:r>
          </w:p>
        </w:tc>
        <w:tc>
          <w:tcPr>
            <w:tcW w:w="5556" w:type="dxa"/>
            <w:noWrap w:val="0"/>
            <w:vAlign w:val="center"/>
          </w:tcPr>
          <w:p w14:paraId="24539845">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≥12000</w:t>
            </w:r>
          </w:p>
        </w:tc>
      </w:tr>
      <w:tr w14:paraId="072A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noWrap w:val="0"/>
            <w:vAlign w:val="center"/>
          </w:tcPr>
          <w:p w14:paraId="18F6704A">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草丝形状</w:t>
            </w:r>
          </w:p>
        </w:tc>
        <w:tc>
          <w:tcPr>
            <w:tcW w:w="5556" w:type="dxa"/>
            <w:noWrap w:val="0"/>
            <w:vAlign w:val="center"/>
          </w:tcPr>
          <w:p w14:paraId="3799EC1C">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加筋单丝</w:t>
            </w:r>
          </w:p>
        </w:tc>
      </w:tr>
      <w:tr w14:paraId="2A16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noWrap w:val="0"/>
            <w:vAlign w:val="center"/>
          </w:tcPr>
          <w:p w14:paraId="294BC191">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行距</w:t>
            </w:r>
          </w:p>
        </w:tc>
        <w:tc>
          <w:tcPr>
            <w:tcW w:w="5556" w:type="dxa"/>
            <w:noWrap w:val="0"/>
            <w:vAlign w:val="center"/>
          </w:tcPr>
          <w:p w14:paraId="11562274">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5/8英寸</w:t>
            </w:r>
          </w:p>
        </w:tc>
      </w:tr>
      <w:tr w14:paraId="5C265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noWrap w:val="0"/>
            <w:vAlign w:val="center"/>
          </w:tcPr>
          <w:p w14:paraId="7B53F629">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b w:val="0"/>
                <w:bCs w:val="0"/>
                <w:kern w:val="0"/>
                <w:sz w:val="20"/>
                <w:szCs w:val="20"/>
                <w:lang w:val="en-US" w:eastAsia="zh-CN" w:bidi="ar"/>
              </w:rPr>
              <w:t>簇</w:t>
            </w:r>
            <w:r>
              <w:rPr>
                <w:rFonts w:hint="eastAsia" w:ascii="宋体" w:hAnsi="宋体" w:eastAsia="宋体" w:cs="宋体"/>
                <w:color w:val="auto"/>
                <w:sz w:val="20"/>
                <w:szCs w:val="20"/>
                <w:highlight w:val="none"/>
                <w:shd w:val="clear" w:color="auto" w:fill="FFFFFF"/>
                <w:lang w:val="en-US" w:eastAsia="zh-CN"/>
              </w:rPr>
              <w:t>密度</w:t>
            </w:r>
          </w:p>
        </w:tc>
        <w:tc>
          <w:tcPr>
            <w:tcW w:w="5556" w:type="dxa"/>
            <w:noWrap w:val="0"/>
            <w:vAlign w:val="center"/>
          </w:tcPr>
          <w:p w14:paraId="1144BBC8">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≥10500针/平方米</w:t>
            </w:r>
          </w:p>
        </w:tc>
      </w:tr>
      <w:tr w14:paraId="48FC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noWrap w:val="0"/>
            <w:vAlign w:val="center"/>
          </w:tcPr>
          <w:p w14:paraId="6E68443D">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草高（不含底布高度）</w:t>
            </w:r>
          </w:p>
        </w:tc>
        <w:tc>
          <w:tcPr>
            <w:tcW w:w="5556" w:type="dxa"/>
            <w:noWrap w:val="0"/>
            <w:vAlign w:val="center"/>
          </w:tcPr>
          <w:p w14:paraId="216BE1FF">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50mm</w:t>
            </w:r>
          </w:p>
          <w:p w14:paraId="6BCB0177">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p>
          <w:p w14:paraId="4E7871DA">
            <w:pPr>
              <w:widowControl w:val="0"/>
              <w:kinsoku/>
              <w:topLinePunct/>
              <w:autoSpaceDE/>
              <w:spacing w:line="360" w:lineRule="auto"/>
              <w:jc w:val="center"/>
              <w:textAlignment w:val="auto"/>
              <w:rPr>
                <w:rFonts w:hint="eastAsia" w:ascii="宋体" w:hAnsi="宋体" w:eastAsia="宋体" w:cs="宋体"/>
                <w:color w:val="auto"/>
                <w:sz w:val="20"/>
                <w:szCs w:val="20"/>
                <w:highlight w:val="none"/>
                <w:shd w:val="clear" w:color="auto" w:fill="FFFFFF"/>
                <w:lang w:val="en-US" w:eastAsia="zh-CN"/>
              </w:rPr>
            </w:pPr>
          </w:p>
        </w:tc>
      </w:tr>
      <w:tr w14:paraId="2AE8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shd w:val="clear" w:color="auto" w:fill="auto"/>
            <w:noWrap w:val="0"/>
            <w:vAlign w:val="center"/>
          </w:tcPr>
          <w:p w14:paraId="662216E6">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底布类型</w:t>
            </w:r>
          </w:p>
        </w:tc>
        <w:tc>
          <w:tcPr>
            <w:tcW w:w="5556" w:type="dxa"/>
            <w:shd w:val="clear" w:color="auto" w:fill="auto"/>
            <w:noWrap w:val="0"/>
            <w:vAlign w:val="center"/>
          </w:tcPr>
          <w:p w14:paraId="74D94356">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sz w:val="20"/>
                <w:szCs w:val="20"/>
              </w:rPr>
              <w:t>PP 抗 UV 编织基布 + PP 加强网格布</w:t>
            </w:r>
          </w:p>
        </w:tc>
      </w:tr>
      <w:tr w14:paraId="56AD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shd w:val="clear" w:color="auto" w:fill="auto"/>
            <w:noWrap w:val="0"/>
            <w:vAlign w:val="center"/>
          </w:tcPr>
          <w:p w14:paraId="7CA40F17">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底布背胶</w:t>
            </w:r>
          </w:p>
        </w:tc>
        <w:tc>
          <w:tcPr>
            <w:tcW w:w="5556" w:type="dxa"/>
            <w:shd w:val="clear" w:color="auto" w:fill="auto"/>
            <w:noWrap w:val="0"/>
            <w:vAlign w:val="center"/>
          </w:tcPr>
          <w:p w14:paraId="1B1F311C">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sz w:val="20"/>
                <w:szCs w:val="20"/>
              </w:rPr>
              <w:t>环保水性聚氨酯 PU 背胶</w:t>
            </w:r>
          </w:p>
        </w:tc>
      </w:tr>
      <w:tr w14:paraId="7493F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shd w:val="clear" w:color="auto" w:fill="auto"/>
            <w:noWrap w:val="0"/>
            <w:vAlign w:val="center"/>
          </w:tcPr>
          <w:p w14:paraId="2B0A98A5">
            <w:pPr>
              <w:widowControl w:val="0"/>
              <w:kinsoku/>
              <w:topLinePunct/>
              <w:autoSpaceDE/>
              <w:spacing w:line="360" w:lineRule="auto"/>
              <w:jc w:val="center"/>
              <w:textAlignment w:val="auto"/>
              <w:rPr>
                <w:rFonts w:hint="eastAsia" w:ascii="宋体" w:hAnsi="宋体" w:eastAsia="宋体" w:cs="宋体"/>
                <w:color w:val="auto"/>
                <w:kern w:val="2"/>
                <w:sz w:val="20"/>
                <w:szCs w:val="20"/>
                <w:highlight w:val="none"/>
                <w:shd w:val="clear" w:color="auto" w:fill="FFFFFF"/>
                <w:lang w:val="en-US" w:eastAsia="zh-CN" w:bidi="ar-SA"/>
              </w:rPr>
            </w:pPr>
            <w:r>
              <w:rPr>
                <w:rFonts w:hint="eastAsia" w:ascii="宋体" w:hAnsi="宋体" w:cs="宋体"/>
                <w:color w:val="auto"/>
                <w:sz w:val="20"/>
                <w:szCs w:val="20"/>
                <w:highlight w:val="none"/>
                <w:shd w:val="clear" w:color="auto" w:fill="FFFFFF"/>
                <w:lang w:val="en-US" w:eastAsia="zh-CN"/>
              </w:rPr>
              <w:t>样品尺寸</w:t>
            </w:r>
          </w:p>
        </w:tc>
        <w:tc>
          <w:tcPr>
            <w:tcW w:w="5556" w:type="dxa"/>
            <w:shd w:val="clear" w:color="auto" w:fill="auto"/>
            <w:noWrap w:val="0"/>
            <w:vAlign w:val="center"/>
          </w:tcPr>
          <w:p w14:paraId="58039AED">
            <w:pPr>
              <w:widowControl w:val="0"/>
              <w:kinsoku/>
              <w:topLinePunct/>
              <w:autoSpaceDE/>
              <w:spacing w:line="360" w:lineRule="auto"/>
              <w:jc w:val="center"/>
              <w:textAlignment w:val="auto"/>
              <w:rPr>
                <w:rFonts w:hint="default" w:ascii="宋体" w:hAnsi="宋体" w:eastAsia="宋体" w:cs="宋体"/>
                <w:color w:val="auto"/>
                <w:kern w:val="2"/>
                <w:sz w:val="20"/>
                <w:szCs w:val="20"/>
                <w:highlight w:val="none"/>
                <w:shd w:val="clear" w:color="auto" w:fill="FFFFFF"/>
                <w:lang w:val="en-US" w:eastAsia="zh-CN" w:bidi="ar-SA"/>
              </w:rPr>
            </w:pPr>
            <w:r>
              <w:rPr>
                <w:rFonts w:hint="eastAsia"/>
                <w:lang w:val="en-US" w:eastAsia="zh-CN"/>
              </w:rPr>
              <w:t>30cmX30cm-50cmX50cm范围</w:t>
            </w:r>
          </w:p>
        </w:tc>
      </w:tr>
      <w:tr w14:paraId="7BA0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2585" w:type="dxa"/>
            <w:shd w:val="clear" w:color="auto" w:fill="auto"/>
            <w:noWrap w:val="0"/>
            <w:vAlign w:val="center"/>
          </w:tcPr>
          <w:p w14:paraId="3C5C7B4E">
            <w:pPr>
              <w:widowControl w:val="0"/>
              <w:kinsoku/>
              <w:topLinePunct/>
              <w:autoSpaceDE/>
              <w:spacing w:line="360" w:lineRule="auto"/>
              <w:jc w:val="center"/>
              <w:textAlignment w:val="auto"/>
              <w:rPr>
                <w:rFonts w:hint="default" w:ascii="宋体" w:hAnsi="宋体" w:eastAsia="宋体" w:cs="宋体"/>
                <w:color w:val="auto"/>
                <w:kern w:val="2"/>
                <w:sz w:val="20"/>
                <w:szCs w:val="20"/>
                <w:highlight w:val="none"/>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接缝带</w:t>
            </w:r>
            <w:r>
              <w:rPr>
                <w:rFonts w:hint="eastAsia" w:ascii="宋体" w:hAnsi="宋体" w:cs="宋体"/>
                <w:color w:val="auto"/>
                <w:sz w:val="20"/>
                <w:szCs w:val="20"/>
                <w:highlight w:val="none"/>
                <w:shd w:val="clear" w:color="auto" w:fill="FFFFFF"/>
                <w:lang w:val="en-US" w:eastAsia="zh-CN"/>
              </w:rPr>
              <w:t>样品尺寸</w:t>
            </w:r>
          </w:p>
        </w:tc>
        <w:tc>
          <w:tcPr>
            <w:tcW w:w="5556" w:type="dxa"/>
            <w:shd w:val="clear" w:color="auto" w:fill="auto"/>
            <w:noWrap w:val="0"/>
            <w:vAlign w:val="center"/>
          </w:tcPr>
          <w:p w14:paraId="259D2CF7">
            <w:pPr>
              <w:widowControl w:val="0"/>
              <w:kinsoku/>
              <w:topLinePunct/>
              <w:autoSpaceDE/>
              <w:spacing w:line="360" w:lineRule="auto"/>
              <w:jc w:val="center"/>
              <w:textAlignment w:val="auto"/>
              <w:rPr>
                <w:rFonts w:hint="default" w:ascii="宋体" w:hAnsi="宋体" w:eastAsia="宋体" w:cs="宋体"/>
                <w:color w:val="auto"/>
                <w:kern w:val="2"/>
                <w:sz w:val="20"/>
                <w:szCs w:val="20"/>
                <w:highlight w:val="yellow"/>
                <w:shd w:val="clear" w:color="auto" w:fill="FFFFFF"/>
                <w:lang w:val="en-US" w:eastAsia="zh-CN" w:bidi="ar-SA"/>
              </w:rPr>
            </w:pPr>
            <w:r>
              <w:rPr>
                <w:rFonts w:hint="eastAsia" w:ascii="宋体" w:hAnsi="宋体" w:eastAsia="宋体" w:cs="宋体"/>
                <w:color w:val="auto"/>
                <w:sz w:val="20"/>
                <w:szCs w:val="20"/>
                <w:highlight w:val="none"/>
                <w:shd w:val="clear" w:color="auto" w:fill="FFFFFF"/>
                <w:lang w:val="en-US" w:eastAsia="zh-CN"/>
              </w:rPr>
              <w:t>抗撕裂耐紫外线专业接缝带，20-30cm宽</w:t>
            </w:r>
            <w:r>
              <w:rPr>
                <w:rFonts w:hint="eastAsia" w:ascii="宋体" w:hAnsi="宋体" w:cs="宋体"/>
                <w:color w:val="auto"/>
                <w:sz w:val="20"/>
                <w:szCs w:val="20"/>
                <w:highlight w:val="none"/>
                <w:shd w:val="clear" w:color="auto" w:fill="FFFFFF"/>
                <w:lang w:val="en-US" w:eastAsia="zh-CN"/>
              </w:rPr>
              <w:t>，50cm长</w:t>
            </w:r>
          </w:p>
        </w:tc>
      </w:tr>
      <w:tr w14:paraId="4904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7" w:hRule="exact"/>
          <w:jc w:val="center"/>
        </w:trPr>
        <w:tc>
          <w:tcPr>
            <w:tcW w:w="2585" w:type="dxa"/>
            <w:shd w:val="clear" w:color="auto" w:fill="auto"/>
            <w:noWrap w:val="0"/>
            <w:vAlign w:val="center"/>
          </w:tcPr>
          <w:p w14:paraId="2F047307">
            <w:pPr>
              <w:widowControl w:val="0"/>
              <w:kinsoku/>
              <w:topLinePunct/>
              <w:autoSpaceDE/>
              <w:spacing w:line="360" w:lineRule="auto"/>
              <w:jc w:val="center"/>
              <w:textAlignment w:val="auto"/>
              <w:rPr>
                <w:rFonts w:hint="default" w:ascii="宋体" w:hAnsi="宋体" w:eastAsia="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气味</w:t>
            </w:r>
          </w:p>
        </w:tc>
        <w:tc>
          <w:tcPr>
            <w:tcW w:w="5556" w:type="dxa"/>
            <w:shd w:val="clear" w:color="auto" w:fill="auto"/>
            <w:noWrap w:val="0"/>
            <w:vAlign w:val="center"/>
          </w:tcPr>
          <w:p w14:paraId="067ED896">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lang w:bidi="ar"/>
              </w:rPr>
            </w:pPr>
            <w:r>
              <w:rPr>
                <w:rFonts w:hint="eastAsia" w:ascii="宋体" w:hAnsi="宋体" w:eastAsia="宋体" w:cs="宋体"/>
                <w:color w:val="auto"/>
                <w:kern w:val="2"/>
                <w:sz w:val="20"/>
                <w:szCs w:val="20"/>
                <w:highlight w:val="none"/>
                <w:shd w:val="clear" w:color="auto" w:fill="FFFFFF"/>
                <w:lang w:val="en-US" w:eastAsia="zh-CN" w:bidi="ar"/>
              </w:rPr>
              <w:t>无刺鼻、辛辣、腥霉等有害异味，仅含轻微塑胶淡味。</w:t>
            </w:r>
          </w:p>
          <w:p w14:paraId="2DFFCF6D">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lang w:bidi="ar"/>
              </w:rPr>
            </w:pPr>
            <w:r>
              <w:rPr>
                <w:rFonts w:hint="eastAsia" w:ascii="宋体" w:hAnsi="宋体" w:eastAsia="宋体" w:cs="宋体"/>
                <w:color w:val="auto"/>
                <w:kern w:val="2"/>
                <w:sz w:val="20"/>
                <w:szCs w:val="20"/>
                <w:highlight w:val="none"/>
                <w:shd w:val="clear" w:color="auto" w:fill="FFFFFF"/>
                <w:lang w:val="en-US" w:eastAsia="zh-CN" w:bidi="ar"/>
              </w:rPr>
              <w:t>背胶、接缝带无浓烈胶水味、腐臭味、回收料异味，仅存在轻微辅料淡味，无刺激性。</w:t>
            </w:r>
          </w:p>
          <w:p w14:paraId="2A4D7F3C">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lang w:bidi="ar"/>
              </w:rPr>
            </w:pPr>
            <w:r>
              <w:rPr>
                <w:rFonts w:hint="eastAsia" w:ascii="宋体" w:hAnsi="宋体" w:eastAsia="宋体" w:cs="宋体"/>
                <w:color w:val="auto"/>
                <w:kern w:val="2"/>
                <w:sz w:val="20"/>
                <w:szCs w:val="20"/>
                <w:highlight w:val="none"/>
                <w:shd w:val="clear" w:color="auto" w:fill="FFFFFF"/>
                <w:lang w:val="en-US" w:eastAsia="zh-CN" w:bidi="ar"/>
              </w:rPr>
              <w:t>背胶、接缝带无任何异味，气味干净，适配校园人员密集使用场景。</w:t>
            </w:r>
          </w:p>
          <w:p w14:paraId="0EE71EBD">
            <w:pPr>
              <w:widowControl w:val="0"/>
              <w:numPr>
                <w:ilvl w:val="0"/>
                <w:numId w:val="0"/>
              </w:numPr>
              <w:kinsoku/>
              <w:topLinePunct/>
              <w:autoSpaceDE/>
              <w:spacing w:line="360" w:lineRule="auto"/>
              <w:jc w:val="center"/>
              <w:textAlignment w:val="auto"/>
              <w:rPr>
                <w:rFonts w:hint="eastAsia" w:ascii="宋体" w:hAnsi="宋体" w:cs="宋体"/>
                <w:color w:val="auto"/>
                <w:sz w:val="20"/>
                <w:highlight w:val="none"/>
                <w:shd w:val="clear" w:color="auto" w:fill="FFFFFF"/>
                <w:lang w:val="en-US" w:eastAsia="zh-CN"/>
              </w:rPr>
            </w:pPr>
          </w:p>
        </w:tc>
      </w:tr>
      <w:tr w14:paraId="7EB6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6" w:hRule="exact"/>
          <w:jc w:val="center"/>
        </w:trPr>
        <w:tc>
          <w:tcPr>
            <w:tcW w:w="2585" w:type="dxa"/>
            <w:shd w:val="clear" w:color="auto" w:fill="auto"/>
            <w:noWrap w:val="0"/>
            <w:vAlign w:val="center"/>
          </w:tcPr>
          <w:p w14:paraId="53C744F4">
            <w:pPr>
              <w:widowControl w:val="0"/>
              <w:kinsoku/>
              <w:topLinePunct/>
              <w:autoSpaceDE/>
              <w:spacing w:line="360" w:lineRule="auto"/>
              <w:jc w:val="center"/>
              <w:textAlignment w:val="auto"/>
              <w:rPr>
                <w:rFonts w:hint="default"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外观</w:t>
            </w:r>
          </w:p>
        </w:tc>
        <w:tc>
          <w:tcPr>
            <w:tcW w:w="5556" w:type="dxa"/>
            <w:shd w:val="clear" w:color="auto" w:fill="auto"/>
            <w:noWrap w:val="0"/>
            <w:vAlign w:val="center"/>
          </w:tcPr>
          <w:p w14:paraId="178D01BD">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1、草丝韧性与回弹</w:t>
            </w:r>
          </w:p>
          <w:p w14:paraId="794A8AAC">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随机抽取5根草丝，轻微倒伏、细微毛刺瑕疵点位≤1处，无弯折、缠绕、碎丝、开裂、粗细不均等严重缺陷，符合无绒毛、不包纱工艺要求。</w:t>
            </w:r>
          </w:p>
          <w:p w14:paraId="10EDC305">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反复弯折10次，出现轻微发白、折痕的草丝≤2根，无脆裂断裂，90%以上草丝可快速回弹直立。</w:t>
            </w:r>
          </w:p>
          <w:p w14:paraId="33B75A76">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2、草丝牢固度</w:t>
            </w:r>
          </w:p>
          <w:p w14:paraId="5350936D">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随机抽检5处簇绒，适度拉扯后轻微松动点位≤2处，无脱簇、拔出现象。</w:t>
            </w:r>
          </w:p>
          <w:p w14:paraId="36AF9FA1">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3、草坪密实度</w:t>
            </w:r>
          </w:p>
          <w:p w14:paraId="223715FF">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cs="宋体"/>
                <w:color w:val="auto"/>
                <w:kern w:val="2"/>
                <w:sz w:val="20"/>
                <w:szCs w:val="20"/>
                <w:highlight w:val="none"/>
                <w:shd w:val="clear" w:color="auto" w:fill="FFFFFF"/>
                <w:lang w:val="en-US" w:eastAsia="zh-CN" w:bidi="ar"/>
              </w:rPr>
              <w:t>样品</w:t>
            </w:r>
            <w:r>
              <w:rPr>
                <w:rFonts w:hint="eastAsia" w:ascii="宋体" w:hAnsi="宋体" w:eastAsia="宋体" w:cs="宋体"/>
                <w:color w:val="auto"/>
                <w:kern w:val="2"/>
                <w:sz w:val="20"/>
                <w:szCs w:val="20"/>
                <w:highlight w:val="none"/>
                <w:shd w:val="clear" w:color="auto" w:fill="FFFFFF"/>
                <w:lang w:val="en-US" w:eastAsia="zh-CN" w:bidi="ar"/>
              </w:rPr>
              <w:t>无鼓包、起拱、塌陷，细微褶皱，无肉眼可见高低差、翘边、错位，接缝带宽度符合20-30cm规范。</w:t>
            </w:r>
          </w:p>
          <w:p w14:paraId="7D53C32C">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多点位按压，轻微软硬不均点位≤3处，无大面积松散、空洞区域，不影响使用体验。</w:t>
            </w:r>
          </w:p>
          <w:p w14:paraId="3D262F78">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4、背胶与底布质量</w:t>
            </w:r>
          </w:p>
          <w:p w14:paraId="1BE365C1">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底布区域无破损、撕裂、孔洞、断丝等严重缺陷。</w:t>
            </w:r>
          </w:p>
          <w:p w14:paraId="35E867DE">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背胶区域无缺胶、粘手、粉化、掉渣、龟裂起皮问题；底布拉扯无变形撕裂。</w:t>
            </w:r>
          </w:p>
          <w:p w14:paraId="12C44F01">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eastAsia="宋体" w:cs="宋体"/>
                <w:color w:val="auto"/>
                <w:kern w:val="2"/>
                <w:sz w:val="20"/>
                <w:szCs w:val="20"/>
                <w:highlight w:val="none"/>
                <w:shd w:val="clear" w:color="auto" w:fill="FFFFFF"/>
                <w:lang w:val="en-US" w:eastAsia="zh-CN" w:bidi="ar"/>
              </w:rPr>
              <w:t>5、整体回弹性能</w:t>
            </w:r>
          </w:p>
          <w:p w14:paraId="69B577E0">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eastAsia="宋体" w:cs="宋体"/>
                <w:color w:val="auto"/>
                <w:kern w:val="2"/>
                <w:sz w:val="20"/>
                <w:szCs w:val="20"/>
                <w:highlight w:val="none"/>
                <w:shd w:val="clear" w:color="auto" w:fill="FFFFFF"/>
                <w:lang w:val="en-US" w:eastAsia="zh-CN" w:bidi="ar"/>
              </w:rPr>
            </w:pPr>
            <w:r>
              <w:rPr>
                <w:rFonts w:hint="eastAsia" w:ascii="宋体" w:hAnsi="宋体" w:cs="宋体"/>
                <w:color w:val="auto"/>
                <w:kern w:val="2"/>
                <w:sz w:val="20"/>
                <w:szCs w:val="20"/>
                <w:highlight w:val="none"/>
                <w:shd w:val="clear" w:color="auto" w:fill="FFFFFF"/>
                <w:lang w:val="en-US" w:eastAsia="zh-CN" w:bidi="ar"/>
              </w:rPr>
              <w:t>按压</w:t>
            </w:r>
            <w:r>
              <w:rPr>
                <w:rFonts w:hint="eastAsia" w:ascii="宋体" w:hAnsi="宋体" w:eastAsia="宋体" w:cs="宋体"/>
                <w:color w:val="auto"/>
                <w:kern w:val="2"/>
                <w:sz w:val="20"/>
                <w:szCs w:val="20"/>
                <w:highlight w:val="none"/>
                <w:shd w:val="clear" w:color="auto" w:fill="FFFFFF"/>
                <w:lang w:val="en-US" w:eastAsia="zh-CN" w:bidi="ar"/>
              </w:rPr>
              <w:t>无塌层、回弹失效问题。</w:t>
            </w:r>
          </w:p>
          <w:p w14:paraId="29B98F0F">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cs="宋体"/>
                <w:color w:val="auto"/>
                <w:kern w:val="2"/>
                <w:sz w:val="20"/>
                <w:szCs w:val="20"/>
                <w:highlight w:val="none"/>
                <w:shd w:val="clear" w:color="auto" w:fill="FFFFFF"/>
                <w:lang w:val="en-US" w:eastAsia="zh-CN" w:bidi="ar"/>
              </w:rPr>
              <w:t>6、人造草</w:t>
            </w:r>
            <w:r>
              <w:rPr>
                <w:rFonts w:hint="eastAsia" w:ascii="宋体" w:hAnsi="宋体" w:eastAsia="宋体" w:cs="宋体"/>
                <w:color w:val="auto"/>
                <w:kern w:val="2"/>
                <w:sz w:val="20"/>
                <w:szCs w:val="20"/>
                <w:highlight w:val="none"/>
                <w:shd w:val="clear" w:color="auto" w:fill="FFFFFF"/>
                <w:lang w:val="en-US" w:eastAsia="zh-CN" w:bidi="ar"/>
              </w:rPr>
              <w:t>无发黄、发白、色斑、褪色、明显阴阳色问题，整体色调统一。</w:t>
            </w:r>
          </w:p>
          <w:p w14:paraId="6DD9E85A">
            <w:pPr>
              <w:keepNext w:val="0"/>
              <w:keepLines w:val="0"/>
              <w:widowControl w:val="0"/>
              <w:numPr>
                <w:ilvl w:val="0"/>
                <w:numId w:val="0"/>
              </w:numPr>
              <w:suppressLineNumbers w:val="0"/>
              <w:topLinePunct/>
              <w:autoSpaceDN w:val="0"/>
              <w:adjustRightInd w:val="0"/>
              <w:snapToGrid w:val="0"/>
              <w:spacing w:line="360" w:lineRule="auto"/>
              <w:ind w:firstLine="400" w:firstLineChars="200"/>
              <w:jc w:val="left"/>
              <w:outlineLvl w:val="9"/>
              <w:rPr>
                <w:rFonts w:hint="eastAsia" w:ascii="宋体" w:hAnsi="宋体" w:cs="宋体"/>
                <w:color w:val="auto"/>
                <w:sz w:val="20"/>
                <w:highlight w:val="none"/>
                <w:shd w:val="clear" w:color="auto" w:fill="FFFFFF"/>
              </w:rPr>
            </w:pPr>
            <w:r>
              <w:rPr>
                <w:rFonts w:hint="eastAsia" w:ascii="宋体" w:hAnsi="宋体" w:cs="宋体"/>
                <w:color w:val="auto"/>
                <w:kern w:val="2"/>
                <w:sz w:val="20"/>
                <w:szCs w:val="20"/>
                <w:highlight w:val="none"/>
                <w:shd w:val="clear" w:color="auto" w:fill="FFFFFF"/>
                <w:lang w:val="en-US" w:eastAsia="zh-CN" w:bidi="ar"/>
              </w:rPr>
              <w:t>7、</w:t>
            </w:r>
            <w:r>
              <w:rPr>
                <w:rFonts w:hint="eastAsia" w:ascii="宋体" w:hAnsi="宋体" w:eastAsia="宋体" w:cs="宋体"/>
                <w:color w:val="auto"/>
                <w:kern w:val="2"/>
                <w:sz w:val="20"/>
                <w:szCs w:val="20"/>
                <w:highlight w:val="none"/>
                <w:shd w:val="clear" w:color="auto" w:fill="FFFFFF"/>
                <w:lang w:val="en-US" w:eastAsia="zh-CN" w:bidi="ar"/>
              </w:rPr>
              <w:t>簇绒针脚规整度</w:t>
            </w:r>
          </w:p>
          <w:p w14:paraId="1E0C948E">
            <w:pPr>
              <w:widowControl w:val="0"/>
              <w:numPr>
                <w:ilvl w:val="0"/>
                <w:numId w:val="0"/>
              </w:numPr>
              <w:kinsoku/>
              <w:topLinePunct/>
              <w:autoSpaceDE/>
              <w:autoSpaceDN w:val="0"/>
              <w:adjustRightInd w:val="0"/>
              <w:snapToGrid w:val="0"/>
              <w:spacing w:line="360" w:lineRule="auto"/>
              <w:ind w:firstLine="400" w:firstLineChars="200"/>
              <w:jc w:val="left"/>
              <w:textAlignment w:val="auto"/>
              <w:outlineLvl w:val="9"/>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kern w:val="2"/>
                <w:sz w:val="20"/>
                <w:szCs w:val="20"/>
                <w:highlight w:val="none"/>
                <w:shd w:val="clear" w:color="auto" w:fill="FFFFFF"/>
                <w:lang w:val="en-US" w:eastAsia="zh-CN" w:bidi="ar"/>
              </w:rPr>
              <w:t>无漏针、稀针、跳针、空簇、露底透光问题</w:t>
            </w:r>
            <w:r>
              <w:rPr>
                <w:rFonts w:hint="eastAsia" w:ascii="宋体" w:hAnsi="宋体" w:cs="宋体"/>
                <w:color w:val="auto"/>
                <w:kern w:val="2"/>
                <w:sz w:val="20"/>
                <w:szCs w:val="20"/>
                <w:highlight w:val="none"/>
                <w:shd w:val="clear" w:color="auto" w:fill="FFFFFF"/>
                <w:lang w:val="en-US" w:eastAsia="zh-CN" w:bidi="ar"/>
              </w:rPr>
              <w:t>（疏水孔除外）</w:t>
            </w:r>
            <w:r>
              <w:rPr>
                <w:rFonts w:hint="eastAsia" w:ascii="宋体" w:hAnsi="宋体" w:eastAsia="宋体" w:cs="宋体"/>
                <w:color w:val="auto"/>
                <w:kern w:val="2"/>
                <w:sz w:val="20"/>
                <w:szCs w:val="20"/>
                <w:highlight w:val="none"/>
                <w:shd w:val="clear" w:color="auto" w:fill="FFFFFF"/>
                <w:lang w:val="en-US" w:eastAsia="zh-CN" w:bidi="ar"/>
              </w:rPr>
              <w:t>。</w:t>
            </w:r>
          </w:p>
        </w:tc>
      </w:tr>
    </w:tbl>
    <w:p w14:paraId="42C9C937">
      <w:pPr>
        <w:pStyle w:val="6"/>
        <w:ind w:firstLine="400"/>
        <w:rPr>
          <w:rFonts w:hint="default" w:asciiTheme="minorHAnsi" w:hAnsiTheme="minorHAnsi" w:eastAsiaTheme="minorEastAsia" w:cstheme="minorBidi"/>
          <w:b w:val="0"/>
          <w:bCs w:val="0"/>
          <w:sz w:val="20"/>
          <w:szCs w:val="20"/>
          <w:highlight w:val="none"/>
          <w:shd w:val="clear"/>
          <w:lang w:eastAsia="zh-CN"/>
        </w:rPr>
      </w:pPr>
    </w:p>
    <w:p w14:paraId="27460AB8">
      <w:pPr>
        <w:pStyle w:val="6"/>
        <w:ind w:firstLine="400"/>
        <w:rPr>
          <w:rFonts w:hint="default" w:asciiTheme="minorHAnsi" w:hAnsiTheme="minorHAnsi" w:eastAsiaTheme="minorEastAsia" w:cstheme="minorBidi"/>
          <w:b w:val="0"/>
          <w:bCs w:val="0"/>
          <w:sz w:val="20"/>
          <w:szCs w:val="20"/>
          <w:highlight w:val="none"/>
          <w:shd w:val="clear"/>
          <w:lang w:eastAsia="zh-CN"/>
        </w:rPr>
      </w:pPr>
      <w:r>
        <w:rPr>
          <w:rFonts w:hint="default" w:asciiTheme="minorHAnsi" w:hAnsiTheme="minorHAnsi" w:eastAsiaTheme="minorEastAsia" w:cstheme="minorBidi"/>
          <w:b w:val="0"/>
          <w:bCs w:val="0"/>
          <w:sz w:val="20"/>
          <w:szCs w:val="20"/>
          <w:highlight w:val="none"/>
          <w:shd w:val="clear"/>
          <w:lang w:eastAsia="zh-CN"/>
        </w:rPr>
        <w:t>（三）投标人的投标</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不能相互共用。</w:t>
      </w:r>
    </w:p>
    <w:p w14:paraId="59B42F2D">
      <w:pPr>
        <w:pStyle w:val="6"/>
        <w:ind w:firstLine="400"/>
        <w:rPr>
          <w:rFonts w:hint="default" w:asciiTheme="minorHAnsi" w:hAnsiTheme="minorHAnsi" w:eastAsiaTheme="minorEastAsia" w:cstheme="minorBidi"/>
          <w:b w:val="0"/>
          <w:bCs w:val="0"/>
          <w:sz w:val="20"/>
          <w:szCs w:val="20"/>
          <w:highlight w:val="none"/>
          <w:shd w:val="clear"/>
          <w:lang w:eastAsia="zh-CN"/>
        </w:rPr>
      </w:pPr>
      <w:r>
        <w:rPr>
          <w:rFonts w:hint="default" w:asciiTheme="minorHAnsi" w:hAnsiTheme="minorHAnsi" w:eastAsiaTheme="minorEastAsia" w:cstheme="minorBidi"/>
          <w:b w:val="0"/>
          <w:bCs w:val="0"/>
          <w:sz w:val="20"/>
          <w:szCs w:val="20"/>
          <w:highlight w:val="none"/>
          <w:shd w:val="clear"/>
          <w:lang w:eastAsia="zh-CN"/>
        </w:rPr>
        <w:t>（</w:t>
      </w:r>
      <w:r>
        <w:rPr>
          <w:rFonts w:hint="eastAsia" w:cstheme="minorBidi"/>
          <w:b w:val="0"/>
          <w:bCs w:val="0"/>
          <w:sz w:val="20"/>
          <w:szCs w:val="20"/>
          <w:highlight w:val="none"/>
          <w:shd w:val="clear"/>
          <w:lang w:val="en-US" w:eastAsia="zh-CN"/>
        </w:rPr>
        <w:t>四</w:t>
      </w:r>
      <w:r>
        <w:rPr>
          <w:rFonts w:hint="default" w:asciiTheme="minorHAnsi" w:hAnsiTheme="minorHAnsi" w:eastAsiaTheme="minorEastAsia" w:cstheme="minorBidi"/>
          <w:b w:val="0"/>
          <w:bCs w:val="0"/>
          <w:sz w:val="20"/>
          <w:szCs w:val="20"/>
          <w:highlight w:val="none"/>
          <w:shd w:val="clear"/>
          <w:lang w:eastAsia="zh-CN"/>
        </w:rPr>
        <w:t>）没有要求的</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采购代理机构不予接收。</w:t>
      </w:r>
    </w:p>
    <w:p w14:paraId="2452EBE8">
      <w:pPr>
        <w:pStyle w:val="6"/>
        <w:ind w:firstLine="400"/>
        <w:rPr>
          <w:rFonts w:hint="default" w:asciiTheme="minorHAnsi" w:hAnsiTheme="minorHAnsi" w:eastAsiaTheme="minorEastAsia" w:cstheme="minorBidi"/>
          <w:b w:val="0"/>
          <w:bCs w:val="0"/>
          <w:sz w:val="20"/>
          <w:szCs w:val="20"/>
          <w:highlight w:val="none"/>
          <w:shd w:val="clear"/>
          <w:lang w:eastAsia="zh-CN"/>
        </w:rPr>
      </w:pPr>
      <w:r>
        <w:rPr>
          <w:rFonts w:hint="default" w:asciiTheme="minorHAnsi" w:hAnsiTheme="minorHAnsi" w:eastAsiaTheme="minorEastAsia" w:cstheme="minorBidi"/>
          <w:b w:val="0"/>
          <w:bCs w:val="0"/>
          <w:sz w:val="20"/>
          <w:szCs w:val="20"/>
          <w:highlight w:val="none"/>
          <w:shd w:val="clear"/>
          <w:lang w:eastAsia="zh-CN"/>
        </w:rPr>
        <w:t>（</w:t>
      </w:r>
      <w:r>
        <w:rPr>
          <w:rFonts w:hint="eastAsia" w:cstheme="minorBidi"/>
          <w:b w:val="0"/>
          <w:bCs w:val="0"/>
          <w:sz w:val="20"/>
          <w:szCs w:val="20"/>
          <w:highlight w:val="none"/>
          <w:shd w:val="clear"/>
          <w:lang w:val="en-US" w:eastAsia="zh-CN"/>
        </w:rPr>
        <w:t>五</w:t>
      </w:r>
      <w:r>
        <w:rPr>
          <w:rFonts w:hint="default" w:asciiTheme="minorHAnsi" w:hAnsiTheme="minorHAnsi" w:eastAsiaTheme="minorEastAsia" w:cstheme="minorBidi"/>
          <w:b w:val="0"/>
          <w:bCs w:val="0"/>
          <w:sz w:val="20"/>
          <w:szCs w:val="20"/>
          <w:highlight w:val="none"/>
          <w:shd w:val="clear"/>
          <w:lang w:eastAsia="zh-CN"/>
        </w:rPr>
        <w:t>）采购代理机构在收取</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时没有对</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外观验收及性能测试，所以对</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的破损或质量概不负责。</w:t>
      </w:r>
    </w:p>
    <w:p w14:paraId="5546D097">
      <w:pPr>
        <w:pStyle w:val="6"/>
        <w:ind w:firstLine="400"/>
        <w:rPr>
          <w:rFonts w:hint="default" w:asciiTheme="minorHAnsi" w:hAnsiTheme="minorHAnsi" w:eastAsiaTheme="minorEastAsia" w:cstheme="minorBidi"/>
          <w:b w:val="0"/>
          <w:bCs w:val="0"/>
          <w:sz w:val="20"/>
          <w:szCs w:val="20"/>
          <w:highlight w:val="none"/>
          <w:shd w:val="clear"/>
          <w:lang w:eastAsia="zh-CN"/>
        </w:rPr>
      </w:pPr>
      <w:r>
        <w:rPr>
          <w:rFonts w:hint="default" w:asciiTheme="minorHAnsi" w:hAnsiTheme="minorHAnsi" w:eastAsiaTheme="minorEastAsia" w:cstheme="minorBidi"/>
          <w:b w:val="0"/>
          <w:bCs w:val="0"/>
          <w:sz w:val="20"/>
          <w:szCs w:val="20"/>
          <w:highlight w:val="none"/>
          <w:shd w:val="clear"/>
          <w:lang w:eastAsia="zh-CN"/>
        </w:rPr>
        <w:t>（</w:t>
      </w:r>
      <w:r>
        <w:rPr>
          <w:rFonts w:hint="eastAsia" w:cstheme="minorBidi"/>
          <w:b w:val="0"/>
          <w:bCs w:val="0"/>
          <w:sz w:val="20"/>
          <w:szCs w:val="20"/>
          <w:highlight w:val="none"/>
          <w:shd w:val="clear"/>
          <w:lang w:val="en-US" w:eastAsia="zh-CN"/>
        </w:rPr>
        <w:t>六</w:t>
      </w:r>
      <w:r>
        <w:rPr>
          <w:rFonts w:hint="default" w:asciiTheme="minorHAnsi" w:hAnsiTheme="minorHAnsi" w:eastAsiaTheme="minorEastAsia" w:cstheme="minorBidi"/>
          <w:b w:val="0"/>
          <w:bCs w:val="0"/>
          <w:sz w:val="20"/>
          <w:szCs w:val="20"/>
          <w:highlight w:val="none"/>
          <w:shd w:val="clear"/>
          <w:lang w:eastAsia="zh-CN"/>
        </w:rPr>
        <w:t>）由于采购代理机构场地空间有限，敬请各有关供应商支持配合，在接到采购代理机构通知后尽快取回投标</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，否则视同供应商不再认领，采购代理机构有权进行处理。</w:t>
      </w:r>
    </w:p>
    <w:p w14:paraId="523B0293">
      <w:pPr>
        <w:pStyle w:val="6"/>
        <w:ind w:firstLine="400"/>
        <w:rPr>
          <w:rFonts w:hint="default" w:asciiTheme="minorHAnsi" w:hAnsiTheme="minorHAnsi" w:eastAsiaTheme="minorEastAsia" w:cstheme="minorBidi"/>
          <w:b w:val="0"/>
          <w:bCs w:val="0"/>
          <w:sz w:val="20"/>
          <w:szCs w:val="20"/>
          <w:highlight w:val="none"/>
          <w:shd w:val="clear"/>
          <w:lang w:eastAsia="zh-CN"/>
        </w:rPr>
      </w:pPr>
      <w:r>
        <w:rPr>
          <w:rFonts w:hint="default" w:asciiTheme="minorHAnsi" w:hAnsiTheme="minorHAnsi" w:eastAsiaTheme="minorEastAsia" w:cstheme="minorBidi"/>
          <w:b w:val="0"/>
          <w:bCs w:val="0"/>
          <w:sz w:val="20"/>
          <w:szCs w:val="20"/>
          <w:highlight w:val="none"/>
          <w:shd w:val="clear"/>
          <w:lang w:eastAsia="zh-CN"/>
        </w:rPr>
        <w:t>（</w:t>
      </w:r>
      <w:r>
        <w:rPr>
          <w:rFonts w:hint="eastAsia" w:cstheme="minorBidi"/>
          <w:b w:val="0"/>
          <w:bCs w:val="0"/>
          <w:sz w:val="20"/>
          <w:szCs w:val="20"/>
          <w:highlight w:val="none"/>
          <w:shd w:val="clear"/>
          <w:lang w:val="en-US" w:eastAsia="zh-CN"/>
        </w:rPr>
        <w:t>七</w:t>
      </w:r>
      <w:r>
        <w:rPr>
          <w:rFonts w:hint="default" w:asciiTheme="minorHAnsi" w:hAnsiTheme="minorHAnsi" w:eastAsiaTheme="minorEastAsia" w:cstheme="minorBidi"/>
          <w:b w:val="0"/>
          <w:bCs w:val="0"/>
          <w:sz w:val="20"/>
          <w:szCs w:val="20"/>
          <w:highlight w:val="none"/>
          <w:shd w:val="clear"/>
          <w:lang w:eastAsia="zh-CN"/>
        </w:rPr>
        <w:t>）</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间大门尺寸（宽1.33米×高2.3米），</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间高度2.4米。请供应商根据</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间的大门尺寸和高度安排样品。如因</w:t>
      </w:r>
      <w:r>
        <w:rPr>
          <w:rFonts w:hint="eastAsia" w:cstheme="minorBidi"/>
          <w:b w:val="0"/>
          <w:bCs w:val="0"/>
          <w:sz w:val="20"/>
          <w:szCs w:val="20"/>
          <w:highlight w:val="none"/>
          <w:shd w:val="clear"/>
          <w:lang w:eastAsia="zh-CN"/>
        </w:rPr>
        <w:t>样品</w:t>
      </w:r>
      <w:r>
        <w:rPr>
          <w:rFonts w:hint="default" w:asciiTheme="minorHAnsi" w:hAnsiTheme="minorHAnsi" w:eastAsiaTheme="minorEastAsia" w:cstheme="minorBidi"/>
          <w:b w:val="0"/>
          <w:bCs w:val="0"/>
          <w:sz w:val="20"/>
          <w:szCs w:val="20"/>
          <w:highlight w:val="none"/>
          <w:shd w:val="clear"/>
          <w:lang w:eastAsia="zh-CN"/>
        </w:rPr>
        <w:t>间无法满足供应商的样品尺寸，造成的不利后果由供应商自行承担。</w:t>
      </w:r>
    </w:p>
    <w:p w14:paraId="4855BD78">
      <w:pPr>
        <w:widowControl w:val="0"/>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val="en-US" w:eastAsia="zh-CN"/>
        </w:rPr>
      </w:pPr>
    </w:p>
    <w:p w14:paraId="5A7EAFA1">
      <w:pPr>
        <w:pStyle w:val="6"/>
        <w:outlineLvl w:val="2"/>
        <w:rPr>
          <w:rFonts w:hint="eastAsia"/>
          <w:b/>
          <w:sz w:val="28"/>
          <w:highlight w:val="none"/>
          <w:lang w:eastAsia="zh-Hans"/>
        </w:rPr>
      </w:pPr>
      <w:r>
        <w:rPr>
          <w:b/>
          <w:sz w:val="28"/>
          <w:highlight w:val="none"/>
        </w:rPr>
        <w:t>十</w:t>
      </w:r>
      <w:r>
        <w:rPr>
          <w:rFonts w:hint="eastAsia"/>
          <w:b/>
          <w:sz w:val="28"/>
          <w:highlight w:val="none"/>
          <w:lang w:val="en-US" w:eastAsia="zh-CN"/>
        </w:rPr>
        <w:t>四</w:t>
      </w:r>
      <w:r>
        <w:rPr>
          <w:b/>
          <w:sz w:val="28"/>
          <w:highlight w:val="none"/>
        </w:rPr>
        <w:t>、</w:t>
      </w:r>
      <w:r>
        <w:rPr>
          <w:rFonts w:hint="eastAsia"/>
          <w:b/>
          <w:sz w:val="28"/>
          <w:highlight w:val="none"/>
          <w:lang w:val="en-US" w:eastAsia="zh-CN"/>
        </w:rPr>
        <w:t>主要产品</w:t>
      </w:r>
      <w:r>
        <w:rPr>
          <w:rFonts w:hint="eastAsia"/>
          <w:b/>
          <w:sz w:val="28"/>
          <w:highlight w:val="none"/>
          <w:lang w:eastAsia="zh-Hans"/>
        </w:rPr>
        <w:t>环保性能及品质保障</w:t>
      </w:r>
    </w:p>
    <w:p w14:paraId="72357BE7">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2" w:firstLineChars="200"/>
        <w:jc w:val="left"/>
        <w:textAlignment w:val="auto"/>
        <w:outlineLvl w:val="9"/>
        <w:rPr>
          <w:rFonts w:hint="eastAsia"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（一）、人造草坪产品环保性能及品质保障</w:t>
      </w:r>
    </w:p>
    <w:p w14:paraId="418D6BCC">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1）提供</w:t>
      </w:r>
      <w:r>
        <w:rPr>
          <w:rFonts w:hint="default" w:ascii="宋体" w:hAnsi="宋体" w:eastAsia="宋体" w:cs="宋体"/>
          <w:color w:val="auto"/>
          <w:sz w:val="20"/>
          <w:szCs w:val="20"/>
          <w:highlight w:val="none"/>
          <w:shd w:val="clear" w:color="auto" w:fill="FFFFFF"/>
          <w:lang w:val="en-US" w:eastAsia="zh-CN"/>
        </w:rPr>
        <w:t>CMA认证资质的</w:t>
      </w:r>
      <w:r>
        <w:rPr>
          <w:rFonts w:hint="eastAsia" w:ascii="宋体" w:hAnsi="宋体" w:eastAsia="宋体" w:cs="宋体"/>
          <w:color w:val="auto"/>
          <w:sz w:val="20"/>
          <w:szCs w:val="20"/>
          <w:highlight w:val="none"/>
          <w:shd w:val="clear" w:color="auto" w:fill="FFFFFF"/>
          <w:lang w:val="en-US" w:eastAsia="zh-CN"/>
        </w:rPr>
        <w:t>专业检测机构出具的符合GB/T 20394-2019标准中理化性能要求的合格检测报告</w:t>
      </w:r>
      <w:r>
        <w:rPr>
          <w:rFonts w:hint="eastAsia" w:ascii="宋体" w:hAnsi="宋体" w:cs="宋体"/>
          <w:color w:val="auto"/>
          <w:sz w:val="20"/>
          <w:szCs w:val="20"/>
          <w:highlight w:val="none"/>
          <w:shd w:val="clear" w:color="auto" w:fill="FFFFFF"/>
          <w:lang w:val="en-US" w:eastAsia="zh-CN"/>
        </w:rPr>
        <w:t>。</w:t>
      </w:r>
    </w:p>
    <w:p w14:paraId="3FF1F6DE">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eastAsia="宋体" w:cs="宋体"/>
          <w:color w:val="auto"/>
          <w:sz w:val="20"/>
          <w:szCs w:val="20"/>
          <w:highlight w:val="none"/>
          <w:shd w:val="clear" w:color="auto" w:fill="FFFFFF"/>
          <w:lang w:val="en-US" w:eastAsia="zh-CN"/>
        </w:rPr>
      </w:pPr>
      <w:bookmarkStart w:id="0" w:name="_GoBack"/>
      <w:r>
        <w:rPr>
          <w:rFonts w:hint="eastAsia" w:ascii="宋体" w:hAnsi="宋体" w:cs="宋体"/>
          <w:color w:val="auto"/>
          <w:sz w:val="20"/>
          <w:szCs w:val="20"/>
          <w:highlight w:val="none"/>
          <w:shd w:val="clear" w:color="auto" w:fill="FFFFFF"/>
          <w:lang w:val="en-US" w:eastAsia="zh-CN"/>
        </w:rPr>
        <w:t>★</w:t>
      </w:r>
      <w:bookmarkEnd w:id="0"/>
      <w:r>
        <w:rPr>
          <w:rFonts w:hint="eastAsia" w:ascii="宋体" w:hAnsi="宋体" w:cs="宋体"/>
          <w:color w:val="auto"/>
          <w:sz w:val="20"/>
          <w:szCs w:val="20"/>
          <w:highlight w:val="none"/>
          <w:shd w:val="clear" w:color="auto" w:fill="FFFFFF"/>
          <w:lang w:val="en-US" w:eastAsia="zh-CN"/>
        </w:rPr>
        <w:t>2）</w:t>
      </w:r>
      <w:r>
        <w:rPr>
          <w:rFonts w:hint="eastAsia" w:ascii="宋体" w:hAnsi="宋体" w:eastAsia="宋体" w:cs="宋体"/>
          <w:color w:val="auto"/>
          <w:sz w:val="20"/>
          <w:szCs w:val="20"/>
          <w:highlight w:val="none"/>
          <w:shd w:val="clear" w:color="auto" w:fill="FFFFFF"/>
          <w:lang w:val="en-US" w:eastAsia="zh-CN"/>
        </w:rPr>
        <w:t>提供</w:t>
      </w:r>
      <w:r>
        <w:rPr>
          <w:rFonts w:hint="eastAsia" w:ascii="宋体" w:hAnsi="宋体" w:cs="宋体"/>
          <w:color w:val="auto"/>
          <w:sz w:val="20"/>
          <w:szCs w:val="20"/>
          <w:highlight w:val="none"/>
          <w:shd w:val="clear" w:color="auto" w:fill="FFFFFF"/>
          <w:lang w:val="en-US" w:eastAsia="zh-CN"/>
        </w:rPr>
        <w:t>第三方专业</w:t>
      </w:r>
      <w:r>
        <w:rPr>
          <w:rFonts w:hint="eastAsia" w:ascii="宋体" w:hAnsi="宋体" w:eastAsia="宋体" w:cs="宋体"/>
          <w:color w:val="auto"/>
          <w:sz w:val="20"/>
          <w:szCs w:val="20"/>
          <w:highlight w:val="none"/>
          <w:shd w:val="clear" w:color="auto" w:fill="FFFFFF"/>
          <w:lang w:val="en-US" w:eastAsia="zh-CN"/>
        </w:rPr>
        <w:t>检测机构出具的符合</w:t>
      </w:r>
      <w:r>
        <w:rPr>
          <w:rFonts w:hint="eastAsia" w:ascii="宋体" w:hAnsi="宋体" w:eastAsia="宋体" w:cs="宋体"/>
          <w:color w:val="auto"/>
          <w:sz w:val="20"/>
          <w:szCs w:val="20"/>
          <w:highlight w:val="none"/>
          <w:shd w:val="clear" w:color="auto" w:fill="FFFFFF"/>
          <w:lang w:eastAsia="zh-CN"/>
        </w:rPr>
        <w:t>GB36246</w:t>
      </w:r>
      <w:r>
        <w:rPr>
          <w:rFonts w:hint="eastAsia" w:ascii="宋体" w:hAnsi="宋体" w:eastAsia="宋体" w:cs="宋体"/>
          <w:color w:val="auto"/>
          <w:sz w:val="20"/>
          <w:szCs w:val="20"/>
          <w:highlight w:val="none"/>
          <w:shd w:val="clear" w:color="auto" w:fill="FFFFFF"/>
          <w:lang w:val="en-US" w:eastAsia="zh-CN"/>
        </w:rPr>
        <w:t>-2018标准人造草面层成品中物理机械性能及有害物质限量要求的合格检测报告。</w:t>
      </w:r>
    </w:p>
    <w:p w14:paraId="52EB3F59">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w:t>
      </w:r>
      <w:r>
        <w:rPr>
          <w:rFonts w:hint="eastAsia" w:ascii="宋体" w:hAnsi="宋体" w:cs="宋体"/>
          <w:color w:val="auto"/>
          <w:sz w:val="20"/>
          <w:szCs w:val="20"/>
          <w:highlight w:val="none"/>
          <w:shd w:val="clear" w:color="auto" w:fill="FFFFFF"/>
          <w:lang w:val="en-US" w:eastAsia="zh-CN"/>
        </w:rPr>
        <w:t>3）</w:t>
      </w:r>
      <w:r>
        <w:rPr>
          <w:rFonts w:hint="eastAsia" w:ascii="宋体" w:hAnsi="宋体" w:eastAsia="宋体" w:cs="宋体"/>
          <w:color w:val="auto"/>
          <w:sz w:val="20"/>
          <w:szCs w:val="20"/>
          <w:highlight w:val="none"/>
          <w:shd w:val="clear" w:color="auto" w:fill="FFFFFF"/>
          <w:lang w:val="en-US" w:eastAsia="zh-CN"/>
        </w:rPr>
        <w:t>提供CMA认证资质的专业检测机构出具的人造草面层成品依据GB/T 20394-2019标准进行氙灯老化84小时+耐冷凝水老化84小时循环测试，累计交替循环测试</w:t>
      </w:r>
      <w:r>
        <w:rPr>
          <w:rFonts w:hint="eastAsia" w:ascii="宋体" w:hAnsi="宋体" w:cs="宋体"/>
          <w:color w:val="auto"/>
          <w:sz w:val="20"/>
          <w:szCs w:val="20"/>
          <w:highlight w:val="none"/>
          <w:shd w:val="clear" w:color="auto" w:fill="FFFFFF"/>
          <w:lang w:val="en-US" w:eastAsia="zh-CN"/>
        </w:rPr>
        <w:t>不低于168</w:t>
      </w:r>
      <w:r>
        <w:rPr>
          <w:rFonts w:hint="eastAsia" w:ascii="宋体" w:hAnsi="宋体" w:eastAsia="宋体" w:cs="宋体"/>
          <w:color w:val="auto"/>
          <w:sz w:val="20"/>
          <w:szCs w:val="20"/>
          <w:highlight w:val="none"/>
          <w:shd w:val="clear" w:color="auto" w:fill="FFFFFF"/>
          <w:lang w:val="en-US" w:eastAsia="zh-CN"/>
        </w:rPr>
        <w:t>小时以后，草丝和底布八大可迁移元素均为合格的检测报告</w:t>
      </w:r>
      <w:r>
        <w:rPr>
          <w:rFonts w:hint="eastAsia" w:ascii="宋体" w:hAnsi="宋体" w:cs="宋体"/>
          <w:color w:val="auto"/>
          <w:sz w:val="20"/>
          <w:szCs w:val="20"/>
          <w:highlight w:val="none"/>
          <w:shd w:val="clear" w:color="auto" w:fill="FFFFFF"/>
          <w:lang w:val="en-US" w:eastAsia="zh-CN"/>
        </w:rPr>
        <w:t>。</w:t>
      </w:r>
    </w:p>
    <w:p w14:paraId="76087895">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default" w:ascii="宋体" w:hAnsi="宋体" w:cs="宋体"/>
          <w:color w:val="auto"/>
          <w:sz w:val="20"/>
          <w:szCs w:val="20"/>
          <w:highlight w:val="none"/>
          <w:shd w:val="clear" w:color="auto" w:fill="FFFFFF"/>
          <w:lang w:val="en-US" w:eastAsia="zh-CN"/>
        </w:rPr>
      </w:pPr>
      <w:r>
        <w:rPr>
          <w:rFonts w:hint="default" w:ascii="宋体" w:hAnsi="宋体" w:cs="宋体"/>
          <w:color w:val="auto"/>
          <w:sz w:val="20"/>
          <w:szCs w:val="20"/>
          <w:highlight w:val="none"/>
          <w:shd w:val="clear" w:color="auto" w:fill="FFFFFF"/>
          <w:lang w:val="en-US" w:eastAsia="zh-CN"/>
        </w:rPr>
        <w:t>▲</w:t>
      </w:r>
      <w:r>
        <w:rPr>
          <w:rFonts w:hint="eastAsia" w:ascii="宋体" w:hAnsi="宋体" w:cs="宋体"/>
          <w:color w:val="auto"/>
          <w:sz w:val="20"/>
          <w:szCs w:val="20"/>
          <w:highlight w:val="none"/>
          <w:shd w:val="clear" w:color="auto" w:fill="FFFFFF"/>
          <w:lang w:val="en-US" w:eastAsia="zh-CN"/>
        </w:rPr>
        <w:t>4</w:t>
      </w:r>
      <w:r>
        <w:rPr>
          <w:rFonts w:hint="default" w:ascii="宋体" w:hAnsi="宋体" w:cs="宋体"/>
          <w:color w:val="auto"/>
          <w:sz w:val="20"/>
          <w:szCs w:val="20"/>
          <w:highlight w:val="none"/>
          <w:shd w:val="clear" w:color="auto" w:fill="FFFFFF"/>
          <w:lang w:val="en-US" w:eastAsia="zh-CN"/>
        </w:rPr>
        <w:t>）提供CMA认证资质的专业检测机构出具的人造草面层成品依据GB/T 20394-2019标准进行氙灯老化84小时+耐冷凝水老化84小时循环测试，累计交替循环测试</w:t>
      </w:r>
      <w:r>
        <w:rPr>
          <w:rFonts w:hint="eastAsia" w:ascii="宋体" w:hAnsi="宋体" w:cs="宋体"/>
          <w:color w:val="auto"/>
          <w:sz w:val="20"/>
          <w:szCs w:val="20"/>
          <w:highlight w:val="none"/>
          <w:shd w:val="clear" w:color="auto" w:fill="FFFFFF"/>
          <w:lang w:val="en-US" w:eastAsia="zh-CN"/>
        </w:rPr>
        <w:t>不低于168小时</w:t>
      </w:r>
      <w:r>
        <w:rPr>
          <w:rFonts w:hint="default" w:ascii="宋体" w:hAnsi="宋体" w:cs="宋体"/>
          <w:color w:val="auto"/>
          <w:sz w:val="20"/>
          <w:szCs w:val="20"/>
          <w:highlight w:val="none"/>
          <w:shd w:val="clear" w:color="auto" w:fill="FFFFFF"/>
          <w:lang w:val="en-US" w:eastAsia="zh-CN"/>
        </w:rPr>
        <w:t>以后，单簇草丝拔出力≥54N的检测报告。</w:t>
      </w:r>
    </w:p>
    <w:p w14:paraId="7AF6E42C">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default" w:ascii="宋体" w:hAnsi="宋体" w:cs="宋体"/>
          <w:color w:val="auto"/>
          <w:sz w:val="20"/>
          <w:szCs w:val="20"/>
          <w:highlight w:val="none"/>
          <w:shd w:val="clear" w:color="auto" w:fill="FFFFFF"/>
          <w:lang w:val="en-US" w:eastAsia="zh-CN"/>
        </w:rPr>
      </w:pPr>
      <w:r>
        <w:rPr>
          <w:rFonts w:hint="default" w:ascii="宋体" w:hAnsi="宋体" w:cs="宋体"/>
          <w:color w:val="auto"/>
          <w:sz w:val="20"/>
          <w:szCs w:val="20"/>
          <w:highlight w:val="none"/>
          <w:shd w:val="clear" w:color="auto" w:fill="FFFFFF"/>
          <w:lang w:val="en-US" w:eastAsia="zh-CN"/>
        </w:rPr>
        <w:t>▲</w:t>
      </w:r>
      <w:r>
        <w:rPr>
          <w:rFonts w:hint="eastAsia" w:ascii="宋体" w:hAnsi="宋体" w:cs="宋体"/>
          <w:color w:val="auto"/>
          <w:sz w:val="20"/>
          <w:szCs w:val="20"/>
          <w:highlight w:val="none"/>
          <w:shd w:val="clear" w:color="auto" w:fill="FFFFFF"/>
          <w:lang w:val="en-US" w:eastAsia="zh-CN"/>
        </w:rPr>
        <w:t>5</w:t>
      </w:r>
      <w:r>
        <w:rPr>
          <w:rFonts w:hint="default" w:ascii="宋体" w:hAnsi="宋体" w:cs="宋体"/>
          <w:color w:val="auto"/>
          <w:sz w:val="20"/>
          <w:szCs w:val="20"/>
          <w:highlight w:val="none"/>
          <w:shd w:val="clear" w:color="auto" w:fill="FFFFFF"/>
          <w:lang w:val="en-US" w:eastAsia="zh-CN"/>
        </w:rPr>
        <w:t>）提供CMA认证资质的专业检测机构出具的人造草面层成品依据GB/T 20394-2019标准测试阻燃率以及经过氙灯老化</w:t>
      </w:r>
      <w:r>
        <w:rPr>
          <w:rFonts w:hint="eastAsia" w:ascii="宋体" w:hAnsi="宋体" w:cs="宋体"/>
          <w:color w:val="auto"/>
          <w:sz w:val="20"/>
          <w:szCs w:val="20"/>
          <w:highlight w:val="none"/>
          <w:shd w:val="clear" w:color="auto" w:fill="FFFFFF"/>
          <w:lang w:val="en-US" w:eastAsia="zh-CN"/>
        </w:rPr>
        <w:t>不低于84</w:t>
      </w:r>
      <w:r>
        <w:rPr>
          <w:rFonts w:hint="default" w:ascii="宋体" w:hAnsi="宋体" w:cs="宋体"/>
          <w:color w:val="auto"/>
          <w:sz w:val="20"/>
          <w:szCs w:val="20"/>
          <w:highlight w:val="none"/>
          <w:shd w:val="clear" w:color="auto" w:fill="FFFFFF"/>
          <w:lang w:val="en-US" w:eastAsia="zh-CN"/>
        </w:rPr>
        <w:t>小时+雨水老化</w:t>
      </w:r>
      <w:r>
        <w:rPr>
          <w:rFonts w:hint="eastAsia" w:ascii="宋体" w:hAnsi="宋体" w:cs="宋体"/>
          <w:color w:val="auto"/>
          <w:sz w:val="20"/>
          <w:szCs w:val="20"/>
          <w:highlight w:val="none"/>
          <w:shd w:val="clear" w:color="auto" w:fill="FFFFFF"/>
          <w:lang w:val="en-US" w:eastAsia="zh-CN"/>
        </w:rPr>
        <w:t>不低于84</w:t>
      </w:r>
      <w:r>
        <w:rPr>
          <w:rFonts w:hint="default" w:ascii="宋体" w:hAnsi="宋体" w:cs="宋体"/>
          <w:color w:val="auto"/>
          <w:sz w:val="20"/>
          <w:szCs w:val="20"/>
          <w:highlight w:val="none"/>
          <w:shd w:val="clear" w:color="auto" w:fill="FFFFFF"/>
          <w:lang w:val="en-US" w:eastAsia="zh-CN"/>
        </w:rPr>
        <w:t>小时+高低温老化7次循环老化测试后，草丝耐磨保留率≥98%、阻燃率、表面电阻合格的检测报告。</w:t>
      </w:r>
    </w:p>
    <w:p w14:paraId="4AA251DB">
      <w:pPr>
        <w:widowControl w:val="0"/>
        <w:numPr>
          <w:ilvl w:val="0"/>
          <w:numId w:val="0"/>
        </w:numPr>
        <w:kinsoku/>
        <w:topLinePunct/>
        <w:autoSpaceDE/>
        <w:spacing w:line="360" w:lineRule="auto"/>
        <w:ind w:firstLine="402" w:firstLineChars="200"/>
        <w:textAlignment w:val="auto"/>
        <w:rPr>
          <w:rFonts w:hint="eastAsia"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（二）、</w:t>
      </w:r>
      <w:r>
        <w:rPr>
          <w:rFonts w:hint="eastAsia" w:ascii="宋体" w:hAnsi="宋体" w:eastAsia="宋体" w:cs="宋体"/>
          <w:b/>
          <w:bCs/>
          <w:color w:val="auto"/>
          <w:sz w:val="20"/>
          <w:szCs w:val="20"/>
          <w:highlight w:val="none"/>
          <w:shd w:val="clear" w:color="auto" w:fill="FFFFFF"/>
          <w:lang w:eastAsia="zh-CN"/>
        </w:rPr>
        <w:t>人造草坪填充</w:t>
      </w:r>
      <w:r>
        <w:rPr>
          <w:rFonts w:hint="eastAsia" w:ascii="宋体" w:hAnsi="宋体" w:eastAsia="宋体" w:cs="宋体"/>
          <w:b/>
          <w:bCs/>
          <w:color w:val="auto"/>
          <w:sz w:val="20"/>
          <w:szCs w:val="20"/>
          <w:highlight w:val="none"/>
          <w:shd w:val="clear" w:color="auto" w:fill="FFFFFF"/>
          <w:lang w:val="en-US" w:eastAsia="zh-CN"/>
        </w:rPr>
        <w:t>颗粒产品环保性能及品质保障:</w:t>
      </w:r>
    </w:p>
    <w:p w14:paraId="65A6B08E">
      <w:pPr>
        <w:widowControl w:val="0"/>
        <w:numPr>
          <w:ilvl w:val="0"/>
          <w:numId w:val="0"/>
        </w:numPr>
        <w:kinsoku/>
        <w:topLinePunct/>
        <w:autoSpaceDE/>
        <w:spacing w:line="360" w:lineRule="auto"/>
        <w:ind w:firstLine="400" w:firstLineChars="200"/>
        <w:textAlignment w:val="auto"/>
        <w:rPr>
          <w:rFonts w:hint="eastAsia" w:ascii="宋体" w:hAnsi="宋体" w:cs="宋体"/>
          <w:color w:val="auto"/>
          <w:sz w:val="20"/>
          <w:szCs w:val="20"/>
          <w:highlight w:val="none"/>
          <w:shd w:val="clear" w:color="auto" w:fill="FFFFFF"/>
          <w:lang w:val="en-US" w:eastAsia="zh-CN"/>
        </w:rPr>
      </w:pPr>
      <w:r>
        <w:rPr>
          <w:rFonts w:hint="eastAsia" w:ascii="宋体" w:hAnsi="宋体" w:cs="宋体"/>
          <w:color w:val="auto"/>
          <w:sz w:val="20"/>
          <w:szCs w:val="20"/>
          <w:highlight w:val="none"/>
          <w:shd w:val="clear" w:color="auto" w:fill="FFFFFF"/>
          <w:lang w:val="en-US" w:eastAsia="zh-CN"/>
        </w:rPr>
        <w:t>★1)</w:t>
      </w:r>
      <w:r>
        <w:rPr>
          <w:rFonts w:hint="eastAsia" w:ascii="宋体" w:hAnsi="宋体" w:cs="宋体"/>
          <w:color w:val="auto"/>
          <w:sz w:val="20"/>
          <w:highlight w:val="none"/>
          <w:shd w:val="clear" w:color="auto" w:fill="FFFFFF"/>
        </w:rPr>
        <w:t>提供第三方专业检测机构依据GB36246-2018标准出具的EPDM环保橡胶颗粒中高聚物含量≥20%</w:t>
      </w:r>
      <w:r>
        <w:rPr>
          <w:rFonts w:hint="eastAsia" w:ascii="宋体" w:hAnsi="宋体" w:cs="宋体"/>
          <w:color w:val="auto"/>
          <w:sz w:val="20"/>
          <w:szCs w:val="20"/>
          <w:highlight w:val="none"/>
          <w:shd w:val="clear" w:color="auto" w:fill="FFFFFF"/>
          <w:lang w:val="en-US" w:eastAsia="zh-CN"/>
        </w:rPr>
        <w:t>，</w:t>
      </w:r>
      <w:r>
        <w:rPr>
          <w:rFonts w:hint="eastAsia" w:ascii="宋体" w:hAnsi="宋体" w:eastAsia="宋体" w:cs="宋体"/>
          <w:color w:val="auto"/>
          <w:sz w:val="20"/>
          <w:szCs w:val="20"/>
          <w:highlight w:val="none"/>
          <w:shd w:val="clear" w:color="auto" w:fill="FFFFFF"/>
          <w:lang w:val="en-US" w:eastAsia="zh-CN"/>
        </w:rPr>
        <w:t>固体原料中有害物质限量和气味要求的</w:t>
      </w:r>
      <w:r>
        <w:rPr>
          <w:rFonts w:hint="eastAsia" w:ascii="宋体" w:hAnsi="宋体" w:cs="宋体"/>
          <w:color w:val="auto"/>
          <w:sz w:val="20"/>
          <w:szCs w:val="20"/>
          <w:highlight w:val="none"/>
          <w:shd w:val="clear" w:color="auto" w:fill="FFFFFF"/>
          <w:lang w:val="en-US" w:eastAsia="zh-CN"/>
        </w:rPr>
        <w:t>合格</w:t>
      </w:r>
      <w:r>
        <w:rPr>
          <w:rFonts w:hint="eastAsia" w:ascii="宋体" w:hAnsi="宋体" w:eastAsia="宋体" w:cs="宋体"/>
          <w:color w:val="auto"/>
          <w:sz w:val="20"/>
          <w:szCs w:val="20"/>
          <w:highlight w:val="none"/>
          <w:shd w:val="clear" w:color="auto" w:fill="FFFFFF"/>
          <w:lang w:val="en-US" w:eastAsia="zh-CN"/>
        </w:rPr>
        <w:t>检测报告</w:t>
      </w:r>
      <w:r>
        <w:rPr>
          <w:rFonts w:hint="eastAsia" w:ascii="宋体" w:hAnsi="宋体" w:cs="宋体"/>
          <w:color w:val="auto"/>
          <w:sz w:val="20"/>
          <w:szCs w:val="20"/>
          <w:highlight w:val="none"/>
          <w:shd w:val="clear" w:color="auto" w:fill="FFFFFF"/>
          <w:lang w:val="en-US" w:eastAsia="zh-CN"/>
        </w:rPr>
        <w:t>。</w:t>
      </w:r>
    </w:p>
    <w:p w14:paraId="4934BA1F">
      <w:pPr>
        <w:widowControl w:val="0"/>
        <w:numPr>
          <w:ilvl w:val="0"/>
          <w:numId w:val="0"/>
        </w:numPr>
        <w:kinsoku/>
        <w:topLinePunct/>
        <w:autoSpaceDE/>
        <w:spacing w:line="360" w:lineRule="auto"/>
        <w:ind w:firstLine="400" w:firstLineChars="200"/>
        <w:textAlignment w:val="auto"/>
        <w:rPr>
          <w:rFonts w:hint="eastAsia" w:ascii="宋体" w:hAnsi="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w:t>
      </w:r>
      <w:r>
        <w:rPr>
          <w:rFonts w:hint="eastAsia" w:ascii="宋体" w:hAnsi="宋体" w:cs="宋体"/>
          <w:color w:val="auto"/>
          <w:sz w:val="20"/>
          <w:szCs w:val="20"/>
          <w:highlight w:val="none"/>
          <w:shd w:val="clear" w:color="auto" w:fill="FFFFFF"/>
          <w:lang w:val="en-US" w:eastAsia="zh-CN"/>
        </w:rPr>
        <w:t>2)</w:t>
      </w:r>
      <w:r>
        <w:rPr>
          <w:rFonts w:hint="eastAsia" w:ascii="宋体" w:hAnsi="宋体" w:cs="宋体"/>
          <w:color w:val="auto"/>
          <w:sz w:val="20"/>
          <w:highlight w:val="none"/>
          <w:shd w:val="clear" w:color="auto" w:fill="FFFFFF"/>
        </w:rPr>
        <w:t>提供第三方专业检测机构依据GB/T3512-2014、GB/T 250-2008出具的EPDM环保橡胶颗粒耐高温70度，</w:t>
      </w:r>
      <w:r>
        <w:rPr>
          <w:rFonts w:hint="eastAsia" w:ascii="宋体" w:hAnsi="宋体" w:cs="宋体"/>
          <w:color w:val="auto"/>
          <w:sz w:val="20"/>
          <w:highlight w:val="none"/>
          <w:shd w:val="clear" w:color="auto" w:fill="FFFFFF"/>
          <w:lang w:val="en-US" w:eastAsia="zh-CN"/>
        </w:rPr>
        <w:t>不低于168</w:t>
      </w:r>
      <w:r>
        <w:rPr>
          <w:rFonts w:hint="eastAsia" w:ascii="宋体" w:hAnsi="宋体" w:cs="宋体"/>
          <w:color w:val="auto"/>
          <w:sz w:val="20"/>
          <w:highlight w:val="none"/>
          <w:shd w:val="clear" w:color="auto" w:fill="FFFFFF"/>
        </w:rPr>
        <w:t>小时老化后灰卡变色等级≥4 级（外观无明显变色，无粉化、开裂、起泡、剥落、发粘等现象）的合格检测报告</w:t>
      </w:r>
      <w:r>
        <w:rPr>
          <w:rFonts w:hint="eastAsia" w:ascii="宋体" w:hAnsi="宋体" w:cs="宋体"/>
          <w:color w:val="auto"/>
          <w:sz w:val="20"/>
          <w:szCs w:val="20"/>
          <w:highlight w:val="none"/>
          <w:shd w:val="clear" w:color="auto" w:fill="FFFFFF"/>
          <w:lang w:val="en-US" w:eastAsia="zh-CN"/>
        </w:rPr>
        <w:t>。</w:t>
      </w:r>
    </w:p>
    <w:p w14:paraId="7AD21BF6">
      <w:pPr>
        <w:widowControl w:val="0"/>
        <w:numPr>
          <w:ilvl w:val="0"/>
          <w:numId w:val="0"/>
        </w:numPr>
        <w:kinsoku/>
        <w:topLinePunct/>
        <w:autoSpaceDE/>
        <w:spacing w:line="360" w:lineRule="auto"/>
        <w:ind w:firstLine="400" w:firstLineChars="200"/>
        <w:textAlignment w:val="auto"/>
        <w:rPr>
          <w:rFonts w:hint="default" w:ascii="宋体" w:hAnsi="宋体" w:cs="宋体"/>
          <w:color w:val="auto"/>
          <w:sz w:val="20"/>
          <w:szCs w:val="20"/>
          <w:highlight w:val="none"/>
          <w:shd w:val="clear" w:color="auto" w:fill="FFFFFF"/>
          <w:lang w:val="en-US" w:eastAsia="zh-CN"/>
        </w:rPr>
      </w:pPr>
      <w:r>
        <w:rPr>
          <w:rFonts w:hint="default" w:ascii="宋体" w:hAnsi="宋体" w:cs="宋体"/>
          <w:color w:val="auto"/>
          <w:sz w:val="20"/>
          <w:szCs w:val="20"/>
          <w:highlight w:val="none"/>
          <w:shd w:val="clear" w:color="auto" w:fill="FFFFFF"/>
          <w:lang w:val="en-US" w:eastAsia="zh-CN"/>
        </w:rPr>
        <w:t>▲3)提供第三方专业检测机构依据GB/T15251-2008《橡胶 游离硫的测定》检测标准出具的EPDM环保橡胶颗粒游离硫含</w:t>
      </w:r>
      <w:r>
        <w:rPr>
          <w:rFonts w:hint="eastAsia" w:ascii="宋体" w:hAnsi="宋体" w:cs="宋体"/>
          <w:color w:val="auto"/>
          <w:sz w:val="20"/>
          <w:szCs w:val="20"/>
          <w:highlight w:val="none"/>
          <w:shd w:val="clear" w:color="auto" w:fill="FFFFFF"/>
          <w:lang w:val="en-US" w:eastAsia="zh-CN"/>
        </w:rPr>
        <w:t>量</w:t>
      </w:r>
      <w:r>
        <w:rPr>
          <w:rFonts w:hint="default" w:ascii="宋体" w:hAnsi="宋体" w:cs="宋体"/>
          <w:color w:val="auto"/>
          <w:sz w:val="20"/>
          <w:szCs w:val="20"/>
          <w:highlight w:val="none"/>
          <w:shd w:val="clear" w:color="auto" w:fill="FFFFFF"/>
          <w:lang w:val="en-US" w:eastAsia="zh-CN"/>
        </w:rPr>
        <w:t>≤0.16%的合格检测报告。</w:t>
      </w:r>
    </w:p>
    <w:p w14:paraId="17A59472">
      <w:pPr>
        <w:widowControl w:val="0"/>
        <w:numPr>
          <w:ilvl w:val="0"/>
          <w:numId w:val="0"/>
        </w:numPr>
        <w:kinsoku/>
        <w:topLinePunct/>
        <w:autoSpaceDE/>
        <w:spacing w:line="360" w:lineRule="auto"/>
        <w:ind w:firstLine="400" w:firstLineChars="200"/>
        <w:textAlignment w:val="auto"/>
        <w:rPr>
          <w:rFonts w:hint="default" w:ascii="宋体" w:hAnsi="宋体" w:cs="宋体"/>
          <w:color w:val="auto"/>
          <w:sz w:val="20"/>
          <w:szCs w:val="20"/>
          <w:highlight w:val="none"/>
          <w:shd w:val="clear" w:color="auto" w:fill="FFFFFF"/>
          <w:lang w:val="en-US" w:eastAsia="zh-CN"/>
        </w:rPr>
      </w:pPr>
      <w:r>
        <w:rPr>
          <w:rFonts w:hint="default" w:ascii="宋体" w:hAnsi="宋体" w:cs="宋体"/>
          <w:color w:val="auto"/>
          <w:sz w:val="20"/>
          <w:szCs w:val="20"/>
          <w:highlight w:val="none"/>
          <w:shd w:val="clear" w:color="auto" w:fill="FFFFFF"/>
          <w:lang w:val="en-US" w:eastAsia="zh-CN"/>
        </w:rPr>
        <w:t>▲4)提供第三方专业检测机构依据IS0 10638-2017《橡胶气相色谱法/质谱法抗降解物的鉴定》，环保EPDM橡胶颗粒含有三丁基硫脲、2-叔丁基-6-(3-叔丁基-5-甲基-2-羟苯基)-4-甲基苯基丙烯酸酯等抗老化剂成分的检测报告。</w:t>
      </w:r>
    </w:p>
    <w:p w14:paraId="0ADEDD46">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2" w:firstLineChars="200"/>
        <w:textAlignment w:val="auto"/>
        <w:outlineLvl w:val="9"/>
        <w:rPr>
          <w:rFonts w:hint="eastAsia" w:ascii="宋体" w:hAnsi="宋体" w:eastAsia="宋体" w:cs="宋体"/>
          <w:b/>
          <w:bCs/>
          <w:color w:val="auto"/>
          <w:sz w:val="20"/>
          <w:szCs w:val="20"/>
          <w:highlight w:val="none"/>
          <w:shd w:val="clear" w:color="auto" w:fill="FFFFFF"/>
          <w:lang w:val="en-US" w:eastAsia="zh-CN"/>
        </w:rPr>
      </w:pPr>
      <w:r>
        <w:rPr>
          <w:rFonts w:hint="eastAsia" w:ascii="宋体" w:hAnsi="宋体" w:eastAsia="宋体" w:cs="宋体"/>
          <w:b/>
          <w:bCs/>
          <w:color w:val="auto"/>
          <w:sz w:val="20"/>
          <w:szCs w:val="20"/>
          <w:highlight w:val="none"/>
          <w:shd w:val="clear" w:color="auto" w:fill="FFFFFF"/>
          <w:lang w:val="en-US" w:eastAsia="zh-CN"/>
        </w:rPr>
        <w:t>（三）、草坪胶水产品环保性能及品质保障：</w:t>
      </w:r>
    </w:p>
    <w:p w14:paraId="362627CC">
      <w:pPr>
        <w:keepNext w:val="0"/>
        <w:keepLines w:val="0"/>
        <w:pageBreakBefore w:val="0"/>
        <w:widowControl w:val="0"/>
        <w:numPr>
          <w:ilvl w:val="0"/>
          <w:numId w:val="0"/>
        </w:numPr>
        <w:kinsoku/>
        <w:wordWrap/>
        <w:overflowPunct/>
        <w:topLinePunct/>
        <w:autoSpaceDE/>
        <w:autoSpaceDN w:val="0"/>
        <w:bidi w:val="0"/>
        <w:adjustRightInd w:val="0"/>
        <w:snapToGrid w:val="0"/>
        <w:spacing w:line="360" w:lineRule="auto"/>
        <w:ind w:firstLine="400" w:firstLineChars="200"/>
        <w:textAlignment w:val="auto"/>
        <w:outlineLvl w:val="9"/>
        <w:rPr>
          <w:rFonts w:hint="eastAsia" w:ascii="宋体" w:hAnsi="宋体" w:eastAsia="宋体" w:cs="宋体"/>
          <w:color w:val="auto"/>
          <w:sz w:val="20"/>
          <w:szCs w:val="20"/>
          <w:highlight w:val="none"/>
          <w:shd w:val="clear" w:color="auto" w:fill="FFFFFF"/>
          <w:lang w:val="en-US" w:eastAsia="zh-CN"/>
        </w:rPr>
      </w:pPr>
      <w:r>
        <w:rPr>
          <w:rFonts w:hint="eastAsia" w:ascii="宋体" w:hAnsi="宋体" w:eastAsia="宋体" w:cs="宋体"/>
          <w:color w:val="auto"/>
          <w:sz w:val="20"/>
          <w:szCs w:val="20"/>
          <w:highlight w:val="none"/>
          <w:shd w:val="clear" w:color="auto" w:fill="FFFFFF"/>
          <w:lang w:val="en-US" w:eastAsia="zh-CN"/>
        </w:rPr>
        <w:t>★</w:t>
      </w:r>
      <w:r>
        <w:rPr>
          <w:rFonts w:hint="eastAsia" w:ascii="宋体" w:hAnsi="宋体" w:cs="宋体"/>
          <w:color w:val="auto"/>
          <w:sz w:val="20"/>
          <w:highlight w:val="none"/>
          <w:shd w:val="clear" w:color="auto" w:fill="FFFFFF"/>
        </w:rPr>
        <w:t>提供第三方专业检测机构依据GB36246-2018标准出具的人造草坪胶有害物质含量未检出的合格检测报告</w:t>
      </w:r>
      <w:r>
        <w:rPr>
          <w:rFonts w:hint="eastAsia" w:ascii="宋体" w:hAnsi="宋体" w:cs="宋体"/>
          <w:color w:val="auto"/>
          <w:sz w:val="20"/>
          <w:szCs w:val="20"/>
          <w:highlight w:val="none"/>
          <w:shd w:val="clear" w:color="auto" w:fill="FFFFFF"/>
          <w:lang w:val="en-US" w:eastAsia="zh-CN"/>
        </w:rPr>
        <w:t>。</w:t>
      </w:r>
    </w:p>
    <w:p w14:paraId="74958DC0">
      <w:pPr>
        <w:pStyle w:val="6"/>
        <w:outlineLvl w:val="2"/>
        <w:rPr>
          <w:rFonts w:hint="default"/>
          <w:b/>
          <w:bCs w:val="0"/>
          <w:highlight w:val="none"/>
        </w:rPr>
      </w:pPr>
      <w:r>
        <w:rPr>
          <w:rFonts w:hint="eastAsia"/>
          <w:b/>
          <w:bCs w:val="0"/>
          <w:sz w:val="28"/>
          <w:highlight w:val="none"/>
          <w:lang w:val="en-US" w:eastAsia="zh-CN"/>
        </w:rPr>
        <w:t>十五、</w:t>
      </w:r>
      <w:r>
        <w:rPr>
          <w:b/>
          <w:bCs w:val="0"/>
          <w:sz w:val="28"/>
          <w:highlight w:val="none"/>
        </w:rPr>
        <w:t>安全</w:t>
      </w:r>
      <w:r>
        <w:rPr>
          <w:b/>
          <w:bCs w:val="0"/>
          <w:sz w:val="28"/>
          <w:highlight w:val="none"/>
          <w:lang w:eastAsia="zh-CN"/>
        </w:rPr>
        <w:t>生产</w:t>
      </w:r>
      <w:r>
        <w:rPr>
          <w:b/>
          <w:bCs w:val="0"/>
          <w:sz w:val="28"/>
          <w:highlight w:val="none"/>
        </w:rPr>
        <w:t>、文明施工与环境保护措施</w:t>
      </w:r>
    </w:p>
    <w:p w14:paraId="03901771">
      <w:pPr>
        <w:pStyle w:val="6"/>
        <w:ind w:firstLine="400"/>
        <w:jc w:val="both"/>
        <w:rPr>
          <w:rFonts w:hint="default"/>
          <w:highlight w:val="none"/>
          <w:lang w:eastAsia="zh-CN"/>
        </w:rPr>
      </w:pPr>
      <w:r>
        <w:rPr>
          <w:highlight w:val="none"/>
          <w:lang w:eastAsia="zh-CN"/>
        </w:rPr>
        <w:t>供应商应编制安全生产、文明施工与环境保护方案，</w:t>
      </w:r>
      <w:r>
        <w:rPr>
          <w:highlight w:val="none"/>
        </w:rPr>
        <w:t>提供安全</w:t>
      </w:r>
      <w:r>
        <w:rPr>
          <w:highlight w:val="none"/>
          <w:lang w:eastAsia="zh-CN"/>
        </w:rPr>
        <w:t>生产</w:t>
      </w:r>
      <w:r>
        <w:rPr>
          <w:highlight w:val="none"/>
        </w:rPr>
        <w:t>、文明施工与环境保护措施包括安全</w:t>
      </w:r>
      <w:r>
        <w:rPr>
          <w:highlight w:val="none"/>
          <w:lang w:eastAsia="zh-CN"/>
        </w:rPr>
        <w:t>生产</w:t>
      </w:r>
      <w:r>
        <w:rPr>
          <w:highlight w:val="none"/>
        </w:rPr>
        <w:t>保证体系及措施、文明施工保证体系及措施、环境保护体系及措施、应急预案</w:t>
      </w:r>
      <w:r>
        <w:rPr>
          <w:highlight w:val="none"/>
          <w:lang w:eastAsia="zh-CN"/>
        </w:rPr>
        <w:t>，且符合如下要求：</w:t>
      </w:r>
    </w:p>
    <w:p w14:paraId="0C3B3D1F">
      <w:pPr>
        <w:pStyle w:val="6"/>
        <w:ind w:firstLine="400" w:firstLineChars="200"/>
        <w:jc w:val="both"/>
        <w:rPr>
          <w:rFonts w:hint="default"/>
          <w:highlight w:val="none"/>
        </w:rPr>
      </w:pPr>
      <w:r>
        <w:rPr>
          <w:highlight w:val="none"/>
        </w:rPr>
        <w:t>（一）杜绝人身死亡事故、杜绝人身重伤事故，杜绝重大设备、一般及以上质量事故，保障项目顺利实施。</w:t>
      </w:r>
    </w:p>
    <w:p w14:paraId="7400A1CF">
      <w:pPr>
        <w:pStyle w:val="6"/>
        <w:ind w:firstLine="400" w:firstLineChars="200"/>
        <w:jc w:val="both"/>
        <w:rPr>
          <w:rFonts w:hint="default"/>
          <w:highlight w:val="none"/>
        </w:rPr>
      </w:pPr>
      <w:r>
        <w:rPr>
          <w:highlight w:val="none"/>
        </w:rPr>
        <w:t>（二）</w:t>
      </w:r>
      <w:r>
        <w:rPr>
          <w:highlight w:val="none"/>
          <w:lang w:eastAsia="zh-CN"/>
        </w:rPr>
        <w:t>成交</w:t>
      </w:r>
      <w:r>
        <w:rPr>
          <w:highlight w:val="none"/>
        </w:rPr>
        <w:t>供应商依照现行的相关规定，实施工作，做到安全文明作业，全过程必须服从采购人</w:t>
      </w:r>
      <w:r>
        <w:rPr>
          <w:highlight w:val="none"/>
          <w:lang w:eastAsia="zh-CN"/>
        </w:rPr>
        <w:t>和监理单位</w:t>
      </w:r>
      <w:r>
        <w:rPr>
          <w:highlight w:val="none"/>
        </w:rPr>
        <w:t>的指导及监督，确保作业范围周边的环境卫生不受影响，保证作业期间的管理工作符合各项管理要求。</w:t>
      </w:r>
    </w:p>
    <w:p w14:paraId="38D68D32">
      <w:pPr>
        <w:pStyle w:val="6"/>
        <w:ind w:firstLine="400" w:firstLineChars="200"/>
        <w:jc w:val="both"/>
        <w:rPr>
          <w:rFonts w:hint="default"/>
          <w:highlight w:val="none"/>
        </w:rPr>
      </w:pPr>
      <w:r>
        <w:rPr>
          <w:highlight w:val="none"/>
        </w:rPr>
        <w:t>（三）</w:t>
      </w:r>
      <w:r>
        <w:rPr>
          <w:highlight w:val="none"/>
          <w:lang w:eastAsia="zh-CN"/>
        </w:rPr>
        <w:t>成交</w:t>
      </w:r>
      <w:r>
        <w:rPr>
          <w:highlight w:val="none"/>
        </w:rPr>
        <w:t>供应商需制定事故发生应急救援预案，对工作人员进行应急培训、安全文明规范培训及自救知识培训等</w:t>
      </w:r>
      <w:r>
        <w:rPr>
          <w:highlight w:val="none"/>
          <w:lang w:eastAsia="zh-CN"/>
        </w:rPr>
        <w:t>，并将相关资料提供给采购人归档</w:t>
      </w:r>
      <w:r>
        <w:rPr>
          <w:highlight w:val="none"/>
        </w:rPr>
        <w:t>。</w:t>
      </w:r>
    </w:p>
    <w:p w14:paraId="0DF05003">
      <w:pPr>
        <w:pStyle w:val="6"/>
        <w:ind w:left="420"/>
        <w:jc w:val="both"/>
        <w:rPr>
          <w:rFonts w:hint="default"/>
          <w:highlight w:val="none"/>
        </w:rPr>
      </w:pPr>
      <w:r>
        <w:rPr>
          <w:highlight w:val="none"/>
        </w:rPr>
        <w:t>（四）</w:t>
      </w:r>
      <w:r>
        <w:rPr>
          <w:highlight w:val="none"/>
          <w:lang w:eastAsia="zh-CN"/>
        </w:rPr>
        <w:t>成交</w:t>
      </w:r>
      <w:r>
        <w:rPr>
          <w:highlight w:val="none"/>
        </w:rPr>
        <w:t>供应商必须在作业现场危险区域设置醒目的警示标志，采取警戒措施；</w:t>
      </w:r>
    </w:p>
    <w:p w14:paraId="0FA712BE">
      <w:pPr>
        <w:pStyle w:val="6"/>
        <w:ind w:left="420"/>
        <w:jc w:val="both"/>
        <w:rPr>
          <w:rFonts w:hint="default"/>
          <w:highlight w:val="none"/>
        </w:rPr>
      </w:pPr>
      <w:r>
        <w:rPr>
          <w:highlight w:val="none"/>
        </w:rPr>
        <w:t>（五）施工作业主要扬尘环节应有控制措施。</w:t>
      </w:r>
    </w:p>
    <w:p w14:paraId="338D603A">
      <w:pPr>
        <w:pStyle w:val="6"/>
        <w:ind w:firstLine="400" w:firstLineChars="200"/>
        <w:jc w:val="both"/>
        <w:rPr>
          <w:rFonts w:hint="default"/>
          <w:highlight w:val="none"/>
        </w:rPr>
      </w:pPr>
      <w:r>
        <w:rPr>
          <w:highlight w:val="none"/>
        </w:rPr>
        <w:t>（六）</w:t>
      </w:r>
      <w:r>
        <w:rPr>
          <w:highlight w:val="none"/>
          <w:lang w:eastAsia="zh-CN"/>
        </w:rPr>
        <w:t>成交</w:t>
      </w:r>
      <w:r>
        <w:rPr>
          <w:highlight w:val="none"/>
        </w:rPr>
        <w:t>供应商施工作业过程中不能影响周边建筑物，做好一切安全措施，杜绝一切安全事故，因安全事故造成的人身、财产损失，均由</w:t>
      </w:r>
      <w:r>
        <w:rPr>
          <w:highlight w:val="none"/>
          <w:lang w:eastAsia="zh-CN"/>
        </w:rPr>
        <w:t>成交</w:t>
      </w:r>
      <w:r>
        <w:rPr>
          <w:highlight w:val="none"/>
        </w:rPr>
        <w:t>供应商承担全部责任。</w:t>
      </w:r>
    </w:p>
    <w:p w14:paraId="3375890A">
      <w:pPr>
        <w:pStyle w:val="6"/>
        <w:ind w:firstLine="400"/>
        <w:jc w:val="both"/>
        <w:rPr>
          <w:rFonts w:hint="default"/>
          <w:highlight w:val="none"/>
        </w:rPr>
      </w:pPr>
      <w:r>
        <w:rPr>
          <w:highlight w:val="none"/>
        </w:rPr>
        <w:t>（七）</w:t>
      </w:r>
      <w:r>
        <w:rPr>
          <w:highlight w:val="none"/>
          <w:lang w:eastAsia="zh-CN"/>
        </w:rPr>
        <w:t>成交</w:t>
      </w:r>
      <w:r>
        <w:rPr>
          <w:highlight w:val="none"/>
        </w:rPr>
        <w:t>供应商须采取科学管理和先进的技术手段，进行绿色节能控制（含节能、节水、节材和环境保护等），各项措施和项目特点相适应，对项目进行有效的能源管理。</w:t>
      </w:r>
    </w:p>
    <w:p w14:paraId="60EB28E8">
      <w:pPr>
        <w:pStyle w:val="6"/>
        <w:ind w:firstLine="400" w:firstLineChars="200"/>
        <w:jc w:val="both"/>
        <w:rPr>
          <w:highlight w:val="none"/>
        </w:rPr>
      </w:pPr>
      <w:r>
        <w:rPr>
          <w:highlight w:val="none"/>
        </w:rPr>
        <w:t>（八）</w:t>
      </w:r>
      <w:r>
        <w:rPr>
          <w:highlight w:val="none"/>
          <w:lang w:eastAsia="zh-CN"/>
        </w:rPr>
        <w:t>成交</w:t>
      </w:r>
      <w:r>
        <w:rPr>
          <w:highlight w:val="none"/>
        </w:rPr>
        <w:t>供应商按照相关法律法规及管理办法的要求和标准布置施工现场的文明施工设施，创造良好和规范的安全文明施工环境。供应商需要制定安全防护制度、突发紧急情况应急措施、施工扬尘污染防治措施、安全及劳动保护措施，且内容详尽、清晰，责任明确。严格遵守国家、广东省、广州市有关防火、防爆和施工安全以及文明施工、深夜施工、环卫、治安与城管、电力等规定。</w:t>
      </w:r>
    </w:p>
    <w:p w14:paraId="1B12A24B">
      <w:pPr>
        <w:pStyle w:val="6"/>
        <w:ind w:firstLine="400" w:firstLineChars="200"/>
        <w:jc w:val="both"/>
        <w:rPr>
          <w:rFonts w:hint="default"/>
        </w:rPr>
      </w:pPr>
      <w:r>
        <w:rPr>
          <w:rFonts w:hint="default"/>
        </w:rPr>
        <w:t>（</w:t>
      </w:r>
      <w:r>
        <w:rPr>
          <w:lang w:eastAsia="zh-CN"/>
        </w:rPr>
        <w:t>九</w:t>
      </w:r>
      <w:r>
        <w:rPr>
          <w:rFonts w:hint="default"/>
        </w:rPr>
        <w:t>）安全施工保证体系及措施</w:t>
      </w:r>
    </w:p>
    <w:p w14:paraId="378EA5BB">
      <w:pPr>
        <w:pStyle w:val="6"/>
        <w:ind w:firstLine="400" w:firstLineChars="200"/>
        <w:jc w:val="both"/>
        <w:rPr>
          <w:rFonts w:hint="default"/>
        </w:rPr>
      </w:pPr>
      <w:r>
        <w:rPr>
          <w:rFonts w:hint="default"/>
        </w:rPr>
        <w:t>1.1 安全管理体系架构</w:t>
      </w:r>
    </w:p>
    <w:p w14:paraId="6CD98798">
      <w:pPr>
        <w:pStyle w:val="6"/>
        <w:ind w:firstLine="400" w:firstLineChars="200"/>
        <w:jc w:val="both"/>
        <w:rPr>
          <w:rFonts w:hint="default"/>
        </w:rPr>
      </w:pPr>
      <w:r>
        <w:rPr>
          <w:rFonts w:hint="default"/>
        </w:rPr>
        <w:t>- 项目设置专职安全管理人员不少于1名，全程驻场履职，不兼职、不脱岗；</w:t>
      </w:r>
    </w:p>
    <w:p w14:paraId="78B6EE31">
      <w:pPr>
        <w:pStyle w:val="6"/>
        <w:ind w:firstLine="400" w:firstLineChars="200"/>
        <w:jc w:val="both"/>
        <w:rPr>
          <w:rFonts w:hint="default"/>
        </w:rPr>
      </w:pPr>
      <w:r>
        <w:rPr>
          <w:rFonts w:hint="default"/>
        </w:rPr>
        <w:t>- 建立3级安全管理架构：项目</w:t>
      </w:r>
      <w:r>
        <w:rPr>
          <w:lang w:eastAsia="zh-CN"/>
        </w:rPr>
        <w:t>负责人</w:t>
      </w:r>
      <w:r>
        <w:rPr>
          <w:rFonts w:hint="default"/>
        </w:rPr>
        <w:t>（第一责任人）→专职安全员→班组安全员，岗位全覆盖；</w:t>
      </w:r>
    </w:p>
    <w:p w14:paraId="04A10F8B">
      <w:pPr>
        <w:pStyle w:val="6"/>
        <w:ind w:firstLine="400" w:firstLineChars="200"/>
        <w:jc w:val="both"/>
        <w:rPr>
          <w:rFonts w:hint="default"/>
        </w:rPr>
      </w:pPr>
      <w:r>
        <w:rPr>
          <w:rFonts w:hint="default"/>
        </w:rPr>
        <w:t>- 安全管理制度齐全，包含安全教育、隐患排查、动火管理、临电管理、机械管理、高处作业管理等专项制度。</w:t>
      </w:r>
    </w:p>
    <w:p w14:paraId="1B9A6700">
      <w:pPr>
        <w:pStyle w:val="6"/>
        <w:ind w:firstLine="400" w:firstLineChars="200"/>
        <w:jc w:val="both"/>
        <w:rPr>
          <w:rFonts w:hint="default"/>
        </w:rPr>
      </w:pPr>
      <w:r>
        <w:rPr>
          <w:rFonts w:hint="default"/>
        </w:rPr>
        <w:t>1.2 安全管控措施</w:t>
      </w:r>
    </w:p>
    <w:p w14:paraId="315170FD">
      <w:pPr>
        <w:pStyle w:val="6"/>
        <w:ind w:firstLine="400" w:firstLineChars="200"/>
        <w:jc w:val="both"/>
        <w:rPr>
          <w:rFonts w:hint="default"/>
        </w:rPr>
      </w:pPr>
      <w:r>
        <w:rPr>
          <w:rFonts w:hint="default"/>
        </w:rPr>
        <w:t>- 安全教育：新进场人员3级安全教育全覆盖，每月开展不少于1次全员安全交底，所有特种作业人员持证上岗率；</w:t>
      </w:r>
    </w:p>
    <w:p w14:paraId="68485B6E">
      <w:pPr>
        <w:pStyle w:val="6"/>
        <w:ind w:firstLine="400" w:firstLineChars="200"/>
        <w:jc w:val="both"/>
        <w:rPr>
          <w:rFonts w:hint="default"/>
        </w:rPr>
      </w:pPr>
      <w:r>
        <w:rPr>
          <w:rFonts w:hint="default"/>
        </w:rPr>
        <w:t>- 隐患排查：实行每日巡查、每周大查、每月专项检查制度，隐患整改闭环，整改时限不超过24小时；</w:t>
      </w:r>
    </w:p>
    <w:p w14:paraId="6299A3C8">
      <w:pPr>
        <w:pStyle w:val="6"/>
        <w:ind w:firstLine="400" w:firstLineChars="200"/>
        <w:jc w:val="both"/>
        <w:rPr>
          <w:rFonts w:hint="default"/>
        </w:rPr>
      </w:pPr>
      <w:r>
        <w:rPr>
          <w:rFonts w:hint="default"/>
        </w:rPr>
        <w:t>- 临电安全：严格执行3级配电、2级保护，现场电线架空或穿管保护，零乱线缆清理频次每日1次；</w:t>
      </w:r>
    </w:p>
    <w:p w14:paraId="6BCCBE63">
      <w:pPr>
        <w:pStyle w:val="6"/>
        <w:ind w:firstLine="400" w:firstLineChars="200"/>
        <w:jc w:val="both"/>
        <w:rPr>
          <w:rFonts w:hint="default"/>
        </w:rPr>
      </w:pPr>
      <w:r>
        <w:rPr>
          <w:rFonts w:hint="default"/>
        </w:rPr>
        <w:t>- 高处、动火、机械作业：全部实行作业票制度，无票不施工，危险作业监护人员全部在岗；</w:t>
      </w:r>
    </w:p>
    <w:p w14:paraId="64B2BCD4">
      <w:pPr>
        <w:pStyle w:val="6"/>
        <w:ind w:firstLine="400" w:firstLineChars="200"/>
        <w:jc w:val="both"/>
        <w:rPr>
          <w:rFonts w:hint="default"/>
        </w:rPr>
      </w:pPr>
      <w:r>
        <w:rPr>
          <w:rFonts w:hint="default"/>
        </w:rPr>
        <w:t>- 安全目标：杜绝重伤及以上安全事故，轻伤事故发生率控制在0起，实现零死亡、零坍塌、零火灾、零机械事故。</w:t>
      </w:r>
    </w:p>
    <w:p w14:paraId="5C3DBBBE">
      <w:pPr>
        <w:pStyle w:val="6"/>
        <w:ind w:firstLine="400" w:firstLineChars="200"/>
        <w:jc w:val="both"/>
        <w:rPr>
          <w:rFonts w:hint="default"/>
        </w:rPr>
      </w:pPr>
      <w:r>
        <w:rPr>
          <w:rFonts w:hint="default"/>
        </w:rPr>
        <w:t>（</w:t>
      </w:r>
      <w:r>
        <w:rPr>
          <w:lang w:eastAsia="zh-CN"/>
        </w:rPr>
        <w:t>十</w:t>
      </w:r>
      <w:r>
        <w:rPr>
          <w:rFonts w:hint="default"/>
        </w:rPr>
        <w:t>）文明施工保证体系及措施</w:t>
      </w:r>
    </w:p>
    <w:p w14:paraId="0A8DBAE8">
      <w:pPr>
        <w:pStyle w:val="6"/>
        <w:ind w:firstLine="400" w:firstLineChars="200"/>
        <w:jc w:val="both"/>
        <w:rPr>
          <w:rFonts w:hint="default"/>
        </w:rPr>
      </w:pPr>
      <w:r>
        <w:rPr>
          <w:rFonts w:hint="default"/>
        </w:rPr>
        <w:t>2.1 文明施工体系配置</w:t>
      </w:r>
    </w:p>
    <w:p w14:paraId="3E63E4B4">
      <w:pPr>
        <w:pStyle w:val="6"/>
        <w:ind w:firstLine="400" w:firstLineChars="200"/>
        <w:jc w:val="both"/>
        <w:rPr>
          <w:rFonts w:hint="default"/>
        </w:rPr>
      </w:pPr>
      <w:r>
        <w:rPr>
          <w:rFonts w:hint="default"/>
        </w:rPr>
        <w:t>设立文明施工专项管理小组，专人负责现场文明管控，制度上墙、责任到人，全程动态管理。</w:t>
      </w:r>
    </w:p>
    <w:p w14:paraId="162406C8">
      <w:pPr>
        <w:pStyle w:val="6"/>
        <w:ind w:firstLine="400" w:firstLineChars="200"/>
        <w:jc w:val="both"/>
        <w:rPr>
          <w:rFonts w:hint="default"/>
        </w:rPr>
      </w:pPr>
      <w:r>
        <w:rPr>
          <w:rFonts w:hint="default"/>
        </w:rPr>
        <w:t>2.2 管控标准</w:t>
      </w:r>
    </w:p>
    <w:p w14:paraId="327A44CD">
      <w:pPr>
        <w:pStyle w:val="6"/>
        <w:ind w:firstLine="400" w:firstLineChars="200"/>
        <w:jc w:val="both"/>
        <w:rPr>
          <w:rFonts w:hint="default"/>
        </w:rPr>
      </w:pPr>
      <w:r>
        <w:rPr>
          <w:rFonts w:hint="default"/>
        </w:rPr>
        <w:t>- 场地管理：施工现场每日清扫，保持场地干净整洁，无积水、无杂物、无乱堆乱放；</w:t>
      </w:r>
    </w:p>
    <w:p w14:paraId="77189314">
      <w:pPr>
        <w:pStyle w:val="6"/>
        <w:ind w:firstLine="400" w:firstLineChars="200"/>
        <w:jc w:val="both"/>
        <w:rPr>
          <w:rFonts w:hint="default"/>
        </w:rPr>
      </w:pPr>
      <w:r>
        <w:rPr>
          <w:rFonts w:hint="default"/>
        </w:rPr>
        <w:t>- 材料堆放：所有建材分类、分区、挂牌堆放，堆放整齐，杜绝混堆、乱堆；</w:t>
      </w:r>
    </w:p>
    <w:p w14:paraId="37089F7D">
      <w:pPr>
        <w:pStyle w:val="6"/>
        <w:ind w:firstLine="400" w:firstLineChars="200"/>
        <w:jc w:val="both"/>
        <w:rPr>
          <w:rFonts w:hint="default"/>
        </w:rPr>
      </w:pPr>
      <w:r>
        <w:rPr>
          <w:rFonts w:hint="default"/>
        </w:rPr>
        <w:t>- 施工围挡：围挡连续封闭、完好整洁，破损、脏污围挡24小时内修复清理；</w:t>
      </w:r>
    </w:p>
    <w:p w14:paraId="6BF5ECF0">
      <w:pPr>
        <w:pStyle w:val="6"/>
        <w:ind w:firstLine="400" w:firstLineChars="200"/>
        <w:jc w:val="both"/>
        <w:rPr>
          <w:rFonts w:hint="default"/>
        </w:rPr>
      </w:pPr>
      <w:r>
        <w:rPr>
          <w:rFonts w:hint="default"/>
        </w:rPr>
        <w:t>- 现场标识：安全标识、警示标识、导向标识齐全规范，缺失、破损标识即时更换；</w:t>
      </w:r>
    </w:p>
    <w:p w14:paraId="5CCF6D73">
      <w:pPr>
        <w:pStyle w:val="6"/>
        <w:ind w:firstLine="400" w:firstLineChars="200"/>
        <w:jc w:val="both"/>
        <w:rPr>
          <w:rFonts w:hint="default"/>
        </w:rPr>
      </w:pPr>
      <w:r>
        <w:rPr>
          <w:rFonts w:hint="default"/>
        </w:rPr>
        <w:t>- 噪声管控：严格遵守施工时间规定，严控夜间违规施工，减少施工扰民。</w:t>
      </w:r>
    </w:p>
    <w:p w14:paraId="692715FC">
      <w:pPr>
        <w:pStyle w:val="6"/>
        <w:ind w:firstLine="400" w:firstLineChars="200"/>
        <w:jc w:val="both"/>
        <w:rPr>
          <w:rFonts w:hint="default"/>
        </w:rPr>
      </w:pPr>
      <w:r>
        <w:rPr>
          <w:rFonts w:hint="default"/>
        </w:rPr>
        <w:t>（</w:t>
      </w:r>
      <w:r>
        <w:rPr>
          <w:lang w:eastAsia="zh-CN"/>
        </w:rPr>
        <w:t>十一</w:t>
      </w:r>
      <w:r>
        <w:rPr>
          <w:rFonts w:hint="default"/>
        </w:rPr>
        <w:t>）环境保护体系及措施</w:t>
      </w:r>
    </w:p>
    <w:p w14:paraId="601B5A1C">
      <w:pPr>
        <w:pStyle w:val="6"/>
        <w:ind w:firstLine="400" w:firstLineChars="200"/>
        <w:jc w:val="both"/>
        <w:rPr>
          <w:rFonts w:hint="default"/>
        </w:rPr>
      </w:pPr>
      <w:r>
        <w:rPr>
          <w:rFonts w:hint="default"/>
        </w:rPr>
        <w:t>3.1 环保管理体系</w:t>
      </w:r>
    </w:p>
    <w:p w14:paraId="3ADE01B6">
      <w:pPr>
        <w:pStyle w:val="6"/>
        <w:ind w:firstLine="400" w:firstLineChars="200"/>
        <w:jc w:val="both"/>
        <w:rPr>
          <w:rFonts w:hint="default"/>
        </w:rPr>
      </w:pPr>
      <w:r>
        <w:rPr>
          <w:rFonts w:hint="default"/>
        </w:rPr>
        <w:t>成立施工现场环保管理小组，明确专人负责扬尘治理、污水管控、垃圾清运等环保工作，落实全过程环保管控责任。</w:t>
      </w:r>
    </w:p>
    <w:p w14:paraId="6F7105A8">
      <w:pPr>
        <w:pStyle w:val="6"/>
        <w:ind w:firstLine="400" w:firstLineChars="200"/>
        <w:jc w:val="both"/>
        <w:rPr>
          <w:rFonts w:hint="default"/>
        </w:rPr>
      </w:pPr>
      <w:r>
        <w:rPr>
          <w:rFonts w:hint="default"/>
        </w:rPr>
        <w:t>3.2 环保措施</w:t>
      </w:r>
    </w:p>
    <w:p w14:paraId="6A263D0A">
      <w:pPr>
        <w:pStyle w:val="6"/>
        <w:ind w:firstLine="400" w:firstLineChars="200"/>
        <w:jc w:val="both"/>
        <w:rPr>
          <w:rFonts w:hint="default"/>
        </w:rPr>
      </w:pPr>
      <w:r>
        <w:rPr>
          <w:rFonts w:hint="default"/>
        </w:rPr>
        <w:t>- 扬尘治理：施工道路定时洒水降尘，每日洒水不少于4次；裸露土方全覆盖密目网；所有出入车辆冲洗干净，不带泥上路；</w:t>
      </w:r>
    </w:p>
    <w:p w14:paraId="4A5B77D4">
      <w:pPr>
        <w:pStyle w:val="6"/>
        <w:ind w:firstLine="400" w:firstLineChars="200"/>
        <w:jc w:val="both"/>
        <w:rPr>
          <w:rFonts w:hint="default"/>
        </w:rPr>
      </w:pPr>
      <w:r>
        <w:rPr>
          <w:rFonts w:hint="default"/>
        </w:rPr>
        <w:t>- 污水治理：施工现场设置排水沟、沉淀池，施工废水经沉淀后排放，严禁乱排乱倒；</w:t>
      </w:r>
    </w:p>
    <w:p w14:paraId="54D6B72E">
      <w:pPr>
        <w:pStyle w:val="6"/>
        <w:ind w:firstLine="400" w:firstLineChars="200"/>
        <w:jc w:val="both"/>
        <w:rPr>
          <w:rFonts w:hint="default"/>
        </w:rPr>
      </w:pPr>
      <w:r>
        <w:rPr>
          <w:rFonts w:hint="default"/>
        </w:rPr>
        <w:t>- 固废管理：建筑垃圾分类存放、每日产每日，生活垃圾与施工垃圾严格分区存放；</w:t>
      </w:r>
    </w:p>
    <w:p w14:paraId="2E02CE0E">
      <w:pPr>
        <w:pStyle w:val="6"/>
        <w:ind w:firstLine="400" w:firstLineChars="200"/>
        <w:jc w:val="both"/>
        <w:rPr>
          <w:rFonts w:hint="default"/>
        </w:rPr>
      </w:pPr>
      <w:r>
        <w:rPr>
          <w:rFonts w:hint="default"/>
        </w:rPr>
        <w:t>- 噪声控制：合理安排施工工序，高噪声设备采取降噪措施，最大限度降低施工噪音影响；</w:t>
      </w:r>
    </w:p>
    <w:p w14:paraId="36B2E2B0">
      <w:pPr>
        <w:pStyle w:val="6"/>
        <w:ind w:firstLine="400" w:firstLineChars="200"/>
        <w:jc w:val="both"/>
        <w:rPr>
          <w:rFonts w:hint="default"/>
        </w:rPr>
      </w:pPr>
      <w:r>
        <w:rPr>
          <w:rFonts w:hint="default"/>
        </w:rPr>
        <w:t>- 环保目标：施工期间无环保投诉、无扬尘超标、无污水违规排放、无环保处罚事件。</w:t>
      </w:r>
    </w:p>
    <w:p w14:paraId="6F78D8CC">
      <w:pPr>
        <w:pStyle w:val="6"/>
        <w:ind w:firstLine="400" w:firstLineChars="200"/>
        <w:jc w:val="both"/>
        <w:rPr>
          <w:rFonts w:hint="default"/>
        </w:rPr>
      </w:pPr>
      <w:r>
        <w:rPr>
          <w:rFonts w:hint="default"/>
        </w:rPr>
        <w:t>（</w:t>
      </w:r>
      <w:r>
        <w:rPr>
          <w:lang w:eastAsia="zh-CN"/>
        </w:rPr>
        <w:t>十二</w:t>
      </w:r>
      <w:r>
        <w:rPr>
          <w:rFonts w:hint="default"/>
        </w:rPr>
        <w:t>）应急预案</w:t>
      </w:r>
    </w:p>
    <w:p w14:paraId="466E0522">
      <w:pPr>
        <w:pStyle w:val="6"/>
        <w:ind w:firstLine="400" w:firstLineChars="200"/>
        <w:jc w:val="both"/>
        <w:rPr>
          <w:rFonts w:hint="default"/>
        </w:rPr>
      </w:pPr>
      <w:r>
        <w:rPr>
          <w:rFonts w:hint="default"/>
        </w:rPr>
        <w:t>4.1 应急体系配置</w:t>
      </w:r>
    </w:p>
    <w:p w14:paraId="0D034289">
      <w:pPr>
        <w:pStyle w:val="6"/>
        <w:ind w:firstLine="400" w:firstLineChars="200"/>
        <w:jc w:val="both"/>
        <w:rPr>
          <w:rFonts w:hint="default"/>
        </w:rPr>
      </w:pPr>
      <w:r>
        <w:rPr>
          <w:rFonts w:hint="default"/>
        </w:rPr>
        <w:t>成立项目应急领导小组，明确组长、副组长、抢险组、疏散组、后勤组、通讯组岗位职责，应急组织机构健全、分工明确、全员在岗。</w:t>
      </w:r>
    </w:p>
    <w:p w14:paraId="708A8FD5">
      <w:pPr>
        <w:pStyle w:val="6"/>
        <w:ind w:firstLine="400" w:firstLineChars="200"/>
        <w:jc w:val="both"/>
        <w:rPr>
          <w:rFonts w:hint="default"/>
        </w:rPr>
      </w:pPr>
      <w:r>
        <w:rPr>
          <w:rFonts w:hint="default"/>
        </w:rPr>
        <w:t>4.2 应急处置措施</w:t>
      </w:r>
    </w:p>
    <w:p w14:paraId="5D4D1C09">
      <w:pPr>
        <w:pStyle w:val="6"/>
        <w:ind w:firstLine="400" w:firstLineChars="200"/>
        <w:jc w:val="both"/>
        <w:rPr>
          <w:rFonts w:hint="default"/>
        </w:rPr>
      </w:pPr>
      <w:r>
        <w:rPr>
          <w:rFonts w:hint="default"/>
        </w:rPr>
        <w:t>- 应急响应：突发事故发生后，1分钟内现场处置、5分钟内上报项目负责人，第一时间启动对应预案；</w:t>
      </w:r>
    </w:p>
    <w:p w14:paraId="6C39B048">
      <w:pPr>
        <w:pStyle w:val="6"/>
        <w:ind w:firstLine="400" w:firstLineChars="200"/>
        <w:jc w:val="both"/>
        <w:rPr>
          <w:rFonts w:hint="default"/>
        </w:rPr>
      </w:pPr>
      <w:r>
        <w:rPr>
          <w:rFonts w:hint="default"/>
        </w:rPr>
        <w:t>- 应急物资：现场足额配备灭火器、急救箱、担架、防汛物资、照明设备等应急器材，物资完好；</w:t>
      </w:r>
    </w:p>
    <w:p w14:paraId="5928CD8E">
      <w:pPr>
        <w:pStyle w:val="6"/>
        <w:ind w:firstLine="400" w:firstLineChars="200"/>
        <w:jc w:val="both"/>
        <w:rPr>
          <w:rFonts w:hint="default"/>
        </w:rPr>
      </w:pPr>
      <w:r>
        <w:rPr>
          <w:rFonts w:hint="default"/>
        </w:rPr>
        <w:t>- 应急演练：施工期内每季度不少于1次应急演练，做好演练记录、总结及整改闭环；</w:t>
      </w:r>
    </w:p>
    <w:p w14:paraId="596066BC">
      <w:pPr>
        <w:pStyle w:val="6"/>
        <w:ind w:firstLine="400" w:firstLineChars="200"/>
        <w:jc w:val="both"/>
        <w:rPr>
          <w:rFonts w:hint="default"/>
        </w:rPr>
      </w:pPr>
      <w:r>
        <w:rPr>
          <w:rFonts w:hint="default"/>
        </w:rPr>
        <w:t>- 事故处置：严格执行先救人、后处置、再整改原则，所有突发事件做到全程可追溯、闭环处理；</w:t>
      </w:r>
    </w:p>
    <w:p w14:paraId="18B07535">
      <w:pPr>
        <w:pStyle w:val="6"/>
        <w:ind w:firstLine="400" w:firstLineChars="200"/>
        <w:jc w:val="both"/>
        <w:rPr>
          <w:rFonts w:hint="default"/>
        </w:rPr>
      </w:pPr>
      <w:r>
        <w:rPr>
          <w:rFonts w:hint="default"/>
        </w:rPr>
        <w:t>- 善后保障：建立应急联络机制，提前留存应急电话、属地主管部门电话，确保突发情况快速对接处置。</w:t>
      </w:r>
    </w:p>
    <w:p w14:paraId="10CF7882">
      <w:pPr>
        <w:pStyle w:val="6"/>
        <w:ind w:firstLine="400" w:firstLineChars="200"/>
        <w:jc w:val="both"/>
        <w:rPr>
          <w:rFonts w:hint="default"/>
          <w:highlight w:val="none"/>
        </w:rPr>
      </w:pPr>
    </w:p>
    <w:p w14:paraId="40816783">
      <w:pPr>
        <w:pStyle w:val="6"/>
        <w:outlineLvl w:val="2"/>
        <w:rPr>
          <w:rFonts w:hint="default"/>
          <w:b/>
          <w:sz w:val="28"/>
          <w:highlight w:val="none"/>
        </w:rPr>
      </w:pPr>
      <w:r>
        <w:rPr>
          <w:b/>
          <w:sz w:val="28"/>
          <w:highlight w:val="none"/>
        </w:rPr>
        <w:t>十</w:t>
      </w:r>
      <w:r>
        <w:rPr>
          <w:rFonts w:hint="eastAsia"/>
          <w:b/>
          <w:sz w:val="28"/>
          <w:highlight w:val="none"/>
          <w:lang w:val="en-US" w:eastAsia="zh-CN"/>
        </w:rPr>
        <w:t>六</w:t>
      </w:r>
      <w:r>
        <w:rPr>
          <w:b/>
          <w:sz w:val="28"/>
          <w:highlight w:val="none"/>
        </w:rPr>
        <w:t>、施工作业资源配备计划</w:t>
      </w:r>
    </w:p>
    <w:p w14:paraId="29AB6329">
      <w:pPr>
        <w:pStyle w:val="6"/>
        <w:ind w:firstLine="400" w:firstLineChars="200"/>
        <w:jc w:val="both"/>
        <w:rPr>
          <w:rFonts w:asciiTheme="minorEastAsia" w:hAnsiTheme="minorEastAsia" w:cstheme="minorEastAsia"/>
          <w:highlight w:val="none"/>
          <w:shd w:val="clear" w:color="auto" w:fill="FFFFFF"/>
        </w:rPr>
      </w:pPr>
      <w:r>
        <w:rPr>
          <w:rFonts w:hint="eastAsia" w:asciiTheme="minorEastAsia" w:hAnsiTheme="minorEastAsia" w:cstheme="minorEastAsia"/>
          <w:highlight w:val="none"/>
          <w:shd w:val="clear" w:color="auto" w:fill="FFFFFF"/>
        </w:rPr>
        <w:t>供应商应编制施工作业资源配备计划，保证在项目施工过程中有足够的劳动力和材料来保证项目的施工进度，且符合如下要求:</w:t>
      </w:r>
    </w:p>
    <w:p w14:paraId="08CDAD73">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（一）劳动力配备计划及保证措施</w:t>
      </w:r>
    </w:p>
    <w:p w14:paraId="740C860B">
      <w:pPr>
        <w:pStyle w:val="6"/>
        <w:ind w:left="42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劳动力的配置依据施工进度计划进行，确保各阶段劳动力需求得到满足。</w:t>
      </w:r>
    </w:p>
    <w:p w14:paraId="3B4B7BE4">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1.对工人进行必要的技术和安全教育，</w:t>
      </w:r>
      <w:r>
        <w:rPr>
          <w:rFonts w:asciiTheme="minorEastAsia" w:hAnsiTheme="minorEastAsia" w:cstheme="minorEastAsia"/>
          <w:highlight w:val="none"/>
          <w:shd w:val="clear" w:color="auto" w:fill="FFFFFF"/>
          <w:lang w:eastAsia="zh-CN"/>
        </w:rPr>
        <w:t>做好记录，并将记录文件交付采购人存档，</w:t>
      </w:r>
      <w:r>
        <w:rPr>
          <w:rFonts w:asciiTheme="minorEastAsia" w:hAnsiTheme="minorEastAsia" w:cstheme="minorEastAsia"/>
          <w:highlight w:val="none"/>
          <w:shd w:val="clear" w:color="auto" w:fill="FFFFFF"/>
        </w:rPr>
        <w:t>确保工人树立安全第一、预防为主的正确思想，并遵守相关施工和安全的技术法规及地方治安法规。</w:t>
      </w:r>
    </w:p>
    <w:p w14:paraId="32EC779A">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2.成交</w:t>
      </w:r>
      <w:r>
        <w:rPr>
          <w:rFonts w:asciiTheme="minorEastAsia" w:hAnsiTheme="minorEastAsia" w:cstheme="minorEastAsia"/>
          <w:highlight w:val="none"/>
          <w:shd w:val="clear" w:color="auto" w:fill="FFFFFF"/>
          <w:lang w:eastAsia="zh-CN"/>
        </w:rPr>
        <w:t>供应商</w:t>
      </w:r>
      <w:r>
        <w:rPr>
          <w:rFonts w:asciiTheme="minorEastAsia" w:hAnsiTheme="minorEastAsia" w:cstheme="minorEastAsia"/>
          <w:highlight w:val="none"/>
          <w:shd w:val="clear" w:color="auto" w:fill="FFFFFF"/>
        </w:rPr>
        <w:t>必须按照规定给聘用员工购买相应保险，在服务过程中，做好各项安全保护工作，严格管理，对他们的行为负全责，如有发生劳资纠纷、意外（包括但不限于：生病、伤亡事故等）或违反规定、触犯国家法律等行为，由成交</w:t>
      </w:r>
      <w:r>
        <w:rPr>
          <w:rFonts w:asciiTheme="minorEastAsia" w:hAnsiTheme="minorEastAsia" w:cstheme="minorEastAsia"/>
          <w:highlight w:val="none"/>
          <w:shd w:val="clear" w:color="auto" w:fill="FFFFFF"/>
          <w:lang w:eastAsia="zh-CN"/>
        </w:rPr>
        <w:t>供应商</w:t>
      </w:r>
      <w:r>
        <w:rPr>
          <w:rFonts w:asciiTheme="minorEastAsia" w:hAnsiTheme="minorEastAsia" w:cstheme="minorEastAsia"/>
          <w:highlight w:val="none"/>
          <w:shd w:val="clear" w:color="auto" w:fill="FFFFFF"/>
        </w:rPr>
        <w:t>承担全部责任，与采购人无关。</w:t>
      </w:r>
    </w:p>
    <w:p w14:paraId="6494941B">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3.劳动力应经过岗前培训，明确设计内容、技术要求、施工工艺、操作方法和质量标准，合格后持证上岗。</w:t>
      </w:r>
    </w:p>
    <w:p w14:paraId="4E1E36F0">
      <w:pPr>
        <w:pStyle w:val="6"/>
        <w:ind w:firstLine="400" w:firstLineChars="200"/>
        <w:jc w:val="both"/>
        <w:rPr>
          <w:rFonts w:asciiTheme="minorEastAsia" w:hAnsiTheme="minorEastAsia" w:cstheme="minorEastAsia"/>
          <w:highlight w:val="none"/>
          <w:shd w:val="clear" w:color="auto" w:fill="FFFFFF"/>
        </w:rPr>
      </w:pPr>
      <w:r>
        <w:rPr>
          <w:rFonts w:asciiTheme="minorEastAsia" w:hAnsiTheme="minorEastAsia" w:cstheme="minorEastAsia"/>
          <w:highlight w:val="none"/>
          <w:shd w:val="clear" w:color="auto" w:fill="FFFFFF"/>
        </w:rPr>
        <w:t>4.根据项目特点和施工进度计划，灵活安排劳动力的进出场，优化组合施工人员，避免施工现场出现人员闲置窝工或人员短缺现象。</w:t>
      </w:r>
    </w:p>
    <w:p w14:paraId="2BE996A6">
      <w:pPr>
        <w:pStyle w:val="6"/>
        <w:ind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lang w:eastAsia="zh-CN"/>
        </w:rPr>
        <w:t>4</w:t>
      </w:r>
      <w:r>
        <w:rPr>
          <w:rFonts w:asciiTheme="minorEastAsia" w:hAnsiTheme="minorEastAsia" w:cstheme="minorEastAsia"/>
          <w:shd w:val="clear" w:color="auto" w:fill="FFFFFF"/>
        </w:rPr>
        <w:t>.1 人员配置量化标准</w:t>
      </w:r>
    </w:p>
    <w:p w14:paraId="19CEF704">
      <w:pPr>
        <w:pStyle w:val="6"/>
        <w:ind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rPr>
        <w:t>根据施工高峰期作业需求，足额配置土建、安装、特种作业、辅助施工等各工种人员，保障施工高峰期现场在岗劳动力完全匹配施工进度需求，无大面积缺岗、少配滞后施工情况。按需配齐现场专职管理人员、质量员、资料员等配套岗位，严格落实岗位资质管理要求，管理人员、特种作业人员资质合规有效，岗位适配匹配施工工序需求，全程杜绝无证上岗、岗责不符问题。结合项目施工体量，动态调控人员数量，施工高峰期富余作业人员储备占比不低于8%，有效规避人员不足导致的工期滞后问题，各岗位人员履职贴合现场施工管控标准。</w:t>
      </w:r>
    </w:p>
    <w:p w14:paraId="2A9F50AC">
      <w:pPr>
        <w:pStyle w:val="6"/>
        <w:ind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lang w:eastAsia="zh-CN"/>
        </w:rPr>
        <w:t>4</w:t>
      </w:r>
      <w:r>
        <w:rPr>
          <w:rFonts w:asciiTheme="minorEastAsia" w:hAnsiTheme="minorEastAsia" w:cstheme="minorEastAsia"/>
          <w:shd w:val="clear" w:color="auto" w:fill="FFFFFF"/>
        </w:rPr>
        <w:t>.2 人员进场计划</w:t>
      </w:r>
    </w:p>
    <w:p w14:paraId="4AB3E98E">
      <w:pPr>
        <w:pStyle w:val="6"/>
        <w:ind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rPr>
        <w:t>科学规划人员进场时序，保障各施工阶段人员无缝衔接。施工前期提前3个工作日完成基础工种、管理人员全部进场就位，提前熟悉施工图纸、现场环境及管控要求；施工中期根据工序穿插、工作面移交需求，提前2个工作日完成新增工种人员增补进场，杜绝工序衔接空档；施工收尾阶段精准留存配套作业及管理人员，保障现场整改、细部收尾、清洁保洁工作有序推进，确保各类收尾问题闭环处置，无人员缺位导致的收尾滞后问题。项目全周期人员进场时序偏差控制在1个工作日以内，人员进场衔接失误次数控制在2次以内。</w:t>
      </w:r>
    </w:p>
    <w:p w14:paraId="0140FF47">
      <w:pPr>
        <w:pStyle w:val="6"/>
        <w:ind w:firstLine="400" w:firstLineChars="200"/>
        <w:jc w:val="both"/>
        <w:rPr>
          <w:rFonts w:asciiTheme="minorEastAsia" w:hAnsiTheme="minorEastAsia" w:cstheme="minorEastAsia"/>
          <w:highlight w:val="none"/>
          <w:shd w:val="clear" w:color="auto" w:fill="FFFFFF"/>
        </w:rPr>
      </w:pPr>
    </w:p>
    <w:p w14:paraId="669EA5F3">
      <w:pPr>
        <w:pStyle w:val="6"/>
        <w:ind w:left="42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（二）材料配备计划及保证措施</w:t>
      </w:r>
    </w:p>
    <w:p w14:paraId="203D8779">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材料配备计划应根据施工图、施工组织设计编制，分阶段列明所需材料的品名、规格、质量、数量、颜色以及合同文件与供应协议规定的其它要求。</w:t>
      </w:r>
    </w:p>
    <w:p w14:paraId="63C75FA6">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1.加强材料管理，确保合格材料供应。项目经理部应设专业材料供应系统，根据材料计划采购材料，并加强材料检测，确保工程材料质量满足施工生产需要。</w:t>
      </w:r>
    </w:p>
    <w:p w14:paraId="38E9E912">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2.材料的采购和运输应服从施工总体计划安排，充分利用当地现有的合格资源，以节约工程造价。对于当地没有的资源，应从外地调运。</w:t>
      </w:r>
    </w:p>
    <w:p w14:paraId="4C48E823">
      <w:pPr>
        <w:pStyle w:val="6"/>
        <w:ind w:left="420"/>
        <w:jc w:val="both"/>
        <w:rPr>
          <w:rFonts w:asciiTheme="minorEastAsia" w:hAnsiTheme="minorEastAsia" w:cstheme="minorEastAsia"/>
          <w:highlight w:val="none"/>
          <w:shd w:val="clear" w:color="auto" w:fill="FFFFFF"/>
        </w:rPr>
      </w:pPr>
      <w:r>
        <w:rPr>
          <w:rFonts w:asciiTheme="minorEastAsia" w:hAnsiTheme="minorEastAsia" w:cstheme="minorEastAsia"/>
          <w:highlight w:val="none"/>
          <w:shd w:val="clear" w:color="auto" w:fill="FFFFFF"/>
        </w:rPr>
        <w:t>3.对于重要材料，应建立严格的验收制度，确保材料质量符合合同要求和设计要求。</w:t>
      </w:r>
    </w:p>
    <w:p w14:paraId="7D8C112C">
      <w:pPr>
        <w:pStyle w:val="6"/>
        <w:ind w:left="0"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lang w:eastAsia="zh-CN"/>
        </w:rPr>
        <w:t>4、</w:t>
      </w:r>
      <w:r>
        <w:rPr>
          <w:rFonts w:asciiTheme="minorEastAsia" w:hAnsiTheme="minorEastAsia" w:cstheme="minorEastAsia"/>
          <w:shd w:val="clear" w:color="auto" w:fill="FFFFFF"/>
        </w:rPr>
        <w:t>材料进场量化计划</w:t>
      </w:r>
    </w:p>
    <w:p w14:paraId="0E5069C1">
      <w:pPr>
        <w:pStyle w:val="6"/>
        <w:ind w:left="0"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rPr>
        <w:t>严格执行“提前报备、分批进场、按需供给”的材料管理原则，精准匹配施工进度制定进场计划。常规施工材料提前5个工作日完成市场调研、采购备货及资料核验工作；特殊专项定制材料、小众辅料提前10个工作日完成备货及进场报审。实行小批量、多频次进场模式，科学控制现场材料堆放量，严控材料堆积过量问题，现场单次材料堆放体量不超过当期施工需求的1.2倍，有效减少场地占用、材料积压损耗及现场扬尘污染，保障施工现场整洁有序。材料进场计划与施工进度偏差控制在2个工作日以内，月度材料进场衔接失误次数不超过1次。</w:t>
      </w:r>
    </w:p>
    <w:p w14:paraId="4B26C537">
      <w:pPr>
        <w:pStyle w:val="6"/>
        <w:ind w:left="0"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lang w:eastAsia="zh-CN"/>
        </w:rPr>
        <w:t>5、</w:t>
      </w:r>
      <w:r>
        <w:rPr>
          <w:rFonts w:asciiTheme="minorEastAsia" w:hAnsiTheme="minorEastAsia" w:cstheme="minorEastAsia"/>
          <w:shd w:val="clear" w:color="auto" w:fill="FFFFFF"/>
        </w:rPr>
        <w:t>材料质量管控标准</w:t>
      </w:r>
    </w:p>
    <w:p w14:paraId="5D59F2D4">
      <w:pPr>
        <w:pStyle w:val="6"/>
        <w:ind w:left="0"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rPr>
        <w:t>严格落实材料进场报验制度，所有进场主材、辅材、构配件均需配套提供合格证书、出厂检测报告、厂家资质证明等完整资料，核心材料资料完备度不低于99%。严格执行国家强条“先检后用、不合格严禁使用”原则，进场材料按规范频次抽样复检，重点建材、结构性材料复检全覆盖，杜绝漏检材料投入施工。所有进场不合格材料坚决清场处置，严禁留存、混用、违规使用，不合格材料处置响应时长不超过24小时，项目全程无不合格材料投入施工、无材料质量安全隐患。</w:t>
      </w:r>
    </w:p>
    <w:p w14:paraId="5CDA9A4D">
      <w:pPr>
        <w:pStyle w:val="6"/>
        <w:ind w:left="0"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lang w:eastAsia="zh-CN"/>
        </w:rPr>
        <w:t>6、</w:t>
      </w:r>
      <w:r>
        <w:rPr>
          <w:rFonts w:asciiTheme="minorEastAsia" w:hAnsiTheme="minorEastAsia" w:cstheme="minorEastAsia"/>
          <w:shd w:val="clear" w:color="auto" w:fill="FFFFFF"/>
        </w:rPr>
        <w:t>现场存放量化管控</w:t>
      </w:r>
    </w:p>
    <w:p w14:paraId="560FB713">
      <w:pPr>
        <w:pStyle w:val="6"/>
        <w:ind w:left="0"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rPr>
        <w:t>施工现场实行材料分区、分类、挂牌、标识化存放管理，规范堆放秩序，材料规整堆放达标率不低于99%，严控混堆、乱堆、无标识堆放问题。针对易扬尘材料，全程采用封闭库房存放或密目网全覆盖防护，裸露敞放时长严格管控，杜绝常态化裸露扬尘问题。对等潮湿易损、易变形材料，全面落实防潮、防晒、防磕碰、防挤压保护措施，严控材料损耗，整体施工材料综合损耗率严格控制在3%以内。每日开展1次材料堆放专项巡查整改，月度材料堆放违规问题整改闭环率不低于99%，持续规范现场材料存放管理。</w:t>
      </w:r>
    </w:p>
    <w:p w14:paraId="30C38E1E">
      <w:pPr>
        <w:pStyle w:val="6"/>
        <w:ind w:left="0"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lang w:eastAsia="zh-CN"/>
        </w:rPr>
        <w:t>7、</w:t>
      </w:r>
      <w:r>
        <w:rPr>
          <w:rFonts w:asciiTheme="minorEastAsia" w:hAnsiTheme="minorEastAsia" w:cstheme="minorEastAsia"/>
          <w:shd w:val="clear" w:color="auto" w:fill="FFFFFF"/>
        </w:rPr>
        <w:t>材料供应保障措施</w:t>
      </w:r>
    </w:p>
    <w:p w14:paraId="19B1254E">
      <w:pPr>
        <w:pStyle w:val="6"/>
        <w:ind w:left="0" w:firstLine="400" w:firstLineChars="200"/>
        <w:jc w:val="both"/>
        <w:rPr>
          <w:rFonts w:asciiTheme="minorEastAsia" w:hAnsiTheme="minorEastAsia" w:cstheme="minorEastAsia"/>
          <w:shd w:val="clear" w:color="auto" w:fill="FFFFFF"/>
        </w:rPr>
      </w:pPr>
      <w:r>
        <w:rPr>
          <w:rFonts w:asciiTheme="minorEastAsia" w:hAnsiTheme="minorEastAsia" w:cstheme="minorEastAsia"/>
          <w:shd w:val="clear" w:color="auto" w:fill="FFFFFF"/>
        </w:rPr>
        <w:t>建立双供应商储备保障机制，核心施工材料均储备2家及以上具备合法资质、供货能力稳定的合作供应商，规避单一供应商断供、延期供货风险。建立材料库存动态台账，每日更新材料进场、消耗、剩余库存数据，库存数据更新误差控制在2%以内。设置库存预警阈值，核心材料库存低于施工3日用量时，提前3个工作日启动补货、调货流程，项目施工期内因材料短缺导致的施工停滞时长不超过3小时，保障施工全过程连续不间断推进。</w:t>
      </w:r>
    </w:p>
    <w:p w14:paraId="463C8E88">
      <w:pPr>
        <w:pStyle w:val="6"/>
        <w:ind w:left="0" w:firstLine="400" w:firstLineChars="200"/>
        <w:jc w:val="both"/>
        <w:rPr>
          <w:rFonts w:asciiTheme="minorEastAsia" w:hAnsiTheme="minorEastAsia" w:cstheme="minorEastAsia"/>
          <w:shd w:val="clear" w:color="auto" w:fill="FFFFFF"/>
        </w:rPr>
      </w:pPr>
    </w:p>
    <w:p w14:paraId="1E05E25A">
      <w:pPr>
        <w:pStyle w:val="6"/>
        <w:ind w:left="42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（三）施工机械设备配备计划及保证措施</w:t>
      </w:r>
    </w:p>
    <w:p w14:paraId="6ED3FA2C">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施工机械设备配备计划应根据工程质量、工期和安全的要求进行配置，确保各种测量检测仪器与施工机具功能齐备、新旧程度满足施工需求，并在数量上充足，配置合理。</w:t>
      </w:r>
    </w:p>
    <w:p w14:paraId="37230E28">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1.贯彻机械化、半机械化和改良机具相结合的方针，重点配备中、小型机具和手持动力机具。</w:t>
      </w:r>
    </w:p>
    <w:p w14:paraId="4F1D64A0">
      <w:pPr>
        <w:pStyle w:val="6"/>
        <w:ind w:firstLine="400" w:firstLineChars="200"/>
        <w:jc w:val="both"/>
        <w:rPr>
          <w:rFonts w:asciiTheme="minorEastAsia" w:hAnsiTheme="minorEastAsia" w:cstheme="minorEastAsia"/>
          <w:highlight w:val="none"/>
          <w:shd w:val="clear" w:color="auto" w:fill="FFFFFF"/>
        </w:rPr>
      </w:pPr>
      <w:r>
        <w:rPr>
          <w:rFonts w:asciiTheme="minorEastAsia" w:hAnsiTheme="minorEastAsia" w:cstheme="minorEastAsia"/>
          <w:highlight w:val="none"/>
          <w:shd w:val="clear" w:color="auto" w:fill="FFFFFF"/>
        </w:rPr>
        <w:t>2.机械设备应经过全面控制调试后再进场，确保其性能完好，满足工程质量和安全及施工进度要求。</w:t>
      </w:r>
      <w:r>
        <w:rPr>
          <w:rFonts w:asciiTheme="minorEastAsia" w:hAnsiTheme="minorEastAsia" w:cstheme="minorEastAsia"/>
          <w:shd w:val="clear" w:color="auto" w:fill="FFFFFF"/>
        </w:rPr>
        <w:t>建立机械设备“每日巡查、每周维保、每月检修”常态化管养制度，全面保障设备运行状态。每日排查设备运行工况、安全防护装置、线路管路状态，及时排查轻微隐患；每周开展一次全面清洁、紧固、润滑、调试维保作业；每月组织一次设备专项深度检修、隐患排查。建立设备故障快速响应机制，设备故障报修响应时长不超过2小时，一般性机械故障24小时内完成修复调试，设备长期保持良好运行状态，月度设备非故障停机时长控制在8小时以内，最大限度保障施工连续性。</w:t>
      </w:r>
    </w:p>
    <w:p w14:paraId="0CD79CB8">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3.现场应设专职机具设备维修人员，严格按照机械操作规程及保养制度进行维修和保养，确保机械设备在施工过程中始终保持良好状态。</w:t>
      </w:r>
      <w:r>
        <w:rPr>
          <w:rFonts w:asciiTheme="minorEastAsia" w:hAnsiTheme="minorEastAsia" w:cstheme="minorEastAsia"/>
          <w:shd w:val="clear" w:color="auto" w:fill="FFFFFF"/>
        </w:rPr>
        <w:t>建立机械设备“每日巡查、每周维保、每月检修”常态化管养制度，全面保障设备运行状态。每日排查设备运行工况、安全防护装置、线路管路状态，及时排查轻微隐患；每周开展一次全面清洁、紧固、润滑、调试维保作业；每月组织一次设备专项深度检修、隐患排查。建立设备故障快速响应机制，设备故障报修响应时长不超过2小时，一般性机械故障24小时内完成修复调试，设备长期保持良好运行状态，月度设备非故障停机时长控制在8小时以内，最大限度保障施工连续性。</w:t>
      </w:r>
    </w:p>
    <w:p w14:paraId="5FED1397">
      <w:pPr>
        <w:pStyle w:val="6"/>
        <w:ind w:firstLine="400" w:firstLineChars="200"/>
        <w:jc w:val="both"/>
        <w:rPr>
          <w:rFonts w:asciiTheme="minorEastAsia" w:hAnsiTheme="minorEastAsia" w:cstheme="minorEastAsia"/>
          <w:highlight w:val="none"/>
        </w:rPr>
      </w:pPr>
      <w:r>
        <w:rPr>
          <w:rFonts w:asciiTheme="minorEastAsia" w:hAnsiTheme="minorEastAsia" w:cstheme="minorEastAsia"/>
          <w:highlight w:val="none"/>
          <w:shd w:val="clear" w:color="auto" w:fill="FFFFFF"/>
        </w:rPr>
        <w:t>4.实行人机固定、机械使用、保管责任制，对操作人员进行培训考核，合格者持证上岗。</w:t>
      </w:r>
    </w:p>
    <w:p w14:paraId="08DC8CDB">
      <w:pPr>
        <w:pStyle w:val="6"/>
        <w:ind w:firstLine="400" w:firstLineChars="200"/>
        <w:jc w:val="both"/>
        <w:rPr>
          <w:rFonts w:asciiTheme="minorEastAsia" w:hAnsiTheme="minorEastAsia" w:cstheme="minorEastAsia"/>
          <w:highlight w:val="none"/>
          <w:shd w:val="clear" w:color="auto" w:fill="FFFFFF"/>
          <w:lang w:eastAsia="zh-CN"/>
        </w:rPr>
      </w:pPr>
      <w:r>
        <w:rPr>
          <w:rFonts w:asciiTheme="minorEastAsia" w:hAnsiTheme="minorEastAsia" w:cstheme="minorEastAsia"/>
          <w:highlight w:val="none"/>
          <w:shd w:val="clear" w:color="auto" w:fill="FFFFFF"/>
        </w:rPr>
        <w:t>5.建立大、中型机械设备档案，以便了解情况，便于使用和维修。同时，应严格执行机械设备的验收制度和安全操作规程，确保机械设备安全、可靠运行</w:t>
      </w:r>
      <w:r>
        <w:rPr>
          <w:rFonts w:asciiTheme="minorEastAsia" w:hAnsiTheme="minorEastAsia" w:cstheme="minorEastAsia"/>
          <w:highlight w:val="none"/>
          <w:shd w:val="clear" w:color="auto" w:fill="FFFFFF"/>
          <w:lang w:eastAsia="zh-CN"/>
        </w:rPr>
        <w:t>。</w:t>
      </w:r>
    </w:p>
    <w:p w14:paraId="7B40B946">
      <w:pPr>
        <w:pStyle w:val="6"/>
        <w:ind w:firstLine="400" w:firstLineChars="200"/>
        <w:jc w:val="both"/>
        <w:rPr>
          <w:rFonts w:asciiTheme="minorEastAsia" w:hAnsiTheme="minorEastAsia" w:cstheme="minorEastAsia"/>
          <w:shd w:val="clear" w:color="auto" w:fill="FFFFFF"/>
          <w:lang w:eastAsia="zh-CN"/>
        </w:rPr>
      </w:pPr>
      <w:r>
        <w:rPr>
          <w:rFonts w:asciiTheme="minorEastAsia" w:hAnsiTheme="minorEastAsia" w:cstheme="minorEastAsia"/>
          <w:shd w:val="clear" w:color="auto" w:fill="FFFFFF"/>
          <w:lang w:eastAsia="zh-CN"/>
        </w:rPr>
        <w:t>6、设备进场退场计划</w:t>
      </w:r>
    </w:p>
    <w:p w14:paraId="488E0BAA">
      <w:pPr>
        <w:pStyle w:val="6"/>
        <w:ind w:firstLine="400" w:firstLineChars="200"/>
        <w:jc w:val="both"/>
        <w:rPr>
          <w:rFonts w:asciiTheme="minorEastAsia" w:hAnsiTheme="minorEastAsia" w:cstheme="minorEastAsia"/>
          <w:shd w:val="clear" w:color="auto" w:fill="FFFFFF"/>
          <w:lang w:eastAsia="zh-CN"/>
        </w:rPr>
      </w:pPr>
      <w:r>
        <w:rPr>
          <w:rFonts w:asciiTheme="minorEastAsia" w:hAnsiTheme="minorEastAsia" w:cstheme="minorEastAsia"/>
          <w:shd w:val="clear" w:color="auto" w:fill="FFFFFF"/>
          <w:lang w:eastAsia="zh-CN"/>
        </w:rPr>
        <w:t>精准规划机械设备进退场时序，保障施工高效、现场整洁。基础施工阶段提前3个工作日完成大型机械设备进场、安装、调试、报验工作，确保设备达标可用；主体施工阶段根据工序需求，分批增补小型加工、辅助机具，保障各工序施工效率；单道工序、单项施工内容完工后，3个工作日内完成对应机械设备拆解、清运、退场，杜绝设备长期闲置占用施工场地，规避现场机具堆积混乱问题，持续保障现场文明施工标准化面貌。设备进退场时序偏差控制在1个工作日以内，无设备进退场滞后影响施工的情况。</w:t>
      </w:r>
    </w:p>
    <w:p w14:paraId="10EF0F4A">
      <w:pPr>
        <w:pStyle w:val="6"/>
        <w:ind w:firstLine="400" w:firstLineChars="200"/>
        <w:jc w:val="both"/>
        <w:rPr>
          <w:rFonts w:asciiTheme="minorEastAsia" w:hAnsiTheme="minorEastAsia" w:cstheme="minorEastAsia"/>
          <w:highlight w:val="none"/>
          <w:shd w:val="clear" w:color="auto" w:fill="FFFFFF"/>
          <w:lang w:eastAsia="zh-CN"/>
        </w:rPr>
      </w:pPr>
    </w:p>
    <w:p w14:paraId="51554483">
      <w:pPr>
        <w:pStyle w:val="6"/>
        <w:outlineLvl w:val="2"/>
        <w:rPr>
          <w:rFonts w:hint="default"/>
          <w:b/>
          <w:sz w:val="28"/>
          <w:highlight w:val="none"/>
        </w:rPr>
      </w:pPr>
      <w:r>
        <w:rPr>
          <w:b/>
          <w:sz w:val="28"/>
          <w:highlight w:val="none"/>
        </w:rPr>
        <w:t>十</w:t>
      </w:r>
      <w:r>
        <w:rPr>
          <w:rFonts w:hint="eastAsia"/>
          <w:b/>
          <w:sz w:val="28"/>
          <w:highlight w:val="none"/>
          <w:lang w:val="en-US" w:eastAsia="zh-CN"/>
        </w:rPr>
        <w:t>七</w:t>
      </w:r>
      <w:r>
        <w:rPr>
          <w:b/>
          <w:sz w:val="28"/>
          <w:highlight w:val="none"/>
        </w:rPr>
        <w:t>、质量保证措施</w:t>
      </w:r>
    </w:p>
    <w:p w14:paraId="3463FA67">
      <w:pPr>
        <w:pStyle w:val="6"/>
        <w:ind w:firstLine="400"/>
        <w:jc w:val="both"/>
        <w:rPr>
          <w:rFonts w:hint="default"/>
          <w:highlight w:val="none"/>
        </w:rPr>
      </w:pPr>
      <w:r>
        <w:rPr>
          <w:highlight w:val="none"/>
        </w:rPr>
        <w:t>成交供应商应当完善质量管理制度，提供有效的质量保证措施，建立质量控制流程，建立并保持一个有效的工程质量管理体系，且各项措施完善、标准清晰、详细、可行性高。施工质量满足国家、省、市及行业质量标准、控制标准和验收规范，在质量管理过程中达到或超过质量标准，通过各级验收合格，确保工程无永久性缺陷。</w:t>
      </w:r>
    </w:p>
    <w:p w14:paraId="6DF4008B">
      <w:pPr>
        <w:pStyle w:val="6"/>
        <w:ind w:firstLine="400" w:firstLineChars="200"/>
        <w:jc w:val="both"/>
        <w:rPr>
          <w:rFonts w:hint="default"/>
          <w:highlight w:val="none"/>
        </w:rPr>
      </w:pPr>
      <w:r>
        <w:rPr>
          <w:highlight w:val="none"/>
        </w:rPr>
        <w:t>1.若因</w:t>
      </w:r>
      <w:r>
        <w:rPr>
          <w:highlight w:val="none"/>
          <w:lang w:eastAsia="zh-CN"/>
        </w:rPr>
        <w:t>成交</w:t>
      </w:r>
      <w:r>
        <w:rPr>
          <w:highlight w:val="none"/>
        </w:rPr>
        <w:t>供应商原因造成工程质量没有达到合同约定的验收标准，采购人有权要求</w:t>
      </w:r>
      <w:r>
        <w:rPr>
          <w:highlight w:val="none"/>
          <w:lang w:eastAsia="zh-CN"/>
        </w:rPr>
        <w:t>成交</w:t>
      </w:r>
      <w:r>
        <w:rPr>
          <w:highlight w:val="none"/>
        </w:rPr>
        <w:t>供应商返工直至符合合同要求为止，由此造成的费用增加或工期延误，由</w:t>
      </w:r>
      <w:r>
        <w:rPr>
          <w:highlight w:val="none"/>
          <w:lang w:eastAsia="zh-CN"/>
        </w:rPr>
        <w:t>成交</w:t>
      </w:r>
      <w:r>
        <w:rPr>
          <w:highlight w:val="none"/>
        </w:rPr>
        <w:t>供应商承担责任。</w:t>
      </w:r>
    </w:p>
    <w:p w14:paraId="288E9431">
      <w:pPr>
        <w:pStyle w:val="6"/>
        <w:ind w:firstLine="400" w:firstLineChars="200"/>
        <w:jc w:val="both"/>
        <w:rPr>
          <w:highlight w:val="none"/>
        </w:rPr>
      </w:pPr>
      <w:r>
        <w:rPr>
          <w:highlight w:val="none"/>
        </w:rPr>
        <w:t>2.</w:t>
      </w:r>
      <w:r>
        <w:rPr>
          <w:highlight w:val="none"/>
          <w:lang w:eastAsia="zh-CN"/>
        </w:rPr>
        <w:t>成交</w:t>
      </w:r>
      <w:r>
        <w:rPr>
          <w:highlight w:val="none"/>
        </w:rPr>
        <w:t>供应商必须保证在施工期间,现场施工的人员和单位必须具备相应施工资质,</w:t>
      </w:r>
      <w:r>
        <w:rPr>
          <w:highlight w:val="none"/>
          <w:lang w:eastAsia="zh-CN"/>
        </w:rPr>
        <w:t>成交</w:t>
      </w:r>
      <w:r>
        <w:rPr>
          <w:highlight w:val="none"/>
        </w:rPr>
        <w:t>供应商将对此承担全部责任。如果</w:t>
      </w:r>
      <w:r>
        <w:rPr>
          <w:rFonts w:hint="eastAsia"/>
          <w:highlight w:val="none"/>
          <w:lang w:val="en-US" w:eastAsia="zh-CN"/>
        </w:rPr>
        <w:t>成交</w:t>
      </w:r>
      <w:r>
        <w:rPr>
          <w:highlight w:val="none"/>
        </w:rPr>
        <w:t>供应商因违反本项要求导致事故的发生，</w:t>
      </w:r>
      <w:r>
        <w:rPr>
          <w:rFonts w:hint="eastAsia"/>
          <w:highlight w:val="none"/>
          <w:lang w:val="en-US" w:eastAsia="zh-CN"/>
        </w:rPr>
        <w:t>成交</w:t>
      </w:r>
      <w:r>
        <w:rPr>
          <w:highlight w:val="none"/>
        </w:rPr>
        <w:t>供应商将承担全部责任和赔偿相应损失。</w:t>
      </w:r>
    </w:p>
    <w:p w14:paraId="6ACA1B73">
      <w:pPr>
        <w:pStyle w:val="6"/>
        <w:ind w:firstLine="400" w:firstLineChars="200"/>
        <w:jc w:val="both"/>
        <w:rPr>
          <w:rFonts w:hint="default"/>
        </w:rPr>
      </w:pPr>
      <w:r>
        <w:rPr>
          <w:rFonts w:hint="default"/>
        </w:rPr>
        <w:t>（一）质量目标</w:t>
      </w:r>
    </w:p>
    <w:p w14:paraId="6FC546E0">
      <w:pPr>
        <w:pStyle w:val="6"/>
        <w:ind w:firstLine="400" w:firstLineChars="200"/>
        <w:jc w:val="both"/>
        <w:rPr>
          <w:rFonts w:hint="default"/>
        </w:rPr>
      </w:pPr>
      <w:r>
        <w:rPr>
          <w:rFonts w:hint="default"/>
        </w:rPr>
        <w:t>1.1 工程验收目标</w:t>
      </w:r>
    </w:p>
    <w:p w14:paraId="0D0E9468">
      <w:pPr>
        <w:pStyle w:val="6"/>
        <w:ind w:firstLine="400" w:firstLineChars="200"/>
        <w:jc w:val="both"/>
        <w:rPr>
          <w:rFonts w:hint="default"/>
        </w:rPr>
      </w:pPr>
      <w:r>
        <w:rPr>
          <w:rFonts w:hint="default"/>
        </w:rPr>
        <w:t>严格把控工程验收质量，实现单位工程、分部工程、分项工程验收一次性合格，严控不合格分项、分部工程，最大限度减少返工返修问题。施工过程中严控分项工程验收质量，单批次分项工程一次验收不合格项数量控制在2处以内，分部工程杜绝结构性、功能性缺陷，确保单位工程竣工验收一次性通过，仅保留轻微观感瑕疵整改，整体工程返工返修工程量占比控制在0.5%以内。</w:t>
      </w:r>
    </w:p>
    <w:p w14:paraId="05583E3B">
      <w:pPr>
        <w:pStyle w:val="6"/>
        <w:ind w:firstLine="400" w:firstLineChars="200"/>
        <w:jc w:val="both"/>
        <w:rPr>
          <w:rFonts w:hint="default"/>
        </w:rPr>
      </w:pPr>
      <w:r>
        <w:rPr>
          <w:rFonts w:hint="default"/>
        </w:rPr>
        <w:t>1.2 质量管控目标</w:t>
      </w:r>
    </w:p>
    <w:p w14:paraId="59EAFEB3">
      <w:pPr>
        <w:pStyle w:val="6"/>
        <w:ind w:firstLine="400" w:firstLineChars="200"/>
        <w:jc w:val="both"/>
        <w:rPr>
          <w:rFonts w:hint="default"/>
        </w:rPr>
      </w:pPr>
      <w:r>
        <w:rPr>
          <w:rFonts w:hint="default"/>
        </w:rPr>
        <w:t>严控施工原材料、构配件、设备质量，规范隐蔽工程、工序交接验收流程，全面提升施工过程质量管控水平。原材料进场抽样复检覆盖率不低于98%，严控隐蔽工程报验时效，各施工阶段隐蔽工程按时报验滞后次数不超过1次，工序交接验收漏项、滞后问题月均控制在1处以内，所有进场不合格材料当日完成清场处置，杜绝不合格材料留存、投入使用。</w:t>
      </w:r>
    </w:p>
    <w:p w14:paraId="4D5B87C0">
      <w:pPr>
        <w:pStyle w:val="6"/>
        <w:ind w:firstLine="400" w:firstLineChars="200"/>
        <w:jc w:val="both"/>
        <w:rPr>
          <w:rFonts w:hint="default"/>
        </w:rPr>
      </w:pPr>
      <w:r>
        <w:rPr>
          <w:rFonts w:hint="default"/>
        </w:rPr>
        <w:t>1.3 工程创优目标</w:t>
      </w:r>
    </w:p>
    <w:p w14:paraId="73B08500">
      <w:pPr>
        <w:pStyle w:val="6"/>
        <w:ind w:firstLine="400" w:firstLineChars="200"/>
        <w:jc w:val="both"/>
        <w:rPr>
          <w:rFonts w:hint="default"/>
        </w:rPr>
      </w:pPr>
      <w:r>
        <w:rPr>
          <w:rFonts w:hint="default"/>
        </w:rPr>
        <w:t>严格执行现行国家、行业及地方施工质量验收规范，工程质量满足招标文件既定标准，严控质量缺陷、隐患，杜绝有效质量投诉。施工期间现场质量隐患按期闭环完成率不低于99%，一般性质量缺陷月均发生次数控制在2次以内，全程杜绝有效质量投诉，工程实体质量实测实量合格率稳定在98.5%以上。</w:t>
      </w:r>
    </w:p>
    <w:p w14:paraId="0D6D9B8C">
      <w:pPr>
        <w:pStyle w:val="6"/>
        <w:ind w:firstLine="400" w:firstLineChars="200"/>
        <w:jc w:val="both"/>
        <w:rPr>
          <w:rFonts w:hint="default"/>
        </w:rPr>
      </w:pPr>
      <w:r>
        <w:rPr>
          <w:rFonts w:hint="default"/>
        </w:rPr>
        <w:t>1.4 资料管理目标</w:t>
      </w:r>
    </w:p>
    <w:p w14:paraId="7EA0E45E">
      <w:pPr>
        <w:pStyle w:val="6"/>
        <w:ind w:firstLine="400" w:firstLineChars="200"/>
        <w:jc w:val="both"/>
        <w:rPr>
          <w:rFonts w:hint="default"/>
        </w:rPr>
      </w:pPr>
      <w:r>
        <w:rPr>
          <w:rFonts w:hint="default"/>
        </w:rPr>
        <w:t>施工质量资料同步收集、同步整理、同步归档，资料真实、完整、规范，贴合施工实际进度，保障竣工资料顺利验收移交。严格把控资料同步性，资料与施工进度同步偏差不超过3个工作日，各施工阶段资料签章、附件完善瑕疵控制在3处以内，竣工资料一次性移交通过率不低于98%，杜绝关键性资料缺失，一般性资料错漏问题控制在2处以内。</w:t>
      </w:r>
    </w:p>
    <w:p w14:paraId="39128604">
      <w:pPr>
        <w:pStyle w:val="6"/>
        <w:ind w:firstLine="400" w:firstLineChars="200"/>
        <w:jc w:val="both"/>
        <w:rPr>
          <w:rFonts w:hint="default"/>
        </w:rPr>
      </w:pPr>
      <w:r>
        <w:rPr>
          <w:rFonts w:hint="default"/>
        </w:rPr>
        <w:t>（二）质量保证体系</w:t>
      </w:r>
    </w:p>
    <w:p w14:paraId="458134A6">
      <w:pPr>
        <w:pStyle w:val="6"/>
        <w:ind w:firstLine="400" w:firstLineChars="200"/>
        <w:jc w:val="both"/>
        <w:rPr>
          <w:rFonts w:hint="default"/>
        </w:rPr>
      </w:pPr>
      <w:r>
        <w:rPr>
          <w:rFonts w:hint="default"/>
        </w:rPr>
        <w:t>2.1 体系组织架构量化配置</w:t>
      </w:r>
    </w:p>
    <w:p w14:paraId="25476043">
      <w:pPr>
        <w:pStyle w:val="6"/>
        <w:ind w:firstLine="400" w:firstLineChars="200"/>
        <w:jc w:val="both"/>
        <w:rPr>
          <w:rFonts w:hint="default"/>
        </w:rPr>
      </w:pPr>
      <w:r>
        <w:rPr>
          <w:rFonts w:hint="default"/>
        </w:rPr>
        <w:t>设立项目质量管理专项小组，配置专职质量员不少于1名，全程驻场专职履职，不兼职、不脱岗；搭建“项目经理总负责→技术负责人总管控→专职质量员现场核查→班组质检员自检”四级质量管控体系，压实各级质量责任，消除管控盲区。保障人员在岗履职稳定性，专职质量员月度在岗时长占施工周期比例不低于98%，四级管控岗位履职到位率不低于99%，严控人员脱岗空岗问题，每月临时离岗次数不超过2次，实现岗位职责交底全覆盖，覆盖全部在岗管理人员。</w:t>
      </w:r>
    </w:p>
    <w:p w14:paraId="7C28E768">
      <w:pPr>
        <w:pStyle w:val="6"/>
        <w:ind w:firstLine="400" w:firstLineChars="200"/>
        <w:jc w:val="both"/>
        <w:rPr>
          <w:rFonts w:hint="default"/>
        </w:rPr>
      </w:pPr>
      <w:r>
        <w:rPr>
          <w:rFonts w:hint="default"/>
        </w:rPr>
        <w:t>2.2 管理制度体系配置</w:t>
      </w:r>
    </w:p>
    <w:p w14:paraId="72911ED5">
      <w:pPr>
        <w:pStyle w:val="6"/>
        <w:ind w:firstLine="400" w:firstLineChars="200"/>
        <w:jc w:val="both"/>
        <w:rPr>
          <w:rFonts w:hint="default"/>
        </w:rPr>
      </w:pPr>
      <w:r>
        <w:rPr>
          <w:rFonts w:hint="default"/>
        </w:rPr>
        <w:t>建立完善质量管理制度，包含技术交底、工序验收、隐蔽工程管控、原材料检验、质量通病治理、质量整改闭环等不少于10项专项质量制度，制度上墙、流程落地、有据可查。项目配置专项质量管理制度不少于10项，核心管理制度公示上墙覆盖率不低于98%，制度执行台账完整度不低于99%，严控管理流程违规问题，项目周期内无重大管理流程违规问题，轻微流程偏差控制在3次以内。</w:t>
      </w:r>
    </w:p>
    <w:p w14:paraId="4C2335A3">
      <w:pPr>
        <w:pStyle w:val="6"/>
        <w:ind w:firstLine="400" w:firstLineChars="200"/>
        <w:jc w:val="both"/>
        <w:rPr>
          <w:rFonts w:hint="default"/>
        </w:rPr>
      </w:pPr>
      <w:r>
        <w:rPr>
          <w:rFonts w:hint="default"/>
        </w:rPr>
        <w:t>2.3 人员资质管控</w:t>
      </w:r>
    </w:p>
    <w:p w14:paraId="6BF6EEE0">
      <w:pPr>
        <w:pStyle w:val="6"/>
        <w:ind w:firstLine="400" w:firstLineChars="200"/>
        <w:jc w:val="both"/>
        <w:rPr>
          <w:rFonts w:hint="default"/>
        </w:rPr>
      </w:pPr>
      <w:r>
        <w:rPr>
          <w:rFonts w:hint="default"/>
        </w:rPr>
        <w:t>规范技术、质量管理人员及特种作业、关键工序作业人员资质管理，落实岗前技术交底制度，保障施工人员作业合规性。严格核查人员资质，管理人员有效资质证书合规率、特种作业人员人证匹配合格率均不低于99%，实现分部分项、专项施工技术交底覆盖主要施工班组，项目全程杜绝无证上岗、证件过期违规作业情况。</w:t>
      </w:r>
    </w:p>
    <w:p w14:paraId="6214599A">
      <w:pPr>
        <w:pStyle w:val="6"/>
        <w:ind w:firstLine="400" w:firstLineChars="200"/>
        <w:jc w:val="both"/>
        <w:rPr>
          <w:rFonts w:hint="default"/>
        </w:rPr>
      </w:pPr>
      <w:r>
        <w:rPr>
          <w:rFonts w:hint="default"/>
        </w:rPr>
        <w:t>（三）质量保证措施</w:t>
      </w:r>
    </w:p>
    <w:p w14:paraId="47CBE34A">
      <w:pPr>
        <w:pStyle w:val="6"/>
        <w:ind w:firstLine="400" w:firstLineChars="200"/>
        <w:jc w:val="both"/>
        <w:rPr>
          <w:rFonts w:hint="default"/>
        </w:rPr>
      </w:pPr>
      <w:r>
        <w:rPr>
          <w:rFonts w:hint="default"/>
        </w:rPr>
        <w:t>3.1 前期技术准备量化管控</w:t>
      </w:r>
    </w:p>
    <w:p w14:paraId="783A846D">
      <w:pPr>
        <w:pStyle w:val="6"/>
        <w:ind w:firstLine="400" w:firstLineChars="200"/>
        <w:jc w:val="both"/>
        <w:rPr>
          <w:rFonts w:hint="default"/>
        </w:rPr>
      </w:pPr>
      <w:r>
        <w:rPr>
          <w:rFonts w:hint="default"/>
        </w:rPr>
        <w:t>施工前完成图纸会审、方案报审、技术交底工作，开工前3个工作日完成全员技术、质量专项交底，交底留存台账、签字齐全。针对项目重难点工序、质量通病，提前编制专项防控方案，有效规避施工质量缺陷。开工前全面完成核心方案报审、图纸会审工作，无滞后缺项问题，实现重难点工序专项预控方案全覆盖，技术交底台账、签字资料完整度不低于99%，严控前期技术疏漏，项目前期技术准备轻微疏漏问题控制在2次以内，无重大技术准备缺失问题。</w:t>
      </w:r>
    </w:p>
    <w:p w14:paraId="2A4E83EB">
      <w:pPr>
        <w:pStyle w:val="6"/>
        <w:ind w:firstLine="400" w:firstLineChars="200"/>
        <w:jc w:val="both"/>
        <w:rPr>
          <w:rFonts w:hint="default"/>
        </w:rPr>
      </w:pPr>
      <w:r>
        <w:rPr>
          <w:rFonts w:hint="default"/>
        </w:rPr>
        <w:t>3.2 施工过程质量量化管控</w:t>
      </w:r>
    </w:p>
    <w:p w14:paraId="081BE31E">
      <w:pPr>
        <w:pStyle w:val="6"/>
        <w:ind w:firstLine="400" w:firstLineChars="200"/>
        <w:jc w:val="both"/>
        <w:rPr>
          <w:rFonts w:hint="default"/>
        </w:rPr>
      </w:pPr>
      <w:r>
        <w:rPr>
          <w:rFonts w:hint="default"/>
        </w:rPr>
        <w:t>刚性落实自检、互检、交接检三检制度，严控工序施工质量；落实分级巡检抽查制度，常态化开展质量隐患排查整改，规范隐蔽工程验收流程，保障施工全过程质量可控。严格执行分级巡检制度，专职质量员每日现场巡查不少于2次，技术负责人每周全面排查不少于1次，项目经理每月质量大检查不少于1次，巡查频次达标率不低于98%；施工现场一般质量问题24小时内整改闭环占比不低于99%，同类质量隐患重复发生次数不超过1次；隐蔽工程影像及报验资料留存完整度不低于99%，严控跳序施工、漏检问题，项目全年轻微工序偏差控制在3次以内。</w:t>
      </w:r>
    </w:p>
    <w:p w14:paraId="2035F402">
      <w:pPr>
        <w:pStyle w:val="6"/>
        <w:ind w:firstLine="400" w:firstLineChars="200"/>
        <w:jc w:val="both"/>
        <w:rPr>
          <w:rFonts w:hint="default"/>
        </w:rPr>
      </w:pPr>
      <w:r>
        <w:rPr>
          <w:rFonts w:hint="default"/>
        </w:rPr>
        <w:t>3.3 材料与工序质量管控</w:t>
      </w:r>
    </w:p>
    <w:p w14:paraId="00C62010">
      <w:pPr>
        <w:pStyle w:val="6"/>
        <w:ind w:firstLine="400" w:firstLineChars="200"/>
        <w:jc w:val="both"/>
        <w:rPr>
          <w:rFonts w:hint="default"/>
        </w:rPr>
      </w:pPr>
      <w:r>
        <w:rPr>
          <w:rFonts w:hint="default"/>
        </w:rPr>
        <w:t>进场原材料、构配件、设备严格执行先检后用原则，不合格材料及时清退出场；关键工序、特殊工序实行全过程旁站管控，确保工序质量可追溯、可管控。主要建材先检后用执行率不低于99%，所有不合格材料均在24小时内完成清场处置，关键、特殊工序实现全过程旁站监督，覆盖全部施工时段，全程杜绝不合格材料投入使用、无记录施工工序等问题。</w:t>
      </w:r>
    </w:p>
    <w:p w14:paraId="73935E65">
      <w:pPr>
        <w:pStyle w:val="6"/>
        <w:ind w:firstLine="400" w:firstLineChars="200"/>
        <w:jc w:val="both"/>
        <w:rPr>
          <w:rFonts w:hint="default"/>
        </w:rPr>
      </w:pPr>
      <w:r>
        <w:rPr>
          <w:rFonts w:hint="default"/>
        </w:rPr>
        <w:t>3.4 成品保护量化措施</w:t>
      </w:r>
    </w:p>
    <w:p w14:paraId="5101CCAB">
      <w:pPr>
        <w:pStyle w:val="6"/>
        <w:ind w:firstLine="400" w:firstLineChars="200"/>
        <w:jc w:val="both"/>
        <w:rPr>
          <w:rFonts w:hint="default"/>
        </w:rPr>
      </w:pPr>
      <w:r>
        <w:rPr>
          <w:rFonts w:hint="default"/>
        </w:rPr>
        <w:t>建立成品保护专项管理制度，对已完成工序、构件采取防护、隔离、警示措施，常态化开展成品保护专项检查，杜绝成品破损、污染问题。每日开展成品保护专项巡查，全覆盖已完工工序区域，严格控制成品损耗，成品破损、污染问题发生率不高于0.3%，关键成品防护措施布设到位率不低于99%，成品修复返工工程量占比控制在0.2%以内。</w:t>
      </w:r>
    </w:p>
    <w:p w14:paraId="2A2CF00F">
      <w:pPr>
        <w:pStyle w:val="6"/>
        <w:ind w:firstLine="400" w:firstLineChars="200"/>
        <w:jc w:val="both"/>
        <w:rPr>
          <w:rFonts w:hint="default"/>
        </w:rPr>
      </w:pPr>
      <w:r>
        <w:rPr>
          <w:rFonts w:hint="default"/>
        </w:rPr>
        <w:t>（四）质量承诺</w:t>
      </w:r>
    </w:p>
    <w:p w14:paraId="38561A16">
      <w:pPr>
        <w:pStyle w:val="6"/>
        <w:ind w:firstLine="400" w:firstLineChars="200"/>
        <w:jc w:val="both"/>
        <w:rPr>
          <w:rFonts w:hint="default"/>
        </w:rPr>
      </w:pPr>
      <w:r>
        <w:rPr>
          <w:rFonts w:hint="default"/>
        </w:rPr>
        <w:t>总体合规说明：所有承诺条款均满足国家工程建设质量强制性标准，底线要求全部达标，量化承诺指标为高于国标的创优评审指标，采用写实实数量化。</w:t>
      </w:r>
    </w:p>
    <w:p w14:paraId="5101717E">
      <w:pPr>
        <w:pStyle w:val="6"/>
        <w:ind w:firstLine="400" w:firstLineChars="200"/>
        <w:jc w:val="both"/>
        <w:rPr>
          <w:rFonts w:hint="default"/>
        </w:rPr>
      </w:pPr>
      <w:r>
        <w:rPr>
          <w:rFonts w:hint="default"/>
        </w:rPr>
        <w:t>4.1 验收达标承诺</w:t>
      </w:r>
    </w:p>
    <w:p w14:paraId="54A3DA72">
      <w:pPr>
        <w:pStyle w:val="6"/>
        <w:ind w:firstLine="400" w:firstLineChars="200"/>
        <w:jc w:val="both"/>
        <w:rPr>
          <w:rFonts w:hint="default"/>
        </w:rPr>
      </w:pPr>
      <w:r>
        <w:rPr>
          <w:rFonts w:hint="default"/>
        </w:rPr>
        <w:t>严格按照国家规范、设计图纸及招标文件要求施工，保障分项、分部、单位工程验收合格，严控工程质量问题，杜绝不合格工程交付。承诺项目单位工程一次性竣工验收通过，仅允许轻微观感质量整改，无结构性、功能性整改返工问题。</w:t>
      </w:r>
    </w:p>
    <w:p w14:paraId="4C93DF64">
      <w:pPr>
        <w:pStyle w:val="6"/>
        <w:ind w:firstLine="400" w:firstLineChars="200"/>
        <w:jc w:val="both"/>
        <w:rPr>
          <w:rFonts w:hint="default"/>
        </w:rPr>
      </w:pPr>
      <w:r>
        <w:rPr>
          <w:rFonts w:hint="default"/>
        </w:rPr>
        <w:t>4.2 零质量事故承诺</w:t>
      </w:r>
    </w:p>
    <w:p w14:paraId="4B575971">
      <w:pPr>
        <w:pStyle w:val="6"/>
        <w:ind w:firstLine="400" w:firstLineChars="200"/>
        <w:jc w:val="both"/>
        <w:rPr>
          <w:rFonts w:hint="default"/>
        </w:rPr>
      </w:pPr>
      <w:r>
        <w:rPr>
          <w:rFonts w:hint="default"/>
        </w:rPr>
        <w:t>施工全过程严控质量风险，杜绝一般及以上质量事故，排查整治重大质量隐患，规避系统性质量缺陷。承诺项目施工周期内无一般、较大、重大质量事故，全程排查消除重大质量隐患，不出现系统性、持续性质量缺陷问题。</w:t>
      </w:r>
    </w:p>
    <w:p w14:paraId="680A02B7">
      <w:pPr>
        <w:pStyle w:val="6"/>
        <w:ind w:firstLine="400" w:firstLineChars="200"/>
        <w:jc w:val="both"/>
        <w:rPr>
          <w:rFonts w:hint="default"/>
        </w:rPr>
      </w:pPr>
      <w:r>
        <w:rPr>
          <w:rFonts w:hint="default"/>
        </w:rPr>
        <w:t>4.3 整改闭环承诺</w:t>
      </w:r>
    </w:p>
    <w:p w14:paraId="3E31EF46">
      <w:pPr>
        <w:pStyle w:val="6"/>
        <w:ind w:firstLine="400" w:firstLineChars="200"/>
        <w:jc w:val="both"/>
        <w:rPr>
          <w:rFonts w:hint="default"/>
        </w:rPr>
      </w:pPr>
      <w:r>
        <w:rPr>
          <w:rFonts w:hint="default"/>
        </w:rPr>
        <w:t>对监理、建设单位、巡检部门提出的质量问题，严格按时限整改，高效完成问题闭环处置。施工现场各类质量问题整改响应及时率、闭环合格率均保持高位，轻微问题当日处置、一般问题24小时内闭环、复杂问题制定专项整改方案限时办结，杜绝问题拖延、整改不到位、重复反弹情况。</w:t>
      </w:r>
    </w:p>
    <w:p w14:paraId="1E6DB6FB">
      <w:pPr>
        <w:pStyle w:val="6"/>
        <w:ind w:firstLine="400" w:firstLineChars="200"/>
        <w:jc w:val="both"/>
        <w:rPr>
          <w:rFonts w:hint="default"/>
        </w:rPr>
      </w:pPr>
      <w:r>
        <w:rPr>
          <w:rFonts w:hint="default"/>
        </w:rPr>
        <w:t>4.4 资料真实承诺</w:t>
      </w:r>
    </w:p>
    <w:p w14:paraId="150E1F42">
      <w:pPr>
        <w:pStyle w:val="6"/>
        <w:ind w:firstLine="400" w:firstLineChars="200"/>
        <w:jc w:val="both"/>
        <w:rPr>
          <w:rFonts w:hint="default"/>
        </w:rPr>
      </w:pPr>
      <w:r>
        <w:rPr>
          <w:rFonts w:hint="default"/>
        </w:rPr>
        <w:t>所有施工质量资料真实、准确、同步、完整，不造假、不缺失，全程可追溯，确保顺利完成竣工验收及备案。施工资料与现场施工进度实时同步，资料数据真实贴合工程实际，关键性竣工资料无缺失、无造假，一般性资料瑕疵控制在极低范围，保障工程竣工验收、备案工作一次性顺利完成。</w:t>
      </w:r>
    </w:p>
    <w:p w14:paraId="51255C19">
      <w:pPr>
        <w:pStyle w:val="6"/>
        <w:ind w:firstLine="400" w:firstLineChars="200"/>
        <w:jc w:val="both"/>
        <w:rPr>
          <w:rFonts w:hint="default"/>
        </w:rPr>
      </w:pPr>
      <w:r>
        <w:rPr>
          <w:rFonts w:hint="default"/>
        </w:rPr>
        <w:t>4.5 售后质保承诺</w:t>
      </w:r>
    </w:p>
    <w:p w14:paraId="0B61A5ED">
      <w:pPr>
        <w:pStyle w:val="6"/>
        <w:ind w:firstLine="400" w:firstLineChars="200"/>
        <w:jc w:val="both"/>
        <w:rPr>
          <w:rFonts w:hint="default"/>
        </w:rPr>
      </w:pPr>
      <w:r>
        <w:rPr>
          <w:rFonts w:hint="default"/>
        </w:rPr>
        <w:t>严格遵守工程质保相关规定，质保期内免费承担质量维修、缺陷整改工作，响应及时、处置到位，全力保障工程使用功能。质保期内接到报修需求后，2小时内响应、24小时内到场核查处置，一般性质量缺陷48小时内整改完成，复杂问题制定专项维修方案限时闭环，全程免费维修整改，保障工程正常使用功能。</w:t>
      </w:r>
    </w:p>
    <w:p w14:paraId="5A5FC34F">
      <w:pPr>
        <w:pStyle w:val="6"/>
        <w:ind w:firstLine="400" w:firstLineChars="200"/>
        <w:jc w:val="both"/>
        <w:rPr>
          <w:rFonts w:hint="default"/>
          <w:highlight w:val="none"/>
        </w:rPr>
      </w:pPr>
    </w:p>
    <w:p w14:paraId="4E56EE30">
      <w:pPr>
        <w:pStyle w:val="6"/>
        <w:outlineLvl w:val="2"/>
        <w:rPr>
          <w:rFonts w:hint="default"/>
          <w:b/>
          <w:sz w:val="28"/>
          <w:highlight w:val="none"/>
        </w:rPr>
      </w:pPr>
      <w:r>
        <w:rPr>
          <w:b/>
          <w:sz w:val="28"/>
          <w:highlight w:val="none"/>
        </w:rPr>
        <w:t>十</w:t>
      </w:r>
      <w:r>
        <w:rPr>
          <w:rFonts w:hint="eastAsia"/>
          <w:b/>
          <w:sz w:val="28"/>
          <w:highlight w:val="none"/>
          <w:lang w:val="en-US" w:eastAsia="zh-CN"/>
        </w:rPr>
        <w:t>八</w:t>
      </w:r>
      <w:r>
        <w:rPr>
          <w:b/>
          <w:sz w:val="28"/>
          <w:highlight w:val="none"/>
        </w:rPr>
        <w:t>、施工人员团队要求</w:t>
      </w:r>
    </w:p>
    <w:p w14:paraId="1C6ADE55">
      <w:pPr>
        <w:pStyle w:val="6"/>
        <w:ind w:firstLine="400"/>
        <w:jc w:val="both"/>
        <w:rPr>
          <w:rFonts w:hint="default"/>
          <w:b/>
          <w:highlight w:val="none"/>
        </w:rPr>
      </w:pPr>
      <w:r>
        <w:rPr>
          <w:b/>
          <w:highlight w:val="none"/>
        </w:rPr>
        <w:t>本项目要求供应商设有项目负责人、技术负责人、质量负责人、安全负责人及其他专业管理负责人，各负责人不得兼任。</w:t>
      </w:r>
    </w:p>
    <w:tbl>
      <w:tblPr>
        <w:tblStyle w:val="3"/>
        <w:tblW w:w="88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861"/>
        <w:gridCol w:w="6317"/>
      </w:tblGrid>
      <w:tr w14:paraId="70446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4D41593">
            <w:pPr>
              <w:pStyle w:val="6"/>
              <w:jc w:val="center"/>
              <w:rPr>
                <w:rFonts w:hint="default"/>
                <w:highlight w:val="none"/>
                <w:lang w:eastAsia="zh-CN"/>
              </w:rPr>
            </w:pPr>
            <w:r>
              <w:rPr>
                <w:highlight w:val="none"/>
                <w:lang w:eastAsia="zh-CN"/>
              </w:rPr>
              <w:t>序号</w:t>
            </w:r>
          </w:p>
        </w:tc>
        <w:tc>
          <w:tcPr>
            <w:tcW w:w="1861" w:type="dxa"/>
            <w:vAlign w:val="center"/>
          </w:tcPr>
          <w:p w14:paraId="6CA22F36">
            <w:pPr>
              <w:pStyle w:val="6"/>
              <w:jc w:val="center"/>
              <w:rPr>
                <w:rFonts w:hint="default"/>
                <w:highlight w:val="none"/>
              </w:rPr>
            </w:pPr>
            <w:r>
              <w:rPr>
                <w:highlight w:val="none"/>
                <w:lang w:eastAsia="zh-CN"/>
              </w:rPr>
              <w:t>职务</w:t>
            </w:r>
          </w:p>
        </w:tc>
        <w:tc>
          <w:tcPr>
            <w:tcW w:w="6317" w:type="dxa"/>
            <w:vAlign w:val="center"/>
          </w:tcPr>
          <w:p w14:paraId="203EC164">
            <w:pPr>
              <w:pStyle w:val="6"/>
              <w:jc w:val="center"/>
              <w:rPr>
                <w:rFonts w:hint="default"/>
                <w:highlight w:val="none"/>
              </w:rPr>
            </w:pPr>
            <w:r>
              <w:rPr>
                <w:highlight w:val="none"/>
                <w:lang w:eastAsia="zh-CN"/>
              </w:rPr>
              <w:t>备注</w:t>
            </w:r>
          </w:p>
        </w:tc>
      </w:tr>
      <w:tr w14:paraId="05EE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EFA63FE">
            <w:pPr>
              <w:pStyle w:val="6"/>
              <w:jc w:val="center"/>
              <w:rPr>
                <w:rFonts w:hint="default"/>
                <w:highlight w:val="none"/>
                <w:lang w:eastAsia="zh-CN"/>
              </w:rPr>
            </w:pPr>
            <w:r>
              <w:rPr>
                <w:highlight w:val="none"/>
                <w:lang w:eastAsia="zh-CN"/>
              </w:rPr>
              <w:t>1</w:t>
            </w:r>
          </w:p>
        </w:tc>
        <w:tc>
          <w:tcPr>
            <w:tcW w:w="1861" w:type="dxa"/>
            <w:vAlign w:val="center"/>
          </w:tcPr>
          <w:p w14:paraId="5F24B2E9">
            <w:pPr>
              <w:pStyle w:val="6"/>
              <w:jc w:val="center"/>
              <w:rPr>
                <w:rFonts w:hint="default"/>
                <w:highlight w:val="none"/>
              </w:rPr>
            </w:pPr>
            <w:r>
              <w:rPr>
                <w:highlight w:val="none"/>
                <w:lang w:eastAsia="zh-CN"/>
              </w:rPr>
              <w:t>项目负责人</w:t>
            </w:r>
          </w:p>
        </w:tc>
        <w:tc>
          <w:tcPr>
            <w:tcW w:w="6317" w:type="dxa"/>
            <w:vAlign w:val="center"/>
          </w:tcPr>
          <w:p w14:paraId="084D65B1">
            <w:pPr>
              <w:pStyle w:val="6"/>
              <w:ind w:right="45"/>
              <w:jc w:val="both"/>
              <w:rPr>
                <w:rFonts w:hint="eastAsia" w:ascii="宋体" w:hAnsi="宋体" w:eastAsia="宋体" w:cs="宋体"/>
                <w:bCs/>
                <w:kern w:val="2"/>
                <w:sz w:val="20"/>
                <w:highlight w:val="none"/>
                <w:lang w:val="en-US" w:eastAsia="zh-CN" w:bidi="ar-SA"/>
              </w:rPr>
            </w:pPr>
            <w:r>
              <w:rPr>
                <w:highlight w:val="none"/>
                <w:lang w:eastAsia="zh-CN"/>
              </w:rPr>
              <w:t>1.</w:t>
            </w:r>
            <w:r>
              <w:rPr>
                <w:rFonts w:hint="eastAsia" w:ascii="宋体" w:hAnsi="宋体" w:eastAsia="宋体" w:cs="宋体"/>
                <w:bCs/>
                <w:kern w:val="2"/>
                <w:sz w:val="20"/>
                <w:highlight w:val="none"/>
                <w:lang w:val="en-US" w:eastAsia="zh-CN" w:bidi="ar-SA"/>
              </w:rPr>
              <w:t>建筑工程专业二级或以上级别的注册建造师；</w:t>
            </w:r>
          </w:p>
          <w:p w14:paraId="7D8E2DB1">
            <w:pPr>
              <w:pStyle w:val="6"/>
              <w:ind w:right="45"/>
              <w:jc w:val="both"/>
              <w:rPr>
                <w:rFonts w:hint="default"/>
                <w:highlight w:val="none"/>
                <w:lang w:eastAsia="zh-CN"/>
              </w:rPr>
            </w:pPr>
            <w:r>
              <w:rPr>
                <w:rFonts w:hint="eastAsia" w:ascii="宋体" w:hAnsi="宋体" w:eastAsia="宋体" w:cs="宋体"/>
                <w:bCs/>
                <w:kern w:val="2"/>
                <w:sz w:val="20"/>
                <w:highlight w:val="none"/>
                <w:lang w:val="en-US" w:eastAsia="zh-CN" w:bidi="ar-SA"/>
              </w:rPr>
              <w:t>2.持有项目负责人安全生产考核合格证（B类）或建筑施工企业项目负责人安全生产考核合格证书</w:t>
            </w:r>
            <w:r>
              <w:rPr>
                <w:highlight w:val="none"/>
                <w:lang w:eastAsia="zh-CN"/>
              </w:rPr>
              <w:t>；</w:t>
            </w:r>
          </w:p>
          <w:p w14:paraId="3DD4F438">
            <w:pPr>
              <w:pStyle w:val="6"/>
              <w:ind w:right="45"/>
              <w:jc w:val="both"/>
              <w:rPr>
                <w:rFonts w:hint="default"/>
                <w:highlight w:val="none"/>
              </w:rPr>
            </w:pPr>
            <w:r>
              <w:rPr>
                <w:highlight w:val="none"/>
              </w:rPr>
              <w:t>2.具</w:t>
            </w:r>
            <w:r>
              <w:rPr>
                <w:rFonts w:hint="eastAsia"/>
                <w:highlight w:val="none"/>
                <w:lang w:val="en-US" w:eastAsia="zh-CN"/>
              </w:rPr>
              <w:t>备工程类相关</w:t>
            </w:r>
            <w:r>
              <w:rPr>
                <w:highlight w:val="none"/>
                <w:lang w:eastAsia="zh-CN"/>
              </w:rPr>
              <w:t>专业</w:t>
            </w:r>
            <w:r>
              <w:rPr>
                <w:highlight w:val="none"/>
              </w:rPr>
              <w:t>中级工程师或以上技术职称；</w:t>
            </w:r>
          </w:p>
          <w:p w14:paraId="10294CB9">
            <w:pPr>
              <w:pStyle w:val="6"/>
              <w:ind w:right="45"/>
              <w:jc w:val="both"/>
              <w:rPr>
                <w:rFonts w:hint="default"/>
                <w:highlight w:val="none"/>
              </w:rPr>
            </w:pPr>
            <w:r>
              <w:rPr>
                <w:highlight w:val="none"/>
                <w:lang w:eastAsia="zh-CN"/>
              </w:rPr>
              <w:t>3.</w:t>
            </w:r>
            <w:r>
              <w:rPr>
                <w:highlight w:val="none"/>
              </w:rPr>
              <w:t>项目负责人</w:t>
            </w:r>
            <w:r>
              <w:rPr>
                <w:highlight w:val="none"/>
                <w:lang w:eastAsia="zh-CN"/>
              </w:rPr>
              <w:t>、技术负责人</w:t>
            </w:r>
            <w:r>
              <w:rPr>
                <w:highlight w:val="none"/>
              </w:rPr>
              <w:t>和安全员不为同一人</w:t>
            </w:r>
            <w:r>
              <w:rPr>
                <w:highlight w:val="none"/>
                <w:lang w:eastAsia="zh-CN"/>
              </w:rPr>
              <w:t>。</w:t>
            </w:r>
          </w:p>
        </w:tc>
      </w:tr>
      <w:tr w14:paraId="2D5CE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75" w:type="dxa"/>
            <w:vAlign w:val="center"/>
          </w:tcPr>
          <w:p w14:paraId="51090276">
            <w:pPr>
              <w:pStyle w:val="6"/>
              <w:jc w:val="center"/>
              <w:rPr>
                <w:rFonts w:hint="default"/>
                <w:highlight w:val="none"/>
                <w:lang w:eastAsia="zh-CN"/>
              </w:rPr>
            </w:pPr>
            <w:r>
              <w:rPr>
                <w:highlight w:val="none"/>
                <w:lang w:eastAsia="zh-CN"/>
              </w:rPr>
              <w:t>2</w:t>
            </w:r>
          </w:p>
        </w:tc>
        <w:tc>
          <w:tcPr>
            <w:tcW w:w="1861" w:type="dxa"/>
            <w:vAlign w:val="center"/>
          </w:tcPr>
          <w:p w14:paraId="79E8E4B4">
            <w:pPr>
              <w:pStyle w:val="6"/>
              <w:jc w:val="center"/>
              <w:rPr>
                <w:rFonts w:hint="default"/>
                <w:highlight w:val="none"/>
                <w:lang w:eastAsia="zh-CN"/>
              </w:rPr>
            </w:pPr>
            <w:r>
              <w:rPr>
                <w:highlight w:val="none"/>
                <w:lang w:eastAsia="zh-CN"/>
              </w:rPr>
              <w:t>技术负责人</w:t>
            </w:r>
          </w:p>
        </w:tc>
        <w:tc>
          <w:tcPr>
            <w:tcW w:w="6317" w:type="dxa"/>
            <w:vAlign w:val="center"/>
          </w:tcPr>
          <w:p w14:paraId="5548B62F">
            <w:pPr>
              <w:pStyle w:val="6"/>
              <w:rPr>
                <w:rFonts w:hint="default"/>
                <w:highlight w:val="none"/>
                <w:lang w:eastAsia="zh-CN"/>
              </w:rPr>
            </w:pPr>
            <w:r>
              <w:rPr>
                <w:highlight w:val="none"/>
              </w:rPr>
              <w:t>具</w:t>
            </w:r>
            <w:r>
              <w:rPr>
                <w:rFonts w:hint="eastAsia"/>
                <w:highlight w:val="none"/>
                <w:lang w:val="en-US" w:eastAsia="zh-CN"/>
              </w:rPr>
              <w:t>备工程类相关</w:t>
            </w:r>
            <w:r>
              <w:rPr>
                <w:highlight w:val="none"/>
                <w:lang w:eastAsia="zh-CN"/>
              </w:rPr>
              <w:t>专业</w:t>
            </w:r>
            <w:r>
              <w:rPr>
                <w:highlight w:val="none"/>
              </w:rPr>
              <w:t>中级工程师或以上技术职称</w:t>
            </w:r>
            <w:r>
              <w:rPr>
                <w:rFonts w:hint="default"/>
                <w:highlight w:val="none"/>
              </w:rPr>
              <w:t>；</w:t>
            </w:r>
          </w:p>
        </w:tc>
      </w:tr>
      <w:tr w14:paraId="5A0D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D0334F2">
            <w:pPr>
              <w:pStyle w:val="6"/>
              <w:jc w:val="center"/>
              <w:rPr>
                <w:rFonts w:hint="default"/>
                <w:highlight w:val="none"/>
                <w:lang w:eastAsia="zh-CN"/>
              </w:rPr>
            </w:pPr>
            <w:r>
              <w:rPr>
                <w:highlight w:val="none"/>
                <w:lang w:eastAsia="zh-CN"/>
              </w:rPr>
              <w:t>3</w:t>
            </w:r>
          </w:p>
        </w:tc>
        <w:tc>
          <w:tcPr>
            <w:tcW w:w="1861" w:type="dxa"/>
            <w:vAlign w:val="center"/>
          </w:tcPr>
          <w:p w14:paraId="28C02149">
            <w:pPr>
              <w:pStyle w:val="6"/>
              <w:jc w:val="center"/>
              <w:rPr>
                <w:rFonts w:hint="default"/>
                <w:highlight w:val="none"/>
              </w:rPr>
            </w:pPr>
            <w:r>
              <w:rPr>
                <w:highlight w:val="none"/>
                <w:lang w:eastAsia="zh-CN"/>
              </w:rPr>
              <w:t>质量负责人</w:t>
            </w:r>
          </w:p>
        </w:tc>
        <w:tc>
          <w:tcPr>
            <w:tcW w:w="6317" w:type="dxa"/>
            <w:vAlign w:val="center"/>
          </w:tcPr>
          <w:p w14:paraId="75D7D056">
            <w:pPr>
              <w:pStyle w:val="6"/>
              <w:rPr>
                <w:rFonts w:hint="default"/>
                <w:highlight w:val="none"/>
              </w:rPr>
            </w:pPr>
            <w:r>
              <w:rPr>
                <w:highlight w:val="none"/>
              </w:rPr>
              <w:t>具</w:t>
            </w:r>
            <w:r>
              <w:rPr>
                <w:rFonts w:hint="eastAsia"/>
                <w:highlight w:val="none"/>
                <w:lang w:val="en-US" w:eastAsia="zh-CN"/>
              </w:rPr>
              <w:t>备工程类相关</w:t>
            </w:r>
            <w:r>
              <w:rPr>
                <w:highlight w:val="none"/>
                <w:lang w:eastAsia="zh-CN"/>
              </w:rPr>
              <w:t>专业</w:t>
            </w:r>
            <w:r>
              <w:rPr>
                <w:highlight w:val="none"/>
              </w:rPr>
              <w:t>中级工程师或以上技术职称</w:t>
            </w:r>
            <w:r>
              <w:rPr>
                <w:rFonts w:hint="default"/>
                <w:highlight w:val="none"/>
              </w:rPr>
              <w:t>；</w:t>
            </w:r>
          </w:p>
        </w:tc>
      </w:tr>
      <w:tr w14:paraId="5E29D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2CE6697">
            <w:pPr>
              <w:pStyle w:val="6"/>
              <w:jc w:val="center"/>
              <w:rPr>
                <w:rFonts w:hint="default"/>
                <w:highlight w:val="none"/>
                <w:lang w:eastAsia="zh-CN"/>
              </w:rPr>
            </w:pPr>
            <w:r>
              <w:rPr>
                <w:highlight w:val="none"/>
                <w:lang w:eastAsia="zh-CN"/>
              </w:rPr>
              <w:t>4</w:t>
            </w:r>
          </w:p>
        </w:tc>
        <w:tc>
          <w:tcPr>
            <w:tcW w:w="1861" w:type="dxa"/>
            <w:vAlign w:val="center"/>
          </w:tcPr>
          <w:p w14:paraId="06FEB432">
            <w:pPr>
              <w:pStyle w:val="6"/>
              <w:jc w:val="center"/>
              <w:rPr>
                <w:rFonts w:hint="default"/>
                <w:highlight w:val="none"/>
                <w:lang w:eastAsia="zh-CN"/>
              </w:rPr>
            </w:pPr>
            <w:r>
              <w:rPr>
                <w:highlight w:val="none"/>
                <w:lang w:eastAsia="zh-CN"/>
              </w:rPr>
              <w:t>安全负责人</w:t>
            </w:r>
          </w:p>
        </w:tc>
        <w:tc>
          <w:tcPr>
            <w:tcW w:w="6317" w:type="dxa"/>
            <w:vAlign w:val="center"/>
          </w:tcPr>
          <w:p w14:paraId="0D964152">
            <w:pPr>
              <w:pStyle w:val="6"/>
              <w:rPr>
                <w:rFonts w:hint="default"/>
                <w:highlight w:val="none"/>
              </w:rPr>
            </w:pPr>
            <w:r>
              <w:rPr>
                <w:highlight w:val="none"/>
                <w:lang w:eastAsia="zh-CN"/>
              </w:rPr>
              <w:t>1.</w:t>
            </w:r>
            <w:r>
              <w:rPr>
                <w:rFonts w:hint="eastAsia"/>
                <w:highlight w:val="none"/>
                <w:lang w:val="en-US" w:eastAsia="zh-CN"/>
              </w:rPr>
              <w:t>持有</w:t>
            </w:r>
            <w:r>
              <w:rPr>
                <w:rFonts w:hint="eastAsia" w:ascii="宋体" w:hAnsi="宋体" w:eastAsia="宋体" w:cs="宋体"/>
                <w:bCs/>
                <w:kern w:val="2"/>
                <w:sz w:val="20"/>
                <w:highlight w:val="none"/>
                <w:lang w:val="en-US" w:eastAsia="zh-CN" w:bidi="ar-SA"/>
              </w:rPr>
              <w:t>安全生产考核合格证（C类）或建筑施工企业专职安全生产管理人员安全生产考核合格证书（C3类）</w:t>
            </w:r>
            <w:r>
              <w:rPr>
                <w:rFonts w:hint="eastAsia"/>
                <w:highlight w:val="none"/>
                <w:lang w:eastAsia="zh-CN"/>
              </w:rPr>
              <w:t>。</w:t>
            </w:r>
          </w:p>
          <w:p w14:paraId="7C9DF09A">
            <w:pPr>
              <w:pStyle w:val="6"/>
              <w:rPr>
                <w:rFonts w:hint="default" w:eastAsiaTheme="minorEastAsia"/>
                <w:highlight w:val="none"/>
                <w:lang w:val="en-US" w:eastAsia="zh-CN"/>
              </w:rPr>
            </w:pPr>
            <w:r>
              <w:rPr>
                <w:highlight w:val="none"/>
                <w:lang w:eastAsia="zh-CN"/>
              </w:rPr>
              <w:t>2.</w:t>
            </w:r>
            <w:r>
              <w:rPr>
                <w:highlight w:val="none"/>
              </w:rPr>
              <w:t>具备</w:t>
            </w:r>
            <w:r>
              <w:rPr>
                <w:rFonts w:hint="eastAsia"/>
                <w:highlight w:val="none"/>
                <w:lang w:val="en-US" w:eastAsia="zh-CN"/>
              </w:rPr>
              <w:t>安全</w:t>
            </w:r>
            <w:r>
              <w:rPr>
                <w:highlight w:val="none"/>
              </w:rPr>
              <w:t>类相关专业的中级工程师职称</w:t>
            </w:r>
            <w:r>
              <w:rPr>
                <w:rFonts w:hint="eastAsia"/>
                <w:highlight w:val="none"/>
                <w:lang w:val="en-US" w:eastAsia="zh-CN"/>
              </w:rPr>
              <w:t>或以上工程师职称；</w:t>
            </w:r>
          </w:p>
          <w:p w14:paraId="1F881807">
            <w:pPr>
              <w:pStyle w:val="6"/>
              <w:rPr>
                <w:rFonts w:hint="default"/>
                <w:highlight w:val="none"/>
              </w:rPr>
            </w:pPr>
            <w:r>
              <w:rPr>
                <w:rFonts w:hint="eastAsia"/>
                <w:highlight w:val="none"/>
                <w:lang w:val="en-US" w:eastAsia="zh-CN"/>
              </w:rPr>
              <w:t>3.</w:t>
            </w:r>
            <w:r>
              <w:rPr>
                <w:highlight w:val="none"/>
              </w:rPr>
              <w:t>具</w:t>
            </w:r>
            <w:r>
              <w:rPr>
                <w:rFonts w:hint="eastAsia"/>
                <w:highlight w:val="none"/>
                <w:lang w:val="en-US" w:eastAsia="zh-CN"/>
              </w:rPr>
              <w:t>备初级注册安全工程</w:t>
            </w:r>
            <w:r>
              <w:rPr>
                <w:rFonts w:hint="eastAsia"/>
                <w:highlight w:val="none"/>
              </w:rPr>
              <w:t>师</w:t>
            </w:r>
            <w:r>
              <w:rPr>
                <w:rFonts w:hint="default"/>
                <w:highlight w:val="none"/>
              </w:rPr>
              <w:t>或以上工程师职称；</w:t>
            </w:r>
          </w:p>
          <w:p w14:paraId="70341088">
            <w:pPr>
              <w:pStyle w:val="6"/>
              <w:rPr>
                <w:rFonts w:hint="eastAsia" w:eastAsiaTheme="minorEastAsia"/>
                <w:highlight w:val="none"/>
                <w:lang w:eastAsia="zh-CN"/>
              </w:rPr>
            </w:pPr>
            <w:r>
              <w:rPr>
                <w:rFonts w:hint="eastAsia"/>
                <w:highlight w:val="none"/>
                <w:lang w:val="en-US" w:eastAsia="zh-CN"/>
              </w:rPr>
              <w:t>4.</w:t>
            </w:r>
            <w:r>
              <w:rPr>
                <w:rFonts w:hint="default"/>
                <w:highlight w:val="none"/>
              </w:rPr>
              <w:t>与专职安全员不为同一个人</w:t>
            </w:r>
            <w:r>
              <w:rPr>
                <w:rFonts w:hint="eastAsia"/>
                <w:highlight w:val="none"/>
                <w:lang w:eastAsia="zh-CN"/>
              </w:rPr>
              <w:t>。</w:t>
            </w:r>
          </w:p>
        </w:tc>
      </w:tr>
      <w:tr w14:paraId="2C07B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7D4CDEC">
            <w:pPr>
              <w:pStyle w:val="6"/>
              <w:jc w:val="center"/>
              <w:rPr>
                <w:rFonts w:hint="default"/>
                <w:highlight w:val="none"/>
                <w:lang w:eastAsia="zh-CN"/>
              </w:rPr>
            </w:pPr>
            <w:r>
              <w:rPr>
                <w:rFonts w:hint="eastAsia"/>
                <w:highlight w:val="none"/>
                <w:lang w:val="en-US" w:eastAsia="zh-CN"/>
              </w:rPr>
              <w:t>5</w:t>
            </w:r>
          </w:p>
        </w:tc>
        <w:tc>
          <w:tcPr>
            <w:tcW w:w="1861" w:type="dxa"/>
            <w:vAlign w:val="center"/>
          </w:tcPr>
          <w:p w14:paraId="78862633">
            <w:pPr>
              <w:pStyle w:val="6"/>
              <w:jc w:val="center"/>
              <w:rPr>
                <w:rFonts w:hint="default"/>
                <w:highlight w:val="none"/>
                <w:lang w:eastAsia="zh-CN"/>
              </w:rPr>
            </w:pPr>
            <w:r>
              <w:rPr>
                <w:highlight w:val="none"/>
              </w:rPr>
              <w:t>专职安全员</w:t>
            </w:r>
          </w:p>
        </w:tc>
        <w:tc>
          <w:tcPr>
            <w:tcW w:w="6317" w:type="dxa"/>
            <w:vAlign w:val="center"/>
          </w:tcPr>
          <w:p w14:paraId="324FF769">
            <w:pPr>
              <w:pStyle w:val="6"/>
              <w:jc w:val="left"/>
              <w:rPr>
                <w:rFonts w:hint="default"/>
                <w:highlight w:val="none"/>
              </w:rPr>
            </w:pPr>
            <w:r>
              <w:rPr>
                <w:rFonts w:hint="eastAsia" w:ascii="宋体" w:hAnsi="宋体" w:eastAsia="宋体" w:cs="宋体"/>
                <w:bCs/>
                <w:kern w:val="2"/>
                <w:sz w:val="20"/>
                <w:highlight w:val="none"/>
                <w:lang w:val="en-US" w:eastAsia="zh-CN" w:bidi="ar-SA"/>
              </w:rPr>
              <w:t>具有安全生产考核合格证（C类）或建筑施工企业专职安全生产管理人员安全生产考核合格证书（C3类）</w:t>
            </w:r>
          </w:p>
        </w:tc>
      </w:tr>
    </w:tbl>
    <w:p w14:paraId="0E6D9D64">
      <w:pPr>
        <w:pStyle w:val="6"/>
        <w:outlineLvl w:val="2"/>
        <w:rPr>
          <w:rFonts w:hint="default"/>
          <w:b/>
          <w:sz w:val="28"/>
          <w:highlight w:val="none"/>
        </w:rPr>
      </w:pPr>
      <w:r>
        <w:rPr>
          <w:rFonts w:hint="eastAsia"/>
          <w:b/>
          <w:sz w:val="28"/>
          <w:highlight w:val="none"/>
          <w:lang w:val="en-US" w:eastAsia="zh-CN"/>
        </w:rPr>
        <w:t>十九</w:t>
      </w:r>
      <w:r>
        <w:rPr>
          <w:b/>
          <w:sz w:val="28"/>
          <w:highlight w:val="none"/>
          <w:lang w:eastAsia="zh-CN"/>
        </w:rPr>
        <w:t>、附件</w:t>
      </w:r>
    </w:p>
    <w:p w14:paraId="6E2F539B">
      <w:pPr>
        <w:spacing w:line="560" w:lineRule="exact"/>
        <w:ind w:firstLine="484" w:firstLineChars="202"/>
        <w:rPr>
          <w:rFonts w:hint="eastAsia" w:ascii="宋体" w:hAnsi="宋体" w:cs="宋体"/>
          <w:kern w:val="32"/>
          <w:sz w:val="24"/>
          <w:szCs w:val="24"/>
          <w:highlight w:val="none"/>
        </w:rPr>
      </w:pPr>
      <w:r>
        <w:rPr>
          <w:rFonts w:hint="eastAsia" w:ascii="宋体" w:hAnsi="宋体" w:cs="宋体"/>
          <w:kern w:val="32"/>
          <w:sz w:val="24"/>
          <w:szCs w:val="24"/>
          <w:highlight w:val="none"/>
        </w:rPr>
        <w:t>附件一：施工图设计文件</w:t>
      </w:r>
    </w:p>
    <w:p w14:paraId="3F400CCE">
      <w:pPr>
        <w:spacing w:line="560" w:lineRule="exact"/>
        <w:ind w:firstLine="480" w:firstLineChars="200"/>
        <w:rPr>
          <w:rFonts w:hint="eastAsia" w:ascii="宋体" w:hAnsi="宋体" w:cs="宋体"/>
          <w:kern w:val="32"/>
          <w:sz w:val="24"/>
          <w:szCs w:val="24"/>
          <w:highlight w:val="none"/>
        </w:rPr>
      </w:pPr>
      <w:r>
        <w:rPr>
          <w:rFonts w:hint="eastAsia" w:ascii="宋体" w:hAnsi="宋体" w:cs="宋体"/>
          <w:kern w:val="32"/>
          <w:sz w:val="24"/>
          <w:szCs w:val="24"/>
          <w:highlight w:val="none"/>
        </w:rPr>
        <w:t>附件二：工程量清单</w:t>
      </w:r>
    </w:p>
    <w:p w14:paraId="1ABEE58C">
      <w:pPr>
        <w:pStyle w:val="6"/>
        <w:ind w:firstLine="600" w:firstLineChars="300"/>
        <w:rPr>
          <w:rFonts w:hint="eastAsia"/>
        </w:rPr>
      </w:pPr>
      <w:r>
        <w:rPr>
          <w:highlight w:val="none"/>
        </w:rPr>
        <w:t>以上附件详见公告附件。</w:t>
      </w:r>
      <w:r>
        <w:rPr>
          <w:rFonts w:hint="eastAsia"/>
        </w:rPr>
        <w:br w:type="page"/>
      </w:r>
    </w:p>
    <w:p w14:paraId="6121AD25">
      <w:pPr>
        <w:rPr>
          <w:rFonts w:hint="eastAsia"/>
        </w:rPr>
      </w:pPr>
      <w:r>
        <w:rPr>
          <w:rFonts w:hint="eastAsia"/>
        </w:rPr>
        <w:t>附件：异常低价审查</w:t>
      </w:r>
    </w:p>
    <w:p w14:paraId="010DA566">
      <w:pPr>
        <w:ind w:firstLine="420" w:firstLineChars="200"/>
        <w:rPr>
          <w:rFonts w:hint="eastAsia"/>
        </w:rPr>
      </w:pPr>
      <w:r>
        <w:rPr>
          <w:rFonts w:hint="eastAsia"/>
        </w:rPr>
        <w:t>根据财政部2026年1月14日发布的《关于推动解决政府采购异常低价问题的通知》规定，本项目将对响应供应商的异常低价进行审查。</w:t>
      </w:r>
    </w:p>
    <w:p w14:paraId="11649BCA">
      <w:pPr>
        <w:ind w:firstLine="420" w:firstLineChars="200"/>
        <w:rPr>
          <w:rFonts w:hint="eastAsia"/>
        </w:rPr>
      </w:pPr>
      <w:r>
        <w:rPr>
          <w:rFonts w:hint="eastAsia"/>
        </w:rPr>
        <w:t>（一）如响应供应商报价中出现下列情形之一的，评审委员会应当启动异常低价投标（响应）审查程序：</w:t>
      </w:r>
    </w:p>
    <w:p w14:paraId="6D56866C">
      <w:pPr>
        <w:ind w:firstLine="420" w:firstLineChars="200"/>
        <w:rPr>
          <w:rFonts w:hint="eastAsia"/>
        </w:rPr>
      </w:pPr>
      <w:r>
        <w:rPr>
          <w:rFonts w:hint="eastAsia"/>
        </w:rPr>
        <w:t>1.投标（响应）报价低于全部通过符合性审查供应商投标（响应）报价平均值50%的，即投标（响应）报价&lt;全部通过符合性审查供应商投标（响应）报价平均值×50%；</w:t>
      </w:r>
    </w:p>
    <w:p w14:paraId="181C149C">
      <w:pPr>
        <w:ind w:firstLine="420" w:firstLineChars="200"/>
        <w:rPr>
          <w:rFonts w:hint="eastAsia"/>
        </w:rPr>
      </w:pPr>
      <w:r>
        <w:rPr>
          <w:rFonts w:hint="eastAsia"/>
        </w:rPr>
        <w:t>2.投标（响应）报价低于通过符合性审查的次低报价供应商投标（响应）报价50%的，即投标（响应）报价&lt;通过符合性审查的次低报价供应商投标（响应）报价×50%；</w:t>
      </w:r>
    </w:p>
    <w:p w14:paraId="14ADB194">
      <w:pPr>
        <w:ind w:firstLine="420" w:firstLineChars="200"/>
        <w:rPr>
          <w:rFonts w:hint="eastAsia"/>
        </w:rPr>
      </w:pPr>
      <w:r>
        <w:rPr>
          <w:rFonts w:hint="eastAsia"/>
        </w:rPr>
        <w:t>3.投标（响应）报价低于采购项目最高限价45%的，即投标（响应）报价&lt;采购项目最高限价×45%；</w:t>
      </w:r>
    </w:p>
    <w:p w14:paraId="7AEF7402">
      <w:pPr>
        <w:ind w:firstLine="420" w:firstLineChars="200"/>
        <w:rPr>
          <w:rFonts w:hint="eastAsia"/>
        </w:rPr>
      </w:pPr>
      <w:r>
        <w:rPr>
          <w:rFonts w:hint="eastAsia"/>
        </w:rPr>
        <w:t>4.评审委员会基于专业判断，认为供应商报价过低，有可能影响产品质量或者不能诚信履约的其他情形。</w:t>
      </w:r>
    </w:p>
    <w:p w14:paraId="236C6BAF">
      <w:pPr>
        <w:ind w:firstLine="420" w:firstLineChars="200"/>
        <w:rPr>
          <w:rFonts w:hint="eastAsia"/>
        </w:rPr>
      </w:pPr>
      <w:r>
        <w:rPr>
          <w:rFonts w:hint="eastAsi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9FDAF8">
      <w:pPr>
        <w:pStyle w:val="6"/>
        <w:rPr>
          <w:rFonts w:hint="eastAsia"/>
          <w:sz w:val="24"/>
          <w:szCs w:val="24"/>
        </w:rPr>
      </w:pPr>
      <w:r>
        <w:rPr>
          <w:rFonts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14:paraId="24450F90">
      <w:pPr>
        <w:pStyle w:val="6"/>
        <w:rPr>
          <w:rFonts w:hint="eastAsia"/>
        </w:rPr>
      </w:pPr>
    </w:p>
    <w:p w14:paraId="2F98F147">
      <w:r>
        <w:br w:type="page"/>
      </w:r>
    </w:p>
    <w:p w14:paraId="75148A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 w:name="Cambria Math">
    <w:panose1 w:val="02040503050406030204"/>
    <w:charset w:val="00"/>
    <w:family w:val="auto"/>
    <w:pitch w:val="variable"/>
    <w:sig w:usb0="E00006FF" w:usb1="420024FF" w:usb2="02000000" w:usb3="00000000" w:csb0="2000019F" w:csb1="00000000"/>
  </w:font>
  <w:font w:name="@宋体">
    <w:panose1 w:val="02010600030101010101"/>
    <w:charset w:val="86"/>
    <w:family w:val="auto"/>
    <w:pitch w:val="variable"/>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7B88D7"/>
    <w:multiLevelType w:val="singleLevel"/>
    <w:tmpl w:val="7E7B88D7"/>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2D56B8"/>
    <w:rsid w:val="51B063C6"/>
    <w:rsid w:val="7F2D56B8"/>
    <w:rsid w:val="7F5C7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Strong"/>
    <w:basedOn w:val="4"/>
    <w:qFormat/>
    <w:uiPriority w:val="0"/>
    <w:rPr>
      <w:b/>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广东分公司</Company>
  <Pages>25</Pages>
  <Words>0</Words>
  <Characters>0</Characters>
  <Lines>0</Lines>
  <Paragraphs>0</Paragraphs>
  <TotalTime>5</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2026-07-06T07:06:00Z</dcterms:created>
  <dc:creator>lulu</dc:creator>
  <cp:lastModifiedBy>lulu</cp:lastModifiedBy>
  <dcterms:modified xsi:type="dcterms:W3CDTF">2026-07-06T07:12:48Z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5DE2EBB4AEA64CABB1D1E470964CDA90_11</vt:lpwstr>
  </property>
</Properties>
</file>