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440104-2026-02926</w:t>
      </w:r>
    </w:p>
    <w:p>
      <w:pPr>
        <w:pStyle w:val="null3"/>
        <w:jc w:val="center"/>
        <w:outlineLvl w:val="3"/>
      </w:pPr>
      <w:r>
        <w:rPr>
          <w:sz w:val="24"/>
          <w:b/>
        </w:rPr>
        <w:t>采购项目编号：</w:t>
      </w:r>
      <w:r>
        <w:rPr>
          <w:sz w:val="24"/>
          <w:b/>
        </w:rPr>
        <w:t>CZ2026-1139</w:t>
      </w:r>
    </w:p>
    <w:p>
      <w:pPr>
        <w:pStyle w:val="null3"/>
        <w:jc w:val="center"/>
        <w:outlineLvl w:val="3"/>
      </w:pPr>
      <w:r>
        <w:rPr>
          <w:sz w:val="24"/>
          <w:b/>
        </w:rPr>
        <w:t>项目名称：</w:t>
      </w:r>
      <w:r>
        <w:rPr>
          <w:sz w:val="24"/>
          <w:b/>
        </w:rPr>
        <w:t>广州市公安局越秀分局食堂餐饮服务采购项目</w:t>
      </w:r>
    </w:p>
    <w:p>
      <w:pPr>
        <w:pStyle w:val="null3"/>
        <w:jc w:val="center"/>
        <w:outlineLvl w:val="3"/>
      </w:pPr>
      <w:r>
        <w:rPr>
          <w:sz w:val="24"/>
          <w:b/>
        </w:rPr>
        <w:t>采购人：</w:t>
      </w:r>
      <w:r>
        <w:rPr>
          <w:sz w:val="24"/>
          <w:b/>
        </w:rPr>
        <w:t>广州市公安局越秀分局</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广州市公安局越秀分局</w:t>
      </w:r>
      <w:r>
        <w:rPr/>
        <w:t>的委托，采用</w:t>
      </w:r>
      <w:r>
        <w:rPr/>
        <w:t>公开招标</w:t>
      </w:r>
      <w:r>
        <w:rPr/>
        <w:t>方式组织采购</w:t>
      </w:r>
      <w:r>
        <w:rPr/>
        <w:t>广州市公安局越秀分局食堂餐饮服务采购项目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广州市公安局越秀分局食堂餐饮服务采购项目</w:t>
      </w:r>
    </w:p>
    <w:p>
      <w:pPr>
        <w:pStyle w:val="null3"/>
        <w:ind w:firstLine="480"/>
      </w:pPr>
      <w:r>
        <w:rPr/>
        <w:t>采购计划编号：</w:t>
      </w:r>
      <w:r>
        <w:rPr/>
        <w:t>440104-2026-02926</w:t>
      </w:r>
    </w:p>
    <w:p>
      <w:pPr>
        <w:pStyle w:val="null3"/>
        <w:ind w:firstLine="480"/>
      </w:pPr>
      <w:r>
        <w:rPr/>
        <w:t>采购项目编号：</w:t>
      </w:r>
      <w:r>
        <w:rPr/>
        <w:t>CZ2026-1139</w:t>
      </w:r>
    </w:p>
    <w:p>
      <w:pPr>
        <w:pStyle w:val="null3"/>
        <w:ind w:firstLine="480"/>
      </w:pPr>
      <w:r>
        <w:rPr/>
        <w:t>采购方式：</w:t>
      </w:r>
      <w:r>
        <w:rPr/>
        <w:t>公开招标</w:t>
      </w:r>
    </w:p>
    <w:p>
      <w:pPr>
        <w:pStyle w:val="null3"/>
        <w:ind w:firstLine="480"/>
      </w:pPr>
      <w:r>
        <w:rPr/>
        <w:t>预算金额：</w:t>
      </w:r>
      <w:r>
        <w:rPr/>
        <w:t>16,016,000.00</w:t>
      </w:r>
      <w:r>
        <w:rPr/>
        <w:t>元</w:t>
      </w:r>
    </w:p>
    <w:p>
      <w:pPr>
        <w:pStyle w:val="null3"/>
        <w:outlineLvl w:val="3"/>
      </w:pPr>
      <w:r>
        <w:rPr>
          <w:sz w:val="24"/>
          <w:b/>
        </w:rPr>
        <w:t>2.项目内容及需求情况（采购项目技术规格、参数及要求）</w:t>
      </w:r>
    </w:p>
    <w:p>
      <w:pPr>
        <w:pStyle w:val="null3"/>
      </w:pPr>
      <w:r>
        <w:rPr/>
        <w:t>采购包1(食堂餐饮服务):</w:t>
      </w:r>
    </w:p>
    <w:p>
      <w:pPr>
        <w:pStyle w:val="null3"/>
      </w:pPr>
      <w:r>
        <w:rPr/>
        <w:t>采购包预算金额：16,016,000.00元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食堂餐饮服务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合同履行期限：自合同签订之日起二年。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采购包1（食堂餐饮服务）：</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采购包1（食堂餐饮服务）：</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pPr>
      <w:r>
        <w:rPr/>
        <w:t>2)投标人应具有有效的广东省内经营项目含有餐饮服务管理或食品经营管理的食品经营许可，提供有效的许可证明扫描件或截图（如国家另有规定，从其规定）。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广州市公安局越秀分局</w:t>
      </w:r>
    </w:p>
    <w:p>
      <w:pPr>
        <w:pStyle w:val="null3"/>
        <w:ind w:firstLine="480"/>
      </w:pPr>
      <w:r>
        <w:rPr/>
        <w:t xml:space="preserve"> 地址：</w:t>
      </w:r>
      <w:r>
        <w:rPr/>
        <w:t>广州市越秀区东风中路295号</w:t>
      </w:r>
    </w:p>
    <w:p>
      <w:pPr>
        <w:pStyle w:val="null3"/>
        <w:ind w:firstLine="480"/>
      </w:pPr>
      <w:r>
        <w:rPr/>
        <w:t xml:space="preserve"> 联系方式：</w:t>
      </w:r>
      <w:r>
        <w:rPr/>
        <w:t>13632139810</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广东省广州市天润路447号</w:t>
      </w:r>
    </w:p>
    <w:p>
      <w:pPr>
        <w:pStyle w:val="null3"/>
        <w:ind w:firstLine="480"/>
      </w:pPr>
      <w:r>
        <w:rPr/>
        <w:t xml:space="preserve"> 联系方式：</w:t>
      </w:r>
      <w:r>
        <w:rPr/>
        <w:t>87150280；87150212</w:t>
      </w:r>
    </w:p>
    <w:p>
      <w:pPr>
        <w:pStyle w:val="null3"/>
        <w:outlineLvl w:val="3"/>
      </w:pPr>
      <w:r>
        <w:rPr>
          <w:sz w:val="24"/>
          <w:b/>
        </w:rPr>
        <w:t xml:space="preserve"> 3.项目联系方式</w:t>
      </w:r>
    </w:p>
    <w:p>
      <w:pPr>
        <w:pStyle w:val="null3"/>
        <w:ind w:firstLine="480"/>
      </w:pPr>
      <w:r>
        <w:rPr/>
        <w:t xml:space="preserve"> 项目联系人：</w:t>
      </w:r>
      <w:r>
        <w:rPr/>
        <w:t>王心怡（采购文件咨询）、林欣（质疑受理）</w:t>
      </w:r>
    </w:p>
    <w:p>
      <w:pPr>
        <w:pStyle w:val="null3"/>
        <w:ind w:firstLine="480"/>
      </w:pPr>
      <w:r>
        <w:rPr/>
        <w:t xml:space="preserve"> 电话：</w:t>
      </w:r>
      <w:r>
        <w:rPr/>
        <w:t>87150280；87150212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详见招标公告附件《采购需求》。</w:t>
      </w:r>
    </w:p>
    <w:p>
      <w:pPr>
        <w:pStyle w:val="null3"/>
      </w:pPr>
      <w:r>
        <w:rPr/>
        <w:t>采购包1（食堂餐饮服务）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自合同签订之日起二年。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账号：采购人中标后提供</w:t>
            </w:r>
          </w:p>
          <w:p>
            <w:pPr>
              <w:pStyle w:val="null3"/>
            </w:pPr>
            <w:r>
              <w:rPr/>
              <w:t>户名：采购人中标后提供</w:t>
            </w:r>
          </w:p>
          <w:p>
            <w:pPr>
              <w:pStyle w:val="null3"/>
            </w:pPr>
            <w:r>
              <w:rPr/>
              <w:t>开户行：采购人中标后提供</w:t>
            </w:r>
          </w:p>
          <w:p>
            <w:pPr>
              <w:pStyle w:val="null3"/>
            </w:pPr>
            <w:r>
              <w:rPr/>
              <w:t>支票提交方式：根据采购人要求</w:t>
            </w:r>
          </w:p>
          <w:p>
            <w:pPr>
              <w:pStyle w:val="null3"/>
            </w:pPr>
            <w:r>
              <w:rPr/>
              <w:t>汇票、本票提交方式：根据采购人要求</w:t>
            </w:r>
          </w:p>
          <w:p>
            <w:pPr>
              <w:pStyle w:val="null3"/>
            </w:pPr>
            <w:r>
              <w:rPr/>
              <w:t>说明：中标人与采购人签订合同后15个工作日内，完成履约保证金的缴纳（或保函提交）。若中标人在合同期限内无违约行为或致采购人利益受损行为的，履约保证金在货物验收合格后15个工作日内由采购人无息退还。下列任何一种情况发生时，采购人有权不予退还履约保证金并根据中标人造成损失情况要求中标人赔偿采购人相应经济损失：1.因中标人违约导致工作缺失，采购人书面通知 2 次后仍不整改。 2.有明显证据证明中标人未履行本合同约定的； 3. 中标人有明显过错致采购人造成损失的。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食堂餐饮服务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16,016,000.00</w:t>
            </w:r>
          </w:p>
        </w:tc>
        <w:tc>
          <w:tcPr>
            <w:tcW w:type="dxa" w:w="933"/>
          </w:tcPr>
          <w:p>
            <w:pPr>
              <w:pStyle w:val="null3"/>
              <w:jc w:val="right"/>
            </w:pPr>
            <w:r>
              <w:rPr/>
              <w:t>16,016,000.00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食堂餐饮服务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广州市公安局越秀分局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s://ywtb.gzggzy.cn/tzgg/007001/007001002/20260509/0070010021066289.html）（注：本项目为未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p>
            <w:pPr>
              <w:pStyle w:val="null3"/>
              <w:jc w:val="left"/>
            </w:pPr>
            <w:r>
              <w:rPr/>
              <w:t>二、履约评价，由采购人负责对中标人的履约行为进行评价，采购人在合同备案后可通过广东政府采购智慧云平台-诚信管理-评价管理进行评价。评价结果会影响供应商的综合信用得分。</w:t>
            </w:r>
          </w:p>
          <w:p>
            <w:pPr>
              <w:pStyle w:val="null3"/>
              <w:jc w:val="left"/>
            </w:pPr>
            <w:r>
              <w:rPr/>
              <w:t>三、关于提供前期服务的供应商，为采购项目提供整体设计、规范编制或者项目管理、监理、检测等服务的供应商，不得再参加该采购项目的其他采购活动。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林欣</w:t>
      </w:r>
    </w:p>
    <w:p>
      <w:pPr>
        <w:pStyle w:val="null3"/>
        <w:ind w:firstLine="480"/>
      </w:pPr>
      <w:r>
        <w:rPr/>
        <w:t>电话：</w:t>
      </w:r>
      <w:r>
        <w:rPr/>
        <w:t>020-87150212</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政府采购监督管理机构名称：广州市越秀区财政局综合财会科</w:t>
      </w:r>
    </w:p>
    <w:p>
      <w:pPr>
        <w:pStyle w:val="null3"/>
      </w:pPr>
      <w:r>
        <w:rPr/>
        <w:t>地 址：广州市越秀区广九大马路4号</w:t>
      </w:r>
    </w:p>
    <w:p>
      <w:pPr>
        <w:pStyle w:val="null3"/>
      </w:pPr>
      <w:r>
        <w:rPr/>
        <w:t>电 话：020-83849820</w:t>
      </w:r>
    </w:p>
    <w:p>
      <w:pPr>
        <w:pStyle w:val="null3"/>
      </w:pPr>
      <w:r>
        <w:rPr/>
        <w:t>邮 编：510100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采购包1(食堂餐饮服务)：综合评分法,是指投标文件满足招标文件全部实质性要求，且按照评审因素的量化指标评审得分最高的投标人为中标候选人的评标方法。（最低报价不是中标的唯一依据。）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4.7不同投标人的电子投标文件上传计算机的网卡MAC地址、IP地址相同的；</w:t>
      </w:r>
    </w:p>
    <w:p>
      <w:pPr>
        <w:pStyle w:val="null3"/>
        <w:ind w:firstLine="480"/>
      </w:pPr>
      <w:r>
        <w:rPr/>
        <w:t>4.8投标人上传的电子投标文件使用该项目其他投标人的数字证书加密的或加盖该项目的其他投标人的电子印章的。</w:t>
      </w:r>
    </w:p>
    <w:p>
      <w:pPr>
        <w:pStyle w:val="null3"/>
      </w:pPr>
      <w:r>
        <w:rPr/>
        <w:t xml:space="preserve"> 说明：在评标过程中发现投标人有上述情形的，评标委员会应当认定其投标无效。同时，项目评审时被认定为串通投标的投标人不得参加该合同项下的采购活动。</w:t>
      </w:r>
    </w:p>
    <w:p>
      <w:pPr>
        <w:pStyle w:val="null3"/>
        <w:ind w:firstLine="480"/>
      </w:pPr>
      <w:r>
        <w:br/>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采购包1（食堂餐饮服务）：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采购包1（食堂餐饮服务）：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相关许可要求</w:t>
            </w:r>
          </w:p>
        </w:tc>
        <w:tc>
          <w:tcPr>
            <w:tcW w:type="dxa" w:w="4238"/>
          </w:tcPr>
          <w:p>
            <w:pPr>
              <w:pStyle w:val="null3"/>
            </w:pPr>
            <w:r>
              <w:rPr/>
              <w:t>投标人应具有有效的广东省内经营项目含有餐饮服务管理或食品经营管理的食品经营许可，提供有效的许可证明扫描件或截图（如国家另有规定，从其规定）。</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采购包1（食堂餐饮服务）：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采购包1(食堂餐饮服务):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卫生管理方案1 (7.0分)</w:t>
            </w:r>
          </w:p>
        </w:tc>
        <w:tc>
          <w:tcPr>
            <w:tcW w:type="dxa" w:w="5076"/>
          </w:tcPr>
          <w:p>
            <w:pPr>
              <w:pStyle w:val="null3"/>
              <w:jc w:val="left"/>
            </w:pPr>
            <w:r>
              <w:rPr/>
              <w:t>针对采购需求“五、服务要求”中的清理、清洁相关要求提供的卫生管理进行综合评审： 1.能提供针对本项目的卫生管理方案，得1分；如未能提供，以下评分项及卫生管理方案2均不得分。 2.卫生管理方案能包括食物及环境清洁的流程及注意事项、各项清洁工作的频次及要求的，每提供一项得3分，本小项最高6分，不提供或其他不得分。</w:t>
            </w:r>
          </w:p>
        </w:tc>
      </w:tr>
      <w:tr>
        <w:tc>
          <w:tcPr>
            <w:tcW w:type="dxa" w:w="922"/>
            <w:gridSpan w:val="2"/>
            <w:vMerge/>
          </w:tcPr>
          <w:p/>
        </w:tc>
        <w:tc>
          <w:tcPr>
            <w:tcW w:type="dxa" w:w="2307"/>
          </w:tcPr>
          <w:p>
            <w:pPr>
              <w:pStyle w:val="null3"/>
              <w:jc w:val="left"/>
            </w:pPr>
            <w:r>
              <w:rPr/>
              <w:t>卫生管理方案2 (3.0分)</w:t>
            </w:r>
          </w:p>
        </w:tc>
        <w:tc>
          <w:tcPr>
            <w:tcW w:type="dxa" w:w="5076"/>
          </w:tcPr>
          <w:p>
            <w:pPr>
              <w:pStyle w:val="null3"/>
              <w:jc w:val="left"/>
            </w:pPr>
            <w:r>
              <w:rPr/>
              <w:t>方案内容能优于采购需求的，得3分； 能满足采购需求的，得2分；能部分满足采购需求的，得1分；不能满足采购需求的，不得分。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人员管理方案1 (5.0分)</w:t>
            </w:r>
          </w:p>
        </w:tc>
        <w:tc>
          <w:tcPr>
            <w:tcW w:type="dxa" w:w="5076"/>
          </w:tcPr>
          <w:p>
            <w:pPr>
              <w:pStyle w:val="null3"/>
              <w:jc w:val="left"/>
            </w:pPr>
            <w:r>
              <w:rPr/>
              <w:t>针对采购需求“六、管理要求”（（十六）管理考评办法、设施设备维护相关内容除外）中人员相关要求提供的人员管理方案进行综合评审： 1.能提供针对本项目的人员管理方案，得1分；如未能提供人员管理方案的，以下评分项及人员管理方案2均不得分。 2.人员管理方案能包括运作流程及管理计划、人员配置及人员培训内容的，每提供一项得1分，本小项最高得4分，不提供或其他不得分。</w:t>
            </w:r>
          </w:p>
        </w:tc>
      </w:tr>
      <w:tr>
        <w:tc>
          <w:tcPr>
            <w:tcW w:type="dxa" w:w="922"/>
            <w:gridSpan w:val="2"/>
            <w:vMerge/>
          </w:tcPr>
          <w:p/>
        </w:tc>
        <w:tc>
          <w:tcPr>
            <w:tcW w:type="dxa" w:w="2307"/>
          </w:tcPr>
          <w:p>
            <w:pPr>
              <w:pStyle w:val="null3"/>
              <w:jc w:val="left"/>
            </w:pPr>
            <w:r>
              <w:rPr/>
              <w:t>人员管理方案2 (3.0分)</w:t>
            </w:r>
          </w:p>
        </w:tc>
        <w:tc>
          <w:tcPr>
            <w:tcW w:type="dxa" w:w="5076"/>
          </w:tcPr>
          <w:p>
            <w:pPr>
              <w:pStyle w:val="null3"/>
              <w:jc w:val="left"/>
            </w:pPr>
            <w:r>
              <w:rPr/>
              <w:t>人员管理方案内容能优于采购需求的，得3分；能满足采购需求的，得2分；能部分满足采购需求的，得1分；不能满足采购需求的，不得分。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食品安全管理方案1 (5.0分)</w:t>
            </w:r>
          </w:p>
        </w:tc>
        <w:tc>
          <w:tcPr>
            <w:tcW w:type="dxa" w:w="5076"/>
          </w:tcPr>
          <w:p>
            <w:pPr>
              <w:pStyle w:val="null3"/>
              <w:jc w:val="left"/>
            </w:pPr>
            <w:r>
              <w:rPr/>
              <w:t>针对采购需求“七、食材仓储管理要求” 中采购要求提供的食品安全管理方案进行综合评审： 1.能提供针对本项目的食品安全管理方案，得1分；如未能提供食品安全管理方案的，以下评分项及食品安全管理方案2均不得分。 2.食品安全管理方案能包括食品安全、食品卫生、食品贮存、食品管理的各种食品安全管控制度及措施内容的，每提供一项得1分，本小项最高得4分，不提供或其他不得分。</w:t>
            </w:r>
          </w:p>
        </w:tc>
      </w:tr>
      <w:tr>
        <w:tc>
          <w:tcPr>
            <w:tcW w:type="dxa" w:w="922"/>
            <w:gridSpan w:val="2"/>
            <w:vMerge/>
          </w:tcPr>
          <w:p/>
        </w:tc>
        <w:tc>
          <w:tcPr>
            <w:tcW w:type="dxa" w:w="2307"/>
          </w:tcPr>
          <w:p>
            <w:pPr>
              <w:pStyle w:val="null3"/>
              <w:jc w:val="left"/>
            </w:pPr>
            <w:r>
              <w:rPr/>
              <w:t>食品安全管理方案2 (3.0分)</w:t>
            </w:r>
          </w:p>
        </w:tc>
        <w:tc>
          <w:tcPr>
            <w:tcW w:type="dxa" w:w="5076"/>
          </w:tcPr>
          <w:p>
            <w:pPr>
              <w:pStyle w:val="null3"/>
              <w:jc w:val="left"/>
            </w:pPr>
            <w:r>
              <w:rPr/>
              <w:t>食品安全管理方案内容能优于采购需求的，得3分；能满足采购需求的，得2分；能部分满足采购需求的，得1分；不能满足采购需求的，不得分。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菜式及出品方案1 (5.0分)</w:t>
            </w:r>
          </w:p>
        </w:tc>
        <w:tc>
          <w:tcPr>
            <w:tcW w:type="dxa" w:w="5076"/>
          </w:tcPr>
          <w:p>
            <w:pPr>
              <w:pStyle w:val="null3"/>
              <w:jc w:val="left"/>
            </w:pPr>
            <w:r>
              <w:rPr/>
              <w:t>针对采购需求“八、菜品要求”等相关内容提供的菜式及出品方案进行综合评审： 1.能提供针对本项目的菜式及出品方案，得1分；如未能提供菜式及出品方案的，以下评分项及菜式及出品方案2均不得分。 2.菜式及出品方案能包括菜式说明、材料搭配、营养配比、出品质量把关内容的，每提供一项得1分，本小项最高得4分，不提供或其他不得分。</w:t>
            </w:r>
          </w:p>
        </w:tc>
      </w:tr>
      <w:tr>
        <w:tc>
          <w:tcPr>
            <w:tcW w:type="dxa" w:w="922"/>
            <w:gridSpan w:val="2"/>
            <w:vMerge/>
          </w:tcPr>
          <w:p/>
        </w:tc>
        <w:tc>
          <w:tcPr>
            <w:tcW w:type="dxa" w:w="2307"/>
          </w:tcPr>
          <w:p>
            <w:pPr>
              <w:pStyle w:val="null3"/>
              <w:jc w:val="left"/>
            </w:pPr>
            <w:r>
              <w:rPr/>
              <w:t>菜式及出品方案2 (3.0分)</w:t>
            </w:r>
          </w:p>
        </w:tc>
        <w:tc>
          <w:tcPr>
            <w:tcW w:type="dxa" w:w="5076"/>
          </w:tcPr>
          <w:p>
            <w:pPr>
              <w:pStyle w:val="null3"/>
              <w:jc w:val="left"/>
            </w:pPr>
            <w:r>
              <w:rPr/>
              <w:t>菜式及出品方案内容能优于采购需求的，得3分；能满足采购需求的，得2分；能部分满足采购需求的，得1分；不能满足采购需求的，不得分。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对突发事件的应急服务预案1 (3.0分)</w:t>
            </w:r>
          </w:p>
        </w:tc>
        <w:tc>
          <w:tcPr>
            <w:tcW w:type="dxa" w:w="5076"/>
          </w:tcPr>
          <w:p>
            <w:pPr>
              <w:pStyle w:val="null3"/>
              <w:jc w:val="left"/>
            </w:pPr>
            <w:r>
              <w:rPr/>
              <w:t>针对采购需求“九、应急管理要求”中要求提供的紧急任务特殊情况提供服务预案进行综合评审： 1.能提供针对本项目的对突发事件的应急服务预案，得1分；如未能提供对突发事件的应急服务预案的，以下评分项及对突发事件的应急服务预案2均不得分。 2.对突发事件的应急服务预案能至少包含突发传染性疾病或食物中毒、原材料无法及时到达厨房、临时增加就餐人员、突然停电停水等情形的应急措施方面的，每提供一项得0.5分，本小项最高得2分，不提供或其他不得分。</w:t>
            </w:r>
          </w:p>
        </w:tc>
      </w:tr>
      <w:tr>
        <w:tc>
          <w:tcPr>
            <w:tcW w:type="dxa" w:w="922"/>
            <w:gridSpan w:val="2"/>
            <w:vMerge/>
          </w:tcPr>
          <w:p/>
        </w:tc>
        <w:tc>
          <w:tcPr>
            <w:tcW w:type="dxa" w:w="2307"/>
          </w:tcPr>
          <w:p>
            <w:pPr>
              <w:pStyle w:val="null3"/>
              <w:jc w:val="left"/>
            </w:pPr>
            <w:r>
              <w:rPr/>
              <w:t>对突发事件的应急服务预案2 (3.0分)</w:t>
            </w:r>
          </w:p>
        </w:tc>
        <w:tc>
          <w:tcPr>
            <w:tcW w:type="dxa" w:w="5076"/>
          </w:tcPr>
          <w:p>
            <w:pPr>
              <w:pStyle w:val="null3"/>
              <w:jc w:val="left"/>
            </w:pPr>
            <w:r>
              <w:rPr/>
              <w:t>对突发事件的应急服务预案内容能优于采购需求的，得3分；能满足采购需求的，得2分；能部分满足采购需求的，得1分；不能满足采购需求的，不得分。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设施设备维护及勤俭节约措施1 (2.0分)</w:t>
            </w:r>
          </w:p>
        </w:tc>
        <w:tc>
          <w:tcPr>
            <w:tcW w:type="dxa" w:w="5076"/>
          </w:tcPr>
          <w:p>
            <w:pPr>
              <w:pStyle w:val="null3"/>
              <w:jc w:val="left"/>
            </w:pPr>
            <w:r>
              <w:rPr/>
              <w:t>针对采购需求“十四、设施设备维护及勤俭节约措施要求”相关要求提供的设施设备维护及勤俭节约措施进行综合评审： 1.能提供针对本项目的设施设备维护及勤俭节约措施，得1分；如未能提供设施设备维护及勤俭节约措施的，以下评分项及设施设备维护及勤俭节约措施2均不得分。 2.设施设备维护及勤俭节约措施能包括食堂设施设备和工器具使用维护制度、食材管控、食材备餐内容，均能提供得1分，不提供或其他不得分。</w:t>
            </w:r>
          </w:p>
        </w:tc>
      </w:tr>
      <w:tr>
        <w:tc>
          <w:tcPr>
            <w:tcW w:type="dxa" w:w="922"/>
            <w:gridSpan w:val="2"/>
            <w:vMerge/>
          </w:tcPr>
          <w:p/>
        </w:tc>
        <w:tc>
          <w:tcPr>
            <w:tcW w:type="dxa" w:w="2307"/>
          </w:tcPr>
          <w:p>
            <w:pPr>
              <w:pStyle w:val="null3"/>
              <w:jc w:val="left"/>
            </w:pPr>
            <w:r>
              <w:rPr/>
              <w:t>设施设备维护及勤俭节约措施2 (3.0分)</w:t>
            </w:r>
          </w:p>
        </w:tc>
        <w:tc>
          <w:tcPr>
            <w:tcW w:type="dxa" w:w="5076"/>
          </w:tcPr>
          <w:p>
            <w:pPr>
              <w:pStyle w:val="null3"/>
              <w:jc w:val="left"/>
            </w:pPr>
            <w:r>
              <w:rPr/>
              <w:t>内容能优于采购需求的，得3分；能满足采购需求的，得2分；能部分满足采购需求的，得1分；不能满足采购需求的，不得分。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同类项目经验:【分支机构响应的，总公司（总所）业绩可纳入评审】 (3.0分)</w:t>
            </w:r>
          </w:p>
        </w:tc>
        <w:tc>
          <w:tcPr>
            <w:tcW w:type="dxa" w:w="5076"/>
          </w:tcPr>
          <w:p>
            <w:pPr>
              <w:pStyle w:val="null3"/>
              <w:jc w:val="left"/>
            </w:pPr>
            <w:r>
              <w:rPr/>
              <w:t>自2023年1月1日（以合同签订时间为准）至提交投标文件截止之日，具有食堂承包经营项目经验，每提供一项得1分，最高得3分。 备注： 提交合同关键页扫描件（合同关键页包括：合同封面、服务内容页及双方签章页）。请投标人严格按照要求提交相关证明材料，否则有可能影响评审结果。</w:t>
            </w:r>
          </w:p>
        </w:tc>
      </w:tr>
      <w:tr>
        <w:tc>
          <w:tcPr>
            <w:tcW w:type="dxa" w:w="922"/>
            <w:gridSpan w:val="2"/>
            <w:vMerge/>
          </w:tcPr>
          <w:p/>
        </w:tc>
        <w:tc>
          <w:tcPr>
            <w:tcW w:type="dxa" w:w="2307"/>
          </w:tcPr>
          <w:p>
            <w:pPr>
              <w:pStyle w:val="null3"/>
              <w:jc w:val="left"/>
            </w:pPr>
            <w:r>
              <w:rPr/>
              <w:t>客户评价（依据《投标人业绩情况表》中的评价） (3.0分)</w:t>
            </w:r>
          </w:p>
        </w:tc>
        <w:tc>
          <w:tcPr>
            <w:tcW w:type="dxa" w:w="5076"/>
          </w:tcPr>
          <w:p>
            <w:pPr>
              <w:pStyle w:val="null3"/>
              <w:jc w:val="left"/>
            </w:pPr>
            <w:r>
              <w:rPr/>
              <w:t>每有一项食堂承包经营项目业绩正面评价（优秀、优良、良好、满意或相当于类似评价），得1分。同一项目按一份评价计算，不重复计算分数，此项最高得3分。 注：提供合同甲方或甲方负责同类服务工作主管/分管部门盖章的评价文件或考核验收文件，不提供不得分。</w:t>
            </w:r>
          </w:p>
        </w:tc>
      </w:tr>
      <w:tr>
        <w:tc>
          <w:tcPr>
            <w:tcW w:type="dxa" w:w="922"/>
            <w:gridSpan w:val="2"/>
            <w:vMerge/>
          </w:tcPr>
          <w:p/>
        </w:tc>
        <w:tc>
          <w:tcPr>
            <w:tcW w:type="dxa" w:w="2307"/>
          </w:tcPr>
          <w:p>
            <w:pPr>
              <w:pStyle w:val="null3"/>
              <w:jc w:val="left"/>
            </w:pPr>
            <w:r>
              <w:rPr/>
              <w:t>拟投入服务团队情况 (9.0分)</w:t>
            </w:r>
          </w:p>
        </w:tc>
        <w:tc>
          <w:tcPr>
            <w:tcW w:type="dxa" w:w="5076"/>
          </w:tcPr>
          <w:p>
            <w:pPr>
              <w:pStyle w:val="null3"/>
              <w:jc w:val="left"/>
            </w:pPr>
            <w:r>
              <w:rPr/>
              <w:t>根据投标人拟投入本项目的服务团队成员情况进行评审，本项累计最高得9分： 1.厨师具有2年或以上厨师从业工作经验，并具有烹饪相关专业教育经历，每提供1人得0.5分，最高得5分； 2.面点师具有2年或以上面点师从业工作经验，并具有西点或中式点心相关专业的教育经历，每提供1人得0.5分，最高得4分； 【注：须同时提供①上述服务团队成员清单；②工作经验需提供人员工作履历说明（内容包含该人员从事对应工作内容的起止时间及所负责的工作内容）并加盖投标人公章； ③教育经历需提供相关证明材料（例如毕业/结业证书、培训证明扫描件等）；④在本项目投标截止日之前六个月内任意1个月在投标人参保的投保单或社会保险参保人员缴费证明的扫描件。无或未按要求递交证明材料的不得分。】</w:t>
            </w:r>
          </w:p>
        </w:tc>
      </w:tr>
      <w:tr>
        <w:tc>
          <w:tcPr>
            <w:tcW w:type="dxa" w:w="922"/>
            <w:gridSpan w:val="2"/>
            <w:vMerge/>
          </w:tcPr>
          <w:p/>
        </w:tc>
        <w:tc>
          <w:tcPr>
            <w:tcW w:type="dxa" w:w="2307"/>
          </w:tcPr>
          <w:p>
            <w:pPr>
              <w:pStyle w:val="null3"/>
              <w:jc w:val="left"/>
            </w:pPr>
            <w:r>
              <w:rPr/>
              <w:t>项目经理（1名）资质情况 (2.0分)</w:t>
            </w:r>
          </w:p>
        </w:tc>
        <w:tc>
          <w:tcPr>
            <w:tcW w:type="dxa" w:w="5076"/>
          </w:tcPr>
          <w:p>
            <w:pPr>
              <w:pStyle w:val="null3"/>
              <w:jc w:val="left"/>
            </w:pPr>
            <w:r>
              <w:rPr/>
              <w:t>投标人拟投入本项目的项目经理同时具备以下条件的得2分： 具备大专或以上学历且有3年或以上的餐饮服务项目的管理经验。 注：1.须同时提供以下证明材料：①学历证书；②管理经验需提供餐厅经理的工作履历说明（内容包含该人员从事对应工作内容的起止时间及所负责的工作内容）并加盖投标人公章；管理经验不符合要求的不可得分。 2.提供餐厅经理在投标人服务的外部证明材料：如本项目投标截止日之前6个月以内任意月份在投标人购买社保的证明材料等。 3.未按要求提供不得分。</w:t>
            </w:r>
          </w:p>
        </w:tc>
      </w:tr>
      <w:tr>
        <w:tc>
          <w:tcPr>
            <w:tcW w:type="dxa" w:w="922"/>
            <w:gridSpan w:val="2"/>
            <w:vMerge/>
          </w:tcPr>
          <w:p/>
        </w:tc>
        <w:tc>
          <w:tcPr>
            <w:tcW w:type="dxa" w:w="2307"/>
          </w:tcPr>
          <w:p>
            <w:pPr>
              <w:pStyle w:val="null3"/>
              <w:jc w:val="left"/>
            </w:pPr>
            <w:r>
              <w:rPr/>
              <w:t>厨师长（3名）资质情况 (3.0分)</w:t>
            </w:r>
          </w:p>
        </w:tc>
        <w:tc>
          <w:tcPr>
            <w:tcW w:type="dxa" w:w="5076"/>
          </w:tcPr>
          <w:p>
            <w:pPr>
              <w:pStyle w:val="null3"/>
              <w:jc w:val="left"/>
            </w:pPr>
            <w:r>
              <w:rPr/>
              <w:t>投标人拟投入本项目的厨师长满足以下条件： 具有5年或以上厨房从业工作经验和烹饪相关的专业教育经历，每提供一名得1分，最高得3分。 注：1.须同时提供以下证明材料：①教育经历需提供相关证明材料，如毕业/结业证书、培训证明扫描件，非烹饪相关的教育经历不得分；②工作经验需提供厨师长的工作履历说明（内容包含该人员从事对应工作内容的起止时间及所负责的工作内容）并加盖投标人公章，非厨房从业经验不可得分。 2.提供相关人员在投标人服务的外部证明材料：如本项目投标截止日之前6个月以内任意月份在投标人购买社保的证明材料等。 3.未按要求提供不得分。</w:t>
            </w:r>
          </w:p>
        </w:tc>
      </w:tr>
      <w:tr>
        <w:tc>
          <w:tcPr>
            <w:tcW w:type="dxa" w:w="922"/>
            <w:gridSpan w:val="2"/>
            <w:vMerge/>
          </w:tcPr>
          <w:p/>
        </w:tc>
        <w:tc>
          <w:tcPr>
            <w:tcW w:type="dxa" w:w="2307"/>
          </w:tcPr>
          <w:p>
            <w:pPr>
              <w:pStyle w:val="null3"/>
              <w:jc w:val="left"/>
            </w:pPr>
            <w:r>
              <w:rPr/>
              <w:t>营养技师（3名）资质情况 (3.0分)</w:t>
            </w:r>
          </w:p>
        </w:tc>
        <w:tc>
          <w:tcPr>
            <w:tcW w:type="dxa" w:w="5076"/>
          </w:tcPr>
          <w:p>
            <w:pPr>
              <w:pStyle w:val="null3"/>
              <w:jc w:val="left"/>
            </w:pPr>
            <w:r>
              <w:rPr/>
              <w:t>投标人拟投入本项目的营养技师需同时满足以下条件： 具备本科或以上学历，有营养相关的专业教育经历。 每提供一名得1分，最高得3分。 注：1.须同时提供以下证明材料：①学历证书；②教育经历需提供相关证明材料，如毕业证书、培训证明扫描件，非营养相关的教育经历不得分。 2.提供相关人员在投标人服务的外部证明材料：如本项目投标截止日之前6个月以内任意月份在投标人购买社保的证明材料等。 3.未按要求提供不得分。</w:t>
            </w:r>
          </w:p>
        </w:tc>
      </w:tr>
      <w:tr>
        <w:tc>
          <w:tcPr>
            <w:tcW w:type="dxa" w:w="922"/>
            <w:gridSpan w:val="2"/>
            <w:vMerge/>
          </w:tcPr>
          <w:p/>
        </w:tc>
        <w:tc>
          <w:tcPr>
            <w:tcW w:type="dxa" w:w="2307"/>
          </w:tcPr>
          <w:p>
            <w:pPr>
              <w:pStyle w:val="null3"/>
              <w:jc w:val="left"/>
            </w:pPr>
            <w:r>
              <w:rPr/>
              <w:t>项目运营风险责任保障 (3.0分)</w:t>
            </w:r>
          </w:p>
        </w:tc>
        <w:tc>
          <w:tcPr>
            <w:tcW w:type="dxa" w:w="5076"/>
          </w:tcPr>
          <w:p>
            <w:pPr>
              <w:pStyle w:val="null3"/>
              <w:jc w:val="left"/>
            </w:pPr>
            <w:r>
              <w:rPr/>
              <w:t>1.投标人承诺中标后针对本项目购买保额不低于本项目预算金额的食品安全责任险的，得1.5分（需提供加盖投标人公章的承诺函扫描件，格式自拟）；提供的证明文件不符合要求或未提供的，不得分。 2.投标人承诺中标后针对本项目购买保额不低于本项目预算金额的公众责任险的，得1.5分（需提供加盖投标人公章的承诺函扫描件，格式自拟）；提供的证明文件不符合要求或未提供的，不得分。</w:t>
            </w:r>
          </w:p>
        </w:tc>
      </w:tr>
      <w:tr>
        <w:tc>
          <w:tcPr>
            <w:tcW w:type="dxa" w:w="922"/>
            <w:gridSpan w:val="2"/>
            <w:vMerge/>
          </w:tcPr>
          <w:p/>
        </w:tc>
        <w:tc>
          <w:tcPr>
            <w:tcW w:type="dxa" w:w="2307"/>
          </w:tcPr>
          <w:p>
            <w:pPr>
              <w:pStyle w:val="null3"/>
              <w:jc w:val="left"/>
            </w:pPr>
            <w:r>
              <w:rPr/>
              <w:t>在有效期内的质量管理体系、环境管理体系、职业健康安全管理体系认证情况 (6.0分)</w:t>
            </w:r>
          </w:p>
        </w:tc>
        <w:tc>
          <w:tcPr>
            <w:tcW w:type="dxa" w:w="5076"/>
          </w:tcPr>
          <w:p>
            <w:pPr>
              <w:pStyle w:val="null3"/>
              <w:jc w:val="left"/>
            </w:pPr>
            <w:r>
              <w:rPr/>
              <w:t>每具有一项得2分，最高得6分。注：提供认证证书扫描件及在全国认证认可信息公共服务平台查询截图。截至投标截止日，如因投标人（供应商）成立时间不足三个月，导致未能取得相关认证且提供书面说明的，此项可得分。证书处于失效、暂停、撤销状态不得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供应商每一条记录扣1.5分，最高扣3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详见采购公告附件。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440104-2026-02926</w:t>
      </w:r>
    </w:p>
    <w:p>
      <w:pPr>
        <w:pStyle w:val="null3"/>
        <w:jc w:val="center"/>
        <w:outlineLvl w:val="3"/>
      </w:pPr>
      <w:r>
        <w:rPr>
          <w:sz w:val="24"/>
          <w:b/>
        </w:rPr>
        <w:t>采购项目编号：</w:t>
      </w:r>
      <w:r>
        <w:rPr>
          <w:sz w:val="24"/>
          <w:b/>
        </w:rPr>
        <w:t>CZ2026-1139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广州市公安局越秀分局食堂餐饮服务采购项目</w:t>
      </w:r>
      <w:r>
        <w:rPr>
          <w:u w:val="single"/>
        </w:rPr>
        <w:t>”</w:t>
      </w:r>
      <w:r>
        <w:rPr/>
        <w:t>项目的招标[采购项目编号为：</w:t>
      </w:r>
      <w:r>
        <w:rPr>
          <w:u w:val="single"/>
        </w:rPr>
        <w:t>CZ2026-1139</w:t>
      </w:r>
      <w:r>
        <w:rPr/>
        <w:t>]，我方愿参与投标。</w:t>
      </w:r>
    </w:p>
    <w:p>
      <w:pPr>
        <w:pStyle w:val="null3"/>
        <w:ind w:firstLine="480"/>
      </w:pPr>
      <w:r>
        <w:rPr/>
        <w:t>我方确认收到贵方提供的</w:t>
      </w:r>
      <w:r>
        <w:rPr>
          <w:u w:val="single"/>
        </w:rPr>
        <w:t>“</w:t>
      </w:r>
      <w:r>
        <w:rPr>
          <w:u w:val="single"/>
        </w:rPr>
        <w:t>广州市公安局越秀分局食堂餐饮服务采购项目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广州市公安局越秀分局食堂餐饮服务采购项目</w:t>
      </w:r>
      <w:r>
        <w:rPr/>
        <w:t>”项目采购[采购项目编号为</w:t>
      </w:r>
      <w:r>
        <w:rPr/>
        <w:t>CZ2026-1139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广州市公安局越秀分局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广州市公安局越秀分局食堂餐饮服务采购项目</w:t>
      </w:r>
      <w:r>
        <w:rPr/>
        <w:t>招标中获中标（采购项目编号：</w:t>
      </w:r>
      <w:r>
        <w:rPr/>
        <w:t>CZ2026-1139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