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441900018-2026-00390</w:t>
      </w:r>
    </w:p>
    <w:p>
      <w:pPr>
        <w:pStyle w:val="null3"/>
        <w:jc w:val="center"/>
        <w:outlineLvl w:val="3"/>
      </w:pPr>
      <w:r>
        <w:rPr>
          <w:sz w:val="24"/>
          <w:b/>
        </w:rPr>
        <w:t>采购项目编号：</w:t>
      </w:r>
      <w:r>
        <w:rPr>
          <w:sz w:val="24"/>
          <w:b/>
        </w:rPr>
        <w:t>441900018-2026-00390</w:t>
      </w:r>
    </w:p>
    <w:p>
      <w:pPr>
        <w:pStyle w:val="null3"/>
        <w:jc w:val="center"/>
        <w:outlineLvl w:val="3"/>
      </w:pPr>
      <w:r>
        <w:rPr>
          <w:sz w:val="24"/>
          <w:b/>
        </w:rPr>
        <w:t>项目名称：</w:t>
      </w:r>
      <w:r>
        <w:rPr>
          <w:sz w:val="24"/>
          <w:b/>
        </w:rPr>
        <w:t>东莞市常平镇社区卫生服务中心部分检验项目外送采购项目</w:t>
      </w:r>
    </w:p>
    <w:p>
      <w:pPr>
        <w:pStyle w:val="null3"/>
        <w:jc w:val="center"/>
        <w:outlineLvl w:val="3"/>
      </w:pPr>
      <w:r>
        <w:rPr>
          <w:sz w:val="24"/>
          <w:b/>
        </w:rPr>
        <w:t>采购人：</w:t>
      </w:r>
      <w:r>
        <w:rPr>
          <w:sz w:val="24"/>
          <w:b/>
        </w:rPr>
        <w:t>东莞市常平镇社区卫生服务中心</w:t>
      </w:r>
    </w:p>
    <w:p>
      <w:pPr>
        <w:pStyle w:val="null3"/>
        <w:jc w:val="center"/>
        <w:outlineLvl w:val="3"/>
      </w:pPr>
      <w:r>
        <w:rPr>
          <w:sz w:val="24"/>
          <w:b/>
        </w:rPr>
        <w:t>采购代理机构：</w:t>
      </w:r>
      <w:r>
        <w:rPr>
          <w:sz w:val="24"/>
          <w:b/>
        </w:rPr>
        <w:t>和盛咨询（广东）有限公司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和盛咨询（广东）有限公司</w:t>
      </w:r>
      <w:r>
        <w:rPr/>
        <w:t>受</w:t>
      </w:r>
      <w:r>
        <w:rPr/>
        <w:t>东莞市常平镇社区卫生服务中心</w:t>
      </w:r>
      <w:r>
        <w:rPr/>
        <w:t>的委托，采用</w:t>
      </w:r>
      <w:r>
        <w:rPr/>
        <w:t>公开招标</w:t>
      </w:r>
      <w:r>
        <w:rPr/>
        <w:t>方式组织采购</w:t>
      </w:r>
      <w:r>
        <w:rPr/>
        <w:t>东莞市常平镇社区卫生服务中心部分检验项目外送采购项目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东莞市常平镇社区卫生服务中心部分检验项目外送采购项目</w:t>
      </w:r>
    </w:p>
    <w:p>
      <w:pPr>
        <w:pStyle w:val="null3"/>
        <w:ind w:firstLine="480"/>
      </w:pPr>
      <w:r>
        <w:rPr/>
        <w:t>采购计划编号：</w:t>
      </w:r>
      <w:r>
        <w:rPr/>
        <w:t>441900018-2026-00390</w:t>
      </w:r>
    </w:p>
    <w:p>
      <w:pPr>
        <w:pStyle w:val="null3"/>
        <w:ind w:firstLine="480"/>
      </w:pPr>
      <w:r>
        <w:rPr/>
        <w:t>采购项目编号：</w:t>
      </w:r>
      <w:r>
        <w:rPr/>
        <w:t>441900018-2026-00390</w:t>
      </w:r>
    </w:p>
    <w:p>
      <w:pPr>
        <w:pStyle w:val="null3"/>
        <w:ind w:firstLine="480"/>
      </w:pPr>
      <w:r>
        <w:rPr/>
        <w:t>采购方式：</w:t>
      </w:r>
      <w:r>
        <w:rPr/>
        <w:t>公开招标</w:t>
      </w:r>
    </w:p>
    <w:p>
      <w:pPr>
        <w:pStyle w:val="null3"/>
        <w:ind w:firstLine="480"/>
      </w:pPr>
      <w:r>
        <w:rPr/>
        <w:t>预算金额：</w:t>
      </w:r>
      <w:r>
        <w:rPr/>
        <w:t>3,800,000.00</w:t>
      </w:r>
      <w:r>
        <w:rPr/>
        <w:t>元</w:t>
      </w:r>
    </w:p>
    <w:p>
      <w:pPr>
        <w:pStyle w:val="null3"/>
        <w:outlineLvl w:val="3"/>
      </w:pPr>
      <w:r>
        <w:rPr>
          <w:sz w:val="24"/>
          <w:b/>
        </w:rPr>
        <w:t>2.项目内容及需求情况（采购项目技术规格、参数及要求）</w:t>
      </w:r>
    </w:p>
    <w:p>
      <w:pPr>
        <w:pStyle w:val="null3"/>
      </w:pPr>
      <w:r>
        <w:rPr/>
        <w:t>采购包1(东莞市常平镇社区卫生服务中心部分检验项目外送采购项目):</w:t>
      </w:r>
    </w:p>
    <w:p>
      <w:pPr>
        <w:pStyle w:val="null3"/>
      </w:pPr>
      <w:r>
        <w:rPr/>
        <w:t>采购包预算金额：3,800,000.00元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东莞市常平镇社区卫生服务中心部分检验项目外送采购项目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合同履行期限：本合同服务期限为2年，自合同生效之日起计算。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2）有依法缴纳税收和社会保障资金的良好记录：提供投标截止日前6个月内任意1个月依法缴纳税收和社会保障资金的相关材料，或提供《资格条件承诺函》。 如依法免税或不需要缴纳社会保障资金的， 提供相应证明材料。</w:t>
      </w:r>
    </w:p>
    <w:p>
      <w:pPr>
        <w:pStyle w:val="null3"/>
      </w:pPr>
      <w:r>
        <w:rPr/>
        <w:t>3）具有良好的商业信誉和健全的财务会计制度：供应商必须具有良好的商业信誉和健全的财务会计制度（提供2024年度或2025年度财务状况报告，或基本开户行出具的资信证明），或提供《资格条件承诺函》。</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5）参加采购活动前3年内，在经营活动中没有重大违法记录：参照投标函相关承诺格式内容，或提供《资格条件承诺函》。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采购包1（东莞市常平镇社区卫生服务中心部分检验项目外送采购项目）：</w:t>
      </w:r>
      <w:r>
        <w:rPr/>
        <w:t>采购项目整体专门面向中小企业（采购标的对应的中小企业划分标准所属行业：其他未列明行业），中小企业须符合本项目采购标的对应行业的政策划分标准【注：1、供应商须提供《中小企业声明函》；2、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不再提供《中小企业声明函》】。</w:t>
      </w:r>
    </w:p>
    <w:p>
      <w:pPr>
        <w:pStyle w:val="null3"/>
        <w:outlineLvl w:val="3"/>
      </w:pPr>
      <w:r>
        <w:rPr>
          <w:sz w:val="24"/>
          <w:b/>
        </w:rPr>
        <w:t>3.本项目特定的资格要求：</w:t>
      </w:r>
    </w:p>
    <w:p>
      <w:pPr>
        <w:pStyle w:val="null3"/>
      </w:pPr>
      <w:r>
        <w:rPr/>
        <w:t>采购包1（东莞市常平镇社区卫生服务中心部分检验项目外送采购项目）：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东莞市常平镇社区卫生服务中心</w:t>
      </w:r>
    </w:p>
    <w:p>
      <w:pPr>
        <w:pStyle w:val="null3"/>
        <w:ind w:firstLine="480"/>
      </w:pPr>
      <w:r>
        <w:rPr/>
        <w:t xml:space="preserve"> 地址：</w:t>
      </w:r>
      <w:r>
        <w:rPr/>
        <w:t>东莞市常平镇东兴路168号</w:t>
      </w:r>
    </w:p>
    <w:p>
      <w:pPr>
        <w:pStyle w:val="null3"/>
        <w:ind w:firstLine="480"/>
      </w:pPr>
      <w:r>
        <w:rPr/>
        <w:t xml:space="preserve"> 联系方式：</w:t>
      </w:r>
      <w:r>
        <w:rPr/>
        <w:t>0769-81187328</w:t>
      </w:r>
    </w:p>
    <w:p>
      <w:pPr>
        <w:pStyle w:val="null3"/>
        <w:outlineLvl w:val="3"/>
      </w:pPr>
      <w:r>
        <w:rPr>
          <w:sz w:val="24"/>
          <w:b/>
        </w:rPr>
        <w:t xml:space="preserve"> 2.采购代理机构信息</w:t>
      </w:r>
    </w:p>
    <w:p>
      <w:pPr>
        <w:pStyle w:val="null3"/>
        <w:ind w:firstLine="480"/>
      </w:pPr>
      <w:r>
        <w:rPr/>
        <w:t xml:space="preserve"> 名称：</w:t>
      </w:r>
      <w:r>
        <w:rPr/>
        <w:t>和盛咨询（广东）有限公司</w:t>
      </w:r>
    </w:p>
    <w:p>
      <w:pPr>
        <w:pStyle w:val="null3"/>
        <w:ind w:firstLine="480"/>
      </w:pPr>
      <w:r>
        <w:rPr/>
        <w:t xml:space="preserve"> 地址：</w:t>
      </w:r>
      <w:r>
        <w:rPr/>
        <w:t>广东省东莞市南城街道元美东路6号301室</w:t>
      </w:r>
    </w:p>
    <w:p>
      <w:pPr>
        <w:pStyle w:val="null3"/>
        <w:ind w:firstLine="480"/>
      </w:pPr>
      <w:r>
        <w:rPr/>
        <w:t xml:space="preserve"> 联系方式：</w:t>
      </w:r>
      <w:r>
        <w:rPr/>
        <w:t>0769-22019033</w:t>
      </w:r>
    </w:p>
    <w:p>
      <w:pPr>
        <w:pStyle w:val="null3"/>
        <w:outlineLvl w:val="3"/>
      </w:pPr>
      <w:r>
        <w:rPr>
          <w:sz w:val="24"/>
          <w:b/>
        </w:rPr>
        <w:t xml:space="preserve"> 3.项目联系方式</w:t>
      </w:r>
    </w:p>
    <w:p>
      <w:pPr>
        <w:pStyle w:val="null3"/>
        <w:ind w:firstLine="480"/>
      </w:pPr>
      <w:r>
        <w:rPr/>
        <w:t xml:space="preserve"> 项目联系人：</w:t>
      </w:r>
      <w:r>
        <w:rPr/>
        <w:t>刘先生</w:t>
      </w:r>
    </w:p>
    <w:p>
      <w:pPr>
        <w:pStyle w:val="null3"/>
        <w:ind w:firstLine="480"/>
      </w:pPr>
      <w:r>
        <w:rPr/>
        <w:t xml:space="preserve"> 电话：</w:t>
      </w:r>
      <w:r>
        <w:rPr/>
        <w:t>0769-22019033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和盛咨询（广东）有限公司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本项目为东莞市常平镇社区卫生服务中心继续部分检验项目外送采购项目，为更好地满足群众就医需求，拟采购一家检验检测服务单位为采购人提供部分检验项目的检测服务，检测范围详见技术标准与需求。本</w:t>
      </w:r>
      <w:r>
        <w:rPr/>
        <w:t>项目检测</w:t>
      </w:r>
      <w:r>
        <w:rPr/>
        <w:t>价格以《东莞市公立医疗机构基本医疗服务价格》中的规定的单价为标准，服务费用按中标时的折扣率</w:t>
      </w:r>
      <w:r>
        <w:rPr/>
        <w:t>计算</w:t>
      </w:r>
      <w:r>
        <w:rPr/>
        <w:t>。具体项目及数量以实际检验为准。要求供应商在满足基本服务要求及人员要求的基础上，提供结果查询、技术支持、配送送检车辆、售后等服务，服务期为期</w:t>
      </w:r>
      <w:r>
        <w:rPr/>
        <w:t>2年。</w:t>
      </w:r>
    </w:p>
    <w:p>
      <w:pPr>
        <w:pStyle w:val="null3"/>
      </w:pPr>
      <w:r>
        <w:rPr/>
        <w:t>采购包1（东莞市常平镇社区卫生服务中心部分检验项目外送采购项目）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本合同服务期限为2年，自合同生效之日起计算。</w:t>
            </w:r>
          </w:p>
        </w:tc>
      </w:tr>
      <w:tr>
        <w:tc>
          <w:tcPr>
            <w:tcW w:type="dxa" w:w="4153"/>
          </w:tcPr>
          <w:p>
            <w:pPr>
              <w:pStyle w:val="null3"/>
            </w:pPr>
            <w:r>
              <w:rPr/>
              <w:t>标的提供的地点</w:t>
            </w:r>
          </w:p>
        </w:tc>
        <w:tc>
          <w:tcPr>
            <w:tcW w:type="dxa" w:w="4153"/>
          </w:tcPr>
          <w:p>
            <w:pPr>
              <w:pStyle w:val="null3"/>
            </w:pPr>
            <w:r>
              <w:rPr/>
              <w:t>东莞市常平镇。</w:t>
            </w:r>
          </w:p>
        </w:tc>
      </w:tr>
      <w:tr>
        <w:tc>
          <w:tcPr>
            <w:tcW w:type="dxa" w:w="4153"/>
          </w:tcPr>
          <w:p>
            <w:pPr>
              <w:pStyle w:val="null3"/>
            </w:pPr>
            <w:r>
              <w:rPr/>
              <w:t>付款方式</w:t>
            </w:r>
          </w:p>
        </w:tc>
        <w:tc>
          <w:tcPr>
            <w:tcW w:type="dxa" w:w="4153"/>
          </w:tcPr>
          <w:p>
            <w:pPr>
              <w:pStyle w:val="null3"/>
            </w:pPr>
            <w:r>
              <w:rPr/>
              <w:t>1期：支付比例100%,（1）采购人、中标人双方于每月初核对上月检测数量，实际服务费用=每月实际检测项目单价×检测数量×中标折扣率-考核扣罚（如有）；双方确认数据无误后，中标人向采购人提供等额合规的增值税普通发票，采购人在收到中标人提供的发票后30天内发起财政支付申请。 （2）检测单价以《东莞市公立医疗机构基本医疗服务价格》中的规定的单价为标准。如在服务期限内，物价部门调整了检验单价时，应按照物价部门调整的检验单价浮动比例调整结算单价。 （3）本项目服务期两年内最高支付限额为人民币3,800,000.00元。实际结算金额以每月实际检测量及中标折扣率计算，累计不得超过本限额。 （4）本项目资金来源为财政性资金，采购人在规定的付款时间为向相关支付部门提出办理财政支付申请手续的时间（不含政府财政支付部门审核的时间），在规定时间内提出支付申请手续后即视为采购人已经按期支付。如因政策或付款流程影响，拨款未能及时到位，采购人不承担逾期付款的责任，且中标供应商不得以此为由而不履行本合同约定的义务。否则，采购人有权按约定追究中标人的违约责任。 【注：①检测单价以《东莞市公立医疗机构基本医疗服务价格》中的规定的单价为标准。如在服务期限内，物价部门调整了检验单价时，应按照物价部门调整的检验单价浮动比例调整结算单价。②实际服务费用=每月实际检测项目单价×检测数量×中标折扣率-考核扣罚（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1期：按国家以及采购人有关医疗标本送检规定执行，检验检查过程及出具的医学检验结果必须完全符合法律法规规范。</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投标人有效报价范围：折扣率≤70%。</w:t>
            </w:r>
          </w:p>
        </w:tc>
        <w:tc>
          <w:tcPr>
            <w:tcW w:type="dxa" w:w="2076"/>
          </w:tcPr>
          <w:p>
            <w:pPr>
              <w:pStyle w:val="null3"/>
              <w:jc w:val="left"/>
            </w:pPr>
            <w:r>
              <w:rPr/>
              <w:t>报价范围</w:t>
            </w:r>
          </w:p>
        </w:tc>
      </w:tr>
      <w:tr>
        <w:tc>
          <w:tcPr>
            <w:tcW w:type="dxa" w:w="2076"/>
          </w:tcPr>
          <w:p/>
        </w:tc>
        <w:tc>
          <w:tcPr>
            <w:tcW w:type="dxa" w:w="2076"/>
          </w:tcPr>
          <w:p>
            <w:pPr>
              <w:pStyle w:val="null3"/>
              <w:jc w:val="center"/>
            </w:pPr>
            <w:r>
              <w:rPr/>
              <w:t>2</w:t>
            </w:r>
          </w:p>
        </w:tc>
        <w:tc>
          <w:tcPr>
            <w:tcW w:type="dxa" w:w="2076"/>
          </w:tcPr>
          <w:p>
            <w:pPr>
              <w:pStyle w:val="null3"/>
              <w:jc w:val="left"/>
            </w:pPr>
            <w:r>
              <w:rPr/>
              <w:t>（1）报价应包含完成本次招标所有服务内容的费用，包含各种税务费及合同实施过程中的应预见和不可预见费用等完成合同规定责任和义务、达到合同目的的一切费用。 （2）投标人必须对本项目的全部内容进行投标报价，不可有缺漏。 （3）投标报价应为人民币含税全包价，包括：国家规定的所有税费及与项目相关的所有费用。</w:t>
            </w:r>
          </w:p>
        </w:tc>
        <w:tc>
          <w:tcPr>
            <w:tcW w:type="dxa" w:w="2076"/>
          </w:tcPr>
          <w:p>
            <w:pPr>
              <w:pStyle w:val="null3"/>
              <w:jc w:val="left"/>
            </w:pPr>
            <w:r>
              <w:rPr/>
              <w:t>报价要求</w:t>
            </w:r>
          </w:p>
        </w:tc>
      </w:tr>
      <w:tr>
        <w:tc>
          <w:tcPr>
            <w:tcW w:type="dxa" w:w="2076"/>
          </w:tcPr>
          <w:p/>
        </w:tc>
        <w:tc>
          <w:tcPr>
            <w:tcW w:type="dxa" w:w="2076"/>
          </w:tcPr>
          <w:p>
            <w:pPr>
              <w:pStyle w:val="null3"/>
              <w:jc w:val="center"/>
            </w:pPr>
            <w:r>
              <w:rPr/>
              <w:t>3</w:t>
            </w:r>
          </w:p>
        </w:tc>
        <w:tc>
          <w:tcPr>
            <w:tcW w:type="dxa" w:w="2076"/>
          </w:tcPr>
          <w:p>
            <w:pPr>
              <w:pStyle w:val="null3"/>
              <w:jc w:val="left"/>
            </w:pPr>
            <w:r>
              <w:rPr/>
              <w:t>投标人实质响应合同各条款。</w:t>
            </w:r>
          </w:p>
        </w:tc>
        <w:tc>
          <w:tcPr>
            <w:tcW w:type="dxa" w:w="2076"/>
          </w:tcPr>
          <w:p>
            <w:pPr>
              <w:pStyle w:val="null3"/>
              <w:jc w:val="left"/>
            </w:pPr>
            <w:r>
              <w:rPr/>
              <w:t>合同条款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东莞市常平镇社区卫生服务中心部分检验项目外送采购项目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3,800,000.00</w:t>
            </w:r>
          </w:p>
        </w:tc>
        <w:tc>
          <w:tcPr>
            <w:tcW w:type="dxa" w:w="831"/>
          </w:tcPr>
          <w:p>
            <w:pPr>
              <w:pStyle w:val="null3"/>
              <w:jc w:val="right"/>
            </w:pPr>
            <w:r>
              <w:rPr/>
              <w:t>3,800,000.00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东莞市常平镇社区卫生服务中心部分检验项目外送采购项目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一、检验采购清单</w:t>
            </w:r>
          </w:p>
          <w:p>
            <w:pPr>
              <w:pStyle w:val="null3"/>
              <w:ind w:firstLine="440"/>
              <w:jc w:val="left"/>
            </w:pPr>
            <w:r>
              <w:rPr>
                <w:sz w:val="20"/>
              </w:rPr>
              <w:t>检验项目清单详见附件，外送项目包括附件中所列项目。本</w:t>
            </w:r>
            <w:r>
              <w:rPr>
                <w:sz w:val="20"/>
              </w:rPr>
              <w:t>项目检测</w:t>
            </w:r>
            <w:r>
              <w:rPr>
                <w:sz w:val="20"/>
              </w:rPr>
              <w:t>价格以《东莞市公立医疗机构基本医疗服务价格》中的规定的单价为标准，服务费用按中标时的折扣率</w:t>
            </w:r>
            <w:r>
              <w:rPr>
                <w:sz w:val="20"/>
              </w:rPr>
              <w:t>计算</w:t>
            </w:r>
            <w:r>
              <w:rPr>
                <w:sz w:val="20"/>
              </w:rPr>
              <w:t>。具体项目及数量以实际检验为准。</w:t>
            </w:r>
          </w:p>
        </w:tc>
      </w:tr>
      <w:tr>
        <w:tc>
          <w:tcPr>
            <w:tcW w:type="dxa" w:w="2076"/>
          </w:tcPr>
          <w:p/>
        </w:tc>
        <w:tc>
          <w:tcPr>
            <w:tcW w:type="dxa" w:w="415"/>
          </w:tcPr>
          <w:p>
            <w:pPr>
              <w:pStyle w:val="null3"/>
            </w:pPr>
            <w:r>
              <w:rPr/>
              <w:t>2</w:t>
            </w:r>
          </w:p>
        </w:tc>
        <w:tc>
          <w:tcPr>
            <w:tcW w:type="dxa" w:w="5814"/>
          </w:tcPr>
          <w:p>
            <w:pPr>
              <w:pStyle w:val="null3"/>
              <w:jc w:val="left"/>
            </w:pPr>
            <w:r>
              <w:rPr>
                <w:sz w:val="20"/>
                <w:b/>
              </w:rPr>
              <w:t>二、项目要求</w:t>
            </w:r>
          </w:p>
          <w:p>
            <w:pPr>
              <w:pStyle w:val="null3"/>
              <w:ind w:firstLine="440"/>
              <w:jc w:val="left"/>
            </w:pPr>
            <w:r>
              <w:rPr>
                <w:sz w:val="20"/>
              </w:rPr>
              <w:t>(一)服务要求</w:t>
            </w:r>
          </w:p>
          <w:p>
            <w:pPr>
              <w:pStyle w:val="null3"/>
              <w:ind w:firstLine="440"/>
              <w:jc w:val="left"/>
            </w:pPr>
            <w:r>
              <w:rPr>
                <w:sz w:val="20"/>
              </w:rPr>
              <w:t>1、投标人必须配备完善医疗冷链物流系统和信息服务体系，要保证接收、送检标本运输过程的安全，保证标本的质量。</w:t>
            </w:r>
          </w:p>
          <w:p>
            <w:pPr>
              <w:pStyle w:val="null3"/>
              <w:ind w:firstLine="440"/>
              <w:jc w:val="left"/>
            </w:pPr>
            <w:r>
              <w:rPr>
                <w:sz w:val="20"/>
              </w:rPr>
              <w:t>▲2、如采购人设备仪器出现故障，投标人必须帮助采购人完成此类标本的检验，并</w:t>
            </w:r>
            <w:r>
              <w:rPr>
                <w:sz w:val="20"/>
              </w:rPr>
              <w:t>承诺在接收标本后</w:t>
            </w:r>
            <w:r>
              <w:rPr>
                <w:sz w:val="20"/>
              </w:rPr>
              <w:t>2小时内</w:t>
            </w:r>
            <w:r>
              <w:rPr>
                <w:sz w:val="20"/>
              </w:rPr>
              <w:t>向采购人提供急诊检验结果报告单</w:t>
            </w:r>
            <w:r>
              <w:rPr>
                <w:sz w:val="20"/>
              </w:rPr>
              <w:t>（提供单独承诺函并加盖投标人</w:t>
            </w:r>
            <w:r>
              <w:rPr>
                <w:sz w:val="20"/>
              </w:rPr>
              <w:t>公章）</w:t>
            </w:r>
          </w:p>
          <w:p>
            <w:pPr>
              <w:pStyle w:val="null3"/>
              <w:ind w:firstLine="440"/>
              <w:jc w:val="left"/>
            </w:pPr>
            <w:r>
              <w:rPr>
                <w:sz w:val="20"/>
              </w:rPr>
              <w:t>▲3、投标人当天送检的常规检测项目应在当天下午四点前向采购人提供检验结果报告单。</w:t>
            </w:r>
          </w:p>
          <w:p>
            <w:pPr>
              <w:pStyle w:val="null3"/>
              <w:ind w:firstLine="440"/>
              <w:jc w:val="left"/>
            </w:pPr>
            <w:r>
              <w:rPr>
                <w:sz w:val="20"/>
              </w:rPr>
              <w:t>4、投标人提供每周七天的上门接收标本的服务，时间为8：30至17：30。遇特殊标本可机动收取。</w:t>
            </w:r>
          </w:p>
          <w:p>
            <w:pPr>
              <w:pStyle w:val="null3"/>
              <w:ind w:firstLine="440"/>
              <w:jc w:val="left"/>
            </w:pPr>
            <w:r>
              <w:rPr>
                <w:sz w:val="20"/>
              </w:rPr>
              <w:t>5、投标人具有规范标本接收、登记和包装流程，保证标本质量和安全，确保标本顺利交接，方便查核。</w:t>
            </w:r>
          </w:p>
          <w:p>
            <w:pPr>
              <w:pStyle w:val="null3"/>
              <w:ind w:firstLine="440"/>
              <w:jc w:val="left"/>
            </w:pPr>
            <w:r>
              <w:rPr>
                <w:sz w:val="20"/>
              </w:rPr>
              <w:t>6、投标人标本接收人员要通过严格培训，负责标本质量的初检、标识的核对，标本的接收登记及包装储存。</w:t>
            </w:r>
          </w:p>
          <w:p>
            <w:pPr>
              <w:pStyle w:val="null3"/>
              <w:ind w:firstLine="440"/>
              <w:jc w:val="left"/>
            </w:pPr>
            <w:r>
              <w:rPr>
                <w:sz w:val="20"/>
              </w:rPr>
              <w:t>7、投标人必须确保及时接收、送检标本和及时检验。标本不符合检验要求时，应及时通知采购人重新取样。</w:t>
            </w:r>
          </w:p>
          <w:p>
            <w:pPr>
              <w:pStyle w:val="null3"/>
              <w:ind w:firstLine="440"/>
              <w:jc w:val="left"/>
            </w:pPr>
            <w:r>
              <w:rPr>
                <w:sz w:val="20"/>
              </w:rPr>
              <w:t>8、标本在送检过程中出现延迟、遗漏、丢失等情况，投标人应有完善的应急预案予以妥善解决，否则投标人应承担相应责任。</w:t>
            </w:r>
          </w:p>
          <w:p>
            <w:pPr>
              <w:pStyle w:val="null3"/>
              <w:ind w:firstLine="440"/>
              <w:jc w:val="left"/>
            </w:pPr>
            <w:r>
              <w:rPr>
                <w:sz w:val="20"/>
              </w:rPr>
              <w:t>★9、检验报告单必须由具备相应资质的检验人员签发，上级检验师或医师复核。出现因检验结果错误导致采购人医疗纠纷等不良后果，责任由中标人承担。</w:t>
            </w:r>
          </w:p>
          <w:p>
            <w:pPr>
              <w:pStyle w:val="null3"/>
              <w:ind w:firstLine="440"/>
              <w:jc w:val="left"/>
            </w:pPr>
            <w:r>
              <w:rPr>
                <w:sz w:val="20"/>
              </w:rPr>
              <w:t>10、部分特殊检查项目需要的采样器、知情同意书、专用的患者资料登记申请单等由投标人免费提供。</w:t>
            </w:r>
          </w:p>
          <w:p>
            <w:pPr>
              <w:pStyle w:val="null3"/>
              <w:ind w:firstLine="440"/>
              <w:jc w:val="left"/>
            </w:pPr>
            <w:r>
              <w:rPr>
                <w:sz w:val="20"/>
              </w:rPr>
              <w:t>11、投标人应具备临床基因扩增检验实验室技术。</w:t>
            </w:r>
          </w:p>
          <w:p>
            <w:pPr>
              <w:pStyle w:val="null3"/>
              <w:ind w:firstLine="440"/>
              <w:jc w:val="left"/>
            </w:pPr>
            <w:r>
              <w:rPr>
                <w:sz w:val="20"/>
              </w:rPr>
              <w:t>(二)结果查询</w:t>
            </w:r>
          </w:p>
          <w:p>
            <w:pPr>
              <w:pStyle w:val="null3"/>
              <w:ind w:firstLine="440"/>
              <w:jc w:val="left"/>
            </w:pPr>
            <w:r>
              <w:rPr>
                <w:sz w:val="20"/>
              </w:rPr>
              <w:t>▲1、为保证检验结果实时网络传送，实现实验室数据的汇总、储存、传输功能，可以与医院中心LIS和HIS系统对接,需符合国家信息安全有关的规定和要求。</w:t>
            </w:r>
          </w:p>
          <w:p>
            <w:pPr>
              <w:pStyle w:val="null3"/>
              <w:ind w:firstLine="440"/>
              <w:jc w:val="left"/>
            </w:pPr>
            <w:r>
              <w:rPr>
                <w:sz w:val="20"/>
              </w:rPr>
              <w:t>2、提供网上查询服务，以供随时查询进度和结果。</w:t>
            </w:r>
          </w:p>
          <w:p>
            <w:pPr>
              <w:pStyle w:val="null3"/>
              <w:ind w:firstLine="440"/>
              <w:jc w:val="left"/>
            </w:pPr>
            <w:r>
              <w:rPr>
                <w:sz w:val="20"/>
              </w:rPr>
              <w:t>3、提供电话查询服务，危急值专人电话跟进，确保患者检测信息与临床医生的畅通。</w:t>
            </w:r>
          </w:p>
          <w:p>
            <w:pPr>
              <w:pStyle w:val="null3"/>
              <w:ind w:firstLine="440"/>
              <w:jc w:val="left"/>
            </w:pPr>
            <w:r>
              <w:rPr>
                <w:sz w:val="20"/>
              </w:rPr>
              <w:t>4、医务人员可以随时调阅检验结果，投标人须保证病人的资料的准确性和检验结果的及时性，并提供系统使用的必要培训与技术支持。</w:t>
            </w:r>
          </w:p>
          <w:p>
            <w:pPr>
              <w:pStyle w:val="null3"/>
              <w:ind w:firstLine="440"/>
              <w:jc w:val="left"/>
            </w:pPr>
            <w:r>
              <w:rPr>
                <w:sz w:val="20"/>
              </w:rPr>
              <w:t>5、按照检测项目常规报告时间提供检测结果，并能满足招标方急诊项目的优先检测。</w:t>
            </w:r>
          </w:p>
          <w:p>
            <w:pPr>
              <w:pStyle w:val="null3"/>
              <w:ind w:firstLine="440"/>
              <w:jc w:val="left"/>
            </w:pPr>
            <w:r>
              <w:rPr>
                <w:sz w:val="20"/>
              </w:rPr>
              <w:t>(三)技术支持</w:t>
            </w:r>
          </w:p>
          <w:p>
            <w:pPr>
              <w:pStyle w:val="null3"/>
              <w:ind w:firstLine="440"/>
              <w:jc w:val="left"/>
            </w:pPr>
            <w:r>
              <w:rPr>
                <w:sz w:val="20"/>
              </w:rPr>
              <w:t>1、投标人有参加省临床检验中心组织的室间质评，有完整的培训体系。</w:t>
            </w:r>
          </w:p>
          <w:p>
            <w:pPr>
              <w:pStyle w:val="null3"/>
              <w:ind w:firstLine="440"/>
              <w:jc w:val="left"/>
            </w:pPr>
            <w:r>
              <w:rPr>
                <w:sz w:val="20"/>
              </w:rPr>
              <w:t>2、拥有权威机构的技术支撑，能依托权威技术支撑机构，以及同一系统内的三甲医院的资源，协助采购人开展进修培训、协助卫生服务中心开展继续教育、学术交流活动。</w:t>
            </w:r>
          </w:p>
          <w:p>
            <w:pPr>
              <w:pStyle w:val="null3"/>
              <w:ind w:firstLine="440"/>
              <w:jc w:val="left"/>
            </w:pPr>
            <w:r>
              <w:rPr>
                <w:sz w:val="20"/>
              </w:rPr>
              <w:t>3、提供采购人医务工作人员到投标人实验室进修的机会，以提高采购人医务工作人员的专业技能。协助设计、制作相关医学检验宣传资料。能够协助检验科的建设和发展，每年提供检验人员免费进修和ISO15189知识培训工作。</w:t>
            </w:r>
          </w:p>
          <w:p>
            <w:pPr>
              <w:pStyle w:val="null3"/>
              <w:ind w:firstLine="440"/>
              <w:jc w:val="left"/>
            </w:pPr>
            <w:r>
              <w:rPr>
                <w:sz w:val="20"/>
              </w:rPr>
              <w:t>(四)人员要求</w:t>
            </w:r>
          </w:p>
          <w:p>
            <w:pPr>
              <w:pStyle w:val="null3"/>
              <w:ind w:firstLine="440"/>
              <w:jc w:val="left"/>
            </w:pPr>
            <w:r>
              <w:rPr>
                <w:sz w:val="20"/>
              </w:rPr>
              <w:t>投标人所选派本项目的支持人员配备必须能有效的完成所要求的检验项目，提供配备完整的服务团队名单，包括但不限于项目负责人、技术人员等，所提供的项目负责人需具备临床检验高级职称，</w:t>
            </w:r>
            <w:r>
              <w:rPr>
                <w:sz w:val="20"/>
              </w:rPr>
              <w:t>参与</w:t>
            </w:r>
            <w:r>
              <w:rPr>
                <w:sz w:val="20"/>
              </w:rPr>
              <w:t>检验项目</w:t>
            </w:r>
            <w:r>
              <w:rPr>
                <w:sz w:val="20"/>
              </w:rPr>
              <w:t>的</w:t>
            </w:r>
            <w:r>
              <w:rPr>
                <w:sz w:val="20"/>
              </w:rPr>
              <w:t>团队</w:t>
            </w:r>
            <w:r>
              <w:rPr>
                <w:sz w:val="20"/>
              </w:rPr>
              <w:t>技术</w:t>
            </w:r>
            <w:r>
              <w:rPr>
                <w:sz w:val="20"/>
              </w:rPr>
              <w:t>人员需具备医学检验、临床医学资格证等。中标供应商在合同签订前应向采购人提交完整的项目服务人员名单、人员证书情况等进行备案。</w:t>
            </w:r>
          </w:p>
          <w:p>
            <w:pPr>
              <w:pStyle w:val="null3"/>
              <w:ind w:firstLine="440"/>
              <w:jc w:val="left"/>
            </w:pPr>
            <w:r>
              <w:rPr>
                <w:sz w:val="20"/>
              </w:rPr>
              <w:t>(五)车辆要求</w:t>
            </w:r>
          </w:p>
          <w:p>
            <w:pPr>
              <w:pStyle w:val="null3"/>
              <w:ind w:firstLine="440"/>
              <w:jc w:val="left"/>
            </w:pPr>
            <w:r>
              <w:rPr>
                <w:sz w:val="20"/>
              </w:rPr>
              <w:t>配备接收、送检的车辆：车辆必须配备专用车载冰箱或保温箱，冰箱或保温箱必须有相应的温度记录表，同时需具备</w:t>
            </w:r>
            <w:r>
              <w:rPr>
                <w:sz w:val="20"/>
              </w:rPr>
              <w:t>RFID无线射频功能。</w:t>
            </w:r>
          </w:p>
          <w:p>
            <w:pPr>
              <w:pStyle w:val="null3"/>
              <w:ind w:firstLine="440"/>
              <w:jc w:val="left"/>
            </w:pPr>
            <w:r>
              <w:rPr>
                <w:sz w:val="20"/>
              </w:rPr>
              <w:t>(六)提供售后服务</w:t>
            </w:r>
          </w:p>
          <w:p>
            <w:pPr>
              <w:pStyle w:val="null3"/>
              <w:ind w:firstLine="440"/>
              <w:jc w:val="left"/>
            </w:pPr>
            <w:r>
              <w:rPr>
                <w:sz w:val="20"/>
              </w:rPr>
              <w:t>设有客服专线电话，处理相关的日常咨询及售后服务工作。具有完善管理制度和服务流程以保障上门服务及时有效性，并定期选派具有医学检验背景的专业技术人员提供售后服务。</w:t>
            </w:r>
          </w:p>
          <w:p>
            <w:pPr>
              <w:pStyle w:val="null3"/>
              <w:ind w:firstLine="440"/>
              <w:jc w:val="left"/>
            </w:pPr>
            <w:r>
              <w:rPr>
                <w:sz w:val="20"/>
              </w:rPr>
              <w:t>(七）服务期限：</w:t>
            </w:r>
            <w:r>
              <w:rPr>
                <w:sz w:val="20"/>
              </w:rPr>
              <w:t>本合同服务期限为</w:t>
            </w:r>
            <w:r>
              <w:rPr>
                <w:sz w:val="20"/>
              </w:rPr>
              <w:t>2年，自合同生效之日起计算。</w:t>
            </w:r>
          </w:p>
        </w:tc>
      </w:tr>
      <w:tr>
        <w:tc>
          <w:tcPr>
            <w:tcW w:type="dxa" w:w="2076"/>
          </w:tcPr>
          <w:p/>
        </w:tc>
        <w:tc>
          <w:tcPr>
            <w:tcW w:type="dxa" w:w="415"/>
          </w:tcPr>
          <w:p>
            <w:pPr>
              <w:pStyle w:val="null3"/>
            </w:pPr>
            <w:r>
              <w:rPr/>
              <w:t>3</w:t>
            </w:r>
          </w:p>
        </w:tc>
        <w:tc>
          <w:tcPr>
            <w:tcW w:type="dxa" w:w="5814"/>
          </w:tcPr>
          <w:p>
            <w:pPr>
              <w:pStyle w:val="null3"/>
              <w:jc w:val="left"/>
            </w:pPr>
            <w:r>
              <w:rPr>
                <w:sz w:val="20"/>
                <w:b/>
              </w:rPr>
              <w:t>三、委托服务范围</w:t>
            </w:r>
          </w:p>
          <w:tbl>
            <w:tblPr>
              <w:tblInd w:type="dxa" w:w="90"/>
              <w:tblBorders>
                <w:top w:val="none" w:color="000000" w:sz="4"/>
                <w:left w:val="none" w:color="000000" w:sz="4"/>
                <w:bottom w:val="none" w:color="000000" w:sz="4"/>
                <w:right w:val="none" w:color="000000" w:sz="4"/>
                <w:insideH w:val="none"/>
                <w:insideV w:val="none"/>
              </w:tblBorders>
            </w:tblPr>
            <w:tblGrid>
              <w:gridCol w:w="747"/>
              <w:gridCol w:w="757"/>
              <w:gridCol w:w="916"/>
              <w:gridCol w:w="508"/>
              <w:gridCol w:w="488"/>
              <w:gridCol w:w="368"/>
              <w:gridCol w:w="448"/>
              <w:gridCol w:w="508"/>
              <w:gridCol w:w="527"/>
              <w:gridCol w:w="298"/>
            </w:tblGrid>
            <w:tr>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收费代码</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项目名称</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子项名称</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样品类型</w:t>
                  </w:r>
                  <w:r>
                    <w:rPr>
                      <w:sz w:val="20"/>
                      <w:b/>
                    </w:rPr>
                    <w:t>/样品量</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样品采集容器</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三档</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组合三档</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报告周期</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检测方法</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250202007</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地贫筛查三项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红细胞渗透脆性试验</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EDTA抗凝全血2ml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61.9</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比色法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250202018</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葡萄糖</w:t>
                  </w:r>
                  <w:r>
                    <w:rPr>
                      <w:sz w:val="20"/>
                    </w:rPr>
                    <w:t>6－磷酸脱氢酶活性检测</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速率法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250202026-1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血红蛋白电泳</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全自动电泳仪器法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250310008-2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骨代谢三项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降钙素测定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1.5ml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131.4</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250310009-2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甲状旁腺激素测定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250308008</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血清骨钙素测定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250401020-1</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免疫球及补体</w:t>
                  </w:r>
                  <w:r>
                    <w:rPr>
                      <w:sz w:val="20"/>
                    </w:rPr>
                    <w:t>5项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单项补体</w:t>
                  </w:r>
                  <w:r>
                    <w:rPr>
                      <w:sz w:val="20"/>
                    </w:rPr>
                    <w:t>C3测定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免疫比浊法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250401020-1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单项补体</w:t>
                  </w:r>
                  <w:r>
                    <w:rPr>
                      <w:sz w:val="20"/>
                    </w:rPr>
                    <w:t>C4测定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免疫比浊法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250401023-1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免疫球蛋白</w:t>
                  </w:r>
                  <w:r>
                    <w:rPr>
                      <w:sz w:val="20"/>
                    </w:rPr>
                    <w:t>IgM定量测定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免疫比浊法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250401023-1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免疫球蛋白</w:t>
                  </w:r>
                  <w:r>
                    <w:rPr>
                      <w:sz w:val="20"/>
                    </w:rPr>
                    <w:t>IgA定量测定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免疫比浊法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250401023-1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免疫球蛋白</w:t>
                  </w:r>
                  <w:r>
                    <w:rPr>
                      <w:sz w:val="20"/>
                    </w:rPr>
                    <w:t>IgG定量测定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免疫比浊法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250403001-2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甲型肝炎抗体测定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甲型肝炎抗体测定</w:t>
                  </w:r>
                  <w:r>
                    <w:rPr>
                      <w:sz w:val="20"/>
                    </w:rPr>
                    <w:t>IgM</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0.8ml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37.8</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酶联免疫吸附法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250403001-2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甲型肝炎抗体测定</w:t>
                  </w:r>
                  <w:r>
                    <w:rPr>
                      <w:sz w:val="20"/>
                    </w:rPr>
                    <w:t>IgG</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酶联免疫吸附法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250403014-1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丙型肝炎抗体测定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丙型肝炎抗体测定</w:t>
                  </w:r>
                  <w:r>
                    <w:rPr>
                      <w:sz w:val="20"/>
                    </w:rPr>
                    <w:t>(Anti-HCV)(定性)</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0.4ml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酶联免疫吸附法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250403017-1</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戊型肝炎抗体测定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戊型肝炎抗体测定</w:t>
                  </w:r>
                  <w:r>
                    <w:rPr>
                      <w:sz w:val="20"/>
                    </w:rPr>
                    <w:t>IgM</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0.8ml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酶联免疫吸附法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250403017-1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戊型肝炎抗体测定</w:t>
                  </w:r>
                  <w:r>
                    <w:rPr>
                      <w:sz w:val="20"/>
                    </w:rPr>
                    <w:t>IgG</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酶联免疫吸附法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250309003-2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贫血</w:t>
                  </w:r>
                  <w:r>
                    <w:rPr>
                      <w:sz w:val="20"/>
                    </w:rPr>
                    <w:t>4项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叶酸</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229.20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250309004-2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维生素</w:t>
                  </w:r>
                  <w:r>
                    <w:rPr>
                      <w:sz w:val="20"/>
                    </w:rPr>
                    <w:t>B12</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250301008-2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铁蛋白</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250310029</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促红细胞生成素</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250310041-2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C肽测定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C肽测定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40.5</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40.5</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250404011-2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糖类抗原测定</w:t>
                  </w:r>
                  <w:r>
                    <w:rPr>
                      <w:sz w:val="20"/>
                    </w:rPr>
                    <w:t>CA-50</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糖类抗原测定</w:t>
                  </w:r>
                  <w:r>
                    <w:rPr>
                      <w:sz w:val="20"/>
                    </w:rPr>
                    <w:t>CA-50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0.4ml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250402016</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不孕不育</w:t>
                  </w:r>
                  <w:r>
                    <w:rPr>
                      <w:sz w:val="20"/>
                    </w:rPr>
                    <w:t>5项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抗心磷脂抗体</w:t>
                  </w:r>
                  <w:r>
                    <w:rPr>
                      <w:sz w:val="20"/>
                    </w:rPr>
                    <w:t>IgG测定(ACA-IgG)</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182.6</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胶体金法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250402022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抗卵巢抗体</w:t>
                  </w:r>
                  <w:r>
                    <w:rPr>
                      <w:sz w:val="20"/>
                    </w:rPr>
                    <w:t>IgG测定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胶体金法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250402023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抗子宫内膜抗体</w:t>
                  </w:r>
                  <w:r>
                    <w:rPr>
                      <w:sz w:val="20"/>
                    </w:rPr>
                    <w:t>IgG测定(EMAB)</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胶体金法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250402024</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抗精子抗体</w:t>
                  </w:r>
                  <w:r>
                    <w:rPr>
                      <w:sz w:val="20"/>
                    </w:rPr>
                    <w:t>IgG测定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胶体金法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250402054</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抗人绒毛膜促性腺激素抗体</w:t>
                  </w:r>
                  <w:r>
                    <w:rPr>
                      <w:sz w:val="20"/>
                    </w:rPr>
                    <w:t>IgG(AHCGAb)测定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胶体金法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250403020-3</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优生十项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弓形虫抗体测定</w:t>
                  </w:r>
                  <w:r>
                    <w:rPr>
                      <w:sz w:val="20"/>
                    </w:rPr>
                    <w:t>IgG</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3ml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384</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超过</w:t>
                  </w:r>
                  <w:r>
                    <w:rPr>
                      <w:sz w:val="20"/>
                    </w:rPr>
                    <w:t>8项目打8折</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250403020-3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弓形虫抗体测定</w:t>
                  </w:r>
                  <w:r>
                    <w:rPr>
                      <w:sz w:val="20"/>
                    </w:rPr>
                    <w:t>IgM</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250403021-3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风疹病毒抗体测定</w:t>
                  </w:r>
                  <w:r>
                    <w:rPr>
                      <w:sz w:val="20"/>
                    </w:rPr>
                    <w:t>IgG</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250403021-3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风疹病毒抗体测定</w:t>
                  </w:r>
                  <w:r>
                    <w:rPr>
                      <w:sz w:val="20"/>
                    </w:rPr>
                    <w:t>IgM</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巨细胞病毒抗体测定</w:t>
                  </w:r>
                  <w:r>
                    <w:rPr>
                      <w:sz w:val="20"/>
                    </w:rPr>
                    <w:t>IgG</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巨细胞病毒抗体测定</w:t>
                  </w:r>
                  <w:r>
                    <w:rPr>
                      <w:sz w:val="20"/>
                    </w:rPr>
                    <w:t>IgM</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单纯疱疹病毒抗体测定</w:t>
                  </w:r>
                  <w:r>
                    <w:rPr>
                      <w:sz w:val="20"/>
                    </w:rPr>
                    <w:t>Ⅰ型IgG</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单纯疱疹病毒抗体测定</w:t>
                  </w:r>
                  <w:r>
                    <w:rPr>
                      <w:sz w:val="20"/>
                    </w:rPr>
                    <w:t>Ⅰ型IgM</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单纯疱疹病毒抗体测定</w:t>
                  </w:r>
                  <w:r>
                    <w:rPr>
                      <w:sz w:val="20"/>
                    </w:rPr>
                    <w:t>II型IgG</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单纯疱疹病毒抗体测定</w:t>
                  </w:r>
                  <w:r>
                    <w:rPr>
                      <w:sz w:val="20"/>
                    </w:rPr>
                    <w:t>II型IgM</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vMerge/>
                  <w:tcBorders>
                    <w:top w:val="none" w:color="000000" w:sz="4"/>
                    <w:left w:val="single" w:color="000000" w:sz="4"/>
                    <w:bottom w:val="single" w:color="000000" w:sz="4"/>
                    <w:right w:val="single" w:color="000000" w:sz="4"/>
                  </w:tcBorders>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250305018</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肝纤</w:t>
                  </w:r>
                  <w:r>
                    <w:rPr>
                      <w:sz w:val="20"/>
                    </w:rPr>
                    <w:t>4项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Ⅳ型胶原测定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23.9</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172.8</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250305020</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血清层粘连蛋白测定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250305026</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w:t>
                  </w:r>
                  <w:r>
                    <w:rPr>
                      <w:sz w:val="20"/>
                    </w:rPr>
                    <w:t>Ⅲ型前胶原肽(PⅢP)测定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66.2</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250305022-2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血清透明质酸酶测定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250405003</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过敏源筛查三项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食入物变应原筛查</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103.6</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免疫荧光法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吸入物变应原筛查</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免疫荧光法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250405001-2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w:t>
                  </w:r>
                  <w:r>
                    <w:rPr>
                      <w:sz w:val="20"/>
                    </w:rPr>
                    <w:t>IGE测定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250405003</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w:t>
                  </w:r>
                  <w:r>
                    <w:rPr>
                      <w:sz w:val="20"/>
                    </w:rPr>
                    <w:t>21项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食物性过敏原</w:t>
                  </w:r>
                  <w:r>
                    <w:rPr>
                      <w:sz w:val="20"/>
                    </w:rPr>
                    <w:t>IgE抗体10项（B组）（鸡蛋白、牛奶、牛肉、羊肉、虾、蟹、鳕鱼、腰果、芒果、菠萝）</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198.40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免疫印迹法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超过</w:t>
                  </w:r>
                  <w:r>
                    <w:rPr>
                      <w:sz w:val="20"/>
                    </w:rPr>
                    <w:t>8项目打8折</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吸入性过敏原</w:t>
                  </w:r>
                  <w:r>
                    <w:rPr>
                      <w:sz w:val="20"/>
                    </w:rPr>
                    <w:t>IgE抗体10项（B组）（屋尘螨/粉尘螨、猫毛皮屑、狗毛皮屑、矮豚草、桑树、霉菌组合（点青霉/交链孢霉/烟曲霉/分枝孢霉）、树花粉组合（栎树/榆树/梧桐/柳树/杨树）、屋尘、蟑螂、艾蒿）</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免疫印迹法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超过</w:t>
                  </w:r>
                  <w:r>
                    <w:rPr>
                      <w:sz w:val="20"/>
                    </w:rPr>
                    <w:t>8项目打8折</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250405001-2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w:t>
                  </w:r>
                  <w:r>
                    <w:rPr>
                      <w:sz w:val="20"/>
                    </w:rPr>
                    <w:t>IgE检测</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超过</w:t>
                  </w:r>
                  <w:r>
                    <w:rPr>
                      <w:sz w:val="20"/>
                    </w:rPr>
                    <w:t>8项目打8折</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过敏原吸入组</w:t>
                  </w:r>
                  <w:r>
                    <w:rPr>
                      <w:sz w:val="20"/>
                    </w:rPr>
                    <w:t>10项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吸入性过敏原</w:t>
                  </w:r>
                  <w:r>
                    <w:rPr>
                      <w:sz w:val="20"/>
                    </w:rPr>
                    <w:t>IgE抗体10项（B组）</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198.40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198.40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免疫印迹法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超过</w:t>
                  </w:r>
                  <w:r>
                    <w:rPr>
                      <w:sz w:val="20"/>
                    </w:rPr>
                    <w:t>8项目打8折</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250405003</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过敏原食物组</w:t>
                  </w:r>
                  <w:r>
                    <w:rPr>
                      <w:sz w:val="20"/>
                    </w:rPr>
                    <w:t>10项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w:t>
                  </w:r>
                  <w:r>
                    <w:rPr>
                      <w:sz w:val="20"/>
                    </w:rPr>
                    <w:t>10项食物组</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198.40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198.40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免疫印迹法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超过</w:t>
                  </w:r>
                  <w:r>
                    <w:rPr>
                      <w:sz w:val="20"/>
                    </w:rPr>
                    <w:t>8项目打8折</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250310023-2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高血压六项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醛固酮测定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血浆</w:t>
                  </w:r>
                  <w:r>
                    <w:rPr>
                      <w:sz w:val="20"/>
                    </w:rPr>
                    <w:t>1.5ml（采血后及时分离冷冻）</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EDTA-K2抗凝管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醛固酮</w:t>
                  </w:r>
                  <w:r>
                    <w:rPr>
                      <w:sz w:val="20"/>
                    </w:rPr>
                    <w:t>/肾素活性比值</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血浆肾素活性测定（此项为计算值）</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250310027</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血管紧张素</w:t>
                  </w:r>
                  <w:r>
                    <w:rPr>
                      <w:sz w:val="20"/>
                    </w:rPr>
                    <w:t>Ⅰ（4°）测定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250310027</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血管紧张素</w:t>
                  </w:r>
                  <w:r>
                    <w:rPr>
                      <w:sz w:val="20"/>
                    </w:rPr>
                    <w:t>Ⅰ（37°）测定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250310028</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血管紧张素</w:t>
                  </w:r>
                  <w:r>
                    <w:rPr>
                      <w:sz w:val="20"/>
                    </w:rPr>
                    <w:t>Ⅱ测定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250403003-2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乙肝</w:t>
                  </w:r>
                  <w:r>
                    <w:rPr>
                      <w:sz w:val="20"/>
                    </w:rPr>
                    <w:t>DNA定量</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乙型肝炎</w:t>
                  </w:r>
                  <w:r>
                    <w:rPr>
                      <w:sz w:val="20"/>
                    </w:rPr>
                    <w:t>DNA测定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荧光</w:t>
                  </w:r>
                  <w:r>
                    <w:rPr>
                      <w:sz w:val="20"/>
                    </w:rPr>
                    <w:t>PCR法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250403066-4</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HPV分型</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人乳头瘤病毒</w:t>
                  </w:r>
                  <w:r>
                    <w:rPr>
                      <w:sz w:val="20"/>
                    </w:rPr>
                    <w:t>(HPV)核酸检测</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分泌物</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无菌拭子</w:t>
                  </w:r>
                  <w:r>
                    <w:rPr>
                      <w:sz w:val="20"/>
                    </w:rPr>
                    <w:t>/HPV专用采集管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285.3</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285.3</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PCR-反向点杂交法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270800004</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TCT</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液基细胞学检查</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宫颈上皮细胞</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专用采集瓶</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液基薄层细胞制片术</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250403053-1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梅毒螺旋体特异抗体测定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梅毒螺旋体特异抗体测定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28.9</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28.9</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凝集法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250403025-3</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EB病毒四项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EB病毒衣壳抗原IgA抗体</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198.4</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250403025-3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EB病毒衣壳抗原IgM抗体</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250403025-3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EB病毒早期抗原IgA抗体</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250403025-3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EB病毒核抗原IgG抗体</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250304007</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总铁结合力四项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比色法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250304008</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总铁结合力</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计算值</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转铁蛋白饱和度</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计算值</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不饱和铁结合力</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250402005</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ANCA六项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抗中性粒细胞胞浆抗体测定</w:t>
                  </w:r>
                  <w:r>
                    <w:rPr>
                      <w:sz w:val="20"/>
                    </w:rPr>
                    <w:t>(胞质型)/cANCA</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w:t>
                  </w:r>
                  <w:r>
                    <w:rPr>
                      <w:sz w:val="20"/>
                    </w:rPr>
                    <w:t>/黄管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359.7</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间接免疫荧光法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250402005</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抗中性粒细胞胞浆抗体测定</w:t>
                  </w:r>
                  <w:r>
                    <w:rPr>
                      <w:sz w:val="20"/>
                    </w:rPr>
                    <w:t>(核周型)/pANCA</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间接免疫荧光法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250402005-1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抗中性粒细胞胞浆抗体定量</w:t>
                  </w:r>
                  <w:r>
                    <w:rPr>
                      <w:sz w:val="20"/>
                    </w:rPr>
                    <w:t>(蛋白酶3)/PR3-ANCA</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66.2</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250402005-1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抗中性粒细胞胞浆抗体定量</w:t>
                  </w:r>
                  <w:r>
                    <w:rPr>
                      <w:sz w:val="20"/>
                    </w:rPr>
                    <w:t>(髓过氧化物酶)/MPO-ANCA</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66.2</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250402019-3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抗肾小球基底膜抗体定量</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63.7</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250402002-2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抗核抗体</w:t>
                  </w:r>
                  <w:r>
                    <w:rPr>
                      <w:sz w:val="20"/>
                    </w:rPr>
                    <w:t>(ANA)定量</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250203068-4</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人类白细胞抗原</w:t>
                  </w:r>
                  <w:r>
                    <w:rPr>
                      <w:sz w:val="20"/>
                    </w:rPr>
                    <w:t>B27测定(HLA-B27)</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人类白细胞抗原</w:t>
                  </w:r>
                  <w:r>
                    <w:rPr>
                      <w:sz w:val="20"/>
                    </w:rPr>
                    <w:t>B27测定(HLA-B27)</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EDTA抗凝全血2ml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流式细胞仪法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250305005-2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血清总胆汁酸测定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血清总胆汁酸测定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250402047</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w:t>
                  </w:r>
                  <w:r>
                    <w:rPr>
                      <w:sz w:val="20"/>
                    </w:rPr>
                    <w:t>RA33抗体测定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w:t>
                  </w:r>
                  <w:r>
                    <w:rPr>
                      <w:sz w:val="20"/>
                    </w:rPr>
                    <w:t>RA33抗体IgG定量</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70.30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70.30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250306013-1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B型钠尿肽前体（PRO-BNP）测定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N端-B型钠尿肽前体测定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250305017</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α-L-岩藻糖苷酶测定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α-L-岩藻糖苷酶测定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连续监测法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250310039-2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血清胰岛素测定</w:t>
                  </w:r>
                  <w:r>
                    <w:rPr>
                      <w:sz w:val="20"/>
                    </w:rPr>
                    <w:t>-化学发光法</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血清胰岛素测定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0.6ml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250310029</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贫血套餐</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促红细胞生成素测定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1.5ml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72.00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127.4</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250304007</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Ferene法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250304008</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总铁结合力</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Ferene法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250301008-2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血清铁蛋白测定</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250402002-2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风湿三项（</w:t>
                  </w:r>
                  <w:r>
                    <w:rPr>
                      <w:sz w:val="20"/>
                    </w:rPr>
                    <w:t>ANA、CCP、AKA）</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抗核抗体测定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223.4</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250402041-2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抗环瓜氨酸肽抗体</w:t>
                  </w:r>
                  <w:r>
                    <w:rPr>
                      <w:sz w:val="20"/>
                    </w:rPr>
                    <w:t>(抗CCP抗体)测定</w:t>
                  </w:r>
                </w:p>
              </w:tc>
              <w:tc>
                <w:tcPr>
                  <w:tcW w:type="dxa" w:w="508"/>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107.60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250402038</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抗角蛋白抗体</w:t>
                  </w:r>
                  <w:r>
                    <w:rPr>
                      <w:sz w:val="20"/>
                    </w:rPr>
                    <w:t>(AKA)测定</w:t>
                  </w:r>
                </w:p>
              </w:tc>
              <w:tc>
                <w:tcPr>
                  <w:tcW w:type="dxa" w:w="508"/>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66.20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间接免疫荧光法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250401014-2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白介素</w:t>
                  </w:r>
                  <w:r>
                    <w:rPr>
                      <w:sz w:val="20"/>
                    </w:rPr>
                    <w:t>6+SAA</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白细胞介素</w:t>
                  </w:r>
                  <w:r>
                    <w:rPr>
                      <w:sz w:val="20"/>
                    </w:rPr>
                    <w:t>-6测定</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66.20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115.8</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250301019</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淀粉样蛋白</w:t>
                  </w:r>
                </w:p>
              </w:tc>
              <w:tc>
                <w:tcPr>
                  <w:tcW w:type="dxa" w:w="508"/>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/红管/紫管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荧光免疫层析法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250403004-1</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乙肝两对半定性</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HBsAg</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250403005-1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HBsAb</w:t>
                  </w:r>
                </w:p>
              </w:tc>
              <w:tc>
                <w:tcPr>
                  <w:tcW w:type="dxa" w:w="508"/>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250403006-1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HBeAg</w:t>
                  </w:r>
                </w:p>
              </w:tc>
              <w:tc>
                <w:tcPr>
                  <w:tcW w:type="dxa" w:w="508"/>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250403007-1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HBe-Ab</w:t>
                  </w:r>
                </w:p>
              </w:tc>
              <w:tc>
                <w:tcPr>
                  <w:tcW w:type="dxa" w:w="508"/>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250403009-1</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HBc-Ab</w:t>
                  </w:r>
                </w:p>
              </w:tc>
              <w:tc>
                <w:tcPr>
                  <w:tcW w:type="dxa" w:w="508"/>
                  <w:vMerge/>
                  <w:tcBorders>
                    <w:top w:val="none" w:color="000000" w:sz="4"/>
                    <w:left w:val="single" w:color="000000" w:sz="4"/>
                    <w:bottom w:val="single" w:color="000000" w:sz="4"/>
                    <w:right w:val="single" w:color="000000" w:sz="4"/>
                  </w:tcBorders>
                </w:tcP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250403019-1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人免疫缺陷病毒抗体测定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人免疫缺陷病毒抗体测定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酶联免疫吸附法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250309004-2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血清维生素</w:t>
                  </w:r>
                  <w:r>
                    <w:rPr>
                      <w:sz w:val="20"/>
                    </w:rPr>
                    <w:t>B12测定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血清维生素</w:t>
                  </w:r>
                  <w:r>
                    <w:rPr>
                      <w:sz w:val="20"/>
                    </w:rPr>
                    <w:t>B12测定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250403050-2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肺炎支原体</w:t>
                  </w:r>
                  <w:r>
                    <w:rPr>
                      <w:sz w:val="20"/>
                    </w:rPr>
                    <w:t>IgM抗体（化学发光法）</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肺炎支原体</w:t>
                  </w:r>
                  <w:r>
                    <w:rPr>
                      <w:sz w:val="20"/>
                    </w:rPr>
                    <w:t>IgM抗体（化学发光法）</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0.6ml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66.20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66.20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250403076</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肺炎衣原体</w:t>
                  </w:r>
                  <w:r>
                    <w:rPr>
                      <w:sz w:val="20"/>
                    </w:rPr>
                    <w:t>IgM抗体（化学发光法）</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肺炎衣原体</w:t>
                  </w:r>
                  <w:r>
                    <w:rPr>
                      <w:sz w:val="20"/>
                    </w:rPr>
                    <w:t>IgM抗体（化学发光法）</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0.6ml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53.80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53.80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250403020-3</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优生五项</w:t>
                  </w:r>
                  <w:r>
                    <w:rPr>
                      <w:sz w:val="20"/>
                    </w:rPr>
                    <w:t>IgM（化学发光法）</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弓形体抗体测定</w:t>
                  </w:r>
                  <w:r>
                    <w:rPr>
                      <w:sz w:val="20"/>
                    </w:rPr>
                    <w:t>-IgM(化学发光法）</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240.00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250403021-3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风疹病毒抗体测定</w:t>
                  </w:r>
                  <w:r>
                    <w:rPr>
                      <w:sz w:val="20"/>
                    </w:rPr>
                    <w:t>-IgM(化学发光法）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巨细胞病毒抗体测定</w:t>
                  </w:r>
                  <w:r>
                    <w:rPr>
                      <w:sz w:val="20"/>
                    </w:rPr>
                    <w:t>-IgM(化学发光法）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Ⅰ型抗体测定-IgM(化学发光法）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Ⅱ型抗体测定-IgM(化学发光法）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250403020-3</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优生五项</w:t>
                  </w:r>
                  <w:r>
                    <w:rPr>
                      <w:sz w:val="20"/>
                    </w:rPr>
                    <w:t>IgG（化学发光法）</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弓形体抗体测定</w:t>
                  </w:r>
                  <w:r>
                    <w:rPr>
                      <w:sz w:val="20"/>
                    </w:rPr>
                    <w:t>-IgG(化学发光法）</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2ml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240.00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250403021-3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风疹病毒抗体测定</w:t>
                  </w:r>
                  <w:r>
                    <w:rPr>
                      <w:sz w:val="20"/>
                    </w:rPr>
                    <w:t>-IgG(化学发光法）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巨细胞病毒抗体测定</w:t>
                  </w:r>
                  <w:r>
                    <w:rPr>
                      <w:sz w:val="20"/>
                    </w:rPr>
                    <w:t>-IgG(化学发光法）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Ⅰ型抗体测定-IgG(化学发光法）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250403023-2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Ⅱ型抗体测定-IgG(化学发光法）</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250402002-2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抗核抗体二项（定量）</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抗核抗体定量</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99.20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250402006-3</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抗双链</w:t>
                  </w:r>
                  <w:r>
                    <w:rPr>
                      <w:sz w:val="20"/>
                    </w:rPr>
                    <w:t>DNA定量</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49.60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250402003-2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抗核抗体谱（</w:t>
                  </w:r>
                  <w:r>
                    <w:rPr>
                      <w:sz w:val="20"/>
                    </w:rPr>
                    <w:t>ENA）7项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SSA/Ro60kD</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86.80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免疫印迹法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SSA/Ro52kD</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SSB/La</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抗核提取物抗体测定（抗</w:t>
                  </w:r>
                  <w:r>
                    <w:rPr>
                      <w:sz w:val="20"/>
                    </w:rPr>
                    <w:t>JO-1）</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抗核提取物抗体测定（抗</w:t>
                  </w:r>
                  <w:r>
                    <w:rPr>
                      <w:sz w:val="20"/>
                    </w:rPr>
                    <w:t>Scl-70）</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抗核提取物抗体测定（抗</w:t>
                  </w:r>
                  <w:r>
                    <w:rPr>
                      <w:sz w:val="20"/>
                    </w:rPr>
                    <w:t>Sm）</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nRNP/Sm</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250203020-2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凝血五项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凝血酶原时间</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血浆</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1:9枸橼酸钠抗凝蓝管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23.1</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75.3</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仪器法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250203025-2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活化部分凝血活酶时间</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250203035-2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凝血酶时间</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250203030-2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血浆纤维蛋白原</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计算值</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国际标准化比值</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250404012-2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鳞状细胞癌相关抗原测定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鳞状细胞癌相关抗原测定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250404006-2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游离前列腺特异性抗原测定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游离前列腺特异性抗原测定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250311008S</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骨质疏松二项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w:t>
                  </w:r>
                  <w:r>
                    <w:rPr>
                      <w:sz w:val="20"/>
                    </w:rPr>
                    <w:t>Ⅰ型胶原氨基端延长肽检测</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78.00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148.3</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250311007</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β－胶原降解产物测定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70.30</w:t>
                  </w:r>
                </w:p>
              </w:tc>
              <w:tc>
                <w:tcPr>
                  <w:tcW w:type="dxa" w:w="448"/>
                  <w:vMerge/>
                  <w:tcBorders>
                    <w:top w:val="none" w:color="000000" w:sz="4"/>
                    <w:left w:val="single" w:color="000000" w:sz="4"/>
                    <w:bottom w:val="single" w:color="000000" w:sz="4"/>
                    <w:right w:val="single" w:color="000000" w:sz="4"/>
                  </w:tcBorders>
                </w:tcP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250304004</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微量元素七项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钙</w:t>
                  </w:r>
                  <w:r>
                    <w:rPr>
                      <w:sz w:val="20"/>
                    </w:rPr>
                    <w:t>Ca</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全血</w:t>
                  </w:r>
                  <w:r>
                    <w:rPr>
                      <w:sz w:val="20"/>
                    </w:rPr>
                    <w:t>2.0ml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微量元素检测专用肝素抗凝绿管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55.80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原子吸收法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250304006</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镁</w:t>
                  </w:r>
                  <w:r>
                    <w:rPr>
                      <w:sz w:val="20"/>
                    </w:rPr>
                    <w:t>Mg</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250304007</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w:t>
                  </w:r>
                  <w:r>
                    <w:rPr>
                      <w:sz w:val="20"/>
                    </w:rPr>
                    <w:t>Fe</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250304013-2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锌</w:t>
                  </w:r>
                  <w:r>
                    <w:rPr>
                      <w:sz w:val="20"/>
                    </w:rPr>
                    <w:t>Zn</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250304013-2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铜</w:t>
                  </w:r>
                  <w:r>
                    <w:rPr>
                      <w:sz w:val="20"/>
                    </w:rPr>
                    <w:t>Cu</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250304009-2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w:t>
                  </w:r>
                  <w:r>
                    <w:rPr>
                      <w:sz w:val="20"/>
                    </w:rPr>
                    <w:t>Pb</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250304013-2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w:t>
                  </w:r>
                  <w:r>
                    <w:rPr>
                      <w:sz w:val="20"/>
                    </w:rPr>
                    <w:t>Cd</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250310064S</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糖尿病自身抗体谱</w:t>
                  </w:r>
                  <w:r>
                    <w:rPr>
                      <w:sz w:val="20"/>
                    </w:rPr>
                    <w:t>5项</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IA</w:t>
                  </w:r>
                </w:p>
                <w:p>
                  <w:pPr>
                    <w:pStyle w:val="null3"/>
                    <w:jc w:val="center"/>
                  </w:pPr>
                  <w:r>
                    <w:rPr>
                      <w:sz w:val="20"/>
                    </w:rPr>
                    <w:t>IC</w:t>
                  </w:r>
                </w:p>
                <w:p>
                  <w:pPr>
                    <w:pStyle w:val="null3"/>
                    <w:jc w:val="center"/>
                  </w:pPr>
                  <w:r>
                    <w:rPr>
                      <w:sz w:val="20"/>
                    </w:rPr>
                    <w:t>GAD</w:t>
                  </w:r>
                </w:p>
                <w:p>
                  <w:pPr>
                    <w:pStyle w:val="null3"/>
                    <w:jc w:val="center"/>
                  </w:pPr>
                  <w:r>
                    <w:rPr>
                      <w:sz w:val="20"/>
                    </w:rPr>
                    <w:t>IA-2</w:t>
                  </w:r>
                </w:p>
                <w:p>
                  <w:pPr>
                    <w:pStyle w:val="null3"/>
                    <w:jc w:val="center"/>
                  </w:pPr>
                  <w:r>
                    <w:rPr>
                      <w:sz w:val="20"/>
                    </w:rPr>
                    <w:t>ZnT8</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免疫印迹法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250404009-2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神经元特异性烯醇化酶测定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神经元特异性烯醇化酶测定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250404010-4</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细胞角蛋白十九片段测定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细胞角蛋白十九片段测定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250404011-2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72-4测定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72-4测定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250404011-2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50测定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50测定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250404011-2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24-2测定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24-2测定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250404013-2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肿瘤坏死因子</w:t>
                  </w:r>
                  <w:r>
                    <w:rPr>
                      <w:sz w:val="20"/>
                    </w:rPr>
                    <w:t>-α</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肿瘤坏死因子</w:t>
                  </w:r>
                  <w:r>
                    <w:rPr>
                      <w:sz w:val="20"/>
                    </w:rPr>
                    <w:t>-α</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250403089S-1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解脲脲原体</w:t>
                  </w:r>
                  <w:r>
                    <w:rPr>
                      <w:sz w:val="20"/>
                    </w:rPr>
                    <w:t>RNA测定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解脲脲原体</w:t>
                  </w:r>
                  <w:r>
                    <w:rPr>
                      <w:sz w:val="20"/>
                    </w:rPr>
                    <w:t>RNA测定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取长时间＞</w:t>
                  </w:r>
                  <w:r>
                    <w:rPr>
                      <w:sz w:val="20"/>
                    </w:rPr>
                    <w:t>1h不排尿的首段尿2ml或直接取拭子标本至专用管中</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厂家提供专用尿管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核酸恒温扩增法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250403089S-1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沙眼衣原体</w:t>
                  </w:r>
                  <w:r>
                    <w:rPr>
                      <w:sz w:val="20"/>
                    </w:rPr>
                    <w:t>RNA测定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沙眼衣原体</w:t>
                  </w:r>
                  <w:r>
                    <w:rPr>
                      <w:sz w:val="20"/>
                    </w:rPr>
                    <w:t>RNA测定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取长时间＞</w:t>
                  </w:r>
                  <w:r>
                    <w:rPr>
                      <w:sz w:val="20"/>
                    </w:rPr>
                    <w:t>1h不排尿的首段尿2ml或直接取拭子标本至专用管中</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厂家提供专用尿管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核酸恒温扩增法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250403089S-1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淋球菌</w:t>
                  </w:r>
                  <w:r>
                    <w:rPr>
                      <w:sz w:val="20"/>
                    </w:rPr>
                    <w:t>RNA测定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淋球菌</w:t>
                  </w:r>
                  <w:r>
                    <w:rPr>
                      <w:sz w:val="20"/>
                    </w:rPr>
                    <w:t>RNA测定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取长时间＞</w:t>
                  </w:r>
                  <w:r>
                    <w:rPr>
                      <w:sz w:val="20"/>
                    </w:rPr>
                    <w:t>1h不排尿的首段尿2ml或直接取拭子标本至专用管中</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厂家提供专用尿管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核酸恒温扩增法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250403089S-1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生殖支原体</w:t>
                  </w:r>
                  <w:r>
                    <w:rPr>
                      <w:sz w:val="20"/>
                    </w:rPr>
                    <w:t>RNA测定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生殖支原体</w:t>
                  </w:r>
                  <w:r>
                    <w:rPr>
                      <w:sz w:val="20"/>
                    </w:rPr>
                    <w:t>RNA测定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取长时间＞</w:t>
                  </w:r>
                  <w:r>
                    <w:rPr>
                      <w:sz w:val="20"/>
                    </w:rPr>
                    <w:t>1h不排尿的首段尿2ml或直接取拭子标本至专用管中</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厂家提供专用尿管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124.90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核酸恒温扩增法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270300003</w:t>
                  </w:r>
                </w:p>
                <w:p>
                  <w:pPr>
                    <w:pStyle w:val="null3"/>
                    <w:jc w:val="center"/>
                  </w:pPr>
                  <w:r>
                    <w:rPr>
                      <w:sz w:val="20"/>
                    </w:rPr>
                    <w:t>270800005270800006*3</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手术标本检查与诊断（小标本）</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手术标本检查与诊断（小标本）</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组织</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病理标本瓶</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HE染色</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250303013</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血清载脂蛋白</w:t>
                  </w:r>
                  <w:r>
                    <w:rPr>
                      <w:sz w:val="20"/>
                    </w:rPr>
                    <w:t>a测定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血清载脂蛋白</w:t>
                  </w:r>
                  <w:r>
                    <w:rPr>
                      <w:sz w:val="20"/>
                    </w:rPr>
                    <w:t>a测定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免疫比浊法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250301022S</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类胰岛素样生长因子</w:t>
                  </w:r>
                  <w:r>
                    <w:rPr>
                      <w:sz w:val="20"/>
                    </w:rPr>
                    <w:t>1</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类胰岛素样生长因子</w:t>
                  </w:r>
                  <w:r>
                    <w:rPr>
                      <w:sz w:val="20"/>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250310003-2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血清生长激素测定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血清生长激素测定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2504020605-2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性激素结合球蛋白测定</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性激素结合球蛋白测定</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58.50</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58.50</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3个工作日</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250310004-2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性激素激发试验</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血清促卵泡刺激素测定（</w:t>
                  </w:r>
                  <w:r>
                    <w:rPr>
                      <w:sz w:val="20"/>
                    </w:rPr>
                    <w:t>0分钟）</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360.0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250310005-2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血清促黄体生成素测定（</w:t>
                  </w:r>
                  <w:r>
                    <w:rPr>
                      <w:sz w:val="20"/>
                    </w:rPr>
                    <w:t>0分钟）</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250310004-2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血清促卵泡刺激素测定（</w:t>
                  </w:r>
                  <w:r>
                    <w:rPr>
                      <w:sz w:val="20"/>
                    </w:rPr>
                    <w:t>30分钟）</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250310005-2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血清促黄体生成素测定（</w:t>
                  </w:r>
                  <w:r>
                    <w:rPr>
                      <w:sz w:val="20"/>
                    </w:rPr>
                    <w:t>30分钟）</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250310004-2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血清促卵泡刺激素测定（</w:t>
                  </w:r>
                  <w:r>
                    <w:rPr>
                      <w:sz w:val="20"/>
                    </w:rPr>
                    <w:t>60分钟）</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250310005-2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血清促黄体生成素测定（</w:t>
                  </w:r>
                  <w:r>
                    <w:rPr>
                      <w:sz w:val="20"/>
                    </w:rPr>
                    <w:t>60分钟）</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250310004-2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血清促卵泡刺激素测定（</w:t>
                  </w:r>
                  <w:r>
                    <w:rPr>
                      <w:sz w:val="20"/>
                    </w:rPr>
                    <w:t>90分钟）</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1.0ml</w:t>
                  </w:r>
                </w:p>
              </w:tc>
              <w:tc>
                <w:tcPr>
                  <w:tcW w:type="dxa" w:w="4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250310005-2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血清促黄体生成素测定（</w:t>
                  </w:r>
                  <w:r>
                    <w:rPr>
                      <w:sz w:val="20"/>
                    </w:rPr>
                    <w:t>90分钟）</w:t>
                  </w:r>
                </w:p>
              </w:tc>
              <w:tc>
                <w:tcPr>
                  <w:tcW w:type="dxa" w:w="508"/>
                  <w:vMerge/>
                  <w:tcBorders>
                    <w:top w:val="none" w:color="000000" w:sz="4"/>
                    <w:left w:val="single" w:color="000000" w:sz="4"/>
                    <w:bottom w:val="single" w:color="000000" w:sz="4"/>
                    <w:right w:val="single" w:color="000000" w:sz="4"/>
                  </w:tcBorders>
                </w:tcPr>
                <w:p/>
              </w:tc>
              <w:tc>
                <w:tcPr>
                  <w:tcW w:type="dxa" w:w="488"/>
                  <w:vMerge/>
                  <w:tcBorders>
                    <w:top w:val="none" w:color="000000" w:sz="4"/>
                    <w:left w:val="single" w:color="000000" w:sz="4"/>
                    <w:bottom w:val="single" w:color="000000" w:sz="4"/>
                    <w:right w:val="single" w:color="000000" w:sz="4"/>
                  </w:tcBorders>
                </w:tcP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250310003-2</w:t>
                  </w:r>
                </w:p>
              </w:tc>
              <w:tc>
                <w:tcPr>
                  <w:tcW w:type="dxa" w:w="7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生长激素激发试验</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生长激素测定（空腹）</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225.0</w:t>
                  </w:r>
                </w:p>
              </w:tc>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1个工作日</w:t>
                  </w:r>
                </w:p>
              </w:tc>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化学发光法</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生长激素测定（</w:t>
                  </w:r>
                  <w:r>
                    <w:rPr>
                      <w:sz w:val="20"/>
                    </w:rPr>
                    <w:t>30分钟）</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生长激素测定（</w:t>
                  </w:r>
                  <w:r>
                    <w:rPr>
                      <w:sz w:val="20"/>
                    </w:rPr>
                    <w:t>60分钟）</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生长激素测定（</w:t>
                  </w:r>
                  <w:r>
                    <w:rPr>
                      <w:sz w:val="20"/>
                    </w:rPr>
                    <w:t>90分钟）</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250310003-2</w:t>
                  </w:r>
                </w:p>
              </w:tc>
              <w:tc>
                <w:tcPr>
                  <w:tcW w:type="dxa" w:w="757"/>
                  <w:vMerge/>
                  <w:tcBorders>
                    <w:top w:val="none" w:color="000000" w:sz="4"/>
                    <w:left w:val="single" w:color="000000" w:sz="4"/>
                    <w:bottom w:val="single" w:color="000000" w:sz="4"/>
                    <w:right w:val="single" w:color="000000" w:sz="4"/>
                  </w:tcBorders>
                </w:tcP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生长激素测定（</w:t>
                  </w:r>
                  <w:r>
                    <w:rPr>
                      <w:sz w:val="20"/>
                    </w:rPr>
                    <w:t>120分钟）</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w:t>
                  </w:r>
                  <w:r>
                    <w:rPr>
                      <w:sz w:val="20"/>
                    </w:rPr>
                    <w:t>0.5ml</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黄管</w:t>
                  </w:r>
                  <w:r>
                    <w:rPr>
                      <w:sz w:val="20"/>
                    </w:rPr>
                    <w:t>/红管</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45.00</w:t>
                  </w:r>
                </w:p>
              </w:tc>
              <w:tc>
                <w:tcPr>
                  <w:tcW w:type="dxa" w:w="448"/>
                  <w:vMerge/>
                  <w:tcBorders>
                    <w:top w:val="none" w:color="000000" w:sz="4"/>
                    <w:left w:val="single" w:color="000000" w:sz="4"/>
                    <w:bottom w:val="single" w:color="000000" w:sz="4"/>
                    <w:right w:val="single" w:color="000000" w:sz="4"/>
                  </w:tcBorders>
                </w:tcPr>
                <w:p/>
              </w:tc>
              <w:tc>
                <w:tcPr>
                  <w:tcW w:type="dxa" w:w="508"/>
                  <w:vMerge/>
                  <w:tcBorders>
                    <w:top w:val="none" w:color="000000" w:sz="4"/>
                    <w:left w:val="single" w:color="000000" w:sz="4"/>
                    <w:bottom w:val="single" w:color="000000" w:sz="4"/>
                    <w:right w:val="single" w:color="000000" w:sz="4"/>
                  </w:tcBorders>
                </w:tcPr>
                <w:p/>
              </w:tc>
              <w:tc>
                <w:tcPr>
                  <w:tcW w:type="dxa" w:w="527"/>
                  <w:vMerge/>
                  <w:tcBorders>
                    <w:top w:val="none" w:color="000000" w:sz="4"/>
                    <w:left w:val="single" w:color="000000" w:sz="4"/>
                    <w:bottom w:val="single" w:color="000000" w:sz="4"/>
                    <w:right w:val="single" w:color="000000" w:sz="4"/>
                  </w:tcBorders>
                </w:tc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4</w:t>
            </w:r>
          </w:p>
        </w:tc>
        <w:tc>
          <w:tcPr>
            <w:tcW w:type="dxa" w:w="5814"/>
          </w:tcPr>
          <w:p>
            <w:pPr>
              <w:pStyle w:val="null3"/>
              <w:jc w:val="both"/>
            </w:pPr>
            <w:r>
              <w:rPr>
                <w:sz w:val="20"/>
                <w:b/>
              </w:rPr>
              <w:t>四、服务质量月度考核</w:t>
            </w:r>
          </w:p>
          <w:p>
            <w:pPr>
              <w:pStyle w:val="null3"/>
              <w:ind w:firstLine="400"/>
              <w:jc w:val="both"/>
            </w:pPr>
            <w:r>
              <w:rPr>
                <w:sz w:val="20"/>
              </w:rPr>
              <w:t>1.考核流程</w:t>
            </w:r>
          </w:p>
          <w:p>
            <w:pPr>
              <w:pStyle w:val="null3"/>
              <w:ind w:firstLine="400"/>
              <w:jc w:val="both"/>
            </w:pPr>
            <w:r>
              <w:rPr>
                <w:sz w:val="20"/>
              </w:rPr>
              <w:t>（</w:t>
            </w:r>
            <w:r>
              <w:rPr>
                <w:sz w:val="20"/>
              </w:rPr>
              <w:t>1）每月5日前，采购人汇总上月服务质量数据，完成考核评分；</w:t>
            </w:r>
          </w:p>
          <w:p>
            <w:pPr>
              <w:pStyle w:val="null3"/>
              <w:ind w:firstLine="400"/>
              <w:jc w:val="both"/>
            </w:pPr>
            <w:r>
              <w:rPr>
                <w:sz w:val="20"/>
              </w:rPr>
              <w:t>（</w:t>
            </w:r>
            <w:r>
              <w:rPr>
                <w:sz w:val="20"/>
              </w:rPr>
              <w:t>2）每月8日前，将考核结果书面通知中标人；</w:t>
            </w:r>
          </w:p>
          <w:p>
            <w:pPr>
              <w:pStyle w:val="null3"/>
              <w:ind w:firstLine="400"/>
              <w:jc w:val="both"/>
            </w:pPr>
            <w:r>
              <w:rPr>
                <w:sz w:val="20"/>
              </w:rPr>
              <w:t>（</w:t>
            </w:r>
            <w:r>
              <w:rPr>
                <w:sz w:val="20"/>
              </w:rPr>
              <w:t>3）中标人对考核结果有异议的，应在收到通知后3个工作日内提出书面申辩并附证明材料，逾期视为认可；</w:t>
            </w:r>
          </w:p>
          <w:p>
            <w:pPr>
              <w:pStyle w:val="null3"/>
              <w:ind w:firstLine="400"/>
              <w:jc w:val="both"/>
            </w:pPr>
            <w:r>
              <w:rPr>
                <w:sz w:val="20"/>
              </w:rPr>
              <w:t>（</w:t>
            </w:r>
            <w:r>
              <w:rPr>
                <w:sz w:val="20"/>
              </w:rPr>
              <w:t>4）每月15日前，双方确认最终考核结果并签字存档。</w:t>
            </w:r>
          </w:p>
          <w:p>
            <w:pPr>
              <w:pStyle w:val="null3"/>
              <w:ind w:firstLine="402"/>
              <w:jc w:val="both"/>
            </w:pPr>
            <w:r>
              <w:rPr>
                <w:sz w:val="20"/>
              </w:rPr>
              <w:t>2.月度考核评分表</w:t>
            </w:r>
          </w:p>
          <w:tbl>
            <w:tblPr>
              <w:tblBorders>
                <w:top w:val="none" w:color="000000" w:sz="4"/>
                <w:left w:val="none" w:color="000000" w:sz="4"/>
                <w:bottom w:val="none" w:color="000000" w:sz="4"/>
                <w:right w:val="none" w:color="000000" w:sz="4"/>
                <w:insideH w:val="none"/>
                <w:insideV w:val="none"/>
              </w:tblBorders>
            </w:tblPr>
            <w:tblGrid>
              <w:gridCol w:w="572"/>
              <w:gridCol w:w="1110"/>
              <w:gridCol w:w="504"/>
              <w:gridCol w:w="311"/>
              <w:gridCol w:w="1841"/>
              <w:gridCol w:w="790"/>
              <w:gridCol w:w="471"/>
            </w:tblGrid>
            <w:tr>
              <w:tc>
                <w:tcPr>
                  <w:tcW w:type="dxa" w:w="572"/>
                  <w:tcBorders>
                    <w:top w:val="single" w:color="1A568E"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类别</w:t>
                  </w:r>
                </w:p>
                <w:p>
                  <w:pPr>
                    <w:pStyle w:val="null3"/>
                    <w:spacing w:before="15" w:after="15"/>
                    <w:jc w:val="center"/>
                  </w:pPr>
                  <w:r>
                    <w:rPr>
                      <w:sz w:val="20"/>
                      <w:b/>
                    </w:rPr>
                    <w:t>(权重)</w:t>
                  </w:r>
                </w:p>
              </w:tc>
              <w:tc>
                <w:tcPr>
                  <w:tcW w:type="dxa" w:w="1110"/>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考核指标</w:t>
                  </w:r>
                </w:p>
              </w:tc>
              <w:tc>
                <w:tcPr>
                  <w:tcW w:type="dxa" w:w="504"/>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目标值</w:t>
                  </w:r>
                </w:p>
              </w:tc>
              <w:tc>
                <w:tcPr>
                  <w:tcW w:type="dxa" w:w="311"/>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满分</w:t>
                  </w:r>
                </w:p>
              </w:tc>
              <w:tc>
                <w:tcPr>
                  <w:tcW w:type="dxa" w:w="1841"/>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评分标准</w:t>
                  </w:r>
                </w:p>
              </w:tc>
              <w:tc>
                <w:tcPr>
                  <w:tcW w:type="dxa" w:w="790"/>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扣分说明</w:t>
                  </w:r>
                </w:p>
              </w:tc>
              <w:tc>
                <w:tcPr>
                  <w:tcW w:type="dxa" w:w="471"/>
                  <w:tcBorders>
                    <w:top w:val="single" w:color="1A568E" w:sz="4"/>
                    <w:left w:val="single" w:color="999999" w:sz="4"/>
                    <w:bottom w:val="single" w:color="999999"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b/>
                    </w:rPr>
                    <w:t>得分</w:t>
                  </w:r>
                </w:p>
              </w:tc>
            </w:tr>
            <w:tr>
              <w:tc>
                <w:tcPr>
                  <w:tcW w:type="dxa" w:w="572"/>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报告及时率</w:t>
                  </w:r>
                </w:p>
                <w:p>
                  <w:pPr>
                    <w:pStyle w:val="null3"/>
                    <w:spacing w:before="15" w:after="15"/>
                    <w:jc w:val="center"/>
                  </w:pPr>
                  <w:r>
                    <w:rPr>
                      <w:sz w:val="20"/>
                      <w:b/>
                    </w:rPr>
                    <w:t>(25%)</w:t>
                  </w: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常规报告按时出具率</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≥95%</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12</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=12×(实际÷95%)；每月抽查≥20%</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急诊报告按时出具率</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≥98%</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8</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=8×(实际÷98%)</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当天</w:t>
                  </w:r>
                  <w:r>
                    <w:rPr>
                      <w:sz w:val="20"/>
                    </w:rPr>
                    <w:t>16:00前出具率</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=5×(实际÷90%)</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报告准确率</w:t>
                  </w:r>
                </w:p>
                <w:p>
                  <w:pPr>
                    <w:pStyle w:val="null3"/>
                    <w:spacing w:before="15" w:after="15"/>
                    <w:jc w:val="center"/>
                  </w:pPr>
                  <w:r>
                    <w:rPr>
                      <w:sz w:val="20"/>
                      <w:b/>
                    </w:rPr>
                    <w:t>(25%)</w:t>
                  </w: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月度抽查准确率</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≥99.5%</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=15×(实际÷99.5%)；错误1份扣3分</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报告格式规范性</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不规范</w:t>
                  </w:r>
                  <w:r>
                    <w:rPr>
                      <w:sz w:val="20"/>
                    </w:rPr>
                    <w:t>1份扣1分（缺签名/日期/参考范围等）</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每日室内质控执行</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每日在控</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缺</w:t>
                  </w:r>
                  <w:r>
                    <w:rPr>
                      <w:sz w:val="20"/>
                    </w:rPr>
                    <w:t>1天扣2分；失控未纠正该项0分</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标本管理</w:t>
                  </w:r>
                </w:p>
                <w:p>
                  <w:pPr>
                    <w:pStyle w:val="null3"/>
                    <w:spacing w:before="15" w:after="15"/>
                    <w:jc w:val="center"/>
                  </w:pPr>
                  <w:r>
                    <w:rPr>
                      <w:sz w:val="20"/>
                      <w:b/>
                    </w:rPr>
                    <w:t>(15%)</w:t>
                  </w: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标本退回率</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≤2%</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6</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超出部分每</w:t>
                  </w:r>
                  <w:r>
                    <w:rPr>
                      <w:sz w:val="20"/>
                    </w:rPr>
                    <w:t>1%扣0.5分</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运输温度达标率</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异常</w:t>
                  </w:r>
                  <w:r>
                    <w:rPr>
                      <w:sz w:val="20"/>
                    </w:rPr>
                    <w:t>&gt;30分钟扣2分/次；记录缺失扣1分/天</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标本丢失</w:t>
                  </w:r>
                  <w:r>
                    <w:rPr>
                      <w:sz w:val="20"/>
                    </w:rPr>
                    <w:t>/损坏</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0次</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4</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丢失扣</w:t>
                  </w:r>
                  <w:r>
                    <w:rPr>
                      <w:sz w:val="20"/>
                    </w:rPr>
                    <w:t>2分/份；损坏扣1分/份；隐瞒该项0分</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危急值管理</w:t>
                  </w:r>
                </w:p>
                <w:p>
                  <w:pPr>
                    <w:pStyle w:val="null3"/>
                    <w:spacing w:before="15" w:after="15"/>
                    <w:jc w:val="center"/>
                  </w:pPr>
                  <w:r>
                    <w:rPr>
                      <w:sz w:val="20"/>
                      <w:b/>
                    </w:rPr>
                    <w:t>(20%)</w:t>
                  </w: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危急值</w:t>
                  </w:r>
                  <w:r>
                    <w:rPr>
                      <w:sz w:val="20"/>
                    </w:rPr>
                    <w:t>15分钟内通报率</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&lt;100%：95%+得8分；90%+得5分；&lt;90%得0分；漏报该项0分并加扣10分</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危急值记录完整性</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缺</w:t>
                  </w:r>
                  <w:r>
                    <w:rPr>
                      <w:sz w:val="20"/>
                    </w:rPr>
                    <w:t>1份扣1分；关键信息缺失扣1分/项</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危急值</w:t>
                  </w:r>
                  <w:r>
                    <w:rPr>
                      <w:sz w:val="20"/>
                    </w:rPr>
                    <w:t>1h临床确认闭环</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≥95%得3分；&lt;95%得0分</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客户服务</w:t>
                  </w:r>
                </w:p>
                <w:p>
                  <w:pPr>
                    <w:pStyle w:val="null3"/>
                    <w:spacing w:before="15" w:after="15"/>
                    <w:jc w:val="center"/>
                  </w:pPr>
                  <w:r>
                    <w:rPr>
                      <w:sz w:val="20"/>
                      <w:b/>
                    </w:rPr>
                    <w:t>(15%)</w:t>
                  </w: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临床科室满意度</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=5×(实际÷90%)</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投诉</w:t>
                  </w:r>
                  <w:r>
                    <w:rPr>
                      <w:sz w:val="20"/>
                    </w:rPr>
                    <w:t>24h响应、3日办结</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超时响应扣</w:t>
                  </w:r>
                  <w:r>
                    <w:rPr>
                      <w:sz w:val="20"/>
                    </w:rPr>
                    <w:t>2分/次；超时办结扣1分/次；重复投诉扣3分/次</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72"/>
                  <w:vMerge/>
                  <w:tcBorders>
                    <w:top w:val="single" w:color="999999" w:sz="4"/>
                    <w:left w:val="single" w:color="1A568E" w:sz="4"/>
                    <w:bottom w:val="single" w:color="999999" w:sz="4"/>
                    <w:right w:val="single" w:color="999999" w:sz="4"/>
                  </w:tcBorders>
                </w:tcPr>
                <w:p/>
              </w:tc>
              <w:tc>
                <w:tcPr>
                  <w:tcW w:type="dxa" w:w="111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日常沟通配合度</w:t>
                  </w:r>
                </w:p>
              </w:tc>
              <w:tc>
                <w:tcPr>
                  <w:tcW w:type="dxa" w:w="504"/>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及时响应</w:t>
                  </w:r>
                </w:p>
              </w:tc>
              <w:tc>
                <w:tcPr>
                  <w:tcW w:type="dxa" w:w="3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18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主动沟通</w:t>
                  </w:r>
                  <w:r>
                    <w:rPr>
                      <w:sz w:val="20"/>
                    </w:rPr>
                    <w:t>5分；被动3分；推诿延迟扣1-3分/次</w:t>
                  </w:r>
                </w:p>
              </w:tc>
              <w:tc>
                <w:tcPr>
                  <w:tcW w:type="dxa" w:w="79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471"/>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5128"/>
                  <w:gridSpan w:val="6"/>
                  <w:tcBorders>
                    <w:top w:val="single" w:color="999999" w:sz="4"/>
                    <w:left w:val="single" w:color="1A568E" w:sz="4"/>
                    <w:bottom w:val="single" w:color="1A568E" w:sz="4"/>
                    <w:right w:val="single" w:color="999999" w:sz="4"/>
                  </w:tcBorders>
                  <w:shd w:fill="FFFFFF"/>
                  <w:tcMar>
                    <w:top w:type="dxa" w:w="0"/>
                    <w:left w:type="dxa" w:w="105"/>
                    <w:bottom w:type="dxa" w:w="0"/>
                    <w:right w:type="dxa" w:w="105"/>
                  </w:tcMar>
                  <w:vAlign w:val="top"/>
                </w:tcPr>
                <w:p>
                  <w:pPr>
                    <w:pStyle w:val="null3"/>
                    <w:jc w:val="center"/>
                  </w:pPr>
                  <w:r>
                    <w:rPr>
                      <w:sz w:val="20"/>
                      <w:b/>
                    </w:rPr>
                    <w:t>合</w:t>
                  </w:r>
                  <w:r>
                    <w:rPr>
                      <w:sz w:val="20"/>
                      <w:b/>
                    </w:rPr>
                    <w:t xml:space="preserve">  </w:t>
                  </w:r>
                  <w:r>
                    <w:rPr>
                      <w:sz w:val="20"/>
                      <w:b/>
                    </w:rPr>
                    <w:t>计</w:t>
                  </w:r>
                </w:p>
              </w:tc>
              <w:tc>
                <w:tcPr>
                  <w:tcW w:type="dxa" w:w="471"/>
                  <w:tcBorders>
                    <w:top w:val="single" w:color="999999" w:sz="4"/>
                    <w:left w:val="single" w:color="999999" w:sz="4"/>
                    <w:bottom w:val="single" w:color="1A568E" w:sz="4"/>
                    <w:right w:val="single" w:color="1A568E" w:sz="4"/>
                  </w:tcBorders>
                  <w:shd w:fill="FFFFFF"/>
                  <w:tcMar>
                    <w:top w:type="dxa" w:w="0"/>
                    <w:left w:type="dxa" w:w="105"/>
                    <w:bottom w:type="dxa" w:w="0"/>
                    <w:right w:type="dxa" w:w="105"/>
                  </w:tcMar>
                  <w:vAlign w:val="top"/>
                </w:tcPr>
                <w:p>
                  <w:pPr>
                    <w:pStyle w:val="null3"/>
                    <w:spacing w:before="15" w:after="15"/>
                    <w:jc w:val="center"/>
                  </w:pPr>
                </w:p>
              </w:tc>
            </w:tr>
          </w:tbl>
          <w:p>
            <w:pPr>
              <w:pStyle w:val="null3"/>
              <w:jc w:val="both"/>
            </w:pPr>
            <w:r>
              <w:rPr>
                <w:sz w:val="20"/>
              </w:rPr>
              <w:t>3.</w:t>
            </w:r>
            <w:r>
              <w:rPr>
                <w:sz w:val="20"/>
              </w:rPr>
              <w:t>考核结果应用</w:t>
            </w:r>
          </w:p>
          <w:tbl>
            <w:tblPr>
              <w:tblBorders>
                <w:top w:val="none" w:color="000000" w:sz="4"/>
                <w:left w:val="none" w:color="000000" w:sz="4"/>
                <w:bottom w:val="none" w:color="000000" w:sz="4"/>
                <w:right w:val="none" w:color="000000" w:sz="4"/>
                <w:insideH w:val="none"/>
                <w:insideV w:val="none"/>
              </w:tblBorders>
            </w:tblPr>
            <w:tblGrid>
              <w:gridCol w:w="516"/>
              <w:gridCol w:w="741"/>
              <w:gridCol w:w="721"/>
              <w:gridCol w:w="770"/>
              <w:gridCol w:w="1355"/>
              <w:gridCol w:w="1472"/>
            </w:tblGrid>
            <w:tr>
              <w:tc>
                <w:tcPr>
                  <w:tcW w:type="dxa" w:w="516"/>
                  <w:tcBorders>
                    <w:top w:val="single" w:color="1A568E"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等级</w:t>
                  </w:r>
                </w:p>
              </w:tc>
              <w:tc>
                <w:tcPr>
                  <w:tcW w:type="dxa" w:w="741"/>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A（优秀）</w:t>
                  </w:r>
                </w:p>
              </w:tc>
              <w:tc>
                <w:tcPr>
                  <w:tcW w:type="dxa" w:w="721"/>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B（良好）</w:t>
                  </w:r>
                </w:p>
              </w:tc>
              <w:tc>
                <w:tcPr>
                  <w:tcW w:type="dxa" w:w="770"/>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C（合格）</w:t>
                  </w:r>
                </w:p>
              </w:tc>
              <w:tc>
                <w:tcPr>
                  <w:tcW w:type="dxa" w:w="1355"/>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D（不合格）</w:t>
                  </w:r>
                </w:p>
              </w:tc>
              <w:tc>
                <w:tcPr>
                  <w:tcW w:type="dxa" w:w="1472"/>
                  <w:tcBorders>
                    <w:top w:val="single" w:color="1A568E" w:sz="4"/>
                    <w:left w:val="single" w:color="999999" w:sz="4"/>
                    <w:bottom w:val="single" w:color="999999"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b/>
                    </w:rPr>
                    <w:t>E（严重不合格）</w:t>
                  </w:r>
                </w:p>
              </w:tc>
            </w:tr>
            <w:tr>
              <w:tc>
                <w:tcPr>
                  <w:tcW w:type="dxa" w:w="516"/>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得分</w:t>
                  </w:r>
                </w:p>
              </w:tc>
              <w:tc>
                <w:tcPr>
                  <w:tcW w:type="dxa" w:w="74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≥90分</w:t>
                  </w:r>
                </w:p>
              </w:tc>
              <w:tc>
                <w:tcPr>
                  <w:tcW w:type="dxa" w:w="72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80-89分</w:t>
                  </w:r>
                </w:p>
              </w:tc>
              <w:tc>
                <w:tcPr>
                  <w:tcW w:type="dxa" w:w="77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70-79分</w:t>
                  </w:r>
                </w:p>
              </w:tc>
              <w:tc>
                <w:tcPr>
                  <w:tcW w:type="dxa" w:w="1355"/>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60-69分</w:t>
                  </w:r>
                </w:p>
              </w:tc>
              <w:tc>
                <w:tcPr>
                  <w:tcW w:type="dxa" w:w="1472"/>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rPr>
                    <w:t>&lt;60分</w:t>
                  </w:r>
                </w:p>
              </w:tc>
            </w:tr>
            <w:tr>
              <w:tc>
                <w:tcPr>
                  <w:tcW w:type="dxa" w:w="516"/>
                  <w:tcBorders>
                    <w:top w:val="single" w:color="999999" w:sz="4"/>
                    <w:left w:val="single" w:color="1A568E"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结算</w:t>
                  </w:r>
                </w:p>
              </w:tc>
              <w:tc>
                <w:tcPr>
                  <w:tcW w:type="dxa" w:w="741"/>
                  <w:tcBorders>
                    <w:top w:val="single" w:color="999999" w:sz="4"/>
                    <w:left w:val="single" w:color="999999"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100%结算</w:t>
                  </w:r>
                </w:p>
              </w:tc>
              <w:tc>
                <w:tcPr>
                  <w:tcW w:type="dxa" w:w="1491"/>
                  <w:gridSpan w:val="2"/>
                  <w:tcBorders>
                    <w:top w:val="single" w:color="999999" w:sz="4"/>
                    <w:left w:val="single" w:color="999999"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按得分</w:t>
                  </w:r>
                  <w:r>
                    <w:rPr>
                      <w:sz w:val="20"/>
                    </w:rPr>
                    <w:t>%折算</w:t>
                  </w:r>
                </w:p>
              </w:tc>
              <w:tc>
                <w:tcPr>
                  <w:tcW w:type="dxa" w:w="1355"/>
                  <w:tcBorders>
                    <w:top w:val="single" w:color="999999" w:sz="4"/>
                    <w:left w:val="single" w:color="999999"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按得分</w:t>
                  </w:r>
                  <w:r>
                    <w:rPr>
                      <w:sz w:val="20"/>
                    </w:rPr>
                    <w:t>%折算</w:t>
                  </w:r>
                </w:p>
                <w:p>
                  <w:pPr>
                    <w:pStyle w:val="null3"/>
                    <w:spacing w:before="15" w:after="15"/>
                    <w:jc w:val="center"/>
                  </w:pPr>
                  <w:r>
                    <w:rPr>
                      <w:sz w:val="20"/>
                    </w:rPr>
                    <w:t>另扣减</w:t>
                  </w:r>
                  <w:r>
                    <w:rPr>
                      <w:sz w:val="20"/>
                    </w:rPr>
                    <w:t>当月服务费</w:t>
                  </w:r>
                  <w:r>
                    <w:rPr>
                      <w:sz w:val="20"/>
                    </w:rPr>
                    <w:t>5%</w:t>
                  </w:r>
                </w:p>
              </w:tc>
              <w:tc>
                <w:tcPr>
                  <w:tcW w:type="dxa" w:w="1472"/>
                  <w:tcBorders>
                    <w:top w:val="single" w:color="999999" w:sz="4"/>
                    <w:left w:val="single" w:color="999999" w:sz="4"/>
                    <w:bottom w:val="single" w:color="1A568E"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rPr>
                    <w:t>按得分</w:t>
                  </w:r>
                  <w:r>
                    <w:rPr>
                      <w:sz w:val="20"/>
                    </w:rPr>
                    <w:t>%折算</w:t>
                  </w:r>
                </w:p>
                <w:p>
                  <w:pPr>
                    <w:pStyle w:val="null3"/>
                    <w:spacing w:before="15" w:after="15"/>
                    <w:jc w:val="center"/>
                  </w:pPr>
                  <w:r>
                    <w:rPr>
                      <w:sz w:val="20"/>
                    </w:rPr>
                    <w:t>另扣减</w:t>
                  </w:r>
                  <w:r>
                    <w:rPr>
                      <w:sz w:val="20"/>
                    </w:rPr>
                    <w:t>当月服务费</w:t>
                  </w:r>
                  <w:r>
                    <w:rPr>
                      <w:sz w:val="20"/>
                    </w:rPr>
                    <w:t>10%</w:t>
                  </w:r>
                </w:p>
                <w:p>
                  <w:pPr>
                    <w:pStyle w:val="null3"/>
                    <w:spacing w:before="15" w:after="15"/>
                    <w:jc w:val="center"/>
                  </w:pPr>
                  <w:r>
                    <w:rPr>
                      <w:sz w:val="20"/>
                    </w:rPr>
                    <w:t>暂停业务整改</w:t>
                  </w:r>
                </w:p>
              </w:tc>
            </w:tr>
          </w:tbl>
          <w:p>
            <w:pPr>
              <w:pStyle w:val="null3"/>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1.采购代理机构：本项目是指和盛咨询（广东）有限公司，负责整个采购活动的组织，依法负责编制和发布招标文件，对招标文件拥有最终的解释权，不以任何身份出任评标委员会成员。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东莞市常平镇社区卫生服务中心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- 70%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采购机构代理服务收费标准：参照国家计委[计价格[2002]1980号]文和国家发改委[发改价格[2011]534号]文及相关规定的“服务类”收取，采购代理服务收费按差额定率累进法计算，以采购预算作为收费的计算依据。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投标文件递交截止时间后30分钟内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和盛咨询（广东）有限公司</w:t>
      </w:r>
      <w:r>
        <w:rPr/>
        <w:t>代收。具体操作要求详见</w:t>
      </w:r>
      <w:r>
        <w:rPr/>
        <w:t>和盛咨询（广东）有限公司</w:t>
      </w:r>
      <w:r>
        <w:rPr/>
        <w:t>有关指引，递交事宜请自行咨询</w:t>
      </w:r>
      <w:r>
        <w:rPr/>
        <w:t>和盛咨询（广东）有限公司</w:t>
      </w:r>
      <w:r>
        <w:rPr/>
        <w:t>；请各投标人在投标文件递交截止时间前按须知前附表规定的金额递交至</w:t>
      </w:r>
      <w:r>
        <w:rPr/>
        <w:t>和盛咨询（广东）有限公司</w:t>
      </w:r>
      <w:r>
        <w:rPr/>
        <w:t>，到账情况以开标时</w:t>
      </w:r>
      <w:r>
        <w:rPr/>
        <w:t>和盛咨询（广东）有限公司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刘先生</w:t>
      </w:r>
    </w:p>
    <w:p>
      <w:pPr>
        <w:pStyle w:val="null3"/>
        <w:ind w:firstLine="480"/>
      </w:pPr>
      <w:r>
        <w:rPr/>
        <w:t>电话：</w:t>
      </w:r>
      <w:r>
        <w:rPr/>
        <w:t>0769-22019033</w:t>
      </w:r>
    </w:p>
    <w:p>
      <w:pPr>
        <w:pStyle w:val="null3"/>
        <w:ind w:firstLine="480"/>
      </w:pPr>
      <w:r>
        <w:rPr/>
        <w:t>传真：</w:t>
      </w:r>
      <w:r>
        <w:rPr/>
        <w:t>/</w:t>
      </w:r>
    </w:p>
    <w:p>
      <w:pPr>
        <w:pStyle w:val="null3"/>
        <w:ind w:firstLine="480"/>
      </w:pPr>
      <w:r>
        <w:rPr/>
        <w:t>邮箱：</w:t>
      </w:r>
      <w:r>
        <w:rPr/>
        <w:t>hszxcoltd@163.com</w:t>
      </w:r>
    </w:p>
    <w:p>
      <w:pPr>
        <w:pStyle w:val="null3"/>
        <w:ind w:firstLine="480"/>
      </w:pPr>
      <w:r>
        <w:rPr/>
        <w:t>地址：</w:t>
      </w:r>
      <w:r>
        <w:rPr/>
        <w:t>广东省东莞市南城街道元美东路6号301室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常平镇社区卫生服务中心部分检验项目外送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和盛咨询（广东）有限公司</w:t>
      </w:r>
      <w:r>
        <w:rPr/>
        <w:t>统一对外发布。</w:t>
      </w:r>
    </w:p>
    <w:p>
      <w:pPr>
        <w:pStyle w:val="null3"/>
        <w:ind w:firstLine="480"/>
      </w:pPr>
      <w:r>
        <w:rPr/>
        <w:t>（2）对</w:t>
      </w:r>
      <w:r>
        <w:rPr/>
        <w:t>和盛咨询（广东）有限公司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采购包1（东莞市常平镇社区卫生服务中心部分检验项目外送采购项目）：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采购包1（东莞市常平镇社区卫生服务中心部分检验项目外送采购项目）：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项目整体专门面向中小企业（采购标的对应的中小企业划分标准所属行业：其他未列明行业），中小企业须符合本项目采购标的对应行业的政策划分标准【注：1、供应商须提供《中小企业声明函》；2、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不再提供《中小企业声明函》】。</w:t>
            </w:r>
          </w:p>
        </w:tc>
      </w:tr>
    </w:tbl>
    <w:p>
      <w:pPr>
        <w:pStyle w:val="null3"/>
        <w:ind w:firstLine="480"/>
      </w:pPr>
      <w:r>
        <w:rPr/>
        <w:t>表二符合性审查表：</w:t>
      </w:r>
    </w:p>
    <w:p>
      <w:pPr>
        <w:pStyle w:val="null3"/>
      </w:pPr>
      <w:r>
        <w:rPr/>
        <w:t>采购包1（东莞市常平镇社区卫生服务中心部分检验项目外送采购项目）：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投标人投标报价范围在0%-70%</w:t>
            </w:r>
          </w:p>
        </w:tc>
      </w:tr>
      <w:tr>
        <w:tc>
          <w:tcPr>
            <w:tcW w:type="dxa" w:w="890"/>
          </w:tcPr>
          <w:p>
            <w:pPr>
              <w:pStyle w:val="null3"/>
            </w:pPr>
            <w:r>
              <w:rPr/>
              <w:t>2</w:t>
            </w:r>
          </w:p>
        </w:tc>
        <w:tc>
          <w:tcPr>
            <w:tcW w:type="dxa" w:w="3178"/>
          </w:tcPr>
          <w:p>
            <w:pPr>
              <w:pStyle w:val="null3"/>
            </w:pPr>
            <w:r>
              <w:rPr/>
              <w:t>异常低价评审</w:t>
            </w:r>
          </w:p>
        </w:tc>
        <w:tc>
          <w:tcPr>
            <w:tcW w:type="dxa" w:w="4238"/>
          </w:tcPr>
          <w:p>
            <w:pPr>
              <w:pStyle w:val="null3"/>
            </w:pPr>
            <w:r>
              <w:rPr/>
              <w:t>（1）评审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3</w:t>
            </w:r>
          </w:p>
        </w:tc>
        <w:tc>
          <w:tcPr>
            <w:tcW w:type="dxa" w:w="3178"/>
          </w:tcPr>
          <w:p>
            <w:pPr>
              <w:pStyle w:val="null3"/>
            </w:pPr>
            <w:r>
              <w:rPr/>
              <w:t>投标文件制作、签署及盖章</w:t>
            </w:r>
          </w:p>
        </w:tc>
        <w:tc>
          <w:tcPr>
            <w:tcW w:type="dxa" w:w="4238"/>
          </w:tcPr>
          <w:p>
            <w:pPr>
              <w:pStyle w:val="null3"/>
            </w:pPr>
            <w:r>
              <w:rPr/>
              <w:t>投标文件按照采购文件规定的要求制作、签署、盖章。</w:t>
            </w:r>
          </w:p>
        </w:tc>
      </w:tr>
      <w:tr>
        <w:tc>
          <w:tcPr>
            <w:tcW w:type="dxa" w:w="890"/>
          </w:tcPr>
          <w:p>
            <w:pPr>
              <w:pStyle w:val="null3"/>
            </w:pPr>
            <w:r>
              <w:rPr/>
              <w:t>4</w:t>
            </w:r>
          </w:p>
        </w:tc>
        <w:tc>
          <w:tcPr>
            <w:tcW w:type="dxa" w:w="3178"/>
          </w:tcPr>
          <w:p>
            <w:pPr>
              <w:pStyle w:val="null3"/>
            </w:pPr>
            <w:r>
              <w:rPr/>
              <w:t>“★”号条款响应</w:t>
            </w:r>
          </w:p>
        </w:tc>
        <w:tc>
          <w:tcPr>
            <w:tcW w:type="dxa" w:w="4238"/>
          </w:tcPr>
          <w:p>
            <w:pPr>
              <w:pStyle w:val="null3"/>
            </w:pPr>
            <w:r>
              <w:rPr/>
              <w:t>投标文件对招标文件中“★”号条款内容进行实质性响应。</w:t>
            </w:r>
          </w:p>
        </w:tc>
      </w:tr>
      <w:tr>
        <w:tc>
          <w:tcPr>
            <w:tcW w:type="dxa" w:w="890"/>
          </w:tcPr>
          <w:p>
            <w:pPr>
              <w:pStyle w:val="null3"/>
            </w:pPr>
            <w:r>
              <w:rPr/>
              <w:t>5</w:t>
            </w:r>
          </w:p>
        </w:tc>
        <w:tc>
          <w:tcPr>
            <w:tcW w:type="dxa" w:w="3178"/>
          </w:tcPr>
          <w:p>
            <w:pPr>
              <w:pStyle w:val="null3"/>
            </w:pPr>
            <w:r>
              <w:rPr/>
              <w:t>投标有效期及标的提供的时间</w:t>
            </w:r>
          </w:p>
        </w:tc>
        <w:tc>
          <w:tcPr>
            <w:tcW w:type="dxa" w:w="4238"/>
          </w:tcPr>
          <w:p>
            <w:pPr>
              <w:pStyle w:val="null3"/>
            </w:pPr>
            <w:r>
              <w:rPr/>
              <w:t>投标文件响应的投标有效期及标的提供的时间符合采购文件要求。</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投标文件不含有采购人不能接受的附加条件的。</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投标文件没有出现属于法律、法规及采购文件规定的其他无效投标情形。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采购包1(东莞市常平镇社区卫生服务中心部分检验项目外送采购项目):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(6.0分)</w:t>
            </w:r>
          </w:p>
        </w:tc>
        <w:tc>
          <w:tcPr>
            <w:tcW w:type="dxa" w:w="5076"/>
          </w:tcPr>
          <w:p>
            <w:pPr>
              <w:pStyle w:val="null3"/>
              <w:jc w:val="left"/>
            </w:pPr>
            <w:r>
              <w:rPr/>
              <w:t>根据投标人对《采购需求》中的“▲”技术要求条款服务要求全部响应为满足的得6分。其中，带“▲”服务要求不响应或负偏离的每一项扣2分。本项目“▲”条款合计3个。（提供单独承诺函并加盖投标人公章）</w:t>
            </w:r>
          </w:p>
        </w:tc>
      </w:tr>
      <w:tr>
        <w:tc>
          <w:tcPr>
            <w:tcW w:type="dxa" w:w="922"/>
            <w:gridSpan w:val="2"/>
            <w:vMerge/>
          </w:tcPr>
          <w:p/>
        </w:tc>
        <w:tc>
          <w:tcPr>
            <w:tcW w:type="dxa" w:w="2307"/>
          </w:tcPr>
          <w:p>
            <w:pPr>
              <w:pStyle w:val="null3"/>
              <w:jc w:val="left"/>
            </w:pPr>
            <w:r>
              <w:rPr/>
              <w:t>项目总体实施方案 (10.0分)</w:t>
            </w:r>
          </w:p>
        </w:tc>
        <w:tc>
          <w:tcPr>
            <w:tcW w:type="dxa" w:w="5076"/>
          </w:tcPr>
          <w:p>
            <w:pPr>
              <w:pStyle w:val="null3"/>
              <w:jc w:val="left"/>
            </w:pPr>
            <w:r>
              <w:rPr/>
              <w:t>对投标人提供的项目实施方案（每周上门服务次数、咨询服务方案、检验方案、出具检测报告具体时间长短方案等）进行综合评价： （1）项目方案完整，实施方法全面可行，内容科学合理，得10分； （2）项目方案较完整，实施方法较为可行，内容较科学合理，得7分； （3）项目方案基本完整，实施方法基本可行，部分内容基本合理，得4分； （4）项目方案不完整，实施方法不可行，内容不合理，得1分。 （5）未提供方案得0分。</w:t>
            </w:r>
          </w:p>
        </w:tc>
      </w:tr>
      <w:tr>
        <w:tc>
          <w:tcPr>
            <w:tcW w:type="dxa" w:w="922"/>
            <w:gridSpan w:val="2"/>
            <w:vMerge/>
          </w:tcPr>
          <w:p/>
        </w:tc>
        <w:tc>
          <w:tcPr>
            <w:tcW w:type="dxa" w:w="2307"/>
          </w:tcPr>
          <w:p>
            <w:pPr>
              <w:pStyle w:val="null3"/>
              <w:jc w:val="left"/>
            </w:pPr>
            <w:r>
              <w:rPr/>
              <w:t>项目质量保证及应急措施方案 (10.0分)</w:t>
            </w:r>
          </w:p>
        </w:tc>
        <w:tc>
          <w:tcPr>
            <w:tcW w:type="dxa" w:w="5076"/>
          </w:tcPr>
          <w:p>
            <w:pPr>
              <w:pStyle w:val="null3"/>
              <w:jc w:val="left"/>
            </w:pPr>
            <w:r>
              <w:rPr/>
              <w:t>对标本运输保管方案及其保障措施、质量标准及保障措施、异常报告处理流程、采购人对检测报告提出异议后处理机制、提供检验前培训服务方案进行综合评审： （1）项目方案完整，实施方法合理可行，质量保证及应急措施措施详细完善，得10分； （2）项目方案较完整，实施方法较合理可行，质量保证及应急措施措施较详细完善，得7分； （3）项目方案基本完整，实施方法基本可行，质量保证及应急措施措施基本完善，得4分； （4）项目方案不完整，实施方法不可行，质量保证及应急措施措施不完善，得1分。 （5）未提供方案得0分。</w:t>
            </w:r>
          </w:p>
        </w:tc>
      </w:tr>
      <w:tr>
        <w:tc>
          <w:tcPr>
            <w:tcW w:type="dxa" w:w="922"/>
            <w:gridSpan w:val="2"/>
            <w:vMerge/>
          </w:tcPr>
          <w:p/>
        </w:tc>
        <w:tc>
          <w:tcPr>
            <w:tcW w:type="dxa" w:w="2307"/>
          </w:tcPr>
          <w:p>
            <w:pPr>
              <w:pStyle w:val="null3"/>
              <w:jc w:val="left"/>
            </w:pPr>
            <w:r>
              <w:rPr/>
              <w:t>服务优化方案 (10.0分)</w:t>
            </w:r>
          </w:p>
        </w:tc>
        <w:tc>
          <w:tcPr>
            <w:tcW w:type="dxa" w:w="5076"/>
          </w:tcPr>
          <w:p>
            <w:pPr>
              <w:pStyle w:val="null3"/>
              <w:jc w:val="left"/>
            </w:pPr>
            <w:r>
              <w:rPr/>
              <w:t>根据招标文件用户需求书要求，协助采购人实验室进行流程优化、质量提升、技术能力提升，提供给采购人实验室信息系统双向对接提出相应的实施服务方案进行综合评审： （1）服务方案完整，实施方法全面可行，内容详细、切实合理，得10分； （2）服务方案较完整，实施方法较为可行，内容详细、比较合理，得7分； （3）服务方案基本完整，实施方法基本可行，内容详细、基本合理，得4分； （4）服务方案不完整，实施方法不可行，内容不详细、不合理，得1分。 （5）未提供方案得0分。</w:t>
            </w:r>
          </w:p>
        </w:tc>
      </w:tr>
      <w:tr>
        <w:tc>
          <w:tcPr>
            <w:tcW w:type="dxa" w:w="922"/>
            <w:gridSpan w:val="2"/>
            <w:vMerge/>
          </w:tcPr>
          <w:p/>
        </w:tc>
        <w:tc>
          <w:tcPr>
            <w:tcW w:type="dxa" w:w="2307"/>
          </w:tcPr>
          <w:p>
            <w:pPr>
              <w:pStyle w:val="null3"/>
              <w:jc w:val="left"/>
            </w:pPr>
            <w:r>
              <w:rPr/>
              <w:t>拟投入技术人员及设备配备方案 (8.0分)</w:t>
            </w:r>
          </w:p>
        </w:tc>
        <w:tc>
          <w:tcPr>
            <w:tcW w:type="dxa" w:w="5076"/>
          </w:tcPr>
          <w:p>
            <w:pPr>
              <w:pStyle w:val="null3"/>
              <w:jc w:val="left"/>
            </w:pPr>
            <w:r>
              <w:rPr/>
              <w:t>拟投入本项目的技术人员(检验类别)、设备、实验室情况进行综合评价： （1）技术人员配备完整，岗位职责分配明确，能快速完成检验项目；检测设备种类配置齐全，充分满足检测项目以及增加项目的潜在需要；实验室管理方案、实施方法可行，得8分； （2）技术人员配备较为完整，岗位职责分配较明确，基本能完成检验项目；检测设备种类配置较齐全，基本满足检测项目以及增加项目的潜在需要，实验室管理方案、实施方法基本可行，得4分； （3）技术人员配备不够完整，岗位职责分配不明确，不能完成检验项目；检测设备种类配置不齐全，不能满足检测项目以及增加项目的潜在需要；实验室管理方案、实施方法不当，得1分。 （4）未提供方案得0分。 【注：方案应提供项目负责人临床检验高级职称证书，技术人员检验类别的证书，设备发票复印件。】</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根据投标人提供的售后服务承诺方案，售后服务计划及方案是否合理、是否有针对项目制定完善、可靠的售后服务方案进行综合评审： （1）投标人售后服务方案完整，实施方法可行，得6分； （2）投标人售后服务方案基本完整，实施方法基本可行，得3分； （3）投标人售后服务方案不完整，实施方法差，得1分。 （4）未提供方案得0分。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投标人实验室认可情况 (6.0分)</w:t>
            </w:r>
          </w:p>
        </w:tc>
        <w:tc>
          <w:tcPr>
            <w:tcW w:type="dxa" w:w="5076"/>
          </w:tcPr>
          <w:p>
            <w:pPr>
              <w:pStyle w:val="null3"/>
              <w:jc w:val="left"/>
            </w:pPr>
            <w:r>
              <w:rPr/>
              <w:t>投标人获得省级或以上检验中心颁发的《室间质评证书》的，每个得2分，满分6分。（提供证书复印件加盖投标人公章。）</w:t>
            </w:r>
          </w:p>
        </w:tc>
      </w:tr>
      <w:tr>
        <w:tc>
          <w:tcPr>
            <w:tcW w:type="dxa" w:w="922"/>
            <w:gridSpan w:val="2"/>
            <w:vMerge/>
          </w:tcPr>
          <w:p/>
        </w:tc>
        <w:tc>
          <w:tcPr>
            <w:tcW w:type="dxa" w:w="2307"/>
          </w:tcPr>
          <w:p>
            <w:pPr>
              <w:pStyle w:val="null3"/>
              <w:jc w:val="left"/>
            </w:pPr>
            <w:r>
              <w:rPr/>
              <w:t>投标人综合实力 (2.0分)</w:t>
            </w:r>
          </w:p>
        </w:tc>
        <w:tc>
          <w:tcPr>
            <w:tcW w:type="dxa" w:w="5076"/>
          </w:tcPr>
          <w:p>
            <w:pPr>
              <w:pStyle w:val="null3"/>
              <w:jc w:val="left"/>
            </w:pPr>
            <w:r>
              <w:rPr/>
              <w:t>投标人具有临床检验中心颁发临床基因扩增检验实验室技术审核验收合格证书得2分。（提供证书复印件加盖投标人公章。）</w:t>
            </w:r>
          </w:p>
        </w:tc>
      </w:tr>
      <w:tr>
        <w:tc>
          <w:tcPr>
            <w:tcW w:type="dxa" w:w="922"/>
            <w:gridSpan w:val="2"/>
            <w:vMerge/>
          </w:tcPr>
          <w:p/>
        </w:tc>
        <w:tc>
          <w:tcPr>
            <w:tcW w:type="dxa" w:w="2307"/>
          </w:tcPr>
          <w:p>
            <w:pPr>
              <w:pStyle w:val="null3"/>
              <w:jc w:val="left"/>
            </w:pPr>
            <w:r>
              <w:rPr/>
              <w:t>管理体系 (2.0分)</w:t>
            </w:r>
          </w:p>
        </w:tc>
        <w:tc>
          <w:tcPr>
            <w:tcW w:type="dxa" w:w="5076"/>
          </w:tcPr>
          <w:p>
            <w:pPr>
              <w:pStyle w:val="null3"/>
              <w:jc w:val="left"/>
            </w:pPr>
            <w:r>
              <w:rPr/>
              <w:t>投标人具有国家行政监督管理部门认可认证机构颁发的知识产权管理体系认证证书得2分。（提供证书复印件加盖投标人公章。）</w:t>
            </w:r>
          </w:p>
        </w:tc>
      </w:tr>
      <w:tr>
        <w:tc>
          <w:tcPr>
            <w:tcW w:type="dxa" w:w="922"/>
            <w:gridSpan w:val="2"/>
            <w:vMerge/>
          </w:tcPr>
          <w:p/>
        </w:tc>
        <w:tc>
          <w:tcPr>
            <w:tcW w:type="dxa" w:w="2307"/>
          </w:tcPr>
          <w:p>
            <w:pPr>
              <w:pStyle w:val="null3"/>
              <w:jc w:val="left"/>
            </w:pPr>
            <w:r>
              <w:rPr/>
              <w:t>项目业绩经验 (8.0分)</w:t>
            </w:r>
          </w:p>
        </w:tc>
        <w:tc>
          <w:tcPr>
            <w:tcW w:type="dxa" w:w="5076"/>
          </w:tcPr>
          <w:p>
            <w:pPr>
              <w:pStyle w:val="null3"/>
              <w:jc w:val="left"/>
            </w:pPr>
            <w:r>
              <w:rPr/>
              <w:t>投标承接过医疗机构检验项目委托检测，或其他机构检验项目委托检测的业绩，每提供一个合同得2分，满分8分。（须提供业绩合同复印件）。</w:t>
            </w:r>
          </w:p>
        </w:tc>
      </w:tr>
      <w:tr>
        <w:tc>
          <w:tcPr>
            <w:tcW w:type="dxa" w:w="922"/>
            <w:gridSpan w:val="2"/>
            <w:vMerge/>
          </w:tcPr>
          <w:p/>
        </w:tc>
        <w:tc>
          <w:tcPr>
            <w:tcW w:type="dxa" w:w="2307"/>
          </w:tcPr>
          <w:p>
            <w:pPr>
              <w:pStyle w:val="null3"/>
              <w:jc w:val="left"/>
            </w:pPr>
            <w:r>
              <w:rPr/>
              <w:t>服务承诺 (2.0分)</w:t>
            </w:r>
          </w:p>
        </w:tc>
        <w:tc>
          <w:tcPr>
            <w:tcW w:type="dxa" w:w="5076"/>
          </w:tcPr>
          <w:p>
            <w:pPr>
              <w:pStyle w:val="null3"/>
              <w:jc w:val="left"/>
            </w:pPr>
            <w:r>
              <w:rPr/>
              <w:t>投标人设有检验实验室且能1小时内响应并到达采购方所在地的得2分；能2小时内响应并到达采购方所在地的得1分；2小时以外响应并到达采购方所在地的得0.5分；该检验实验室必须取得医疗机构执业许可证。（须提供检验实验室的医疗机构执业许可证及投标人服务承诺函加盖投标人公章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由高到低的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0"/>
      </w:pPr>
      <w:r>
        <w:rPr>
          <w:sz w:val="36"/>
          <w:b/>
        </w:rPr>
        <w:t>东莞市常平镇社区卫生服务中心部分检验项目外送采购项目合同书</w:t>
      </w:r>
    </w:p>
    <w:p>
      <w:pPr>
        <w:pStyle w:val="null3"/>
        <w:jc w:val="left"/>
      </w:pPr>
      <w:r>
        <w:rPr>
          <w:sz w:val="20"/>
          <w:b/>
        </w:rPr>
        <w:t>合同编号：</w:t>
      </w:r>
    </w:p>
    <w:p>
      <w:pPr>
        <w:pStyle w:val="null3"/>
        <w:jc w:val="left"/>
      </w:pPr>
      <w:r>
        <w:rPr>
          <w:sz w:val="20"/>
          <w:b/>
        </w:rPr>
        <w:t>采购人（甲方）：</w:t>
      </w:r>
      <w:r>
        <w:rPr>
          <w:sz w:val="20"/>
        </w:rPr>
        <w:t>东莞市常平镇社区卫生服务中心</w:t>
      </w:r>
    </w:p>
    <w:p>
      <w:pPr>
        <w:pStyle w:val="null3"/>
        <w:jc w:val="left"/>
      </w:pPr>
      <w:r>
        <w:rPr>
          <w:sz w:val="20"/>
          <w:b/>
        </w:rPr>
        <w:t>统一社会信用代码：</w:t>
      </w:r>
    </w:p>
    <w:p>
      <w:pPr>
        <w:pStyle w:val="null3"/>
        <w:jc w:val="left"/>
      </w:pPr>
      <w:r>
        <w:rPr>
          <w:sz w:val="20"/>
          <w:b/>
        </w:rPr>
        <w:t>地址：</w:t>
      </w:r>
      <w:r>
        <w:rPr>
          <w:sz w:val="20"/>
        </w:rPr>
        <w:t>东莞市常平镇东兴路</w:t>
      </w:r>
      <w:r>
        <w:rPr>
          <w:sz w:val="20"/>
        </w:rPr>
        <w:t>168号</w:t>
      </w:r>
    </w:p>
    <w:p>
      <w:pPr>
        <w:pStyle w:val="null3"/>
        <w:jc w:val="left"/>
      </w:pPr>
      <w:r>
        <w:rPr>
          <w:sz w:val="20"/>
          <w:b/>
        </w:rPr>
        <w:t>联系电话：</w:t>
      </w:r>
    </w:p>
    <w:p>
      <w:pPr>
        <w:pStyle w:val="null3"/>
        <w:jc w:val="left"/>
      </w:pPr>
      <w:r>
        <w:rPr>
          <w:sz w:val="20"/>
          <w:b/>
        </w:rPr>
        <w:t>中标供应商（乙方）：</w:t>
      </w:r>
    </w:p>
    <w:p>
      <w:pPr>
        <w:pStyle w:val="null3"/>
        <w:jc w:val="left"/>
      </w:pPr>
      <w:r>
        <w:rPr>
          <w:sz w:val="20"/>
          <w:b/>
        </w:rPr>
        <w:t>统一社会信用代码：</w:t>
      </w:r>
    </w:p>
    <w:p>
      <w:pPr>
        <w:pStyle w:val="null3"/>
        <w:jc w:val="left"/>
      </w:pPr>
      <w:r>
        <w:rPr>
          <w:sz w:val="20"/>
          <w:b/>
        </w:rPr>
        <w:t>地址：</w:t>
      </w:r>
    </w:p>
    <w:p>
      <w:pPr>
        <w:pStyle w:val="null3"/>
        <w:jc w:val="left"/>
      </w:pPr>
      <w:r>
        <w:rPr>
          <w:sz w:val="20"/>
          <w:b/>
        </w:rPr>
        <w:t>联系电话：</w:t>
      </w:r>
    </w:p>
    <w:p>
      <w:pPr>
        <w:pStyle w:val="null3"/>
        <w:jc w:val="left"/>
      </w:pPr>
      <w:r>
        <w:rPr>
          <w:sz w:val="20"/>
          <w:b/>
        </w:rPr>
        <w:t>法定代表人：</w:t>
      </w:r>
    </w:p>
    <w:p>
      <w:pPr>
        <w:pStyle w:val="null3"/>
        <w:jc w:val="left"/>
      </w:pPr>
      <w:r>
        <w:rPr>
          <w:sz w:val="20"/>
        </w:rPr>
        <w:t>根据《中华人民共和国民法典》、《中华人民共和国政府采购法》、《医疗机构临床实验室管理办法》等有关法律法规规定，遵循平等、自愿、公平和诚实信用的原则，双方就东莞市常平镇社区卫生服务中心部分检验项目外送采购项目（项目编号：</w:t>
      </w:r>
      <w:r>
        <w:rPr>
          <w:sz w:val="20"/>
        </w:rPr>
        <w:t>__________）的相关事项协商一致，达成如下合同条款。</w:t>
      </w:r>
    </w:p>
    <w:p>
      <w:pPr>
        <w:pStyle w:val="null3"/>
        <w:jc w:val="left"/>
        <w:outlineLvl w:val="1"/>
      </w:pPr>
      <w:r>
        <w:rPr>
          <w:sz w:val="20"/>
          <w:b/>
        </w:rPr>
        <w:t>第一条</w:t>
      </w:r>
      <w:r>
        <w:rPr>
          <w:sz w:val="20"/>
          <w:b/>
        </w:rPr>
        <w:t>合同文件组成</w:t>
      </w:r>
    </w:p>
    <w:p>
      <w:pPr>
        <w:pStyle w:val="null3"/>
        <w:ind w:firstLine="400"/>
        <w:jc w:val="left"/>
      </w:pPr>
      <w:r>
        <w:rPr>
          <w:sz w:val="20"/>
        </w:rPr>
        <w:t>1.1下列文件是构成合同不可分割的部分，并与本合同具有同等法律效力：</w:t>
      </w:r>
    </w:p>
    <w:p>
      <w:pPr>
        <w:pStyle w:val="null3"/>
        <w:ind w:firstLine="400"/>
        <w:jc w:val="left"/>
      </w:pPr>
      <w:r>
        <w:rPr>
          <w:sz w:val="20"/>
        </w:rPr>
        <w:t>1.1.1.本合同及附件</w:t>
      </w:r>
    </w:p>
    <w:p>
      <w:pPr>
        <w:pStyle w:val="null3"/>
        <w:ind w:firstLine="400"/>
        <w:jc w:val="left"/>
      </w:pPr>
      <w:r>
        <w:rPr>
          <w:sz w:val="20"/>
        </w:rPr>
        <w:t>1.1.2.中标通知书</w:t>
      </w:r>
    </w:p>
    <w:p>
      <w:pPr>
        <w:pStyle w:val="null3"/>
        <w:ind w:firstLine="400"/>
        <w:jc w:val="left"/>
      </w:pPr>
      <w:r>
        <w:rPr>
          <w:sz w:val="20"/>
        </w:rPr>
        <w:t>1.1.3.招标文件及澄清、修改文件</w:t>
      </w:r>
    </w:p>
    <w:p>
      <w:pPr>
        <w:pStyle w:val="null3"/>
        <w:ind w:firstLine="400"/>
        <w:jc w:val="left"/>
      </w:pPr>
      <w:r>
        <w:rPr>
          <w:sz w:val="20"/>
        </w:rPr>
        <w:t>1.1.4.乙方投标文件及澄清、说明文件</w:t>
      </w:r>
    </w:p>
    <w:p>
      <w:pPr>
        <w:pStyle w:val="null3"/>
        <w:ind w:firstLine="400"/>
        <w:jc w:val="left"/>
      </w:pPr>
      <w:r>
        <w:rPr>
          <w:sz w:val="20"/>
        </w:rPr>
        <w:t>1.1.5.双方协商一致的其他书面文件</w:t>
      </w:r>
    </w:p>
    <w:p>
      <w:pPr>
        <w:pStyle w:val="null3"/>
        <w:ind w:firstLine="400"/>
        <w:jc w:val="left"/>
      </w:pPr>
      <w:r>
        <w:rPr>
          <w:sz w:val="20"/>
        </w:rPr>
        <w:t>1.2.上述文件互为补充和解释，如有不一致之处，以时间在后的文件为准。</w:t>
      </w:r>
    </w:p>
    <w:p>
      <w:pPr>
        <w:pStyle w:val="null3"/>
        <w:jc w:val="left"/>
        <w:outlineLvl w:val="1"/>
      </w:pPr>
      <w:r>
        <w:rPr>
          <w:sz w:val="20"/>
          <w:b/>
        </w:rPr>
        <w:t>第二条</w:t>
      </w:r>
      <w:r>
        <w:rPr>
          <w:sz w:val="20"/>
          <w:b/>
        </w:rPr>
        <w:t>服务内容与范围</w:t>
      </w:r>
    </w:p>
    <w:p>
      <w:pPr>
        <w:pStyle w:val="null3"/>
        <w:ind w:firstLine="400"/>
        <w:jc w:val="left"/>
      </w:pPr>
      <w:r>
        <w:rPr>
          <w:sz w:val="20"/>
        </w:rPr>
        <w:t>2.1.甲方将本机构临床诊疗所需的部分检验项目委托给乙方进行检测，乙方为甲方提供检验报告并收取检验服务费。</w:t>
      </w:r>
    </w:p>
    <w:p>
      <w:pPr>
        <w:pStyle w:val="null3"/>
        <w:ind w:firstLine="400"/>
        <w:jc w:val="left"/>
      </w:pPr>
      <w:r>
        <w:rPr>
          <w:sz w:val="20"/>
        </w:rPr>
        <w:t>2.2.具体检测项目及要求详见本合同附件一《检验检测项目清单》。</w:t>
      </w:r>
    </w:p>
    <w:p>
      <w:pPr>
        <w:pStyle w:val="null3"/>
        <w:ind w:firstLine="400"/>
        <w:jc w:val="left"/>
      </w:pPr>
      <w:r>
        <w:rPr>
          <w:sz w:val="20"/>
        </w:rPr>
        <w:t>2.3.本项目检测价格以《东莞市公立医疗机构基本医疗服务价格》规定的单价为标准，服务费用按本合同约定的中标折扣率计算。</w:t>
      </w:r>
    </w:p>
    <w:p>
      <w:pPr>
        <w:pStyle w:val="null3"/>
        <w:ind w:firstLine="400"/>
        <w:jc w:val="left"/>
      </w:pPr>
      <w:r>
        <w:rPr>
          <w:sz w:val="20"/>
        </w:rPr>
        <w:t>2.4.具体项目及数量以实际发生的检验为准。在合同期内，甲方可根据临床业务发展需要增减检测项目，增减项目不受本合同附件一限制，但应提前 7 个工作日书面通知乙方。</w:t>
      </w:r>
    </w:p>
    <w:p>
      <w:pPr>
        <w:pStyle w:val="null3"/>
        <w:jc w:val="left"/>
        <w:outlineLvl w:val="1"/>
      </w:pPr>
      <w:r>
        <w:rPr>
          <w:sz w:val="20"/>
          <w:b/>
        </w:rPr>
        <w:t>第三条</w:t>
      </w:r>
      <w:r>
        <w:rPr>
          <w:sz w:val="20"/>
          <w:b/>
        </w:rPr>
        <w:t>服务期限</w:t>
      </w:r>
    </w:p>
    <w:p>
      <w:pPr>
        <w:pStyle w:val="null3"/>
        <w:ind w:firstLine="400"/>
        <w:jc w:val="left"/>
      </w:pPr>
      <w:r>
        <w:rPr>
          <w:sz w:val="20"/>
        </w:rPr>
        <w:t>3.1.本合同服务期限为2年，</w:t>
      </w:r>
      <w:r>
        <w:rPr>
          <w:sz w:val="20"/>
        </w:rPr>
        <w:t>合同生效之日自</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日至</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日止</w:t>
      </w:r>
      <w:r>
        <w:rPr>
          <w:sz w:val="20"/>
        </w:rPr>
        <w:t>，</w:t>
      </w:r>
      <w:r>
        <w:rPr>
          <w:sz w:val="20"/>
        </w:rPr>
        <w:t>自合同生效之日起计算。</w:t>
      </w:r>
    </w:p>
    <w:p>
      <w:pPr>
        <w:pStyle w:val="null3"/>
        <w:jc w:val="left"/>
        <w:outlineLvl w:val="1"/>
      </w:pPr>
      <w:r>
        <w:rPr>
          <w:sz w:val="20"/>
          <w:b/>
        </w:rPr>
        <w:t>第四条</w:t>
      </w:r>
      <w:r>
        <w:rPr>
          <w:sz w:val="20"/>
          <w:b/>
        </w:rPr>
        <w:t>服务要求</w:t>
      </w:r>
    </w:p>
    <w:p>
      <w:pPr>
        <w:pStyle w:val="null3"/>
        <w:jc w:val="left"/>
        <w:outlineLvl w:val="2"/>
      </w:pPr>
      <w:r>
        <w:rPr>
          <w:sz w:val="20"/>
          <w:b/>
        </w:rPr>
        <w:t>4.1.</w:t>
      </w:r>
      <w:r>
        <w:rPr>
          <w:sz w:val="20"/>
          <w:b/>
        </w:rPr>
        <w:t>标本采集与运输</w:t>
      </w:r>
    </w:p>
    <w:p>
      <w:pPr>
        <w:pStyle w:val="null3"/>
        <w:ind w:firstLine="400"/>
        <w:jc w:val="left"/>
      </w:pPr>
      <w:r>
        <w:rPr>
          <w:sz w:val="20"/>
        </w:rPr>
        <w:t>4.1.1.乙方必须配备完善的医疗冷链物流系统和信息服务体系，保证接收、送检标本运输过程的安全和标本质量。</w:t>
      </w:r>
    </w:p>
    <w:p>
      <w:pPr>
        <w:pStyle w:val="null3"/>
        <w:ind w:firstLine="400"/>
        <w:jc w:val="left"/>
      </w:pPr>
      <w:r>
        <w:rPr>
          <w:sz w:val="20"/>
        </w:rPr>
        <w:t>4.1.2.乙方提供每周七天的上门接收标本服务，时间为 8:30 至 17:30。遇特殊标本可机动收取。</w:t>
      </w:r>
    </w:p>
    <w:p>
      <w:pPr>
        <w:pStyle w:val="null3"/>
        <w:ind w:firstLine="400"/>
        <w:jc w:val="left"/>
      </w:pPr>
      <w:r>
        <w:rPr>
          <w:sz w:val="20"/>
        </w:rPr>
        <w:t>4.1.3.乙方配备的接收、送检车辆必须装有专用车载冰箱或保温箱，冰箱或保温箱必须有相应的温度记录表，同时需具备 RFID 功能。</w:t>
      </w:r>
    </w:p>
    <w:p>
      <w:pPr>
        <w:pStyle w:val="null3"/>
        <w:ind w:firstLine="400"/>
        <w:jc w:val="left"/>
      </w:pPr>
      <w:r>
        <w:rPr>
          <w:sz w:val="20"/>
        </w:rPr>
        <w:t>4.1.4.乙方具有规范的标本接收、登记和包装流程，保证标本质量和安全，确保标本顺利交接，方便查核。</w:t>
      </w:r>
    </w:p>
    <w:p>
      <w:pPr>
        <w:pStyle w:val="null3"/>
        <w:ind w:firstLine="400"/>
        <w:jc w:val="left"/>
      </w:pPr>
      <w:r>
        <w:rPr>
          <w:sz w:val="20"/>
        </w:rPr>
        <w:t>4.1.5.乙方标本接收人员须通过严格培训，负责标本质量的初检、标识的核对、标本的接收登记及包装储存。</w:t>
      </w:r>
    </w:p>
    <w:p>
      <w:pPr>
        <w:pStyle w:val="null3"/>
        <w:ind w:firstLine="400"/>
        <w:jc w:val="left"/>
      </w:pPr>
      <w:r>
        <w:rPr>
          <w:sz w:val="20"/>
        </w:rPr>
        <w:t>4.1.6.乙方必须确保及时接收、送检标本和及时检验。标本不符合检验要求时，应在 2 小时内通知甲方重新取样。</w:t>
      </w:r>
    </w:p>
    <w:p>
      <w:pPr>
        <w:pStyle w:val="null3"/>
        <w:ind w:firstLine="400"/>
        <w:jc w:val="left"/>
      </w:pPr>
      <w:r>
        <w:rPr>
          <w:sz w:val="20"/>
        </w:rPr>
        <w:t>4.1.7.标本在送检过程中出现延迟、遗漏、丢失等情况，乙方应有完善的应急预案予以妥善解决，否则乙方应承担相应责任。</w:t>
      </w:r>
    </w:p>
    <w:p>
      <w:pPr>
        <w:pStyle w:val="null3"/>
        <w:jc w:val="left"/>
        <w:outlineLvl w:val="2"/>
      </w:pPr>
      <w:r>
        <w:rPr>
          <w:sz w:val="20"/>
          <w:b/>
        </w:rPr>
        <w:t>4.2.</w:t>
      </w:r>
      <w:r>
        <w:rPr>
          <w:sz w:val="20"/>
          <w:b/>
        </w:rPr>
        <w:t>检验报告要求</w:t>
      </w:r>
    </w:p>
    <w:p>
      <w:pPr>
        <w:pStyle w:val="null3"/>
        <w:ind w:firstLine="400"/>
        <w:jc w:val="left"/>
      </w:pPr>
      <w:r>
        <w:rPr>
          <w:sz w:val="20"/>
        </w:rPr>
        <w:t>4.2.1.如甲方设备仪器出现故障，乙方必须帮助甲方完成此类标本的检验，并在2个小时内向甲方提供急诊检验结果报告单。</w:t>
      </w:r>
    </w:p>
    <w:p>
      <w:pPr>
        <w:pStyle w:val="null3"/>
        <w:ind w:firstLine="400"/>
        <w:jc w:val="left"/>
      </w:pPr>
      <w:r>
        <w:rPr>
          <w:sz w:val="20"/>
        </w:rPr>
        <w:t>4.2.2.乙方当天送检的常规检测项目应在当天下午四点前向甲方提供检验结果报告单。</w:t>
      </w:r>
    </w:p>
    <w:p>
      <w:pPr>
        <w:pStyle w:val="null3"/>
        <w:ind w:firstLine="400"/>
        <w:jc w:val="left"/>
      </w:pPr>
      <w:r>
        <w:rPr>
          <w:sz w:val="20"/>
        </w:rPr>
        <w:t>4.2.3.各检测项目的具体报告周期详见附件一《检验检测项目清单》。</w:t>
      </w:r>
    </w:p>
    <w:p>
      <w:pPr>
        <w:pStyle w:val="null3"/>
        <w:ind w:firstLine="400"/>
        <w:jc w:val="left"/>
      </w:pPr>
      <w:r>
        <w:rPr>
          <w:sz w:val="20"/>
        </w:rPr>
        <w:t>4.2.4.检验报告单必须由具备相应资质的检验人员签发，并经上级检验师或医师复核。出现因检验结果错误导致甲方医疗纠纷等不良后果，责任由乙方承担。</w:t>
      </w:r>
    </w:p>
    <w:p>
      <w:pPr>
        <w:pStyle w:val="null3"/>
        <w:ind w:firstLine="400"/>
        <w:jc w:val="left"/>
      </w:pPr>
      <w:r>
        <w:rPr>
          <w:sz w:val="20"/>
        </w:rPr>
        <w:t>4.2.5.部分特殊检查项目需要的采样器、知情同意书、专用的患者资料登记申请单等由乙方免费提供。</w:t>
      </w:r>
    </w:p>
    <w:p>
      <w:pPr>
        <w:pStyle w:val="null3"/>
        <w:ind w:firstLine="400"/>
        <w:jc w:val="left"/>
      </w:pPr>
      <w:r>
        <w:rPr>
          <w:sz w:val="20"/>
        </w:rPr>
        <w:t>4.2.6.乙方应具备临床基因扩增检验实验室技术，相关实验室须通过省级及以上临床检验中心的验收或认证。</w:t>
      </w:r>
    </w:p>
    <w:p>
      <w:pPr>
        <w:pStyle w:val="null3"/>
        <w:jc w:val="left"/>
        <w:outlineLvl w:val="2"/>
      </w:pPr>
      <w:r>
        <w:rPr>
          <w:sz w:val="20"/>
          <w:b/>
        </w:rPr>
        <w:t>4.3.</w:t>
      </w:r>
      <w:r>
        <w:rPr>
          <w:sz w:val="20"/>
          <w:b/>
        </w:rPr>
        <w:t>结果查询与信息系统</w:t>
      </w:r>
    </w:p>
    <w:p>
      <w:pPr>
        <w:pStyle w:val="null3"/>
        <w:ind w:firstLine="400"/>
        <w:jc w:val="left"/>
      </w:pPr>
      <w:r>
        <w:rPr>
          <w:sz w:val="20"/>
        </w:rPr>
        <w:t>4.3.1.乙方应保证检验结果实时网络传送，实现实验室数据的汇总、储存、传输功能，并能与甲方中心 LIS 和 HIS 系统对接，对接需符合国家信息安全有关的规定和要求。</w:t>
      </w:r>
    </w:p>
    <w:p>
      <w:pPr>
        <w:pStyle w:val="null3"/>
        <w:ind w:firstLine="400"/>
        <w:jc w:val="left"/>
      </w:pPr>
      <w:r>
        <w:rPr>
          <w:sz w:val="20"/>
        </w:rPr>
        <w:t>4.3.2.乙方提供网上查询服务，供甲方医务人员随时查询检测进度和结果。</w:t>
      </w:r>
    </w:p>
    <w:p>
      <w:pPr>
        <w:pStyle w:val="null3"/>
        <w:ind w:firstLine="400"/>
        <w:jc w:val="left"/>
      </w:pPr>
      <w:r>
        <w:rPr>
          <w:sz w:val="20"/>
        </w:rPr>
        <w:t>4.3.3.乙方提供电话查询服务，危急值实行专人电话跟进，确保患者检测信息与临床医生的畅通。</w:t>
      </w:r>
    </w:p>
    <w:p>
      <w:pPr>
        <w:pStyle w:val="null3"/>
        <w:ind w:firstLine="400"/>
        <w:jc w:val="left"/>
      </w:pPr>
      <w:r>
        <w:rPr>
          <w:sz w:val="20"/>
        </w:rPr>
        <w:t>4.3.4.甲方医务人员可以随时调阅检验结果，乙方须保证病人资料的准确性和检验结果的及时性，并提供系统使用的必要培训与技术支持。</w:t>
      </w:r>
    </w:p>
    <w:p>
      <w:pPr>
        <w:pStyle w:val="null3"/>
        <w:jc w:val="left"/>
        <w:outlineLvl w:val="2"/>
      </w:pPr>
      <w:r>
        <w:rPr>
          <w:sz w:val="20"/>
          <w:b/>
        </w:rPr>
        <w:t>4.4.</w:t>
      </w:r>
      <w:r>
        <w:rPr>
          <w:sz w:val="20"/>
          <w:b/>
        </w:rPr>
        <w:t>技术支持</w:t>
      </w:r>
    </w:p>
    <w:p>
      <w:pPr>
        <w:pStyle w:val="null3"/>
        <w:ind w:firstLine="400"/>
        <w:jc w:val="left"/>
      </w:pPr>
      <w:r>
        <w:rPr>
          <w:sz w:val="20"/>
        </w:rPr>
        <w:t>4.4.1.乙方须参加广东省临床检验中心组织的室间质评，并有完整的培训体系。</w:t>
      </w:r>
    </w:p>
    <w:p>
      <w:pPr>
        <w:pStyle w:val="null3"/>
        <w:ind w:firstLine="400"/>
        <w:jc w:val="left"/>
      </w:pPr>
      <w:r>
        <w:rPr>
          <w:sz w:val="20"/>
        </w:rPr>
        <w:t>4.4.2.乙方应拥有权威机构的技术支撑，能依托权威技术支撑机构以及同一系统内的三甲医院资源，协助甲方开展进修培训、继续教育和学术交流活动。</w:t>
      </w:r>
    </w:p>
    <w:p>
      <w:pPr>
        <w:pStyle w:val="null3"/>
        <w:ind w:firstLine="400"/>
        <w:jc w:val="left"/>
      </w:pPr>
      <w:r>
        <w:rPr>
          <w:sz w:val="20"/>
        </w:rPr>
        <w:t>4.4.3.乙方每年提供甲方检验人员免费进修和 ISO15189 知识培训。</w:t>
      </w:r>
    </w:p>
    <w:p>
      <w:pPr>
        <w:pStyle w:val="null3"/>
        <w:ind w:firstLine="400"/>
        <w:jc w:val="left"/>
      </w:pPr>
      <w:r>
        <w:rPr>
          <w:sz w:val="20"/>
        </w:rPr>
        <w:t>4.4.4.乙方应协助甲方设计、制作相关医学检验宣传资料，协助甲方检验科的建设和发展。</w:t>
      </w:r>
    </w:p>
    <w:p>
      <w:pPr>
        <w:pStyle w:val="null3"/>
        <w:jc w:val="left"/>
        <w:outlineLvl w:val="2"/>
      </w:pPr>
      <w:r>
        <w:rPr>
          <w:sz w:val="20"/>
          <w:b/>
        </w:rPr>
        <w:t>4.5.</w:t>
      </w:r>
      <w:r>
        <w:rPr>
          <w:sz w:val="20"/>
          <w:b/>
        </w:rPr>
        <w:t>人员要求</w:t>
      </w:r>
    </w:p>
    <w:p>
      <w:pPr>
        <w:pStyle w:val="null3"/>
        <w:ind w:firstLine="400"/>
        <w:jc w:val="left"/>
      </w:pPr>
      <w:r>
        <w:rPr>
          <w:sz w:val="20"/>
        </w:rPr>
        <w:t>4.5.1.乙方所选派本项目的支持人员配备必须能有效完成所要求的检验项目。</w:t>
      </w:r>
    </w:p>
    <w:p>
      <w:pPr>
        <w:pStyle w:val="null3"/>
        <w:ind w:firstLine="400"/>
        <w:jc w:val="left"/>
      </w:pPr>
      <w:r>
        <w:rPr>
          <w:sz w:val="20"/>
        </w:rPr>
        <w:t>4.5.2.乙方项目负责人需具备临床检验高级职称，</w:t>
      </w:r>
      <w:r>
        <w:rPr>
          <w:sz w:val="20"/>
        </w:rPr>
        <w:t>参与</w:t>
      </w:r>
      <w:r>
        <w:rPr>
          <w:sz w:val="20"/>
        </w:rPr>
        <w:t>检验项目</w:t>
      </w:r>
      <w:r>
        <w:rPr>
          <w:sz w:val="20"/>
        </w:rPr>
        <w:t>的</w:t>
      </w:r>
      <w:r>
        <w:rPr>
          <w:sz w:val="20"/>
        </w:rPr>
        <w:t>团队</w:t>
      </w:r>
      <w:r>
        <w:rPr>
          <w:sz w:val="20"/>
        </w:rPr>
        <w:t>技术</w:t>
      </w:r>
      <w:r>
        <w:rPr>
          <w:sz w:val="20"/>
        </w:rPr>
        <w:t>人员需具备医学检验、临床医学资格证等相关资质。</w:t>
      </w:r>
    </w:p>
    <w:p>
      <w:pPr>
        <w:pStyle w:val="null3"/>
        <w:ind w:firstLine="400"/>
        <w:jc w:val="left"/>
      </w:pPr>
      <w:r>
        <w:rPr>
          <w:sz w:val="20"/>
        </w:rPr>
        <w:t>4.5.3.乙方在合同签订前应向甲方提交完整的项目服务人员名单、人员证书情况等进行备案。合同期内人员如有变动，应提前 7 个工作日书面通知甲方并提交新人员的资质证明。</w:t>
      </w:r>
    </w:p>
    <w:p>
      <w:pPr>
        <w:pStyle w:val="null3"/>
        <w:jc w:val="left"/>
        <w:outlineLvl w:val="2"/>
      </w:pPr>
      <w:r>
        <w:rPr>
          <w:sz w:val="20"/>
          <w:b/>
        </w:rPr>
        <w:t>4.6.</w:t>
      </w:r>
      <w:r>
        <w:rPr>
          <w:sz w:val="20"/>
          <w:b/>
        </w:rPr>
        <w:t>售后服务</w:t>
      </w:r>
    </w:p>
    <w:p>
      <w:pPr>
        <w:pStyle w:val="null3"/>
        <w:ind w:firstLine="400"/>
        <w:jc w:val="left"/>
      </w:pPr>
      <w:r>
        <w:rPr>
          <w:sz w:val="20"/>
        </w:rPr>
        <w:t>4.6.1.乙方设有客服专线电话，处理相关的日常咨询及售后服务工作。</w:t>
      </w:r>
    </w:p>
    <w:p>
      <w:pPr>
        <w:pStyle w:val="null3"/>
        <w:ind w:firstLine="400"/>
        <w:jc w:val="left"/>
      </w:pPr>
      <w:r>
        <w:rPr>
          <w:sz w:val="20"/>
        </w:rPr>
        <w:t>4.6.2.乙方具有完善的管理制度和服务流程以保障上门服务及时有效性。</w:t>
      </w:r>
    </w:p>
    <w:p>
      <w:pPr>
        <w:pStyle w:val="null3"/>
        <w:ind w:firstLine="400"/>
        <w:jc w:val="left"/>
      </w:pPr>
      <w:r>
        <w:rPr>
          <w:sz w:val="20"/>
        </w:rPr>
        <w:t>4.6.3.乙方定期选派具有医学检验背景的专业技术人员提供售后服务。</w:t>
      </w:r>
    </w:p>
    <w:p>
      <w:pPr>
        <w:pStyle w:val="null3"/>
        <w:jc w:val="left"/>
        <w:outlineLvl w:val="1"/>
      </w:pPr>
      <w:r>
        <w:rPr>
          <w:sz w:val="20"/>
          <w:b/>
        </w:rPr>
        <w:t>第五条</w:t>
      </w:r>
      <w:r>
        <w:rPr>
          <w:sz w:val="20"/>
          <w:b/>
        </w:rPr>
        <w:t>双方权利与义务</w:t>
      </w:r>
    </w:p>
    <w:p>
      <w:pPr>
        <w:pStyle w:val="null3"/>
        <w:jc w:val="left"/>
        <w:outlineLvl w:val="2"/>
      </w:pPr>
      <w:r>
        <w:rPr>
          <w:sz w:val="20"/>
          <w:b/>
        </w:rPr>
        <w:t>5.1.</w:t>
      </w:r>
      <w:r>
        <w:rPr>
          <w:sz w:val="20"/>
          <w:b/>
        </w:rPr>
        <w:t>甲方权利与义务</w:t>
      </w:r>
    </w:p>
    <w:p>
      <w:pPr>
        <w:pStyle w:val="null3"/>
        <w:ind w:firstLine="400"/>
        <w:jc w:val="left"/>
      </w:pPr>
      <w:r>
        <w:rPr>
          <w:sz w:val="20"/>
        </w:rPr>
        <w:t>5.1.1.甲方负责开具检验单、采集、收集检验标本，并按要求对标本进行标识和初步处理。</w:t>
      </w:r>
    </w:p>
    <w:p>
      <w:pPr>
        <w:pStyle w:val="null3"/>
        <w:ind w:firstLine="400"/>
        <w:jc w:val="left"/>
      </w:pPr>
      <w:r>
        <w:rPr>
          <w:sz w:val="20"/>
        </w:rPr>
        <w:t>5.1.2.甲方负责向患者告知检测项目的相关必要信息及各种检测技术的局限性。</w:t>
      </w:r>
    </w:p>
    <w:p>
      <w:pPr>
        <w:pStyle w:val="null3"/>
        <w:ind w:firstLine="400"/>
        <w:jc w:val="left"/>
      </w:pPr>
      <w:r>
        <w:rPr>
          <w:sz w:val="20"/>
        </w:rPr>
        <w:t>5.1.3.甲方有权对乙方的检测质量、服务流程、人员资质、车辆设备等进行监督检查，对不符合要求的事项有权要求乙方限期整改。</w:t>
      </w:r>
    </w:p>
    <w:p>
      <w:pPr>
        <w:pStyle w:val="null3"/>
        <w:ind w:firstLine="400"/>
        <w:jc w:val="left"/>
      </w:pPr>
      <w:r>
        <w:rPr>
          <w:sz w:val="20"/>
        </w:rPr>
        <w:t>5.1.4.甲方有权要求乙方提供与检测服务相关的技术资料和质量控制报告。</w:t>
      </w:r>
    </w:p>
    <w:p>
      <w:pPr>
        <w:pStyle w:val="null3"/>
        <w:ind w:firstLine="400"/>
        <w:jc w:val="left"/>
      </w:pPr>
      <w:r>
        <w:rPr>
          <w:sz w:val="20"/>
        </w:rPr>
        <w:t>5.1.5.甲方应按合同约定及时向乙方支付服务费用。</w:t>
      </w:r>
    </w:p>
    <w:p>
      <w:pPr>
        <w:pStyle w:val="null3"/>
        <w:ind w:firstLine="400"/>
        <w:jc w:val="left"/>
      </w:pPr>
      <w:r>
        <w:rPr>
          <w:sz w:val="20"/>
        </w:rPr>
        <w:t>5.1.6.甲方不得将乙方提供的检验结果用于本合同约定以外的其他目的。</w:t>
      </w:r>
    </w:p>
    <w:p>
      <w:pPr>
        <w:pStyle w:val="null3"/>
        <w:jc w:val="left"/>
        <w:outlineLvl w:val="2"/>
      </w:pPr>
      <w:r>
        <w:rPr>
          <w:sz w:val="20"/>
          <w:b/>
        </w:rPr>
        <w:t>5.2.</w:t>
      </w:r>
      <w:r>
        <w:rPr>
          <w:sz w:val="20"/>
          <w:b/>
        </w:rPr>
        <w:t>乙方权利与义务</w:t>
      </w:r>
    </w:p>
    <w:p>
      <w:pPr>
        <w:pStyle w:val="null3"/>
        <w:ind w:firstLine="400"/>
        <w:jc w:val="left"/>
      </w:pPr>
      <w:r>
        <w:rPr>
          <w:sz w:val="20"/>
        </w:rPr>
        <w:t>5.2.1.乙方有权按照合同约定收取服务费用。</w:t>
      </w:r>
    </w:p>
    <w:p>
      <w:pPr>
        <w:pStyle w:val="null3"/>
        <w:ind w:firstLine="400"/>
        <w:jc w:val="left"/>
      </w:pPr>
      <w:r>
        <w:rPr>
          <w:sz w:val="20"/>
        </w:rPr>
        <w:t>5.2.2.乙方必须具备开展本合同约定检测项目的合法资质和技术条件，不得将检测项目转包或分包给第三方。</w:t>
      </w:r>
    </w:p>
    <w:p>
      <w:pPr>
        <w:pStyle w:val="null3"/>
        <w:ind w:firstLine="400"/>
        <w:jc w:val="left"/>
      </w:pPr>
      <w:r>
        <w:rPr>
          <w:sz w:val="20"/>
        </w:rPr>
        <w:t>5.2.3.乙方应严格按照国家及行业相关标准和规范进行检测，保证检测结果的准确性、及时性和可靠性。</w:t>
      </w:r>
    </w:p>
    <w:p>
      <w:pPr>
        <w:pStyle w:val="null3"/>
        <w:ind w:firstLine="400"/>
        <w:jc w:val="left"/>
      </w:pPr>
      <w:r>
        <w:rPr>
          <w:sz w:val="20"/>
        </w:rPr>
        <w:t>5.2.4.乙方应建立完善的质量控制体系，定期开展室内质控和室间质评，并向甲方提供质量控制报告。</w:t>
      </w:r>
    </w:p>
    <w:p>
      <w:pPr>
        <w:pStyle w:val="null3"/>
        <w:ind w:firstLine="400"/>
        <w:jc w:val="left"/>
      </w:pPr>
      <w:r>
        <w:rPr>
          <w:sz w:val="20"/>
        </w:rPr>
        <w:t>5.2.5.乙方应严格遵守医疗保密制度，不得泄露患者的个人信息和检测结果。</w:t>
      </w:r>
    </w:p>
    <w:p>
      <w:pPr>
        <w:pStyle w:val="null3"/>
        <w:ind w:firstLine="400"/>
        <w:jc w:val="left"/>
      </w:pPr>
      <w:r>
        <w:rPr>
          <w:sz w:val="20"/>
        </w:rPr>
        <w:t>5.2.6.乙方应妥善处理剩余标本，按照国家有关规定进行处置，并建立标本处置记录。</w:t>
      </w:r>
    </w:p>
    <w:p>
      <w:pPr>
        <w:pStyle w:val="null3"/>
        <w:ind w:firstLine="400"/>
        <w:jc w:val="left"/>
      </w:pPr>
      <w:r>
        <w:rPr>
          <w:sz w:val="20"/>
        </w:rPr>
        <w:t>5.2.7.乙方应配合甲方处理因检测服务引起的医疗纠纷，并承担因乙方责任导致的医疗纠纷的相应赔偿责任。</w:t>
      </w:r>
    </w:p>
    <w:p>
      <w:pPr>
        <w:pStyle w:val="null3"/>
        <w:jc w:val="left"/>
        <w:outlineLvl w:val="1"/>
      </w:pPr>
      <w:r>
        <w:rPr>
          <w:sz w:val="20"/>
          <w:b/>
        </w:rPr>
        <w:t>第六条</w:t>
      </w:r>
      <w:r>
        <w:rPr>
          <w:sz w:val="20"/>
          <w:b/>
        </w:rPr>
        <w:t>价格与结算</w:t>
      </w:r>
    </w:p>
    <w:p>
      <w:pPr>
        <w:pStyle w:val="null3"/>
        <w:ind w:firstLine="400"/>
        <w:jc w:val="left"/>
      </w:pPr>
      <w:r>
        <w:rPr>
          <w:sz w:val="20"/>
        </w:rPr>
        <w:t>6.1.本项目折扣率为：</w:t>
      </w:r>
      <w:r>
        <w:rPr>
          <w:sz w:val="21"/>
          <w:u w:val="single"/>
        </w:rPr>
        <w:t xml:space="preserve">       </w:t>
      </w:r>
      <w:r>
        <w:rPr>
          <w:sz w:val="20"/>
        </w:rPr>
        <w:t>%，折扣后合同采购预算为人民币380万元（大写：人民币叁佰捌拾万元整）。</w:t>
      </w:r>
    </w:p>
    <w:p>
      <w:pPr>
        <w:pStyle w:val="null3"/>
        <w:ind w:firstLine="400"/>
        <w:jc w:val="left"/>
      </w:pPr>
      <w:r>
        <w:rPr>
          <w:sz w:val="20"/>
        </w:rPr>
        <w:t>6.2.结算单价：以《东莞市公立医疗机构基本医疗服务价格》规定的单价为标准。如在服务期限内，物价部门调整了检验单价，应按照物价部门调整的检验单价浮动比例调整结算单价。</w:t>
      </w:r>
    </w:p>
    <w:p>
      <w:pPr>
        <w:pStyle w:val="null3"/>
        <w:ind w:firstLine="400"/>
        <w:jc w:val="left"/>
      </w:pPr>
      <w:r>
        <w:rPr>
          <w:sz w:val="20"/>
        </w:rPr>
        <w:t>6.3.实际服务费用计算公式：</w:t>
      </w:r>
      <w:r>
        <w:rPr>
          <w:sz w:val="20"/>
          <w:b/>
        </w:rPr>
        <w:t>每月实际服务费用</w:t>
      </w:r>
      <w:r>
        <w:rPr>
          <w:sz w:val="20"/>
          <w:b/>
        </w:rPr>
        <w:t>=Σ（各检测项目单价 × 检测数量）× 折扣率-考核扣罚（如有）。</w:t>
      </w:r>
    </w:p>
    <w:p>
      <w:pPr>
        <w:pStyle w:val="null3"/>
        <w:ind w:firstLine="400"/>
        <w:jc w:val="left"/>
      </w:pPr>
      <w:r>
        <w:rPr>
          <w:sz w:val="20"/>
        </w:rPr>
        <w:t>6.4.付款方式：</w:t>
      </w:r>
    </w:p>
    <w:p>
      <w:pPr>
        <w:pStyle w:val="null3"/>
        <w:ind w:firstLine="400"/>
        <w:jc w:val="left"/>
      </w:pPr>
      <w:r>
        <w:rPr>
          <w:sz w:val="20"/>
        </w:rPr>
        <w:t>6.4.1.甲乙双方于每月初核对上月检测数量，实际服务费用=每月实际检测项目单价×检测数量×中标折扣率；甲乙双方确认数据无误后，乙方向甲方提供等额合规的增值税普通发票，甲方在收到乙方提供的发票后30天内发起财政支付申请。</w:t>
      </w:r>
    </w:p>
    <w:p>
      <w:pPr>
        <w:pStyle w:val="null3"/>
        <w:ind w:firstLine="400"/>
        <w:jc w:val="left"/>
      </w:pPr>
      <w:r>
        <w:rPr>
          <w:sz w:val="20"/>
        </w:rPr>
        <w:t>6.4.2.检测单价以《东莞市公立医疗机构基本医疗服务价格》中的规定的单价为标准。如在服务期限内，物价部门调整了检验单价时，应按照物价部门调整的检验单价浮动比例调整结算单价。</w:t>
      </w:r>
    </w:p>
    <w:p>
      <w:pPr>
        <w:pStyle w:val="null3"/>
        <w:ind w:firstLine="400"/>
        <w:jc w:val="left"/>
      </w:pPr>
      <w:r>
        <w:rPr>
          <w:sz w:val="20"/>
        </w:rPr>
        <w:t>6.4.3.</w:t>
      </w:r>
      <w:r>
        <w:rPr>
          <w:sz w:val="20"/>
        </w:rPr>
        <w:t>本</w:t>
      </w:r>
      <w:r>
        <w:rPr>
          <w:sz w:val="20"/>
        </w:rPr>
        <w:t>合同</w:t>
      </w:r>
      <w:r>
        <w:rPr>
          <w:sz w:val="20"/>
        </w:rPr>
        <w:t>服务期两年内最高</w:t>
      </w:r>
      <w:r>
        <w:rPr>
          <w:sz w:val="20"/>
        </w:rPr>
        <w:t>支付</w:t>
      </w:r>
      <w:r>
        <w:rPr>
          <w:sz w:val="20"/>
        </w:rPr>
        <w:t>限额为人民币</w:t>
      </w:r>
      <w:r>
        <w:rPr>
          <w:sz w:val="20"/>
        </w:rPr>
        <w:t>3,800,000.00</w:t>
      </w:r>
      <w:r>
        <w:rPr>
          <w:sz w:val="20"/>
        </w:rPr>
        <w:t>元</w:t>
      </w:r>
      <w:r>
        <w:rPr>
          <w:sz w:val="20"/>
        </w:rPr>
        <w:t>。实际结算金额以</w:t>
      </w:r>
      <w:r>
        <w:rPr>
          <w:sz w:val="20"/>
        </w:rPr>
        <w:t>每月实际检测项目单价</w:t>
      </w:r>
      <w:r>
        <w:rPr>
          <w:sz w:val="20"/>
        </w:rPr>
        <w:t>×检测数量×中标折扣率</w:t>
      </w:r>
      <w:r>
        <w:rPr>
          <w:sz w:val="20"/>
        </w:rPr>
        <w:t>计算，</w:t>
      </w:r>
      <w:r>
        <w:rPr>
          <w:sz w:val="20"/>
        </w:rPr>
        <w:t>累计</w:t>
      </w:r>
      <w:r>
        <w:rPr>
          <w:sz w:val="20"/>
        </w:rPr>
        <w:t>不得超过本限额。</w:t>
      </w:r>
    </w:p>
    <w:p>
      <w:pPr>
        <w:pStyle w:val="null3"/>
        <w:ind w:firstLine="400"/>
        <w:jc w:val="left"/>
      </w:pPr>
      <w:r>
        <w:rPr>
          <w:sz w:val="20"/>
        </w:rPr>
        <w:t>6.4.4.</w:t>
      </w:r>
      <w:r>
        <w:rPr>
          <w:sz w:val="20"/>
        </w:rPr>
        <w:t>本项目资金来源为财政性资金，甲方在规定的付款时间为向相关支付部门提出办理财政支付申请手续的时间（不含政府财政支付部门审核的时间），在规定时间内提出支付申请手续后即视为甲方已经按期支付。如因政策或付款流程影响，拨款未能及时到位，甲方不承担逾期付款的责任，且中标供应商不得以此为由而不履行本合同约定的义务。否则，甲方有权按约定追究乙方的违约责任。</w:t>
      </w:r>
    </w:p>
    <w:p>
      <w:pPr>
        <w:pStyle w:val="null3"/>
        <w:jc w:val="left"/>
        <w:outlineLvl w:val="1"/>
      </w:pPr>
      <w:r>
        <w:rPr>
          <w:sz w:val="20"/>
          <w:b/>
        </w:rPr>
        <w:t>第七条</w:t>
      </w:r>
      <w:r>
        <w:rPr>
          <w:sz w:val="20"/>
          <w:b/>
        </w:rPr>
        <w:t>验收</w:t>
      </w:r>
    </w:p>
    <w:p>
      <w:pPr>
        <w:pStyle w:val="null3"/>
        <w:ind w:firstLine="400"/>
        <w:jc w:val="left"/>
      </w:pPr>
      <w:r>
        <w:rPr>
          <w:sz w:val="20"/>
        </w:rPr>
        <w:t>7.1.本项目实行按批次日常验收，检验过程及出具的医学检验结果必须完全符合国家及甲方有关医疗标本送检规定和法律法规规范。</w:t>
      </w:r>
    </w:p>
    <w:p>
      <w:pPr>
        <w:pStyle w:val="null3"/>
        <w:ind w:firstLine="400"/>
        <w:jc w:val="left"/>
      </w:pPr>
      <w:r>
        <w:rPr>
          <w:sz w:val="20"/>
        </w:rPr>
        <w:t>7.2.甲方每月对乙方的服务质量进行考核验收，考核验收要求详见附件《服务质量月度考核表》，甲方根据考核结果支付每月实际服务费用。</w:t>
      </w:r>
    </w:p>
    <w:p>
      <w:pPr>
        <w:pStyle w:val="null3"/>
        <w:jc w:val="left"/>
        <w:outlineLvl w:val="1"/>
      </w:pPr>
      <w:r>
        <w:rPr>
          <w:sz w:val="20"/>
          <w:b/>
        </w:rPr>
        <w:t>第八条</w:t>
      </w:r>
      <w:r>
        <w:rPr>
          <w:sz w:val="20"/>
          <w:b/>
        </w:rPr>
        <w:t>违约责任</w:t>
      </w:r>
    </w:p>
    <w:p>
      <w:pPr>
        <w:pStyle w:val="null3"/>
        <w:ind w:firstLine="400"/>
        <w:jc w:val="left"/>
      </w:pPr>
      <w:r>
        <w:rPr>
          <w:sz w:val="20"/>
        </w:rPr>
        <w:t>8.1.乙方未按合同约定的时间出具检验报告的，每延迟 1 小时，应向甲方支付该检测项目费用的 10% 作为违约金；延迟超过 24 小时的，甲方有权不支付该检测项目的费用。</w:t>
      </w:r>
    </w:p>
    <w:p>
      <w:pPr>
        <w:pStyle w:val="null3"/>
        <w:ind w:firstLine="400"/>
        <w:jc w:val="left"/>
      </w:pPr>
      <w:r>
        <w:rPr>
          <w:sz w:val="20"/>
        </w:rPr>
        <w:t>8.2.因乙方检验结果错误导致甲方医疗纠纷的，乙方应承担全部赔偿责任，包括但不限于患者的医疗费、误工费、护理费、残疾赔偿金、死亡赔偿金以及甲方因此支付的诉讼费、律师费等。</w:t>
      </w:r>
    </w:p>
    <w:p>
      <w:pPr>
        <w:pStyle w:val="null3"/>
        <w:ind w:firstLine="400"/>
        <w:jc w:val="left"/>
      </w:pPr>
      <w:r>
        <w:rPr>
          <w:sz w:val="20"/>
        </w:rPr>
        <w:t>8.3.乙方泄露患者个人信息和检测结果的，应向甲方支付违约金人民币</w:t>
      </w:r>
      <w:r>
        <w:rPr>
          <w:sz w:val="21"/>
          <w:u w:val="single"/>
        </w:rPr>
        <w:t xml:space="preserve">    </w:t>
      </w:r>
      <w:r>
        <w:rPr>
          <w:sz w:val="20"/>
        </w:rPr>
        <w:t>元</w:t>
      </w:r>
      <w:r>
        <w:rPr>
          <w:sz w:val="20"/>
        </w:rPr>
        <w:t>/次，并承担由此造成的一切法律责任和经济损失。</w:t>
      </w:r>
    </w:p>
    <w:p>
      <w:pPr>
        <w:pStyle w:val="null3"/>
        <w:ind w:firstLine="400"/>
        <w:jc w:val="left"/>
      </w:pPr>
      <w:r>
        <w:rPr>
          <w:sz w:val="20"/>
        </w:rPr>
        <w:t>8.4.乙方将检测项目转包或分包给第三方的，甲方有权解除合同，并要求乙方支付合同总金额 10% 的违约金。</w:t>
      </w:r>
    </w:p>
    <w:p>
      <w:pPr>
        <w:pStyle w:val="null3"/>
        <w:ind w:firstLine="400"/>
        <w:jc w:val="left"/>
      </w:pPr>
      <w:r>
        <w:rPr>
          <w:sz w:val="20"/>
        </w:rPr>
        <w:t>8.5.乙方使用不具备相关资质的人员进行检测的，甲方有权解除合同，并要求乙方支付合同总金额 10% 的违约金。</w:t>
      </w:r>
    </w:p>
    <w:p>
      <w:pPr>
        <w:pStyle w:val="null3"/>
        <w:ind w:firstLine="400"/>
        <w:jc w:val="left"/>
      </w:pPr>
      <w:r>
        <w:rPr>
          <w:sz w:val="20"/>
        </w:rPr>
        <w:t>8.6.任何一方违反本合同其他约定的，应向对方支付相应的违约金，并赔偿对方因此遭受的经济损失。</w:t>
      </w:r>
    </w:p>
    <w:p>
      <w:pPr>
        <w:pStyle w:val="null3"/>
        <w:jc w:val="left"/>
        <w:outlineLvl w:val="1"/>
      </w:pPr>
      <w:r>
        <w:rPr>
          <w:sz w:val="21"/>
          <w:b/>
        </w:rPr>
        <w:t>第九条</w:t>
      </w:r>
      <w:r>
        <w:rPr>
          <w:sz w:val="21"/>
          <w:b/>
        </w:rPr>
        <w:t>合同的变更与解除</w:t>
      </w:r>
    </w:p>
    <w:p>
      <w:pPr>
        <w:pStyle w:val="null3"/>
        <w:ind w:firstLine="400"/>
        <w:jc w:val="left"/>
      </w:pPr>
      <w:r>
        <w:rPr>
          <w:sz w:val="20"/>
        </w:rPr>
        <w:t>9.1.本合同生效后，任何一方不得擅自变更或解除合同。确需变更或解除的，应经双方协商一致，并签订书面协议。</w:t>
      </w:r>
    </w:p>
    <w:p>
      <w:pPr>
        <w:pStyle w:val="null3"/>
        <w:ind w:firstLine="400"/>
        <w:jc w:val="left"/>
      </w:pPr>
      <w:r>
        <w:rPr>
          <w:sz w:val="20"/>
        </w:rPr>
        <w:t>9.2.有下列情形之一的，甲方有权单方解除合同：（1）乙方未按合同约定提供服务，经甲方催告后 15 日内仍未整改的；（2）乙方出现重大质量事故或安全事故的；（3）乙方被吊销营业执照或相关资质证书的；（4）乙方存在其他严重违约行为的。</w:t>
      </w:r>
    </w:p>
    <w:p>
      <w:pPr>
        <w:pStyle w:val="null3"/>
        <w:ind w:firstLine="400"/>
        <w:jc w:val="left"/>
      </w:pPr>
      <w:r>
        <w:rPr>
          <w:sz w:val="20"/>
        </w:rPr>
        <w:t>9.3.合同解除后，双方应按照合同约定进行结算，乙方应妥善处理已接收但尚未检测的标本。</w:t>
      </w:r>
    </w:p>
    <w:p>
      <w:pPr>
        <w:pStyle w:val="null3"/>
        <w:jc w:val="left"/>
        <w:outlineLvl w:val="1"/>
      </w:pPr>
      <w:r>
        <w:rPr>
          <w:sz w:val="20"/>
          <w:b/>
        </w:rPr>
        <w:t>第十条</w:t>
      </w:r>
      <w:r>
        <w:rPr>
          <w:sz w:val="20"/>
          <w:b/>
        </w:rPr>
        <w:t>不可抗力</w:t>
      </w:r>
    </w:p>
    <w:p>
      <w:pPr>
        <w:pStyle w:val="null3"/>
        <w:ind w:firstLine="400"/>
        <w:jc w:val="left"/>
      </w:pPr>
      <w:r>
        <w:rPr>
          <w:sz w:val="20"/>
        </w:rPr>
        <w:t>10.1.因不可抗力导致本合同无法履行或延迟履行的，遭遇不可抗力的一方应在不可抗力发生后 24 小时内书面通知对方，并在 7 日内提供相关证明文件。</w:t>
      </w:r>
    </w:p>
    <w:p>
      <w:pPr>
        <w:pStyle w:val="null3"/>
        <w:ind w:firstLine="400"/>
        <w:jc w:val="left"/>
      </w:pPr>
      <w:r>
        <w:rPr>
          <w:sz w:val="20"/>
        </w:rPr>
        <w:t>10.2.根据不可抗力的影响，双方协商决定部分履行、延期履行或解除合同，遭受不可抗力的一方不承担违约责任。</w:t>
      </w:r>
    </w:p>
    <w:p>
      <w:pPr>
        <w:pStyle w:val="null3"/>
        <w:jc w:val="left"/>
        <w:outlineLvl w:val="1"/>
      </w:pPr>
      <w:r>
        <w:rPr>
          <w:sz w:val="20"/>
          <w:b/>
        </w:rPr>
        <w:t>第十一条</w:t>
      </w:r>
      <w:r>
        <w:rPr>
          <w:sz w:val="20"/>
          <w:b/>
        </w:rPr>
        <w:t>争议解决</w:t>
      </w:r>
    </w:p>
    <w:p>
      <w:pPr>
        <w:pStyle w:val="null3"/>
        <w:ind w:firstLine="400"/>
        <w:jc w:val="left"/>
      </w:pPr>
      <w:r>
        <w:rPr>
          <w:sz w:val="20"/>
        </w:rPr>
        <w:t>11.1.本合同在履行过程中发生的争议，由双方当事人协商解决；协商不成的，可提请东莞市卫生健康委员会调解。</w:t>
      </w:r>
    </w:p>
    <w:p>
      <w:pPr>
        <w:pStyle w:val="null3"/>
        <w:ind w:firstLine="400"/>
        <w:jc w:val="left"/>
      </w:pPr>
      <w:r>
        <w:rPr>
          <w:sz w:val="20"/>
        </w:rPr>
        <w:t>11.2.协商或调解不成的，任何一方均可向东莞仲裁委员会申请仲裁。</w:t>
      </w:r>
    </w:p>
    <w:p>
      <w:pPr>
        <w:pStyle w:val="null3"/>
        <w:jc w:val="left"/>
        <w:outlineLvl w:val="1"/>
      </w:pPr>
      <w:r>
        <w:rPr>
          <w:sz w:val="20"/>
          <w:b/>
        </w:rPr>
        <w:t>第十二条</w:t>
      </w:r>
      <w:r>
        <w:rPr>
          <w:sz w:val="20"/>
          <w:b/>
        </w:rPr>
        <w:t>其他约定</w:t>
      </w:r>
    </w:p>
    <w:p>
      <w:pPr>
        <w:pStyle w:val="null3"/>
        <w:ind w:firstLine="400"/>
        <w:jc w:val="left"/>
      </w:pPr>
      <w:r>
        <w:rPr>
          <w:sz w:val="20"/>
        </w:rPr>
        <w:t>12.1.本合同未尽事宜，由双方协商一致后签订补充协议，补充协议与本合同具有同等法律效力。</w:t>
      </w:r>
    </w:p>
    <w:p>
      <w:pPr>
        <w:pStyle w:val="null3"/>
        <w:ind w:firstLine="400"/>
        <w:jc w:val="left"/>
      </w:pPr>
      <w:r>
        <w:rPr>
          <w:sz w:val="20"/>
        </w:rPr>
        <w:t>12.2.本合同自双方签字盖章之日起生效。</w:t>
      </w:r>
    </w:p>
    <w:p>
      <w:pPr>
        <w:pStyle w:val="null3"/>
        <w:ind w:firstLine="400"/>
        <w:jc w:val="left"/>
      </w:pPr>
      <w:r>
        <w:rPr>
          <w:sz w:val="20"/>
        </w:rPr>
        <w:t>12.3.本合同一式陆份，甲方执叁份，乙方执贰份，采购代理机构执壹份，具有同等法律效力。</w:t>
      </w:r>
    </w:p>
    <w:p>
      <w:pPr>
        <w:pStyle w:val="null3"/>
        <w:ind w:firstLine="400"/>
        <w:jc w:val="left"/>
      </w:pPr>
      <w:r>
        <w:rPr>
          <w:sz w:val="20"/>
        </w:rPr>
        <w:t>附件：《服务质量月度考核表》</w:t>
      </w:r>
    </w:p>
    <w:p>
      <w:pPr>
        <w:pStyle w:val="null3"/>
        <w:ind w:firstLine="400"/>
        <w:jc w:val="left"/>
      </w:pPr>
      <w:r>
        <w:rPr>
          <w:sz w:val="20"/>
        </w:rPr>
        <w:t>（以下无正文）</w:t>
      </w:r>
    </w:p>
    <w:p>
      <w:pPr>
        <w:pStyle w:val="null3"/>
        <w:ind w:firstLine="400"/>
        <w:jc w:val="left"/>
      </w:pPr>
      <w:r>
        <w:rPr>
          <w:sz w:val="20"/>
          <w:b/>
        </w:rPr>
        <w:t>甲方（盖章）：</w:t>
      </w:r>
      <w:r>
        <w:rPr>
          <w:sz w:val="20"/>
        </w:rPr>
        <w:t xml:space="preserve"> </w:t>
      </w:r>
      <w:r>
        <w:rPr>
          <w:sz w:val="20"/>
        </w:rPr>
        <w:t>东莞市常平镇社区卫生服务中心</w:t>
      </w:r>
    </w:p>
    <w:p>
      <w:pPr>
        <w:pStyle w:val="null3"/>
        <w:jc w:val="left"/>
      </w:pPr>
      <w:r>
        <w:rPr>
          <w:sz w:val="20"/>
          <w:b/>
        </w:rPr>
        <w:t>法定代表人</w:t>
      </w:r>
      <w:r>
        <w:rPr>
          <w:sz w:val="20"/>
          <w:b/>
        </w:rPr>
        <w:t>/ 授权代表（签字）：</w:t>
      </w:r>
      <w:r>
        <w:rPr>
          <w:sz w:val="20"/>
        </w:rPr>
        <w:t xml:space="preserve"> </w:t>
      </w:r>
      <w:r>
        <w:rPr>
          <w:sz w:val="20"/>
        </w:rPr>
        <w:t>________________________</w:t>
      </w:r>
    </w:p>
    <w:p>
      <w:pPr>
        <w:pStyle w:val="null3"/>
        <w:jc w:val="left"/>
      </w:pPr>
      <w:r>
        <w:rPr>
          <w:sz w:val="20"/>
          <w:b/>
        </w:rPr>
        <w:t>日期：</w:t>
      </w:r>
      <w:r>
        <w:rPr>
          <w:sz w:val="20"/>
        </w:rPr>
        <w:t xml:space="preserve"> </w:t>
      </w:r>
      <w:r>
        <w:rPr>
          <w:sz w:val="20"/>
        </w:rPr>
        <w:t>______年____月____日</w:t>
      </w:r>
    </w:p>
    <w:p>
      <w:pPr>
        <w:pStyle w:val="null3"/>
        <w:jc w:val="left"/>
      </w:pPr>
      <w:r>
        <w:rPr>
          <w:sz w:val="20"/>
          <w:b/>
        </w:rPr>
        <w:t>乙方（盖章）：</w:t>
      </w:r>
      <w:r>
        <w:rPr>
          <w:sz w:val="20"/>
        </w:rPr>
        <w:t xml:space="preserve"> </w:t>
      </w:r>
      <w:r>
        <w:rPr>
          <w:sz w:val="20"/>
        </w:rPr>
        <w:t>________________________</w:t>
      </w:r>
    </w:p>
    <w:p>
      <w:pPr>
        <w:pStyle w:val="null3"/>
        <w:jc w:val="left"/>
      </w:pPr>
      <w:r>
        <w:rPr>
          <w:sz w:val="20"/>
          <w:b/>
        </w:rPr>
        <w:t>法定代表人</w:t>
      </w:r>
      <w:r>
        <w:rPr>
          <w:sz w:val="20"/>
          <w:b/>
        </w:rPr>
        <w:t>/ 授权代表（签字）：</w:t>
      </w:r>
      <w:r>
        <w:rPr>
          <w:sz w:val="20"/>
        </w:rPr>
        <w:t xml:space="preserve"> </w:t>
      </w:r>
      <w:r>
        <w:rPr>
          <w:sz w:val="20"/>
        </w:rPr>
        <w:t>________________________</w:t>
      </w:r>
    </w:p>
    <w:p>
      <w:pPr>
        <w:pStyle w:val="null3"/>
        <w:jc w:val="left"/>
      </w:pPr>
      <w:r>
        <w:rPr>
          <w:sz w:val="20"/>
          <w:b/>
        </w:rPr>
        <w:t>日期：</w:t>
      </w:r>
      <w:r>
        <w:rPr>
          <w:sz w:val="20"/>
        </w:rPr>
        <w:t xml:space="preserve"> </w:t>
      </w:r>
      <w:r>
        <w:rPr>
          <w:sz w:val="20"/>
        </w:rPr>
        <w:t>______年____月____日</w:t>
      </w:r>
    </w:p>
    <w:p>
      <w:pPr>
        <w:pStyle w:val="null3"/>
        <w:jc w:val="left"/>
      </w:pPr>
      <w:r>
        <w:rPr/>
        <w:t xml:space="preserve"> </w:t>
      </w:r>
    </w:p>
    <w:p>
      <w:pPr>
        <w:pStyle w:val="null3"/>
        <w:jc w:val="both"/>
      </w:pPr>
      <w:r>
        <w:rPr>
          <w:sz w:val="20"/>
          <w:b/>
        </w:rPr>
        <w:t>附件</w:t>
      </w:r>
      <w:r>
        <w:rPr>
          <w:sz w:val="20"/>
          <w:b/>
        </w:rPr>
        <w:t>《服务质量月度考核表》</w:t>
      </w:r>
    </w:p>
    <w:p>
      <w:pPr>
        <w:pStyle w:val="null3"/>
        <w:jc w:val="both"/>
      </w:pPr>
      <w:r>
        <w:rPr>
          <w:sz w:val="20"/>
          <w:b/>
        </w:rPr>
        <w:t>1.考核流程</w:t>
      </w:r>
    </w:p>
    <w:p>
      <w:pPr>
        <w:pStyle w:val="null3"/>
        <w:jc w:val="both"/>
      </w:pPr>
      <w:r>
        <w:rPr>
          <w:sz w:val="20"/>
          <w:b/>
        </w:rPr>
        <w:t>（</w:t>
      </w:r>
      <w:r>
        <w:rPr>
          <w:sz w:val="20"/>
          <w:b/>
        </w:rPr>
        <w:t>1）每月5日前，甲方汇总上月服务质量数据，完成考核评分；</w:t>
      </w:r>
    </w:p>
    <w:p>
      <w:pPr>
        <w:pStyle w:val="null3"/>
        <w:jc w:val="both"/>
      </w:pPr>
      <w:r>
        <w:rPr>
          <w:sz w:val="20"/>
          <w:b/>
        </w:rPr>
        <w:t>（</w:t>
      </w:r>
      <w:r>
        <w:rPr>
          <w:sz w:val="20"/>
          <w:b/>
        </w:rPr>
        <w:t>2）每月8日前，将考核结果书面通知乙方；</w:t>
      </w:r>
    </w:p>
    <w:p>
      <w:pPr>
        <w:pStyle w:val="null3"/>
        <w:jc w:val="both"/>
      </w:pPr>
      <w:r>
        <w:rPr>
          <w:sz w:val="20"/>
          <w:b/>
        </w:rPr>
        <w:t>（</w:t>
      </w:r>
      <w:r>
        <w:rPr>
          <w:sz w:val="20"/>
          <w:b/>
        </w:rPr>
        <w:t>3）乙方对考核结果有异议的，应在收到通知后3个工作日内提出书面申辩并附证明材料，逾期视为认可；</w:t>
      </w:r>
    </w:p>
    <w:p>
      <w:pPr>
        <w:pStyle w:val="null3"/>
        <w:jc w:val="both"/>
      </w:pPr>
      <w:r>
        <w:rPr>
          <w:sz w:val="20"/>
          <w:b/>
        </w:rPr>
        <w:t>（</w:t>
      </w:r>
      <w:r>
        <w:rPr>
          <w:sz w:val="20"/>
          <w:b/>
        </w:rPr>
        <w:t>4）每月15日前，双方确认最终考核结果并签字存档。</w:t>
      </w:r>
    </w:p>
    <w:p>
      <w:pPr>
        <w:pStyle w:val="null3"/>
        <w:jc w:val="both"/>
      </w:pPr>
      <w:r>
        <w:rPr>
          <w:sz w:val="20"/>
          <w:b/>
        </w:rPr>
        <w:t>2.月度考核评分表</w:t>
      </w:r>
    </w:p>
    <w:tbl>
      <w:tblPr>
        <w:tblW w:w="0" w:type="auto"/>
        <w:tblBorders>
          <w:top w:val="none" w:color="000000" w:sz="4"/>
          <w:left w:val="none" w:color="000000" w:sz="4"/>
          <w:bottom w:val="none" w:color="000000" w:sz="4"/>
          <w:right w:val="none" w:color="000000" w:sz="4"/>
          <w:insideH w:val="none"/>
          <w:insideV w:val="none"/>
        </w:tblBorders>
      </w:tblPr>
      <w:tblGrid>
        <w:gridCol w:w="848"/>
        <w:gridCol w:w="1646"/>
        <w:gridCol w:w="748"/>
        <w:gridCol w:w="461"/>
        <w:gridCol w:w="2731"/>
        <w:gridCol w:w="1172"/>
        <w:gridCol w:w="698"/>
      </w:tblGrid>
      <w:tr>
        <w:tc>
          <w:tcPr>
            <w:tcW w:type="dxa" w:w="848"/>
            <w:tcBorders>
              <w:top w:val="single" w:color="1A568E"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类别</w:t>
            </w:r>
          </w:p>
          <w:p>
            <w:pPr>
              <w:pStyle w:val="null3"/>
              <w:spacing w:before="15" w:after="15"/>
              <w:jc w:val="center"/>
            </w:pPr>
            <w:r>
              <w:rPr>
                <w:sz w:val="20"/>
                <w:b/>
              </w:rPr>
              <w:t>(权重)</w:t>
            </w:r>
          </w:p>
        </w:tc>
        <w:tc>
          <w:tcPr>
            <w:tcW w:type="dxa" w:w="1646"/>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考核指标</w:t>
            </w:r>
          </w:p>
        </w:tc>
        <w:tc>
          <w:tcPr>
            <w:tcW w:type="dxa" w:w="748"/>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目标值</w:t>
            </w:r>
          </w:p>
        </w:tc>
        <w:tc>
          <w:tcPr>
            <w:tcW w:type="dxa" w:w="461"/>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满分</w:t>
            </w:r>
          </w:p>
        </w:tc>
        <w:tc>
          <w:tcPr>
            <w:tcW w:type="dxa" w:w="2731"/>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评分标准</w:t>
            </w:r>
          </w:p>
        </w:tc>
        <w:tc>
          <w:tcPr>
            <w:tcW w:type="dxa" w:w="1172"/>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扣分说明</w:t>
            </w:r>
          </w:p>
        </w:tc>
        <w:tc>
          <w:tcPr>
            <w:tcW w:type="dxa" w:w="698"/>
            <w:tcBorders>
              <w:top w:val="single" w:color="1A568E" w:sz="4"/>
              <w:left w:val="single" w:color="999999" w:sz="4"/>
              <w:bottom w:val="single" w:color="999999"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b/>
              </w:rPr>
              <w:t>得分</w:t>
            </w:r>
          </w:p>
        </w:tc>
      </w:tr>
      <w:tr>
        <w:tc>
          <w:tcPr>
            <w:tcW w:type="dxa" w:w="848"/>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报告及时率</w:t>
            </w:r>
          </w:p>
          <w:p>
            <w:pPr>
              <w:pStyle w:val="null3"/>
              <w:spacing w:before="15" w:after="15"/>
              <w:jc w:val="center"/>
            </w:pPr>
            <w:r>
              <w:rPr>
                <w:sz w:val="20"/>
                <w:b/>
              </w:rPr>
              <w:t>(25%)</w:t>
            </w: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常规报告按时出具率</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≥95%</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12</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=12×(实际÷95%)；每月抽查≥20%</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急诊报告按时出具率</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≥98%</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8</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=8×(实际÷98%)</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当天</w:t>
            </w:r>
            <w:r>
              <w:rPr>
                <w:sz w:val="20"/>
              </w:rPr>
              <w:t>16:00前出具率</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=5×(实际÷90%)</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报告准确率</w:t>
            </w:r>
          </w:p>
          <w:p>
            <w:pPr>
              <w:pStyle w:val="null3"/>
              <w:spacing w:before="15" w:after="15"/>
              <w:jc w:val="center"/>
            </w:pPr>
            <w:r>
              <w:rPr>
                <w:sz w:val="20"/>
                <w:b/>
              </w:rPr>
              <w:t>(25%)</w:t>
            </w: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月度抽查准确率</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≥99.5%</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=15×(实际÷99.5%)；错误1份扣3分</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报告格式规范性</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不规范</w:t>
            </w:r>
            <w:r>
              <w:rPr>
                <w:sz w:val="20"/>
              </w:rPr>
              <w:t>1份扣1分（缺签名/日期/参考范围等）</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每日室内质控执行</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每日在控</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缺</w:t>
            </w:r>
            <w:r>
              <w:rPr>
                <w:sz w:val="20"/>
              </w:rPr>
              <w:t>1天扣2分；失控未纠正该项0分</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标本管理</w:t>
            </w:r>
          </w:p>
          <w:p>
            <w:pPr>
              <w:pStyle w:val="null3"/>
              <w:spacing w:before="15" w:after="15"/>
              <w:jc w:val="center"/>
            </w:pPr>
            <w:r>
              <w:rPr>
                <w:sz w:val="20"/>
                <w:b/>
              </w:rPr>
              <w:t>(15%)</w:t>
            </w: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标本退回率</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≤2%</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6</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超出部分每</w:t>
            </w:r>
            <w:r>
              <w:rPr>
                <w:sz w:val="20"/>
              </w:rPr>
              <w:t>1%扣0.5分</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运输温度达标率</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异常</w:t>
            </w:r>
            <w:r>
              <w:rPr>
                <w:sz w:val="20"/>
              </w:rPr>
              <w:t>&gt;30分钟扣2分/次；记录缺失扣1分/天</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标本丢失</w:t>
            </w:r>
            <w:r>
              <w:rPr>
                <w:sz w:val="20"/>
              </w:rPr>
              <w:t>/损坏</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0次</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4</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丢失扣</w:t>
            </w:r>
            <w:r>
              <w:rPr>
                <w:sz w:val="20"/>
              </w:rPr>
              <w:t>2分/份；损坏扣1分/份；隐瞒该项0分</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危急值管理</w:t>
            </w:r>
          </w:p>
          <w:p>
            <w:pPr>
              <w:pStyle w:val="null3"/>
              <w:spacing w:before="15" w:after="15"/>
              <w:jc w:val="center"/>
            </w:pPr>
            <w:r>
              <w:rPr>
                <w:sz w:val="20"/>
                <w:b/>
              </w:rPr>
              <w:t>(20%)</w:t>
            </w: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危急值</w:t>
            </w:r>
            <w:r>
              <w:rPr>
                <w:sz w:val="20"/>
              </w:rPr>
              <w:t>15分钟内通报率</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&lt;100%：95%+得8分；90%+得5分；&lt;90%得0分；漏报该项0分并加扣10分</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危急值记录完整性</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缺</w:t>
            </w:r>
            <w:r>
              <w:rPr>
                <w:sz w:val="20"/>
              </w:rPr>
              <w:t>1份扣1分；关键信息缺失扣1分/项</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危急值</w:t>
            </w:r>
            <w:r>
              <w:rPr>
                <w:sz w:val="20"/>
              </w:rPr>
              <w:t>1h临床确认闭环</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≥95%得3分；&lt;95%得0分</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val="restart"/>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jc w:val="center"/>
            </w:pPr>
            <w:r>
              <w:rPr>
                <w:sz w:val="20"/>
                <w:b/>
              </w:rPr>
              <w:t>客户服务</w:t>
            </w:r>
          </w:p>
          <w:p>
            <w:pPr>
              <w:pStyle w:val="null3"/>
              <w:spacing w:before="15" w:after="15"/>
              <w:jc w:val="center"/>
            </w:pPr>
            <w:r>
              <w:rPr>
                <w:sz w:val="20"/>
                <w:b/>
              </w:rPr>
              <w:t>(15%)</w:t>
            </w: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临床科室满意度</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得分</w:t>
            </w:r>
            <w:r>
              <w:rPr>
                <w:sz w:val="20"/>
              </w:rPr>
              <w:t>=5×(实际÷90%)</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投诉</w:t>
            </w:r>
            <w:r>
              <w:rPr>
                <w:sz w:val="20"/>
              </w:rPr>
              <w:t>24h响应、3日办结</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超时响应扣</w:t>
            </w:r>
            <w:r>
              <w:rPr>
                <w:sz w:val="20"/>
              </w:rPr>
              <w:t>2分/次；超时办结扣1分/次；重复投诉扣3分/次</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848"/>
            <w:vMerge/>
            <w:tcBorders>
              <w:top w:val="single" w:color="999999" w:sz="4"/>
              <w:left w:val="single" w:color="1A568E" w:sz="4"/>
              <w:bottom w:val="single" w:color="999999" w:sz="4"/>
              <w:right w:val="single" w:color="999999" w:sz="4"/>
            </w:tcBorders>
          </w:tcPr>
          <w:p/>
        </w:tc>
        <w:tc>
          <w:tcPr>
            <w:tcW w:type="dxa" w:w="1646"/>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jc w:val="left"/>
            </w:pPr>
            <w:r>
              <w:rPr>
                <w:sz w:val="20"/>
              </w:rPr>
              <w:t>日常沟通配合度</w:t>
            </w:r>
          </w:p>
        </w:tc>
        <w:tc>
          <w:tcPr>
            <w:tcW w:type="dxa" w:w="748"/>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及时响应</w:t>
            </w:r>
          </w:p>
        </w:tc>
        <w:tc>
          <w:tcPr>
            <w:tcW w:type="dxa" w:w="46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5</w:t>
            </w:r>
          </w:p>
        </w:tc>
        <w:tc>
          <w:tcPr>
            <w:tcW w:type="dxa" w:w="273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left"/>
            </w:pPr>
            <w:r>
              <w:rPr>
                <w:sz w:val="20"/>
              </w:rPr>
              <w:t>主动沟通</w:t>
            </w:r>
            <w:r>
              <w:rPr>
                <w:sz w:val="20"/>
              </w:rPr>
              <w:t>5分；被动3分；推诿延迟扣1-3分/次</w:t>
            </w:r>
          </w:p>
        </w:tc>
        <w:tc>
          <w:tcPr>
            <w:tcW w:type="dxa" w:w="1172"/>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p>
        </w:tc>
        <w:tc>
          <w:tcPr>
            <w:tcW w:type="dxa" w:w="698"/>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tc>
      </w:tr>
      <w:tr>
        <w:tc>
          <w:tcPr>
            <w:tcW w:type="dxa" w:w="7606"/>
            <w:gridSpan w:val="6"/>
            <w:tcBorders>
              <w:top w:val="single" w:color="999999" w:sz="4"/>
              <w:left w:val="single" w:color="1A568E" w:sz="4"/>
              <w:bottom w:val="single" w:color="1A568E" w:sz="4"/>
              <w:right w:val="single" w:color="999999" w:sz="4"/>
            </w:tcBorders>
            <w:shd w:fill="FFFFFF"/>
            <w:tcMar>
              <w:top w:type="dxa" w:w="0"/>
              <w:left w:type="dxa" w:w="105"/>
              <w:bottom w:type="dxa" w:w="0"/>
              <w:right w:type="dxa" w:w="105"/>
            </w:tcMar>
            <w:vAlign w:val="top"/>
          </w:tcPr>
          <w:p>
            <w:pPr>
              <w:pStyle w:val="null3"/>
              <w:jc w:val="center"/>
            </w:pPr>
            <w:r>
              <w:rPr>
                <w:sz w:val="20"/>
                <w:b/>
              </w:rPr>
              <w:t>合</w:t>
            </w:r>
            <w:r>
              <w:rPr>
                <w:sz w:val="20"/>
                <w:b/>
              </w:rPr>
              <w:t xml:space="preserve">  </w:t>
            </w:r>
            <w:r>
              <w:rPr>
                <w:sz w:val="20"/>
                <w:b/>
              </w:rPr>
              <w:t>计</w:t>
            </w:r>
          </w:p>
        </w:tc>
        <w:tc>
          <w:tcPr>
            <w:tcW w:type="dxa" w:w="698"/>
            <w:tcBorders>
              <w:top w:val="single" w:color="999999" w:sz="4"/>
              <w:left w:val="single" w:color="999999" w:sz="4"/>
              <w:bottom w:val="single" w:color="1A568E" w:sz="4"/>
              <w:right w:val="single" w:color="1A568E" w:sz="4"/>
            </w:tcBorders>
            <w:shd w:fill="FFFFFF"/>
            <w:tcMar>
              <w:top w:type="dxa" w:w="0"/>
              <w:left w:type="dxa" w:w="105"/>
              <w:bottom w:type="dxa" w:w="0"/>
              <w:right w:type="dxa" w:w="105"/>
            </w:tcMar>
            <w:vAlign w:val="top"/>
          </w:tcPr>
          <w:p>
            <w:pPr>
              <w:pStyle w:val="null3"/>
              <w:spacing w:before="15" w:after="15"/>
              <w:jc w:val="center"/>
            </w:pPr>
          </w:p>
        </w:tc>
      </w:tr>
    </w:tbl>
    <w:p>
      <w:pPr>
        <w:pStyle w:val="null3"/>
        <w:jc w:val="both"/>
      </w:pPr>
      <w:r>
        <w:rPr>
          <w:sz w:val="20"/>
          <w:b/>
        </w:rPr>
        <w:t>3.</w:t>
      </w:r>
      <w:r>
        <w:rPr>
          <w:sz w:val="20"/>
          <w:b/>
        </w:rPr>
        <w:t>考核结果应用</w:t>
      </w:r>
    </w:p>
    <w:tbl>
      <w:tblPr>
        <w:tblW w:w="0" w:type="auto"/>
        <w:tblBorders>
          <w:top w:val="none" w:color="000000" w:sz="4"/>
          <w:left w:val="none" w:color="000000" w:sz="4"/>
          <w:bottom w:val="none" w:color="000000" w:sz="4"/>
          <w:right w:val="none" w:color="000000" w:sz="4"/>
          <w:insideH w:val="none"/>
          <w:insideV w:val="none"/>
        </w:tblBorders>
      </w:tblPr>
      <w:tblGrid>
        <w:gridCol w:w="766"/>
        <w:gridCol w:w="1099"/>
        <w:gridCol w:w="1070"/>
        <w:gridCol w:w="1143"/>
        <w:gridCol w:w="2011"/>
        <w:gridCol w:w="2185"/>
      </w:tblGrid>
      <w:tr>
        <w:tc>
          <w:tcPr>
            <w:tcW w:type="dxa" w:w="766"/>
            <w:tcBorders>
              <w:top w:val="single" w:color="1A568E"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等级</w:t>
            </w:r>
          </w:p>
        </w:tc>
        <w:tc>
          <w:tcPr>
            <w:tcW w:type="dxa" w:w="1099"/>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A（优秀）</w:t>
            </w:r>
          </w:p>
        </w:tc>
        <w:tc>
          <w:tcPr>
            <w:tcW w:type="dxa" w:w="1070"/>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B（良好）</w:t>
            </w:r>
          </w:p>
        </w:tc>
        <w:tc>
          <w:tcPr>
            <w:tcW w:type="dxa" w:w="1143"/>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C（合格）</w:t>
            </w:r>
          </w:p>
        </w:tc>
        <w:tc>
          <w:tcPr>
            <w:tcW w:type="dxa" w:w="2011"/>
            <w:tcBorders>
              <w:top w:val="single" w:color="1A568E"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b/>
              </w:rPr>
              <w:t>D（不合格）</w:t>
            </w:r>
          </w:p>
        </w:tc>
        <w:tc>
          <w:tcPr>
            <w:tcW w:type="dxa" w:w="2185"/>
            <w:tcBorders>
              <w:top w:val="single" w:color="1A568E" w:sz="4"/>
              <w:left w:val="single" w:color="999999" w:sz="4"/>
              <w:bottom w:val="single" w:color="999999"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b/>
              </w:rPr>
              <w:t>E（严重不合格）</w:t>
            </w:r>
          </w:p>
        </w:tc>
      </w:tr>
      <w:tr>
        <w:tc>
          <w:tcPr>
            <w:tcW w:type="dxa" w:w="766"/>
            <w:tcBorders>
              <w:top w:val="single" w:color="999999" w:sz="4"/>
              <w:left w:val="single" w:color="1A568E"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得分</w:t>
            </w:r>
          </w:p>
        </w:tc>
        <w:tc>
          <w:tcPr>
            <w:tcW w:type="dxa" w:w="1099"/>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≥90分</w:t>
            </w:r>
          </w:p>
        </w:tc>
        <w:tc>
          <w:tcPr>
            <w:tcW w:type="dxa" w:w="1070"/>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80-89分</w:t>
            </w:r>
          </w:p>
        </w:tc>
        <w:tc>
          <w:tcPr>
            <w:tcW w:type="dxa" w:w="1143"/>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70-79分</w:t>
            </w:r>
          </w:p>
        </w:tc>
        <w:tc>
          <w:tcPr>
            <w:tcW w:type="dxa" w:w="2011"/>
            <w:tcBorders>
              <w:top w:val="single" w:color="999999" w:sz="4"/>
              <w:left w:val="single" w:color="999999" w:sz="4"/>
              <w:bottom w:val="single" w:color="999999"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60-69分</w:t>
            </w:r>
          </w:p>
        </w:tc>
        <w:tc>
          <w:tcPr>
            <w:tcW w:type="dxa" w:w="2185"/>
            <w:tcBorders>
              <w:top w:val="single" w:color="999999" w:sz="4"/>
              <w:left w:val="single" w:color="999999" w:sz="4"/>
              <w:bottom w:val="single" w:color="999999"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rPr>
              <w:t>&lt;60分</w:t>
            </w:r>
          </w:p>
        </w:tc>
      </w:tr>
      <w:tr>
        <w:tc>
          <w:tcPr>
            <w:tcW w:type="dxa" w:w="766"/>
            <w:tcBorders>
              <w:top w:val="single" w:color="999999" w:sz="4"/>
              <w:left w:val="single" w:color="1A568E"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结算</w:t>
            </w:r>
          </w:p>
        </w:tc>
        <w:tc>
          <w:tcPr>
            <w:tcW w:type="dxa" w:w="1099"/>
            <w:tcBorders>
              <w:top w:val="single" w:color="999999" w:sz="4"/>
              <w:left w:val="single" w:color="999999"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100%结算</w:t>
            </w:r>
          </w:p>
        </w:tc>
        <w:tc>
          <w:tcPr>
            <w:tcW w:type="dxa" w:w="2213"/>
            <w:gridSpan w:val="2"/>
            <w:tcBorders>
              <w:top w:val="single" w:color="999999" w:sz="4"/>
              <w:left w:val="single" w:color="999999"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按得分</w:t>
            </w:r>
            <w:r>
              <w:rPr>
                <w:sz w:val="20"/>
              </w:rPr>
              <w:t>%折算</w:t>
            </w:r>
          </w:p>
        </w:tc>
        <w:tc>
          <w:tcPr>
            <w:tcW w:type="dxa" w:w="2011"/>
            <w:tcBorders>
              <w:top w:val="single" w:color="999999" w:sz="4"/>
              <w:left w:val="single" w:color="999999" w:sz="4"/>
              <w:bottom w:val="single" w:color="1A568E" w:sz="4"/>
              <w:right w:val="single" w:color="999999" w:sz="4"/>
            </w:tcBorders>
            <w:shd w:fill="FFFFFF"/>
            <w:tcMar>
              <w:top w:type="dxa" w:w="0"/>
              <w:left w:type="dxa" w:w="105"/>
              <w:bottom w:type="dxa" w:w="0"/>
              <w:right w:type="dxa" w:w="105"/>
            </w:tcMar>
            <w:vAlign w:val="top"/>
          </w:tcPr>
          <w:p>
            <w:pPr>
              <w:pStyle w:val="null3"/>
              <w:spacing w:before="15" w:after="15"/>
              <w:jc w:val="center"/>
            </w:pPr>
            <w:r>
              <w:rPr>
                <w:sz w:val="20"/>
              </w:rPr>
              <w:t>按得分</w:t>
            </w:r>
            <w:r>
              <w:rPr>
                <w:sz w:val="20"/>
              </w:rPr>
              <w:t>%折算</w:t>
            </w:r>
          </w:p>
          <w:p>
            <w:pPr>
              <w:pStyle w:val="null3"/>
              <w:spacing w:before="15" w:after="15"/>
              <w:jc w:val="center"/>
            </w:pPr>
            <w:r>
              <w:rPr>
                <w:sz w:val="20"/>
              </w:rPr>
              <w:t>另扣减</w:t>
            </w:r>
            <w:r>
              <w:rPr>
                <w:sz w:val="20"/>
              </w:rPr>
              <w:t>当月服务费</w:t>
            </w:r>
            <w:r>
              <w:rPr>
                <w:sz w:val="20"/>
              </w:rPr>
              <w:t>5%</w:t>
            </w:r>
          </w:p>
        </w:tc>
        <w:tc>
          <w:tcPr>
            <w:tcW w:type="dxa" w:w="2185"/>
            <w:tcBorders>
              <w:top w:val="single" w:color="999999" w:sz="4"/>
              <w:left w:val="single" w:color="999999" w:sz="4"/>
              <w:bottom w:val="single" w:color="1A568E" w:sz="4"/>
              <w:right w:val="single" w:color="1A568E" w:sz="4"/>
            </w:tcBorders>
            <w:shd w:fill="FFFFFF"/>
            <w:tcMar>
              <w:top w:type="dxa" w:w="0"/>
              <w:left w:type="dxa" w:w="105"/>
              <w:bottom w:type="dxa" w:w="0"/>
              <w:right w:type="dxa" w:w="105"/>
            </w:tcMar>
            <w:vAlign w:val="top"/>
          </w:tcPr>
          <w:p>
            <w:pPr>
              <w:pStyle w:val="null3"/>
              <w:spacing w:before="15" w:after="15"/>
              <w:jc w:val="center"/>
            </w:pPr>
            <w:r>
              <w:rPr>
                <w:sz w:val="20"/>
              </w:rPr>
              <w:t>按得分</w:t>
            </w:r>
            <w:r>
              <w:rPr>
                <w:sz w:val="20"/>
              </w:rPr>
              <w:t>%折算</w:t>
            </w:r>
          </w:p>
          <w:p>
            <w:pPr>
              <w:pStyle w:val="null3"/>
              <w:spacing w:before="15" w:after="15"/>
              <w:jc w:val="center"/>
            </w:pPr>
            <w:r>
              <w:rPr>
                <w:sz w:val="20"/>
              </w:rPr>
              <w:t>另扣减</w:t>
            </w:r>
            <w:r>
              <w:rPr>
                <w:sz w:val="20"/>
              </w:rPr>
              <w:t>当月服务费</w:t>
            </w:r>
            <w:r>
              <w:rPr>
                <w:sz w:val="20"/>
              </w:rPr>
              <w:t>10%</w:t>
            </w:r>
          </w:p>
          <w:p>
            <w:pPr>
              <w:pStyle w:val="null3"/>
              <w:spacing w:before="15" w:after="15"/>
              <w:jc w:val="center"/>
            </w:pPr>
            <w:r>
              <w:rPr>
                <w:sz w:val="20"/>
              </w:rPr>
              <w:t>暂停业务整改</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441900018-2026-00390</w:t>
      </w:r>
    </w:p>
    <w:p>
      <w:pPr>
        <w:pStyle w:val="null3"/>
        <w:jc w:val="center"/>
        <w:outlineLvl w:val="3"/>
      </w:pPr>
      <w:r>
        <w:rPr>
          <w:sz w:val="24"/>
          <w:b/>
        </w:rPr>
        <w:t>采购项目编号：</w:t>
      </w:r>
      <w:r>
        <w:rPr>
          <w:sz w:val="24"/>
          <w:b/>
        </w:rPr>
        <w:t>441900018-2026-00390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和盛咨询（广东）有限公司</w:t>
      </w:r>
    </w:p>
    <w:p>
      <w:pPr>
        <w:pStyle w:val="null3"/>
        <w:ind w:firstLine="480"/>
      </w:pPr>
      <w:r>
        <w:rPr/>
        <w:t xml:space="preserve"> 你方组织的</w:t>
      </w:r>
      <w:r>
        <w:rPr>
          <w:u w:val="single"/>
        </w:rPr>
        <w:t>“</w:t>
      </w:r>
      <w:r>
        <w:rPr>
          <w:u w:val="single"/>
        </w:rPr>
        <w:t>东莞市常平镇社区卫生服务中心部分检验项目外送采购项目</w:t>
      </w:r>
      <w:r>
        <w:rPr>
          <w:u w:val="single"/>
        </w:rPr>
        <w:t>”</w:t>
      </w:r>
      <w:r>
        <w:rPr/>
        <w:t>项目的招标[采购项目编号为：</w:t>
      </w:r>
      <w:r>
        <w:rPr>
          <w:u w:val="single"/>
        </w:rPr>
        <w:t>441900018-2026-00390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东莞市常平镇社区卫生服务中心部分检验项目外送采购项目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和盛咨询（广东）有限公司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东莞市常平镇社区卫生服务中心部分检验项目外送采购项目</w:t>
      </w:r>
      <w:r>
        <w:rPr/>
        <w:t>”项目采购[采购项目编号为</w:t>
      </w:r>
      <w:r>
        <w:rPr/>
        <w:t>441900018-2026-00390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东莞市常平镇社区卫生服务中心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和盛咨询（广东）有限公司</w:t>
      </w:r>
    </w:p>
    <w:p>
      <w:pPr>
        <w:pStyle w:val="null3"/>
        <w:ind w:firstLine="480"/>
      </w:pPr>
      <w:r>
        <w:rPr/>
        <w:t xml:space="preserve"> 如果我方在贵采购代理机构组织的</w:t>
      </w:r>
      <w:r>
        <w:rPr/>
        <w:t>东莞市常平镇社区卫生服务中心部分检验项目外送采购项目</w:t>
      </w:r>
      <w:r>
        <w:rPr/>
        <w:t>招标中获中标（采购项目编号：</w:t>
      </w:r>
      <w:r>
        <w:rPr/>
        <w:t>441900018-2026-00390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和盛咨询（广东）有限公司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和盛咨询（广东）有限公司</w:t>
      </w:r>
    </w:p>
    <w:p>
      <w:pPr>
        <w:pStyle w:val="null3"/>
        <w:ind w:firstLine="480"/>
      </w:pPr>
      <w:r>
        <w:rPr/>
        <w:t>我单位已登记并准备参与“</w:t>
      </w:r>
      <w:r>
        <w:rPr/>
        <w:t>东莞市常平镇社区卫生服务中心部分检验项目外送采购项目</w:t>
      </w:r>
      <w:r>
        <w:rPr/>
        <w:t>”项目（采购项目编号：</w:t>
      </w:r>
      <w:r>
        <w:rPr/>
        <w:t>441900018-2026-00390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