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机械学院图像采集与处理相关设备采购项目</w:t>
      </w:r>
    </w:p>
    <w:p>
      <w:pPr>
        <w:pStyle w:val="null3"/>
        <w:jc w:val="center"/>
        <w:outlineLvl w:val="2"/>
      </w:pPr>
      <w:r>
        <w:rPr>
          <w:sz w:val="28"/>
          <w:b/>
        </w:rPr>
        <w:t>备案编号：</w:t>
      </w:r>
      <w:r>
        <w:rPr>
          <w:sz w:val="28"/>
          <w:b/>
        </w:rPr>
        <w:t>CGXM-2024-350001-12883[2024]08882</w:t>
      </w:r>
    </w:p>
    <w:p>
      <w:pPr>
        <w:pStyle w:val="null3"/>
        <w:jc w:val="center"/>
        <w:outlineLvl w:val="2"/>
      </w:pPr>
      <w:r>
        <w:rPr>
          <w:sz w:val="28"/>
          <w:b/>
        </w:rPr>
        <w:t>项目编号：</w:t>
      </w:r>
      <w:r>
        <w:rPr>
          <w:sz w:val="28"/>
          <w:b/>
        </w:rPr>
        <w:t>[350001]FJXFZB[GK]2024035</w:t>
      </w:r>
    </w:p>
    <w:p>
      <w:pPr>
        <w:pStyle w:val="null3"/>
        <w:jc w:val="center"/>
        <w:outlineLvl w:val="2"/>
      </w:pPr>
      <w:r>
        <w:rPr>
          <w:sz w:val="28"/>
          <w:b/>
        </w:rPr>
        <w:t>采购人：</w:t>
      </w:r>
      <w:r>
        <w:rPr>
          <w:sz w:val="28"/>
          <w:b/>
        </w:rPr>
        <w:t>福州大学</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2024年11月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机械学院图像采集与处理相关设备采购项目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CGXM-2024-350001-12883[2024]08882</w:t>
      </w:r>
    </w:p>
    <w:p>
      <w:pPr>
        <w:pStyle w:val="null3"/>
        <w:ind w:firstLine="480"/>
        <w:jc w:val="left"/>
        <w:outlineLvl w:val="2"/>
      </w:pPr>
      <w:r>
        <w:rPr>
          <w:sz w:val="28"/>
          <w:b/>
        </w:rPr>
        <w:t>2、项目编号</w:t>
      </w:r>
      <w:r>
        <w:rPr>
          <w:sz w:val="28"/>
          <w:b/>
        </w:rPr>
        <w:t>：</w:t>
      </w:r>
      <w:r>
        <w:rPr>
          <w:sz w:val="28"/>
          <w:b/>
        </w:rPr>
        <w:t>[350001]FJXFZB[GK]2024035</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适用于本项目，按照《关于印发节能产品政府采购品目清单的通知》财库〔2019〕19号执行。</w:t>
      </w:r>
    </w:p>
    <w:p>
      <w:pPr>
        <w:pStyle w:val="null3"/>
        <w:ind w:firstLine="960"/>
        <w:jc w:val="left"/>
      </w:pPr>
      <w:r>
        <w:rPr/>
        <w:t>环境标志产品：</w:t>
      </w:r>
      <w:r>
        <w:rPr/>
        <w:t>适用于本项目，按照《关于印发环境标志产品政府采购品目清单的通知》财库〔2019〕18号执行。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招标文件规定的其他资格证明文件(若有)</w:t>
            </w:r>
          </w:p>
        </w:tc>
        <w:tc>
          <w:tcPr>
            <w:tcW w:type="dxa" w:w="4614"/>
          </w:tcPr>
          <w:p>
            <w:pPr>
              <w:pStyle w:val="null3"/>
              <w:jc w:val="left"/>
            </w:pPr>
            <w:r>
              <w:rPr/>
              <w:t>投标人若所投产品属国家强制节能的，提供国家确定的认证机构出具的、处于有效期之内的节能产品认证证书复印件。</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福州大学</w:t>
      </w:r>
    </w:p>
    <w:p>
      <w:pPr>
        <w:pStyle w:val="null3"/>
        <w:ind w:firstLine="960"/>
        <w:jc w:val="left"/>
      </w:pPr>
      <w:r>
        <w:rPr/>
        <w:t xml:space="preserve"> 地址： </w:t>
      </w:r>
      <w:r>
        <w:rPr/>
        <w:t>福建省福州市福州大学城乌龙江北大道2号</w:t>
      </w:r>
    </w:p>
    <w:p>
      <w:pPr>
        <w:pStyle w:val="null3"/>
        <w:jc w:val="left"/>
      </w:pPr>
      <w:r>
        <w:rPr/>
        <w:t xml:space="preserve"> 邮编： </w:t>
      </w:r>
      <w:r>
        <w:rPr/>
        <w:t>350116</w:t>
      </w:r>
    </w:p>
    <w:p>
      <w:pPr>
        <w:pStyle w:val="null3"/>
        <w:jc w:val="left"/>
      </w:pPr>
      <w:r>
        <w:rPr/>
        <w:t xml:space="preserve"> 联系人： </w:t>
      </w:r>
      <w:r>
        <w:rPr/>
        <w:t>詹老师</w:t>
      </w:r>
    </w:p>
    <w:p>
      <w:pPr>
        <w:pStyle w:val="null3"/>
        <w:jc w:val="left"/>
      </w:pPr>
      <w:r>
        <w:rPr/>
        <w:t xml:space="preserve"> 联系电话： </w:t>
      </w:r>
      <w:r>
        <w:rPr/>
        <w:t>0591-22865917</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350002</w:t>
      </w:r>
    </w:p>
    <w:p>
      <w:pPr>
        <w:pStyle w:val="null3"/>
        <w:jc w:val="both"/>
      </w:pPr>
      <w:r>
        <w:rPr/>
        <w:t xml:space="preserve"> 联系人： </w:t>
      </w:r>
      <w:r>
        <w:rPr/>
        <w:t>林娜、吴江挺、吴梦婷</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1,972,737.00</w:t>
      </w:r>
    </w:p>
    <w:p>
      <w:pPr>
        <w:pStyle w:val="null3"/>
        <w:jc w:val="left"/>
      </w:pPr>
      <w:r>
        <w:rPr/>
        <w:t>采购包最高限价（元）: 1,702,102.00</w:t>
      </w:r>
    </w:p>
    <w:p>
      <w:pPr>
        <w:pStyle w:val="null3"/>
        <w:jc w:val="left"/>
      </w:pPr>
      <w:r>
        <w:rPr/>
        <w:t>采购包保证金金额（元）: 19,727.00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图像采集与处理相关设备</w:t>
            </w:r>
          </w:p>
        </w:tc>
        <w:tc>
          <w:tcPr>
            <w:tcW w:type="dxa" w:w="1187"/>
          </w:tcPr>
          <w:p>
            <w:pPr>
              <w:pStyle w:val="null3"/>
              <w:jc w:val="right"/>
            </w:pPr>
            <w:r>
              <w:rPr/>
              <w:t>1.00</w:t>
            </w:r>
          </w:p>
        </w:tc>
        <w:tc>
          <w:tcPr>
            <w:tcW w:type="dxa" w:w="1187"/>
          </w:tcPr>
          <w:p>
            <w:pPr>
              <w:pStyle w:val="null3"/>
              <w:jc w:val="right"/>
            </w:pPr>
            <w:r>
              <w:rPr/>
              <w:t>1,972,737.00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图像采集与处理相关设备</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1,702,102.00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图像采集与处理相关设备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显控算智能一体机</w:t>
            </w:r>
          </w:p>
        </w:tc>
        <w:tc>
          <w:tcPr>
            <w:tcW w:type="dxa" w:w="2076"/>
          </w:tcPr>
          <w:p>
            <w:pPr>
              <w:pStyle w:val="null3"/>
              <w:jc w:val="left"/>
            </w:pPr>
            <w:r>
              <w:rPr/>
              <w:t>显控算智能一体机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129,360.00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w:t>
            </w:r>
          </w:p>
        </w:tc>
        <w:tc>
          <w:tcPr>
            <w:tcW w:type="dxa" w:w="2076"/>
          </w:tcPr>
          <w:p>
            <w:pPr>
              <w:pStyle w:val="null3"/>
              <w:jc w:val="left"/>
            </w:pPr>
            <w:r>
              <w:rPr/>
              <w:t>边缘计算开发板</w:t>
            </w:r>
          </w:p>
        </w:tc>
        <w:tc>
          <w:tcPr>
            <w:tcW w:type="dxa" w:w="2076"/>
          </w:tcPr>
          <w:p>
            <w:pPr>
              <w:pStyle w:val="null3"/>
              <w:jc w:val="left"/>
            </w:pPr>
            <w:r>
              <w:rPr/>
              <w:t>边缘计算开发板</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26,400.00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w:t>
            </w:r>
          </w:p>
        </w:tc>
        <w:tc>
          <w:tcPr>
            <w:tcW w:type="dxa" w:w="2076"/>
          </w:tcPr>
          <w:p>
            <w:pPr>
              <w:pStyle w:val="null3"/>
              <w:jc w:val="left"/>
            </w:pPr>
            <w:r>
              <w:rPr/>
              <w:t>人工智能主板</w:t>
            </w:r>
          </w:p>
        </w:tc>
        <w:tc>
          <w:tcPr>
            <w:tcW w:type="dxa" w:w="2076"/>
          </w:tcPr>
          <w:p>
            <w:pPr>
              <w:pStyle w:val="null3"/>
              <w:jc w:val="left"/>
            </w:pPr>
            <w:r>
              <w:rPr/>
              <w:t>人工智能主板</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24,200.00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w:t>
            </w:r>
          </w:p>
        </w:tc>
        <w:tc>
          <w:tcPr>
            <w:tcW w:type="dxa" w:w="2076"/>
          </w:tcPr>
          <w:p>
            <w:pPr>
              <w:pStyle w:val="null3"/>
              <w:jc w:val="left"/>
            </w:pPr>
            <w:r>
              <w:rPr/>
              <w:t>边缘计算开发者组件</w:t>
            </w:r>
          </w:p>
        </w:tc>
        <w:tc>
          <w:tcPr>
            <w:tcW w:type="dxa" w:w="2076"/>
          </w:tcPr>
          <w:p>
            <w:pPr>
              <w:pStyle w:val="null3"/>
              <w:jc w:val="left"/>
            </w:pPr>
            <w:r>
              <w:rPr/>
              <w:t>边缘计算开发者组件</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171,580.00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w:t>
            </w:r>
          </w:p>
        </w:tc>
        <w:tc>
          <w:tcPr>
            <w:tcW w:type="dxa" w:w="2076"/>
          </w:tcPr>
          <w:p>
            <w:pPr>
              <w:pStyle w:val="null3"/>
              <w:jc w:val="left"/>
            </w:pPr>
            <w:r>
              <w:rPr/>
              <w:t>定制型PXIe控制板卡</w:t>
            </w:r>
          </w:p>
        </w:tc>
        <w:tc>
          <w:tcPr>
            <w:tcW w:type="dxa" w:w="2076"/>
          </w:tcPr>
          <w:p>
            <w:pPr>
              <w:pStyle w:val="null3"/>
              <w:jc w:val="left"/>
            </w:pPr>
            <w:r>
              <w:rPr/>
              <w:t>定制型PXIe控制板卡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96,421.00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w:t>
            </w:r>
          </w:p>
        </w:tc>
        <w:tc>
          <w:tcPr>
            <w:tcW w:type="dxa" w:w="2076"/>
          </w:tcPr>
          <w:p>
            <w:pPr>
              <w:pStyle w:val="null3"/>
              <w:jc w:val="left"/>
            </w:pPr>
            <w:r>
              <w:rPr/>
              <w:t>千兆网通讯接口PXIe拓展卡</w:t>
            </w:r>
          </w:p>
        </w:tc>
        <w:tc>
          <w:tcPr>
            <w:tcW w:type="dxa" w:w="2076"/>
          </w:tcPr>
          <w:p>
            <w:pPr>
              <w:pStyle w:val="null3"/>
              <w:jc w:val="left"/>
            </w:pPr>
            <w:r>
              <w:rPr/>
              <w:t>千兆网通讯接口PXIe拓展卡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8,080.00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w:t>
            </w:r>
          </w:p>
        </w:tc>
        <w:tc>
          <w:tcPr>
            <w:tcW w:type="dxa" w:w="2076"/>
          </w:tcPr>
          <w:p>
            <w:pPr>
              <w:pStyle w:val="null3"/>
              <w:jc w:val="left"/>
            </w:pPr>
            <w:r>
              <w:rPr/>
              <w:t>RS485/422工业总线PXIe拓展卡</w:t>
            </w:r>
          </w:p>
        </w:tc>
        <w:tc>
          <w:tcPr>
            <w:tcW w:type="dxa" w:w="2076"/>
          </w:tcPr>
          <w:p>
            <w:pPr>
              <w:pStyle w:val="null3"/>
              <w:jc w:val="left"/>
            </w:pPr>
            <w:r>
              <w:rPr/>
              <w:t>RS485/422工业总线PXIe拓展卡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6,463.00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w:t>
            </w:r>
          </w:p>
        </w:tc>
        <w:tc>
          <w:tcPr>
            <w:tcW w:type="dxa" w:w="2076"/>
          </w:tcPr>
          <w:p>
            <w:pPr>
              <w:pStyle w:val="null3"/>
              <w:jc w:val="left"/>
            </w:pPr>
            <w:r>
              <w:rPr/>
              <w:t>万用表PXIe拓展卡</w:t>
            </w:r>
          </w:p>
        </w:tc>
        <w:tc>
          <w:tcPr>
            <w:tcW w:type="dxa" w:w="2076"/>
          </w:tcPr>
          <w:p>
            <w:pPr>
              <w:pStyle w:val="null3"/>
              <w:jc w:val="left"/>
            </w:pPr>
            <w:r>
              <w:rPr/>
              <w:t>万用表PXIe拓展卡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24,860.00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w:t>
            </w:r>
          </w:p>
        </w:tc>
        <w:tc>
          <w:tcPr>
            <w:tcW w:type="dxa" w:w="2076"/>
          </w:tcPr>
          <w:p>
            <w:pPr>
              <w:pStyle w:val="null3"/>
              <w:jc w:val="left"/>
            </w:pPr>
            <w:r>
              <w:rPr/>
              <w:t>高性能FPGA</w:t>
            </w:r>
          </w:p>
        </w:tc>
        <w:tc>
          <w:tcPr>
            <w:tcW w:type="dxa" w:w="2076"/>
          </w:tcPr>
          <w:p>
            <w:pPr>
              <w:pStyle w:val="null3"/>
              <w:jc w:val="left"/>
            </w:pPr>
            <w:r>
              <w:rPr/>
              <w:t>高性能FPGA</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49,718.00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w:t>
            </w:r>
          </w:p>
        </w:tc>
        <w:tc>
          <w:tcPr>
            <w:tcW w:type="dxa" w:w="2076"/>
          </w:tcPr>
          <w:p>
            <w:pPr>
              <w:pStyle w:val="null3"/>
              <w:jc w:val="left"/>
            </w:pPr>
            <w:r>
              <w:rPr/>
              <w:t>显卡</w:t>
            </w:r>
          </w:p>
        </w:tc>
        <w:tc>
          <w:tcPr>
            <w:tcW w:type="dxa" w:w="2076"/>
          </w:tcPr>
          <w:p>
            <w:pPr>
              <w:pStyle w:val="null3"/>
              <w:jc w:val="left"/>
            </w:pPr>
            <w:r>
              <w:rPr/>
              <w:t>显卡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561,000.00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w:t>
            </w:r>
          </w:p>
        </w:tc>
        <w:tc>
          <w:tcPr>
            <w:tcW w:type="dxa" w:w="2076"/>
          </w:tcPr>
          <w:p>
            <w:pPr>
              <w:pStyle w:val="null3"/>
              <w:jc w:val="left"/>
            </w:pPr>
            <w:r>
              <w:rPr/>
              <w:t>显卡</w:t>
            </w:r>
          </w:p>
        </w:tc>
        <w:tc>
          <w:tcPr>
            <w:tcW w:type="dxa" w:w="2076"/>
          </w:tcPr>
          <w:p>
            <w:pPr>
              <w:pStyle w:val="null3"/>
              <w:jc w:val="left"/>
            </w:pPr>
            <w:r>
              <w:rPr/>
              <w:t>显卡</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209,000.00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w:t>
            </w:r>
          </w:p>
        </w:tc>
        <w:tc>
          <w:tcPr>
            <w:tcW w:type="dxa" w:w="2076"/>
          </w:tcPr>
          <w:p>
            <w:pPr>
              <w:pStyle w:val="null3"/>
              <w:jc w:val="left"/>
            </w:pPr>
            <w:r>
              <w:rPr/>
              <w:t>GNSS接收机</w:t>
            </w:r>
          </w:p>
        </w:tc>
        <w:tc>
          <w:tcPr>
            <w:tcW w:type="dxa" w:w="2076"/>
          </w:tcPr>
          <w:p>
            <w:pPr>
              <w:pStyle w:val="null3"/>
              <w:jc w:val="left"/>
            </w:pPr>
            <w:r>
              <w:rPr/>
              <w:t>GNSS接收机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9,460.00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w:t>
            </w:r>
          </w:p>
        </w:tc>
        <w:tc>
          <w:tcPr>
            <w:tcW w:type="dxa" w:w="2076"/>
          </w:tcPr>
          <w:p>
            <w:pPr>
              <w:pStyle w:val="null3"/>
              <w:jc w:val="left"/>
            </w:pPr>
            <w:r>
              <w:rPr/>
              <w:t>GNSS接收机</w:t>
            </w:r>
          </w:p>
        </w:tc>
        <w:tc>
          <w:tcPr>
            <w:tcW w:type="dxa" w:w="2076"/>
          </w:tcPr>
          <w:p>
            <w:pPr>
              <w:pStyle w:val="null3"/>
              <w:jc w:val="left"/>
            </w:pPr>
            <w:r>
              <w:rPr/>
              <w:t>GNSS接收机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28,380.00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w:t>
            </w:r>
          </w:p>
        </w:tc>
        <w:tc>
          <w:tcPr>
            <w:tcW w:type="dxa" w:w="2076"/>
          </w:tcPr>
          <w:p>
            <w:pPr>
              <w:pStyle w:val="null3"/>
              <w:jc w:val="left"/>
            </w:pPr>
            <w:r>
              <w:rPr/>
              <w:t>移动固态硬盘</w:t>
            </w:r>
          </w:p>
        </w:tc>
        <w:tc>
          <w:tcPr>
            <w:tcW w:type="dxa" w:w="2076"/>
          </w:tcPr>
          <w:p>
            <w:pPr>
              <w:pStyle w:val="null3"/>
              <w:jc w:val="left"/>
            </w:pPr>
            <w:r>
              <w:rPr/>
              <w:t>移动固态硬盘</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4,840.00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w:t>
            </w:r>
          </w:p>
        </w:tc>
        <w:tc>
          <w:tcPr>
            <w:tcW w:type="dxa" w:w="2076"/>
          </w:tcPr>
          <w:p>
            <w:pPr>
              <w:pStyle w:val="null3"/>
              <w:jc w:val="left"/>
            </w:pPr>
            <w:r>
              <w:rPr/>
              <w:t>固态硬盘</w:t>
            </w:r>
          </w:p>
        </w:tc>
        <w:tc>
          <w:tcPr>
            <w:tcW w:type="dxa" w:w="2076"/>
          </w:tcPr>
          <w:p>
            <w:pPr>
              <w:pStyle w:val="null3"/>
              <w:jc w:val="left"/>
            </w:pPr>
            <w:r>
              <w:rPr/>
              <w:t>固态硬盘</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26,620.00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w:t>
            </w:r>
          </w:p>
        </w:tc>
        <w:tc>
          <w:tcPr>
            <w:tcW w:type="dxa" w:w="2076"/>
          </w:tcPr>
          <w:p>
            <w:pPr>
              <w:pStyle w:val="null3"/>
              <w:jc w:val="left"/>
            </w:pPr>
            <w:r>
              <w:rPr/>
              <w:t>固态硬盘</w:t>
            </w:r>
          </w:p>
        </w:tc>
        <w:tc>
          <w:tcPr>
            <w:tcW w:type="dxa" w:w="2076"/>
          </w:tcPr>
          <w:p>
            <w:pPr>
              <w:pStyle w:val="null3"/>
              <w:jc w:val="left"/>
            </w:pPr>
            <w:r>
              <w:rPr/>
              <w:t>固态硬盘</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9,670.00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w:t>
            </w:r>
          </w:p>
        </w:tc>
        <w:tc>
          <w:tcPr>
            <w:tcW w:type="dxa" w:w="2076"/>
          </w:tcPr>
          <w:p>
            <w:pPr>
              <w:pStyle w:val="null3"/>
              <w:jc w:val="left"/>
            </w:pPr>
            <w:r>
              <w:rPr/>
              <w:t>电子防潮箱</w:t>
            </w:r>
          </w:p>
        </w:tc>
        <w:tc>
          <w:tcPr>
            <w:tcW w:type="dxa" w:w="2076"/>
          </w:tcPr>
          <w:p>
            <w:pPr>
              <w:pStyle w:val="null3"/>
              <w:jc w:val="left"/>
            </w:pPr>
            <w:r>
              <w:rPr/>
              <w:t>电子防潮箱</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5,170.00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w:t>
            </w:r>
          </w:p>
        </w:tc>
        <w:tc>
          <w:tcPr>
            <w:tcW w:type="dxa" w:w="2076"/>
          </w:tcPr>
          <w:p>
            <w:pPr>
              <w:pStyle w:val="null3"/>
              <w:jc w:val="left"/>
            </w:pPr>
            <w:r>
              <w:rPr/>
              <w:t>SDI相机扩展板</w:t>
            </w:r>
          </w:p>
        </w:tc>
        <w:tc>
          <w:tcPr>
            <w:tcW w:type="dxa" w:w="2076"/>
          </w:tcPr>
          <w:p>
            <w:pPr>
              <w:pStyle w:val="null3"/>
              <w:jc w:val="left"/>
            </w:pPr>
            <w:r>
              <w:rPr/>
              <w:t>SDI相机扩展板</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45,780.00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w:t>
            </w:r>
          </w:p>
        </w:tc>
        <w:tc>
          <w:tcPr>
            <w:tcW w:type="dxa" w:w="2076"/>
          </w:tcPr>
          <w:p>
            <w:pPr>
              <w:pStyle w:val="null3"/>
              <w:jc w:val="left"/>
            </w:pPr>
            <w:r>
              <w:rPr/>
              <w:t>便携三脚架</w:t>
            </w:r>
          </w:p>
        </w:tc>
        <w:tc>
          <w:tcPr>
            <w:tcW w:type="dxa" w:w="2076"/>
          </w:tcPr>
          <w:p>
            <w:pPr>
              <w:pStyle w:val="null3"/>
              <w:jc w:val="left"/>
            </w:pPr>
            <w:r>
              <w:rPr/>
              <w:t>便携三脚架</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13,200.00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w:t>
            </w:r>
          </w:p>
        </w:tc>
        <w:tc>
          <w:tcPr>
            <w:tcW w:type="dxa" w:w="2076"/>
          </w:tcPr>
          <w:p>
            <w:pPr>
              <w:pStyle w:val="null3"/>
              <w:jc w:val="left"/>
            </w:pPr>
            <w:r>
              <w:rPr/>
              <w:t>连续变焦长波红外相机</w:t>
            </w:r>
          </w:p>
        </w:tc>
        <w:tc>
          <w:tcPr>
            <w:tcW w:type="dxa" w:w="2076"/>
          </w:tcPr>
          <w:p>
            <w:pPr>
              <w:pStyle w:val="null3"/>
              <w:jc w:val="left"/>
            </w:pPr>
            <w:r>
              <w:rPr/>
              <w:t>连续变焦长波红外相机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97,900.00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w:t>
            </w:r>
          </w:p>
        </w:tc>
        <w:tc>
          <w:tcPr>
            <w:tcW w:type="dxa" w:w="2076"/>
          </w:tcPr>
          <w:p>
            <w:pPr>
              <w:pStyle w:val="null3"/>
              <w:jc w:val="left"/>
            </w:pPr>
            <w:r>
              <w:rPr/>
              <w:t>伺服减速电机</w:t>
            </w:r>
          </w:p>
        </w:tc>
        <w:tc>
          <w:tcPr>
            <w:tcW w:type="dxa" w:w="2076"/>
          </w:tcPr>
          <w:p>
            <w:pPr>
              <w:pStyle w:val="null3"/>
              <w:jc w:val="left"/>
            </w:pPr>
            <w:r>
              <w:rPr/>
              <w:t>伺服减速电机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22,000.00</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w:t>
            </w:r>
          </w:p>
        </w:tc>
        <w:tc>
          <w:tcPr>
            <w:tcW w:type="dxa" w:w="2076"/>
          </w:tcPr>
          <w:p>
            <w:pPr>
              <w:pStyle w:val="null3"/>
              <w:jc w:val="left"/>
            </w:pPr>
            <w:r>
              <w:rPr/>
              <w:t>马赛克快照式相机</w:t>
            </w:r>
          </w:p>
        </w:tc>
        <w:tc>
          <w:tcPr>
            <w:tcW w:type="dxa" w:w="2076"/>
          </w:tcPr>
          <w:p>
            <w:pPr>
              <w:pStyle w:val="null3"/>
              <w:jc w:val="left"/>
            </w:pPr>
            <w:r>
              <w:rPr/>
              <w:t>马赛克快照式相机</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132,000.00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投标人评标总得分（FA）且评标价（即价格扣除后的投标报价）相同的并列，则按“技术部分”的得分从高到低排序推荐中标候选人；若投标人的评标总得分（FA）且评标价（即价格扣除后的投标报价）相同、技术部分得分也相同的，则按“商务部分”的得分从高到低排序推荐中标候选人；若投标人的评标总得分（FA）且评标价（即价格扣除后的投标报价）相同、技术部分、商务部分得分均相同的，则采取随机抽取方式确定。</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采购包的中标金额为计算基数，按差额定率累进法计算，100万元以下（含100万元）部分费率为1.2%，100～500万元部分费率为0.88%；2）代理服务费的缴纳方式：a.中标人应在领取中标通知书的同时按规定的标准一次性向采购代理机构缴清代理服务费；b.代理服务费以银行转账、电汇、汇票或现金等付款方式缴纳；3）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投标人必须对其投标文件中提供各种资料、说明的真实性负责。在评标过程中，如有发现投标人有为谋取中标而提供虚假资料欺骗采购人和评委的行为，将取消其中标资格。若在中标后和执行合同过程中发现其提供虚假资料的将取消其中标资格，给采购人造成损失的，还必须进行赔偿并负相关责任。评标过程中无论是否有对原件进行核实，投标人都必须对其提供各种资料、说明的真实性负责。 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3、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5）质疑受理的其它要求：质疑人递交质疑函时还应出具质疑人已在福建省政府采购网上公开信息系统上依法获取招标文件的证明文件（体现依法获取招标文件的时间），否则不予受理。 4、投标无效条款:1）投标有效期不符合投标人须知前附表中表1第4项号规定的；2）出现第二章投标人须知前附表中表1第12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5、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关于投标人串通投标情形条款详见《关于福建省财政厅关于电子化政府采购项目中视为串标情形认定与处理的指导意见》闽财购〔2018〕30 号文件规定。</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招标文件规定的其他资格证明文件(若有)</w:t>
            </w:r>
          </w:p>
        </w:tc>
        <w:tc>
          <w:tcPr>
            <w:tcW w:type="dxa" w:w="4614"/>
          </w:tcPr>
          <w:p>
            <w:pPr>
              <w:pStyle w:val="null3"/>
              <w:jc w:val="left"/>
            </w:pPr>
            <w:r>
              <w:rPr/>
              <w:t>投标人若所投产品属国家强制节能的，提供国家确定的认证机构出具的、处于有效期之内的节能产品认证证书复印件。</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投标文件的资格及资信证明部分中出现报价部分的全部或部分的投标报价信息（或组成资料）。</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投标人所投产品属于国家有强制性要求的(如3C认证、信息安全产品等)，投标文件中未提供相关的证明文件或证书复印件。</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经采购人确认，本采购包为非专门面向中小企业采购项目。（1）《政府采购促进中小企业发展管理办法》、《关于进一步加大政府采购支持中小企业力度的通知》、《福建省财政厅关于进一步加大政府采购支持中小企业力度的通知》价格扣除： 根据《关于印发≤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投标人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投标人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2%）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 （3）根据《财政部 民政部 中国残疾人联合会关于促进残疾人就业政府采购政策的通知》（财库〔2017〕141号）规定，符合规定的残疾人福利性单位参加政府采购活动视同小型、微型企业，提供《残疾人福利性单位声明函》并对声明的真实性负责，其报价享受15%（工程项目为5%）的评审价格扣除优惠。对残疾人福利性单位与其他组织组成联合体参与政府采购活动的，残疾人福利性单位的协议合同金额占总合同金额30%以上的，给予联合体合同金额5%（工程项目为2%）的价格扣除。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 注：1、本采购包为货物类采购项目，采购标的对应的中小企业划分标准所属行业为工业。2、依据本办法规定享受扶持政策获得政府采购合同的，小微企业不得将合同分包给大中型企业，中型企业不得将合同分包给大型企业。3、投标人提供声明函内容不实的或提供虚假证明文件的，均属于提供虚假材料谋取中标、成交，一经发现将依照《中华人民共和国政府采购法》等国家有关规定追究相应责任。</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1、技术参数响应情况</w:t>
            </w:r>
          </w:p>
        </w:tc>
        <w:tc>
          <w:tcPr>
            <w:tcW w:type="dxa" w:w="831"/>
          </w:tcPr>
          <w:p>
            <w:pPr>
              <w:pStyle w:val="null3"/>
              <w:jc w:val="right"/>
            </w:pPr>
            <w:r>
              <w:rPr/>
              <w:t>60.0000</w:t>
            </w:r>
          </w:p>
        </w:tc>
        <w:tc>
          <w:tcPr>
            <w:tcW w:type="dxa" w:w="4153"/>
          </w:tcPr>
          <w:p>
            <w:pPr>
              <w:pStyle w:val="null3"/>
              <w:jc w:val="both"/>
            </w:pPr>
            <w:r>
              <w:rPr/>
              <w:t>根据投标人对招标文件“第五章 招标内容及要求”“二、技术和服务要求”中的各项技术参数要求的响应承诺情况并结合相关佐证材料（如有），由评委根据以下标准进行评审：（1）完全满足招标文件技术和服务要求的得60分；（2）标注“★”符号的技术参数（评审指标项共5项）为不可负偏离的实质性要求，如有负偏离按无效投标处理；（3）技术参数中标注“▲”符号的技术参数（评审指标项共5项，合计15分）每负偏离一项扣3分；（4）未标注“★”“▲”符号的技术参数（评审指标项共90项，合计45分）每负偏离一项扣0.5分，正偏离不加分，扣完为止。【注：投标人必须根据该评审内容，对照招标文件的要求逐项进行应答，如实说明偏离情况，否则，有可能做出不利于投标人的评判（负偏离）。】</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1、质保期承诺情况</w:t>
            </w:r>
          </w:p>
        </w:tc>
        <w:tc>
          <w:tcPr>
            <w:tcW w:type="dxa" w:w="831"/>
          </w:tcPr>
          <w:p>
            <w:pPr>
              <w:pStyle w:val="null3"/>
              <w:jc w:val="right"/>
            </w:pPr>
            <w:r>
              <w:rPr/>
              <w:t>1.0000</w:t>
            </w:r>
          </w:p>
        </w:tc>
        <w:tc>
          <w:tcPr>
            <w:tcW w:type="dxa" w:w="4153"/>
          </w:tcPr>
          <w:p>
            <w:pPr>
              <w:pStyle w:val="null3"/>
              <w:jc w:val="both"/>
            </w:pPr>
            <w:r>
              <w:rPr/>
              <w:t>根据投标人的质保期时间承诺:满足招标文件要求的不得分，在不增加费用的情况下免费保修期（针对整个合同包所有货物及系统的免费保修期延长）每增加一年加1分，满分1分；未提供明确的质保期承诺的视同响应招标文件要求但本项不得分。</w:t>
            </w:r>
          </w:p>
        </w:tc>
      </w:tr>
      <w:tr>
        <w:tc>
          <w:tcPr>
            <w:tcW w:type="dxa" w:w="3322"/>
          </w:tcPr>
          <w:p>
            <w:pPr>
              <w:pStyle w:val="null3"/>
              <w:jc w:val="both"/>
            </w:pPr>
            <w:r>
              <w:rPr/>
              <w:t>2、产品质量保障及供货保障方案</w:t>
            </w:r>
          </w:p>
        </w:tc>
        <w:tc>
          <w:tcPr>
            <w:tcW w:type="dxa" w:w="831"/>
          </w:tcPr>
          <w:p>
            <w:pPr>
              <w:pStyle w:val="null3"/>
              <w:jc w:val="right"/>
            </w:pPr>
            <w:r>
              <w:rPr/>
              <w:t>3.0000</w:t>
            </w:r>
          </w:p>
        </w:tc>
        <w:tc>
          <w:tcPr>
            <w:tcW w:type="dxa" w:w="4153"/>
          </w:tcPr>
          <w:p>
            <w:pPr>
              <w:pStyle w:val="null3"/>
              <w:jc w:val="both"/>
            </w:pPr>
            <w:r>
              <w:rPr/>
              <w:t>根据投标人针对所投产品所提供的①质量保障方案、②供货保障方案等情况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2.5分；方案所包含的要点有缺漏、内容与要点相符但仅有纲要、内容简略，未展开详细阐述但基本能够适用于本项目的得2分；未提供或内容存在明显错误、内容明显不适用于本项目需求的均不得分。</w:t>
            </w:r>
          </w:p>
        </w:tc>
      </w:tr>
      <w:tr>
        <w:tc>
          <w:tcPr>
            <w:tcW w:type="dxa" w:w="3322"/>
          </w:tcPr>
          <w:p>
            <w:pPr>
              <w:pStyle w:val="null3"/>
              <w:jc w:val="both"/>
            </w:pPr>
            <w:r>
              <w:rPr/>
              <w:t>3、培训方案</w:t>
            </w:r>
          </w:p>
        </w:tc>
        <w:tc>
          <w:tcPr>
            <w:tcW w:type="dxa" w:w="831"/>
          </w:tcPr>
          <w:p>
            <w:pPr>
              <w:pStyle w:val="null3"/>
              <w:jc w:val="right"/>
            </w:pPr>
            <w:r>
              <w:rPr/>
              <w:t>3.0000</w:t>
            </w:r>
          </w:p>
        </w:tc>
        <w:tc>
          <w:tcPr>
            <w:tcW w:type="dxa" w:w="4153"/>
          </w:tcPr>
          <w:p>
            <w:pPr>
              <w:pStyle w:val="null3"/>
              <w:jc w:val="both"/>
            </w:pPr>
            <w:r>
              <w:rPr/>
              <w:t>根据投标人对采购人的管理人员、操作人员产品应用及维护人员产品维护、排除一般故障进行培训等方案情况【技术培训方案及内容包括但不限安装、检验、调试、使用和维护、排除一般故障等。】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2.5分；方案所包含的要点有缺漏、内容与要点相符但仅有纲要、内容简略，未展开详细阐述但基本能够适用于本项目的得2分；未提供或内容存在明显错误、内容明显不适用于本项目需求的均不得分。</w:t>
            </w:r>
          </w:p>
        </w:tc>
      </w:tr>
      <w:tr>
        <w:tc>
          <w:tcPr>
            <w:tcW w:type="dxa" w:w="3322"/>
          </w:tcPr>
          <w:p>
            <w:pPr>
              <w:pStyle w:val="null3"/>
              <w:jc w:val="both"/>
            </w:pPr>
            <w:r>
              <w:rPr/>
              <w:t>4、售后服务承诺</w:t>
            </w:r>
          </w:p>
        </w:tc>
        <w:tc>
          <w:tcPr>
            <w:tcW w:type="dxa" w:w="831"/>
          </w:tcPr>
          <w:p>
            <w:pPr>
              <w:pStyle w:val="null3"/>
              <w:jc w:val="right"/>
            </w:pPr>
            <w:r>
              <w:rPr/>
              <w:t>3.0000</w:t>
            </w:r>
          </w:p>
        </w:tc>
        <w:tc>
          <w:tcPr>
            <w:tcW w:type="dxa" w:w="4153"/>
          </w:tcPr>
          <w:p>
            <w:pPr>
              <w:pStyle w:val="null3"/>
              <w:jc w:val="both"/>
            </w:pPr>
            <w:r>
              <w:rPr/>
              <w:t>根据投标人针对本项目所提供的售后服务方案，包括但不限于①具体的具体售后服务内容；②维修响应时间及方式；③售后服务机构、专业人员配备情况及现有维修服务能力、备品备件；④质保期后维修服务的项目及费用承诺情况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2.5分；方案所包含的要点有缺漏、内容与要点相符但仅有纲要、内容简略，未展开详细阐述但基本能够适用于本项目的得2分；未提供或内容存在明显错误、内容明显不适用于本项目需求的均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1、投标人为本次项目提供的货物必须通过合法渠道获得，具有在中国境内的合法使用权和用户保护权，且要求货物所配配件为原厂配件，货物的制造标准及技术规范等有关资料必须符合相关标准、规范要求。</w:t>
      </w:r>
    </w:p>
    <w:p>
      <w:pPr>
        <w:pStyle w:val="null3"/>
        <w:ind w:right="300" w:firstLine="420"/>
        <w:jc w:val="left"/>
      </w:pPr>
      <w:r>
        <w:rPr>
          <w:rFonts w:ascii="宋体" w:hAnsi="宋体" w:cs="宋体" w:eastAsia="宋体"/>
          <w:sz w:val="24"/>
          <w:color w:val="333333"/>
          <w:shd w:fill="FFFFFF" w:val="clear"/>
        </w:rPr>
        <w:t>2、投标人应按采购包投标，对同一采购包内所有品目号内容投标时必须完整。评审与授标以采购包为单位。</w:t>
      </w:r>
    </w:p>
    <w:p>
      <w:pPr>
        <w:pStyle w:val="null3"/>
        <w:ind w:right="300" w:firstLine="420"/>
        <w:jc w:val="left"/>
      </w:pPr>
      <w:r>
        <w:rPr>
          <w:rFonts w:ascii="宋体" w:hAnsi="宋体" w:cs="宋体" w:eastAsia="宋体"/>
          <w:sz w:val="24"/>
          <w:b/>
          <w:color w:val="333333"/>
          <w:shd w:fill="FFFFFF" w:val="clear"/>
        </w:rPr>
        <w:t>3、本次采购项目的核心产品：采购包1</w:t>
      </w:r>
      <w:r>
        <w:rPr>
          <w:rFonts w:ascii="calibri" w:hAnsi="calibri" w:cs="calibri" w:eastAsia="calibri"/>
          <w:sz w:val="24"/>
          <w:b/>
        </w:rPr>
        <w:t xml:space="preserve"> </w:t>
      </w:r>
      <w:r>
        <w:rPr>
          <w:rFonts w:ascii="宋体" w:hAnsi="宋体" w:cs="宋体" w:eastAsia="宋体"/>
          <w:sz w:val="24"/>
          <w:b/>
          <w:color w:val="333333"/>
          <w:shd w:fill="FFFFFF" w:val="clear"/>
        </w:rPr>
        <w:t>◆序号11显卡，</w:t>
      </w:r>
      <w:r>
        <w:rPr>
          <w:rFonts w:ascii="宋体" w:hAnsi="宋体" w:cs="宋体" w:eastAsia="宋体"/>
          <w:sz w:val="24"/>
          <w:color w:val="333333"/>
          <w:shd w:fill="FFFFFF" w:val="clear"/>
        </w:rPr>
        <w:t>注：多家投标人提供的核心产品品牌相同的，按招标文件第四章</w:t>
      </w:r>
      <w:r>
        <w:rPr>
          <w:rFonts w:ascii="宋体" w:hAnsi="宋体" w:cs="宋体" w:eastAsia="宋体"/>
          <w:sz w:val="24"/>
          <w:color w:val="333333"/>
          <w:shd w:fill="FFFFFF" w:val="clear"/>
        </w:rPr>
        <w:t>6.4中规定的条款执行。</w:t>
      </w:r>
    </w:p>
    <w:p>
      <w:pPr>
        <w:pStyle w:val="null3"/>
        <w:ind w:right="300" w:firstLine="420"/>
        <w:jc w:val="left"/>
      </w:pPr>
      <w:r>
        <w:rPr>
          <w:rFonts w:ascii="宋体" w:hAnsi="宋体" w:cs="宋体" w:eastAsia="宋体"/>
          <w:sz w:val="24"/>
          <w:color w:val="333333"/>
          <w:shd w:fill="FFFFFF" w:val="clear"/>
        </w:rPr>
        <w:t>4、投标人务必仔细阅读招标文件中所规定的内容,其中包括技术规格在内的所有细则。</w:t>
      </w:r>
    </w:p>
    <w:p>
      <w:pPr>
        <w:pStyle w:val="null3"/>
        <w:ind w:right="300" w:firstLine="420"/>
        <w:jc w:val="left"/>
        <w:outlineLvl w:val="2"/>
      </w:pPr>
      <w:r>
        <w:rPr>
          <w:sz w:val="28"/>
          <w:b/>
        </w:rPr>
        <w:t>二、技术和服务要求（以“★”标示的内容为不允许负偏离的实质性要求）</w:t>
      </w:r>
    </w:p>
    <w:tbl>
      <w:tblPr>
        <w:tblW w:w="0" w:type="auto"/>
        <w:tblBorders>
          <w:top w:val="none" w:color="000000" w:sz="4"/>
          <w:left w:val="none" w:color="000000" w:sz="4"/>
          <w:bottom w:val="none" w:color="000000" w:sz="4"/>
          <w:right w:val="none" w:color="000000" w:sz="4"/>
          <w:insideH w:val="none"/>
          <w:insideV w:val="none"/>
        </w:tblBorders>
      </w:tblPr>
      <w:tblGrid>
        <w:gridCol w:w="734"/>
        <w:gridCol w:w="1220"/>
        <w:gridCol w:w="762"/>
        <w:gridCol w:w="5574"/>
      </w:tblGrid>
      <w:tr>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货物名称</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5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基本性能指标（优于或不低于下列指标）</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显控算智能一体机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w:t>
            </w:r>
            <w:r>
              <w:rPr>
                <w:rFonts w:ascii="宋体" w:hAnsi="宋体" w:cs="宋体" w:eastAsia="宋体"/>
                <w:sz w:val="24"/>
                <w:b/>
              </w:rPr>
              <w:t>】</w:t>
            </w:r>
            <w:r>
              <w:rPr>
                <w:rFonts w:ascii="宋体" w:hAnsi="宋体" w:cs="宋体" w:eastAsia="宋体"/>
                <w:sz w:val="24"/>
              </w:rPr>
              <w:t>1、整体外观及尺寸要求：便携可移动式手持平板电脑形态，金属机身，无风扇静音设计，整体外形尺寸(长×宽×厚)≤202mm×152mm×21mm，单机（不含电源适配器）重量≤680克；</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w:t>
            </w:r>
            <w:r>
              <w:rPr>
                <w:rFonts w:ascii="宋体" w:hAnsi="宋体" w:cs="宋体" w:eastAsia="宋体"/>
                <w:sz w:val="24"/>
                <w:b/>
              </w:rPr>
              <w:t>】</w:t>
            </w:r>
            <w:r>
              <w:rPr>
                <w:rFonts w:ascii="宋体" w:hAnsi="宋体" w:cs="宋体" w:eastAsia="宋体"/>
                <w:sz w:val="24"/>
              </w:rPr>
              <w:t>2、显示触控屏：IPS显示触控屏，屏幕尺寸≥8英寸，分辨率≥1280*800；</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w:t>
            </w:r>
            <w:r>
              <w:rPr>
                <w:rFonts w:ascii="宋体" w:hAnsi="宋体" w:cs="宋体" w:eastAsia="宋体"/>
                <w:sz w:val="24"/>
                <w:b/>
              </w:rPr>
              <w:t>】</w:t>
            </w:r>
            <w:r>
              <w:rPr>
                <w:rFonts w:ascii="宋体" w:hAnsi="宋体" w:cs="宋体" w:eastAsia="宋体"/>
                <w:sz w:val="24"/>
              </w:rPr>
              <w:t>3、计算核心：CPU：核心数≥8核，最高主频≥2.4GHz；GPU：核心数≥4个，算力≥450 GFLOPS；NPU：算力≥6TOPS，支持INT4/INT8/INT16混合运算；</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w:t>
            </w:r>
            <w:r>
              <w:rPr>
                <w:rFonts w:ascii="宋体" w:hAnsi="宋体" w:cs="宋体" w:eastAsia="宋体"/>
                <w:sz w:val="24"/>
                <w:b/>
              </w:rPr>
              <w:t>】</w:t>
            </w:r>
            <w:r>
              <w:rPr>
                <w:rFonts w:ascii="宋体" w:hAnsi="宋体" w:cs="宋体" w:eastAsia="宋体"/>
                <w:sz w:val="24"/>
              </w:rPr>
              <w:t>4、存储：LPDDR4X内存，板载内存容量≥16GB；EMMC硬盘，板载容量≥128GB；至少提供1个TF卡槽，用于扩展存储空间；</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w:t>
            </w:r>
            <w:r>
              <w:rPr>
                <w:rFonts w:ascii="宋体" w:hAnsi="宋体" w:cs="宋体" w:eastAsia="宋体"/>
                <w:sz w:val="24"/>
                <w:b/>
              </w:rPr>
              <w:t>】</w:t>
            </w:r>
            <w:r>
              <w:rPr>
                <w:rFonts w:ascii="宋体" w:hAnsi="宋体" w:cs="宋体" w:eastAsia="宋体"/>
                <w:sz w:val="24"/>
              </w:rPr>
              <w:t>5、通讯：至少提供1个千兆以太网RJ45接口；支持WiFi6通讯且WiFi天线为内置型天线；预留一路MINI PCIE卡槽，支持扩展4G LTE；</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w:t>
            </w:r>
            <w:r>
              <w:rPr>
                <w:rFonts w:ascii="宋体" w:hAnsi="宋体" w:cs="宋体" w:eastAsia="宋体"/>
                <w:sz w:val="24"/>
                <w:b/>
              </w:rPr>
              <w:t>】</w:t>
            </w:r>
            <w:r>
              <w:rPr>
                <w:rFonts w:ascii="宋体" w:hAnsi="宋体" w:cs="宋体" w:eastAsia="宋体"/>
                <w:sz w:val="24"/>
              </w:rPr>
              <w:t>6、HDMI视频输出接口：至少提供2个HDMI视频输出接口，且支持4K视频输出，支持多屏同显，支持多屏异显；</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w:t>
            </w:r>
            <w:r>
              <w:rPr>
                <w:rFonts w:ascii="宋体" w:hAnsi="宋体" w:cs="宋体" w:eastAsia="宋体"/>
                <w:sz w:val="24"/>
                <w:b/>
              </w:rPr>
              <w:t>】</w:t>
            </w:r>
            <w:r>
              <w:rPr>
                <w:rFonts w:ascii="微软雅黑" w:hAnsi="微软雅黑" w:cs="微软雅黑" w:eastAsia="微软雅黑"/>
                <w:sz w:val="24"/>
              </w:rPr>
              <w:t>▲</w:t>
            </w:r>
            <w:r>
              <w:rPr>
                <w:rFonts w:ascii="宋体" w:hAnsi="宋体" w:cs="宋体" w:eastAsia="宋体"/>
                <w:sz w:val="24"/>
              </w:rPr>
              <w:t>7、AHD模拟视频输入接口：至少提供2个AHD模拟视频输入接口，该接口须同时支持对外给相机供电，支持RS232及RS485通讯</w:t>
            </w:r>
            <w:r>
              <w:rPr>
                <w:rFonts w:ascii="宋体" w:hAnsi="宋体" w:cs="宋体" w:eastAsia="宋体"/>
                <w:sz w:val="24"/>
                <w:b/>
              </w:rPr>
              <w:t>（需提供设备接口图并加盖投标人公章）；</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w:t>
            </w:r>
            <w:r>
              <w:rPr>
                <w:rFonts w:ascii="宋体" w:hAnsi="宋体" w:cs="宋体" w:eastAsia="宋体"/>
                <w:sz w:val="24"/>
                <w:b/>
              </w:rPr>
              <w:t>】</w:t>
            </w:r>
            <w:r>
              <w:rPr>
                <w:rFonts w:ascii="宋体" w:hAnsi="宋体" w:cs="宋体" w:eastAsia="宋体"/>
                <w:sz w:val="24"/>
              </w:rPr>
              <w:t>8、USB接口：提供至少两个USB3.0 TYPE-A接口，且USB3.0接口对外供电能力不小于1.5A；提供一个全功能TYPE-C接口，要求支持PD充电协议，支持DP显示，支持USB3.0 OTG，支持正反插；</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w:t>
            </w:r>
            <w:r>
              <w:rPr>
                <w:rFonts w:ascii="宋体" w:hAnsi="宋体" w:cs="宋体" w:eastAsia="宋体"/>
                <w:sz w:val="24"/>
                <w:b/>
              </w:rPr>
              <w:t>】</w:t>
            </w:r>
            <w:r>
              <w:rPr>
                <w:rFonts w:ascii="宋体" w:hAnsi="宋体" w:cs="宋体" w:eastAsia="宋体"/>
                <w:sz w:val="24"/>
              </w:rPr>
              <w:t>9、支持内置加速度传感器；</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10</w:t>
            </w:r>
            <w:r>
              <w:rPr>
                <w:rFonts w:ascii="宋体" w:hAnsi="宋体" w:cs="宋体" w:eastAsia="宋体"/>
                <w:sz w:val="24"/>
                <w:b/>
              </w:rPr>
              <w:t>】</w:t>
            </w:r>
            <w:r>
              <w:rPr>
                <w:rFonts w:ascii="宋体" w:hAnsi="宋体" w:cs="宋体" w:eastAsia="宋体"/>
                <w:sz w:val="24"/>
              </w:rPr>
              <w:t>10、内置电池：支持内置电池，两串7.4V，内置电池容量不低于5000mAH，支持自动充放电管理，支持快充；</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11</w:t>
            </w:r>
            <w:r>
              <w:rPr>
                <w:rFonts w:ascii="宋体" w:hAnsi="宋体" w:cs="宋体" w:eastAsia="宋体"/>
                <w:sz w:val="24"/>
                <w:b/>
              </w:rPr>
              <w:t>】</w:t>
            </w:r>
            <w:r>
              <w:rPr>
                <w:rFonts w:ascii="宋体" w:hAnsi="宋体" w:cs="宋体" w:eastAsia="宋体"/>
                <w:sz w:val="24"/>
              </w:rPr>
              <w:t>11、按键与指示灯：至少提供一个可自定义按键，一个开关机按键；提供一个电源总开关，要求可以切断包括电池供电在内的系统总电源；至少提供一个可自定义的三色指示灯，一个工作指示灯；</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12</w:t>
            </w:r>
            <w:r>
              <w:rPr>
                <w:rFonts w:ascii="宋体" w:hAnsi="宋体" w:cs="宋体" w:eastAsia="宋体"/>
                <w:sz w:val="24"/>
                <w:b/>
              </w:rPr>
              <w:t>】</w:t>
            </w:r>
            <w:r>
              <w:rPr>
                <w:rFonts w:ascii="宋体" w:hAnsi="宋体" w:cs="宋体" w:eastAsia="宋体"/>
                <w:sz w:val="24"/>
              </w:rPr>
              <w:t>12、操作系统：支持</w:t>
            </w:r>
            <w:r>
              <w:rPr>
                <w:rFonts w:ascii="宋体" w:hAnsi="宋体" w:cs="宋体" w:eastAsia="宋体"/>
                <w:sz w:val="24"/>
              </w:rPr>
              <w:t>国产主流操作系统。</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边缘计算开发板</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13</w:t>
            </w:r>
            <w:r>
              <w:rPr>
                <w:rFonts w:ascii="宋体" w:hAnsi="宋体" w:cs="宋体" w:eastAsia="宋体"/>
                <w:sz w:val="24"/>
                <w:b/>
              </w:rPr>
              <w:t>】</w:t>
            </w:r>
            <w:r>
              <w:rPr>
                <w:rFonts w:ascii="宋体" w:hAnsi="宋体" w:cs="宋体" w:eastAsia="宋体"/>
                <w:sz w:val="24"/>
              </w:rPr>
              <w:t>1、计算核心：CPU：核心数≥8核，最高主频≥2.4GHz；GPU：核心数≥4个，算力≥450 GFLOPS；NPU：算力≥6TOPS，支持INT4/INT8/INT16混合运算；</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14</w:t>
            </w:r>
            <w:r>
              <w:rPr>
                <w:rFonts w:ascii="宋体" w:hAnsi="宋体" w:cs="宋体" w:eastAsia="宋体"/>
                <w:sz w:val="24"/>
                <w:b/>
              </w:rPr>
              <w:t>】</w:t>
            </w:r>
            <w:r>
              <w:rPr>
                <w:rFonts w:ascii="宋体" w:hAnsi="宋体" w:cs="宋体" w:eastAsia="宋体"/>
                <w:sz w:val="24"/>
              </w:rPr>
              <w:t>2、存储：内存容量≥16GB；硬盘容量≥128GB eMMC；</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15</w:t>
            </w:r>
            <w:r>
              <w:rPr>
                <w:rFonts w:ascii="宋体" w:hAnsi="宋体" w:cs="宋体" w:eastAsia="宋体"/>
                <w:sz w:val="24"/>
                <w:b/>
              </w:rPr>
              <w:t>】</w:t>
            </w:r>
            <w:r>
              <w:rPr>
                <w:rFonts w:ascii="宋体" w:hAnsi="宋体" w:cs="宋体" w:eastAsia="宋体"/>
                <w:sz w:val="24"/>
              </w:rPr>
              <w:t>3、接口：配置原生接口M.2 SATA3.0接口≥1，支持可扩展1个2242 (SATA3.0)SSD；SATA3.0≥4，可扩展2个SATA3.0 SSD/HDD硬盘；TF Card Card≥1；原生接口USB3.0≥4，USB-C ≥1，USB2.0 ≥2；支持2.4GHz/5GHz 双频WiFi6；支持蓝牙5.0；支持扩展5G/4G LTE；配置1000Mbps RJ45≥2；原生接口HDMI-IN≥1,支持HDCP 2.3；HDMI2.1≥1；HDMI2.0≥1；DP1.4≥1； VGA≥1；原生接口Line-In≥1，MIC ≥1，HDMI≥1；Phone 输出≥1；HDMI ≥1；DP1.4 ≥1。</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人工智能主板</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16</w:t>
            </w:r>
            <w:r>
              <w:rPr>
                <w:rFonts w:ascii="宋体" w:hAnsi="宋体" w:cs="宋体" w:eastAsia="宋体"/>
                <w:sz w:val="24"/>
                <w:b/>
              </w:rPr>
              <w:t>】</w:t>
            </w:r>
            <w:r>
              <w:rPr>
                <w:rFonts w:ascii="宋体" w:hAnsi="宋体" w:cs="宋体" w:eastAsia="宋体"/>
                <w:sz w:val="24"/>
              </w:rPr>
              <w:t>1、计算核心：CPU：核心数≥8核，最高主频≥2.4GHz；GPU：核心数≥4个，算力≥450 GFLOPS；NPU：算力≥6TOPS，支持INT4/INT8/INT16混合运算；</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17</w:t>
            </w:r>
            <w:r>
              <w:rPr>
                <w:rFonts w:ascii="宋体" w:hAnsi="宋体" w:cs="宋体" w:eastAsia="宋体"/>
                <w:sz w:val="24"/>
                <w:b/>
              </w:rPr>
              <w:t>】</w:t>
            </w:r>
            <w:r>
              <w:rPr>
                <w:rFonts w:ascii="宋体" w:hAnsi="宋体" w:cs="宋体" w:eastAsia="宋体"/>
                <w:sz w:val="24"/>
              </w:rPr>
              <w:t>2、存储：内存容量≥16GB；硬盘容量≥128GB eMMC；</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18</w:t>
            </w:r>
            <w:r>
              <w:rPr>
                <w:rFonts w:ascii="宋体" w:hAnsi="宋体" w:cs="宋体" w:eastAsia="宋体"/>
                <w:sz w:val="24"/>
                <w:b/>
              </w:rPr>
              <w:t>】</w:t>
            </w:r>
            <w:r>
              <w:rPr>
                <w:rFonts w:ascii="宋体" w:hAnsi="宋体" w:cs="宋体" w:eastAsia="宋体"/>
                <w:sz w:val="24"/>
              </w:rPr>
              <w:t>3、接口：原生M.2接口≥1，支持扩展 M.2 SATA 3.0 / PCIe 2.0 2242 SSD；FAN（ 4Pin-1.25mm）≥1；Type-C≥1；原生接口USB3.0（Max: 1A）≥2； USB2.0≥2；RJ45≥1；支持通过M.2 E-KEY（2230）接口扩展WiFi / BT 模块，支持 WiFi6、BT5.0 可扩展 4G LTE及5G；原生接口MIPI CSI DPHY≥2、HDMI-IN≥1,支持HDCP 2.3； 3.5mm Audio jack≥1 ，支持MIC录音。</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边缘计算开发者组件</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19</w:t>
            </w:r>
            <w:r>
              <w:rPr>
                <w:rFonts w:ascii="宋体" w:hAnsi="宋体" w:cs="宋体" w:eastAsia="宋体"/>
                <w:sz w:val="24"/>
                <w:b/>
              </w:rPr>
              <w:t>】</w:t>
            </w:r>
            <w:r>
              <w:rPr>
                <w:rFonts w:ascii="微软雅黑" w:hAnsi="微软雅黑" w:cs="微软雅黑" w:eastAsia="微软雅黑"/>
                <w:sz w:val="24"/>
              </w:rPr>
              <w:t>▲</w:t>
            </w:r>
            <w:r>
              <w:rPr>
                <w:rFonts w:ascii="宋体" w:hAnsi="宋体" w:cs="宋体" w:eastAsia="宋体"/>
                <w:sz w:val="24"/>
              </w:rPr>
              <w:t>1、AI 计算性能：≥ 275 TOPS；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20</w:t>
            </w:r>
            <w:r>
              <w:rPr>
                <w:rFonts w:ascii="宋体" w:hAnsi="宋体" w:cs="宋体" w:eastAsia="宋体"/>
                <w:sz w:val="24"/>
                <w:b/>
              </w:rPr>
              <w:t>】</w:t>
            </w:r>
            <w:r>
              <w:rPr>
                <w:rFonts w:ascii="宋体" w:hAnsi="宋体" w:cs="宋体" w:eastAsia="宋体"/>
                <w:sz w:val="24"/>
              </w:rPr>
              <w:t>2、GPU: CUDA核心≥ 2048 个；张量计算核心≥64 个；最高频率≥1.3GHz；显存 64GB 256位LPDDR5；</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21</w:t>
            </w:r>
            <w:r>
              <w:rPr>
                <w:rFonts w:ascii="宋体" w:hAnsi="宋体" w:cs="宋体" w:eastAsia="宋体"/>
                <w:sz w:val="24"/>
                <w:b/>
              </w:rPr>
              <w:t>】</w:t>
            </w:r>
            <w:r>
              <w:rPr>
                <w:rFonts w:ascii="宋体" w:hAnsi="宋体" w:cs="宋体" w:eastAsia="宋体"/>
                <w:sz w:val="24"/>
              </w:rPr>
              <w:t>3、CPU: 核心数≥12 核；最高频率≥2.2GHz；L2缓存≥3MB；L3 缓存≥6MB；</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22</w:t>
            </w:r>
            <w:r>
              <w:rPr>
                <w:rFonts w:ascii="宋体" w:hAnsi="宋体" w:cs="宋体" w:eastAsia="宋体"/>
                <w:sz w:val="24"/>
                <w:b/>
              </w:rPr>
              <w:t>】</w:t>
            </w:r>
            <w:r>
              <w:rPr>
                <w:rFonts w:ascii="宋体" w:hAnsi="宋体" w:cs="宋体" w:eastAsia="宋体"/>
                <w:sz w:val="24"/>
              </w:rPr>
              <w:t>4、存储：配置≥64GB；顺序读取速度≥400MB/s；顺序写入速度≥150MB/s；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23</w:t>
            </w:r>
            <w:r>
              <w:rPr>
                <w:rFonts w:ascii="宋体" w:hAnsi="宋体" w:cs="宋体" w:eastAsia="宋体"/>
                <w:sz w:val="24"/>
                <w:b/>
              </w:rPr>
              <w:t>】</w:t>
            </w:r>
            <w:r>
              <w:rPr>
                <w:rFonts w:ascii="宋体" w:hAnsi="宋体" w:cs="宋体" w:eastAsia="宋体"/>
                <w:sz w:val="24"/>
              </w:rPr>
              <w:t>5、PCIE拓展接口：不少于1个x16 PCIE插槽；不少于1个M.2 Key E插槽；</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24</w:t>
            </w:r>
            <w:r>
              <w:rPr>
                <w:rFonts w:ascii="宋体" w:hAnsi="宋体" w:cs="宋体" w:eastAsia="宋体"/>
                <w:sz w:val="24"/>
                <w:b/>
              </w:rPr>
              <w:t>】</w:t>
            </w:r>
            <w:r>
              <w:rPr>
                <w:rFonts w:ascii="宋体" w:hAnsi="宋体" w:cs="宋体" w:eastAsia="宋体"/>
                <w:sz w:val="24"/>
              </w:rPr>
              <w:t>6、USB接口：不少于2个USB3.2 TypeC接口；不少于2个USB3.2 TypcA接口；不少于1个USB2.0 MicroB接口；</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25</w:t>
            </w:r>
            <w:r>
              <w:rPr>
                <w:rFonts w:ascii="宋体" w:hAnsi="宋体" w:cs="宋体" w:eastAsia="宋体"/>
                <w:sz w:val="24"/>
                <w:b/>
              </w:rPr>
              <w:t>】</w:t>
            </w:r>
            <w:r>
              <w:rPr>
                <w:rFonts w:ascii="宋体" w:hAnsi="宋体" w:cs="宋体" w:eastAsia="宋体"/>
                <w:sz w:val="24"/>
              </w:rPr>
              <w:t>7、网络接口：接口类型为RJ45，带宽可支持10GbE；</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26</w:t>
            </w:r>
            <w:r>
              <w:rPr>
                <w:rFonts w:ascii="宋体" w:hAnsi="宋体" w:cs="宋体" w:eastAsia="宋体"/>
                <w:sz w:val="24"/>
                <w:b/>
              </w:rPr>
              <w:t>】</w:t>
            </w:r>
            <w:r>
              <w:rPr>
                <w:rFonts w:ascii="宋体" w:hAnsi="宋体" w:cs="宋体" w:eastAsia="宋体"/>
                <w:sz w:val="24"/>
              </w:rPr>
              <w:t>8、MIPI_CSI接口：提供不少于16 通道 MIPI CSI-2 连接器；</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27</w:t>
            </w:r>
            <w:r>
              <w:rPr>
                <w:rFonts w:ascii="宋体" w:hAnsi="宋体" w:cs="宋体" w:eastAsia="宋体"/>
                <w:sz w:val="24"/>
                <w:b/>
              </w:rPr>
              <w:t>】</w:t>
            </w:r>
            <w:r>
              <w:rPr>
                <w:rFonts w:ascii="宋体" w:hAnsi="宋体" w:cs="宋体" w:eastAsia="宋体"/>
                <w:sz w:val="24"/>
              </w:rPr>
              <w:t>9、其他I/O接口：40 针接头（UART、SPI、I2S、I2C、CAN、PWM、DMIC、GPIO）；12 针自动化接头；10 针音频面板接头；10 针 JTAG 接头；4 针风扇接头；2 针 RTC 电池备份连接器；microSD 插槽；直流电源插座；电源、强制恢复和复位按钮；</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28</w:t>
            </w:r>
            <w:r>
              <w:rPr>
                <w:rFonts w:ascii="宋体" w:hAnsi="宋体" w:cs="宋体" w:eastAsia="宋体"/>
                <w:sz w:val="24"/>
                <w:b/>
              </w:rPr>
              <w:t>】</w:t>
            </w:r>
            <w:r>
              <w:rPr>
                <w:rFonts w:ascii="宋体" w:hAnsi="宋体" w:cs="宋体" w:eastAsia="宋体"/>
                <w:sz w:val="24"/>
              </w:rPr>
              <w:t>10、功耗：≤60W；</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29</w:t>
            </w:r>
            <w:r>
              <w:rPr>
                <w:rFonts w:ascii="宋体" w:hAnsi="宋体" w:cs="宋体" w:eastAsia="宋体"/>
                <w:sz w:val="24"/>
                <w:b/>
              </w:rPr>
              <w:t>】</w:t>
            </w:r>
            <w:r>
              <w:rPr>
                <w:rFonts w:ascii="宋体" w:hAnsi="宋体" w:cs="宋体" w:eastAsia="宋体"/>
                <w:sz w:val="24"/>
              </w:rPr>
              <w:t>11、尺寸：≤110mm*110mm*72mm（长*宽*高）。</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定制型</w:t>
            </w:r>
            <w:r>
              <w:rPr>
                <w:rFonts w:ascii="宋体" w:hAnsi="宋体" w:cs="宋体" w:eastAsia="宋体"/>
                <w:sz w:val="24"/>
              </w:rPr>
              <w:t>PXIe控制板卡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30</w:t>
            </w:r>
            <w:r>
              <w:rPr>
                <w:rFonts w:ascii="宋体" w:hAnsi="宋体" w:cs="宋体" w:eastAsia="宋体"/>
                <w:sz w:val="24"/>
                <w:b/>
              </w:rPr>
              <w:t>】</w:t>
            </w:r>
            <w:r>
              <w:rPr>
                <w:rFonts w:ascii="宋体" w:hAnsi="宋体" w:cs="宋体" w:eastAsia="宋体"/>
                <w:sz w:val="24"/>
              </w:rPr>
              <w:t>1、 CPU： 核心数≥4 核；最高频率≥4.9GHz；缓存≥8MB；</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31</w:t>
            </w:r>
            <w:r>
              <w:rPr>
                <w:rFonts w:ascii="宋体" w:hAnsi="宋体" w:cs="宋体" w:eastAsia="宋体"/>
                <w:sz w:val="24"/>
                <w:b/>
              </w:rPr>
              <w:t>】</w:t>
            </w:r>
            <w:r>
              <w:rPr>
                <w:rFonts w:ascii="宋体" w:hAnsi="宋体" w:cs="宋体" w:eastAsia="宋体"/>
                <w:sz w:val="24"/>
              </w:rPr>
              <w:t>2、内存：配置≥ 16G；</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32</w:t>
            </w:r>
            <w:r>
              <w:rPr>
                <w:rFonts w:ascii="宋体" w:hAnsi="宋体" w:cs="宋体" w:eastAsia="宋体"/>
                <w:sz w:val="24"/>
                <w:b/>
              </w:rPr>
              <w:t>】</w:t>
            </w:r>
            <w:r>
              <w:rPr>
                <w:rFonts w:ascii="宋体" w:hAnsi="宋体" w:cs="宋体" w:eastAsia="宋体"/>
                <w:sz w:val="24"/>
              </w:rPr>
              <w:t>3、硬盘：配置≥1TB M.2 PCIe；</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33</w:t>
            </w:r>
            <w:r>
              <w:rPr>
                <w:rFonts w:ascii="宋体" w:hAnsi="宋体" w:cs="宋体" w:eastAsia="宋体"/>
                <w:sz w:val="24"/>
                <w:b/>
              </w:rPr>
              <w:t>】</w:t>
            </w:r>
            <w:r>
              <w:rPr>
                <w:rFonts w:ascii="宋体" w:hAnsi="宋体" w:cs="宋体" w:eastAsia="宋体"/>
                <w:sz w:val="24"/>
              </w:rPr>
              <w:t>4、接口：USB2.0 ≥ 1个；USB3.0≥ 2个；千兆网 ≥ 2个；HDMI≥ 1个；</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34</w:t>
            </w:r>
            <w:r>
              <w:rPr>
                <w:rFonts w:ascii="宋体" w:hAnsi="宋体" w:cs="宋体" w:eastAsia="宋体"/>
                <w:sz w:val="24"/>
                <w:b/>
              </w:rPr>
              <w:t>】</w:t>
            </w:r>
            <w:r>
              <w:rPr>
                <w:rFonts w:ascii="微软雅黑" w:hAnsi="微软雅黑" w:cs="微软雅黑" w:eastAsia="微软雅黑"/>
                <w:sz w:val="24"/>
              </w:rPr>
              <w:t>▲</w:t>
            </w:r>
            <w:r>
              <w:rPr>
                <w:rFonts w:ascii="宋体" w:hAnsi="宋体" w:cs="宋体" w:eastAsia="宋体"/>
                <w:sz w:val="24"/>
              </w:rPr>
              <w:t>5、扩展性：PXIe插槽≥11；可插PXIe拓展卡数：≥10张；</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35</w:t>
            </w:r>
            <w:r>
              <w:rPr>
                <w:rFonts w:ascii="宋体" w:hAnsi="宋体" w:cs="宋体" w:eastAsia="宋体"/>
                <w:sz w:val="24"/>
                <w:b/>
              </w:rPr>
              <w:t>】</w:t>
            </w:r>
            <w:r>
              <w:rPr>
                <w:rFonts w:ascii="宋体" w:hAnsi="宋体" w:cs="宋体" w:eastAsia="宋体"/>
                <w:sz w:val="24"/>
              </w:rPr>
              <w:t>6、操作系统：支持</w:t>
            </w:r>
            <w:r>
              <w:rPr>
                <w:rFonts w:ascii="宋体" w:hAnsi="宋体" w:cs="宋体" w:eastAsia="宋体"/>
                <w:sz w:val="24"/>
              </w:rPr>
              <w:t>国产主流操作系统</w:t>
            </w:r>
            <w:r>
              <w:rPr>
                <w:rFonts w:ascii="宋体" w:hAnsi="宋体" w:cs="宋体" w:eastAsia="宋体"/>
                <w:sz w:val="24"/>
              </w:rPr>
              <w:t>。</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千兆网通讯接口</w:t>
            </w:r>
            <w:r>
              <w:rPr>
                <w:rFonts w:ascii="宋体" w:hAnsi="宋体" w:cs="宋体" w:eastAsia="宋体"/>
                <w:sz w:val="24"/>
              </w:rPr>
              <w:t>PXIe拓展卡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36</w:t>
            </w:r>
            <w:r>
              <w:rPr>
                <w:rFonts w:ascii="宋体" w:hAnsi="宋体" w:cs="宋体" w:eastAsia="宋体"/>
                <w:sz w:val="24"/>
                <w:b/>
              </w:rPr>
              <w:t>】</w:t>
            </w:r>
            <w:r>
              <w:rPr>
                <w:rFonts w:ascii="宋体" w:hAnsi="宋体" w:cs="宋体" w:eastAsia="宋体"/>
                <w:sz w:val="24"/>
              </w:rPr>
              <w:t>1、类型：支持千兆网，RJ45接口；通道数≥4；支持PXIe总线标准，可连接产品PXIe插槽；产品尺寸：≤178.13mm×20.02mm×130.5mm。</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RS485/422工业总线PXIe拓展卡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37</w:t>
            </w:r>
            <w:r>
              <w:rPr>
                <w:rFonts w:ascii="宋体" w:hAnsi="宋体" w:cs="宋体" w:eastAsia="宋体"/>
                <w:sz w:val="24"/>
                <w:b/>
              </w:rPr>
              <w:t>】</w:t>
            </w:r>
            <w:r>
              <w:rPr>
                <w:rFonts w:ascii="宋体" w:hAnsi="宋体" w:cs="宋体" w:eastAsia="宋体"/>
                <w:sz w:val="24"/>
              </w:rPr>
              <w:t>1、接口类型：支持RS485及422；通道数≥4；对外接口：DB37≥1；支持PXIe总线标准，可连接PXIe插槽；通讯属性：支持隔离；</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38</w:t>
            </w:r>
            <w:r>
              <w:rPr>
                <w:rFonts w:ascii="宋体" w:hAnsi="宋体" w:cs="宋体" w:eastAsia="宋体"/>
                <w:sz w:val="24"/>
                <w:b/>
              </w:rPr>
              <w:t>】</w:t>
            </w:r>
            <w:r>
              <w:rPr>
                <w:rFonts w:ascii="宋体" w:hAnsi="宋体" w:cs="宋体" w:eastAsia="宋体"/>
                <w:sz w:val="24"/>
              </w:rPr>
              <w:t>2、</w:t>
            </w:r>
            <w:r>
              <w:rPr>
                <w:rFonts w:ascii="宋体" w:hAnsi="宋体" w:cs="宋体" w:eastAsia="宋体"/>
                <w:sz w:val="24"/>
              </w:rPr>
              <w:t>产</w:t>
            </w:r>
            <w:r>
              <w:rPr>
                <w:rFonts w:ascii="宋体" w:hAnsi="宋体" w:cs="宋体" w:eastAsia="宋体"/>
                <w:sz w:val="24"/>
              </w:rPr>
              <w:t>品尺寸：</w:t>
            </w:r>
            <w:r>
              <w:rPr>
                <w:rFonts w:ascii="宋体" w:hAnsi="宋体" w:cs="宋体" w:eastAsia="宋体"/>
                <w:sz w:val="24"/>
              </w:rPr>
              <w:t>≤178.13mm×20.02mm×130.5mm。</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万用表</w:t>
            </w:r>
            <w:r>
              <w:rPr>
                <w:rFonts w:ascii="宋体" w:hAnsi="宋体" w:cs="宋体" w:eastAsia="宋体"/>
                <w:sz w:val="24"/>
              </w:rPr>
              <w:t>PXIe拓展卡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39</w:t>
            </w:r>
            <w:r>
              <w:rPr>
                <w:rFonts w:ascii="宋体" w:hAnsi="宋体" w:cs="宋体" w:eastAsia="宋体"/>
                <w:sz w:val="24"/>
                <w:b/>
              </w:rPr>
              <w:t>】</w:t>
            </w:r>
            <w:r>
              <w:rPr>
                <w:rFonts w:ascii="宋体" w:hAnsi="宋体" w:cs="宋体" w:eastAsia="宋体"/>
                <w:sz w:val="24"/>
              </w:rPr>
              <w:t>1、支持PXIe总线标准，可连接PXIe插槽；精度≥4位半；采样率：≥2S/s；</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40</w:t>
            </w:r>
            <w:r>
              <w:rPr>
                <w:rFonts w:ascii="宋体" w:hAnsi="宋体" w:cs="宋体" w:eastAsia="宋体"/>
                <w:sz w:val="24"/>
                <w:b/>
              </w:rPr>
              <w:t>】</w:t>
            </w:r>
            <w:r>
              <w:rPr>
                <w:rFonts w:ascii="宋体" w:hAnsi="宋体" w:cs="宋体" w:eastAsia="宋体"/>
                <w:sz w:val="24"/>
              </w:rPr>
              <w:t>2、</w:t>
            </w:r>
            <w:r>
              <w:rPr>
                <w:rFonts w:ascii="宋体" w:hAnsi="宋体" w:cs="宋体" w:eastAsia="宋体"/>
                <w:sz w:val="24"/>
              </w:rPr>
              <w:t>直流电压</w:t>
            </w:r>
            <w:r>
              <w:rPr>
                <w:rFonts w:ascii="宋体" w:hAnsi="宋体" w:cs="宋体" w:eastAsia="宋体"/>
                <w:sz w:val="24"/>
              </w:rPr>
              <w:t>±1000Vdc Max；交流电压750Vac Max；直流电流：±10A Max（连续测量≤5A）；交流电流：10A Max（连续测量≤5A）；</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41</w:t>
            </w:r>
            <w:r>
              <w:rPr>
                <w:rFonts w:ascii="宋体" w:hAnsi="宋体" w:cs="宋体" w:eastAsia="宋体"/>
                <w:sz w:val="24"/>
                <w:b/>
              </w:rPr>
              <w:t>】</w:t>
            </w:r>
            <w:r>
              <w:rPr>
                <w:rFonts w:ascii="宋体" w:hAnsi="宋体" w:cs="宋体" w:eastAsia="宋体"/>
                <w:sz w:val="24"/>
              </w:rPr>
              <w:t>3、</w:t>
            </w:r>
            <w:r>
              <w:rPr>
                <w:rFonts w:ascii="宋体" w:hAnsi="宋体" w:cs="宋体" w:eastAsia="宋体"/>
                <w:sz w:val="24"/>
              </w:rPr>
              <w:t>电阻量程：</w:t>
            </w:r>
            <w:r>
              <w:rPr>
                <w:rFonts w:ascii="宋体" w:hAnsi="宋体" w:cs="宋体" w:eastAsia="宋体"/>
                <w:sz w:val="24"/>
              </w:rPr>
              <w:t>40MΩ Max；支持隔离功能。</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高性能</w:t>
            </w:r>
            <w:r>
              <w:rPr>
                <w:rFonts w:ascii="宋体" w:hAnsi="宋体" w:cs="宋体" w:eastAsia="宋体"/>
                <w:sz w:val="24"/>
              </w:rPr>
              <w:t>FPGA</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42</w:t>
            </w:r>
            <w:r>
              <w:rPr>
                <w:rFonts w:ascii="宋体" w:hAnsi="宋体" w:cs="宋体" w:eastAsia="宋体"/>
                <w:sz w:val="24"/>
                <w:b/>
              </w:rPr>
              <w:t>】</w:t>
            </w:r>
            <w:r>
              <w:rPr>
                <w:rFonts w:ascii="宋体" w:hAnsi="宋体" w:cs="宋体" w:eastAsia="宋体"/>
                <w:sz w:val="24"/>
              </w:rPr>
              <w:t>1、支持PXIe总线标准，可连接PXIe插槽；</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43</w:t>
            </w:r>
            <w:r>
              <w:rPr>
                <w:rFonts w:ascii="宋体" w:hAnsi="宋体" w:cs="宋体" w:eastAsia="宋体"/>
                <w:sz w:val="24"/>
                <w:b/>
              </w:rPr>
              <w:t>】</w:t>
            </w:r>
            <w:r>
              <w:rPr>
                <w:rFonts w:ascii="宋体" w:hAnsi="宋体" w:cs="宋体" w:eastAsia="宋体"/>
                <w:sz w:val="24"/>
              </w:rPr>
              <w:t>2、通道数：高速DIO通道数≥64；DIO电平：配置3.3V；DIO速率：配置80MHz；</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44</w:t>
            </w:r>
            <w:r>
              <w:rPr>
                <w:rFonts w:ascii="宋体" w:hAnsi="宋体" w:cs="宋体" w:eastAsia="宋体"/>
                <w:sz w:val="24"/>
                <w:b/>
              </w:rPr>
              <w:t>】</w:t>
            </w:r>
            <w:r>
              <w:rPr>
                <w:rFonts w:ascii="宋体" w:hAnsi="宋体" w:cs="宋体" w:eastAsia="宋体"/>
                <w:sz w:val="24"/>
              </w:rPr>
              <w:t>3、AI功能：通道数：配置≥24；AI采样率：配置≥200K/CH/s；AI输入方式：配置单端；AI采样范围：±10V；AI分辨率：≥16bit；支持AI同步；</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45</w:t>
            </w:r>
            <w:r>
              <w:rPr>
                <w:rFonts w:ascii="宋体" w:hAnsi="宋体" w:cs="宋体" w:eastAsia="宋体"/>
                <w:sz w:val="24"/>
                <w:b/>
              </w:rPr>
              <w:t>】</w:t>
            </w:r>
            <w:r>
              <w:rPr>
                <w:rFonts w:ascii="宋体" w:hAnsi="宋体" w:cs="宋体" w:eastAsia="宋体"/>
                <w:sz w:val="24"/>
              </w:rPr>
              <w:t>4、AO功能：配置电压AO类型；AO通道数≥8；AO采样率≥125K/CH/s；AO输出方式：配置单端；AO输出范围：±10V；AO分辨率≥16bit；支持AO同步；</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46</w:t>
            </w:r>
            <w:r>
              <w:rPr>
                <w:rFonts w:ascii="宋体" w:hAnsi="宋体" w:cs="宋体" w:eastAsia="宋体"/>
                <w:sz w:val="24"/>
                <w:b/>
              </w:rPr>
              <w:t>】</w:t>
            </w:r>
            <w:r>
              <w:rPr>
                <w:rFonts w:ascii="宋体" w:hAnsi="宋体" w:cs="宋体" w:eastAsia="宋体"/>
                <w:sz w:val="24"/>
              </w:rPr>
              <w:t>5、对外接口：VHDCI≥3。</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显卡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47</w:t>
            </w:r>
            <w:r>
              <w:rPr>
                <w:rFonts w:ascii="宋体" w:hAnsi="宋体" w:cs="宋体" w:eastAsia="宋体"/>
                <w:sz w:val="24"/>
                <w:b/>
              </w:rPr>
              <w:t>】</w:t>
            </w:r>
            <w:r>
              <w:rPr>
                <w:rFonts w:ascii="宋体" w:hAnsi="宋体" w:cs="宋体" w:eastAsia="宋体"/>
                <w:sz w:val="24"/>
                <w:b/>
                <w:shd w:fill="FFFFFF" w:val="clear"/>
              </w:rPr>
              <w:t>★</w:t>
            </w:r>
            <w:r>
              <w:rPr>
                <w:rFonts w:ascii="宋体" w:hAnsi="宋体" w:cs="宋体" w:eastAsia="宋体"/>
                <w:sz w:val="24"/>
              </w:rPr>
              <w:t>1、显存容量：≥80G；</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48</w:t>
            </w:r>
            <w:r>
              <w:rPr>
                <w:rFonts w:ascii="宋体" w:hAnsi="宋体" w:cs="宋体" w:eastAsia="宋体"/>
                <w:sz w:val="24"/>
                <w:b/>
              </w:rPr>
              <w:t>】</w:t>
            </w:r>
            <w:r>
              <w:rPr>
                <w:rFonts w:ascii="微软雅黑" w:hAnsi="微软雅黑" w:cs="微软雅黑" w:eastAsia="微软雅黑"/>
                <w:sz w:val="24"/>
              </w:rPr>
              <w:t>▲</w:t>
            </w:r>
            <w:r>
              <w:rPr>
                <w:rFonts w:ascii="宋体" w:hAnsi="宋体" w:cs="宋体" w:eastAsia="宋体"/>
                <w:sz w:val="24"/>
              </w:rPr>
              <w:t>2、显存带宽≥1935GB/s；显存位宽≥5120-bit；</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49</w:t>
            </w:r>
            <w:r>
              <w:rPr>
                <w:rFonts w:ascii="宋体" w:hAnsi="宋体" w:cs="宋体" w:eastAsia="宋体"/>
                <w:sz w:val="24"/>
                <w:b/>
              </w:rPr>
              <w:t>】</w:t>
            </w:r>
            <w:r>
              <w:rPr>
                <w:rFonts w:ascii="宋体" w:hAnsi="宋体" w:cs="宋体" w:eastAsia="宋体"/>
                <w:sz w:val="24"/>
              </w:rPr>
              <w:t>3、FP64峰值性能：≥9.7 TFLOPS；FP64 Tensor Core峰值性能：≥19.5 TFLOPS；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50</w:t>
            </w:r>
            <w:r>
              <w:rPr>
                <w:rFonts w:ascii="宋体" w:hAnsi="宋体" w:cs="宋体" w:eastAsia="宋体"/>
                <w:sz w:val="24"/>
                <w:b/>
              </w:rPr>
              <w:t>】</w:t>
            </w:r>
            <w:r>
              <w:rPr>
                <w:rFonts w:ascii="宋体" w:hAnsi="宋体" w:cs="宋体" w:eastAsia="宋体"/>
                <w:sz w:val="24"/>
              </w:rPr>
              <w:t>4、FP32峰值性能：≥19.5 TFLOPS； Tensor Float 32峰值性能：≥156 TFLOPS；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51</w:t>
            </w:r>
            <w:r>
              <w:rPr>
                <w:rFonts w:ascii="宋体" w:hAnsi="宋体" w:cs="宋体" w:eastAsia="宋体"/>
                <w:sz w:val="24"/>
                <w:b/>
              </w:rPr>
              <w:t>】</w:t>
            </w:r>
            <w:r>
              <w:rPr>
                <w:rFonts w:ascii="宋体" w:hAnsi="宋体" w:cs="宋体" w:eastAsia="宋体"/>
                <w:sz w:val="24"/>
              </w:rPr>
              <w:t>5、BFLOAT16 Tensor Core峰值性能：≥312 TFLOPS；FP16 Tensor Core峰值性能:：≥312 TFLOPS；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52</w:t>
            </w:r>
            <w:r>
              <w:rPr>
                <w:rFonts w:ascii="宋体" w:hAnsi="宋体" w:cs="宋体" w:eastAsia="宋体"/>
                <w:sz w:val="24"/>
                <w:b/>
              </w:rPr>
              <w:t>】</w:t>
            </w:r>
            <w:r>
              <w:rPr>
                <w:rFonts w:ascii="宋体" w:hAnsi="宋体" w:cs="宋体" w:eastAsia="宋体"/>
                <w:sz w:val="24"/>
              </w:rPr>
              <w:t>6、INT8 Tensor Core峰值性能: ≥624 TOPS；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53</w:t>
            </w:r>
            <w:r>
              <w:rPr>
                <w:rFonts w:ascii="宋体" w:hAnsi="宋体" w:cs="宋体" w:eastAsia="宋体"/>
                <w:sz w:val="24"/>
                <w:b/>
              </w:rPr>
              <w:t>】</w:t>
            </w:r>
            <w:r>
              <w:rPr>
                <w:rFonts w:ascii="宋体" w:hAnsi="宋体" w:cs="宋体" w:eastAsia="宋体"/>
                <w:sz w:val="24"/>
              </w:rPr>
              <w:t>7、接口：配置PCIe 4.0 64GB/s及以上接口；支持CUDA，支持cuDNN。</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显卡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54</w:t>
            </w:r>
            <w:r>
              <w:rPr>
                <w:rFonts w:ascii="宋体" w:hAnsi="宋体" w:cs="宋体" w:eastAsia="宋体"/>
                <w:sz w:val="24"/>
                <w:b/>
              </w:rPr>
              <w:t>】</w:t>
            </w:r>
            <w:r>
              <w:rPr>
                <w:rFonts w:ascii="宋体" w:hAnsi="宋体" w:cs="宋体" w:eastAsia="宋体"/>
                <w:sz w:val="24"/>
                <w:b/>
                <w:shd w:fill="FFFFFF" w:val="clear"/>
              </w:rPr>
              <w:t>★</w:t>
            </w:r>
            <w:r>
              <w:rPr>
                <w:rFonts w:ascii="宋体" w:hAnsi="宋体" w:cs="宋体" w:eastAsia="宋体"/>
                <w:sz w:val="24"/>
              </w:rPr>
              <w:t>1、显存容量：≥24GB；</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55</w:t>
            </w:r>
            <w:r>
              <w:rPr>
                <w:rFonts w:ascii="宋体" w:hAnsi="宋体" w:cs="宋体" w:eastAsia="宋体"/>
                <w:sz w:val="24"/>
                <w:b/>
              </w:rPr>
              <w:t>】</w:t>
            </w:r>
            <w:r>
              <w:rPr>
                <w:rFonts w:ascii="微软雅黑" w:hAnsi="微软雅黑" w:cs="微软雅黑" w:eastAsia="微软雅黑"/>
                <w:sz w:val="24"/>
              </w:rPr>
              <w:t>▲</w:t>
            </w:r>
            <w:r>
              <w:rPr>
                <w:rFonts w:ascii="宋体" w:hAnsi="宋体" w:cs="宋体" w:eastAsia="宋体"/>
                <w:sz w:val="24"/>
              </w:rPr>
              <w:t>2、显存位宽：≥384-bit；</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56</w:t>
            </w:r>
            <w:r>
              <w:rPr>
                <w:rFonts w:ascii="宋体" w:hAnsi="宋体" w:cs="宋体" w:eastAsia="宋体"/>
                <w:sz w:val="24"/>
                <w:b/>
              </w:rPr>
              <w:t>】</w:t>
            </w:r>
            <w:r>
              <w:rPr>
                <w:rFonts w:ascii="宋体" w:hAnsi="宋体" w:cs="宋体" w:eastAsia="宋体"/>
                <w:sz w:val="24"/>
              </w:rPr>
              <w:t>3、显存频率：≥21000 MHz；</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57</w:t>
            </w:r>
            <w:r>
              <w:rPr>
                <w:rFonts w:ascii="宋体" w:hAnsi="宋体" w:cs="宋体" w:eastAsia="宋体"/>
                <w:sz w:val="24"/>
                <w:b/>
              </w:rPr>
              <w:t>】</w:t>
            </w:r>
            <w:r>
              <w:rPr>
                <w:rFonts w:ascii="宋体" w:hAnsi="宋体" w:cs="宋体" w:eastAsia="宋体"/>
                <w:sz w:val="24"/>
              </w:rPr>
              <w:t>4、核心频率：基础频率≥2230MHz，加速频率≥2520MHz；</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58</w:t>
            </w:r>
            <w:r>
              <w:rPr>
                <w:rFonts w:ascii="宋体" w:hAnsi="宋体" w:cs="宋体" w:eastAsia="宋体"/>
                <w:sz w:val="24"/>
                <w:b/>
              </w:rPr>
              <w:t>】</w:t>
            </w:r>
            <w:r>
              <w:rPr>
                <w:rFonts w:ascii="宋体" w:hAnsi="宋体" w:cs="宋体" w:eastAsia="宋体"/>
                <w:sz w:val="24"/>
              </w:rPr>
              <w:t>5、CUDA核心：≥16384；</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59</w:t>
            </w:r>
            <w:r>
              <w:rPr>
                <w:rFonts w:ascii="宋体" w:hAnsi="宋体" w:cs="宋体" w:eastAsia="宋体"/>
                <w:sz w:val="24"/>
                <w:b/>
              </w:rPr>
              <w:t>】</w:t>
            </w:r>
            <w:r>
              <w:rPr>
                <w:rFonts w:ascii="宋体" w:hAnsi="宋体" w:cs="宋体" w:eastAsia="宋体"/>
                <w:sz w:val="24"/>
              </w:rPr>
              <w:t>6、接口：支持PCI Express 4.0接口标准，配置原生HDMI≥1和DP≥1接口，支持高分辨率和刷新率，同时支持HDR技术。</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GNSS接收机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60</w:t>
            </w:r>
            <w:r>
              <w:rPr>
                <w:rFonts w:ascii="宋体" w:hAnsi="宋体" w:cs="宋体" w:eastAsia="宋体"/>
                <w:sz w:val="24"/>
                <w:b/>
              </w:rPr>
              <w:t>】</w:t>
            </w:r>
            <w:r>
              <w:rPr>
                <w:rFonts w:ascii="宋体" w:hAnsi="宋体" w:cs="宋体" w:eastAsia="宋体"/>
                <w:sz w:val="24"/>
              </w:rPr>
              <w:t>1、定位模式：支持BDS B1I/B2I/B3I、GPS L1/L2/L5、GLONASS L1/L2、Galileo E1/E5a/E5b、QZSS L1/L2/L5及SBAS；</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61</w:t>
            </w:r>
            <w:r>
              <w:rPr>
                <w:rFonts w:ascii="宋体" w:hAnsi="宋体" w:cs="宋体" w:eastAsia="宋体"/>
                <w:sz w:val="24"/>
                <w:b/>
              </w:rPr>
              <w:t>】</w:t>
            </w:r>
            <w:r>
              <w:rPr>
                <w:rFonts w:ascii="宋体" w:hAnsi="宋体" w:cs="宋体" w:eastAsia="宋体"/>
                <w:sz w:val="24"/>
              </w:rPr>
              <w:t>2、</w:t>
            </w:r>
            <w:r>
              <w:rPr>
                <w:rFonts w:ascii="宋体" w:hAnsi="宋体" w:cs="宋体" w:eastAsia="宋体"/>
                <w:sz w:val="24"/>
              </w:rPr>
              <w:t>通道：支持</w:t>
            </w:r>
            <w:r>
              <w:rPr>
                <w:rFonts w:ascii="宋体" w:hAnsi="宋体" w:cs="宋体" w:eastAsia="宋体"/>
                <w:sz w:val="24"/>
              </w:rPr>
              <w:t>1408，基于 NebulasIV；RTK (RMS)精度：等同或优于平面： 0.8 cm + 1 ppm，高程1.5cm+1ppm；</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62</w:t>
            </w:r>
            <w:r>
              <w:rPr>
                <w:rFonts w:ascii="宋体" w:hAnsi="宋体" w:cs="宋体" w:eastAsia="宋体"/>
                <w:sz w:val="24"/>
                <w:b/>
              </w:rPr>
              <w:t>】</w:t>
            </w:r>
            <w:r>
              <w:rPr>
                <w:rFonts w:ascii="宋体" w:hAnsi="宋体" w:cs="宋体" w:eastAsia="宋体"/>
                <w:sz w:val="24"/>
              </w:rPr>
              <w:t>3、</w:t>
            </w:r>
            <w:r>
              <w:rPr>
                <w:rFonts w:ascii="宋体" w:hAnsi="宋体" w:cs="宋体" w:eastAsia="宋体"/>
                <w:sz w:val="24"/>
              </w:rPr>
              <w:t>定向精度</w:t>
            </w:r>
            <w:r>
              <w:rPr>
                <w:rFonts w:ascii="宋体" w:hAnsi="宋体" w:cs="宋体" w:eastAsia="宋体"/>
                <w:sz w:val="24"/>
              </w:rPr>
              <w:t>(RMS)： 0.1° /1m基线；</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63</w:t>
            </w:r>
            <w:r>
              <w:rPr>
                <w:rFonts w:ascii="宋体" w:hAnsi="宋体" w:cs="宋体" w:eastAsia="宋体"/>
                <w:sz w:val="24"/>
                <w:b/>
              </w:rPr>
              <w:t>】</w:t>
            </w:r>
            <w:r>
              <w:rPr>
                <w:rFonts w:ascii="宋体" w:hAnsi="宋体" w:cs="宋体" w:eastAsia="宋体"/>
                <w:sz w:val="24"/>
              </w:rPr>
              <w:t>4、</w:t>
            </w:r>
            <w:r>
              <w:rPr>
                <w:rFonts w:ascii="宋体" w:hAnsi="宋体" w:cs="宋体" w:eastAsia="宋体"/>
                <w:sz w:val="24"/>
              </w:rPr>
              <w:t>速度精度</w:t>
            </w:r>
            <w:r>
              <w:rPr>
                <w:rFonts w:ascii="宋体" w:hAnsi="宋体" w:cs="宋体" w:eastAsia="宋体"/>
                <w:sz w:val="24"/>
              </w:rPr>
              <w:t>(RMS)：0.03m/s；</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64</w:t>
            </w:r>
            <w:r>
              <w:rPr>
                <w:rFonts w:ascii="宋体" w:hAnsi="宋体" w:cs="宋体" w:eastAsia="宋体"/>
                <w:sz w:val="24"/>
                <w:b/>
              </w:rPr>
              <w:t>】</w:t>
            </w:r>
            <w:r>
              <w:rPr>
                <w:rFonts w:ascii="宋体" w:hAnsi="宋体" w:cs="宋体" w:eastAsia="宋体"/>
                <w:sz w:val="24"/>
              </w:rPr>
              <w:t>5、</w:t>
            </w:r>
            <w:r>
              <w:rPr>
                <w:rFonts w:ascii="宋体" w:hAnsi="宋体" w:cs="宋体" w:eastAsia="宋体"/>
                <w:sz w:val="24"/>
              </w:rPr>
              <w:t>时间精度</w:t>
            </w:r>
            <w:r>
              <w:rPr>
                <w:rFonts w:ascii="宋体" w:hAnsi="宋体" w:cs="宋体" w:eastAsia="宋体"/>
                <w:sz w:val="24"/>
              </w:rPr>
              <w:t>(RMS) ：20ns；</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65</w:t>
            </w:r>
            <w:r>
              <w:rPr>
                <w:rFonts w:ascii="宋体" w:hAnsi="宋体" w:cs="宋体" w:eastAsia="宋体"/>
                <w:sz w:val="24"/>
                <w:b/>
              </w:rPr>
              <w:t>】</w:t>
            </w:r>
            <w:r>
              <w:rPr>
                <w:rFonts w:ascii="宋体" w:hAnsi="宋体" w:cs="宋体" w:eastAsia="宋体"/>
                <w:sz w:val="24"/>
              </w:rPr>
              <w:t>6、</w:t>
            </w:r>
            <w:r>
              <w:rPr>
                <w:rFonts w:ascii="宋体" w:hAnsi="宋体" w:cs="宋体" w:eastAsia="宋体"/>
                <w:sz w:val="24"/>
              </w:rPr>
              <w:t>数据更新率：</w:t>
            </w:r>
            <w:r>
              <w:rPr>
                <w:rFonts w:ascii="宋体" w:hAnsi="宋体" w:cs="宋体" w:eastAsia="宋体"/>
                <w:sz w:val="24"/>
              </w:rPr>
              <w:t>20Hz原始数据输出；</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66</w:t>
            </w:r>
            <w:r>
              <w:rPr>
                <w:rFonts w:ascii="宋体" w:hAnsi="宋体" w:cs="宋体" w:eastAsia="宋体"/>
                <w:sz w:val="24"/>
                <w:b/>
              </w:rPr>
              <w:t>】</w:t>
            </w:r>
            <w:r>
              <w:rPr>
                <w:rFonts w:ascii="宋体" w:hAnsi="宋体" w:cs="宋体" w:eastAsia="宋体"/>
                <w:sz w:val="24"/>
              </w:rPr>
              <w:t>7、</w:t>
            </w:r>
            <w:r>
              <w:rPr>
                <w:rFonts w:ascii="宋体" w:hAnsi="宋体" w:cs="宋体" w:eastAsia="宋体"/>
                <w:sz w:val="24"/>
              </w:rPr>
              <w:t>尺寸：</w:t>
            </w:r>
            <w:r>
              <w:rPr>
                <w:rFonts w:ascii="宋体" w:hAnsi="宋体" w:cs="宋体" w:eastAsia="宋体"/>
                <w:sz w:val="24"/>
              </w:rPr>
              <w:t>≤78.6*49*18.3mm；重量：≤70g。</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GNSS接收机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67</w:t>
            </w:r>
            <w:r>
              <w:rPr>
                <w:rFonts w:ascii="宋体" w:hAnsi="宋体" w:cs="宋体" w:eastAsia="宋体"/>
                <w:sz w:val="24"/>
                <w:b/>
              </w:rPr>
              <w:t>】</w:t>
            </w:r>
            <w:r>
              <w:rPr>
                <w:rFonts w:ascii="宋体" w:hAnsi="宋体" w:cs="宋体" w:eastAsia="宋体"/>
                <w:sz w:val="24"/>
              </w:rPr>
              <w:t>1、定位模式：支持；BDS-3/BDS-2/GPS/GLONASS/Galileo/IRNSS/QZSS/SBAS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68</w:t>
            </w:r>
            <w:r>
              <w:rPr>
                <w:rFonts w:ascii="宋体" w:hAnsi="宋体" w:cs="宋体" w:eastAsia="宋体"/>
                <w:sz w:val="24"/>
                <w:b/>
              </w:rPr>
              <w:t>】</w:t>
            </w:r>
            <w:r>
              <w:rPr>
                <w:rFonts w:ascii="宋体" w:hAnsi="宋体" w:cs="宋体" w:eastAsia="宋体"/>
                <w:sz w:val="24"/>
              </w:rPr>
              <w:t>2、通道数量：支持1408通道；</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69</w:t>
            </w:r>
            <w:r>
              <w:rPr>
                <w:rFonts w:ascii="宋体" w:hAnsi="宋体" w:cs="宋体" w:eastAsia="宋体"/>
                <w:sz w:val="24"/>
                <w:b/>
              </w:rPr>
              <w:t>】</w:t>
            </w:r>
            <w:r>
              <w:rPr>
                <w:rFonts w:ascii="宋体" w:hAnsi="宋体" w:cs="宋体" w:eastAsia="宋体"/>
                <w:sz w:val="24"/>
              </w:rPr>
              <w:t>3、性能参数：伪距精度：≤10cm；载波相位精度：≤0.005c；授时精度：20ns；标准单点定位精度：H≤1.5m，V≤3m；RTK精度：H:±(8+10-6xD)mm D为基线距离(单位:km)，V:±(15+10-6xD)mm D为基线长度(单位:km)；速度精度：0.02m/s；</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70</w:t>
            </w:r>
            <w:r>
              <w:rPr>
                <w:rFonts w:ascii="宋体" w:hAnsi="宋体" w:cs="宋体" w:eastAsia="宋体"/>
                <w:sz w:val="24"/>
                <w:b/>
              </w:rPr>
              <w:t>】</w:t>
            </w:r>
            <w:r>
              <w:rPr>
                <w:rFonts w:ascii="宋体" w:hAnsi="宋体" w:cs="宋体" w:eastAsia="宋体"/>
                <w:sz w:val="24"/>
              </w:rPr>
              <w:t>4、尺寸：≤50*40*14mm；重量：≤45g。</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移动固态硬盘</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71</w:t>
            </w:r>
            <w:r>
              <w:rPr>
                <w:rFonts w:ascii="宋体" w:hAnsi="宋体" w:cs="宋体" w:eastAsia="宋体"/>
                <w:sz w:val="24"/>
                <w:b/>
              </w:rPr>
              <w:t>】</w:t>
            </w:r>
            <w:r>
              <w:rPr>
                <w:rFonts w:ascii="宋体" w:hAnsi="宋体" w:cs="宋体" w:eastAsia="宋体"/>
                <w:sz w:val="24"/>
              </w:rPr>
              <w:t>1、容量：≥2TB；传输速度：≥2000MB/s；接口：支持USB-C；重量：≤50g。</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固态硬盘</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72</w:t>
            </w:r>
            <w:r>
              <w:rPr>
                <w:rFonts w:ascii="宋体" w:hAnsi="宋体" w:cs="宋体" w:eastAsia="宋体"/>
                <w:sz w:val="24"/>
                <w:b/>
              </w:rPr>
              <w:t>】</w:t>
            </w:r>
            <w:r>
              <w:rPr>
                <w:rFonts w:ascii="宋体" w:hAnsi="宋体" w:cs="宋体" w:eastAsia="宋体"/>
                <w:sz w:val="24"/>
              </w:rPr>
              <w:t>1、容量：≥2TB；缓存：≥2GB；M.2接口(NVMe协议) ，支持PCIe 4.0；</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73</w:t>
            </w:r>
            <w:r>
              <w:rPr>
                <w:rFonts w:ascii="宋体" w:hAnsi="宋体" w:cs="宋体" w:eastAsia="宋体"/>
                <w:sz w:val="24"/>
                <w:b/>
              </w:rPr>
              <w:t>】</w:t>
            </w:r>
            <w:r>
              <w:rPr>
                <w:rFonts w:ascii="宋体" w:hAnsi="宋体" w:cs="宋体" w:eastAsia="宋体"/>
                <w:sz w:val="24"/>
              </w:rPr>
              <w:t>2、闪存类型：TLC；顺序读速：≥7400MB/s；顺序写入：≥6700MB/s；NVMe读速：≥7000MB/s。</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固态硬盘</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74</w:t>
            </w:r>
            <w:r>
              <w:rPr>
                <w:rFonts w:ascii="宋体" w:hAnsi="宋体" w:cs="宋体" w:eastAsia="宋体"/>
                <w:sz w:val="24"/>
                <w:b/>
              </w:rPr>
              <w:t>】</w:t>
            </w:r>
            <w:r>
              <w:rPr>
                <w:rFonts w:ascii="宋体" w:hAnsi="宋体" w:cs="宋体" w:eastAsia="宋体"/>
                <w:sz w:val="24"/>
              </w:rPr>
              <w:t>1、容量：≥2TB；接口：M.2接口(NVMe协议) ，支持PCIe 3.0；</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75</w:t>
            </w:r>
            <w:r>
              <w:rPr>
                <w:rFonts w:ascii="宋体" w:hAnsi="宋体" w:cs="宋体" w:eastAsia="宋体"/>
                <w:sz w:val="24"/>
                <w:b/>
              </w:rPr>
              <w:t>】</w:t>
            </w:r>
            <w:r>
              <w:rPr>
                <w:rFonts w:ascii="宋体" w:hAnsi="宋体" w:cs="宋体" w:eastAsia="宋体"/>
                <w:sz w:val="24"/>
              </w:rPr>
              <w:t>2、闪存类型：TLC；顺序读速：≥3650MB/s；顺序写入：≥2000MB/s；NVMe读速：等同或优于支持3000-3999MB/s。</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电子防潮箱</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76</w:t>
            </w:r>
            <w:r>
              <w:rPr>
                <w:rFonts w:ascii="宋体" w:hAnsi="宋体" w:cs="宋体" w:eastAsia="宋体"/>
                <w:sz w:val="24"/>
                <w:b/>
              </w:rPr>
              <w:t>】</w:t>
            </w:r>
            <w:r>
              <w:rPr>
                <w:rFonts w:ascii="宋体" w:hAnsi="宋体" w:cs="宋体" w:eastAsia="宋体"/>
                <w:sz w:val="24"/>
              </w:rPr>
              <w:t>1、容量：≥200L；湿度范围：等同或优于25%-65%；净重≤36kg；柜体外尺寸：45cm* 125cm*42cm。</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SDI相机扩展板</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77</w:t>
            </w:r>
            <w:r>
              <w:rPr>
                <w:rFonts w:ascii="宋体" w:hAnsi="宋体" w:cs="宋体" w:eastAsia="宋体"/>
                <w:sz w:val="24"/>
                <w:b/>
              </w:rPr>
              <w:t>】</w:t>
            </w:r>
            <w:r>
              <w:rPr>
                <w:rFonts w:ascii="宋体" w:hAnsi="宋体" w:cs="宋体" w:eastAsia="宋体"/>
                <w:sz w:val="24"/>
              </w:rPr>
              <w:t>1、视频格式：支持1080P@25HZ；</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78</w:t>
            </w:r>
            <w:r>
              <w:rPr>
                <w:rFonts w:ascii="宋体" w:hAnsi="宋体" w:cs="宋体" w:eastAsia="宋体"/>
                <w:sz w:val="24"/>
                <w:b/>
              </w:rPr>
              <w:t>】</w:t>
            </w:r>
            <w:r>
              <w:rPr>
                <w:rFonts w:ascii="宋体" w:hAnsi="宋体" w:cs="宋体" w:eastAsia="宋体"/>
                <w:sz w:val="24"/>
              </w:rPr>
              <w:t>2、SDI接口：SMA-75KHD；</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79</w:t>
            </w:r>
            <w:r>
              <w:rPr>
                <w:rFonts w:ascii="宋体" w:hAnsi="宋体" w:cs="宋体" w:eastAsia="宋体"/>
                <w:sz w:val="24"/>
                <w:b/>
              </w:rPr>
              <w:t>】</w:t>
            </w:r>
            <w:r>
              <w:rPr>
                <w:rFonts w:ascii="宋体" w:hAnsi="宋体" w:cs="宋体" w:eastAsia="宋体"/>
                <w:sz w:val="24"/>
              </w:rPr>
              <w:t>3、电源：供电输入5V～15V；单板功耗≤0.84W；</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80</w:t>
            </w:r>
            <w:r>
              <w:rPr>
                <w:rFonts w:ascii="宋体" w:hAnsi="宋体" w:cs="宋体" w:eastAsia="宋体"/>
                <w:sz w:val="24"/>
                <w:b/>
              </w:rPr>
              <w:t>】</w:t>
            </w:r>
            <w:r>
              <w:rPr>
                <w:rFonts w:ascii="宋体" w:hAnsi="宋体" w:cs="宋体" w:eastAsia="宋体"/>
                <w:sz w:val="24"/>
              </w:rPr>
              <w:t>4、通信：支持RS422串口通信；</w:t>
            </w:r>
          </w:p>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81</w:t>
            </w:r>
            <w:r>
              <w:rPr>
                <w:rFonts w:ascii="宋体" w:hAnsi="宋体" w:cs="宋体" w:eastAsia="宋体"/>
                <w:sz w:val="24"/>
                <w:b/>
              </w:rPr>
              <w:t>】</w:t>
            </w:r>
            <w:r>
              <w:rPr>
                <w:rFonts w:ascii="宋体" w:hAnsi="宋体" w:cs="宋体" w:eastAsia="宋体"/>
                <w:sz w:val="24"/>
              </w:rPr>
              <w:t>5、外触发同步：支持外触发同步功能。</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便携三脚架</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82</w:t>
            </w:r>
            <w:r>
              <w:rPr>
                <w:rFonts w:ascii="宋体" w:hAnsi="宋体" w:cs="宋体" w:eastAsia="宋体"/>
                <w:sz w:val="24"/>
                <w:b/>
              </w:rPr>
              <w:t>】</w:t>
            </w:r>
            <w:r>
              <w:rPr>
                <w:rFonts w:ascii="宋体" w:hAnsi="宋体" w:cs="宋体" w:eastAsia="宋体"/>
                <w:sz w:val="24"/>
              </w:rPr>
              <w:t>1、节数：≥4节；最小高度：≥80mm；最大高度≥1450mm；收缩高度：≥550mm；重量：≤1.75kg；承重≥18kg；管径：等同或优于22-32mm；材质：碳纤维+铝合金。</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连续变焦长波红外相机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83</w:t>
            </w:r>
            <w:r>
              <w:rPr>
                <w:rFonts w:ascii="宋体" w:hAnsi="宋体" w:cs="宋体" w:eastAsia="宋体"/>
                <w:sz w:val="24"/>
                <w:b/>
              </w:rPr>
              <w:t>】</w:t>
            </w:r>
            <w:r>
              <w:rPr>
                <w:rFonts w:ascii="宋体" w:hAnsi="宋体" w:cs="宋体" w:eastAsia="宋体"/>
                <w:sz w:val="24"/>
              </w:rPr>
              <w:t>1、传感器：氧化钒非制冷型陶瓷封装探测器；支持1280x1024像素；</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84</w:t>
            </w:r>
            <w:r>
              <w:rPr>
                <w:rFonts w:ascii="宋体" w:hAnsi="宋体" w:cs="宋体" w:eastAsia="宋体"/>
                <w:sz w:val="24"/>
                <w:b/>
              </w:rPr>
              <w:t>】</w:t>
            </w:r>
            <w:r>
              <w:rPr>
                <w:rFonts w:ascii="宋体" w:hAnsi="宋体" w:cs="宋体" w:eastAsia="宋体"/>
                <w:sz w:val="24"/>
              </w:rPr>
              <w:t>2、光谱响应范围：8~14μm；</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85</w:t>
            </w:r>
            <w:r>
              <w:rPr>
                <w:rFonts w:ascii="宋体" w:hAnsi="宋体" w:cs="宋体" w:eastAsia="宋体"/>
                <w:sz w:val="24"/>
                <w:b/>
              </w:rPr>
              <w:t>】</w:t>
            </w:r>
            <w:r>
              <w:rPr>
                <w:rFonts w:ascii="宋体" w:hAnsi="宋体" w:cs="宋体" w:eastAsia="宋体"/>
                <w:sz w:val="24"/>
              </w:rPr>
              <w:t>3、像元尺寸：12μm；</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86</w:t>
            </w:r>
            <w:r>
              <w:rPr>
                <w:rFonts w:ascii="宋体" w:hAnsi="宋体" w:cs="宋体" w:eastAsia="宋体"/>
                <w:sz w:val="24"/>
                <w:b/>
              </w:rPr>
              <w:t>】</w:t>
            </w:r>
            <w:r>
              <w:rPr>
                <w:rFonts w:ascii="宋体" w:hAnsi="宋体" w:cs="宋体" w:eastAsia="宋体"/>
                <w:sz w:val="24"/>
              </w:rPr>
              <w:t>4、帧频：支持设置30HZ或50HZ；</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87</w:t>
            </w:r>
            <w:r>
              <w:rPr>
                <w:rFonts w:ascii="宋体" w:hAnsi="宋体" w:cs="宋体" w:eastAsia="宋体"/>
                <w:sz w:val="24"/>
                <w:b/>
              </w:rPr>
              <w:t>】</w:t>
            </w:r>
            <w:r>
              <w:rPr>
                <w:rFonts w:ascii="宋体" w:hAnsi="宋体" w:cs="宋体" w:eastAsia="宋体"/>
                <w:sz w:val="24"/>
              </w:rPr>
              <w:t>5、热灵敏度(NETD)：≤30mk@f1.0/25℃；</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88</w:t>
            </w:r>
            <w:r>
              <w:rPr>
                <w:rFonts w:ascii="宋体" w:hAnsi="宋体" w:cs="宋体" w:eastAsia="宋体"/>
                <w:sz w:val="24"/>
                <w:b/>
              </w:rPr>
              <w:t>】</w:t>
            </w:r>
            <w:r>
              <w:rPr>
                <w:rFonts w:ascii="宋体" w:hAnsi="宋体" w:cs="宋体" w:eastAsia="宋体"/>
                <w:sz w:val="24"/>
              </w:rPr>
              <w:t>6、动态范围：16 bit；</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89</w:t>
            </w:r>
            <w:r>
              <w:rPr>
                <w:rFonts w:ascii="宋体" w:hAnsi="宋体" w:cs="宋体" w:eastAsia="宋体"/>
                <w:sz w:val="24"/>
                <w:b/>
              </w:rPr>
              <w:t>】</w:t>
            </w:r>
            <w:r>
              <w:rPr>
                <w:rFonts w:ascii="宋体" w:hAnsi="宋体" w:cs="宋体" w:eastAsia="宋体"/>
                <w:sz w:val="24"/>
              </w:rPr>
              <w:t>7、数据接口：USB 3.0；</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90</w:t>
            </w:r>
            <w:r>
              <w:rPr>
                <w:rFonts w:ascii="宋体" w:hAnsi="宋体" w:cs="宋体" w:eastAsia="宋体"/>
                <w:sz w:val="24"/>
                <w:b/>
              </w:rPr>
              <w:t>】</w:t>
            </w:r>
            <w:r>
              <w:rPr>
                <w:rFonts w:ascii="宋体" w:hAnsi="宋体" w:cs="宋体" w:eastAsia="宋体"/>
                <w:sz w:val="24"/>
              </w:rPr>
              <w:t>8、裸机芯外形尺寸：≤68×69×17.7 mm；</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91</w:t>
            </w:r>
            <w:r>
              <w:rPr>
                <w:rFonts w:ascii="宋体" w:hAnsi="宋体" w:cs="宋体" w:eastAsia="宋体"/>
                <w:sz w:val="24"/>
                <w:b/>
              </w:rPr>
              <w:t>】</w:t>
            </w:r>
            <w:r>
              <w:rPr>
                <w:rFonts w:ascii="宋体" w:hAnsi="宋体" w:cs="宋体" w:eastAsia="宋体"/>
                <w:sz w:val="24"/>
                <w:b/>
                <w:shd w:fill="FFFFFF" w:val="clear"/>
              </w:rPr>
              <w:t>★</w:t>
            </w:r>
            <w:r>
              <w:rPr>
                <w:rFonts w:ascii="宋体" w:hAnsi="宋体" w:cs="宋体" w:eastAsia="宋体"/>
                <w:sz w:val="24"/>
              </w:rPr>
              <w:t>9、镜头焦距：连续变焦，变焦范围高于28mm-90mm。</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伺服减速电机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92</w:t>
            </w:r>
            <w:r>
              <w:rPr>
                <w:rFonts w:ascii="宋体" w:hAnsi="宋体" w:cs="宋体" w:eastAsia="宋体"/>
                <w:sz w:val="24"/>
                <w:b/>
              </w:rPr>
              <w:t>】</w:t>
            </w:r>
            <w:r>
              <w:rPr>
                <w:rFonts w:ascii="宋体" w:hAnsi="宋体" w:cs="宋体" w:eastAsia="宋体"/>
                <w:sz w:val="24"/>
              </w:rPr>
              <w:t>1、额定电压：≤24V；额定扭矩：≤5N*m；额定转速：≤170rpm；额定电流：≤5.5A；峰值功率：≤120W；峰值扭矩：≤10N*m；转速常数：≤62.9rpm/V；空载转速：≥251rpm。</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马赛克快照式相机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93</w:t>
            </w:r>
            <w:r>
              <w:rPr>
                <w:rFonts w:ascii="宋体" w:hAnsi="宋体" w:cs="宋体" w:eastAsia="宋体"/>
                <w:sz w:val="24"/>
                <w:b/>
              </w:rPr>
              <w:t>】</w:t>
            </w:r>
            <w:r>
              <w:rPr>
                <w:rFonts w:ascii="宋体" w:hAnsi="宋体" w:cs="宋体" w:eastAsia="宋体"/>
                <w:sz w:val="24"/>
                <w:b/>
                <w:shd w:fill="FFFFFF" w:val="clear"/>
              </w:rPr>
              <w:t>★</w:t>
            </w:r>
            <w:r>
              <w:rPr>
                <w:rFonts w:ascii="宋体" w:hAnsi="宋体" w:cs="宋体" w:eastAsia="宋体"/>
                <w:sz w:val="24"/>
              </w:rPr>
              <w:t>1、光谱波段：包含16个光谱通道：682nm，694nm，706nm，728nm，748nm，768nm，786nm，810nm，836nm，852nm，868nm，890nm，904nm，906nm，924nm，938nm；</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94</w:t>
            </w:r>
            <w:r>
              <w:rPr>
                <w:rFonts w:ascii="宋体" w:hAnsi="宋体" w:cs="宋体" w:eastAsia="宋体"/>
                <w:sz w:val="24"/>
                <w:b/>
              </w:rPr>
              <w:t>】</w:t>
            </w:r>
            <w:r>
              <w:rPr>
                <w:rFonts w:ascii="宋体" w:hAnsi="宋体" w:cs="宋体" w:eastAsia="宋体"/>
                <w:sz w:val="24"/>
              </w:rPr>
              <w:t>2、光谱分辨率：窄带滤波分光，每一光谱波段≤10nm（典型值）；</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95</w:t>
            </w:r>
            <w:r>
              <w:rPr>
                <w:rFonts w:ascii="宋体" w:hAnsi="宋体" w:cs="宋体" w:eastAsia="宋体"/>
                <w:sz w:val="24"/>
                <w:b/>
              </w:rPr>
              <w:t>】</w:t>
            </w:r>
            <w:r>
              <w:rPr>
                <w:rFonts w:ascii="宋体" w:hAnsi="宋体" w:cs="宋体" w:eastAsia="宋体"/>
                <w:sz w:val="24"/>
              </w:rPr>
              <w:t>3、成像方式：快照式；</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96</w:t>
            </w:r>
            <w:r>
              <w:rPr>
                <w:rFonts w:ascii="宋体" w:hAnsi="宋体" w:cs="宋体" w:eastAsia="宋体"/>
                <w:sz w:val="24"/>
                <w:b/>
              </w:rPr>
              <w:t>】</w:t>
            </w:r>
            <w:r>
              <w:rPr>
                <w:rFonts w:ascii="宋体" w:hAnsi="宋体" w:cs="宋体" w:eastAsia="宋体"/>
                <w:sz w:val="24"/>
              </w:rPr>
              <w:t>4、传感器尺寸：≥1/1.3"；</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97</w:t>
            </w:r>
            <w:r>
              <w:rPr>
                <w:rFonts w:ascii="宋体" w:hAnsi="宋体" w:cs="宋体" w:eastAsia="宋体"/>
                <w:sz w:val="24"/>
                <w:b/>
              </w:rPr>
              <w:t>】</w:t>
            </w:r>
            <w:r>
              <w:rPr>
                <w:rFonts w:ascii="宋体" w:hAnsi="宋体" w:cs="宋体" w:eastAsia="宋体"/>
                <w:sz w:val="24"/>
                <w:b/>
                <w:shd w:fill="FFFFFF" w:val="clear"/>
              </w:rPr>
              <w:t>★</w:t>
            </w:r>
            <w:r>
              <w:rPr>
                <w:rFonts w:ascii="宋体" w:hAnsi="宋体" w:cs="宋体" w:eastAsia="宋体"/>
                <w:sz w:val="24"/>
              </w:rPr>
              <w:t>5、单波段空间分辨率：≥436*584；</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98</w:t>
            </w:r>
            <w:r>
              <w:rPr>
                <w:rFonts w:ascii="宋体" w:hAnsi="宋体" w:cs="宋体" w:eastAsia="宋体"/>
                <w:sz w:val="24"/>
                <w:b/>
              </w:rPr>
              <w:t>】</w:t>
            </w:r>
            <w:r>
              <w:rPr>
                <w:rFonts w:ascii="宋体" w:hAnsi="宋体" w:cs="宋体" w:eastAsia="宋体"/>
                <w:sz w:val="24"/>
              </w:rPr>
              <w:t>6、帧频：大于等于50fps@8bit；</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99</w:t>
            </w:r>
            <w:r>
              <w:rPr>
                <w:rFonts w:ascii="宋体" w:hAnsi="宋体" w:cs="宋体" w:eastAsia="宋体"/>
                <w:sz w:val="24"/>
                <w:b/>
              </w:rPr>
              <w:t>】</w:t>
            </w:r>
            <w:r>
              <w:rPr>
                <w:rFonts w:ascii="宋体" w:hAnsi="宋体" w:cs="宋体" w:eastAsia="宋体"/>
                <w:sz w:val="24"/>
              </w:rPr>
              <w:t>7、像元尺寸≥4.2μm*4.2μm；</w:t>
            </w:r>
            <w:r>
              <w:br/>
            </w:r>
            <w:r>
              <w:rPr>
                <w:rFonts w:ascii="宋体" w:hAnsi="宋体" w:cs="宋体" w:eastAsia="宋体"/>
                <w:sz w:val="24"/>
                <w:b/>
              </w:rPr>
              <w:t>【</w:t>
            </w:r>
            <w:r>
              <w:rPr>
                <w:rFonts w:ascii="宋体" w:hAnsi="宋体" w:cs="宋体" w:eastAsia="宋体"/>
                <w:sz w:val="24"/>
                <w:b/>
              </w:rPr>
              <w:t>评审指标项</w:t>
            </w:r>
            <w:r>
              <w:rPr>
                <w:rFonts w:ascii="宋体" w:hAnsi="宋体" w:cs="宋体" w:eastAsia="宋体"/>
                <w:sz w:val="24"/>
                <w:b/>
              </w:rPr>
              <w:t>100</w:t>
            </w:r>
            <w:r>
              <w:rPr>
                <w:rFonts w:ascii="宋体" w:hAnsi="宋体" w:cs="宋体" w:eastAsia="宋体"/>
                <w:sz w:val="24"/>
                <w:b/>
              </w:rPr>
              <w:t>】</w:t>
            </w:r>
            <w:r>
              <w:rPr>
                <w:rFonts w:ascii="宋体" w:hAnsi="宋体" w:cs="宋体" w:eastAsia="宋体"/>
                <w:sz w:val="24"/>
              </w:rPr>
              <w:t>8、重量≤60g；体积≤29×39.5×32.7 mm。</w:t>
            </w:r>
          </w:p>
        </w:tc>
      </w:tr>
    </w:tbl>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合同签订之日起30个日历日内到货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福州大学旗山校区指定地点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1、期次1，说明：（1）验收标准 中标人所提供的设备必须是制造厂家生产的崭新的未开箱的原包装设备。所有设备按厂家设备验收标准（符合国家或行业或地方标准）、招标文件、投标文件等有关内容进行验收。中标人提供设备的制造标准及技术规范等有关资料必须符合中国相应有关标准、规范要求。 （2）验收程序和方法 ①出厂检验 中标人在设备出厂前，应按设备技术标准规定的检验项目和检验方法进行全面检验，中标人应随同货物出具供货证明、产地证书、出厂检验报告和设备质量合格证等。结果必须符合验收标准的要求。 ②中标人自检 设备在安装地安装完毕后，要求中标人对所有设备的性能进行自检，检验结果必须符合招标文件技术要求以及合同中相关条款，同时向采购人提供自检记录。 ③验收与最终验收 中标人自检后，中标人与采购人一同按招标文件以及合同相关条款要求对设备进行验收，验收结果应符合采购人使用要求。安装完毕后，中标人需派有设备调试经验的技术人员对设备进行调试，按验收指标逐项测试，直至全部达到要求。（3）验收所发生的一切费用均由中标人承担。</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1、全部货物交货并最终验收合格后，采购人凭验收合格材料（中标人提供全额的增值税专用发票），达到付款条件起30日内，支付合同总金额的100.00%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shd w:fill="FFFFFF" w:val="clear"/>
        </w:rPr>
        <w:t>★具体其他商务要求如下：</w:t>
      </w:r>
    </w:p>
    <w:p>
      <w:pPr>
        <w:pStyle w:val="null3"/>
        <w:ind w:right="300" w:firstLine="480"/>
        <w:jc w:val="left"/>
      </w:pPr>
      <w:r>
        <w:rPr>
          <w:rFonts w:ascii="宋体" w:hAnsi="宋体" w:cs="宋体" w:eastAsia="宋体"/>
          <w:sz w:val="24"/>
          <w:shd w:fill="FFFFFF" w:val="clear"/>
        </w:rPr>
        <w:t>1、投标报价</w:t>
      </w:r>
    </w:p>
    <w:p>
      <w:pPr>
        <w:pStyle w:val="null3"/>
        <w:ind w:left="300" w:right="300" w:firstLine="240"/>
        <w:jc w:val="left"/>
      </w:pPr>
      <w:r>
        <w:rPr>
          <w:rFonts w:ascii="宋体" w:hAnsi="宋体" w:cs="宋体" w:eastAsia="宋体"/>
          <w:sz w:val="24"/>
          <w:shd w:fill="FFFFFF" w:val="clear"/>
        </w:rPr>
        <w:t>1.1投标统一以人民币报价。</w:t>
      </w:r>
    </w:p>
    <w:p>
      <w:pPr>
        <w:pStyle w:val="null3"/>
        <w:ind w:left="300" w:right="300" w:firstLine="240"/>
        <w:jc w:val="left"/>
      </w:pPr>
      <w:r>
        <w:rPr>
          <w:rFonts w:ascii="宋体" w:hAnsi="宋体" w:cs="宋体" w:eastAsia="宋体"/>
          <w:sz w:val="24"/>
          <w:shd w:fill="FFFFFF" w:val="clear"/>
        </w:rPr>
        <w:t>1.2投标人应以包括货物所涉及的有关项目的所有费用进行报价，包括货物制造、备件、工具、技术资料、税金、保险、包装、运输、装卸、安装、施工、调试、检验、验收、培训、保修、外贸代 理（若有）等一切相关费用。投标人应充分考虑交货期间生产材料价格上涨及市场销售价格上涨的风险，且该项风险费在报价中充分考虑。自行核算成本报价，本项目为交钥匙工程，如有遗漏部分将不再进行增补。</w:t>
      </w:r>
    </w:p>
    <w:p>
      <w:pPr>
        <w:pStyle w:val="null3"/>
        <w:ind w:left="300" w:right="300" w:firstLine="240"/>
        <w:jc w:val="left"/>
      </w:pPr>
      <w:r>
        <w:rPr>
          <w:rFonts w:ascii="宋体" w:hAnsi="宋体" w:cs="宋体" w:eastAsia="宋体"/>
          <w:sz w:val="24"/>
          <w:shd w:fill="FFFFFF" w:val="clear"/>
        </w:rPr>
        <w:t>1.3若进口合同以外币签约，合同金额则按合同签约日的汇率折算；实际结算时以实付当天汇率为准，多退少补。</w:t>
      </w:r>
    </w:p>
    <w:p>
      <w:pPr>
        <w:pStyle w:val="null3"/>
        <w:ind w:left="300" w:right="300" w:firstLine="240"/>
        <w:jc w:val="left"/>
      </w:pPr>
      <w:r>
        <w:rPr>
          <w:rFonts w:ascii="宋体" w:hAnsi="宋体" w:cs="宋体" w:eastAsia="宋体"/>
          <w:sz w:val="24"/>
          <w:shd w:fill="FFFFFF" w:val="clear"/>
        </w:rPr>
        <w:t>2、安装、调试</w:t>
      </w:r>
    </w:p>
    <w:p>
      <w:pPr>
        <w:pStyle w:val="null3"/>
        <w:ind w:left="300" w:right="300" w:firstLine="240"/>
        <w:jc w:val="left"/>
      </w:pPr>
      <w:r>
        <w:rPr>
          <w:rFonts w:ascii="宋体" w:hAnsi="宋体" w:cs="宋体" w:eastAsia="宋体"/>
          <w:sz w:val="24"/>
          <w:shd w:fill="FFFFFF" w:val="clear"/>
        </w:rPr>
        <w:t>2.1合同签订后，中标人须将安装所须要求和水、电、气要求通知采购人。</w:t>
      </w:r>
    </w:p>
    <w:p>
      <w:pPr>
        <w:pStyle w:val="null3"/>
        <w:ind w:left="300" w:right="300" w:firstLine="240"/>
        <w:jc w:val="left"/>
      </w:pPr>
      <w:r>
        <w:rPr>
          <w:rFonts w:ascii="宋体" w:hAnsi="宋体" w:cs="宋体" w:eastAsia="宋体"/>
          <w:sz w:val="24"/>
          <w:shd w:fill="FFFFFF" w:val="clear"/>
        </w:rPr>
        <w:t>2.2由中标人负责将设备按签订合同的具体数量、具体地点运送到最终目的地，中标人应在接到采购人通知后在规定的时间内负责派技术人员到现场进行安装、调试，并负责调试至验收合格交付采购人使用。</w:t>
      </w:r>
    </w:p>
    <w:p>
      <w:pPr>
        <w:pStyle w:val="null3"/>
        <w:ind w:left="300" w:right="300" w:firstLine="240"/>
        <w:jc w:val="left"/>
      </w:pPr>
      <w:r>
        <w:rPr>
          <w:rFonts w:ascii="宋体" w:hAnsi="宋体" w:cs="宋体" w:eastAsia="宋体"/>
          <w:sz w:val="24"/>
          <w:shd w:fill="FFFFFF" w:val="clear"/>
        </w:rPr>
        <w:t>2.3中标人负责组织专业技术人员进行货物安装调试，采购人应提供必须的基本条件和专人配合，保证各项安装工作顺利进行。</w:t>
      </w:r>
    </w:p>
    <w:p>
      <w:pPr>
        <w:pStyle w:val="null3"/>
        <w:ind w:left="300" w:right="300" w:firstLine="240"/>
        <w:jc w:val="left"/>
      </w:pPr>
      <w:r>
        <w:rPr>
          <w:rFonts w:ascii="宋体" w:hAnsi="宋体" w:cs="宋体" w:eastAsia="宋体"/>
          <w:sz w:val="24"/>
          <w:shd w:fill="FFFFFF" w:val="clear"/>
        </w:rPr>
        <w:t>2.4中标人应在合同签订时向采购人提供安装、调试及试运行的进度计划表。</w:t>
      </w:r>
    </w:p>
    <w:p>
      <w:pPr>
        <w:pStyle w:val="null3"/>
        <w:ind w:left="300" w:right="300" w:firstLine="240"/>
        <w:jc w:val="left"/>
      </w:pPr>
      <w:r>
        <w:rPr>
          <w:rFonts w:ascii="宋体" w:hAnsi="宋体" w:cs="宋体" w:eastAsia="宋体"/>
          <w:sz w:val="24"/>
          <w:shd w:fill="FFFFFF" w:val="clear"/>
        </w:rPr>
        <w:t>2.5设备到达最终用户现场后，中标人的工程师到采购人的现场安装设备，同时应向采购人介绍设备功能及特殊分析并进行现场演示。</w:t>
      </w:r>
    </w:p>
    <w:p>
      <w:pPr>
        <w:pStyle w:val="null3"/>
        <w:ind w:left="300" w:right="300" w:firstLine="240"/>
        <w:jc w:val="left"/>
      </w:pPr>
      <w:r>
        <w:rPr>
          <w:rFonts w:ascii="宋体" w:hAnsi="宋体" w:cs="宋体" w:eastAsia="宋体"/>
          <w:sz w:val="24"/>
          <w:shd w:fill="FFFFFF" w:val="clear"/>
        </w:rPr>
        <w:t>2.6设备进场后须在接到采购人安装通知后一周内安装调试完毕并交付使用。</w:t>
      </w:r>
    </w:p>
    <w:p>
      <w:pPr>
        <w:pStyle w:val="null3"/>
        <w:ind w:left="300" w:right="300" w:firstLine="240"/>
        <w:jc w:val="left"/>
      </w:pPr>
      <w:r>
        <w:rPr>
          <w:rFonts w:ascii="宋体" w:hAnsi="宋体" w:cs="宋体" w:eastAsia="宋体"/>
          <w:sz w:val="24"/>
          <w:shd w:fill="FFFFFF" w:val="clear"/>
        </w:rPr>
        <w:t>3、技术资料要求</w:t>
      </w:r>
    </w:p>
    <w:p>
      <w:pPr>
        <w:pStyle w:val="null3"/>
        <w:ind w:left="300" w:right="300" w:firstLine="240"/>
        <w:jc w:val="left"/>
      </w:pPr>
      <w:r>
        <w:rPr>
          <w:rFonts w:ascii="宋体" w:hAnsi="宋体" w:cs="宋体" w:eastAsia="宋体"/>
          <w:sz w:val="24"/>
          <w:shd w:fill="FFFFFF" w:val="clear"/>
        </w:rPr>
        <w:t>中标人应向采购人提供以下目录的技术资料壹套，各项指标和参数应符合验收标准，采购人有权委托中国有资格单位或机构对设备性能、精度进行校核。</w:t>
      </w:r>
    </w:p>
    <w:p>
      <w:pPr>
        <w:pStyle w:val="null3"/>
        <w:ind w:left="300" w:right="300" w:firstLine="240"/>
        <w:jc w:val="left"/>
      </w:pPr>
      <w:r>
        <w:rPr>
          <w:rFonts w:ascii="宋体" w:hAnsi="宋体" w:cs="宋体" w:eastAsia="宋体"/>
          <w:sz w:val="24"/>
          <w:shd w:fill="FFFFFF" w:val="clear"/>
        </w:rPr>
        <w:t>3.1出厂明细表(装箱单)；</w:t>
      </w:r>
    </w:p>
    <w:p>
      <w:pPr>
        <w:pStyle w:val="null3"/>
        <w:ind w:left="300" w:right="300" w:firstLine="240"/>
        <w:jc w:val="left"/>
      </w:pPr>
      <w:r>
        <w:rPr>
          <w:rFonts w:ascii="宋体" w:hAnsi="宋体" w:cs="宋体" w:eastAsia="宋体"/>
          <w:sz w:val="24"/>
          <w:shd w:fill="FFFFFF" w:val="clear"/>
        </w:rPr>
        <w:t>3.2出厂检验报告和合格证书；</w:t>
      </w:r>
    </w:p>
    <w:p>
      <w:pPr>
        <w:pStyle w:val="null3"/>
        <w:ind w:left="300" w:right="300" w:firstLine="240"/>
        <w:jc w:val="left"/>
      </w:pPr>
      <w:r>
        <w:rPr>
          <w:rFonts w:ascii="宋体" w:hAnsi="宋体" w:cs="宋体" w:eastAsia="宋体"/>
          <w:sz w:val="24"/>
          <w:shd w:fill="FFFFFF" w:val="clear"/>
        </w:rPr>
        <w:t>3.3使用说明书；</w:t>
      </w:r>
    </w:p>
    <w:p>
      <w:pPr>
        <w:pStyle w:val="null3"/>
        <w:ind w:left="300" w:right="300" w:firstLine="240"/>
        <w:jc w:val="left"/>
      </w:pPr>
      <w:r>
        <w:rPr>
          <w:rFonts w:ascii="宋体" w:hAnsi="宋体" w:cs="宋体" w:eastAsia="宋体"/>
          <w:sz w:val="24"/>
          <w:shd w:fill="FFFFFF" w:val="clear"/>
        </w:rPr>
        <w:t>3.4安装手册、操作手册、维修手册</w:t>
      </w:r>
    </w:p>
    <w:p>
      <w:pPr>
        <w:pStyle w:val="null3"/>
        <w:ind w:left="300" w:right="300" w:firstLine="240"/>
        <w:jc w:val="left"/>
      </w:pPr>
      <w:r>
        <w:rPr>
          <w:rFonts w:ascii="宋体" w:hAnsi="宋体" w:cs="宋体" w:eastAsia="宋体"/>
          <w:sz w:val="24"/>
          <w:shd w:fill="FFFFFF" w:val="clear"/>
        </w:rPr>
        <w:t>3.5设备安装、调试维修线路原理图；</w:t>
      </w:r>
    </w:p>
    <w:p>
      <w:pPr>
        <w:pStyle w:val="null3"/>
        <w:ind w:left="300" w:right="300" w:firstLine="240"/>
        <w:jc w:val="left"/>
      </w:pPr>
      <w:r>
        <w:rPr>
          <w:rFonts w:ascii="宋体" w:hAnsi="宋体" w:cs="宋体" w:eastAsia="宋体"/>
          <w:sz w:val="24"/>
          <w:shd w:fill="FFFFFF" w:val="clear"/>
        </w:rPr>
        <w:t>3.6零部件目录；</w:t>
      </w:r>
    </w:p>
    <w:p>
      <w:pPr>
        <w:pStyle w:val="null3"/>
        <w:ind w:left="300" w:right="300" w:firstLine="240"/>
        <w:jc w:val="left"/>
      </w:pPr>
      <w:r>
        <w:rPr>
          <w:rFonts w:ascii="宋体" w:hAnsi="宋体" w:cs="宋体" w:eastAsia="宋体"/>
          <w:sz w:val="24"/>
          <w:shd w:fill="FFFFFF" w:val="clear"/>
        </w:rPr>
        <w:t>3.7相关文件、支持程序软盘或光盘；</w:t>
      </w:r>
    </w:p>
    <w:p>
      <w:pPr>
        <w:pStyle w:val="null3"/>
        <w:ind w:left="300" w:right="300" w:firstLine="240"/>
        <w:jc w:val="left"/>
      </w:pPr>
      <w:r>
        <w:rPr>
          <w:rFonts w:ascii="宋体" w:hAnsi="宋体" w:cs="宋体" w:eastAsia="宋体"/>
          <w:sz w:val="24"/>
          <w:shd w:fill="FFFFFF" w:val="clear"/>
        </w:rPr>
        <w:t>3.8安装、维修及操作手册；</w:t>
      </w:r>
    </w:p>
    <w:p>
      <w:pPr>
        <w:pStyle w:val="null3"/>
        <w:ind w:left="300" w:right="300" w:firstLine="240"/>
        <w:jc w:val="left"/>
      </w:pPr>
      <w:r>
        <w:rPr>
          <w:rFonts w:ascii="宋体" w:hAnsi="宋体" w:cs="宋体" w:eastAsia="宋体"/>
          <w:sz w:val="24"/>
          <w:shd w:fill="FFFFFF" w:val="clear"/>
        </w:rPr>
        <w:t>3.9提供原产地制造商的产品证明；</w:t>
      </w:r>
    </w:p>
    <w:p>
      <w:pPr>
        <w:pStyle w:val="null3"/>
        <w:ind w:left="300" w:right="300" w:firstLine="240"/>
        <w:jc w:val="left"/>
      </w:pPr>
      <w:r>
        <w:rPr>
          <w:rFonts w:ascii="宋体" w:hAnsi="宋体" w:cs="宋体" w:eastAsia="宋体"/>
          <w:sz w:val="24"/>
          <w:shd w:fill="FFFFFF" w:val="clear"/>
        </w:rPr>
        <w:t>3.10合同中要求的其它文件资料。</w:t>
      </w:r>
    </w:p>
    <w:p>
      <w:pPr>
        <w:pStyle w:val="null3"/>
        <w:ind w:left="300" w:right="300" w:firstLine="240"/>
        <w:jc w:val="left"/>
      </w:pPr>
      <w:r>
        <w:rPr>
          <w:rFonts w:ascii="宋体" w:hAnsi="宋体" w:cs="宋体" w:eastAsia="宋体"/>
          <w:sz w:val="24"/>
          <w:shd w:fill="FFFFFF" w:val="clear"/>
        </w:rPr>
        <w:t>4、专用工具和特殊工具</w:t>
      </w:r>
    </w:p>
    <w:p>
      <w:pPr>
        <w:pStyle w:val="null3"/>
        <w:ind w:left="300" w:right="300" w:firstLine="240"/>
        <w:jc w:val="left"/>
      </w:pPr>
      <w:r>
        <w:rPr>
          <w:rFonts w:ascii="宋体" w:hAnsi="宋体" w:cs="宋体" w:eastAsia="宋体"/>
          <w:sz w:val="24"/>
          <w:shd w:fill="FFFFFF" w:val="clear"/>
        </w:rPr>
        <w:t>4.1专用工具：中标人应向采购人提供一套维修所需的专用工具及清单(清单附在电子投标文件中)。</w:t>
      </w:r>
    </w:p>
    <w:p>
      <w:pPr>
        <w:pStyle w:val="null3"/>
        <w:ind w:left="300" w:right="300" w:firstLine="240"/>
        <w:jc w:val="left"/>
      </w:pPr>
      <w:r>
        <w:rPr>
          <w:rFonts w:ascii="宋体" w:hAnsi="宋体" w:cs="宋体" w:eastAsia="宋体"/>
          <w:sz w:val="24"/>
          <w:shd w:fill="FFFFFF" w:val="clear"/>
        </w:rPr>
        <w:t>4.2特殊工具：中标人应向采购人提供货物安装和维修所需的特殊工具及清单和中文说明书，其费用包括在投标总价内。</w:t>
      </w:r>
    </w:p>
    <w:p>
      <w:pPr>
        <w:pStyle w:val="null3"/>
        <w:ind w:left="300" w:right="300" w:firstLine="240"/>
        <w:jc w:val="left"/>
      </w:pPr>
      <w:r>
        <w:rPr>
          <w:rFonts w:ascii="宋体" w:hAnsi="宋体" w:cs="宋体" w:eastAsia="宋体"/>
          <w:sz w:val="24"/>
          <w:shd w:fill="FFFFFF" w:val="clear"/>
        </w:rPr>
        <w:t>5、质量保证期及售后服务</w:t>
      </w:r>
    </w:p>
    <w:p>
      <w:pPr>
        <w:pStyle w:val="null3"/>
        <w:ind w:left="300" w:right="300" w:firstLine="240"/>
        <w:jc w:val="left"/>
      </w:pPr>
      <w:r>
        <w:rPr>
          <w:rFonts w:ascii="宋体" w:hAnsi="宋体" w:cs="宋体" w:eastAsia="宋体"/>
          <w:sz w:val="24"/>
          <w:shd w:fill="FFFFFF" w:val="clear"/>
        </w:rPr>
        <w:t>5.1质量保证期：至少壹年，验收合格之日起计算。</w:t>
      </w:r>
    </w:p>
    <w:p>
      <w:pPr>
        <w:pStyle w:val="null3"/>
        <w:ind w:left="300" w:right="300" w:firstLine="240"/>
        <w:jc w:val="left"/>
      </w:pPr>
      <w:r>
        <w:rPr>
          <w:rFonts w:ascii="宋体" w:hAnsi="宋体" w:cs="宋体" w:eastAsia="宋体"/>
          <w:sz w:val="24"/>
          <w:shd w:fill="FFFFFF" w:val="clear"/>
        </w:rPr>
        <w:t>5.2保修期内：免费进行设备安全调试；免费上门维修保养及更换配件；在质量保证期内设备运行发生故障时，中标人在接到采购人故障通知后2小时内响应要求，24小时内应委派专业技术人员到现场免费提供咨询、维修和更换有缺陷的零部件或整机等服务及免收工时费，并及时填写维修报告(包括故障原因、处理情况及采购人意见等)报采购人备案，若48小时内无法排除故障，则应先提供同 档次备用机供采购人使用。其中发生一切费用由中标人承担。质量保证期内中标人有责任对设备进行不定期的巡查检修。</w:t>
      </w:r>
    </w:p>
    <w:p>
      <w:pPr>
        <w:pStyle w:val="null3"/>
        <w:ind w:left="300" w:right="300" w:firstLine="240"/>
        <w:jc w:val="left"/>
      </w:pPr>
      <w:r>
        <w:rPr>
          <w:rFonts w:ascii="宋体" w:hAnsi="宋体" w:cs="宋体" w:eastAsia="宋体"/>
          <w:sz w:val="24"/>
          <w:shd w:fill="FFFFFF" w:val="clear"/>
        </w:rPr>
        <w:t>5.3保修期外：设备保修期过后，收到采购人通知后2小时内响应，24小时内派人到达现场解决，承担终身维修服务。维修过程中以最优惠价格提供服务。</w:t>
      </w:r>
    </w:p>
    <w:p>
      <w:pPr>
        <w:pStyle w:val="null3"/>
        <w:ind w:left="300" w:right="300" w:firstLine="240"/>
        <w:jc w:val="left"/>
      </w:pPr>
      <w:r>
        <w:rPr>
          <w:rFonts w:ascii="宋体" w:hAnsi="宋体" w:cs="宋体" w:eastAsia="宋体"/>
          <w:sz w:val="24"/>
          <w:shd w:fill="FFFFFF" w:val="clear"/>
        </w:rPr>
        <w:t>5.4投标人应响应本次采购售后服务要求并在电子投标文件中提供详细具体的售后服务条件及保证，也可视自身能力在电子投标文件中提供更优、更合理的售后服务承诺。</w:t>
      </w:r>
    </w:p>
    <w:p>
      <w:pPr>
        <w:pStyle w:val="null3"/>
        <w:ind w:left="300" w:right="300" w:firstLine="240"/>
        <w:jc w:val="left"/>
      </w:pPr>
      <w:r>
        <w:rPr>
          <w:rFonts w:ascii="宋体" w:hAnsi="宋体" w:cs="宋体" w:eastAsia="宋体"/>
          <w:sz w:val="24"/>
          <w:shd w:fill="FFFFFF" w:val="clear"/>
        </w:rPr>
        <w:t>6、培训要求</w:t>
      </w:r>
    </w:p>
    <w:p>
      <w:pPr>
        <w:pStyle w:val="null3"/>
        <w:ind w:left="300" w:right="300" w:firstLine="240"/>
        <w:jc w:val="left"/>
      </w:pPr>
      <w:r>
        <w:rPr>
          <w:rFonts w:ascii="宋体" w:hAnsi="宋体" w:cs="宋体" w:eastAsia="宋体"/>
          <w:sz w:val="24"/>
          <w:shd w:fill="FFFFFF" w:val="clear"/>
        </w:rPr>
        <w:t>6.1中标人应根据新仪器特点，免费对采购人技术人员、管理人员进行操作、维修、保养等方面的专业培训，直至能独立操作。中标人委派的专业技术人员所需费用均由中标人承担。</w:t>
      </w:r>
    </w:p>
    <w:p>
      <w:pPr>
        <w:pStyle w:val="null3"/>
        <w:ind w:left="300" w:right="300" w:firstLine="240"/>
        <w:jc w:val="left"/>
      </w:pPr>
      <w:r>
        <w:rPr>
          <w:rFonts w:ascii="宋体" w:hAnsi="宋体" w:cs="宋体" w:eastAsia="宋体"/>
          <w:sz w:val="24"/>
          <w:shd w:fill="FFFFFF" w:val="clear"/>
        </w:rPr>
        <w:t>6.2提供现场培训，可根据用户需求举办不定期培训，帮助用户提高日常基本维护技能和系统的操作、管理满足工作的需要。</w:t>
      </w:r>
    </w:p>
    <w:p>
      <w:pPr>
        <w:pStyle w:val="null3"/>
        <w:ind w:left="300" w:right="300" w:firstLine="240"/>
        <w:jc w:val="left"/>
      </w:pPr>
      <w:r>
        <w:rPr>
          <w:rFonts w:ascii="宋体" w:hAnsi="宋体" w:cs="宋体" w:eastAsia="宋体"/>
          <w:sz w:val="24"/>
          <w:shd w:fill="FFFFFF" w:val="clear"/>
        </w:rPr>
        <w:t>7、合同条款(以下甲方为采购人，乙方为中标人)</w:t>
      </w:r>
    </w:p>
    <w:p>
      <w:pPr>
        <w:pStyle w:val="null3"/>
        <w:ind w:left="300" w:right="300" w:firstLine="240"/>
        <w:jc w:val="left"/>
      </w:pPr>
      <w:r>
        <w:rPr>
          <w:rFonts w:ascii="宋体" w:hAnsi="宋体" w:cs="宋体" w:eastAsia="宋体"/>
          <w:sz w:val="24"/>
          <w:shd w:fill="FFFFFF" w:val="clear"/>
        </w:rPr>
        <w:t>7.1违约责任</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1）未按合同规定标准交付货物的违约责任</w:t>
      </w:r>
    </w:p>
    <w:p>
      <w:pPr>
        <w:pStyle w:val="null3"/>
        <w:ind w:left="300" w:right="300" w:firstLine="240"/>
        <w:jc w:val="left"/>
      </w:pPr>
      <w:r>
        <w:rPr>
          <w:rFonts w:ascii="宋体" w:hAnsi="宋体" w:cs="宋体" w:eastAsia="宋体"/>
          <w:sz w:val="24"/>
          <w:shd w:fill="FFFFFF" w:val="clear"/>
        </w:rPr>
        <w:t>乙方所交付的货物的品种、型号、规格、数量、质量等不符合合同规定标准的，甲方有权拒绝部分或全部货物，乙方应向甲方偿付被拒货物货款的</w:t>
      </w:r>
      <w:r>
        <w:rPr>
          <w:rFonts w:ascii="宋体" w:hAnsi="宋体" w:cs="宋体" w:eastAsia="宋体"/>
          <w:sz w:val="24"/>
          <w:shd w:fill="FFFFFF" w:val="clear"/>
        </w:rPr>
        <w:t>20%的违约金。</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2）乙方未按期交货的违约责任</w:t>
      </w:r>
    </w:p>
    <w:p>
      <w:pPr>
        <w:pStyle w:val="null3"/>
        <w:ind w:left="300" w:right="300" w:firstLine="240"/>
        <w:jc w:val="left"/>
      </w:pPr>
      <w:r>
        <w:rPr>
          <w:rFonts w:ascii="宋体" w:hAnsi="宋体" w:cs="宋体" w:eastAsia="宋体"/>
          <w:sz w:val="24"/>
          <w:shd w:fill="FFFFFF" w:val="clear"/>
        </w:rPr>
        <w:t>①如果乙方未能按合同规定的时间足额交货（不可抗力除外），须按合同规定支付延期交货违约金并赔偿由此给甲方造成的损失，同时甲方有权选择同意延长交货期还是不予延长交货期，甲方同意延长交货期的，延期交货的时间由双方另行确定。延期交货违约金按迟交货物金额的1％（每日）计算，但延期交货违约金的支付总额不得超过迟交货物金额的30％。</w:t>
      </w:r>
    </w:p>
    <w:p>
      <w:pPr>
        <w:pStyle w:val="null3"/>
        <w:ind w:left="300" w:right="300" w:firstLine="240"/>
        <w:jc w:val="left"/>
      </w:pPr>
      <w:r>
        <w:rPr>
          <w:rFonts w:ascii="宋体" w:hAnsi="宋体" w:cs="宋体" w:eastAsia="宋体"/>
          <w:sz w:val="24"/>
          <w:shd w:fill="FFFFFF" w:val="clear"/>
        </w:rPr>
        <w:t>②若乙方逾期交货达30天（含30天）以上的，甲方有权单方面解除采购合同，乙方仍应按上述约定支付延期交货违约金。若因此给甲方造成损失的，乙方还应赔偿甲方所受的损失。</w:t>
      </w:r>
    </w:p>
    <w:p>
      <w:pPr>
        <w:pStyle w:val="null3"/>
        <w:ind w:left="300" w:right="300" w:firstLine="240"/>
        <w:jc w:val="left"/>
      </w:pPr>
      <w:r>
        <w:rPr>
          <w:rFonts w:ascii="宋体" w:hAnsi="宋体" w:cs="宋体" w:eastAsia="宋体"/>
          <w:sz w:val="24"/>
          <w:shd w:fill="FFFFFF" w:val="clear"/>
        </w:rPr>
        <w:t>③若乙方不能交货的，乙方应按货款的30％向甲方支付违约金。若因此给甲方造成损失的，乙方还应赔偿甲方所受的损失。</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3）乙方所供货物质量不合格的违约责任</w:t>
      </w:r>
    </w:p>
    <w:p>
      <w:pPr>
        <w:pStyle w:val="null3"/>
        <w:ind w:left="300" w:right="300" w:firstLine="240"/>
        <w:jc w:val="left"/>
      </w:pPr>
      <w:r>
        <w:rPr>
          <w:rFonts w:ascii="宋体" w:hAnsi="宋体" w:cs="宋体" w:eastAsia="宋体"/>
          <w:sz w:val="24"/>
          <w:shd w:fill="FFFFFF" w:val="clear"/>
        </w:rPr>
        <w:t>①若乙方所供货物在质量保证期头三个月内出现货物质量问题，甲方有权要求无条件免费更换全部设备，并有权要求乙方赔偿甲方交易价15%的损失。</w:t>
      </w:r>
    </w:p>
    <w:p>
      <w:pPr>
        <w:pStyle w:val="null3"/>
        <w:ind w:left="300" w:right="300" w:firstLine="240"/>
        <w:jc w:val="left"/>
      </w:pPr>
      <w:r>
        <w:rPr>
          <w:rFonts w:ascii="宋体" w:hAnsi="宋体" w:cs="宋体" w:eastAsia="宋体"/>
          <w:sz w:val="24"/>
          <w:shd w:fill="FFFFFF" w:val="clear"/>
        </w:rPr>
        <w:t>②在质量保证期内，若乙方所供货物修理两次后，仍不能正常使用的产品，凭乙方提供的修理记录，由乙方负责为甲方免费调换同型号同规格的产品或者退货。甲方并有权要求乙方赔偿甲方交易价15%的损失。</w:t>
      </w:r>
    </w:p>
    <w:p>
      <w:pPr>
        <w:pStyle w:val="null3"/>
        <w:ind w:left="300" w:right="300" w:firstLine="240"/>
        <w:jc w:val="left"/>
      </w:pPr>
      <w:r>
        <w:rPr>
          <w:rFonts w:ascii="宋体" w:hAnsi="宋体" w:cs="宋体" w:eastAsia="宋体"/>
          <w:sz w:val="24"/>
          <w:shd w:fill="FFFFFF" w:val="clear"/>
        </w:rPr>
        <w:t>③依据合同规定甲方提出换货的，乙方应在20天内无条件更换至合格（进口设备为60天内），换货所产生的费用由乙方自行承担；若更换后的产品还存在质量问题，甲方有权终止合同要求乙方全额退还货款且乙方应向甲方偿付货款的30%的违约金，违约金不足以补偿甲方损失的，甲方有权要求乙方继续对不足部分予以赔偿。</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4）乙方未能按照要求时间提供服务的违约责任</w:t>
      </w:r>
    </w:p>
    <w:p>
      <w:pPr>
        <w:pStyle w:val="null3"/>
        <w:ind w:left="300" w:right="300" w:firstLine="240"/>
        <w:jc w:val="left"/>
      </w:pPr>
      <w:r>
        <w:rPr>
          <w:rFonts w:ascii="宋体" w:hAnsi="宋体" w:cs="宋体" w:eastAsia="宋体"/>
          <w:sz w:val="24"/>
          <w:shd w:fill="FFFFFF" w:val="clear"/>
        </w:rPr>
        <w:t>若乙方未能按照合同约定的时间提供服务的，</w:t>
      </w:r>
      <w:r>
        <w:rPr>
          <w:rFonts w:ascii="宋体" w:hAnsi="宋体" w:cs="宋体" w:eastAsia="宋体"/>
          <w:sz w:val="24"/>
          <w:shd w:fill="FFFFFF" w:val="clear"/>
        </w:rPr>
        <w:t>≤100万元的设备，每逾期1天，乙方应按货款的0.3%向甲方支付违约金；高于100万元且低于1000万元的设备，每逾期1天，乙方应按货款的0.15%向甲方支付违约金；违约金的上限为合同总金额的30%。若因此给甲方造成损失的，乙方还应赔偿甲方所受的损失。</w:t>
      </w:r>
    </w:p>
    <w:p>
      <w:pPr>
        <w:pStyle w:val="null3"/>
        <w:ind w:left="300" w:right="300" w:firstLine="240"/>
        <w:jc w:val="left"/>
      </w:pPr>
      <w:r>
        <w:rPr>
          <w:rFonts w:ascii="宋体" w:hAnsi="宋体" w:cs="宋体" w:eastAsia="宋体"/>
          <w:sz w:val="24"/>
          <w:shd w:fill="FFFFFF" w:val="clear"/>
        </w:rPr>
        <w:t>7.2甲方权利</w:t>
      </w:r>
    </w:p>
    <w:p>
      <w:pPr>
        <w:pStyle w:val="null3"/>
        <w:ind w:left="300" w:right="300" w:firstLine="240"/>
        <w:jc w:val="left"/>
      </w:pPr>
      <w:r>
        <w:rPr>
          <w:rFonts w:ascii="宋体" w:hAnsi="宋体" w:cs="宋体" w:eastAsia="宋体"/>
          <w:sz w:val="24"/>
          <w:shd w:fill="FFFFFF" w:val="clear"/>
        </w:rPr>
        <w:t>违约金及对甲方损失的赔偿金均可由甲方直接从未付的合同货款中扣除。</w:t>
      </w:r>
    </w:p>
    <w:p>
      <w:pPr>
        <w:pStyle w:val="null3"/>
        <w:ind w:left="300" w:right="300" w:firstLine="240"/>
        <w:jc w:val="left"/>
      </w:pPr>
      <w:r>
        <w:rPr>
          <w:rFonts w:ascii="宋体" w:hAnsi="宋体" w:cs="宋体" w:eastAsia="宋体"/>
          <w:sz w:val="24"/>
          <w:shd w:fill="FFFFFF" w:val="clear"/>
        </w:rPr>
        <w:t>7.3违约终止合同</w:t>
      </w:r>
    </w:p>
    <w:p>
      <w:pPr>
        <w:pStyle w:val="null3"/>
        <w:ind w:left="300" w:right="300" w:firstLine="240"/>
        <w:jc w:val="left"/>
      </w:pPr>
      <w:r>
        <w:rPr>
          <w:rFonts w:ascii="宋体" w:hAnsi="宋体" w:cs="宋体" w:eastAsia="宋体"/>
          <w:sz w:val="24"/>
          <w:shd w:fill="FFFFFF" w:val="clear"/>
        </w:rPr>
        <w:t>乙方存在下述任何一种违约行为，在甲方发出违约通知后</w:t>
      </w:r>
      <w:r>
        <w:rPr>
          <w:rFonts w:ascii="宋体" w:hAnsi="宋体" w:cs="宋体" w:eastAsia="宋体"/>
          <w:sz w:val="24"/>
          <w:shd w:fill="FFFFFF" w:val="clear"/>
        </w:rPr>
        <w:t>30天内(或经甲方书面确认的更长时间内)仍未纠正的，甲方有权单方终止本合同。</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1）如果乙方未能在合同规定的期限内或双方另行确定的延期交货时间内交付合同约定的货物。</w:t>
      </w:r>
    </w:p>
    <w:p>
      <w:pPr>
        <w:pStyle w:val="null3"/>
        <w:ind w:left="300" w:right="300" w:firstLine="240"/>
        <w:jc w:val="left"/>
      </w:pPr>
      <w:r>
        <w:rPr>
          <w:rFonts w:ascii="宋体" w:hAnsi="宋体" w:cs="宋体" w:eastAsia="宋体"/>
          <w:sz w:val="24"/>
          <w:shd w:fill="FFFFFF" w:val="clear"/>
        </w:rPr>
        <w:t>（</w:t>
      </w:r>
      <w:r>
        <w:rPr>
          <w:rFonts w:ascii="宋体" w:hAnsi="宋体" w:cs="宋体" w:eastAsia="宋体"/>
          <w:sz w:val="24"/>
          <w:shd w:fill="FFFFFF" w:val="clear"/>
        </w:rPr>
        <w:t>2）乙方未能履行合同项下的任何其他义务。</w:t>
      </w:r>
    </w:p>
    <w:p>
      <w:pPr>
        <w:pStyle w:val="null3"/>
        <w:ind w:left="300" w:right="300" w:firstLine="240"/>
        <w:jc w:val="left"/>
      </w:pPr>
      <w:r>
        <w:rPr>
          <w:rFonts w:ascii="宋体" w:hAnsi="宋体" w:cs="宋体" w:eastAsia="宋体"/>
          <w:sz w:val="24"/>
          <w:shd w:fill="FFFFFF" w:val="clear"/>
        </w:rPr>
        <w:t>7.4合同纠纷处理方式</w:t>
      </w:r>
    </w:p>
    <w:p>
      <w:pPr>
        <w:pStyle w:val="null3"/>
        <w:ind w:firstLine="420"/>
        <w:jc w:val="both"/>
      </w:pPr>
      <w:r>
        <w:rPr>
          <w:rFonts w:ascii="宋体" w:hAnsi="宋体" w:cs="宋体" w:eastAsia="宋体"/>
          <w:sz w:val="24"/>
          <w:shd w:fill="FFFFFF" w:val="clear"/>
        </w:rPr>
        <w:t>因本合同或与本合同有关的一切事项发生争议，由双方友好协商解决。协商不成的，任何一方均可选择向甲方所在地仲裁委员会申请仲裁或向甲方所在地人民法院提出诉讼。</w:t>
      </w:r>
    </w:p>
    <w:p>
      <w:pPr>
        <w:pStyle w:val="null3"/>
        <w:ind w:firstLine="420"/>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2.1其他要求（1）投标人选定的投标货物技术性能必须符合或优于招标文件的技术性能要求。（2）投标人应根据招标文件的技术要求条款，在电子投标文件中详细说明所提供设备的品 牌、技术规格和参数、产地。（3）本文所述技术要求，应视为保证涉及系统运行所需的最低要求，如有遗漏，投标人应予以补充，否则，一旦中标将认为投标人认同遗漏部分并免费提供。（4）投标人所提供的货物应是先进的、可靠的，投标人电子投标文件应严格按招标文件要求的格式提交，其中的详细报价表、标的说明一览表、售 后服务承诺、质量保证承诺将作为评审时重要的评价因素之一。</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left"/>
      </w:pPr>
      <w:r>
        <w:rPr/>
        <w:t xml:space="preserve"> </w:t>
        <w:br/>
        <w:br w:type="page"/>
      </w:r>
    </w:p>
    <w:p>
      <w:pPr>
        <w:pStyle w:val="null3"/>
        <w:jc w:val="center"/>
        <w:outlineLvl w:val="3"/>
      </w:pPr>
      <w:r>
        <w:rPr>
          <w:sz w:val="24"/>
          <w:b/>
        </w:rPr>
        <w:t>二-2-2 资格证明材料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二-4中小企业声明函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二-7其他资格证明文件（若有）</w:t>
      </w:r>
    </w:p>
    <w:p>
      <w:pPr>
        <w:pStyle w:val="null3"/>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[350001]FJXFZB[GK]2024035</w:t>
      </w:r>
    </w:p>
    <w:p>
      <w:pPr>
        <w:pStyle w:val="null3"/>
        <w:jc w:val="left"/>
      </w:pPr>
      <w:r>
        <w:rPr/>
        <w:t>项目名称：</w:t>
      </w:r>
      <w:r>
        <w:rPr/>
        <w:t>机械学院图像采集与处理相关设备采购项目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图像采集与处理相关设备</w:t>
            </w:r>
          </w:p>
        </w:tc>
        <w:tc>
          <w:tcPr>
            <w:tcW w:type="dxa" w:w="1661"/>
          </w:tcPr>
          <w:p>
            <w:pPr>
              <w:pStyle w:val="null3"/>
              <w:jc w:val="left"/>
            </w:pPr>
            <w:r>
              <w:rPr/>
              <w:t xml:space="preserve"> 1702102.0000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[350001]FJXFZB[GK]2024035</w:t>
      </w:r>
    </w:p>
    <w:p>
      <w:pPr>
        <w:pStyle w:val="null3"/>
        <w:jc w:val="left"/>
      </w:pPr>
      <w:r>
        <w:rPr/>
        <w:t>项目名称：</w:t>
      </w:r>
      <w:r>
        <w:rPr/>
        <w:t>机械学院图像采集与处理相关设备采购项目</w:t>
      </w:r>
    </w:p>
    <w:p>
      <w:pPr>
        <w:pStyle w:val="null3"/>
        <w:jc w:val="left"/>
      </w:pPr>
      <w:r>
        <w:rPr/>
        <w:t xml:space="preserve"> 图像采集与处理相关设备</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显控算智能一体机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129360.0000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12.0000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w:t>
            </w:r>
          </w:p>
        </w:tc>
        <w:tc>
          <w:tcPr>
            <w:tcW w:type="dxa" w:w="639"/>
          </w:tcPr>
          <w:p>
            <w:pPr>
              <w:pStyle w:val="null3"/>
              <w:jc w:val="left"/>
            </w:pPr>
            <w:r>
              <w:rPr/>
              <w:t xml:space="preserve"> 边缘计算开发板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26400.0000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w:t>
            </w:r>
          </w:p>
        </w:tc>
        <w:tc>
          <w:tcPr>
            <w:tcW w:type="dxa" w:w="639"/>
          </w:tcPr>
          <w:p>
            <w:pPr>
              <w:pStyle w:val="null3"/>
              <w:jc w:val="left"/>
            </w:pPr>
            <w:r>
              <w:rPr/>
              <w:t xml:space="preserve"> 人工智能主板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24200.0000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w:t>
            </w:r>
          </w:p>
        </w:tc>
        <w:tc>
          <w:tcPr>
            <w:tcW w:type="dxa" w:w="639"/>
          </w:tcPr>
          <w:p>
            <w:pPr>
              <w:pStyle w:val="null3"/>
              <w:jc w:val="left"/>
            </w:pPr>
            <w:r>
              <w:rPr/>
              <w:t xml:space="preserve"> 边缘计算开发者组件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171580.0000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w:t>
            </w:r>
          </w:p>
        </w:tc>
        <w:tc>
          <w:tcPr>
            <w:tcW w:type="dxa" w:w="639"/>
          </w:tcPr>
          <w:p>
            <w:pPr>
              <w:pStyle w:val="null3"/>
              <w:jc w:val="left"/>
            </w:pPr>
            <w:r>
              <w:rPr/>
              <w:t xml:space="preserve"> 定制型PXIe控制板卡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96421.0000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w:t>
            </w:r>
          </w:p>
        </w:tc>
        <w:tc>
          <w:tcPr>
            <w:tcW w:type="dxa" w:w="639"/>
          </w:tcPr>
          <w:p>
            <w:pPr>
              <w:pStyle w:val="null3"/>
              <w:jc w:val="left"/>
            </w:pPr>
            <w:r>
              <w:rPr/>
              <w:t xml:space="preserve"> 千兆网通讯接口PXIe拓展卡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8080.0000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w:t>
            </w:r>
          </w:p>
        </w:tc>
        <w:tc>
          <w:tcPr>
            <w:tcW w:type="dxa" w:w="639"/>
          </w:tcPr>
          <w:p>
            <w:pPr>
              <w:pStyle w:val="null3"/>
              <w:jc w:val="left"/>
            </w:pPr>
            <w:r>
              <w:rPr/>
              <w:t xml:space="preserve"> RS485/422工业总线PXIe拓展卡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6463.0000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w:t>
            </w:r>
          </w:p>
        </w:tc>
        <w:tc>
          <w:tcPr>
            <w:tcW w:type="dxa" w:w="639"/>
          </w:tcPr>
          <w:p>
            <w:pPr>
              <w:pStyle w:val="null3"/>
              <w:jc w:val="left"/>
            </w:pPr>
            <w:r>
              <w:rPr/>
              <w:t xml:space="preserve"> 万用表PXIe拓展卡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24860.0000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w:t>
            </w:r>
          </w:p>
        </w:tc>
        <w:tc>
          <w:tcPr>
            <w:tcW w:type="dxa" w:w="639"/>
          </w:tcPr>
          <w:p>
            <w:pPr>
              <w:pStyle w:val="null3"/>
              <w:jc w:val="left"/>
            </w:pPr>
            <w:r>
              <w:rPr/>
              <w:t xml:space="preserve"> 高性能FPGA</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49718.0000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w:t>
            </w:r>
          </w:p>
        </w:tc>
        <w:tc>
          <w:tcPr>
            <w:tcW w:type="dxa" w:w="639"/>
          </w:tcPr>
          <w:p>
            <w:pPr>
              <w:pStyle w:val="null3"/>
              <w:jc w:val="left"/>
            </w:pPr>
            <w:r>
              <w:rPr/>
              <w:t xml:space="preserve"> 显卡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561000.0000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w:t>
            </w:r>
          </w:p>
        </w:tc>
        <w:tc>
          <w:tcPr>
            <w:tcW w:type="dxa" w:w="639"/>
          </w:tcPr>
          <w:p>
            <w:pPr>
              <w:pStyle w:val="null3"/>
              <w:jc w:val="left"/>
            </w:pPr>
            <w:r>
              <w:rPr/>
              <w:t xml:space="preserve"> 显卡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209000.0000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w:t>
            </w:r>
          </w:p>
        </w:tc>
        <w:tc>
          <w:tcPr>
            <w:tcW w:type="dxa" w:w="639"/>
          </w:tcPr>
          <w:p>
            <w:pPr>
              <w:pStyle w:val="null3"/>
              <w:jc w:val="left"/>
            </w:pPr>
            <w:r>
              <w:rPr/>
              <w:t xml:space="preserve"> GNSS接收机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9460.0000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w:t>
            </w:r>
          </w:p>
        </w:tc>
        <w:tc>
          <w:tcPr>
            <w:tcW w:type="dxa" w:w="639"/>
          </w:tcPr>
          <w:p>
            <w:pPr>
              <w:pStyle w:val="null3"/>
              <w:jc w:val="left"/>
            </w:pPr>
            <w:r>
              <w:rPr/>
              <w:t xml:space="preserve"> GNSS接收机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28380.0000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w:t>
            </w:r>
          </w:p>
        </w:tc>
        <w:tc>
          <w:tcPr>
            <w:tcW w:type="dxa" w:w="639"/>
          </w:tcPr>
          <w:p>
            <w:pPr>
              <w:pStyle w:val="null3"/>
              <w:jc w:val="left"/>
            </w:pPr>
            <w:r>
              <w:rPr/>
              <w:t xml:space="preserve"> 移动固态硬盘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4840.0000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w:t>
            </w:r>
          </w:p>
        </w:tc>
        <w:tc>
          <w:tcPr>
            <w:tcW w:type="dxa" w:w="639"/>
          </w:tcPr>
          <w:p>
            <w:pPr>
              <w:pStyle w:val="null3"/>
              <w:jc w:val="left"/>
            </w:pPr>
            <w:r>
              <w:rPr/>
              <w:t xml:space="preserve"> 固态硬盘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26620.0000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22.0000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w:t>
            </w:r>
          </w:p>
        </w:tc>
        <w:tc>
          <w:tcPr>
            <w:tcW w:type="dxa" w:w="639"/>
          </w:tcPr>
          <w:p>
            <w:pPr>
              <w:pStyle w:val="null3"/>
              <w:jc w:val="left"/>
            </w:pPr>
            <w:r>
              <w:rPr/>
              <w:t xml:space="preserve"> 固态硬盘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9670.0000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w:t>
            </w:r>
          </w:p>
        </w:tc>
        <w:tc>
          <w:tcPr>
            <w:tcW w:type="dxa" w:w="639"/>
          </w:tcPr>
          <w:p>
            <w:pPr>
              <w:pStyle w:val="null3"/>
              <w:jc w:val="left"/>
            </w:pPr>
            <w:r>
              <w:rPr/>
              <w:t xml:space="preserve"> 电子防潮箱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5170.0000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w:t>
            </w:r>
          </w:p>
        </w:tc>
        <w:tc>
          <w:tcPr>
            <w:tcW w:type="dxa" w:w="639"/>
          </w:tcPr>
          <w:p>
            <w:pPr>
              <w:pStyle w:val="null3"/>
              <w:jc w:val="left"/>
            </w:pPr>
            <w:r>
              <w:rPr/>
              <w:t xml:space="preserve"> SDI相机扩展板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45780.0000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w:t>
            </w:r>
          </w:p>
        </w:tc>
        <w:tc>
          <w:tcPr>
            <w:tcW w:type="dxa" w:w="639"/>
          </w:tcPr>
          <w:p>
            <w:pPr>
              <w:pStyle w:val="null3"/>
              <w:jc w:val="left"/>
            </w:pPr>
            <w:r>
              <w:rPr/>
              <w:t xml:space="preserve"> 便携三脚架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13200.0000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w:t>
            </w:r>
          </w:p>
        </w:tc>
        <w:tc>
          <w:tcPr>
            <w:tcW w:type="dxa" w:w="639"/>
          </w:tcPr>
          <w:p>
            <w:pPr>
              <w:pStyle w:val="null3"/>
              <w:jc w:val="left"/>
            </w:pPr>
            <w:r>
              <w:rPr/>
              <w:t xml:space="preserve"> 连续变焦长波红外相机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97900.0000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w:t>
            </w:r>
          </w:p>
        </w:tc>
        <w:tc>
          <w:tcPr>
            <w:tcW w:type="dxa" w:w="639"/>
          </w:tcPr>
          <w:p>
            <w:pPr>
              <w:pStyle w:val="null3"/>
              <w:jc w:val="left"/>
            </w:pPr>
            <w:r>
              <w:rPr/>
              <w:t xml:space="preserve"> 伺服减速电机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22000.0000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8.0000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w:t>
            </w:r>
          </w:p>
        </w:tc>
        <w:tc>
          <w:tcPr>
            <w:tcW w:type="dxa" w:w="639"/>
          </w:tcPr>
          <w:p>
            <w:pPr>
              <w:pStyle w:val="null3"/>
              <w:jc w:val="left"/>
            </w:pPr>
            <w:r>
              <w:rPr/>
              <w:t xml:space="preserve"> 马赛克快照式相机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132000.0000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