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70E0C"/>
    <w:p w14:paraId="0B41BD93"/>
    <w:p w14:paraId="7D72AD13">
      <w:pPr>
        <w:pStyle w:val="2"/>
        <w:jc w:val="center"/>
        <w:rPr>
          <w:rFonts w:ascii="宋体" w:hAnsi="宋体" w:cs="宋体"/>
        </w:rPr>
      </w:pPr>
      <w:r>
        <w:rPr>
          <w:rFonts w:hint="eastAsia" w:ascii="宋体" w:hAnsi="宋体" w:cs="宋体"/>
        </w:rPr>
        <w:t>招标代理服务收费标准</w:t>
      </w:r>
    </w:p>
    <w:p w14:paraId="26CAD9B9">
      <w:pPr>
        <w:spacing w:line="360" w:lineRule="auto"/>
        <w:ind w:firstLine="482" w:firstLineChars="200"/>
        <w:rPr>
          <w:rFonts w:ascii="宋体" w:hAnsi="宋体" w:eastAsia="宋体"/>
          <w:b/>
          <w:bCs/>
          <w:sz w:val="24"/>
          <w:szCs w:val="24"/>
        </w:rPr>
      </w:pPr>
      <w:r>
        <w:rPr>
          <w:rFonts w:hint="eastAsia" w:ascii="宋体" w:hAnsi="宋体" w:eastAsia="宋体"/>
          <w:b/>
          <w:bCs/>
          <w:sz w:val="24"/>
          <w:szCs w:val="24"/>
          <w:lang w:val="en-US" w:eastAsia="zh-CN"/>
        </w:rPr>
        <w:t>采购机构代理服务收费标准：依照下表相应类别，以项目的预算金额作为基数按照差额定率累进法计算收取代理服务费用。本项目类型为服务类招标</w:t>
      </w:r>
      <w:r>
        <w:rPr>
          <w:rFonts w:hint="eastAsia" w:ascii="宋体" w:hAnsi="宋体" w:eastAsia="宋体"/>
          <w:b/>
          <w:bCs/>
          <w:sz w:val="24"/>
          <w:szCs w:val="24"/>
        </w:rPr>
        <w:t>：</w:t>
      </w:r>
      <w:bookmarkStart w:id="0" w:name="_Hlk104042170"/>
    </w:p>
    <w:tbl>
      <w:tblPr>
        <w:tblStyle w:val="5"/>
        <w:tblW w:w="5000" w:type="pct"/>
        <w:tblInd w:w="0" w:type="dxa"/>
        <w:tblLayout w:type="autofit"/>
        <w:tblCellMar>
          <w:top w:w="15" w:type="dxa"/>
          <w:left w:w="15" w:type="dxa"/>
          <w:bottom w:w="15" w:type="dxa"/>
          <w:right w:w="15" w:type="dxa"/>
        </w:tblCellMar>
      </w:tblPr>
      <w:tblGrid>
        <w:gridCol w:w="3055"/>
        <w:gridCol w:w="1753"/>
        <w:gridCol w:w="1883"/>
        <w:gridCol w:w="1883"/>
      </w:tblGrid>
      <w:tr w14:paraId="74090257">
        <w:tblPrEx>
          <w:tblCellMar>
            <w:top w:w="15" w:type="dxa"/>
            <w:left w:w="15" w:type="dxa"/>
            <w:bottom w:w="15" w:type="dxa"/>
            <w:right w:w="15" w:type="dxa"/>
          </w:tblCellMar>
        </w:tblPrEx>
        <w:trPr>
          <w:trHeight w:val="20" w:hRule="atLeast"/>
        </w:trPr>
        <w:tc>
          <w:tcPr>
            <w:tcW w:w="1781" w:type="pct"/>
            <w:tcBorders>
              <w:top w:val="single" w:color="000000" w:sz="4" w:space="0"/>
              <w:left w:val="single" w:color="000000" w:sz="4" w:space="0"/>
              <w:right w:val="single" w:color="000000" w:sz="4" w:space="0"/>
            </w:tcBorders>
            <w:vAlign w:val="center"/>
          </w:tcPr>
          <w:p w14:paraId="1E4AC0CA">
            <w:pPr>
              <w:jc w:val="center"/>
              <w:rPr>
                <w:rFonts w:ascii="宋体" w:hAnsi="宋体" w:eastAsia="宋体"/>
                <w:b/>
                <w:bCs/>
                <w:sz w:val="24"/>
                <w:szCs w:val="24"/>
              </w:rPr>
            </w:pPr>
            <w:r>
              <w:rPr>
                <w:rFonts w:hint="eastAsia" w:ascii="宋体" w:hAnsi="宋体" w:eastAsia="宋体"/>
                <w:b/>
                <w:bCs/>
                <w:sz w:val="24"/>
                <w:szCs w:val="24"/>
              </w:rPr>
              <w:t>中标（成交）金额（万元）</w:t>
            </w:r>
          </w:p>
        </w:tc>
        <w:tc>
          <w:tcPr>
            <w:tcW w:w="1022" w:type="pct"/>
            <w:tcBorders>
              <w:top w:val="single" w:color="000000" w:sz="4" w:space="0"/>
              <w:left w:val="single" w:color="000000" w:sz="4" w:space="0"/>
              <w:right w:val="single" w:color="000000" w:sz="4" w:space="0"/>
            </w:tcBorders>
            <w:vAlign w:val="center"/>
          </w:tcPr>
          <w:p w14:paraId="13417721">
            <w:pPr>
              <w:jc w:val="center"/>
              <w:rPr>
                <w:rFonts w:ascii="宋体" w:hAnsi="宋体" w:eastAsia="宋体"/>
                <w:b/>
                <w:bCs/>
                <w:sz w:val="24"/>
                <w:szCs w:val="24"/>
              </w:rPr>
            </w:pPr>
            <w:r>
              <w:rPr>
                <w:rFonts w:hint="eastAsia" w:ascii="宋体" w:hAnsi="宋体" w:eastAsia="宋体"/>
                <w:b/>
                <w:bCs/>
                <w:sz w:val="24"/>
                <w:szCs w:val="24"/>
              </w:rPr>
              <w:t>货物采购费率</w:t>
            </w:r>
          </w:p>
        </w:tc>
        <w:tc>
          <w:tcPr>
            <w:tcW w:w="1098" w:type="pct"/>
            <w:tcBorders>
              <w:top w:val="single" w:color="000000" w:sz="4" w:space="0"/>
              <w:left w:val="single" w:color="000000" w:sz="4" w:space="0"/>
              <w:bottom w:val="single" w:color="000000" w:sz="4" w:space="0"/>
              <w:right w:val="single" w:color="000000" w:sz="4" w:space="0"/>
            </w:tcBorders>
            <w:vAlign w:val="center"/>
          </w:tcPr>
          <w:p w14:paraId="312C526D">
            <w:pPr>
              <w:jc w:val="center"/>
              <w:rPr>
                <w:rFonts w:ascii="宋体" w:hAnsi="宋体" w:eastAsia="宋体"/>
                <w:b/>
                <w:bCs/>
                <w:sz w:val="24"/>
                <w:szCs w:val="24"/>
              </w:rPr>
            </w:pPr>
            <w:r>
              <w:rPr>
                <w:rFonts w:hint="eastAsia" w:ascii="宋体" w:hAnsi="宋体" w:eastAsia="宋体"/>
                <w:b/>
                <w:bCs/>
                <w:sz w:val="24"/>
                <w:szCs w:val="24"/>
              </w:rPr>
              <w:t>服务采购费率</w:t>
            </w:r>
          </w:p>
        </w:tc>
        <w:tc>
          <w:tcPr>
            <w:tcW w:w="1098" w:type="pct"/>
            <w:tcBorders>
              <w:top w:val="single" w:color="000000" w:sz="4" w:space="0"/>
              <w:left w:val="single" w:color="000000" w:sz="4" w:space="0"/>
              <w:bottom w:val="single" w:color="000000" w:sz="4" w:space="0"/>
              <w:right w:val="single" w:color="000000" w:sz="4" w:space="0"/>
            </w:tcBorders>
            <w:vAlign w:val="center"/>
          </w:tcPr>
          <w:p w14:paraId="08C727CF">
            <w:pPr>
              <w:jc w:val="center"/>
              <w:rPr>
                <w:rFonts w:ascii="宋体" w:hAnsi="宋体" w:eastAsia="宋体"/>
                <w:b/>
                <w:bCs/>
                <w:sz w:val="24"/>
                <w:szCs w:val="24"/>
              </w:rPr>
            </w:pPr>
            <w:r>
              <w:rPr>
                <w:rFonts w:hint="eastAsia" w:ascii="宋体" w:hAnsi="宋体" w:eastAsia="宋体"/>
                <w:b/>
                <w:bCs/>
                <w:sz w:val="24"/>
                <w:szCs w:val="24"/>
              </w:rPr>
              <w:t>工程采购费率</w:t>
            </w:r>
          </w:p>
        </w:tc>
      </w:tr>
      <w:tr w14:paraId="755AB6B3">
        <w:tblPrEx>
          <w:tblCellMar>
            <w:top w:w="15" w:type="dxa"/>
            <w:left w:w="15" w:type="dxa"/>
            <w:bottom w:w="15" w:type="dxa"/>
            <w:right w:w="15" w:type="dxa"/>
          </w:tblCellMar>
        </w:tblPrEx>
        <w:trPr>
          <w:trHeight w:val="20" w:hRule="atLeast"/>
        </w:trPr>
        <w:tc>
          <w:tcPr>
            <w:tcW w:w="1781" w:type="pct"/>
            <w:tcBorders>
              <w:top w:val="single" w:color="000000" w:sz="4" w:space="0"/>
              <w:left w:val="single" w:color="000000" w:sz="4" w:space="0"/>
              <w:bottom w:val="single" w:color="000000" w:sz="4" w:space="0"/>
              <w:right w:val="single" w:color="000000" w:sz="4" w:space="0"/>
            </w:tcBorders>
          </w:tcPr>
          <w:p w14:paraId="5613CD2F">
            <w:pPr>
              <w:jc w:val="center"/>
              <w:rPr>
                <w:rFonts w:ascii="宋体" w:hAnsi="宋体" w:eastAsia="宋体"/>
                <w:sz w:val="24"/>
                <w:szCs w:val="24"/>
              </w:rPr>
            </w:pPr>
            <w:r>
              <w:rPr>
                <w:rFonts w:ascii="宋体" w:hAnsi="宋体" w:eastAsia="宋体"/>
                <w:sz w:val="24"/>
                <w:szCs w:val="24"/>
              </w:rPr>
              <w:t>100</w:t>
            </w:r>
            <w:r>
              <w:rPr>
                <w:rFonts w:hint="eastAsia" w:ascii="宋体" w:hAnsi="宋体" w:eastAsia="宋体"/>
                <w:sz w:val="24"/>
                <w:szCs w:val="24"/>
                <w:lang w:eastAsia="zh-CN"/>
              </w:rPr>
              <w:t>（</w:t>
            </w:r>
            <w:r>
              <w:rPr>
                <w:rFonts w:hint="eastAsia" w:ascii="宋体" w:hAnsi="宋体" w:eastAsia="宋体"/>
                <w:sz w:val="24"/>
                <w:szCs w:val="24"/>
                <w:lang w:val="en-US" w:eastAsia="zh-CN"/>
              </w:rPr>
              <w:t>含100万</w:t>
            </w:r>
            <w:r>
              <w:rPr>
                <w:rFonts w:hint="eastAsia" w:ascii="宋体" w:hAnsi="宋体" w:eastAsia="宋体"/>
                <w:sz w:val="24"/>
                <w:szCs w:val="24"/>
                <w:lang w:eastAsia="zh-CN"/>
              </w:rPr>
              <w:t>）</w:t>
            </w:r>
            <w:r>
              <w:rPr>
                <w:rFonts w:hint="eastAsia" w:ascii="宋体" w:hAnsi="宋体" w:eastAsia="宋体"/>
                <w:sz w:val="24"/>
                <w:szCs w:val="24"/>
              </w:rPr>
              <w:t>以下</w:t>
            </w:r>
          </w:p>
        </w:tc>
        <w:tc>
          <w:tcPr>
            <w:tcW w:w="1022" w:type="pct"/>
            <w:tcBorders>
              <w:top w:val="single" w:color="000000" w:sz="4" w:space="0"/>
              <w:left w:val="single" w:color="000000" w:sz="4" w:space="0"/>
              <w:bottom w:val="single" w:color="000000" w:sz="4" w:space="0"/>
              <w:right w:val="single" w:color="000000" w:sz="4" w:space="0"/>
            </w:tcBorders>
          </w:tcPr>
          <w:p w14:paraId="2E56D20E">
            <w:pPr>
              <w:jc w:val="center"/>
              <w:rPr>
                <w:rFonts w:ascii="宋体" w:hAnsi="宋体" w:eastAsia="宋体"/>
                <w:sz w:val="24"/>
                <w:szCs w:val="24"/>
              </w:rPr>
            </w:pPr>
            <w:r>
              <w:rPr>
                <w:rFonts w:ascii="宋体" w:hAnsi="宋体" w:eastAsia="宋体"/>
                <w:sz w:val="24"/>
                <w:szCs w:val="24"/>
              </w:rPr>
              <w:t>1.5%</w:t>
            </w:r>
          </w:p>
        </w:tc>
        <w:tc>
          <w:tcPr>
            <w:tcW w:w="1098" w:type="pct"/>
            <w:tcBorders>
              <w:top w:val="single" w:color="000000" w:sz="4" w:space="0"/>
              <w:left w:val="single" w:color="000000" w:sz="4" w:space="0"/>
              <w:bottom w:val="single" w:color="000000" w:sz="4" w:space="0"/>
              <w:right w:val="single" w:color="000000" w:sz="4" w:space="0"/>
            </w:tcBorders>
          </w:tcPr>
          <w:p w14:paraId="0EBBA767">
            <w:pPr>
              <w:jc w:val="center"/>
              <w:rPr>
                <w:rFonts w:ascii="宋体" w:hAnsi="宋体" w:eastAsia="宋体"/>
                <w:sz w:val="24"/>
                <w:szCs w:val="24"/>
              </w:rPr>
            </w:pPr>
            <w:r>
              <w:rPr>
                <w:rFonts w:ascii="宋体" w:hAnsi="宋体" w:eastAsia="宋体"/>
                <w:sz w:val="24"/>
                <w:szCs w:val="24"/>
              </w:rPr>
              <w:t>1.5%</w:t>
            </w:r>
          </w:p>
        </w:tc>
        <w:tc>
          <w:tcPr>
            <w:tcW w:w="1098" w:type="pct"/>
            <w:tcBorders>
              <w:top w:val="single" w:color="000000" w:sz="4" w:space="0"/>
              <w:left w:val="single" w:color="000000" w:sz="4" w:space="0"/>
              <w:bottom w:val="single" w:color="000000" w:sz="4" w:space="0"/>
              <w:right w:val="single" w:color="000000" w:sz="4" w:space="0"/>
            </w:tcBorders>
          </w:tcPr>
          <w:p w14:paraId="057E8D24">
            <w:pPr>
              <w:jc w:val="center"/>
              <w:rPr>
                <w:rFonts w:ascii="宋体" w:hAnsi="宋体" w:eastAsia="宋体"/>
                <w:sz w:val="24"/>
                <w:szCs w:val="24"/>
              </w:rPr>
            </w:pPr>
            <w:r>
              <w:rPr>
                <w:rFonts w:ascii="宋体" w:hAnsi="宋体" w:eastAsia="宋体"/>
                <w:sz w:val="24"/>
                <w:szCs w:val="24"/>
              </w:rPr>
              <w:t>1.0%</w:t>
            </w:r>
          </w:p>
        </w:tc>
      </w:tr>
      <w:tr w14:paraId="767B65BD">
        <w:tblPrEx>
          <w:tblCellMar>
            <w:top w:w="15" w:type="dxa"/>
            <w:left w:w="15" w:type="dxa"/>
            <w:bottom w:w="15" w:type="dxa"/>
            <w:right w:w="15" w:type="dxa"/>
          </w:tblCellMar>
        </w:tblPrEx>
        <w:trPr>
          <w:trHeight w:val="20" w:hRule="atLeast"/>
        </w:trPr>
        <w:tc>
          <w:tcPr>
            <w:tcW w:w="1781" w:type="pct"/>
            <w:tcBorders>
              <w:top w:val="single" w:color="000000" w:sz="4" w:space="0"/>
              <w:left w:val="single" w:color="000000" w:sz="4" w:space="0"/>
              <w:bottom w:val="single" w:color="000000" w:sz="4" w:space="0"/>
              <w:right w:val="single" w:color="000000" w:sz="4" w:space="0"/>
            </w:tcBorders>
          </w:tcPr>
          <w:p w14:paraId="54A0176A">
            <w:pPr>
              <w:jc w:val="center"/>
              <w:rPr>
                <w:rFonts w:ascii="宋体" w:hAnsi="宋体" w:eastAsia="宋体"/>
                <w:sz w:val="24"/>
                <w:szCs w:val="24"/>
              </w:rPr>
            </w:pPr>
            <w:r>
              <w:rPr>
                <w:rFonts w:ascii="宋体" w:hAnsi="宋体" w:eastAsia="宋体"/>
                <w:sz w:val="24"/>
                <w:szCs w:val="24"/>
              </w:rPr>
              <w:t>100-500</w:t>
            </w:r>
          </w:p>
        </w:tc>
        <w:tc>
          <w:tcPr>
            <w:tcW w:w="1022" w:type="pct"/>
            <w:tcBorders>
              <w:top w:val="single" w:color="000000" w:sz="4" w:space="0"/>
              <w:left w:val="single" w:color="000000" w:sz="4" w:space="0"/>
              <w:bottom w:val="single" w:color="000000" w:sz="4" w:space="0"/>
              <w:right w:val="single" w:color="000000" w:sz="4" w:space="0"/>
            </w:tcBorders>
          </w:tcPr>
          <w:p w14:paraId="695210E7">
            <w:pPr>
              <w:jc w:val="center"/>
              <w:rPr>
                <w:rFonts w:ascii="宋体" w:hAnsi="宋体" w:eastAsia="宋体"/>
                <w:sz w:val="24"/>
                <w:szCs w:val="24"/>
              </w:rPr>
            </w:pPr>
            <w:r>
              <w:rPr>
                <w:rFonts w:ascii="宋体" w:hAnsi="宋体" w:eastAsia="宋体"/>
                <w:sz w:val="24"/>
                <w:szCs w:val="24"/>
              </w:rPr>
              <w:t>1.1%</w:t>
            </w:r>
          </w:p>
        </w:tc>
        <w:tc>
          <w:tcPr>
            <w:tcW w:w="1098" w:type="pct"/>
            <w:tcBorders>
              <w:top w:val="single" w:color="000000" w:sz="4" w:space="0"/>
              <w:left w:val="single" w:color="000000" w:sz="4" w:space="0"/>
              <w:bottom w:val="single" w:color="000000" w:sz="4" w:space="0"/>
              <w:right w:val="single" w:color="000000" w:sz="4" w:space="0"/>
            </w:tcBorders>
          </w:tcPr>
          <w:p w14:paraId="107B0898">
            <w:pPr>
              <w:jc w:val="center"/>
              <w:rPr>
                <w:rFonts w:ascii="宋体" w:hAnsi="宋体" w:eastAsia="宋体"/>
                <w:sz w:val="24"/>
                <w:szCs w:val="24"/>
              </w:rPr>
            </w:pPr>
            <w:r>
              <w:rPr>
                <w:rFonts w:ascii="宋体" w:hAnsi="宋体" w:eastAsia="宋体"/>
                <w:sz w:val="24"/>
                <w:szCs w:val="24"/>
              </w:rPr>
              <w:t>0.8%</w:t>
            </w:r>
          </w:p>
        </w:tc>
        <w:tc>
          <w:tcPr>
            <w:tcW w:w="1098" w:type="pct"/>
            <w:tcBorders>
              <w:top w:val="single" w:color="000000" w:sz="4" w:space="0"/>
              <w:left w:val="single" w:color="000000" w:sz="4" w:space="0"/>
              <w:bottom w:val="single" w:color="000000" w:sz="4" w:space="0"/>
              <w:right w:val="single" w:color="000000" w:sz="4" w:space="0"/>
            </w:tcBorders>
          </w:tcPr>
          <w:p w14:paraId="0F4D525F">
            <w:pPr>
              <w:jc w:val="center"/>
              <w:rPr>
                <w:rFonts w:ascii="宋体" w:hAnsi="宋体" w:eastAsia="宋体"/>
                <w:sz w:val="24"/>
                <w:szCs w:val="24"/>
              </w:rPr>
            </w:pPr>
            <w:r>
              <w:rPr>
                <w:rFonts w:ascii="宋体" w:hAnsi="宋体" w:eastAsia="宋体"/>
                <w:sz w:val="24"/>
                <w:szCs w:val="24"/>
              </w:rPr>
              <w:t>0.7%</w:t>
            </w:r>
          </w:p>
        </w:tc>
      </w:tr>
      <w:tr w14:paraId="54BD7469">
        <w:tblPrEx>
          <w:tblCellMar>
            <w:top w:w="15" w:type="dxa"/>
            <w:left w:w="15" w:type="dxa"/>
            <w:bottom w:w="15" w:type="dxa"/>
            <w:right w:w="15" w:type="dxa"/>
          </w:tblCellMar>
        </w:tblPrEx>
        <w:trPr>
          <w:trHeight w:val="20" w:hRule="atLeast"/>
        </w:trPr>
        <w:tc>
          <w:tcPr>
            <w:tcW w:w="1781" w:type="pct"/>
            <w:tcBorders>
              <w:top w:val="single" w:color="000000" w:sz="4" w:space="0"/>
              <w:left w:val="single" w:color="000000" w:sz="4" w:space="0"/>
              <w:bottom w:val="single" w:color="000000" w:sz="4" w:space="0"/>
              <w:right w:val="single" w:color="000000" w:sz="4" w:space="0"/>
            </w:tcBorders>
          </w:tcPr>
          <w:p w14:paraId="3ADC5B0A">
            <w:pPr>
              <w:jc w:val="center"/>
              <w:rPr>
                <w:rFonts w:ascii="宋体" w:hAnsi="宋体" w:eastAsia="宋体"/>
                <w:sz w:val="24"/>
                <w:szCs w:val="24"/>
              </w:rPr>
            </w:pPr>
            <w:r>
              <w:rPr>
                <w:rFonts w:ascii="宋体" w:hAnsi="宋体" w:eastAsia="宋体"/>
                <w:sz w:val="24"/>
                <w:szCs w:val="24"/>
              </w:rPr>
              <w:t>500-1000</w:t>
            </w:r>
          </w:p>
        </w:tc>
        <w:tc>
          <w:tcPr>
            <w:tcW w:w="1022" w:type="pct"/>
            <w:tcBorders>
              <w:top w:val="single" w:color="000000" w:sz="4" w:space="0"/>
              <w:left w:val="single" w:color="000000" w:sz="4" w:space="0"/>
              <w:bottom w:val="single" w:color="000000" w:sz="4" w:space="0"/>
              <w:right w:val="single" w:color="000000" w:sz="4" w:space="0"/>
            </w:tcBorders>
          </w:tcPr>
          <w:p w14:paraId="4E016A09">
            <w:pPr>
              <w:jc w:val="center"/>
              <w:rPr>
                <w:rFonts w:ascii="宋体" w:hAnsi="宋体" w:eastAsia="宋体"/>
                <w:sz w:val="24"/>
                <w:szCs w:val="24"/>
              </w:rPr>
            </w:pPr>
            <w:r>
              <w:rPr>
                <w:rFonts w:ascii="宋体" w:hAnsi="宋体" w:eastAsia="宋体"/>
                <w:sz w:val="24"/>
                <w:szCs w:val="24"/>
              </w:rPr>
              <w:t>0.8%</w:t>
            </w:r>
          </w:p>
        </w:tc>
        <w:tc>
          <w:tcPr>
            <w:tcW w:w="1098" w:type="pct"/>
            <w:tcBorders>
              <w:top w:val="single" w:color="000000" w:sz="4" w:space="0"/>
              <w:left w:val="single" w:color="000000" w:sz="4" w:space="0"/>
              <w:bottom w:val="single" w:color="000000" w:sz="4" w:space="0"/>
              <w:right w:val="single" w:color="000000" w:sz="4" w:space="0"/>
            </w:tcBorders>
          </w:tcPr>
          <w:p w14:paraId="7988214A">
            <w:pPr>
              <w:jc w:val="center"/>
              <w:rPr>
                <w:rFonts w:ascii="宋体" w:hAnsi="宋体" w:eastAsia="宋体"/>
                <w:sz w:val="24"/>
                <w:szCs w:val="24"/>
              </w:rPr>
            </w:pPr>
            <w:r>
              <w:rPr>
                <w:rFonts w:ascii="宋体" w:hAnsi="宋体" w:eastAsia="宋体"/>
                <w:sz w:val="24"/>
                <w:szCs w:val="24"/>
              </w:rPr>
              <w:t>0.45%</w:t>
            </w:r>
          </w:p>
        </w:tc>
        <w:tc>
          <w:tcPr>
            <w:tcW w:w="1098" w:type="pct"/>
            <w:tcBorders>
              <w:top w:val="single" w:color="000000" w:sz="4" w:space="0"/>
              <w:left w:val="single" w:color="000000" w:sz="4" w:space="0"/>
              <w:bottom w:val="single" w:color="000000" w:sz="4" w:space="0"/>
              <w:right w:val="single" w:color="000000" w:sz="4" w:space="0"/>
            </w:tcBorders>
          </w:tcPr>
          <w:p w14:paraId="35251DAE">
            <w:pPr>
              <w:jc w:val="center"/>
              <w:rPr>
                <w:rFonts w:ascii="宋体" w:hAnsi="宋体" w:eastAsia="宋体"/>
                <w:sz w:val="24"/>
                <w:szCs w:val="24"/>
              </w:rPr>
            </w:pPr>
            <w:r>
              <w:rPr>
                <w:rFonts w:ascii="宋体" w:hAnsi="宋体" w:eastAsia="宋体"/>
                <w:sz w:val="24"/>
                <w:szCs w:val="24"/>
              </w:rPr>
              <w:t>0.55%</w:t>
            </w:r>
          </w:p>
        </w:tc>
      </w:tr>
      <w:tr w14:paraId="586C542B">
        <w:tblPrEx>
          <w:tblCellMar>
            <w:top w:w="15" w:type="dxa"/>
            <w:left w:w="15" w:type="dxa"/>
            <w:bottom w:w="15" w:type="dxa"/>
            <w:right w:w="15" w:type="dxa"/>
          </w:tblCellMar>
        </w:tblPrEx>
        <w:trPr>
          <w:trHeight w:val="20" w:hRule="atLeast"/>
        </w:trPr>
        <w:tc>
          <w:tcPr>
            <w:tcW w:w="1781" w:type="pct"/>
            <w:tcBorders>
              <w:top w:val="single" w:color="000000" w:sz="4" w:space="0"/>
              <w:left w:val="single" w:color="000000" w:sz="4" w:space="0"/>
              <w:bottom w:val="single" w:color="000000" w:sz="4" w:space="0"/>
              <w:right w:val="single" w:color="000000" w:sz="4" w:space="0"/>
            </w:tcBorders>
          </w:tcPr>
          <w:p w14:paraId="78209FFE">
            <w:pPr>
              <w:jc w:val="center"/>
              <w:rPr>
                <w:rFonts w:ascii="宋体" w:hAnsi="宋体" w:eastAsia="宋体"/>
                <w:sz w:val="24"/>
                <w:szCs w:val="24"/>
              </w:rPr>
            </w:pPr>
            <w:r>
              <w:rPr>
                <w:rFonts w:ascii="宋体" w:hAnsi="宋体" w:eastAsia="宋体"/>
                <w:sz w:val="24"/>
                <w:szCs w:val="24"/>
              </w:rPr>
              <w:t>1000-5000</w:t>
            </w:r>
          </w:p>
        </w:tc>
        <w:tc>
          <w:tcPr>
            <w:tcW w:w="1022" w:type="pct"/>
            <w:tcBorders>
              <w:top w:val="single" w:color="000000" w:sz="4" w:space="0"/>
              <w:left w:val="single" w:color="000000" w:sz="4" w:space="0"/>
              <w:bottom w:val="single" w:color="000000" w:sz="4" w:space="0"/>
              <w:right w:val="single" w:color="000000" w:sz="4" w:space="0"/>
            </w:tcBorders>
          </w:tcPr>
          <w:p w14:paraId="4F03B183">
            <w:pPr>
              <w:jc w:val="center"/>
              <w:rPr>
                <w:rFonts w:ascii="宋体" w:hAnsi="宋体" w:eastAsia="宋体"/>
                <w:sz w:val="24"/>
                <w:szCs w:val="24"/>
              </w:rPr>
            </w:pPr>
            <w:r>
              <w:rPr>
                <w:rFonts w:ascii="宋体" w:hAnsi="宋体" w:eastAsia="宋体"/>
                <w:sz w:val="24"/>
                <w:szCs w:val="24"/>
              </w:rPr>
              <w:t>0.5%</w:t>
            </w:r>
          </w:p>
        </w:tc>
        <w:tc>
          <w:tcPr>
            <w:tcW w:w="1098" w:type="pct"/>
            <w:tcBorders>
              <w:top w:val="single" w:color="000000" w:sz="4" w:space="0"/>
              <w:left w:val="single" w:color="000000" w:sz="4" w:space="0"/>
              <w:bottom w:val="single" w:color="000000" w:sz="4" w:space="0"/>
              <w:right w:val="single" w:color="000000" w:sz="4" w:space="0"/>
            </w:tcBorders>
          </w:tcPr>
          <w:p w14:paraId="79B306E2">
            <w:pPr>
              <w:jc w:val="center"/>
              <w:rPr>
                <w:rFonts w:ascii="宋体" w:hAnsi="宋体" w:eastAsia="宋体"/>
                <w:sz w:val="24"/>
                <w:szCs w:val="24"/>
              </w:rPr>
            </w:pPr>
            <w:r>
              <w:rPr>
                <w:rFonts w:ascii="宋体" w:hAnsi="宋体" w:eastAsia="宋体"/>
                <w:sz w:val="24"/>
                <w:szCs w:val="24"/>
              </w:rPr>
              <w:t>0.25%</w:t>
            </w:r>
          </w:p>
        </w:tc>
        <w:tc>
          <w:tcPr>
            <w:tcW w:w="1098" w:type="pct"/>
            <w:tcBorders>
              <w:top w:val="single" w:color="000000" w:sz="4" w:space="0"/>
              <w:left w:val="single" w:color="000000" w:sz="4" w:space="0"/>
              <w:bottom w:val="single" w:color="000000" w:sz="4" w:space="0"/>
              <w:right w:val="single" w:color="000000" w:sz="4" w:space="0"/>
            </w:tcBorders>
          </w:tcPr>
          <w:p w14:paraId="5329907C">
            <w:pPr>
              <w:jc w:val="center"/>
              <w:rPr>
                <w:rFonts w:ascii="宋体" w:hAnsi="宋体" w:eastAsia="宋体"/>
                <w:sz w:val="24"/>
                <w:szCs w:val="24"/>
              </w:rPr>
            </w:pPr>
            <w:r>
              <w:rPr>
                <w:rFonts w:ascii="宋体" w:hAnsi="宋体" w:eastAsia="宋体"/>
                <w:sz w:val="24"/>
                <w:szCs w:val="24"/>
              </w:rPr>
              <w:t>0.35%</w:t>
            </w:r>
          </w:p>
        </w:tc>
      </w:tr>
      <w:tr w14:paraId="6FB47257">
        <w:tblPrEx>
          <w:tblCellMar>
            <w:top w:w="15" w:type="dxa"/>
            <w:left w:w="15" w:type="dxa"/>
            <w:bottom w:w="15" w:type="dxa"/>
            <w:right w:w="15" w:type="dxa"/>
          </w:tblCellMar>
        </w:tblPrEx>
        <w:trPr>
          <w:trHeight w:val="20" w:hRule="atLeast"/>
        </w:trPr>
        <w:tc>
          <w:tcPr>
            <w:tcW w:w="1781" w:type="pct"/>
            <w:tcBorders>
              <w:top w:val="single" w:color="000000" w:sz="4" w:space="0"/>
              <w:left w:val="single" w:color="000000" w:sz="4" w:space="0"/>
              <w:bottom w:val="single" w:color="000000" w:sz="4" w:space="0"/>
              <w:right w:val="single" w:color="000000" w:sz="4" w:space="0"/>
            </w:tcBorders>
          </w:tcPr>
          <w:p w14:paraId="1464F19E">
            <w:pPr>
              <w:jc w:val="center"/>
              <w:rPr>
                <w:rFonts w:ascii="宋体" w:hAnsi="宋体" w:eastAsia="宋体"/>
                <w:sz w:val="24"/>
                <w:szCs w:val="24"/>
              </w:rPr>
            </w:pPr>
            <w:r>
              <w:rPr>
                <w:rFonts w:ascii="宋体" w:hAnsi="宋体" w:eastAsia="宋体"/>
                <w:sz w:val="24"/>
                <w:szCs w:val="24"/>
              </w:rPr>
              <w:t>5000-10000</w:t>
            </w:r>
          </w:p>
        </w:tc>
        <w:tc>
          <w:tcPr>
            <w:tcW w:w="1022" w:type="pct"/>
            <w:tcBorders>
              <w:top w:val="single" w:color="000000" w:sz="4" w:space="0"/>
              <w:left w:val="single" w:color="000000" w:sz="4" w:space="0"/>
              <w:bottom w:val="single" w:color="000000" w:sz="4" w:space="0"/>
              <w:right w:val="single" w:color="000000" w:sz="4" w:space="0"/>
            </w:tcBorders>
          </w:tcPr>
          <w:p w14:paraId="7AA582AB">
            <w:pPr>
              <w:jc w:val="center"/>
              <w:rPr>
                <w:rFonts w:ascii="宋体" w:hAnsi="宋体" w:eastAsia="宋体"/>
                <w:sz w:val="24"/>
                <w:szCs w:val="24"/>
              </w:rPr>
            </w:pPr>
            <w:r>
              <w:rPr>
                <w:rFonts w:ascii="宋体" w:hAnsi="宋体" w:eastAsia="宋体"/>
                <w:sz w:val="24"/>
                <w:szCs w:val="24"/>
              </w:rPr>
              <w:t>0.25%</w:t>
            </w:r>
          </w:p>
        </w:tc>
        <w:tc>
          <w:tcPr>
            <w:tcW w:w="1098" w:type="pct"/>
            <w:tcBorders>
              <w:top w:val="single" w:color="000000" w:sz="4" w:space="0"/>
              <w:left w:val="single" w:color="000000" w:sz="4" w:space="0"/>
              <w:bottom w:val="single" w:color="000000" w:sz="4" w:space="0"/>
              <w:right w:val="single" w:color="000000" w:sz="4" w:space="0"/>
            </w:tcBorders>
          </w:tcPr>
          <w:p w14:paraId="5CB0B12D">
            <w:pPr>
              <w:jc w:val="center"/>
              <w:rPr>
                <w:rFonts w:ascii="宋体" w:hAnsi="宋体" w:eastAsia="宋体"/>
                <w:sz w:val="24"/>
                <w:szCs w:val="24"/>
              </w:rPr>
            </w:pPr>
            <w:r>
              <w:rPr>
                <w:rFonts w:ascii="宋体" w:hAnsi="宋体" w:eastAsia="宋体"/>
                <w:sz w:val="24"/>
                <w:szCs w:val="24"/>
              </w:rPr>
              <w:t>0.1%</w:t>
            </w:r>
          </w:p>
        </w:tc>
        <w:tc>
          <w:tcPr>
            <w:tcW w:w="1098" w:type="pct"/>
            <w:tcBorders>
              <w:top w:val="single" w:color="000000" w:sz="4" w:space="0"/>
              <w:left w:val="single" w:color="000000" w:sz="4" w:space="0"/>
              <w:bottom w:val="single" w:color="000000" w:sz="4" w:space="0"/>
              <w:right w:val="single" w:color="000000" w:sz="4" w:space="0"/>
            </w:tcBorders>
          </w:tcPr>
          <w:p w14:paraId="72E0B447">
            <w:pPr>
              <w:jc w:val="center"/>
              <w:rPr>
                <w:rFonts w:ascii="宋体" w:hAnsi="宋体" w:eastAsia="宋体"/>
                <w:sz w:val="24"/>
                <w:szCs w:val="24"/>
              </w:rPr>
            </w:pPr>
            <w:r>
              <w:rPr>
                <w:rFonts w:ascii="宋体" w:hAnsi="宋体" w:eastAsia="宋体"/>
                <w:sz w:val="24"/>
                <w:szCs w:val="24"/>
              </w:rPr>
              <w:t>0.2%</w:t>
            </w:r>
          </w:p>
        </w:tc>
      </w:tr>
      <w:tr w14:paraId="160BC527">
        <w:tblPrEx>
          <w:tblCellMar>
            <w:top w:w="15" w:type="dxa"/>
            <w:left w:w="15" w:type="dxa"/>
            <w:bottom w:w="15" w:type="dxa"/>
            <w:right w:w="15" w:type="dxa"/>
          </w:tblCellMar>
        </w:tblPrEx>
        <w:trPr>
          <w:trHeight w:val="20" w:hRule="atLeast"/>
        </w:trPr>
        <w:tc>
          <w:tcPr>
            <w:tcW w:w="1781" w:type="pct"/>
            <w:tcBorders>
              <w:top w:val="single" w:color="000000" w:sz="4" w:space="0"/>
              <w:left w:val="single" w:color="000000" w:sz="4" w:space="0"/>
              <w:bottom w:val="single" w:color="000000" w:sz="4" w:space="0"/>
              <w:right w:val="single" w:color="000000" w:sz="4" w:space="0"/>
            </w:tcBorders>
          </w:tcPr>
          <w:p w14:paraId="42F1DA56">
            <w:pPr>
              <w:jc w:val="center"/>
              <w:rPr>
                <w:rFonts w:ascii="宋体" w:hAnsi="宋体" w:eastAsia="宋体"/>
                <w:sz w:val="24"/>
                <w:szCs w:val="24"/>
              </w:rPr>
            </w:pPr>
            <w:r>
              <w:rPr>
                <w:rFonts w:ascii="宋体" w:hAnsi="宋体" w:eastAsia="宋体"/>
                <w:sz w:val="24"/>
                <w:szCs w:val="24"/>
              </w:rPr>
              <w:t>10000-50000</w:t>
            </w:r>
          </w:p>
        </w:tc>
        <w:tc>
          <w:tcPr>
            <w:tcW w:w="1022" w:type="pct"/>
            <w:tcBorders>
              <w:top w:val="single" w:color="000000" w:sz="4" w:space="0"/>
              <w:left w:val="single" w:color="000000" w:sz="4" w:space="0"/>
              <w:bottom w:val="single" w:color="000000" w:sz="4" w:space="0"/>
              <w:right w:val="single" w:color="000000" w:sz="4" w:space="0"/>
            </w:tcBorders>
          </w:tcPr>
          <w:p w14:paraId="1FC6B059">
            <w:pPr>
              <w:jc w:val="center"/>
              <w:rPr>
                <w:rFonts w:ascii="宋体" w:hAnsi="宋体" w:eastAsia="宋体"/>
                <w:sz w:val="24"/>
                <w:szCs w:val="24"/>
              </w:rPr>
            </w:pPr>
            <w:r>
              <w:rPr>
                <w:rFonts w:ascii="宋体" w:hAnsi="宋体" w:eastAsia="宋体"/>
                <w:sz w:val="24"/>
                <w:szCs w:val="24"/>
              </w:rPr>
              <w:t>0.05%</w:t>
            </w:r>
          </w:p>
        </w:tc>
        <w:tc>
          <w:tcPr>
            <w:tcW w:w="1098" w:type="pct"/>
            <w:tcBorders>
              <w:top w:val="single" w:color="000000" w:sz="4" w:space="0"/>
              <w:left w:val="single" w:color="000000" w:sz="4" w:space="0"/>
              <w:bottom w:val="single" w:color="000000" w:sz="4" w:space="0"/>
              <w:right w:val="single" w:color="000000" w:sz="4" w:space="0"/>
            </w:tcBorders>
          </w:tcPr>
          <w:p w14:paraId="06414084">
            <w:pPr>
              <w:jc w:val="center"/>
              <w:rPr>
                <w:rFonts w:ascii="宋体" w:hAnsi="宋体" w:eastAsia="宋体"/>
                <w:sz w:val="24"/>
                <w:szCs w:val="24"/>
              </w:rPr>
            </w:pPr>
            <w:r>
              <w:rPr>
                <w:rFonts w:ascii="宋体" w:hAnsi="宋体" w:eastAsia="宋体"/>
                <w:sz w:val="24"/>
                <w:szCs w:val="24"/>
              </w:rPr>
              <w:t>0.05%</w:t>
            </w:r>
          </w:p>
        </w:tc>
        <w:tc>
          <w:tcPr>
            <w:tcW w:w="1098" w:type="pct"/>
            <w:tcBorders>
              <w:top w:val="single" w:color="000000" w:sz="4" w:space="0"/>
              <w:left w:val="single" w:color="000000" w:sz="4" w:space="0"/>
              <w:bottom w:val="single" w:color="000000" w:sz="4" w:space="0"/>
              <w:right w:val="single" w:color="000000" w:sz="4" w:space="0"/>
            </w:tcBorders>
          </w:tcPr>
          <w:p w14:paraId="6CFA8D58">
            <w:pPr>
              <w:jc w:val="center"/>
              <w:rPr>
                <w:rFonts w:ascii="宋体" w:hAnsi="宋体" w:eastAsia="宋体"/>
                <w:sz w:val="24"/>
                <w:szCs w:val="24"/>
              </w:rPr>
            </w:pPr>
            <w:r>
              <w:rPr>
                <w:rFonts w:ascii="宋体" w:hAnsi="宋体" w:eastAsia="宋体"/>
                <w:sz w:val="24"/>
                <w:szCs w:val="24"/>
              </w:rPr>
              <w:t>0.05%</w:t>
            </w:r>
          </w:p>
        </w:tc>
      </w:tr>
      <w:tr w14:paraId="095295DB">
        <w:tblPrEx>
          <w:tblCellMar>
            <w:top w:w="15" w:type="dxa"/>
            <w:left w:w="15" w:type="dxa"/>
            <w:bottom w:w="15" w:type="dxa"/>
            <w:right w:w="15" w:type="dxa"/>
          </w:tblCellMar>
        </w:tblPrEx>
        <w:trPr>
          <w:trHeight w:val="20" w:hRule="atLeast"/>
        </w:trPr>
        <w:tc>
          <w:tcPr>
            <w:tcW w:w="1781" w:type="pct"/>
            <w:tcBorders>
              <w:top w:val="single" w:color="000000" w:sz="4" w:space="0"/>
              <w:left w:val="single" w:color="000000" w:sz="4" w:space="0"/>
              <w:bottom w:val="single" w:color="000000" w:sz="4" w:space="0"/>
              <w:right w:val="single" w:color="000000" w:sz="4" w:space="0"/>
            </w:tcBorders>
          </w:tcPr>
          <w:p w14:paraId="2EF81F11">
            <w:pPr>
              <w:jc w:val="center"/>
              <w:rPr>
                <w:rFonts w:ascii="宋体" w:hAnsi="宋体" w:eastAsia="宋体"/>
                <w:sz w:val="24"/>
                <w:szCs w:val="24"/>
              </w:rPr>
            </w:pPr>
            <w:r>
              <w:rPr>
                <w:rFonts w:ascii="宋体" w:hAnsi="宋体" w:eastAsia="宋体"/>
                <w:sz w:val="24"/>
                <w:szCs w:val="24"/>
              </w:rPr>
              <w:t>50000-100000</w:t>
            </w:r>
          </w:p>
        </w:tc>
        <w:tc>
          <w:tcPr>
            <w:tcW w:w="1022" w:type="pct"/>
            <w:tcBorders>
              <w:top w:val="single" w:color="000000" w:sz="4" w:space="0"/>
              <w:left w:val="single" w:color="000000" w:sz="4" w:space="0"/>
              <w:bottom w:val="single" w:color="000000" w:sz="4" w:space="0"/>
              <w:right w:val="single" w:color="000000" w:sz="4" w:space="0"/>
            </w:tcBorders>
          </w:tcPr>
          <w:p w14:paraId="2FE395CE">
            <w:pPr>
              <w:jc w:val="center"/>
              <w:rPr>
                <w:rFonts w:ascii="宋体" w:hAnsi="宋体" w:eastAsia="宋体"/>
                <w:sz w:val="24"/>
                <w:szCs w:val="24"/>
              </w:rPr>
            </w:pPr>
            <w:r>
              <w:rPr>
                <w:rFonts w:ascii="宋体" w:hAnsi="宋体" w:eastAsia="宋体"/>
                <w:sz w:val="24"/>
                <w:szCs w:val="24"/>
              </w:rPr>
              <w:t>0.035%</w:t>
            </w:r>
          </w:p>
        </w:tc>
        <w:tc>
          <w:tcPr>
            <w:tcW w:w="1098" w:type="pct"/>
            <w:tcBorders>
              <w:top w:val="single" w:color="000000" w:sz="4" w:space="0"/>
              <w:left w:val="single" w:color="000000" w:sz="4" w:space="0"/>
              <w:bottom w:val="single" w:color="000000" w:sz="4" w:space="0"/>
              <w:right w:val="single" w:color="000000" w:sz="4" w:space="0"/>
            </w:tcBorders>
          </w:tcPr>
          <w:p w14:paraId="659BAF35">
            <w:pPr>
              <w:jc w:val="center"/>
              <w:rPr>
                <w:rFonts w:ascii="宋体" w:hAnsi="宋体" w:eastAsia="宋体"/>
                <w:sz w:val="24"/>
                <w:szCs w:val="24"/>
              </w:rPr>
            </w:pPr>
            <w:r>
              <w:rPr>
                <w:rFonts w:ascii="宋体" w:hAnsi="宋体" w:eastAsia="宋体"/>
                <w:sz w:val="24"/>
                <w:szCs w:val="24"/>
              </w:rPr>
              <w:t>0.035%</w:t>
            </w:r>
          </w:p>
        </w:tc>
        <w:tc>
          <w:tcPr>
            <w:tcW w:w="1098" w:type="pct"/>
            <w:tcBorders>
              <w:top w:val="single" w:color="000000" w:sz="4" w:space="0"/>
              <w:left w:val="single" w:color="000000" w:sz="4" w:space="0"/>
              <w:bottom w:val="single" w:color="000000" w:sz="4" w:space="0"/>
              <w:right w:val="single" w:color="000000" w:sz="4" w:space="0"/>
            </w:tcBorders>
          </w:tcPr>
          <w:p w14:paraId="779FAAD6">
            <w:pPr>
              <w:jc w:val="center"/>
              <w:rPr>
                <w:rFonts w:ascii="宋体" w:hAnsi="宋体" w:eastAsia="宋体"/>
                <w:sz w:val="24"/>
                <w:szCs w:val="24"/>
              </w:rPr>
            </w:pPr>
            <w:r>
              <w:rPr>
                <w:rFonts w:ascii="宋体" w:hAnsi="宋体" w:eastAsia="宋体"/>
                <w:sz w:val="24"/>
                <w:szCs w:val="24"/>
              </w:rPr>
              <w:t>0.035%</w:t>
            </w:r>
          </w:p>
        </w:tc>
      </w:tr>
      <w:tr w14:paraId="06A5CD78">
        <w:tblPrEx>
          <w:tblCellMar>
            <w:top w:w="15" w:type="dxa"/>
            <w:left w:w="15" w:type="dxa"/>
            <w:bottom w:w="15" w:type="dxa"/>
            <w:right w:w="15" w:type="dxa"/>
          </w:tblCellMar>
        </w:tblPrEx>
        <w:trPr>
          <w:trHeight w:val="20" w:hRule="atLeast"/>
        </w:trPr>
        <w:tc>
          <w:tcPr>
            <w:tcW w:w="1781" w:type="pct"/>
            <w:tcBorders>
              <w:top w:val="single" w:color="000000" w:sz="4" w:space="0"/>
              <w:left w:val="single" w:color="000000" w:sz="4" w:space="0"/>
              <w:bottom w:val="single" w:color="000000" w:sz="4" w:space="0"/>
              <w:right w:val="single" w:color="000000" w:sz="4" w:space="0"/>
            </w:tcBorders>
          </w:tcPr>
          <w:p w14:paraId="1AF25E1B">
            <w:pPr>
              <w:jc w:val="center"/>
              <w:rPr>
                <w:rFonts w:ascii="宋体" w:hAnsi="宋体" w:eastAsia="宋体"/>
                <w:sz w:val="24"/>
                <w:szCs w:val="24"/>
              </w:rPr>
            </w:pPr>
            <w:r>
              <w:rPr>
                <w:rFonts w:ascii="宋体" w:hAnsi="宋体" w:eastAsia="宋体"/>
                <w:sz w:val="24"/>
                <w:szCs w:val="24"/>
              </w:rPr>
              <w:t>100000-500000</w:t>
            </w:r>
          </w:p>
        </w:tc>
        <w:tc>
          <w:tcPr>
            <w:tcW w:w="1022" w:type="pct"/>
            <w:tcBorders>
              <w:top w:val="single" w:color="000000" w:sz="4" w:space="0"/>
              <w:left w:val="single" w:color="000000" w:sz="4" w:space="0"/>
              <w:bottom w:val="single" w:color="000000" w:sz="4" w:space="0"/>
              <w:right w:val="single" w:color="000000" w:sz="4" w:space="0"/>
            </w:tcBorders>
          </w:tcPr>
          <w:p w14:paraId="0C9DE2A3">
            <w:pPr>
              <w:jc w:val="center"/>
              <w:rPr>
                <w:rFonts w:ascii="宋体" w:hAnsi="宋体" w:eastAsia="宋体"/>
                <w:sz w:val="24"/>
                <w:szCs w:val="24"/>
              </w:rPr>
            </w:pPr>
            <w:r>
              <w:rPr>
                <w:rFonts w:ascii="宋体" w:hAnsi="宋体" w:eastAsia="宋体"/>
                <w:sz w:val="24"/>
                <w:szCs w:val="24"/>
              </w:rPr>
              <w:t>0.008%</w:t>
            </w:r>
          </w:p>
        </w:tc>
        <w:tc>
          <w:tcPr>
            <w:tcW w:w="1098" w:type="pct"/>
            <w:tcBorders>
              <w:top w:val="single" w:color="000000" w:sz="4" w:space="0"/>
              <w:left w:val="single" w:color="000000" w:sz="4" w:space="0"/>
              <w:bottom w:val="single" w:color="000000" w:sz="4" w:space="0"/>
              <w:right w:val="single" w:color="000000" w:sz="4" w:space="0"/>
            </w:tcBorders>
          </w:tcPr>
          <w:p w14:paraId="0531B959">
            <w:pPr>
              <w:jc w:val="center"/>
              <w:rPr>
                <w:rFonts w:ascii="宋体" w:hAnsi="宋体" w:eastAsia="宋体"/>
                <w:sz w:val="24"/>
                <w:szCs w:val="24"/>
              </w:rPr>
            </w:pPr>
            <w:r>
              <w:rPr>
                <w:rFonts w:ascii="宋体" w:hAnsi="宋体" w:eastAsia="宋体"/>
                <w:sz w:val="24"/>
                <w:szCs w:val="24"/>
              </w:rPr>
              <w:t>0.008%</w:t>
            </w:r>
          </w:p>
        </w:tc>
        <w:tc>
          <w:tcPr>
            <w:tcW w:w="1098" w:type="pct"/>
            <w:tcBorders>
              <w:top w:val="single" w:color="000000" w:sz="4" w:space="0"/>
              <w:left w:val="single" w:color="000000" w:sz="4" w:space="0"/>
              <w:bottom w:val="single" w:color="000000" w:sz="4" w:space="0"/>
              <w:right w:val="single" w:color="000000" w:sz="4" w:space="0"/>
            </w:tcBorders>
          </w:tcPr>
          <w:p w14:paraId="4A825B6D">
            <w:pPr>
              <w:jc w:val="center"/>
              <w:rPr>
                <w:rFonts w:ascii="宋体" w:hAnsi="宋体" w:eastAsia="宋体"/>
                <w:sz w:val="24"/>
                <w:szCs w:val="24"/>
              </w:rPr>
            </w:pPr>
            <w:r>
              <w:rPr>
                <w:rFonts w:ascii="宋体" w:hAnsi="宋体" w:eastAsia="宋体"/>
                <w:sz w:val="24"/>
                <w:szCs w:val="24"/>
              </w:rPr>
              <w:t>0.008%</w:t>
            </w:r>
          </w:p>
        </w:tc>
      </w:tr>
      <w:tr w14:paraId="17C7AAAF">
        <w:tblPrEx>
          <w:tblCellMar>
            <w:top w:w="15" w:type="dxa"/>
            <w:left w:w="15" w:type="dxa"/>
            <w:bottom w:w="15" w:type="dxa"/>
            <w:right w:w="15" w:type="dxa"/>
          </w:tblCellMar>
        </w:tblPrEx>
        <w:trPr>
          <w:trHeight w:val="20" w:hRule="atLeast"/>
        </w:trPr>
        <w:tc>
          <w:tcPr>
            <w:tcW w:w="1781" w:type="pct"/>
            <w:tcBorders>
              <w:top w:val="single" w:color="000000" w:sz="4" w:space="0"/>
              <w:left w:val="single" w:color="000000" w:sz="4" w:space="0"/>
              <w:bottom w:val="single" w:color="000000" w:sz="4" w:space="0"/>
              <w:right w:val="single" w:color="000000" w:sz="4" w:space="0"/>
            </w:tcBorders>
          </w:tcPr>
          <w:p w14:paraId="644283C2">
            <w:pPr>
              <w:jc w:val="center"/>
              <w:rPr>
                <w:rFonts w:ascii="宋体" w:hAnsi="宋体" w:eastAsia="宋体"/>
                <w:sz w:val="24"/>
                <w:szCs w:val="24"/>
              </w:rPr>
            </w:pPr>
            <w:r>
              <w:rPr>
                <w:rFonts w:ascii="宋体" w:hAnsi="宋体" w:eastAsia="宋体"/>
                <w:sz w:val="24"/>
                <w:szCs w:val="24"/>
              </w:rPr>
              <w:t>500000-1000000</w:t>
            </w:r>
          </w:p>
        </w:tc>
        <w:tc>
          <w:tcPr>
            <w:tcW w:w="1022" w:type="pct"/>
            <w:tcBorders>
              <w:top w:val="single" w:color="000000" w:sz="4" w:space="0"/>
              <w:left w:val="single" w:color="000000" w:sz="4" w:space="0"/>
              <w:bottom w:val="single" w:color="000000" w:sz="4" w:space="0"/>
              <w:right w:val="single" w:color="000000" w:sz="4" w:space="0"/>
            </w:tcBorders>
          </w:tcPr>
          <w:p w14:paraId="10C6E9AB">
            <w:pPr>
              <w:jc w:val="center"/>
              <w:rPr>
                <w:rFonts w:ascii="宋体" w:hAnsi="宋体" w:eastAsia="宋体"/>
                <w:sz w:val="24"/>
                <w:szCs w:val="24"/>
              </w:rPr>
            </w:pPr>
            <w:r>
              <w:rPr>
                <w:rFonts w:ascii="宋体" w:hAnsi="宋体" w:eastAsia="宋体"/>
                <w:sz w:val="24"/>
                <w:szCs w:val="24"/>
              </w:rPr>
              <w:t>0.006%</w:t>
            </w:r>
          </w:p>
        </w:tc>
        <w:tc>
          <w:tcPr>
            <w:tcW w:w="1098" w:type="pct"/>
            <w:tcBorders>
              <w:top w:val="single" w:color="000000" w:sz="4" w:space="0"/>
              <w:left w:val="single" w:color="000000" w:sz="4" w:space="0"/>
              <w:bottom w:val="single" w:color="000000" w:sz="4" w:space="0"/>
              <w:right w:val="single" w:color="000000" w:sz="4" w:space="0"/>
            </w:tcBorders>
          </w:tcPr>
          <w:p w14:paraId="36DFF5BF">
            <w:pPr>
              <w:jc w:val="center"/>
              <w:rPr>
                <w:rFonts w:ascii="宋体" w:hAnsi="宋体" w:eastAsia="宋体"/>
                <w:sz w:val="24"/>
                <w:szCs w:val="24"/>
              </w:rPr>
            </w:pPr>
            <w:r>
              <w:rPr>
                <w:rFonts w:ascii="宋体" w:hAnsi="宋体" w:eastAsia="宋体"/>
                <w:sz w:val="24"/>
                <w:szCs w:val="24"/>
              </w:rPr>
              <w:t>0.006%</w:t>
            </w:r>
          </w:p>
        </w:tc>
        <w:tc>
          <w:tcPr>
            <w:tcW w:w="1098" w:type="pct"/>
            <w:tcBorders>
              <w:top w:val="single" w:color="000000" w:sz="4" w:space="0"/>
              <w:left w:val="single" w:color="000000" w:sz="4" w:space="0"/>
              <w:bottom w:val="single" w:color="000000" w:sz="4" w:space="0"/>
              <w:right w:val="single" w:color="000000" w:sz="4" w:space="0"/>
            </w:tcBorders>
          </w:tcPr>
          <w:p w14:paraId="4F572937">
            <w:pPr>
              <w:jc w:val="center"/>
              <w:rPr>
                <w:rFonts w:ascii="宋体" w:hAnsi="宋体" w:eastAsia="宋体"/>
                <w:sz w:val="24"/>
                <w:szCs w:val="24"/>
              </w:rPr>
            </w:pPr>
            <w:r>
              <w:rPr>
                <w:rFonts w:ascii="宋体" w:hAnsi="宋体" w:eastAsia="宋体"/>
                <w:sz w:val="24"/>
                <w:szCs w:val="24"/>
              </w:rPr>
              <w:t>0.006%</w:t>
            </w:r>
          </w:p>
        </w:tc>
      </w:tr>
      <w:tr w14:paraId="2336A8C5">
        <w:tblPrEx>
          <w:tblCellMar>
            <w:top w:w="15" w:type="dxa"/>
            <w:left w:w="15" w:type="dxa"/>
            <w:bottom w:w="15" w:type="dxa"/>
            <w:right w:w="15" w:type="dxa"/>
          </w:tblCellMar>
        </w:tblPrEx>
        <w:trPr>
          <w:trHeight w:val="20" w:hRule="atLeast"/>
        </w:trPr>
        <w:tc>
          <w:tcPr>
            <w:tcW w:w="1781" w:type="pct"/>
            <w:tcBorders>
              <w:top w:val="single" w:color="000000" w:sz="4" w:space="0"/>
              <w:left w:val="single" w:color="000000" w:sz="4" w:space="0"/>
              <w:bottom w:val="single" w:color="000000" w:sz="4" w:space="0"/>
              <w:right w:val="single" w:color="000000" w:sz="4" w:space="0"/>
            </w:tcBorders>
          </w:tcPr>
          <w:p w14:paraId="4B060990">
            <w:pPr>
              <w:jc w:val="center"/>
              <w:rPr>
                <w:rFonts w:ascii="宋体" w:hAnsi="宋体" w:eastAsia="宋体"/>
                <w:sz w:val="24"/>
                <w:szCs w:val="24"/>
              </w:rPr>
            </w:pPr>
            <w:r>
              <w:rPr>
                <w:rFonts w:ascii="宋体" w:hAnsi="宋体" w:eastAsia="宋体"/>
                <w:sz w:val="24"/>
                <w:szCs w:val="24"/>
              </w:rPr>
              <w:t>1000000</w:t>
            </w:r>
            <w:r>
              <w:rPr>
                <w:rFonts w:hint="eastAsia" w:ascii="宋体" w:hAnsi="宋体" w:eastAsia="宋体"/>
                <w:sz w:val="24"/>
                <w:szCs w:val="24"/>
              </w:rPr>
              <w:t>以上</w:t>
            </w:r>
          </w:p>
        </w:tc>
        <w:tc>
          <w:tcPr>
            <w:tcW w:w="1022" w:type="pct"/>
            <w:tcBorders>
              <w:top w:val="single" w:color="000000" w:sz="4" w:space="0"/>
              <w:left w:val="single" w:color="000000" w:sz="4" w:space="0"/>
              <w:bottom w:val="single" w:color="000000" w:sz="4" w:space="0"/>
              <w:right w:val="single" w:color="000000" w:sz="4" w:space="0"/>
            </w:tcBorders>
          </w:tcPr>
          <w:p w14:paraId="78102E76">
            <w:pPr>
              <w:jc w:val="center"/>
              <w:rPr>
                <w:rFonts w:ascii="宋体" w:hAnsi="宋体" w:eastAsia="宋体"/>
                <w:sz w:val="24"/>
                <w:szCs w:val="24"/>
              </w:rPr>
            </w:pPr>
            <w:r>
              <w:rPr>
                <w:rFonts w:ascii="宋体" w:hAnsi="宋体" w:eastAsia="宋体"/>
                <w:sz w:val="24"/>
                <w:szCs w:val="24"/>
              </w:rPr>
              <w:t>0.004%</w:t>
            </w:r>
          </w:p>
        </w:tc>
        <w:tc>
          <w:tcPr>
            <w:tcW w:w="1098" w:type="pct"/>
            <w:tcBorders>
              <w:top w:val="single" w:color="000000" w:sz="4" w:space="0"/>
              <w:left w:val="single" w:color="000000" w:sz="4" w:space="0"/>
              <w:bottom w:val="single" w:color="000000" w:sz="4" w:space="0"/>
              <w:right w:val="single" w:color="000000" w:sz="4" w:space="0"/>
            </w:tcBorders>
          </w:tcPr>
          <w:p w14:paraId="0B5696BD">
            <w:pPr>
              <w:jc w:val="center"/>
              <w:rPr>
                <w:rFonts w:ascii="宋体" w:hAnsi="宋体" w:eastAsia="宋体"/>
                <w:sz w:val="24"/>
                <w:szCs w:val="24"/>
              </w:rPr>
            </w:pPr>
            <w:r>
              <w:rPr>
                <w:rFonts w:ascii="宋体" w:hAnsi="宋体" w:eastAsia="宋体"/>
                <w:sz w:val="24"/>
                <w:szCs w:val="24"/>
              </w:rPr>
              <w:t>0.004%</w:t>
            </w:r>
          </w:p>
        </w:tc>
        <w:tc>
          <w:tcPr>
            <w:tcW w:w="1098" w:type="pct"/>
            <w:tcBorders>
              <w:top w:val="single" w:color="000000" w:sz="4" w:space="0"/>
              <w:left w:val="single" w:color="000000" w:sz="4" w:space="0"/>
              <w:bottom w:val="single" w:color="000000" w:sz="4" w:space="0"/>
              <w:right w:val="single" w:color="000000" w:sz="4" w:space="0"/>
            </w:tcBorders>
          </w:tcPr>
          <w:p w14:paraId="58724CFB">
            <w:pPr>
              <w:jc w:val="center"/>
              <w:rPr>
                <w:rFonts w:ascii="宋体" w:hAnsi="宋体" w:eastAsia="宋体"/>
                <w:sz w:val="24"/>
                <w:szCs w:val="24"/>
              </w:rPr>
            </w:pPr>
            <w:r>
              <w:rPr>
                <w:rFonts w:ascii="宋体" w:hAnsi="宋体" w:eastAsia="宋体"/>
                <w:sz w:val="24"/>
                <w:szCs w:val="24"/>
              </w:rPr>
              <w:t>0.004%</w:t>
            </w:r>
          </w:p>
        </w:tc>
      </w:tr>
      <w:bookmarkEnd w:id="0"/>
    </w:tbl>
    <w:p w14:paraId="17EE2FBA">
      <w:pPr>
        <w:spacing w:line="360" w:lineRule="auto"/>
        <w:ind w:left="126" w:leftChars="60" w:firstLine="420" w:firstLineChars="200"/>
        <w:rPr>
          <w:rFonts w:ascii="宋体" w:hAnsi="宋体"/>
          <w:sz w:val="21"/>
          <w:szCs w:val="21"/>
        </w:rPr>
      </w:pPr>
      <w:r>
        <w:rPr>
          <w:rFonts w:ascii="宋体" w:eastAsia="宋体"/>
        </w:rPr>
        <w:br w:type="textWrapping"/>
      </w:r>
      <w:r>
        <w:rPr>
          <w:rFonts w:hint="eastAsia" w:ascii="宋体" w:eastAsia="宋体"/>
          <w:lang w:val="en-US" w:eastAsia="zh-CN"/>
        </w:rPr>
        <w:t>例：</w:t>
      </w:r>
      <w:r>
        <w:rPr>
          <w:rFonts w:hint="eastAsia" w:ascii="宋体" w:hAnsi="宋体"/>
          <w:sz w:val="21"/>
          <w:szCs w:val="21"/>
        </w:rPr>
        <w:t>如（</w:t>
      </w:r>
      <w:r>
        <w:rPr>
          <w:rFonts w:hint="eastAsia" w:ascii="宋体" w:hAnsi="宋体" w:eastAsia="宋体"/>
          <w:sz w:val="21"/>
          <w:szCs w:val="21"/>
          <w:lang w:val="en-US" w:eastAsia="zh-CN"/>
        </w:rPr>
        <w:t>服务类</w:t>
      </w:r>
      <w:r>
        <w:rPr>
          <w:rFonts w:hint="eastAsia" w:ascii="宋体" w:hAnsi="宋体"/>
          <w:sz w:val="21"/>
          <w:szCs w:val="21"/>
        </w:rPr>
        <w:t>招标）</w:t>
      </w:r>
      <w:r>
        <w:rPr>
          <w:rFonts w:hint="eastAsia" w:ascii="宋体" w:hAnsi="宋体"/>
          <w:sz w:val="21"/>
          <w:szCs w:val="21"/>
          <w:lang w:val="en-US" w:eastAsia="zh-CN"/>
        </w:rPr>
        <w:t>中标</w:t>
      </w:r>
      <w:r>
        <w:rPr>
          <w:rFonts w:hint="eastAsia" w:ascii="宋体" w:hAnsi="宋体"/>
          <w:sz w:val="21"/>
          <w:szCs w:val="21"/>
        </w:rPr>
        <w:t>金额为</w:t>
      </w:r>
      <w:r>
        <w:rPr>
          <w:rFonts w:hint="eastAsia" w:ascii="宋体" w:hAnsi="宋体" w:eastAsia="宋体"/>
          <w:sz w:val="21"/>
          <w:szCs w:val="21"/>
          <w:lang w:val="en-US" w:eastAsia="zh-CN"/>
        </w:rPr>
        <w:t>500</w:t>
      </w:r>
      <w:r>
        <w:rPr>
          <w:rFonts w:hint="eastAsia" w:ascii="宋体" w:hAnsi="宋体"/>
          <w:sz w:val="21"/>
          <w:szCs w:val="21"/>
        </w:rPr>
        <w:t>万元，计算代理服务费如下：</w:t>
      </w:r>
    </w:p>
    <w:p w14:paraId="08958767">
      <w:pPr>
        <w:spacing w:line="360" w:lineRule="auto"/>
        <w:ind w:left="126" w:leftChars="60" w:firstLine="420" w:firstLineChars="200"/>
        <w:rPr>
          <w:rFonts w:ascii="宋体" w:hAnsi="宋体"/>
          <w:sz w:val="21"/>
          <w:szCs w:val="21"/>
        </w:rPr>
      </w:pPr>
      <w:r>
        <w:rPr>
          <w:rFonts w:ascii="宋体" w:hAnsi="宋体"/>
          <w:sz w:val="21"/>
          <w:szCs w:val="21"/>
        </w:rPr>
        <w:t>100</w:t>
      </w:r>
      <w:r>
        <w:rPr>
          <w:rFonts w:hint="eastAsia" w:ascii="宋体" w:hAnsi="宋体"/>
          <w:sz w:val="21"/>
          <w:szCs w:val="21"/>
        </w:rPr>
        <w:t>万元×</w:t>
      </w:r>
      <w:r>
        <w:rPr>
          <w:rFonts w:ascii="宋体" w:hAnsi="宋体"/>
          <w:sz w:val="21"/>
          <w:szCs w:val="21"/>
        </w:rPr>
        <w:t>1</w:t>
      </w:r>
      <w:r>
        <w:rPr>
          <w:rFonts w:hint="eastAsia" w:ascii="宋体" w:hAnsi="宋体" w:eastAsia="宋体"/>
          <w:sz w:val="21"/>
          <w:szCs w:val="21"/>
          <w:lang w:val="en-US" w:eastAsia="zh-CN"/>
        </w:rPr>
        <w:t>.5</w:t>
      </w:r>
      <w:r>
        <w:rPr>
          <w:rFonts w:ascii="宋体" w:hAnsi="宋体"/>
          <w:sz w:val="21"/>
          <w:szCs w:val="21"/>
        </w:rPr>
        <w:t>%</w:t>
      </w:r>
      <w:r>
        <w:rPr>
          <w:rFonts w:hint="eastAsia" w:ascii="宋体" w:hAnsi="宋体"/>
          <w:sz w:val="21"/>
          <w:szCs w:val="21"/>
        </w:rPr>
        <w:t>＝</w:t>
      </w:r>
      <w:r>
        <w:rPr>
          <w:rFonts w:ascii="宋体" w:hAnsi="宋体"/>
          <w:sz w:val="21"/>
          <w:szCs w:val="21"/>
        </w:rPr>
        <w:t>1</w:t>
      </w:r>
      <w:r>
        <w:rPr>
          <w:rFonts w:hint="eastAsia" w:ascii="宋体" w:hAnsi="宋体" w:eastAsia="宋体"/>
          <w:sz w:val="21"/>
          <w:szCs w:val="21"/>
          <w:lang w:val="en-US" w:eastAsia="zh-CN"/>
        </w:rPr>
        <w:t>.5</w:t>
      </w:r>
      <w:r>
        <w:rPr>
          <w:rFonts w:hint="eastAsia" w:ascii="宋体" w:hAnsi="宋体"/>
          <w:sz w:val="21"/>
          <w:szCs w:val="21"/>
        </w:rPr>
        <w:t>万元</w:t>
      </w:r>
      <w:r>
        <w:rPr>
          <w:rFonts w:ascii="宋体" w:hAnsi="宋体"/>
          <w:sz w:val="21"/>
          <w:szCs w:val="21"/>
        </w:rPr>
        <w:t xml:space="preserve">    </w:t>
      </w:r>
    </w:p>
    <w:p w14:paraId="50D4588D">
      <w:pPr>
        <w:spacing w:line="360" w:lineRule="auto"/>
        <w:ind w:firstLine="420" w:firstLineChars="200"/>
        <w:rPr>
          <w:rFonts w:hint="eastAsia" w:ascii="宋体" w:hAnsi="宋体"/>
          <w:sz w:val="21"/>
          <w:szCs w:val="21"/>
        </w:rPr>
      </w:pPr>
      <w:r>
        <w:rPr>
          <w:rFonts w:hint="eastAsia" w:ascii="宋体" w:hAnsi="宋体"/>
          <w:sz w:val="21"/>
          <w:szCs w:val="21"/>
        </w:rPr>
        <w:t>（</w:t>
      </w:r>
      <w:r>
        <w:rPr>
          <w:rFonts w:hint="eastAsia" w:ascii="宋体" w:hAnsi="宋体" w:eastAsia="宋体"/>
          <w:sz w:val="21"/>
          <w:szCs w:val="21"/>
          <w:lang w:val="en-US" w:eastAsia="zh-CN"/>
        </w:rPr>
        <w:t>100</w:t>
      </w:r>
      <w:r>
        <w:rPr>
          <w:rFonts w:ascii="宋体" w:hAnsi="宋体"/>
          <w:sz w:val="21"/>
          <w:szCs w:val="21"/>
        </w:rPr>
        <w:t>-</w:t>
      </w:r>
      <w:r>
        <w:rPr>
          <w:rFonts w:hint="eastAsia" w:ascii="宋体" w:hAnsi="宋体" w:eastAsia="宋体"/>
          <w:sz w:val="21"/>
          <w:szCs w:val="21"/>
          <w:lang w:val="en-US" w:eastAsia="zh-CN"/>
        </w:rPr>
        <w:t>500</w:t>
      </w:r>
      <w:r>
        <w:rPr>
          <w:rFonts w:hint="eastAsia" w:ascii="宋体" w:hAnsi="宋体"/>
          <w:sz w:val="21"/>
          <w:szCs w:val="21"/>
        </w:rPr>
        <w:t>）万元×</w:t>
      </w:r>
      <w:r>
        <w:rPr>
          <w:rFonts w:hint="eastAsia" w:ascii="宋体" w:hAnsi="宋体" w:eastAsia="宋体"/>
          <w:sz w:val="21"/>
          <w:szCs w:val="21"/>
          <w:lang w:val="en-US" w:eastAsia="zh-CN"/>
        </w:rPr>
        <w:t>0.8</w:t>
      </w:r>
      <w:r>
        <w:rPr>
          <w:rFonts w:ascii="宋体" w:hAnsi="宋体"/>
          <w:sz w:val="21"/>
          <w:szCs w:val="21"/>
        </w:rPr>
        <w:t>%</w:t>
      </w:r>
      <w:r>
        <w:rPr>
          <w:rFonts w:hint="eastAsia" w:ascii="宋体" w:hAnsi="宋体"/>
          <w:sz w:val="21"/>
          <w:szCs w:val="21"/>
        </w:rPr>
        <w:t>＝</w:t>
      </w:r>
      <w:r>
        <w:rPr>
          <w:rFonts w:hint="eastAsia" w:ascii="宋体" w:hAnsi="宋体" w:eastAsia="宋体"/>
          <w:sz w:val="21"/>
          <w:szCs w:val="21"/>
          <w:lang w:val="en-US" w:eastAsia="zh-CN"/>
        </w:rPr>
        <w:t>3.2</w:t>
      </w:r>
      <w:r>
        <w:rPr>
          <w:rFonts w:hint="eastAsia" w:ascii="宋体" w:hAnsi="宋体"/>
          <w:sz w:val="21"/>
          <w:szCs w:val="21"/>
        </w:rPr>
        <w:t>万元</w:t>
      </w:r>
      <w:bookmarkStart w:id="1" w:name="_GoBack"/>
      <w:bookmarkEnd w:id="1"/>
    </w:p>
    <w:p w14:paraId="21929A16">
      <w:pPr>
        <w:spacing w:line="360" w:lineRule="auto"/>
        <w:ind w:firstLine="420" w:firstLineChars="200"/>
        <w:rPr>
          <w:rFonts w:hint="default" w:ascii="宋体" w:hAnsi="宋体" w:eastAsia="宋体"/>
          <w:sz w:val="21"/>
          <w:szCs w:val="21"/>
          <w:lang w:val="en-US" w:eastAsia="zh-CN"/>
        </w:rPr>
      </w:pPr>
      <w:r>
        <w:rPr>
          <w:rFonts w:hint="eastAsia" w:ascii="宋体" w:hAnsi="宋体" w:eastAsia="宋体"/>
          <w:sz w:val="21"/>
          <w:szCs w:val="21"/>
          <w:lang w:eastAsia="zh-CN"/>
        </w:rPr>
        <w:t>（</w:t>
      </w:r>
      <w:r>
        <w:rPr>
          <w:rFonts w:hint="eastAsia" w:ascii="宋体" w:hAnsi="宋体" w:eastAsia="宋体"/>
          <w:sz w:val="21"/>
          <w:szCs w:val="21"/>
          <w:lang w:val="en-US" w:eastAsia="zh-CN"/>
        </w:rPr>
        <w:t>500-1000</w:t>
      </w:r>
      <w:r>
        <w:rPr>
          <w:rFonts w:hint="eastAsia" w:ascii="宋体" w:hAnsi="宋体" w:eastAsia="宋体"/>
          <w:sz w:val="21"/>
          <w:szCs w:val="21"/>
          <w:lang w:eastAsia="zh-CN"/>
        </w:rPr>
        <w:t>）</w:t>
      </w:r>
      <w:r>
        <w:rPr>
          <w:rFonts w:hint="eastAsia" w:ascii="宋体" w:hAnsi="宋体" w:eastAsia="宋体"/>
          <w:sz w:val="21"/>
          <w:szCs w:val="21"/>
          <w:lang w:val="en-US" w:eastAsia="zh-CN"/>
        </w:rPr>
        <w:t>万元</w:t>
      </w:r>
      <w:r>
        <w:rPr>
          <w:rFonts w:hint="eastAsia" w:ascii="宋体" w:hAnsi="宋体"/>
          <w:sz w:val="21"/>
          <w:szCs w:val="21"/>
        </w:rPr>
        <w:t>×</w:t>
      </w:r>
      <w:r>
        <w:rPr>
          <w:rFonts w:ascii="宋体" w:hAnsi="宋体" w:eastAsia="宋体"/>
          <w:sz w:val="24"/>
          <w:szCs w:val="24"/>
        </w:rPr>
        <w:t>0.45%</w:t>
      </w:r>
      <w:r>
        <w:rPr>
          <w:rFonts w:hint="eastAsia" w:ascii="宋体" w:hAnsi="宋体" w:eastAsia="宋体"/>
          <w:sz w:val="24"/>
          <w:szCs w:val="24"/>
          <w:lang w:val="en-US" w:eastAsia="zh-CN"/>
        </w:rPr>
        <w:t>=2.25万元</w:t>
      </w:r>
    </w:p>
    <w:p w14:paraId="55CEE6ED">
      <w:pPr>
        <w:spacing w:line="360" w:lineRule="auto"/>
        <w:ind w:firstLine="420" w:firstLineChars="200"/>
        <w:rPr>
          <w:rFonts w:hint="eastAsia" w:ascii="宋体" w:hAnsi="宋体" w:eastAsia="宋体"/>
          <w:sz w:val="21"/>
          <w:szCs w:val="21"/>
          <w:lang w:val="en-US" w:eastAsia="zh-CN"/>
        </w:rPr>
      </w:pPr>
      <w:r>
        <w:rPr>
          <w:rFonts w:hint="eastAsia" w:ascii="宋体" w:hAnsi="宋体"/>
          <w:sz w:val="21"/>
          <w:szCs w:val="21"/>
        </w:rPr>
        <w:t>合计＝（</w:t>
      </w:r>
      <w:r>
        <w:rPr>
          <w:rFonts w:hint="eastAsia" w:ascii="宋体" w:hAnsi="宋体" w:eastAsia="宋体"/>
          <w:sz w:val="21"/>
          <w:szCs w:val="21"/>
          <w:lang w:val="en-US" w:eastAsia="zh-CN"/>
        </w:rPr>
        <w:t>1.5+3.2+2.25</w:t>
      </w:r>
      <w:r>
        <w:rPr>
          <w:rFonts w:hint="eastAsia" w:ascii="宋体" w:hAnsi="宋体"/>
          <w:sz w:val="21"/>
          <w:szCs w:val="21"/>
        </w:rPr>
        <w:t>）＝</w:t>
      </w:r>
      <w:r>
        <w:rPr>
          <w:rFonts w:hint="eastAsia" w:ascii="宋体" w:hAnsi="宋体" w:eastAsia="宋体"/>
          <w:sz w:val="21"/>
          <w:szCs w:val="21"/>
          <w:lang w:val="en-US" w:eastAsia="zh-CN"/>
        </w:rPr>
        <w:t>6.95</w:t>
      </w:r>
      <w:r>
        <w:rPr>
          <w:rFonts w:hint="eastAsia" w:ascii="宋体" w:hAnsi="宋体"/>
          <w:sz w:val="21"/>
          <w:szCs w:val="21"/>
        </w:rPr>
        <w:t>万元</w:t>
      </w:r>
    </w:p>
    <w:p w14:paraId="7BF29E75"/>
    <w:p w14:paraId="5173F7BE"/>
    <w:p w14:paraId="33A7BE52"/>
    <w:sectPr>
      <w:pgSz w:w="11900" w:h="16840"/>
      <w:pgMar w:top="1259" w:right="1678" w:bottom="238" w:left="1678" w:header="0" w:footer="57" w:gutter="0"/>
      <w:lnNumType w:countBy="0" w:distance="360"/>
      <w:pgNumType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3"/>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wYTA4OTIzMGNkYzBkM2JhNDZhOWExNmM5ZGQ4ZTcifQ=="/>
  </w:docVars>
  <w:rsids>
    <w:rsidRoot w:val="1FEA1FCB"/>
    <w:rsid w:val="01ED0AEA"/>
    <w:rsid w:val="15E15791"/>
    <w:rsid w:val="186C56F3"/>
    <w:rsid w:val="1FCF2C69"/>
    <w:rsid w:val="1FEA1FCB"/>
    <w:rsid w:val="2A785B11"/>
    <w:rsid w:val="2E583FAD"/>
    <w:rsid w:val="323D7DF0"/>
    <w:rsid w:val="460170DC"/>
    <w:rsid w:val="4F495869"/>
    <w:rsid w:val="528154FB"/>
    <w:rsid w:val="5EA902B4"/>
    <w:rsid w:val="6E1360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qFormat/>
    <w:uiPriority w:val="0"/>
    <w:pPr>
      <w:keepNext/>
      <w:keepLines/>
      <w:spacing w:line="360" w:lineRule="auto"/>
      <w:outlineLvl w:val="0"/>
    </w:pPr>
    <w:rPr>
      <w:rFonts w:eastAsia="宋体"/>
      <w:b/>
      <w:bCs/>
      <w:kern w:val="44"/>
      <w:sz w:val="28"/>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Plain Text"/>
    <w:basedOn w:val="1"/>
    <w:qFormat/>
    <w:uiPriority w:val="0"/>
    <w:rPr>
      <w:rFonts w:ascii="宋体" w:hAnsi="Courier New" w:cs="Courier New"/>
      <w:szCs w:val="21"/>
    </w:rPr>
  </w:style>
  <w:style w:type="paragraph" w:styleId="4">
    <w:name w:val="Body Text Indent 3"/>
    <w:basedOn w:val="1"/>
    <w:qFormat/>
    <w:uiPriority w:val="0"/>
    <w:pPr>
      <w:spacing w:line="360" w:lineRule="auto"/>
      <w:ind w:firstLine="783" w:firstLineChars="373"/>
    </w:pPr>
    <w:rPr>
      <w:rFonts w:hAnsi="宋体"/>
      <w:szCs w:val="20"/>
    </w:rPr>
  </w:style>
  <w:style w:type="paragraph" w:customStyle="1" w:styleId="7">
    <w:name w:val="_Style 3"/>
    <w:next w:val="4"/>
    <w:autoRedefine/>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224</Words>
  <Characters>468</Characters>
  <Lines>0</Lines>
  <Paragraphs>0</Paragraphs>
  <TotalTime>2</TotalTime>
  <ScaleCrop>false</ScaleCrop>
  <LinksUpToDate>false</LinksUpToDate>
  <CharactersWithSpaces>472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2024-03-22T08:28:00Z</dcterms:created>
  <dc:creator>ZHJH</dc:creator>
  <cp:lastModifiedBy>ZHJH</cp:lastModifiedBy>
  <dcterms:modified xsi:type="dcterms:W3CDTF">2025-09-04T04:03:08Z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A066B6987C074DCDBED237DEDB1B2533_11</vt:lpwstr>
  </property>
  <property fmtid="{D5CDD505-2E9C-101B-9397-08002B2CF9AE}" pid="4" name="KSOTemplateDocerSaveRecord">
    <vt:lpwstr>eyJoZGlkIjoiZGQ1ZmQ2MTJkN2UzYzQ1ZWFhNTliYTYyNmJiNzk5ZDEiLCJ1c2VySWQiOiI1NjU1MTMyMDEifQ==</vt:lpwstr>
  </property>
</Properties>
</file>