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CD58E">
      <w:pPr>
        <w:pageBreakBefore w:val="0"/>
        <w:wordWrap/>
        <w:topLinePunct w:val="0"/>
        <w:bidi w:val="0"/>
        <w:snapToGrid w:val="0"/>
        <w:spacing w:line="360" w:lineRule="auto"/>
        <w:jc w:val="center"/>
        <w:outlineLvl w:val="0"/>
        <w:rPr>
          <w:b/>
          <w:color w:val="auto"/>
          <w:sz w:val="36"/>
          <w:szCs w:val="36"/>
          <w:highlight w:val="none"/>
        </w:rPr>
      </w:pPr>
      <w:bookmarkStart w:id="0" w:name="_Toc21308"/>
      <w:bookmarkStart w:id="1" w:name="_Toc179975747"/>
      <w:r>
        <w:rPr>
          <w:b/>
          <w:color w:val="auto"/>
          <w:sz w:val="36"/>
          <w:szCs w:val="36"/>
          <w:highlight w:val="none"/>
        </w:rPr>
        <w:t>第五章   采购需求</w:t>
      </w:r>
      <w:bookmarkEnd w:id="0"/>
      <w:bookmarkEnd w:id="1"/>
    </w:p>
    <w:p w14:paraId="72E1F8D1">
      <w:pPr>
        <w:pageBreakBefore w:val="0"/>
        <w:wordWrap/>
        <w:topLinePunct w:val="0"/>
        <w:bidi w:val="0"/>
        <w:snapToGrid w:val="0"/>
        <w:spacing w:line="360" w:lineRule="auto"/>
        <w:rPr>
          <w:rFonts w:hint="eastAsia" w:ascii="黑体" w:hAnsi="黑体" w:eastAsia="黑体" w:cs="黑体"/>
          <w:b w:val="0"/>
          <w:bCs w:val="0"/>
          <w:color w:val="auto"/>
          <w:sz w:val="36"/>
          <w:szCs w:val="36"/>
          <w:highlight w:val="none"/>
        </w:rPr>
      </w:pPr>
      <w:r>
        <w:rPr>
          <w:rFonts w:hint="eastAsia" w:ascii="黑体" w:hAnsi="黑体" w:eastAsia="黑体" w:cs="黑体"/>
          <w:b w:val="0"/>
          <w:bCs w:val="0"/>
          <w:color w:val="auto"/>
          <w:sz w:val="36"/>
          <w:szCs w:val="36"/>
          <w:highlight w:val="none"/>
        </w:rPr>
        <w:t>说明：</w:t>
      </w:r>
    </w:p>
    <w:p w14:paraId="43154C26">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1.当采购项目涉及政务信息系统时，采购需求应当符合《政务信息系统政府采购管理</w:t>
      </w:r>
      <w:bookmarkStart w:id="2" w:name="_GoBack"/>
      <w:bookmarkEnd w:id="2"/>
      <w:r>
        <w:rPr>
          <w:rFonts w:hint="eastAsia" w:ascii="黑体" w:hAnsi="黑体" w:eastAsia="黑体" w:cs="黑体"/>
          <w:b w:val="0"/>
          <w:bCs w:val="0"/>
          <w:color w:val="auto"/>
          <w:sz w:val="32"/>
          <w:szCs w:val="32"/>
          <w:highlight w:val="none"/>
        </w:rPr>
        <w:t>暂行办法》（财库〔2017〕210 号）的相关要求。</w:t>
      </w:r>
    </w:p>
    <w:p w14:paraId="04253818">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2.采购人及采购代理机构应关注财政部门会同有关部门制定发布的需求标准，结合具体应用场景，根据对应《需求标准》确定采购需求。</w:t>
      </w:r>
    </w:p>
    <w:p w14:paraId="3A9AB027">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已发布的需求标准如下：</w:t>
      </w:r>
    </w:p>
    <w:p w14:paraId="2329D24E">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《关于印发〈商品包装政府采购需求标准（试行）〉、〈快递包装政府采购需求标准（试</w:t>
      </w:r>
    </w:p>
    <w:p w14:paraId="439D9B0E">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行）〉的通知》（财办库﹝2020﹞123 号））</w:t>
      </w:r>
    </w:p>
    <w:p w14:paraId="70442B3C">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《绿色数据中心政府采购需求标准（试行）》（财库〔2023〕7 号）</w:t>
      </w:r>
    </w:p>
    <w:p w14:paraId="26AE66D2">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《台式计算机政府采购需求标准（2023 年版）》（财库〔2023〕29 号）</w:t>
      </w:r>
    </w:p>
    <w:p w14:paraId="1F2BEBD2">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《便携式计算机政府采购需求标准（2023 年版）》（财库〔2023〕30 号）</w:t>
      </w:r>
    </w:p>
    <w:p w14:paraId="763DA8DE">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《一体式计算机政府采购需求标准（2023 年版）》（财库〔2023〕31 号）</w:t>
      </w:r>
    </w:p>
    <w:p w14:paraId="7CD3C420">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《工作站政府采购需求标准（2023 年版）》（财库〔2023〕32 号）</w:t>
      </w:r>
    </w:p>
    <w:p w14:paraId="12CD77E4">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《通用服务器政府采购需求标准（2023 年版）》（财库〔2023〕33 号）</w:t>
      </w:r>
    </w:p>
    <w:p w14:paraId="04FF97DB">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《操作系统政府采购需求标准（2023 年版）》（财库〔2023〕34 号）</w:t>
      </w:r>
    </w:p>
    <w:p w14:paraId="58616514">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《数据库政府采购需求标准（2023 年版）》（财库〔2023〕35 号）</w:t>
      </w:r>
    </w:p>
    <w:p w14:paraId="7D2CF3E1">
      <w:pPr>
        <w:pageBreakBefore w:val="0"/>
        <w:wordWrap/>
        <w:topLinePunct w:val="0"/>
        <w:bidi w:val="0"/>
        <w:snapToGrid w:val="0"/>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《物业管理服务政府采购需求标准（办公场所类）（试行）》（财办库〔2024〕113 号）</w:t>
      </w:r>
    </w:p>
    <w:p w14:paraId="2629B1A1">
      <w:pPr>
        <w:pStyle w:val="7"/>
        <w:pageBreakBefore w:val="0"/>
        <w:numPr>
          <w:ilvl w:val="0"/>
          <w:numId w:val="0"/>
        </w:numPr>
        <w:wordWrap/>
        <w:topLinePunct w:val="0"/>
        <w:bidi w:val="0"/>
        <w:snapToGrid w:val="0"/>
        <w:spacing w:line="360" w:lineRule="auto"/>
        <w:ind w:leftChars="0"/>
        <w:contextualSpacing/>
        <w:rPr>
          <w:rFonts w:hint="eastAsia" w:ascii="黑体" w:hAnsi="黑体" w:eastAsia="黑体" w:cs="黑体"/>
          <w:b w:val="0"/>
          <w:bCs w:val="0"/>
          <w:color w:val="auto"/>
          <w:sz w:val="32"/>
          <w:szCs w:val="32"/>
          <w:highlight w:val="none"/>
          <w:lang w:eastAsia="zh-CN"/>
        </w:rPr>
      </w:pPr>
      <w:r>
        <w:rPr>
          <w:rFonts w:hint="eastAsia" w:ascii="黑体" w:hAnsi="黑体" w:eastAsia="黑体" w:cs="黑体"/>
          <w:b w:val="0"/>
          <w:bCs w:val="0"/>
          <w:color w:val="auto"/>
          <w:sz w:val="32"/>
          <w:szCs w:val="32"/>
          <w:highlight w:val="none"/>
        </w:rPr>
        <w:t>如有更新或增加，以财政部门发布为准。</w:t>
      </w:r>
    </w:p>
    <w:p w14:paraId="054B4394">
      <w:pPr>
        <w:pStyle w:val="7"/>
        <w:pageBreakBefore w:val="0"/>
        <w:numPr>
          <w:ilvl w:val="0"/>
          <w:numId w:val="0"/>
        </w:numPr>
        <w:wordWrap/>
        <w:topLinePunct w:val="0"/>
        <w:bidi w:val="0"/>
        <w:snapToGrid w:val="0"/>
        <w:spacing w:line="360" w:lineRule="auto"/>
        <w:ind w:leftChars="0"/>
        <w:contextualSpacing/>
        <w:rPr>
          <w:rFonts w:hint="eastAsia" w:ascii="仿宋" w:hAnsi="仿宋" w:eastAsia="仿宋" w:cs="仿宋"/>
          <w:b/>
          <w:color w:val="auto"/>
          <w:sz w:val="24"/>
          <w:szCs w:val="24"/>
          <w:highlight w:val="none"/>
          <w:lang w:eastAsia="zh-CN"/>
        </w:rPr>
      </w:pPr>
    </w:p>
    <w:p w14:paraId="4347FFA1">
      <w:pPr>
        <w:pageBreakBefore w:val="0"/>
        <w:wordWrap/>
        <w:topLinePunct w:val="0"/>
        <w:bidi w:val="0"/>
        <w:snapToGrid w:val="0"/>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38D6AAD5">
      <w:pPr>
        <w:pStyle w:val="7"/>
        <w:numPr>
          <w:ilvl w:val="0"/>
          <w:numId w:val="0"/>
        </w:numPr>
        <w:snapToGrid w:val="0"/>
        <w:spacing w:line="360" w:lineRule="auto"/>
        <w:ind w:leftChars="0"/>
        <w:contextualSpacing/>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一、</w:t>
      </w:r>
      <w:r>
        <w:rPr>
          <w:rFonts w:hint="eastAsia" w:ascii="仿宋" w:hAnsi="仿宋" w:eastAsia="仿宋" w:cs="仿宋"/>
          <w:b/>
          <w:color w:val="auto"/>
          <w:sz w:val="28"/>
          <w:szCs w:val="28"/>
        </w:rPr>
        <w:t>采购标的</w:t>
      </w:r>
    </w:p>
    <w:p w14:paraId="5D19215E">
      <w:pPr>
        <w:snapToGrid w:val="0"/>
        <w:spacing w:line="360" w:lineRule="auto"/>
        <w:contextualSpacing/>
        <w:rPr>
          <w:rFonts w:hint="eastAsia" w:ascii="仿宋" w:hAnsi="仿宋" w:eastAsia="仿宋" w:cs="仿宋"/>
          <w:bCs/>
          <w:color w:val="auto"/>
          <w:sz w:val="28"/>
          <w:szCs w:val="28"/>
        </w:rPr>
      </w:pPr>
      <w:r>
        <w:rPr>
          <w:rFonts w:hint="eastAsia" w:ascii="仿宋" w:hAnsi="仿宋" w:eastAsia="仿宋" w:cs="仿宋"/>
          <w:bCs/>
          <w:color w:val="auto"/>
          <w:sz w:val="28"/>
          <w:szCs w:val="28"/>
        </w:rPr>
        <w:t>1. 采购标的（货物需求一览表或简要服务内容及数量）</w:t>
      </w:r>
    </w:p>
    <w:p w14:paraId="57551DF2">
      <w:pPr>
        <w:snapToGrid w:val="0"/>
        <w:spacing w:line="360" w:lineRule="auto"/>
        <w:contextualSpacing/>
        <w:rPr>
          <w:rFonts w:hint="eastAsia" w:ascii="仿宋" w:hAnsi="仿宋" w:eastAsia="仿宋" w:cs="仿宋"/>
          <w:bCs/>
          <w:color w:val="auto"/>
          <w:sz w:val="28"/>
          <w:szCs w:val="28"/>
        </w:rPr>
      </w:pPr>
      <w:r>
        <w:rPr>
          <w:rFonts w:hint="eastAsia" w:ascii="仿宋" w:hAnsi="仿宋" w:eastAsia="仿宋" w:cs="仿宋"/>
          <w:bCs/>
          <w:color w:val="auto"/>
          <w:sz w:val="28"/>
          <w:szCs w:val="28"/>
        </w:rPr>
        <w:t>说明：如接受进口产品，需标明。</w:t>
      </w:r>
    </w:p>
    <w:tbl>
      <w:tblPr>
        <w:tblStyle w:val="4"/>
        <w:tblpPr w:leftFromText="180" w:rightFromText="180" w:vertAnchor="text" w:horzAnchor="page" w:tblpX="1797" w:tblpY="433"/>
        <w:tblOverlap w:val="never"/>
        <w:tblW w:w="81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93"/>
        <w:gridCol w:w="3867"/>
        <w:gridCol w:w="646"/>
        <w:gridCol w:w="1077"/>
        <w:gridCol w:w="1737"/>
      </w:tblGrid>
      <w:tr w14:paraId="2505C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E85058">
            <w:pPr>
              <w:keepNext w:val="0"/>
              <w:keepLines w:val="0"/>
              <w:widowControl/>
              <w:suppressLineNumbers w:val="0"/>
              <w:tabs>
                <w:tab w:val="left" w:pos="520"/>
              </w:tabs>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序号</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C7A66">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产品名称</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FE8D7">
            <w:pPr>
              <w:keepNext w:val="0"/>
              <w:keepLines w:val="0"/>
              <w:widowControl/>
              <w:suppressLineNumbers w:val="0"/>
              <w:tabs>
                <w:tab w:val="left" w:pos="265"/>
              </w:tabs>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单位</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64255">
            <w:pPr>
              <w:keepNext w:val="0"/>
              <w:keepLines w:val="0"/>
              <w:widowControl/>
              <w:suppressLineNumbers w:val="0"/>
              <w:tabs>
                <w:tab w:val="left" w:pos="431"/>
              </w:tabs>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数量</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A88E0">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是否接受进口产品</w:t>
            </w:r>
          </w:p>
        </w:tc>
      </w:tr>
      <w:tr w14:paraId="7DE84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D4C544">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rPr>
            </w:pPr>
            <w:r>
              <w:rPr>
                <w:rFonts w:hint="eastAsia" w:ascii="仿宋" w:hAnsi="仿宋" w:eastAsia="仿宋" w:cs="仿宋"/>
                <w:i w:val="0"/>
                <w:color w:val="auto"/>
                <w:kern w:val="0"/>
                <w:sz w:val="28"/>
                <w:szCs w:val="28"/>
                <w:u w:val="none"/>
                <w:lang w:val="en-US" w:eastAsia="zh-CN" w:bidi="ar"/>
              </w:rPr>
              <w:t>1</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0BCA4">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X射线安全检查设备</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CA914">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EE2CDE">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2C654">
            <w:pPr>
              <w:keepNext w:val="0"/>
              <w:keepLines w:val="0"/>
              <w:widowControl/>
              <w:suppressLineNumbers w:val="0"/>
              <w:snapToGrid w:val="0"/>
              <w:spacing w:line="360" w:lineRule="auto"/>
              <w:jc w:val="center"/>
              <w:textAlignment w:val="center"/>
              <w:rPr>
                <w:rFonts w:hint="default"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r w14:paraId="68C6C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E3656E">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2</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896976">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通过式金属探测门</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E902C">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298E3A">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8B610">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r w14:paraId="22D83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CA9F65">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3</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7B4BC8">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手持式金属探测器</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1CAF1">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BA6FB">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B4F4B">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r w14:paraId="23E2A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F6E86A">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4</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07822">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便携式干扰仪</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6182E">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6EE20">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6B777">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r w14:paraId="291D9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6D2C86">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5</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6A2A1">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大功率全频段干扰设备</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DC6F10">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64888">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4BD7D">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r w14:paraId="3AF38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A35A70C">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6</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67E9D">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伸缩臂检查镜</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447995">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37DD1A">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D36400">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r w14:paraId="20D0A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CC866A1">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7</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8CA4DF">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防爆球</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807E28">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13E3E">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3A86A">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r w14:paraId="5029B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CAEE73">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8</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1D82C">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防爆安检教具</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40E4F">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6AB9AC">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4D96F">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r w14:paraId="2B128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2"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9CB6E5">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9</w:t>
            </w:r>
          </w:p>
        </w:tc>
        <w:tc>
          <w:tcPr>
            <w:tcW w:w="3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32233">
            <w:pPr>
              <w:keepNext w:val="0"/>
              <w:keepLines w:val="0"/>
              <w:pageBreakBefore w:val="0"/>
              <w:widowControl/>
              <w:suppressLineNumbers w:val="0"/>
              <w:wordWrap/>
              <w:topLinePunct w:val="0"/>
              <w:bidi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default" w:ascii="仿宋" w:hAnsi="仿宋" w:eastAsia="仿宋" w:cs="仿宋"/>
                <w:i w:val="0"/>
                <w:iCs w:val="0"/>
                <w:color w:val="auto"/>
                <w:kern w:val="2"/>
                <w:sz w:val="28"/>
                <w:szCs w:val="28"/>
                <w:highlight w:val="none"/>
                <w:u w:val="none"/>
                <w:lang w:val="en-US" w:eastAsia="zh-CN" w:bidi="ar"/>
              </w:rPr>
              <w:t>非线性节点探测器</w:t>
            </w:r>
          </w:p>
        </w:tc>
        <w:tc>
          <w:tcPr>
            <w:tcW w:w="6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BE147F">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sz w:val="28"/>
                <w:szCs w:val="28"/>
                <w:u w:val="none"/>
                <w:lang w:val="en-US" w:eastAsia="zh-CN"/>
              </w:rPr>
              <w:t>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99F39">
            <w:pPr>
              <w:keepNext w:val="0"/>
              <w:keepLines w:val="0"/>
              <w:widowControl/>
              <w:suppressLineNumbers w:val="0"/>
              <w:snapToGrid w:val="0"/>
              <w:spacing w:line="360" w:lineRule="auto"/>
              <w:jc w:val="center"/>
              <w:textAlignment w:val="center"/>
              <w:rPr>
                <w:rFonts w:hint="eastAsia" w:ascii="仿宋" w:hAnsi="仿宋" w:eastAsia="仿宋" w:cs="仿宋"/>
                <w:i w:val="0"/>
                <w:color w:val="auto"/>
                <w:sz w:val="28"/>
                <w:szCs w:val="28"/>
                <w:u w:val="none"/>
                <w:lang w:val="en-US" w:eastAsia="zh-CN"/>
              </w:rPr>
            </w:pPr>
            <w:r>
              <w:rPr>
                <w:rFonts w:hint="eastAsia" w:ascii="仿宋" w:hAnsi="仿宋" w:eastAsia="仿宋" w:cs="仿宋"/>
                <w:i w:val="0"/>
                <w:color w:val="auto"/>
                <w:kern w:val="0"/>
                <w:sz w:val="28"/>
                <w:szCs w:val="28"/>
                <w:u w:val="none"/>
                <w:lang w:val="en-US" w:eastAsia="zh-CN" w:bidi="ar"/>
              </w:rPr>
              <w:t>2</w:t>
            </w:r>
          </w:p>
        </w:tc>
        <w:tc>
          <w:tcPr>
            <w:tcW w:w="1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4ECEB">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否</w:t>
            </w:r>
          </w:p>
        </w:tc>
      </w:tr>
    </w:tbl>
    <w:p w14:paraId="57003F4C">
      <w:pPr>
        <w:snapToGrid w:val="0"/>
        <w:spacing w:line="360" w:lineRule="auto"/>
        <w:contextualSpacing/>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二、商务要求</w:t>
      </w:r>
    </w:p>
    <w:p w14:paraId="2527FB31">
      <w:pPr>
        <w:snapToGrid w:val="0"/>
        <w:spacing w:line="360" w:lineRule="auto"/>
        <w:contextualSpacing/>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1.实施的时间和地点</w:t>
      </w:r>
    </w:p>
    <w:p w14:paraId="3220D3CE">
      <w:pPr>
        <w:snapToGrid w:val="0"/>
        <w:spacing w:line="360" w:lineRule="auto"/>
        <w:contextualSpacing/>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val="en-US" w:eastAsia="zh-CN"/>
        </w:rPr>
        <w:t>1.1</w:t>
      </w:r>
      <w:r>
        <w:rPr>
          <w:rFonts w:hint="eastAsia" w:ascii="仿宋" w:hAnsi="仿宋" w:eastAsia="仿宋" w:cs="仿宋"/>
          <w:bCs/>
          <w:color w:val="auto"/>
          <w:sz w:val="28"/>
          <w:szCs w:val="28"/>
          <w:lang w:eastAsia="zh-CN"/>
        </w:rPr>
        <w:t>实施时间：自本合同签订生效之日起</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lang w:eastAsia="zh-CN"/>
        </w:rPr>
        <w:t>0个日历日内，</w:t>
      </w:r>
      <w:r>
        <w:rPr>
          <w:rFonts w:hint="eastAsia" w:ascii="仿宋" w:hAnsi="仿宋" w:eastAsia="仿宋" w:cs="仿宋"/>
          <w:bCs/>
          <w:color w:val="auto"/>
          <w:sz w:val="28"/>
          <w:szCs w:val="28"/>
          <w:lang w:val="en-US" w:eastAsia="zh-CN"/>
        </w:rPr>
        <w:t>中标人</w:t>
      </w:r>
      <w:r>
        <w:rPr>
          <w:rFonts w:hint="eastAsia" w:ascii="仿宋" w:hAnsi="仿宋" w:eastAsia="仿宋" w:cs="仿宋"/>
          <w:bCs/>
          <w:color w:val="auto"/>
          <w:sz w:val="28"/>
          <w:szCs w:val="28"/>
          <w:lang w:eastAsia="zh-CN"/>
        </w:rPr>
        <w:t>将合同项下全部货物交付到</w:t>
      </w:r>
      <w:r>
        <w:rPr>
          <w:rFonts w:hint="eastAsia" w:ascii="仿宋" w:hAnsi="仿宋" w:eastAsia="仿宋" w:cs="仿宋"/>
          <w:bCs/>
          <w:color w:val="auto"/>
          <w:sz w:val="28"/>
          <w:szCs w:val="28"/>
          <w:lang w:val="en-US" w:eastAsia="zh-CN"/>
        </w:rPr>
        <w:t>采购人</w:t>
      </w:r>
      <w:r>
        <w:rPr>
          <w:rFonts w:hint="eastAsia" w:ascii="仿宋" w:hAnsi="仿宋" w:eastAsia="仿宋" w:cs="仿宋"/>
          <w:bCs/>
          <w:color w:val="auto"/>
          <w:sz w:val="28"/>
          <w:szCs w:val="28"/>
          <w:lang w:eastAsia="zh-CN"/>
        </w:rPr>
        <w:t>指定地点，并完成全部安装调试服务。</w:t>
      </w:r>
    </w:p>
    <w:p w14:paraId="1987C396">
      <w:pPr>
        <w:snapToGrid w:val="0"/>
        <w:spacing w:line="360" w:lineRule="auto"/>
        <w:contextualSpacing/>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val="en-US" w:eastAsia="zh-CN"/>
        </w:rPr>
        <w:t>1.2</w:t>
      </w:r>
      <w:r>
        <w:rPr>
          <w:rFonts w:hint="eastAsia" w:ascii="仿宋" w:hAnsi="仿宋" w:eastAsia="仿宋" w:cs="仿宋"/>
          <w:bCs/>
          <w:color w:val="auto"/>
          <w:sz w:val="28"/>
          <w:szCs w:val="28"/>
          <w:lang w:eastAsia="zh-CN"/>
        </w:rPr>
        <w:t>实施地点：采购人指定地点。</w:t>
      </w:r>
    </w:p>
    <w:p w14:paraId="6251A123">
      <w:pPr>
        <w:pStyle w:val="3"/>
        <w:snapToGrid w:val="0"/>
        <w:spacing w:before="0" w:line="360" w:lineRule="auto"/>
        <w:ind w:left="4"/>
        <w:outlineLvl w:val="2"/>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2.付款条件(进度和方式)</w:t>
      </w:r>
    </w:p>
    <w:p w14:paraId="0B0D9640">
      <w:pPr>
        <w:pStyle w:val="3"/>
        <w:snapToGrid w:val="0"/>
        <w:spacing w:before="0" w:line="360" w:lineRule="auto"/>
        <w:ind w:left="679"/>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详见合同相关规定</w:t>
      </w:r>
    </w:p>
    <w:p w14:paraId="78BD7B28">
      <w:pPr>
        <w:pStyle w:val="3"/>
        <w:snapToGrid w:val="0"/>
        <w:spacing w:before="0" w:line="360" w:lineRule="auto"/>
        <w:ind w:left="24"/>
        <w:outlineLvl w:val="2"/>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3.包装和运输</w:t>
      </w:r>
    </w:p>
    <w:p w14:paraId="34929451">
      <w:pPr>
        <w:pStyle w:val="3"/>
        <w:snapToGrid w:val="0"/>
        <w:spacing w:before="0" w:line="360" w:lineRule="auto"/>
        <w:ind w:left="20" w:right="59"/>
        <w:jc w:val="both"/>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3.1须满足财政部《关于印发《商品包装政府采购需求标准(试行)》、《快递包装政府采购需求标准(试行)》的通知》(财办库(2020)123号)。</w:t>
      </w:r>
    </w:p>
    <w:p w14:paraId="46A752BF">
      <w:pPr>
        <w:pStyle w:val="3"/>
        <w:snapToGrid w:val="0"/>
        <w:spacing w:before="0" w:line="360" w:lineRule="auto"/>
        <w:ind w:left="20" w:right="39"/>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3.2 中标人应提供货物运至合同规定的项目现场所需要的包装，以防止货物在运转中损坏或变质。这类包装应采取防潮、防锈、防晒、防腐蚀、防震动及防止其它损坏的 必要保护措施，从而保护货物能够经受多次搬运、装卸及长途运输。中标人应承担由于其包装或其防护措施不妥而引起的货物锈蚀、损坏和丢失的责任和费用。</w:t>
      </w:r>
    </w:p>
    <w:p w14:paraId="16664A7C">
      <w:pPr>
        <w:pStyle w:val="3"/>
        <w:snapToGrid w:val="0"/>
        <w:spacing w:before="0" w:line="360" w:lineRule="auto"/>
        <w:ind w:left="20" w:right="79"/>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3.3中标人需要在合同规定的到货期前10个日历日，向采购人提供详细的供货清单，由采购人确认。如果由于中标人没有及时通知采购人，由此造成的全部损失由中标人承担 。</w:t>
      </w:r>
    </w:p>
    <w:p w14:paraId="4F0A70DC">
      <w:pPr>
        <w:pStyle w:val="3"/>
        <w:snapToGrid w:val="0"/>
        <w:spacing w:before="0" w:line="360" w:lineRule="auto"/>
        <w:ind w:left="20" w:right="55"/>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3.4 采购人出具的收货证明上的日期为最终交货期(该收货证明登记的日期为交货时间，并非最终验收合格时间)</w:t>
      </w:r>
    </w:p>
    <w:p w14:paraId="0058E2F4">
      <w:pPr>
        <w:pStyle w:val="3"/>
        <w:snapToGrid w:val="0"/>
        <w:spacing w:before="0" w:line="360" w:lineRule="auto"/>
        <w:ind w:left="20" w:right="37"/>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3.5中标人应随货物配套交付</w:t>
      </w:r>
      <w:r>
        <w:rPr>
          <w:rFonts w:hint="eastAsia" w:ascii="仿宋" w:hAnsi="仿宋" w:eastAsia="仿宋" w:cs="仿宋"/>
          <w:sz w:val="28"/>
          <w:szCs w:val="28"/>
          <w:highlight w:val="none"/>
          <w:lang w:val="en-US" w:eastAsia="zh-CN"/>
        </w:rPr>
        <w:t>产品合格证书</w:t>
      </w:r>
      <w:r>
        <w:rPr>
          <w:rFonts w:hint="eastAsia" w:ascii="仿宋" w:hAnsi="仿宋" w:eastAsia="仿宋" w:cs="仿宋"/>
          <w:bCs/>
          <w:color w:val="auto"/>
          <w:kern w:val="2"/>
          <w:sz w:val="28"/>
          <w:szCs w:val="28"/>
          <w:lang w:val="en-US" w:eastAsia="zh-CN" w:bidi="ar-SA"/>
        </w:rPr>
        <w:t>及中文技术资料一套，如目录索引、图纸、源代码存储介质、技术说明书、操作手册、使用指南、维修指南或者服务手册和示意图。</w:t>
      </w:r>
    </w:p>
    <w:p w14:paraId="763ED8ED">
      <w:pPr>
        <w:pStyle w:val="3"/>
        <w:snapToGrid w:val="0"/>
        <w:spacing w:before="0" w:line="360" w:lineRule="auto"/>
        <w:ind w:left="24"/>
        <w:outlineLvl w:val="2"/>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4. 售后服务(质保期)</w:t>
      </w:r>
    </w:p>
    <w:p w14:paraId="63257EAE">
      <w:pPr>
        <w:pStyle w:val="3"/>
        <w:snapToGrid w:val="0"/>
        <w:spacing w:before="0" w:line="360" w:lineRule="auto"/>
        <w:ind w:left="20" w:right="48"/>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4.1中标人保证所供货物是全新的、未使用过和未改装过的，完全符合本项目所规定的质量、规格和性能参数的要求，且货物在其使用寿命期内应具有国家想相关技术标准 规定的性能。在货物使用期寿命内，中标人应对由于设计、工艺或者材料缺陷而发生的任何不足或者故障负责。</w:t>
      </w:r>
    </w:p>
    <w:p w14:paraId="2A973E92">
      <w:pPr>
        <w:pStyle w:val="3"/>
        <w:snapToGrid w:val="0"/>
        <w:spacing w:before="0" w:line="360" w:lineRule="auto"/>
        <w:ind w:left="20" w:right="58"/>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4.2本项目所涉及的设备自安装、调试、最终验收合格之日起质保期不少于3年,终身售后服务，保修期外产品终身维修(如更换硬件，只收取硬件成本费), 软件终身升级，零配件在设备停产后仍保证5年的供应。</w:t>
      </w:r>
    </w:p>
    <w:p w14:paraId="530529CD">
      <w:pPr>
        <w:pStyle w:val="3"/>
        <w:snapToGrid w:val="0"/>
        <w:spacing w:before="0" w:line="360" w:lineRule="auto"/>
        <w:ind w:left="20" w:right="37"/>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4.3在质保期内，如果货物的数量、质量、型号和规格与合同不符，或货物是有缺陷的，包括潜在的缺陷或者使用不符合要求的材料等，采购人有权以书面形式通知中标人，提出索赔。</w:t>
      </w:r>
    </w:p>
    <w:p w14:paraId="7971E748">
      <w:pPr>
        <w:pStyle w:val="3"/>
        <w:snapToGrid w:val="0"/>
        <w:spacing w:before="0" w:line="360" w:lineRule="auto"/>
        <w:ind w:left="20" w:right="37"/>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4.4质保期内中标人提供每周7×24小时电话、现场技术服务。在质保期内，中标人接到采购人通知后，5分钟电话响应，2小时内派技术人员到采购人现场，到现场后 2小时内完成故障检测与排除。如故障货物不能在2小时内修复，中标人提供同等型号的备用货物进行替换，保障采购人的正常业务需求。</w:t>
      </w:r>
    </w:p>
    <w:p w14:paraId="3C79AD13">
      <w:pPr>
        <w:pStyle w:val="3"/>
        <w:snapToGrid w:val="0"/>
        <w:spacing w:before="0" w:line="360" w:lineRule="auto"/>
        <w:ind w:left="23" w:right="45"/>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4.5技术培训：中标人应对采购人人员进行所供设备全面的技术培训，使采购人使用人员能够达到独立进行使用、维护和简单故障处理等工作。具体的培训时间、培训地点、培训方式、培训内容、培训人数由采购人根据实际需求确定，中标人不得再收取任何费用 。</w:t>
      </w:r>
    </w:p>
    <w:p w14:paraId="2E2E8C12">
      <w:pPr>
        <w:pStyle w:val="3"/>
        <w:snapToGrid w:val="0"/>
        <w:spacing w:before="0" w:line="360" w:lineRule="auto"/>
        <w:ind w:left="20" w:right="45"/>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4.6货物到达现场(或货物交付后)后3个工作日内，中标人应将货物配置清单、备件备品及中文技术资料全套提交给采购人。</w:t>
      </w:r>
    </w:p>
    <w:p w14:paraId="4E353A2C">
      <w:pPr>
        <w:pStyle w:val="3"/>
        <w:snapToGrid w:val="0"/>
        <w:spacing w:before="0" w:line="360" w:lineRule="auto"/>
        <w:ind w:left="20" w:right="36"/>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4.7 如果中标人所提供的上述技术资料不完整或在运输过程中丢失，中标人将在收到采购人通知后3个日历日内将这些资料提交给采购人，否则该设备不予接收。</w:t>
      </w:r>
    </w:p>
    <w:p w14:paraId="3F700028">
      <w:pPr>
        <w:pStyle w:val="3"/>
        <w:snapToGrid w:val="0"/>
        <w:spacing w:before="0" w:line="360" w:lineRule="auto"/>
        <w:ind w:left="24"/>
        <w:outlineLvl w:val="2"/>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5. 保险</w:t>
      </w:r>
    </w:p>
    <w:p w14:paraId="1DDD9782">
      <w:pPr>
        <w:pStyle w:val="3"/>
        <w:snapToGrid w:val="0"/>
        <w:spacing w:before="0" w:line="360" w:lineRule="auto"/>
        <w:ind w:left="20" w:firstLine="560" w:firstLineChars="200"/>
        <w:rPr>
          <w:rFonts w:hint="eastAsia" w:ascii="仿宋" w:hAnsi="仿宋" w:eastAsia="仿宋" w:cs="仿宋"/>
          <w:bCs/>
          <w:color w:val="auto"/>
          <w:kern w:val="2"/>
          <w:sz w:val="28"/>
          <w:szCs w:val="28"/>
          <w:lang w:val="en-US" w:eastAsia="zh-CN" w:bidi="ar-SA"/>
        </w:rPr>
      </w:pPr>
      <w:r>
        <w:rPr>
          <w:rFonts w:hint="eastAsia" w:ascii="仿宋" w:hAnsi="仿宋" w:eastAsia="仿宋" w:cs="仿宋"/>
          <w:bCs/>
          <w:color w:val="auto"/>
          <w:kern w:val="2"/>
          <w:sz w:val="28"/>
          <w:szCs w:val="28"/>
          <w:lang w:val="en-US" w:eastAsia="zh-CN" w:bidi="ar-SA"/>
        </w:rPr>
        <w:t>中标人负责运至最终目的地的运输费和保险费，费用包含在投标总价中。</w:t>
      </w:r>
    </w:p>
    <w:p w14:paraId="0166AFA5">
      <w:pPr>
        <w:snapToGrid w:val="0"/>
        <w:spacing w:line="360" w:lineRule="auto"/>
        <w:contextualSpacing/>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 服务内容及要求/货物技术要求</w:t>
      </w:r>
    </w:p>
    <w:p w14:paraId="76E16A9B">
      <w:pPr>
        <w:pStyle w:val="3"/>
        <w:snapToGrid w:val="0"/>
        <w:spacing w:before="0" w:line="360" w:lineRule="auto"/>
        <w:ind w:left="0" w:firstLine="0" w:firstLineChars="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6</w:t>
      </w:r>
      <w:r>
        <w:rPr>
          <w:rFonts w:hint="eastAsia" w:ascii="仿宋" w:hAnsi="仿宋" w:eastAsia="仿宋" w:cs="仿宋"/>
          <w:bCs/>
          <w:color w:val="auto"/>
          <w:sz w:val="28"/>
          <w:szCs w:val="28"/>
          <w:highlight w:val="none"/>
        </w:rPr>
        <w:t>.1采购标的需满足的性能、材料、结构、外观、质量、安全、技术规格、物理特性等要求</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详见本节6.6附表“</w:t>
      </w:r>
      <w:r>
        <w:rPr>
          <w:rFonts w:hint="eastAsia" w:ascii="仿宋" w:hAnsi="仿宋" w:eastAsia="仿宋" w:cs="仿宋"/>
          <w:b/>
          <w:bCs w:val="0"/>
          <w:color w:val="auto"/>
          <w:sz w:val="28"/>
          <w:szCs w:val="28"/>
          <w:highlight w:val="none"/>
          <w:lang w:val="en-US" w:eastAsia="zh-CN"/>
        </w:rPr>
        <w:t>采购标的技术参数</w:t>
      </w:r>
      <w:r>
        <w:rPr>
          <w:rFonts w:hint="eastAsia" w:ascii="仿宋" w:hAnsi="仿宋" w:eastAsia="仿宋" w:cs="仿宋"/>
          <w:bCs/>
          <w:color w:val="auto"/>
          <w:sz w:val="28"/>
          <w:szCs w:val="28"/>
          <w:highlight w:val="none"/>
          <w:lang w:val="en-US" w:eastAsia="zh-CN"/>
        </w:rPr>
        <w:t>”</w:t>
      </w:r>
    </w:p>
    <w:p w14:paraId="691AB6ED">
      <w:pPr>
        <w:pStyle w:val="3"/>
        <w:snapToGrid w:val="0"/>
        <w:spacing w:before="0" w:line="360" w:lineRule="auto"/>
        <w:ind w:left="0" w:firstLine="0" w:firstLineChars="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6</w:t>
      </w:r>
      <w:r>
        <w:rPr>
          <w:rFonts w:hint="eastAsia" w:ascii="仿宋" w:hAnsi="仿宋" w:eastAsia="仿宋" w:cs="仿宋"/>
          <w:bCs/>
          <w:color w:val="auto"/>
          <w:sz w:val="28"/>
          <w:szCs w:val="28"/>
          <w:highlight w:val="none"/>
        </w:rPr>
        <w:t>.2采购标的需满足的服务标准、期限、效率等要求</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详见“二、商务要求”。</w:t>
      </w:r>
    </w:p>
    <w:p w14:paraId="20122900">
      <w:pPr>
        <w:pStyle w:val="3"/>
        <w:snapToGrid w:val="0"/>
        <w:spacing w:before="0" w:line="360" w:lineRule="auto"/>
        <w:ind w:left="0" w:firstLine="0" w:firstLineChars="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6</w:t>
      </w:r>
      <w:r>
        <w:rPr>
          <w:rFonts w:hint="eastAsia" w:ascii="仿宋" w:hAnsi="仿宋" w:eastAsia="仿宋" w:cs="仿宋"/>
          <w:bCs/>
          <w:color w:val="auto"/>
          <w:sz w:val="28"/>
          <w:szCs w:val="28"/>
          <w:highlight w:val="none"/>
        </w:rPr>
        <w:t>.3为落实政府采购政策需满足的要求</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详见本项目招标公告。</w:t>
      </w:r>
    </w:p>
    <w:p w14:paraId="18F5B252">
      <w:pPr>
        <w:pStyle w:val="3"/>
        <w:keepNext w:val="0"/>
        <w:keepLines/>
        <w:pageBreakBefore w:val="0"/>
        <w:widowControl/>
        <w:kinsoku/>
        <w:wordWrap/>
        <w:overflowPunct/>
        <w:topLinePunct w:val="0"/>
        <w:autoSpaceDE/>
        <w:autoSpaceDN/>
        <w:bidi w:val="0"/>
        <w:adjustRightInd/>
        <w:snapToGrid w:val="0"/>
        <w:spacing w:before="0" w:line="360" w:lineRule="auto"/>
        <w:ind w:left="0" w:firstLine="0" w:firstLineChars="0"/>
        <w:contextualSpacing/>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8"/>
          <w:szCs w:val="28"/>
          <w:highlight w:val="none"/>
          <w:lang w:eastAsia="zh-CN"/>
        </w:rPr>
        <w:t>6</w:t>
      </w:r>
      <w:r>
        <w:rPr>
          <w:rFonts w:hint="eastAsia" w:ascii="仿宋" w:hAnsi="仿宋" w:eastAsia="仿宋" w:cs="仿宋"/>
          <w:bCs/>
          <w:color w:val="auto"/>
          <w:sz w:val="28"/>
          <w:szCs w:val="28"/>
          <w:highlight w:val="none"/>
        </w:rPr>
        <w:t>.4采购标的的其他技术、服务等要求</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详见“二、商务要求”</w:t>
      </w:r>
      <w:r>
        <w:rPr>
          <w:rFonts w:hint="eastAsia" w:ascii="仿宋" w:hAnsi="仿宋" w:eastAsia="仿宋" w:cs="仿宋"/>
          <w:color w:val="auto"/>
          <w:sz w:val="28"/>
          <w:szCs w:val="28"/>
          <w:highlight w:val="none"/>
          <w:lang w:eastAsia="zh-CN"/>
        </w:rPr>
        <w:t>。</w:t>
      </w:r>
    </w:p>
    <w:p w14:paraId="36398175">
      <w:pPr>
        <w:pStyle w:val="3"/>
        <w:keepNext w:val="0"/>
        <w:keepLines/>
        <w:pageBreakBefore w:val="0"/>
        <w:widowControl/>
        <w:kinsoku/>
        <w:wordWrap/>
        <w:overflowPunct/>
        <w:topLinePunct w:val="0"/>
        <w:autoSpaceDE/>
        <w:autoSpaceDN/>
        <w:bidi w:val="0"/>
        <w:adjustRightInd/>
        <w:snapToGrid w:val="0"/>
        <w:spacing w:before="0" w:line="360" w:lineRule="auto"/>
        <w:ind w:left="0" w:firstLine="0" w:firstLineChars="0"/>
        <w:contextualSpacing/>
        <w:rPr>
          <w:rFonts w:hint="default" w:ascii="仿宋" w:hAnsi="仿宋" w:eastAsia="仿宋" w:cs="仿宋"/>
          <w:bCs/>
          <w:color w:val="auto"/>
          <w:sz w:val="28"/>
          <w:szCs w:val="28"/>
          <w:lang w:val="en-US"/>
        </w:rPr>
      </w:pPr>
      <w:r>
        <w:rPr>
          <w:rFonts w:hint="eastAsia" w:ascii="仿宋" w:hAnsi="仿宋" w:eastAsia="仿宋" w:cs="仿宋"/>
          <w:bCs/>
          <w:color w:val="auto"/>
          <w:sz w:val="28"/>
          <w:szCs w:val="28"/>
          <w:highlight w:val="none"/>
          <w:lang w:eastAsia="zh-CN"/>
        </w:rPr>
        <w:t>6</w:t>
      </w:r>
      <w:r>
        <w:rPr>
          <w:rFonts w:hint="eastAsia" w:ascii="仿宋" w:hAnsi="仿宋" w:eastAsia="仿宋" w:cs="仿宋"/>
          <w:bCs/>
          <w:color w:val="auto"/>
          <w:sz w:val="28"/>
          <w:szCs w:val="28"/>
          <w:highlight w:val="none"/>
        </w:rPr>
        <w:t>.5需由供应商提供设计方案、解决方案或者组织方案的采购项目，应当说明采购标的的功能、应用场景、目标等基本</w:t>
      </w:r>
      <w:r>
        <w:rPr>
          <w:rFonts w:hint="eastAsia" w:ascii="仿宋" w:hAnsi="仿宋" w:eastAsia="仿宋" w:cs="仿宋"/>
          <w:bCs/>
          <w:color w:val="auto"/>
          <w:sz w:val="28"/>
          <w:szCs w:val="28"/>
          <w:highlight w:val="none"/>
          <w:lang w:val="en-US" w:eastAsia="zh-CN"/>
        </w:rPr>
        <w:t>要求</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供应商应根据本项目实际需求，结合采购标的特点，有针对性的科学合理的制定以下方案，包括但不限于：供货组织方案、售后服务解决方案等。</w:t>
      </w:r>
    </w:p>
    <w:p w14:paraId="15EA54D9">
      <w:pPr>
        <w:pStyle w:val="3"/>
        <w:keepNext w:val="0"/>
        <w:keepLines/>
        <w:pageBreakBefore w:val="0"/>
        <w:widowControl/>
        <w:kinsoku/>
        <w:wordWrap/>
        <w:overflowPunct/>
        <w:topLinePunct w:val="0"/>
        <w:autoSpaceDE/>
        <w:autoSpaceDN/>
        <w:bidi w:val="0"/>
        <w:adjustRightInd/>
        <w:snapToGrid w:val="0"/>
        <w:spacing w:before="0" w:line="360" w:lineRule="auto"/>
        <w:ind w:left="0" w:firstLine="0" w:firstLineChars="0"/>
        <w:contextualSpacing/>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6.6附表：采购标的技术参数</w:t>
      </w:r>
    </w:p>
    <w:tbl>
      <w:tblPr>
        <w:tblStyle w:val="5"/>
        <w:tblpPr w:leftFromText="180" w:rightFromText="180" w:vertAnchor="text" w:horzAnchor="page" w:tblpX="1826" w:tblpY="1786"/>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127"/>
        <w:gridCol w:w="6616"/>
      </w:tblGrid>
      <w:tr w14:paraId="140D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55" w:type="pct"/>
            <w:vAlign w:val="center"/>
          </w:tcPr>
          <w:p w14:paraId="014C7BAC">
            <w:pPr>
              <w:keepNext w:val="0"/>
              <w:keepLines/>
              <w:pageBreakBefore w:val="0"/>
              <w:widowControl/>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kern w:val="0"/>
                <w:sz w:val="28"/>
                <w:szCs w:val="28"/>
                <w:highlight w:val="none"/>
                <w:lang w:eastAsia="zh-CN"/>
              </w:rPr>
              <w:t>序号</w:t>
            </w:r>
          </w:p>
        </w:tc>
        <w:tc>
          <w:tcPr>
            <w:tcW w:w="661" w:type="pct"/>
            <w:vAlign w:val="center"/>
          </w:tcPr>
          <w:p w14:paraId="56ECE120">
            <w:pPr>
              <w:keepNext w:val="0"/>
              <w:keepLines/>
              <w:pageBreakBefore w:val="0"/>
              <w:widowControl/>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kern w:val="0"/>
                <w:sz w:val="28"/>
                <w:szCs w:val="28"/>
                <w:highlight w:val="none"/>
              </w:rPr>
              <w:t>标的名称</w:t>
            </w:r>
          </w:p>
        </w:tc>
        <w:tc>
          <w:tcPr>
            <w:tcW w:w="3882" w:type="pct"/>
            <w:vAlign w:val="center"/>
          </w:tcPr>
          <w:p w14:paraId="2CF8938D">
            <w:pPr>
              <w:keepNext w:val="0"/>
              <w:keepLines/>
              <w:pageBreakBefore w:val="0"/>
              <w:widowControl/>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kern w:val="0"/>
                <w:sz w:val="28"/>
                <w:szCs w:val="28"/>
                <w:highlight w:val="none"/>
                <w:lang w:eastAsia="zh-CN"/>
              </w:rPr>
              <w:t>技术参数</w:t>
            </w:r>
          </w:p>
        </w:tc>
      </w:tr>
      <w:tr w14:paraId="1BFF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10B630C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w:t>
            </w:r>
          </w:p>
        </w:tc>
        <w:tc>
          <w:tcPr>
            <w:tcW w:w="661" w:type="pct"/>
            <w:vAlign w:val="center"/>
          </w:tcPr>
          <w:p w14:paraId="1A5CE8E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X射线安全检查设备</w:t>
            </w:r>
          </w:p>
        </w:tc>
        <w:tc>
          <w:tcPr>
            <w:tcW w:w="3882" w:type="pct"/>
            <w:vAlign w:val="center"/>
          </w:tcPr>
          <w:p w14:paraId="5CCE9FC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bCs/>
                <w:i w:val="0"/>
                <w:color w:val="auto"/>
                <w:kern w:val="0"/>
                <w:sz w:val="28"/>
                <w:szCs w:val="28"/>
                <w:highlight w:val="none"/>
                <w:u w:val="none"/>
                <w:lang w:val="en-US" w:eastAsia="zh-CN" w:bidi="ar"/>
              </w:rPr>
            </w:pPr>
            <w:r>
              <w:rPr>
                <w:rFonts w:hint="eastAsia" w:ascii="仿宋" w:hAnsi="仿宋" w:eastAsia="仿宋" w:cs="仿宋"/>
                <w:b/>
                <w:bCs/>
                <w:i w:val="0"/>
                <w:color w:val="auto"/>
                <w:kern w:val="0"/>
                <w:sz w:val="28"/>
                <w:szCs w:val="28"/>
                <w:highlight w:val="none"/>
                <w:u w:val="none"/>
                <w:lang w:val="en-US" w:eastAsia="zh-CN" w:bidi="ar"/>
              </w:rPr>
              <w:t>#1、投标时须提供具有国家认可的具备相应检测资质的第三方检测机构，出具的具有CNAS或CMA标识的检测报告，检测报告复印件应加盖投标人公章；</w:t>
            </w:r>
          </w:p>
          <w:p w14:paraId="6FE0F5F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2、通道尺寸：≥600(宽)×400(高)毫米；</w:t>
            </w:r>
          </w:p>
          <w:p w14:paraId="1D482A7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3、X射线源方向：底部向上；</w:t>
            </w:r>
          </w:p>
          <w:p w14:paraId="55B5576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4、输送带距地面高度：≥600毫米；</w:t>
            </w:r>
          </w:p>
          <w:p w14:paraId="3B918F7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5、输送带带速：≥0.20m/s；</w:t>
            </w:r>
          </w:p>
          <w:p w14:paraId="06B03EF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6、最大负载：≥160kg；</w:t>
            </w:r>
          </w:p>
          <w:p w14:paraId="0FEC861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#7、线分辨力：≤0.08mm金属线；</w:t>
            </w:r>
            <w:r>
              <w:rPr>
                <w:rFonts w:hint="eastAsia" w:ascii="仿宋" w:hAnsi="仿宋" w:eastAsia="仿宋" w:cs="仿宋"/>
                <w:b/>
                <w:bCs/>
                <w:i w:val="0"/>
                <w:color w:val="auto"/>
                <w:kern w:val="0"/>
                <w:sz w:val="28"/>
                <w:szCs w:val="28"/>
                <w:highlight w:val="none"/>
                <w:u w:val="none"/>
                <w:lang w:val="en-US" w:eastAsia="zh-CN" w:bidi="ar"/>
              </w:rPr>
              <w:t>（提供技术参数响应承诺函，承诺函格式自拟）</w:t>
            </w:r>
          </w:p>
          <w:p w14:paraId="5EDF453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8、穿透分辨力：≥AWG34；</w:t>
            </w:r>
          </w:p>
          <w:p w14:paraId="4631867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#9、穿透力：≥40mm厚钢板；</w:t>
            </w:r>
            <w:r>
              <w:rPr>
                <w:rFonts w:hint="eastAsia" w:ascii="仿宋" w:hAnsi="仿宋" w:eastAsia="仿宋" w:cs="仿宋"/>
                <w:b/>
                <w:bCs/>
                <w:i w:val="0"/>
                <w:color w:val="auto"/>
                <w:kern w:val="0"/>
                <w:sz w:val="28"/>
                <w:szCs w:val="28"/>
                <w:highlight w:val="none"/>
                <w:u w:val="none"/>
                <w:lang w:val="en-US" w:eastAsia="zh-CN" w:bidi="ar"/>
              </w:rPr>
              <w:t>（提供技术参数响应承诺函，承诺函格式自拟）</w:t>
            </w:r>
          </w:p>
          <w:p w14:paraId="79EC79A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10、周围剂量当量率：≤1μSv/h（距设备任何可达表面10厘米处）、≤0.5μSv/h（工作人员位置）。</w:t>
            </w:r>
          </w:p>
        </w:tc>
      </w:tr>
      <w:tr w14:paraId="512A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29FBBFD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2</w:t>
            </w:r>
          </w:p>
        </w:tc>
        <w:tc>
          <w:tcPr>
            <w:tcW w:w="661" w:type="pct"/>
            <w:vAlign w:val="center"/>
          </w:tcPr>
          <w:p w14:paraId="367B51C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通过式金属探测门</w:t>
            </w:r>
          </w:p>
        </w:tc>
        <w:tc>
          <w:tcPr>
            <w:tcW w:w="3882" w:type="pct"/>
            <w:vAlign w:val="center"/>
          </w:tcPr>
          <w:p w14:paraId="03329BB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1、支持多机联机同步：可实现多机联机同时工作以避免近距离相互干扰，最小间距为0.1米；</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#2、抗干扰力：采用数字信号处理技术，可防止误报、漏报，大大提高抗干扰能力；</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b/>
                <w:bCs/>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3、检测灵敏度：不低于国标A级。分别从0-255级；</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#4、报警音量：1-8级可调，报警音频：0-15级可调；</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#5、支持红外线计数统计功能：可选择运行或禁止，具有进出双向显示人数及时间功能，通行速度：0.2-2米每秒，可进行报警计数；计数值可清零或保存；</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6、内置中、英文语言系统；</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7、具有密码保护功能；</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8、电源:AC100-240V,50-60HZ；</w:t>
            </w:r>
          </w:p>
          <w:p w14:paraId="3776B9A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9、功耗：≤20W；</w:t>
            </w:r>
          </w:p>
          <w:p w14:paraId="015B0FF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#10、通道尺寸（厘米）：≥200（高）×70（宽）×50（深）</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#11、外型尺寸（厘米）：≤230（高）×90（宽）×80（深）</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16CC24D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12、整机重量（公斤）：≤70；</w:t>
            </w:r>
          </w:p>
        </w:tc>
      </w:tr>
      <w:tr w14:paraId="59E8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7913ACA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3</w:t>
            </w:r>
          </w:p>
        </w:tc>
        <w:tc>
          <w:tcPr>
            <w:tcW w:w="661" w:type="pct"/>
            <w:vAlign w:val="center"/>
          </w:tcPr>
          <w:p w14:paraId="7BFD71F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手持式金属探测器</w:t>
            </w:r>
          </w:p>
        </w:tc>
        <w:tc>
          <w:tcPr>
            <w:tcW w:w="3882" w:type="pct"/>
            <w:vAlign w:val="center"/>
          </w:tcPr>
          <w:p w14:paraId="2835B73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#1、当探测到金属时，具备发光报警或振动报警功能;</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2、具备降敏功能；</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3、灵敏度:3级可选；</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#4、重量:≤400g；</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1C0D2C8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5、尺寸:≤430x90x40mm；</w:t>
            </w:r>
          </w:p>
          <w:p w14:paraId="4602AC7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#6、具有较强的抗冲击性能，从1米高度位置掉落地面后应能正常工作。</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203FD7E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7、具有较强的抗干扰能力，设备距离大金属物≥0.5M 运动时，不应产生报警信号。</w:t>
            </w:r>
          </w:p>
        </w:tc>
      </w:tr>
      <w:tr w14:paraId="7617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4591FD4A">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4</w:t>
            </w:r>
          </w:p>
        </w:tc>
        <w:tc>
          <w:tcPr>
            <w:tcW w:w="661" w:type="pct"/>
            <w:vAlign w:val="center"/>
          </w:tcPr>
          <w:p w14:paraId="4BEABDFC">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便携式干扰仪</w:t>
            </w:r>
          </w:p>
        </w:tc>
        <w:tc>
          <w:tcPr>
            <w:tcW w:w="3882" w:type="pct"/>
            <w:vAlign w:val="center"/>
          </w:tcPr>
          <w:p w14:paraId="037EE9F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#1、干扰目标：民用/工业级遥控器、数字对讲机、卫星电话、无线局域网（Wi-Fi）、蓝牙、移动通信2G/3G/4G/5G通话及网络功能</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shd w:val="clear"/>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w:t>
            </w:r>
            <w:r>
              <w:rPr>
                <w:rFonts w:hint="eastAsia" w:ascii="仿宋" w:hAnsi="仿宋" w:eastAsia="仿宋" w:cs="仿宋"/>
                <w:i w:val="0"/>
                <w:color w:val="auto"/>
                <w:kern w:val="0"/>
                <w:sz w:val="28"/>
                <w:szCs w:val="28"/>
                <w:highlight w:val="none"/>
                <w:u w:val="none"/>
                <w:shd w:val="clear"/>
                <w:lang w:val="en-US" w:eastAsia="zh-CN" w:bidi="ar"/>
              </w:rPr>
              <w:t>2、干扰频率覆盖</w:t>
            </w:r>
            <w:r>
              <w:rPr>
                <w:rFonts w:hint="eastAsia" w:ascii="仿宋" w:hAnsi="仿宋" w:eastAsia="仿宋" w:cs="仿宋"/>
                <w:i w:val="0"/>
                <w:color w:val="auto"/>
                <w:kern w:val="0"/>
                <w:sz w:val="28"/>
                <w:szCs w:val="28"/>
                <w:highlight w:val="none"/>
                <w:u w:val="none"/>
                <w:shd w:val="clear" w:color="FFFFFF"/>
                <w:lang w:val="en-US" w:eastAsia="zh-CN" w:bidi="ar"/>
              </w:rPr>
              <w:t>：20MHz</w:t>
            </w:r>
            <w:r>
              <w:rPr>
                <w:rFonts w:hint="eastAsia" w:ascii="仿宋" w:hAnsi="仿宋" w:eastAsia="仿宋" w:cs="仿宋"/>
                <w:i w:val="0"/>
                <w:color w:val="auto"/>
                <w:kern w:val="0"/>
                <w:sz w:val="28"/>
                <w:szCs w:val="28"/>
                <w:highlight w:val="none"/>
                <w:u w:val="none"/>
                <w:lang w:val="en-US" w:eastAsia="zh-CN" w:bidi="ar"/>
              </w:rPr>
              <w:t>～</w:t>
            </w:r>
            <w:r>
              <w:rPr>
                <w:rFonts w:hint="eastAsia" w:ascii="仿宋" w:hAnsi="仿宋" w:eastAsia="仿宋" w:cs="仿宋"/>
                <w:i w:val="0"/>
                <w:color w:val="auto"/>
                <w:kern w:val="0"/>
                <w:sz w:val="28"/>
                <w:szCs w:val="28"/>
                <w:highlight w:val="none"/>
                <w:u w:val="none"/>
                <w:shd w:val="clear" w:color="FFFFFF"/>
                <w:lang w:val="en-US" w:eastAsia="zh-CN" w:bidi="ar"/>
              </w:rPr>
              <w:t>6000MHz</w:t>
            </w:r>
            <w:r>
              <w:rPr>
                <w:rFonts w:hint="eastAsia" w:ascii="仿宋" w:hAnsi="仿宋" w:eastAsia="仿宋" w:cs="仿宋"/>
                <w:i w:val="0"/>
                <w:color w:val="auto"/>
                <w:kern w:val="0"/>
                <w:sz w:val="28"/>
                <w:szCs w:val="28"/>
                <w:highlight w:val="none"/>
                <w:u w:val="none"/>
                <w:shd w:val="clear"/>
                <w:lang w:val="en-US" w:eastAsia="zh-CN" w:bidi="ar"/>
              </w:rPr>
              <w:t>全频段无缝覆盖</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shd w:val="clear"/>
                <w:lang w:val="en-US" w:eastAsia="zh-CN" w:bidi="ar"/>
              </w:rPr>
              <w:br w:type="textWrapping"/>
            </w:r>
            <w:r>
              <w:rPr>
                <w:rFonts w:hint="eastAsia" w:ascii="仿宋" w:hAnsi="仿宋" w:eastAsia="仿宋" w:cs="仿宋"/>
                <w:i w:val="0"/>
                <w:color w:val="auto"/>
                <w:kern w:val="0"/>
                <w:sz w:val="28"/>
                <w:szCs w:val="28"/>
                <w:highlight w:val="none"/>
                <w:u w:val="none"/>
                <w:shd w:val="clear"/>
                <w:lang w:val="en-US" w:eastAsia="zh-CN" w:bidi="ar"/>
              </w:rPr>
              <w:t>3、总发射功率：≤500W</w:t>
            </w:r>
            <w:r>
              <w:rPr>
                <w:rFonts w:hint="eastAsia" w:ascii="仿宋" w:hAnsi="仿宋" w:eastAsia="仿宋" w:cs="仿宋"/>
                <w:i w:val="0"/>
                <w:color w:val="auto"/>
                <w:kern w:val="0"/>
                <w:sz w:val="28"/>
                <w:szCs w:val="28"/>
                <w:highlight w:val="none"/>
                <w:u w:val="none"/>
                <w:shd w:val="clear"/>
                <w:lang w:val="en-US" w:eastAsia="zh-CN" w:bidi="ar"/>
              </w:rPr>
              <w:br w:type="textWrapping"/>
            </w:r>
            <w:r>
              <w:rPr>
                <w:rFonts w:hint="eastAsia" w:ascii="仿宋" w:hAnsi="仿宋" w:eastAsia="仿宋" w:cs="仿宋"/>
                <w:i w:val="0"/>
                <w:color w:val="auto"/>
                <w:kern w:val="0"/>
                <w:sz w:val="28"/>
                <w:szCs w:val="28"/>
                <w:highlight w:val="none"/>
                <w:u w:val="none"/>
                <w:shd w:val="clear"/>
                <w:lang w:val="en-US" w:eastAsia="zh-CN" w:bidi="ar"/>
              </w:rPr>
              <w:t>4、总功耗：≤1500W</w:t>
            </w:r>
            <w:r>
              <w:rPr>
                <w:rFonts w:hint="eastAsia" w:ascii="仿宋" w:hAnsi="仿宋" w:eastAsia="仿宋" w:cs="仿宋"/>
                <w:i w:val="0"/>
                <w:color w:val="auto"/>
                <w:kern w:val="0"/>
                <w:sz w:val="28"/>
                <w:szCs w:val="28"/>
                <w:highlight w:val="none"/>
                <w:u w:val="none"/>
                <w:shd w:val="clear"/>
                <w:lang w:val="en-US" w:eastAsia="zh-CN" w:bidi="ar"/>
              </w:rPr>
              <w:br w:type="textWrapping"/>
            </w:r>
            <w:r>
              <w:rPr>
                <w:rFonts w:hint="eastAsia" w:ascii="仿宋" w:hAnsi="仿宋" w:eastAsia="仿宋" w:cs="仿宋"/>
                <w:i w:val="0"/>
                <w:color w:val="auto"/>
                <w:kern w:val="0"/>
                <w:sz w:val="28"/>
                <w:szCs w:val="28"/>
                <w:highlight w:val="none"/>
                <w:u w:val="none"/>
                <w:shd w:val="clear"/>
                <w:lang w:val="en-US" w:eastAsia="zh-CN" w:bidi="ar"/>
              </w:rPr>
              <w:t>5、供电方式：机箱内置恒压锂电池电源；也可外接市电供电使用；支持交直流供电无缝切换，恒流恒压供电功能。</w:t>
            </w:r>
            <w:r>
              <w:rPr>
                <w:rFonts w:hint="eastAsia" w:ascii="仿宋" w:hAnsi="仿宋" w:eastAsia="仿宋" w:cs="仿宋"/>
                <w:i w:val="0"/>
                <w:color w:val="auto"/>
                <w:kern w:val="0"/>
                <w:sz w:val="28"/>
                <w:szCs w:val="28"/>
                <w:highlight w:val="none"/>
                <w:u w:val="none"/>
                <w:shd w:val="clear"/>
                <w:lang w:val="en-US" w:eastAsia="zh-CN" w:bidi="ar"/>
              </w:rPr>
              <w:br w:type="textWrapping"/>
            </w:r>
            <w:r>
              <w:rPr>
                <w:rFonts w:hint="eastAsia" w:ascii="仿宋" w:hAnsi="仿宋" w:eastAsia="仿宋" w:cs="仿宋"/>
                <w:i w:val="0"/>
                <w:color w:val="auto"/>
                <w:kern w:val="0"/>
                <w:sz w:val="28"/>
                <w:szCs w:val="28"/>
                <w:highlight w:val="none"/>
                <w:u w:val="none"/>
                <w:shd w:val="clear"/>
                <w:lang w:val="en-US" w:eastAsia="zh-CN" w:bidi="ar"/>
              </w:rPr>
              <w:t>#6、连续工作时间；≥60分钟</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shd w:val="clear"/>
                <w:lang w:val="en-US" w:eastAsia="zh-CN" w:bidi="ar"/>
              </w:rPr>
              <w:br w:type="textWrapping"/>
            </w:r>
            <w:r>
              <w:rPr>
                <w:rFonts w:hint="eastAsia" w:ascii="仿宋" w:hAnsi="仿宋" w:eastAsia="仿宋" w:cs="仿宋"/>
                <w:i w:val="0"/>
                <w:color w:val="auto"/>
                <w:kern w:val="0"/>
                <w:sz w:val="28"/>
                <w:szCs w:val="28"/>
                <w:highlight w:val="none"/>
                <w:u w:val="none"/>
                <w:shd w:val="clear"/>
                <w:lang w:val="en-US" w:eastAsia="zh-CN" w:bidi="ar"/>
              </w:rPr>
              <w:t>#7、外观尺寸；≤600mm×700mm×600mm（单机箱，不含天线）</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#8、主机重量：≤50kg（含天线及内置电池）</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9、天线形式：具备全向天线，高频定向天线</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#10、防护等级：≥IPX4</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color w:val="auto"/>
                <w:sz w:val="28"/>
                <w:szCs w:val="28"/>
                <w:highlight w:val="none"/>
              </w:rPr>
              <w:t>＃</w:t>
            </w:r>
            <w:r>
              <w:rPr>
                <w:rFonts w:hint="eastAsia" w:ascii="仿宋" w:hAnsi="仿宋" w:eastAsia="仿宋" w:cs="仿宋"/>
                <w:i w:val="0"/>
                <w:color w:val="auto"/>
                <w:kern w:val="0"/>
                <w:sz w:val="28"/>
                <w:szCs w:val="28"/>
                <w:highlight w:val="none"/>
                <w:u w:val="none"/>
                <w:lang w:val="en-US" w:eastAsia="zh-CN" w:bidi="ar"/>
              </w:rPr>
              <w:t>11、封控距离：遥控器（发射功率：10mW），在收发端距离120m情况下≥40m；对讲机（发射功率：5W）；在收发端距离200m情况下≥40m；WIFI、蓝牙：收发端距离20m情况下≥40m；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tc>
      </w:tr>
      <w:tr w14:paraId="5FAB0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5AC094D4">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5</w:t>
            </w:r>
          </w:p>
        </w:tc>
        <w:tc>
          <w:tcPr>
            <w:tcW w:w="661" w:type="pct"/>
            <w:vAlign w:val="center"/>
          </w:tcPr>
          <w:p w14:paraId="17FFA83B">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大功率全频段干扰设备</w:t>
            </w:r>
          </w:p>
        </w:tc>
        <w:tc>
          <w:tcPr>
            <w:tcW w:w="3882" w:type="pct"/>
            <w:vAlign w:val="center"/>
          </w:tcPr>
          <w:p w14:paraId="4CB53F5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宋体"/>
                <w:b/>
                <w:bCs/>
                <w:color w:val="auto"/>
                <w:kern w:val="0"/>
                <w:sz w:val="28"/>
                <w:szCs w:val="28"/>
                <w:highlight w:val="none"/>
              </w:rPr>
              <w:t>＃</w:t>
            </w:r>
            <w:r>
              <w:rPr>
                <w:rFonts w:hint="eastAsia" w:ascii="仿宋" w:hAnsi="仿宋" w:eastAsia="仿宋" w:cs="仿宋"/>
                <w:i w:val="0"/>
                <w:color w:val="auto"/>
                <w:kern w:val="0"/>
                <w:sz w:val="28"/>
                <w:szCs w:val="28"/>
                <w:highlight w:val="none"/>
                <w:u w:val="none"/>
                <w:lang w:val="en-US" w:eastAsia="zh-CN" w:bidi="ar"/>
              </w:rPr>
              <w:t>1、车载干扰仪系统更新（主要是信号单元和侦测单元）后，能够按照采购人要求进行系统对接，具备背景信号和干扰信号生成能力；</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226B1D7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宋体"/>
                <w:b/>
                <w:bCs/>
                <w:color w:val="auto"/>
                <w:kern w:val="0"/>
                <w:sz w:val="28"/>
                <w:szCs w:val="28"/>
                <w:highlight w:val="none"/>
              </w:rPr>
              <w:t>＃</w:t>
            </w:r>
            <w:r>
              <w:rPr>
                <w:rFonts w:hint="eastAsia" w:ascii="仿宋" w:hAnsi="仿宋" w:eastAsia="仿宋" w:cs="仿宋"/>
                <w:i w:val="0"/>
                <w:color w:val="auto"/>
                <w:kern w:val="0"/>
                <w:sz w:val="28"/>
                <w:szCs w:val="28"/>
                <w:highlight w:val="none"/>
                <w:u w:val="none"/>
                <w:lang w:val="en-US" w:eastAsia="zh-CN" w:bidi="ar"/>
              </w:rPr>
              <w:t>2、干扰频率覆盖：20MHz～6000MHz全频段无缝覆盖；</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1D125B7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3、信号调制样式：</w:t>
            </w:r>
          </w:p>
          <w:p w14:paraId="7C3763C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#3.1模拟调制信号：包括但不限于AM、FM、CW、SSB、DSB、USB；</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3D1AFA0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#3.2数字调制信号：包括但不限于ASK、MSK、2FSK、BPSK、QPSK、8PSK、π/4DQPSK、π/8D8PSK、16QAM、32QAM；码元速率：1kBaud～30MBaud。</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5E42CC4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4、干扰方式：包括宽带阻塞干扰、梳状谱多频点干扰；</w:t>
            </w:r>
          </w:p>
          <w:p w14:paraId="30C8B39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#5、干扰样式：包括单音干扰、多音干扰、数字调制干扰、噪声调频干扰、噪声调幅、白噪声干扰、梳状谱干扰、模拟调制干扰；</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6CCEBF7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#6、宽带阻塞干扰指标：干扰带宽1MHz～200MHz，梳状谱干扰指标：谱间隔可调，谱间距范围3KHz-10MHz，谱宽1MHz～100MHz；谐波抑制：≤30dBc；干扰输出功率：≥10dBm；辐射功率调节范围：≥40dB，步进1dB。</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49FAA25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7、能快速捕获并分选、分析信号、解调；</w:t>
            </w:r>
          </w:p>
          <w:p w14:paraId="0046830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 xml:space="preserve">8、信号瞬时带宽：20kHz～40MHz； </w:t>
            </w:r>
          </w:p>
          <w:p w14:paraId="2AD156B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 xml:space="preserve">9、瞬时动态范围：≥60dB； </w:t>
            </w:r>
          </w:p>
          <w:p w14:paraId="62533BD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#10、侦察距离：≥4km(目标信号EIRP为0.1瓦)；</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宋体"/>
                <w:b/>
                <w:bCs/>
                <w:color w:val="auto"/>
                <w:kern w:val="0"/>
                <w:sz w:val="28"/>
                <w:szCs w:val="28"/>
                <w:highlight w:val="none"/>
                <w:lang w:val="en-US" w:eastAsia="zh-CN"/>
              </w:rPr>
              <w:t xml:space="preserve"> </w:t>
            </w:r>
          </w:p>
          <w:p w14:paraId="411096D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#11、扫描速度：短波频段≥2.5GHz/s（步进3kHz）、超短波频段≥20GHz/s（步进25kHz）；</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t xml:space="preserve"> </w:t>
            </w:r>
          </w:p>
          <w:p w14:paraId="029101B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#12、调制识别样式：CW、FM、AM、ASK、2FSK、MSK、BPSK、QPSK、8PSK、16QAM；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3397F56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#13、信号解调类型：AM、FM、CW、2FSK、MSK、BPSK、QPSK、8PSK、16QAM；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105FA94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 xml:space="preserve">14、信号参数测量内容：中心频率、调制样式、xdB带宽、符号速率、跳频频率集、码速率。 </w:t>
            </w:r>
          </w:p>
        </w:tc>
      </w:tr>
      <w:tr w14:paraId="69BF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585FC4AA">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6</w:t>
            </w:r>
          </w:p>
        </w:tc>
        <w:tc>
          <w:tcPr>
            <w:tcW w:w="661" w:type="pct"/>
            <w:vAlign w:val="center"/>
          </w:tcPr>
          <w:p w14:paraId="52F8439F">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伸缩臂检查镜</w:t>
            </w:r>
          </w:p>
        </w:tc>
        <w:tc>
          <w:tcPr>
            <w:tcW w:w="3882" w:type="pct"/>
            <w:vAlign w:val="center"/>
          </w:tcPr>
          <w:p w14:paraId="63683A0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#1、功能：视频成像、音视频和无线传输结合的环境安全检查装备，主要用于检测和检查不同环境下的天花板、出风口、管道、下水道等疑难检查位置的安全检查，最高可检测≥4.5米高度位置的隐患地点。</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55F067B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#2、主机：高清液晶显示屏≥8寸，支持按键和触摸结合双控制；画面支持≥8倍放大和缩小功能；主机显示的画面能翻转180°；</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73EA214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#3、主机具备直接存储，一键录像，一键拍照，一键放大功能；内存≥256G</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120EC15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default"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#4、照片和录像分辨率≥1920×1080px</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0B1D73C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5、主机内置锂电池工作时长≥10h</w:t>
            </w:r>
          </w:p>
          <w:p w14:paraId="385EA19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#6、电动旋转音视频探头：直径≤30mm,配不少于8颗LED灯，亮度强弱可调。探头旋转角度横向360°旋转及纵向90°旋转，可实施无死角搜索，探头内置音 频探头，可实时双向对讲。</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2203CD5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#7、防水视频探头：探头直径≤33mm; 防护等级≥IP68;具有不少于8颗白光灯；配不小于20米线缆。</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3825898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 xml:space="preserve">8、探杆重量：≤2.5kg </w:t>
            </w:r>
          </w:p>
          <w:p w14:paraId="38A056A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color w:val="auto"/>
                <w:sz w:val="28"/>
                <w:szCs w:val="28"/>
                <w:highlight w:val="none"/>
              </w:rPr>
              <w:t>＃</w:t>
            </w:r>
            <w:r>
              <w:rPr>
                <w:rFonts w:hint="eastAsia" w:ascii="仿宋" w:hAnsi="仿宋" w:eastAsia="仿宋" w:cs="仿宋"/>
                <w:i w:val="0"/>
                <w:color w:val="auto"/>
                <w:kern w:val="0"/>
                <w:sz w:val="28"/>
                <w:szCs w:val="28"/>
                <w:highlight w:val="none"/>
                <w:u w:val="none"/>
                <w:lang w:val="en-US" w:eastAsia="zh-CN" w:bidi="ar"/>
              </w:rPr>
              <w:t>9、探杆尺寸：收缩后长度≤1m，伸展开长度≥4m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tc>
      </w:tr>
      <w:tr w14:paraId="35F8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441B96F2">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7</w:t>
            </w:r>
          </w:p>
        </w:tc>
        <w:tc>
          <w:tcPr>
            <w:tcW w:w="661" w:type="pct"/>
            <w:vAlign w:val="center"/>
          </w:tcPr>
          <w:p w14:paraId="6BC29316">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防爆球</w:t>
            </w:r>
          </w:p>
        </w:tc>
        <w:tc>
          <w:tcPr>
            <w:tcW w:w="3882" w:type="pct"/>
            <w:vAlign w:val="center"/>
          </w:tcPr>
          <w:p w14:paraId="5428D9B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w:t>
            </w:r>
            <w:r>
              <w:rPr>
                <w:rFonts w:hint="eastAsia" w:ascii="仿宋" w:hAnsi="仿宋" w:eastAsia="仿宋" w:cs="仿宋"/>
                <w:i w:val="0"/>
                <w:color w:val="auto"/>
                <w:kern w:val="0"/>
                <w:sz w:val="28"/>
                <w:szCs w:val="28"/>
                <w:highlight w:val="none"/>
                <w:u w:val="none"/>
                <w:shd w:val="clear" w:color="auto" w:fill="auto"/>
                <w:lang w:val="en-US" w:eastAsia="zh-CN" w:bidi="ar"/>
              </w:rPr>
              <w:t>球罐体外径≤900mm、内径≤800mm，罐口直径≤600mm，球罐深≤700mm；球罐盖直径≤650mm、厚≤30mm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shd w:val="clear" w:color="auto" w:fill="auto"/>
                <w:lang w:val="en-US" w:eastAsia="zh-CN" w:bidi="ar"/>
              </w:rPr>
              <w:br w:type="textWrapping"/>
            </w:r>
            <w:r>
              <w:rPr>
                <w:rFonts w:hint="eastAsia" w:ascii="仿宋" w:hAnsi="仿宋" w:eastAsia="仿宋" w:cs="仿宋"/>
                <w:i w:val="0"/>
                <w:color w:val="auto"/>
                <w:kern w:val="0"/>
                <w:sz w:val="28"/>
                <w:szCs w:val="28"/>
                <w:highlight w:val="none"/>
                <w:u w:val="none"/>
                <w:shd w:val="clear" w:color="auto" w:fill="auto"/>
                <w:lang w:val="en-US" w:eastAsia="zh-CN" w:bidi="ar"/>
              </w:rPr>
              <w:t>#2、球罐盖最大开启尺寸≥350mm，开启方式为向内翻转，其上有≥4个，直径≥10mm的泄压孔；</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#3、罐盖启闭机构采用电推杆、支架、铁链传动方式，可分别使用机械手摇、有线遥控方式启、闭球罐盖；启闭时间分别为：机械手摇≤20s、有线遥控≤25s</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4、底座使用≥10mm钢板制作。其外形尺寸为：长≥680mm、宽≥680mm、高≥30mm，底座与防爆球一体连接。</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#5、抗爆当量≥3kg TNT</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color w:val="auto"/>
                <w:sz w:val="28"/>
                <w:szCs w:val="28"/>
                <w:highlight w:val="none"/>
              </w:rPr>
              <w:t>＃</w:t>
            </w:r>
            <w:r>
              <w:rPr>
                <w:rFonts w:hint="eastAsia" w:ascii="仿宋" w:hAnsi="仿宋" w:eastAsia="仿宋" w:cs="仿宋"/>
                <w:i w:val="0"/>
                <w:color w:val="auto"/>
                <w:kern w:val="0"/>
                <w:sz w:val="28"/>
                <w:szCs w:val="28"/>
                <w:highlight w:val="none"/>
                <w:u w:val="none"/>
                <w:lang w:val="en-US" w:eastAsia="zh-CN" w:bidi="ar"/>
              </w:rPr>
              <w:t>6、执行标准：GA 872-2010防爆球</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7、拖车参数：</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7.1拖车尺寸：长*宽*高≤2700*1300*650mm</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7.2拖车为单轴二轮结构,底板为≥2mm；</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7.3刹车形式：驻车手刹</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#7.4停车支量: 万向高度可调节支腿</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tc>
      </w:tr>
      <w:tr w14:paraId="73A3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5D43ED65">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8</w:t>
            </w:r>
          </w:p>
        </w:tc>
        <w:tc>
          <w:tcPr>
            <w:tcW w:w="661" w:type="pct"/>
            <w:vAlign w:val="center"/>
          </w:tcPr>
          <w:p w14:paraId="2F286EDD">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防爆安检教具</w:t>
            </w:r>
          </w:p>
        </w:tc>
        <w:tc>
          <w:tcPr>
            <w:tcW w:w="3882" w:type="pct"/>
            <w:vAlign w:val="center"/>
          </w:tcPr>
          <w:p w14:paraId="4AD2BE2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#1、模拟炸药、火工品、起爆机制及爆炸装置数量≥110件。</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15B7EE77">
            <w:pPr>
              <w:keepNext w:val="0"/>
              <w:keepLines w:val="0"/>
              <w:pageBreakBefore w:val="0"/>
              <w:widowControl/>
              <w:numPr>
                <w:ilvl w:val="0"/>
                <w:numId w:val="1"/>
              </w:numPr>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炸药及雷管模拟物外观、质地、颜色、内部结构、密度、X光成像与真实炸药与火工品一致。</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#3、仿真炸药及相关制作材料≥45种：炸药种类分不少于8大模块，包含图文介绍。至少包含C4炸药、塞姆汀H、塞姆汀A、塞姆汀10、PE4炸药、黑索金、太安、奥克托金等</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#4、雷管及火工品≥13种：至少包含铜制火雷管、铝制火雷管、纸质火雷管、铜制电雷管、铝制电雷管、纸质电雷管、俄罗斯机械雷管（长）、俄罗斯机械雷管（短）、英国铅笔雷管等</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08FA183E">
            <w:pPr>
              <w:keepNext w:val="0"/>
              <w:keepLines w:val="0"/>
              <w:pageBreakBefore w:val="0"/>
              <w:widowControl/>
              <w:numPr>
                <w:ilvl w:val="-1"/>
                <w:numId w:val="0"/>
              </w:numPr>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#5、起爆机制≥12种</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#6、炸药组装模块≥12种；</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#7、雷管组装材料≥24件；</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#8、伪装式爆炸装置≥5种；</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#9、仿真毒品≥2种。</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tc>
      </w:tr>
      <w:tr w14:paraId="57DE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5" w:type="pct"/>
            <w:vAlign w:val="center"/>
          </w:tcPr>
          <w:p w14:paraId="79163A28">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9</w:t>
            </w:r>
          </w:p>
        </w:tc>
        <w:tc>
          <w:tcPr>
            <w:tcW w:w="661" w:type="pct"/>
            <w:vAlign w:val="center"/>
          </w:tcPr>
          <w:p w14:paraId="1361ED61">
            <w:pPr>
              <w:keepNext w:val="0"/>
              <w:keepLines w:val="0"/>
              <w:widowControl/>
              <w:suppressLineNumbers w:val="0"/>
              <w:snapToGrid w:val="0"/>
              <w:spacing w:line="360" w:lineRule="auto"/>
              <w:jc w:val="center"/>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非线性节点探测器</w:t>
            </w:r>
          </w:p>
        </w:tc>
        <w:tc>
          <w:tcPr>
            <w:tcW w:w="3882" w:type="pct"/>
            <w:vAlign w:val="center"/>
          </w:tcPr>
          <w:p w14:paraId="7F67736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宋体"/>
                <w:b/>
                <w:bCs/>
                <w:color w:val="auto"/>
                <w:kern w:val="0"/>
                <w:sz w:val="28"/>
                <w:szCs w:val="28"/>
                <w:highlight w:val="none"/>
                <w:lang w:val="en-US" w:eastAsia="zh-CN"/>
              </w:rPr>
              <w:t>#1、投标时须提供具有国家认可的具备相应检测资质的第三方检测机构，出具的具有CNAS或CMA标识的检测报告，检测报告复印件应加盖投标人公章；</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2、可探测识别半导体结点和金属锈蚀结点及机械、电子定时装置。</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#3、探测识别的半导体结点和金属锈蚀结点，发出声光报警</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#4、可通过耳机监听声音探测识别机械定时装置和电子定时装置。</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p w14:paraId="16932E5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color w:val="auto"/>
                <w:kern w:val="0"/>
                <w:sz w:val="28"/>
                <w:szCs w:val="28"/>
                <w:highlight w:val="none"/>
                <w:u w:val="none"/>
                <w:lang w:val="en-US" w:eastAsia="zh-CN" w:bidi="ar"/>
              </w:rPr>
            </w:pPr>
            <w:r>
              <w:rPr>
                <w:rFonts w:hint="eastAsia" w:ascii="仿宋" w:hAnsi="仿宋" w:eastAsia="仿宋" w:cs="仿宋"/>
                <w:i w:val="0"/>
                <w:color w:val="auto"/>
                <w:kern w:val="0"/>
                <w:sz w:val="28"/>
                <w:szCs w:val="28"/>
                <w:highlight w:val="none"/>
                <w:u w:val="none"/>
                <w:lang w:val="en-US" w:eastAsia="zh-CN" w:bidi="ar"/>
              </w:rPr>
              <w:t>5、具有低电压报警功能。</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#6、具有一键调节电子听音器输出功率功能。</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#7、机械、电子定时装置探测功能与半导体结点、锈蚀结点探测功能与半导体结点、锈蚀结点探测功能可同时或单独工作。</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8、探测距离：</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color w:val="auto"/>
                <w:sz w:val="28"/>
                <w:szCs w:val="28"/>
                <w:highlight w:val="none"/>
              </w:rPr>
              <w:t>＃</w:t>
            </w:r>
            <w:r>
              <w:rPr>
                <w:rFonts w:hint="eastAsia" w:ascii="仿宋" w:hAnsi="仿宋" w:eastAsia="仿宋" w:cs="仿宋"/>
                <w:i w:val="0"/>
                <w:color w:val="auto"/>
                <w:kern w:val="0"/>
                <w:sz w:val="28"/>
                <w:szCs w:val="28"/>
                <w:highlight w:val="none"/>
                <w:u w:val="none"/>
                <w:lang w:val="en-US" w:eastAsia="zh-CN" w:bidi="ar"/>
              </w:rPr>
              <w:t>8.1探测非线性结点的最大距离≥6m；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color w:val="auto"/>
                <w:sz w:val="28"/>
                <w:szCs w:val="28"/>
                <w:highlight w:val="none"/>
              </w:rPr>
              <w:t>＃</w:t>
            </w:r>
            <w:r>
              <w:rPr>
                <w:rFonts w:hint="eastAsia" w:ascii="仿宋" w:hAnsi="仿宋" w:eastAsia="仿宋" w:cs="仿宋"/>
                <w:i w:val="0"/>
                <w:color w:val="auto"/>
                <w:kern w:val="0"/>
                <w:sz w:val="28"/>
                <w:szCs w:val="28"/>
                <w:highlight w:val="none"/>
                <w:u w:val="none"/>
                <w:lang w:val="en-US" w:eastAsia="zh-CN" w:bidi="ar"/>
              </w:rPr>
              <w:t>8.2探测机械定时装置的最大距离≥4m；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color w:val="auto"/>
                <w:sz w:val="28"/>
                <w:szCs w:val="28"/>
                <w:highlight w:val="none"/>
              </w:rPr>
              <w:t>＃</w:t>
            </w:r>
            <w:r>
              <w:rPr>
                <w:rFonts w:hint="eastAsia" w:ascii="仿宋" w:hAnsi="仿宋" w:eastAsia="仿宋" w:cs="仿宋"/>
                <w:i w:val="0"/>
                <w:color w:val="auto"/>
                <w:kern w:val="0"/>
                <w:sz w:val="28"/>
                <w:szCs w:val="28"/>
                <w:highlight w:val="none"/>
                <w:u w:val="none"/>
                <w:lang w:val="en-US" w:eastAsia="zh-CN" w:bidi="ar"/>
              </w:rPr>
              <w:t>8.3 探测电子定时装置的最大距离≥0.5m；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#9、穿透能力：</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9.1能穿透砖墙探测半导体结点，可穿透的砖墙厚度≥370mm；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9.2能穿透A4打印纸（70g/㎡）探测机械定时装置，可穿透的A4打印纸厚度≥120mm；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9.3能穿透A4打印纸（70g/㎡）探测电子定时装置，可穿透的A4打印纸厚度≥50mm；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#10、连续工作时间：电池在充满电状态下，同时开启非线性结点探测、电子听音装置探测功能可连续工作时间应≥2.5h；</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11、耳机降噪能力：≥20dB（A）。</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12、稳定性：≥168h。</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#13、重量：≤1.5Kg（含电池，不含延长杆等配件）</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#14、尺寸：最短工作长度≤350mm；最长工作长度≥900mm；</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r>
              <w:rPr>
                <w:rFonts w:hint="eastAsia" w:ascii="仿宋" w:hAnsi="仿宋" w:eastAsia="仿宋" w:cs="仿宋"/>
                <w:i w:val="0"/>
                <w:color w:val="auto"/>
                <w:kern w:val="0"/>
                <w:sz w:val="28"/>
                <w:szCs w:val="28"/>
                <w:highlight w:val="none"/>
                <w:u w:val="none"/>
                <w:lang w:val="en-US" w:eastAsia="zh-CN" w:bidi="ar"/>
              </w:rPr>
              <w:br w:type="textWrapping"/>
            </w:r>
            <w:r>
              <w:rPr>
                <w:rFonts w:hint="eastAsia" w:ascii="仿宋" w:hAnsi="仿宋" w:eastAsia="仿宋" w:cs="仿宋"/>
                <w:i w:val="0"/>
                <w:color w:val="auto"/>
                <w:kern w:val="0"/>
                <w:sz w:val="28"/>
                <w:szCs w:val="28"/>
                <w:highlight w:val="none"/>
                <w:u w:val="none"/>
                <w:lang w:val="en-US" w:eastAsia="zh-CN" w:bidi="ar"/>
              </w:rPr>
              <w:t>#15、外壳防护等级：符合GB/T4208-2008中IP42等级的要求；</w:t>
            </w:r>
            <w:r>
              <w:rPr>
                <w:rFonts w:hint="eastAsia" w:ascii="仿宋" w:hAnsi="仿宋" w:eastAsia="仿宋" w:cs="宋体"/>
                <w:b/>
                <w:bCs/>
                <w:color w:val="auto"/>
                <w:kern w:val="0"/>
                <w:sz w:val="28"/>
                <w:szCs w:val="28"/>
                <w:highlight w:val="none"/>
              </w:rPr>
              <w:t>(证明材料：提供公开发布的技术白皮书或产品规格书或使用说明书</w:t>
            </w:r>
            <w:r>
              <w:rPr>
                <w:rFonts w:hint="eastAsia" w:ascii="仿宋" w:hAnsi="仿宋" w:eastAsia="仿宋" w:cs="宋体"/>
                <w:b/>
                <w:bCs/>
                <w:color w:val="auto"/>
                <w:kern w:val="0"/>
                <w:sz w:val="28"/>
                <w:szCs w:val="28"/>
                <w:highlight w:val="none"/>
                <w:lang w:val="en-US" w:eastAsia="zh-CN"/>
              </w:rPr>
              <w:t>或产品彩页</w:t>
            </w:r>
            <w:r>
              <w:rPr>
                <w:rFonts w:hint="eastAsia" w:ascii="仿宋" w:hAnsi="仿宋" w:eastAsia="仿宋" w:cs="宋体"/>
                <w:b/>
                <w:bCs/>
                <w:color w:val="auto"/>
                <w:kern w:val="0"/>
                <w:sz w:val="28"/>
                <w:szCs w:val="28"/>
                <w:highlight w:val="none"/>
              </w:rPr>
              <w:t>等技术支持材料加盖投标人公章佐证)</w:t>
            </w:r>
          </w:p>
        </w:tc>
      </w:tr>
    </w:tbl>
    <w:p w14:paraId="70ED78AD">
      <w:pPr>
        <w:widowControl/>
        <w:snapToGrid w:val="0"/>
        <w:spacing w:line="360" w:lineRule="auto"/>
        <w:ind w:firstLine="643" w:firstLineChars="200"/>
        <w:contextualSpacing/>
        <w:rPr>
          <w:rFonts w:hint="eastAsia" w:ascii="仿宋" w:hAnsi="仿宋" w:eastAsia="仿宋" w:cs="仿宋"/>
          <w:color w:val="auto"/>
          <w:sz w:val="28"/>
          <w:szCs w:val="28"/>
          <w:highlight w:val="none"/>
          <w:lang w:eastAsia="zh-CN"/>
        </w:rPr>
      </w:pPr>
      <w:r>
        <w:rPr>
          <w:rFonts w:hint="eastAsia" w:ascii="仿宋" w:hAnsi="仿宋" w:eastAsia="仿宋" w:cs="仿宋"/>
          <w:b/>
          <w:bCs/>
          <w:sz w:val="32"/>
          <w:szCs w:val="32"/>
        </w:rPr>
        <w:t>注：本采购需求书中，指标按重要性分为“★”、 “＃”、未标注。“★”代表最关键指标，不满足该指标项将导致投标被拒绝；“＃”代表重要指标，不满足该指标项将导致扣分；未标注则代表一般指标。标注为“★”或“＃”的技术参数，如有明确要求需提供相应证明材料，须按技术参数的要求提供相应证明材料，没有明确要求提供何种证明材料的则</w:t>
      </w:r>
      <w:r>
        <w:rPr>
          <w:rFonts w:hint="eastAsia" w:ascii="仿宋" w:hAnsi="仿宋" w:eastAsia="仿宋" w:cs="仿宋"/>
          <w:b/>
          <w:bCs/>
          <w:sz w:val="32"/>
          <w:szCs w:val="32"/>
          <w:lang w:val="en-US" w:eastAsia="zh-CN"/>
        </w:rPr>
        <w:t>提供</w:t>
      </w:r>
      <w:r>
        <w:rPr>
          <w:rFonts w:hint="eastAsia" w:ascii="仿宋" w:hAnsi="仿宋" w:eastAsia="仿宋" w:cs="仿宋"/>
          <w:b/>
          <w:bCs/>
          <w:sz w:val="32"/>
          <w:szCs w:val="32"/>
        </w:rPr>
        <w:t>技术参数</w:t>
      </w:r>
      <w:r>
        <w:rPr>
          <w:rFonts w:hint="eastAsia" w:ascii="仿宋" w:hAnsi="仿宋" w:eastAsia="仿宋" w:cs="仿宋"/>
          <w:b/>
          <w:bCs/>
          <w:sz w:val="32"/>
          <w:szCs w:val="32"/>
          <w:lang w:val="en-US" w:eastAsia="zh-CN"/>
        </w:rPr>
        <w:t>响应承诺函</w:t>
      </w:r>
      <w:r>
        <w:rPr>
          <w:rFonts w:hint="eastAsia" w:ascii="仿宋" w:hAnsi="仿宋" w:eastAsia="仿宋" w:cs="仿宋"/>
          <w:b/>
          <w:bCs/>
          <w:sz w:val="32"/>
          <w:szCs w:val="32"/>
        </w:rPr>
        <w:t>，</w:t>
      </w:r>
      <w:r>
        <w:rPr>
          <w:rFonts w:hint="eastAsia" w:ascii="仿宋" w:hAnsi="仿宋" w:eastAsia="仿宋" w:cs="仿宋"/>
          <w:b/>
          <w:bCs/>
          <w:sz w:val="32"/>
          <w:szCs w:val="32"/>
          <w:lang w:val="en-US" w:eastAsia="zh-CN"/>
        </w:rPr>
        <w:t>承诺函格式自拟，</w:t>
      </w:r>
      <w:r>
        <w:rPr>
          <w:rFonts w:hint="eastAsia" w:ascii="仿宋" w:hAnsi="仿宋" w:eastAsia="仿宋" w:cs="仿宋"/>
          <w:b/>
          <w:bCs/>
          <w:sz w:val="32"/>
          <w:szCs w:val="32"/>
        </w:rPr>
        <w:t>否则不予认可。</w:t>
      </w:r>
    </w:p>
    <w:p w14:paraId="4F0AFBA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57C73D"/>
    <w:multiLevelType w:val="singleLevel"/>
    <w:tmpl w:val="F157C7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B562F9"/>
    <w:rsid w:val="07B562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tabs>
        <w:tab w:val="left" w:pos="567"/>
      </w:tabs>
      <w:spacing w:before="120" w:line="22" w:lineRule="atLeast"/>
    </w:pPr>
    <w:rPr>
      <w:rFonts w:ascii="宋体" w:hAnsi="宋体"/>
      <w:sz w:val="24"/>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List Paragraph"/>
    <w:basedOn w:val="1"/>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2025-05-29T09:28:00Z</dcterms:created>
  <dc:creator>亚希Edison</dc:creator>
  <cp:lastModifiedBy>亚希Edison</cp:lastModifiedBy>
  <dcterms:modified xsi:type="dcterms:W3CDTF">2025-05-29T09:30:30Z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E52568C258A146039F74A3A3F4F3CC6C_11</vt:lpwstr>
  </property>
  <property fmtid="{D5CDD505-2E9C-101B-9397-08002B2CF9AE}" pid="4" name="KSOTemplateDocerSaveRecord">
    <vt:lpwstr>eyJoZGlkIjoiNDY0MzQwNDM3NzMyOTAwZGViMTFjZmY0M2U4NTllMzgiLCJ1c2VySWQiOiIyNjk3ODg1OTAifQ==</vt:lpwstr>
  </property>
</Properties>
</file>