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F2AC03">
      <w:pPr>
        <w:pStyle w:val="4"/>
        <w:outlineLvl w:val="0"/>
      </w:pPr>
      <w:r>
        <w:rPr>
          <w:rFonts w:ascii="仿宋_GB2312" w:hAnsi="仿宋_GB2312" w:eastAsia="仿宋_GB2312" w:cs="仿宋_GB2312"/>
          <w:b/>
          <w:sz w:val="48"/>
        </w:rPr>
        <w:t>政府采购项目采购需求</w:t>
      </w:r>
    </w:p>
    <w:p w14:paraId="3E95EDF4">
      <w:pPr>
        <w:pStyle w:val="4"/>
        <w:spacing w:before="3000"/>
        <w:outlineLvl w:val="2"/>
      </w:pPr>
      <w:r>
        <w:rPr>
          <w:rFonts w:ascii="仿宋_GB2312" w:hAnsi="仿宋_GB2312" w:eastAsia="仿宋_GB2312" w:cs="仿宋_GB2312"/>
          <w:b/>
          <w:sz w:val="28"/>
        </w:rPr>
        <w:t>采购单位：</w:t>
      </w:r>
      <w:bookmarkStart w:id="0" w:name="_GoBack"/>
      <w:bookmarkEnd w:id="0"/>
    </w:p>
    <w:p w14:paraId="0FABBFEA">
      <w:pPr>
        <w:pStyle w:val="4"/>
        <w:outlineLvl w:val="2"/>
      </w:pPr>
      <w:r>
        <w:rPr>
          <w:rFonts w:ascii="仿宋_GB2312" w:hAnsi="仿宋_GB2312" w:eastAsia="仿宋_GB2312" w:cs="仿宋_GB2312"/>
          <w:b/>
          <w:sz w:val="28"/>
        </w:rPr>
        <w:t>德阳市公安局罗江区分局</w:t>
      </w:r>
    </w:p>
    <w:p w14:paraId="53F30D32">
      <w:pPr>
        <w:pStyle w:val="4"/>
        <w:jc w:val="right"/>
        <w:outlineLvl w:val="2"/>
      </w:pPr>
      <w:r>
        <w:rPr>
          <w:rFonts w:ascii="仿宋_GB2312" w:hAnsi="仿宋_GB2312" w:eastAsia="仿宋_GB2312" w:cs="仿宋_GB2312"/>
          <w:b/>
          <w:sz w:val="28"/>
        </w:rPr>
        <w:t>所属年度：</w:t>
      </w:r>
    </w:p>
    <w:p w14:paraId="7B8C8018">
      <w:pPr>
        <w:pStyle w:val="4"/>
        <w:outlineLvl w:val="2"/>
      </w:pPr>
      <w:r>
        <w:rPr>
          <w:rFonts w:ascii="仿宋_GB2312" w:hAnsi="仿宋_GB2312" w:eastAsia="仿宋_GB2312" w:cs="仿宋_GB2312"/>
          <w:b/>
          <w:sz w:val="28"/>
        </w:rPr>
        <w:t>2026年</w:t>
      </w:r>
    </w:p>
    <w:p w14:paraId="689BE2C1">
      <w:pPr>
        <w:pStyle w:val="4"/>
        <w:jc w:val="right"/>
        <w:outlineLvl w:val="2"/>
      </w:pPr>
      <w:r>
        <w:rPr>
          <w:rFonts w:ascii="仿宋_GB2312" w:hAnsi="仿宋_GB2312" w:eastAsia="仿宋_GB2312" w:cs="仿宋_GB2312"/>
          <w:b/>
          <w:sz w:val="28"/>
        </w:rPr>
        <w:t>编制单位：</w:t>
      </w:r>
    </w:p>
    <w:p w14:paraId="567E7FA6">
      <w:pPr>
        <w:pStyle w:val="4"/>
        <w:outlineLvl w:val="2"/>
      </w:pPr>
      <w:r>
        <w:rPr>
          <w:rFonts w:ascii="仿宋_GB2312" w:hAnsi="仿宋_GB2312" w:eastAsia="仿宋_GB2312" w:cs="仿宋_GB2312"/>
          <w:b/>
          <w:sz w:val="28"/>
        </w:rPr>
        <w:t>德阳市公安局罗江区分局</w:t>
      </w:r>
    </w:p>
    <w:p w14:paraId="4EC1BDB3">
      <w:pPr>
        <w:pStyle w:val="4"/>
        <w:jc w:val="right"/>
        <w:outlineLvl w:val="2"/>
      </w:pPr>
      <w:r>
        <w:rPr>
          <w:rFonts w:ascii="仿宋_GB2312" w:hAnsi="仿宋_GB2312" w:eastAsia="仿宋_GB2312" w:cs="仿宋_GB2312"/>
          <w:b/>
          <w:sz w:val="28"/>
        </w:rPr>
        <w:t>编制时间：</w:t>
      </w:r>
    </w:p>
    <w:p w14:paraId="5B1FB720">
      <w:pPr>
        <w:pStyle w:val="4"/>
        <w:outlineLvl w:val="2"/>
      </w:pPr>
      <w:r>
        <w:rPr>
          <w:rFonts w:ascii="仿宋_GB2312" w:hAnsi="仿宋_GB2312" w:eastAsia="仿宋_GB2312" w:cs="仿宋_GB2312"/>
          <w:b/>
          <w:sz w:val="28"/>
        </w:rPr>
        <w:t>2026年08月18日</w:t>
      </w:r>
    </w:p>
    <w:p w14:paraId="314E0995">
      <w:pPr>
        <w:pStyle w:val="4"/>
        <w:outlineLvl w:val="2"/>
      </w:pPr>
      <w:r>
        <w:rPr>
          <w:rFonts w:ascii="仿宋_GB2312" w:hAnsi="仿宋_GB2312" w:eastAsia="仿宋_GB2312" w:cs="仿宋_GB2312"/>
          <w:b/>
          <w:sz w:val="28"/>
        </w:rPr>
        <w:t>一、项目总体情况</w:t>
      </w:r>
    </w:p>
    <w:p w14:paraId="1E0DD512">
      <w:pPr>
        <w:pStyle w:val="4"/>
      </w:pPr>
      <w:r>
        <w:rPr>
          <w:rFonts w:ascii="仿宋_GB2312" w:hAnsi="仿宋_GB2312" w:eastAsia="仿宋_GB2312" w:cs="仿宋_GB2312"/>
        </w:rPr>
        <w:t xml:space="preserve"> （一）项目名称： 数字证书保险柜</w:t>
      </w:r>
    </w:p>
    <w:p w14:paraId="3132E79D">
      <w:pPr>
        <w:pStyle w:val="4"/>
      </w:pPr>
      <w:r>
        <w:rPr>
          <w:rFonts w:ascii="仿宋_GB2312" w:hAnsi="仿宋_GB2312" w:eastAsia="仿宋_GB2312" w:cs="仿宋_GB2312"/>
        </w:rPr>
        <w:t xml:space="preserve"> （二）项目所属年度： 2026年</w:t>
      </w:r>
    </w:p>
    <w:p w14:paraId="081EEF6E">
      <w:pPr>
        <w:pStyle w:val="4"/>
      </w:pPr>
      <w:r>
        <w:rPr>
          <w:rFonts w:ascii="仿宋_GB2312" w:hAnsi="仿宋_GB2312" w:eastAsia="仿宋_GB2312" w:cs="仿宋_GB2312"/>
        </w:rPr>
        <w:t xml:space="preserve"> （三）项目所属分类： 货物</w:t>
      </w:r>
    </w:p>
    <w:p w14:paraId="0F814336">
      <w:pPr>
        <w:pStyle w:val="4"/>
      </w:pPr>
      <w:r>
        <w:rPr>
          <w:rFonts w:ascii="仿宋_GB2312" w:hAnsi="仿宋_GB2312" w:eastAsia="仿宋_GB2312" w:cs="仿宋_GB2312"/>
        </w:rPr>
        <w:t xml:space="preserve"> （四）预算金额（元）：400,000.00元 ，大写（人民币）：肆拾万元整</w:t>
      </w:r>
    </w:p>
    <w:p w14:paraId="46D49FED">
      <w:pPr>
        <w:pStyle w:val="4"/>
        <w:ind w:firstLine="1200"/>
      </w:pPr>
      <w:r>
        <w:rPr>
          <w:rFonts w:ascii="仿宋_GB2312" w:hAnsi="仿宋_GB2312" w:eastAsia="仿宋_GB2312" w:cs="仿宋_GB2312"/>
        </w:rPr>
        <w:t xml:space="preserve"> （五）项目概况：</w:t>
      </w:r>
    </w:p>
    <w:p w14:paraId="37627B80">
      <w:pPr>
        <w:pStyle w:val="4"/>
        <w:ind w:left="480"/>
      </w:pPr>
      <w:r>
        <w:rPr>
          <w:rFonts w:ascii="仿宋_GB2312" w:hAnsi="仿宋_GB2312" w:eastAsia="仿宋_GB2312" w:cs="仿宋_GB2312"/>
        </w:rPr>
        <w:t>德阳市公安局罗江区分局为了进一步加强公安机关信息安全管理，严格落实公安部关于数字证书全生命周期管控与专人专用的规范要求，分局拟在机关单位部署智能数字证书管理柜。该项目旨在通过“物防+技防”的智能化升级，替代传统人工登记模式，实现数字证书从领用、归存到盘点的全流程闭环管理与精细化身份鉴权，确保证书领用全程留痕、可追溯、防违规，从源头筑牢公安信息网与关键业务数据的安全防线。</w:t>
      </w:r>
    </w:p>
    <w:p w14:paraId="3B9E26D1">
      <w:pPr>
        <w:pStyle w:val="4"/>
      </w:pPr>
      <w:r>
        <w:rPr>
          <w:rFonts w:ascii="仿宋_GB2312" w:hAnsi="仿宋_GB2312" w:eastAsia="仿宋_GB2312" w:cs="仿宋_GB2312"/>
        </w:rPr>
        <w:t xml:space="preserve"> （六）本项目是否有为采购项目提供整体设计、规范编制或者项目管理、监理、检测等服务的供应商：否</w:t>
      </w:r>
    </w:p>
    <w:p w14:paraId="2E110B6C">
      <w:pPr>
        <w:pStyle w:val="4"/>
        <w:outlineLvl w:val="2"/>
      </w:pPr>
      <w:r>
        <w:rPr>
          <w:rFonts w:ascii="仿宋_GB2312" w:hAnsi="仿宋_GB2312" w:eastAsia="仿宋_GB2312" w:cs="仿宋_GB2312"/>
          <w:b/>
          <w:sz w:val="28"/>
        </w:rPr>
        <w:t>二、项目需求调查情况</w:t>
      </w:r>
    </w:p>
    <w:p w14:paraId="4A93A91D">
      <w:pPr>
        <w:pStyle w:val="4"/>
      </w:pPr>
      <w:r>
        <w:rPr>
          <w:rFonts w:ascii="仿宋_GB2312" w:hAnsi="仿宋_GB2312" w:eastAsia="仿宋_GB2312" w:cs="仿宋_GB2312"/>
        </w:rPr>
        <w:t>依据《政府采购需求管理办法》的规定，本项目不需要需求调查，具体情况如下：</w:t>
      </w:r>
    </w:p>
    <w:p w14:paraId="76D7AACF">
      <w:pPr>
        <w:pStyle w:val="4"/>
        <w:outlineLvl w:val="2"/>
      </w:pPr>
      <w:r>
        <w:rPr>
          <w:rFonts w:ascii="仿宋_GB2312" w:hAnsi="仿宋_GB2312" w:eastAsia="仿宋_GB2312" w:cs="仿宋_GB2312"/>
          <w:b/>
          <w:sz w:val="28"/>
        </w:rPr>
        <w:t>三、项目采购实施计划</w:t>
      </w:r>
    </w:p>
    <w:p w14:paraId="07DB2292">
      <w:pPr>
        <w:pStyle w:val="4"/>
      </w:pPr>
      <w:r>
        <w:rPr>
          <w:rFonts w:ascii="仿宋_GB2312" w:hAnsi="仿宋_GB2312" w:eastAsia="仿宋_GB2312" w:cs="仿宋_GB2312"/>
        </w:rPr>
        <w:t>（一）采购组织形式：分散采购</w:t>
      </w:r>
    </w:p>
    <w:p w14:paraId="0B386741">
      <w:pPr>
        <w:pStyle w:val="4"/>
      </w:pPr>
      <w:r>
        <w:rPr>
          <w:rFonts w:ascii="仿宋_GB2312" w:hAnsi="仿宋_GB2312" w:eastAsia="仿宋_GB2312" w:cs="仿宋_GB2312"/>
        </w:rPr>
        <w:t>（二）采购方式：询价</w:t>
      </w:r>
    </w:p>
    <w:p w14:paraId="32111332">
      <w:pPr>
        <w:pStyle w:val="4"/>
      </w:pPr>
      <w:r>
        <w:rPr>
          <w:rFonts w:ascii="仿宋_GB2312" w:hAnsi="仿宋_GB2312" w:eastAsia="仿宋_GB2312" w:cs="仿宋_GB2312"/>
        </w:rPr>
        <w:t>（三）本项目是否单位自行组织采购：否</w:t>
      </w:r>
    </w:p>
    <w:p w14:paraId="56D5E2AA">
      <w:pPr>
        <w:pStyle w:val="4"/>
      </w:pPr>
      <w:r>
        <w:rPr>
          <w:rFonts w:ascii="仿宋_GB2312" w:hAnsi="仿宋_GB2312" w:eastAsia="仿宋_GB2312" w:cs="仿宋_GB2312"/>
        </w:rPr>
        <w:t>（四）采购包划分：不分包采购</w:t>
      </w:r>
    </w:p>
    <w:p w14:paraId="02EBBA14">
      <w:pPr>
        <w:pStyle w:val="4"/>
      </w:pPr>
      <w:r>
        <w:rPr>
          <w:rFonts w:ascii="仿宋_GB2312" w:hAnsi="仿宋_GB2312" w:eastAsia="仿宋_GB2312" w:cs="仿宋_GB2312"/>
        </w:rPr>
        <w:t>（五）执行政府采购促进中小企业发展的相关政策</w:t>
      </w:r>
    </w:p>
    <w:p w14:paraId="72FF581A">
      <w:pPr>
        <w:pStyle w:val="4"/>
      </w:pPr>
      <w:r>
        <w:rPr>
          <w:rFonts w:ascii="仿宋_GB2312" w:hAnsi="仿宋_GB2312" w:eastAsia="仿宋_GB2312" w:cs="仿宋_GB2312"/>
        </w:rPr>
        <w:t>本项目专门面向中小企业采购。面向中小企业采购金额为400000.00元，总体预留比例为100%，其中，面向小微企业采购金额为0.00元，占0%。</w:t>
      </w:r>
    </w:p>
    <w:p w14:paraId="5F70487F">
      <w:pPr>
        <w:pStyle w:val="4"/>
      </w:pPr>
      <w:r>
        <w:rPr>
          <w:rFonts w:ascii="仿宋_GB2312" w:hAnsi="仿宋_GB2312" w:eastAsia="仿宋_GB2312" w:cs="仿宋_GB2312"/>
        </w:rPr>
        <w:t>（六）是否采购环境标识产品：否</w:t>
      </w:r>
    </w:p>
    <w:p w14:paraId="1DD84238">
      <w:pPr>
        <w:pStyle w:val="4"/>
      </w:pPr>
      <w:r>
        <w:rPr>
          <w:rFonts w:ascii="仿宋_GB2312" w:hAnsi="仿宋_GB2312" w:eastAsia="仿宋_GB2312" w:cs="仿宋_GB2312"/>
        </w:rPr>
        <w:t>（七）是否采购节能产品：否</w:t>
      </w:r>
    </w:p>
    <w:p w14:paraId="3DEA7833">
      <w:pPr>
        <w:pStyle w:val="4"/>
      </w:pPr>
      <w:r>
        <w:rPr>
          <w:rFonts w:ascii="仿宋_GB2312" w:hAnsi="仿宋_GB2312" w:eastAsia="仿宋_GB2312" w:cs="仿宋_GB2312"/>
        </w:rPr>
        <w:t>（八）项目的采购标的是否包含进口产品：否</w:t>
      </w:r>
    </w:p>
    <w:p w14:paraId="7AE0F682">
      <w:pPr>
        <w:pStyle w:val="4"/>
      </w:pPr>
      <w:r>
        <w:rPr>
          <w:rFonts w:ascii="仿宋_GB2312" w:hAnsi="仿宋_GB2312" w:eastAsia="仿宋_GB2312" w:cs="仿宋_GB2312"/>
        </w:rPr>
        <w:t>（九）采购标的是否属于政府购买服务：否</w:t>
      </w:r>
    </w:p>
    <w:p w14:paraId="11F7FD4D">
      <w:pPr>
        <w:pStyle w:val="4"/>
      </w:pPr>
      <w:r>
        <w:rPr>
          <w:rFonts w:ascii="仿宋_GB2312" w:hAnsi="仿宋_GB2312" w:eastAsia="仿宋_GB2312" w:cs="仿宋_GB2312"/>
        </w:rPr>
        <w:t>（十）是否属于政务信息系统项目：否</w:t>
      </w:r>
    </w:p>
    <w:p w14:paraId="5E31B5BD">
      <w:pPr>
        <w:pStyle w:val="4"/>
      </w:pPr>
      <w:r>
        <w:rPr>
          <w:rFonts w:ascii="仿宋_GB2312" w:hAnsi="仿宋_GB2312" w:eastAsia="仿宋_GB2312" w:cs="仿宋_GB2312"/>
        </w:rPr>
        <w:t>（十一）是否属于高校、科研院所的科研仪器设备采购：否</w:t>
      </w:r>
    </w:p>
    <w:p w14:paraId="669ADBFE">
      <w:pPr>
        <w:pStyle w:val="4"/>
      </w:pPr>
      <w:r>
        <w:rPr>
          <w:rFonts w:ascii="仿宋_GB2312" w:hAnsi="仿宋_GB2312" w:eastAsia="仿宋_GB2312" w:cs="仿宋_GB2312"/>
        </w:rPr>
        <w:t>（十二）是否属于PPP项目：否</w:t>
      </w:r>
    </w:p>
    <w:p w14:paraId="0C871D78">
      <w:pPr>
        <w:pStyle w:val="4"/>
      </w:pPr>
      <w:r>
        <w:rPr>
          <w:rFonts w:ascii="仿宋_GB2312" w:hAnsi="仿宋_GB2312" w:eastAsia="仿宋_GB2312" w:cs="仿宋_GB2312"/>
        </w:rPr>
        <w:t>（十三）是否属于签订不超过3年履行期限政府采购合同的项目：否</w:t>
      </w:r>
    </w:p>
    <w:p w14:paraId="469C43CD">
      <w:pPr>
        <w:pStyle w:val="4"/>
        <w:ind w:firstLine="1275"/>
        <w:outlineLvl w:val="2"/>
      </w:pPr>
      <w:r>
        <w:rPr>
          <w:rFonts w:ascii="仿宋_GB2312" w:hAnsi="仿宋_GB2312" w:eastAsia="仿宋_GB2312" w:cs="仿宋_GB2312"/>
          <w:b/>
          <w:sz w:val="28"/>
        </w:rPr>
        <w:t>四、项目需求及分包情况、采购标的</w:t>
      </w:r>
    </w:p>
    <w:p w14:paraId="6C824B62">
      <w:pPr>
        <w:pStyle w:val="4"/>
        <w:outlineLvl w:val="4"/>
      </w:pPr>
      <w:r>
        <w:rPr>
          <w:rFonts w:ascii="仿宋_GB2312" w:hAnsi="仿宋_GB2312" w:eastAsia="仿宋_GB2312" w:cs="仿宋_GB2312"/>
          <w:b/>
          <w:sz w:val="20"/>
        </w:rPr>
        <w:t>（一）分包名称：合同包一</w:t>
      </w:r>
    </w:p>
    <w:p w14:paraId="0ACFDCFF">
      <w:pPr>
        <w:pStyle w:val="4"/>
      </w:pPr>
      <w:r>
        <w:rPr>
          <w:rFonts w:ascii="仿宋_GB2312" w:hAnsi="仿宋_GB2312" w:eastAsia="仿宋_GB2312" w:cs="仿宋_GB2312"/>
        </w:rPr>
        <w:t>1、执行政府采购促进中小企业发展的相关政策</w:t>
      </w:r>
    </w:p>
    <w:p w14:paraId="367F2959">
      <w:pPr>
        <w:pStyle w:val="4"/>
      </w:pPr>
      <w:r>
        <w:rPr>
          <w:rFonts w:ascii="仿宋_GB2312" w:hAnsi="仿宋_GB2312" w:eastAsia="仿宋_GB2312" w:cs="仿宋_GB2312"/>
          <w:color w:val="000000"/>
        </w:rPr>
        <w:t>1)</w:t>
      </w:r>
      <w:r>
        <w:rPr>
          <w:rFonts w:ascii="仿宋_GB2312" w:hAnsi="仿宋_GB2312" w:eastAsia="仿宋_GB2312" w:cs="仿宋_GB2312"/>
        </w:rPr>
        <w:t>专门面向中小企业采购</w:t>
      </w:r>
    </w:p>
    <w:p w14:paraId="0D727DD9">
      <w:pPr>
        <w:pStyle w:val="4"/>
        <w:ind w:firstLine="840"/>
      </w:pPr>
      <w:r>
        <w:rPr>
          <w:rFonts w:ascii="仿宋_GB2312" w:hAnsi="仿宋_GB2312" w:eastAsia="仿宋_GB2312" w:cs="仿宋_GB2312"/>
          <w:color w:val="000000"/>
        </w:rPr>
        <w:t>2)面向的企业规模：</w:t>
      </w:r>
      <w:r>
        <w:rPr>
          <w:rFonts w:ascii="仿宋_GB2312" w:hAnsi="仿宋_GB2312" w:eastAsia="仿宋_GB2312" w:cs="仿宋_GB2312"/>
        </w:rPr>
        <w:t>中小企业</w:t>
      </w:r>
    </w:p>
    <w:p w14:paraId="114570FF">
      <w:pPr>
        <w:pStyle w:val="4"/>
        <w:ind w:firstLine="840"/>
      </w:pPr>
      <w:r>
        <w:rPr>
          <w:rFonts w:ascii="仿宋_GB2312" w:hAnsi="仿宋_GB2312" w:eastAsia="仿宋_GB2312" w:cs="仿宋_GB2312"/>
          <w:color w:val="000000"/>
        </w:rPr>
        <w:t>3)预留形式：</w:t>
      </w:r>
      <w:r>
        <w:rPr>
          <w:rFonts w:ascii="仿宋_GB2312" w:hAnsi="仿宋_GB2312" w:eastAsia="仿宋_GB2312" w:cs="仿宋_GB2312"/>
        </w:rPr>
        <w:t>专门采购包预留</w:t>
      </w:r>
    </w:p>
    <w:p w14:paraId="31A92A77">
      <w:pPr>
        <w:pStyle w:val="4"/>
        <w:ind w:firstLine="840"/>
      </w:pPr>
      <w:r>
        <w:rPr>
          <w:rFonts w:ascii="仿宋_GB2312" w:hAnsi="仿宋_GB2312" w:eastAsia="仿宋_GB2312" w:cs="仿宋_GB2312"/>
          <w:color w:val="000000"/>
        </w:rPr>
        <w:t>4)预留比例：</w:t>
      </w:r>
      <w:r>
        <w:rPr>
          <w:rFonts w:ascii="仿宋_GB2312" w:hAnsi="仿宋_GB2312" w:eastAsia="仿宋_GB2312" w:cs="仿宋_GB2312"/>
        </w:rPr>
        <w:t>100%</w:t>
      </w:r>
    </w:p>
    <w:p w14:paraId="1E6ABCB3">
      <w:pPr>
        <w:pStyle w:val="4"/>
      </w:pPr>
      <w:r>
        <w:rPr>
          <w:rFonts w:ascii="仿宋_GB2312" w:hAnsi="仿宋_GB2312" w:eastAsia="仿宋_GB2312" w:cs="仿宋_GB2312"/>
        </w:rPr>
        <w:t>2、预算金额（元）：400,000.00 ，大写（人民币）： 肆拾万元整</w:t>
      </w:r>
    </w:p>
    <w:p w14:paraId="3B0A49DB">
      <w:pPr>
        <w:pStyle w:val="4"/>
        <w:ind w:firstLine="780"/>
      </w:pPr>
      <w:r>
        <w:rPr>
          <w:rFonts w:ascii="仿宋_GB2312" w:hAnsi="仿宋_GB2312" w:eastAsia="仿宋_GB2312" w:cs="仿宋_GB2312"/>
        </w:rPr>
        <w:t xml:space="preserve"> 最高限价（元）： 400,000.00 ，大写（人民币）： 肆拾万元整</w:t>
      </w:r>
    </w:p>
    <w:p w14:paraId="107B9A39">
      <w:pPr>
        <w:pStyle w:val="4"/>
      </w:pPr>
      <w:r>
        <w:rPr>
          <w:rFonts w:ascii="仿宋_GB2312" w:hAnsi="仿宋_GB2312" w:eastAsia="仿宋_GB2312" w:cs="仿宋_GB2312"/>
        </w:rPr>
        <w:t>3、评审方法：最低评标价法</w:t>
      </w:r>
    </w:p>
    <w:p w14:paraId="56D6057B">
      <w:pPr>
        <w:pStyle w:val="4"/>
      </w:pPr>
      <w:r>
        <w:rPr>
          <w:rFonts w:ascii="仿宋_GB2312" w:hAnsi="仿宋_GB2312" w:eastAsia="仿宋_GB2312" w:cs="仿宋_GB2312"/>
        </w:rPr>
        <w:t>4、定价方式：固定总价</w:t>
      </w:r>
    </w:p>
    <w:p w14:paraId="34E9D27C">
      <w:pPr>
        <w:pStyle w:val="4"/>
      </w:pPr>
      <w:r>
        <w:rPr>
          <w:rFonts w:ascii="仿宋_GB2312" w:hAnsi="仿宋_GB2312" w:eastAsia="仿宋_GB2312" w:cs="仿宋_GB2312"/>
        </w:rPr>
        <w:t>5、是否适用本国产品标准：否</w:t>
      </w:r>
    </w:p>
    <w:p w14:paraId="0E69C6EE">
      <w:pPr>
        <w:pStyle w:val="4"/>
      </w:pPr>
      <w:r>
        <w:rPr>
          <w:rFonts w:ascii="仿宋_GB2312" w:hAnsi="仿宋_GB2312" w:eastAsia="仿宋_GB2312" w:cs="仿宋_GB2312"/>
        </w:rPr>
        <w:t>6、是否支持联合体投标：否</w:t>
      </w:r>
    </w:p>
    <w:p w14:paraId="74F902AD">
      <w:pPr>
        <w:pStyle w:val="4"/>
      </w:pPr>
      <w:r>
        <w:rPr>
          <w:rFonts w:ascii="仿宋_GB2312" w:hAnsi="仿宋_GB2312" w:eastAsia="仿宋_GB2312" w:cs="仿宋_GB2312"/>
        </w:rPr>
        <w:t>7、是否允许合同分包选项：否</w:t>
      </w:r>
    </w:p>
    <w:p w14:paraId="2925226D">
      <w:pPr>
        <w:pStyle w:val="4"/>
      </w:pPr>
      <w:r>
        <w:rPr>
          <w:rFonts w:ascii="仿宋_GB2312" w:hAnsi="仿宋_GB2312" w:eastAsia="仿宋_GB2312" w:cs="仿宋_GB2312"/>
        </w:rPr>
        <w:t>8、拟采购标的的技术要求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97"/>
        <w:gridCol w:w="1993"/>
        <w:gridCol w:w="1661"/>
        <w:gridCol w:w="1993"/>
        <w:gridCol w:w="1661"/>
      </w:tblGrid>
      <w:tr w14:paraId="79F8F2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restart"/>
          </w:tcPr>
          <w:p w14:paraId="399565C0">
            <w:pPr>
              <w:pStyle w:val="4"/>
            </w:pPr>
            <w:r>
              <w:rPr>
                <w:rFonts w:ascii="仿宋_GB2312" w:hAnsi="仿宋_GB2312" w:eastAsia="仿宋_GB2312" w:cs="仿宋_GB2312"/>
              </w:rPr>
              <w:t>1</w:t>
            </w:r>
          </w:p>
        </w:tc>
        <w:tc>
          <w:tcPr>
            <w:tcW w:w="1993" w:type="dxa"/>
          </w:tcPr>
          <w:p w14:paraId="54CC10A2">
            <w:pPr>
              <w:pStyle w:val="4"/>
              <w:jc w:val="center"/>
            </w:pPr>
            <w:r>
              <w:rPr>
                <w:rFonts w:ascii="仿宋_GB2312" w:hAnsi="仿宋_GB2312" w:eastAsia="仿宋_GB2312" w:cs="仿宋_GB2312"/>
                <w:b/>
                <w:color w:val="000000"/>
              </w:rPr>
              <w:t>采购品目</w:t>
            </w:r>
          </w:p>
        </w:tc>
        <w:tc>
          <w:tcPr>
            <w:tcW w:w="1661" w:type="dxa"/>
          </w:tcPr>
          <w:p w14:paraId="4F440E07">
            <w:pPr>
              <w:pStyle w:val="4"/>
            </w:pPr>
            <w:r>
              <w:rPr>
                <w:rFonts w:ascii="仿宋_GB2312" w:hAnsi="仿宋_GB2312" w:eastAsia="仿宋_GB2312" w:cs="仿宋_GB2312"/>
              </w:rPr>
              <w:t>A05010599 其他柜类</w:t>
            </w:r>
          </w:p>
        </w:tc>
        <w:tc>
          <w:tcPr>
            <w:tcW w:w="1993" w:type="dxa"/>
          </w:tcPr>
          <w:p w14:paraId="0187F05E">
            <w:pPr>
              <w:pStyle w:val="4"/>
              <w:jc w:val="center"/>
            </w:pPr>
            <w:r>
              <w:rPr>
                <w:rFonts w:ascii="仿宋_GB2312" w:hAnsi="仿宋_GB2312" w:eastAsia="仿宋_GB2312" w:cs="仿宋_GB2312"/>
                <w:b/>
                <w:color w:val="000000"/>
              </w:rPr>
              <w:t>标的名称</w:t>
            </w:r>
          </w:p>
        </w:tc>
        <w:tc>
          <w:tcPr>
            <w:tcW w:w="1661" w:type="dxa"/>
          </w:tcPr>
          <w:p w14:paraId="1372763B">
            <w:pPr>
              <w:pStyle w:val="4"/>
            </w:pPr>
            <w:r>
              <w:rPr>
                <w:rFonts w:ascii="仿宋_GB2312" w:hAnsi="仿宋_GB2312" w:eastAsia="仿宋_GB2312" w:cs="仿宋_GB2312"/>
              </w:rPr>
              <w:t>数字证书保险柜</w:t>
            </w:r>
          </w:p>
        </w:tc>
      </w:tr>
      <w:tr w14:paraId="2182BE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1FEAAF41"/>
        </w:tc>
        <w:tc>
          <w:tcPr>
            <w:tcW w:w="1993" w:type="dxa"/>
          </w:tcPr>
          <w:p w14:paraId="08D9D799">
            <w:pPr>
              <w:pStyle w:val="4"/>
              <w:jc w:val="center"/>
            </w:pPr>
            <w:r>
              <w:rPr>
                <w:rFonts w:ascii="仿宋_GB2312" w:hAnsi="仿宋_GB2312" w:eastAsia="仿宋_GB2312" w:cs="仿宋_GB2312"/>
                <w:b/>
                <w:color w:val="000000"/>
              </w:rPr>
              <w:t>数量</w:t>
            </w:r>
          </w:p>
        </w:tc>
        <w:tc>
          <w:tcPr>
            <w:tcW w:w="1661" w:type="dxa"/>
          </w:tcPr>
          <w:p w14:paraId="3C7392F6">
            <w:pPr>
              <w:pStyle w:val="4"/>
              <w:jc w:val="right"/>
            </w:pPr>
            <w:r>
              <w:rPr>
                <w:rFonts w:ascii="仿宋_GB2312" w:hAnsi="仿宋_GB2312" w:eastAsia="仿宋_GB2312" w:cs="仿宋_GB2312"/>
              </w:rPr>
              <w:t>1.00</w:t>
            </w:r>
          </w:p>
        </w:tc>
        <w:tc>
          <w:tcPr>
            <w:tcW w:w="1993" w:type="dxa"/>
          </w:tcPr>
          <w:p w14:paraId="3694CA63">
            <w:pPr>
              <w:pStyle w:val="4"/>
              <w:jc w:val="center"/>
            </w:pPr>
            <w:r>
              <w:rPr>
                <w:rFonts w:ascii="仿宋_GB2312" w:hAnsi="仿宋_GB2312" w:eastAsia="仿宋_GB2312" w:cs="仿宋_GB2312"/>
                <w:b/>
                <w:color w:val="000000"/>
              </w:rPr>
              <w:t>单位</w:t>
            </w:r>
          </w:p>
        </w:tc>
        <w:tc>
          <w:tcPr>
            <w:tcW w:w="1661" w:type="dxa"/>
          </w:tcPr>
          <w:p w14:paraId="7B4660DA">
            <w:pPr>
              <w:pStyle w:val="4"/>
            </w:pPr>
            <w:r>
              <w:rPr>
                <w:rFonts w:ascii="仿宋_GB2312" w:hAnsi="仿宋_GB2312" w:eastAsia="仿宋_GB2312" w:cs="仿宋_GB2312"/>
              </w:rPr>
              <w:t>套</w:t>
            </w:r>
          </w:p>
        </w:tc>
      </w:tr>
      <w:tr w14:paraId="6729B5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49FBFA07"/>
        </w:tc>
        <w:tc>
          <w:tcPr>
            <w:tcW w:w="1993" w:type="dxa"/>
          </w:tcPr>
          <w:p w14:paraId="0F5A3B13">
            <w:pPr>
              <w:pStyle w:val="4"/>
              <w:jc w:val="center"/>
            </w:pPr>
            <w:r>
              <w:rPr>
                <w:rFonts w:ascii="仿宋_GB2312" w:hAnsi="仿宋_GB2312" w:eastAsia="仿宋_GB2312" w:cs="仿宋_GB2312"/>
                <w:b/>
                <w:color w:val="000000"/>
              </w:rPr>
              <w:t>合计金额（元）</w:t>
            </w:r>
          </w:p>
        </w:tc>
        <w:tc>
          <w:tcPr>
            <w:tcW w:w="1661" w:type="dxa"/>
          </w:tcPr>
          <w:p w14:paraId="53CDAD0C">
            <w:pPr>
              <w:pStyle w:val="4"/>
              <w:jc w:val="right"/>
            </w:pPr>
            <w:r>
              <w:rPr>
                <w:rFonts w:ascii="仿宋_GB2312" w:hAnsi="仿宋_GB2312" w:eastAsia="仿宋_GB2312" w:cs="仿宋_GB2312"/>
              </w:rPr>
              <w:t>400,000.00</w:t>
            </w:r>
          </w:p>
        </w:tc>
        <w:tc>
          <w:tcPr>
            <w:tcW w:w="1993" w:type="dxa"/>
          </w:tcPr>
          <w:p w14:paraId="472AC112">
            <w:pPr>
              <w:pStyle w:val="4"/>
              <w:jc w:val="center"/>
            </w:pPr>
            <w:r>
              <w:rPr>
                <w:rFonts w:ascii="仿宋_GB2312" w:hAnsi="仿宋_GB2312" w:eastAsia="仿宋_GB2312" w:cs="仿宋_GB2312"/>
                <w:b/>
                <w:color w:val="000000"/>
              </w:rPr>
              <w:t>单价（元）</w:t>
            </w:r>
          </w:p>
        </w:tc>
        <w:tc>
          <w:tcPr>
            <w:tcW w:w="1661" w:type="dxa"/>
          </w:tcPr>
          <w:p w14:paraId="5870D635">
            <w:pPr>
              <w:pStyle w:val="4"/>
              <w:jc w:val="right"/>
            </w:pPr>
            <w:r>
              <w:rPr>
                <w:rFonts w:ascii="仿宋_GB2312" w:hAnsi="仿宋_GB2312" w:eastAsia="仿宋_GB2312" w:cs="仿宋_GB2312"/>
              </w:rPr>
              <w:t>400,000.00</w:t>
            </w:r>
          </w:p>
        </w:tc>
      </w:tr>
      <w:tr w14:paraId="1487A6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40373F9E"/>
        </w:tc>
        <w:tc>
          <w:tcPr>
            <w:tcW w:w="1993" w:type="dxa"/>
          </w:tcPr>
          <w:p w14:paraId="0B188A5D">
            <w:pPr>
              <w:pStyle w:val="4"/>
              <w:jc w:val="center"/>
            </w:pPr>
            <w:r>
              <w:rPr>
                <w:rFonts w:ascii="仿宋_GB2312" w:hAnsi="仿宋_GB2312" w:eastAsia="仿宋_GB2312" w:cs="仿宋_GB2312"/>
                <w:b/>
                <w:color w:val="000000"/>
              </w:rPr>
              <w:t>是否涉及强制采购节能产品</w:t>
            </w:r>
          </w:p>
        </w:tc>
        <w:tc>
          <w:tcPr>
            <w:tcW w:w="1661" w:type="dxa"/>
          </w:tcPr>
          <w:p w14:paraId="5E90DA03">
            <w:pPr>
              <w:pStyle w:val="4"/>
            </w:pPr>
            <w:r>
              <w:rPr>
                <w:rFonts w:ascii="仿宋_GB2312" w:hAnsi="仿宋_GB2312" w:eastAsia="仿宋_GB2312" w:cs="仿宋_GB2312"/>
              </w:rPr>
              <w:t>否</w:t>
            </w:r>
          </w:p>
        </w:tc>
        <w:tc>
          <w:tcPr>
            <w:tcW w:w="1993" w:type="dxa"/>
          </w:tcPr>
          <w:p w14:paraId="36C9F311">
            <w:pPr>
              <w:pStyle w:val="4"/>
              <w:jc w:val="center"/>
            </w:pPr>
            <w:r>
              <w:rPr>
                <w:rFonts w:ascii="仿宋_GB2312" w:hAnsi="仿宋_GB2312" w:eastAsia="仿宋_GB2312" w:cs="仿宋_GB2312"/>
                <w:b/>
                <w:color w:val="000000"/>
              </w:rPr>
              <w:t>不涉及强制采购节能产品原因</w:t>
            </w:r>
          </w:p>
        </w:tc>
        <w:tc>
          <w:tcPr>
            <w:tcW w:w="1661" w:type="dxa"/>
          </w:tcPr>
          <w:p w14:paraId="5AE4E2F9">
            <w:pPr>
              <w:pStyle w:val="4"/>
            </w:pPr>
            <w:r>
              <w:rPr>
                <w:rFonts w:ascii="仿宋_GB2312" w:hAnsi="仿宋_GB2312" w:eastAsia="仿宋_GB2312" w:cs="仿宋_GB2312"/>
              </w:rPr>
              <w:t>无</w:t>
            </w:r>
          </w:p>
        </w:tc>
      </w:tr>
      <w:tr w14:paraId="210419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4589EFC6"/>
        </w:tc>
        <w:tc>
          <w:tcPr>
            <w:tcW w:w="1993" w:type="dxa"/>
          </w:tcPr>
          <w:p w14:paraId="6AC63351">
            <w:pPr>
              <w:pStyle w:val="4"/>
              <w:jc w:val="center"/>
            </w:pPr>
            <w:r>
              <w:rPr>
                <w:rFonts w:ascii="仿宋_GB2312" w:hAnsi="仿宋_GB2312" w:eastAsia="仿宋_GB2312" w:cs="仿宋_GB2312"/>
                <w:b/>
                <w:color w:val="000000"/>
              </w:rPr>
              <w:t>是否涉及优先采购环境标志产品</w:t>
            </w:r>
          </w:p>
        </w:tc>
        <w:tc>
          <w:tcPr>
            <w:tcW w:w="1661" w:type="dxa"/>
          </w:tcPr>
          <w:p w14:paraId="19102D49">
            <w:pPr>
              <w:pStyle w:val="4"/>
            </w:pPr>
            <w:r>
              <w:rPr>
                <w:rFonts w:ascii="仿宋_GB2312" w:hAnsi="仿宋_GB2312" w:eastAsia="仿宋_GB2312" w:cs="仿宋_GB2312"/>
              </w:rPr>
              <w:t>否</w:t>
            </w:r>
          </w:p>
        </w:tc>
        <w:tc>
          <w:tcPr>
            <w:tcW w:w="1993" w:type="dxa"/>
          </w:tcPr>
          <w:p w14:paraId="29A78B27">
            <w:pPr>
              <w:pStyle w:val="4"/>
              <w:jc w:val="center"/>
            </w:pPr>
            <w:r>
              <w:rPr>
                <w:rFonts w:ascii="仿宋_GB2312" w:hAnsi="仿宋_GB2312" w:eastAsia="仿宋_GB2312" w:cs="仿宋_GB2312"/>
                <w:b/>
                <w:color w:val="000000"/>
              </w:rPr>
              <w:t>不涉及优先采购环境标志产品原因</w:t>
            </w:r>
          </w:p>
        </w:tc>
        <w:tc>
          <w:tcPr>
            <w:tcW w:w="1661" w:type="dxa"/>
          </w:tcPr>
          <w:p w14:paraId="7C50F0DA">
            <w:pPr>
              <w:pStyle w:val="4"/>
            </w:pPr>
            <w:r>
              <w:rPr>
                <w:rFonts w:ascii="仿宋_GB2312" w:hAnsi="仿宋_GB2312" w:eastAsia="仿宋_GB2312" w:cs="仿宋_GB2312"/>
              </w:rPr>
              <w:t>无</w:t>
            </w:r>
          </w:p>
        </w:tc>
      </w:tr>
      <w:tr w14:paraId="674961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vMerge w:val="continue"/>
          </w:tcPr>
          <w:p w14:paraId="739903B5"/>
        </w:tc>
        <w:tc>
          <w:tcPr>
            <w:tcW w:w="1993" w:type="dxa"/>
          </w:tcPr>
          <w:p w14:paraId="6131AD55">
            <w:pPr>
              <w:pStyle w:val="4"/>
              <w:jc w:val="center"/>
            </w:pPr>
            <w:r>
              <w:rPr>
                <w:rFonts w:ascii="仿宋_GB2312" w:hAnsi="仿宋_GB2312" w:eastAsia="仿宋_GB2312" w:cs="仿宋_GB2312"/>
                <w:b/>
                <w:color w:val="000000"/>
              </w:rPr>
              <w:t>是否涉及采购进口产品</w:t>
            </w:r>
          </w:p>
        </w:tc>
        <w:tc>
          <w:tcPr>
            <w:tcW w:w="1661" w:type="dxa"/>
          </w:tcPr>
          <w:p w14:paraId="4E56B3C3">
            <w:pPr>
              <w:pStyle w:val="4"/>
            </w:pPr>
            <w:r>
              <w:rPr>
                <w:rFonts w:ascii="仿宋_GB2312" w:hAnsi="仿宋_GB2312" w:eastAsia="仿宋_GB2312" w:cs="仿宋_GB2312"/>
              </w:rPr>
              <w:t>否</w:t>
            </w:r>
          </w:p>
        </w:tc>
        <w:tc>
          <w:tcPr>
            <w:tcW w:w="1993" w:type="dxa"/>
          </w:tcPr>
          <w:p w14:paraId="1AF3472E">
            <w:pPr>
              <w:pStyle w:val="4"/>
              <w:jc w:val="center"/>
            </w:pPr>
            <w:r>
              <w:rPr>
                <w:rFonts w:ascii="仿宋_GB2312" w:hAnsi="仿宋_GB2312" w:eastAsia="仿宋_GB2312" w:cs="仿宋_GB2312"/>
                <w:b/>
                <w:color w:val="000000"/>
              </w:rPr>
              <w:t>标的物所属行业</w:t>
            </w:r>
          </w:p>
        </w:tc>
        <w:tc>
          <w:tcPr>
            <w:tcW w:w="1661" w:type="dxa"/>
          </w:tcPr>
          <w:p w14:paraId="2ACB223E">
            <w:pPr>
              <w:pStyle w:val="4"/>
            </w:pPr>
            <w:r>
              <w:rPr>
                <w:rFonts w:ascii="仿宋_GB2312" w:hAnsi="仿宋_GB2312" w:eastAsia="仿宋_GB2312" w:cs="仿宋_GB2312"/>
              </w:rPr>
              <w:t>工业</w:t>
            </w:r>
          </w:p>
        </w:tc>
      </w:tr>
    </w:tbl>
    <w:p w14:paraId="64A1AB98">
      <w:pPr>
        <w:pStyle w:val="4"/>
      </w:pPr>
      <w:r>
        <w:rPr>
          <w:rFonts w:ascii="仿宋_GB2312" w:hAnsi="仿宋_GB2312" w:eastAsia="仿宋_GB2312" w:cs="仿宋_GB2312"/>
        </w:rPr>
        <w:t>标的名称：数字证书保险柜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29"/>
        <w:gridCol w:w="810"/>
        <w:gridCol w:w="1560"/>
        <w:gridCol w:w="4635"/>
      </w:tblGrid>
      <w:tr w14:paraId="3C0CBE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29" w:type="dxa"/>
          </w:tcPr>
          <w:p w14:paraId="11A1011B">
            <w:pPr>
              <w:pStyle w:val="4"/>
            </w:pPr>
            <w:r>
              <w:rPr>
                <w:rFonts w:ascii="仿宋_GB2312" w:hAnsi="仿宋_GB2312" w:eastAsia="仿宋_GB2312" w:cs="仿宋_GB2312"/>
              </w:rPr>
              <w:t xml:space="preserve"> 参数性质</w:t>
            </w:r>
          </w:p>
        </w:tc>
        <w:tc>
          <w:tcPr>
            <w:tcW w:w="810" w:type="dxa"/>
          </w:tcPr>
          <w:p w14:paraId="4DC8CEB6">
            <w:pPr>
              <w:pStyle w:val="4"/>
            </w:pPr>
            <w:r>
              <w:rPr>
                <w:rFonts w:ascii="仿宋_GB2312" w:hAnsi="仿宋_GB2312" w:eastAsia="仿宋_GB2312" w:cs="仿宋_GB2312"/>
              </w:rPr>
              <w:t xml:space="preserve"> 序号</w:t>
            </w:r>
          </w:p>
        </w:tc>
        <w:tc>
          <w:tcPr>
            <w:tcW w:w="1560" w:type="dxa"/>
          </w:tcPr>
          <w:p w14:paraId="737ED7F3">
            <w:pPr>
              <w:pStyle w:val="4"/>
            </w:pPr>
            <w:r>
              <w:rPr>
                <w:rFonts w:ascii="仿宋_GB2312" w:hAnsi="仿宋_GB2312" w:eastAsia="仿宋_GB2312" w:cs="仿宋_GB2312"/>
              </w:rPr>
              <w:t xml:space="preserve"> 技术要求名称</w:t>
            </w:r>
          </w:p>
        </w:tc>
        <w:tc>
          <w:tcPr>
            <w:tcW w:w="4635" w:type="dxa"/>
          </w:tcPr>
          <w:p w14:paraId="5FF109C4">
            <w:pPr>
              <w:pStyle w:val="4"/>
            </w:pPr>
            <w:r>
              <w:rPr>
                <w:rFonts w:ascii="仿宋_GB2312" w:hAnsi="仿宋_GB2312" w:eastAsia="仿宋_GB2312" w:cs="仿宋_GB2312"/>
              </w:rPr>
              <w:t xml:space="preserve"> 技术参数与性能指标</w:t>
            </w:r>
          </w:p>
        </w:tc>
      </w:tr>
      <w:tr w14:paraId="3BB206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29" w:type="dxa"/>
          </w:tcPr>
          <w:p w14:paraId="46A7C75C"/>
        </w:tc>
        <w:tc>
          <w:tcPr>
            <w:tcW w:w="810" w:type="dxa"/>
          </w:tcPr>
          <w:p w14:paraId="20394168">
            <w:pPr>
              <w:pStyle w:val="4"/>
            </w:pPr>
            <w:r>
              <w:rPr>
                <w:rFonts w:ascii="仿宋_GB2312" w:hAnsi="仿宋_GB2312" w:eastAsia="仿宋_GB2312" w:cs="仿宋_GB2312"/>
              </w:rPr>
              <w:t>1</w:t>
            </w:r>
          </w:p>
        </w:tc>
        <w:tc>
          <w:tcPr>
            <w:tcW w:w="1560" w:type="dxa"/>
          </w:tcPr>
          <w:p w14:paraId="4141A760">
            <w:pPr>
              <w:pStyle w:val="4"/>
            </w:pPr>
            <w:r>
              <w:rPr>
                <w:rFonts w:ascii="仿宋_GB2312" w:hAnsi="仿宋_GB2312" w:eastAsia="仿宋_GB2312" w:cs="仿宋_GB2312"/>
              </w:rPr>
              <w:t>数字证书监督管理柜</w:t>
            </w:r>
          </w:p>
        </w:tc>
        <w:tc>
          <w:tcPr>
            <w:tcW w:w="4635" w:type="dxa"/>
          </w:tcPr>
          <w:p w14:paraId="5A196DE8">
            <w:pPr>
              <w:pStyle w:val="4"/>
              <w:rPr>
                <w:rFonts w:hint="eastAsia" w:ascii="仿宋_GB2312" w:hAnsi="仿宋_GB2312" w:eastAsia="仿宋_GB2312" w:cs="仿宋_GB2312"/>
                <w:sz w:val="21"/>
              </w:rPr>
            </w:pPr>
            <w:r>
              <w:rPr>
                <w:rFonts w:hint="eastAsia" w:ascii="仿宋_GB2312" w:hAnsi="仿宋_GB2312" w:eastAsia="仿宋_GB2312" w:cs="仿宋_GB2312"/>
                <w:sz w:val="21"/>
              </w:rPr>
              <w:t>1、一体化机柜，柜体根据储位分别提供20储位证书柜3台、30储位证书柜7台、以及40储位证书柜4台。柜体表面应平整，具有防锈蚀的涂层，能有效对柜体内存放的证书起到保护作用，并具有停电、停网应急开锁装置。</w:t>
            </w:r>
          </w:p>
          <w:p w14:paraId="56348B46">
            <w:pPr>
              <w:pStyle w:val="4"/>
              <w:rPr>
                <w:rFonts w:hint="eastAsia" w:ascii="仿宋_GB2312" w:hAnsi="仿宋_GB2312" w:eastAsia="仿宋_GB2312" w:cs="仿宋_GB2312"/>
                <w:sz w:val="21"/>
              </w:rPr>
            </w:pPr>
          </w:p>
          <w:p w14:paraId="7BABF979">
            <w:pPr>
              <w:pStyle w:val="4"/>
              <w:rPr>
                <w:rFonts w:hint="eastAsia" w:ascii="仿宋_GB2312" w:hAnsi="仿宋_GB2312" w:eastAsia="仿宋_GB2312" w:cs="仿宋_GB2312"/>
                <w:sz w:val="21"/>
              </w:rPr>
            </w:pPr>
            <w:r>
              <w:rPr>
                <w:rFonts w:hint="eastAsia" w:ascii="仿宋_GB2312" w:hAnsi="仿宋_GB2312" w:eastAsia="仿宋_GB2312" w:cs="仿宋_GB2312"/>
                <w:sz w:val="21"/>
              </w:rPr>
              <w:t>2、20储位的外形尺寸的长×高×厚应≤82cm×48cm×23cm，≥60cm×35cm×16cm。</w:t>
            </w:r>
          </w:p>
          <w:p w14:paraId="5B7F4FEC">
            <w:pPr>
              <w:pStyle w:val="4"/>
              <w:rPr>
                <w:rFonts w:hint="eastAsia" w:ascii="仿宋_GB2312" w:hAnsi="仿宋_GB2312" w:eastAsia="仿宋_GB2312" w:cs="仿宋_GB2312"/>
                <w:sz w:val="21"/>
              </w:rPr>
            </w:pPr>
          </w:p>
          <w:p w14:paraId="4D54225D">
            <w:pPr>
              <w:pStyle w:val="4"/>
              <w:rPr>
                <w:rFonts w:hint="eastAsia" w:ascii="仿宋_GB2312" w:hAnsi="仿宋_GB2312" w:eastAsia="仿宋_GB2312" w:cs="仿宋_GB2312"/>
                <w:sz w:val="21"/>
              </w:rPr>
            </w:pPr>
            <w:r>
              <w:rPr>
                <w:rFonts w:hint="eastAsia" w:ascii="仿宋_GB2312" w:hAnsi="仿宋_GB2312" w:eastAsia="仿宋_GB2312" w:cs="仿宋_GB2312"/>
                <w:sz w:val="21"/>
              </w:rPr>
              <w:t>3、30储位的外形尺寸的长×高×厚应≤82cm×68cm×23cm，≥60cm×48cm×16cm。</w:t>
            </w:r>
          </w:p>
          <w:p w14:paraId="58AA6E7B">
            <w:pPr>
              <w:pStyle w:val="4"/>
              <w:rPr>
                <w:rFonts w:hint="eastAsia" w:ascii="仿宋_GB2312" w:hAnsi="仿宋_GB2312" w:eastAsia="仿宋_GB2312" w:cs="仿宋_GB2312"/>
                <w:sz w:val="21"/>
              </w:rPr>
            </w:pPr>
          </w:p>
          <w:p w14:paraId="638AE1C4">
            <w:pPr>
              <w:pStyle w:val="4"/>
              <w:rPr>
                <w:rFonts w:hint="eastAsia" w:ascii="仿宋_GB2312" w:hAnsi="仿宋_GB2312" w:eastAsia="仿宋_GB2312" w:cs="仿宋_GB2312"/>
                <w:sz w:val="21"/>
              </w:rPr>
            </w:pPr>
            <w:r>
              <w:rPr>
                <w:rFonts w:hint="eastAsia" w:ascii="仿宋_GB2312" w:hAnsi="仿宋_GB2312" w:eastAsia="仿宋_GB2312" w:cs="仿宋_GB2312"/>
                <w:sz w:val="21"/>
              </w:rPr>
              <w:t>4、40储位的外形尺寸的长×高×厚应≤82cm×68cm×23cm，≥60cm×63cm×16cm。</w:t>
            </w:r>
          </w:p>
          <w:p w14:paraId="144B98CB">
            <w:pPr>
              <w:pStyle w:val="4"/>
              <w:rPr>
                <w:rFonts w:hint="eastAsia" w:ascii="仿宋_GB2312" w:hAnsi="仿宋_GB2312" w:eastAsia="仿宋_GB2312" w:cs="仿宋_GB2312"/>
                <w:sz w:val="21"/>
              </w:rPr>
            </w:pPr>
          </w:p>
          <w:p w14:paraId="216B9AA7">
            <w:pPr>
              <w:pStyle w:val="4"/>
              <w:rPr>
                <w:rFonts w:hint="eastAsia" w:ascii="仿宋_GB2312" w:hAnsi="仿宋_GB2312" w:eastAsia="仿宋_GB2312" w:cs="仿宋_GB2312"/>
                <w:sz w:val="21"/>
              </w:rPr>
            </w:pPr>
            <w:r>
              <w:rPr>
                <w:rFonts w:hint="eastAsia" w:ascii="仿宋_GB2312" w:hAnsi="仿宋_GB2312" w:eastAsia="仿宋_GB2312" w:cs="仿宋_GB2312"/>
                <w:sz w:val="21"/>
              </w:rPr>
              <w:t>5、柜体应采用≥1.0mm厚的钢板制作，柜体外表面应平整、不应有明显的划痕、凹坑、凹陷、焊渣等缺陷。</w:t>
            </w:r>
          </w:p>
          <w:p w14:paraId="17F07190">
            <w:pPr>
              <w:pStyle w:val="4"/>
              <w:rPr>
                <w:rFonts w:hint="eastAsia" w:ascii="仿宋_GB2312" w:hAnsi="仿宋_GB2312" w:eastAsia="仿宋_GB2312" w:cs="仿宋_GB2312"/>
                <w:sz w:val="21"/>
              </w:rPr>
            </w:pPr>
          </w:p>
          <w:p w14:paraId="2BAE33CF">
            <w:pPr>
              <w:pStyle w:val="4"/>
              <w:rPr>
                <w:rFonts w:hint="eastAsia" w:ascii="仿宋_GB2312" w:hAnsi="仿宋_GB2312" w:eastAsia="仿宋_GB2312" w:cs="仿宋_GB2312"/>
                <w:sz w:val="21"/>
              </w:rPr>
            </w:pPr>
            <w:r>
              <w:rPr>
                <w:rFonts w:hint="eastAsia" w:ascii="仿宋_GB2312" w:hAnsi="仿宋_GB2312" w:eastAsia="仿宋_GB2312" w:cs="仿宋_GB2312"/>
                <w:sz w:val="21"/>
              </w:rPr>
              <w:t>6、储位内空间尺寸应满足公安数字证书的独立存放需求，且便于存取操作。数字证书插入的USB接口具有前维护能力，更换USB母座不需要打开柜体背盖，打开储位门，通过使用螺丝刀等专用工具即可方便更换USB母座。</w:t>
            </w:r>
          </w:p>
          <w:p w14:paraId="2F8A8EA3">
            <w:pPr>
              <w:pStyle w:val="4"/>
              <w:rPr>
                <w:rFonts w:hint="eastAsia" w:ascii="仿宋_GB2312" w:hAnsi="仿宋_GB2312" w:eastAsia="仿宋_GB2312" w:cs="仿宋_GB2312"/>
                <w:sz w:val="21"/>
              </w:rPr>
            </w:pPr>
          </w:p>
          <w:p w14:paraId="628CA088">
            <w:pPr>
              <w:pStyle w:val="4"/>
              <w:rPr>
                <w:rFonts w:hint="eastAsia" w:ascii="仿宋_GB2312" w:hAnsi="仿宋_GB2312" w:eastAsia="仿宋_GB2312" w:cs="仿宋_GB2312"/>
                <w:sz w:val="21"/>
              </w:rPr>
            </w:pPr>
            <w:r>
              <w:rPr>
                <w:rFonts w:hint="eastAsia" w:ascii="仿宋_GB2312" w:hAnsi="仿宋_GB2312" w:eastAsia="仿宋_GB2312" w:cs="仿宋_GB2312"/>
                <w:sz w:val="21"/>
              </w:rPr>
              <w:t>7、储位内的USB母座为USB-A AF标准，可以支持数字证书插入的能力，提高便捷实用性。</w:t>
            </w:r>
          </w:p>
          <w:p w14:paraId="12F31A82">
            <w:pPr>
              <w:pStyle w:val="4"/>
              <w:rPr>
                <w:rFonts w:hint="eastAsia" w:ascii="仿宋_GB2312" w:hAnsi="仿宋_GB2312" w:eastAsia="仿宋_GB2312" w:cs="仿宋_GB2312"/>
                <w:sz w:val="21"/>
              </w:rPr>
            </w:pPr>
          </w:p>
          <w:p w14:paraId="4A8636D5">
            <w:pPr>
              <w:pStyle w:val="4"/>
              <w:rPr>
                <w:rFonts w:hint="eastAsia" w:ascii="仿宋_GB2312" w:hAnsi="仿宋_GB2312" w:eastAsia="仿宋_GB2312" w:cs="仿宋_GB2312"/>
                <w:sz w:val="21"/>
              </w:rPr>
            </w:pPr>
            <w:r>
              <w:rPr>
                <w:rFonts w:hint="eastAsia" w:ascii="仿宋_GB2312" w:hAnsi="仿宋_GB2312" w:eastAsia="仿宋_GB2312" w:cs="仿宋_GB2312"/>
                <w:sz w:val="21"/>
              </w:rPr>
              <w:t>8、具备5个以上USB接口，USB通用串行总线，接口可连接多种外设，如鼠标和键盘等。USB具有传输速度更快，支持热插拔以及连接多个设备。</w:t>
            </w:r>
          </w:p>
          <w:p w14:paraId="367A6398">
            <w:pPr>
              <w:pStyle w:val="4"/>
              <w:rPr>
                <w:rFonts w:hint="eastAsia" w:ascii="仿宋_GB2312" w:hAnsi="仿宋_GB2312" w:eastAsia="仿宋_GB2312" w:cs="仿宋_GB2312"/>
                <w:sz w:val="21"/>
              </w:rPr>
            </w:pPr>
          </w:p>
          <w:p w14:paraId="0A2836D1">
            <w:pPr>
              <w:pStyle w:val="4"/>
              <w:rPr>
                <w:rFonts w:hint="eastAsia" w:ascii="仿宋_GB2312" w:hAnsi="仿宋_GB2312" w:eastAsia="仿宋_GB2312" w:cs="仿宋_GB2312"/>
                <w:sz w:val="21"/>
              </w:rPr>
            </w:pPr>
            <w:r>
              <w:rPr>
                <w:rFonts w:hint="eastAsia" w:ascii="仿宋_GB2312" w:hAnsi="仿宋_GB2312" w:eastAsia="仿宋_GB2312" w:cs="仿宋_GB2312"/>
                <w:sz w:val="21"/>
              </w:rPr>
              <w:t>9、柜体内容纳证书的单独的物理腔体要求。每个腔体是通过独立的金属门进行开闭，金属门的开闭，需要通过专门的指令处理。</w:t>
            </w:r>
          </w:p>
          <w:p w14:paraId="318085C4">
            <w:pPr>
              <w:pStyle w:val="4"/>
              <w:rPr>
                <w:rFonts w:hint="eastAsia" w:ascii="仿宋_GB2312" w:hAnsi="仿宋_GB2312" w:eastAsia="仿宋_GB2312" w:cs="仿宋_GB2312"/>
                <w:sz w:val="21"/>
              </w:rPr>
            </w:pPr>
          </w:p>
          <w:p w14:paraId="64294665">
            <w:pPr>
              <w:pStyle w:val="4"/>
              <w:rPr>
                <w:rFonts w:hint="eastAsia" w:ascii="仿宋_GB2312" w:hAnsi="仿宋_GB2312" w:eastAsia="仿宋_GB2312" w:cs="仿宋_GB2312"/>
                <w:sz w:val="21"/>
              </w:rPr>
            </w:pPr>
            <w:r>
              <w:rPr>
                <w:rFonts w:hint="eastAsia" w:ascii="仿宋_GB2312" w:hAnsi="仿宋_GB2312" w:eastAsia="仿宋_GB2312" w:cs="仿宋_GB2312"/>
                <w:sz w:val="21"/>
              </w:rPr>
              <w:t>10、有固定证书插入的专门硬件设置，有效引导证书插入，且装置上有指示灯引导。储位分配采用随机分配方式，应实现储位、数字证书、数字证书持有人的信息一致性核验功能。</w:t>
            </w:r>
          </w:p>
          <w:p w14:paraId="02B74B7C">
            <w:pPr>
              <w:pStyle w:val="4"/>
              <w:rPr>
                <w:rFonts w:hint="eastAsia" w:ascii="仿宋_GB2312" w:hAnsi="仿宋_GB2312" w:eastAsia="仿宋_GB2312" w:cs="仿宋_GB2312"/>
                <w:sz w:val="21"/>
              </w:rPr>
            </w:pPr>
          </w:p>
          <w:p w14:paraId="6C2AE6DD">
            <w:pPr>
              <w:pStyle w:val="4"/>
              <w:rPr>
                <w:rFonts w:hint="eastAsia" w:ascii="仿宋_GB2312" w:hAnsi="仿宋_GB2312" w:eastAsia="仿宋_GB2312" w:cs="仿宋_GB2312"/>
                <w:sz w:val="21"/>
              </w:rPr>
            </w:pPr>
            <w:r>
              <w:rPr>
                <w:rFonts w:hint="eastAsia" w:ascii="仿宋_GB2312" w:hAnsi="仿宋_GB2312" w:eastAsia="仿宋_GB2312" w:cs="仿宋_GB2312"/>
                <w:sz w:val="21"/>
              </w:rPr>
              <w:t>11、管理柜应具备信号指示功能，信号指示信息应至少包括：数字证书在位状态、数字证书领用状态、数字证书超时未归还、储位已分配、储位未分配、储位故障。</w:t>
            </w:r>
          </w:p>
          <w:p w14:paraId="7C3B337B">
            <w:pPr>
              <w:pStyle w:val="4"/>
              <w:rPr>
                <w:rFonts w:hint="eastAsia" w:ascii="仿宋_GB2312" w:hAnsi="仿宋_GB2312" w:eastAsia="仿宋_GB2312" w:cs="仿宋_GB2312"/>
                <w:sz w:val="21"/>
              </w:rPr>
            </w:pPr>
          </w:p>
          <w:p w14:paraId="4595099C">
            <w:pPr>
              <w:pStyle w:val="4"/>
              <w:rPr>
                <w:rFonts w:hint="eastAsia" w:ascii="仿宋_GB2312" w:hAnsi="仿宋_GB2312" w:eastAsia="仿宋_GB2312" w:cs="仿宋_GB2312"/>
                <w:sz w:val="21"/>
              </w:rPr>
            </w:pPr>
            <w:r>
              <w:rPr>
                <w:rFonts w:hint="eastAsia" w:ascii="仿宋_GB2312" w:hAnsi="仿宋_GB2312" w:eastAsia="仿宋_GB2312" w:cs="仿宋_GB2312"/>
                <w:sz w:val="21"/>
              </w:rPr>
              <w:t>12、良好的交互能力。通过≥7英寸的液晶触摸显示屏提供支持保障，液晶触摸屏幕可以显示真彩色的图形、文字，提供良好的视觉显示效果。</w:t>
            </w:r>
          </w:p>
          <w:p w14:paraId="5D25AB90">
            <w:pPr>
              <w:pStyle w:val="4"/>
              <w:rPr>
                <w:rFonts w:hint="eastAsia" w:ascii="仿宋_GB2312" w:hAnsi="仿宋_GB2312" w:eastAsia="仿宋_GB2312" w:cs="仿宋_GB2312"/>
                <w:sz w:val="21"/>
              </w:rPr>
            </w:pPr>
          </w:p>
          <w:p w14:paraId="38AA71A4">
            <w:pPr>
              <w:pStyle w:val="4"/>
              <w:rPr>
                <w:rFonts w:hint="eastAsia" w:ascii="仿宋_GB2312" w:hAnsi="仿宋_GB2312" w:eastAsia="仿宋_GB2312" w:cs="仿宋_GB2312"/>
                <w:sz w:val="21"/>
              </w:rPr>
            </w:pPr>
            <w:r>
              <w:rPr>
                <w:rFonts w:hint="eastAsia" w:ascii="仿宋_GB2312" w:hAnsi="仿宋_GB2312" w:eastAsia="仿宋_GB2312" w:cs="仿宋_GB2312"/>
                <w:sz w:val="21"/>
              </w:rPr>
              <w:t>13、管理柜应具备人机交互功能的显示界面，能实时显示日期、时间、网络连接状态、数字证书信息、操作人员信息。</w:t>
            </w:r>
          </w:p>
          <w:p w14:paraId="08347CFA">
            <w:pPr>
              <w:pStyle w:val="4"/>
              <w:rPr>
                <w:rFonts w:hint="eastAsia" w:ascii="仿宋_GB2312" w:hAnsi="仿宋_GB2312" w:eastAsia="仿宋_GB2312" w:cs="仿宋_GB2312"/>
                <w:sz w:val="21"/>
              </w:rPr>
            </w:pPr>
          </w:p>
          <w:p w14:paraId="6E35E6C7">
            <w:pPr>
              <w:pStyle w:val="4"/>
              <w:rPr>
                <w:rFonts w:hint="eastAsia" w:ascii="仿宋_GB2312" w:hAnsi="仿宋_GB2312" w:eastAsia="仿宋_GB2312" w:cs="仿宋_GB2312"/>
                <w:sz w:val="21"/>
              </w:rPr>
            </w:pPr>
            <w:r>
              <w:rPr>
                <w:rFonts w:hint="eastAsia" w:ascii="仿宋_GB2312" w:hAnsi="仿宋_GB2312" w:eastAsia="仿宋_GB2312" w:cs="仿宋_GB2312"/>
                <w:sz w:val="21"/>
              </w:rPr>
              <w:t>14、采用专用的国产化架构。CPU采用国产化芯片，运行的系统是专用系统，并能为整个设备的运行提供可靠、有效的保障。</w:t>
            </w:r>
          </w:p>
          <w:p w14:paraId="040F054F">
            <w:pPr>
              <w:pStyle w:val="4"/>
              <w:rPr>
                <w:rFonts w:hint="eastAsia" w:ascii="仿宋_GB2312" w:hAnsi="仿宋_GB2312" w:eastAsia="仿宋_GB2312" w:cs="仿宋_GB2312"/>
                <w:sz w:val="21"/>
              </w:rPr>
            </w:pPr>
          </w:p>
          <w:p w14:paraId="1781FDA5">
            <w:pPr>
              <w:pStyle w:val="4"/>
              <w:rPr>
                <w:rFonts w:hint="eastAsia" w:ascii="仿宋_GB2312" w:hAnsi="仿宋_GB2312" w:eastAsia="仿宋_GB2312" w:cs="仿宋_GB2312"/>
                <w:sz w:val="21"/>
              </w:rPr>
            </w:pPr>
            <w:r>
              <w:rPr>
                <w:rFonts w:hint="eastAsia" w:ascii="仿宋_GB2312" w:hAnsi="仿宋_GB2312" w:eastAsia="仿宋_GB2312" w:cs="仿宋_GB2312"/>
                <w:sz w:val="21"/>
              </w:rPr>
              <w:t>15、开启柜门。柜门的开启需要通过人脸识别技术方式打开柜门；生物特征需要和本人建立对应关系，没有用户信息的人脸无法打开柜门。</w:t>
            </w:r>
          </w:p>
          <w:p w14:paraId="1DE9260F">
            <w:pPr>
              <w:pStyle w:val="4"/>
              <w:rPr>
                <w:rFonts w:hint="eastAsia" w:ascii="仿宋_GB2312" w:hAnsi="仿宋_GB2312" w:eastAsia="仿宋_GB2312" w:cs="仿宋_GB2312"/>
                <w:sz w:val="21"/>
              </w:rPr>
            </w:pPr>
          </w:p>
          <w:p w14:paraId="77ACB1FE">
            <w:pPr>
              <w:pStyle w:val="4"/>
              <w:rPr>
                <w:rFonts w:hint="eastAsia" w:ascii="仿宋_GB2312" w:hAnsi="仿宋_GB2312" w:eastAsia="仿宋_GB2312" w:cs="仿宋_GB2312"/>
                <w:sz w:val="21"/>
              </w:rPr>
            </w:pPr>
            <w:r>
              <w:rPr>
                <w:rFonts w:hint="eastAsia" w:ascii="仿宋_GB2312" w:hAnsi="仿宋_GB2312" w:eastAsia="仿宋_GB2312" w:cs="仿宋_GB2312"/>
                <w:sz w:val="21"/>
              </w:rPr>
              <w:t>●16、管理柜应具备自动识别数字证书是否在位、防伪校验、证书信息、证书有效期的功能，在数字证书管理柜中插入公安数字证书本体，对数字证书本体进行识别，能判断是否为真实有效公安数字证书，单次识别时间应≤2s。</w:t>
            </w:r>
          </w:p>
          <w:p w14:paraId="46CE6AE6">
            <w:pPr>
              <w:pStyle w:val="4"/>
              <w:rPr>
                <w:rFonts w:hint="eastAsia" w:ascii="仿宋_GB2312" w:hAnsi="仿宋_GB2312" w:eastAsia="仿宋_GB2312" w:cs="仿宋_GB2312"/>
                <w:sz w:val="21"/>
              </w:rPr>
            </w:pPr>
          </w:p>
          <w:p w14:paraId="2130E393">
            <w:pPr>
              <w:pStyle w:val="4"/>
              <w:rPr>
                <w:rFonts w:hint="eastAsia" w:ascii="仿宋_GB2312" w:hAnsi="仿宋_GB2312" w:eastAsia="仿宋_GB2312" w:cs="仿宋_GB2312"/>
                <w:sz w:val="21"/>
              </w:rPr>
            </w:pPr>
            <w:r>
              <w:rPr>
                <w:rFonts w:hint="eastAsia" w:ascii="仿宋_GB2312" w:hAnsi="仿宋_GB2312" w:eastAsia="仿宋_GB2312" w:cs="仿宋_GB2312"/>
                <w:sz w:val="21"/>
              </w:rPr>
              <w:t>17、识别后在柜体显示屏上显示证书编号（ID）、姓名、有效期、身份证号；不能通过改造证书或通过识别加装在证书上的其他介质来辨别证书。</w:t>
            </w:r>
          </w:p>
          <w:p w14:paraId="3909F4D5">
            <w:pPr>
              <w:pStyle w:val="4"/>
              <w:rPr>
                <w:rFonts w:hint="eastAsia" w:ascii="仿宋_GB2312" w:hAnsi="仿宋_GB2312" w:eastAsia="仿宋_GB2312" w:cs="仿宋_GB2312"/>
                <w:sz w:val="21"/>
              </w:rPr>
            </w:pPr>
          </w:p>
          <w:p w14:paraId="6CFFD306">
            <w:pPr>
              <w:pStyle w:val="4"/>
              <w:rPr>
                <w:rFonts w:hint="eastAsia" w:ascii="仿宋_GB2312" w:hAnsi="仿宋_GB2312" w:eastAsia="仿宋_GB2312" w:cs="仿宋_GB2312"/>
                <w:sz w:val="21"/>
              </w:rPr>
            </w:pPr>
            <w:r>
              <w:rPr>
                <w:rFonts w:hint="eastAsia" w:ascii="仿宋_GB2312" w:hAnsi="仿宋_GB2312" w:eastAsia="仿宋_GB2312" w:cs="仿宋_GB2312"/>
                <w:sz w:val="21"/>
              </w:rPr>
              <w:t>18、证书柜部署于公安内网，实现采购人数字证书管理柜统一的日常管理、数据分析及异常风险预警功能。</w:t>
            </w:r>
          </w:p>
          <w:p w14:paraId="75AEE45F">
            <w:pPr>
              <w:pStyle w:val="4"/>
              <w:rPr>
                <w:rFonts w:hint="eastAsia" w:ascii="仿宋_GB2312" w:hAnsi="仿宋_GB2312" w:eastAsia="仿宋_GB2312" w:cs="仿宋_GB2312"/>
                <w:sz w:val="21"/>
              </w:rPr>
            </w:pPr>
          </w:p>
          <w:p w14:paraId="433026A2">
            <w:pPr>
              <w:pStyle w:val="4"/>
              <w:rPr>
                <w:rFonts w:hint="eastAsia" w:ascii="仿宋_GB2312" w:hAnsi="仿宋_GB2312" w:eastAsia="仿宋_GB2312" w:cs="仿宋_GB2312"/>
                <w:sz w:val="21"/>
              </w:rPr>
            </w:pPr>
            <w:r>
              <w:rPr>
                <w:rFonts w:hint="eastAsia" w:ascii="仿宋_GB2312" w:hAnsi="仿宋_GB2312" w:eastAsia="仿宋_GB2312" w:cs="仿宋_GB2312"/>
                <w:sz w:val="21"/>
              </w:rPr>
              <w:t>19、借用及审批，需要通过证书管理柜体发起借用申请，通过四川公安短信平台所发短信，并实现多级审批功能。</w:t>
            </w:r>
          </w:p>
          <w:p w14:paraId="5CEC8F3E">
            <w:pPr>
              <w:pStyle w:val="4"/>
              <w:rPr>
                <w:rFonts w:hint="eastAsia" w:ascii="仿宋_GB2312" w:hAnsi="仿宋_GB2312" w:eastAsia="仿宋_GB2312" w:cs="仿宋_GB2312"/>
                <w:sz w:val="21"/>
              </w:rPr>
            </w:pPr>
          </w:p>
          <w:p w14:paraId="643E3AE9">
            <w:pPr>
              <w:pStyle w:val="4"/>
              <w:rPr>
                <w:rFonts w:hint="eastAsia" w:ascii="仿宋_GB2312" w:hAnsi="仿宋_GB2312" w:eastAsia="仿宋_GB2312" w:cs="仿宋_GB2312"/>
                <w:sz w:val="21"/>
              </w:rPr>
            </w:pPr>
            <w:r>
              <w:rPr>
                <w:rFonts w:hint="eastAsia" w:ascii="仿宋_GB2312" w:hAnsi="仿宋_GB2312" w:eastAsia="仿宋_GB2312" w:cs="仿宋_GB2312"/>
                <w:sz w:val="21"/>
              </w:rPr>
              <w:t>20、具备提供公安数字证书登记表功能，实现该表电子化，该电子表上有相关人员的电子签名，内容与四川省公安厅关于数字证书管理办法对于数字证书取用登记相关的要求一致，提供下载打印功能。</w:t>
            </w:r>
          </w:p>
          <w:p w14:paraId="62770FDE">
            <w:pPr>
              <w:pStyle w:val="4"/>
              <w:rPr>
                <w:rFonts w:hint="eastAsia" w:ascii="仿宋_GB2312" w:hAnsi="仿宋_GB2312" w:eastAsia="仿宋_GB2312" w:cs="仿宋_GB2312"/>
                <w:sz w:val="21"/>
              </w:rPr>
            </w:pPr>
          </w:p>
          <w:p w14:paraId="146AB31C">
            <w:pPr>
              <w:pStyle w:val="4"/>
              <w:rPr>
                <w:rFonts w:hint="eastAsia" w:ascii="仿宋_GB2312" w:hAnsi="仿宋_GB2312" w:eastAsia="仿宋_GB2312" w:cs="仿宋_GB2312"/>
                <w:sz w:val="21"/>
              </w:rPr>
            </w:pPr>
            <w:r>
              <w:rPr>
                <w:rFonts w:hint="eastAsia" w:ascii="仿宋_GB2312" w:hAnsi="仿宋_GB2312" w:eastAsia="仿宋_GB2312" w:cs="仿宋_GB2312"/>
                <w:sz w:val="21"/>
              </w:rPr>
              <w:t>●21、证书柜须接入采购人现有的数字证书管理柜的管理平台。</w:t>
            </w:r>
          </w:p>
          <w:p w14:paraId="1815E947">
            <w:pPr>
              <w:pStyle w:val="4"/>
              <w:rPr>
                <w:rFonts w:hint="eastAsia" w:ascii="仿宋_GB2312" w:hAnsi="仿宋_GB2312" w:eastAsia="仿宋_GB2312" w:cs="仿宋_GB2312"/>
                <w:sz w:val="21"/>
              </w:rPr>
            </w:pPr>
          </w:p>
          <w:p w14:paraId="1BBBA5C0">
            <w:pPr>
              <w:pStyle w:val="4"/>
              <w:rPr>
                <w:rFonts w:hint="eastAsia" w:ascii="仿宋_GB2312" w:hAnsi="仿宋_GB2312" w:eastAsia="仿宋_GB2312" w:cs="仿宋_GB2312"/>
                <w:sz w:val="21"/>
              </w:rPr>
            </w:pPr>
            <w:r>
              <w:rPr>
                <w:rFonts w:hint="eastAsia" w:ascii="仿宋_GB2312" w:hAnsi="仿宋_GB2312" w:eastAsia="仿宋_GB2312" w:cs="仿宋_GB2312"/>
                <w:sz w:val="21"/>
              </w:rPr>
              <w:t>●22、设备的供电方式为交流市电输入，接入合规市电电源，不得采用外接电源适配器、蓄电池、移动电源等替代供电方案。</w:t>
            </w:r>
          </w:p>
          <w:p w14:paraId="56CEF6B9">
            <w:pPr>
              <w:pStyle w:val="4"/>
              <w:rPr>
                <w:rFonts w:hint="eastAsia" w:ascii="仿宋_GB2312" w:hAnsi="仿宋_GB2312" w:eastAsia="仿宋_GB2312" w:cs="仿宋_GB2312"/>
                <w:sz w:val="21"/>
              </w:rPr>
            </w:pPr>
          </w:p>
          <w:p w14:paraId="43D12EAE">
            <w:pPr>
              <w:pStyle w:val="4"/>
              <w:rPr>
                <w:rFonts w:hint="eastAsia" w:ascii="仿宋_GB2312" w:hAnsi="仿宋_GB2312" w:eastAsia="仿宋_GB2312" w:cs="仿宋_GB2312"/>
                <w:sz w:val="21"/>
              </w:rPr>
            </w:pPr>
            <w:r>
              <w:rPr>
                <w:rFonts w:hint="eastAsia" w:ascii="仿宋_GB2312" w:hAnsi="仿宋_GB2312" w:eastAsia="仿宋_GB2312" w:cs="仿宋_GB2312"/>
                <w:sz w:val="21"/>
              </w:rPr>
              <w:t>23、具备以太网接口，具备光纤接口或RJ45电口，支持多种接口速率，支持TCP/IP协议，保证网络数据信息及时、完整传输。</w:t>
            </w:r>
          </w:p>
          <w:p w14:paraId="60976762">
            <w:pPr>
              <w:pStyle w:val="4"/>
              <w:rPr>
                <w:rFonts w:hint="eastAsia" w:ascii="仿宋_GB2312" w:hAnsi="仿宋_GB2312" w:eastAsia="仿宋_GB2312" w:cs="仿宋_GB2312"/>
                <w:sz w:val="21"/>
              </w:rPr>
            </w:pPr>
          </w:p>
          <w:p w14:paraId="0CD23E09">
            <w:pPr>
              <w:pStyle w:val="4"/>
              <w:rPr>
                <w:rFonts w:hint="eastAsia" w:ascii="仿宋_GB2312" w:hAnsi="仿宋_GB2312" w:eastAsia="仿宋_GB2312" w:cs="仿宋_GB2312"/>
                <w:sz w:val="21"/>
              </w:rPr>
            </w:pPr>
            <w:r>
              <w:rPr>
                <w:rFonts w:hint="eastAsia" w:ascii="仿宋_GB2312" w:hAnsi="仿宋_GB2312" w:eastAsia="仿宋_GB2312" w:cs="仿宋_GB2312"/>
                <w:sz w:val="21"/>
              </w:rPr>
              <w:t>24、具有摄像头，摄像头≥100万像素，摄像头具备拍照能力，采用定焦或变焦能力，具备将模拟视频信号转变为数字信号的能力，并提供人像采集和识别功能。</w:t>
            </w:r>
          </w:p>
          <w:p w14:paraId="4176D66A">
            <w:pPr>
              <w:pStyle w:val="4"/>
              <w:rPr>
                <w:rFonts w:hint="eastAsia" w:ascii="仿宋_GB2312" w:hAnsi="仿宋_GB2312" w:eastAsia="仿宋_GB2312" w:cs="仿宋_GB2312"/>
                <w:sz w:val="21"/>
              </w:rPr>
            </w:pPr>
          </w:p>
          <w:p w14:paraId="5B7B2F28">
            <w:pPr>
              <w:pStyle w:val="4"/>
              <w:rPr>
                <w:rFonts w:hint="eastAsia" w:ascii="仿宋_GB2312" w:hAnsi="仿宋_GB2312" w:eastAsia="仿宋_GB2312" w:cs="仿宋_GB2312"/>
                <w:sz w:val="21"/>
              </w:rPr>
            </w:pPr>
            <w:r>
              <w:rPr>
                <w:rFonts w:hint="eastAsia" w:ascii="仿宋_GB2312" w:hAnsi="仿宋_GB2312" w:eastAsia="仿宋_GB2312" w:cs="仿宋_GB2312"/>
                <w:sz w:val="21"/>
              </w:rPr>
              <w:t>25、良好的交互能力。通过液晶触摸显示屏提供支持保障，液晶触摸屏幕可以显示真彩色的图形、文字，提供良好的视觉显示效果。</w:t>
            </w:r>
          </w:p>
          <w:p w14:paraId="729254D3">
            <w:pPr>
              <w:pStyle w:val="4"/>
              <w:rPr>
                <w:rFonts w:hint="eastAsia" w:ascii="仿宋_GB2312" w:hAnsi="仿宋_GB2312" w:eastAsia="仿宋_GB2312" w:cs="仿宋_GB2312"/>
                <w:sz w:val="21"/>
              </w:rPr>
            </w:pPr>
          </w:p>
          <w:p w14:paraId="02F3EECD">
            <w:pPr>
              <w:pStyle w:val="4"/>
              <w:rPr>
                <w:rFonts w:hint="eastAsia" w:ascii="仿宋_GB2312" w:hAnsi="仿宋_GB2312" w:eastAsia="仿宋_GB2312" w:cs="仿宋_GB2312"/>
                <w:sz w:val="21"/>
              </w:rPr>
            </w:pPr>
            <w:r>
              <w:rPr>
                <w:rFonts w:hint="eastAsia" w:ascii="仿宋_GB2312" w:hAnsi="仿宋_GB2312" w:eastAsia="仿宋_GB2312" w:cs="仿宋_GB2312"/>
                <w:sz w:val="21"/>
              </w:rPr>
              <w:t>26、具备电源开关，可以在维护、故障时进行开关电操作。</w:t>
            </w:r>
          </w:p>
          <w:p w14:paraId="0096CA5E">
            <w:pPr>
              <w:pStyle w:val="4"/>
              <w:rPr>
                <w:rFonts w:hint="eastAsia" w:ascii="仿宋_GB2312" w:hAnsi="仿宋_GB2312" w:eastAsia="仿宋_GB2312" w:cs="仿宋_GB2312"/>
                <w:sz w:val="21"/>
              </w:rPr>
            </w:pPr>
          </w:p>
          <w:p w14:paraId="56ED6B71">
            <w:pPr>
              <w:pStyle w:val="4"/>
              <w:rPr>
                <w:rFonts w:hint="eastAsia" w:ascii="仿宋_GB2312" w:hAnsi="仿宋_GB2312" w:eastAsia="仿宋_GB2312" w:cs="仿宋_GB2312"/>
                <w:sz w:val="21"/>
              </w:rPr>
            </w:pPr>
            <w:r>
              <w:rPr>
                <w:rFonts w:hint="eastAsia" w:ascii="仿宋_GB2312" w:hAnsi="仿宋_GB2312" w:eastAsia="仿宋_GB2312" w:cs="仿宋_GB2312"/>
                <w:sz w:val="21"/>
              </w:rPr>
              <w:t>27、具有状态指示灯，可以方便使用用户直观查看证书管理柜本身的运行情况。</w:t>
            </w:r>
          </w:p>
          <w:p w14:paraId="67EF0034">
            <w:pPr>
              <w:pStyle w:val="4"/>
              <w:rPr>
                <w:rFonts w:hint="eastAsia" w:ascii="仿宋_GB2312" w:hAnsi="仿宋_GB2312" w:eastAsia="仿宋_GB2312" w:cs="仿宋_GB2312"/>
                <w:sz w:val="21"/>
              </w:rPr>
            </w:pPr>
          </w:p>
          <w:p w14:paraId="16F7FB08">
            <w:pPr>
              <w:pStyle w:val="4"/>
              <w:rPr>
                <w:rFonts w:hint="eastAsia" w:ascii="仿宋_GB2312" w:hAnsi="仿宋_GB2312" w:eastAsia="仿宋_GB2312" w:cs="仿宋_GB2312"/>
                <w:sz w:val="21"/>
              </w:rPr>
            </w:pPr>
            <w:r>
              <w:rPr>
                <w:rFonts w:hint="eastAsia" w:ascii="仿宋_GB2312" w:hAnsi="仿宋_GB2312" w:eastAsia="仿宋_GB2312" w:cs="仿宋_GB2312"/>
                <w:sz w:val="21"/>
              </w:rPr>
              <w:t>●28、证书柜具备对证书进行合法性校验的能力，通过识别证书或非证书，能将证书的内部信息展示在屏幕上，信息包括：名称、证书身份信息等，并将非证书校验的结果显示在屏幕上。</w:t>
            </w:r>
          </w:p>
          <w:p w14:paraId="38138F76">
            <w:pPr>
              <w:pStyle w:val="4"/>
              <w:rPr>
                <w:rFonts w:hint="eastAsia" w:ascii="仿宋_GB2312" w:hAnsi="仿宋_GB2312" w:eastAsia="仿宋_GB2312" w:cs="仿宋_GB2312"/>
                <w:sz w:val="21"/>
              </w:rPr>
            </w:pPr>
          </w:p>
          <w:p w14:paraId="3EB0F6FA">
            <w:pPr>
              <w:pStyle w:val="4"/>
              <w:rPr>
                <w:rFonts w:hint="eastAsia" w:ascii="仿宋_GB2312" w:hAnsi="仿宋_GB2312" w:eastAsia="仿宋_GB2312" w:cs="仿宋_GB2312"/>
                <w:sz w:val="21"/>
              </w:rPr>
            </w:pPr>
            <w:r>
              <w:rPr>
                <w:rFonts w:hint="eastAsia" w:ascii="仿宋_GB2312" w:hAnsi="仿宋_GB2312" w:eastAsia="仿宋_GB2312" w:cs="仿宋_GB2312"/>
                <w:sz w:val="21"/>
              </w:rPr>
              <w:t>●29、证书柜具备兼容不同品牌、不同型号证书的能力，通过识别不同品牌和型号的证书，能将证书的内部信息显示在屏幕上，信息包括：名称、证书身份信息等。</w:t>
            </w:r>
          </w:p>
          <w:p w14:paraId="215DDC4C">
            <w:pPr>
              <w:pStyle w:val="4"/>
              <w:rPr>
                <w:rFonts w:hint="eastAsia" w:ascii="仿宋_GB2312" w:hAnsi="仿宋_GB2312" w:eastAsia="仿宋_GB2312" w:cs="仿宋_GB2312"/>
                <w:sz w:val="21"/>
              </w:rPr>
            </w:pPr>
          </w:p>
          <w:p w14:paraId="0B0E280F">
            <w:pPr>
              <w:pStyle w:val="4"/>
              <w:rPr>
                <w:rFonts w:hint="eastAsia" w:ascii="仿宋_GB2312" w:hAnsi="仿宋_GB2312" w:eastAsia="仿宋_GB2312" w:cs="仿宋_GB2312"/>
                <w:sz w:val="21"/>
              </w:rPr>
            </w:pPr>
            <w:r>
              <w:rPr>
                <w:rFonts w:hint="eastAsia" w:ascii="仿宋_GB2312" w:hAnsi="仿宋_GB2312" w:eastAsia="仿宋_GB2312" w:cs="仿宋_GB2312"/>
                <w:sz w:val="21"/>
              </w:rPr>
              <w:t>注：1.以上所有要求均为实质性要求，不允许负偏离。</w:t>
            </w:r>
          </w:p>
          <w:p w14:paraId="76B7F328">
            <w:pPr>
              <w:pStyle w:val="4"/>
            </w:pPr>
            <w:r>
              <w:rPr>
                <w:rFonts w:hint="eastAsia" w:ascii="仿宋_GB2312" w:hAnsi="仿宋_GB2312" w:eastAsia="仿宋_GB2312" w:cs="仿宋_GB2312"/>
                <w:sz w:val="21"/>
              </w:rPr>
              <w:t>2.带“●”号的参数需在评审现场通过现场演示的方式进行证明，其中，第28项、29项的演示由采购人提供证书和非证书，由供应商现场进行识别演示。供应商应自行携带招标要求的其中任一一种储位的数字证书监督管理柜样机，对带“●”号的参数项进行现场验收，根据样机的演示结果进行评审，演示结果不满足采购文件参数要求或未演示的视为无效响应。演示顺序现场随机抽取确定。</w:t>
            </w:r>
          </w:p>
        </w:tc>
      </w:tr>
    </w:tbl>
    <w:p w14:paraId="70C4B4E5">
      <w:pPr>
        <w:pStyle w:val="4"/>
      </w:pPr>
      <w:r>
        <w:rPr>
          <w:rFonts w:ascii="仿宋_GB2312" w:hAnsi="仿宋_GB2312" w:eastAsia="仿宋_GB2312" w:cs="仿宋_GB2312"/>
        </w:rPr>
        <w:t>9、供应商一般资格要求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99"/>
        <w:gridCol w:w="2295"/>
        <w:gridCol w:w="4713"/>
      </w:tblGrid>
      <w:tr w14:paraId="55A160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99" w:type="dxa"/>
          </w:tcPr>
          <w:p w14:paraId="4BC0D7CA">
            <w:pPr>
              <w:pStyle w:val="4"/>
            </w:pPr>
            <w:r>
              <w:rPr>
                <w:rFonts w:ascii="仿宋_GB2312" w:hAnsi="仿宋_GB2312" w:eastAsia="仿宋_GB2312" w:cs="仿宋_GB2312"/>
              </w:rPr>
              <w:t>序号</w:t>
            </w:r>
          </w:p>
        </w:tc>
        <w:tc>
          <w:tcPr>
            <w:tcW w:w="2295" w:type="dxa"/>
          </w:tcPr>
          <w:p w14:paraId="7105C8A4">
            <w:pPr>
              <w:pStyle w:val="4"/>
            </w:pPr>
            <w:r>
              <w:rPr>
                <w:rFonts w:ascii="仿宋_GB2312" w:hAnsi="仿宋_GB2312" w:eastAsia="仿宋_GB2312" w:cs="仿宋_GB2312"/>
              </w:rPr>
              <w:t>资格要求名称</w:t>
            </w:r>
          </w:p>
        </w:tc>
        <w:tc>
          <w:tcPr>
            <w:tcW w:w="4713" w:type="dxa"/>
          </w:tcPr>
          <w:p w14:paraId="76F864E2">
            <w:pPr>
              <w:pStyle w:val="4"/>
            </w:pPr>
            <w:r>
              <w:rPr>
                <w:rFonts w:ascii="仿宋_GB2312" w:hAnsi="仿宋_GB2312" w:eastAsia="仿宋_GB2312" w:cs="仿宋_GB2312"/>
              </w:rPr>
              <w:t>资格要求详细说明</w:t>
            </w:r>
          </w:p>
        </w:tc>
      </w:tr>
      <w:tr w14:paraId="17911A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99" w:type="dxa"/>
          </w:tcPr>
          <w:p w14:paraId="1F8C4BF3">
            <w:pPr>
              <w:pStyle w:val="4"/>
            </w:pPr>
            <w:r>
              <w:rPr>
                <w:rFonts w:ascii="仿宋_GB2312" w:hAnsi="仿宋_GB2312" w:eastAsia="仿宋_GB2312" w:cs="仿宋_GB2312"/>
              </w:rPr>
              <w:t>1</w:t>
            </w:r>
          </w:p>
        </w:tc>
        <w:tc>
          <w:tcPr>
            <w:tcW w:w="2295" w:type="dxa"/>
          </w:tcPr>
          <w:p w14:paraId="65E8783B">
            <w:pPr>
              <w:pStyle w:val="4"/>
            </w:pPr>
            <w:r>
              <w:rPr>
                <w:rFonts w:ascii="仿宋_GB2312" w:hAnsi="仿宋_GB2312" w:eastAsia="仿宋_GB2312" w:cs="仿宋_GB2312"/>
              </w:rPr>
              <w:t>具有独立承担民事责任的能力。</w:t>
            </w:r>
          </w:p>
        </w:tc>
        <w:tc>
          <w:tcPr>
            <w:tcW w:w="4713" w:type="dxa"/>
          </w:tcPr>
          <w:p w14:paraId="1BC2E411">
            <w:pPr>
              <w:pStyle w:val="4"/>
            </w:pPr>
            <w:r>
              <w:rPr>
                <w:rFonts w:ascii="仿宋_GB2312" w:hAnsi="仿宋_GB2312" w:eastAsia="仿宋_GB2312" w:cs="仿宋_GB2312"/>
              </w:rPr>
              <w:t>供应商需在使用投标(响应)客户端编制响应文件时，按要求填写《投标（响应）函》完成承诺并进行电子签章。</w:t>
            </w:r>
          </w:p>
        </w:tc>
      </w:tr>
      <w:tr w14:paraId="3C1F07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99" w:type="dxa"/>
          </w:tcPr>
          <w:p w14:paraId="381A0A98">
            <w:pPr>
              <w:pStyle w:val="4"/>
            </w:pPr>
            <w:r>
              <w:rPr>
                <w:rFonts w:ascii="仿宋_GB2312" w:hAnsi="仿宋_GB2312" w:eastAsia="仿宋_GB2312" w:cs="仿宋_GB2312"/>
              </w:rPr>
              <w:t>2</w:t>
            </w:r>
          </w:p>
        </w:tc>
        <w:tc>
          <w:tcPr>
            <w:tcW w:w="2295" w:type="dxa"/>
          </w:tcPr>
          <w:p w14:paraId="5D5CB067">
            <w:pPr>
              <w:pStyle w:val="4"/>
            </w:pPr>
            <w:r>
              <w:rPr>
                <w:rFonts w:ascii="仿宋_GB2312" w:hAnsi="仿宋_GB2312" w:eastAsia="仿宋_GB2312" w:cs="仿宋_GB2312"/>
              </w:rPr>
              <w:t>具有良好的商业信誉</w:t>
            </w:r>
          </w:p>
        </w:tc>
        <w:tc>
          <w:tcPr>
            <w:tcW w:w="4713" w:type="dxa"/>
          </w:tcPr>
          <w:p w14:paraId="0EF9E58A">
            <w:pPr>
              <w:pStyle w:val="4"/>
            </w:pPr>
            <w:r>
              <w:rPr>
                <w:rFonts w:ascii="仿宋_GB2312" w:hAnsi="仿宋_GB2312" w:eastAsia="仿宋_GB2312" w:cs="仿宋_GB2312"/>
              </w:rPr>
              <w:t>供应商需在项目电子化交易系统中按要求填写《投标（响应）函》完成承诺并进行电子签章。</w:t>
            </w:r>
          </w:p>
        </w:tc>
      </w:tr>
      <w:tr w14:paraId="06CE14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99" w:type="dxa"/>
          </w:tcPr>
          <w:p w14:paraId="57A204A8">
            <w:pPr>
              <w:pStyle w:val="4"/>
            </w:pPr>
            <w:r>
              <w:rPr>
                <w:rFonts w:ascii="仿宋_GB2312" w:hAnsi="仿宋_GB2312" w:eastAsia="仿宋_GB2312" w:cs="仿宋_GB2312"/>
              </w:rPr>
              <w:t>3</w:t>
            </w:r>
          </w:p>
        </w:tc>
        <w:tc>
          <w:tcPr>
            <w:tcW w:w="2295" w:type="dxa"/>
          </w:tcPr>
          <w:p w14:paraId="714B4F83">
            <w:pPr>
              <w:pStyle w:val="4"/>
            </w:pPr>
            <w:r>
              <w:rPr>
                <w:rFonts w:ascii="仿宋_GB2312" w:hAnsi="仿宋_GB2312" w:eastAsia="仿宋_GB2312" w:cs="仿宋_GB2312"/>
              </w:rPr>
              <w:t>具有健全的财务会计制度。</w:t>
            </w:r>
          </w:p>
        </w:tc>
        <w:tc>
          <w:tcPr>
            <w:tcW w:w="4713" w:type="dxa"/>
          </w:tcPr>
          <w:p w14:paraId="4EB91B9D">
            <w:pPr>
              <w:pStyle w:val="4"/>
            </w:pPr>
            <w:r>
              <w:rPr>
                <w:rFonts w:ascii="仿宋_GB2312" w:hAnsi="仿宋_GB2312" w:eastAsia="仿宋_GB2312" w:cs="仿宋_GB2312"/>
              </w:rPr>
              <w:t>供应商提供截至响应文件提交截止之日前一年内，经审计的财务报告（包含审计报告和审计报告中所涉及的财务报表和报表附注）或者银行出具的资信证明。未经审计的提供财务报告（包括资产负债表、利润表、现金流量表）。供应商注册时间截至响应文件提交截止之日前不足一年的，也可提供在相关主管部门备案的公司章程等证明材料。供应商需在使用投标(响应)客户端编制响应文件时，按要求上传相应证明材料并进行电子签章。</w:t>
            </w:r>
          </w:p>
        </w:tc>
      </w:tr>
      <w:tr w14:paraId="173955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99" w:type="dxa"/>
          </w:tcPr>
          <w:p w14:paraId="5879982F">
            <w:pPr>
              <w:pStyle w:val="4"/>
            </w:pPr>
            <w:r>
              <w:rPr>
                <w:rFonts w:ascii="仿宋_GB2312" w:hAnsi="仿宋_GB2312" w:eastAsia="仿宋_GB2312" w:cs="仿宋_GB2312"/>
              </w:rPr>
              <w:t>4</w:t>
            </w:r>
          </w:p>
        </w:tc>
        <w:tc>
          <w:tcPr>
            <w:tcW w:w="2295" w:type="dxa"/>
          </w:tcPr>
          <w:p w14:paraId="68BBA4AE">
            <w:pPr>
              <w:pStyle w:val="4"/>
            </w:pPr>
            <w:r>
              <w:rPr>
                <w:rFonts w:ascii="仿宋_GB2312" w:hAnsi="仿宋_GB2312" w:eastAsia="仿宋_GB2312" w:cs="仿宋_GB2312"/>
              </w:rPr>
              <w:t>具有履行合同所必需的设备和专业技术能力。</w:t>
            </w:r>
          </w:p>
        </w:tc>
        <w:tc>
          <w:tcPr>
            <w:tcW w:w="4713" w:type="dxa"/>
          </w:tcPr>
          <w:p w14:paraId="430B8302">
            <w:pPr>
              <w:pStyle w:val="4"/>
            </w:pPr>
            <w:r>
              <w:rPr>
                <w:rFonts w:ascii="仿宋_GB2312" w:hAnsi="仿宋_GB2312" w:eastAsia="仿宋_GB2312" w:cs="仿宋_GB2312"/>
              </w:rPr>
              <w:t>供应商需在项目电子化交易系统中按要求填写《投标（响应）函》完成承诺并进行电子签章。</w:t>
            </w:r>
          </w:p>
        </w:tc>
      </w:tr>
      <w:tr w14:paraId="2EAE80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99" w:type="dxa"/>
          </w:tcPr>
          <w:p w14:paraId="771503D3">
            <w:pPr>
              <w:pStyle w:val="4"/>
            </w:pPr>
            <w:r>
              <w:rPr>
                <w:rFonts w:ascii="仿宋_GB2312" w:hAnsi="仿宋_GB2312" w:eastAsia="仿宋_GB2312" w:cs="仿宋_GB2312"/>
              </w:rPr>
              <w:t>5</w:t>
            </w:r>
          </w:p>
        </w:tc>
        <w:tc>
          <w:tcPr>
            <w:tcW w:w="2295" w:type="dxa"/>
          </w:tcPr>
          <w:p w14:paraId="388D2A09">
            <w:pPr>
              <w:pStyle w:val="4"/>
            </w:pPr>
            <w:r>
              <w:rPr>
                <w:rFonts w:ascii="仿宋_GB2312" w:hAnsi="仿宋_GB2312" w:eastAsia="仿宋_GB2312" w:cs="仿宋_GB2312"/>
              </w:rPr>
              <w:t>有依法缴纳税收和社会保障资金的良好记录。</w:t>
            </w:r>
          </w:p>
        </w:tc>
        <w:tc>
          <w:tcPr>
            <w:tcW w:w="4713" w:type="dxa"/>
          </w:tcPr>
          <w:p w14:paraId="3336B3BF">
            <w:pPr>
              <w:pStyle w:val="4"/>
            </w:pPr>
            <w:r>
              <w:rPr>
                <w:rFonts w:ascii="仿宋_GB2312" w:hAnsi="仿宋_GB2312" w:eastAsia="仿宋_GB2312" w:cs="仿宋_GB2312"/>
              </w:rPr>
              <w:t>供应商需在项目电子化交易系统中按要求填写《投标（响应）函》完成承诺并进行电子签章。</w:t>
            </w:r>
          </w:p>
        </w:tc>
      </w:tr>
      <w:tr w14:paraId="63F52E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99" w:type="dxa"/>
          </w:tcPr>
          <w:p w14:paraId="4009B4C4">
            <w:pPr>
              <w:pStyle w:val="4"/>
            </w:pPr>
            <w:r>
              <w:rPr>
                <w:rFonts w:ascii="仿宋_GB2312" w:hAnsi="仿宋_GB2312" w:eastAsia="仿宋_GB2312" w:cs="仿宋_GB2312"/>
              </w:rPr>
              <w:t>6</w:t>
            </w:r>
          </w:p>
        </w:tc>
        <w:tc>
          <w:tcPr>
            <w:tcW w:w="2295" w:type="dxa"/>
          </w:tcPr>
          <w:p w14:paraId="4F95999D">
            <w:pPr>
              <w:pStyle w:val="4"/>
            </w:pPr>
            <w:r>
              <w:rPr>
                <w:rFonts w:ascii="仿宋_GB2312" w:hAnsi="仿宋_GB2312" w:eastAsia="仿宋_GB2312" w:cs="仿宋_GB2312"/>
              </w:rPr>
              <w:t>参加政府采购活动前三年内，在经营活动中没有重大违法记录。</w:t>
            </w:r>
          </w:p>
        </w:tc>
        <w:tc>
          <w:tcPr>
            <w:tcW w:w="4713" w:type="dxa"/>
          </w:tcPr>
          <w:p w14:paraId="04467D6C">
            <w:pPr>
              <w:pStyle w:val="4"/>
            </w:pPr>
            <w:r>
              <w:rPr>
                <w:rFonts w:ascii="仿宋_GB2312" w:hAnsi="仿宋_GB2312" w:eastAsia="仿宋_GB2312" w:cs="仿宋_GB2312"/>
              </w:rPr>
              <w:t>供应商需在项目电子化交易系统中按要求填写《投标（响应）函》完成承诺并进行电子签章。</w:t>
            </w:r>
          </w:p>
        </w:tc>
      </w:tr>
      <w:tr w14:paraId="51B4E6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99" w:type="dxa"/>
          </w:tcPr>
          <w:p w14:paraId="7EB91D28">
            <w:pPr>
              <w:pStyle w:val="4"/>
            </w:pPr>
            <w:r>
              <w:rPr>
                <w:rFonts w:ascii="仿宋_GB2312" w:hAnsi="仿宋_GB2312" w:eastAsia="仿宋_GB2312" w:cs="仿宋_GB2312"/>
              </w:rPr>
              <w:t>7</w:t>
            </w:r>
          </w:p>
        </w:tc>
        <w:tc>
          <w:tcPr>
            <w:tcW w:w="2295" w:type="dxa"/>
          </w:tcPr>
          <w:p w14:paraId="29DAF91E">
            <w:pPr>
              <w:pStyle w:val="4"/>
            </w:pPr>
            <w:r>
              <w:rPr>
                <w:rFonts w:ascii="仿宋_GB2312" w:hAnsi="仿宋_GB2312" w:eastAsia="仿宋_GB2312" w:cs="仿宋_GB2312"/>
              </w:rPr>
              <w:t>符合《中华人民共和国政府采购法实施条例》第十八条第一款规定。</w:t>
            </w:r>
          </w:p>
        </w:tc>
        <w:tc>
          <w:tcPr>
            <w:tcW w:w="4713" w:type="dxa"/>
          </w:tcPr>
          <w:p w14:paraId="245D1168">
            <w:pPr>
              <w:pStyle w:val="4"/>
            </w:pPr>
            <w:r>
              <w:rPr>
                <w:rFonts w:ascii="仿宋_GB2312" w:hAnsi="仿宋_GB2312" w:eastAsia="仿宋_GB2312" w:cs="仿宋_GB2312"/>
              </w:rPr>
              <w:t>供应商需在项目电子化交易系统中按要求填写《投标（响应）函》完成承诺并进行电子签章。</w:t>
            </w:r>
          </w:p>
        </w:tc>
      </w:tr>
      <w:tr w14:paraId="075FCB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99" w:type="dxa"/>
          </w:tcPr>
          <w:p w14:paraId="32E21B09">
            <w:pPr>
              <w:pStyle w:val="4"/>
            </w:pPr>
            <w:r>
              <w:rPr>
                <w:rFonts w:ascii="仿宋_GB2312" w:hAnsi="仿宋_GB2312" w:eastAsia="仿宋_GB2312" w:cs="仿宋_GB2312"/>
              </w:rPr>
              <w:t>8</w:t>
            </w:r>
          </w:p>
        </w:tc>
        <w:tc>
          <w:tcPr>
            <w:tcW w:w="2295" w:type="dxa"/>
          </w:tcPr>
          <w:p w14:paraId="7429A55C">
            <w:pPr>
              <w:pStyle w:val="4"/>
            </w:pPr>
            <w:r>
              <w:rPr>
                <w:rFonts w:ascii="仿宋_GB2312" w:hAnsi="仿宋_GB2312" w:eastAsia="仿宋_GB2312" w:cs="仿宋_GB2312"/>
              </w:rPr>
              <w:t>符合《中华人民共和国政府采购法实施条例》第十八条第二款规定。</w:t>
            </w:r>
          </w:p>
        </w:tc>
        <w:tc>
          <w:tcPr>
            <w:tcW w:w="4713" w:type="dxa"/>
          </w:tcPr>
          <w:p w14:paraId="32EDA997">
            <w:pPr>
              <w:pStyle w:val="4"/>
            </w:pPr>
            <w:r>
              <w:rPr>
                <w:rFonts w:ascii="仿宋_GB2312" w:hAnsi="仿宋_GB2312" w:eastAsia="仿宋_GB2312" w:cs="仿宋_GB2312"/>
              </w:rPr>
              <w:t>供应商需在项目电子化交易系统中按要求填写《投标（响应）函》完成承诺并进行电子签章。为采购项目提供整体设计、规范编制或者项目管理、监理、检测等服务的供应商，可以同时承担前述服务内容，但不得再参加采购项目前述服务之外的其他采购活动。</w:t>
            </w:r>
          </w:p>
        </w:tc>
      </w:tr>
    </w:tbl>
    <w:p w14:paraId="6A8F04C7">
      <w:pPr>
        <w:pStyle w:val="4"/>
      </w:pPr>
      <w:r>
        <w:rPr>
          <w:rFonts w:ascii="仿宋_GB2312" w:hAnsi="仿宋_GB2312" w:eastAsia="仿宋_GB2312" w:cs="仿宋_GB2312"/>
        </w:rPr>
        <w:t>10、供应商特殊资格要求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89"/>
        <w:gridCol w:w="1954"/>
        <w:gridCol w:w="5863"/>
      </w:tblGrid>
      <w:tr w14:paraId="3374AB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89" w:type="dxa"/>
          </w:tcPr>
          <w:p w14:paraId="5AFF59B9">
            <w:pPr>
              <w:pStyle w:val="4"/>
            </w:pPr>
            <w:r>
              <w:rPr>
                <w:rFonts w:ascii="仿宋_GB2312" w:hAnsi="仿宋_GB2312" w:eastAsia="仿宋_GB2312" w:cs="仿宋_GB2312"/>
              </w:rPr>
              <w:t>序号</w:t>
            </w:r>
          </w:p>
        </w:tc>
        <w:tc>
          <w:tcPr>
            <w:tcW w:w="1954" w:type="dxa"/>
          </w:tcPr>
          <w:p w14:paraId="2B449544">
            <w:pPr>
              <w:pStyle w:val="4"/>
            </w:pPr>
            <w:r>
              <w:rPr>
                <w:rFonts w:ascii="仿宋_GB2312" w:hAnsi="仿宋_GB2312" w:eastAsia="仿宋_GB2312" w:cs="仿宋_GB2312"/>
              </w:rPr>
              <w:t>资格要求名称</w:t>
            </w:r>
          </w:p>
        </w:tc>
        <w:tc>
          <w:tcPr>
            <w:tcW w:w="5863" w:type="dxa"/>
          </w:tcPr>
          <w:p w14:paraId="35043752">
            <w:pPr>
              <w:pStyle w:val="4"/>
            </w:pPr>
            <w:r>
              <w:rPr>
                <w:rFonts w:ascii="仿宋_GB2312" w:hAnsi="仿宋_GB2312" w:eastAsia="仿宋_GB2312" w:cs="仿宋_GB2312"/>
              </w:rPr>
              <w:t>资格要求详细说明</w:t>
            </w:r>
          </w:p>
        </w:tc>
      </w:tr>
      <w:tr w14:paraId="3ECB97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3"/>
          </w:tcPr>
          <w:p w14:paraId="55E38645">
            <w:pPr>
              <w:pStyle w:val="4"/>
            </w:pPr>
            <w:r>
              <w:rPr>
                <w:rFonts w:ascii="仿宋_GB2312" w:hAnsi="仿宋_GB2312" w:eastAsia="仿宋_GB2312" w:cs="仿宋_GB2312"/>
              </w:rPr>
              <w:t>无</w:t>
            </w:r>
          </w:p>
        </w:tc>
      </w:tr>
    </w:tbl>
    <w:p w14:paraId="10151143">
      <w:pPr>
        <w:pStyle w:val="4"/>
      </w:pPr>
      <w:r>
        <w:rPr>
          <w:rFonts w:ascii="仿宋_GB2312" w:hAnsi="仿宋_GB2312" w:eastAsia="仿宋_GB2312" w:cs="仿宋_GB2312"/>
        </w:rPr>
        <w:t>11、分包的评审条款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2373"/>
        <w:gridCol w:w="1187"/>
        <w:gridCol w:w="1187"/>
      </w:tblGrid>
      <w:tr w14:paraId="3D0252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E0E4BA2">
            <w:pPr>
              <w:pStyle w:val="4"/>
            </w:pPr>
            <w:r>
              <w:rPr>
                <w:rFonts w:ascii="仿宋_GB2312" w:hAnsi="仿宋_GB2312" w:eastAsia="仿宋_GB2312" w:cs="仿宋_GB2312"/>
              </w:rPr>
              <w:t>评审项编号</w:t>
            </w:r>
          </w:p>
        </w:tc>
        <w:tc>
          <w:tcPr>
            <w:tcW w:w="1187" w:type="dxa"/>
          </w:tcPr>
          <w:p w14:paraId="705D450D">
            <w:pPr>
              <w:pStyle w:val="4"/>
            </w:pPr>
            <w:r>
              <w:rPr>
                <w:rFonts w:ascii="仿宋_GB2312" w:hAnsi="仿宋_GB2312" w:eastAsia="仿宋_GB2312" w:cs="仿宋_GB2312"/>
              </w:rPr>
              <w:t>一级评审项</w:t>
            </w:r>
          </w:p>
        </w:tc>
        <w:tc>
          <w:tcPr>
            <w:tcW w:w="1187" w:type="dxa"/>
          </w:tcPr>
          <w:p w14:paraId="55241E86">
            <w:pPr>
              <w:pStyle w:val="4"/>
            </w:pPr>
            <w:r>
              <w:rPr>
                <w:rFonts w:ascii="仿宋_GB2312" w:hAnsi="仿宋_GB2312" w:eastAsia="仿宋_GB2312" w:cs="仿宋_GB2312"/>
              </w:rPr>
              <w:t>二级评审项</w:t>
            </w:r>
          </w:p>
        </w:tc>
        <w:tc>
          <w:tcPr>
            <w:tcW w:w="2373" w:type="dxa"/>
          </w:tcPr>
          <w:p w14:paraId="240F6663">
            <w:pPr>
              <w:pStyle w:val="4"/>
            </w:pPr>
            <w:r>
              <w:rPr>
                <w:rFonts w:ascii="仿宋_GB2312" w:hAnsi="仿宋_GB2312" w:eastAsia="仿宋_GB2312" w:cs="仿宋_GB2312"/>
              </w:rPr>
              <w:t>详细要求</w:t>
            </w:r>
          </w:p>
        </w:tc>
        <w:tc>
          <w:tcPr>
            <w:tcW w:w="1187" w:type="dxa"/>
          </w:tcPr>
          <w:p w14:paraId="63688BA5">
            <w:pPr>
              <w:pStyle w:val="4"/>
            </w:pPr>
            <w:r>
              <w:rPr>
                <w:rFonts w:ascii="仿宋_GB2312" w:hAnsi="仿宋_GB2312" w:eastAsia="仿宋_GB2312" w:cs="仿宋_GB2312"/>
              </w:rPr>
              <w:t>分值</w:t>
            </w:r>
          </w:p>
        </w:tc>
        <w:tc>
          <w:tcPr>
            <w:tcW w:w="1187" w:type="dxa"/>
          </w:tcPr>
          <w:p w14:paraId="011CEC52">
            <w:pPr>
              <w:pStyle w:val="4"/>
            </w:pPr>
            <w:r>
              <w:rPr>
                <w:rFonts w:ascii="仿宋_GB2312" w:hAnsi="仿宋_GB2312" w:eastAsia="仿宋_GB2312" w:cs="仿宋_GB2312"/>
              </w:rPr>
              <w:t>客观评审项</w:t>
            </w:r>
          </w:p>
        </w:tc>
      </w:tr>
      <w:tr w14:paraId="3423F0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8" w:type="dxa"/>
            <w:gridSpan w:val="6"/>
          </w:tcPr>
          <w:p w14:paraId="1132FB9A">
            <w:pPr>
              <w:pStyle w:val="4"/>
            </w:pPr>
            <w:r>
              <w:rPr>
                <w:rFonts w:ascii="仿宋_GB2312" w:hAnsi="仿宋_GB2312" w:eastAsia="仿宋_GB2312" w:cs="仿宋_GB2312"/>
              </w:rPr>
              <w:t>{{未填写}}</w:t>
            </w:r>
          </w:p>
        </w:tc>
      </w:tr>
    </w:tbl>
    <w:p w14:paraId="1A204193">
      <w:pPr>
        <w:pStyle w:val="4"/>
      </w:pPr>
      <w:r>
        <w:rPr>
          <w:rFonts w:ascii="仿宋_GB2312" w:hAnsi="仿宋_GB2312" w:eastAsia="仿宋_GB2312" w:cs="仿宋_GB2312"/>
        </w:rPr>
        <w:t>12、合同管理安排</w:t>
      </w:r>
    </w:p>
    <w:p w14:paraId="1B87A729">
      <w:pPr>
        <w:pStyle w:val="4"/>
        <w:ind w:firstLine="840"/>
      </w:pPr>
      <w:r>
        <w:rPr>
          <w:rFonts w:ascii="仿宋_GB2312" w:hAnsi="仿宋_GB2312" w:eastAsia="仿宋_GB2312" w:cs="仿宋_GB2312"/>
        </w:rPr>
        <w:t>1）合同类型：委托合同</w:t>
      </w:r>
    </w:p>
    <w:p w14:paraId="48070CEC">
      <w:pPr>
        <w:pStyle w:val="4"/>
        <w:ind w:firstLine="840"/>
      </w:pPr>
      <w:r>
        <w:rPr>
          <w:rFonts w:ascii="仿宋_GB2312" w:hAnsi="仿宋_GB2312" w:eastAsia="仿宋_GB2312" w:cs="仿宋_GB2312"/>
        </w:rPr>
        <w:t>2）合同定价方式：固定总价</w:t>
      </w:r>
    </w:p>
    <w:p w14:paraId="20AE82B6">
      <w:pPr>
        <w:pStyle w:val="4"/>
        <w:ind w:firstLine="840"/>
      </w:pPr>
      <w:r>
        <w:rPr>
          <w:rFonts w:ascii="仿宋_GB2312" w:hAnsi="仿宋_GB2312" w:eastAsia="仿宋_GB2312" w:cs="仿宋_GB2312"/>
        </w:rPr>
        <w:t>3）合同履行期限：自合同签订之日起30日</w:t>
      </w:r>
    </w:p>
    <w:p w14:paraId="0F90CF1E">
      <w:pPr>
        <w:pStyle w:val="4"/>
        <w:ind w:firstLine="840"/>
      </w:pPr>
      <w:r>
        <w:rPr>
          <w:rFonts w:ascii="仿宋_GB2312" w:hAnsi="仿宋_GB2312" w:eastAsia="仿宋_GB2312" w:cs="仿宋_GB2312"/>
        </w:rPr>
        <w:t>4）合同履约地点：德阳市公安局罗江区分局</w:t>
      </w:r>
    </w:p>
    <w:p w14:paraId="2EDF299D">
      <w:pPr>
        <w:pStyle w:val="4"/>
        <w:ind w:firstLine="840"/>
      </w:pPr>
      <w:r>
        <w:rPr>
          <w:rFonts w:ascii="仿宋_GB2312" w:hAnsi="仿宋_GB2312" w:eastAsia="仿宋_GB2312" w:cs="仿宋_GB2312"/>
        </w:rPr>
        <w:t>5）支付方式：一次付清</w:t>
      </w:r>
    </w:p>
    <w:p w14:paraId="6635ED33">
      <w:pPr>
        <w:pStyle w:val="4"/>
        <w:ind w:firstLine="840"/>
      </w:pPr>
      <w:r>
        <w:rPr>
          <w:rFonts w:ascii="仿宋_GB2312" w:hAnsi="仿宋_GB2312" w:eastAsia="仿宋_GB2312" w:cs="仿宋_GB2312"/>
        </w:rPr>
        <w:t>6）履约保证金及缴纳形式：</w:t>
      </w:r>
    </w:p>
    <w:p w14:paraId="295790AC">
      <w:pPr>
        <w:pStyle w:val="4"/>
      </w:pPr>
      <w:r>
        <w:rPr>
          <w:rFonts w:ascii="仿宋_GB2312" w:hAnsi="仿宋_GB2312" w:eastAsia="仿宋_GB2312" w:cs="仿宋_GB2312"/>
        </w:rPr>
        <w:t>中标/成交供应商是否需要缴纳履约保证金：否</w:t>
      </w:r>
    </w:p>
    <w:p w14:paraId="64CD9604">
      <w:pPr>
        <w:pStyle w:val="4"/>
        <w:ind w:firstLine="840"/>
      </w:pPr>
      <w:r>
        <w:rPr>
          <w:rFonts w:ascii="仿宋_GB2312" w:hAnsi="仿宋_GB2312" w:eastAsia="仿宋_GB2312" w:cs="仿宋_GB2312"/>
        </w:rPr>
        <w:t>7）质量保证金及缴纳形式：</w:t>
      </w:r>
    </w:p>
    <w:p w14:paraId="1011C74F">
      <w:pPr>
        <w:pStyle w:val="4"/>
      </w:pPr>
      <w:r>
        <w:rPr>
          <w:rFonts w:ascii="仿宋_GB2312" w:hAnsi="仿宋_GB2312" w:eastAsia="仿宋_GB2312" w:cs="仿宋_GB2312"/>
        </w:rPr>
        <w:t>中标/成交供应商是否需要缴纳质量保证金：否</w:t>
      </w:r>
    </w:p>
    <w:p w14:paraId="2CD1E344">
      <w:pPr>
        <w:pStyle w:val="4"/>
        <w:ind w:firstLine="840"/>
      </w:pPr>
      <w:r>
        <w:rPr>
          <w:rFonts w:ascii="仿宋_GB2312" w:hAnsi="仿宋_GB2312" w:eastAsia="仿宋_GB2312" w:cs="仿宋_GB2312"/>
        </w:rPr>
        <w:t>8）付款进度安排：</w:t>
      </w:r>
    </w:p>
    <w:p w14:paraId="63DABB9F">
      <w:pPr>
        <w:pStyle w:val="4"/>
      </w:pPr>
      <w:r>
        <w:rPr>
          <w:rFonts w:ascii="仿宋_GB2312" w:hAnsi="仿宋_GB2312" w:eastAsia="仿宋_GB2312" w:cs="仿宋_GB2312"/>
        </w:rPr>
        <w:t>采购包1：</w:t>
      </w:r>
    </w:p>
    <w:p w14:paraId="2DF8E136">
      <w:pPr>
        <w:pStyle w:val="4"/>
        <w:ind w:firstLine="1200"/>
      </w:pPr>
      <w:r>
        <w:rPr>
          <w:rFonts w:ascii="仿宋_GB2312" w:hAnsi="仿宋_GB2312" w:eastAsia="仿宋_GB2312" w:cs="仿宋_GB2312"/>
        </w:rPr>
        <w:t>1、 付款条件： 完成全部设备的供货和安装调试，经采购人验收合格 。达到该付款条件起 15 个工作日内， 支付合同总金额的100.00%。</w:t>
      </w:r>
    </w:p>
    <w:p w14:paraId="3DD91850">
      <w:pPr>
        <w:pStyle w:val="4"/>
        <w:ind w:firstLine="840"/>
      </w:pPr>
      <w:r>
        <w:rPr>
          <w:rFonts w:ascii="仿宋_GB2312" w:hAnsi="仿宋_GB2312" w:eastAsia="仿宋_GB2312" w:cs="仿宋_GB2312"/>
        </w:rPr>
        <w:t>9）验收交付标准和方法：本项目由采购人自行进行验收。验收应按照本项目招标文件、成交供应商的响应文件、《财政部关于进一步加强政府采购需求和履约验收管理的指导意见》(财库[2016]205号)和《政府采购需求管理办法》(财库[2021]22号)文件的要求进行验收。</w:t>
      </w:r>
    </w:p>
    <w:p w14:paraId="05B6AFAC">
      <w:pPr>
        <w:pStyle w:val="4"/>
        <w:ind w:firstLine="840"/>
      </w:pPr>
      <w:r>
        <w:rPr>
          <w:rFonts w:ascii="仿宋_GB2312" w:hAnsi="仿宋_GB2312" w:eastAsia="仿宋_GB2312" w:cs="仿宋_GB2312"/>
        </w:rPr>
        <w:t>10）质量保修范围和保修期：本项目质量保修期为2年。保修期发生任何质量问题，成交供应商应负责维修或更换，应确保采购人对产品的正常使用。</w:t>
      </w:r>
    </w:p>
    <w:p w14:paraId="49748BC3">
      <w:pPr>
        <w:pStyle w:val="4"/>
        <w:ind w:firstLine="840"/>
      </w:pPr>
      <w:r>
        <w:rPr>
          <w:rFonts w:ascii="仿宋_GB2312" w:hAnsi="仿宋_GB2312" w:eastAsia="仿宋_GB2312" w:cs="仿宋_GB2312"/>
        </w:rPr>
        <w:t>11）知识产权归属和处理方式：投标供应商为本项目提供的产品不得侵犯第三方的知识产权，否则由此造成的一切后果由投标供应商自行承担。</w:t>
      </w:r>
    </w:p>
    <w:p w14:paraId="38E1CC94">
      <w:pPr>
        <w:pStyle w:val="4"/>
        <w:ind w:firstLine="840"/>
      </w:pPr>
      <w:r>
        <w:rPr>
          <w:rFonts w:ascii="仿宋_GB2312" w:hAnsi="仿宋_GB2312" w:eastAsia="仿宋_GB2312" w:cs="仿宋_GB2312"/>
        </w:rPr>
        <w:t>12）成本补偿和风险分担约定：由采购人和成交供应商协商解决。</w:t>
      </w:r>
    </w:p>
    <w:p w14:paraId="11A90488">
      <w:pPr>
        <w:pStyle w:val="4"/>
        <w:ind w:firstLine="840"/>
      </w:pPr>
      <w:r>
        <w:rPr>
          <w:rFonts w:ascii="仿宋_GB2312" w:hAnsi="仿宋_GB2312" w:eastAsia="仿宋_GB2312" w:cs="仿宋_GB2312"/>
        </w:rPr>
        <w:t>13）违约责任与解决争议的方法：一方违约，应向对方承担违约责任。发生争议时，双方应协商解决，协商解决不成的，可向本项目所在地人民法院提起诉讼。</w:t>
      </w:r>
    </w:p>
    <w:p w14:paraId="46B2FE4E">
      <w:pPr>
        <w:pStyle w:val="4"/>
        <w:ind w:firstLine="840"/>
      </w:pPr>
      <w:r>
        <w:rPr>
          <w:rFonts w:ascii="仿宋_GB2312" w:hAnsi="仿宋_GB2312" w:eastAsia="仿宋_GB2312" w:cs="仿宋_GB2312"/>
        </w:rPr>
        <w:t>14）合同其他条款：供应商成交后，签订合同前，采购人可对本项目技术性能指标要求的参数要求成交供应商进行演示，若不满足本项目的要求的，视为供应商虚假响应，采购人有权取消供应商的成交资格。</w:t>
      </w:r>
    </w:p>
    <w:p w14:paraId="3518E3BE">
      <w:pPr>
        <w:pStyle w:val="4"/>
      </w:pPr>
      <w:r>
        <w:rPr>
          <w:rFonts w:ascii="仿宋_GB2312" w:hAnsi="仿宋_GB2312" w:eastAsia="仿宋_GB2312" w:cs="仿宋_GB2312"/>
        </w:rPr>
        <w:t>13、履约验收方案</w:t>
      </w:r>
    </w:p>
    <w:p w14:paraId="17DC6884">
      <w:pPr>
        <w:pStyle w:val="4"/>
        <w:ind w:firstLine="840"/>
      </w:pPr>
      <w:r>
        <w:rPr>
          <w:rFonts w:ascii="仿宋_GB2312" w:hAnsi="仿宋_GB2312" w:eastAsia="仿宋_GB2312" w:cs="仿宋_GB2312"/>
        </w:rPr>
        <w:t>1）验收组织方式：自行验收</w:t>
      </w:r>
    </w:p>
    <w:p w14:paraId="47B3EE31">
      <w:pPr>
        <w:pStyle w:val="4"/>
        <w:ind w:firstLine="840"/>
      </w:pPr>
      <w:r>
        <w:rPr>
          <w:rFonts w:ascii="仿宋_GB2312" w:hAnsi="仿宋_GB2312" w:eastAsia="仿宋_GB2312" w:cs="仿宋_GB2312"/>
        </w:rPr>
        <w:t>2）是否邀请本项目的其他供应商：否</w:t>
      </w:r>
    </w:p>
    <w:p w14:paraId="53105D53">
      <w:pPr>
        <w:pStyle w:val="4"/>
        <w:ind w:firstLine="840"/>
      </w:pPr>
      <w:r>
        <w:rPr>
          <w:rFonts w:ascii="仿宋_GB2312" w:hAnsi="仿宋_GB2312" w:eastAsia="仿宋_GB2312" w:cs="仿宋_GB2312"/>
        </w:rPr>
        <w:t>3）是否邀请专家：否</w:t>
      </w:r>
    </w:p>
    <w:p w14:paraId="2DE437DF">
      <w:pPr>
        <w:pStyle w:val="4"/>
        <w:ind w:firstLine="840"/>
      </w:pPr>
      <w:r>
        <w:rPr>
          <w:rFonts w:ascii="仿宋_GB2312" w:hAnsi="仿宋_GB2312" w:eastAsia="仿宋_GB2312" w:cs="仿宋_GB2312"/>
        </w:rPr>
        <w:t>4）是否邀请服务对象：否</w:t>
      </w:r>
    </w:p>
    <w:p w14:paraId="15DF622D">
      <w:pPr>
        <w:pStyle w:val="4"/>
        <w:ind w:firstLine="840"/>
      </w:pPr>
      <w:r>
        <w:rPr>
          <w:rFonts w:ascii="仿宋_GB2312" w:hAnsi="仿宋_GB2312" w:eastAsia="仿宋_GB2312" w:cs="仿宋_GB2312"/>
        </w:rPr>
        <w:t>5）是否邀请第三方检测机构：否</w:t>
      </w:r>
    </w:p>
    <w:p w14:paraId="6C7D93FC">
      <w:pPr>
        <w:pStyle w:val="4"/>
        <w:ind w:firstLine="840"/>
      </w:pPr>
      <w:r>
        <w:rPr>
          <w:rFonts w:ascii="仿宋_GB2312" w:hAnsi="仿宋_GB2312" w:eastAsia="仿宋_GB2312" w:cs="仿宋_GB2312"/>
        </w:rPr>
        <w:t>6）履约验收程序：一次性验收</w:t>
      </w:r>
    </w:p>
    <w:p w14:paraId="68824637">
      <w:pPr>
        <w:pStyle w:val="4"/>
        <w:ind w:firstLine="840"/>
      </w:pPr>
      <w:r>
        <w:rPr>
          <w:rFonts w:ascii="仿宋_GB2312" w:hAnsi="仿宋_GB2312" w:eastAsia="仿宋_GB2312" w:cs="仿宋_GB2312"/>
        </w:rPr>
        <w:t>7）履约验收时间：</w:t>
      </w:r>
    </w:p>
    <w:p w14:paraId="725E9E2E">
      <w:pPr>
        <w:pStyle w:val="4"/>
      </w:pPr>
      <w:r>
        <w:rPr>
          <w:rFonts w:ascii="仿宋_GB2312" w:hAnsi="仿宋_GB2312" w:eastAsia="仿宋_GB2312" w:cs="仿宋_GB2312"/>
        </w:rPr>
        <w:t>1、 验收条件说明： 完成全部货物的供货并安装调试完，经采购人验收合格 ，达到验收条件起 15 日内，验收合同总金额的 100%；</w:t>
      </w:r>
    </w:p>
    <w:p w14:paraId="708A4883">
      <w:pPr>
        <w:pStyle w:val="4"/>
        <w:ind w:firstLine="840"/>
      </w:pPr>
      <w:r>
        <w:rPr>
          <w:rFonts w:ascii="仿宋_GB2312" w:hAnsi="仿宋_GB2312" w:eastAsia="仿宋_GB2312" w:cs="仿宋_GB2312"/>
        </w:rPr>
        <w:t>8）验收组织的其他事项：由采购人组织进行验收。采购人严格按照《财政部关于进一步加强政府采购需求和履约验收管理的指导意见》(财库[2016]205号)和《政府采购需求管理办法》(财库[2021]22号)文件的要求进行验收。</w:t>
      </w:r>
    </w:p>
    <w:p w14:paraId="78D50F51">
      <w:pPr>
        <w:pStyle w:val="4"/>
        <w:ind w:firstLine="840"/>
      </w:pPr>
      <w:r>
        <w:rPr>
          <w:rFonts w:ascii="仿宋_GB2312" w:hAnsi="仿宋_GB2312" w:eastAsia="仿宋_GB2312" w:cs="仿宋_GB2312"/>
        </w:rPr>
        <w:t>9）技术履约验收内容：采购人严格按照《财政部关于进一步加强政府采购需求和履约验收管理的指导意见》(财库[2016]205号)和《政府采购需求管理办法》(财库[2021]22号)文件的要求进行验收。</w:t>
      </w:r>
    </w:p>
    <w:p w14:paraId="6FA436BE">
      <w:pPr>
        <w:pStyle w:val="4"/>
        <w:ind w:firstLine="840"/>
      </w:pPr>
      <w:r>
        <w:rPr>
          <w:rFonts w:ascii="仿宋_GB2312" w:hAnsi="仿宋_GB2312" w:eastAsia="仿宋_GB2312" w:cs="仿宋_GB2312"/>
        </w:rPr>
        <w:t>10）商务履约验收内容：采购人严格按照《财政部关于进一步加强政府采购需求和履约验收管理的指导意见》(财库[2016]205号)和《政府采购需求管理办法》(财库[2021]22号)文件的要求进行验收。</w:t>
      </w:r>
    </w:p>
    <w:p w14:paraId="3B3D5A15">
      <w:pPr>
        <w:pStyle w:val="4"/>
        <w:ind w:firstLine="840"/>
      </w:pPr>
      <w:r>
        <w:rPr>
          <w:rFonts w:ascii="仿宋_GB2312" w:hAnsi="仿宋_GB2312" w:eastAsia="仿宋_GB2312" w:cs="仿宋_GB2312"/>
        </w:rPr>
        <w:t>11）履约验收标准：采购人严格按照《财政部关于进一步加强政府采购需求和履约验收管理的指导意见》(财库[2016]205号)和《政府采购需求管理办法》(财库[2021]22号)文件的要求进行验收。</w:t>
      </w:r>
    </w:p>
    <w:p w14:paraId="042398AD">
      <w:pPr>
        <w:pStyle w:val="4"/>
        <w:ind w:firstLine="840"/>
      </w:pPr>
      <w:r>
        <w:rPr>
          <w:rFonts w:ascii="仿宋_GB2312" w:hAnsi="仿宋_GB2312" w:eastAsia="仿宋_GB2312" w:cs="仿宋_GB2312"/>
        </w:rPr>
        <w:t>12）履约验收其他事项：无</w:t>
      </w:r>
    </w:p>
    <w:p w14:paraId="6603328B">
      <w:pPr>
        <w:pStyle w:val="4"/>
        <w:outlineLvl w:val="2"/>
      </w:pPr>
      <w:r>
        <w:rPr>
          <w:rFonts w:ascii="仿宋_GB2312" w:hAnsi="仿宋_GB2312" w:eastAsia="仿宋_GB2312" w:cs="仿宋_GB2312"/>
          <w:b/>
          <w:sz w:val="28"/>
        </w:rPr>
        <w:t>五、风险控制措施和替代方案</w:t>
      </w:r>
    </w:p>
    <w:p w14:paraId="1705DB79">
      <w:pPr>
        <w:pStyle w:val="4"/>
        <w:ind w:firstLine="840"/>
      </w:pPr>
      <w:r>
        <w:rPr>
          <w:rFonts w:ascii="仿宋_GB2312" w:hAnsi="仿宋_GB2312" w:eastAsia="仿宋_GB2312" w:cs="仿宋_GB2312"/>
        </w:rPr>
        <w:t>该采购项目按照《政府采购需求管理办法》第二十五条规定，本项目是否需要组织风险判断、提出处置措施和替代方案：否</w:t>
      </w:r>
    </w:p>
    <w:p w14:paraId="3763ADFC">
      <w:pPr>
        <w:pStyle w:val="4"/>
      </w:pPr>
    </w:p>
    <w:p w14:paraId="65863E8A">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60670DC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4764</Words>
  <Characters>5071</Characters>
  <Lines>0</Lines>
  <Paragraphs>0</Paragraphs>
  <TotalTime>2</TotalTime>
  <ScaleCrop>false</ScaleCrop>
  <LinksUpToDate>false</LinksUpToDate>
  <CharactersWithSpaces>5107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dc:creator>
  <cp:lastModifiedBy>没有啤酒肚</cp:lastModifiedBy>
  <dcterms:modified xsi:type="dcterms:W3CDTF">2026-08-21T08:50:03Z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eyJoZGlkIjoiMjM5MjZjYWU4OGMyZTk4OTk0ZWRiZTRjYTM5NGRhNzgiLCJ1c2VySWQiOiI1NDczMDA1MjMifQ==</vt:lpwstr>
  </property>
  <property fmtid="{D5CDD505-2E9C-101B-9397-08002B2CF9AE}" pid="4" name="ICV">
    <vt:lpwstr>D7E042D853CA411FA5D52CE78B524450_12</vt:lpwstr>
  </property>
</Properties>
</file>