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736C9">
      <w:pPr>
        <w:pStyle w:val="3"/>
        <w:shd w:val="clear"/>
        <w:rPr>
          <w:rFonts w:hint="eastAsia" w:eastAsia="宋体"/>
          <w:color w:val="auto"/>
          <w:highlight w:val="none"/>
          <w:lang w:val="en-US" w:eastAsia="zh-CN"/>
        </w:rPr>
      </w:pPr>
      <w:r>
        <w:rPr>
          <w:rFonts w:hint="eastAsia" w:hAnsi="宋体" w:eastAsia="宋体" w:cs="宋体"/>
          <w:color w:val="auto"/>
          <w:highlight w:val="none"/>
        </w:rPr>
        <w:t>北京化工大学多波段有机碳/元素碳分析仪设备采购项目(03木质纤维素化学组成与降解分析系统等设备采购项目)</w:t>
      </w:r>
      <w:r>
        <w:rPr>
          <w:rFonts w:hint="eastAsia" w:hAnsi="宋体" w:eastAsia="宋体" w:cs="宋体"/>
          <w:color w:val="auto"/>
          <w:highlight w:val="none"/>
          <w:lang w:val="en-US" w:eastAsia="zh-CN"/>
        </w:rPr>
        <w:t>公开招标公告</w:t>
      </w:r>
      <w:bookmarkStart w:id="11" w:name="_GoBack"/>
      <w:bookmarkEnd w:id="11"/>
    </w:p>
    <w:p w14:paraId="4C174B54">
      <w:pPr>
        <w:shd w:val="clear"/>
        <w:spacing w:line="360" w:lineRule="auto"/>
        <w:rPr>
          <w:rFonts w:ascii="宋体" w:hAnsi="宋体" w:eastAsia="宋体"/>
          <w:color w:val="auto"/>
          <w:highlight w:val="none"/>
        </w:rPr>
      </w:pPr>
    </w:p>
    <w:p w14:paraId="6EA9F3D7">
      <w:pPr>
        <w:shd w:val="clear"/>
        <w:spacing w:line="360" w:lineRule="auto"/>
        <w:rPr>
          <w:rFonts w:ascii="宋体" w:hAnsi="宋体" w:eastAsia="宋体"/>
          <w:b/>
          <w:color w:val="auto"/>
          <w:sz w:val="24"/>
          <w:highlight w:val="none"/>
        </w:rPr>
      </w:pPr>
      <w:r>
        <w:rPr>
          <w:rFonts w:hint="eastAsia" w:ascii="宋体" w:hAnsi="宋体" w:eastAsia="宋体"/>
          <w:b/>
          <w:color w:val="auto"/>
          <w:sz w:val="24"/>
          <w:highlight w:val="none"/>
        </w:rPr>
        <w:t>项目概况</w:t>
      </w:r>
    </w:p>
    <w:p w14:paraId="25DBBD26">
      <w:pPr>
        <w:shd w:val="clear"/>
        <w:spacing w:line="360" w:lineRule="auto"/>
        <w:ind w:firstLine="428" w:firstLineChars="200"/>
        <w:rPr>
          <w:rFonts w:ascii="宋体" w:hAnsi="宋体" w:eastAsia="宋体" w:cs="宋体"/>
          <w:color w:val="auto"/>
          <w:spacing w:val="-13"/>
          <w:position w:val="17"/>
          <w:sz w:val="24"/>
          <w:szCs w:val="24"/>
          <w:highlight w:val="none"/>
        </w:rPr>
      </w:pPr>
      <w:r>
        <w:rPr>
          <w:rFonts w:hint="eastAsia" w:ascii="宋体" w:hAnsi="宋体" w:eastAsia="宋体" w:cs="宋体"/>
          <w:color w:val="auto"/>
          <w:spacing w:val="-13"/>
          <w:position w:val="17"/>
          <w:sz w:val="24"/>
          <w:szCs w:val="24"/>
          <w:highlight w:val="none"/>
        </w:rPr>
        <w:t>北京化工大学多波段有机碳/元素碳分析仪设备采购项目(03木质纤维素化学组成与降解分析系统等设备采购项目)招标项目的潜在投标人应在</w:t>
      </w:r>
      <w:r>
        <w:rPr>
          <w:rFonts w:hint="eastAsia" w:ascii="宋体" w:hAnsi="宋体" w:eastAsia="宋体" w:cs="宋体"/>
          <w:color w:val="auto"/>
          <w:spacing w:val="-13"/>
          <w:position w:val="17"/>
          <w:sz w:val="24"/>
          <w:szCs w:val="24"/>
          <w:highlight w:val="none"/>
          <w:u w:val="single"/>
        </w:rPr>
        <w:t>中钢招标有限责任公司官网（http://tendering.sinosteel.com）</w:t>
      </w:r>
      <w:r>
        <w:rPr>
          <w:rFonts w:hint="eastAsia" w:ascii="宋体" w:hAnsi="宋体" w:eastAsia="宋体" w:cs="宋体"/>
          <w:color w:val="auto"/>
          <w:spacing w:val="-13"/>
          <w:position w:val="17"/>
          <w:sz w:val="24"/>
          <w:szCs w:val="24"/>
          <w:highlight w:val="none"/>
        </w:rPr>
        <w:t>获取招标文件，纸质文件将按照供应商在电子平台登记信息以快递方式送达，并于2025年</w:t>
      </w:r>
      <w:r>
        <w:rPr>
          <w:rFonts w:hint="eastAsia" w:ascii="宋体" w:hAnsi="宋体" w:eastAsia="宋体" w:cs="宋体"/>
          <w:color w:val="auto"/>
          <w:spacing w:val="-13"/>
          <w:position w:val="17"/>
          <w:sz w:val="24"/>
          <w:szCs w:val="24"/>
          <w:highlight w:val="none"/>
          <w:lang w:val="en-US" w:eastAsia="zh-CN"/>
        </w:rPr>
        <w:t>4</w:t>
      </w:r>
      <w:r>
        <w:rPr>
          <w:rFonts w:hint="eastAsia" w:ascii="宋体" w:hAnsi="宋体" w:eastAsia="宋体" w:cs="宋体"/>
          <w:color w:val="auto"/>
          <w:spacing w:val="-13"/>
          <w:position w:val="17"/>
          <w:sz w:val="24"/>
          <w:szCs w:val="24"/>
          <w:highlight w:val="none"/>
        </w:rPr>
        <w:t>月</w:t>
      </w:r>
      <w:r>
        <w:rPr>
          <w:rFonts w:hint="eastAsia" w:ascii="宋体" w:hAnsi="宋体" w:eastAsia="宋体" w:cs="宋体"/>
          <w:color w:val="auto"/>
          <w:spacing w:val="-13"/>
          <w:position w:val="17"/>
          <w:sz w:val="24"/>
          <w:szCs w:val="24"/>
          <w:highlight w:val="none"/>
          <w:lang w:val="en-US" w:eastAsia="zh-CN"/>
        </w:rPr>
        <w:t>3</w:t>
      </w:r>
      <w:r>
        <w:rPr>
          <w:rFonts w:hint="eastAsia" w:ascii="宋体" w:hAnsi="宋体" w:eastAsia="宋体" w:cs="宋体"/>
          <w:color w:val="auto"/>
          <w:spacing w:val="-13"/>
          <w:position w:val="17"/>
          <w:sz w:val="24"/>
          <w:szCs w:val="24"/>
          <w:highlight w:val="none"/>
        </w:rPr>
        <w:t>日</w:t>
      </w:r>
      <w:r>
        <w:rPr>
          <w:rFonts w:hint="eastAsia" w:ascii="宋体" w:hAnsi="宋体" w:eastAsia="宋体" w:cs="宋体"/>
          <w:color w:val="auto"/>
          <w:spacing w:val="-13"/>
          <w:position w:val="17"/>
          <w:sz w:val="24"/>
          <w:szCs w:val="24"/>
          <w:highlight w:val="none"/>
          <w:lang w:val="en-US" w:eastAsia="zh-CN"/>
        </w:rPr>
        <w:t>09</w:t>
      </w:r>
      <w:r>
        <w:rPr>
          <w:rFonts w:hint="eastAsia" w:ascii="宋体" w:hAnsi="宋体" w:eastAsia="宋体" w:cs="宋体"/>
          <w:color w:val="auto"/>
          <w:spacing w:val="-13"/>
          <w:position w:val="17"/>
          <w:sz w:val="24"/>
          <w:szCs w:val="24"/>
          <w:highlight w:val="none"/>
        </w:rPr>
        <w:t>点</w:t>
      </w:r>
      <w:r>
        <w:rPr>
          <w:rFonts w:hint="eastAsia" w:ascii="宋体" w:hAnsi="宋体" w:eastAsia="宋体" w:cs="宋体"/>
          <w:color w:val="auto"/>
          <w:spacing w:val="-13"/>
          <w:position w:val="17"/>
          <w:sz w:val="24"/>
          <w:szCs w:val="24"/>
          <w:highlight w:val="none"/>
          <w:lang w:val="en-US" w:eastAsia="zh-CN"/>
        </w:rPr>
        <w:t>30</w:t>
      </w:r>
      <w:r>
        <w:rPr>
          <w:rFonts w:hint="eastAsia" w:ascii="宋体" w:hAnsi="宋体" w:eastAsia="宋体" w:cs="宋体"/>
          <w:color w:val="auto"/>
          <w:spacing w:val="-13"/>
          <w:position w:val="17"/>
          <w:sz w:val="24"/>
          <w:szCs w:val="24"/>
          <w:highlight w:val="none"/>
        </w:rPr>
        <w:t>分（北京时间）前递交投标文件。</w:t>
      </w:r>
    </w:p>
    <w:p w14:paraId="60D71458">
      <w:pPr>
        <w:shd w:val="clear"/>
        <w:spacing w:line="360" w:lineRule="auto"/>
        <w:outlineLvl w:val="1"/>
        <w:rPr>
          <w:rFonts w:ascii="宋体" w:hAnsi="宋体" w:eastAsia="宋体" w:cs="宋体"/>
          <w:color w:val="auto"/>
          <w:spacing w:val="-15"/>
          <w:sz w:val="24"/>
          <w:szCs w:val="24"/>
          <w:highlight w:val="none"/>
        </w:rPr>
      </w:pPr>
      <w:bookmarkStart w:id="0" w:name="_Toc154676371"/>
      <w:r>
        <w:rPr>
          <w:rFonts w:ascii="宋体" w:hAnsi="宋体" w:eastAsia="宋体" w:cs="宋体"/>
          <w:color w:val="auto"/>
          <w:spacing w:val="-15"/>
          <w:sz w:val="24"/>
          <w:szCs w:val="24"/>
          <w:highlight w:val="none"/>
        </w:rPr>
        <w:t>一、项目基本情况</w:t>
      </w:r>
      <w:bookmarkEnd w:id="0"/>
    </w:p>
    <w:p w14:paraId="04524C56">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hint="eastAsia" w:ascii="宋体" w:hAnsi="宋体" w:eastAsia="宋体" w:cs="仿宋"/>
          <w:color w:val="auto"/>
          <w:sz w:val="24"/>
          <w:highlight w:val="none"/>
        </w:rPr>
        <w:t>招标编号/包号：2441STC75285/03</w:t>
      </w:r>
    </w:p>
    <w:p w14:paraId="5FE98A6F">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hint="eastAsia" w:ascii="宋体" w:hAnsi="宋体" w:eastAsia="宋体" w:cs="仿宋"/>
          <w:color w:val="auto"/>
          <w:sz w:val="24"/>
          <w:highlight w:val="none"/>
        </w:rPr>
        <w:t>项目名称：北京化工大学多波段有机碳/元素碳分析仪设备采购项目(03木质纤维素化学组成与降解分析系统等设备采购项目)</w:t>
      </w:r>
    </w:p>
    <w:p w14:paraId="505E90D1">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hint="eastAsia" w:ascii="宋体" w:hAnsi="宋体" w:eastAsia="宋体" w:cs="仿宋"/>
          <w:color w:val="auto"/>
          <w:sz w:val="24"/>
          <w:highlight w:val="none"/>
        </w:rPr>
        <w:t>分包预算金额：321.87万元；</w:t>
      </w:r>
    </w:p>
    <w:p w14:paraId="3296E099">
      <w:pPr>
        <w:shd w:val="clear"/>
        <w:spacing w:line="360" w:lineRule="auto"/>
        <w:ind w:left="283" w:leftChars="135" w:firstLine="261" w:firstLineChars="109"/>
        <w:rPr>
          <w:rFonts w:ascii="宋体" w:hAnsi="宋体" w:eastAsia="宋体" w:cs="仿宋"/>
          <w:color w:val="auto"/>
          <w:sz w:val="24"/>
          <w:highlight w:val="none"/>
        </w:rPr>
      </w:pPr>
      <w:r>
        <w:rPr>
          <w:rFonts w:hint="eastAsia" w:ascii="宋体" w:hAnsi="宋体" w:eastAsia="宋体" w:cs="仿宋"/>
          <w:color w:val="auto"/>
          <w:sz w:val="24"/>
          <w:highlight w:val="none"/>
        </w:rPr>
        <w:t>分包最高限价（如有）：321.87万元</w:t>
      </w:r>
    </w:p>
    <w:p w14:paraId="6DFA9A1C">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ascii="宋体" w:hAnsi="宋体" w:eastAsia="宋体" w:cs="仿宋"/>
          <w:color w:val="auto"/>
          <w:sz w:val="24"/>
          <w:highlight w:val="none"/>
        </w:rPr>
        <w:t>采购需求：</w:t>
      </w:r>
    </w:p>
    <w:p w14:paraId="09C3A037">
      <w:pPr>
        <w:shd w:val="clear"/>
        <w:spacing w:line="360" w:lineRule="auto"/>
        <w:ind w:firstLine="480" w:firstLineChars="200"/>
        <w:rPr>
          <w:rFonts w:ascii="宋体" w:hAnsi="宋体" w:eastAsia="宋体"/>
          <w:color w:val="auto"/>
          <w:highlight w:val="none"/>
        </w:rPr>
      </w:pPr>
      <w:r>
        <w:rPr>
          <w:rFonts w:hint="eastAsia" w:ascii="宋体" w:hAnsi="宋体" w:eastAsia="宋体"/>
          <w:color w:val="auto"/>
          <w:sz w:val="24"/>
          <w:highlight w:val="none"/>
        </w:rPr>
        <w:t>本次招标共3个包，本次招标为第03包，投标人须对完整的包进行投标，不得拆分包或只对包中部分货物及服务进行投标。投标文件须以包为单位递交，评标、授标也将以包为单位进行。内容如下：</w:t>
      </w:r>
    </w:p>
    <w:tbl>
      <w:tblPr>
        <w:tblStyle w:val="88"/>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442"/>
        <w:gridCol w:w="1077"/>
        <w:gridCol w:w="1417"/>
        <w:gridCol w:w="3119"/>
        <w:gridCol w:w="1243"/>
      </w:tblGrid>
      <w:tr w14:paraId="0843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6" w:type="dxa"/>
            <w:tcBorders>
              <w:top w:val="single" w:color="auto" w:sz="4" w:space="0"/>
              <w:left w:val="single" w:color="auto" w:sz="4" w:space="0"/>
              <w:bottom w:val="single" w:color="auto" w:sz="4" w:space="0"/>
              <w:right w:val="single" w:color="auto" w:sz="4" w:space="0"/>
            </w:tcBorders>
            <w:vAlign w:val="center"/>
          </w:tcPr>
          <w:p w14:paraId="37CB53AC">
            <w:pPr>
              <w:shd w:val="clea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包号</w:t>
            </w:r>
          </w:p>
        </w:tc>
        <w:tc>
          <w:tcPr>
            <w:tcW w:w="2442" w:type="dxa"/>
            <w:tcBorders>
              <w:top w:val="single" w:color="auto" w:sz="4" w:space="0"/>
              <w:left w:val="single" w:color="auto" w:sz="4" w:space="0"/>
              <w:bottom w:val="single" w:color="auto" w:sz="4" w:space="0"/>
              <w:right w:val="single" w:color="auto" w:sz="4" w:space="0"/>
            </w:tcBorders>
            <w:vAlign w:val="center"/>
          </w:tcPr>
          <w:p w14:paraId="1E40DFF9">
            <w:pPr>
              <w:shd w:val="clear"/>
              <w:jc w:val="center"/>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采购内容</w:t>
            </w:r>
          </w:p>
        </w:tc>
        <w:tc>
          <w:tcPr>
            <w:tcW w:w="1077" w:type="dxa"/>
            <w:tcBorders>
              <w:top w:val="single" w:color="auto" w:sz="4" w:space="0"/>
              <w:left w:val="single" w:color="auto" w:sz="4" w:space="0"/>
              <w:bottom w:val="single" w:color="auto" w:sz="4" w:space="0"/>
              <w:right w:val="single" w:color="auto" w:sz="4" w:space="0"/>
            </w:tcBorders>
            <w:vAlign w:val="center"/>
          </w:tcPr>
          <w:p w14:paraId="77703429">
            <w:pPr>
              <w:shd w:val="clear"/>
              <w:tabs>
                <w:tab w:val="left" w:pos="360"/>
              </w:tabs>
              <w:suppressAutoHyphens/>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p w14:paraId="7A32845F">
            <w:pPr>
              <w:shd w:val="clear"/>
              <w:tabs>
                <w:tab w:val="left" w:pos="360"/>
              </w:tabs>
              <w:suppressAutoHyphens/>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（套）</w:t>
            </w:r>
          </w:p>
        </w:tc>
        <w:tc>
          <w:tcPr>
            <w:tcW w:w="1417" w:type="dxa"/>
            <w:tcBorders>
              <w:top w:val="single" w:color="auto" w:sz="4" w:space="0"/>
              <w:left w:val="single" w:color="auto" w:sz="4" w:space="0"/>
              <w:bottom w:val="single" w:color="auto" w:sz="4" w:space="0"/>
              <w:right w:val="single" w:color="auto" w:sz="4" w:space="0"/>
            </w:tcBorders>
            <w:vAlign w:val="center"/>
          </w:tcPr>
          <w:p w14:paraId="401AC034">
            <w:pPr>
              <w:shd w:val="clear"/>
              <w:tabs>
                <w:tab w:val="left" w:pos="360"/>
              </w:tabs>
              <w:suppressAutoHyphens/>
              <w:ind w:left="-94" w:leftChars="-45" w:right="-94" w:rightChars="-45"/>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预算金额</w:t>
            </w:r>
          </w:p>
          <w:p w14:paraId="06A7A749">
            <w:pPr>
              <w:shd w:val="clear"/>
              <w:tabs>
                <w:tab w:val="left" w:pos="360"/>
              </w:tabs>
              <w:suppressAutoHyphens/>
              <w:ind w:left="-84" w:leftChars="-40" w:right="-84" w:rightChars="-4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（万元）</w:t>
            </w:r>
          </w:p>
        </w:tc>
        <w:tc>
          <w:tcPr>
            <w:tcW w:w="3119" w:type="dxa"/>
            <w:tcBorders>
              <w:top w:val="single" w:color="auto" w:sz="4" w:space="0"/>
              <w:left w:val="single" w:color="auto" w:sz="4" w:space="0"/>
              <w:bottom w:val="single" w:color="auto" w:sz="4" w:space="0"/>
              <w:right w:val="single" w:color="auto" w:sz="4" w:space="0"/>
            </w:tcBorders>
            <w:vAlign w:val="center"/>
          </w:tcPr>
          <w:p w14:paraId="4E7A7CBC">
            <w:pPr>
              <w:shd w:val="clear"/>
              <w:tabs>
                <w:tab w:val="left" w:pos="360"/>
              </w:tabs>
              <w:suppressAutoHyphens/>
              <w:ind w:left="-63" w:leftChars="-30" w:right="-63" w:rightChars="-30"/>
              <w:jc w:val="center"/>
              <w:rPr>
                <w:rFonts w:ascii="宋体" w:hAnsi="宋体" w:eastAsia="宋体" w:cs="宋体"/>
                <w:b/>
                <w:color w:val="auto"/>
                <w:sz w:val="24"/>
                <w:szCs w:val="24"/>
                <w:highlight w:val="none"/>
              </w:rPr>
            </w:pPr>
            <w:r>
              <w:rPr>
                <w:rFonts w:ascii="Times New Roman" w:hAnsi="Times New Roman" w:eastAsia="宋体" w:cs="Times New Roman"/>
                <w:color w:val="auto"/>
                <w:sz w:val="24"/>
                <w:szCs w:val="24"/>
                <w:highlight w:val="none"/>
              </w:rPr>
              <w:t>简要技术需求或服务要求</w:t>
            </w:r>
          </w:p>
        </w:tc>
        <w:tc>
          <w:tcPr>
            <w:tcW w:w="1243" w:type="dxa"/>
            <w:tcBorders>
              <w:top w:val="single" w:color="auto" w:sz="4" w:space="0"/>
              <w:left w:val="single" w:color="auto" w:sz="4" w:space="0"/>
              <w:bottom w:val="single" w:color="auto" w:sz="4" w:space="0"/>
              <w:right w:val="single" w:color="auto" w:sz="4" w:space="0"/>
            </w:tcBorders>
            <w:vAlign w:val="center"/>
          </w:tcPr>
          <w:p w14:paraId="58C41582">
            <w:pPr>
              <w:shd w:val="clear"/>
              <w:tabs>
                <w:tab w:val="left" w:pos="360"/>
              </w:tabs>
              <w:suppressAutoHyphens/>
              <w:ind w:left="-63" w:leftChars="-30" w:right="-63" w:rightChars="-3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是否允许采购进口产品</w:t>
            </w:r>
          </w:p>
        </w:tc>
      </w:tr>
      <w:tr w14:paraId="6114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restart"/>
            <w:tcBorders>
              <w:left w:val="single" w:color="auto" w:sz="4" w:space="0"/>
              <w:right w:val="single" w:color="auto" w:sz="4" w:space="0"/>
            </w:tcBorders>
            <w:vAlign w:val="center"/>
          </w:tcPr>
          <w:p w14:paraId="041A5975">
            <w:pPr>
              <w:shd w:val="clea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0</w:t>
            </w:r>
            <w:r>
              <w:rPr>
                <w:rFonts w:hint="eastAsia" w:ascii="宋体" w:hAnsi="宋体" w:eastAsia="宋体" w:cs="宋体"/>
                <w:bCs/>
                <w:color w:val="auto"/>
                <w:sz w:val="24"/>
                <w:szCs w:val="24"/>
                <w:highlight w:val="none"/>
              </w:rPr>
              <w:t>3</w:t>
            </w:r>
          </w:p>
        </w:tc>
        <w:tc>
          <w:tcPr>
            <w:tcW w:w="2442" w:type="dxa"/>
            <w:tcBorders>
              <w:top w:val="single" w:color="auto" w:sz="4" w:space="0"/>
              <w:left w:val="single" w:color="auto" w:sz="4" w:space="0"/>
              <w:bottom w:val="single" w:color="auto" w:sz="4" w:space="0"/>
              <w:right w:val="single" w:color="auto" w:sz="4" w:space="0"/>
            </w:tcBorders>
            <w:vAlign w:val="center"/>
          </w:tcPr>
          <w:p w14:paraId="63743400">
            <w:pPr>
              <w:shd w:val="clear"/>
              <w:jc w:val="center"/>
              <w:rPr>
                <w:rFonts w:ascii="宋体" w:hAnsi="宋体" w:eastAsia="宋体" w:cs="宋体"/>
                <w:bCs/>
                <w:color w:val="auto"/>
                <w:sz w:val="24"/>
                <w:szCs w:val="24"/>
                <w:highlight w:val="none"/>
              </w:rPr>
            </w:pPr>
            <w:r>
              <w:rPr>
                <w:rFonts w:ascii="Times New Roman" w:hAnsi="Times New Roman" w:eastAsia="宋体" w:cs="Times New Roman"/>
                <w:color w:val="auto"/>
                <w:sz w:val="24"/>
                <w:szCs w:val="24"/>
                <w:highlight w:val="none"/>
              </w:rPr>
              <w:t>全自动生物化学分解测试系统（好氧+厌氧组件）</w:t>
            </w:r>
          </w:p>
        </w:tc>
        <w:tc>
          <w:tcPr>
            <w:tcW w:w="1077" w:type="dxa"/>
            <w:tcBorders>
              <w:top w:val="single" w:color="auto" w:sz="4" w:space="0"/>
              <w:left w:val="single" w:color="auto" w:sz="4" w:space="0"/>
              <w:bottom w:val="single" w:color="auto" w:sz="4" w:space="0"/>
              <w:right w:val="single" w:color="auto" w:sz="4" w:space="0"/>
            </w:tcBorders>
            <w:vAlign w:val="center"/>
          </w:tcPr>
          <w:p w14:paraId="191650D2">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restart"/>
            <w:tcBorders>
              <w:left w:val="single" w:color="auto" w:sz="4" w:space="0"/>
              <w:right w:val="single" w:color="auto" w:sz="4" w:space="0"/>
            </w:tcBorders>
            <w:vAlign w:val="center"/>
          </w:tcPr>
          <w:p w14:paraId="23BCC27B">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321.87</w:t>
            </w:r>
          </w:p>
        </w:tc>
        <w:tc>
          <w:tcPr>
            <w:tcW w:w="3119" w:type="dxa"/>
            <w:tcBorders>
              <w:left w:val="single" w:color="auto" w:sz="4" w:space="0"/>
              <w:right w:val="single" w:color="auto" w:sz="4" w:space="0"/>
            </w:tcBorders>
            <w:vAlign w:val="center"/>
          </w:tcPr>
          <w:p w14:paraId="7051BEE8">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（一）样品培养单元</w:t>
            </w:r>
          </w:p>
          <w:p w14:paraId="6F841621">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反应器数量：≥</w:t>
            </w:r>
            <w:r>
              <w:rPr>
                <w:rFonts w:ascii="宋体" w:hAnsi="宋体" w:eastAsia="宋体" w:cs="宋体"/>
                <w:bCs/>
                <w:color w:val="auto"/>
                <w:sz w:val="24"/>
                <w:szCs w:val="24"/>
                <w:highlight w:val="none"/>
              </w:rPr>
              <w:t xml:space="preserve"> 48</w:t>
            </w:r>
          </w:p>
          <w:p w14:paraId="6CDC909A">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反应器材料：高硼硅玻璃</w:t>
            </w:r>
          </w:p>
          <w:p w14:paraId="2713998C">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3.</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反应器体积：</w:t>
            </w:r>
            <w:r>
              <w:rPr>
                <w:rFonts w:ascii="宋体" w:hAnsi="宋体" w:eastAsia="宋体" w:cs="宋体"/>
                <w:bCs/>
                <w:color w:val="auto"/>
                <w:sz w:val="24"/>
                <w:szCs w:val="24"/>
                <w:highlight w:val="none"/>
              </w:rPr>
              <w:t>500 ml</w:t>
            </w:r>
            <w:r>
              <w:rPr>
                <w:rFonts w:hint="eastAsia" w:ascii="宋体" w:hAnsi="宋体" w:eastAsia="宋体" w:cs="宋体"/>
                <w:bCs/>
                <w:color w:val="auto"/>
                <w:sz w:val="24"/>
                <w:szCs w:val="24"/>
                <w:highlight w:val="none"/>
              </w:rPr>
              <w:t>（可定制大小）</w:t>
            </w:r>
          </w:p>
          <w:p w14:paraId="4E5C3E77">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4.</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水浴锅温度控制：最高</w:t>
            </w:r>
            <w:r>
              <w:rPr>
                <w:rFonts w:ascii="宋体" w:hAnsi="宋体" w:eastAsia="宋体" w:cs="宋体"/>
                <w:bCs/>
                <w:color w:val="auto"/>
                <w:sz w:val="24"/>
                <w:szCs w:val="24"/>
                <w:highlight w:val="none"/>
              </w:rPr>
              <w:t>60 °C</w:t>
            </w:r>
            <w:r>
              <w:rPr>
                <w:rFonts w:hint="eastAsia" w:ascii="宋体" w:hAnsi="宋体" w:eastAsia="宋体" w:cs="宋体"/>
                <w:bCs/>
                <w:color w:val="auto"/>
                <w:sz w:val="24"/>
                <w:szCs w:val="24"/>
                <w:highlight w:val="none"/>
              </w:rPr>
              <w:t>（精度≤</w:t>
            </w:r>
            <w:r>
              <w:rPr>
                <w:rFonts w:ascii="宋体" w:hAnsi="宋体" w:eastAsia="宋体" w:cs="宋体"/>
                <w:bCs/>
                <w:color w:val="auto"/>
                <w:sz w:val="24"/>
                <w:szCs w:val="24"/>
                <w:highlight w:val="none"/>
              </w:rPr>
              <w:t>0.2 °C</w:t>
            </w:r>
            <w:r>
              <w:rPr>
                <w:rFonts w:hint="eastAsia" w:ascii="宋体" w:hAnsi="宋体" w:eastAsia="宋体" w:cs="宋体"/>
                <w:bCs/>
                <w:color w:val="auto"/>
                <w:sz w:val="24"/>
                <w:szCs w:val="24"/>
                <w:highlight w:val="none"/>
              </w:rPr>
              <w:t>）</w:t>
            </w:r>
          </w:p>
          <w:p w14:paraId="434A9855">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11ABDF6A">
            <w:pPr>
              <w:shd w:val="clear"/>
              <w:tabs>
                <w:tab w:val="left" w:pos="360"/>
              </w:tabs>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r w14:paraId="7B47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12C2A9FE">
            <w:pPr>
              <w:shd w:val="clear"/>
              <w:jc w:val="center"/>
              <w:rPr>
                <w:rFonts w:ascii="宋体" w:hAnsi="宋体" w:eastAsia="宋体" w:cs="宋体"/>
                <w:bCs/>
                <w:color w:val="auto"/>
                <w:sz w:val="24"/>
                <w:szCs w:val="24"/>
                <w:highlight w:val="none"/>
              </w:rPr>
            </w:pPr>
          </w:p>
        </w:tc>
        <w:tc>
          <w:tcPr>
            <w:tcW w:w="2442" w:type="dxa"/>
            <w:tcBorders>
              <w:top w:val="single" w:color="auto" w:sz="4" w:space="0"/>
              <w:left w:val="single" w:color="auto" w:sz="4" w:space="0"/>
              <w:bottom w:val="single" w:color="auto" w:sz="4" w:space="0"/>
              <w:right w:val="single" w:color="auto" w:sz="4" w:space="0"/>
            </w:tcBorders>
            <w:vAlign w:val="center"/>
          </w:tcPr>
          <w:p w14:paraId="737EFEBF">
            <w:pPr>
              <w:shd w:val="clear"/>
              <w:jc w:val="cente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木质纤维素化学组成与降解分析系统</w:t>
            </w:r>
          </w:p>
        </w:tc>
        <w:tc>
          <w:tcPr>
            <w:tcW w:w="1077" w:type="dxa"/>
            <w:tcBorders>
              <w:top w:val="single" w:color="auto" w:sz="4" w:space="0"/>
              <w:left w:val="single" w:color="auto" w:sz="4" w:space="0"/>
              <w:bottom w:val="single" w:color="auto" w:sz="4" w:space="0"/>
              <w:right w:val="single" w:color="auto" w:sz="4" w:space="0"/>
            </w:tcBorders>
            <w:vAlign w:val="center"/>
          </w:tcPr>
          <w:p w14:paraId="2A4791B8">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continue"/>
            <w:tcBorders>
              <w:left w:val="single" w:color="auto" w:sz="4" w:space="0"/>
              <w:right w:val="single" w:color="auto" w:sz="4" w:space="0"/>
            </w:tcBorders>
            <w:vAlign w:val="center"/>
          </w:tcPr>
          <w:p w14:paraId="5E8FF147">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p>
        </w:tc>
        <w:tc>
          <w:tcPr>
            <w:tcW w:w="3119" w:type="dxa"/>
            <w:tcBorders>
              <w:left w:val="single" w:color="auto" w:sz="4" w:space="0"/>
              <w:right w:val="single" w:color="auto" w:sz="4" w:space="0"/>
            </w:tcBorders>
            <w:vAlign w:val="center"/>
          </w:tcPr>
          <w:p w14:paraId="79F64B1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前处理装置：降解模块</w:t>
            </w:r>
          </w:p>
          <w:p w14:paraId="5B9BA61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1.1</w:t>
            </w:r>
            <w:r>
              <w:rPr>
                <w:rFonts w:hint="eastAsia" w:ascii="宋体" w:hAnsi="宋体" w:eastAsia="宋体" w:cs="宋体"/>
                <w:bCs/>
                <w:color w:val="auto"/>
                <w:sz w:val="24"/>
                <w:szCs w:val="24"/>
                <w:highlight w:val="none"/>
              </w:rPr>
              <w:t>、遵循原理：连续的自动模拟生物降解和代谢消化</w:t>
            </w:r>
            <w:r>
              <w:rPr>
                <w:rFonts w:ascii="宋体" w:hAnsi="宋体" w:eastAsia="宋体" w:cs="宋体"/>
                <w:bCs/>
                <w:color w:val="auto"/>
                <w:sz w:val="24"/>
                <w:szCs w:val="24"/>
                <w:highlight w:val="none"/>
              </w:rPr>
              <w:t xml:space="preserve"> </w:t>
            </w:r>
          </w:p>
          <w:p w14:paraId="534571DF">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1.2</w:t>
            </w:r>
            <w:r>
              <w:rPr>
                <w:rFonts w:hint="eastAsia" w:ascii="宋体" w:hAnsi="宋体" w:eastAsia="宋体" w:cs="宋体"/>
                <w:bCs/>
                <w:color w:val="auto"/>
                <w:sz w:val="24"/>
                <w:szCs w:val="24"/>
                <w:highlight w:val="none"/>
              </w:rPr>
              <w:t>、适用于：生物质生物降解率测定</w:t>
            </w:r>
          </w:p>
          <w:p w14:paraId="561BF490">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1.3</w:t>
            </w:r>
            <w:r>
              <w:rPr>
                <w:rFonts w:hint="eastAsia" w:ascii="宋体" w:hAnsi="宋体" w:eastAsia="宋体" w:cs="宋体"/>
                <w:bCs/>
                <w:color w:val="auto"/>
                <w:sz w:val="24"/>
                <w:szCs w:val="24"/>
                <w:highlight w:val="none"/>
              </w:rPr>
              <w:t>、运用技术：滤袋技术</w:t>
            </w:r>
          </w:p>
          <w:p w14:paraId="6D5A029F">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1.4</w:t>
            </w:r>
            <w:r>
              <w:rPr>
                <w:rFonts w:hint="eastAsia" w:ascii="宋体" w:hAnsi="宋体" w:eastAsia="宋体" w:cs="宋体"/>
                <w:bCs/>
                <w:color w:val="auto"/>
                <w:sz w:val="24"/>
                <w:szCs w:val="24"/>
                <w:highlight w:val="none"/>
              </w:rPr>
              <w:t>、滤袋结构：三维结构，平均空隙：10微米、25微米以及50微米</w:t>
            </w:r>
          </w:p>
          <w:p w14:paraId="3A4F863A">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1.5</w:t>
            </w:r>
            <w:r>
              <w:rPr>
                <w:rFonts w:hint="eastAsia" w:ascii="宋体" w:hAnsi="宋体" w:eastAsia="宋体" w:cs="宋体"/>
                <w:bCs/>
                <w:color w:val="auto"/>
                <w:sz w:val="24"/>
                <w:szCs w:val="24"/>
                <w:highlight w:val="none"/>
              </w:rPr>
              <w:t>、采样量</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袋：</w:t>
            </w:r>
            <w:r>
              <w:rPr>
                <w:rFonts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5.0g</w:t>
            </w:r>
          </w:p>
          <w:p w14:paraId="0F2857F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1.6</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测定范围：</w:t>
            </w:r>
            <w:r>
              <w:rPr>
                <w:rFonts w:ascii="宋体" w:hAnsi="宋体" w:eastAsia="宋体" w:cs="宋体"/>
                <w:bCs/>
                <w:color w:val="auto"/>
                <w:sz w:val="24"/>
                <w:szCs w:val="24"/>
                <w:highlight w:val="none"/>
              </w:rPr>
              <w:t>0</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100%</w:t>
            </w:r>
          </w:p>
          <w:p w14:paraId="1BA4496C">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1.7</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最大批处理量：不少于</w:t>
            </w:r>
            <w:r>
              <w:rPr>
                <w:rFonts w:ascii="宋体" w:hAnsi="宋体" w:eastAsia="宋体" w:cs="宋体"/>
                <w:bCs/>
                <w:color w:val="auto"/>
                <w:sz w:val="24"/>
                <w:szCs w:val="24"/>
                <w:highlight w:val="none"/>
              </w:rPr>
              <w:t>80</w:t>
            </w:r>
            <w:r>
              <w:rPr>
                <w:rFonts w:hint="eastAsia" w:ascii="宋体" w:hAnsi="宋体" w:eastAsia="宋体" w:cs="宋体"/>
                <w:bCs/>
                <w:color w:val="auto"/>
                <w:sz w:val="24"/>
                <w:szCs w:val="24"/>
                <w:highlight w:val="none"/>
              </w:rPr>
              <w:t>个样品</w:t>
            </w:r>
          </w:p>
          <w:p w14:paraId="0CBB013B">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478C90B2">
            <w:pPr>
              <w:shd w:val="clear"/>
              <w:tabs>
                <w:tab w:val="left" w:pos="360"/>
              </w:tabs>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r w14:paraId="7F25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09A60ECB">
            <w:pPr>
              <w:shd w:val="clear"/>
              <w:jc w:val="center"/>
              <w:rPr>
                <w:rFonts w:ascii="宋体" w:hAnsi="宋体" w:eastAsia="宋体" w:cs="宋体"/>
                <w:bCs/>
                <w:color w:val="auto"/>
                <w:sz w:val="24"/>
                <w:szCs w:val="24"/>
                <w:highlight w:val="none"/>
              </w:rPr>
            </w:pPr>
          </w:p>
        </w:tc>
        <w:tc>
          <w:tcPr>
            <w:tcW w:w="2442" w:type="dxa"/>
            <w:tcBorders>
              <w:top w:val="single" w:color="auto" w:sz="4" w:space="0"/>
              <w:left w:val="single" w:color="auto" w:sz="4" w:space="0"/>
              <w:bottom w:val="single" w:color="auto" w:sz="4" w:space="0"/>
              <w:right w:val="single" w:color="auto" w:sz="4" w:space="0"/>
            </w:tcBorders>
            <w:vAlign w:val="center"/>
          </w:tcPr>
          <w:p w14:paraId="07E5770C">
            <w:pPr>
              <w:shd w:val="clea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光催化水处理综合实验系统</w:t>
            </w:r>
          </w:p>
        </w:tc>
        <w:tc>
          <w:tcPr>
            <w:tcW w:w="1077" w:type="dxa"/>
            <w:tcBorders>
              <w:top w:val="single" w:color="auto" w:sz="4" w:space="0"/>
              <w:left w:val="single" w:color="auto" w:sz="4" w:space="0"/>
              <w:bottom w:val="single" w:color="auto" w:sz="4" w:space="0"/>
              <w:right w:val="single" w:color="auto" w:sz="4" w:space="0"/>
            </w:tcBorders>
            <w:vAlign w:val="center"/>
          </w:tcPr>
          <w:p w14:paraId="18E04231">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continue"/>
            <w:tcBorders>
              <w:left w:val="single" w:color="auto" w:sz="4" w:space="0"/>
              <w:right w:val="single" w:color="auto" w:sz="4" w:space="0"/>
            </w:tcBorders>
            <w:vAlign w:val="center"/>
          </w:tcPr>
          <w:p w14:paraId="52630179">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p>
        </w:tc>
        <w:tc>
          <w:tcPr>
            <w:tcW w:w="3119" w:type="dxa"/>
            <w:tcBorders>
              <w:left w:val="single" w:color="auto" w:sz="4" w:space="0"/>
              <w:right w:val="single" w:color="auto" w:sz="4" w:space="0"/>
            </w:tcBorders>
            <w:vAlign w:val="center"/>
          </w:tcPr>
          <w:p w14:paraId="6B645E9E">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1.1</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测量原理：能量色散</w:t>
            </w:r>
            <w:r>
              <w:rPr>
                <w:rFonts w:ascii="宋体" w:hAnsi="宋体" w:eastAsia="宋体" w:cs="宋体"/>
                <w:bCs/>
                <w:color w:val="auto"/>
                <w:sz w:val="24"/>
                <w:szCs w:val="24"/>
                <w:highlight w:val="none"/>
              </w:rPr>
              <w:t>X</w:t>
            </w:r>
            <w:r>
              <w:rPr>
                <w:rFonts w:hint="eastAsia" w:ascii="宋体" w:hAnsi="宋体" w:eastAsia="宋体" w:cs="宋体"/>
                <w:bCs/>
                <w:color w:val="auto"/>
                <w:sz w:val="24"/>
                <w:szCs w:val="24"/>
                <w:highlight w:val="none"/>
              </w:rPr>
              <w:t>射线荧光光谱分析法</w:t>
            </w:r>
          </w:p>
          <w:p w14:paraId="2E9C3E58">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1.2</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测样种类：固体、液体、粉末和薄膜，无需前处理</w:t>
            </w:r>
          </w:p>
          <w:p w14:paraId="312C7AFC">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1.3</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元素测定范围：</w:t>
            </w:r>
            <w:r>
              <w:rPr>
                <w:rFonts w:ascii="宋体" w:hAnsi="宋体" w:eastAsia="宋体" w:cs="宋体"/>
                <w:bCs/>
                <w:color w:val="auto"/>
                <w:sz w:val="24"/>
                <w:szCs w:val="24"/>
                <w:highlight w:val="none"/>
              </w:rPr>
              <w:t>11Na-92U</w:t>
            </w:r>
          </w:p>
          <w:p w14:paraId="1E2E0AC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1.4</w:t>
            </w:r>
            <w:r>
              <w:rPr>
                <w:rFonts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元素含量分析范围：</w:t>
            </w:r>
            <w:r>
              <w:rPr>
                <w:rFonts w:ascii="宋体" w:hAnsi="宋体" w:eastAsia="宋体" w:cs="宋体"/>
                <w:bCs/>
                <w:color w:val="auto"/>
                <w:sz w:val="24"/>
                <w:szCs w:val="24"/>
                <w:highlight w:val="none"/>
              </w:rPr>
              <w:t>1ppm-99.99%</w:t>
            </w:r>
          </w:p>
          <w:p w14:paraId="3FC70503">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24DA02A8">
            <w:pPr>
              <w:shd w:val="clear"/>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r w14:paraId="4DAF2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0F188866">
            <w:pPr>
              <w:shd w:val="clear"/>
              <w:jc w:val="center"/>
              <w:rPr>
                <w:rFonts w:ascii="宋体" w:hAnsi="宋体" w:eastAsia="宋体" w:cs="宋体"/>
                <w:bCs/>
                <w:color w:val="auto"/>
                <w:sz w:val="24"/>
                <w:szCs w:val="24"/>
                <w:highlight w:val="none"/>
              </w:rPr>
            </w:pPr>
          </w:p>
        </w:tc>
        <w:tc>
          <w:tcPr>
            <w:tcW w:w="2442" w:type="dxa"/>
            <w:tcBorders>
              <w:top w:val="single" w:color="auto" w:sz="4" w:space="0"/>
              <w:left w:val="single" w:color="auto" w:sz="4" w:space="0"/>
              <w:bottom w:val="single" w:color="auto" w:sz="4" w:space="0"/>
              <w:right w:val="single" w:color="auto" w:sz="4" w:space="0"/>
            </w:tcBorders>
            <w:vAlign w:val="center"/>
          </w:tcPr>
          <w:p w14:paraId="0E15EA59">
            <w:pPr>
              <w:shd w:val="clea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四联生物反应器及监测反馈系统</w:t>
            </w:r>
          </w:p>
        </w:tc>
        <w:tc>
          <w:tcPr>
            <w:tcW w:w="1077" w:type="dxa"/>
            <w:tcBorders>
              <w:top w:val="single" w:color="auto" w:sz="4" w:space="0"/>
              <w:left w:val="single" w:color="auto" w:sz="4" w:space="0"/>
              <w:bottom w:val="single" w:color="auto" w:sz="4" w:space="0"/>
              <w:right w:val="single" w:color="auto" w:sz="4" w:space="0"/>
            </w:tcBorders>
            <w:vAlign w:val="center"/>
          </w:tcPr>
          <w:p w14:paraId="1F28BCAA">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continue"/>
            <w:tcBorders>
              <w:left w:val="single" w:color="auto" w:sz="4" w:space="0"/>
              <w:right w:val="single" w:color="auto" w:sz="4" w:space="0"/>
            </w:tcBorders>
            <w:vAlign w:val="center"/>
          </w:tcPr>
          <w:p w14:paraId="710CC9F9">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p>
        </w:tc>
        <w:tc>
          <w:tcPr>
            <w:tcW w:w="3119" w:type="dxa"/>
            <w:tcBorders>
              <w:left w:val="single" w:color="auto" w:sz="4" w:space="0"/>
              <w:right w:val="single" w:color="auto" w:sz="4" w:space="0"/>
            </w:tcBorders>
            <w:vAlign w:val="center"/>
          </w:tcPr>
          <w:p w14:paraId="261979E2">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罐体系统</w:t>
            </w:r>
          </w:p>
          <w:p w14:paraId="2EC5FE21">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体积：全容量：</w:t>
            </w:r>
            <w:r>
              <w:rPr>
                <w:rFonts w:ascii="宋体" w:hAnsi="宋体" w:eastAsia="宋体" w:cs="宋体"/>
                <w:bCs/>
                <w:color w:val="auto"/>
                <w:sz w:val="24"/>
                <w:szCs w:val="24"/>
                <w:highlight w:val="none"/>
              </w:rPr>
              <w:t>5L</w:t>
            </w:r>
            <w:r>
              <w:rPr>
                <w:rFonts w:hint="eastAsia" w:ascii="宋体" w:hAnsi="宋体" w:eastAsia="宋体" w:cs="宋体"/>
                <w:bCs/>
                <w:color w:val="auto"/>
                <w:sz w:val="24"/>
                <w:szCs w:val="24"/>
                <w:highlight w:val="none"/>
              </w:rPr>
              <w:t>，罐体数量</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个，工作容积：</w:t>
            </w:r>
            <w:r>
              <w:rPr>
                <w:rFonts w:ascii="宋体" w:hAnsi="宋体" w:eastAsia="宋体" w:cs="宋体"/>
                <w:bCs/>
                <w:color w:val="auto"/>
                <w:sz w:val="24"/>
                <w:szCs w:val="24"/>
                <w:highlight w:val="none"/>
              </w:rPr>
              <w:t>70%</w:t>
            </w:r>
          </w:p>
          <w:p w14:paraId="325F8075">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罐体材质：</w:t>
            </w:r>
            <w:r>
              <w:rPr>
                <w:rFonts w:ascii="宋体" w:hAnsi="宋体" w:eastAsia="宋体" w:cs="宋体"/>
                <w:bCs/>
                <w:color w:val="auto"/>
                <w:sz w:val="24"/>
                <w:szCs w:val="24"/>
                <w:highlight w:val="none"/>
              </w:rPr>
              <w:t>SUS316L (</w:t>
            </w:r>
            <w:r>
              <w:rPr>
                <w:rFonts w:hint="eastAsia" w:ascii="宋体" w:hAnsi="宋体" w:eastAsia="宋体" w:cs="宋体"/>
                <w:bCs/>
                <w:color w:val="auto"/>
                <w:sz w:val="24"/>
                <w:szCs w:val="24"/>
                <w:highlight w:val="none"/>
              </w:rPr>
              <w:t>食品卫生级</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不锈钢罐底和罐盖，结合硅硼玻璃筒体，便于教学演示，罐内无死角、清洗方便。</w:t>
            </w:r>
          </w:p>
          <w:p w14:paraId="4D6F862B">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3A4D87A6">
            <w:pPr>
              <w:shd w:val="clear"/>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r w14:paraId="3F45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75F5F584">
            <w:pPr>
              <w:shd w:val="clear"/>
              <w:jc w:val="center"/>
              <w:rPr>
                <w:rFonts w:ascii="宋体" w:hAnsi="宋体" w:eastAsia="宋体" w:cs="宋体"/>
                <w:bCs/>
                <w:color w:val="auto"/>
                <w:sz w:val="24"/>
                <w:szCs w:val="24"/>
                <w:highlight w:val="none"/>
              </w:rPr>
            </w:pPr>
          </w:p>
        </w:tc>
        <w:tc>
          <w:tcPr>
            <w:tcW w:w="2442" w:type="dxa"/>
            <w:tcBorders>
              <w:top w:val="single" w:color="auto" w:sz="4" w:space="0"/>
              <w:left w:val="single" w:color="auto" w:sz="4" w:space="0"/>
              <w:bottom w:val="single" w:color="auto" w:sz="4" w:space="0"/>
              <w:right w:val="single" w:color="auto" w:sz="4" w:space="0"/>
            </w:tcBorders>
            <w:vAlign w:val="center"/>
          </w:tcPr>
          <w:p w14:paraId="647A3CDE">
            <w:pPr>
              <w:shd w:val="clea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多功能相平衡/精馏工作台</w:t>
            </w:r>
          </w:p>
        </w:tc>
        <w:tc>
          <w:tcPr>
            <w:tcW w:w="1077" w:type="dxa"/>
            <w:tcBorders>
              <w:top w:val="single" w:color="auto" w:sz="4" w:space="0"/>
              <w:left w:val="single" w:color="auto" w:sz="4" w:space="0"/>
              <w:bottom w:val="single" w:color="auto" w:sz="4" w:space="0"/>
              <w:right w:val="single" w:color="auto" w:sz="4" w:space="0"/>
            </w:tcBorders>
            <w:vAlign w:val="center"/>
          </w:tcPr>
          <w:p w14:paraId="2317B8E6">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continue"/>
            <w:tcBorders>
              <w:left w:val="single" w:color="auto" w:sz="4" w:space="0"/>
              <w:right w:val="single" w:color="auto" w:sz="4" w:space="0"/>
            </w:tcBorders>
            <w:vAlign w:val="center"/>
          </w:tcPr>
          <w:p w14:paraId="4D15CC3A">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p>
        </w:tc>
        <w:tc>
          <w:tcPr>
            <w:tcW w:w="3119" w:type="dxa"/>
            <w:tcBorders>
              <w:left w:val="single" w:color="auto" w:sz="4" w:space="0"/>
              <w:right w:val="single" w:color="auto" w:sz="4" w:space="0"/>
            </w:tcBorders>
            <w:vAlign w:val="center"/>
          </w:tcPr>
          <w:p w14:paraId="261E18A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rPr>
              <w:t>相平衡装置：</w:t>
            </w:r>
          </w:p>
          <w:p w14:paraId="4B20441D">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1.1</w:t>
            </w:r>
            <w:r>
              <w:rPr>
                <w:rFonts w:hint="eastAsia" w:ascii="宋体" w:hAnsi="宋体" w:eastAsia="宋体" w:cs="宋体"/>
                <w:bCs/>
                <w:color w:val="auto"/>
                <w:sz w:val="24"/>
                <w:szCs w:val="24"/>
                <w:highlight w:val="none"/>
              </w:rPr>
              <w:t>加热方式：电加热或热油加热器</w:t>
            </w:r>
          </w:p>
          <w:p w14:paraId="5BEF68F2">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1.2</w:t>
            </w:r>
            <w:r>
              <w:rPr>
                <w:rFonts w:hint="eastAsia" w:ascii="宋体" w:hAnsi="宋体" w:eastAsia="宋体" w:cs="宋体"/>
                <w:bCs/>
                <w:color w:val="auto"/>
                <w:sz w:val="24"/>
                <w:szCs w:val="24"/>
                <w:highlight w:val="none"/>
              </w:rPr>
              <w:t>操作压力：</w:t>
            </w:r>
            <w:r>
              <w:rPr>
                <w:rFonts w:ascii="宋体" w:hAnsi="宋体" w:eastAsia="宋体" w:cs="宋体"/>
                <w:bCs/>
                <w:color w:val="auto"/>
                <w:sz w:val="24"/>
                <w:szCs w:val="24"/>
                <w:highlight w:val="none"/>
              </w:rPr>
              <w:t>101.3KPa</w:t>
            </w:r>
          </w:p>
          <w:p w14:paraId="7696D632">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1.3</w:t>
            </w:r>
            <w:r>
              <w:rPr>
                <w:rFonts w:hint="eastAsia" w:ascii="宋体" w:hAnsi="宋体" w:eastAsia="宋体" w:cs="宋体"/>
                <w:bCs/>
                <w:color w:val="auto"/>
                <w:sz w:val="24"/>
                <w:szCs w:val="24"/>
                <w:highlight w:val="none"/>
              </w:rPr>
              <w:t>平衡釜容积：</w:t>
            </w:r>
            <w:r>
              <w:rPr>
                <w:rFonts w:ascii="宋体" w:hAnsi="宋体" w:eastAsia="宋体" w:cs="宋体"/>
                <w:bCs/>
                <w:color w:val="auto"/>
                <w:sz w:val="24"/>
                <w:szCs w:val="24"/>
                <w:highlight w:val="none"/>
              </w:rPr>
              <w:t>60mL</w:t>
            </w:r>
          </w:p>
          <w:p w14:paraId="2BC88A31">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1.4</w:t>
            </w:r>
            <w:r>
              <w:rPr>
                <w:rFonts w:hint="eastAsia" w:ascii="宋体" w:hAnsi="宋体" w:eastAsia="宋体" w:cs="宋体"/>
                <w:bCs/>
                <w:color w:val="auto"/>
                <w:sz w:val="24"/>
                <w:szCs w:val="24"/>
                <w:highlight w:val="none"/>
              </w:rPr>
              <w:t>仪表：普通温度仪表</w:t>
            </w:r>
          </w:p>
          <w:p w14:paraId="207EFAEA">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1.5</w:t>
            </w:r>
            <w:r>
              <w:rPr>
                <w:rFonts w:hint="eastAsia" w:ascii="宋体" w:hAnsi="宋体" w:eastAsia="宋体" w:cs="宋体"/>
                <w:bCs/>
                <w:color w:val="auto"/>
                <w:sz w:val="24"/>
                <w:szCs w:val="24"/>
                <w:highlight w:val="none"/>
              </w:rPr>
              <w:t>操作温度：＜</w:t>
            </w:r>
            <w:r>
              <w:rPr>
                <w:rFonts w:ascii="宋体" w:hAnsi="宋体" w:eastAsia="宋体" w:cs="宋体"/>
                <w:bCs/>
                <w:color w:val="auto"/>
                <w:sz w:val="24"/>
                <w:szCs w:val="24"/>
                <w:highlight w:val="none"/>
              </w:rPr>
              <w:t>400</w:t>
            </w:r>
            <w:r>
              <w:rPr>
                <w:rFonts w:hint="eastAsia" w:ascii="宋体" w:hAnsi="宋体" w:eastAsia="宋体" w:cs="宋体"/>
                <w:bCs/>
                <w:color w:val="auto"/>
                <w:sz w:val="24"/>
                <w:szCs w:val="24"/>
                <w:highlight w:val="none"/>
              </w:rPr>
              <w:t>℃</w:t>
            </w:r>
          </w:p>
          <w:p w14:paraId="5D30C093">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1.6</w:t>
            </w:r>
            <w:r>
              <w:rPr>
                <w:rFonts w:hint="eastAsia" w:ascii="宋体" w:hAnsi="宋体" w:eastAsia="宋体" w:cs="宋体"/>
                <w:bCs/>
                <w:color w:val="auto"/>
                <w:sz w:val="24"/>
                <w:szCs w:val="24"/>
                <w:highlight w:val="none"/>
              </w:rPr>
              <w:t>材质：玻璃及不锈钢</w:t>
            </w:r>
            <w:r>
              <w:rPr>
                <w:rFonts w:ascii="宋体" w:hAnsi="宋体" w:eastAsia="宋体" w:cs="宋体"/>
                <w:bCs/>
                <w:color w:val="auto"/>
                <w:sz w:val="24"/>
                <w:szCs w:val="24"/>
                <w:highlight w:val="none"/>
              </w:rPr>
              <w:t>316L</w:t>
            </w:r>
          </w:p>
          <w:p w14:paraId="50BE05EB">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3BCAFDE7">
            <w:pPr>
              <w:shd w:val="clear"/>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r w14:paraId="36C3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368335B8">
            <w:pPr>
              <w:shd w:val="clear"/>
              <w:jc w:val="center"/>
              <w:rPr>
                <w:rFonts w:ascii="宋体" w:hAnsi="宋体" w:eastAsia="宋体" w:cs="宋体"/>
                <w:bCs/>
                <w:color w:val="auto"/>
                <w:sz w:val="24"/>
                <w:szCs w:val="24"/>
                <w:highlight w:val="none"/>
              </w:rPr>
            </w:pPr>
          </w:p>
        </w:tc>
        <w:tc>
          <w:tcPr>
            <w:tcW w:w="2442" w:type="dxa"/>
            <w:tcBorders>
              <w:top w:val="single" w:color="auto" w:sz="4" w:space="0"/>
              <w:left w:val="single" w:color="auto" w:sz="4" w:space="0"/>
              <w:bottom w:val="single" w:color="auto" w:sz="4" w:space="0"/>
              <w:right w:val="single" w:color="auto" w:sz="4" w:space="0"/>
            </w:tcBorders>
            <w:vAlign w:val="center"/>
          </w:tcPr>
          <w:p w14:paraId="0DE4775C">
            <w:pPr>
              <w:shd w:val="clea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电热/光热催化反应-催化微区</w:t>
            </w:r>
          </w:p>
          <w:p w14:paraId="5F57604A">
            <w:pPr>
              <w:shd w:val="clear"/>
              <w:jc w:val="cente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温度场分布监测系统</w:t>
            </w:r>
          </w:p>
        </w:tc>
        <w:tc>
          <w:tcPr>
            <w:tcW w:w="1077" w:type="dxa"/>
            <w:tcBorders>
              <w:top w:val="single" w:color="auto" w:sz="4" w:space="0"/>
              <w:left w:val="single" w:color="auto" w:sz="4" w:space="0"/>
              <w:bottom w:val="single" w:color="auto" w:sz="4" w:space="0"/>
              <w:right w:val="single" w:color="auto" w:sz="4" w:space="0"/>
            </w:tcBorders>
            <w:vAlign w:val="center"/>
          </w:tcPr>
          <w:p w14:paraId="63D2E5D5">
            <w:pPr>
              <w:shd w:val="clea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17" w:type="dxa"/>
            <w:vMerge w:val="continue"/>
            <w:tcBorders>
              <w:left w:val="single" w:color="auto" w:sz="4" w:space="0"/>
              <w:right w:val="single" w:color="auto" w:sz="4" w:space="0"/>
            </w:tcBorders>
            <w:vAlign w:val="center"/>
          </w:tcPr>
          <w:p w14:paraId="0A9D1647">
            <w:pPr>
              <w:shd w:val="clear"/>
              <w:tabs>
                <w:tab w:val="left" w:pos="360"/>
              </w:tabs>
              <w:suppressAutoHyphens/>
              <w:ind w:left="-94" w:leftChars="-45" w:right="-94" w:rightChars="-45"/>
              <w:jc w:val="center"/>
              <w:rPr>
                <w:rFonts w:ascii="宋体" w:hAnsi="宋体" w:eastAsia="宋体" w:cs="宋体"/>
                <w:bCs/>
                <w:color w:val="auto"/>
                <w:sz w:val="24"/>
                <w:szCs w:val="24"/>
                <w:highlight w:val="none"/>
              </w:rPr>
            </w:pPr>
          </w:p>
        </w:tc>
        <w:tc>
          <w:tcPr>
            <w:tcW w:w="3119" w:type="dxa"/>
            <w:tcBorders>
              <w:left w:val="single" w:color="auto" w:sz="4" w:space="0"/>
              <w:right w:val="single" w:color="auto" w:sz="4" w:space="0"/>
            </w:tcBorders>
            <w:vAlign w:val="center"/>
          </w:tcPr>
          <w:p w14:paraId="1D9DCABB">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rPr>
              <w:t>催化评价装置反应参数</w:t>
            </w:r>
          </w:p>
          <w:p w14:paraId="25BF68E8">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1.1</w:t>
            </w:r>
            <w:r>
              <w:rPr>
                <w:rFonts w:hint="eastAsia" w:ascii="宋体" w:hAnsi="宋体" w:eastAsia="宋体" w:cs="宋体"/>
                <w:bCs/>
                <w:color w:val="auto"/>
                <w:sz w:val="24"/>
                <w:szCs w:val="24"/>
                <w:highlight w:val="none"/>
              </w:rPr>
              <w:t>温度：室温</w:t>
            </w:r>
            <w:r>
              <w:rPr>
                <w:rFonts w:ascii="宋体" w:hAnsi="宋体" w:eastAsia="宋体" w:cs="宋体"/>
                <w:bCs/>
                <w:color w:val="auto"/>
                <w:sz w:val="24"/>
                <w:szCs w:val="24"/>
                <w:highlight w:val="none"/>
              </w:rPr>
              <w:t xml:space="preserve">25-800 </w:t>
            </w:r>
            <w:r>
              <w:rPr>
                <w:rFonts w:hint="eastAsia" w:ascii="宋体" w:hAnsi="宋体" w:eastAsia="宋体" w:cs="宋体"/>
                <w:bCs/>
                <w:color w:val="auto"/>
                <w:sz w:val="24"/>
                <w:szCs w:val="24"/>
                <w:highlight w:val="none"/>
              </w:rPr>
              <w:t>℃</w:t>
            </w:r>
          </w:p>
          <w:p w14:paraId="0D4FA299">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1.2</w:t>
            </w:r>
            <w:r>
              <w:rPr>
                <w:rFonts w:hint="eastAsia" w:ascii="宋体" w:hAnsi="宋体" w:eastAsia="宋体" w:cs="宋体"/>
                <w:bCs/>
                <w:color w:val="auto"/>
                <w:sz w:val="24"/>
                <w:szCs w:val="24"/>
                <w:highlight w:val="none"/>
              </w:rPr>
              <w:t>控温精度：±</w:t>
            </w:r>
            <w:r>
              <w:rPr>
                <w:rFonts w:ascii="宋体" w:hAnsi="宋体" w:eastAsia="宋体" w:cs="宋体"/>
                <w:bCs/>
                <w:color w:val="auto"/>
                <w:sz w:val="24"/>
                <w:szCs w:val="24"/>
                <w:highlight w:val="none"/>
              </w:rPr>
              <w:t>0.3</w:t>
            </w:r>
            <w:r>
              <w:rPr>
                <w:rFonts w:hint="eastAsia" w:ascii="宋体" w:hAnsi="宋体" w:eastAsia="宋体" w:cs="宋体"/>
                <w:bCs/>
                <w:color w:val="auto"/>
                <w:sz w:val="24"/>
                <w:szCs w:val="24"/>
                <w:highlight w:val="none"/>
              </w:rPr>
              <w:t>℃</w:t>
            </w:r>
          </w:p>
          <w:p w14:paraId="746DA269">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rPr>
              <w:t>红外热成像仪</w:t>
            </w:r>
          </w:p>
          <w:p w14:paraId="67378E98">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2.1</w:t>
            </w:r>
            <w:r>
              <w:rPr>
                <w:rFonts w:hint="eastAsia" w:ascii="宋体" w:hAnsi="宋体" w:eastAsia="宋体" w:cs="宋体"/>
                <w:bCs/>
                <w:color w:val="auto"/>
                <w:sz w:val="24"/>
                <w:szCs w:val="24"/>
                <w:highlight w:val="none"/>
              </w:rPr>
              <w:t>温度：分辨率：</w:t>
            </w:r>
            <w:r>
              <w:rPr>
                <w:rFonts w:ascii="宋体" w:hAnsi="宋体" w:eastAsia="宋体" w:cs="宋体"/>
                <w:bCs/>
                <w:color w:val="auto"/>
                <w:sz w:val="24"/>
                <w:szCs w:val="24"/>
                <w:highlight w:val="none"/>
              </w:rPr>
              <w:t>1024×768</w:t>
            </w:r>
          </w:p>
          <w:p w14:paraId="41C0F670">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2.2</w:t>
            </w:r>
            <w:r>
              <w:rPr>
                <w:rFonts w:hint="eastAsia" w:ascii="宋体" w:hAnsi="宋体" w:eastAsia="宋体" w:cs="宋体"/>
                <w:bCs/>
                <w:color w:val="auto"/>
                <w:sz w:val="24"/>
                <w:szCs w:val="24"/>
                <w:highlight w:val="none"/>
              </w:rPr>
              <w:t>热灵敏度：＜</w:t>
            </w:r>
            <w:r>
              <w:rPr>
                <w:rFonts w:ascii="宋体" w:hAnsi="宋体" w:eastAsia="宋体" w:cs="宋体"/>
                <w:bCs/>
                <w:color w:val="auto"/>
                <w:sz w:val="24"/>
                <w:szCs w:val="24"/>
                <w:highlight w:val="none"/>
              </w:rPr>
              <w:t>10mk</w:t>
            </w:r>
          </w:p>
          <w:p w14:paraId="10914B34">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2.3</w:t>
            </w:r>
            <w:r>
              <w:rPr>
                <w:rFonts w:hint="eastAsia" w:ascii="宋体" w:hAnsi="宋体" w:eastAsia="宋体" w:cs="宋体"/>
                <w:bCs/>
                <w:color w:val="auto"/>
                <w:sz w:val="24"/>
                <w:szCs w:val="24"/>
                <w:highlight w:val="none"/>
              </w:rPr>
              <w:t>测温范围：</w:t>
            </w:r>
            <w:r>
              <w:rPr>
                <w:rFonts w:ascii="宋体" w:hAnsi="宋体" w:eastAsia="宋体" w:cs="宋体"/>
                <w:bCs/>
                <w:color w:val="auto"/>
                <w:sz w:val="24"/>
                <w:szCs w:val="24"/>
                <w:highlight w:val="none"/>
              </w:rPr>
              <w:t xml:space="preserve">25-800 </w:t>
            </w:r>
            <w:r>
              <w:rPr>
                <w:rFonts w:hint="eastAsia" w:ascii="宋体" w:hAnsi="宋体" w:eastAsia="宋体" w:cs="宋体"/>
                <w:bCs/>
                <w:color w:val="auto"/>
                <w:sz w:val="24"/>
                <w:szCs w:val="24"/>
                <w:highlight w:val="none"/>
              </w:rPr>
              <w:t>℃</w:t>
            </w:r>
          </w:p>
          <w:p w14:paraId="653F8FCA">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2.4</w:t>
            </w:r>
            <w:r>
              <w:rPr>
                <w:rFonts w:hint="eastAsia" w:ascii="宋体" w:hAnsi="宋体" w:eastAsia="宋体" w:cs="宋体"/>
                <w:bCs/>
                <w:color w:val="auto"/>
                <w:sz w:val="24"/>
                <w:szCs w:val="24"/>
                <w:highlight w:val="none"/>
              </w:rPr>
              <w:t>近焦镜头：</w:t>
            </w:r>
            <w:r>
              <w:rPr>
                <w:rFonts w:ascii="宋体" w:hAnsi="宋体" w:eastAsia="宋体" w:cs="宋体"/>
                <w:bCs/>
                <w:color w:val="auto"/>
                <w:sz w:val="24"/>
                <w:szCs w:val="24"/>
                <w:highlight w:val="none"/>
              </w:rPr>
              <w:t>25-100μm</w:t>
            </w:r>
          </w:p>
          <w:p w14:paraId="402A1DB2">
            <w:pPr>
              <w:shd w:val="clear"/>
              <w:tabs>
                <w:tab w:val="left" w:pos="360"/>
              </w:tabs>
              <w:suppressAutoHyphens/>
              <w:ind w:left="-63" w:leftChars="-30" w:right="-63" w:rightChars="-3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2.5</w:t>
            </w:r>
            <w:r>
              <w:rPr>
                <w:rFonts w:hint="eastAsia" w:ascii="宋体" w:hAnsi="宋体" w:eastAsia="宋体" w:cs="宋体"/>
                <w:bCs/>
                <w:color w:val="auto"/>
                <w:sz w:val="24"/>
                <w:szCs w:val="24"/>
                <w:highlight w:val="none"/>
              </w:rPr>
              <w:t>时间常数：＜</w:t>
            </w:r>
            <w:r>
              <w:rPr>
                <w:rFonts w:ascii="宋体" w:hAnsi="宋体" w:eastAsia="宋体" w:cs="宋体"/>
                <w:bCs/>
                <w:color w:val="auto"/>
                <w:sz w:val="24"/>
                <w:szCs w:val="24"/>
                <w:highlight w:val="none"/>
              </w:rPr>
              <w:t>5ms</w:t>
            </w:r>
          </w:p>
          <w:p w14:paraId="0EE72FD5">
            <w:pPr>
              <w:shd w:val="clear"/>
              <w:tabs>
                <w:tab w:val="left" w:pos="360"/>
              </w:tabs>
              <w:suppressAutoHyphens/>
              <w:ind w:left="-63" w:leftChars="-30" w:right="-63" w:rightChars="-30"/>
              <w:jc w:val="left"/>
              <w:rPr>
                <w:rFonts w:ascii="宋体" w:hAnsi="宋体" w:eastAsia="宋体" w:cs="宋体"/>
                <w:bCs/>
                <w:color w:val="auto"/>
                <w:sz w:val="24"/>
                <w:szCs w:val="24"/>
                <w:highlight w:val="none"/>
              </w:rPr>
            </w:pPr>
            <w:r>
              <w:rPr>
                <w:rFonts w:ascii="宋体" w:hAnsi="宋体" w:eastAsia="宋体" w:cs="宋体"/>
                <w:bCs/>
                <w:color w:val="auto"/>
                <w:sz w:val="22"/>
                <w:szCs w:val="22"/>
                <w:highlight w:val="none"/>
              </w:rPr>
              <w:t>……</w:t>
            </w:r>
          </w:p>
        </w:tc>
        <w:tc>
          <w:tcPr>
            <w:tcW w:w="1243" w:type="dxa"/>
            <w:tcBorders>
              <w:left w:val="single" w:color="auto" w:sz="4" w:space="0"/>
              <w:right w:val="single" w:color="auto" w:sz="4" w:space="0"/>
            </w:tcBorders>
            <w:vAlign w:val="center"/>
          </w:tcPr>
          <w:p w14:paraId="310A5521">
            <w:pPr>
              <w:shd w:val="clear"/>
              <w:tabs>
                <w:tab w:val="left" w:pos="360"/>
              </w:tabs>
              <w:suppressAutoHyphens/>
              <w:ind w:left="-63" w:leftChars="-30" w:right="-63" w:rightChars="-3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否</w:t>
            </w:r>
          </w:p>
        </w:tc>
      </w:tr>
    </w:tbl>
    <w:p w14:paraId="675DF9FD">
      <w:pPr>
        <w:pStyle w:val="100"/>
        <w:numPr>
          <w:ilvl w:val="0"/>
          <w:numId w:val="11"/>
        </w:numPr>
        <w:shd w:val="clear"/>
        <w:spacing w:before="120" w:beforeLines="50" w:line="360" w:lineRule="auto"/>
        <w:ind w:left="567" w:hanging="284" w:firstLineChars="0"/>
        <w:rPr>
          <w:rFonts w:ascii="宋体" w:hAnsi="宋体" w:eastAsia="宋体" w:cs="仿宋"/>
          <w:color w:val="auto"/>
          <w:sz w:val="24"/>
          <w:highlight w:val="none"/>
        </w:rPr>
      </w:pPr>
      <w:r>
        <w:rPr>
          <w:rFonts w:ascii="宋体" w:hAnsi="宋体" w:eastAsia="宋体" w:cs="仿宋"/>
          <w:color w:val="auto"/>
          <w:sz w:val="24"/>
          <w:highlight w:val="none"/>
        </w:rPr>
        <w:t>合同履行期限：</w:t>
      </w:r>
      <w:r>
        <w:rPr>
          <w:rFonts w:ascii="Times New Roman" w:hAnsi="Times New Roman" w:eastAsia="宋体" w:cs="Times New Roman"/>
          <w:color w:val="auto"/>
          <w:sz w:val="24"/>
          <w:szCs w:val="24"/>
          <w:highlight w:val="none"/>
        </w:rPr>
        <w:t>全自动生物化学分解测试系统（好氧+厌氧组件）</w:t>
      </w:r>
      <w:r>
        <w:rPr>
          <w:rFonts w:hint="eastAsia" w:ascii="宋体" w:hAnsi="宋体" w:eastAsia="宋体" w:cs="宋体"/>
          <w:color w:val="auto"/>
          <w:sz w:val="24"/>
          <w:szCs w:val="24"/>
          <w:highlight w:val="none"/>
        </w:rPr>
        <w:t>自合同签订之日起</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个月内交货，木质纤维素化学组成与降解分析系统自合同签订之日起</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个月内交货，光催化水处理综合实验系统自合同签订之日起</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个月内交货，四联生物反应器及监测反馈系统自合同签订之日起</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个月内交货，多功能相平衡</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精馏工作台自合同签订之日起</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个月内交货，电热/光热催化反应-催化微区温度场分布监测系统自合同签订之日起</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个月内交货。</w:t>
      </w:r>
    </w:p>
    <w:p w14:paraId="4F956F40">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ascii="宋体" w:hAnsi="宋体" w:eastAsia="宋体" w:cs="仿宋"/>
          <w:color w:val="auto"/>
          <w:sz w:val="24"/>
          <w:highlight w:val="none"/>
        </w:rPr>
        <w:t xml:space="preserve">本项目是否接受联合体投标： </w:t>
      </w:r>
      <w:r>
        <w:rPr>
          <w:rFonts w:ascii="宋体" w:hAnsi="宋体" w:eastAsia="宋体" w:cs="仿宋"/>
          <w:color w:val="auto"/>
          <w:sz w:val="24"/>
          <w:highlight w:val="none"/>
        </w:rPr>
        <w:sym w:font="Wingdings 2" w:char="00A3"/>
      </w:r>
      <w:r>
        <w:rPr>
          <w:rFonts w:ascii="宋体" w:hAnsi="宋体" w:eastAsia="宋体" w:cs="仿宋"/>
          <w:color w:val="auto"/>
          <w:sz w:val="24"/>
          <w:highlight w:val="none"/>
        </w:rPr>
        <w:t xml:space="preserve">是  </w:t>
      </w:r>
      <w:r>
        <w:rPr>
          <w:rFonts w:ascii="宋体" w:hAnsi="宋体" w:eastAsia="宋体" w:cs="仿宋"/>
          <w:color w:val="auto"/>
          <w:sz w:val="24"/>
          <w:highlight w:val="none"/>
        </w:rPr>
        <w:sym w:font="Wingdings 2" w:char="F052"/>
      </w:r>
      <w:r>
        <w:rPr>
          <w:rFonts w:ascii="宋体" w:hAnsi="宋体" w:eastAsia="宋体" w:cs="仿宋"/>
          <w:color w:val="auto"/>
          <w:sz w:val="24"/>
          <w:highlight w:val="none"/>
        </w:rPr>
        <w:t>否。</w:t>
      </w:r>
    </w:p>
    <w:p w14:paraId="11C190FB">
      <w:pPr>
        <w:pStyle w:val="100"/>
        <w:numPr>
          <w:ilvl w:val="0"/>
          <w:numId w:val="11"/>
        </w:numPr>
        <w:shd w:val="clear"/>
        <w:spacing w:line="360" w:lineRule="auto"/>
        <w:ind w:left="567" w:hanging="284" w:firstLineChars="0"/>
        <w:rPr>
          <w:rFonts w:ascii="宋体" w:hAnsi="宋体" w:eastAsia="宋体" w:cs="仿宋"/>
          <w:color w:val="auto"/>
          <w:sz w:val="24"/>
          <w:highlight w:val="none"/>
        </w:rPr>
      </w:pPr>
      <w:r>
        <w:rPr>
          <w:rFonts w:hint="eastAsia" w:ascii="宋体" w:hAnsi="宋体" w:eastAsia="宋体" w:cs="仿宋"/>
          <w:color w:val="auto"/>
          <w:sz w:val="24"/>
          <w:highlight w:val="none"/>
        </w:rPr>
        <w:t xml:space="preserve">本项目是否允许分包：□是  </w:t>
      </w:r>
      <w:r>
        <w:rPr>
          <w:rFonts w:ascii="宋体" w:hAnsi="宋体" w:eastAsia="宋体" w:cs="仿宋"/>
          <w:color w:val="auto"/>
          <w:sz w:val="24"/>
          <w:highlight w:val="none"/>
        </w:rPr>
        <w:sym w:font="Wingdings 2" w:char="F052"/>
      </w:r>
      <w:r>
        <w:rPr>
          <w:rFonts w:hint="eastAsia" w:ascii="宋体" w:hAnsi="宋体" w:eastAsia="宋体" w:cs="仿宋"/>
          <w:color w:val="auto"/>
          <w:sz w:val="24"/>
          <w:highlight w:val="none"/>
        </w:rPr>
        <w:t>否。</w:t>
      </w:r>
    </w:p>
    <w:p w14:paraId="1A7D9381">
      <w:pPr>
        <w:shd w:val="clear"/>
        <w:spacing w:before="120" w:beforeLines="50" w:line="360" w:lineRule="auto"/>
        <w:outlineLvl w:val="1"/>
        <w:rPr>
          <w:rFonts w:ascii="宋体" w:hAnsi="宋体" w:eastAsia="宋体" w:cs="宋体"/>
          <w:color w:val="auto"/>
          <w:spacing w:val="-15"/>
          <w:sz w:val="24"/>
          <w:szCs w:val="24"/>
          <w:highlight w:val="none"/>
        </w:rPr>
      </w:pPr>
      <w:bookmarkStart w:id="1" w:name="_Toc154676372"/>
      <w:r>
        <w:rPr>
          <w:rFonts w:ascii="宋体" w:hAnsi="宋体" w:eastAsia="宋体" w:cs="宋体"/>
          <w:color w:val="auto"/>
          <w:spacing w:val="-15"/>
          <w:sz w:val="24"/>
          <w:szCs w:val="24"/>
          <w:highlight w:val="none"/>
        </w:rPr>
        <w:t>二、申请人的资格要求</w:t>
      </w:r>
      <w:r>
        <w:rPr>
          <w:rFonts w:hint="eastAsia" w:ascii="宋体" w:hAnsi="宋体" w:eastAsia="宋体" w:cs="宋体"/>
          <w:color w:val="auto"/>
          <w:spacing w:val="-15"/>
          <w:sz w:val="24"/>
          <w:szCs w:val="24"/>
          <w:highlight w:val="none"/>
        </w:rPr>
        <w:t>（</w:t>
      </w:r>
      <w:r>
        <w:rPr>
          <w:rFonts w:ascii="宋体" w:hAnsi="宋体" w:eastAsia="宋体" w:cs="宋体"/>
          <w:color w:val="auto"/>
          <w:spacing w:val="-15"/>
          <w:sz w:val="24"/>
          <w:szCs w:val="24"/>
          <w:highlight w:val="none"/>
        </w:rPr>
        <w:t>须同时满足</w:t>
      </w:r>
      <w:r>
        <w:rPr>
          <w:rFonts w:hint="eastAsia" w:ascii="宋体" w:hAnsi="宋体" w:eastAsia="宋体" w:cs="宋体"/>
          <w:color w:val="auto"/>
          <w:spacing w:val="-15"/>
          <w:sz w:val="24"/>
          <w:szCs w:val="24"/>
          <w:highlight w:val="none"/>
        </w:rPr>
        <w:t>）</w:t>
      </w:r>
      <w:bookmarkEnd w:id="1"/>
    </w:p>
    <w:p w14:paraId="78E50FC9">
      <w:pPr>
        <w:pStyle w:val="100"/>
        <w:numPr>
          <w:ilvl w:val="0"/>
          <w:numId w:val="12"/>
        </w:numPr>
        <w:shd w:val="clear"/>
        <w:spacing w:line="360" w:lineRule="auto"/>
        <w:ind w:left="567" w:hanging="284" w:firstLineChars="0"/>
        <w:rPr>
          <w:rFonts w:ascii="宋体" w:hAnsi="宋体" w:eastAsia="宋体" w:cs="仿宋"/>
          <w:color w:val="auto"/>
          <w:sz w:val="24"/>
          <w:highlight w:val="none"/>
        </w:rPr>
      </w:pPr>
      <w:r>
        <w:rPr>
          <w:rFonts w:hint="eastAsia" w:ascii="宋体" w:hAnsi="宋体" w:eastAsia="宋体" w:cs="仿宋"/>
          <w:color w:val="auto"/>
          <w:sz w:val="24"/>
          <w:highlight w:val="none"/>
        </w:rPr>
        <w:t>满足《中华人民共和国政府采购法》第二十二条规定；</w:t>
      </w:r>
    </w:p>
    <w:p w14:paraId="1B10F239">
      <w:pPr>
        <w:pStyle w:val="100"/>
        <w:numPr>
          <w:ilvl w:val="0"/>
          <w:numId w:val="12"/>
        </w:numPr>
        <w:shd w:val="clear"/>
        <w:spacing w:line="360" w:lineRule="auto"/>
        <w:ind w:left="567" w:hanging="284" w:firstLineChars="0"/>
        <w:rPr>
          <w:rFonts w:ascii="宋体" w:hAnsi="宋体" w:eastAsia="宋体" w:cs="仿宋"/>
          <w:color w:val="auto"/>
          <w:sz w:val="24"/>
          <w:highlight w:val="none"/>
          <w:u w:val="single"/>
        </w:rPr>
      </w:pPr>
      <w:r>
        <w:rPr>
          <w:rFonts w:ascii="宋体" w:hAnsi="宋体" w:eastAsia="宋体" w:cs="仿宋"/>
          <w:color w:val="auto"/>
          <w:sz w:val="24"/>
          <w:highlight w:val="none"/>
        </w:rPr>
        <w:t>落实政府采购政策需满足的资格要求：</w:t>
      </w:r>
    </w:p>
    <w:p w14:paraId="13E5306F">
      <w:pPr>
        <w:shd w:val="clear"/>
        <w:spacing w:line="360" w:lineRule="auto"/>
        <w:ind w:left="283" w:leftChars="135"/>
        <w:rPr>
          <w:rFonts w:ascii="宋体" w:hAnsi="宋体" w:eastAsia="宋体" w:cs="仿宋"/>
          <w:color w:val="auto"/>
          <w:sz w:val="24"/>
          <w:highlight w:val="none"/>
        </w:rPr>
      </w:pPr>
      <w:r>
        <w:rPr>
          <w:rFonts w:ascii="宋体" w:hAnsi="宋体" w:eastAsia="宋体" w:cs="仿宋"/>
          <w:color w:val="auto"/>
          <w:sz w:val="24"/>
          <w:highlight w:val="none"/>
        </w:rPr>
        <w:t>2.1 中小企业政策</w:t>
      </w:r>
    </w:p>
    <w:p w14:paraId="6730D68F">
      <w:pPr>
        <w:shd w:val="clear"/>
        <w:spacing w:line="360" w:lineRule="auto"/>
        <w:ind w:left="283" w:leftChars="135" w:firstLine="566" w:firstLineChars="236"/>
        <w:rPr>
          <w:rFonts w:ascii="宋体" w:hAnsi="宋体" w:eastAsia="宋体" w:cs="仿宋"/>
          <w:color w:val="auto"/>
          <w:sz w:val="24"/>
          <w:highlight w:val="none"/>
        </w:rPr>
      </w:pPr>
      <w:r>
        <w:rPr>
          <w:rFonts w:ascii="宋体" w:hAnsi="宋体" w:eastAsia="宋体" w:cs="仿宋"/>
          <w:color w:val="auto"/>
          <w:sz w:val="24"/>
          <w:highlight w:val="none"/>
        </w:rPr>
        <w:t>本项目</w:t>
      </w:r>
      <w:r>
        <w:rPr>
          <w:rFonts w:hint="eastAsia" w:ascii="宋体" w:hAnsi="宋体" w:eastAsia="宋体" w:cs="仿宋"/>
          <w:color w:val="auto"/>
          <w:sz w:val="24"/>
          <w:highlight w:val="none"/>
        </w:rPr>
        <w:t>非</w:t>
      </w:r>
      <w:r>
        <w:rPr>
          <w:rFonts w:ascii="宋体" w:hAnsi="宋体" w:eastAsia="宋体" w:cs="仿宋"/>
          <w:color w:val="auto"/>
          <w:sz w:val="24"/>
          <w:highlight w:val="none"/>
        </w:rPr>
        <w:t>专门面向中小企业。</w:t>
      </w:r>
    </w:p>
    <w:p w14:paraId="36ACB8D8">
      <w:pPr>
        <w:shd w:val="clear"/>
        <w:spacing w:line="360" w:lineRule="auto"/>
        <w:ind w:left="283" w:leftChars="135"/>
        <w:rPr>
          <w:rFonts w:ascii="宋体" w:hAnsi="宋体" w:eastAsia="宋体" w:cs="仿宋"/>
          <w:color w:val="auto"/>
          <w:sz w:val="24"/>
          <w:highlight w:val="none"/>
        </w:rPr>
      </w:pPr>
      <w:r>
        <w:rPr>
          <w:rFonts w:ascii="宋体" w:hAnsi="宋体" w:eastAsia="宋体" w:cs="仿宋"/>
          <w:color w:val="auto"/>
          <w:sz w:val="24"/>
          <w:highlight w:val="none"/>
        </w:rPr>
        <w:t>2.2 其它落实政府采购政策的资格要求(如有)：</w:t>
      </w:r>
      <w:r>
        <w:rPr>
          <w:rFonts w:ascii="宋体" w:hAnsi="宋体" w:eastAsia="宋体" w:cs="仿宋"/>
          <w:color w:val="auto"/>
          <w:sz w:val="24"/>
          <w:highlight w:val="none"/>
          <w:u w:val="single"/>
        </w:rPr>
        <w:t>_/_</w:t>
      </w:r>
      <w:r>
        <w:rPr>
          <w:rFonts w:ascii="宋体" w:hAnsi="宋体" w:eastAsia="宋体" w:cs="仿宋"/>
          <w:color w:val="auto"/>
          <w:sz w:val="24"/>
          <w:highlight w:val="none"/>
        </w:rPr>
        <w:t>。</w:t>
      </w:r>
    </w:p>
    <w:p w14:paraId="748B658D">
      <w:pPr>
        <w:pStyle w:val="100"/>
        <w:numPr>
          <w:ilvl w:val="0"/>
          <w:numId w:val="12"/>
        </w:numPr>
        <w:shd w:val="clear"/>
        <w:spacing w:line="360" w:lineRule="auto"/>
        <w:ind w:left="567" w:hanging="284" w:firstLineChars="0"/>
        <w:rPr>
          <w:rFonts w:ascii="宋体" w:hAnsi="宋体" w:eastAsia="宋体" w:cs="仿宋"/>
          <w:color w:val="auto"/>
          <w:sz w:val="24"/>
          <w:highlight w:val="none"/>
        </w:rPr>
      </w:pPr>
      <w:r>
        <w:rPr>
          <w:rFonts w:ascii="宋体" w:hAnsi="宋体" w:eastAsia="宋体" w:cs="仿宋"/>
          <w:color w:val="auto"/>
          <w:sz w:val="24"/>
          <w:highlight w:val="none"/>
        </w:rPr>
        <w:t>本项目的特定资格要求：</w:t>
      </w:r>
    </w:p>
    <w:p w14:paraId="62D4B881">
      <w:pPr>
        <w:shd w:val="clear"/>
        <w:spacing w:line="360" w:lineRule="auto"/>
        <w:ind w:left="283" w:leftChars="135"/>
        <w:rPr>
          <w:rFonts w:ascii="宋体" w:hAnsi="宋体" w:eastAsia="宋体" w:cs="仿宋"/>
          <w:color w:val="auto"/>
          <w:sz w:val="24"/>
          <w:highlight w:val="none"/>
        </w:rPr>
      </w:pPr>
      <w:bookmarkStart w:id="2" w:name="_Hlk130561552"/>
      <w:r>
        <w:rPr>
          <w:rFonts w:hint="eastAsia" w:ascii="宋体" w:hAnsi="宋体" w:eastAsia="宋体" w:cs="仿宋"/>
          <w:color w:val="auto"/>
          <w:sz w:val="24"/>
          <w:highlight w:val="none"/>
        </w:rPr>
        <w:t>3</w:t>
      </w:r>
      <w:r>
        <w:rPr>
          <w:rFonts w:ascii="宋体" w:hAnsi="宋体" w:eastAsia="宋体" w:cs="仿宋"/>
          <w:color w:val="auto"/>
          <w:sz w:val="24"/>
          <w:highlight w:val="none"/>
        </w:rPr>
        <w:t xml:space="preserve">.1 </w:t>
      </w:r>
      <w:r>
        <w:rPr>
          <w:rFonts w:hint="eastAsia" w:ascii="宋体" w:hAnsi="宋体" w:eastAsia="宋体" w:cs="仿宋"/>
          <w:color w:val="auto"/>
          <w:sz w:val="24"/>
          <w:highlight w:val="none"/>
        </w:rPr>
        <w:t>投标人是来自中华人民共和国境内的供应商；</w:t>
      </w:r>
    </w:p>
    <w:p w14:paraId="23D6AC83">
      <w:pPr>
        <w:shd w:val="clear"/>
        <w:spacing w:line="360" w:lineRule="auto"/>
        <w:ind w:left="283" w:leftChars="135"/>
        <w:rPr>
          <w:rFonts w:ascii="宋体" w:hAnsi="宋体" w:eastAsia="宋体" w:cs="仿宋"/>
          <w:color w:val="auto"/>
          <w:sz w:val="24"/>
          <w:highlight w:val="none"/>
        </w:rPr>
      </w:pPr>
      <w:r>
        <w:rPr>
          <w:rFonts w:ascii="宋体" w:hAnsi="宋体" w:eastAsia="宋体" w:cs="仿宋"/>
          <w:color w:val="auto"/>
          <w:sz w:val="24"/>
          <w:highlight w:val="none"/>
        </w:rPr>
        <w:t xml:space="preserve">3.2 </w:t>
      </w:r>
      <w:r>
        <w:rPr>
          <w:rFonts w:hint="eastAsia" w:ascii="宋体" w:hAnsi="宋体" w:eastAsia="宋体" w:cs="仿宋"/>
          <w:color w:val="auto"/>
          <w:sz w:val="24"/>
          <w:highlight w:val="none"/>
        </w:rPr>
        <w:t>投标人不得为</w:t>
      </w:r>
      <w:r>
        <w:rPr>
          <w:rFonts w:ascii="宋体" w:hAnsi="宋体" w:eastAsia="宋体" w:cs="仿宋"/>
          <w:color w:val="auto"/>
          <w:sz w:val="24"/>
          <w:highlight w:val="none"/>
        </w:rPr>
        <w:t>“</w:t>
      </w:r>
      <w:r>
        <w:rPr>
          <w:rFonts w:hint="eastAsia" w:ascii="宋体" w:hAnsi="宋体" w:eastAsia="宋体" w:cs="仿宋"/>
          <w:color w:val="auto"/>
          <w:sz w:val="24"/>
          <w:highlight w:val="none"/>
        </w:rPr>
        <w:t>信用中国</w:t>
      </w:r>
      <w:r>
        <w:rPr>
          <w:rFonts w:ascii="宋体" w:hAnsi="宋体" w:eastAsia="宋体" w:cs="仿宋"/>
          <w:color w:val="auto"/>
          <w:sz w:val="24"/>
          <w:highlight w:val="none"/>
        </w:rPr>
        <w:t>”</w:t>
      </w:r>
      <w:r>
        <w:rPr>
          <w:rFonts w:hint="eastAsia" w:ascii="宋体" w:hAnsi="宋体" w:eastAsia="宋体" w:cs="仿宋"/>
          <w:color w:val="auto"/>
          <w:sz w:val="24"/>
          <w:highlight w:val="none"/>
        </w:rPr>
        <w:t>网站（</w:t>
      </w:r>
      <w:r>
        <w:rPr>
          <w:rFonts w:ascii="宋体" w:hAnsi="宋体" w:eastAsia="宋体" w:cs="仿宋"/>
          <w:color w:val="auto"/>
          <w:sz w:val="24"/>
          <w:highlight w:val="none"/>
        </w:rPr>
        <w:t>www.creditchina.gov.cn</w:t>
      </w:r>
      <w:r>
        <w:rPr>
          <w:rFonts w:hint="eastAsia" w:ascii="宋体" w:hAnsi="宋体" w:eastAsia="宋体" w:cs="仿宋"/>
          <w:color w:val="auto"/>
          <w:sz w:val="24"/>
          <w:highlight w:val="none"/>
        </w:rPr>
        <w:t>）中列入失信被执行人和重大税收违法案件当事人名单的供应商，不得为中国政府采购网（</w:t>
      </w:r>
      <w:r>
        <w:rPr>
          <w:rFonts w:ascii="宋体" w:hAnsi="宋体" w:eastAsia="宋体" w:cs="仿宋"/>
          <w:color w:val="auto"/>
          <w:sz w:val="24"/>
          <w:highlight w:val="none"/>
        </w:rPr>
        <w:t>www.ccgp.gov.cn</w:t>
      </w:r>
      <w:r>
        <w:rPr>
          <w:rFonts w:hint="eastAsia" w:ascii="宋体" w:hAnsi="宋体" w:eastAsia="宋体" w:cs="仿宋"/>
          <w:color w:val="auto"/>
          <w:sz w:val="24"/>
          <w:highlight w:val="none"/>
        </w:rPr>
        <w:t>）政府采购严重违法失信行为记录名单中被财政部门禁止参加政府采购活动的供应商。</w:t>
      </w:r>
    </w:p>
    <w:p w14:paraId="1916FCDD">
      <w:pPr>
        <w:shd w:val="clear"/>
        <w:spacing w:line="360" w:lineRule="auto"/>
        <w:ind w:left="283" w:leftChars="135"/>
        <w:rPr>
          <w:rFonts w:ascii="宋体" w:hAnsi="宋体" w:eastAsia="宋体" w:cs="仿宋"/>
          <w:color w:val="auto"/>
          <w:sz w:val="24"/>
          <w:highlight w:val="none"/>
        </w:rPr>
      </w:pPr>
      <w:r>
        <w:rPr>
          <w:rFonts w:hint="eastAsia" w:ascii="宋体" w:hAnsi="宋体" w:eastAsia="宋体" w:cs="仿宋"/>
          <w:color w:val="auto"/>
          <w:sz w:val="24"/>
          <w:highlight w:val="none"/>
        </w:rPr>
        <w:t>3</w:t>
      </w:r>
      <w:r>
        <w:rPr>
          <w:rFonts w:ascii="宋体" w:hAnsi="宋体" w:eastAsia="宋体" w:cs="仿宋"/>
          <w:color w:val="auto"/>
          <w:sz w:val="24"/>
          <w:highlight w:val="none"/>
        </w:rPr>
        <w:t xml:space="preserve">.3 </w:t>
      </w:r>
      <w:r>
        <w:rPr>
          <w:rFonts w:hint="eastAsia" w:ascii="宋体" w:hAnsi="宋体" w:eastAsia="宋体" w:cs="仿宋"/>
          <w:color w:val="auto"/>
          <w:sz w:val="24"/>
          <w:highlight w:val="none"/>
        </w:rPr>
        <w:t>为采购项目提供整体设计、规范编制或者项目管理、监理、检测等服务的投标人，不得参加该采购项目的其他采购活动。</w:t>
      </w:r>
    </w:p>
    <w:p w14:paraId="45E185E9">
      <w:pPr>
        <w:shd w:val="clear"/>
        <w:spacing w:line="360" w:lineRule="auto"/>
        <w:ind w:left="283" w:leftChars="135"/>
        <w:rPr>
          <w:rFonts w:ascii="宋体" w:hAnsi="宋体" w:eastAsia="宋体" w:cs="仿宋"/>
          <w:color w:val="auto"/>
          <w:sz w:val="24"/>
          <w:highlight w:val="none"/>
        </w:rPr>
      </w:pPr>
      <w:r>
        <w:rPr>
          <w:rFonts w:hint="eastAsia" w:ascii="宋体" w:hAnsi="宋体" w:eastAsia="宋体" w:cs="仿宋"/>
          <w:color w:val="auto"/>
          <w:sz w:val="24"/>
          <w:highlight w:val="none"/>
        </w:rPr>
        <w:t>3</w:t>
      </w:r>
      <w:r>
        <w:rPr>
          <w:rFonts w:ascii="宋体" w:hAnsi="宋体" w:eastAsia="宋体" w:cs="仿宋"/>
          <w:color w:val="auto"/>
          <w:sz w:val="24"/>
          <w:highlight w:val="none"/>
        </w:rPr>
        <w:t xml:space="preserve">.4 </w:t>
      </w:r>
      <w:r>
        <w:rPr>
          <w:rFonts w:hint="eastAsia" w:ascii="宋体" w:hAnsi="宋体" w:eastAsia="宋体" w:cs="仿宋"/>
          <w:color w:val="auto"/>
          <w:sz w:val="24"/>
          <w:highlight w:val="none"/>
        </w:rPr>
        <w:t>单位负责人为同一人或者存在直接控股、管理关系的不同供应商，不得参加同一包的投标或者未划分包的同一招标项目的投标。</w:t>
      </w:r>
    </w:p>
    <w:p w14:paraId="08BD3D41">
      <w:pPr>
        <w:shd w:val="clear"/>
        <w:spacing w:line="360" w:lineRule="auto"/>
        <w:ind w:left="283" w:leftChars="135"/>
        <w:rPr>
          <w:color w:val="auto"/>
          <w:highlight w:val="none"/>
        </w:rPr>
      </w:pPr>
      <w:r>
        <w:rPr>
          <w:rFonts w:hint="eastAsia" w:ascii="宋体" w:hAnsi="宋体" w:eastAsia="宋体" w:cs="仿宋"/>
          <w:color w:val="auto"/>
          <w:sz w:val="24"/>
          <w:highlight w:val="none"/>
        </w:rPr>
        <w:t>3.5</w:t>
      </w:r>
      <w:r>
        <w:rPr>
          <w:rFonts w:ascii="宋体" w:hAnsi="宋体" w:eastAsia="宋体" w:cs="仿宋"/>
          <w:color w:val="auto"/>
          <w:sz w:val="24"/>
          <w:highlight w:val="none"/>
        </w:rPr>
        <w:t xml:space="preserve"> </w:t>
      </w:r>
      <w:r>
        <w:rPr>
          <w:rFonts w:hint="eastAsia" w:ascii="宋体" w:hAnsi="宋体" w:eastAsia="宋体" w:cs="仿宋"/>
          <w:color w:val="auto"/>
          <w:sz w:val="24"/>
          <w:highlight w:val="none"/>
        </w:rPr>
        <w:t>应按招标公告规定获取招标文件。</w:t>
      </w:r>
    </w:p>
    <w:bookmarkEnd w:id="2"/>
    <w:p w14:paraId="1FF0BBE4">
      <w:pPr>
        <w:shd w:val="clear"/>
        <w:spacing w:before="120" w:beforeLines="50" w:line="360" w:lineRule="auto"/>
        <w:outlineLvl w:val="1"/>
        <w:rPr>
          <w:rFonts w:ascii="宋体" w:hAnsi="宋体" w:eastAsia="宋体" w:cs="宋体"/>
          <w:color w:val="auto"/>
          <w:spacing w:val="-15"/>
          <w:sz w:val="24"/>
          <w:szCs w:val="24"/>
          <w:highlight w:val="none"/>
        </w:rPr>
      </w:pPr>
      <w:bookmarkStart w:id="3" w:name="_Toc154676373"/>
      <w:r>
        <w:rPr>
          <w:rFonts w:ascii="宋体" w:hAnsi="宋体" w:eastAsia="宋体" w:cs="宋体"/>
          <w:color w:val="auto"/>
          <w:spacing w:val="-15"/>
          <w:sz w:val="24"/>
          <w:szCs w:val="24"/>
          <w:highlight w:val="none"/>
        </w:rPr>
        <w:t>三、获取招标文件</w:t>
      </w:r>
      <w:bookmarkEnd w:id="3"/>
    </w:p>
    <w:p w14:paraId="4E3F8A8B">
      <w:pPr>
        <w:pStyle w:val="100"/>
        <w:numPr>
          <w:ilvl w:val="0"/>
          <w:numId w:val="13"/>
        </w:numPr>
        <w:shd w:val="clear"/>
        <w:spacing w:line="360" w:lineRule="auto"/>
        <w:ind w:left="567" w:hanging="283" w:firstLineChars="0"/>
        <w:rPr>
          <w:rFonts w:ascii="宋体" w:hAnsi="宋体" w:eastAsia="宋体" w:cs="仿宋"/>
          <w:color w:val="auto"/>
          <w:sz w:val="24"/>
          <w:highlight w:val="none"/>
        </w:rPr>
      </w:pPr>
      <w:r>
        <w:rPr>
          <w:rFonts w:hint="eastAsia" w:ascii="宋体" w:hAnsi="宋体" w:eastAsia="宋体" w:cs="仿宋"/>
          <w:color w:val="auto"/>
          <w:sz w:val="24"/>
          <w:highlight w:val="none"/>
        </w:rPr>
        <w:t>时</w:t>
      </w:r>
      <w:r>
        <w:rPr>
          <w:rFonts w:ascii="宋体" w:hAnsi="宋体" w:eastAsia="宋体" w:cs="仿宋"/>
          <w:color w:val="auto"/>
          <w:sz w:val="24"/>
          <w:highlight w:val="none"/>
        </w:rPr>
        <w:t>间：</w:t>
      </w:r>
      <w:r>
        <w:rPr>
          <w:rFonts w:hint="eastAsia" w:ascii="宋体" w:hAnsi="宋体" w:eastAsia="宋体" w:cs="仿宋"/>
          <w:color w:val="auto"/>
          <w:sz w:val="24"/>
          <w:highlight w:val="none"/>
        </w:rPr>
        <w:t>2025年</w:t>
      </w:r>
      <w:r>
        <w:rPr>
          <w:rFonts w:hint="eastAsia" w:ascii="宋体" w:hAnsi="宋体" w:eastAsia="宋体" w:cs="仿宋"/>
          <w:color w:val="auto"/>
          <w:sz w:val="24"/>
          <w:highlight w:val="none"/>
          <w:lang w:val="en-US" w:eastAsia="zh-CN"/>
        </w:rPr>
        <w:t>3</w:t>
      </w:r>
      <w:r>
        <w:rPr>
          <w:rFonts w:hint="eastAsia" w:ascii="宋体" w:hAnsi="宋体" w:eastAsia="宋体" w:cs="仿宋"/>
          <w:color w:val="auto"/>
          <w:sz w:val="24"/>
          <w:highlight w:val="none"/>
        </w:rPr>
        <w:t>月</w:t>
      </w:r>
      <w:r>
        <w:rPr>
          <w:rFonts w:hint="eastAsia" w:ascii="宋体" w:hAnsi="宋体" w:eastAsia="宋体" w:cs="仿宋"/>
          <w:color w:val="auto"/>
          <w:sz w:val="24"/>
          <w:highlight w:val="none"/>
          <w:lang w:val="en-US" w:eastAsia="zh-CN"/>
        </w:rPr>
        <w:t>13</w:t>
      </w:r>
      <w:r>
        <w:rPr>
          <w:rFonts w:hint="eastAsia" w:ascii="宋体" w:hAnsi="宋体" w:eastAsia="宋体" w:cs="仿宋"/>
          <w:color w:val="auto"/>
          <w:sz w:val="24"/>
          <w:highlight w:val="none"/>
        </w:rPr>
        <w:t>日至2025年</w:t>
      </w:r>
      <w:r>
        <w:rPr>
          <w:rFonts w:hint="eastAsia" w:ascii="宋体" w:hAnsi="宋体" w:eastAsia="宋体" w:cs="仿宋"/>
          <w:color w:val="auto"/>
          <w:sz w:val="24"/>
          <w:highlight w:val="none"/>
          <w:lang w:val="en-US" w:eastAsia="zh-CN"/>
        </w:rPr>
        <w:t>3</w:t>
      </w:r>
      <w:r>
        <w:rPr>
          <w:rFonts w:hint="eastAsia" w:ascii="宋体" w:hAnsi="宋体" w:eastAsia="宋体" w:cs="仿宋"/>
          <w:color w:val="auto"/>
          <w:sz w:val="24"/>
          <w:highlight w:val="none"/>
        </w:rPr>
        <w:t>月</w:t>
      </w:r>
      <w:r>
        <w:rPr>
          <w:rFonts w:hint="eastAsia" w:ascii="宋体" w:hAnsi="宋体" w:eastAsia="宋体" w:cs="仿宋"/>
          <w:color w:val="auto"/>
          <w:sz w:val="24"/>
          <w:highlight w:val="none"/>
          <w:lang w:val="en-US" w:eastAsia="zh-CN"/>
        </w:rPr>
        <w:t>20</w:t>
      </w:r>
      <w:r>
        <w:rPr>
          <w:rFonts w:hint="eastAsia" w:ascii="宋体" w:hAnsi="宋体" w:eastAsia="宋体" w:cs="仿宋"/>
          <w:color w:val="auto"/>
          <w:sz w:val="24"/>
          <w:highlight w:val="none"/>
        </w:rPr>
        <w:t>日，每天上午9:00至12:00，下午12:00至17:00</w:t>
      </w:r>
      <w:r>
        <w:rPr>
          <w:rFonts w:ascii="宋体" w:hAnsi="宋体" w:eastAsia="宋体" w:cs="仿宋"/>
          <w:color w:val="auto"/>
          <w:sz w:val="24"/>
          <w:highlight w:val="none"/>
        </w:rPr>
        <w:t>(北京时间，法定节假日除外)。</w:t>
      </w:r>
    </w:p>
    <w:p w14:paraId="6228393D">
      <w:pPr>
        <w:pStyle w:val="100"/>
        <w:numPr>
          <w:ilvl w:val="0"/>
          <w:numId w:val="13"/>
        </w:numPr>
        <w:shd w:val="clear"/>
        <w:spacing w:line="360" w:lineRule="auto"/>
        <w:ind w:left="567" w:hanging="283" w:firstLineChars="0"/>
        <w:rPr>
          <w:rFonts w:ascii="宋体" w:hAnsi="宋体" w:eastAsia="宋体" w:cs="仿宋"/>
          <w:color w:val="auto"/>
          <w:sz w:val="24"/>
          <w:highlight w:val="none"/>
          <w:u w:val="single"/>
        </w:rPr>
      </w:pPr>
      <w:r>
        <w:rPr>
          <w:rFonts w:ascii="宋体" w:hAnsi="宋体" w:eastAsia="宋体" w:cs="仿宋"/>
          <w:color w:val="auto"/>
          <w:sz w:val="24"/>
          <w:highlight w:val="none"/>
        </w:rPr>
        <w:t>地点：</w:t>
      </w:r>
      <w:r>
        <w:rPr>
          <w:rFonts w:hint="eastAsia" w:ascii="宋体" w:hAnsi="宋体" w:eastAsia="宋体" w:cs="仿宋"/>
          <w:color w:val="auto"/>
          <w:sz w:val="24"/>
          <w:highlight w:val="none"/>
        </w:rPr>
        <w:t>中钢招标有限责任公司官网（http://tendering.sinosteel.com）。</w:t>
      </w:r>
    </w:p>
    <w:p w14:paraId="26BEC44D">
      <w:pPr>
        <w:pStyle w:val="100"/>
        <w:numPr>
          <w:ilvl w:val="0"/>
          <w:numId w:val="13"/>
        </w:numPr>
        <w:shd w:val="clear"/>
        <w:spacing w:line="360" w:lineRule="auto"/>
        <w:ind w:left="567" w:hanging="283" w:firstLineChars="0"/>
        <w:rPr>
          <w:rFonts w:ascii="宋体" w:hAnsi="宋体" w:eastAsia="宋体" w:cs="仿宋"/>
          <w:color w:val="auto"/>
          <w:sz w:val="24"/>
          <w:highlight w:val="none"/>
        </w:rPr>
      </w:pPr>
      <w:r>
        <w:rPr>
          <w:rFonts w:ascii="宋体" w:hAnsi="宋体" w:eastAsia="宋体" w:cs="仿宋"/>
          <w:color w:val="auto"/>
          <w:sz w:val="24"/>
          <w:highlight w:val="none"/>
        </w:rPr>
        <w:t>方式：</w:t>
      </w:r>
      <w:r>
        <w:rPr>
          <w:rFonts w:hint="eastAsia" w:ascii="宋体" w:hAnsi="宋体" w:eastAsia="宋体" w:cs="仿宋"/>
          <w:color w:val="auto"/>
          <w:sz w:val="24"/>
          <w:highlight w:val="none"/>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供应商如计划参与多个采购包，应按采购包分别获取并下载电子文件）。投标人应充分考虑平台注册、资料上传、平台复核、网上支付等流程所需的时间，务必在获取文件截止时间前完成所有手续，否则将无法保证获取招标文件。（3）纸质文件将按照供应商在电子平台登记信息以快递方式送达。（4）投标人注册、文件获取等系统操作问题可咨询010-86397110。</w:t>
      </w:r>
    </w:p>
    <w:p w14:paraId="052351C5">
      <w:pPr>
        <w:pStyle w:val="100"/>
        <w:numPr>
          <w:ilvl w:val="0"/>
          <w:numId w:val="13"/>
        </w:numPr>
        <w:shd w:val="clear"/>
        <w:spacing w:line="360" w:lineRule="auto"/>
        <w:ind w:left="567" w:hanging="283" w:firstLineChars="0"/>
        <w:rPr>
          <w:rFonts w:ascii="宋体" w:hAnsi="宋体" w:eastAsia="宋体" w:cs="仿宋"/>
          <w:color w:val="auto"/>
          <w:sz w:val="24"/>
          <w:highlight w:val="none"/>
        </w:rPr>
      </w:pPr>
      <w:r>
        <w:rPr>
          <w:rFonts w:ascii="宋体" w:hAnsi="宋体" w:eastAsia="宋体" w:cs="仿宋"/>
          <w:color w:val="auto"/>
          <w:sz w:val="24"/>
          <w:highlight w:val="none"/>
        </w:rPr>
        <w:t>售价：</w:t>
      </w:r>
      <w:r>
        <w:rPr>
          <w:rFonts w:hint="eastAsia" w:ascii="宋体" w:hAnsi="宋体" w:eastAsia="宋体" w:cs="仿宋"/>
          <w:color w:val="auto"/>
          <w:sz w:val="24"/>
          <w:highlight w:val="none"/>
        </w:rPr>
        <w:t>人民币500元/包；售后不退。</w:t>
      </w:r>
    </w:p>
    <w:p w14:paraId="074A1790">
      <w:pPr>
        <w:shd w:val="clear"/>
        <w:spacing w:before="120" w:beforeLines="50" w:line="360" w:lineRule="auto"/>
        <w:outlineLvl w:val="1"/>
        <w:rPr>
          <w:rFonts w:ascii="宋体" w:hAnsi="宋体" w:eastAsia="宋体" w:cs="宋体"/>
          <w:color w:val="auto"/>
          <w:spacing w:val="-15"/>
          <w:sz w:val="24"/>
          <w:szCs w:val="24"/>
          <w:highlight w:val="none"/>
        </w:rPr>
      </w:pPr>
      <w:bookmarkStart w:id="4" w:name="_Toc154676374"/>
      <w:r>
        <w:rPr>
          <w:rFonts w:ascii="宋体" w:hAnsi="宋体" w:eastAsia="宋体" w:cs="宋体"/>
          <w:color w:val="auto"/>
          <w:spacing w:val="-15"/>
          <w:sz w:val="24"/>
          <w:szCs w:val="24"/>
          <w:highlight w:val="none"/>
        </w:rPr>
        <w:t>四、提交投标文件截止时间、开标时间和地点</w:t>
      </w:r>
      <w:bookmarkEnd w:id="4"/>
    </w:p>
    <w:p w14:paraId="195DBB09">
      <w:pPr>
        <w:pStyle w:val="100"/>
        <w:numPr>
          <w:ilvl w:val="0"/>
          <w:numId w:val="14"/>
        </w:numPr>
        <w:shd w:val="clear"/>
        <w:spacing w:line="360" w:lineRule="auto"/>
        <w:ind w:left="567" w:hanging="283" w:firstLineChars="0"/>
        <w:rPr>
          <w:rFonts w:ascii="宋体" w:hAnsi="宋体" w:eastAsia="宋体" w:cs="仿宋"/>
          <w:color w:val="auto"/>
          <w:sz w:val="24"/>
          <w:highlight w:val="none"/>
        </w:rPr>
      </w:pPr>
      <w:r>
        <w:rPr>
          <w:rFonts w:ascii="宋体" w:hAnsi="宋体" w:eastAsia="宋体" w:cs="仿宋"/>
          <w:color w:val="auto"/>
          <w:sz w:val="24"/>
          <w:highlight w:val="none"/>
        </w:rPr>
        <w:t>投标截止时间、开标时间：</w:t>
      </w:r>
      <w:r>
        <w:rPr>
          <w:rFonts w:hint="eastAsia" w:ascii="宋体" w:hAnsi="宋体" w:eastAsia="宋体" w:cs="仿宋"/>
          <w:color w:val="auto"/>
          <w:sz w:val="24"/>
          <w:highlight w:val="none"/>
        </w:rPr>
        <w:t>2025年</w:t>
      </w:r>
      <w:r>
        <w:rPr>
          <w:rFonts w:hint="eastAsia" w:ascii="宋体" w:hAnsi="宋体" w:eastAsia="宋体" w:cs="仿宋"/>
          <w:color w:val="auto"/>
          <w:sz w:val="24"/>
          <w:highlight w:val="none"/>
          <w:lang w:val="en-US" w:eastAsia="zh-CN"/>
        </w:rPr>
        <w:t>4</w:t>
      </w:r>
      <w:r>
        <w:rPr>
          <w:rFonts w:hint="eastAsia" w:ascii="宋体" w:hAnsi="宋体" w:eastAsia="宋体" w:cs="仿宋"/>
          <w:color w:val="auto"/>
          <w:sz w:val="24"/>
          <w:highlight w:val="none"/>
        </w:rPr>
        <w:t>月</w:t>
      </w:r>
      <w:r>
        <w:rPr>
          <w:rFonts w:hint="eastAsia" w:ascii="宋体" w:hAnsi="宋体" w:eastAsia="宋体" w:cs="仿宋"/>
          <w:color w:val="auto"/>
          <w:sz w:val="24"/>
          <w:highlight w:val="none"/>
          <w:lang w:val="en-US" w:eastAsia="zh-CN"/>
        </w:rPr>
        <w:t>3</w:t>
      </w:r>
      <w:r>
        <w:rPr>
          <w:rFonts w:hint="eastAsia" w:ascii="宋体" w:hAnsi="宋体" w:eastAsia="宋体" w:cs="仿宋"/>
          <w:color w:val="auto"/>
          <w:sz w:val="24"/>
          <w:highlight w:val="none"/>
        </w:rPr>
        <w:t>日</w:t>
      </w:r>
      <w:r>
        <w:rPr>
          <w:rFonts w:hint="eastAsia" w:ascii="宋体" w:hAnsi="宋体" w:eastAsia="宋体" w:cs="仿宋"/>
          <w:color w:val="auto"/>
          <w:sz w:val="24"/>
          <w:highlight w:val="none"/>
          <w:lang w:val="en-US" w:eastAsia="zh-CN"/>
        </w:rPr>
        <w:t>09</w:t>
      </w:r>
      <w:r>
        <w:rPr>
          <w:rFonts w:hint="eastAsia" w:ascii="宋体" w:hAnsi="宋体" w:eastAsia="宋体" w:cs="仿宋"/>
          <w:color w:val="auto"/>
          <w:sz w:val="24"/>
          <w:highlight w:val="none"/>
        </w:rPr>
        <w:t>点</w:t>
      </w:r>
      <w:r>
        <w:rPr>
          <w:rFonts w:hint="eastAsia" w:ascii="宋体" w:hAnsi="宋体" w:eastAsia="宋体" w:cs="仿宋"/>
          <w:color w:val="auto"/>
          <w:sz w:val="24"/>
          <w:highlight w:val="none"/>
          <w:lang w:val="en-US" w:eastAsia="zh-CN"/>
        </w:rPr>
        <w:t>30</w:t>
      </w:r>
      <w:r>
        <w:rPr>
          <w:rFonts w:hint="eastAsia" w:ascii="宋体" w:hAnsi="宋体" w:eastAsia="宋体" w:cs="仿宋"/>
          <w:color w:val="auto"/>
          <w:sz w:val="24"/>
          <w:highlight w:val="none"/>
        </w:rPr>
        <w:t>分（北京时间）。</w:t>
      </w:r>
    </w:p>
    <w:p w14:paraId="128FBD10">
      <w:pPr>
        <w:pStyle w:val="100"/>
        <w:numPr>
          <w:ilvl w:val="0"/>
          <w:numId w:val="14"/>
        </w:numPr>
        <w:shd w:val="clear"/>
        <w:spacing w:line="360" w:lineRule="auto"/>
        <w:ind w:left="567" w:hanging="283" w:firstLineChars="0"/>
        <w:rPr>
          <w:rFonts w:ascii="宋体" w:hAnsi="宋体" w:eastAsia="宋体" w:cs="仿宋"/>
          <w:color w:val="auto"/>
          <w:sz w:val="24"/>
          <w:highlight w:val="none"/>
        </w:rPr>
      </w:pPr>
      <w:r>
        <w:rPr>
          <w:rFonts w:ascii="宋体" w:hAnsi="宋体" w:eastAsia="宋体" w:cs="仿宋"/>
          <w:color w:val="auto"/>
          <w:sz w:val="24"/>
          <w:highlight w:val="none"/>
        </w:rPr>
        <w:t>地点：</w:t>
      </w:r>
      <w:r>
        <w:rPr>
          <w:rFonts w:ascii="宋体" w:hAnsi="宋体" w:eastAsia="宋体" w:cs="仿宋"/>
          <w:color w:val="auto"/>
          <w:sz w:val="24"/>
          <w:highlight w:val="none"/>
          <w:lang w:val="zh-TW"/>
        </w:rPr>
        <w:t>北京市</w:t>
      </w:r>
      <w:r>
        <w:rPr>
          <w:rFonts w:hint="eastAsia" w:ascii="宋体" w:hAnsi="宋体" w:eastAsia="宋体" w:cs="仿宋"/>
          <w:color w:val="auto"/>
          <w:sz w:val="24"/>
          <w:highlight w:val="none"/>
        </w:rPr>
        <w:t>海淀区</w:t>
      </w:r>
      <w:r>
        <w:rPr>
          <w:rFonts w:ascii="宋体" w:hAnsi="宋体" w:eastAsia="宋体" w:cs="仿宋"/>
          <w:color w:val="auto"/>
          <w:sz w:val="24"/>
          <w:highlight w:val="none"/>
          <w:lang w:val="zh-TW"/>
        </w:rPr>
        <w:t>海淀大街8号中钢国际广场</w:t>
      </w:r>
      <w:r>
        <w:rPr>
          <w:rFonts w:hint="eastAsia" w:ascii="宋体" w:hAnsi="宋体" w:eastAsia="宋体" w:cs="仿宋"/>
          <w:color w:val="auto"/>
          <w:sz w:val="24"/>
          <w:highlight w:val="none"/>
          <w:lang w:val="en-US" w:eastAsia="zh-CN"/>
        </w:rPr>
        <w:t>16</w:t>
      </w:r>
      <w:r>
        <w:rPr>
          <w:rFonts w:ascii="宋体" w:hAnsi="宋体" w:eastAsia="宋体" w:cs="仿宋"/>
          <w:color w:val="auto"/>
          <w:sz w:val="24"/>
          <w:highlight w:val="none"/>
          <w:lang w:val="zh-TW"/>
        </w:rPr>
        <w:t>层会议室。</w:t>
      </w:r>
    </w:p>
    <w:p w14:paraId="5414C619">
      <w:pPr>
        <w:shd w:val="clear"/>
        <w:spacing w:before="120" w:beforeLines="50" w:line="360" w:lineRule="auto"/>
        <w:outlineLvl w:val="1"/>
        <w:rPr>
          <w:rFonts w:ascii="宋体" w:hAnsi="宋体" w:eastAsia="宋体" w:cs="宋体"/>
          <w:color w:val="auto"/>
          <w:spacing w:val="-15"/>
          <w:sz w:val="24"/>
          <w:szCs w:val="24"/>
          <w:highlight w:val="none"/>
        </w:rPr>
      </w:pPr>
      <w:bookmarkStart w:id="5" w:name="_Toc154676375"/>
      <w:r>
        <w:rPr>
          <w:rFonts w:ascii="宋体" w:hAnsi="宋体" w:eastAsia="宋体" w:cs="宋体"/>
          <w:color w:val="auto"/>
          <w:spacing w:val="-15"/>
          <w:sz w:val="24"/>
          <w:szCs w:val="24"/>
          <w:highlight w:val="none"/>
        </w:rPr>
        <w:t>五、公告期限</w:t>
      </w:r>
      <w:bookmarkEnd w:id="5"/>
    </w:p>
    <w:p w14:paraId="2985708B">
      <w:pPr>
        <w:shd w:val="clear"/>
        <w:spacing w:line="360" w:lineRule="auto"/>
        <w:ind w:left="53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自</w:t>
      </w:r>
      <w:r>
        <w:rPr>
          <w:rFonts w:ascii="宋体" w:hAnsi="宋体" w:eastAsia="宋体" w:cs="宋体"/>
          <w:color w:val="auto"/>
          <w:spacing w:val="-7"/>
          <w:sz w:val="24"/>
          <w:szCs w:val="24"/>
          <w:highlight w:val="none"/>
        </w:rPr>
        <w:t xml:space="preserve">本公告发布之日起 </w:t>
      </w:r>
      <w:r>
        <w:rPr>
          <w:rFonts w:ascii="宋体" w:hAnsi="宋体" w:eastAsia="宋体"/>
          <w:color w:val="auto"/>
          <w:spacing w:val="-7"/>
          <w:sz w:val="24"/>
          <w:szCs w:val="24"/>
          <w:highlight w:val="none"/>
        </w:rPr>
        <w:t xml:space="preserve">5 </w:t>
      </w:r>
      <w:r>
        <w:rPr>
          <w:rFonts w:ascii="宋体" w:hAnsi="宋体" w:eastAsia="宋体" w:cs="宋体"/>
          <w:color w:val="auto"/>
          <w:spacing w:val="-7"/>
          <w:sz w:val="24"/>
          <w:szCs w:val="24"/>
          <w:highlight w:val="none"/>
        </w:rPr>
        <w:t>个工作日。</w:t>
      </w:r>
    </w:p>
    <w:p w14:paraId="72480B7E">
      <w:pPr>
        <w:shd w:val="clear"/>
        <w:spacing w:before="120" w:beforeLines="50" w:line="360" w:lineRule="auto"/>
        <w:outlineLvl w:val="1"/>
        <w:rPr>
          <w:rFonts w:ascii="宋体" w:hAnsi="宋体" w:eastAsia="宋体" w:cs="宋体"/>
          <w:color w:val="auto"/>
          <w:spacing w:val="-15"/>
          <w:sz w:val="24"/>
          <w:szCs w:val="24"/>
          <w:highlight w:val="none"/>
        </w:rPr>
      </w:pPr>
      <w:bookmarkStart w:id="6" w:name="_Toc154676376"/>
      <w:r>
        <w:rPr>
          <w:rFonts w:ascii="宋体" w:hAnsi="宋体" w:eastAsia="宋体" w:cs="宋体"/>
          <w:color w:val="auto"/>
          <w:spacing w:val="-15"/>
          <w:sz w:val="24"/>
          <w:szCs w:val="24"/>
          <w:highlight w:val="none"/>
        </w:rPr>
        <w:t>六、其他补充事宜</w:t>
      </w:r>
      <w:bookmarkEnd w:id="6"/>
    </w:p>
    <w:p w14:paraId="79FF4237">
      <w:pPr>
        <w:pStyle w:val="96"/>
        <w:numPr>
          <w:ilvl w:val="1"/>
          <w:numId w:val="15"/>
        </w:numPr>
        <w:shd w:val="clear"/>
        <w:tabs>
          <w:tab w:val="left" w:pos="426"/>
          <w:tab w:val="clear" w:pos="840"/>
        </w:tabs>
        <w:spacing w:line="360" w:lineRule="auto"/>
        <w:ind w:left="426"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采购项目需要落实的政府采购政策：</w:t>
      </w:r>
    </w:p>
    <w:p w14:paraId="50E5D557">
      <w:pPr>
        <w:pStyle w:val="96"/>
        <w:numPr>
          <w:ilvl w:val="0"/>
          <w:numId w:val="16"/>
        </w:numPr>
        <w:shd w:val="clear"/>
        <w:tabs>
          <w:tab w:val="left" w:pos="846"/>
        </w:tabs>
        <w:spacing w:line="360" w:lineRule="auto"/>
        <w:ind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政府采购促进中小企业发展</w:t>
      </w:r>
    </w:p>
    <w:p w14:paraId="77882BC5">
      <w:pPr>
        <w:pStyle w:val="96"/>
        <w:numPr>
          <w:ilvl w:val="0"/>
          <w:numId w:val="16"/>
        </w:numPr>
        <w:shd w:val="clear"/>
        <w:tabs>
          <w:tab w:val="left" w:pos="846"/>
        </w:tabs>
        <w:spacing w:line="360" w:lineRule="auto"/>
        <w:ind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政府采购鼓励采购节能环保产品</w:t>
      </w:r>
    </w:p>
    <w:p w14:paraId="2559AF15">
      <w:pPr>
        <w:pStyle w:val="96"/>
        <w:numPr>
          <w:ilvl w:val="0"/>
          <w:numId w:val="16"/>
        </w:numPr>
        <w:shd w:val="clear"/>
        <w:tabs>
          <w:tab w:val="left" w:pos="846"/>
        </w:tabs>
        <w:spacing w:line="360" w:lineRule="auto"/>
        <w:ind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政府采购支持监狱企业发展</w:t>
      </w:r>
    </w:p>
    <w:p w14:paraId="6A18F68E">
      <w:pPr>
        <w:pStyle w:val="96"/>
        <w:numPr>
          <w:ilvl w:val="0"/>
          <w:numId w:val="16"/>
        </w:numPr>
        <w:shd w:val="clear"/>
        <w:tabs>
          <w:tab w:val="left" w:pos="846"/>
        </w:tabs>
        <w:spacing w:line="360" w:lineRule="auto"/>
        <w:ind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政府采购扶持不发达地区和少数民族地区政策</w:t>
      </w:r>
    </w:p>
    <w:p w14:paraId="7881AEC7">
      <w:pPr>
        <w:pStyle w:val="96"/>
        <w:numPr>
          <w:ilvl w:val="0"/>
          <w:numId w:val="16"/>
        </w:numPr>
        <w:shd w:val="clear"/>
        <w:tabs>
          <w:tab w:val="left" w:pos="846"/>
        </w:tabs>
        <w:spacing w:line="360" w:lineRule="auto"/>
        <w:ind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政府采购促进残疾人就业政策</w:t>
      </w:r>
    </w:p>
    <w:p w14:paraId="12202909">
      <w:pPr>
        <w:pStyle w:val="96"/>
        <w:numPr>
          <w:ilvl w:val="1"/>
          <w:numId w:val="15"/>
        </w:numPr>
        <w:shd w:val="clear"/>
        <w:tabs>
          <w:tab w:val="left" w:pos="426"/>
          <w:tab w:val="clear" w:pos="840"/>
        </w:tabs>
        <w:spacing w:line="360" w:lineRule="auto"/>
        <w:ind w:left="426" w:firstLineChars="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本次招标公告同时在&lt;中国政府采购网&gt;（http://www.ccgp.gov.cn）、&lt;北京化工大学采购与招标办公室&gt;（http://cg.buct.edu.cn）上发布；</w:t>
      </w:r>
    </w:p>
    <w:p w14:paraId="3D49571A">
      <w:pPr>
        <w:shd w:val="clear"/>
        <w:spacing w:before="120" w:beforeLines="50" w:line="360" w:lineRule="auto"/>
        <w:outlineLvl w:val="1"/>
        <w:rPr>
          <w:rFonts w:ascii="宋体" w:hAnsi="宋体" w:eastAsia="宋体" w:cs="宋体"/>
          <w:color w:val="auto"/>
          <w:spacing w:val="-15"/>
          <w:sz w:val="24"/>
          <w:szCs w:val="24"/>
          <w:highlight w:val="none"/>
        </w:rPr>
      </w:pPr>
      <w:bookmarkStart w:id="7" w:name="_Toc154676377"/>
      <w:r>
        <w:rPr>
          <w:rFonts w:ascii="宋体" w:hAnsi="宋体" w:eastAsia="宋体" w:cs="宋体"/>
          <w:color w:val="auto"/>
          <w:spacing w:val="-15"/>
          <w:sz w:val="24"/>
          <w:szCs w:val="24"/>
          <w:highlight w:val="none"/>
        </w:rPr>
        <w:t>七、对本次招标提出询问，请按以下方式联系。</w:t>
      </w:r>
      <w:bookmarkEnd w:id="7"/>
    </w:p>
    <w:p w14:paraId="7C06253A">
      <w:pPr>
        <w:pStyle w:val="100"/>
        <w:numPr>
          <w:ilvl w:val="6"/>
          <w:numId w:val="17"/>
        </w:numPr>
        <w:shd w:val="clear"/>
        <w:tabs>
          <w:tab w:val="left" w:pos="567"/>
        </w:tabs>
        <w:spacing w:line="360" w:lineRule="auto"/>
        <w:ind w:left="709" w:firstLineChars="0"/>
        <w:outlineLvl w:val="1"/>
        <w:rPr>
          <w:rFonts w:ascii="宋体" w:hAnsi="宋体" w:eastAsia="宋体" w:cs="宋体"/>
          <w:color w:val="auto"/>
          <w:spacing w:val="-15"/>
          <w:sz w:val="24"/>
          <w:szCs w:val="24"/>
          <w:highlight w:val="none"/>
        </w:rPr>
      </w:pPr>
      <w:bookmarkStart w:id="8" w:name="_Toc154676378"/>
      <w:r>
        <w:rPr>
          <w:rFonts w:hint="eastAsia" w:ascii="宋体" w:hAnsi="宋体" w:eastAsia="宋体" w:cs="宋体"/>
          <w:color w:val="auto"/>
          <w:spacing w:val="-15"/>
          <w:sz w:val="24"/>
          <w:szCs w:val="24"/>
          <w:highlight w:val="none"/>
        </w:rPr>
        <w:t>采购人信息</w:t>
      </w:r>
      <w:bookmarkEnd w:id="8"/>
    </w:p>
    <w:p w14:paraId="25609DE3">
      <w:pPr>
        <w:shd w:val="clear"/>
        <w:spacing w:line="360" w:lineRule="auto"/>
        <w:ind w:left="567"/>
        <w:rPr>
          <w:rFonts w:ascii="宋体" w:hAnsi="宋体" w:eastAsia="宋体"/>
          <w:color w:val="auto"/>
          <w:sz w:val="24"/>
          <w:szCs w:val="24"/>
          <w:highlight w:val="none"/>
        </w:rPr>
      </w:pPr>
      <w:r>
        <w:rPr>
          <w:rFonts w:ascii="宋体" w:hAnsi="宋体" w:eastAsia="宋体" w:cs="宋体"/>
          <w:color w:val="auto"/>
          <w:spacing w:val="-15"/>
          <w:sz w:val="24"/>
          <w:szCs w:val="24"/>
          <w:highlight w:val="none"/>
        </w:rPr>
        <w:t>名</w:t>
      </w:r>
      <w:r>
        <w:rPr>
          <w:rFonts w:ascii="宋体" w:hAnsi="宋体" w:eastAsia="宋体" w:cs="宋体"/>
          <w:color w:val="auto"/>
          <w:spacing w:val="-14"/>
          <w:sz w:val="24"/>
          <w:szCs w:val="24"/>
          <w:highlight w:val="none"/>
        </w:rPr>
        <w:t xml:space="preserve">    称： </w:t>
      </w:r>
      <w:r>
        <w:rPr>
          <w:rFonts w:hint="eastAsia" w:ascii="宋体" w:hAnsi="宋体" w:eastAsia="宋体"/>
          <w:color w:val="auto"/>
          <w:sz w:val="24"/>
          <w:highlight w:val="none"/>
        </w:rPr>
        <w:t>北京化工大学</w:t>
      </w:r>
    </w:p>
    <w:p w14:paraId="0E067E09">
      <w:pPr>
        <w:shd w:val="clear"/>
        <w:spacing w:line="360" w:lineRule="auto"/>
        <w:ind w:left="567"/>
        <w:rPr>
          <w:rFonts w:ascii="宋体" w:hAnsi="宋体" w:eastAsia="宋体" w:cs="宋体"/>
          <w:color w:val="auto"/>
          <w:spacing w:val="-14"/>
          <w:sz w:val="24"/>
          <w:szCs w:val="24"/>
          <w:highlight w:val="none"/>
        </w:rPr>
      </w:pPr>
      <w:r>
        <w:rPr>
          <w:rFonts w:ascii="宋体" w:hAnsi="宋体" w:eastAsia="宋体" w:cs="宋体"/>
          <w:color w:val="auto"/>
          <w:spacing w:val="-14"/>
          <w:sz w:val="24"/>
          <w:szCs w:val="24"/>
          <w:highlight w:val="none"/>
        </w:rPr>
        <w:t>地    址：</w:t>
      </w:r>
      <w:r>
        <w:rPr>
          <w:rFonts w:hint="eastAsia" w:ascii="宋体" w:hAnsi="宋体" w:eastAsia="宋体" w:cs="宋体"/>
          <w:color w:val="auto"/>
          <w:spacing w:val="-14"/>
          <w:sz w:val="24"/>
          <w:szCs w:val="24"/>
          <w:highlight w:val="none"/>
        </w:rPr>
        <w:t xml:space="preserve"> </w:t>
      </w:r>
      <w:r>
        <w:rPr>
          <w:rFonts w:hint="eastAsia" w:ascii="宋体" w:hAnsi="宋体" w:eastAsia="宋体"/>
          <w:color w:val="auto"/>
          <w:sz w:val="24"/>
          <w:highlight w:val="none"/>
        </w:rPr>
        <w:t>北京市朝阳区北三环东路</w:t>
      </w:r>
      <w:r>
        <w:rPr>
          <w:rFonts w:ascii="宋体" w:hAnsi="宋体" w:eastAsia="宋体"/>
          <w:color w:val="auto"/>
          <w:sz w:val="24"/>
          <w:highlight w:val="none"/>
        </w:rPr>
        <w:t>15</w:t>
      </w:r>
      <w:r>
        <w:rPr>
          <w:rFonts w:hint="eastAsia" w:ascii="宋体" w:hAnsi="宋体" w:eastAsia="宋体"/>
          <w:color w:val="auto"/>
          <w:sz w:val="24"/>
          <w:highlight w:val="none"/>
        </w:rPr>
        <w:t>号</w:t>
      </w:r>
      <w:r>
        <w:rPr>
          <w:rFonts w:ascii="宋体" w:hAnsi="宋体" w:eastAsia="宋体" w:cs="宋体"/>
          <w:color w:val="auto"/>
          <w:spacing w:val="-14"/>
          <w:sz w:val="24"/>
          <w:szCs w:val="24"/>
          <w:highlight w:val="none"/>
        </w:rPr>
        <w:t xml:space="preserve"> </w:t>
      </w:r>
    </w:p>
    <w:p w14:paraId="5CD5CE7A">
      <w:pPr>
        <w:shd w:val="clear"/>
        <w:spacing w:line="360" w:lineRule="auto"/>
        <w:ind w:left="567"/>
        <w:rPr>
          <w:rFonts w:ascii="宋体" w:hAnsi="宋体" w:eastAsia="宋体" w:cs="宋体"/>
          <w:color w:val="auto"/>
          <w:spacing w:val="-24"/>
          <w:sz w:val="24"/>
          <w:szCs w:val="24"/>
          <w:highlight w:val="none"/>
        </w:rPr>
      </w:pPr>
      <w:r>
        <w:rPr>
          <w:rFonts w:hint="eastAsia" w:ascii="宋体" w:hAnsi="宋体" w:eastAsia="宋体" w:cs="宋体"/>
          <w:color w:val="auto"/>
          <w:spacing w:val="-24"/>
          <w:sz w:val="24"/>
          <w:szCs w:val="24"/>
          <w:highlight w:val="none"/>
        </w:rPr>
        <w:t>联系人：</w:t>
      </w:r>
      <w:r>
        <w:rPr>
          <w:rFonts w:hint="eastAsia" w:ascii="宋体" w:hAnsi="宋体" w:eastAsia="宋体"/>
          <w:color w:val="auto"/>
          <w:spacing w:val="-15"/>
          <w:sz w:val="24"/>
          <w:szCs w:val="24"/>
          <w:highlight w:val="none"/>
        </w:rPr>
        <w:t>曾老师</w:t>
      </w:r>
    </w:p>
    <w:p w14:paraId="3C086C4B">
      <w:pPr>
        <w:shd w:val="clear"/>
        <w:spacing w:line="360" w:lineRule="auto"/>
        <w:ind w:left="567"/>
        <w:rPr>
          <w:rFonts w:ascii="宋体" w:hAnsi="宋体" w:eastAsia="宋体"/>
          <w:color w:val="auto"/>
          <w:sz w:val="24"/>
          <w:szCs w:val="24"/>
          <w:highlight w:val="none"/>
        </w:rPr>
      </w:pPr>
      <w:r>
        <w:rPr>
          <w:rFonts w:ascii="宋体" w:hAnsi="宋体" w:eastAsia="宋体" w:cs="宋体"/>
          <w:color w:val="auto"/>
          <w:spacing w:val="-24"/>
          <w:sz w:val="24"/>
          <w:szCs w:val="24"/>
          <w:highlight w:val="none"/>
        </w:rPr>
        <w:t>联</w:t>
      </w:r>
      <w:r>
        <w:rPr>
          <w:rFonts w:ascii="宋体" w:hAnsi="宋体" w:eastAsia="宋体" w:cs="宋体"/>
          <w:color w:val="auto"/>
          <w:spacing w:val="-15"/>
          <w:sz w:val="24"/>
          <w:szCs w:val="24"/>
          <w:highlight w:val="none"/>
        </w:rPr>
        <w:t>系方式：010-64433870</w:t>
      </w:r>
    </w:p>
    <w:p w14:paraId="01E66530">
      <w:pPr>
        <w:pStyle w:val="100"/>
        <w:numPr>
          <w:ilvl w:val="6"/>
          <w:numId w:val="17"/>
        </w:numPr>
        <w:shd w:val="clear"/>
        <w:tabs>
          <w:tab w:val="left" w:pos="567"/>
        </w:tabs>
        <w:spacing w:before="120" w:beforeLines="50" w:line="360" w:lineRule="auto"/>
        <w:ind w:left="709" w:firstLineChars="0"/>
        <w:outlineLvl w:val="1"/>
        <w:rPr>
          <w:rFonts w:ascii="宋体" w:hAnsi="宋体" w:eastAsia="宋体" w:cs="宋体"/>
          <w:color w:val="auto"/>
          <w:spacing w:val="-15"/>
          <w:sz w:val="24"/>
          <w:szCs w:val="24"/>
          <w:highlight w:val="none"/>
        </w:rPr>
      </w:pPr>
      <w:bookmarkStart w:id="9" w:name="_Toc154676379"/>
      <w:r>
        <w:rPr>
          <w:rFonts w:ascii="宋体" w:hAnsi="宋体" w:eastAsia="宋体" w:cs="宋体"/>
          <w:color w:val="auto"/>
          <w:spacing w:val="-15"/>
          <w:sz w:val="24"/>
          <w:szCs w:val="24"/>
          <w:highlight w:val="none"/>
        </w:rPr>
        <w:t>采购代理机构信息</w:t>
      </w:r>
      <w:bookmarkEnd w:id="9"/>
    </w:p>
    <w:p w14:paraId="05754934">
      <w:pPr>
        <w:shd w:val="clear"/>
        <w:spacing w:line="360" w:lineRule="auto"/>
        <w:ind w:left="567"/>
        <w:rPr>
          <w:rFonts w:ascii="宋体" w:hAnsi="宋体" w:eastAsia="宋体" w:cs="宋体"/>
          <w:color w:val="auto"/>
          <w:spacing w:val="-15"/>
          <w:sz w:val="24"/>
          <w:szCs w:val="24"/>
          <w:highlight w:val="none"/>
        </w:rPr>
      </w:pPr>
      <w:r>
        <w:rPr>
          <w:rFonts w:ascii="宋体" w:hAnsi="宋体" w:eastAsia="宋体" w:cs="宋体"/>
          <w:color w:val="auto"/>
          <w:spacing w:val="-15"/>
          <w:sz w:val="24"/>
          <w:szCs w:val="24"/>
          <w:highlight w:val="none"/>
        </w:rPr>
        <w:t>名    称：</w:t>
      </w:r>
      <w:r>
        <w:rPr>
          <w:rFonts w:hint="eastAsia" w:ascii="宋体" w:hAnsi="宋体" w:eastAsia="宋体" w:cs="宋体"/>
          <w:color w:val="auto"/>
          <w:spacing w:val="-15"/>
          <w:sz w:val="24"/>
          <w:szCs w:val="24"/>
          <w:highlight w:val="none"/>
        </w:rPr>
        <w:t>中钢招标有限责任公司</w:t>
      </w:r>
    </w:p>
    <w:p w14:paraId="7B956467">
      <w:pPr>
        <w:shd w:val="clear"/>
        <w:spacing w:line="360" w:lineRule="auto"/>
        <w:ind w:left="567"/>
        <w:rPr>
          <w:rFonts w:ascii="宋体" w:hAnsi="宋体" w:eastAsia="宋体" w:cs="宋体"/>
          <w:color w:val="auto"/>
          <w:spacing w:val="-15"/>
          <w:sz w:val="24"/>
          <w:szCs w:val="24"/>
          <w:highlight w:val="none"/>
        </w:rPr>
      </w:pPr>
      <w:r>
        <w:rPr>
          <w:rFonts w:ascii="宋体" w:hAnsi="宋体" w:eastAsia="宋体" w:cs="宋体"/>
          <w:color w:val="auto"/>
          <w:spacing w:val="-15"/>
          <w:sz w:val="24"/>
          <w:szCs w:val="24"/>
          <w:highlight w:val="none"/>
        </w:rPr>
        <w:t>地    址：</w:t>
      </w:r>
      <w:r>
        <w:rPr>
          <w:rFonts w:hint="eastAsia" w:ascii="宋体" w:hAnsi="宋体" w:eastAsia="宋体" w:cs="宋体"/>
          <w:color w:val="auto"/>
          <w:spacing w:val="-15"/>
          <w:sz w:val="24"/>
          <w:szCs w:val="24"/>
          <w:highlight w:val="none"/>
        </w:rPr>
        <w:t>北京市海淀区海淀大街8号中钢国际广场16层</w:t>
      </w:r>
    </w:p>
    <w:p w14:paraId="6F220118">
      <w:pPr>
        <w:shd w:val="clear"/>
        <w:spacing w:line="360" w:lineRule="auto"/>
        <w:ind w:left="567"/>
        <w:rPr>
          <w:rFonts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联系人：宋达、马娟娟、聂娅琼</w:t>
      </w:r>
    </w:p>
    <w:p w14:paraId="0E33404D">
      <w:pPr>
        <w:shd w:val="clear"/>
        <w:spacing w:line="360" w:lineRule="auto"/>
        <w:ind w:left="567"/>
        <w:rPr>
          <w:rFonts w:ascii="宋体" w:hAnsi="宋体" w:eastAsia="宋体" w:cs="宋体"/>
          <w:color w:val="auto"/>
          <w:spacing w:val="-15"/>
          <w:sz w:val="24"/>
          <w:szCs w:val="24"/>
          <w:highlight w:val="none"/>
        </w:rPr>
      </w:pPr>
      <w:r>
        <w:rPr>
          <w:rFonts w:ascii="宋体" w:hAnsi="宋体" w:eastAsia="宋体" w:cs="宋体"/>
          <w:color w:val="auto"/>
          <w:spacing w:val="-15"/>
          <w:sz w:val="24"/>
          <w:szCs w:val="24"/>
          <w:highlight w:val="none"/>
        </w:rPr>
        <w:t>联系方式：</w:t>
      </w:r>
      <w:r>
        <w:rPr>
          <w:rFonts w:hint="eastAsia" w:ascii="宋体" w:hAnsi="宋体" w:eastAsia="宋体" w:cs="宋体"/>
          <w:color w:val="auto"/>
          <w:spacing w:val="-15"/>
          <w:sz w:val="24"/>
          <w:szCs w:val="24"/>
          <w:highlight w:val="none"/>
        </w:rPr>
        <w:t>010-62688223（获取文件、发票咨询）、010-62688242（项目问询）、songd@sstc20.com（项目问询）</w:t>
      </w:r>
    </w:p>
    <w:p w14:paraId="5487AC3B">
      <w:pPr>
        <w:pStyle w:val="100"/>
        <w:numPr>
          <w:ilvl w:val="6"/>
          <w:numId w:val="17"/>
        </w:numPr>
        <w:shd w:val="clear"/>
        <w:tabs>
          <w:tab w:val="left" w:pos="567"/>
        </w:tabs>
        <w:spacing w:before="120" w:beforeLines="50" w:line="360" w:lineRule="auto"/>
        <w:ind w:left="709" w:firstLineChars="0"/>
        <w:outlineLvl w:val="1"/>
        <w:rPr>
          <w:rFonts w:ascii="宋体" w:hAnsi="宋体" w:eastAsia="宋体" w:cs="宋体"/>
          <w:color w:val="auto"/>
          <w:spacing w:val="-15"/>
          <w:sz w:val="24"/>
          <w:szCs w:val="24"/>
          <w:highlight w:val="none"/>
        </w:rPr>
      </w:pPr>
      <w:bookmarkStart w:id="10" w:name="_Toc154676380"/>
      <w:r>
        <w:rPr>
          <w:rFonts w:ascii="宋体" w:hAnsi="宋体" w:eastAsia="宋体" w:cs="宋体"/>
          <w:color w:val="auto"/>
          <w:spacing w:val="-15"/>
          <w:sz w:val="24"/>
          <w:szCs w:val="24"/>
          <w:highlight w:val="none"/>
        </w:rPr>
        <w:t>项目联系方式</w:t>
      </w:r>
      <w:bookmarkEnd w:id="10"/>
    </w:p>
    <w:p w14:paraId="430D0CFB">
      <w:pPr>
        <w:shd w:val="clear"/>
        <w:spacing w:line="360" w:lineRule="auto"/>
        <w:ind w:left="567"/>
        <w:rPr>
          <w:rFonts w:ascii="宋体" w:hAnsi="宋体" w:eastAsia="宋体" w:cs="宋体"/>
          <w:color w:val="auto"/>
          <w:spacing w:val="-15"/>
          <w:sz w:val="24"/>
          <w:szCs w:val="24"/>
          <w:highlight w:val="none"/>
        </w:rPr>
      </w:pPr>
      <w:r>
        <w:rPr>
          <w:rFonts w:ascii="宋体" w:hAnsi="宋体" w:eastAsia="宋体" w:cs="宋体"/>
          <w:color w:val="auto"/>
          <w:spacing w:val="-15"/>
          <w:sz w:val="24"/>
          <w:szCs w:val="24"/>
          <w:highlight w:val="none"/>
        </w:rPr>
        <w:t>项目联系人：</w:t>
      </w:r>
      <w:r>
        <w:rPr>
          <w:rFonts w:hint="eastAsia" w:ascii="宋体" w:hAnsi="宋体" w:eastAsia="宋体" w:cs="宋体"/>
          <w:color w:val="auto"/>
          <w:spacing w:val="-15"/>
          <w:sz w:val="24"/>
          <w:szCs w:val="24"/>
          <w:highlight w:val="none"/>
        </w:rPr>
        <w:t>宋达、马娟娟、聂娅琼</w:t>
      </w:r>
    </w:p>
    <w:p w14:paraId="06D1192A">
      <w:pPr>
        <w:shd w:val="clear"/>
        <w:spacing w:line="360" w:lineRule="auto"/>
        <w:ind w:left="567"/>
        <w:jc w:val="right"/>
        <w:rPr>
          <w:rFonts w:hint="eastAsia" w:ascii="宋体" w:hAnsi="宋体" w:eastAsia="宋体" w:cs="宋体"/>
          <w:color w:val="auto"/>
          <w:spacing w:val="-15"/>
          <w:sz w:val="24"/>
          <w:szCs w:val="24"/>
          <w:highlight w:val="none"/>
        </w:rPr>
      </w:pPr>
      <w:r>
        <w:rPr>
          <w:rFonts w:ascii="宋体" w:hAnsi="宋体" w:eastAsia="宋体" w:cs="宋体"/>
          <w:color w:val="auto"/>
          <w:spacing w:val="-15"/>
          <w:sz w:val="24"/>
          <w:szCs w:val="24"/>
          <w:highlight w:val="none"/>
        </w:rPr>
        <w:t>电      话：</w:t>
      </w:r>
      <w:r>
        <w:rPr>
          <w:rFonts w:hint="eastAsia" w:ascii="宋体" w:hAnsi="宋体" w:eastAsia="宋体" w:cs="宋体"/>
          <w:color w:val="auto"/>
          <w:spacing w:val="-15"/>
          <w:sz w:val="24"/>
          <w:szCs w:val="24"/>
          <w:highlight w:val="none"/>
        </w:rPr>
        <w:t>010-62688223（获取文件、发票咨询）、010-62688242（项目问询）</w:t>
      </w:r>
    </w:p>
    <w:p w14:paraId="72648E11">
      <w:pPr>
        <w:shd w:val="clear"/>
        <w:spacing w:line="360" w:lineRule="auto"/>
        <w:ind w:left="567"/>
        <w:jc w:val="right"/>
        <w:rPr>
          <w:rFonts w:hint="eastAsia" w:ascii="宋体" w:hAnsi="宋体" w:eastAsia="宋体" w:cs="宋体"/>
          <w:color w:val="auto"/>
          <w:spacing w:val="-15"/>
          <w:sz w:val="24"/>
          <w:szCs w:val="24"/>
          <w:highlight w:val="none"/>
        </w:rPr>
      </w:pPr>
    </w:p>
    <w:p w14:paraId="5C93D758">
      <w:pPr>
        <w:shd w:val="clear"/>
        <w:spacing w:line="360" w:lineRule="auto"/>
        <w:ind w:left="567"/>
        <w:jc w:val="right"/>
        <w:rPr>
          <w:rFonts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中钢招标有限责任公司</w:t>
      </w:r>
    </w:p>
    <w:p w14:paraId="5CA8364D">
      <w:pPr>
        <w:jc w:val="right"/>
        <w:rPr>
          <w:rFonts w:hint="default" w:eastAsia="宋体"/>
          <w:lang w:val="en-US" w:eastAsia="zh-CN"/>
        </w:rPr>
      </w:pPr>
      <w:r>
        <w:rPr>
          <w:rFonts w:hint="eastAsia" w:eastAsia="宋体"/>
          <w:lang w:val="en-US" w:eastAsia="zh-CN"/>
        </w:rPr>
        <w:t>2025年3月13日</w:t>
      </w:r>
    </w:p>
    <w:sectPr>
      <w:headerReference r:id="rId3" w:type="default"/>
      <w:footerReference r:id="rId4" w:type="default"/>
      <w:pgSz w:w="11907" w:h="16840"/>
      <w:pgMar w:top="1440" w:right="1797" w:bottom="1440" w:left="1797" w:header="879" w:footer="88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Leelawadee UI">
    <w:panose1 w:val="020B0502040204020203"/>
    <w:charset w:val="00"/>
    <w:family w:val="swiss"/>
    <w:pitch w:val="default"/>
    <w:sig w:usb0="83000003" w:usb1="00000000" w:usb2="00010000" w:usb3="00000001" w:csb0="00010101"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561076"/>
    </w:sdtPr>
    <w:sdtContent>
      <w:p w14:paraId="6CC82A47">
        <w:pPr>
          <w:pStyle w:val="56"/>
          <w:jc w:val="center"/>
        </w:pPr>
        <w:r>
          <w:fldChar w:fldCharType="begin"/>
        </w:r>
        <w:r>
          <w:instrText xml:space="preserve">PAGE   \* MERGEFORMAT</w:instrText>
        </w:r>
        <w:r>
          <w:fldChar w:fldCharType="separate"/>
        </w:r>
        <w:r>
          <w:rPr>
            <w:lang w:val="zh-CN"/>
          </w:rPr>
          <w:t>151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646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8"/>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7"/>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47"/>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42"/>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10">
    <w:nsid w:val="0A465B73"/>
    <w:multiLevelType w:val="multilevel"/>
    <w:tmpl w:val="0A465B73"/>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1">
    <w:nsid w:val="18A23215"/>
    <w:multiLevelType w:val="multilevel"/>
    <w:tmpl w:val="18A23215"/>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2">
    <w:nsid w:val="1D9C286A"/>
    <w:multiLevelType w:val="multilevel"/>
    <w:tmpl w:val="1D9C286A"/>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3">
    <w:nsid w:val="46E156C6"/>
    <w:multiLevelType w:val="multilevel"/>
    <w:tmpl w:val="46E156C6"/>
    <w:lvl w:ilvl="0" w:tentative="0">
      <w:start w:val="1"/>
      <w:numFmt w:val="chineseCountingThousand"/>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2484E89"/>
    <w:multiLevelType w:val="multilevel"/>
    <w:tmpl w:val="52484E89"/>
    <w:lvl w:ilvl="0" w:tentative="0">
      <w:start w:val="1"/>
      <w:numFmt w:val="decimal"/>
      <w:lvlText w:val="%1)"/>
      <w:lvlJc w:val="left"/>
      <w:pPr>
        <w:ind w:left="846" w:hanging="420"/>
      </w:pPr>
    </w:lvl>
    <w:lvl w:ilvl="1" w:tentative="0">
      <w:start w:val="1"/>
      <w:numFmt w:val="decimal"/>
      <w:lvlText w:val="(%2)"/>
      <w:lvlJc w:val="left"/>
      <w:pPr>
        <w:ind w:left="1626" w:hanging="780"/>
      </w:pPr>
      <w:rPr>
        <w:rFonts w:hint="default"/>
      </w:rPr>
    </w:lvl>
    <w:lvl w:ilvl="2" w:tentative="0">
      <w:start w:val="1"/>
      <w:numFmt w:val="japaneseCounting"/>
      <w:lvlText w:val="（%3）"/>
      <w:lvlJc w:val="left"/>
      <w:pPr>
        <w:ind w:left="1986" w:hanging="720"/>
      </w:pPr>
      <w:rPr>
        <w:rFonts w:hint="default"/>
      </w:rPr>
    </w:lvl>
    <w:lvl w:ilvl="3" w:tentative="0">
      <w:start w:val="2"/>
      <w:numFmt w:val="decimal"/>
      <w:lvlText w:val="%4、"/>
      <w:lvlJc w:val="left"/>
      <w:pPr>
        <w:ind w:left="2196" w:hanging="510"/>
      </w:pPr>
      <w:rPr>
        <w:rFonts w:hint="default"/>
      </w:r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5">
    <w:nsid w:val="68137F4E"/>
    <w:multiLevelType w:val="multilevel"/>
    <w:tmpl w:val="68137F4E"/>
    <w:lvl w:ilvl="0" w:tentative="0">
      <w:start w:val="1"/>
      <w:numFmt w:val="decimal"/>
      <w:lvlText w:val="%1."/>
      <w:lvlJc w:val="left"/>
      <w:pPr>
        <w:ind w:left="866" w:hanging="440"/>
      </w:p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6">
    <w:nsid w:val="69B221A3"/>
    <w:multiLevelType w:val="multilevel"/>
    <w:tmpl w:val="69B221A3"/>
    <w:lvl w:ilvl="0" w:tentative="0">
      <w:start w:val="1"/>
      <w:numFmt w:val="decimal"/>
      <w:lvlText w:val="%1."/>
      <w:lvlJc w:val="left"/>
      <w:pPr>
        <w:ind w:left="723" w:hanging="440"/>
      </w:pPr>
    </w:lvl>
    <w:lvl w:ilvl="1" w:tentative="0">
      <w:start w:val="1"/>
      <w:numFmt w:val="decimal"/>
      <w:lvlText w:val="%2、"/>
      <w:lvlJc w:val="left"/>
      <w:pPr>
        <w:ind w:left="1123" w:hanging="400"/>
      </w:pPr>
      <w:rPr>
        <w:rFonts w:hint="default" w:cs="Arial"/>
      </w:r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1"/>
  </w:num>
  <w:num w:numId="12">
    <w:abstractNumId w:val="10"/>
  </w:num>
  <w:num w:numId="13">
    <w:abstractNumId w:val="16"/>
  </w:num>
  <w:num w:numId="14">
    <w:abstractNumId w:val="12"/>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480"/>
    <w:rsid w:val="0001541B"/>
    <w:rsid w:val="000756DB"/>
    <w:rsid w:val="000C7A59"/>
    <w:rsid w:val="000D5F2F"/>
    <w:rsid w:val="0014061A"/>
    <w:rsid w:val="0019617C"/>
    <w:rsid w:val="00202385"/>
    <w:rsid w:val="00327F15"/>
    <w:rsid w:val="003361E2"/>
    <w:rsid w:val="003762A0"/>
    <w:rsid w:val="003A2068"/>
    <w:rsid w:val="003D3422"/>
    <w:rsid w:val="0043111F"/>
    <w:rsid w:val="00435434"/>
    <w:rsid w:val="00462F7B"/>
    <w:rsid w:val="004877D9"/>
    <w:rsid w:val="005263A6"/>
    <w:rsid w:val="005704B9"/>
    <w:rsid w:val="00587C3E"/>
    <w:rsid w:val="00611CB2"/>
    <w:rsid w:val="00617C59"/>
    <w:rsid w:val="00655089"/>
    <w:rsid w:val="00672BF4"/>
    <w:rsid w:val="007548A2"/>
    <w:rsid w:val="007D4AB1"/>
    <w:rsid w:val="007E0E4B"/>
    <w:rsid w:val="00801FC2"/>
    <w:rsid w:val="00807480"/>
    <w:rsid w:val="00833933"/>
    <w:rsid w:val="0084771A"/>
    <w:rsid w:val="008E6DEF"/>
    <w:rsid w:val="00902D2F"/>
    <w:rsid w:val="009165E8"/>
    <w:rsid w:val="0095712A"/>
    <w:rsid w:val="00A64451"/>
    <w:rsid w:val="00A662F8"/>
    <w:rsid w:val="00A870D0"/>
    <w:rsid w:val="00AA6B73"/>
    <w:rsid w:val="00B05974"/>
    <w:rsid w:val="00BE3449"/>
    <w:rsid w:val="00C50F5D"/>
    <w:rsid w:val="00C52E7C"/>
    <w:rsid w:val="00C63A36"/>
    <w:rsid w:val="00CC0257"/>
    <w:rsid w:val="00D326D4"/>
    <w:rsid w:val="00D73E15"/>
    <w:rsid w:val="00DA7700"/>
    <w:rsid w:val="00DB4F49"/>
    <w:rsid w:val="00E06EC2"/>
    <w:rsid w:val="00E50694"/>
    <w:rsid w:val="00E65BB5"/>
    <w:rsid w:val="00EF270E"/>
    <w:rsid w:val="00EF2D0D"/>
    <w:rsid w:val="00F274C8"/>
    <w:rsid w:val="00F97772"/>
    <w:rsid w:val="00FF712D"/>
    <w:rsid w:val="01E01F75"/>
    <w:rsid w:val="03710AF1"/>
    <w:rsid w:val="046E75D8"/>
    <w:rsid w:val="053A2118"/>
    <w:rsid w:val="0F655282"/>
    <w:rsid w:val="14BA0A56"/>
    <w:rsid w:val="198A53E8"/>
    <w:rsid w:val="1B272E92"/>
    <w:rsid w:val="1BAF74BB"/>
    <w:rsid w:val="1DF63C75"/>
    <w:rsid w:val="20D73188"/>
    <w:rsid w:val="25FB32EE"/>
    <w:rsid w:val="264A2583"/>
    <w:rsid w:val="298A43B5"/>
    <w:rsid w:val="2A4E339E"/>
    <w:rsid w:val="2CAB47C4"/>
    <w:rsid w:val="2DE22A5D"/>
    <w:rsid w:val="2FF9698F"/>
    <w:rsid w:val="305A72B1"/>
    <w:rsid w:val="33612A1D"/>
    <w:rsid w:val="38A9000B"/>
    <w:rsid w:val="39C35A75"/>
    <w:rsid w:val="3CFB3C74"/>
    <w:rsid w:val="3FE24272"/>
    <w:rsid w:val="3FEA0A0C"/>
    <w:rsid w:val="42957E81"/>
    <w:rsid w:val="44901EC7"/>
    <w:rsid w:val="4A77571B"/>
    <w:rsid w:val="4C775BBB"/>
    <w:rsid w:val="51357FD7"/>
    <w:rsid w:val="51556929"/>
    <w:rsid w:val="51BC6B4A"/>
    <w:rsid w:val="54A86D6F"/>
    <w:rsid w:val="5A8347C4"/>
    <w:rsid w:val="5DF90F26"/>
    <w:rsid w:val="650838DB"/>
    <w:rsid w:val="68295FC1"/>
    <w:rsid w:val="692C1F97"/>
    <w:rsid w:val="6D3605E8"/>
    <w:rsid w:val="6E874347"/>
    <w:rsid w:val="70A87480"/>
    <w:rsid w:val="73776E55"/>
    <w:rsid w:val="7CAC4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iPriority="0" w:semiHidden="0" w:name="Body Text 2"/>
    <w:lsdException w:qFormat="1" w:uiPriority="0" w:semiHidden="0" w:name="Body Text 3"/>
    <w:lsdException w:qFormat="1" w:uiPriority="0" w:semiHidden="0" w:name="Body Text Indent 2"/>
    <w:lsdException w:qFormat="1" w:unhideWhenUsed="0" w:uiPriority="0" w:semiHidden="0" w:name="Body Text Indent 3"/>
    <w:lsdException w:qFormat="1" w:uiPriority="99"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link w:val="118"/>
    <w:qFormat/>
    <w:uiPriority w:val="9"/>
    <w:pPr>
      <w:keepNext/>
      <w:keepLines/>
      <w:spacing w:before="240" w:after="120" w:line="300" w:lineRule="auto"/>
      <w:jc w:val="center"/>
      <w:outlineLvl w:val="0"/>
    </w:pPr>
    <w:rPr>
      <w:rFonts w:ascii="宋体"/>
      <w:b/>
      <w:kern w:val="44"/>
      <w:sz w:val="32"/>
      <w:szCs w:val="20"/>
    </w:rPr>
  </w:style>
  <w:style w:type="paragraph" w:styleId="4">
    <w:name w:val="heading 2"/>
    <w:basedOn w:val="1"/>
    <w:next w:val="1"/>
    <w:link w:val="119"/>
    <w:qFormat/>
    <w:uiPriority w:val="9"/>
    <w:pPr>
      <w:keepNext/>
      <w:keepLines/>
      <w:spacing w:before="120" w:line="300" w:lineRule="auto"/>
      <w:jc w:val="center"/>
      <w:outlineLvl w:val="1"/>
    </w:pPr>
    <w:rPr>
      <w:rFonts w:eastAsia="黑体"/>
      <w:b/>
      <w:sz w:val="30"/>
      <w:szCs w:val="20"/>
    </w:rPr>
  </w:style>
  <w:style w:type="paragraph" w:styleId="5">
    <w:name w:val="heading 3"/>
    <w:basedOn w:val="1"/>
    <w:next w:val="1"/>
    <w:link w:val="120"/>
    <w:unhideWhenUsed/>
    <w:qFormat/>
    <w:uiPriority w:val="0"/>
    <w:pPr>
      <w:keepNext/>
      <w:keepLines/>
      <w:spacing w:before="260" w:after="260" w:line="413" w:lineRule="auto"/>
      <w:outlineLvl w:val="2"/>
    </w:pPr>
    <w:rPr>
      <w:b/>
      <w:sz w:val="32"/>
    </w:rPr>
  </w:style>
  <w:style w:type="paragraph" w:styleId="6">
    <w:name w:val="heading 4"/>
    <w:basedOn w:val="1"/>
    <w:next w:val="1"/>
    <w:link w:val="12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26"/>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127"/>
    <w:unhideWhenUsed/>
    <w:qFormat/>
    <w:uiPriority w:val="0"/>
    <w:pPr>
      <w:keepNext/>
      <w:keepLines/>
      <w:spacing w:before="240" w:after="64" w:line="320" w:lineRule="auto"/>
      <w:outlineLvl w:val="5"/>
    </w:pPr>
    <w:rPr>
      <w:rFonts w:asciiTheme="majorHAnsi" w:hAnsiTheme="majorHAnsi" w:eastAsiaTheme="majorEastAsia" w:cstheme="majorBidi"/>
      <w:b/>
      <w:bCs/>
      <w:sz w:val="24"/>
      <w:szCs w:val="24"/>
    </w:rPr>
  </w:style>
  <w:style w:type="paragraph" w:styleId="9">
    <w:name w:val="heading 7"/>
    <w:basedOn w:val="1"/>
    <w:next w:val="1"/>
    <w:link w:val="128"/>
    <w:unhideWhenUsed/>
    <w:qFormat/>
    <w:uiPriority w:val="0"/>
    <w:pPr>
      <w:keepNext/>
      <w:keepLines/>
      <w:spacing w:before="240" w:after="64" w:line="320" w:lineRule="auto"/>
      <w:outlineLvl w:val="6"/>
    </w:pPr>
    <w:rPr>
      <w:b/>
      <w:bCs/>
      <w:sz w:val="24"/>
      <w:szCs w:val="24"/>
    </w:rPr>
  </w:style>
  <w:style w:type="paragraph" w:styleId="10">
    <w:name w:val="heading 8"/>
    <w:basedOn w:val="1"/>
    <w:next w:val="1"/>
    <w:link w:val="129"/>
    <w:unhideWhenUsed/>
    <w:qFormat/>
    <w:uiPriority w:val="0"/>
    <w:pPr>
      <w:keepNext/>
      <w:keepLines/>
      <w:spacing w:before="240" w:after="64" w:line="320" w:lineRule="auto"/>
      <w:outlineLvl w:val="7"/>
    </w:pPr>
    <w:rPr>
      <w:rFonts w:asciiTheme="majorHAnsi" w:hAnsiTheme="majorHAnsi" w:eastAsiaTheme="majorEastAsia" w:cstheme="majorBidi"/>
      <w:sz w:val="24"/>
      <w:szCs w:val="24"/>
    </w:rPr>
  </w:style>
  <w:style w:type="paragraph" w:styleId="11">
    <w:name w:val="heading 9"/>
    <w:basedOn w:val="1"/>
    <w:next w:val="1"/>
    <w:link w:val="130"/>
    <w:unhideWhenUsed/>
    <w:qFormat/>
    <w:uiPriority w:val="0"/>
    <w:pPr>
      <w:keepNext/>
      <w:keepLines/>
      <w:spacing w:before="240" w:after="64" w:line="320" w:lineRule="auto"/>
      <w:outlineLvl w:val="8"/>
    </w:pPr>
    <w:rPr>
      <w:rFonts w:asciiTheme="majorHAnsi" w:hAnsiTheme="majorHAnsi" w:eastAsiaTheme="majorEastAsia" w:cstheme="majorBidi"/>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34"/>
    <w:qFormat/>
    <w:uiPriority w:val="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textAlignment w:val="baseline"/>
    </w:pPr>
    <w:rPr>
      <w:rFonts w:ascii="Courier New" w:hAnsi="Courier New" w:eastAsia="宋体" w:cs="Courier New"/>
      <w:snapToGrid w:val="0"/>
      <w:color w:val="000000"/>
      <w:sz w:val="24"/>
      <w:szCs w:val="24"/>
      <w:lang w:val="en-US" w:eastAsia="zh-CN" w:bidi="ar-SA"/>
    </w:rPr>
  </w:style>
  <w:style w:type="paragraph" w:styleId="12">
    <w:name w:val="List 3"/>
    <w:basedOn w:val="1"/>
    <w:qFormat/>
    <w:uiPriority w:val="0"/>
    <w:pPr>
      <w:ind w:left="100" w:leftChars="400" w:hanging="200" w:hangingChars="200"/>
      <w:contextualSpacing/>
    </w:pPr>
  </w:style>
  <w:style w:type="paragraph" w:styleId="13">
    <w:name w:val="toc 7"/>
    <w:basedOn w:val="1"/>
    <w:next w:val="1"/>
    <w:unhideWhenUsed/>
    <w:qFormat/>
    <w:uiPriority w:val="39"/>
    <w:pPr>
      <w:widowControl w:val="0"/>
      <w:kinsoku/>
      <w:autoSpaceDE/>
      <w:autoSpaceDN/>
      <w:adjustRightInd/>
      <w:snapToGrid/>
      <w:ind w:left="2520" w:leftChars="1200"/>
      <w:jc w:val="both"/>
      <w:textAlignment w:val="auto"/>
    </w:pPr>
    <w:rPr>
      <w:rFonts w:asciiTheme="minorHAnsi" w:hAnsiTheme="minorHAnsi" w:eastAsiaTheme="minorEastAsia" w:cstheme="minorBidi"/>
      <w:color w:val="auto"/>
      <w:kern w:val="2"/>
      <w:szCs w:val="22"/>
    </w:rPr>
  </w:style>
  <w:style w:type="paragraph" w:styleId="14">
    <w:name w:val="List Number 2"/>
    <w:basedOn w:val="1"/>
    <w:qFormat/>
    <w:uiPriority w:val="0"/>
    <w:pPr>
      <w:numPr>
        <w:ilvl w:val="0"/>
        <w:numId w:val="1"/>
      </w:numPr>
      <w:contextualSpacing/>
    </w:pPr>
  </w:style>
  <w:style w:type="paragraph" w:styleId="15">
    <w:name w:val="table of authorities"/>
    <w:basedOn w:val="1"/>
    <w:next w:val="1"/>
    <w:qFormat/>
    <w:uiPriority w:val="0"/>
    <w:pPr>
      <w:ind w:left="420" w:leftChars="200"/>
    </w:pPr>
  </w:style>
  <w:style w:type="paragraph" w:styleId="16">
    <w:name w:val="Note Heading"/>
    <w:basedOn w:val="1"/>
    <w:next w:val="1"/>
    <w:link w:val="150"/>
    <w:qFormat/>
    <w:uiPriority w:val="0"/>
    <w:pPr>
      <w:jc w:val="center"/>
    </w:pPr>
  </w:style>
  <w:style w:type="paragraph" w:styleId="17">
    <w:name w:val="List Bullet 4"/>
    <w:basedOn w:val="1"/>
    <w:qFormat/>
    <w:uiPriority w:val="0"/>
    <w:pPr>
      <w:numPr>
        <w:ilvl w:val="0"/>
        <w:numId w:val="2"/>
      </w:numPr>
      <w:contextualSpacing/>
    </w:pPr>
  </w:style>
  <w:style w:type="paragraph" w:styleId="18">
    <w:name w:val="index 8"/>
    <w:basedOn w:val="1"/>
    <w:next w:val="1"/>
    <w:qFormat/>
    <w:uiPriority w:val="0"/>
    <w:pPr>
      <w:ind w:left="1400" w:leftChars="1400"/>
    </w:pPr>
  </w:style>
  <w:style w:type="paragraph" w:styleId="19">
    <w:name w:val="E-mail Signature"/>
    <w:basedOn w:val="1"/>
    <w:link w:val="132"/>
    <w:qFormat/>
    <w:uiPriority w:val="0"/>
  </w:style>
  <w:style w:type="paragraph" w:styleId="20">
    <w:name w:val="List Number"/>
    <w:basedOn w:val="1"/>
    <w:qFormat/>
    <w:uiPriority w:val="0"/>
    <w:pPr>
      <w:numPr>
        <w:ilvl w:val="0"/>
        <w:numId w:val="3"/>
      </w:numPr>
      <w:contextualSpacing/>
    </w:pPr>
  </w:style>
  <w:style w:type="paragraph" w:styleId="21">
    <w:name w:val="Normal Indent"/>
    <w:basedOn w:val="1"/>
    <w:qFormat/>
    <w:uiPriority w:val="0"/>
    <w:pPr>
      <w:ind w:firstLine="420"/>
    </w:pPr>
    <w:rPr>
      <w:rFonts w:ascii="宋体"/>
      <w:sz w:val="24"/>
      <w:szCs w:val="20"/>
    </w:rPr>
  </w:style>
  <w:style w:type="paragraph" w:styleId="22">
    <w:name w:val="caption"/>
    <w:basedOn w:val="1"/>
    <w:next w:val="1"/>
    <w:unhideWhenUsed/>
    <w:qFormat/>
    <w:uiPriority w:val="0"/>
    <w:rPr>
      <w:rFonts w:eastAsia="黑体" w:asciiTheme="majorHAnsi" w:hAnsiTheme="majorHAnsi" w:cstheme="majorBidi"/>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contextualSpacing/>
    </w:pPr>
  </w:style>
  <w:style w:type="paragraph" w:styleId="25">
    <w:name w:val="envelope address"/>
    <w:basedOn w:val="1"/>
    <w:qFormat/>
    <w:uiPriority w:val="0"/>
    <w:pPr>
      <w:framePr w:w="7920" w:h="1980" w:hRule="exact" w:hSpace="180" w:wrap="around" w:vAnchor="margin" w:hAnchor="page" w:xAlign="center" w:yAlign="bottom"/>
      <w:ind w:left="100" w:leftChars="1400"/>
    </w:pPr>
    <w:rPr>
      <w:rFonts w:asciiTheme="majorHAnsi" w:hAnsiTheme="majorHAnsi" w:eastAsiaTheme="majorEastAsia" w:cstheme="majorBidi"/>
      <w:sz w:val="24"/>
      <w:szCs w:val="24"/>
    </w:rPr>
  </w:style>
  <w:style w:type="paragraph" w:styleId="26">
    <w:name w:val="Document Map"/>
    <w:basedOn w:val="1"/>
    <w:link w:val="142"/>
    <w:qFormat/>
    <w:uiPriority w:val="0"/>
    <w:rPr>
      <w:rFonts w:ascii="Microsoft YaHei UI" w:eastAsia="Microsoft YaHei UI"/>
      <w:sz w:val="18"/>
      <w:szCs w:val="18"/>
    </w:rPr>
  </w:style>
  <w:style w:type="paragraph" w:styleId="27">
    <w:name w:val="toa heading"/>
    <w:basedOn w:val="1"/>
    <w:next w:val="1"/>
    <w:qFormat/>
    <w:uiPriority w:val="0"/>
    <w:pPr>
      <w:spacing w:before="120"/>
    </w:pPr>
    <w:rPr>
      <w:rFonts w:asciiTheme="majorHAnsi" w:hAnsiTheme="majorHAnsi" w:eastAsiaTheme="majorEastAsia" w:cstheme="majorBidi"/>
      <w:sz w:val="24"/>
      <w:szCs w:val="24"/>
    </w:rPr>
  </w:style>
  <w:style w:type="paragraph" w:styleId="28">
    <w:name w:val="annotation text"/>
    <w:basedOn w:val="1"/>
    <w:link w:val="104"/>
    <w:qFormat/>
    <w:uiPriority w:val="99"/>
  </w:style>
  <w:style w:type="paragraph" w:styleId="29">
    <w:name w:val="index 6"/>
    <w:basedOn w:val="1"/>
    <w:next w:val="1"/>
    <w:qFormat/>
    <w:uiPriority w:val="0"/>
    <w:pPr>
      <w:ind w:left="1000" w:leftChars="1000"/>
    </w:pPr>
  </w:style>
  <w:style w:type="paragraph" w:styleId="30">
    <w:name w:val="Salutation"/>
    <w:basedOn w:val="1"/>
    <w:next w:val="1"/>
    <w:link w:val="131"/>
    <w:qFormat/>
    <w:uiPriority w:val="0"/>
  </w:style>
  <w:style w:type="paragraph" w:styleId="31">
    <w:name w:val="Body Text 3"/>
    <w:basedOn w:val="1"/>
    <w:unhideWhenUsed/>
    <w:qFormat/>
    <w:uiPriority w:val="0"/>
    <w:pPr>
      <w:spacing w:after="120"/>
    </w:pPr>
    <w:rPr>
      <w:sz w:val="16"/>
      <w:szCs w:val="16"/>
    </w:rPr>
  </w:style>
  <w:style w:type="paragraph" w:styleId="32">
    <w:name w:val="Closing"/>
    <w:basedOn w:val="1"/>
    <w:link w:val="136"/>
    <w:qFormat/>
    <w:uiPriority w:val="0"/>
    <w:pPr>
      <w:ind w:left="100" w:leftChars="2100"/>
    </w:pPr>
  </w:style>
  <w:style w:type="paragraph" w:styleId="33">
    <w:name w:val="List Bullet 3"/>
    <w:basedOn w:val="1"/>
    <w:qFormat/>
    <w:uiPriority w:val="0"/>
    <w:pPr>
      <w:numPr>
        <w:ilvl w:val="0"/>
        <w:numId w:val="5"/>
      </w:numPr>
      <w:contextualSpacing/>
    </w:pPr>
  </w:style>
  <w:style w:type="paragraph" w:styleId="34">
    <w:name w:val="Body Text"/>
    <w:basedOn w:val="1"/>
    <w:next w:val="35"/>
    <w:link w:val="108"/>
    <w:qFormat/>
    <w:uiPriority w:val="0"/>
    <w:pPr>
      <w:widowControl w:val="0"/>
      <w:tabs>
        <w:tab w:val="left" w:pos="567"/>
      </w:tabs>
      <w:kinsoku/>
      <w:autoSpaceDE/>
      <w:autoSpaceDN/>
      <w:adjustRightInd/>
      <w:snapToGrid/>
      <w:spacing w:before="120" w:line="22" w:lineRule="atLeast"/>
      <w:jc w:val="both"/>
      <w:textAlignment w:val="auto"/>
    </w:pPr>
    <w:rPr>
      <w:rFonts w:ascii="宋体" w:hAnsi="宋体" w:eastAsia="宋体" w:cs="Times New Roman"/>
      <w:color w:val="auto"/>
      <w:kern w:val="2"/>
      <w:sz w:val="24"/>
      <w:szCs w:val="24"/>
    </w:rPr>
  </w:style>
  <w:style w:type="paragraph" w:styleId="35">
    <w:name w:val="toc 9"/>
    <w:basedOn w:val="1"/>
    <w:next w:val="1"/>
    <w:qFormat/>
    <w:uiPriority w:val="39"/>
    <w:pPr>
      <w:ind w:left="3360" w:leftChars="1600"/>
    </w:pPr>
  </w:style>
  <w:style w:type="paragraph" w:styleId="36">
    <w:name w:val="Body Text Indent"/>
    <w:basedOn w:val="1"/>
    <w:link w:val="148"/>
    <w:qFormat/>
    <w:uiPriority w:val="0"/>
    <w:pPr>
      <w:spacing w:after="120"/>
      <w:ind w:left="420" w:leftChars="200"/>
    </w:pPr>
  </w:style>
  <w:style w:type="paragraph" w:styleId="37">
    <w:name w:val="List Number 3"/>
    <w:basedOn w:val="1"/>
    <w:qFormat/>
    <w:uiPriority w:val="0"/>
    <w:pPr>
      <w:numPr>
        <w:ilvl w:val="0"/>
        <w:numId w:val="6"/>
      </w:numPr>
      <w:contextualSpacing/>
    </w:pPr>
  </w:style>
  <w:style w:type="paragraph" w:styleId="38">
    <w:name w:val="List 2"/>
    <w:basedOn w:val="1"/>
    <w:qFormat/>
    <w:uiPriority w:val="0"/>
    <w:pPr>
      <w:ind w:left="100" w:leftChars="200" w:hanging="200" w:hangingChars="200"/>
    </w:pPr>
    <w:rPr>
      <w:sz w:val="28"/>
      <w:szCs w:val="20"/>
    </w:rPr>
  </w:style>
  <w:style w:type="paragraph" w:styleId="39">
    <w:name w:val="List Continue"/>
    <w:basedOn w:val="1"/>
    <w:qFormat/>
    <w:uiPriority w:val="0"/>
    <w:pPr>
      <w:spacing w:after="120"/>
      <w:ind w:left="420" w:leftChars="200"/>
      <w:contextualSpacing/>
    </w:pPr>
  </w:style>
  <w:style w:type="paragraph" w:styleId="40">
    <w:name w:val="Block Text"/>
    <w:basedOn w:val="1"/>
    <w:next w:val="41"/>
    <w:unhideWhenUsed/>
    <w:qFormat/>
    <w:uiPriority w:val="9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ind w:left="240" w:right="-1005"/>
    </w:pPr>
    <w:rPr>
      <w:rFonts w:ascii="MingLiU" w:hAnsi="MingLiU" w:eastAsia="MingLiU"/>
      <w:sz w:val="20"/>
      <w:szCs w:val="20"/>
    </w:rPr>
  </w:style>
  <w:style w:type="paragraph" w:styleId="41">
    <w:name w:val="Plain Text"/>
    <w:basedOn w:val="1"/>
    <w:link w:val="107"/>
    <w:qFormat/>
    <w:uiPriority w:val="0"/>
    <w:rPr>
      <w:rFonts w:ascii="宋体" w:hAnsi="Courier New"/>
      <w:szCs w:val="20"/>
    </w:rPr>
  </w:style>
  <w:style w:type="paragraph" w:styleId="42">
    <w:name w:val="List Bullet 2"/>
    <w:basedOn w:val="1"/>
    <w:qFormat/>
    <w:uiPriority w:val="0"/>
    <w:pPr>
      <w:numPr>
        <w:ilvl w:val="0"/>
        <w:numId w:val="7"/>
      </w:numPr>
      <w:contextualSpacing/>
    </w:pPr>
  </w:style>
  <w:style w:type="paragraph" w:styleId="43">
    <w:name w:val="HTML Address"/>
    <w:basedOn w:val="1"/>
    <w:link w:val="121"/>
    <w:qFormat/>
    <w:uiPriority w:val="0"/>
    <w:rPr>
      <w:i/>
      <w:iCs/>
    </w:rPr>
  </w:style>
  <w:style w:type="paragraph" w:styleId="44">
    <w:name w:val="index 4"/>
    <w:basedOn w:val="1"/>
    <w:next w:val="1"/>
    <w:qFormat/>
    <w:uiPriority w:val="0"/>
    <w:pPr>
      <w:ind w:left="600" w:leftChars="600"/>
    </w:pPr>
  </w:style>
  <w:style w:type="paragraph" w:styleId="45">
    <w:name w:val="toc 5"/>
    <w:basedOn w:val="1"/>
    <w:next w:val="1"/>
    <w:unhideWhenUsed/>
    <w:qFormat/>
    <w:uiPriority w:val="39"/>
    <w:pPr>
      <w:widowControl w:val="0"/>
      <w:kinsoku/>
      <w:autoSpaceDE/>
      <w:autoSpaceDN/>
      <w:adjustRightInd/>
      <w:snapToGrid/>
      <w:ind w:left="1680" w:leftChars="800"/>
      <w:jc w:val="both"/>
      <w:textAlignment w:val="auto"/>
    </w:pPr>
    <w:rPr>
      <w:rFonts w:asciiTheme="minorHAnsi" w:hAnsiTheme="minorHAnsi" w:eastAsiaTheme="minorEastAsia" w:cstheme="minorBidi"/>
      <w:color w:val="auto"/>
      <w:kern w:val="2"/>
      <w:szCs w:val="22"/>
    </w:rPr>
  </w:style>
  <w:style w:type="paragraph" w:styleId="46">
    <w:name w:val="toc 3"/>
    <w:basedOn w:val="1"/>
    <w:next w:val="1"/>
    <w:unhideWhenUsed/>
    <w:qFormat/>
    <w:uiPriority w:val="39"/>
    <w:pPr>
      <w:kinsoku/>
      <w:autoSpaceDE/>
      <w:autoSpaceDN/>
      <w:adjustRightInd/>
      <w:snapToGrid/>
      <w:spacing w:after="100" w:line="259" w:lineRule="auto"/>
      <w:ind w:left="440"/>
      <w:textAlignment w:val="auto"/>
    </w:pPr>
    <w:rPr>
      <w:rFonts w:cs="Times New Roman" w:asciiTheme="minorHAnsi" w:hAnsiTheme="minorHAnsi" w:eastAsiaTheme="minorEastAsia"/>
      <w:color w:val="auto"/>
      <w:sz w:val="22"/>
      <w:szCs w:val="22"/>
    </w:rPr>
  </w:style>
  <w:style w:type="paragraph" w:styleId="47">
    <w:name w:val="List Bullet 5"/>
    <w:basedOn w:val="1"/>
    <w:qFormat/>
    <w:uiPriority w:val="0"/>
    <w:pPr>
      <w:numPr>
        <w:ilvl w:val="0"/>
        <w:numId w:val="8"/>
      </w:numPr>
      <w:contextualSpacing/>
    </w:pPr>
  </w:style>
  <w:style w:type="paragraph" w:styleId="48">
    <w:name w:val="List Number 4"/>
    <w:basedOn w:val="1"/>
    <w:qFormat/>
    <w:uiPriority w:val="0"/>
    <w:pPr>
      <w:numPr>
        <w:ilvl w:val="0"/>
        <w:numId w:val="9"/>
      </w:numPr>
      <w:contextualSpacing/>
    </w:pPr>
  </w:style>
  <w:style w:type="paragraph" w:styleId="49">
    <w:name w:val="toc 8"/>
    <w:basedOn w:val="1"/>
    <w:next w:val="1"/>
    <w:unhideWhenUsed/>
    <w:qFormat/>
    <w:uiPriority w:val="39"/>
    <w:pPr>
      <w:widowControl w:val="0"/>
      <w:kinsoku/>
      <w:autoSpaceDE/>
      <w:autoSpaceDN/>
      <w:adjustRightInd/>
      <w:snapToGrid/>
      <w:ind w:left="2940" w:leftChars="1400"/>
      <w:jc w:val="both"/>
      <w:textAlignment w:val="auto"/>
    </w:pPr>
    <w:rPr>
      <w:rFonts w:asciiTheme="minorHAnsi" w:hAnsiTheme="minorHAnsi" w:eastAsiaTheme="minorEastAsia" w:cstheme="minorBidi"/>
      <w:color w:val="auto"/>
      <w:kern w:val="2"/>
      <w:szCs w:val="22"/>
    </w:rPr>
  </w:style>
  <w:style w:type="paragraph" w:styleId="50">
    <w:name w:val="index 3"/>
    <w:basedOn w:val="1"/>
    <w:next w:val="1"/>
    <w:qFormat/>
    <w:uiPriority w:val="0"/>
    <w:pPr>
      <w:ind w:left="400" w:leftChars="400"/>
    </w:pPr>
  </w:style>
  <w:style w:type="paragraph" w:styleId="51">
    <w:name w:val="Date"/>
    <w:basedOn w:val="1"/>
    <w:next w:val="1"/>
    <w:link w:val="140"/>
    <w:qFormat/>
    <w:uiPriority w:val="0"/>
    <w:pPr>
      <w:ind w:left="100" w:leftChars="2500"/>
    </w:pPr>
  </w:style>
  <w:style w:type="paragraph" w:styleId="52">
    <w:name w:val="Body Text Indent 2"/>
    <w:basedOn w:val="1"/>
    <w:unhideWhenUsed/>
    <w:qFormat/>
    <w:uiPriority w:val="0"/>
    <w:pPr>
      <w:spacing w:after="120" w:line="480" w:lineRule="auto"/>
      <w:ind w:left="420" w:leftChars="200"/>
    </w:pPr>
    <w:rPr>
      <w:rFonts w:ascii="宋体"/>
      <w:sz w:val="24"/>
    </w:rPr>
  </w:style>
  <w:style w:type="paragraph" w:styleId="53">
    <w:name w:val="endnote text"/>
    <w:basedOn w:val="1"/>
    <w:link w:val="109"/>
    <w:qFormat/>
    <w:uiPriority w:val="0"/>
  </w:style>
  <w:style w:type="paragraph" w:styleId="54">
    <w:name w:val="List Continue 5"/>
    <w:basedOn w:val="1"/>
    <w:qFormat/>
    <w:uiPriority w:val="0"/>
    <w:pPr>
      <w:spacing w:after="120"/>
      <w:ind w:left="2100" w:leftChars="1000"/>
      <w:contextualSpacing/>
    </w:pPr>
  </w:style>
  <w:style w:type="paragraph" w:styleId="55">
    <w:name w:val="Balloon Text"/>
    <w:basedOn w:val="1"/>
    <w:link w:val="101"/>
    <w:qFormat/>
    <w:uiPriority w:val="0"/>
    <w:rPr>
      <w:sz w:val="18"/>
      <w:szCs w:val="18"/>
    </w:rPr>
  </w:style>
  <w:style w:type="paragraph" w:styleId="56">
    <w:name w:val="footer"/>
    <w:basedOn w:val="1"/>
    <w:link w:val="114"/>
    <w:qFormat/>
    <w:uiPriority w:val="99"/>
    <w:pPr>
      <w:tabs>
        <w:tab w:val="center" w:pos="4153"/>
        <w:tab w:val="right" w:pos="8306"/>
      </w:tabs>
    </w:pPr>
    <w:rPr>
      <w:sz w:val="18"/>
    </w:rPr>
  </w:style>
  <w:style w:type="paragraph" w:styleId="57">
    <w:name w:val="envelope return"/>
    <w:basedOn w:val="1"/>
    <w:qFormat/>
    <w:uiPriority w:val="0"/>
    <w:rPr>
      <w:rFonts w:asciiTheme="majorHAnsi" w:hAnsiTheme="majorHAnsi" w:eastAsiaTheme="majorEastAsia" w:cstheme="majorBidi"/>
    </w:rPr>
  </w:style>
  <w:style w:type="paragraph" w:styleId="5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9">
    <w:name w:val="Signature"/>
    <w:basedOn w:val="1"/>
    <w:link w:val="139"/>
    <w:qFormat/>
    <w:uiPriority w:val="0"/>
    <w:pPr>
      <w:ind w:left="100" w:leftChars="2100"/>
    </w:pPr>
  </w:style>
  <w:style w:type="paragraph" w:styleId="60">
    <w:name w:val="toc 1"/>
    <w:basedOn w:val="1"/>
    <w:next w:val="1"/>
    <w:unhideWhenUsed/>
    <w:qFormat/>
    <w:uiPriority w:val="39"/>
    <w:pPr>
      <w:tabs>
        <w:tab w:val="right" w:leader="dot" w:pos="8303"/>
      </w:tabs>
      <w:kinsoku/>
      <w:autoSpaceDE/>
      <w:autoSpaceDN/>
      <w:adjustRightInd/>
      <w:snapToGrid/>
      <w:spacing w:after="100" w:line="360" w:lineRule="auto"/>
      <w:textAlignment w:val="auto"/>
    </w:pPr>
    <w:rPr>
      <w:rFonts w:cs="Times New Roman" w:asciiTheme="minorHAnsi" w:hAnsiTheme="minorHAnsi" w:eastAsiaTheme="minorEastAsia"/>
      <w:color w:val="auto"/>
      <w:sz w:val="22"/>
      <w:szCs w:val="22"/>
    </w:rPr>
  </w:style>
  <w:style w:type="paragraph" w:styleId="61">
    <w:name w:val="List Continue 4"/>
    <w:basedOn w:val="1"/>
    <w:qFormat/>
    <w:uiPriority w:val="0"/>
    <w:pPr>
      <w:spacing w:after="120"/>
      <w:ind w:left="1680" w:leftChars="800"/>
      <w:contextualSpacing/>
    </w:pPr>
  </w:style>
  <w:style w:type="paragraph" w:styleId="62">
    <w:name w:val="toc 4"/>
    <w:basedOn w:val="1"/>
    <w:next w:val="1"/>
    <w:unhideWhenUsed/>
    <w:qFormat/>
    <w:uiPriority w:val="39"/>
    <w:pPr>
      <w:widowControl w:val="0"/>
      <w:kinsoku/>
      <w:autoSpaceDE/>
      <w:autoSpaceDN/>
      <w:adjustRightInd/>
      <w:snapToGrid/>
      <w:ind w:left="1260" w:leftChars="600"/>
      <w:jc w:val="both"/>
      <w:textAlignment w:val="auto"/>
    </w:pPr>
    <w:rPr>
      <w:rFonts w:asciiTheme="minorHAnsi" w:hAnsiTheme="minorHAnsi" w:eastAsiaTheme="minorEastAsia" w:cstheme="minorBidi"/>
      <w:color w:val="auto"/>
      <w:kern w:val="2"/>
      <w:szCs w:val="22"/>
    </w:rPr>
  </w:style>
  <w:style w:type="paragraph" w:styleId="63">
    <w:name w:val="index heading"/>
    <w:basedOn w:val="1"/>
    <w:next w:val="64"/>
    <w:qFormat/>
    <w:uiPriority w:val="0"/>
    <w:rPr>
      <w:rFonts w:asciiTheme="majorHAnsi" w:hAnsiTheme="majorHAnsi" w:eastAsiaTheme="majorEastAsia" w:cstheme="majorBidi"/>
      <w:b/>
      <w:bCs/>
    </w:rPr>
  </w:style>
  <w:style w:type="paragraph" w:styleId="64">
    <w:name w:val="index 1"/>
    <w:basedOn w:val="1"/>
    <w:next w:val="1"/>
    <w:qFormat/>
    <w:uiPriority w:val="0"/>
  </w:style>
  <w:style w:type="paragraph" w:styleId="65">
    <w:name w:val="Subtitle"/>
    <w:basedOn w:val="1"/>
    <w:next w:val="1"/>
    <w:link w:val="133"/>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66">
    <w:name w:val="List Number 5"/>
    <w:basedOn w:val="1"/>
    <w:qFormat/>
    <w:uiPriority w:val="0"/>
    <w:pPr>
      <w:numPr>
        <w:ilvl w:val="0"/>
        <w:numId w:val="10"/>
      </w:numPr>
      <w:contextualSpacing/>
    </w:pPr>
  </w:style>
  <w:style w:type="paragraph" w:styleId="67">
    <w:name w:val="List"/>
    <w:basedOn w:val="1"/>
    <w:qFormat/>
    <w:uiPriority w:val="0"/>
    <w:pPr>
      <w:ind w:left="200" w:hanging="200" w:hangingChars="200"/>
      <w:contextualSpacing/>
    </w:pPr>
  </w:style>
  <w:style w:type="paragraph" w:styleId="68">
    <w:name w:val="footnote text"/>
    <w:basedOn w:val="1"/>
    <w:link w:val="135"/>
    <w:qFormat/>
    <w:uiPriority w:val="0"/>
    <w:rPr>
      <w:sz w:val="18"/>
      <w:szCs w:val="18"/>
    </w:rPr>
  </w:style>
  <w:style w:type="paragraph" w:styleId="69">
    <w:name w:val="toc 6"/>
    <w:basedOn w:val="1"/>
    <w:next w:val="1"/>
    <w:unhideWhenUsed/>
    <w:qFormat/>
    <w:uiPriority w:val="39"/>
    <w:pPr>
      <w:widowControl w:val="0"/>
      <w:kinsoku/>
      <w:autoSpaceDE/>
      <w:autoSpaceDN/>
      <w:adjustRightInd/>
      <w:snapToGrid/>
      <w:ind w:left="2100" w:leftChars="1000"/>
      <w:jc w:val="both"/>
      <w:textAlignment w:val="auto"/>
    </w:pPr>
    <w:rPr>
      <w:rFonts w:asciiTheme="minorHAnsi" w:hAnsiTheme="minorHAnsi" w:eastAsiaTheme="minorEastAsia" w:cstheme="minorBidi"/>
      <w:color w:val="auto"/>
      <w:kern w:val="2"/>
      <w:szCs w:val="22"/>
    </w:rPr>
  </w:style>
  <w:style w:type="paragraph" w:styleId="70">
    <w:name w:val="List 5"/>
    <w:basedOn w:val="1"/>
    <w:qFormat/>
    <w:uiPriority w:val="0"/>
    <w:pPr>
      <w:ind w:left="100" w:leftChars="800" w:hanging="200" w:hangingChars="200"/>
      <w:contextualSpacing/>
    </w:pPr>
  </w:style>
  <w:style w:type="paragraph" w:styleId="71">
    <w:name w:val="Body Text Indent 3"/>
    <w:basedOn w:val="1"/>
    <w:qFormat/>
    <w:uiPriority w:val="0"/>
    <w:pPr>
      <w:spacing w:before="120" w:line="22" w:lineRule="atLeast"/>
      <w:ind w:left="720" w:firstLine="480"/>
    </w:pPr>
    <w:rPr>
      <w:rFonts w:ascii="宋体"/>
      <w:sz w:val="24"/>
      <w:szCs w:val="20"/>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unhideWhenUsed/>
    <w:qFormat/>
    <w:uiPriority w:val="39"/>
    <w:pPr>
      <w:kinsoku/>
      <w:autoSpaceDE/>
      <w:autoSpaceDN/>
      <w:adjustRightInd/>
      <w:snapToGrid/>
      <w:spacing w:after="100" w:line="259" w:lineRule="auto"/>
      <w:ind w:left="220"/>
      <w:textAlignment w:val="auto"/>
    </w:pPr>
    <w:rPr>
      <w:rFonts w:cs="Times New Roman" w:asciiTheme="minorHAnsi" w:hAnsiTheme="minorHAnsi" w:eastAsiaTheme="minorEastAsia"/>
      <w:color w:val="auto"/>
      <w:sz w:val="22"/>
      <w:szCs w:val="22"/>
    </w:rPr>
  </w:style>
  <w:style w:type="paragraph" w:styleId="76">
    <w:name w:val="Body Text 2"/>
    <w:basedOn w:val="1"/>
    <w:unhideWhenUsed/>
    <w:qFormat/>
    <w:uiPriority w:val="0"/>
    <w:pPr>
      <w:spacing w:after="120" w:line="480" w:lineRule="auto"/>
    </w:pPr>
    <w:rPr>
      <w:sz w:val="24"/>
    </w:rPr>
  </w:style>
  <w:style w:type="paragraph" w:styleId="77">
    <w:name w:val="List 4"/>
    <w:basedOn w:val="1"/>
    <w:qFormat/>
    <w:uiPriority w:val="0"/>
    <w:pPr>
      <w:ind w:left="100" w:leftChars="600" w:hanging="200" w:hangingChars="200"/>
      <w:contextualSpacing/>
    </w:pPr>
  </w:style>
  <w:style w:type="paragraph" w:styleId="78">
    <w:name w:val="List Continue 2"/>
    <w:basedOn w:val="1"/>
    <w:qFormat/>
    <w:uiPriority w:val="0"/>
    <w:pPr>
      <w:spacing w:after="120"/>
      <w:ind w:left="840" w:leftChars="400"/>
      <w:contextualSpacing/>
    </w:pPr>
  </w:style>
  <w:style w:type="paragraph" w:styleId="79">
    <w:name w:val="Message Header"/>
    <w:basedOn w:val="1"/>
    <w:link w:val="144"/>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zCs w:val="24"/>
    </w:rPr>
  </w:style>
  <w:style w:type="paragraph" w:styleId="80">
    <w:name w:val="HTML Preformatted"/>
    <w:basedOn w:val="1"/>
    <w:link w:val="122"/>
    <w:qFormat/>
    <w:uiPriority w:val="0"/>
    <w:rPr>
      <w:rFonts w:ascii="Courier New" w:hAnsi="Courier New" w:cs="Courier New"/>
      <w:sz w:val="20"/>
      <w:szCs w:val="20"/>
    </w:rPr>
  </w:style>
  <w:style w:type="paragraph" w:styleId="81">
    <w:name w:val="Normal (Web)"/>
    <w:basedOn w:val="1"/>
    <w:unhideWhenUsed/>
    <w:qFormat/>
    <w:uiPriority w:val="99"/>
    <w:pPr>
      <w:kinsoku/>
      <w:autoSpaceDE/>
      <w:autoSpaceDN/>
      <w:adjustRightInd/>
      <w:snapToGrid/>
      <w:spacing w:before="100" w:beforeAutospacing="1" w:after="100" w:afterAutospacing="1"/>
      <w:textAlignment w:val="auto"/>
    </w:pPr>
    <w:rPr>
      <w:rFonts w:ascii="宋体" w:hAnsi="宋体" w:eastAsia="宋体" w:cs="宋体"/>
      <w:color w:val="auto"/>
      <w:sz w:val="24"/>
      <w:szCs w:val="24"/>
    </w:rPr>
  </w:style>
  <w:style w:type="paragraph" w:styleId="82">
    <w:name w:val="List Continue 3"/>
    <w:basedOn w:val="1"/>
    <w:qFormat/>
    <w:uiPriority w:val="0"/>
    <w:pPr>
      <w:spacing w:after="120"/>
      <w:ind w:left="1260" w:leftChars="600"/>
      <w:contextualSpacing/>
    </w:pPr>
  </w:style>
  <w:style w:type="paragraph" w:styleId="83">
    <w:name w:val="index 2"/>
    <w:basedOn w:val="1"/>
    <w:next w:val="1"/>
    <w:qFormat/>
    <w:uiPriority w:val="0"/>
    <w:pPr>
      <w:ind w:left="200" w:leftChars="200"/>
    </w:pPr>
  </w:style>
  <w:style w:type="paragraph" w:styleId="84">
    <w:name w:val="Title"/>
    <w:basedOn w:val="1"/>
    <w:next w:val="1"/>
    <w:link w:val="124"/>
    <w:qFormat/>
    <w:uiPriority w:val="0"/>
    <w:pPr>
      <w:spacing w:before="240" w:after="60"/>
      <w:jc w:val="center"/>
      <w:outlineLvl w:val="0"/>
    </w:pPr>
    <w:rPr>
      <w:rFonts w:asciiTheme="majorHAnsi" w:hAnsiTheme="majorHAnsi" w:eastAsiaTheme="majorEastAsia" w:cstheme="majorBidi"/>
      <w:b/>
      <w:bCs/>
      <w:sz w:val="32"/>
      <w:szCs w:val="32"/>
    </w:rPr>
  </w:style>
  <w:style w:type="paragraph" w:styleId="85">
    <w:name w:val="annotation subject"/>
    <w:basedOn w:val="28"/>
    <w:next w:val="28"/>
    <w:link w:val="105"/>
    <w:qFormat/>
    <w:uiPriority w:val="0"/>
    <w:rPr>
      <w:b/>
      <w:bCs/>
    </w:rPr>
  </w:style>
  <w:style w:type="paragraph" w:styleId="86">
    <w:name w:val="Body Text First Indent"/>
    <w:basedOn w:val="34"/>
    <w:link w:val="147"/>
    <w:qFormat/>
    <w:uiPriority w:val="0"/>
    <w:pPr>
      <w:widowControl/>
      <w:kinsoku w:val="0"/>
      <w:autoSpaceDE w:val="0"/>
      <w:autoSpaceDN w:val="0"/>
      <w:adjustRightInd w:val="0"/>
      <w:snapToGrid w:val="0"/>
      <w:spacing w:before="0" w:after="120" w:line="240" w:lineRule="auto"/>
      <w:ind w:firstLine="420" w:firstLineChars="100"/>
      <w:jc w:val="left"/>
      <w:textAlignment w:val="baseline"/>
    </w:pPr>
    <w:rPr>
      <w:rFonts w:ascii="Arial" w:hAnsi="Arial" w:eastAsia="Arial" w:cs="Arial"/>
      <w:color w:val="000000"/>
      <w:kern w:val="0"/>
      <w:sz w:val="21"/>
      <w:szCs w:val="21"/>
    </w:rPr>
  </w:style>
  <w:style w:type="paragraph" w:styleId="87">
    <w:name w:val="Body Text First Indent 2"/>
    <w:basedOn w:val="36"/>
    <w:link w:val="149"/>
    <w:qFormat/>
    <w:uiPriority w:val="0"/>
    <w:pPr>
      <w:ind w:firstLine="420" w:firstLineChars="200"/>
    </w:pPr>
  </w:style>
  <w:style w:type="table" w:styleId="89">
    <w:name w:val="Table Grid"/>
    <w:basedOn w:val="88"/>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endnote reference"/>
    <w:basedOn w:val="90"/>
    <w:qFormat/>
    <w:uiPriority w:val="0"/>
    <w:rPr>
      <w:vertAlign w:val="superscript"/>
    </w:rPr>
  </w:style>
  <w:style w:type="character" w:styleId="92">
    <w:name w:val="page number"/>
    <w:qFormat/>
    <w:uiPriority w:val="99"/>
  </w:style>
  <w:style w:type="character" w:styleId="93">
    <w:name w:val="Hyperlink"/>
    <w:basedOn w:val="90"/>
    <w:unhideWhenUsed/>
    <w:qFormat/>
    <w:uiPriority w:val="99"/>
    <w:rPr>
      <w:color w:val="0000FF" w:themeColor="hyperlink"/>
      <w:u w:val="single"/>
      <w14:textFill>
        <w14:solidFill>
          <w14:schemeClr w14:val="hlink"/>
        </w14:solidFill>
      </w14:textFill>
    </w:rPr>
  </w:style>
  <w:style w:type="character" w:styleId="94">
    <w:name w:val="annotation reference"/>
    <w:basedOn w:val="90"/>
    <w:qFormat/>
    <w:uiPriority w:val="99"/>
    <w:rPr>
      <w:sz w:val="21"/>
      <w:szCs w:val="21"/>
    </w:rPr>
  </w:style>
  <w:style w:type="table" w:customStyle="1" w:styleId="95">
    <w:name w:val="Table Normal"/>
    <w:unhideWhenUsed/>
    <w:qFormat/>
    <w:uiPriority w:val="0"/>
    <w:tblPr>
      <w:tblCellMar>
        <w:top w:w="0" w:type="dxa"/>
        <w:left w:w="0" w:type="dxa"/>
        <w:bottom w:w="0" w:type="dxa"/>
        <w:right w:w="0" w:type="dxa"/>
      </w:tblCellMar>
    </w:tblPr>
  </w:style>
  <w:style w:type="paragraph" w:customStyle="1" w:styleId="96">
    <w:name w:val="List Paragraph3"/>
    <w:basedOn w:val="1"/>
    <w:qFormat/>
    <w:uiPriority w:val="34"/>
    <w:pPr>
      <w:ind w:firstLine="420" w:firstLineChars="200"/>
    </w:pPr>
    <w:rPr>
      <w:szCs w:val="20"/>
    </w:rPr>
  </w:style>
  <w:style w:type="paragraph" w:customStyle="1" w:styleId="97">
    <w:name w:val="列出段落1"/>
    <w:basedOn w:val="1"/>
    <w:qFormat/>
    <w:uiPriority w:val="34"/>
    <w:pPr>
      <w:ind w:firstLine="420" w:firstLineChars="200"/>
    </w:pPr>
    <w:rPr>
      <w:rFonts w:ascii="Calibri" w:hAnsi="Calibri"/>
      <w:szCs w:val="22"/>
    </w:rPr>
  </w:style>
  <w:style w:type="table" w:customStyle="1" w:styleId="98">
    <w:name w:val="网格型3"/>
    <w:basedOn w:val="88"/>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样式2"/>
    <w:basedOn w:val="1"/>
    <w:link w:val="111"/>
    <w:qFormat/>
    <w:uiPriority w:val="0"/>
    <w:pPr>
      <w:spacing w:line="300" w:lineRule="auto"/>
      <w:jc w:val="center"/>
      <w:outlineLvl w:val="0"/>
    </w:pPr>
    <w:rPr>
      <w:b/>
      <w:sz w:val="24"/>
    </w:rPr>
  </w:style>
  <w:style w:type="paragraph" w:customStyle="1" w:styleId="100">
    <w:name w:val="列表段落1"/>
    <w:basedOn w:val="1"/>
    <w:link w:val="103"/>
    <w:qFormat/>
    <w:uiPriority w:val="34"/>
    <w:pPr>
      <w:ind w:firstLine="420" w:firstLineChars="200"/>
    </w:pPr>
  </w:style>
  <w:style w:type="character" w:customStyle="1" w:styleId="101">
    <w:name w:val="批注框文本 字符"/>
    <w:basedOn w:val="90"/>
    <w:link w:val="55"/>
    <w:qFormat/>
    <w:uiPriority w:val="0"/>
    <w:rPr>
      <w:rFonts w:eastAsia="Arial"/>
      <w:snapToGrid w:val="0"/>
      <w:color w:val="000000"/>
      <w:sz w:val="18"/>
      <w:szCs w:val="18"/>
    </w:rPr>
  </w:style>
  <w:style w:type="paragraph" w:customStyle="1" w:styleId="102">
    <w:name w:val="修订1"/>
    <w:hidden/>
    <w:unhideWhenUsed/>
    <w:qFormat/>
    <w:uiPriority w:val="99"/>
    <w:rPr>
      <w:rFonts w:ascii="Arial" w:hAnsi="Arial" w:eastAsia="Arial" w:cs="Arial"/>
      <w:snapToGrid w:val="0"/>
      <w:color w:val="000000"/>
      <w:sz w:val="21"/>
      <w:szCs w:val="21"/>
      <w:lang w:val="en-US" w:eastAsia="zh-CN" w:bidi="ar-SA"/>
    </w:rPr>
  </w:style>
  <w:style w:type="character" w:customStyle="1" w:styleId="103">
    <w:name w:val="列表段落 字符"/>
    <w:link w:val="100"/>
    <w:qFormat/>
    <w:uiPriority w:val="34"/>
    <w:rPr>
      <w:rFonts w:eastAsia="Arial"/>
      <w:snapToGrid w:val="0"/>
      <w:color w:val="000000"/>
      <w:sz w:val="21"/>
      <w:szCs w:val="21"/>
    </w:rPr>
  </w:style>
  <w:style w:type="character" w:customStyle="1" w:styleId="104">
    <w:name w:val="批注文字 字符"/>
    <w:basedOn w:val="90"/>
    <w:link w:val="28"/>
    <w:qFormat/>
    <w:uiPriority w:val="99"/>
    <w:rPr>
      <w:rFonts w:eastAsia="Arial"/>
      <w:snapToGrid w:val="0"/>
      <w:color w:val="000000"/>
      <w:sz w:val="21"/>
      <w:szCs w:val="21"/>
    </w:rPr>
  </w:style>
  <w:style w:type="character" w:customStyle="1" w:styleId="105">
    <w:name w:val="批注主题 字符"/>
    <w:basedOn w:val="104"/>
    <w:link w:val="85"/>
    <w:qFormat/>
    <w:uiPriority w:val="0"/>
    <w:rPr>
      <w:rFonts w:eastAsia="Arial"/>
      <w:b/>
      <w:bCs/>
      <w:snapToGrid w:val="0"/>
      <w:color w:val="000000"/>
      <w:sz w:val="21"/>
      <w:szCs w:val="21"/>
    </w:rPr>
  </w:style>
  <w:style w:type="character" w:customStyle="1" w:styleId="106">
    <w:name w:val="批注文字 字符1"/>
    <w:qFormat/>
    <w:uiPriority w:val="99"/>
    <w:rPr>
      <w:kern w:val="2"/>
      <w:sz w:val="21"/>
      <w:szCs w:val="24"/>
    </w:rPr>
  </w:style>
  <w:style w:type="character" w:customStyle="1" w:styleId="107">
    <w:name w:val="纯文本 字符"/>
    <w:link w:val="41"/>
    <w:qFormat/>
    <w:uiPriority w:val="0"/>
    <w:rPr>
      <w:rFonts w:ascii="宋体" w:hAnsi="Courier New" w:eastAsia="Arial"/>
      <w:snapToGrid w:val="0"/>
      <w:color w:val="000000"/>
      <w:sz w:val="21"/>
    </w:rPr>
  </w:style>
  <w:style w:type="character" w:customStyle="1" w:styleId="108">
    <w:name w:val="正文文本 字符"/>
    <w:basedOn w:val="90"/>
    <w:link w:val="34"/>
    <w:qFormat/>
    <w:uiPriority w:val="0"/>
    <w:rPr>
      <w:rFonts w:ascii="宋体" w:hAnsi="宋体" w:eastAsia="宋体" w:cs="Times New Roman"/>
      <w:kern w:val="2"/>
      <w:sz w:val="24"/>
      <w:szCs w:val="24"/>
    </w:rPr>
  </w:style>
  <w:style w:type="character" w:customStyle="1" w:styleId="109">
    <w:name w:val="尾注文本 字符"/>
    <w:basedOn w:val="90"/>
    <w:link w:val="53"/>
    <w:qFormat/>
    <w:uiPriority w:val="0"/>
    <w:rPr>
      <w:rFonts w:eastAsia="Arial"/>
      <w:snapToGrid w:val="0"/>
      <w:color w:val="000000"/>
      <w:sz w:val="21"/>
      <w:szCs w:val="21"/>
    </w:rPr>
  </w:style>
  <w:style w:type="paragraph" w:customStyle="1" w:styleId="110">
    <w:name w:val="Table Text"/>
    <w:basedOn w:val="1"/>
    <w:semiHidden/>
    <w:qFormat/>
    <w:uiPriority w:val="0"/>
    <w:rPr>
      <w:lang w:eastAsia="en-US"/>
    </w:rPr>
  </w:style>
  <w:style w:type="character" w:customStyle="1" w:styleId="111">
    <w:name w:val="样式2 字符"/>
    <w:link w:val="99"/>
    <w:qFormat/>
    <w:locked/>
    <w:uiPriority w:val="0"/>
    <w:rPr>
      <w:rFonts w:eastAsia="Arial"/>
      <w:b/>
      <w:snapToGrid w:val="0"/>
      <w:color w:val="000000"/>
      <w:sz w:val="24"/>
      <w:szCs w:val="21"/>
    </w:rPr>
  </w:style>
  <w:style w:type="paragraph" w:customStyle="1" w:styleId="112">
    <w:name w:val="TOC 标题1"/>
    <w:basedOn w:val="3"/>
    <w:next w:val="1"/>
    <w:unhideWhenUsed/>
    <w:qFormat/>
    <w:uiPriority w:val="39"/>
    <w:pPr>
      <w:kinsoku/>
      <w:autoSpaceDE/>
      <w:autoSpaceDN/>
      <w:adjustRightInd/>
      <w:snapToGrid/>
      <w:spacing w:after="0" w:line="259" w:lineRule="auto"/>
      <w:jc w:val="left"/>
      <w:textAlignment w:val="auto"/>
      <w:outlineLvl w:val="9"/>
    </w:pPr>
    <w:rPr>
      <w:rFonts w:asciiTheme="majorHAnsi" w:hAnsiTheme="majorHAnsi" w:eastAsiaTheme="majorEastAsia" w:cstheme="majorBidi"/>
      <w:b w:val="0"/>
      <w:color w:val="376092" w:themeColor="accent1" w:themeShade="BF"/>
      <w:kern w:val="0"/>
      <w:szCs w:val="32"/>
    </w:rPr>
  </w:style>
  <w:style w:type="character" w:customStyle="1" w:styleId="113">
    <w:name w:val="未处理的提及1"/>
    <w:basedOn w:val="90"/>
    <w:unhideWhenUsed/>
    <w:qFormat/>
    <w:uiPriority w:val="99"/>
    <w:rPr>
      <w:color w:val="605E5C"/>
      <w:shd w:val="clear" w:color="auto" w:fill="E1DFDD"/>
    </w:rPr>
  </w:style>
  <w:style w:type="character" w:customStyle="1" w:styleId="114">
    <w:name w:val="页脚 字符"/>
    <w:basedOn w:val="90"/>
    <w:link w:val="56"/>
    <w:qFormat/>
    <w:uiPriority w:val="99"/>
    <w:rPr>
      <w:rFonts w:eastAsia="Arial"/>
      <w:snapToGrid w:val="0"/>
      <w:color w:val="000000"/>
      <w:sz w:val="18"/>
      <w:szCs w:val="21"/>
    </w:rPr>
  </w:style>
  <w:style w:type="paragraph" w:customStyle="1" w:styleId="115">
    <w:name w:val="修订2"/>
    <w:hidden/>
    <w:unhideWhenUsed/>
    <w:qFormat/>
    <w:uiPriority w:val="99"/>
    <w:rPr>
      <w:rFonts w:ascii="Arial" w:hAnsi="Arial" w:eastAsia="Arial" w:cs="Arial"/>
      <w:snapToGrid w:val="0"/>
      <w:color w:val="000000"/>
      <w:sz w:val="21"/>
      <w:szCs w:val="21"/>
      <w:lang w:val="en-US" w:eastAsia="zh-CN" w:bidi="ar-SA"/>
    </w:rPr>
  </w:style>
  <w:style w:type="paragraph" w:customStyle="1" w:styleId="116">
    <w:name w:val="Table Paragraph"/>
    <w:basedOn w:val="1"/>
    <w:qFormat/>
    <w:uiPriority w:val="1"/>
    <w:pPr>
      <w:jc w:val="center"/>
    </w:pPr>
    <w:rPr>
      <w:rFonts w:ascii="宋体" w:hAnsi="宋体" w:cs="宋体"/>
      <w:sz w:val="22"/>
      <w:lang w:eastAsia="en-US"/>
    </w:rPr>
  </w:style>
  <w:style w:type="table" w:customStyle="1" w:styleId="117">
    <w:name w:val="Table Normal1"/>
    <w:qFormat/>
    <w:uiPriority w:val="2"/>
    <w:rPr>
      <w:rFonts w:eastAsia="Times New Roman"/>
    </w:rPr>
    <w:tblPr>
      <w:tblCellMar>
        <w:top w:w="0" w:type="dxa"/>
        <w:left w:w="0" w:type="dxa"/>
        <w:bottom w:w="0" w:type="dxa"/>
        <w:right w:w="0" w:type="dxa"/>
      </w:tblCellMar>
    </w:tblPr>
  </w:style>
  <w:style w:type="character" w:customStyle="1" w:styleId="118">
    <w:name w:val="标题 1 字符"/>
    <w:link w:val="3"/>
    <w:qFormat/>
    <w:uiPriority w:val="9"/>
    <w:rPr>
      <w:rFonts w:ascii="宋体"/>
      <w:b/>
      <w:kern w:val="44"/>
      <w:sz w:val="32"/>
      <w:szCs w:val="20"/>
    </w:rPr>
  </w:style>
  <w:style w:type="character" w:customStyle="1" w:styleId="119">
    <w:name w:val="标题 2 字符"/>
    <w:link w:val="4"/>
    <w:qFormat/>
    <w:uiPriority w:val="9"/>
    <w:rPr>
      <w:rFonts w:eastAsia="黑体"/>
      <w:b/>
      <w:sz w:val="30"/>
      <w:szCs w:val="20"/>
    </w:rPr>
  </w:style>
  <w:style w:type="character" w:customStyle="1" w:styleId="120">
    <w:name w:val="标题 3 字符"/>
    <w:link w:val="5"/>
    <w:qFormat/>
    <w:uiPriority w:val="0"/>
    <w:rPr>
      <w:b/>
      <w:sz w:val="32"/>
    </w:rPr>
  </w:style>
  <w:style w:type="character" w:customStyle="1" w:styleId="121">
    <w:name w:val="HTML 地址 字符"/>
    <w:basedOn w:val="90"/>
    <w:link w:val="43"/>
    <w:qFormat/>
    <w:uiPriority w:val="0"/>
    <w:rPr>
      <w:rFonts w:eastAsia="Arial"/>
      <w:i/>
      <w:iCs/>
      <w:snapToGrid w:val="0"/>
      <w:color w:val="000000"/>
      <w:sz w:val="21"/>
      <w:szCs w:val="21"/>
    </w:rPr>
  </w:style>
  <w:style w:type="character" w:customStyle="1" w:styleId="122">
    <w:name w:val="HTML 预设格式 字符"/>
    <w:basedOn w:val="90"/>
    <w:link w:val="80"/>
    <w:qFormat/>
    <w:uiPriority w:val="0"/>
    <w:rPr>
      <w:rFonts w:ascii="Courier New" w:hAnsi="Courier New" w:eastAsia="Arial" w:cs="Courier New"/>
      <w:snapToGrid w:val="0"/>
      <w:color w:val="000000"/>
    </w:rPr>
  </w:style>
  <w:style w:type="paragraph" w:customStyle="1" w:styleId="123">
    <w:name w:val="TOC 标题2"/>
    <w:basedOn w:val="3"/>
    <w:next w:val="1"/>
    <w:unhideWhenUsed/>
    <w:qFormat/>
    <w:uiPriority w:val="39"/>
    <w:pPr>
      <w:spacing w:before="340" w:after="330" w:line="578" w:lineRule="auto"/>
      <w:jc w:val="left"/>
      <w:outlineLvl w:val="9"/>
    </w:pPr>
    <w:rPr>
      <w:rFonts w:ascii="Arial"/>
      <w:bCs/>
      <w:sz w:val="44"/>
      <w:szCs w:val="44"/>
    </w:rPr>
  </w:style>
  <w:style w:type="character" w:customStyle="1" w:styleId="124">
    <w:name w:val="标题 字符"/>
    <w:basedOn w:val="90"/>
    <w:link w:val="84"/>
    <w:qFormat/>
    <w:uiPriority w:val="0"/>
    <w:rPr>
      <w:rFonts w:asciiTheme="majorHAnsi" w:hAnsiTheme="majorHAnsi" w:eastAsiaTheme="majorEastAsia" w:cstheme="majorBidi"/>
      <w:b/>
      <w:bCs/>
      <w:snapToGrid w:val="0"/>
      <w:color w:val="000000"/>
      <w:sz w:val="32"/>
      <w:szCs w:val="32"/>
    </w:rPr>
  </w:style>
  <w:style w:type="character" w:customStyle="1" w:styleId="125">
    <w:name w:val="标题 4 字符"/>
    <w:basedOn w:val="90"/>
    <w:link w:val="6"/>
    <w:semiHidden/>
    <w:qFormat/>
    <w:uiPriority w:val="0"/>
    <w:rPr>
      <w:rFonts w:asciiTheme="majorHAnsi" w:hAnsiTheme="majorHAnsi" w:eastAsiaTheme="majorEastAsia" w:cstheme="majorBidi"/>
      <w:b/>
      <w:bCs/>
      <w:snapToGrid w:val="0"/>
      <w:color w:val="000000"/>
      <w:sz w:val="28"/>
      <w:szCs w:val="28"/>
    </w:rPr>
  </w:style>
  <w:style w:type="character" w:customStyle="1" w:styleId="126">
    <w:name w:val="标题 5 字符"/>
    <w:basedOn w:val="90"/>
    <w:link w:val="7"/>
    <w:semiHidden/>
    <w:qFormat/>
    <w:uiPriority w:val="0"/>
    <w:rPr>
      <w:rFonts w:eastAsia="Arial"/>
      <w:b/>
      <w:bCs/>
      <w:snapToGrid w:val="0"/>
      <w:color w:val="000000"/>
      <w:sz w:val="28"/>
      <w:szCs w:val="28"/>
    </w:rPr>
  </w:style>
  <w:style w:type="character" w:customStyle="1" w:styleId="127">
    <w:name w:val="标题 6 字符"/>
    <w:basedOn w:val="90"/>
    <w:link w:val="8"/>
    <w:semiHidden/>
    <w:qFormat/>
    <w:uiPriority w:val="0"/>
    <w:rPr>
      <w:rFonts w:asciiTheme="majorHAnsi" w:hAnsiTheme="majorHAnsi" w:eastAsiaTheme="majorEastAsia" w:cstheme="majorBidi"/>
      <w:b/>
      <w:bCs/>
      <w:snapToGrid w:val="0"/>
      <w:color w:val="000000"/>
      <w:sz w:val="24"/>
      <w:szCs w:val="24"/>
    </w:rPr>
  </w:style>
  <w:style w:type="character" w:customStyle="1" w:styleId="128">
    <w:name w:val="标题 7 字符"/>
    <w:basedOn w:val="90"/>
    <w:link w:val="9"/>
    <w:semiHidden/>
    <w:qFormat/>
    <w:uiPriority w:val="0"/>
    <w:rPr>
      <w:rFonts w:eastAsia="Arial"/>
      <w:b/>
      <w:bCs/>
      <w:snapToGrid w:val="0"/>
      <w:color w:val="000000"/>
      <w:sz w:val="24"/>
      <w:szCs w:val="24"/>
    </w:rPr>
  </w:style>
  <w:style w:type="character" w:customStyle="1" w:styleId="129">
    <w:name w:val="标题 8 字符"/>
    <w:basedOn w:val="90"/>
    <w:link w:val="10"/>
    <w:semiHidden/>
    <w:qFormat/>
    <w:uiPriority w:val="0"/>
    <w:rPr>
      <w:rFonts w:asciiTheme="majorHAnsi" w:hAnsiTheme="majorHAnsi" w:eastAsiaTheme="majorEastAsia" w:cstheme="majorBidi"/>
      <w:snapToGrid w:val="0"/>
      <w:color w:val="000000"/>
      <w:sz w:val="24"/>
      <w:szCs w:val="24"/>
    </w:rPr>
  </w:style>
  <w:style w:type="character" w:customStyle="1" w:styleId="130">
    <w:name w:val="标题 9 字符"/>
    <w:basedOn w:val="90"/>
    <w:link w:val="11"/>
    <w:semiHidden/>
    <w:qFormat/>
    <w:uiPriority w:val="0"/>
    <w:rPr>
      <w:rFonts w:asciiTheme="majorHAnsi" w:hAnsiTheme="majorHAnsi" w:eastAsiaTheme="majorEastAsia" w:cstheme="majorBidi"/>
      <w:snapToGrid w:val="0"/>
      <w:color w:val="000000"/>
      <w:sz w:val="21"/>
      <w:szCs w:val="21"/>
    </w:rPr>
  </w:style>
  <w:style w:type="character" w:customStyle="1" w:styleId="131">
    <w:name w:val="称呼 字符"/>
    <w:basedOn w:val="90"/>
    <w:link w:val="30"/>
    <w:qFormat/>
    <w:uiPriority w:val="0"/>
    <w:rPr>
      <w:rFonts w:eastAsia="Arial"/>
      <w:snapToGrid w:val="0"/>
      <w:color w:val="000000"/>
      <w:sz w:val="21"/>
      <w:szCs w:val="21"/>
    </w:rPr>
  </w:style>
  <w:style w:type="character" w:customStyle="1" w:styleId="132">
    <w:name w:val="电子邮件签名 字符"/>
    <w:basedOn w:val="90"/>
    <w:link w:val="19"/>
    <w:qFormat/>
    <w:uiPriority w:val="0"/>
    <w:rPr>
      <w:rFonts w:eastAsia="Arial"/>
      <w:snapToGrid w:val="0"/>
      <w:color w:val="000000"/>
      <w:sz w:val="21"/>
      <w:szCs w:val="21"/>
    </w:rPr>
  </w:style>
  <w:style w:type="character" w:customStyle="1" w:styleId="133">
    <w:name w:val="副标题 字符"/>
    <w:basedOn w:val="90"/>
    <w:link w:val="65"/>
    <w:qFormat/>
    <w:uiPriority w:val="0"/>
    <w:rPr>
      <w:rFonts w:asciiTheme="minorHAnsi" w:hAnsiTheme="minorHAnsi" w:cstheme="minorBidi"/>
      <w:b/>
      <w:bCs/>
      <w:snapToGrid w:val="0"/>
      <w:color w:val="000000"/>
      <w:kern w:val="28"/>
      <w:sz w:val="32"/>
      <w:szCs w:val="32"/>
    </w:rPr>
  </w:style>
  <w:style w:type="character" w:customStyle="1" w:styleId="134">
    <w:name w:val="宏文本 字符"/>
    <w:basedOn w:val="90"/>
    <w:link w:val="2"/>
    <w:qFormat/>
    <w:uiPriority w:val="0"/>
    <w:rPr>
      <w:rFonts w:ascii="Courier New" w:hAnsi="Courier New" w:eastAsia="宋体" w:cs="Courier New"/>
      <w:snapToGrid w:val="0"/>
      <w:color w:val="000000"/>
      <w:sz w:val="24"/>
      <w:szCs w:val="24"/>
    </w:rPr>
  </w:style>
  <w:style w:type="character" w:customStyle="1" w:styleId="135">
    <w:name w:val="脚注文本 字符"/>
    <w:basedOn w:val="90"/>
    <w:link w:val="68"/>
    <w:qFormat/>
    <w:uiPriority w:val="0"/>
    <w:rPr>
      <w:rFonts w:eastAsia="Arial"/>
      <w:snapToGrid w:val="0"/>
      <w:color w:val="000000"/>
      <w:sz w:val="18"/>
      <w:szCs w:val="18"/>
    </w:rPr>
  </w:style>
  <w:style w:type="character" w:customStyle="1" w:styleId="136">
    <w:name w:val="结束语 字符"/>
    <w:basedOn w:val="90"/>
    <w:link w:val="32"/>
    <w:qFormat/>
    <w:uiPriority w:val="0"/>
    <w:rPr>
      <w:rFonts w:eastAsia="Arial"/>
      <w:snapToGrid w:val="0"/>
      <w:color w:val="000000"/>
      <w:sz w:val="21"/>
      <w:szCs w:val="21"/>
    </w:rPr>
  </w:style>
  <w:style w:type="paragraph" w:customStyle="1" w:styleId="137">
    <w:name w:val="明显引用1"/>
    <w:basedOn w:val="1"/>
    <w:next w:val="1"/>
    <w:link w:val="138"/>
    <w:unhideWhenUsed/>
    <w:qFormat/>
    <w:uiPriority w:val="99"/>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138">
    <w:name w:val="明显引用 字符"/>
    <w:basedOn w:val="90"/>
    <w:link w:val="137"/>
    <w:semiHidden/>
    <w:qFormat/>
    <w:uiPriority w:val="99"/>
    <w:rPr>
      <w:rFonts w:eastAsia="Arial"/>
      <w:i/>
      <w:iCs/>
      <w:snapToGrid w:val="0"/>
      <w:color w:val="4F81BD" w:themeColor="accent1"/>
      <w:sz w:val="21"/>
      <w:szCs w:val="21"/>
      <w14:textFill>
        <w14:solidFill>
          <w14:schemeClr w14:val="accent1"/>
        </w14:solidFill>
      </w14:textFill>
    </w:rPr>
  </w:style>
  <w:style w:type="character" w:customStyle="1" w:styleId="139">
    <w:name w:val="签名 字符"/>
    <w:basedOn w:val="90"/>
    <w:link w:val="59"/>
    <w:qFormat/>
    <w:uiPriority w:val="0"/>
    <w:rPr>
      <w:rFonts w:eastAsia="Arial"/>
      <w:snapToGrid w:val="0"/>
      <w:color w:val="000000"/>
      <w:sz w:val="21"/>
      <w:szCs w:val="21"/>
    </w:rPr>
  </w:style>
  <w:style w:type="character" w:customStyle="1" w:styleId="140">
    <w:name w:val="日期 字符"/>
    <w:basedOn w:val="90"/>
    <w:link w:val="51"/>
    <w:qFormat/>
    <w:uiPriority w:val="0"/>
    <w:rPr>
      <w:rFonts w:eastAsia="Arial"/>
      <w:snapToGrid w:val="0"/>
      <w:color w:val="000000"/>
      <w:sz w:val="21"/>
      <w:szCs w:val="21"/>
    </w:rPr>
  </w:style>
  <w:style w:type="paragraph" w:customStyle="1" w:styleId="141">
    <w:name w:val="书目1"/>
    <w:basedOn w:val="1"/>
    <w:next w:val="1"/>
    <w:unhideWhenUsed/>
    <w:qFormat/>
    <w:uiPriority w:val="37"/>
  </w:style>
  <w:style w:type="character" w:customStyle="1" w:styleId="142">
    <w:name w:val="文档结构图 字符"/>
    <w:basedOn w:val="90"/>
    <w:link w:val="26"/>
    <w:qFormat/>
    <w:uiPriority w:val="0"/>
    <w:rPr>
      <w:rFonts w:ascii="Microsoft YaHei UI" w:eastAsia="Microsoft YaHei UI"/>
      <w:snapToGrid w:val="0"/>
      <w:color w:val="000000"/>
      <w:sz w:val="18"/>
      <w:szCs w:val="18"/>
    </w:rPr>
  </w:style>
  <w:style w:type="paragraph" w:customStyle="1" w:styleId="143">
    <w:name w:val="无间隔1"/>
    <w:unhideWhenUsed/>
    <w:qFormat/>
    <w:uiPriority w:val="99"/>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customStyle="1" w:styleId="144">
    <w:name w:val="信息标题 字符"/>
    <w:basedOn w:val="90"/>
    <w:link w:val="79"/>
    <w:qFormat/>
    <w:uiPriority w:val="0"/>
    <w:rPr>
      <w:rFonts w:asciiTheme="majorHAnsi" w:hAnsiTheme="majorHAnsi" w:eastAsiaTheme="majorEastAsia" w:cstheme="majorBidi"/>
      <w:snapToGrid w:val="0"/>
      <w:color w:val="000000"/>
      <w:sz w:val="24"/>
      <w:szCs w:val="24"/>
      <w:shd w:val="pct20" w:color="auto" w:fill="auto"/>
    </w:rPr>
  </w:style>
  <w:style w:type="paragraph" w:customStyle="1" w:styleId="145">
    <w:name w:val="引用1"/>
    <w:basedOn w:val="1"/>
    <w:next w:val="1"/>
    <w:link w:val="146"/>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146">
    <w:name w:val="引用 字符"/>
    <w:basedOn w:val="90"/>
    <w:link w:val="145"/>
    <w:semiHidden/>
    <w:qFormat/>
    <w:uiPriority w:val="99"/>
    <w:rPr>
      <w:rFonts w:eastAsia="Arial"/>
      <w:i/>
      <w:iCs/>
      <w:snapToGrid w:val="0"/>
      <w:color w:val="404040" w:themeColor="text1" w:themeTint="BF"/>
      <w:sz w:val="21"/>
      <w:szCs w:val="21"/>
      <w14:textFill>
        <w14:solidFill>
          <w14:schemeClr w14:val="tx1">
            <w14:lumMod w14:val="75000"/>
            <w14:lumOff w14:val="25000"/>
          </w14:schemeClr>
        </w14:solidFill>
      </w14:textFill>
    </w:rPr>
  </w:style>
  <w:style w:type="character" w:customStyle="1" w:styleId="147">
    <w:name w:val="正文文本首行缩进 字符"/>
    <w:basedOn w:val="108"/>
    <w:link w:val="86"/>
    <w:qFormat/>
    <w:uiPriority w:val="0"/>
    <w:rPr>
      <w:rFonts w:ascii="宋体" w:hAnsi="宋体" w:eastAsia="Arial" w:cs="Times New Roman"/>
      <w:snapToGrid w:val="0"/>
      <w:color w:val="000000"/>
      <w:kern w:val="2"/>
      <w:sz w:val="21"/>
      <w:szCs w:val="21"/>
    </w:rPr>
  </w:style>
  <w:style w:type="character" w:customStyle="1" w:styleId="148">
    <w:name w:val="正文文本缩进 字符"/>
    <w:basedOn w:val="90"/>
    <w:link w:val="36"/>
    <w:qFormat/>
    <w:uiPriority w:val="0"/>
    <w:rPr>
      <w:rFonts w:eastAsia="Arial"/>
      <w:snapToGrid w:val="0"/>
      <w:color w:val="000000"/>
      <w:sz w:val="21"/>
      <w:szCs w:val="21"/>
    </w:rPr>
  </w:style>
  <w:style w:type="character" w:customStyle="1" w:styleId="149">
    <w:name w:val="正文文本首行缩进 2 字符"/>
    <w:basedOn w:val="148"/>
    <w:link w:val="87"/>
    <w:qFormat/>
    <w:uiPriority w:val="0"/>
    <w:rPr>
      <w:rFonts w:eastAsia="Arial"/>
      <w:snapToGrid w:val="0"/>
      <w:color w:val="000000"/>
      <w:sz w:val="21"/>
      <w:szCs w:val="21"/>
    </w:rPr>
  </w:style>
  <w:style w:type="character" w:customStyle="1" w:styleId="150">
    <w:name w:val="注释标题 字符"/>
    <w:basedOn w:val="90"/>
    <w:link w:val="16"/>
    <w:qFormat/>
    <w:uiPriority w:val="0"/>
    <w:rPr>
      <w:rFonts w:eastAsia="Arial"/>
      <w:snapToGrid w:val="0"/>
      <w:color w:val="000000"/>
      <w:sz w:val="21"/>
      <w:szCs w:val="21"/>
    </w:rPr>
  </w:style>
  <w:style w:type="paragraph" w:customStyle="1" w:styleId="151">
    <w:name w:val="列表段落11"/>
    <w:basedOn w:val="1"/>
    <w:qFormat/>
    <w:uiPriority w:val="34"/>
    <w:pPr>
      <w:ind w:firstLine="420" w:firstLineChars="200"/>
    </w:pPr>
    <w:rPr>
      <w:rFonts w:ascii="Times New Roman" w:hAnsi="Times New Roman" w:eastAsia="宋体" w:cs="Times New Roman"/>
      <w:szCs w:val="24"/>
    </w:rPr>
  </w:style>
  <w:style w:type="paragraph" w:customStyle="1" w:styleId="152">
    <w:name w:val="修订3"/>
    <w:hidden/>
    <w:semiHidden/>
    <w:qFormat/>
    <w:uiPriority w:val="99"/>
    <w:rPr>
      <w:rFonts w:ascii="Arial" w:hAnsi="Arial" w:eastAsia="Arial" w:cs="Arial"/>
      <w:snapToGrid w:val="0"/>
      <w:color w:val="000000"/>
      <w:sz w:val="21"/>
      <w:szCs w:val="21"/>
      <w:lang w:val="en-US" w:eastAsia="zh-CN" w:bidi="ar-SA"/>
    </w:rPr>
  </w:style>
  <w:style w:type="paragraph" w:customStyle="1" w:styleId="153">
    <w:name w:val="Revision"/>
    <w:hidden/>
    <w:unhideWhenUsed/>
    <w:qFormat/>
    <w:uiPriority w:val="99"/>
    <w:rPr>
      <w:rFonts w:ascii="Arial" w:hAnsi="Arial" w:eastAsia="Arial" w:cs="Arial"/>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6191</Words>
  <Characters>7066</Characters>
  <Lines>452</Lines>
  <Paragraphs>127</Paragraphs>
  <TotalTime>1</TotalTime>
  <ScaleCrop>false</ScaleCrop>
  <LinksUpToDate>false</LinksUpToDate>
  <CharactersWithSpaces>7203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2024-12-11T20:48:00Z</dcterms:created>
  <dc:creator>王爱玲</dc:creator>
  <cp:lastModifiedBy>宋达</cp:lastModifiedBy>
  <dcterms:modified xsi:type="dcterms:W3CDTF">2025-03-13T04:35:03Z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2023-09-11T14:40:00Z</vt:filetime>
  </property>
  <property fmtid="{D5CDD505-2E9C-101B-9397-08002B2CF9AE}" pid="4" name="KSOProductBuildVer">
    <vt:lpwstr>2052-12.1.0.20305</vt:lpwstr>
  </property>
  <property fmtid="{D5CDD505-2E9C-101B-9397-08002B2CF9AE}" pid="5" name="ICV">
    <vt:lpwstr>4FE1FEE17E0B5F6544F45A67A146CA5B_33</vt:lpwstr>
  </property>
  <property fmtid="{D5CDD505-2E9C-101B-9397-08002B2CF9AE}" pid="6" name="KSOTemplateDocerSaveRecord">
    <vt:lpwstr>eyJoZGlkIjoiZWRlNTlmMTdhZmUzY2JkYmRiOGU5NGZlYzZiMWZmOTEiLCJ1c2VySWQiOiIxMDA4MDU2MDU4In0=</vt:lpwstr>
  </property>
</Properties>
</file>