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widowControl w:val="0"/>
        <w:spacing w:before="340" w:beforeLines="0" w:after="330" w:afterLines="0" w:line="500" w:lineRule="exact"/>
        <w:jc w:val="center"/>
        <w:outlineLvl w:val="0"/>
        <w:rPr>
          <w:rFonts w:hint="eastAsia" w:ascii="仿宋" w:hAnsi="仿宋" w:eastAsia="仿宋" w:cs="仿宋"/>
          <w:b/>
          <w:bCs/>
          <w:kern w:val="0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0"/>
          <w:sz w:val="36"/>
          <w:szCs w:val="36"/>
          <w:lang w:val="en-US" w:eastAsia="zh-CN" w:bidi="ar-SA"/>
        </w:rPr>
        <w:t>医疗设备采购项目需求</w:t>
      </w:r>
    </w:p>
    <w:p>
      <w:pPr>
        <w:widowControl/>
        <w:spacing w:line="560" w:lineRule="exact"/>
        <w:ind w:firstLine="560" w:firstLineChars="200"/>
        <w:rPr>
          <w:rFonts w:hint="eastAsia" w:ascii="仿宋" w:hAnsi="仿宋" w:eastAsia="仿宋" w:cs="仿宋"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kern w:val="0"/>
          <w:sz w:val="28"/>
          <w:szCs w:val="28"/>
        </w:rPr>
        <w:t>（一）供应商须提供全新、原装，并符合质量标准的货物。</w:t>
      </w:r>
    </w:p>
    <w:p>
      <w:pPr>
        <w:spacing w:line="560" w:lineRule="exact"/>
        <w:ind w:firstLine="560" w:firstLineChars="200"/>
        <w:rPr>
          <w:rFonts w:hint="eastAsia" w:ascii="仿宋" w:hAnsi="仿宋" w:eastAsia="仿宋" w:cs="仿宋"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kern w:val="0"/>
          <w:sz w:val="28"/>
          <w:szCs w:val="28"/>
        </w:rPr>
        <w:t>（二）所响应货物须提供壹年及以上的质保期（另有超过壹年规定的按要求执行）。</w:t>
      </w:r>
    </w:p>
    <w:p>
      <w:pPr>
        <w:spacing w:line="560" w:lineRule="exact"/>
        <w:ind w:firstLine="560" w:firstLineChars="200"/>
        <w:rPr>
          <w:rFonts w:hint="eastAsia" w:ascii="仿宋" w:hAnsi="仿宋" w:eastAsia="仿宋" w:cs="仿宋"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kern w:val="0"/>
          <w:sz w:val="28"/>
          <w:szCs w:val="28"/>
        </w:rPr>
        <w:t>（三）货物如为某单位的专利或特有产品，请供应商在答疑期内告知采购代理机构。</w:t>
      </w:r>
    </w:p>
    <w:p>
      <w:pPr>
        <w:spacing w:line="560" w:lineRule="exact"/>
        <w:ind w:firstLine="560" w:firstLineChars="200"/>
        <w:rPr>
          <w:rFonts w:hint="eastAsia" w:ascii="仿宋" w:hAnsi="仿宋" w:eastAsia="仿宋" w:cs="仿宋"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kern w:val="0"/>
          <w:sz w:val="28"/>
          <w:szCs w:val="28"/>
        </w:rPr>
        <w:t>（四）所有货物的知识产权问题，由各供应商自行负责。</w:t>
      </w:r>
    </w:p>
    <w:p>
      <w:pPr>
        <w:spacing w:line="560" w:lineRule="exact"/>
        <w:ind w:firstLine="560" w:firstLineChars="200"/>
        <w:rPr>
          <w:rFonts w:hint="eastAsia" w:ascii="仿宋" w:hAnsi="仿宋" w:eastAsia="仿宋" w:cs="仿宋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kern w:val="0"/>
          <w:sz w:val="28"/>
          <w:szCs w:val="28"/>
        </w:rPr>
        <w:t>（五）本询价通知书提出的是最低限度的要求，供应商的方案应达到或优于本询价通知书要求，且符合国家有关标准和规范要求。</w:t>
      </w:r>
    </w:p>
    <w:p>
      <w:pPr>
        <w:spacing w:line="560" w:lineRule="exact"/>
        <w:ind w:firstLine="562" w:firstLineChars="200"/>
        <w:rPr>
          <w:rFonts w:hint="eastAsia" w:ascii="仿宋" w:hAnsi="仿宋" w:eastAsia="仿宋" w:cs="仿宋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成交供应商在实施合同过程中不能达到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eastAsia="zh-CN"/>
        </w:rPr>
        <w:t>询价通知书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质量要求和在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eastAsia="zh-CN"/>
        </w:rPr>
        <w:t>询价通知书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作出承诺要求不能实施响应的，采购人将不予验收，责任及后果自负。并按提供虚假材料应标，报本级财政部门按《政府采购法》及相关法律、法规处理。如产品质量不能满足采购人要求，供应商必须免费更换产品，直至达到采购人使用要求。</w:t>
      </w:r>
    </w:p>
    <w:p>
      <w:pPr>
        <w:spacing w:line="480" w:lineRule="exact"/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（六）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医疗设备采购项目</w:t>
      </w:r>
      <w:r>
        <w:rPr>
          <w:rFonts w:hint="eastAsia" w:ascii="仿宋" w:hAnsi="仿宋" w:eastAsia="仿宋" w:cs="仿宋"/>
          <w:kern w:val="0"/>
          <w:sz w:val="28"/>
          <w:szCs w:val="28"/>
        </w:rPr>
        <w:t>技术规格参数及要求：</w:t>
      </w:r>
    </w:p>
    <w:tbl>
      <w:tblPr>
        <w:tblStyle w:val="7"/>
        <w:tblW w:w="93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3952"/>
        <w:gridCol w:w="708"/>
        <w:gridCol w:w="846"/>
        <w:gridCol w:w="990"/>
        <w:gridCol w:w="960"/>
        <w:gridCol w:w="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质量技术标准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采购数量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预算单价（元）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预算金额（元）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交货地点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台式便携中频治疗仪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1.具备镇痛、锻炼肌肉、改善血液循环、软化瘢痕、松解粘连等功能，用于治疗软组织损伤、缓解肌肉疲劳、缓解偏头痛等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2.使用交流电压220V±22V，频率50Hz±1Hz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3.显示方式：数码显示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4.输出通道：具备中频加透热输出、离子导入直流输出、干扰电输出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5.中频调节范围不小于2-5kHz，多档/连续可调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6.中频载多种波形，如：双向方波、正弦波、方波、锯齿波等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7.针对不同使用对象部位，预置多套处方，便于操作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8.处方包含治疗时间参数，治疗结束有声音提示并自动停止输出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9.具有漏电、过载、短路保护，可连续工作4小时以上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赣州市章贡区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台式便携低频治疗仪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1.通过皮肤电极将适当强度频率电流作用于人体，连续、轻柔刺激，主要用于辅助治疗各种急、慢性疼痛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2.使用交流电压220V±22V，频率50Hz±1Hz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3.低频调节范围不小于2Hz-160Hz，多档/连续可调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4.具有连续输出、慢速断续输出及快速断续输出等多种模式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5.具备定时功能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赣州市章贡区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柜式超短波治疗仪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1.用于肌纤维织炎、扭挫伤、骨性关节炎、肩关节周围炎等治疗，促进骨折及伤口愈合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2.工作频率为40.68MHz，允差±1.5%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3.输出功率、治疗时间多档可调，功率连续稳定，工作30min输出功率变化不大于±10%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4.具备连续和脉冲等多种工作模式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5.配套多型号成套电极，适合不同治疗部位使用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6.配套滑轮或推车，方便移动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赣州市章贡区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台式超声波治疗仪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1.通过产生超声波进行物理治疗，可用于镇痛、肌腱炎、肌肉挛缩、关节病、血肿等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2.使用交流电压220V±22V，频率50Hz±1Hz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3.具备连续和断续等多种输出模式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4.有效声强范围不小于0-1.5W/cm2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5.有效辐射面积不小于4cm2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赣州市章贡区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深层肌肉电刺激治疗仪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1.促进血液循环和淋巴流动，缓解痉挛、减轻肌肉疼痛，消散瘢痕，减少乳酸堆积，加速损伤后修复等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2.配套多种规格探头，满足人体大小肌肉、筋膜链的治疗需求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3.治疗头最大震动频率不小于50Hz可调，振幅不小于5mm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4.具备定时功能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5.工作噪音≤65dB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赣州市章贡区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柜式磁振热治疗仪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1.适用于慢性软组织损伤和颈肩腰腿痛的辅助治疗，能够减轻肿胀、缓解疼痛、改善功能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2.温度控制40℃-55℃多档/连续可调，最低温度不低于37℃，最高温度不高于60℃，具备超温保护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3.具备定时功能（1-60min），步长1min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4.输出通道：不少于双通道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5.针对不同病种具备不少于15种处方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6.配套滑轮或推车，方便移动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赣州市章贡区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主被动康复治疗仪</w:t>
            </w:r>
          </w:p>
        </w:tc>
        <w:tc>
          <w:tcPr>
            <w:tcW w:w="3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1.适用于上下肢有疾患人员康复治疗，具备主动、被动两种模式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2.工作环境温度范围5℃-40℃，湿度范围5%-90%，220V交流电源，额定频率50Hz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3.触摸显示屏，0°-180°可调，允差±10%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4.产品立杆可伸缩调节，可调节范围不小于10cm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5.助力扭矩调节范围不小于上肢1-10Nm、下肢1-15Nm，步进为1Nm或连续可调，训练过程中屏幕可显示当前速度、训练时间和阻力等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6.被动模式可定时，最长不少于60min，步进1min；训练速度可调，范围不小于5rpm-55rpm，阻力扭矩调节范围不小于0-15Nm；运动方向具备正、逆两种；具备痉挛功能，可选择开启关闭，方向固定及变向两种模式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7.训练结束自动生成训练结果并显示，显示锻炼时间、主被动时间、左右平衡情况、痉挛次数、卡路里、距离等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150000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赣州市章贡区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336" w:type="dxa"/>
            <w:gridSpan w:val="7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预算总价：贰拾玖万元整（￥290000.00）</w:t>
            </w:r>
          </w:p>
        </w:tc>
      </w:tr>
    </w:tbl>
    <w:p>
      <w:pPr>
        <w:spacing w:line="360" w:lineRule="auto"/>
        <w:ind w:firstLine="560" w:firstLineChars="200"/>
        <w:rPr>
          <w:rFonts w:hint="eastAsia" w:ascii="仿宋" w:hAnsi="仿宋" w:eastAsia="仿宋" w:cs="仿宋"/>
          <w:kern w:val="0"/>
          <w:sz w:val="28"/>
        </w:rPr>
      </w:pPr>
      <w:r>
        <w:rPr>
          <w:rFonts w:hint="eastAsia" w:ascii="仿宋" w:hAnsi="仿宋" w:eastAsia="仿宋" w:cs="仿宋"/>
          <w:bCs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bCs/>
          <w:kern w:val="0"/>
          <w:sz w:val="28"/>
          <w:szCs w:val="28"/>
        </w:rPr>
        <w:t>、</w:t>
      </w:r>
      <w:r>
        <w:rPr>
          <w:rFonts w:hint="eastAsia" w:ascii="仿宋" w:hAnsi="仿宋" w:eastAsia="仿宋" w:cs="仿宋"/>
          <w:kern w:val="0"/>
          <w:sz w:val="28"/>
        </w:rPr>
        <w:t>质保期内服务要求：</w:t>
      </w:r>
      <w:r>
        <w:rPr>
          <w:rFonts w:hint="eastAsia" w:ascii="仿宋" w:hAnsi="仿宋" w:eastAsia="仿宋" w:cs="仿宋"/>
          <w:kern w:val="0"/>
          <w:sz w:val="28"/>
          <w:lang w:eastAsia="zh-CN"/>
        </w:rPr>
        <w:t>成交</w:t>
      </w:r>
      <w:r>
        <w:rPr>
          <w:rFonts w:hint="eastAsia" w:ascii="仿宋" w:hAnsi="仿宋" w:eastAsia="仿宋" w:cs="仿宋"/>
          <w:kern w:val="0"/>
          <w:sz w:val="28"/>
        </w:rPr>
        <w:t>供应商在验收</w:t>
      </w:r>
      <w:r>
        <w:rPr>
          <w:rFonts w:hint="eastAsia" w:ascii="仿宋" w:hAnsi="仿宋" w:eastAsia="仿宋" w:cs="仿宋"/>
          <w:kern w:val="0"/>
          <w:sz w:val="28"/>
          <w:lang w:eastAsia="zh-CN"/>
        </w:rPr>
        <w:t>合格</w:t>
      </w:r>
      <w:r>
        <w:rPr>
          <w:rFonts w:hint="eastAsia" w:ascii="仿宋" w:hAnsi="仿宋" w:eastAsia="仿宋" w:cs="仿宋"/>
          <w:kern w:val="0"/>
          <w:sz w:val="28"/>
        </w:rPr>
        <w:t>后，提供至少1年的质量保修服务及技术支持。在质保期内出现任何</w:t>
      </w:r>
      <w:r>
        <w:rPr>
          <w:rFonts w:hint="eastAsia" w:ascii="仿宋" w:hAnsi="仿宋" w:eastAsia="仿宋" w:cs="仿宋"/>
          <w:kern w:val="0"/>
          <w:sz w:val="28"/>
          <w:lang w:eastAsia="zh-CN"/>
        </w:rPr>
        <w:t>问题</w:t>
      </w:r>
      <w:r>
        <w:rPr>
          <w:rFonts w:hint="eastAsia" w:ascii="仿宋" w:hAnsi="仿宋" w:eastAsia="仿宋" w:cs="仿宋"/>
          <w:kern w:val="0"/>
          <w:sz w:val="28"/>
        </w:rPr>
        <w:t>，均必须由</w:t>
      </w:r>
      <w:r>
        <w:rPr>
          <w:rFonts w:hint="eastAsia" w:ascii="仿宋" w:hAnsi="仿宋" w:eastAsia="仿宋" w:cs="仿宋"/>
          <w:kern w:val="0"/>
          <w:sz w:val="28"/>
          <w:lang w:eastAsia="zh-CN"/>
        </w:rPr>
        <w:t>成交</w:t>
      </w:r>
      <w:r>
        <w:rPr>
          <w:rFonts w:hint="eastAsia" w:ascii="仿宋" w:hAnsi="仿宋" w:eastAsia="仿宋" w:cs="仿宋"/>
          <w:kern w:val="0"/>
          <w:sz w:val="28"/>
        </w:rPr>
        <w:t>供应商免费提供或更换。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</w:rPr>
      </w:pPr>
      <w:r>
        <w:rPr>
          <w:rFonts w:hint="eastAsia" w:ascii="仿宋" w:hAnsi="仿宋" w:eastAsia="仿宋" w:cs="仿宋"/>
          <w:kern w:val="0"/>
          <w:sz w:val="28"/>
          <w:lang w:val="en-US" w:eastAsia="zh-CN"/>
        </w:rPr>
        <w:t>2</w:t>
      </w:r>
      <w:r>
        <w:rPr>
          <w:rFonts w:hint="eastAsia" w:ascii="仿宋" w:hAnsi="仿宋" w:eastAsia="仿宋" w:cs="仿宋"/>
          <w:kern w:val="0"/>
          <w:sz w:val="28"/>
        </w:rPr>
        <w:t>、售后服务：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  <w:t>1）在质保期内，因为产品质量问题造成故障和零部件损坏，成交供应商应无条件免费维修。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  <w:t>2）</w:t>
      </w:r>
      <w:r>
        <w:rPr>
          <w:rFonts w:hint="eastAsia" w:ascii="仿宋" w:hAnsi="仿宋" w:eastAsia="仿宋" w:cs="仿宋"/>
          <w:kern w:val="0"/>
          <w:sz w:val="28"/>
        </w:rPr>
        <w:t>质保期过后，出现任何</w:t>
      </w:r>
      <w:r>
        <w:rPr>
          <w:rFonts w:hint="eastAsia" w:ascii="仿宋" w:hAnsi="仿宋" w:eastAsia="仿宋" w:cs="仿宋"/>
          <w:kern w:val="0"/>
          <w:sz w:val="28"/>
          <w:lang w:eastAsia="zh-CN"/>
        </w:rPr>
        <w:t>问题</w:t>
      </w:r>
      <w:r>
        <w:rPr>
          <w:rFonts w:hint="eastAsia" w:ascii="仿宋" w:hAnsi="仿宋" w:eastAsia="仿宋" w:cs="仿宋"/>
          <w:kern w:val="0"/>
          <w:sz w:val="28"/>
        </w:rPr>
        <w:t>，应由</w:t>
      </w:r>
      <w:r>
        <w:rPr>
          <w:rFonts w:hint="eastAsia" w:ascii="仿宋" w:hAnsi="仿宋" w:eastAsia="仿宋" w:cs="仿宋"/>
          <w:kern w:val="0"/>
          <w:sz w:val="28"/>
          <w:lang w:eastAsia="zh-CN"/>
        </w:rPr>
        <w:t>成交</w:t>
      </w:r>
      <w:r>
        <w:rPr>
          <w:rFonts w:hint="eastAsia" w:ascii="仿宋" w:hAnsi="仿宋" w:eastAsia="仿宋" w:cs="仿宋"/>
          <w:kern w:val="0"/>
          <w:sz w:val="28"/>
        </w:rPr>
        <w:t>供应商提供或更换（供应商在此次投标报价中，应提供质保期后售后服务收费标准，并承诺以不高于该价格为采购人提供服务。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供应商须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eastAsia="zh-CN"/>
        </w:rPr>
        <w:t>在响应文件中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提供质保期后售后服务收费标准承诺函，未提供或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eastAsia="zh-CN"/>
        </w:rPr>
        <w:t>提供的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经询价小组认定无效的作无效响应处理。</w:t>
      </w:r>
      <w:r>
        <w:rPr>
          <w:rFonts w:hint="eastAsia" w:ascii="仿宋" w:hAnsi="仿宋" w:eastAsia="仿宋" w:cs="仿宋"/>
          <w:kern w:val="0"/>
          <w:sz w:val="28"/>
        </w:rPr>
        <w:t>）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  <w:t>3）在质保期内，免费保修期内提供24小时应急服务，接采购人维修通知（含电话）后到场时间不超过24小时，免费提供维修和更换零部件等服务。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8"/>
          <w:szCs w:val="24"/>
          <w:lang w:val="en-US" w:eastAsia="zh-CN" w:bidi="ar-SA"/>
        </w:rPr>
        <w:t>3、质量保证：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  <w:t>1）成交供应商需提供全新未使用过的产品，并完全符合询价通知书规定的质量、规格和性能的要求。成交供应商应保证所提供的货物经正确安装、正常运转和保养在其使用寿命期内应具有满意的性能。在货物质量保证期之内，成交供应商应对由于设计、工艺或材料的缺陷而发生的任何不足或故障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highlight w:val="none"/>
          <w:lang w:val="en-US" w:eastAsia="zh-CN"/>
        </w:rPr>
        <w:t>2）如成交供应商提供的货物数量、质量或规格与询价通知书不符，或证实货物确有缺陷的，包括潜在的缺陷或使用不符合要求的材料等，采购单位将以书面形式通知成交供应商，限期整改并提出索赔。</w:t>
      </w:r>
    </w:p>
    <w:p>
      <w:pPr>
        <w:pStyle w:val="6"/>
        <w:ind w:firstLine="560" w:firstLineChars="200"/>
        <w:rPr>
          <w:rFonts w:hint="eastAsia" w:ascii="仿宋" w:hAnsi="仿宋" w:eastAsia="仿宋" w:cs="仿宋"/>
          <w:b w:val="0"/>
          <w:bCs w:val="0"/>
          <w:kern w:val="0"/>
          <w:sz w:val="28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4"/>
          <w:lang w:val="en-US" w:eastAsia="zh-CN" w:bidi="ar-SA"/>
        </w:rPr>
        <w:t>4、交货期：在采购代理机构发放的成交通知书规定的时间内和采购人签订合同，签订合同后30日内交货并完成安装、调试及验收和培训等工作。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kern w:val="0"/>
          <w:sz w:val="28"/>
        </w:rPr>
      </w:pPr>
      <w:r>
        <w:rPr>
          <w:rFonts w:hint="eastAsia" w:ascii="仿宋" w:hAnsi="仿宋" w:eastAsia="仿宋" w:cs="仿宋"/>
          <w:kern w:val="0"/>
          <w:sz w:val="28"/>
          <w:lang w:eastAsia="zh-CN"/>
        </w:rPr>
        <w:t>（七）</w:t>
      </w:r>
      <w:r>
        <w:rPr>
          <w:rFonts w:hint="eastAsia" w:ascii="仿宋" w:hAnsi="仿宋" w:eastAsia="仿宋" w:cs="仿宋"/>
          <w:kern w:val="0"/>
          <w:sz w:val="28"/>
        </w:rPr>
        <w:t>保密要求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kern w:val="0"/>
          <w:sz w:val="28"/>
        </w:rPr>
      </w:pPr>
      <w:r>
        <w:rPr>
          <w:rFonts w:hint="eastAsia" w:ascii="仿宋" w:hAnsi="仿宋" w:eastAsia="仿宋" w:cs="仿宋"/>
          <w:kern w:val="0"/>
          <w:sz w:val="28"/>
        </w:rPr>
        <w:t>供应商应保证采购人在使用该货物或其任何一部分时，不受第三方侵权指控。同时，供应商保证不向第三方泄露采购机构提供的技术文件等资料</w:t>
      </w:r>
      <w:r>
        <w:rPr>
          <w:rFonts w:hint="eastAsia" w:ascii="仿宋" w:hAnsi="仿宋" w:eastAsia="仿宋" w:cs="仿宋"/>
          <w:kern w:val="0"/>
          <w:sz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供应商须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eastAsia="zh-CN"/>
        </w:rPr>
        <w:t>在响应文件中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提供保密承诺函，未提供或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eastAsia="zh-CN"/>
        </w:rPr>
        <w:t>提供的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经询价小组认定无效的作无效响应处理。</w:t>
      </w:r>
      <w:r>
        <w:rPr>
          <w:rFonts w:hint="eastAsia" w:ascii="仿宋" w:hAnsi="仿宋" w:eastAsia="仿宋" w:cs="仿宋"/>
          <w:kern w:val="0"/>
          <w:sz w:val="28"/>
        </w:rPr>
        <w:t>）。</w:t>
      </w:r>
    </w:p>
    <w:p>
      <w:pPr>
        <w:bidi w:val="0"/>
      </w:pPr>
    </w:p>
    <w:p>
      <w:pPr>
        <w:bidi w:val="0"/>
      </w:pPr>
    </w:p>
    <w:p/>
    <w:p>
      <w:pPr>
        <w:bidi w:val="0"/>
        <w:jc w:val="center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 xml:space="preserve">                                           </w:t>
      </w:r>
      <w:bookmarkStart w:id="0" w:name="_GoBack"/>
      <w:bookmarkEnd w:id="0"/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赣州某单位</w:t>
      </w:r>
    </w:p>
    <w:p>
      <w:pPr>
        <w:bidi w:val="0"/>
        <w:jc w:val="right"/>
        <w:rPr>
          <w:rFonts w:hint="default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2022年4月19日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5B44F1"/>
    <w:rsid w:val="00603DF5"/>
    <w:rsid w:val="00BA4F28"/>
    <w:rsid w:val="025E3296"/>
    <w:rsid w:val="03C56C75"/>
    <w:rsid w:val="04155CC9"/>
    <w:rsid w:val="04C3013E"/>
    <w:rsid w:val="05C611F9"/>
    <w:rsid w:val="069A6AB1"/>
    <w:rsid w:val="0E0336E5"/>
    <w:rsid w:val="0F9F59EA"/>
    <w:rsid w:val="11C71C1F"/>
    <w:rsid w:val="13B763E3"/>
    <w:rsid w:val="144C0FCC"/>
    <w:rsid w:val="14B050C1"/>
    <w:rsid w:val="18A93291"/>
    <w:rsid w:val="1AAD0C3B"/>
    <w:rsid w:val="1C6273D0"/>
    <w:rsid w:val="1E0B71CC"/>
    <w:rsid w:val="20346F67"/>
    <w:rsid w:val="2075068E"/>
    <w:rsid w:val="2083687C"/>
    <w:rsid w:val="216C6213"/>
    <w:rsid w:val="223C4270"/>
    <w:rsid w:val="229E604D"/>
    <w:rsid w:val="22E77BC0"/>
    <w:rsid w:val="26E622E7"/>
    <w:rsid w:val="27400758"/>
    <w:rsid w:val="29A911A6"/>
    <w:rsid w:val="2AA81FCB"/>
    <w:rsid w:val="2AB1177C"/>
    <w:rsid w:val="2AE10DF5"/>
    <w:rsid w:val="306056BF"/>
    <w:rsid w:val="315E68EC"/>
    <w:rsid w:val="323A2621"/>
    <w:rsid w:val="32E5308B"/>
    <w:rsid w:val="38CE0D24"/>
    <w:rsid w:val="3DA0537A"/>
    <w:rsid w:val="3DF24FE1"/>
    <w:rsid w:val="3FEA33A4"/>
    <w:rsid w:val="422B7ACF"/>
    <w:rsid w:val="455B44F1"/>
    <w:rsid w:val="457F2365"/>
    <w:rsid w:val="47F31E1E"/>
    <w:rsid w:val="4E403C11"/>
    <w:rsid w:val="5053760C"/>
    <w:rsid w:val="50872DA9"/>
    <w:rsid w:val="50E347A4"/>
    <w:rsid w:val="520C5361"/>
    <w:rsid w:val="523E6E4A"/>
    <w:rsid w:val="53A32B6D"/>
    <w:rsid w:val="549C3E65"/>
    <w:rsid w:val="564E785B"/>
    <w:rsid w:val="590B6C9C"/>
    <w:rsid w:val="5E4D2E1A"/>
    <w:rsid w:val="5F095616"/>
    <w:rsid w:val="5F6D0C05"/>
    <w:rsid w:val="5F802699"/>
    <w:rsid w:val="613D6CA1"/>
    <w:rsid w:val="62457F62"/>
    <w:rsid w:val="693E4C47"/>
    <w:rsid w:val="6A060B90"/>
    <w:rsid w:val="6C2B00A3"/>
    <w:rsid w:val="6CDF6325"/>
    <w:rsid w:val="6E755016"/>
    <w:rsid w:val="71623D22"/>
    <w:rsid w:val="750F5937"/>
    <w:rsid w:val="75352903"/>
    <w:rsid w:val="77AC528E"/>
    <w:rsid w:val="7CC304CB"/>
    <w:rsid w:val="7D991AB5"/>
    <w:rsid w:val="7DE16CA5"/>
    <w:rsid w:val="7DE412AA"/>
    <w:rsid w:val="7E39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keepNext/>
      <w:keepLines/>
      <w:tabs>
        <w:tab w:val="left" w:pos="425"/>
      </w:tabs>
      <w:spacing w:before="100" w:after="100" w:line="360" w:lineRule="auto"/>
      <w:ind w:left="0" w:firstLine="0"/>
      <w:jc w:val="center"/>
      <w:outlineLvl w:val="0"/>
    </w:pPr>
    <w:rPr>
      <w:rFonts w:ascii="Calibri" w:hAnsi="Calibri" w:eastAsia="宋体"/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100" w:after="100" w:line="360" w:lineRule="auto"/>
      <w:ind w:firstLine="0"/>
      <w:jc w:val="center"/>
      <w:outlineLvl w:val="1"/>
    </w:pPr>
    <w:rPr>
      <w:rFonts w:ascii="Arial" w:hAnsi="Arial" w:eastAsia="仿宋" w:cs="Times New Roman"/>
      <w:b/>
      <w:kern w:val="0"/>
      <w:sz w:val="32"/>
      <w:szCs w:val="20"/>
    </w:rPr>
  </w:style>
  <w:style w:type="paragraph" w:styleId="4">
    <w:name w:val="heading 3"/>
    <w:basedOn w:val="1"/>
    <w:next w:val="1"/>
    <w:link w:val="9"/>
    <w:semiHidden/>
    <w:unhideWhenUsed/>
    <w:qFormat/>
    <w:uiPriority w:val="0"/>
    <w:pPr>
      <w:keepNext/>
      <w:keepLines/>
      <w:spacing w:before="40" w:beforeLines="0" w:after="40" w:afterLines="0" w:line="360" w:lineRule="auto"/>
      <w:ind w:firstLine="0" w:firstLineChars="0"/>
      <w:jc w:val="left"/>
      <w:outlineLvl w:val="2"/>
    </w:pPr>
    <w:rPr>
      <w:rFonts w:ascii="Times New Roman" w:hAnsi="Times New Roman" w:eastAsia="仿宋" w:cs="Times New Roman"/>
      <w:b/>
      <w:bCs/>
      <w:color w:val="000000"/>
      <w:sz w:val="30"/>
      <w:szCs w:val="32"/>
      <w:lang w:eastAsia="en-US" w:bidi="en-US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hint="eastAsia" w:ascii="Arial" w:hAnsi="Arial" w:eastAsia="仿宋" w:cs="Times New Roman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next w:val="1"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9">
    <w:name w:val="标题 3 Char"/>
    <w:link w:val="4"/>
    <w:qFormat/>
    <w:uiPriority w:val="0"/>
    <w:rPr>
      <w:rFonts w:ascii="Times New Roman" w:hAnsi="Times New Roman" w:eastAsia="仿宋" w:cs="Times New Roman"/>
      <w:b/>
      <w:color w:val="000000"/>
      <w:sz w:val="32"/>
      <w:szCs w:val="22"/>
      <w:lang w:eastAsia="en-US" w:bidi="en-US"/>
    </w:rPr>
  </w:style>
  <w:style w:type="character" w:customStyle="1" w:styleId="10">
    <w:name w:val="标题 2 Char1"/>
    <w:link w:val="2"/>
    <w:qFormat/>
    <w:uiPriority w:val="0"/>
    <w:rPr>
      <w:rFonts w:ascii="Arial" w:hAnsi="Arial" w:eastAsia="仿宋_GB2312" w:cs="Times New Roman"/>
      <w:b/>
      <w:bCs/>
      <w:kern w:val="2"/>
      <w:sz w:val="32"/>
      <w:szCs w:val="32"/>
    </w:rPr>
  </w:style>
  <w:style w:type="character" w:customStyle="1" w:styleId="11">
    <w:name w:val="标题 1 Char"/>
    <w:link w:val="3"/>
    <w:qFormat/>
    <w:uiPriority w:val="9"/>
    <w:rPr>
      <w:rFonts w:ascii="Calibri" w:hAnsi="Calibri" w:eastAsia="宋体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2022-04-19T02:36:00Z</dcterms:created>
  <dc:creator>WPS_1642488266</dc:creator>
  <cp:lastModifiedBy>WPS_1642488266</cp:lastModifiedBy>
  <dcterms:modified xsi:type="dcterms:W3CDTF">2022-04-19T02:37:31Z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E09FE184FDB240699637B1A3ED2F2984</vt:lpwstr>
  </property>
</Properties>
</file>