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20" w:lineRule="exact"/>
        <w:ind w:left="191" w:leftChars="91"/>
        <w:jc w:val="center"/>
        <w:rPr>
          <w:rFonts w:hint="eastAsia" w:ascii="宋体" w:hAnsi="宋体"/>
          <w:color w:val="auto"/>
          <w:sz w:val="24"/>
          <w:szCs w:val="24"/>
          <w:highlight w:val="none"/>
        </w:rPr>
      </w:pPr>
      <w:bookmarkStart w:id="0" w:name="_Toc85445548"/>
      <w:bookmarkStart w:id="31" w:name="_GoBack"/>
      <w:r>
        <w:rPr>
          <w:rFonts w:hint="eastAsia" w:ascii="宋体" w:hAnsi="宋体"/>
          <w:color w:val="auto"/>
          <w:sz w:val="24"/>
          <w:szCs w:val="24"/>
          <w:highlight w:val="none"/>
          <w:lang w:eastAsia="zh-CN"/>
        </w:rPr>
        <w:t>仪器设备采购项目（非政府集中采购目录商品）</w:t>
      </w:r>
      <w:r>
        <w:rPr>
          <w:rFonts w:hint="eastAsia" w:ascii="宋体" w:hAnsi="宋体"/>
          <w:color w:val="auto"/>
          <w:sz w:val="24"/>
          <w:szCs w:val="24"/>
          <w:highlight w:val="none"/>
        </w:rPr>
        <w:t>竞争性谈判公告</w:t>
      </w:r>
      <w:bookmarkEnd w:id="0"/>
    </w:p>
    <w:bookmarkEnd w:id="31"/>
    <w:p>
      <w:pPr>
        <w:rPr>
          <w:color w:val="auto"/>
          <w:highlight w:val="none"/>
        </w:rPr>
      </w:pPr>
    </w:p>
    <w:p>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val="0"/>
        <w:overflowPunct/>
        <w:topLinePunct w:val="0"/>
        <w:autoSpaceDE/>
        <w:autoSpaceDN/>
        <w:bidi w:val="0"/>
        <w:adjustRightInd/>
        <w:snapToGrid/>
        <w:spacing w:line="360" w:lineRule="auto"/>
        <w:ind w:firstLine="840" w:firstLineChars="400"/>
        <w:textAlignment w:val="auto"/>
        <w:rPr>
          <w:rFonts w:ascii="宋体" w:hAnsi="宋体"/>
          <w:color w:val="auto"/>
          <w:szCs w:val="21"/>
          <w:highlight w:val="none"/>
        </w:rPr>
      </w:pPr>
      <w:r>
        <w:rPr>
          <w:rFonts w:hint="eastAsia" w:ascii="宋体" w:hAnsi="宋体" w:eastAsia="宋体" w:cs="Times New Roman"/>
          <w:color w:val="auto"/>
          <w:szCs w:val="21"/>
          <w:highlight w:val="none"/>
          <w:u w:val="single"/>
          <w:lang w:val="en-US" w:eastAsia="zh-CN"/>
        </w:rPr>
        <w:t xml:space="preserve"> 仪器设备采购项目（非政府集中采购目录商品） </w:t>
      </w:r>
      <w:r>
        <w:rPr>
          <w:rFonts w:hint="eastAsia" w:ascii="宋体" w:hAnsi="宋体"/>
          <w:color w:val="auto"/>
          <w:szCs w:val="21"/>
          <w:highlight w:val="none"/>
        </w:rPr>
        <w:t>的潜在供应商应在政采云平台（https://www.zcygov.cn/）获取竞争性谈判文件，并于</w:t>
      </w:r>
      <w:r>
        <w:rPr>
          <w:rFonts w:hint="eastAsia" w:ascii="宋体" w:hAnsi="宋体"/>
          <w:color w:val="auto"/>
          <w:szCs w:val="21"/>
          <w:highlight w:val="none"/>
          <w:u w:val="single"/>
          <w:lang w:val="en-US" w:eastAsia="zh-CN"/>
        </w:rPr>
        <w:t>2023年12月11日09时30分</w:t>
      </w:r>
      <w:r>
        <w:rPr>
          <w:rFonts w:hint="eastAsia" w:ascii="宋体" w:hAnsi="宋体"/>
          <w:bCs/>
          <w:color w:val="auto"/>
          <w:szCs w:val="21"/>
          <w:highlight w:val="none"/>
        </w:rPr>
        <w:t>（北京时间）前提交响应</w:t>
      </w:r>
      <w:r>
        <w:rPr>
          <w:rFonts w:ascii="宋体" w:hAnsi="宋体"/>
          <w:bCs/>
          <w:color w:val="auto"/>
          <w:szCs w:val="21"/>
          <w:highlight w:val="none"/>
        </w:rPr>
        <w:t>文件</w:t>
      </w:r>
      <w:r>
        <w:rPr>
          <w:rFonts w:hint="eastAsia" w:ascii="宋体" w:hAnsi="宋体"/>
          <w:color w:val="auto"/>
          <w:szCs w:val="21"/>
          <w:highlight w:val="none"/>
        </w:rPr>
        <w:t>。</w:t>
      </w:r>
    </w:p>
    <w:p>
      <w:pPr>
        <w:spacing w:line="360" w:lineRule="auto"/>
        <w:rPr>
          <w:rFonts w:ascii="宋体" w:hAnsi="宋体"/>
          <w:color w:val="auto"/>
          <w:szCs w:val="21"/>
          <w:highlight w:val="none"/>
        </w:rPr>
      </w:pPr>
    </w:p>
    <w:p>
      <w:pPr>
        <w:pStyle w:val="3"/>
        <w:spacing w:before="0" w:after="0" w:line="360" w:lineRule="auto"/>
        <w:ind w:firstLine="482" w:firstLineChars="200"/>
        <w:rPr>
          <w:rFonts w:ascii="黑体" w:hAnsi="黑体" w:eastAsia="黑体" w:cs="宋体"/>
          <w:bCs w:val="0"/>
          <w:color w:val="auto"/>
          <w:sz w:val="24"/>
          <w:szCs w:val="24"/>
          <w:highlight w:val="none"/>
        </w:rPr>
      </w:pPr>
      <w:bookmarkStart w:id="1" w:name="_Toc35393629"/>
      <w:bookmarkStart w:id="2" w:name="_Toc35393798"/>
      <w:bookmarkStart w:id="3" w:name="_Toc28359012"/>
      <w:bookmarkStart w:id="4" w:name="_Toc28359089"/>
      <w:r>
        <w:rPr>
          <w:rFonts w:hint="eastAsia" w:ascii="黑体" w:hAnsi="黑体" w:eastAsia="黑体" w:cs="宋体"/>
          <w:bCs w:val="0"/>
          <w:color w:val="auto"/>
          <w:sz w:val="24"/>
          <w:szCs w:val="24"/>
          <w:highlight w:val="none"/>
        </w:rPr>
        <w:t>一、项目基本情况</w:t>
      </w:r>
      <w:bookmarkEnd w:id="1"/>
      <w:bookmarkEnd w:id="2"/>
      <w:bookmarkEnd w:id="3"/>
      <w:bookmarkEnd w:id="4"/>
    </w:p>
    <w:p>
      <w:pPr>
        <w:spacing w:line="360"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项目编号：</w:t>
      </w:r>
      <w:r>
        <w:rPr>
          <w:rFonts w:hint="eastAsia" w:ascii="宋体" w:hAnsi="宋体" w:eastAsia="宋体" w:cs="Times New Roman"/>
          <w:color w:val="auto"/>
          <w:szCs w:val="21"/>
          <w:highlight w:val="none"/>
          <w:lang w:eastAsia="zh-CN"/>
        </w:rPr>
        <w:t>YLZC2023-J1-990397-YTGC</w:t>
      </w:r>
    </w:p>
    <w:p>
      <w:pPr>
        <w:spacing w:line="360" w:lineRule="auto"/>
        <w:ind w:left="420" w:leftChars="200" w:firstLine="0" w:firstLineChars="0"/>
        <w:rPr>
          <w:rFonts w:hint="eastAsia" w:ascii="宋体" w:hAnsi="宋体" w:eastAsia="宋体" w:cs="Times New Roman"/>
          <w:color w:val="auto"/>
          <w:szCs w:val="21"/>
          <w:highlight w:val="none"/>
          <w:lang w:eastAsia="zh-CN"/>
        </w:rPr>
      </w:pPr>
      <w:r>
        <w:rPr>
          <w:rFonts w:hint="eastAsia" w:ascii="宋体" w:hAnsi="宋体"/>
          <w:color w:val="auto"/>
          <w:szCs w:val="21"/>
          <w:highlight w:val="none"/>
        </w:rPr>
        <w:t>采购计划文号：</w:t>
      </w:r>
      <w:r>
        <w:rPr>
          <w:rFonts w:hint="eastAsia" w:ascii="宋体" w:hAnsi="宋体" w:eastAsia="宋体" w:cs="Times New Roman"/>
          <w:color w:val="auto"/>
          <w:szCs w:val="21"/>
          <w:highlight w:val="none"/>
        </w:rPr>
        <w:t>YLZC202</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-J1-</w:t>
      </w:r>
      <w:r>
        <w:rPr>
          <w:rFonts w:hint="eastAsia" w:ascii="宋体" w:hAnsi="宋体" w:eastAsia="宋体" w:cs="Times New Roman"/>
          <w:color w:val="auto"/>
          <w:szCs w:val="21"/>
          <w:highlight w:val="none"/>
          <w:lang w:val="en-US" w:eastAsia="zh-CN"/>
        </w:rPr>
        <w:t>11190-001、</w:t>
      </w:r>
      <w:r>
        <w:rPr>
          <w:rFonts w:hint="eastAsia" w:ascii="宋体" w:hAnsi="宋体" w:eastAsia="宋体" w:cs="Times New Roman"/>
          <w:color w:val="auto"/>
          <w:szCs w:val="21"/>
          <w:highlight w:val="none"/>
        </w:rPr>
        <w:t>YLZC202</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-J1-</w:t>
      </w:r>
      <w:r>
        <w:rPr>
          <w:rFonts w:hint="eastAsia" w:ascii="宋体" w:hAnsi="宋体" w:eastAsia="宋体" w:cs="Times New Roman"/>
          <w:color w:val="auto"/>
          <w:szCs w:val="21"/>
          <w:highlight w:val="none"/>
          <w:lang w:val="en-US" w:eastAsia="zh-CN"/>
        </w:rPr>
        <w:t>11190-002、</w:t>
      </w:r>
      <w:r>
        <w:rPr>
          <w:rFonts w:hint="eastAsia" w:ascii="宋体" w:hAnsi="宋体" w:eastAsia="宋体" w:cs="Times New Roman"/>
          <w:color w:val="auto"/>
          <w:szCs w:val="21"/>
          <w:highlight w:val="none"/>
        </w:rPr>
        <w:t>YLZC202</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-J1-</w:t>
      </w:r>
      <w:r>
        <w:rPr>
          <w:rFonts w:hint="eastAsia" w:ascii="宋体" w:hAnsi="宋体" w:eastAsia="宋体" w:cs="Times New Roman"/>
          <w:color w:val="auto"/>
          <w:szCs w:val="21"/>
          <w:highlight w:val="none"/>
          <w:lang w:val="en-US" w:eastAsia="zh-CN"/>
        </w:rPr>
        <w:t>11190-003</w:t>
      </w:r>
      <w:r>
        <w:rPr>
          <w:rFonts w:hint="eastAsia" w:ascii="宋体" w:hAnsi="宋体" w:eastAsia="宋体" w:cs="Times New Roman"/>
          <w:color w:val="auto"/>
          <w:szCs w:val="21"/>
          <w:highlight w:val="none"/>
          <w:lang w:val="en-US" w:eastAsia="zh-CN"/>
        </w:rPr>
        <w:br w:type="textWrapping"/>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仪器设备采购项目（非政府集中采购目录商品）</w:t>
      </w:r>
    </w:p>
    <w:p>
      <w:pPr>
        <w:spacing w:line="360" w:lineRule="auto"/>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采购方式：</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 xml:space="preserve">竞争性谈判 </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竞争性磋商 □询价</w:t>
      </w:r>
    </w:p>
    <w:p>
      <w:pPr>
        <w:spacing w:line="360" w:lineRule="auto"/>
        <w:ind w:firstLine="420" w:firstLineChars="200"/>
        <w:rPr>
          <w:rFonts w:hint="default" w:ascii="宋体" w:hAnsi="宋体" w:eastAsia="宋体" w:cs="Times New Roman"/>
          <w:color w:val="auto"/>
          <w:szCs w:val="21"/>
          <w:highlight w:val="none"/>
          <w:u w:val="single"/>
          <w:lang w:val="en-US" w:eastAsia="zh-CN"/>
        </w:rPr>
      </w:pPr>
      <w:r>
        <w:rPr>
          <w:rFonts w:hint="eastAsia" w:ascii="宋体" w:hAnsi="宋体" w:eastAsia="宋体" w:cs="Times New Roman"/>
          <w:color w:val="auto"/>
          <w:szCs w:val="21"/>
          <w:highlight w:val="none"/>
        </w:rPr>
        <w:t>预算金额（人民币）：</w:t>
      </w:r>
      <w:r>
        <w:rPr>
          <w:rFonts w:hint="eastAsia" w:ascii="宋体" w:hAnsi="宋体" w:eastAsia="宋体" w:cs="Times New Roman"/>
          <w:color w:val="auto"/>
          <w:szCs w:val="21"/>
          <w:highlight w:val="none"/>
          <w:u w:val="single"/>
          <w:lang w:val="en-US" w:eastAsia="zh-CN"/>
        </w:rPr>
        <w:t>A分标298000.00</w:t>
      </w:r>
      <w:r>
        <w:rPr>
          <w:rFonts w:hint="eastAsia" w:ascii="宋体" w:hAnsi="宋体" w:eastAsia="宋体" w:cs="Times New Roman"/>
          <w:color w:val="auto"/>
          <w:szCs w:val="21"/>
          <w:highlight w:val="none"/>
          <w:u w:val="single"/>
        </w:rPr>
        <w:t>元</w:t>
      </w:r>
      <w:r>
        <w:rPr>
          <w:rFonts w:hint="eastAsia" w:ascii="宋体" w:hAnsi="宋体" w:eastAsia="宋体" w:cs="Times New Roman"/>
          <w:color w:val="auto"/>
          <w:szCs w:val="21"/>
          <w:highlight w:val="none"/>
          <w:u w:val="single"/>
          <w:lang w:eastAsia="zh-CN"/>
        </w:rPr>
        <w:t>；</w:t>
      </w:r>
      <w:r>
        <w:rPr>
          <w:rFonts w:hint="eastAsia" w:ascii="宋体" w:hAnsi="宋体" w:eastAsia="宋体" w:cs="Times New Roman"/>
          <w:color w:val="auto"/>
          <w:szCs w:val="21"/>
          <w:highlight w:val="none"/>
          <w:u w:val="single"/>
          <w:lang w:val="en-US" w:eastAsia="zh-CN"/>
        </w:rPr>
        <w:t>B分标290170.00元；C分标98788.00元。</w:t>
      </w:r>
    </w:p>
    <w:p>
      <w:pPr>
        <w:pStyle w:val="6"/>
        <w:spacing w:line="440" w:lineRule="exact"/>
        <w:ind w:left="0" w:leftChars="0" w:firstLine="420" w:firstLineChars="200"/>
        <w:outlineLvl w:val="9"/>
        <w:rPr>
          <w:rFonts w:hint="eastAsia"/>
          <w:color w:val="auto"/>
          <w:highlight w:val="none"/>
        </w:rPr>
      </w:pPr>
      <w:r>
        <w:rPr>
          <w:rFonts w:hint="eastAsia" w:ascii="宋体" w:hAnsi="宋体" w:eastAsia="宋体" w:cs="宋体"/>
          <w:bCs/>
          <w:color w:val="auto"/>
          <w:kern w:val="2"/>
          <w:sz w:val="21"/>
          <w:szCs w:val="24"/>
          <w:highlight w:val="none"/>
          <w:lang w:val="en-US" w:eastAsia="zh-CN" w:bidi="ar-SA"/>
        </w:rPr>
        <w:t>采购需求：</w:t>
      </w:r>
    </w:p>
    <w:tbl>
      <w:tblPr>
        <w:tblStyle w:val="9"/>
        <w:tblpPr w:leftFromText="180" w:rightFromText="180" w:vertAnchor="text" w:horzAnchor="page" w:tblpX="1902" w:tblpY="198"/>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4"/>
        <w:gridCol w:w="2358"/>
        <w:gridCol w:w="1375"/>
        <w:gridCol w:w="43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0" w:hRule="atLeast"/>
        </w:trPr>
        <w:tc>
          <w:tcPr>
            <w:tcW w:w="8715" w:type="dxa"/>
            <w:gridSpan w:val="4"/>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left"/>
              <w:rPr>
                <w:rFonts w:hint="default" w:ascii="宋体" w:hAnsi="宋体" w:eastAsia="宋体" w:cs="Arial"/>
                <w:bCs/>
                <w:color w:val="auto"/>
                <w:szCs w:val="21"/>
                <w:highlight w:val="none"/>
                <w:u w:val="single"/>
                <w:lang w:val="en-US" w:eastAsia="zh-CN"/>
              </w:rPr>
            </w:pPr>
            <w:r>
              <w:rPr>
                <w:rFonts w:hint="eastAsia" w:ascii="宋体" w:hAnsi="宋体" w:cs="Arial"/>
                <w:bCs/>
                <w:color w:val="auto"/>
                <w:szCs w:val="21"/>
                <w:highlight w:val="none"/>
                <w:u w:val="single"/>
                <w:lang w:val="en-US" w:eastAsia="zh-CN"/>
              </w:rPr>
              <w:t>A分标；预算金额：</w:t>
            </w:r>
            <w:r>
              <w:rPr>
                <w:rFonts w:hint="eastAsia" w:ascii="宋体" w:hAnsi="宋体" w:eastAsia="宋体" w:cs="Times New Roman"/>
                <w:color w:val="auto"/>
                <w:szCs w:val="21"/>
                <w:highlight w:val="none"/>
                <w:u w:val="single"/>
                <w:lang w:val="en-US" w:eastAsia="zh-CN"/>
              </w:rPr>
              <w:t>298000.00</w:t>
            </w:r>
            <w:r>
              <w:rPr>
                <w:rFonts w:hint="eastAsia" w:ascii="宋体" w:hAnsi="宋体" w:eastAsia="宋体" w:cs="Times New Roman"/>
                <w:color w:val="auto"/>
                <w:szCs w:val="21"/>
                <w:highlight w:val="none"/>
                <w:u w:val="single"/>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序号</w:t>
            </w:r>
          </w:p>
        </w:tc>
        <w:tc>
          <w:tcPr>
            <w:tcW w:w="2358"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标的的名称</w:t>
            </w:r>
          </w:p>
        </w:tc>
        <w:tc>
          <w:tcPr>
            <w:tcW w:w="1375"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hint="eastAsia" w:ascii="宋体" w:hAnsi="宋体" w:cs="Arial"/>
                <w:bCs/>
                <w:color w:val="auto"/>
                <w:szCs w:val="21"/>
                <w:highlight w:val="none"/>
              </w:rPr>
            </w:pPr>
            <w:r>
              <w:rPr>
                <w:rFonts w:hint="eastAsia" w:ascii="宋体" w:hAnsi="宋体" w:cs="Arial"/>
                <w:bCs/>
                <w:color w:val="auto"/>
                <w:szCs w:val="21"/>
                <w:highlight w:val="none"/>
              </w:rPr>
              <w:t>数量及单位</w:t>
            </w:r>
          </w:p>
        </w:tc>
        <w:tc>
          <w:tcPr>
            <w:tcW w:w="4328"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01</w:t>
            </w:r>
          </w:p>
        </w:tc>
        <w:tc>
          <w:tcPr>
            <w:tcW w:w="2358"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仪器设备采购项目（非政府集中采购目录商品）（1-A）</w:t>
            </w:r>
          </w:p>
        </w:tc>
        <w:tc>
          <w:tcPr>
            <w:tcW w:w="1375"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hint="default" w:ascii="宋体" w:hAnsi="宋体" w:eastAsia="宋体" w:cs="Arial"/>
                <w:bCs/>
                <w:color w:val="auto"/>
                <w:szCs w:val="21"/>
                <w:highlight w:val="none"/>
                <w:lang w:val="en-US" w:eastAsia="zh-CN"/>
              </w:rPr>
            </w:pPr>
            <w:r>
              <w:rPr>
                <w:rFonts w:hint="eastAsia" w:ascii="宋体" w:hAnsi="宋体" w:cs="Arial"/>
                <w:bCs/>
                <w:color w:val="auto"/>
                <w:szCs w:val="21"/>
                <w:highlight w:val="none"/>
                <w:lang w:val="en-US" w:eastAsia="zh-CN"/>
              </w:rPr>
              <w:t>1批</w:t>
            </w:r>
          </w:p>
        </w:tc>
        <w:tc>
          <w:tcPr>
            <w:tcW w:w="4328"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详见竞争性谈判文件采购需求。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8715"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cs="Arial"/>
                <w:bCs/>
                <w:color w:val="auto"/>
                <w:szCs w:val="21"/>
                <w:highlight w:val="none"/>
                <w:lang w:eastAsia="zh-CN"/>
              </w:rPr>
            </w:pPr>
            <w:r>
              <w:rPr>
                <w:rFonts w:hint="eastAsia" w:ascii="宋体" w:hAnsi="宋体"/>
                <w:color w:val="auto"/>
                <w:szCs w:val="21"/>
                <w:highlight w:val="none"/>
              </w:rPr>
              <w:t>合同履行期限：自签订合同之日起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35</w:t>
            </w:r>
            <w:r>
              <w:rPr>
                <w:rFonts w:hint="eastAsia" w:ascii="宋体" w:hAnsi="宋体"/>
                <w:color w:val="auto"/>
                <w:szCs w:val="21"/>
                <w:highlight w:val="none"/>
                <w:u w:val="single"/>
              </w:rPr>
              <w:t xml:space="preserve"> </w:t>
            </w:r>
            <w:r>
              <w:rPr>
                <w:rFonts w:hint="eastAsia" w:ascii="宋体" w:hAnsi="宋体"/>
                <w:color w:val="auto"/>
                <w:szCs w:val="21"/>
                <w:highlight w:val="none"/>
              </w:rPr>
              <w:t>个工作日内交付使用。</w:t>
            </w:r>
          </w:p>
        </w:tc>
      </w:tr>
    </w:tbl>
    <w:p>
      <w:pPr>
        <w:spacing w:line="360" w:lineRule="auto"/>
        <w:rPr>
          <w:rFonts w:hint="eastAsia" w:ascii="宋体" w:hAnsi="宋体"/>
          <w:b/>
          <w:bCs/>
          <w:color w:val="auto"/>
          <w:szCs w:val="21"/>
          <w:highlight w:val="none"/>
        </w:rPr>
      </w:pPr>
    </w:p>
    <w:tbl>
      <w:tblPr>
        <w:tblStyle w:val="9"/>
        <w:tblpPr w:leftFromText="180" w:rightFromText="180" w:vertAnchor="text" w:horzAnchor="page" w:tblpX="1902" w:tblpY="198"/>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4"/>
        <w:gridCol w:w="2346"/>
        <w:gridCol w:w="1412"/>
        <w:gridCol w:w="430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8715" w:type="dxa"/>
            <w:gridSpan w:val="4"/>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left"/>
              <w:rPr>
                <w:rFonts w:hint="default" w:ascii="宋体" w:hAnsi="宋体" w:eastAsia="宋体" w:cs="Arial"/>
                <w:bCs/>
                <w:color w:val="auto"/>
                <w:szCs w:val="21"/>
                <w:highlight w:val="none"/>
                <w:u w:val="single"/>
                <w:lang w:val="en-US" w:eastAsia="zh-CN"/>
              </w:rPr>
            </w:pPr>
            <w:r>
              <w:rPr>
                <w:rFonts w:hint="eastAsia" w:ascii="宋体" w:hAnsi="宋体" w:cs="Arial"/>
                <w:bCs/>
                <w:color w:val="auto"/>
                <w:szCs w:val="21"/>
                <w:highlight w:val="none"/>
                <w:u w:val="single"/>
                <w:lang w:val="en-US" w:eastAsia="zh-CN"/>
              </w:rPr>
              <w:t>B分标；预算金额：</w:t>
            </w:r>
            <w:r>
              <w:rPr>
                <w:rFonts w:hint="eastAsia" w:ascii="宋体" w:hAnsi="宋体" w:eastAsia="宋体" w:cs="Times New Roman"/>
                <w:color w:val="auto"/>
                <w:szCs w:val="21"/>
                <w:highlight w:val="none"/>
                <w:u w:val="single"/>
                <w:lang w:val="en-US" w:eastAsia="zh-CN"/>
              </w:rPr>
              <w:t>290170.00</w:t>
            </w:r>
            <w:r>
              <w:rPr>
                <w:rFonts w:hint="eastAsia" w:ascii="宋体" w:hAnsi="宋体" w:eastAsia="宋体" w:cs="Times New Roman"/>
                <w:color w:val="auto"/>
                <w:szCs w:val="21"/>
                <w:highlight w:val="none"/>
                <w:u w:val="single"/>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序号</w:t>
            </w:r>
          </w:p>
        </w:tc>
        <w:tc>
          <w:tcPr>
            <w:tcW w:w="2346"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标的的名称</w:t>
            </w:r>
          </w:p>
        </w:tc>
        <w:tc>
          <w:tcPr>
            <w:tcW w:w="1412"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hint="eastAsia" w:ascii="宋体" w:hAnsi="宋体" w:cs="Arial"/>
                <w:bCs/>
                <w:color w:val="auto"/>
                <w:szCs w:val="21"/>
                <w:highlight w:val="none"/>
              </w:rPr>
            </w:pPr>
            <w:r>
              <w:rPr>
                <w:rFonts w:hint="eastAsia" w:ascii="宋体" w:hAnsi="宋体" w:cs="Arial"/>
                <w:bCs/>
                <w:color w:val="auto"/>
                <w:szCs w:val="21"/>
                <w:highlight w:val="none"/>
              </w:rPr>
              <w:t>数量及单位</w:t>
            </w:r>
          </w:p>
        </w:tc>
        <w:tc>
          <w:tcPr>
            <w:tcW w:w="4303"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2"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Arial"/>
                <w:bCs/>
                <w:color w:val="auto"/>
                <w:szCs w:val="21"/>
                <w:highlight w:val="none"/>
              </w:rPr>
            </w:pPr>
            <w:r>
              <w:rPr>
                <w:rFonts w:hint="eastAsia" w:ascii="宋体" w:hAnsi="宋体" w:eastAsia="宋体" w:cs="Arial"/>
                <w:bCs/>
                <w:color w:val="auto"/>
                <w:szCs w:val="21"/>
                <w:highlight w:val="none"/>
                <w:lang w:val="en-US" w:eastAsia="zh-CN"/>
              </w:rPr>
              <w:t>01</w:t>
            </w:r>
          </w:p>
        </w:tc>
        <w:tc>
          <w:tcPr>
            <w:tcW w:w="234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Arial"/>
                <w:bCs/>
                <w:color w:val="auto"/>
                <w:szCs w:val="21"/>
                <w:highlight w:val="none"/>
                <w:lang w:eastAsia="zh-CN"/>
              </w:rPr>
            </w:pPr>
            <w:r>
              <w:rPr>
                <w:rFonts w:hint="eastAsia" w:ascii="宋体" w:hAnsi="宋体" w:eastAsia="宋体" w:cs="Arial"/>
                <w:bCs/>
                <w:color w:val="auto"/>
                <w:szCs w:val="21"/>
                <w:highlight w:val="none"/>
                <w:lang w:val="en-US" w:eastAsia="zh-CN"/>
              </w:rPr>
              <w:t>仪器设备采购项目（非政府集中采购目录商品）（1-B）</w:t>
            </w:r>
          </w:p>
        </w:tc>
        <w:tc>
          <w:tcPr>
            <w:tcW w:w="1412"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hint="default" w:ascii="宋体" w:hAnsi="宋体" w:eastAsia="宋体" w:cs="Arial"/>
                <w:bCs/>
                <w:color w:val="auto"/>
                <w:szCs w:val="21"/>
                <w:highlight w:val="none"/>
                <w:lang w:val="en-US" w:eastAsia="zh-CN"/>
              </w:rPr>
            </w:pPr>
            <w:r>
              <w:rPr>
                <w:rFonts w:hint="eastAsia" w:ascii="宋体" w:hAnsi="宋体" w:cs="Arial"/>
                <w:bCs/>
                <w:color w:val="auto"/>
                <w:szCs w:val="21"/>
                <w:highlight w:val="none"/>
                <w:lang w:val="en-US" w:eastAsia="zh-CN"/>
              </w:rPr>
              <w:t>1批</w:t>
            </w:r>
          </w:p>
        </w:tc>
        <w:tc>
          <w:tcPr>
            <w:tcW w:w="430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详见竞争性谈判文件采购需求。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trPr>
        <w:tc>
          <w:tcPr>
            <w:tcW w:w="8715"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cs="Arial"/>
                <w:bCs/>
                <w:color w:val="auto"/>
                <w:szCs w:val="21"/>
                <w:highlight w:val="none"/>
                <w:lang w:eastAsia="zh-CN"/>
              </w:rPr>
            </w:pPr>
            <w:r>
              <w:rPr>
                <w:rFonts w:hint="eastAsia" w:ascii="宋体" w:hAnsi="宋体"/>
                <w:color w:val="auto"/>
                <w:szCs w:val="21"/>
                <w:highlight w:val="none"/>
              </w:rPr>
              <w:t>合同履行期限：自签订合同之日起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35</w:t>
            </w:r>
            <w:r>
              <w:rPr>
                <w:rFonts w:hint="eastAsia" w:ascii="宋体" w:hAnsi="宋体"/>
                <w:color w:val="auto"/>
                <w:szCs w:val="21"/>
                <w:highlight w:val="none"/>
                <w:u w:val="single"/>
              </w:rPr>
              <w:t xml:space="preserve"> </w:t>
            </w:r>
            <w:r>
              <w:rPr>
                <w:rFonts w:hint="eastAsia" w:ascii="宋体" w:hAnsi="宋体"/>
                <w:color w:val="auto"/>
                <w:szCs w:val="21"/>
                <w:highlight w:val="none"/>
              </w:rPr>
              <w:t>个工作日内交付使用。</w:t>
            </w:r>
          </w:p>
        </w:tc>
      </w:tr>
    </w:tbl>
    <w:p>
      <w:pPr>
        <w:pStyle w:val="8"/>
        <w:rPr>
          <w:rFonts w:hint="eastAsia"/>
          <w:color w:val="auto"/>
          <w:highlight w:val="none"/>
        </w:rPr>
      </w:pPr>
    </w:p>
    <w:tbl>
      <w:tblPr>
        <w:tblStyle w:val="9"/>
        <w:tblpPr w:leftFromText="180" w:rightFromText="180" w:vertAnchor="text" w:horzAnchor="page" w:tblpX="1902" w:tblpY="198"/>
        <w:tblOverlap w:val="never"/>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4"/>
        <w:gridCol w:w="2333"/>
        <w:gridCol w:w="1425"/>
        <w:gridCol w:w="430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8" w:hRule="atLeast"/>
        </w:trPr>
        <w:tc>
          <w:tcPr>
            <w:tcW w:w="8715" w:type="dxa"/>
            <w:gridSpan w:val="4"/>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left"/>
              <w:rPr>
                <w:rFonts w:hint="default" w:ascii="宋体" w:hAnsi="宋体" w:eastAsia="宋体" w:cs="Arial"/>
                <w:bCs/>
                <w:color w:val="auto"/>
                <w:szCs w:val="21"/>
                <w:highlight w:val="none"/>
                <w:u w:val="single"/>
                <w:lang w:val="en-US" w:eastAsia="zh-CN"/>
              </w:rPr>
            </w:pPr>
            <w:r>
              <w:rPr>
                <w:rFonts w:hint="eastAsia" w:ascii="宋体" w:hAnsi="宋体" w:cs="Arial"/>
                <w:bCs/>
                <w:color w:val="auto"/>
                <w:szCs w:val="21"/>
                <w:highlight w:val="none"/>
                <w:u w:val="single"/>
                <w:lang w:val="en-US" w:eastAsia="zh-CN"/>
              </w:rPr>
              <w:t>C分标；预算金额：</w:t>
            </w:r>
            <w:r>
              <w:rPr>
                <w:rFonts w:hint="eastAsia" w:ascii="宋体" w:hAnsi="宋体" w:eastAsia="宋体" w:cs="Times New Roman"/>
                <w:color w:val="auto"/>
                <w:szCs w:val="21"/>
                <w:highlight w:val="none"/>
                <w:u w:val="single"/>
                <w:lang w:val="en-US" w:eastAsia="zh-CN"/>
              </w:rPr>
              <w:t>98788.00</w:t>
            </w:r>
            <w:r>
              <w:rPr>
                <w:rFonts w:hint="eastAsia" w:ascii="宋体" w:hAnsi="宋体" w:eastAsia="宋体" w:cs="Times New Roman"/>
                <w:color w:val="auto"/>
                <w:szCs w:val="21"/>
                <w:highlight w:val="none"/>
                <w:u w:val="single"/>
              </w:rPr>
              <w:t>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序号</w:t>
            </w:r>
          </w:p>
        </w:tc>
        <w:tc>
          <w:tcPr>
            <w:tcW w:w="2333"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标的的名称</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hint="eastAsia" w:ascii="宋体" w:hAnsi="宋体" w:cs="Arial"/>
                <w:bCs/>
                <w:color w:val="auto"/>
                <w:szCs w:val="21"/>
                <w:highlight w:val="none"/>
              </w:rPr>
            </w:pPr>
            <w:r>
              <w:rPr>
                <w:rFonts w:hint="eastAsia" w:ascii="宋体" w:hAnsi="宋体" w:cs="Arial"/>
                <w:bCs/>
                <w:color w:val="auto"/>
                <w:szCs w:val="21"/>
                <w:highlight w:val="none"/>
              </w:rPr>
              <w:t>数量及单位</w:t>
            </w:r>
          </w:p>
        </w:tc>
        <w:tc>
          <w:tcPr>
            <w:tcW w:w="4303"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ascii="宋体" w:hAnsi="宋体" w:cs="Arial"/>
                <w:bCs/>
                <w:color w:val="auto"/>
                <w:szCs w:val="21"/>
                <w:highlight w:val="none"/>
              </w:rPr>
            </w:pPr>
            <w:r>
              <w:rPr>
                <w:rFonts w:hint="eastAsia" w:ascii="宋体" w:hAnsi="宋体" w:cs="Arial"/>
                <w:bCs/>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2"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Arial"/>
                <w:bCs/>
                <w:color w:val="auto"/>
                <w:szCs w:val="21"/>
                <w:highlight w:val="none"/>
              </w:rPr>
            </w:pPr>
            <w:r>
              <w:rPr>
                <w:rFonts w:hint="eastAsia" w:ascii="宋体" w:hAnsi="宋体" w:eastAsia="宋体" w:cs="Arial"/>
                <w:bCs/>
                <w:color w:val="auto"/>
                <w:szCs w:val="21"/>
                <w:highlight w:val="none"/>
                <w:lang w:val="en-US" w:eastAsia="zh-CN"/>
              </w:rPr>
              <w:t>01</w:t>
            </w:r>
          </w:p>
        </w:tc>
        <w:tc>
          <w:tcPr>
            <w:tcW w:w="2333"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Arial"/>
                <w:bCs/>
                <w:color w:val="auto"/>
                <w:szCs w:val="21"/>
                <w:highlight w:val="none"/>
                <w:lang w:eastAsia="zh-CN"/>
              </w:rPr>
            </w:pPr>
            <w:r>
              <w:rPr>
                <w:rFonts w:hint="eastAsia" w:ascii="宋体" w:hAnsi="宋体" w:eastAsia="宋体" w:cs="Arial"/>
                <w:bCs/>
                <w:color w:val="auto"/>
                <w:szCs w:val="21"/>
                <w:highlight w:val="none"/>
                <w:lang w:val="en-US" w:eastAsia="zh-CN"/>
              </w:rPr>
              <w:t>仪器设备采购项目（非政府集中采购目录商品）（1-C）</w:t>
            </w:r>
          </w:p>
        </w:tc>
        <w:tc>
          <w:tcPr>
            <w:tcW w:w="1425" w:type="dxa"/>
            <w:tcBorders>
              <w:top w:val="single" w:color="auto" w:sz="4" w:space="0"/>
              <w:left w:val="single" w:color="auto" w:sz="4" w:space="0"/>
              <w:bottom w:val="single" w:color="auto" w:sz="4" w:space="0"/>
              <w:right w:val="single" w:color="auto" w:sz="4" w:space="0"/>
            </w:tcBorders>
            <w:noWrap w:val="0"/>
            <w:vAlign w:val="center"/>
          </w:tcPr>
          <w:p>
            <w:pPr>
              <w:snapToGrid w:val="0"/>
              <w:spacing w:line="340" w:lineRule="exact"/>
              <w:jc w:val="center"/>
              <w:rPr>
                <w:rFonts w:hint="default" w:ascii="宋体" w:hAnsi="宋体" w:eastAsia="宋体" w:cs="Arial"/>
                <w:bCs/>
                <w:color w:val="auto"/>
                <w:szCs w:val="21"/>
                <w:highlight w:val="none"/>
                <w:lang w:val="en-US" w:eastAsia="zh-CN"/>
              </w:rPr>
            </w:pPr>
            <w:r>
              <w:rPr>
                <w:rFonts w:hint="eastAsia" w:ascii="宋体" w:hAnsi="宋体" w:cs="Arial"/>
                <w:bCs/>
                <w:color w:val="auto"/>
                <w:szCs w:val="21"/>
                <w:highlight w:val="none"/>
                <w:lang w:val="en-US" w:eastAsia="zh-CN"/>
              </w:rPr>
              <w:t>1批</w:t>
            </w:r>
          </w:p>
        </w:tc>
        <w:tc>
          <w:tcPr>
            <w:tcW w:w="4303"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ascii="宋体" w:hAnsi="宋体" w:eastAsia="宋体" w:cs="Arial"/>
                <w:bCs/>
                <w:color w:val="auto"/>
                <w:szCs w:val="21"/>
                <w:highlight w:val="none"/>
                <w:lang w:val="en-US" w:eastAsia="zh-CN"/>
              </w:rPr>
            </w:pPr>
            <w:r>
              <w:rPr>
                <w:rFonts w:hint="eastAsia" w:ascii="宋体" w:hAnsi="宋体" w:eastAsia="宋体" w:cs="Arial"/>
                <w:bCs/>
                <w:color w:val="auto"/>
                <w:szCs w:val="21"/>
                <w:highlight w:val="none"/>
                <w:lang w:val="en-US" w:eastAsia="zh-CN"/>
              </w:rPr>
              <w:t>详见竞争性谈判文件采购需求。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2" w:hRule="atLeast"/>
        </w:trPr>
        <w:tc>
          <w:tcPr>
            <w:tcW w:w="8715"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hint="eastAsia" w:ascii="宋体" w:hAnsi="宋体" w:cs="Arial"/>
                <w:bCs/>
                <w:color w:val="auto"/>
                <w:szCs w:val="21"/>
                <w:highlight w:val="none"/>
                <w:lang w:eastAsia="zh-CN"/>
              </w:rPr>
            </w:pPr>
            <w:r>
              <w:rPr>
                <w:rFonts w:hint="eastAsia" w:ascii="宋体" w:hAnsi="宋体"/>
                <w:color w:val="auto"/>
                <w:szCs w:val="21"/>
                <w:highlight w:val="none"/>
              </w:rPr>
              <w:t>合同履行期限：自签订合同之日起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35</w:t>
            </w:r>
            <w:r>
              <w:rPr>
                <w:rFonts w:hint="eastAsia" w:ascii="宋体" w:hAnsi="宋体"/>
                <w:color w:val="auto"/>
                <w:szCs w:val="21"/>
                <w:highlight w:val="none"/>
                <w:u w:val="single"/>
              </w:rPr>
              <w:t xml:space="preserve"> </w:t>
            </w:r>
            <w:r>
              <w:rPr>
                <w:rFonts w:hint="eastAsia" w:ascii="宋体" w:hAnsi="宋体"/>
                <w:color w:val="auto"/>
                <w:szCs w:val="21"/>
                <w:highlight w:val="none"/>
              </w:rPr>
              <w:t>个工作日内交付使用。</w:t>
            </w:r>
          </w:p>
        </w:tc>
      </w:tr>
    </w:tbl>
    <w:p>
      <w:pPr>
        <w:spacing w:line="360" w:lineRule="auto"/>
        <w:ind w:firstLine="422" w:firstLineChars="200"/>
        <w:rPr>
          <w:rFonts w:hint="eastAsia" w:ascii="宋体" w:hAnsi="宋体"/>
          <w:b/>
          <w:bCs/>
          <w:color w:val="auto"/>
          <w:szCs w:val="21"/>
          <w:highlight w:val="none"/>
        </w:rPr>
      </w:pPr>
      <w:r>
        <w:rPr>
          <w:rFonts w:hint="eastAsia" w:ascii="宋体" w:hAnsi="宋体"/>
          <w:b/>
          <w:bCs/>
          <w:color w:val="auto"/>
          <w:szCs w:val="21"/>
          <w:highlight w:val="none"/>
        </w:rPr>
        <w:t>本项目不接受联合体投标。</w:t>
      </w:r>
    </w:p>
    <w:p>
      <w:pPr>
        <w:pStyle w:val="3"/>
        <w:pageBreakBefore w:val="0"/>
        <w:widowControl w:val="0"/>
        <w:kinsoku/>
        <w:wordWrap/>
        <w:overflowPunct/>
        <w:topLinePunct w:val="0"/>
        <w:autoSpaceDE/>
        <w:autoSpaceDN/>
        <w:bidi w:val="0"/>
        <w:adjustRightInd/>
        <w:spacing w:before="0" w:after="0" w:line="440" w:lineRule="exact"/>
        <w:ind w:firstLine="482" w:firstLineChars="200"/>
        <w:textAlignment w:val="auto"/>
        <w:rPr>
          <w:rFonts w:ascii="黑体" w:hAnsi="黑体" w:eastAsia="黑体" w:cs="宋体"/>
          <w:bCs w:val="0"/>
          <w:color w:val="auto"/>
          <w:sz w:val="24"/>
          <w:szCs w:val="24"/>
          <w:highlight w:val="none"/>
        </w:rPr>
      </w:pPr>
      <w:bookmarkStart w:id="5" w:name="_Toc28359090"/>
      <w:bookmarkStart w:id="6" w:name="_Toc35393799"/>
      <w:bookmarkStart w:id="7" w:name="_Toc28359013"/>
      <w:bookmarkStart w:id="8" w:name="_Toc35393630"/>
      <w:r>
        <w:rPr>
          <w:rFonts w:hint="eastAsia" w:ascii="黑体" w:hAnsi="黑体" w:eastAsia="黑体" w:cs="宋体"/>
          <w:bCs w:val="0"/>
          <w:color w:val="auto"/>
          <w:sz w:val="24"/>
          <w:szCs w:val="24"/>
          <w:highlight w:val="none"/>
        </w:rPr>
        <w:t>二、供应商的资格条件：</w:t>
      </w:r>
      <w:bookmarkEnd w:id="5"/>
      <w:bookmarkEnd w:id="6"/>
      <w:bookmarkEnd w:id="7"/>
      <w:bookmarkEnd w:id="8"/>
    </w:p>
    <w:p>
      <w:pPr>
        <w:pageBreakBefore w:val="0"/>
        <w:widowControl w:val="0"/>
        <w:kinsoku/>
        <w:wordWrap/>
        <w:overflowPunct/>
        <w:topLinePunct w:val="0"/>
        <w:autoSpaceDE/>
        <w:autoSpaceDN/>
        <w:bidi w:val="0"/>
        <w:adjustRightInd/>
        <w:spacing w:line="440" w:lineRule="exact"/>
        <w:ind w:firstLine="420" w:firstLineChars="200"/>
        <w:textAlignment w:val="auto"/>
        <w:rPr>
          <w:rFonts w:ascii="宋体" w:hAnsi="宋体"/>
          <w:color w:val="auto"/>
          <w:szCs w:val="21"/>
          <w:highlight w:val="none"/>
        </w:rPr>
      </w:pPr>
      <w:bookmarkStart w:id="9" w:name="_Toc28359014"/>
      <w:bookmarkStart w:id="10" w:name="_Toc28359091"/>
      <w:r>
        <w:rPr>
          <w:rFonts w:hint="eastAsia" w:ascii="宋体" w:hAnsi="宋体"/>
          <w:color w:val="auto"/>
          <w:szCs w:val="21"/>
          <w:highlight w:val="none"/>
        </w:rPr>
        <w:t>1.满足《中华人民共和国政府采购法》第二十二条规定；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200"/>
        <w:textAlignment w:val="auto"/>
        <w:rPr>
          <w:rFonts w:hint="eastAsia"/>
          <w:color w:val="auto"/>
          <w:highlight w:val="none"/>
          <w:u w:val="single"/>
          <w:lang w:eastAsia="zh-CN"/>
        </w:rPr>
      </w:pPr>
      <w:r>
        <w:rPr>
          <w:rFonts w:ascii="宋体" w:hAnsi="宋体"/>
          <w:color w:val="auto"/>
          <w:szCs w:val="21"/>
          <w:highlight w:val="none"/>
        </w:rPr>
        <w:t>2</w:t>
      </w:r>
      <w:r>
        <w:rPr>
          <w:rFonts w:hint="eastAsia" w:ascii="宋体" w:hAnsi="宋体"/>
          <w:color w:val="auto"/>
          <w:szCs w:val="21"/>
          <w:highlight w:val="none"/>
        </w:rPr>
        <w:t>.落实政府采购政策需满足的资格要求：</w:t>
      </w:r>
      <w:r>
        <w:rPr>
          <w:rFonts w:hint="eastAsia" w:ascii="宋体" w:hAnsi="宋体"/>
          <w:color w:val="auto"/>
          <w:szCs w:val="21"/>
          <w:highlight w:val="none"/>
          <w:u w:val="single"/>
          <w:lang w:val="en-US" w:eastAsia="zh-CN"/>
        </w:rPr>
        <w:t>本项目属于专门面向中小企业采购的项目，货物制造商应为中小微企业或监狱企业或残疾人福利性单位；中小企业预留份额：100.00%。</w:t>
      </w:r>
    </w:p>
    <w:p>
      <w:pPr>
        <w:pageBreakBefore w:val="0"/>
        <w:widowControl w:val="0"/>
        <w:kinsoku/>
        <w:wordWrap/>
        <w:overflowPunct/>
        <w:topLinePunct w:val="0"/>
        <w:autoSpaceDE/>
        <w:autoSpaceDN/>
        <w:bidi w:val="0"/>
        <w:adjustRightInd/>
        <w:spacing w:line="440" w:lineRule="exact"/>
        <w:ind w:firstLine="420" w:firstLineChars="200"/>
        <w:textAlignment w:val="auto"/>
        <w:rPr>
          <w:rFonts w:hint="eastAsia" w:ascii="宋体" w:hAnsi="宋体" w:eastAsia="宋体"/>
          <w:color w:val="auto"/>
          <w:szCs w:val="21"/>
          <w:highlight w:val="none"/>
          <w:u w:val="single"/>
          <w:lang w:val="en-US" w:eastAsia="zh-CN"/>
        </w:rPr>
      </w:pPr>
      <w:r>
        <w:rPr>
          <w:rFonts w:hint="eastAsia" w:ascii="宋体" w:hAnsi="宋体"/>
          <w:color w:val="auto"/>
          <w:szCs w:val="21"/>
          <w:highlight w:val="none"/>
        </w:rPr>
        <w:t>3.本项目的特定资格要求：</w:t>
      </w:r>
      <w:r>
        <w:rPr>
          <w:rFonts w:hint="eastAsia" w:ascii="宋体" w:hAnsi="宋体"/>
          <w:color w:val="auto"/>
          <w:szCs w:val="21"/>
          <w:highlight w:val="none"/>
          <w:u w:val="single"/>
          <w:lang w:val="en-US" w:eastAsia="zh-CN"/>
        </w:rPr>
        <w:t>无</w:t>
      </w:r>
    </w:p>
    <w:p>
      <w:pPr>
        <w:pageBreakBefore w:val="0"/>
        <w:widowControl w:val="0"/>
        <w:kinsoku/>
        <w:wordWrap/>
        <w:overflowPunct/>
        <w:topLinePunct w:val="0"/>
        <w:autoSpaceDE/>
        <w:autoSpaceDN/>
        <w:bidi w:val="0"/>
        <w:adjustRightInd/>
        <w:snapToGrid w:val="0"/>
        <w:spacing w:line="440" w:lineRule="exact"/>
        <w:ind w:firstLine="420"/>
        <w:jc w:val="left"/>
        <w:textAlignment w:val="auto"/>
        <w:rPr>
          <w:rFonts w:hint="eastAsia" w:ascii="宋体" w:hAnsi="宋体"/>
          <w:color w:val="auto"/>
          <w:szCs w:val="21"/>
          <w:highlight w:val="none"/>
        </w:rPr>
      </w:pPr>
      <w:r>
        <w:rPr>
          <w:rFonts w:hint="eastAsia" w:ascii="宋体" w:hAnsi="宋体"/>
          <w:color w:val="auto"/>
          <w:szCs w:val="21"/>
          <w:highlight w:val="none"/>
          <w:lang w:val="en-US" w:eastAsia="zh-CN"/>
        </w:rPr>
        <w:t>4</w:t>
      </w:r>
      <w:r>
        <w:rPr>
          <w:rFonts w:ascii="宋体" w:hAnsi="宋体"/>
          <w:color w:val="auto"/>
          <w:szCs w:val="21"/>
          <w:highlight w:val="none"/>
        </w:rPr>
        <w:t>.</w:t>
      </w:r>
      <w:r>
        <w:rPr>
          <w:rFonts w:hint="eastAsia" w:ascii="宋体" w:hAnsi="宋体"/>
          <w:color w:val="auto"/>
          <w:szCs w:val="21"/>
          <w:highlight w:val="none"/>
        </w:rPr>
        <w:t xml:space="preserve"> 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pPr>
        <w:spacing w:line="360" w:lineRule="auto"/>
        <w:ind w:firstLine="420" w:firstLineChars="200"/>
        <w:rPr>
          <w:rFonts w:ascii="宋体" w:hAnsi="宋体"/>
          <w:color w:val="auto"/>
          <w:szCs w:val="21"/>
          <w:highlight w:val="none"/>
          <w:u w:val="single"/>
        </w:rPr>
      </w:pPr>
      <w:r>
        <w:rPr>
          <w:rFonts w:hint="eastAsia" w:ascii="宋体" w:hAnsi="宋体"/>
          <w:color w:val="auto"/>
          <w:szCs w:val="21"/>
          <w:highlight w:val="none"/>
          <w:lang w:val="en-US" w:eastAsia="zh-CN"/>
        </w:rPr>
        <w:t>5</w:t>
      </w:r>
      <w:r>
        <w:rPr>
          <w:rFonts w:ascii="宋体" w:hAnsi="宋体"/>
          <w:color w:val="auto"/>
          <w:szCs w:val="21"/>
          <w:highlight w:val="none"/>
        </w:rPr>
        <w:t>.</w:t>
      </w:r>
      <w:r>
        <w:rPr>
          <w:rFonts w:hint="eastAsia" w:ascii="宋体" w:hAnsi="宋体"/>
          <w:color w:val="auto"/>
          <w:szCs w:val="21"/>
          <w:highlight w:val="none"/>
        </w:rPr>
        <w:t xml:space="preserve"> 对在“信用中国”网站(www.creditchina.gov.cn) 、中国政府采购网(www.ccgp.gov.cn)被列入失信被执行人、统计严重失信企业名单、政府采购严重违法失信行为记录名单及其他不符合《中华人民共和国政府采购法》第二十二条规定条件的供应商，不得参与政府采购活动。</w:t>
      </w:r>
    </w:p>
    <w:p>
      <w:pPr>
        <w:pStyle w:val="3"/>
        <w:spacing w:before="0" w:after="0" w:line="360" w:lineRule="auto"/>
        <w:ind w:firstLine="482" w:firstLineChars="200"/>
        <w:rPr>
          <w:rFonts w:ascii="黑体" w:hAnsi="黑体" w:eastAsia="黑体" w:cs="宋体"/>
          <w:bCs w:val="0"/>
          <w:color w:val="auto"/>
          <w:sz w:val="24"/>
          <w:szCs w:val="24"/>
          <w:highlight w:val="none"/>
        </w:rPr>
      </w:pPr>
      <w:bookmarkStart w:id="11" w:name="_Toc35393631"/>
      <w:bookmarkStart w:id="12" w:name="_Toc35393800"/>
      <w:r>
        <w:rPr>
          <w:rFonts w:hint="eastAsia" w:ascii="黑体" w:hAnsi="黑体" w:eastAsia="黑体" w:cs="宋体"/>
          <w:bCs w:val="0"/>
          <w:color w:val="auto"/>
          <w:sz w:val="24"/>
          <w:szCs w:val="24"/>
          <w:highlight w:val="none"/>
        </w:rPr>
        <w:t>三、获取竞争性谈判文件</w:t>
      </w:r>
      <w:bookmarkEnd w:id="9"/>
      <w:bookmarkEnd w:id="10"/>
      <w:bookmarkEnd w:id="11"/>
      <w:bookmarkEnd w:id="12"/>
    </w:p>
    <w:p>
      <w:pPr>
        <w:spacing w:line="360" w:lineRule="auto"/>
        <w:ind w:firstLine="540"/>
        <w:rPr>
          <w:rFonts w:hint="eastAsia" w:ascii="宋体" w:hAnsi="宋体" w:cs="宋体"/>
          <w:color w:val="auto"/>
          <w:szCs w:val="21"/>
          <w:highlight w:val="none"/>
        </w:rPr>
      </w:pPr>
      <w:r>
        <w:rPr>
          <w:rFonts w:hint="eastAsia" w:ascii="宋体" w:hAnsi="宋体" w:cs="宋体"/>
          <w:color w:val="auto"/>
          <w:szCs w:val="21"/>
          <w:highlight w:val="none"/>
        </w:rPr>
        <w:t>1、获取时间：自招标公告发出之时起至202</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日18时止，每天上午08:00至12:00，下午15:00至18:00（北京时间，法定节假日除外）。</w:t>
      </w:r>
    </w:p>
    <w:p>
      <w:pPr>
        <w:spacing w:line="360" w:lineRule="auto"/>
        <w:ind w:firstLine="540"/>
        <w:rPr>
          <w:rFonts w:hint="eastAsia" w:ascii="宋体" w:hAnsi="宋体" w:cs="宋体"/>
          <w:color w:val="auto"/>
          <w:szCs w:val="21"/>
          <w:highlight w:val="none"/>
        </w:rPr>
      </w:pPr>
      <w:r>
        <w:rPr>
          <w:rFonts w:hint="eastAsia" w:ascii="宋体" w:hAnsi="宋体" w:cs="宋体"/>
          <w:color w:val="auto"/>
          <w:szCs w:val="21"/>
          <w:highlight w:val="none"/>
        </w:rPr>
        <w:t>2、地点（网址）：</w:t>
      </w:r>
      <w:r>
        <w:rPr>
          <w:rFonts w:hint="eastAsia" w:ascii="宋体" w:hAnsi="宋体" w:cs="宋体"/>
          <w:color w:val="auto"/>
          <w:szCs w:val="21"/>
          <w:highlight w:val="none"/>
          <w:lang w:val="en-US" w:eastAsia="zh-CN"/>
        </w:rPr>
        <w:t>政采云平台（https://www.zcygov.cn/）</w:t>
      </w:r>
      <w:r>
        <w:rPr>
          <w:rFonts w:hint="eastAsia" w:ascii="宋体" w:hAnsi="宋体" w:cs="宋体"/>
          <w:color w:val="auto"/>
          <w:szCs w:val="21"/>
          <w:highlight w:val="none"/>
        </w:rPr>
        <w:t> </w:t>
      </w:r>
    </w:p>
    <w:p>
      <w:pPr>
        <w:spacing w:line="360" w:lineRule="auto"/>
        <w:ind w:firstLine="54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w:t>
      </w:r>
      <w:r>
        <w:rPr>
          <w:rFonts w:hint="eastAsia" w:ascii="宋体" w:hAnsi="宋体" w:eastAsia="宋体" w:cs="宋体"/>
          <w:color w:val="auto"/>
          <w:szCs w:val="21"/>
          <w:highlight w:val="none"/>
        </w:rPr>
        <w:t>方式：</w:t>
      </w:r>
      <w:r>
        <w:rPr>
          <w:rFonts w:hint="eastAsia" w:ascii="宋体" w:hAnsi="宋体" w:eastAsia="宋体" w:cs="宋体"/>
          <w:color w:val="auto"/>
          <w:szCs w:val="21"/>
          <w:highlight w:val="none"/>
          <w:lang w:val="en-US" w:eastAsia="zh-CN"/>
        </w:rPr>
        <w:t>供应商须登录政采云平台（http://www.zcygov.cn/）在线自行下载竞争性谈判采购文件，未注册的供应商可在政采云平台完成注册后再进行报名再下载。如在操作过程中遇到问题或需技术支持，请致电政采云客服热线：95763。已获取竞争性谈判采购文件的供应商不等于符合本项目的供应商资格条件。</w:t>
      </w:r>
    </w:p>
    <w:p>
      <w:pPr>
        <w:spacing w:line="360" w:lineRule="auto"/>
        <w:ind w:firstLine="540"/>
        <w:rPr>
          <w:rFonts w:hint="eastAsia" w:ascii="宋体" w:hAnsi="宋体" w:cs="宋体"/>
          <w:color w:val="auto"/>
          <w:szCs w:val="21"/>
          <w:highlight w:val="none"/>
        </w:rPr>
      </w:pPr>
      <w:r>
        <w:rPr>
          <w:rFonts w:hint="eastAsia" w:ascii="宋体" w:hAnsi="宋体" w:cs="宋体"/>
          <w:color w:val="auto"/>
          <w:szCs w:val="21"/>
          <w:highlight w:val="none"/>
        </w:rPr>
        <w:t>4、售价（元）：0 </w:t>
      </w:r>
    </w:p>
    <w:p>
      <w:pPr>
        <w:pStyle w:val="3"/>
        <w:spacing w:before="0" w:after="0" w:line="360" w:lineRule="auto"/>
        <w:ind w:firstLine="482" w:firstLineChars="200"/>
        <w:rPr>
          <w:rFonts w:ascii="黑体" w:hAnsi="黑体" w:eastAsia="黑体" w:cs="宋体"/>
          <w:bCs w:val="0"/>
          <w:color w:val="auto"/>
          <w:sz w:val="24"/>
          <w:szCs w:val="24"/>
          <w:highlight w:val="none"/>
        </w:rPr>
      </w:pPr>
      <w:bookmarkStart w:id="13" w:name="_Toc35393801"/>
      <w:bookmarkStart w:id="14" w:name="_Toc35393632"/>
      <w:bookmarkStart w:id="15" w:name="_Toc28359015"/>
      <w:bookmarkStart w:id="16" w:name="_Toc28359092"/>
      <w:r>
        <w:rPr>
          <w:rFonts w:hint="eastAsia" w:ascii="黑体" w:hAnsi="黑体" w:eastAsia="黑体" w:cs="宋体"/>
          <w:bCs w:val="0"/>
          <w:color w:val="auto"/>
          <w:sz w:val="24"/>
          <w:szCs w:val="24"/>
          <w:highlight w:val="none"/>
        </w:rPr>
        <w:t>四、</w:t>
      </w:r>
      <w:r>
        <w:rPr>
          <w:rFonts w:hint="eastAsia" w:ascii="黑体" w:hAnsi="黑体" w:eastAsia="黑体" w:cs="宋体"/>
          <w:bCs w:val="0"/>
          <w:color w:val="auto"/>
          <w:sz w:val="24"/>
          <w:szCs w:val="24"/>
          <w:highlight w:val="none"/>
          <w:lang w:val="en-US" w:eastAsia="zh-CN"/>
        </w:rPr>
        <w:t>电子</w:t>
      </w:r>
      <w:r>
        <w:rPr>
          <w:rFonts w:hint="eastAsia" w:ascii="黑体" w:hAnsi="黑体" w:eastAsia="黑体" w:cs="宋体"/>
          <w:bCs w:val="0"/>
          <w:color w:val="auto"/>
          <w:sz w:val="24"/>
          <w:szCs w:val="24"/>
          <w:highlight w:val="none"/>
        </w:rPr>
        <w:t>响应文件提交</w:t>
      </w:r>
      <w:bookmarkEnd w:id="13"/>
      <w:bookmarkEnd w:id="14"/>
      <w:bookmarkEnd w:id="15"/>
      <w:bookmarkEnd w:id="16"/>
    </w:p>
    <w:p>
      <w:pPr>
        <w:pStyle w:val="3"/>
        <w:spacing w:before="0" w:after="0" w:line="360" w:lineRule="auto"/>
        <w:ind w:firstLine="420" w:firstLineChars="200"/>
        <w:rPr>
          <w:rFonts w:hint="eastAsia" w:ascii="宋体" w:hAnsi="宋体" w:eastAsia="宋体" w:cs="宋体"/>
          <w:b w:val="0"/>
          <w:bCs w:val="0"/>
          <w:color w:val="auto"/>
          <w:kern w:val="2"/>
          <w:sz w:val="21"/>
          <w:szCs w:val="21"/>
          <w:highlight w:val="none"/>
          <w:lang w:val="en-US" w:eastAsia="zh-CN" w:bidi="ar-SA"/>
        </w:rPr>
      </w:pPr>
      <w:bookmarkStart w:id="17" w:name="_Toc35393633"/>
      <w:bookmarkStart w:id="18" w:name="_Toc28359093"/>
      <w:bookmarkStart w:id="19" w:name="_Toc28359016"/>
      <w:bookmarkStart w:id="20" w:name="_Toc35393802"/>
      <w:r>
        <w:rPr>
          <w:rFonts w:hint="eastAsia" w:ascii="宋体" w:hAnsi="宋体" w:eastAsia="宋体" w:cs="宋体"/>
          <w:b w:val="0"/>
          <w:bCs w:val="0"/>
          <w:color w:val="auto"/>
          <w:kern w:val="2"/>
          <w:sz w:val="21"/>
          <w:szCs w:val="21"/>
          <w:highlight w:val="none"/>
          <w:lang w:val="en-US" w:eastAsia="zh-CN" w:bidi="ar-SA"/>
        </w:rPr>
        <w:t>截止时间：2023年12月11日09时30分（北京时间）</w:t>
      </w:r>
    </w:p>
    <w:p>
      <w:pPr>
        <w:pStyle w:val="3"/>
        <w:spacing w:before="0" w:after="0" w:line="360"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地点（网址）：本项目为玉林市全流程电子化项目，申请人需要提交电子响应文件，电子响应文件必须用数字证书CA锁加密后在响应文件提交截止时间前，通过网络上传至玉林市 “政采云”平台。供应商在“政采云”平台提交电子版响应文件时，请填写参加远程采购活动经办人联系方式。</w:t>
      </w:r>
    </w:p>
    <w:p>
      <w:pPr>
        <w:pStyle w:val="3"/>
        <w:spacing w:before="0" w:after="0" w:line="360" w:lineRule="auto"/>
        <w:ind w:firstLine="482" w:firstLineChars="200"/>
        <w:rPr>
          <w:rFonts w:ascii="黑体" w:hAnsi="黑体" w:eastAsia="黑体" w:cs="宋体"/>
          <w:bCs w:val="0"/>
          <w:color w:val="auto"/>
          <w:sz w:val="24"/>
          <w:szCs w:val="24"/>
          <w:highlight w:val="none"/>
        </w:rPr>
      </w:pPr>
      <w:r>
        <w:rPr>
          <w:rFonts w:hint="eastAsia" w:ascii="黑体" w:hAnsi="黑体" w:eastAsia="黑体" w:cs="宋体"/>
          <w:bCs w:val="0"/>
          <w:color w:val="auto"/>
          <w:sz w:val="24"/>
          <w:szCs w:val="24"/>
          <w:highlight w:val="none"/>
        </w:rPr>
        <w:t>五、开启</w:t>
      </w:r>
      <w:bookmarkEnd w:id="17"/>
      <w:bookmarkEnd w:id="18"/>
      <w:bookmarkEnd w:id="19"/>
      <w:bookmarkEnd w:id="20"/>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时间：</w:t>
      </w:r>
      <w:r>
        <w:rPr>
          <w:rFonts w:hint="eastAsia" w:ascii="宋体" w:hAnsi="宋体"/>
          <w:color w:val="auto"/>
          <w:szCs w:val="21"/>
          <w:highlight w:val="none"/>
          <w:lang w:eastAsia="zh-CN"/>
        </w:rPr>
        <w:t>2023年</w:t>
      </w:r>
      <w:r>
        <w:rPr>
          <w:rFonts w:hint="eastAsia" w:ascii="宋体" w:hAnsi="宋体"/>
          <w:color w:val="auto"/>
          <w:szCs w:val="21"/>
          <w:highlight w:val="none"/>
          <w:lang w:val="en-US" w:eastAsia="zh-CN"/>
        </w:rPr>
        <w:t>12</w:t>
      </w:r>
      <w:r>
        <w:rPr>
          <w:rFonts w:hint="eastAsia" w:ascii="宋体" w:hAnsi="宋体"/>
          <w:color w:val="auto"/>
          <w:szCs w:val="21"/>
          <w:highlight w:val="none"/>
          <w:lang w:eastAsia="zh-CN"/>
        </w:rPr>
        <w:t>月</w:t>
      </w:r>
      <w:r>
        <w:rPr>
          <w:rFonts w:hint="eastAsia" w:ascii="宋体" w:hAnsi="宋体"/>
          <w:color w:val="auto"/>
          <w:szCs w:val="21"/>
          <w:highlight w:val="none"/>
          <w:lang w:val="en-US" w:eastAsia="zh-CN"/>
        </w:rPr>
        <w:t>11</w:t>
      </w:r>
      <w:r>
        <w:rPr>
          <w:rFonts w:hint="eastAsia" w:ascii="宋体" w:hAnsi="宋体"/>
          <w:color w:val="auto"/>
          <w:szCs w:val="21"/>
          <w:highlight w:val="none"/>
          <w:lang w:eastAsia="zh-CN"/>
        </w:rPr>
        <w:t>日09时30分</w:t>
      </w:r>
      <w:r>
        <w:rPr>
          <w:rFonts w:hint="eastAsia" w:ascii="宋体" w:hAnsi="宋体"/>
          <w:color w:val="auto"/>
          <w:szCs w:val="21"/>
          <w:highlight w:val="none"/>
        </w:rPr>
        <w:t>（北京时间）</w:t>
      </w:r>
    </w:p>
    <w:p>
      <w:pPr>
        <w:spacing w:line="360" w:lineRule="auto"/>
        <w:ind w:firstLine="420" w:firstLineChars="200"/>
        <w:rPr>
          <w:rFonts w:hint="eastAsia" w:ascii="宋体" w:hAnsi="宋体"/>
          <w:bCs/>
          <w:color w:val="auto"/>
          <w:szCs w:val="21"/>
          <w:highlight w:val="none"/>
          <w:u w:val="single"/>
        </w:rPr>
      </w:pPr>
      <w:r>
        <w:rPr>
          <w:rFonts w:hint="eastAsia" w:ascii="宋体" w:hAnsi="宋体"/>
          <w:color w:val="auto"/>
          <w:szCs w:val="21"/>
          <w:highlight w:val="none"/>
        </w:rPr>
        <w:t>地点：“政采云”平台电子开标大厅开标 </w:t>
      </w:r>
    </w:p>
    <w:p>
      <w:pPr>
        <w:pStyle w:val="3"/>
        <w:pageBreakBefore w:val="0"/>
        <w:widowControl w:val="0"/>
        <w:kinsoku/>
        <w:wordWrap w:val="0"/>
        <w:overflowPunct/>
        <w:topLinePunct w:val="0"/>
        <w:autoSpaceDE/>
        <w:autoSpaceDN/>
        <w:bidi w:val="0"/>
        <w:adjustRightInd/>
        <w:snapToGrid/>
        <w:spacing w:before="0" w:after="0" w:line="360" w:lineRule="auto"/>
        <w:ind w:firstLine="482" w:firstLineChars="200"/>
        <w:textAlignment w:val="auto"/>
        <w:rPr>
          <w:rFonts w:ascii="黑体" w:hAnsi="黑体" w:eastAsia="黑体" w:cs="宋体"/>
          <w:bCs w:val="0"/>
          <w:color w:val="auto"/>
          <w:sz w:val="24"/>
          <w:szCs w:val="24"/>
          <w:highlight w:val="none"/>
        </w:rPr>
      </w:pPr>
      <w:bookmarkStart w:id="21" w:name="_Toc35393803"/>
      <w:bookmarkStart w:id="22" w:name="_Toc28359017"/>
      <w:bookmarkStart w:id="23" w:name="_Toc35393634"/>
      <w:bookmarkStart w:id="24" w:name="_Toc28359094"/>
      <w:r>
        <w:rPr>
          <w:rFonts w:hint="eastAsia" w:ascii="黑体" w:hAnsi="黑体" w:eastAsia="黑体" w:cs="宋体"/>
          <w:bCs w:val="0"/>
          <w:color w:val="auto"/>
          <w:sz w:val="24"/>
          <w:szCs w:val="24"/>
          <w:highlight w:val="none"/>
        </w:rPr>
        <w:t>六、公告期限</w:t>
      </w:r>
      <w:bookmarkEnd w:id="21"/>
      <w:bookmarkEnd w:id="22"/>
      <w:bookmarkEnd w:id="23"/>
      <w:bookmarkEnd w:id="24"/>
    </w:p>
    <w:p>
      <w:pPr>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s="宋体"/>
          <w:color w:val="auto"/>
          <w:kern w:val="0"/>
          <w:szCs w:val="21"/>
          <w:highlight w:val="none"/>
        </w:rPr>
      </w:pPr>
      <w:r>
        <w:rPr>
          <w:rFonts w:hint="eastAsia" w:ascii="宋体" w:hAnsi="宋体" w:cs="宋体"/>
          <w:color w:val="auto"/>
          <w:kern w:val="0"/>
          <w:szCs w:val="21"/>
          <w:highlight w:val="none"/>
        </w:rPr>
        <w:t>自本公告发布之日起3个工作日。</w:t>
      </w:r>
    </w:p>
    <w:p>
      <w:pPr>
        <w:pStyle w:val="3"/>
        <w:pageBreakBefore w:val="0"/>
        <w:widowControl w:val="0"/>
        <w:kinsoku/>
        <w:wordWrap w:val="0"/>
        <w:overflowPunct/>
        <w:topLinePunct w:val="0"/>
        <w:autoSpaceDE/>
        <w:autoSpaceDN/>
        <w:bidi w:val="0"/>
        <w:adjustRightInd/>
        <w:snapToGrid/>
        <w:spacing w:before="0" w:after="0" w:line="360" w:lineRule="auto"/>
        <w:ind w:firstLine="482" w:firstLineChars="200"/>
        <w:textAlignment w:val="auto"/>
        <w:rPr>
          <w:rFonts w:ascii="黑体" w:hAnsi="黑体" w:eastAsia="黑体" w:cs="宋体"/>
          <w:bCs w:val="0"/>
          <w:color w:val="auto"/>
          <w:sz w:val="24"/>
          <w:szCs w:val="24"/>
          <w:highlight w:val="none"/>
        </w:rPr>
      </w:pPr>
      <w:bookmarkStart w:id="25" w:name="_Toc35393804"/>
      <w:bookmarkStart w:id="26" w:name="_Toc35393635"/>
      <w:r>
        <w:rPr>
          <w:rFonts w:hint="eastAsia" w:ascii="黑体" w:hAnsi="黑体" w:eastAsia="黑体" w:cs="宋体"/>
          <w:bCs w:val="0"/>
          <w:color w:val="auto"/>
          <w:sz w:val="24"/>
          <w:szCs w:val="24"/>
          <w:highlight w:val="none"/>
        </w:rPr>
        <w:t>七、其他补充事宜</w:t>
      </w:r>
      <w:bookmarkEnd w:id="25"/>
      <w:bookmarkEnd w:id="26"/>
    </w:p>
    <w:p>
      <w:pPr>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rPr>
        <w:t>1</w:t>
      </w:r>
      <w:r>
        <w:rPr>
          <w:rFonts w:ascii="宋体" w:hAnsi="宋体" w:cs="宋体"/>
          <w:color w:val="auto"/>
          <w:kern w:val="0"/>
          <w:szCs w:val="21"/>
          <w:highlight w:val="none"/>
        </w:rPr>
        <w:t>.</w:t>
      </w:r>
      <w:r>
        <w:rPr>
          <w:rFonts w:hint="eastAsia" w:ascii="宋体" w:hAnsi="宋体" w:cs="宋体"/>
          <w:color w:val="auto"/>
          <w:kern w:val="0"/>
          <w:szCs w:val="21"/>
          <w:highlight w:val="none"/>
        </w:rPr>
        <w:t>网上查询地址</w:t>
      </w:r>
    </w:p>
    <w:p>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中国政府采购网（www.ccgp.gov.cn）、广西壮族自治区政府采购网（http://zfcg.gxzf.gov.cn/）、全国公共资源交易平台（广西·玉林）（ggzy.yulin.gov.cn）</w:t>
      </w:r>
      <w:r>
        <w:rPr>
          <w:rFonts w:hint="eastAsia" w:ascii="宋体" w:hAnsi="宋体"/>
          <w:color w:val="auto"/>
          <w:szCs w:val="21"/>
          <w:highlight w:val="none"/>
          <w:lang w:eastAsia="zh-CN"/>
        </w:rPr>
        <w:t>、广西玉林市人民政府（http://www.yulin.gov.cn/）</w:t>
      </w:r>
      <w:r>
        <w:rPr>
          <w:rFonts w:hint="eastAsia" w:ascii="宋体" w:hAnsi="宋体"/>
          <w:color w:val="auto"/>
          <w:szCs w:val="21"/>
          <w:highlight w:val="none"/>
        </w:rPr>
        <w:t>。</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2.本项目需要落实的政府采购政策</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（1）政府采购促进中小企业发展。</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（2）政府采购支持采用本国产品的政策。</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（3）强制采购节能产品；优先采购节能产品、环境标志产品。</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（4）政府采购促进残疾人就业政策。</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（5）政府采购支持监狱企业发展。</w:t>
      </w:r>
    </w:p>
    <w:p>
      <w:pPr>
        <w:pStyle w:val="3"/>
        <w:pageBreakBefore w:val="0"/>
        <w:widowControl w:val="0"/>
        <w:kinsoku/>
        <w:wordWrap w:val="0"/>
        <w:overflowPunct/>
        <w:topLinePunct w:val="0"/>
        <w:autoSpaceDE/>
        <w:autoSpaceDN/>
        <w:bidi w:val="0"/>
        <w:adjustRightInd/>
        <w:snapToGrid/>
        <w:spacing w:before="0" w:after="0" w:line="440" w:lineRule="exact"/>
        <w:ind w:firstLine="630" w:firstLineChars="3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3.供应商竞标注意事项</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default"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（1）本项目为全流程电子化项目，通过政采云平台实行在线投标响应（电子投标），供应商需要 先安装“政采云电子交易客户端”，并按照本竞争性谈判文件和政采云平台的要求，通过“政采云电子交易客户端”编制并加密电子响应文件。供应商未按规定编制并加密的电子响应文件，政采云平台将予 以拒收。“政采云电子交易客户端”请自行前往广西政府采购网下载并安装；电子投标具体操作流程参考《政 府采购项目电子交易管理操作指南-供应商》； 在使用政采云投标客户端时，建议使用 WIN7及以上操作系统,通过政采云平台参与在线投标时如遇平台技术问题详</w:t>
      </w:r>
    </w:p>
    <w:p>
      <w:pPr>
        <w:rPr>
          <w:rFonts w:hint="default"/>
          <w:color w:val="auto"/>
          <w:highlight w:val="none"/>
          <w:lang w:val="en-US" w:eastAsia="zh-CN"/>
        </w:rPr>
      </w:pPr>
      <w:r>
        <w:rPr>
          <w:rFonts w:hint="eastAsia"/>
          <w:color w:val="auto"/>
          <w:highlight w:val="none"/>
          <w:lang w:val="en-US" w:eastAsia="zh-CN"/>
        </w:rPr>
        <w:t>询95763</w:t>
      </w:r>
      <w:r>
        <w:rPr>
          <w:rFonts w:hint="eastAsia" w:ascii="宋体" w:hAnsi="宋体" w:eastAsia="宋体" w:cs="宋体"/>
          <w:b w:val="0"/>
          <w:bCs/>
          <w:color w:val="auto"/>
          <w:kern w:val="0"/>
          <w:sz w:val="21"/>
          <w:szCs w:val="21"/>
          <w:highlight w:val="none"/>
          <w:lang w:val="en-US" w:eastAsia="zh-CN" w:bidi="ar-SA"/>
        </w:rPr>
        <w:t>。</w:t>
      </w:r>
    </w:p>
    <w:p>
      <w:pPr>
        <w:pStyle w:val="2"/>
        <w:ind w:firstLine="0"/>
        <w:rPr>
          <w:rFonts w:hint="eastAsia"/>
          <w:color w:val="auto"/>
          <w:highlight w:val="none"/>
        </w:rPr>
      </w:pP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 xml:space="preserve">（2）为确保网上操作合法、有效和安全，谈判供应商应当在谈判截止时间前完成在“政府采购云 平台”的身份认证，确保在电子投标过程中能够对相关数据电文进行加密和使用电子签章。使用“政采 云电子交易客户端”需要提前申领 CA 数字证书，申领流程请自行前往相关网站进行查阅；（完成 CA 数字证书办理预计一周左右，建议供应商获取竞争性谈判文件后立即办理。） </w:t>
      </w:r>
    </w:p>
    <w:p>
      <w:pPr>
        <w:pStyle w:val="3"/>
        <w:pageBreakBefore w:val="0"/>
        <w:widowControl w:val="0"/>
        <w:kinsoku/>
        <w:wordWrap w:val="0"/>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 xml:space="preserve">（3）谈判供应商应当在谈判截止时间前，将生成的“电子响应文件”上传递交至政采云平台。谈 判截止时间前可以补充、修改或者撤回电子响应文件。补充或者修改电子响应文件的，应当先行撤回原 文件，补充、修改后重新传输递交，谈判截止时间前未完成传输的，视为撤回电子响应文件。 </w:t>
      </w:r>
    </w:p>
    <w:p>
      <w:pPr>
        <w:pStyle w:val="3"/>
        <w:pageBreakBefore w:val="0"/>
        <w:widowControl w:val="0"/>
        <w:kinsoku/>
        <w:wordWrap/>
        <w:overflowPunct/>
        <w:topLinePunct w:val="0"/>
        <w:autoSpaceDE/>
        <w:autoSpaceDN/>
        <w:bidi w:val="0"/>
        <w:adjustRightInd/>
        <w:snapToGrid/>
        <w:spacing w:before="0" w:after="0" w:line="440" w:lineRule="exact"/>
        <w:ind w:firstLine="420" w:firstLineChars="200"/>
        <w:textAlignment w:val="auto"/>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（4）若供应商的电子加密响应文件无法按时解密可在30分钟内向代理机构提供电子备份响应文件，逾期送达的将予以拒收，所造成的后果由投标供应商自行承担。</w:t>
      </w:r>
    </w:p>
    <w:p>
      <w:pPr>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olor w:val="auto"/>
          <w:highlight w:val="none"/>
          <w:lang w:val="en-US" w:eastAsia="zh-CN"/>
        </w:rPr>
      </w:pPr>
      <w:r>
        <w:rPr>
          <w:rFonts w:hint="eastAsia"/>
          <w:color w:val="auto"/>
          <w:highlight w:val="none"/>
          <w:lang w:val="en-US" w:eastAsia="zh-CN"/>
        </w:rPr>
        <w:t xml:space="preserve">（5）通过“政府采购云平台”上传递交的“电子加密响应文件”无法按时解密，供应商递交了电子备份响应文件的，以电子备份响应文件为依据，否则视为响应文件撤回。通过政采云平台上传递交的电子加密响应文件已按时解密的，电子备份响应文件自动失效。供应商仅递交电子备份响应文件的，竞标无效。 </w:t>
      </w:r>
    </w:p>
    <w:p>
      <w:pPr>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olor w:val="auto"/>
          <w:highlight w:val="none"/>
        </w:rPr>
      </w:pPr>
      <w:r>
        <w:rPr>
          <w:rFonts w:hint="eastAsia"/>
          <w:color w:val="auto"/>
          <w:highlight w:val="none"/>
          <w:lang w:val="en-US" w:eastAsia="zh-CN"/>
        </w:rPr>
        <w:t>4.本项目不接受未登陆政采云平台（www.zcygov.cn）获取本项目竞争性谈判采购文件的供应商竞标。</w:t>
      </w:r>
    </w:p>
    <w:p>
      <w:pPr>
        <w:spacing w:line="240" w:lineRule="auto"/>
        <w:ind w:firstLine="0" w:firstLineChars="0"/>
        <w:rPr>
          <w:rFonts w:hint="eastAsia" w:ascii="宋体" w:hAnsi="宋体" w:cs="宋体"/>
          <w:color w:val="auto"/>
          <w:kern w:val="0"/>
          <w:szCs w:val="21"/>
          <w:highlight w:val="none"/>
        </w:rPr>
      </w:pPr>
      <w:r>
        <w:rPr>
          <w:rFonts w:hint="eastAsia" w:ascii="宋体" w:hAnsi="宋体"/>
          <w:color w:val="auto"/>
          <w:szCs w:val="21"/>
          <w:highlight w:val="none"/>
        </w:rPr>
        <w:t xml:space="preserve"> </w:t>
      </w:r>
    </w:p>
    <w:p>
      <w:pPr>
        <w:pStyle w:val="3"/>
        <w:numPr>
          <w:ilvl w:val="0"/>
          <w:numId w:val="0"/>
        </w:numPr>
        <w:spacing w:before="0" w:after="0" w:line="360" w:lineRule="auto"/>
        <w:rPr>
          <w:rFonts w:ascii="黑体" w:hAnsi="黑体" w:eastAsia="黑体" w:cs="宋体"/>
          <w:bCs w:val="0"/>
          <w:color w:val="auto"/>
          <w:sz w:val="24"/>
          <w:szCs w:val="24"/>
          <w:highlight w:val="none"/>
        </w:rPr>
      </w:pPr>
      <w:bookmarkStart w:id="27" w:name="_Toc35393805"/>
      <w:bookmarkStart w:id="28" w:name="_Toc28359095"/>
      <w:bookmarkStart w:id="29" w:name="_Toc35393636"/>
      <w:bookmarkStart w:id="30" w:name="_Toc28359018"/>
      <w:r>
        <w:rPr>
          <w:rFonts w:hint="eastAsia" w:ascii="黑体" w:hAnsi="黑体" w:eastAsia="黑体" w:cs="宋体"/>
          <w:bCs w:val="0"/>
          <w:color w:val="auto"/>
          <w:sz w:val="24"/>
          <w:szCs w:val="24"/>
          <w:highlight w:val="none"/>
        </w:rPr>
        <w:t>八、凡对本次采购提出询问，请按</w:t>
      </w:r>
      <w:r>
        <w:rPr>
          <w:rFonts w:ascii="黑体" w:hAnsi="黑体" w:eastAsia="黑体" w:cs="宋体"/>
          <w:bCs w:val="0"/>
          <w:color w:val="auto"/>
          <w:sz w:val="24"/>
          <w:szCs w:val="24"/>
          <w:highlight w:val="none"/>
        </w:rPr>
        <w:t>以下方式</w:t>
      </w:r>
      <w:r>
        <w:rPr>
          <w:rFonts w:hint="eastAsia" w:ascii="黑体" w:hAnsi="黑体" w:eastAsia="黑体" w:cs="宋体"/>
          <w:bCs w:val="0"/>
          <w:color w:val="auto"/>
          <w:sz w:val="24"/>
          <w:szCs w:val="24"/>
          <w:highlight w:val="none"/>
        </w:rPr>
        <w:t>联系。</w:t>
      </w:r>
      <w:bookmarkEnd w:id="27"/>
      <w:bookmarkEnd w:id="28"/>
      <w:bookmarkEnd w:id="29"/>
      <w:bookmarkEnd w:id="30"/>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1、采购单位名称：玉林市机电工程学校</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地  址：玉林市教育中路82号</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 xml:space="preserve">联系人：阮波   </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联系方式：0775-3272978</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2、采购代理机构名称：广西银泰工程管理有限公司</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地址：广西玉林市双拥路华泰财富中心1303室</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联系人：彭智</w:t>
      </w:r>
    </w:p>
    <w:p>
      <w:pPr>
        <w:pStyle w:val="7"/>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联系方式：0775-2676628</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 xml:space="preserve">3、监督部门：玉林市财政局   </w:t>
      </w:r>
    </w:p>
    <w:p>
      <w:pPr>
        <w:keepNext w:val="0"/>
        <w:keepLines w:val="0"/>
        <w:pageBreakBefore w:val="0"/>
        <w:widowControl w:val="0"/>
        <w:kinsoku/>
        <w:wordWrap/>
        <w:overflowPunct/>
        <w:topLinePunct w:val="0"/>
        <w:autoSpaceDE/>
        <w:autoSpaceDN/>
        <w:bidi w:val="0"/>
        <w:adjustRightInd/>
        <w:snapToGrid/>
        <w:spacing w:line="480" w:lineRule="exact"/>
        <w:ind w:firstLine="420" w:firstLineChars="200"/>
        <w:textAlignment w:val="auto"/>
        <w:outlineLvl w:val="9"/>
        <w:rPr>
          <w:rFonts w:hint="eastAsia" w:ascii="宋体" w:hAnsi="宋体" w:eastAsia="宋体" w:cs="宋体"/>
          <w:b w:val="0"/>
          <w:bCs/>
          <w:color w:val="auto"/>
          <w:kern w:val="0"/>
          <w:sz w:val="21"/>
          <w:szCs w:val="21"/>
          <w:highlight w:val="none"/>
          <w:lang w:val="en-US" w:eastAsia="zh-CN" w:bidi="ar-SA"/>
        </w:rPr>
      </w:pPr>
      <w:r>
        <w:rPr>
          <w:rFonts w:hint="eastAsia" w:ascii="宋体" w:hAnsi="宋体" w:eastAsia="宋体" w:cs="宋体"/>
          <w:b w:val="0"/>
          <w:bCs/>
          <w:color w:val="auto"/>
          <w:kern w:val="0"/>
          <w:sz w:val="21"/>
          <w:szCs w:val="21"/>
          <w:highlight w:val="none"/>
          <w:lang w:val="en-US" w:eastAsia="zh-CN" w:bidi="ar-SA"/>
        </w:rPr>
        <w:t>联系方式：0775-2697961</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olor w:val="auto"/>
          <w:szCs w:val="21"/>
          <w:highlight w:val="none"/>
        </w:rPr>
      </w:pPr>
    </w:p>
    <w:p>
      <w:pPr>
        <w:spacing w:line="440" w:lineRule="exact"/>
        <w:ind w:firstLine="630" w:firstLineChars="300"/>
        <w:jc w:val="right"/>
        <w:rPr>
          <w:rFonts w:hint="eastAsia" w:ascii="宋体" w:hAnsi="宋体"/>
          <w:color w:val="auto"/>
          <w:szCs w:val="21"/>
          <w:highlight w:val="none"/>
        </w:rPr>
      </w:pPr>
      <w:r>
        <w:rPr>
          <w:rFonts w:hint="eastAsia" w:ascii="宋体" w:hAnsi="宋体"/>
          <w:color w:val="auto"/>
          <w:szCs w:val="21"/>
          <w:highlight w:val="none"/>
        </w:rPr>
        <w:t>广西银泰工程管理有限公司</w:t>
      </w:r>
    </w:p>
    <w:p>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2023</w:t>
      </w:r>
      <w:r>
        <w:rPr>
          <w:rFonts w:hint="eastAsia" w:ascii="宋体" w:hAnsi="宋体"/>
          <w:color w:val="auto"/>
          <w:szCs w:val="21"/>
          <w:highlight w:val="none"/>
        </w:rPr>
        <w:t>年</w:t>
      </w:r>
      <w:r>
        <w:rPr>
          <w:rFonts w:hint="eastAsia" w:ascii="宋体" w:hAnsi="宋体"/>
          <w:color w:val="auto"/>
          <w:szCs w:val="21"/>
          <w:highlight w:val="none"/>
          <w:lang w:val="en-US" w:eastAsia="zh-CN"/>
        </w:rPr>
        <w:t>12</w:t>
      </w:r>
      <w:r>
        <w:rPr>
          <w:rFonts w:hint="eastAsia" w:ascii="宋体" w:hAnsi="宋体"/>
          <w:color w:val="auto"/>
          <w:szCs w:val="21"/>
          <w:highlight w:val="none"/>
        </w:rPr>
        <w:t>月</w:t>
      </w:r>
      <w:r>
        <w:rPr>
          <w:rFonts w:hint="eastAsia" w:ascii="宋体" w:hAnsi="宋体"/>
          <w:color w:val="auto"/>
          <w:szCs w:val="21"/>
          <w:highlight w:val="none"/>
          <w:lang w:val="en-US" w:eastAsia="zh-CN"/>
        </w:rPr>
        <w:t>5</w:t>
      </w:r>
      <w:r>
        <w:rPr>
          <w:rFonts w:hint="eastAsia" w:ascii="宋体" w:hAnsi="宋体"/>
          <w:color w:val="auto"/>
          <w:szCs w:val="21"/>
          <w:highlight w:val="none"/>
        </w:rPr>
        <w:t>日</w:t>
      </w:r>
    </w:p>
    <w:sectPr>
      <w:pgSz w:w="11906" w:h="16838"/>
      <w:pgMar w:top="1440" w:right="1800"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1M2Q4ODc1YzQ0OGMyYjZlMjEwNzA3NGNkYTk3NzYifQ=="/>
  </w:docVars>
  <w:rsids>
    <w:rsidRoot w:val="2A977349"/>
    <w:rsid w:val="2A977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qFormat/>
    <w:uiPriority w:val="0"/>
    <w:pPr>
      <w:ind w:firstLine="680"/>
      <w:outlineLvl w:val="3"/>
    </w:pPr>
    <w:rPr>
      <w:rFonts w:ascii="宋体"/>
      <w:sz w:val="28"/>
      <w:szCs w:val="20"/>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Body Text"/>
    <w:basedOn w:val="1"/>
    <w:next w:val="1"/>
    <w:unhideWhenUsed/>
    <w:qFormat/>
    <w:uiPriority w:val="0"/>
    <w:pPr>
      <w:spacing w:after="120"/>
    </w:pPr>
  </w:style>
  <w:style w:type="paragraph" w:styleId="6">
    <w:name w:val="Body Text Indent"/>
    <w:basedOn w:val="1"/>
    <w:qFormat/>
    <w:uiPriority w:val="0"/>
    <w:pPr>
      <w:ind w:firstLine="830" w:firstLineChars="352"/>
    </w:pPr>
    <w:rPr>
      <w:rFonts w:ascii="仿宋_GB2312" w:eastAsia="仿宋_GB2312"/>
      <w:kern w:val="0"/>
      <w:sz w:val="32"/>
      <w:szCs w:val="20"/>
    </w:rPr>
  </w:style>
  <w:style w:type="paragraph" w:styleId="7">
    <w:name w:val="Plain Text"/>
    <w:basedOn w:val="1"/>
    <w:next w:val="4"/>
    <w:qFormat/>
    <w:uiPriority w:val="0"/>
    <w:rPr>
      <w:rFonts w:ascii="宋体" w:hAnsi="Courier New"/>
      <w:kern w:val="0"/>
      <w:sz w:val="20"/>
      <w:szCs w:val="21"/>
    </w:rPr>
  </w:style>
  <w:style w:type="paragraph" w:styleId="8">
    <w:name w:val="Body Text First Indent"/>
    <w:basedOn w:val="5"/>
    <w:unhideWhenUsed/>
    <w:qFormat/>
    <w:uiPriority w:val="0"/>
    <w:pPr>
      <w:autoSpaceDE/>
      <w:autoSpaceDN/>
      <w:adjustRightInd/>
      <w:ind w:firstLine="420" w:firstLineChars="100"/>
      <w:jc w:val="both"/>
    </w:pPr>
    <w:rPr>
      <w:rFonts w:hAnsi="Times New Roman" w:eastAsia="Times New Roman"/>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2023-12-05T08:13:00Z</dcterms:created>
  <dc:creator>王火金</dc:creator>
  <cp:lastModifiedBy>王火金</cp:lastModifiedBy>
  <dcterms:modified xsi:type="dcterms:W3CDTF">2023-12-05T08:14:22Z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14A71D84EA16438881F90C9235317ED1_11</vt:lpwstr>
  </property>
</Properties>
</file>