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鹤壁市人民医院</w:t>
      </w:r>
      <w:r>
        <w:rPr>
          <w:rFonts w:hint="eastAsia" w:asciiTheme="minorEastAsia" w:hAnsiTheme="minorEastAsia" w:cstheme="minorEastAsia"/>
          <w:b/>
          <w:bCs/>
          <w:sz w:val="32"/>
          <w:szCs w:val="32"/>
          <w:lang w:val="en-US" w:eastAsia="zh-CN"/>
        </w:rPr>
        <w:t>医用气体采购项目</w:t>
      </w:r>
      <w:r>
        <w:rPr>
          <w:rFonts w:hint="eastAsia" w:asciiTheme="minorEastAsia" w:hAnsiTheme="minorEastAsia" w:eastAsiaTheme="minorEastAsia" w:cstheme="minorEastAsia"/>
          <w:b/>
          <w:bCs/>
          <w:sz w:val="32"/>
          <w:szCs w:val="32"/>
        </w:rPr>
        <w:t>询价公告</w:t>
      </w:r>
    </w:p>
    <w:p>
      <w:pPr>
        <w:spacing w:line="360" w:lineRule="auto"/>
        <w:jc w:val="both"/>
        <w:rPr>
          <w:rFonts w:hint="eastAsia" w:ascii="宋体" w:hAnsi="宋体" w:eastAsia="宋体" w:cs="宋体"/>
          <w:b/>
          <w:bCs/>
          <w:sz w:val="24"/>
          <w:szCs w:val="24"/>
        </w:rPr>
      </w:pPr>
      <w:r>
        <w:rPr>
          <w:rFonts w:hint="eastAsia" w:ascii="宋体" w:hAnsi="宋体" w:eastAsia="宋体" w:cs="宋体"/>
          <w:b/>
          <w:bCs/>
          <w:sz w:val="24"/>
          <w:szCs w:val="24"/>
        </w:rPr>
        <w:t>一、项目基本情况</w:t>
      </w:r>
    </w:p>
    <w:p>
      <w:pPr>
        <w:spacing w:line="360" w:lineRule="auto"/>
        <w:rPr>
          <w:rFonts w:hint="eastAsia" w:ascii="宋体" w:hAnsi="宋体" w:eastAsia="宋体" w:cs="宋体"/>
          <w:sz w:val="24"/>
          <w:szCs w:val="24"/>
        </w:rPr>
      </w:pPr>
      <w:r>
        <w:rPr>
          <w:rFonts w:hint="eastAsia" w:ascii="宋体" w:hAnsi="宋体" w:eastAsia="宋体" w:cs="宋体"/>
          <w:sz w:val="24"/>
          <w:szCs w:val="24"/>
        </w:rPr>
        <w:t>1、项目名称: 鹤壁市人民医院医用气体采购项目</w:t>
      </w:r>
    </w:p>
    <w:p>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2、采购编号：HB-GDZB-[2023]-1205</w:t>
      </w:r>
    </w:p>
    <w:p>
      <w:pP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 xml:space="preserve">、采购方式: 询价 </w:t>
      </w:r>
    </w:p>
    <w:p>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w:t>
      </w:r>
      <w:r>
        <w:rPr>
          <w:rFonts w:hint="eastAsia" w:ascii="宋体" w:hAnsi="宋体" w:eastAsia="宋体" w:cs="宋体"/>
          <w:sz w:val="24"/>
          <w:szCs w:val="24"/>
        </w:rPr>
        <w:t>、</w:t>
      </w:r>
      <w:r>
        <w:rPr>
          <w:rFonts w:hint="eastAsia" w:ascii="宋体" w:hAnsi="宋体" w:eastAsia="宋体" w:cs="宋体"/>
          <w:sz w:val="24"/>
          <w:szCs w:val="24"/>
          <w:lang w:val="en-US" w:eastAsia="zh-CN"/>
        </w:rPr>
        <w:t>预算金价：63530元</w:t>
      </w:r>
    </w:p>
    <w:p>
      <w:pPr>
        <w:spacing w:line="360" w:lineRule="auto"/>
        <w:ind w:firstLine="240" w:firstLineChars="1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最高限价：63530元</w:t>
      </w:r>
    </w:p>
    <w:p>
      <w:pP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5</w:t>
      </w:r>
      <w:r>
        <w:rPr>
          <w:rFonts w:hint="eastAsia" w:ascii="宋体" w:hAnsi="宋体" w:eastAsia="宋体" w:cs="宋体"/>
          <w:sz w:val="24"/>
          <w:szCs w:val="24"/>
        </w:rPr>
        <w:t>、采购需求（包括但不限于标的的名称、数量、简要技术需求或服务要求等）</w:t>
      </w:r>
    </w:p>
    <w:p>
      <w:pPr>
        <w:spacing w:line="360" w:lineRule="auto"/>
        <w:ind w:firstLine="480" w:firstLineChars="200"/>
        <w:rPr>
          <w:rFonts w:hint="default" w:ascii="宋体" w:hAnsi="宋体" w:eastAsia="宋体" w:cs="宋体"/>
          <w:sz w:val="24"/>
          <w:szCs w:val="24"/>
          <w:highlight w:val="yellow"/>
          <w:lang w:val="en-US" w:eastAsia="zh-CN"/>
        </w:rPr>
      </w:pPr>
      <w:r>
        <w:rPr>
          <w:rFonts w:hint="eastAsia" w:ascii="宋体" w:hAnsi="宋体" w:eastAsia="宋体" w:cs="宋体"/>
          <w:sz w:val="24"/>
          <w:szCs w:val="24"/>
          <w:lang w:val="en-US" w:eastAsia="zh-CN"/>
        </w:rPr>
        <w:t>5</w:t>
      </w:r>
      <w:r>
        <w:rPr>
          <w:rFonts w:hint="eastAsia" w:ascii="宋体" w:hAnsi="宋体" w:eastAsia="宋体" w:cs="宋体"/>
          <w:sz w:val="24"/>
          <w:szCs w:val="24"/>
        </w:rPr>
        <w:t>.1、采购内容：</w:t>
      </w:r>
      <w:r>
        <w:rPr>
          <w:rFonts w:hint="eastAsia" w:ascii="宋体" w:hAnsi="宋体" w:eastAsia="宋体" w:cs="宋体"/>
          <w:sz w:val="24"/>
          <w:szCs w:val="24"/>
          <w:lang w:val="en-US" w:eastAsia="zh-CN"/>
        </w:rPr>
        <w:t>高纯二氧化碳、高纯氮气、液氮、肺功能气、生殖混合气等具体详见本公告“</w:t>
      </w:r>
      <w:r>
        <w:rPr>
          <w:rFonts w:hint="eastAsia" w:ascii="宋体" w:hAnsi="宋体" w:eastAsia="宋体" w:cs="宋体"/>
          <w:sz w:val="24"/>
          <w:szCs w:val="24"/>
        </w:rPr>
        <w:t>其他补充事宜</w:t>
      </w:r>
      <w:r>
        <w:rPr>
          <w:rFonts w:hint="eastAsia" w:ascii="宋体" w:hAnsi="宋体" w:eastAsia="宋体" w:cs="宋体"/>
          <w:sz w:val="24"/>
          <w:szCs w:val="24"/>
          <w:lang w:val="en-US" w:eastAsia="zh-CN"/>
        </w:rPr>
        <w:t>”。</w:t>
      </w:r>
    </w:p>
    <w:p>
      <w:p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w:t>
      </w:r>
      <w:r>
        <w:rPr>
          <w:rFonts w:hint="eastAsia" w:ascii="宋体" w:hAnsi="宋体" w:eastAsia="宋体" w:cs="宋体"/>
          <w:sz w:val="24"/>
          <w:szCs w:val="24"/>
        </w:rPr>
        <w:t>.2、</w:t>
      </w:r>
      <w:r>
        <w:rPr>
          <w:rFonts w:hint="eastAsia" w:ascii="宋体" w:hAnsi="宋体" w:eastAsia="宋体" w:cs="宋体"/>
          <w:sz w:val="24"/>
          <w:szCs w:val="24"/>
          <w:lang w:val="en-US" w:eastAsia="zh-CN"/>
        </w:rPr>
        <w:t>交货</w:t>
      </w:r>
      <w:r>
        <w:rPr>
          <w:rFonts w:hint="eastAsia" w:ascii="宋体" w:hAnsi="宋体" w:eastAsia="宋体" w:cs="宋体"/>
          <w:sz w:val="24"/>
          <w:szCs w:val="24"/>
        </w:rPr>
        <w:t>地点：</w:t>
      </w:r>
      <w:r>
        <w:rPr>
          <w:rFonts w:hint="eastAsia" w:ascii="宋体" w:hAnsi="宋体" w:eastAsia="宋体" w:cs="宋体"/>
          <w:sz w:val="24"/>
          <w:szCs w:val="24"/>
          <w:lang w:val="en-US" w:eastAsia="zh-CN"/>
        </w:rPr>
        <w:t>鹤壁市人民医院总院区、南院区、山城院区。</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5</w:t>
      </w:r>
      <w:r>
        <w:rPr>
          <w:rFonts w:hint="eastAsia" w:ascii="宋体" w:hAnsi="宋体" w:eastAsia="宋体" w:cs="宋体"/>
          <w:sz w:val="24"/>
          <w:szCs w:val="24"/>
        </w:rPr>
        <w:t>.3、合同履行期限</w:t>
      </w:r>
      <w:r>
        <w:rPr>
          <w:rFonts w:hint="eastAsia" w:ascii="宋体" w:hAnsi="宋体" w:eastAsia="宋体" w:cs="宋体"/>
          <w:sz w:val="24"/>
          <w:szCs w:val="24"/>
          <w:lang w:val="en-US" w:eastAsia="zh-CN"/>
        </w:rPr>
        <w:t>1年。</w:t>
      </w:r>
      <w:r>
        <w:rPr>
          <w:rFonts w:hint="eastAsia" w:ascii="宋体" w:hAnsi="宋体" w:eastAsia="宋体" w:cs="宋体"/>
          <w:sz w:val="24"/>
          <w:szCs w:val="24"/>
        </w:rPr>
        <w:t xml:space="preserve"> </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5</w:t>
      </w:r>
      <w:r>
        <w:rPr>
          <w:rFonts w:hint="eastAsia" w:ascii="宋体" w:hAnsi="宋体" w:eastAsia="宋体" w:cs="宋体"/>
          <w:sz w:val="24"/>
          <w:szCs w:val="24"/>
        </w:rPr>
        <w:t>.</w:t>
      </w:r>
      <w:r>
        <w:rPr>
          <w:rFonts w:hint="eastAsia" w:ascii="宋体" w:hAnsi="宋体" w:eastAsia="宋体" w:cs="宋体"/>
          <w:sz w:val="24"/>
          <w:szCs w:val="24"/>
          <w:lang w:val="en-US" w:eastAsia="zh-CN"/>
        </w:rPr>
        <w:t>4</w:t>
      </w:r>
      <w:r>
        <w:rPr>
          <w:rFonts w:hint="eastAsia" w:ascii="宋体" w:hAnsi="宋体" w:eastAsia="宋体" w:cs="宋体"/>
          <w:sz w:val="24"/>
          <w:szCs w:val="24"/>
        </w:rPr>
        <w:t>、质量</w:t>
      </w:r>
      <w:r>
        <w:rPr>
          <w:rFonts w:hint="eastAsia" w:ascii="宋体" w:hAnsi="宋体" w:eastAsia="宋体" w:cs="宋体"/>
          <w:sz w:val="24"/>
          <w:szCs w:val="24"/>
          <w:lang w:val="en-US" w:eastAsia="zh-CN"/>
        </w:rPr>
        <w:t>要求</w:t>
      </w:r>
      <w:r>
        <w:rPr>
          <w:rFonts w:hint="eastAsia" w:ascii="宋体" w:hAnsi="宋体" w:eastAsia="宋体" w:cs="宋体"/>
          <w:sz w:val="24"/>
          <w:szCs w:val="24"/>
        </w:rPr>
        <w:t>：</w:t>
      </w:r>
      <w:r>
        <w:rPr>
          <w:rFonts w:hint="eastAsia" w:ascii="宋体" w:hAnsi="宋体" w:eastAsia="宋体" w:cs="宋体"/>
          <w:sz w:val="24"/>
          <w:szCs w:val="24"/>
          <w:lang w:val="en-US" w:eastAsia="zh-CN"/>
        </w:rPr>
        <w:t>合格。</w:t>
      </w:r>
    </w:p>
    <w:p>
      <w:pP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6</w:t>
      </w:r>
      <w:r>
        <w:rPr>
          <w:rFonts w:hint="eastAsia" w:ascii="宋体" w:hAnsi="宋体" w:eastAsia="宋体" w:cs="宋体"/>
          <w:sz w:val="24"/>
          <w:szCs w:val="24"/>
        </w:rPr>
        <w:t xml:space="preserve">、本项目是否接受联合体投标：否。 </w:t>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二、申请人的资格要求</w:t>
      </w:r>
    </w:p>
    <w:p>
      <w:pPr>
        <w:spacing w:line="360" w:lineRule="auto"/>
        <w:rPr>
          <w:rFonts w:hint="eastAsia" w:ascii="宋体" w:hAnsi="宋体" w:eastAsia="宋体" w:cs="宋体"/>
          <w:sz w:val="24"/>
          <w:szCs w:val="24"/>
        </w:rPr>
      </w:pPr>
      <w:r>
        <w:rPr>
          <w:rFonts w:hint="eastAsia" w:ascii="宋体" w:hAnsi="宋体" w:eastAsia="宋体" w:cs="宋体"/>
          <w:sz w:val="24"/>
          <w:szCs w:val="24"/>
        </w:rPr>
        <w:t>1.满足《中华人民共和国政府采购法》第二十二条规定</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提供承诺书格式详见附件2</w:t>
      </w:r>
      <w:r>
        <w:rPr>
          <w:rFonts w:hint="eastAsia" w:ascii="宋体" w:hAnsi="宋体" w:eastAsia="宋体" w:cs="宋体"/>
          <w:sz w:val="24"/>
          <w:szCs w:val="24"/>
          <w:lang w:eastAsia="zh-CN"/>
        </w:rPr>
        <w:t>）</w:t>
      </w:r>
      <w:r>
        <w:rPr>
          <w:rFonts w:hint="eastAsia" w:ascii="宋体" w:hAnsi="宋体" w:eastAsia="宋体" w:cs="宋体"/>
          <w:sz w:val="24"/>
          <w:szCs w:val="24"/>
        </w:rPr>
        <w:t>；</w:t>
      </w:r>
    </w:p>
    <w:p>
      <w:pPr>
        <w:spacing w:line="360" w:lineRule="auto"/>
        <w:rPr>
          <w:rFonts w:hint="eastAsia" w:ascii="宋体" w:hAnsi="宋体" w:eastAsia="宋体" w:cs="宋体"/>
          <w:sz w:val="24"/>
          <w:szCs w:val="24"/>
        </w:rPr>
      </w:pPr>
      <w:r>
        <w:rPr>
          <w:rFonts w:hint="eastAsia" w:ascii="宋体" w:hAnsi="宋体" w:eastAsia="宋体" w:cs="宋体"/>
          <w:sz w:val="24"/>
          <w:szCs w:val="24"/>
        </w:rPr>
        <w:t>2、落实政府采购政策满足的资格要求：本项目执行促进中小微企业、监狱企业、残疾人福利性单位等政府采购政策。</w:t>
      </w:r>
    </w:p>
    <w:p>
      <w:pPr>
        <w:spacing w:line="360" w:lineRule="auto"/>
        <w:rPr>
          <w:rFonts w:hint="eastAsia" w:ascii="宋体" w:hAnsi="宋体" w:eastAsia="宋体" w:cs="宋体"/>
          <w:sz w:val="24"/>
          <w:szCs w:val="24"/>
        </w:rPr>
      </w:pPr>
      <w:r>
        <w:rPr>
          <w:rFonts w:hint="eastAsia" w:ascii="宋体" w:hAnsi="宋体" w:eastAsia="宋体" w:cs="宋体"/>
          <w:sz w:val="24"/>
          <w:szCs w:val="24"/>
        </w:rPr>
        <w:t>3.本项目的特定资格要求：</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w:t>
      </w:r>
      <w:r>
        <w:rPr>
          <w:rFonts w:hint="eastAsia" w:ascii="宋体" w:hAnsi="宋体" w:eastAsia="宋体" w:cs="宋体"/>
          <w:sz w:val="24"/>
          <w:szCs w:val="24"/>
        </w:rPr>
        <w:t xml:space="preserve">投标人若为生产厂家应具有《安全生产许可证》、《药品生产许可证》、《药品注册批件(或 药品再注册批件、或药品注册证书)》、《移动式压力容器充装许可证》、《危险化学品经营许可证》、《气瓶充装许可证》； </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投标人若为经销商或代理商应具有《移动式压力容器充装许可证》、《危险化学品经营许可证》、《气瓶充装许可证》 (还需提供生产厂家的《安全生产许可证》、《药品生产许可证》、《药品注册批件(或药品再注册批件、或药品注册证书)》证书复印件并加盖生产厂家公章)。</w:t>
      </w:r>
    </w:p>
    <w:p>
      <w:pPr>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w:t>
      </w:r>
      <w:r>
        <w:rPr>
          <w:rFonts w:hint="eastAsia" w:ascii="宋体" w:hAnsi="宋体" w:eastAsia="宋体" w:cs="宋体"/>
          <w:sz w:val="24"/>
          <w:szCs w:val="24"/>
        </w:rPr>
        <w:t>投标人或投标人委托承包运输人须具有危险化学品运输许可证（投标人委托承包运输人运输的须提供双方签订的委托合同）；</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3</w:t>
      </w:r>
      <w:r>
        <w:rPr>
          <w:rFonts w:hint="eastAsia" w:ascii="宋体" w:hAnsi="宋体" w:eastAsia="宋体" w:cs="宋体"/>
          <w:sz w:val="24"/>
          <w:szCs w:val="24"/>
          <w:lang w:eastAsia="zh-CN"/>
        </w:rPr>
        <w:t>）</w:t>
      </w:r>
      <w:r>
        <w:rPr>
          <w:rFonts w:hint="eastAsia" w:ascii="宋体" w:hAnsi="宋体" w:eastAsia="宋体" w:cs="宋体"/>
          <w:sz w:val="24"/>
          <w:szCs w:val="24"/>
        </w:rPr>
        <w:t>根据《关于在政府采购活动中查询及使用信用记录有关问题的通知》（财库[2016]125号）的规定，对列入“信用中国”网站（www.creditchina.gov.cn）重大税收违法失信主体和政府采购严重违法失信名单、“中国执行信息公开网”（http://zxgk.court,gov.cn）失信被执行人和“中国政府采购”网站（www.ccgp.gov.cn）政府采购严重违法失信行为记录名单的（指政府采购行政处罚有效期内），不得参与本次采购；供应商需提供信用承诺书，对承诺书真实性负责，提供虚假承诺供应商承担全部责任。</w:t>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三、</w:t>
      </w:r>
      <w:r>
        <w:rPr>
          <w:rFonts w:hint="eastAsia" w:ascii="宋体" w:hAnsi="宋体" w:eastAsia="宋体" w:cs="宋体"/>
          <w:b/>
          <w:bCs/>
          <w:sz w:val="24"/>
          <w:szCs w:val="24"/>
          <w:lang w:val="en-US" w:eastAsia="zh-CN"/>
        </w:rPr>
        <w:t>采购文件获取（</w:t>
      </w:r>
      <w:r>
        <w:rPr>
          <w:rFonts w:hint="eastAsia" w:ascii="宋体" w:hAnsi="宋体" w:eastAsia="宋体" w:cs="宋体"/>
          <w:b/>
          <w:bCs/>
          <w:sz w:val="24"/>
          <w:szCs w:val="24"/>
        </w:rPr>
        <w:t>报名时间及方式</w:t>
      </w:r>
      <w:r>
        <w:rPr>
          <w:rFonts w:hint="eastAsia" w:ascii="宋体" w:hAnsi="宋体" w:eastAsia="宋体" w:cs="宋体"/>
          <w:b/>
          <w:bCs/>
          <w:sz w:val="24"/>
          <w:szCs w:val="24"/>
          <w:lang w:val="en-US" w:eastAsia="zh-CN"/>
        </w:rPr>
        <w:t>）</w:t>
      </w:r>
      <w:r>
        <w:rPr>
          <w:rFonts w:hint="eastAsia" w:ascii="宋体" w:hAnsi="宋体" w:eastAsia="宋体" w:cs="宋体"/>
          <w:b/>
          <w:bCs/>
          <w:sz w:val="24"/>
          <w:szCs w:val="24"/>
        </w:rPr>
        <w:t xml:space="preserve">： </w:t>
      </w:r>
    </w:p>
    <w:p>
      <w:pPr>
        <w:spacing w:line="360" w:lineRule="auto"/>
        <w:rPr>
          <w:rFonts w:hint="eastAsia" w:ascii="宋体" w:hAnsi="宋体" w:eastAsia="宋体" w:cs="宋体"/>
          <w:sz w:val="24"/>
          <w:szCs w:val="24"/>
        </w:rPr>
      </w:pPr>
      <w:r>
        <w:rPr>
          <w:rFonts w:hint="eastAsia" w:ascii="宋体" w:hAnsi="宋体" w:eastAsia="宋体" w:cs="宋体"/>
          <w:sz w:val="24"/>
          <w:szCs w:val="24"/>
        </w:rPr>
        <w:t>1、时间：2023年</w:t>
      </w:r>
      <w:r>
        <w:rPr>
          <w:rFonts w:hint="eastAsia" w:ascii="宋体" w:hAnsi="宋体" w:eastAsia="宋体" w:cs="宋体"/>
          <w:sz w:val="24"/>
          <w:szCs w:val="24"/>
          <w:lang w:val="en-US" w:eastAsia="zh-CN"/>
        </w:rPr>
        <w:t>12</w:t>
      </w:r>
      <w:r>
        <w:rPr>
          <w:rFonts w:hint="eastAsia" w:ascii="宋体" w:hAnsi="宋体" w:eastAsia="宋体" w:cs="宋体"/>
          <w:sz w:val="24"/>
          <w:szCs w:val="24"/>
        </w:rPr>
        <w:t>月</w:t>
      </w:r>
      <w:r>
        <w:rPr>
          <w:rFonts w:hint="eastAsia" w:ascii="宋体" w:hAnsi="宋体" w:eastAsia="宋体" w:cs="宋体"/>
          <w:sz w:val="24"/>
          <w:szCs w:val="24"/>
          <w:lang w:val="en-US" w:eastAsia="zh-CN"/>
        </w:rPr>
        <w:t>18</w:t>
      </w:r>
      <w:r>
        <w:rPr>
          <w:rFonts w:hint="eastAsia" w:ascii="宋体" w:hAnsi="宋体" w:eastAsia="宋体" w:cs="宋体"/>
          <w:sz w:val="24"/>
          <w:szCs w:val="24"/>
        </w:rPr>
        <w:t>日至2023年</w:t>
      </w:r>
      <w:r>
        <w:rPr>
          <w:rFonts w:hint="eastAsia" w:ascii="宋体" w:hAnsi="宋体" w:eastAsia="宋体" w:cs="宋体"/>
          <w:sz w:val="24"/>
          <w:szCs w:val="24"/>
          <w:lang w:val="en-US" w:eastAsia="zh-CN"/>
        </w:rPr>
        <w:t>12</w:t>
      </w:r>
      <w:r>
        <w:rPr>
          <w:rFonts w:hint="eastAsia" w:ascii="宋体" w:hAnsi="宋体" w:eastAsia="宋体" w:cs="宋体"/>
          <w:sz w:val="24"/>
          <w:szCs w:val="24"/>
        </w:rPr>
        <w:t>月</w:t>
      </w:r>
      <w:r>
        <w:rPr>
          <w:rFonts w:hint="eastAsia" w:ascii="宋体" w:hAnsi="宋体" w:eastAsia="宋体" w:cs="宋体"/>
          <w:sz w:val="24"/>
          <w:szCs w:val="24"/>
          <w:lang w:val="en-US" w:eastAsia="zh-CN"/>
        </w:rPr>
        <w:t>21</w:t>
      </w:r>
      <w:r>
        <w:rPr>
          <w:rFonts w:hint="eastAsia" w:ascii="宋体" w:hAnsi="宋体" w:eastAsia="宋体" w:cs="宋体"/>
          <w:sz w:val="24"/>
          <w:szCs w:val="24"/>
        </w:rPr>
        <w:t>日（北京时间，法定节假日除外），上午8:30至11:30，下午</w:t>
      </w:r>
      <w:r>
        <w:rPr>
          <w:rFonts w:hint="eastAsia" w:ascii="宋体" w:hAnsi="宋体" w:eastAsia="宋体" w:cs="宋体"/>
          <w:sz w:val="24"/>
          <w:szCs w:val="24"/>
          <w:lang w:val="en-US" w:eastAsia="zh-CN"/>
        </w:rPr>
        <w:t>14</w:t>
      </w:r>
      <w:r>
        <w:rPr>
          <w:rFonts w:hint="eastAsia" w:ascii="宋体" w:hAnsi="宋体" w:eastAsia="宋体" w:cs="宋体"/>
          <w:sz w:val="24"/>
          <w:szCs w:val="24"/>
        </w:rPr>
        <w:t>:</w:t>
      </w:r>
      <w:r>
        <w:rPr>
          <w:rFonts w:hint="eastAsia" w:ascii="宋体" w:hAnsi="宋体" w:eastAsia="宋体" w:cs="宋体"/>
          <w:sz w:val="24"/>
          <w:szCs w:val="24"/>
          <w:lang w:val="en-US" w:eastAsia="zh-CN"/>
        </w:rPr>
        <w:t>3</w:t>
      </w:r>
      <w:r>
        <w:rPr>
          <w:rFonts w:hint="eastAsia" w:ascii="宋体" w:hAnsi="宋体" w:eastAsia="宋体" w:cs="宋体"/>
          <w:sz w:val="24"/>
          <w:szCs w:val="24"/>
        </w:rPr>
        <w:t>0至1</w:t>
      </w:r>
      <w:r>
        <w:rPr>
          <w:rFonts w:hint="eastAsia" w:ascii="宋体" w:hAnsi="宋体" w:eastAsia="宋体" w:cs="宋体"/>
          <w:sz w:val="24"/>
          <w:szCs w:val="24"/>
          <w:lang w:val="en-US" w:eastAsia="zh-CN"/>
        </w:rPr>
        <w:t>7</w:t>
      </w:r>
      <w:r>
        <w:rPr>
          <w:rFonts w:hint="eastAsia" w:ascii="宋体" w:hAnsi="宋体" w:eastAsia="宋体" w:cs="宋体"/>
          <w:sz w:val="24"/>
          <w:szCs w:val="24"/>
        </w:rPr>
        <w:t>:</w:t>
      </w:r>
      <w:r>
        <w:rPr>
          <w:rFonts w:hint="eastAsia" w:ascii="宋体" w:hAnsi="宋体" w:eastAsia="宋体" w:cs="宋体"/>
          <w:sz w:val="24"/>
          <w:szCs w:val="24"/>
          <w:lang w:val="en-US" w:eastAsia="zh-CN"/>
        </w:rPr>
        <w:t>3</w:t>
      </w:r>
      <w:r>
        <w:rPr>
          <w:rFonts w:hint="eastAsia" w:ascii="宋体" w:hAnsi="宋体" w:eastAsia="宋体" w:cs="宋体"/>
          <w:sz w:val="24"/>
          <w:szCs w:val="24"/>
        </w:rPr>
        <w:t>0，逾期不候；</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sz w:val="24"/>
          <w:szCs w:val="24"/>
        </w:rPr>
        <w:t>2、方式：</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w:t>
      </w:r>
      <w:r>
        <w:rPr>
          <w:rFonts w:hint="eastAsia" w:ascii="宋体" w:hAnsi="宋体" w:eastAsia="宋体" w:cs="宋体"/>
          <w:sz w:val="24"/>
          <w:szCs w:val="24"/>
        </w:rPr>
        <w:t>潜在供应商按询价公告中供应商资格要求涉及到的相关资料准备电子版报名资料（加盖公章的彩色扫描件）格式见附件发送</w:t>
      </w:r>
      <w:r>
        <w:rPr>
          <w:rFonts w:hint="eastAsia" w:ascii="宋体" w:hAnsi="宋体" w:eastAsia="宋体" w:cs="宋体"/>
          <w:sz w:val="24"/>
          <w:szCs w:val="24"/>
          <w:lang w:val="en-US" w:eastAsia="zh-CN"/>
        </w:rPr>
        <w:t>379020286@</w:t>
      </w:r>
      <w:r>
        <w:rPr>
          <w:rFonts w:hint="eastAsia" w:ascii="宋体" w:hAnsi="宋体" w:eastAsia="宋体" w:cs="宋体"/>
          <w:sz w:val="24"/>
          <w:szCs w:val="24"/>
        </w:rPr>
        <w:t>qq.com，并及时致电代理机构查看报名资料</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发送</w:t>
      </w:r>
      <w:r>
        <w:rPr>
          <w:rFonts w:hint="eastAsia" w:ascii="宋体" w:hAnsi="宋体" w:eastAsia="宋体" w:cs="宋体"/>
          <w:sz w:val="24"/>
          <w:szCs w:val="24"/>
        </w:rPr>
        <w:t>报名资料需注明供应商名称、联系方式</w:t>
      </w:r>
      <w:r>
        <w:rPr>
          <w:rFonts w:hint="eastAsia" w:ascii="宋体" w:hAnsi="宋体" w:eastAsia="宋体" w:cs="宋体"/>
          <w:sz w:val="24"/>
          <w:szCs w:val="24"/>
          <w:lang w:eastAsia="zh-CN"/>
        </w:rPr>
        <w:t>；</w:t>
      </w:r>
      <w:r>
        <w:rPr>
          <w:rFonts w:hint="eastAsia" w:ascii="宋体" w:hAnsi="宋体" w:eastAsia="宋体" w:cs="宋体"/>
          <w:color w:val="auto"/>
          <w:sz w:val="24"/>
          <w:szCs w:val="24"/>
          <w:highlight w:val="none"/>
        </w:rPr>
        <w:t>待资格审核</w:t>
      </w:r>
      <w:r>
        <w:rPr>
          <w:rFonts w:hint="eastAsia" w:ascii="宋体" w:hAnsi="宋体" w:eastAsia="宋体" w:cs="宋体"/>
          <w:color w:val="auto"/>
          <w:sz w:val="24"/>
          <w:szCs w:val="24"/>
          <w:highlight w:val="none"/>
          <w:lang w:val="en-US" w:eastAsia="zh-CN"/>
        </w:rPr>
        <w:t>通过后，</w:t>
      </w:r>
      <w:r>
        <w:rPr>
          <w:rFonts w:hint="eastAsia" w:ascii="宋体" w:hAnsi="宋体" w:eastAsia="宋体" w:cs="宋体"/>
          <w:color w:val="auto"/>
          <w:sz w:val="24"/>
          <w:szCs w:val="24"/>
          <w:highlight w:val="none"/>
        </w:rPr>
        <w:t>代理机构通过回复邮件</w:t>
      </w:r>
      <w:r>
        <w:rPr>
          <w:rFonts w:hint="eastAsia" w:ascii="宋体" w:hAnsi="宋体" w:eastAsia="宋体" w:cs="宋体"/>
          <w:color w:val="auto"/>
          <w:sz w:val="24"/>
          <w:szCs w:val="24"/>
          <w:highlight w:val="none"/>
          <w:lang w:val="en-US" w:eastAsia="zh-CN"/>
        </w:rPr>
        <w:t>报价函等资料</w:t>
      </w:r>
      <w:r>
        <w:rPr>
          <w:rFonts w:hint="eastAsia" w:ascii="宋体" w:hAnsi="宋体" w:eastAsia="宋体" w:cs="宋体"/>
          <w:color w:val="auto"/>
          <w:sz w:val="24"/>
          <w:szCs w:val="24"/>
          <w:highlight w:val="none"/>
        </w:rPr>
        <w:t>，视为报名成功。</w:t>
      </w:r>
    </w:p>
    <w:p>
      <w:pPr>
        <w:spacing w:line="360" w:lineRule="auto"/>
        <w:rPr>
          <w:rFonts w:hint="default" w:ascii="宋体" w:hAnsi="宋体" w:eastAsia="宋体" w:cs="宋体"/>
          <w:sz w:val="24"/>
          <w:szCs w:val="24"/>
          <w:lang w:val="en-US"/>
        </w:rPr>
      </w:pPr>
      <w:r>
        <w:rPr>
          <w:rFonts w:hint="eastAsia" w:ascii="宋体" w:hAnsi="宋体" w:eastAsia="宋体" w:cs="宋体"/>
          <w:sz w:val="24"/>
          <w:szCs w:val="24"/>
          <w:lang w:val="en-US" w:eastAsia="zh-CN"/>
        </w:rPr>
        <w:t>3、售价：0元。</w:t>
      </w:r>
    </w:p>
    <w:p>
      <w:pPr>
        <w:spacing w:line="360" w:lineRule="auto"/>
        <w:rPr>
          <w:rFonts w:hint="eastAsia" w:ascii="宋体" w:hAnsi="宋体" w:eastAsia="宋体" w:cs="宋体"/>
          <w:sz w:val="24"/>
          <w:szCs w:val="24"/>
        </w:rPr>
      </w:pPr>
      <w:r>
        <w:rPr>
          <w:rFonts w:hint="eastAsia" w:ascii="宋体" w:hAnsi="宋体" w:eastAsia="宋体" w:cs="宋体"/>
          <w:b/>
          <w:bCs/>
          <w:sz w:val="24"/>
          <w:szCs w:val="24"/>
        </w:rPr>
        <w:t>四、询价的开启时间及地点：</w:t>
      </w:r>
      <w:r>
        <w:rPr>
          <w:rFonts w:hint="eastAsia" w:ascii="宋体" w:hAnsi="宋体" w:eastAsia="宋体" w:cs="宋体"/>
          <w:sz w:val="24"/>
          <w:szCs w:val="24"/>
        </w:rPr>
        <w:t xml:space="preserve"> </w:t>
      </w:r>
    </w:p>
    <w:p>
      <w:pPr>
        <w:spacing w:line="360" w:lineRule="auto"/>
        <w:rPr>
          <w:rFonts w:hint="eastAsia" w:ascii="宋体" w:hAnsi="宋体" w:eastAsia="宋体" w:cs="宋体"/>
          <w:sz w:val="24"/>
          <w:szCs w:val="24"/>
        </w:rPr>
      </w:pPr>
      <w:r>
        <w:rPr>
          <w:rFonts w:hint="eastAsia" w:ascii="宋体" w:hAnsi="宋体" w:eastAsia="宋体" w:cs="宋体"/>
          <w:sz w:val="24"/>
          <w:szCs w:val="24"/>
        </w:rPr>
        <w:t>1、时间：2023年</w:t>
      </w:r>
      <w:r>
        <w:rPr>
          <w:rFonts w:hint="eastAsia" w:ascii="宋体" w:hAnsi="宋体" w:eastAsia="宋体" w:cs="宋体"/>
          <w:sz w:val="24"/>
          <w:szCs w:val="24"/>
          <w:lang w:val="en-US" w:eastAsia="zh-CN"/>
        </w:rPr>
        <w:t>12</w:t>
      </w:r>
      <w:r>
        <w:rPr>
          <w:rFonts w:hint="eastAsia" w:ascii="宋体" w:hAnsi="宋体" w:eastAsia="宋体" w:cs="宋体"/>
          <w:sz w:val="24"/>
          <w:szCs w:val="24"/>
        </w:rPr>
        <w:t>月</w:t>
      </w:r>
      <w:r>
        <w:rPr>
          <w:rFonts w:hint="eastAsia" w:ascii="宋体" w:hAnsi="宋体" w:eastAsia="宋体" w:cs="宋体"/>
          <w:sz w:val="24"/>
          <w:szCs w:val="24"/>
          <w:lang w:val="en-US" w:eastAsia="zh-CN"/>
        </w:rPr>
        <w:t>22</w:t>
      </w:r>
      <w:r>
        <w:rPr>
          <w:rFonts w:hint="eastAsia" w:ascii="宋体" w:hAnsi="宋体" w:eastAsia="宋体" w:cs="宋体"/>
          <w:sz w:val="24"/>
          <w:szCs w:val="24"/>
        </w:rPr>
        <w:t>日</w:t>
      </w:r>
      <w:r>
        <w:rPr>
          <w:rFonts w:hint="eastAsia" w:ascii="宋体" w:hAnsi="宋体" w:eastAsia="宋体" w:cs="宋体"/>
          <w:sz w:val="24"/>
          <w:szCs w:val="24"/>
          <w:lang w:val="en-US" w:eastAsia="zh-CN"/>
        </w:rPr>
        <w:t>9</w:t>
      </w:r>
      <w:r>
        <w:rPr>
          <w:rFonts w:hint="eastAsia" w:ascii="宋体" w:hAnsi="宋体" w:eastAsia="宋体" w:cs="宋体"/>
          <w:sz w:val="24"/>
          <w:szCs w:val="24"/>
        </w:rPr>
        <w:t>时</w:t>
      </w:r>
      <w:r>
        <w:rPr>
          <w:rFonts w:hint="eastAsia" w:ascii="宋体" w:hAnsi="宋体" w:eastAsia="宋体" w:cs="宋体"/>
          <w:sz w:val="24"/>
          <w:szCs w:val="24"/>
          <w:lang w:val="en-US" w:eastAsia="zh-CN"/>
        </w:rPr>
        <w:t>00</w:t>
      </w:r>
      <w:r>
        <w:rPr>
          <w:rFonts w:hint="eastAsia" w:ascii="宋体" w:hAnsi="宋体" w:eastAsia="宋体" w:cs="宋体"/>
          <w:sz w:val="24"/>
          <w:szCs w:val="24"/>
        </w:rPr>
        <w:t xml:space="preserve">分（北京时间）。 </w:t>
      </w:r>
    </w:p>
    <w:p>
      <w:pPr>
        <w:spacing w:line="360" w:lineRule="auto"/>
        <w:rPr>
          <w:rFonts w:hint="eastAsia" w:ascii="宋体" w:hAnsi="宋体" w:eastAsia="宋体" w:cs="宋体"/>
          <w:sz w:val="24"/>
          <w:szCs w:val="24"/>
        </w:rPr>
      </w:pPr>
      <w:r>
        <w:rPr>
          <w:rFonts w:hint="eastAsia" w:ascii="宋体" w:hAnsi="宋体" w:eastAsia="宋体" w:cs="宋体"/>
          <w:sz w:val="24"/>
          <w:szCs w:val="24"/>
        </w:rPr>
        <w:t>2、地点：高达建设管理发展有限责任公司</w:t>
      </w:r>
      <w:r>
        <w:rPr>
          <w:rFonts w:hint="eastAsia" w:ascii="宋体" w:hAnsi="宋体" w:eastAsia="宋体" w:cs="宋体"/>
          <w:sz w:val="24"/>
          <w:szCs w:val="24"/>
          <w:lang w:val="en-US" w:eastAsia="zh-CN"/>
        </w:rPr>
        <w:t>会议室</w:t>
      </w:r>
      <w:r>
        <w:rPr>
          <w:rFonts w:hint="eastAsia" w:ascii="宋体" w:hAnsi="宋体" w:eastAsia="宋体" w:cs="宋体"/>
          <w:sz w:val="24"/>
          <w:szCs w:val="24"/>
          <w:highlight w:val="none"/>
        </w:rPr>
        <w:t>（鹤壁市淇滨区嵩山路与黎阳路交叉口东北角三楼310室）；供应</w:t>
      </w:r>
      <w:r>
        <w:rPr>
          <w:rFonts w:hint="eastAsia" w:ascii="宋体" w:hAnsi="宋体" w:eastAsia="宋体" w:cs="宋体"/>
          <w:sz w:val="24"/>
          <w:szCs w:val="24"/>
        </w:rPr>
        <w:t xml:space="preserve">商自行选择任意地点参加询价会议，供应商无需到达开标现场。 </w:t>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五、询价单提交</w:t>
      </w:r>
      <w:r>
        <w:rPr>
          <w:rFonts w:hint="eastAsia" w:ascii="宋体" w:hAnsi="宋体" w:eastAsia="宋体" w:cs="宋体"/>
          <w:b/>
          <w:bCs/>
          <w:sz w:val="24"/>
          <w:szCs w:val="24"/>
          <w:lang w:val="en-US" w:eastAsia="zh-CN"/>
        </w:rPr>
        <w:t>及开启</w:t>
      </w:r>
      <w:r>
        <w:rPr>
          <w:rFonts w:hint="eastAsia" w:ascii="宋体" w:hAnsi="宋体" w:eastAsia="宋体" w:cs="宋体"/>
          <w:b/>
          <w:bCs/>
          <w:sz w:val="24"/>
          <w:szCs w:val="24"/>
        </w:rPr>
        <w:t xml:space="preserve">： </w:t>
      </w:r>
    </w:p>
    <w:p>
      <w:pPr>
        <w:spacing w:line="360" w:lineRule="auto"/>
        <w:rPr>
          <w:rFonts w:hint="eastAsia" w:ascii="宋体" w:hAnsi="宋体" w:eastAsia="宋体" w:cs="宋体"/>
          <w:sz w:val="24"/>
          <w:szCs w:val="24"/>
        </w:rPr>
      </w:pPr>
      <w:r>
        <w:rPr>
          <w:rFonts w:hint="eastAsia" w:ascii="宋体" w:hAnsi="宋体" w:eastAsia="宋体" w:cs="宋体"/>
          <w:sz w:val="24"/>
          <w:szCs w:val="24"/>
        </w:rPr>
        <w:t>1、截止时间：2023年</w:t>
      </w:r>
      <w:r>
        <w:rPr>
          <w:rFonts w:hint="eastAsia" w:ascii="宋体" w:hAnsi="宋体" w:eastAsia="宋体" w:cs="宋体"/>
          <w:sz w:val="24"/>
          <w:szCs w:val="24"/>
          <w:lang w:val="en-US" w:eastAsia="zh-CN"/>
        </w:rPr>
        <w:t>12</w:t>
      </w:r>
      <w:r>
        <w:rPr>
          <w:rFonts w:hint="eastAsia" w:ascii="宋体" w:hAnsi="宋体" w:eastAsia="宋体" w:cs="宋体"/>
          <w:sz w:val="24"/>
          <w:szCs w:val="24"/>
        </w:rPr>
        <w:t>月</w:t>
      </w:r>
      <w:r>
        <w:rPr>
          <w:rFonts w:hint="eastAsia" w:ascii="宋体" w:hAnsi="宋体" w:eastAsia="宋体" w:cs="宋体"/>
          <w:sz w:val="24"/>
          <w:szCs w:val="24"/>
          <w:lang w:val="en-US" w:eastAsia="zh-CN"/>
        </w:rPr>
        <w:t>22</w:t>
      </w:r>
      <w:bookmarkStart w:id="0" w:name="_GoBack"/>
      <w:bookmarkEnd w:id="0"/>
      <w:r>
        <w:rPr>
          <w:rFonts w:hint="eastAsia" w:ascii="宋体" w:hAnsi="宋体" w:eastAsia="宋体" w:cs="宋体"/>
          <w:sz w:val="24"/>
          <w:szCs w:val="24"/>
        </w:rPr>
        <w:t>日</w:t>
      </w:r>
      <w:r>
        <w:rPr>
          <w:rFonts w:hint="eastAsia" w:ascii="宋体" w:hAnsi="宋体" w:eastAsia="宋体" w:cs="宋体"/>
          <w:sz w:val="24"/>
          <w:szCs w:val="24"/>
          <w:lang w:val="en-US" w:eastAsia="zh-CN"/>
        </w:rPr>
        <w:t>9</w:t>
      </w:r>
      <w:r>
        <w:rPr>
          <w:rFonts w:hint="eastAsia" w:ascii="宋体" w:hAnsi="宋体" w:eastAsia="宋体" w:cs="宋体"/>
          <w:sz w:val="24"/>
          <w:szCs w:val="24"/>
        </w:rPr>
        <w:t>时</w:t>
      </w:r>
      <w:r>
        <w:rPr>
          <w:rFonts w:hint="eastAsia" w:ascii="宋体" w:hAnsi="宋体" w:eastAsia="宋体" w:cs="宋体"/>
          <w:sz w:val="24"/>
          <w:szCs w:val="24"/>
          <w:lang w:val="en-US" w:eastAsia="zh-CN"/>
        </w:rPr>
        <w:t>00</w:t>
      </w:r>
      <w:r>
        <w:rPr>
          <w:rFonts w:hint="eastAsia" w:ascii="宋体" w:hAnsi="宋体" w:eastAsia="宋体" w:cs="宋体"/>
          <w:sz w:val="24"/>
          <w:szCs w:val="24"/>
        </w:rPr>
        <w:t xml:space="preserve">分（北京时间） </w:t>
      </w:r>
    </w:p>
    <w:p>
      <w:pPr>
        <w:spacing w:line="360" w:lineRule="auto"/>
        <w:rPr>
          <w:rFonts w:hint="eastAsia" w:ascii="宋体" w:hAnsi="宋体" w:eastAsia="宋体" w:cs="宋体"/>
          <w:sz w:val="24"/>
          <w:szCs w:val="24"/>
        </w:rPr>
      </w:pPr>
      <w:r>
        <w:rPr>
          <w:rFonts w:hint="eastAsia" w:ascii="宋体" w:hAnsi="宋体" w:eastAsia="宋体" w:cs="宋体"/>
          <w:sz w:val="24"/>
          <w:szCs w:val="24"/>
        </w:rPr>
        <w:t>2、报价递交方式：书面方式，各合格供应商在询价截止时间前将报价函以加密PDF格式（提醒：请仅将邮件附件资料加密即可，无需将邮件加密）发送至电子邮箱：</w:t>
      </w:r>
      <w:r>
        <w:rPr>
          <w:rFonts w:hint="eastAsia" w:ascii="宋体" w:hAnsi="宋体" w:eastAsia="宋体" w:cs="宋体"/>
          <w:sz w:val="24"/>
          <w:szCs w:val="24"/>
          <w:lang w:val="en-US" w:eastAsia="zh-CN"/>
        </w:rPr>
        <w:t>379020286@</w:t>
      </w:r>
      <w:r>
        <w:rPr>
          <w:rFonts w:hint="eastAsia" w:ascii="宋体" w:hAnsi="宋体" w:eastAsia="宋体" w:cs="宋体"/>
          <w:sz w:val="24"/>
          <w:szCs w:val="24"/>
        </w:rPr>
        <w:t xml:space="preserve">qq.com，未发送或逾期发送的，采购人或采购代理机构将不予接收，本项目不涉及二次报价，供应商不应重复发送，否则，由此带来的不利后果由供应商自行承担。 </w:t>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开启询价：在询价截止时间到，采购人、采购代理机构将以电话形式（以各供应商资格资料中所载明的联系电话为准，请务必在询价当天保持电话畅通，因供应商电话无法接通，由此带来的后果由供应商自己承担）通知各供应商告知报价函密码并当场解密，供应商报价函无法解密或解密后无法打开的，视为无效报价，采购代理机构对各有效供应商的报价进行书面记录。供应商的报价不应超过采购控制价，否则，其投标无效。采购代理机构将各有效供应商的报价从低到高进行排序，采购人将依法确定报价最低的供应商为项目的成交供应商。 </w:t>
      </w:r>
    </w:p>
    <w:p>
      <w:pPr>
        <w:spacing w:line="360" w:lineRule="auto"/>
        <w:rPr>
          <w:rFonts w:hint="eastAsia" w:ascii="宋体" w:hAnsi="宋体" w:eastAsia="宋体" w:cs="宋体"/>
          <w:sz w:val="24"/>
          <w:szCs w:val="24"/>
        </w:rPr>
      </w:pPr>
      <w:r>
        <w:rPr>
          <w:rFonts w:hint="eastAsia" w:ascii="宋体" w:hAnsi="宋体" w:eastAsia="宋体" w:cs="宋体"/>
          <w:b/>
          <w:bCs/>
          <w:sz w:val="24"/>
          <w:szCs w:val="24"/>
        </w:rPr>
        <w:t>六、公告期限：</w:t>
      </w:r>
      <w:r>
        <w:rPr>
          <w:rFonts w:hint="eastAsia" w:ascii="宋体" w:hAnsi="宋体" w:eastAsia="宋体" w:cs="宋体"/>
          <w:sz w:val="24"/>
          <w:szCs w:val="24"/>
        </w:rPr>
        <w:t xml:space="preserve"> </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本次公告在《中国政府采购网》、《河南省电子招标投标公共服务平台》、《鹤壁市人民医院网》上发布，自本公告发布之日起3个工作日。 </w:t>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七、其他补充事宜： </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关于本项目的疑问答复、澄清、修改补充信息及对项目的暂停、延期通知等情况，均在</w:t>
      </w:r>
      <w:r>
        <w:rPr>
          <w:rFonts w:hint="eastAsia" w:ascii="宋体" w:hAnsi="宋体" w:eastAsia="宋体" w:cs="宋体"/>
          <w:sz w:val="24"/>
          <w:szCs w:val="24"/>
          <w:lang w:val="en-US" w:eastAsia="zh-CN"/>
        </w:rPr>
        <w:t>询价统一媒介</w:t>
      </w:r>
      <w:r>
        <w:rPr>
          <w:rFonts w:hint="eastAsia" w:ascii="宋体" w:hAnsi="宋体" w:eastAsia="宋体" w:cs="宋体"/>
          <w:sz w:val="24"/>
          <w:szCs w:val="24"/>
        </w:rPr>
        <w:t xml:space="preserve">进行发布。潜在供应商有权利自行查阅或向采购人或代理机构电话询问确认，未按要求查阅者自行承担相应后果，恕不单独告知。 </w:t>
      </w:r>
    </w:p>
    <w:p>
      <w:pPr>
        <w:spacing w:line="360" w:lineRule="auto"/>
        <w:ind w:firstLine="482" w:firstLineChars="200"/>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2、本采购项目清单及规格参数要求：</w:t>
      </w:r>
    </w:p>
    <w:tbl>
      <w:tblPr>
        <w:tblStyle w:val="12"/>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6"/>
        <w:gridCol w:w="1508"/>
        <w:gridCol w:w="2750"/>
        <w:gridCol w:w="864"/>
        <w:gridCol w:w="724"/>
        <w:gridCol w:w="26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696" w:type="dxa"/>
          </w:tcPr>
          <w:p>
            <w:pPr>
              <w:spacing w:line="400" w:lineRule="exact"/>
              <w:jc w:val="center"/>
              <w:rPr>
                <w:rFonts w:hint="default" w:ascii="宋体" w:hAnsi="宋体" w:cs="宋体"/>
                <w:szCs w:val="21"/>
                <w:vertAlign w:val="baseline"/>
                <w:lang w:val="en-US" w:eastAsia="zh-CN"/>
              </w:rPr>
            </w:pPr>
            <w:r>
              <w:rPr>
                <w:rFonts w:hint="eastAsia" w:ascii="宋体" w:hAnsi="宋体" w:cs="宋体"/>
                <w:szCs w:val="21"/>
                <w:vertAlign w:val="baseline"/>
                <w:lang w:val="en-US" w:eastAsia="zh-CN"/>
              </w:rPr>
              <w:t>序号</w:t>
            </w:r>
          </w:p>
        </w:tc>
        <w:tc>
          <w:tcPr>
            <w:tcW w:w="1508" w:type="dxa"/>
          </w:tcPr>
          <w:p>
            <w:pPr>
              <w:spacing w:line="400" w:lineRule="exact"/>
              <w:jc w:val="center"/>
              <w:rPr>
                <w:rFonts w:hint="default" w:ascii="宋体" w:hAnsi="宋体" w:cs="宋体"/>
                <w:szCs w:val="21"/>
                <w:vertAlign w:val="baseline"/>
                <w:lang w:val="en-US" w:eastAsia="zh-CN"/>
              </w:rPr>
            </w:pPr>
            <w:r>
              <w:rPr>
                <w:rFonts w:hint="eastAsia" w:ascii="宋体" w:hAnsi="宋体" w:cs="宋体"/>
                <w:szCs w:val="21"/>
                <w:vertAlign w:val="baseline"/>
                <w:lang w:val="en-US" w:eastAsia="zh-CN"/>
              </w:rPr>
              <w:t>货物名称</w:t>
            </w:r>
          </w:p>
        </w:tc>
        <w:tc>
          <w:tcPr>
            <w:tcW w:w="2750" w:type="dxa"/>
          </w:tcPr>
          <w:p>
            <w:pPr>
              <w:spacing w:line="400" w:lineRule="exact"/>
              <w:jc w:val="center"/>
              <w:rPr>
                <w:rFonts w:hint="default" w:ascii="宋体" w:hAnsi="宋体" w:cs="宋体"/>
                <w:szCs w:val="21"/>
                <w:highlight w:val="none"/>
                <w:vertAlign w:val="baseline"/>
                <w:lang w:val="en-US" w:eastAsia="zh-CN"/>
              </w:rPr>
            </w:pPr>
            <w:r>
              <w:rPr>
                <w:rFonts w:hint="eastAsia" w:ascii="宋体" w:hAnsi="宋体" w:cs="宋体"/>
                <w:szCs w:val="21"/>
                <w:highlight w:val="none"/>
                <w:vertAlign w:val="baseline"/>
                <w:lang w:val="en-US" w:eastAsia="zh-CN"/>
              </w:rPr>
              <w:t>规格参数</w:t>
            </w:r>
          </w:p>
        </w:tc>
        <w:tc>
          <w:tcPr>
            <w:tcW w:w="864" w:type="dxa"/>
            <w:vAlign w:val="top"/>
          </w:tcPr>
          <w:p>
            <w:pPr>
              <w:spacing w:line="400" w:lineRule="exact"/>
              <w:jc w:val="center"/>
              <w:rPr>
                <w:rFonts w:hint="default" w:ascii="宋体" w:hAnsi="宋体" w:cs="宋体" w:eastAsiaTheme="minorEastAsia"/>
                <w:kern w:val="2"/>
                <w:sz w:val="21"/>
                <w:szCs w:val="21"/>
                <w:vertAlign w:val="baseline"/>
                <w:lang w:val="en-US" w:eastAsia="zh-CN" w:bidi="ar-SA"/>
              </w:rPr>
            </w:pPr>
            <w:r>
              <w:rPr>
                <w:rFonts w:hint="eastAsia" w:ascii="宋体" w:hAnsi="宋体" w:cs="宋体"/>
                <w:szCs w:val="21"/>
                <w:vertAlign w:val="baseline"/>
                <w:lang w:val="en-US" w:eastAsia="zh-CN"/>
              </w:rPr>
              <w:t>单位</w:t>
            </w:r>
          </w:p>
        </w:tc>
        <w:tc>
          <w:tcPr>
            <w:tcW w:w="724" w:type="dxa"/>
            <w:vAlign w:val="top"/>
          </w:tcPr>
          <w:p>
            <w:pPr>
              <w:spacing w:line="400" w:lineRule="exact"/>
              <w:jc w:val="center"/>
              <w:rPr>
                <w:rFonts w:hint="default" w:ascii="宋体" w:hAnsi="宋体" w:cs="宋体" w:eastAsiaTheme="minorEastAsia"/>
                <w:kern w:val="2"/>
                <w:sz w:val="21"/>
                <w:szCs w:val="21"/>
                <w:vertAlign w:val="baseline"/>
                <w:lang w:val="en-US" w:eastAsia="zh-CN" w:bidi="ar-SA"/>
              </w:rPr>
            </w:pPr>
            <w:r>
              <w:rPr>
                <w:rFonts w:hint="eastAsia" w:ascii="宋体" w:hAnsi="宋体" w:cs="宋体"/>
                <w:szCs w:val="21"/>
                <w:vertAlign w:val="baseline"/>
                <w:lang w:val="en-US" w:eastAsia="zh-CN"/>
              </w:rPr>
              <w:t>数量</w:t>
            </w:r>
          </w:p>
        </w:tc>
        <w:tc>
          <w:tcPr>
            <w:tcW w:w="2638" w:type="dxa"/>
            <w:vAlign w:val="top"/>
          </w:tcPr>
          <w:p>
            <w:pPr>
              <w:spacing w:line="400" w:lineRule="exact"/>
              <w:jc w:val="center"/>
              <w:rPr>
                <w:rFonts w:hint="default" w:ascii="宋体" w:hAnsi="宋体" w:cs="宋体"/>
                <w:szCs w:val="21"/>
                <w:vertAlign w:val="baseline"/>
                <w:lang w:val="en-US" w:eastAsia="zh-CN"/>
              </w:rPr>
            </w:pPr>
            <w:r>
              <w:rPr>
                <w:rFonts w:hint="eastAsia" w:ascii="宋体" w:hAnsi="宋体" w:cs="宋体"/>
                <w:szCs w:val="21"/>
                <w:vertAlign w:val="baseline"/>
                <w:lang w:val="en-US" w:eastAsia="zh-CN"/>
              </w:rPr>
              <w:t>货物单价的最高限价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tcPr>
          <w:p>
            <w:pPr>
              <w:spacing w:line="400" w:lineRule="exact"/>
              <w:jc w:val="center"/>
              <w:rPr>
                <w:rFonts w:hint="default" w:ascii="宋体" w:hAnsi="宋体" w:cs="宋体"/>
                <w:szCs w:val="21"/>
                <w:vertAlign w:val="baseline"/>
                <w:lang w:val="en-US" w:eastAsia="zh-CN"/>
              </w:rPr>
            </w:pPr>
            <w:r>
              <w:rPr>
                <w:rFonts w:hint="eastAsia" w:ascii="宋体" w:hAnsi="宋体" w:cs="宋体"/>
                <w:szCs w:val="21"/>
                <w:vertAlign w:val="baseline"/>
                <w:lang w:val="en-US" w:eastAsia="zh-CN"/>
              </w:rPr>
              <w:t>1</w:t>
            </w:r>
          </w:p>
        </w:tc>
        <w:tc>
          <w:tcPr>
            <w:tcW w:w="1508" w:type="dxa"/>
          </w:tcPr>
          <w:p>
            <w:pPr>
              <w:spacing w:line="400" w:lineRule="exact"/>
              <w:jc w:val="center"/>
              <w:rPr>
                <w:rFonts w:hint="default" w:ascii="宋体" w:hAnsi="宋体" w:cs="宋体"/>
                <w:szCs w:val="21"/>
                <w:vertAlign w:val="baseline"/>
                <w:lang w:val="en-US" w:eastAsia="zh-CN"/>
              </w:rPr>
            </w:pPr>
            <w:r>
              <w:rPr>
                <w:rFonts w:hint="eastAsia" w:ascii="宋体" w:hAnsi="宋体" w:cs="宋体"/>
                <w:szCs w:val="21"/>
                <w:vertAlign w:val="baseline"/>
                <w:lang w:val="en-US" w:eastAsia="zh-CN"/>
              </w:rPr>
              <w:t>高纯二氧化碳</w:t>
            </w:r>
          </w:p>
        </w:tc>
        <w:tc>
          <w:tcPr>
            <w:tcW w:w="2750" w:type="dxa"/>
            <w:vAlign w:val="top"/>
          </w:tcPr>
          <w:p>
            <w:pPr>
              <w:spacing w:line="400" w:lineRule="exact"/>
              <w:jc w:val="left"/>
              <w:rPr>
                <w:rFonts w:hint="default" w:ascii="宋体" w:hAnsi="宋体" w:cs="宋体"/>
                <w:szCs w:val="21"/>
                <w:highlight w:val="none"/>
                <w:vertAlign w:val="baseline"/>
                <w:lang w:val="en-US" w:eastAsia="zh-CN"/>
              </w:rPr>
            </w:pPr>
            <w:r>
              <w:rPr>
                <w:rFonts w:hint="eastAsia" w:ascii="宋体" w:hAnsi="宋体" w:cs="宋体"/>
                <w:szCs w:val="21"/>
                <w:highlight w:val="none"/>
                <w:vertAlign w:val="baseline"/>
                <w:lang w:val="en-US" w:eastAsia="zh-CN"/>
              </w:rPr>
              <w:t>99.999%</w:t>
            </w:r>
          </w:p>
        </w:tc>
        <w:tc>
          <w:tcPr>
            <w:tcW w:w="864" w:type="dxa"/>
          </w:tcPr>
          <w:p>
            <w:pPr>
              <w:spacing w:line="400" w:lineRule="exact"/>
              <w:jc w:val="center"/>
              <w:rPr>
                <w:rFonts w:hint="default" w:ascii="宋体" w:hAnsi="宋体" w:cs="宋体"/>
                <w:szCs w:val="21"/>
                <w:vertAlign w:val="baseline"/>
                <w:lang w:val="en-US" w:eastAsia="zh-CN"/>
              </w:rPr>
            </w:pPr>
            <w:r>
              <w:rPr>
                <w:rFonts w:hint="eastAsia" w:ascii="宋体" w:hAnsi="宋体" w:cs="宋体"/>
                <w:szCs w:val="21"/>
                <w:vertAlign w:val="baseline"/>
                <w:lang w:val="en-US" w:eastAsia="zh-CN"/>
              </w:rPr>
              <w:t>40L</w:t>
            </w:r>
          </w:p>
        </w:tc>
        <w:tc>
          <w:tcPr>
            <w:tcW w:w="724" w:type="dxa"/>
          </w:tcPr>
          <w:p>
            <w:pPr>
              <w:spacing w:line="400" w:lineRule="exact"/>
              <w:jc w:val="center"/>
              <w:rPr>
                <w:rFonts w:hint="default" w:ascii="宋体" w:hAnsi="宋体" w:cs="宋体"/>
                <w:szCs w:val="21"/>
                <w:vertAlign w:val="baseline"/>
                <w:lang w:val="en-US" w:eastAsia="zh-CN"/>
              </w:rPr>
            </w:pPr>
            <w:r>
              <w:rPr>
                <w:rFonts w:hint="eastAsia" w:ascii="宋体" w:hAnsi="宋体" w:cs="宋体"/>
                <w:szCs w:val="21"/>
                <w:vertAlign w:val="baseline"/>
                <w:lang w:val="en-US" w:eastAsia="zh-CN"/>
              </w:rPr>
              <w:t>60</w:t>
            </w:r>
          </w:p>
        </w:tc>
        <w:tc>
          <w:tcPr>
            <w:tcW w:w="2638" w:type="dxa"/>
          </w:tcPr>
          <w:p>
            <w:pPr>
              <w:spacing w:line="400" w:lineRule="exact"/>
              <w:jc w:val="center"/>
              <w:rPr>
                <w:rFonts w:hint="default" w:ascii="宋体" w:hAnsi="宋体" w:cs="宋体"/>
                <w:szCs w:val="21"/>
                <w:vertAlign w:val="baseline"/>
                <w:lang w:val="en-US" w:eastAsia="zh-CN"/>
              </w:rPr>
            </w:pPr>
            <w:r>
              <w:rPr>
                <w:rFonts w:hint="eastAsia" w:ascii="宋体" w:hAnsi="宋体" w:cs="宋体"/>
                <w:szCs w:val="21"/>
                <w:vertAlign w:val="baseline"/>
                <w:lang w:val="en-US" w:eastAsia="zh-CN"/>
              </w:rPr>
              <w:t>500（元）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tcPr>
          <w:p>
            <w:pPr>
              <w:spacing w:line="400" w:lineRule="exact"/>
              <w:jc w:val="center"/>
              <w:rPr>
                <w:rFonts w:hint="default" w:ascii="宋体" w:hAnsi="宋体" w:cs="宋体"/>
                <w:szCs w:val="21"/>
                <w:vertAlign w:val="baseline"/>
                <w:lang w:val="en-US" w:eastAsia="zh-CN"/>
              </w:rPr>
            </w:pPr>
            <w:r>
              <w:rPr>
                <w:rFonts w:hint="eastAsia" w:ascii="宋体" w:hAnsi="宋体" w:cs="宋体"/>
                <w:szCs w:val="21"/>
                <w:vertAlign w:val="baseline"/>
                <w:lang w:val="en-US" w:eastAsia="zh-CN"/>
              </w:rPr>
              <w:t>2</w:t>
            </w:r>
          </w:p>
        </w:tc>
        <w:tc>
          <w:tcPr>
            <w:tcW w:w="1508" w:type="dxa"/>
          </w:tcPr>
          <w:p>
            <w:pPr>
              <w:spacing w:line="400" w:lineRule="exact"/>
              <w:jc w:val="center"/>
              <w:rPr>
                <w:rFonts w:hint="default" w:eastAsiaTheme="minorEastAsia"/>
                <w:lang w:val="en-US" w:eastAsia="zh-CN"/>
              </w:rPr>
            </w:pPr>
            <w:r>
              <w:rPr>
                <w:rFonts w:hint="eastAsia"/>
                <w:lang w:val="en-US" w:eastAsia="zh-CN"/>
              </w:rPr>
              <w:t>高纯氮气</w:t>
            </w:r>
          </w:p>
        </w:tc>
        <w:tc>
          <w:tcPr>
            <w:tcW w:w="2750" w:type="dxa"/>
            <w:vAlign w:val="top"/>
          </w:tcPr>
          <w:p>
            <w:pPr>
              <w:spacing w:line="400" w:lineRule="exact"/>
              <w:jc w:val="left"/>
              <w:rPr>
                <w:rFonts w:hint="default" w:ascii="宋体" w:hAnsi="宋体" w:cs="宋体"/>
                <w:szCs w:val="21"/>
                <w:highlight w:val="none"/>
                <w:vertAlign w:val="baseline"/>
                <w:lang w:val="en-US" w:eastAsia="zh-CN"/>
              </w:rPr>
            </w:pPr>
            <w:r>
              <w:rPr>
                <w:rFonts w:hint="eastAsia" w:ascii="宋体" w:hAnsi="宋体" w:cs="宋体"/>
                <w:szCs w:val="21"/>
                <w:highlight w:val="none"/>
                <w:vertAlign w:val="baseline"/>
                <w:lang w:val="en-US" w:eastAsia="zh-CN"/>
              </w:rPr>
              <w:t>99.999%</w:t>
            </w:r>
          </w:p>
        </w:tc>
        <w:tc>
          <w:tcPr>
            <w:tcW w:w="864" w:type="dxa"/>
          </w:tcPr>
          <w:p>
            <w:pPr>
              <w:spacing w:line="400" w:lineRule="exact"/>
              <w:jc w:val="center"/>
              <w:rPr>
                <w:rFonts w:hint="default" w:ascii="宋体" w:hAnsi="宋体" w:cs="宋体"/>
                <w:szCs w:val="21"/>
                <w:vertAlign w:val="baseline"/>
                <w:lang w:val="en-US" w:eastAsia="zh-CN"/>
              </w:rPr>
            </w:pPr>
            <w:r>
              <w:rPr>
                <w:rFonts w:hint="eastAsia" w:ascii="宋体" w:hAnsi="宋体" w:cs="宋体"/>
                <w:szCs w:val="21"/>
                <w:vertAlign w:val="baseline"/>
                <w:lang w:val="en-US" w:eastAsia="zh-CN"/>
              </w:rPr>
              <w:t>40L</w:t>
            </w:r>
          </w:p>
        </w:tc>
        <w:tc>
          <w:tcPr>
            <w:tcW w:w="724" w:type="dxa"/>
          </w:tcPr>
          <w:p>
            <w:pPr>
              <w:spacing w:line="400" w:lineRule="exact"/>
              <w:jc w:val="center"/>
              <w:rPr>
                <w:rFonts w:hint="default" w:ascii="宋体" w:hAnsi="宋体" w:cs="宋体"/>
                <w:szCs w:val="21"/>
                <w:vertAlign w:val="baseline"/>
                <w:lang w:val="en-US" w:eastAsia="zh-CN"/>
              </w:rPr>
            </w:pPr>
            <w:r>
              <w:rPr>
                <w:rFonts w:hint="eastAsia" w:ascii="宋体" w:hAnsi="宋体" w:cs="宋体"/>
                <w:szCs w:val="21"/>
                <w:vertAlign w:val="baseline"/>
                <w:lang w:val="en-US" w:eastAsia="zh-CN"/>
              </w:rPr>
              <w:t>60</w:t>
            </w:r>
          </w:p>
        </w:tc>
        <w:tc>
          <w:tcPr>
            <w:tcW w:w="2638" w:type="dxa"/>
          </w:tcPr>
          <w:p>
            <w:pPr>
              <w:spacing w:line="400" w:lineRule="exact"/>
              <w:jc w:val="center"/>
              <w:rPr>
                <w:rFonts w:hint="default" w:ascii="宋体" w:hAnsi="宋体" w:cs="宋体"/>
                <w:szCs w:val="21"/>
                <w:vertAlign w:val="baseline"/>
                <w:lang w:val="en-US" w:eastAsia="zh-CN"/>
              </w:rPr>
            </w:pPr>
            <w:r>
              <w:rPr>
                <w:rFonts w:hint="eastAsia" w:ascii="宋体" w:hAnsi="宋体" w:cs="宋体"/>
                <w:szCs w:val="21"/>
                <w:vertAlign w:val="baseline"/>
                <w:lang w:val="en-US" w:eastAsia="zh-CN"/>
              </w:rPr>
              <w:t>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tcPr>
          <w:p>
            <w:pPr>
              <w:spacing w:line="400" w:lineRule="exact"/>
              <w:jc w:val="center"/>
              <w:rPr>
                <w:rFonts w:hint="default" w:ascii="宋体" w:hAnsi="宋体" w:cs="宋体"/>
                <w:szCs w:val="21"/>
                <w:vertAlign w:val="baseline"/>
                <w:lang w:val="en-US" w:eastAsia="zh-CN"/>
              </w:rPr>
            </w:pPr>
            <w:r>
              <w:rPr>
                <w:rFonts w:hint="eastAsia" w:ascii="宋体" w:hAnsi="宋体" w:cs="宋体"/>
                <w:szCs w:val="21"/>
                <w:vertAlign w:val="baseline"/>
                <w:lang w:val="en-US" w:eastAsia="zh-CN"/>
              </w:rPr>
              <w:t>3</w:t>
            </w:r>
          </w:p>
        </w:tc>
        <w:tc>
          <w:tcPr>
            <w:tcW w:w="1508" w:type="dxa"/>
          </w:tcPr>
          <w:p>
            <w:pPr>
              <w:spacing w:line="400" w:lineRule="exact"/>
              <w:jc w:val="center"/>
              <w:rPr>
                <w:rFonts w:hint="eastAsia" w:eastAsiaTheme="minorEastAsia"/>
                <w:lang w:val="en-US" w:eastAsia="zh-CN"/>
              </w:rPr>
            </w:pPr>
            <w:r>
              <w:rPr>
                <w:rFonts w:hint="eastAsia"/>
                <w:lang w:val="en-US" w:eastAsia="zh-CN"/>
              </w:rPr>
              <w:t>液氮</w:t>
            </w:r>
          </w:p>
        </w:tc>
        <w:tc>
          <w:tcPr>
            <w:tcW w:w="2750" w:type="dxa"/>
            <w:vAlign w:val="top"/>
          </w:tcPr>
          <w:p>
            <w:pPr>
              <w:spacing w:line="400" w:lineRule="exact"/>
              <w:jc w:val="left"/>
              <w:rPr>
                <w:rFonts w:hint="default" w:ascii="宋体" w:hAnsi="宋体" w:cs="宋体"/>
                <w:szCs w:val="21"/>
                <w:highlight w:val="none"/>
                <w:vertAlign w:val="baseline"/>
                <w:lang w:val="en-US" w:eastAsia="zh-CN"/>
              </w:rPr>
            </w:pPr>
            <w:r>
              <w:rPr>
                <w:rFonts w:hint="eastAsia" w:ascii="宋体" w:hAnsi="宋体" w:cs="宋体"/>
                <w:szCs w:val="21"/>
                <w:highlight w:val="none"/>
                <w:vertAlign w:val="baseline"/>
                <w:lang w:val="en-US" w:eastAsia="zh-CN"/>
              </w:rPr>
              <w:t>99.999%</w:t>
            </w:r>
          </w:p>
        </w:tc>
        <w:tc>
          <w:tcPr>
            <w:tcW w:w="864" w:type="dxa"/>
          </w:tcPr>
          <w:p>
            <w:pPr>
              <w:spacing w:line="400" w:lineRule="exact"/>
              <w:jc w:val="center"/>
              <w:rPr>
                <w:rFonts w:hint="default" w:ascii="宋体" w:hAnsi="宋体" w:cs="宋体"/>
                <w:szCs w:val="21"/>
                <w:vertAlign w:val="baseline"/>
                <w:lang w:val="en-US" w:eastAsia="zh-CN"/>
              </w:rPr>
            </w:pPr>
            <w:r>
              <w:rPr>
                <w:rFonts w:hint="eastAsia" w:ascii="宋体" w:hAnsi="宋体" w:cs="宋体"/>
                <w:szCs w:val="21"/>
                <w:vertAlign w:val="baseline"/>
                <w:lang w:val="en-US" w:eastAsia="zh-CN"/>
              </w:rPr>
              <w:t>升</w:t>
            </w:r>
          </w:p>
        </w:tc>
        <w:tc>
          <w:tcPr>
            <w:tcW w:w="724" w:type="dxa"/>
          </w:tcPr>
          <w:p>
            <w:pPr>
              <w:spacing w:line="400" w:lineRule="exact"/>
              <w:jc w:val="center"/>
              <w:rPr>
                <w:rFonts w:hint="default" w:ascii="宋体" w:hAnsi="宋体" w:cs="宋体"/>
                <w:szCs w:val="21"/>
                <w:vertAlign w:val="baseline"/>
                <w:lang w:val="en-US" w:eastAsia="zh-CN"/>
              </w:rPr>
            </w:pPr>
            <w:r>
              <w:rPr>
                <w:rFonts w:hint="eastAsia" w:ascii="宋体" w:hAnsi="宋体" w:cs="宋体"/>
                <w:szCs w:val="21"/>
                <w:vertAlign w:val="baseline"/>
                <w:lang w:val="en-US" w:eastAsia="zh-CN"/>
              </w:rPr>
              <w:t>720</w:t>
            </w:r>
          </w:p>
        </w:tc>
        <w:tc>
          <w:tcPr>
            <w:tcW w:w="2638" w:type="dxa"/>
          </w:tcPr>
          <w:p>
            <w:pPr>
              <w:spacing w:line="400" w:lineRule="exact"/>
              <w:jc w:val="center"/>
              <w:rPr>
                <w:rFonts w:hint="default" w:ascii="宋体" w:hAnsi="宋体" w:cs="宋体"/>
                <w:szCs w:val="21"/>
                <w:vertAlign w:val="baseline"/>
                <w:lang w:val="en-US" w:eastAsia="zh-CN"/>
              </w:rPr>
            </w:pPr>
            <w:r>
              <w:rPr>
                <w:rFonts w:hint="eastAsia" w:ascii="宋体" w:hAnsi="宋体" w:cs="宋体"/>
                <w:szCs w:val="21"/>
                <w:vertAlign w:val="baseline"/>
                <w:lang w:val="en-US" w:eastAsia="zh-CN"/>
              </w:rPr>
              <w:t>24（元）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tcPr>
          <w:p>
            <w:pPr>
              <w:spacing w:line="400" w:lineRule="exact"/>
              <w:jc w:val="center"/>
              <w:rPr>
                <w:rFonts w:hint="default" w:ascii="宋体" w:hAnsi="宋体" w:cs="宋体"/>
                <w:szCs w:val="21"/>
                <w:vertAlign w:val="baseline"/>
                <w:lang w:val="en-US" w:eastAsia="zh-CN"/>
              </w:rPr>
            </w:pPr>
            <w:r>
              <w:rPr>
                <w:rFonts w:hint="eastAsia" w:ascii="宋体" w:hAnsi="宋体" w:cs="宋体"/>
                <w:szCs w:val="21"/>
                <w:vertAlign w:val="baseline"/>
                <w:lang w:val="en-US" w:eastAsia="zh-CN"/>
              </w:rPr>
              <w:t>4</w:t>
            </w:r>
          </w:p>
        </w:tc>
        <w:tc>
          <w:tcPr>
            <w:tcW w:w="1508" w:type="dxa"/>
          </w:tcPr>
          <w:p>
            <w:pPr>
              <w:spacing w:line="400" w:lineRule="exact"/>
              <w:jc w:val="center"/>
              <w:rPr>
                <w:rFonts w:hint="default" w:eastAsiaTheme="minorEastAsia"/>
                <w:lang w:val="en-US" w:eastAsia="zh-CN"/>
              </w:rPr>
            </w:pPr>
            <w:r>
              <w:rPr>
                <w:rFonts w:hint="eastAsia"/>
                <w:lang w:val="en-US" w:eastAsia="zh-CN"/>
              </w:rPr>
              <w:t>肺功能气</w:t>
            </w:r>
          </w:p>
        </w:tc>
        <w:tc>
          <w:tcPr>
            <w:tcW w:w="2750" w:type="dxa"/>
            <w:vAlign w:val="top"/>
          </w:tcPr>
          <w:p>
            <w:pPr>
              <w:keepNext w:val="0"/>
              <w:keepLines w:val="0"/>
              <w:pageBreakBefore w:val="0"/>
              <w:widowControl w:val="0"/>
              <w:kinsoku/>
              <w:wordWrap/>
              <w:overflowPunct/>
              <w:topLinePunct w:val="0"/>
              <w:autoSpaceDE/>
              <w:autoSpaceDN/>
              <w:bidi w:val="0"/>
              <w:adjustRightInd/>
              <w:snapToGrid/>
              <w:spacing w:line="300" w:lineRule="exact"/>
              <w:jc w:val="left"/>
              <w:textAlignment w:val="auto"/>
              <w:rPr>
                <w:rFonts w:hint="eastAsia" w:ascii="宋体" w:hAnsi="宋体" w:cs="宋体"/>
                <w:szCs w:val="21"/>
                <w:highlight w:val="none"/>
                <w:vertAlign w:val="baseline"/>
                <w:lang w:val="en-US" w:eastAsia="zh-CN"/>
              </w:rPr>
            </w:pPr>
            <w:r>
              <w:rPr>
                <w:rFonts w:hint="eastAsia" w:ascii="宋体" w:hAnsi="宋体" w:cs="宋体"/>
                <w:szCs w:val="21"/>
                <w:highlight w:val="none"/>
                <w:vertAlign w:val="baseline"/>
                <w:lang w:val="en-US" w:eastAsia="zh-CN"/>
              </w:rPr>
              <w:t>二组分</w:t>
            </w:r>
          </w:p>
          <w:p>
            <w:pPr>
              <w:keepNext w:val="0"/>
              <w:keepLines w:val="0"/>
              <w:pageBreakBefore w:val="0"/>
              <w:widowControl w:val="0"/>
              <w:kinsoku/>
              <w:wordWrap/>
              <w:overflowPunct/>
              <w:topLinePunct w:val="0"/>
              <w:autoSpaceDE/>
              <w:autoSpaceDN/>
              <w:bidi w:val="0"/>
              <w:adjustRightInd/>
              <w:snapToGrid/>
              <w:spacing w:line="300" w:lineRule="exact"/>
              <w:jc w:val="left"/>
              <w:textAlignment w:val="auto"/>
              <w:rPr>
                <w:rFonts w:hint="eastAsia" w:ascii="宋体" w:hAnsi="宋体" w:cs="宋体"/>
                <w:szCs w:val="21"/>
                <w:highlight w:val="none"/>
                <w:vertAlign w:val="baseline"/>
                <w:lang w:val="en-US" w:eastAsia="zh-CN"/>
              </w:rPr>
            </w:pPr>
            <w:r>
              <w:rPr>
                <w:rFonts w:hint="eastAsia" w:ascii="宋体" w:hAnsi="宋体" w:cs="宋体"/>
                <w:szCs w:val="21"/>
                <w:highlight w:val="none"/>
                <w:vertAlign w:val="baseline"/>
                <w:lang w:val="en-US" w:eastAsia="zh-CN"/>
              </w:rPr>
              <w:t>氧气：20%</w:t>
            </w:r>
          </w:p>
          <w:p>
            <w:pPr>
              <w:keepNext w:val="0"/>
              <w:keepLines w:val="0"/>
              <w:pageBreakBefore w:val="0"/>
              <w:widowControl w:val="0"/>
              <w:kinsoku/>
              <w:wordWrap/>
              <w:overflowPunct/>
              <w:topLinePunct w:val="0"/>
              <w:autoSpaceDE/>
              <w:autoSpaceDN/>
              <w:bidi w:val="0"/>
              <w:adjustRightInd/>
              <w:snapToGrid/>
              <w:spacing w:line="300" w:lineRule="exact"/>
              <w:jc w:val="left"/>
              <w:textAlignment w:val="auto"/>
              <w:rPr>
                <w:rFonts w:hint="default" w:ascii="宋体" w:hAnsi="宋体" w:cs="宋体"/>
                <w:szCs w:val="21"/>
                <w:highlight w:val="none"/>
                <w:vertAlign w:val="baseline"/>
                <w:lang w:val="en-US" w:eastAsia="zh-CN"/>
              </w:rPr>
            </w:pPr>
            <w:r>
              <w:rPr>
                <w:rFonts w:hint="eastAsia" w:ascii="宋体" w:hAnsi="宋体" w:cs="宋体"/>
                <w:szCs w:val="21"/>
                <w:highlight w:val="none"/>
                <w:vertAlign w:val="baseline"/>
                <w:lang w:val="en-US" w:eastAsia="zh-CN"/>
              </w:rPr>
              <w:t>氮气：平衡气</w:t>
            </w:r>
          </w:p>
        </w:tc>
        <w:tc>
          <w:tcPr>
            <w:tcW w:w="864" w:type="dxa"/>
            <w:vAlign w:val="top"/>
          </w:tcPr>
          <w:p>
            <w:pPr>
              <w:spacing w:line="400" w:lineRule="exact"/>
              <w:jc w:val="center"/>
              <w:rPr>
                <w:rFonts w:hint="default" w:ascii="宋体" w:hAnsi="宋体" w:cs="宋体"/>
                <w:szCs w:val="21"/>
                <w:vertAlign w:val="baseline"/>
                <w:lang w:val="en-US" w:eastAsia="zh-CN"/>
              </w:rPr>
            </w:pPr>
            <w:r>
              <w:rPr>
                <w:rFonts w:hint="eastAsia" w:ascii="宋体" w:hAnsi="宋体" w:cs="宋体"/>
                <w:szCs w:val="21"/>
                <w:vertAlign w:val="baseline"/>
                <w:lang w:val="en-US" w:eastAsia="zh-CN"/>
              </w:rPr>
              <w:t>40L</w:t>
            </w:r>
          </w:p>
        </w:tc>
        <w:tc>
          <w:tcPr>
            <w:tcW w:w="724" w:type="dxa"/>
          </w:tcPr>
          <w:p>
            <w:pPr>
              <w:spacing w:line="400" w:lineRule="exact"/>
              <w:jc w:val="center"/>
              <w:rPr>
                <w:rFonts w:hint="default" w:ascii="宋体" w:hAnsi="宋体" w:cs="宋体"/>
                <w:szCs w:val="21"/>
                <w:vertAlign w:val="baseline"/>
                <w:lang w:val="en-US" w:eastAsia="zh-CN"/>
              </w:rPr>
            </w:pPr>
            <w:r>
              <w:rPr>
                <w:rFonts w:hint="eastAsia" w:ascii="宋体" w:hAnsi="宋体" w:cs="宋体"/>
                <w:szCs w:val="21"/>
                <w:vertAlign w:val="baseline"/>
                <w:lang w:val="en-US" w:eastAsia="zh-CN"/>
              </w:rPr>
              <w:t>1</w:t>
            </w:r>
          </w:p>
        </w:tc>
        <w:tc>
          <w:tcPr>
            <w:tcW w:w="2638" w:type="dxa"/>
          </w:tcPr>
          <w:p>
            <w:pPr>
              <w:spacing w:line="400" w:lineRule="exact"/>
              <w:jc w:val="center"/>
              <w:rPr>
                <w:rFonts w:hint="default" w:ascii="宋体" w:hAnsi="宋体" w:cs="宋体"/>
                <w:szCs w:val="21"/>
                <w:vertAlign w:val="baseline"/>
                <w:lang w:val="en-US" w:eastAsia="zh-CN"/>
              </w:rPr>
            </w:pPr>
            <w:r>
              <w:rPr>
                <w:rFonts w:hint="eastAsia" w:ascii="宋体" w:hAnsi="宋体" w:cs="宋体"/>
                <w:szCs w:val="21"/>
                <w:vertAlign w:val="baseline"/>
                <w:lang w:val="en-US" w:eastAsia="zh-CN"/>
              </w:rPr>
              <w:t>1500（元）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tcPr>
          <w:p>
            <w:pPr>
              <w:spacing w:line="400" w:lineRule="exact"/>
              <w:jc w:val="center"/>
              <w:rPr>
                <w:rFonts w:hint="default" w:ascii="宋体" w:hAnsi="宋体" w:cs="宋体"/>
                <w:szCs w:val="21"/>
                <w:vertAlign w:val="baseline"/>
                <w:lang w:val="en-US" w:eastAsia="zh-CN"/>
              </w:rPr>
            </w:pPr>
            <w:r>
              <w:rPr>
                <w:rFonts w:hint="eastAsia" w:ascii="宋体" w:hAnsi="宋体" w:cs="宋体"/>
                <w:szCs w:val="21"/>
                <w:vertAlign w:val="baseline"/>
                <w:lang w:val="en-US" w:eastAsia="zh-CN"/>
              </w:rPr>
              <w:t>5</w:t>
            </w:r>
          </w:p>
        </w:tc>
        <w:tc>
          <w:tcPr>
            <w:tcW w:w="1508" w:type="dxa"/>
          </w:tcPr>
          <w:p>
            <w:pPr>
              <w:spacing w:line="400" w:lineRule="exact"/>
              <w:jc w:val="center"/>
              <w:rPr>
                <w:rFonts w:hint="default"/>
                <w:lang w:val="en-US"/>
              </w:rPr>
            </w:pPr>
            <w:r>
              <w:rPr>
                <w:rFonts w:hint="eastAsia"/>
                <w:lang w:val="en-US" w:eastAsia="zh-CN"/>
              </w:rPr>
              <w:t>肺功能气</w:t>
            </w:r>
          </w:p>
        </w:tc>
        <w:tc>
          <w:tcPr>
            <w:tcW w:w="2750" w:type="dxa"/>
            <w:vAlign w:val="top"/>
          </w:tcPr>
          <w:p>
            <w:pPr>
              <w:keepNext w:val="0"/>
              <w:keepLines w:val="0"/>
              <w:pageBreakBefore w:val="0"/>
              <w:widowControl w:val="0"/>
              <w:kinsoku/>
              <w:wordWrap/>
              <w:overflowPunct/>
              <w:topLinePunct w:val="0"/>
              <w:autoSpaceDE/>
              <w:autoSpaceDN/>
              <w:bidi w:val="0"/>
              <w:adjustRightInd/>
              <w:snapToGrid/>
              <w:spacing w:line="300" w:lineRule="exact"/>
              <w:jc w:val="left"/>
              <w:textAlignment w:val="auto"/>
              <w:rPr>
                <w:rFonts w:hint="eastAsia" w:ascii="宋体" w:hAnsi="宋体" w:cs="宋体"/>
                <w:szCs w:val="21"/>
                <w:highlight w:val="none"/>
                <w:vertAlign w:val="baseline"/>
                <w:lang w:val="en-US" w:eastAsia="zh-CN"/>
              </w:rPr>
            </w:pPr>
            <w:r>
              <w:rPr>
                <w:rFonts w:hint="eastAsia" w:ascii="宋体" w:hAnsi="宋体" w:cs="宋体"/>
                <w:szCs w:val="21"/>
                <w:highlight w:val="none"/>
                <w:vertAlign w:val="baseline"/>
                <w:lang w:val="en-US" w:eastAsia="zh-CN"/>
              </w:rPr>
              <w:t>四组分</w:t>
            </w:r>
          </w:p>
          <w:p>
            <w:pPr>
              <w:keepNext w:val="0"/>
              <w:keepLines w:val="0"/>
              <w:pageBreakBefore w:val="0"/>
              <w:widowControl w:val="0"/>
              <w:kinsoku/>
              <w:wordWrap/>
              <w:overflowPunct/>
              <w:topLinePunct w:val="0"/>
              <w:autoSpaceDE/>
              <w:autoSpaceDN/>
              <w:bidi w:val="0"/>
              <w:adjustRightInd/>
              <w:snapToGrid/>
              <w:spacing w:line="300" w:lineRule="exact"/>
              <w:jc w:val="left"/>
              <w:textAlignment w:val="auto"/>
              <w:rPr>
                <w:rFonts w:hint="default" w:ascii="宋体" w:hAnsi="宋体" w:cs="宋体"/>
                <w:szCs w:val="21"/>
                <w:highlight w:val="none"/>
                <w:vertAlign w:val="baseline"/>
                <w:lang w:val="en-US" w:eastAsia="zh-CN"/>
              </w:rPr>
            </w:pPr>
            <w:r>
              <w:rPr>
                <w:rFonts w:hint="default" w:ascii="宋体" w:hAnsi="宋体" w:cs="宋体"/>
                <w:szCs w:val="21"/>
                <w:highlight w:val="none"/>
                <w:vertAlign w:val="baseline"/>
                <w:lang w:val="en-US" w:eastAsia="zh-CN"/>
              </w:rPr>
              <w:t>一氧化碳</w:t>
            </w:r>
            <w:r>
              <w:rPr>
                <w:rFonts w:hint="eastAsia" w:ascii="宋体" w:hAnsi="宋体" w:cs="宋体"/>
                <w:szCs w:val="21"/>
                <w:highlight w:val="none"/>
                <w:vertAlign w:val="baseline"/>
                <w:lang w:val="en-US" w:eastAsia="zh-CN"/>
              </w:rPr>
              <w:t>0.3%</w:t>
            </w:r>
            <w:r>
              <w:rPr>
                <w:rFonts w:hint="default" w:ascii="宋体" w:hAnsi="宋体" w:cs="宋体"/>
                <w:szCs w:val="21"/>
                <w:highlight w:val="none"/>
                <w:vertAlign w:val="baseline"/>
                <w:lang w:val="en-US" w:eastAsia="zh-CN"/>
              </w:rPr>
              <w:t>、氮气</w:t>
            </w:r>
            <w:r>
              <w:rPr>
                <w:rFonts w:hint="eastAsia" w:ascii="宋体" w:hAnsi="宋体" w:cs="宋体"/>
                <w:szCs w:val="21"/>
                <w:highlight w:val="none"/>
                <w:vertAlign w:val="baseline"/>
                <w:lang w:val="en-US" w:eastAsia="zh-CN"/>
              </w:rPr>
              <w:t>余</w:t>
            </w:r>
            <w:r>
              <w:rPr>
                <w:rFonts w:hint="default" w:ascii="宋体" w:hAnsi="宋体" w:cs="宋体"/>
                <w:szCs w:val="21"/>
                <w:highlight w:val="none"/>
                <w:vertAlign w:val="baseline"/>
                <w:lang w:val="en-US" w:eastAsia="zh-CN"/>
              </w:rPr>
              <w:t>、氧气</w:t>
            </w:r>
            <w:r>
              <w:rPr>
                <w:rFonts w:hint="eastAsia" w:ascii="宋体" w:hAnsi="宋体" w:cs="宋体"/>
                <w:szCs w:val="21"/>
                <w:highlight w:val="none"/>
                <w:vertAlign w:val="baseline"/>
                <w:lang w:val="en-US" w:eastAsia="zh-CN"/>
              </w:rPr>
              <w:t>20%</w:t>
            </w:r>
            <w:r>
              <w:rPr>
                <w:rFonts w:hint="default" w:ascii="宋体" w:hAnsi="宋体" w:cs="宋体"/>
                <w:szCs w:val="21"/>
                <w:highlight w:val="none"/>
                <w:vertAlign w:val="baseline"/>
                <w:lang w:val="en-US" w:eastAsia="zh-CN"/>
              </w:rPr>
              <w:t>、</w:t>
            </w:r>
            <w:r>
              <w:rPr>
                <w:rFonts w:hint="eastAsia" w:ascii="宋体" w:hAnsi="宋体" w:cs="宋体"/>
                <w:szCs w:val="21"/>
                <w:highlight w:val="none"/>
                <w:vertAlign w:val="baseline"/>
                <w:lang w:val="en-US" w:eastAsia="zh-CN"/>
              </w:rPr>
              <w:t>氦</w:t>
            </w:r>
            <w:r>
              <w:rPr>
                <w:rFonts w:hint="default" w:ascii="宋体" w:hAnsi="宋体" w:cs="宋体"/>
                <w:szCs w:val="21"/>
                <w:highlight w:val="none"/>
                <w:vertAlign w:val="baseline"/>
                <w:lang w:val="en-US" w:eastAsia="zh-CN"/>
              </w:rPr>
              <w:t>气</w:t>
            </w:r>
            <w:r>
              <w:rPr>
                <w:rFonts w:hint="eastAsia" w:ascii="宋体" w:hAnsi="宋体" w:cs="宋体"/>
                <w:szCs w:val="21"/>
                <w:highlight w:val="none"/>
                <w:vertAlign w:val="baseline"/>
                <w:lang w:val="en-US" w:eastAsia="zh-CN"/>
              </w:rPr>
              <w:t>10%</w:t>
            </w:r>
          </w:p>
        </w:tc>
        <w:tc>
          <w:tcPr>
            <w:tcW w:w="864" w:type="dxa"/>
            <w:vAlign w:val="top"/>
          </w:tcPr>
          <w:p>
            <w:pPr>
              <w:spacing w:line="400" w:lineRule="exact"/>
              <w:jc w:val="center"/>
              <w:rPr>
                <w:rFonts w:hint="default" w:ascii="宋体" w:hAnsi="宋体" w:cs="宋体"/>
                <w:szCs w:val="21"/>
                <w:vertAlign w:val="baseline"/>
                <w:lang w:val="en-US" w:eastAsia="zh-CN"/>
              </w:rPr>
            </w:pPr>
            <w:r>
              <w:rPr>
                <w:rFonts w:hint="eastAsia" w:ascii="宋体" w:hAnsi="宋体" w:cs="宋体"/>
                <w:szCs w:val="21"/>
                <w:vertAlign w:val="baseline"/>
                <w:lang w:val="en-US" w:eastAsia="zh-CN"/>
              </w:rPr>
              <w:t>40L</w:t>
            </w:r>
          </w:p>
        </w:tc>
        <w:tc>
          <w:tcPr>
            <w:tcW w:w="724" w:type="dxa"/>
          </w:tcPr>
          <w:p>
            <w:pPr>
              <w:spacing w:line="400" w:lineRule="exact"/>
              <w:jc w:val="center"/>
              <w:rPr>
                <w:rFonts w:hint="default" w:ascii="宋体" w:hAnsi="宋体" w:cs="宋体"/>
                <w:szCs w:val="21"/>
                <w:vertAlign w:val="baseline"/>
                <w:lang w:val="en-US" w:eastAsia="zh-CN"/>
              </w:rPr>
            </w:pPr>
            <w:r>
              <w:rPr>
                <w:rFonts w:hint="eastAsia" w:ascii="宋体" w:hAnsi="宋体" w:cs="宋体"/>
                <w:szCs w:val="21"/>
                <w:vertAlign w:val="baseline"/>
                <w:lang w:val="en-US" w:eastAsia="zh-CN"/>
              </w:rPr>
              <w:t>1</w:t>
            </w:r>
          </w:p>
        </w:tc>
        <w:tc>
          <w:tcPr>
            <w:tcW w:w="2638" w:type="dxa"/>
          </w:tcPr>
          <w:p>
            <w:pPr>
              <w:spacing w:line="400" w:lineRule="exact"/>
              <w:jc w:val="center"/>
              <w:rPr>
                <w:rFonts w:hint="default" w:ascii="宋体" w:hAnsi="宋体" w:cs="宋体"/>
                <w:szCs w:val="21"/>
                <w:vertAlign w:val="baseline"/>
                <w:lang w:val="en-US" w:eastAsia="zh-CN"/>
              </w:rPr>
            </w:pPr>
            <w:r>
              <w:rPr>
                <w:rFonts w:hint="eastAsia" w:ascii="宋体" w:hAnsi="宋体" w:cs="宋体"/>
                <w:szCs w:val="21"/>
                <w:vertAlign w:val="baseline"/>
                <w:lang w:val="en-US" w:eastAsia="zh-CN"/>
              </w:rPr>
              <w:t>1800（元）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tcPr>
          <w:p>
            <w:pPr>
              <w:spacing w:line="400" w:lineRule="exact"/>
              <w:jc w:val="center"/>
              <w:rPr>
                <w:rFonts w:hint="default" w:ascii="宋体" w:hAnsi="宋体" w:cs="宋体"/>
                <w:szCs w:val="21"/>
                <w:vertAlign w:val="baseline"/>
                <w:lang w:val="en-US" w:eastAsia="zh-CN"/>
              </w:rPr>
            </w:pPr>
            <w:r>
              <w:rPr>
                <w:rFonts w:hint="eastAsia" w:ascii="宋体" w:hAnsi="宋体" w:cs="宋体"/>
                <w:szCs w:val="21"/>
                <w:vertAlign w:val="baseline"/>
                <w:lang w:val="en-US" w:eastAsia="zh-CN"/>
              </w:rPr>
              <w:t>6</w:t>
            </w:r>
          </w:p>
        </w:tc>
        <w:tc>
          <w:tcPr>
            <w:tcW w:w="1508" w:type="dxa"/>
          </w:tcPr>
          <w:p>
            <w:pPr>
              <w:spacing w:line="400" w:lineRule="exact"/>
              <w:jc w:val="center"/>
              <w:rPr>
                <w:rFonts w:hint="default"/>
                <w:lang w:val="en-US" w:eastAsia="zh-CN"/>
              </w:rPr>
            </w:pPr>
            <w:r>
              <w:rPr>
                <w:rFonts w:hint="eastAsia"/>
                <w:lang w:val="en-US" w:eastAsia="zh-CN"/>
              </w:rPr>
              <w:t>生殖混合气</w:t>
            </w:r>
          </w:p>
        </w:tc>
        <w:tc>
          <w:tcPr>
            <w:tcW w:w="2750" w:type="dxa"/>
            <w:vAlign w:val="top"/>
          </w:tcPr>
          <w:p>
            <w:pPr>
              <w:keepNext w:val="0"/>
              <w:keepLines w:val="0"/>
              <w:pageBreakBefore w:val="0"/>
              <w:widowControl w:val="0"/>
              <w:kinsoku/>
              <w:wordWrap/>
              <w:overflowPunct/>
              <w:topLinePunct w:val="0"/>
              <w:autoSpaceDE/>
              <w:autoSpaceDN/>
              <w:bidi w:val="0"/>
              <w:adjustRightInd/>
              <w:snapToGrid/>
              <w:spacing w:line="300" w:lineRule="exact"/>
              <w:jc w:val="left"/>
              <w:textAlignment w:val="auto"/>
              <w:rPr>
                <w:rFonts w:hint="eastAsia" w:ascii="宋体" w:hAnsi="宋体" w:cs="宋体"/>
                <w:szCs w:val="21"/>
                <w:highlight w:val="none"/>
                <w:vertAlign w:val="baseline"/>
                <w:lang w:val="en-US" w:eastAsia="zh-CN"/>
              </w:rPr>
            </w:pPr>
            <w:r>
              <w:rPr>
                <w:rFonts w:hint="eastAsia" w:ascii="宋体" w:hAnsi="宋体" w:cs="宋体"/>
                <w:szCs w:val="21"/>
                <w:highlight w:val="none"/>
                <w:vertAlign w:val="baseline"/>
                <w:lang w:val="en-US" w:eastAsia="zh-CN"/>
              </w:rPr>
              <w:t>二组分</w:t>
            </w:r>
          </w:p>
          <w:p>
            <w:pPr>
              <w:keepNext w:val="0"/>
              <w:keepLines w:val="0"/>
              <w:pageBreakBefore w:val="0"/>
              <w:widowControl w:val="0"/>
              <w:kinsoku/>
              <w:wordWrap/>
              <w:overflowPunct/>
              <w:topLinePunct w:val="0"/>
              <w:autoSpaceDE/>
              <w:autoSpaceDN/>
              <w:bidi w:val="0"/>
              <w:adjustRightInd/>
              <w:snapToGrid/>
              <w:spacing w:line="300" w:lineRule="exact"/>
              <w:jc w:val="left"/>
              <w:textAlignment w:val="auto"/>
              <w:rPr>
                <w:rFonts w:hint="eastAsia" w:ascii="宋体" w:hAnsi="宋体" w:cs="宋体"/>
                <w:szCs w:val="21"/>
                <w:highlight w:val="none"/>
                <w:vertAlign w:val="baseline"/>
                <w:lang w:val="en-US" w:eastAsia="zh-CN"/>
              </w:rPr>
            </w:pPr>
            <w:r>
              <w:rPr>
                <w:rFonts w:hint="eastAsia" w:ascii="宋体" w:hAnsi="宋体" w:cs="宋体"/>
                <w:szCs w:val="21"/>
                <w:highlight w:val="none"/>
                <w:vertAlign w:val="baseline"/>
                <w:lang w:val="en-US" w:eastAsia="zh-CN"/>
              </w:rPr>
              <w:t xml:space="preserve">氧气5%   </w:t>
            </w:r>
          </w:p>
          <w:p>
            <w:pPr>
              <w:keepNext w:val="0"/>
              <w:keepLines w:val="0"/>
              <w:pageBreakBefore w:val="0"/>
              <w:widowControl w:val="0"/>
              <w:kinsoku/>
              <w:wordWrap/>
              <w:overflowPunct/>
              <w:topLinePunct w:val="0"/>
              <w:autoSpaceDE/>
              <w:autoSpaceDN/>
              <w:bidi w:val="0"/>
              <w:adjustRightInd/>
              <w:snapToGrid/>
              <w:spacing w:line="300" w:lineRule="exact"/>
              <w:jc w:val="left"/>
              <w:textAlignment w:val="auto"/>
              <w:rPr>
                <w:rFonts w:hint="default" w:ascii="宋体" w:hAnsi="宋体" w:cs="宋体"/>
                <w:szCs w:val="21"/>
                <w:highlight w:val="none"/>
                <w:vertAlign w:val="baseline"/>
                <w:lang w:val="en-US" w:eastAsia="zh-CN"/>
              </w:rPr>
            </w:pPr>
            <w:r>
              <w:rPr>
                <w:rFonts w:hint="eastAsia" w:ascii="宋体" w:hAnsi="宋体" w:cs="宋体"/>
                <w:szCs w:val="21"/>
                <w:highlight w:val="none"/>
                <w:vertAlign w:val="baseline"/>
                <w:lang w:val="en-US" w:eastAsia="zh-CN"/>
              </w:rPr>
              <w:t>氮气 89%</w:t>
            </w:r>
          </w:p>
        </w:tc>
        <w:tc>
          <w:tcPr>
            <w:tcW w:w="864" w:type="dxa"/>
            <w:vAlign w:val="top"/>
          </w:tcPr>
          <w:p>
            <w:pPr>
              <w:spacing w:line="400" w:lineRule="exact"/>
              <w:jc w:val="center"/>
              <w:rPr>
                <w:rFonts w:hint="default" w:ascii="宋体" w:hAnsi="宋体" w:cs="宋体"/>
                <w:szCs w:val="21"/>
                <w:vertAlign w:val="baseline"/>
                <w:lang w:val="en-US" w:eastAsia="zh-CN"/>
              </w:rPr>
            </w:pPr>
            <w:r>
              <w:rPr>
                <w:rFonts w:hint="eastAsia" w:ascii="宋体" w:hAnsi="宋体" w:cs="宋体"/>
                <w:szCs w:val="21"/>
                <w:vertAlign w:val="baseline"/>
                <w:lang w:val="en-US" w:eastAsia="zh-CN"/>
              </w:rPr>
              <w:t>40L</w:t>
            </w:r>
          </w:p>
        </w:tc>
        <w:tc>
          <w:tcPr>
            <w:tcW w:w="724" w:type="dxa"/>
          </w:tcPr>
          <w:p>
            <w:pPr>
              <w:spacing w:line="400" w:lineRule="exact"/>
              <w:jc w:val="center"/>
              <w:rPr>
                <w:rFonts w:hint="default" w:ascii="宋体" w:hAnsi="宋体" w:cs="宋体"/>
                <w:szCs w:val="21"/>
                <w:vertAlign w:val="baseline"/>
                <w:lang w:val="en-US" w:eastAsia="zh-CN"/>
              </w:rPr>
            </w:pPr>
            <w:r>
              <w:rPr>
                <w:rFonts w:hint="eastAsia" w:ascii="宋体" w:hAnsi="宋体" w:cs="宋体"/>
                <w:szCs w:val="21"/>
                <w:vertAlign w:val="baseline"/>
                <w:lang w:val="en-US" w:eastAsia="zh-CN"/>
              </w:rPr>
              <w:t>1</w:t>
            </w:r>
          </w:p>
        </w:tc>
        <w:tc>
          <w:tcPr>
            <w:tcW w:w="2638" w:type="dxa"/>
          </w:tcPr>
          <w:p>
            <w:pPr>
              <w:spacing w:line="400" w:lineRule="exact"/>
              <w:jc w:val="center"/>
              <w:rPr>
                <w:rFonts w:hint="default" w:ascii="宋体" w:hAnsi="宋体" w:cs="宋体"/>
                <w:szCs w:val="21"/>
                <w:vertAlign w:val="baseline"/>
                <w:lang w:val="en-US" w:eastAsia="zh-CN"/>
              </w:rPr>
            </w:pPr>
            <w:r>
              <w:rPr>
                <w:rFonts w:hint="eastAsia" w:ascii="宋体" w:hAnsi="宋体" w:cs="宋体"/>
                <w:szCs w:val="21"/>
                <w:vertAlign w:val="baseline"/>
                <w:lang w:val="en-US" w:eastAsia="zh-CN"/>
              </w:rPr>
              <w:t>950（元）</w:t>
            </w:r>
          </w:p>
        </w:tc>
      </w:tr>
    </w:tbl>
    <w:p>
      <w:pPr>
        <w:spacing w:line="360" w:lineRule="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bCs/>
          <w:color w:val="auto"/>
          <w:sz w:val="24"/>
          <w:szCs w:val="24"/>
          <w:highlight w:val="none"/>
          <w:lang w:val="en-US" w:eastAsia="zh-CN"/>
        </w:rPr>
        <w:t>本项目招标总预算最高限价为63530元</w:t>
      </w:r>
      <w:r>
        <w:rPr>
          <w:rFonts w:hint="eastAsia" w:ascii="宋体" w:hAnsi="宋体" w:eastAsia="宋体" w:cs="宋体"/>
          <w:color w:val="auto"/>
          <w:sz w:val="24"/>
          <w:szCs w:val="24"/>
          <w:highlight w:val="none"/>
          <w:lang w:val="en-US" w:eastAsia="zh-CN"/>
        </w:rPr>
        <w:t>，</w:t>
      </w:r>
      <w:r>
        <w:rPr>
          <w:rFonts w:hint="default" w:ascii="宋体" w:hAnsi="宋体" w:eastAsia="宋体" w:cs="宋体"/>
          <w:b/>
          <w:bCs/>
          <w:color w:val="auto"/>
          <w:sz w:val="24"/>
          <w:szCs w:val="24"/>
          <w:highlight w:val="none"/>
          <w:lang w:val="en-US" w:eastAsia="zh-CN"/>
        </w:rPr>
        <w:t>响应人投标报价大于项目总</w:t>
      </w:r>
      <w:r>
        <w:rPr>
          <w:rFonts w:hint="eastAsia" w:ascii="宋体" w:hAnsi="宋体" w:eastAsia="宋体" w:cs="宋体"/>
          <w:b/>
          <w:bCs/>
          <w:color w:val="auto"/>
          <w:sz w:val="24"/>
          <w:szCs w:val="24"/>
          <w:highlight w:val="none"/>
          <w:lang w:val="en-US" w:eastAsia="zh-CN"/>
        </w:rPr>
        <w:t>预算</w:t>
      </w:r>
      <w:r>
        <w:rPr>
          <w:rFonts w:hint="default" w:ascii="宋体" w:hAnsi="宋体" w:eastAsia="宋体" w:cs="宋体"/>
          <w:b/>
          <w:bCs/>
          <w:color w:val="auto"/>
          <w:sz w:val="24"/>
          <w:szCs w:val="24"/>
          <w:highlight w:val="none"/>
          <w:lang w:val="en-US" w:eastAsia="zh-CN"/>
        </w:rPr>
        <w:t>最高限价及每种</w:t>
      </w:r>
      <w:r>
        <w:rPr>
          <w:rFonts w:hint="eastAsia" w:ascii="宋体" w:hAnsi="宋体" w:eastAsia="宋体" w:cs="宋体"/>
          <w:b/>
          <w:bCs/>
          <w:color w:val="auto"/>
          <w:sz w:val="24"/>
          <w:szCs w:val="24"/>
          <w:highlight w:val="none"/>
          <w:lang w:val="en-US" w:eastAsia="zh-CN"/>
        </w:rPr>
        <w:t>货物</w:t>
      </w:r>
      <w:r>
        <w:rPr>
          <w:rFonts w:hint="default" w:ascii="宋体" w:hAnsi="宋体" w:eastAsia="宋体" w:cs="宋体"/>
          <w:b/>
          <w:bCs/>
          <w:color w:val="auto"/>
          <w:sz w:val="24"/>
          <w:szCs w:val="24"/>
          <w:highlight w:val="none"/>
          <w:lang w:val="en-US" w:eastAsia="zh-CN"/>
        </w:rPr>
        <w:t>单价的最高限价为的视为无效报价，小于或等于最高限价的为有效报价。</w:t>
      </w:r>
    </w:p>
    <w:p>
      <w:pPr>
        <w:numPr>
          <w:ilvl w:val="0"/>
          <w:numId w:val="0"/>
        </w:numPr>
        <w:spacing w:line="360" w:lineRule="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4、对货物相关要求</w:t>
      </w:r>
    </w:p>
    <w:p>
      <w:pPr>
        <w:numPr>
          <w:ilvl w:val="0"/>
          <w:numId w:val="0"/>
        </w:num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（1）对不符合质量要求和标识要求的货品，采购人有权拒收，供应商应在收到采购人通知后24小时内给予更换，否则按逾期交货处理。</w:t>
      </w:r>
    </w:p>
    <w:p>
      <w:pPr>
        <w:numPr>
          <w:ilvl w:val="0"/>
          <w:numId w:val="0"/>
        </w:num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（2）所供的医用气体应从合格的生产企业处购买或自行生产，严禁提供假冒伪劣物资，须严格按照采购需求中的气体浓度及标准供应产品。</w:t>
      </w:r>
    </w:p>
    <w:p>
      <w:pPr>
        <w:numPr>
          <w:ilvl w:val="0"/>
          <w:numId w:val="0"/>
        </w:num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（3）中标人应严格按照气体含量浓度和质量要求进行供货，由于商品质量问题所造成的一切后果由中标人承担相关法律责任。</w:t>
      </w:r>
    </w:p>
    <w:p>
      <w:pPr>
        <w:numPr>
          <w:ilvl w:val="0"/>
          <w:numId w:val="0"/>
        </w:numPr>
        <w:spacing w:line="360" w:lineRule="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w:t>
      </w:r>
      <w:r>
        <w:rPr>
          <w:rFonts w:hint="default" w:ascii="宋体" w:hAnsi="宋体" w:eastAsia="宋体" w:cs="宋体"/>
          <w:b w:val="0"/>
          <w:bCs w:val="0"/>
          <w:color w:val="auto"/>
          <w:sz w:val="24"/>
          <w:szCs w:val="24"/>
          <w:highlight w:val="none"/>
          <w:lang w:val="en-US" w:eastAsia="zh-CN"/>
        </w:rPr>
        <w:t>配备的储存、中转、装卸设备必须符合国家有关要求，必须符合政府安全监管部门危险化学品储存标准。产品在运输、装卸过程中的一切安全问题由中标人负责。</w:t>
      </w:r>
    </w:p>
    <w:p>
      <w:pPr>
        <w:numPr>
          <w:ilvl w:val="0"/>
          <w:numId w:val="0"/>
        </w:num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eastAsia="zh-CN"/>
        </w:rPr>
        <w:t>）</w:t>
      </w:r>
      <w:r>
        <w:rPr>
          <w:rFonts w:ascii="宋体" w:hAnsi="宋体" w:eastAsia="宋体" w:cs="宋体"/>
          <w:color w:val="auto"/>
          <w:sz w:val="24"/>
          <w:szCs w:val="24"/>
        </w:rPr>
        <w:t>清单所提供的货物数量仅为预估使用量，不作为结算依据</w:t>
      </w:r>
      <w:r>
        <w:rPr>
          <w:rFonts w:hint="eastAsia" w:ascii="宋体" w:hAnsi="宋体" w:eastAsia="宋体" w:cs="宋体"/>
          <w:color w:val="auto"/>
          <w:sz w:val="24"/>
          <w:szCs w:val="24"/>
          <w:lang w:eastAsia="zh-CN"/>
        </w:rPr>
        <w:t>。</w:t>
      </w:r>
      <w:r>
        <w:rPr>
          <w:rFonts w:ascii="宋体" w:hAnsi="宋体" w:eastAsia="宋体" w:cs="宋体"/>
          <w:color w:val="auto"/>
          <w:sz w:val="24"/>
          <w:szCs w:val="24"/>
        </w:rPr>
        <w:t>具体结算以实际供货使用量为准</w:t>
      </w:r>
      <w:r>
        <w:rPr>
          <w:rFonts w:hint="eastAsia" w:ascii="宋体" w:hAnsi="宋体" w:eastAsia="宋体" w:cs="宋体"/>
          <w:color w:val="auto"/>
          <w:sz w:val="24"/>
          <w:szCs w:val="24"/>
          <w:lang w:eastAsia="zh-CN"/>
        </w:rPr>
        <w:t>，</w:t>
      </w:r>
      <w:r>
        <w:rPr>
          <w:rFonts w:ascii="宋体" w:hAnsi="宋体" w:eastAsia="宋体" w:cs="宋体"/>
          <w:color w:val="auto"/>
          <w:sz w:val="24"/>
          <w:szCs w:val="24"/>
        </w:rPr>
        <w:t>采购人与中标人签订单价合同</w:t>
      </w:r>
      <w:r>
        <w:rPr>
          <w:rFonts w:hint="eastAsia" w:ascii="宋体" w:hAnsi="宋体" w:eastAsia="宋体" w:cs="宋体"/>
          <w:color w:val="auto"/>
          <w:sz w:val="24"/>
          <w:szCs w:val="24"/>
          <w:lang w:eastAsia="zh-CN"/>
        </w:rPr>
        <w:t>。</w:t>
      </w:r>
    </w:p>
    <w:p>
      <w:pPr>
        <w:numPr>
          <w:ilvl w:val="0"/>
          <w:numId w:val="0"/>
        </w:numPr>
        <w:spacing w:line="360" w:lineRule="auto"/>
        <w:rPr>
          <w:rFonts w:hint="default" w:ascii="宋体" w:hAnsi="宋体" w:eastAsia="宋体" w:cs="宋体"/>
          <w:b w:val="0"/>
          <w:bCs w:val="0"/>
          <w:color w:val="0000FF"/>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5、付款方式：按实际数量结算。</w:t>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八、凡对本次采购提出询问，请按以下方式联系： </w:t>
      </w:r>
    </w:p>
    <w:p>
      <w:pPr>
        <w:spacing w:line="360" w:lineRule="auto"/>
        <w:rPr>
          <w:rFonts w:hint="eastAsia" w:ascii="宋体" w:hAnsi="宋体" w:eastAsia="宋体" w:cs="宋体"/>
          <w:sz w:val="24"/>
          <w:szCs w:val="24"/>
        </w:rPr>
      </w:pPr>
      <w:r>
        <w:rPr>
          <w:rFonts w:hint="eastAsia" w:ascii="宋体" w:hAnsi="宋体" w:eastAsia="宋体" w:cs="宋体"/>
          <w:sz w:val="24"/>
          <w:szCs w:val="24"/>
        </w:rPr>
        <w:t>1.采购人信息</w:t>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采购人名称：鹤壁市人民医院 </w:t>
      </w:r>
    </w:p>
    <w:p>
      <w:pPr>
        <w:spacing w:line="360" w:lineRule="auto"/>
        <w:rPr>
          <w:rFonts w:hint="eastAsia" w:ascii="宋体" w:hAnsi="宋体" w:eastAsia="宋体" w:cs="宋体"/>
          <w:sz w:val="24"/>
          <w:szCs w:val="24"/>
        </w:rPr>
      </w:pPr>
      <w:r>
        <w:rPr>
          <w:rFonts w:hint="eastAsia" w:ascii="宋体" w:hAnsi="宋体" w:eastAsia="宋体" w:cs="宋体"/>
          <w:sz w:val="24"/>
          <w:szCs w:val="24"/>
        </w:rPr>
        <w:t>地址：鹤壁市淇滨区九州路115号</w:t>
      </w:r>
    </w:p>
    <w:p>
      <w:pPr>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rPr>
        <w:t>联系人：</w:t>
      </w:r>
      <w:r>
        <w:rPr>
          <w:rFonts w:hint="eastAsia" w:ascii="宋体" w:hAnsi="宋体" w:eastAsia="宋体" w:cs="宋体"/>
          <w:sz w:val="24"/>
          <w:szCs w:val="24"/>
          <w:lang w:val="en-US" w:eastAsia="zh-CN"/>
        </w:rPr>
        <w:t>罗先生</w:t>
      </w:r>
    </w:p>
    <w:p>
      <w:pPr>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rPr>
        <w:t>联系电话：</w:t>
      </w:r>
      <w:r>
        <w:rPr>
          <w:rFonts w:hint="eastAsia" w:ascii="宋体" w:hAnsi="宋体" w:eastAsia="宋体" w:cs="宋体"/>
          <w:sz w:val="24"/>
          <w:szCs w:val="24"/>
          <w:lang w:val="en-US" w:eastAsia="zh-CN"/>
        </w:rPr>
        <w:t>13939250029</w:t>
      </w:r>
    </w:p>
    <w:p>
      <w:pPr>
        <w:spacing w:line="360" w:lineRule="auto"/>
        <w:rPr>
          <w:rFonts w:hint="eastAsia" w:ascii="宋体" w:hAnsi="宋体" w:eastAsia="宋体" w:cs="宋体"/>
          <w:sz w:val="24"/>
          <w:szCs w:val="24"/>
        </w:rPr>
      </w:pPr>
      <w:r>
        <w:rPr>
          <w:rFonts w:hint="eastAsia" w:ascii="宋体" w:hAnsi="宋体" w:eastAsia="宋体" w:cs="宋体"/>
          <w:sz w:val="24"/>
          <w:szCs w:val="24"/>
        </w:rPr>
        <w:t>2.采购代理机构信息</w:t>
      </w:r>
    </w:p>
    <w:p>
      <w:pPr>
        <w:spacing w:line="360" w:lineRule="auto"/>
        <w:rPr>
          <w:rFonts w:hint="eastAsia" w:ascii="宋体" w:hAnsi="宋体" w:eastAsia="宋体" w:cs="宋体"/>
          <w:sz w:val="24"/>
          <w:szCs w:val="24"/>
        </w:rPr>
      </w:pPr>
      <w:r>
        <w:rPr>
          <w:rFonts w:hint="eastAsia" w:ascii="宋体" w:hAnsi="宋体" w:eastAsia="宋体" w:cs="宋体"/>
          <w:sz w:val="24"/>
          <w:szCs w:val="24"/>
        </w:rPr>
        <w:t>采购代理机构：高达建设管理发展有限责任公司</w:t>
      </w:r>
    </w:p>
    <w:p>
      <w:pPr>
        <w:spacing w:line="360" w:lineRule="auto"/>
        <w:rPr>
          <w:rFonts w:hint="eastAsia" w:ascii="宋体" w:hAnsi="宋体" w:eastAsia="宋体" w:cs="宋体"/>
          <w:sz w:val="24"/>
          <w:szCs w:val="24"/>
        </w:rPr>
      </w:pPr>
      <w:r>
        <w:rPr>
          <w:rFonts w:hint="eastAsia" w:ascii="宋体" w:hAnsi="宋体" w:eastAsia="宋体" w:cs="宋体"/>
          <w:sz w:val="24"/>
          <w:szCs w:val="24"/>
        </w:rPr>
        <w:t>鹤壁地址：鹤壁市淇滨区嵩山路与黎阳路交叉口东北角三楼303室</w:t>
      </w:r>
      <w:r>
        <w:rPr>
          <w:rFonts w:hint="eastAsia" w:ascii="宋体" w:hAnsi="宋体" w:eastAsia="宋体" w:cs="宋体"/>
          <w:sz w:val="24"/>
          <w:szCs w:val="24"/>
        </w:rPr>
        <w:tab/>
      </w:r>
    </w:p>
    <w:p>
      <w:pPr>
        <w:spacing w:line="360" w:lineRule="auto"/>
        <w:rPr>
          <w:rFonts w:hint="eastAsia" w:ascii="宋体" w:hAnsi="宋体" w:eastAsia="宋体" w:cs="宋体"/>
          <w:sz w:val="24"/>
          <w:szCs w:val="24"/>
        </w:rPr>
      </w:pPr>
      <w:r>
        <w:rPr>
          <w:rFonts w:hint="eastAsia" w:ascii="宋体" w:hAnsi="宋体" w:eastAsia="宋体" w:cs="宋体"/>
          <w:sz w:val="24"/>
          <w:szCs w:val="24"/>
        </w:rPr>
        <w:t>联 系 人：张先生    联系电话：18739221717</w:t>
      </w:r>
    </w:p>
    <w:p>
      <w:pPr>
        <w:spacing w:line="360" w:lineRule="auto"/>
        <w:rPr>
          <w:rFonts w:hint="eastAsia" w:ascii="宋体" w:hAnsi="宋体" w:eastAsia="宋体" w:cs="宋体"/>
          <w:sz w:val="24"/>
          <w:szCs w:val="24"/>
        </w:rPr>
      </w:pPr>
      <w:r>
        <w:rPr>
          <w:rFonts w:hint="eastAsia" w:ascii="宋体" w:hAnsi="宋体" w:eastAsia="宋体" w:cs="宋体"/>
          <w:sz w:val="24"/>
          <w:szCs w:val="24"/>
        </w:rPr>
        <w:t>3.项目联系方式</w:t>
      </w:r>
    </w:p>
    <w:p>
      <w:pPr>
        <w:spacing w:line="360" w:lineRule="auto"/>
        <w:rPr>
          <w:rFonts w:hint="eastAsia" w:ascii="宋体" w:hAnsi="宋体" w:eastAsia="宋体" w:cs="宋体"/>
          <w:sz w:val="24"/>
          <w:szCs w:val="24"/>
        </w:rPr>
      </w:pPr>
      <w:r>
        <w:rPr>
          <w:rFonts w:hint="eastAsia" w:ascii="宋体" w:hAnsi="宋体" w:eastAsia="宋体" w:cs="宋体"/>
          <w:sz w:val="24"/>
          <w:szCs w:val="24"/>
        </w:rPr>
        <w:t>联 系 人：张先生   联系电话：18739221717</w:t>
      </w:r>
    </w:p>
    <w:p>
      <w:pPr>
        <w:spacing w:line="360" w:lineRule="auto"/>
        <w:rPr>
          <w:rFonts w:hint="eastAsia" w:ascii="宋体" w:hAnsi="宋体" w:eastAsia="宋体" w:cs="宋体"/>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34"/>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AyNmM2Y2IzYzk4ZTNiNGMxNmY4MzkwNjdmMDFkNWMifQ=="/>
  </w:docVars>
  <w:rsids>
    <w:rsidRoot w:val="3EAD4376"/>
    <w:rsid w:val="00285085"/>
    <w:rsid w:val="003357D8"/>
    <w:rsid w:val="00563274"/>
    <w:rsid w:val="006873B9"/>
    <w:rsid w:val="00845C10"/>
    <w:rsid w:val="008F66AB"/>
    <w:rsid w:val="010B405F"/>
    <w:rsid w:val="013C06BC"/>
    <w:rsid w:val="015B4FE6"/>
    <w:rsid w:val="016801A5"/>
    <w:rsid w:val="017B11E4"/>
    <w:rsid w:val="01863873"/>
    <w:rsid w:val="01A52705"/>
    <w:rsid w:val="01AD5116"/>
    <w:rsid w:val="01BE7323"/>
    <w:rsid w:val="01BF64E7"/>
    <w:rsid w:val="01CF1530"/>
    <w:rsid w:val="01D84748"/>
    <w:rsid w:val="0227263C"/>
    <w:rsid w:val="025D6B3C"/>
    <w:rsid w:val="0278765A"/>
    <w:rsid w:val="028A358E"/>
    <w:rsid w:val="02C65933"/>
    <w:rsid w:val="03055E03"/>
    <w:rsid w:val="03086AA8"/>
    <w:rsid w:val="0317318F"/>
    <w:rsid w:val="036D5585"/>
    <w:rsid w:val="03BF6FAE"/>
    <w:rsid w:val="03D80B70"/>
    <w:rsid w:val="03EF25BE"/>
    <w:rsid w:val="03F84D6E"/>
    <w:rsid w:val="04620439"/>
    <w:rsid w:val="04C44C50"/>
    <w:rsid w:val="04DA20E2"/>
    <w:rsid w:val="04DE2019"/>
    <w:rsid w:val="04E7176F"/>
    <w:rsid w:val="04ED3EB4"/>
    <w:rsid w:val="052F2A11"/>
    <w:rsid w:val="0531540C"/>
    <w:rsid w:val="05545FD4"/>
    <w:rsid w:val="05746676"/>
    <w:rsid w:val="05DE61E6"/>
    <w:rsid w:val="05F95C04"/>
    <w:rsid w:val="06314567"/>
    <w:rsid w:val="064424ED"/>
    <w:rsid w:val="066C1A43"/>
    <w:rsid w:val="06A64F55"/>
    <w:rsid w:val="07286F7A"/>
    <w:rsid w:val="07A47FD8"/>
    <w:rsid w:val="07B611C8"/>
    <w:rsid w:val="07B62F76"/>
    <w:rsid w:val="07B92A66"/>
    <w:rsid w:val="07F10452"/>
    <w:rsid w:val="08193505"/>
    <w:rsid w:val="08404F36"/>
    <w:rsid w:val="08465092"/>
    <w:rsid w:val="085409E1"/>
    <w:rsid w:val="08A70B11"/>
    <w:rsid w:val="08F4189D"/>
    <w:rsid w:val="09063A89"/>
    <w:rsid w:val="091361A6"/>
    <w:rsid w:val="09216B15"/>
    <w:rsid w:val="093C56FD"/>
    <w:rsid w:val="095B2106"/>
    <w:rsid w:val="097A59D6"/>
    <w:rsid w:val="0A334D52"/>
    <w:rsid w:val="0A6256E8"/>
    <w:rsid w:val="0A6F1257"/>
    <w:rsid w:val="0A894972"/>
    <w:rsid w:val="0B00275A"/>
    <w:rsid w:val="0B20415F"/>
    <w:rsid w:val="0B212DFC"/>
    <w:rsid w:val="0B21781D"/>
    <w:rsid w:val="0B297F03"/>
    <w:rsid w:val="0B3643CE"/>
    <w:rsid w:val="0BA67E6C"/>
    <w:rsid w:val="0BD25EA5"/>
    <w:rsid w:val="0C2F779B"/>
    <w:rsid w:val="0C5F1081"/>
    <w:rsid w:val="0C743400"/>
    <w:rsid w:val="0CBD6919"/>
    <w:rsid w:val="0CFC0DA7"/>
    <w:rsid w:val="0D2A1D10"/>
    <w:rsid w:val="0D2E7A52"/>
    <w:rsid w:val="0D533015"/>
    <w:rsid w:val="0D820922"/>
    <w:rsid w:val="0D9E6986"/>
    <w:rsid w:val="0DA22550"/>
    <w:rsid w:val="0DBC0BBA"/>
    <w:rsid w:val="0DBE2B84"/>
    <w:rsid w:val="0DCD726B"/>
    <w:rsid w:val="0DF93BBD"/>
    <w:rsid w:val="0DFF3813"/>
    <w:rsid w:val="0E286250"/>
    <w:rsid w:val="0E547045"/>
    <w:rsid w:val="0F211A83"/>
    <w:rsid w:val="0F474DFC"/>
    <w:rsid w:val="0F7D6A6F"/>
    <w:rsid w:val="10060813"/>
    <w:rsid w:val="100827DD"/>
    <w:rsid w:val="1053332C"/>
    <w:rsid w:val="10A818CA"/>
    <w:rsid w:val="10B74EA7"/>
    <w:rsid w:val="11162CD7"/>
    <w:rsid w:val="112F4F5E"/>
    <w:rsid w:val="113B44EC"/>
    <w:rsid w:val="114E421F"/>
    <w:rsid w:val="116E4023"/>
    <w:rsid w:val="11812847"/>
    <w:rsid w:val="11B5429E"/>
    <w:rsid w:val="11EC1991"/>
    <w:rsid w:val="12227DCE"/>
    <w:rsid w:val="12891287"/>
    <w:rsid w:val="12B5207C"/>
    <w:rsid w:val="12DA28E4"/>
    <w:rsid w:val="12DE7825"/>
    <w:rsid w:val="12E15BF5"/>
    <w:rsid w:val="12F2507E"/>
    <w:rsid w:val="130D1EB8"/>
    <w:rsid w:val="13FA68E0"/>
    <w:rsid w:val="144B2C98"/>
    <w:rsid w:val="14A01236"/>
    <w:rsid w:val="14BF5434"/>
    <w:rsid w:val="151B4323"/>
    <w:rsid w:val="15631A96"/>
    <w:rsid w:val="15761F97"/>
    <w:rsid w:val="166B28E1"/>
    <w:rsid w:val="16F969DB"/>
    <w:rsid w:val="16FE0496"/>
    <w:rsid w:val="17236193"/>
    <w:rsid w:val="17C47411"/>
    <w:rsid w:val="18113658"/>
    <w:rsid w:val="185A5BA0"/>
    <w:rsid w:val="18716A45"/>
    <w:rsid w:val="18833979"/>
    <w:rsid w:val="18A60DE5"/>
    <w:rsid w:val="18CF5D75"/>
    <w:rsid w:val="18D30901"/>
    <w:rsid w:val="18D54A7F"/>
    <w:rsid w:val="18DE232D"/>
    <w:rsid w:val="18E5190D"/>
    <w:rsid w:val="18E831AB"/>
    <w:rsid w:val="18F97167"/>
    <w:rsid w:val="19031D93"/>
    <w:rsid w:val="1906204F"/>
    <w:rsid w:val="1912494D"/>
    <w:rsid w:val="191A0E8B"/>
    <w:rsid w:val="193851F6"/>
    <w:rsid w:val="19650358"/>
    <w:rsid w:val="198E1201"/>
    <w:rsid w:val="19B47531"/>
    <w:rsid w:val="19D96F98"/>
    <w:rsid w:val="19E83069"/>
    <w:rsid w:val="19EE47F1"/>
    <w:rsid w:val="19FD67E3"/>
    <w:rsid w:val="1A231FC1"/>
    <w:rsid w:val="1A383CBF"/>
    <w:rsid w:val="1A8A14AC"/>
    <w:rsid w:val="1AB33345"/>
    <w:rsid w:val="1AD05CA5"/>
    <w:rsid w:val="1B232D9B"/>
    <w:rsid w:val="1B2B55D1"/>
    <w:rsid w:val="1B44512D"/>
    <w:rsid w:val="1B634D6B"/>
    <w:rsid w:val="1BC96EA3"/>
    <w:rsid w:val="1C01741A"/>
    <w:rsid w:val="1C346708"/>
    <w:rsid w:val="1CB82E95"/>
    <w:rsid w:val="1CBA6C0D"/>
    <w:rsid w:val="1CBD04AB"/>
    <w:rsid w:val="1CF10155"/>
    <w:rsid w:val="1D061E52"/>
    <w:rsid w:val="1D5C1A72"/>
    <w:rsid w:val="1D5C4168"/>
    <w:rsid w:val="1D8D2573"/>
    <w:rsid w:val="1D8F1E47"/>
    <w:rsid w:val="1DA33B45"/>
    <w:rsid w:val="1DD84EE2"/>
    <w:rsid w:val="1E036392"/>
    <w:rsid w:val="1E3B0917"/>
    <w:rsid w:val="1E62558B"/>
    <w:rsid w:val="1E6943E1"/>
    <w:rsid w:val="1E9D0594"/>
    <w:rsid w:val="1EA77665"/>
    <w:rsid w:val="1EBA5AAC"/>
    <w:rsid w:val="1EF5217E"/>
    <w:rsid w:val="1F7A08D5"/>
    <w:rsid w:val="1F7D0601"/>
    <w:rsid w:val="1F8A1539"/>
    <w:rsid w:val="1FA871F0"/>
    <w:rsid w:val="20014799"/>
    <w:rsid w:val="20297421"/>
    <w:rsid w:val="2039129A"/>
    <w:rsid w:val="204131A1"/>
    <w:rsid w:val="208C266E"/>
    <w:rsid w:val="20DB53A4"/>
    <w:rsid w:val="210A7A37"/>
    <w:rsid w:val="217C0935"/>
    <w:rsid w:val="21D544E9"/>
    <w:rsid w:val="21D7200F"/>
    <w:rsid w:val="21F4671D"/>
    <w:rsid w:val="23A8707F"/>
    <w:rsid w:val="23EB49FE"/>
    <w:rsid w:val="240D1D18"/>
    <w:rsid w:val="2434162D"/>
    <w:rsid w:val="24AF2DCF"/>
    <w:rsid w:val="24C140A4"/>
    <w:rsid w:val="2593449F"/>
    <w:rsid w:val="25A42208"/>
    <w:rsid w:val="25B03F51"/>
    <w:rsid w:val="25C95979"/>
    <w:rsid w:val="25EB42DB"/>
    <w:rsid w:val="262E5F76"/>
    <w:rsid w:val="265E2CFF"/>
    <w:rsid w:val="267E0CAB"/>
    <w:rsid w:val="26A41971"/>
    <w:rsid w:val="26A75A4C"/>
    <w:rsid w:val="26AB1BA2"/>
    <w:rsid w:val="26C2225A"/>
    <w:rsid w:val="26D7417A"/>
    <w:rsid w:val="27B227DC"/>
    <w:rsid w:val="27B30E28"/>
    <w:rsid w:val="27C44DE4"/>
    <w:rsid w:val="280323BE"/>
    <w:rsid w:val="28836A4D"/>
    <w:rsid w:val="28CF3A40"/>
    <w:rsid w:val="28CF517E"/>
    <w:rsid w:val="28E76FDC"/>
    <w:rsid w:val="28F315FF"/>
    <w:rsid w:val="294D0219"/>
    <w:rsid w:val="295F26A2"/>
    <w:rsid w:val="2973086F"/>
    <w:rsid w:val="29B42C36"/>
    <w:rsid w:val="2A4C0425"/>
    <w:rsid w:val="2A831341"/>
    <w:rsid w:val="2A8E335D"/>
    <w:rsid w:val="2A9E0EC0"/>
    <w:rsid w:val="2B723D14"/>
    <w:rsid w:val="2BBD4024"/>
    <w:rsid w:val="2BD3443B"/>
    <w:rsid w:val="2BE3550B"/>
    <w:rsid w:val="2C35005E"/>
    <w:rsid w:val="2C711DF0"/>
    <w:rsid w:val="2C730B86"/>
    <w:rsid w:val="2C854146"/>
    <w:rsid w:val="2CD72A9E"/>
    <w:rsid w:val="2CF16520"/>
    <w:rsid w:val="2D047816"/>
    <w:rsid w:val="2D145EC5"/>
    <w:rsid w:val="2D266C94"/>
    <w:rsid w:val="2DA3552C"/>
    <w:rsid w:val="2E39425C"/>
    <w:rsid w:val="2E3A7BAD"/>
    <w:rsid w:val="2E444588"/>
    <w:rsid w:val="2EA65243"/>
    <w:rsid w:val="2EB5729C"/>
    <w:rsid w:val="2EFC3C9D"/>
    <w:rsid w:val="2F391C13"/>
    <w:rsid w:val="2FA554FB"/>
    <w:rsid w:val="2FEF290A"/>
    <w:rsid w:val="300A28B9"/>
    <w:rsid w:val="30C16364"/>
    <w:rsid w:val="30D55668"/>
    <w:rsid w:val="313A6212"/>
    <w:rsid w:val="314309AE"/>
    <w:rsid w:val="314F7123"/>
    <w:rsid w:val="316F6966"/>
    <w:rsid w:val="31B45EC9"/>
    <w:rsid w:val="31C003CA"/>
    <w:rsid w:val="31E00A6C"/>
    <w:rsid w:val="31F42769"/>
    <w:rsid w:val="31FA545B"/>
    <w:rsid w:val="31FC6BDD"/>
    <w:rsid w:val="31FE5396"/>
    <w:rsid w:val="320F30FF"/>
    <w:rsid w:val="321B5F48"/>
    <w:rsid w:val="327D62BB"/>
    <w:rsid w:val="33721B98"/>
    <w:rsid w:val="33D83D04"/>
    <w:rsid w:val="346C4839"/>
    <w:rsid w:val="348C18C8"/>
    <w:rsid w:val="349A75F8"/>
    <w:rsid w:val="34D0175B"/>
    <w:rsid w:val="34D46BE1"/>
    <w:rsid w:val="359027A9"/>
    <w:rsid w:val="35AD64A3"/>
    <w:rsid w:val="35CF1523"/>
    <w:rsid w:val="35DE7015"/>
    <w:rsid w:val="35EB7E31"/>
    <w:rsid w:val="35ED79AF"/>
    <w:rsid w:val="362178A5"/>
    <w:rsid w:val="366F0610"/>
    <w:rsid w:val="3676199F"/>
    <w:rsid w:val="367C4ADB"/>
    <w:rsid w:val="369462C9"/>
    <w:rsid w:val="36E0506A"/>
    <w:rsid w:val="36F21B98"/>
    <w:rsid w:val="3709636F"/>
    <w:rsid w:val="371D006C"/>
    <w:rsid w:val="37732382"/>
    <w:rsid w:val="37A75B88"/>
    <w:rsid w:val="37C8622A"/>
    <w:rsid w:val="37D47311"/>
    <w:rsid w:val="37D77074"/>
    <w:rsid w:val="37E61084"/>
    <w:rsid w:val="383218F5"/>
    <w:rsid w:val="38F20100"/>
    <w:rsid w:val="390D4EC0"/>
    <w:rsid w:val="393A4F06"/>
    <w:rsid w:val="397D3418"/>
    <w:rsid w:val="39893797"/>
    <w:rsid w:val="39924D42"/>
    <w:rsid w:val="399F120C"/>
    <w:rsid w:val="39A84565"/>
    <w:rsid w:val="3A06128C"/>
    <w:rsid w:val="3A064DE8"/>
    <w:rsid w:val="3B2C2F74"/>
    <w:rsid w:val="3B3D1D45"/>
    <w:rsid w:val="3B9C1EA7"/>
    <w:rsid w:val="3C1F6635"/>
    <w:rsid w:val="3C2E6878"/>
    <w:rsid w:val="3C5A6C06"/>
    <w:rsid w:val="3C616C4D"/>
    <w:rsid w:val="3C964B49"/>
    <w:rsid w:val="3D830794"/>
    <w:rsid w:val="3D8E5820"/>
    <w:rsid w:val="3DAE1498"/>
    <w:rsid w:val="3DC47494"/>
    <w:rsid w:val="3DEA6EC8"/>
    <w:rsid w:val="3E09134A"/>
    <w:rsid w:val="3E4B3711"/>
    <w:rsid w:val="3E522CF1"/>
    <w:rsid w:val="3E774506"/>
    <w:rsid w:val="3E833AAE"/>
    <w:rsid w:val="3EA03A5D"/>
    <w:rsid w:val="3EAD4376"/>
    <w:rsid w:val="3EF75647"/>
    <w:rsid w:val="3F850EA5"/>
    <w:rsid w:val="3F9A4950"/>
    <w:rsid w:val="3F9D1E1A"/>
    <w:rsid w:val="3F9E1D7A"/>
    <w:rsid w:val="3FAE3F57"/>
    <w:rsid w:val="3FF83425"/>
    <w:rsid w:val="405A7C3B"/>
    <w:rsid w:val="40644F5E"/>
    <w:rsid w:val="40E13EB9"/>
    <w:rsid w:val="40EB11DB"/>
    <w:rsid w:val="40FF07E3"/>
    <w:rsid w:val="412A075C"/>
    <w:rsid w:val="412F731A"/>
    <w:rsid w:val="416C40CA"/>
    <w:rsid w:val="41926E18"/>
    <w:rsid w:val="41BA3087"/>
    <w:rsid w:val="41E03C86"/>
    <w:rsid w:val="421A3816"/>
    <w:rsid w:val="4253691F"/>
    <w:rsid w:val="42A97EF2"/>
    <w:rsid w:val="42CD6DEA"/>
    <w:rsid w:val="42D24401"/>
    <w:rsid w:val="42EB54C2"/>
    <w:rsid w:val="43D85A47"/>
    <w:rsid w:val="43DB72E5"/>
    <w:rsid w:val="43F9776B"/>
    <w:rsid w:val="445A0AE0"/>
    <w:rsid w:val="44786980"/>
    <w:rsid w:val="44CA3559"/>
    <w:rsid w:val="44F7014F"/>
    <w:rsid w:val="451A4E33"/>
    <w:rsid w:val="451E56DB"/>
    <w:rsid w:val="455E0363"/>
    <w:rsid w:val="45A57BAB"/>
    <w:rsid w:val="45B46040"/>
    <w:rsid w:val="45B46845"/>
    <w:rsid w:val="45D3296A"/>
    <w:rsid w:val="46003033"/>
    <w:rsid w:val="461578D9"/>
    <w:rsid w:val="462431C5"/>
    <w:rsid w:val="46401681"/>
    <w:rsid w:val="464C6278"/>
    <w:rsid w:val="4674376B"/>
    <w:rsid w:val="4691012F"/>
    <w:rsid w:val="46B207D1"/>
    <w:rsid w:val="46B8390E"/>
    <w:rsid w:val="472F1E22"/>
    <w:rsid w:val="474517D3"/>
    <w:rsid w:val="481433C1"/>
    <w:rsid w:val="48741AB6"/>
    <w:rsid w:val="488410CD"/>
    <w:rsid w:val="48F0738F"/>
    <w:rsid w:val="493B1A0B"/>
    <w:rsid w:val="49F033BE"/>
    <w:rsid w:val="4A2F2139"/>
    <w:rsid w:val="4A4F27DB"/>
    <w:rsid w:val="4A900C68"/>
    <w:rsid w:val="4AEF0CFA"/>
    <w:rsid w:val="4B013980"/>
    <w:rsid w:val="4B1F3F5B"/>
    <w:rsid w:val="4B3317B5"/>
    <w:rsid w:val="4B49547C"/>
    <w:rsid w:val="4BA97CC9"/>
    <w:rsid w:val="4BDB773A"/>
    <w:rsid w:val="4C0513A3"/>
    <w:rsid w:val="4C121D12"/>
    <w:rsid w:val="4C2C2DD4"/>
    <w:rsid w:val="4C3D0506"/>
    <w:rsid w:val="4C7B1665"/>
    <w:rsid w:val="4CAD0BB5"/>
    <w:rsid w:val="4CCA439B"/>
    <w:rsid w:val="4CD945DE"/>
    <w:rsid w:val="4CE377D9"/>
    <w:rsid w:val="4CE8180C"/>
    <w:rsid w:val="4CF31815"/>
    <w:rsid w:val="4D0E072B"/>
    <w:rsid w:val="4D1B69A4"/>
    <w:rsid w:val="4D2B55C7"/>
    <w:rsid w:val="4D53613E"/>
    <w:rsid w:val="4D727407"/>
    <w:rsid w:val="4DDF79D2"/>
    <w:rsid w:val="4E452334"/>
    <w:rsid w:val="4E6B74B7"/>
    <w:rsid w:val="4E7B188C"/>
    <w:rsid w:val="4E983985"/>
    <w:rsid w:val="4EBE1CDD"/>
    <w:rsid w:val="4EC158AF"/>
    <w:rsid w:val="4ECB112A"/>
    <w:rsid w:val="4F0973FC"/>
    <w:rsid w:val="4F406A14"/>
    <w:rsid w:val="4F525FCE"/>
    <w:rsid w:val="50947199"/>
    <w:rsid w:val="50F93DEC"/>
    <w:rsid w:val="50FC089B"/>
    <w:rsid w:val="516D2732"/>
    <w:rsid w:val="51EA3E6D"/>
    <w:rsid w:val="52497B10"/>
    <w:rsid w:val="52911BF2"/>
    <w:rsid w:val="52AF02BB"/>
    <w:rsid w:val="52DB10B0"/>
    <w:rsid w:val="52DC0984"/>
    <w:rsid w:val="52ED5952"/>
    <w:rsid w:val="53206AC2"/>
    <w:rsid w:val="53234805"/>
    <w:rsid w:val="534A1D91"/>
    <w:rsid w:val="5358625C"/>
    <w:rsid w:val="53984ED9"/>
    <w:rsid w:val="53C16CB6"/>
    <w:rsid w:val="53D0673A"/>
    <w:rsid w:val="53F006E8"/>
    <w:rsid w:val="55650480"/>
    <w:rsid w:val="55A25899"/>
    <w:rsid w:val="55C73B6D"/>
    <w:rsid w:val="55DA564E"/>
    <w:rsid w:val="55E97FA8"/>
    <w:rsid w:val="560C6576"/>
    <w:rsid w:val="560D003C"/>
    <w:rsid w:val="568D26C1"/>
    <w:rsid w:val="56BA0FDC"/>
    <w:rsid w:val="56C866D0"/>
    <w:rsid w:val="56EB307C"/>
    <w:rsid w:val="56EB388B"/>
    <w:rsid w:val="571728EA"/>
    <w:rsid w:val="571E2083"/>
    <w:rsid w:val="57581999"/>
    <w:rsid w:val="57D97DEF"/>
    <w:rsid w:val="57FF75EE"/>
    <w:rsid w:val="58160494"/>
    <w:rsid w:val="58312320"/>
    <w:rsid w:val="583A23D4"/>
    <w:rsid w:val="58BB7B9D"/>
    <w:rsid w:val="59192C90"/>
    <w:rsid w:val="598853C1"/>
    <w:rsid w:val="59970B99"/>
    <w:rsid w:val="59CE5D52"/>
    <w:rsid w:val="5A1536A6"/>
    <w:rsid w:val="5A2032E5"/>
    <w:rsid w:val="5A61633E"/>
    <w:rsid w:val="5A864348"/>
    <w:rsid w:val="5A9B2ED2"/>
    <w:rsid w:val="5AC45298"/>
    <w:rsid w:val="5ADC59C5"/>
    <w:rsid w:val="5B3A26EB"/>
    <w:rsid w:val="5B5E63DA"/>
    <w:rsid w:val="5B7025B1"/>
    <w:rsid w:val="5B765E19"/>
    <w:rsid w:val="5B922527"/>
    <w:rsid w:val="5BA26C0E"/>
    <w:rsid w:val="5C237623"/>
    <w:rsid w:val="5C441A74"/>
    <w:rsid w:val="5C702869"/>
    <w:rsid w:val="5CA259FC"/>
    <w:rsid w:val="5CB564CD"/>
    <w:rsid w:val="5CEB1EEF"/>
    <w:rsid w:val="5D537A94"/>
    <w:rsid w:val="5D562CB2"/>
    <w:rsid w:val="5D7C63AD"/>
    <w:rsid w:val="5DA14CA4"/>
    <w:rsid w:val="5DAB167E"/>
    <w:rsid w:val="5DC42740"/>
    <w:rsid w:val="5DE80B25"/>
    <w:rsid w:val="5E0038E7"/>
    <w:rsid w:val="5E1D3741"/>
    <w:rsid w:val="5E2D6537"/>
    <w:rsid w:val="5E3653EC"/>
    <w:rsid w:val="5E8674A9"/>
    <w:rsid w:val="5EDB5F93"/>
    <w:rsid w:val="5F1A6ABC"/>
    <w:rsid w:val="5F265461"/>
    <w:rsid w:val="5F3D1770"/>
    <w:rsid w:val="5FD233B5"/>
    <w:rsid w:val="60125B92"/>
    <w:rsid w:val="60145C01"/>
    <w:rsid w:val="604745DC"/>
    <w:rsid w:val="60EC6236"/>
    <w:rsid w:val="61446589"/>
    <w:rsid w:val="61447E20"/>
    <w:rsid w:val="6155027F"/>
    <w:rsid w:val="615F10FE"/>
    <w:rsid w:val="617E77D6"/>
    <w:rsid w:val="618F34F9"/>
    <w:rsid w:val="619D1BA7"/>
    <w:rsid w:val="61E33E63"/>
    <w:rsid w:val="61E6537B"/>
    <w:rsid w:val="62045801"/>
    <w:rsid w:val="62263562"/>
    <w:rsid w:val="62571DD5"/>
    <w:rsid w:val="626764BC"/>
    <w:rsid w:val="62856942"/>
    <w:rsid w:val="630C7E79"/>
    <w:rsid w:val="63575504"/>
    <w:rsid w:val="6373006B"/>
    <w:rsid w:val="639275B1"/>
    <w:rsid w:val="63CE121A"/>
    <w:rsid w:val="644B7717"/>
    <w:rsid w:val="645C1924"/>
    <w:rsid w:val="648A6492"/>
    <w:rsid w:val="64A61365"/>
    <w:rsid w:val="64E5191A"/>
    <w:rsid w:val="64E831B8"/>
    <w:rsid w:val="65921AA2"/>
    <w:rsid w:val="65B433A9"/>
    <w:rsid w:val="65CA5C1C"/>
    <w:rsid w:val="667473F9"/>
    <w:rsid w:val="66DD20EA"/>
    <w:rsid w:val="66E16111"/>
    <w:rsid w:val="67074E53"/>
    <w:rsid w:val="67801DCE"/>
    <w:rsid w:val="679F70BE"/>
    <w:rsid w:val="689E250C"/>
    <w:rsid w:val="68C47A98"/>
    <w:rsid w:val="68EC14C9"/>
    <w:rsid w:val="68ED6FEF"/>
    <w:rsid w:val="6937247D"/>
    <w:rsid w:val="69A20CC4"/>
    <w:rsid w:val="69A578CA"/>
    <w:rsid w:val="69AA4EE0"/>
    <w:rsid w:val="69AE2C22"/>
    <w:rsid w:val="69C47C7C"/>
    <w:rsid w:val="69C53AC8"/>
    <w:rsid w:val="69CD7925"/>
    <w:rsid w:val="6A4C406A"/>
    <w:rsid w:val="6A7F58CB"/>
    <w:rsid w:val="6AF01A9B"/>
    <w:rsid w:val="6B1D005F"/>
    <w:rsid w:val="6C00509B"/>
    <w:rsid w:val="6C2F40A2"/>
    <w:rsid w:val="6C4E2E89"/>
    <w:rsid w:val="6C924135"/>
    <w:rsid w:val="6D301BA0"/>
    <w:rsid w:val="6D8C327A"/>
    <w:rsid w:val="6E3336F6"/>
    <w:rsid w:val="6E3A4A84"/>
    <w:rsid w:val="6E9C5592"/>
    <w:rsid w:val="6EDE39E8"/>
    <w:rsid w:val="6F03756C"/>
    <w:rsid w:val="6F152DFC"/>
    <w:rsid w:val="6F375468"/>
    <w:rsid w:val="6F4A1DFC"/>
    <w:rsid w:val="6F527126"/>
    <w:rsid w:val="6FD50FEE"/>
    <w:rsid w:val="70355FEC"/>
    <w:rsid w:val="704316FC"/>
    <w:rsid w:val="704C6CF1"/>
    <w:rsid w:val="709D2021"/>
    <w:rsid w:val="70B054D2"/>
    <w:rsid w:val="70C41F7F"/>
    <w:rsid w:val="710650F2"/>
    <w:rsid w:val="713F23B2"/>
    <w:rsid w:val="719426FE"/>
    <w:rsid w:val="71C32FE3"/>
    <w:rsid w:val="71EC42E8"/>
    <w:rsid w:val="72402885"/>
    <w:rsid w:val="725325F1"/>
    <w:rsid w:val="7275252F"/>
    <w:rsid w:val="728C7879"/>
    <w:rsid w:val="72C214EC"/>
    <w:rsid w:val="72E86089"/>
    <w:rsid w:val="72F434FA"/>
    <w:rsid w:val="7314432B"/>
    <w:rsid w:val="732C6966"/>
    <w:rsid w:val="73504D4A"/>
    <w:rsid w:val="738B18DE"/>
    <w:rsid w:val="73993FFB"/>
    <w:rsid w:val="739A6B8B"/>
    <w:rsid w:val="73AD3F4B"/>
    <w:rsid w:val="73E55492"/>
    <w:rsid w:val="73FB6A64"/>
    <w:rsid w:val="745E5245"/>
    <w:rsid w:val="746E5488"/>
    <w:rsid w:val="74890514"/>
    <w:rsid w:val="74B86703"/>
    <w:rsid w:val="74C90910"/>
    <w:rsid w:val="74D53759"/>
    <w:rsid w:val="75153B55"/>
    <w:rsid w:val="751B4EE4"/>
    <w:rsid w:val="7535244A"/>
    <w:rsid w:val="75524DAA"/>
    <w:rsid w:val="757F4DA8"/>
    <w:rsid w:val="759D1E72"/>
    <w:rsid w:val="75D43A11"/>
    <w:rsid w:val="75F367E7"/>
    <w:rsid w:val="75FC2F67"/>
    <w:rsid w:val="76391AC6"/>
    <w:rsid w:val="763B3A90"/>
    <w:rsid w:val="76535453"/>
    <w:rsid w:val="7664249B"/>
    <w:rsid w:val="76684494"/>
    <w:rsid w:val="769211D6"/>
    <w:rsid w:val="76A900F9"/>
    <w:rsid w:val="76DE441B"/>
    <w:rsid w:val="76F854DD"/>
    <w:rsid w:val="773B361B"/>
    <w:rsid w:val="77AF64E3"/>
    <w:rsid w:val="7804372B"/>
    <w:rsid w:val="78362761"/>
    <w:rsid w:val="78931961"/>
    <w:rsid w:val="789C633C"/>
    <w:rsid w:val="78A31478"/>
    <w:rsid w:val="78AF5A04"/>
    <w:rsid w:val="78B47B29"/>
    <w:rsid w:val="79246AEA"/>
    <w:rsid w:val="79693905"/>
    <w:rsid w:val="799159BC"/>
    <w:rsid w:val="79A10F86"/>
    <w:rsid w:val="79C42F77"/>
    <w:rsid w:val="79D404C9"/>
    <w:rsid w:val="79DC2E94"/>
    <w:rsid w:val="7A434CC1"/>
    <w:rsid w:val="7A7237F8"/>
    <w:rsid w:val="7A903C7E"/>
    <w:rsid w:val="7A9A703A"/>
    <w:rsid w:val="7AA30CA1"/>
    <w:rsid w:val="7B6C46EB"/>
    <w:rsid w:val="7BA20F13"/>
    <w:rsid w:val="7BCD6A10"/>
    <w:rsid w:val="7C4E233E"/>
    <w:rsid w:val="7C601C75"/>
    <w:rsid w:val="7C991510"/>
    <w:rsid w:val="7C9A45E8"/>
    <w:rsid w:val="7D5157C7"/>
    <w:rsid w:val="7E5E502D"/>
    <w:rsid w:val="7E955D07"/>
    <w:rsid w:val="7E9957F7"/>
    <w:rsid w:val="7EF16320"/>
    <w:rsid w:val="7F6A7194"/>
    <w:rsid w:val="7F833CAD"/>
    <w:rsid w:val="7F8B626E"/>
    <w:rsid w:val="7FB2376C"/>
    <w:rsid w:val="7FE231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3">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99"/>
    <w:pPr>
      <w:ind w:firstLine="420" w:firstLineChars="200"/>
    </w:pPr>
    <w:rPr>
      <w:kern w:val="0"/>
      <w:szCs w:val="20"/>
    </w:rPr>
  </w:style>
  <w:style w:type="paragraph" w:styleId="3">
    <w:name w:val="Body Text"/>
    <w:basedOn w:val="1"/>
    <w:next w:val="4"/>
    <w:qFormat/>
    <w:uiPriority w:val="1"/>
    <w:rPr>
      <w:rFonts w:ascii="宋体" w:hAnsi="宋体" w:eastAsia="宋体" w:cs="宋体"/>
      <w:sz w:val="21"/>
      <w:szCs w:val="21"/>
      <w:lang w:val="zh-CN" w:eastAsia="zh-CN" w:bidi="zh-CN"/>
    </w:rPr>
  </w:style>
  <w:style w:type="paragraph" w:customStyle="1" w:styleId="4">
    <w:name w:val="Default"/>
    <w:basedOn w:val="1"/>
    <w:next w:val="5"/>
    <w:qFormat/>
    <w:uiPriority w:val="0"/>
    <w:pPr>
      <w:keepNext w:val="0"/>
      <w:keepLines w:val="0"/>
      <w:widowControl w:val="0"/>
      <w:suppressLineNumbers w:val="0"/>
      <w:autoSpaceDE w:val="0"/>
      <w:autoSpaceDN w:val="0"/>
      <w:adjustRightInd w:val="0"/>
      <w:spacing w:before="0" w:beforeLines="0" w:beforeAutospacing="0" w:after="0" w:afterLines="0" w:afterAutospacing="0"/>
      <w:ind w:left="0" w:right="0"/>
      <w:jc w:val="left"/>
    </w:pPr>
    <w:rPr>
      <w:rFonts w:hint="eastAsia" w:ascii="宋体" w:hAnsi="Times New Roman" w:eastAsia="宋体" w:cs="宋体"/>
      <w:color w:val="000000"/>
      <w:kern w:val="0"/>
      <w:sz w:val="24"/>
      <w:szCs w:val="24"/>
      <w:lang w:val="en-US" w:eastAsia="zh-CN" w:bidi="ar-SA"/>
    </w:rPr>
  </w:style>
  <w:style w:type="paragraph" w:customStyle="1" w:styleId="5">
    <w:name w:val="大标题"/>
    <w:basedOn w:val="1"/>
    <w:next w:val="6"/>
    <w:qFormat/>
    <w:uiPriority w:val="0"/>
    <w:pPr>
      <w:jc w:val="center"/>
    </w:pPr>
    <w:rPr>
      <w:rFonts w:ascii="Arial" w:hAnsi="Arial"/>
      <w:b/>
      <w:sz w:val="28"/>
    </w:rPr>
  </w:style>
  <w:style w:type="paragraph" w:styleId="6">
    <w:name w:val="Body Text First Indent 2"/>
    <w:basedOn w:val="7"/>
    <w:next w:val="1"/>
    <w:qFormat/>
    <w:uiPriority w:val="0"/>
    <w:pPr>
      <w:tabs>
        <w:tab w:val="left" w:pos="945"/>
        <w:tab w:val="left" w:pos="1155"/>
      </w:tabs>
      <w:spacing w:after="120" w:line="240" w:lineRule="auto"/>
      <w:ind w:left="420" w:leftChars="200" w:firstLine="420" w:firstLineChars="200"/>
    </w:pPr>
    <w:rPr>
      <w:rFonts w:ascii="Times New Roman" w:hAnsi="Times New Roman" w:eastAsia="宋体" w:cs="Times New Roman"/>
    </w:rPr>
  </w:style>
  <w:style w:type="paragraph" w:styleId="7">
    <w:name w:val="Body Text Indent"/>
    <w:basedOn w:val="1"/>
    <w:next w:val="8"/>
    <w:qFormat/>
    <w:uiPriority w:val="0"/>
    <w:pPr>
      <w:spacing w:after="120"/>
      <w:ind w:left="420" w:leftChars="200"/>
    </w:pPr>
  </w:style>
  <w:style w:type="paragraph" w:styleId="8">
    <w:name w:val="envelope return"/>
    <w:basedOn w:val="1"/>
    <w:qFormat/>
    <w:uiPriority w:val="0"/>
    <w:rPr>
      <w:rFonts w:ascii="Arial" w:hAnsi="Arial"/>
    </w:rPr>
  </w:style>
  <w:style w:type="paragraph" w:styleId="9">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0">
    <w:name w:val="Body Text First Indent"/>
    <w:basedOn w:val="3"/>
    <w:next w:val="6"/>
    <w:qFormat/>
    <w:uiPriority w:val="0"/>
    <w:pPr>
      <w:autoSpaceDE w:val="0"/>
      <w:autoSpaceDN w:val="0"/>
      <w:adjustRightInd w:val="0"/>
      <w:spacing w:line="360" w:lineRule="auto"/>
      <w:ind w:right="-24" w:rightChars="-10" w:firstLine="425" w:firstLineChars="225"/>
    </w:pPr>
    <w:rPr>
      <w:rFonts w:ascii="Arial" w:hAnsi="Arial" w:eastAsia="仿宋_GB2312" w:cs="Arial"/>
      <w:sz w:val="24"/>
      <w:szCs w:val="32"/>
    </w:r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14">
    <w:name w:val="List Paragraph"/>
    <w:basedOn w:val="1"/>
    <w:qFormat/>
    <w:uiPriority w:val="1"/>
    <w:pPr>
      <w:ind w:left="475"/>
    </w:pPr>
    <w:rPr>
      <w:rFonts w:ascii="宋体" w:hAnsi="宋体" w:eastAsia="宋体" w:cs="宋体"/>
      <w:lang w:val="zh-CN" w:eastAsia="zh-CN" w:bidi="zh-CN"/>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1493</Words>
  <Characters>1682</Characters>
  <Lines>0</Lines>
  <Paragraphs>0</Paragraphs>
  <TotalTime>2</TotalTime>
  <ScaleCrop>false</ScaleCrop>
  <LinksUpToDate>false</LinksUpToDate>
  <CharactersWithSpaces>1716</CharactersWithSpaces>
  <Application>WPS Office_12.1.0.15990_F1E327BC-269C-435d-A152-05C5408002CA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2023-06-07T00:32:00Z</dcterms:created>
  <dc:creator>lenovo</dc:creator>
  <cp:lastModifiedBy>Administrator</cp:lastModifiedBy>
  <cp:lastPrinted>2023-09-21T00:15:00Z</cp:lastPrinted>
  <dcterms:modified xsi:type="dcterms:W3CDTF">2023-12-18T07:14:51Z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59D23466CD4D46B6AF7F0D0338280B46_11</vt:lpwstr>
  </property>
</Properties>
</file>