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91237">
      <w:pPr>
        <w:spacing w:line="600" w:lineRule="exact"/>
        <w:jc w:val="center"/>
        <w:rPr>
          <w:rFonts w:ascii="宋体" w:hAnsi="宋体" w:cs="宋体"/>
          <w:b/>
          <w:bCs/>
          <w:color w:val="auto"/>
          <w:sz w:val="44"/>
          <w:szCs w:val="44"/>
        </w:rPr>
      </w:pPr>
      <w:r>
        <w:rPr>
          <w:rFonts w:hint="eastAsia" w:ascii="宋体" w:hAnsi="宋体" w:cs="宋体"/>
          <w:b/>
          <w:bCs/>
          <w:color w:val="auto"/>
          <w:sz w:val="44"/>
          <w:szCs w:val="44"/>
        </w:rPr>
        <w:t>重庆海关监控指挥中心大屏改造项目</w:t>
      </w:r>
    </w:p>
    <w:p w14:paraId="683529DF">
      <w:pPr>
        <w:spacing w:line="600" w:lineRule="exact"/>
        <w:jc w:val="center"/>
        <w:rPr>
          <w:rFonts w:ascii="宋体" w:hAnsi="宋体" w:cs="宋体"/>
          <w:b/>
          <w:bCs/>
          <w:color w:val="auto"/>
          <w:sz w:val="44"/>
          <w:szCs w:val="44"/>
        </w:rPr>
      </w:pPr>
      <w:r>
        <w:rPr>
          <w:rFonts w:hint="eastAsia" w:ascii="宋体" w:hAnsi="宋体" w:cs="宋体"/>
          <w:b/>
          <w:bCs/>
          <w:color w:val="auto"/>
          <w:sz w:val="44"/>
          <w:szCs w:val="44"/>
        </w:rPr>
        <w:t>（项目编号：HDFZB-FW-202608121623）</w:t>
      </w:r>
    </w:p>
    <w:p w14:paraId="204F5A80">
      <w:pPr>
        <w:tabs>
          <w:tab w:val="center" w:pos="4873"/>
          <w:tab w:val="left" w:pos="7425"/>
        </w:tabs>
        <w:spacing w:line="600" w:lineRule="exact"/>
        <w:jc w:val="left"/>
        <w:rPr>
          <w:color w:val="auto"/>
          <w:sz w:val="32"/>
          <w:szCs w:val="32"/>
        </w:rPr>
      </w:pPr>
      <w:r>
        <w:rPr>
          <w:rFonts w:hint="eastAsia" w:ascii="宋体" w:hAnsi="宋体" w:cs="宋体"/>
          <w:b/>
          <w:bCs/>
          <w:color w:val="auto"/>
          <w:sz w:val="44"/>
          <w:szCs w:val="44"/>
        </w:rPr>
        <w:tab/>
      </w:r>
      <w:r>
        <w:rPr>
          <w:rFonts w:hint="eastAsia" w:ascii="宋体" w:hAnsi="宋体" w:cs="宋体"/>
          <w:b/>
          <w:bCs/>
          <w:color w:val="auto"/>
          <w:sz w:val="44"/>
          <w:szCs w:val="44"/>
        </w:rPr>
        <w:t>更正公告</w:t>
      </w:r>
      <w:r>
        <w:rPr>
          <w:color w:val="auto"/>
          <w:sz w:val="32"/>
          <w:szCs w:val="32"/>
        </w:rPr>
        <w:tab/>
      </w:r>
    </w:p>
    <w:p w14:paraId="45704CF6">
      <w:pPr>
        <w:spacing w:line="600" w:lineRule="exact"/>
        <w:rPr>
          <w:rFonts w:ascii="宋体" w:hAnsi="宋体" w:cs="宋体"/>
          <w:color w:val="auto"/>
          <w:sz w:val="24"/>
          <w:szCs w:val="24"/>
        </w:rPr>
      </w:pPr>
      <w:r>
        <w:rPr>
          <w:rFonts w:hint="eastAsia" w:ascii="宋体" w:hAnsi="宋体" w:cs="宋体"/>
          <w:color w:val="auto"/>
          <w:sz w:val="24"/>
          <w:szCs w:val="24"/>
        </w:rPr>
        <w:t>各潜在供应商：</w:t>
      </w:r>
    </w:p>
    <w:p w14:paraId="4EC5D0EA">
      <w:pPr>
        <w:spacing w:line="600" w:lineRule="exact"/>
        <w:rPr>
          <w:rFonts w:ascii="宋体" w:hAnsi="宋体" w:cs="宋体"/>
          <w:color w:val="auto"/>
          <w:sz w:val="24"/>
          <w:szCs w:val="24"/>
        </w:rPr>
      </w:pPr>
      <w:r>
        <w:rPr>
          <w:rFonts w:hint="eastAsia" w:ascii="宋体" w:hAnsi="宋体" w:cs="宋体"/>
          <w:color w:val="auto"/>
          <w:sz w:val="24"/>
          <w:szCs w:val="24"/>
        </w:rPr>
        <w:t xml:space="preserve">    现对重庆海关监控指挥中心大屏改造项目（项目编号：HDFZB-FW-202608121623）招标文件部分内容作出修改如下：</w:t>
      </w:r>
    </w:p>
    <w:p w14:paraId="49F98CBF">
      <w:pPr>
        <w:spacing w:line="600" w:lineRule="exact"/>
        <w:ind w:firstLine="482" w:firstLineChars="200"/>
        <w:rPr>
          <w:rFonts w:ascii="宋体" w:hAnsi="宋体" w:cs="宋体"/>
          <w:b/>
          <w:bCs/>
          <w:color w:val="auto"/>
          <w:sz w:val="24"/>
          <w:szCs w:val="24"/>
        </w:rPr>
      </w:pPr>
      <w:r>
        <w:rPr>
          <w:rFonts w:hint="eastAsia" w:ascii="宋体" w:hAnsi="宋体" w:cs="宋体"/>
          <w:b/>
          <w:bCs/>
          <w:color w:val="auto"/>
          <w:sz w:val="24"/>
          <w:szCs w:val="24"/>
        </w:rPr>
        <w:t>一、对原磋商文件</w:t>
      </w:r>
      <w:bookmarkStart w:id="0" w:name="_Toc21956"/>
      <w:bookmarkStart w:id="1" w:name="_Toc22375"/>
      <w:bookmarkStart w:id="2" w:name="_Toc2692"/>
      <w:bookmarkStart w:id="3" w:name="_Toc17311"/>
      <w:bookmarkStart w:id="4" w:name="_Toc15716"/>
      <w:bookmarkStart w:id="5" w:name="_Toc75793520"/>
      <w:bookmarkStart w:id="6" w:name="_Toc20354"/>
      <w:bookmarkStart w:id="7" w:name="_Toc20875"/>
      <w:bookmarkStart w:id="8" w:name="_Toc25814"/>
      <w:bookmarkStart w:id="9" w:name="_Toc20800"/>
      <w:bookmarkStart w:id="10" w:name="_Toc4511"/>
      <w:bookmarkStart w:id="11" w:name="_Toc5799"/>
      <w:bookmarkStart w:id="12" w:name="_Toc17116"/>
      <w:bookmarkStart w:id="13" w:name="_Toc20699"/>
      <w:bookmarkStart w:id="14" w:name="_Toc106030396"/>
      <w:bookmarkStart w:id="15" w:name="_Toc19924"/>
      <w:bookmarkStart w:id="16" w:name="_Toc22772"/>
      <w:bookmarkStart w:id="17" w:name="_Toc6342"/>
      <w:bookmarkStart w:id="18" w:name="_Toc1055"/>
      <w:bookmarkStart w:id="19" w:name="_Toc267320057"/>
      <w:r>
        <w:rPr>
          <w:rFonts w:hint="eastAsia" w:ascii="宋体" w:hAnsi="宋体" w:cs="宋体"/>
          <w:b/>
          <w:bCs/>
          <w:color w:val="auto"/>
          <w:sz w:val="24"/>
          <w:szCs w:val="24"/>
        </w:rPr>
        <w:t>第二篇项目技术需求</w:t>
      </w:r>
      <w:bookmarkEnd w:id="0"/>
      <w:bookmarkEnd w:id="1"/>
      <w:bookmarkEnd w:id="2"/>
      <w:r>
        <w:rPr>
          <w:rFonts w:hint="eastAsia" w:ascii="宋体" w:hAnsi="宋体" w:cs="宋体"/>
          <w:b/>
          <w:bCs/>
          <w:color w:val="auto"/>
          <w:sz w:val="24"/>
          <w:szCs w:val="24"/>
        </w:rPr>
        <w:t>“</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Start w:id="20" w:name="_Toc13912"/>
      <w:bookmarkStart w:id="21" w:name="_Toc27190"/>
      <w:bookmarkStart w:id="22" w:name="_Toc453"/>
      <w:bookmarkStart w:id="23" w:name="_Toc27638_WPSOffice_Level2"/>
      <w:bookmarkStart w:id="24" w:name="_Toc17162_WPSOffice_Level2"/>
      <w:bookmarkStart w:id="25" w:name="_Toc18752_WPSOffice_Level2"/>
      <w:r>
        <w:rPr>
          <w:rFonts w:hint="eastAsia" w:ascii="宋体" w:hAnsi="宋体" w:cs="宋体"/>
          <w:b/>
          <w:bCs/>
          <w:color w:val="auto"/>
          <w:sz w:val="24"/>
          <w:szCs w:val="24"/>
        </w:rPr>
        <w:t>一、采购内容</w:t>
      </w:r>
      <w:bookmarkEnd w:id="20"/>
      <w:bookmarkEnd w:id="21"/>
      <w:bookmarkEnd w:id="22"/>
      <w:bookmarkEnd w:id="23"/>
      <w:bookmarkEnd w:id="24"/>
      <w:bookmarkEnd w:id="25"/>
      <w:r>
        <w:rPr>
          <w:rFonts w:hint="eastAsia" w:ascii="宋体" w:hAnsi="宋体" w:cs="宋体"/>
          <w:b/>
          <w:bCs/>
          <w:color w:val="auto"/>
          <w:sz w:val="24"/>
          <w:szCs w:val="24"/>
        </w:rPr>
        <w:t>”中“2）LED大屏及配套设备供货（e）设备清单（※项技术参数，投标人须提供制造商出具的产品技术参数彩页或技术参数报告（复印件加盖供应商鲜章）。▲条款重要技术参数，不满足将影响技术评分）”</w:t>
      </w:r>
      <w:r>
        <w:rPr>
          <w:rFonts w:ascii="宋体" w:hAnsi="宋体" w:cs="宋体"/>
          <w:b/>
          <w:bCs/>
          <w:color w:val="auto"/>
          <w:sz w:val="24"/>
          <w:szCs w:val="24"/>
        </w:rPr>
        <w:t>项下内容</w:t>
      </w:r>
      <w:r>
        <w:rPr>
          <w:rFonts w:hint="eastAsia" w:ascii="宋体" w:hAnsi="宋体" w:cs="宋体"/>
          <w:b/>
          <w:bCs/>
          <w:color w:val="auto"/>
          <w:sz w:val="24"/>
          <w:szCs w:val="24"/>
        </w:rPr>
        <w:t>做出更正，修改后的内容如下：</w:t>
      </w:r>
    </w:p>
    <w:tbl>
      <w:tblPr>
        <w:tblStyle w:val="2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13"/>
        <w:gridCol w:w="1187"/>
        <w:gridCol w:w="6804"/>
        <w:gridCol w:w="741"/>
        <w:gridCol w:w="613"/>
      </w:tblGrid>
      <w:tr w14:paraId="3A560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7D7C53F7">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序号</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0777940">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设备名称</w:t>
            </w:r>
          </w:p>
        </w:tc>
        <w:tc>
          <w:tcPr>
            <w:tcW w:w="6395" w:type="dxa"/>
            <w:tcBorders>
              <w:top w:val="single" w:color="000000" w:sz="4" w:space="0"/>
              <w:left w:val="single" w:color="000000" w:sz="4" w:space="0"/>
              <w:bottom w:val="single" w:color="000000" w:sz="4" w:space="0"/>
              <w:right w:val="single" w:color="000000" w:sz="4" w:space="0"/>
            </w:tcBorders>
            <w:noWrap/>
            <w:vAlign w:val="center"/>
          </w:tcPr>
          <w:p w14:paraId="463619E0">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技术参数及要求</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6CFC4D78">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数量</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96ED4A0">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单位</w:t>
            </w:r>
          </w:p>
        </w:tc>
      </w:tr>
      <w:tr w14:paraId="61C4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6E8A9F42">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1</w:t>
            </w:r>
          </w:p>
        </w:tc>
        <w:tc>
          <w:tcPr>
            <w:tcW w:w="1116" w:type="dxa"/>
            <w:tcBorders>
              <w:top w:val="single" w:color="000000" w:sz="4" w:space="0"/>
              <w:left w:val="single" w:color="000000" w:sz="4" w:space="0"/>
              <w:bottom w:val="single" w:color="000000" w:sz="4" w:space="0"/>
              <w:right w:val="single" w:color="000000" w:sz="4" w:space="0"/>
            </w:tcBorders>
            <w:vAlign w:val="center"/>
          </w:tcPr>
          <w:p w14:paraId="44591BAB">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LED显示屏(核心设备)</w:t>
            </w:r>
          </w:p>
        </w:tc>
        <w:tc>
          <w:tcPr>
            <w:tcW w:w="6395" w:type="dxa"/>
            <w:tcBorders>
              <w:top w:val="single" w:color="000000" w:sz="4" w:space="0"/>
              <w:left w:val="single" w:color="000000" w:sz="4" w:space="0"/>
              <w:bottom w:val="single" w:color="000000" w:sz="4" w:space="0"/>
              <w:right w:val="single" w:color="000000" w:sz="4" w:space="0"/>
            </w:tcBorders>
            <w:vAlign w:val="center"/>
          </w:tcPr>
          <w:p w14:paraId="7838DEBD">
            <w:pPr>
              <w:widowControl/>
              <w:jc w:val="left"/>
              <w:textAlignment w:val="center"/>
              <w:rPr>
                <w:rFonts w:ascii="宋体" w:hAnsi="宋体" w:cs="宋体"/>
                <w:color w:val="auto"/>
                <w:kern w:val="0"/>
                <w:sz w:val="24"/>
                <w:szCs w:val="24"/>
              </w:rPr>
            </w:pPr>
            <w:r>
              <w:rPr>
                <w:rFonts w:hint="eastAsia" w:ascii="宋体" w:hAnsi="宋体" w:cs="宋体"/>
                <w:color w:val="auto"/>
                <w:sz w:val="24"/>
                <w:szCs w:val="24"/>
              </w:rPr>
              <w:t>※</w:t>
            </w:r>
            <w:r>
              <w:rPr>
                <w:rFonts w:hint="eastAsia" w:ascii="宋体" w:hAnsi="宋体" w:cs="宋体"/>
                <w:color w:val="auto"/>
                <w:kern w:val="0"/>
                <w:sz w:val="24"/>
                <w:szCs w:val="24"/>
              </w:rPr>
              <w:t>1.像素间距≤1.57mm，像素密度≥409600点/平方，采用全倒装COB封装(即板上芯片集成封装)。</w:t>
            </w:r>
          </w:p>
          <w:p w14:paraId="4C9F0C66">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w:t>
            </w:r>
            <w:r>
              <w:rPr>
                <w:rFonts w:ascii="宋体" w:hAnsi="宋体" w:cs="宋体"/>
                <w:color w:val="auto"/>
                <w:kern w:val="0"/>
                <w:sz w:val="24"/>
                <w:szCs w:val="24"/>
              </w:rPr>
              <w:t>2</w:t>
            </w:r>
            <w:r>
              <w:rPr>
                <w:rFonts w:hint="eastAsia" w:ascii="宋体" w:hAnsi="宋体" w:cs="宋体"/>
                <w:color w:val="auto"/>
                <w:kern w:val="0"/>
                <w:sz w:val="24"/>
                <w:szCs w:val="24"/>
              </w:rPr>
              <w:t>.压铸铝合金材质，抗压抗拉，自然散热，无风扇设计，密封防尘、运行噪音≤25dB(A)，箱体拼装平整度≤0.15mm。</w:t>
            </w:r>
          </w:p>
          <w:p w14:paraId="4C7EBC66">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w:t>
            </w:r>
            <w:r>
              <w:rPr>
                <w:rFonts w:ascii="宋体" w:hAnsi="宋体" w:cs="宋体"/>
                <w:color w:val="auto"/>
                <w:kern w:val="0"/>
                <w:sz w:val="24"/>
                <w:szCs w:val="24"/>
              </w:rPr>
              <w:t>3</w:t>
            </w:r>
            <w:r>
              <w:rPr>
                <w:rFonts w:hint="eastAsia" w:ascii="宋体" w:hAnsi="宋体" w:cs="宋体"/>
                <w:color w:val="auto"/>
                <w:kern w:val="0"/>
                <w:sz w:val="24"/>
                <w:szCs w:val="24"/>
              </w:rPr>
              <w:t>.峰值功耗≤450W/㎡（全白最大亮度条件下测试）；白平衡亮度≥600cd/㎡，支持0-100%无级调节；水平视角≥170°，垂直视角≥170°；亮度均匀性≥95%（即亮度非均匀性≤5%）；色温2000K-10000K连续可调，调节步长≤100K；色温设定为6500K时，输入信号电平在100%、75%、50%、25%四档条件下实测色温偏差≤100K。</w:t>
            </w:r>
          </w:p>
          <w:p w14:paraId="54056C6C">
            <w:pPr>
              <w:widowControl/>
              <w:jc w:val="left"/>
              <w:textAlignment w:val="center"/>
              <w:rPr>
                <w:rFonts w:ascii="宋体" w:hAnsi="宋体" w:cs="宋体"/>
                <w:color w:val="auto"/>
                <w:kern w:val="0"/>
                <w:sz w:val="24"/>
                <w:szCs w:val="24"/>
              </w:rPr>
            </w:pPr>
            <w:r>
              <w:rPr>
                <w:rFonts w:ascii="宋体" w:hAnsi="宋体" w:cs="宋体"/>
                <w:color w:val="auto"/>
                <w:kern w:val="0"/>
                <w:sz w:val="24"/>
                <w:szCs w:val="24"/>
              </w:rPr>
              <w:t>4</w:t>
            </w:r>
            <w:r>
              <w:rPr>
                <w:rFonts w:hint="eastAsia" w:ascii="宋体" w:hAnsi="宋体" w:cs="宋体"/>
                <w:color w:val="auto"/>
                <w:kern w:val="0"/>
                <w:sz w:val="24"/>
                <w:szCs w:val="24"/>
              </w:rPr>
              <w:t>.显示单元配备RJ45 8P8C标准网络接口，兼容T568A和T568B线序，接点三叉簧片镀金厚度≥50μ。</w:t>
            </w:r>
          </w:p>
          <w:p w14:paraId="4E20E080">
            <w:pPr>
              <w:widowControl/>
              <w:jc w:val="left"/>
              <w:textAlignment w:val="center"/>
              <w:rPr>
                <w:rFonts w:ascii="宋体" w:hAnsi="宋体" w:cs="宋体"/>
                <w:color w:val="auto"/>
                <w:sz w:val="24"/>
                <w:szCs w:val="24"/>
              </w:rPr>
            </w:pPr>
            <w:r>
              <w:rPr>
                <w:rFonts w:ascii="宋体" w:hAnsi="宋体" w:cs="宋体"/>
                <w:color w:val="auto"/>
                <w:kern w:val="0"/>
                <w:sz w:val="24"/>
                <w:szCs w:val="24"/>
              </w:rPr>
              <w:t>5</w:t>
            </w:r>
            <w:r>
              <w:rPr>
                <w:rFonts w:hint="eastAsia" w:ascii="宋体" w:hAnsi="宋体" w:cs="宋体"/>
                <w:color w:val="auto"/>
                <w:kern w:val="0"/>
                <w:sz w:val="24"/>
                <w:szCs w:val="24"/>
              </w:rPr>
              <w:t>.换帧频率支持50Hz、60Hz、120Hz，具备3D显示功能；对比度≥8000:1；刷新频率≥3840Hz，摄像机拍摄无摩尔纹。</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17CAA32D">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≥32.8</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32BA1CE">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m²</w:t>
            </w:r>
          </w:p>
        </w:tc>
      </w:tr>
      <w:tr w14:paraId="2C8F7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1C7587D8">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2</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62DA2BA">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视频处理器</w:t>
            </w:r>
          </w:p>
        </w:tc>
        <w:tc>
          <w:tcPr>
            <w:tcW w:w="6395" w:type="dxa"/>
            <w:tcBorders>
              <w:top w:val="single" w:color="000000" w:sz="4" w:space="0"/>
              <w:left w:val="single" w:color="000000" w:sz="4" w:space="0"/>
              <w:bottom w:val="single" w:color="000000" w:sz="4" w:space="0"/>
              <w:right w:val="single" w:color="000000" w:sz="4" w:space="0"/>
            </w:tcBorders>
            <w:vAlign w:val="center"/>
          </w:tcPr>
          <w:p w14:paraId="78BF6EDC">
            <w:pPr>
              <w:widowControl/>
              <w:jc w:val="left"/>
              <w:textAlignment w:val="center"/>
              <w:rPr>
                <w:rFonts w:ascii="宋体" w:hAnsi="宋体" w:cs="宋体"/>
                <w:color w:val="auto"/>
                <w:kern w:val="0"/>
                <w:sz w:val="24"/>
                <w:szCs w:val="24"/>
              </w:rPr>
            </w:pPr>
            <w:r>
              <w:rPr>
                <w:rFonts w:hint="eastAsia" w:ascii="宋体" w:hAnsi="宋体" w:cs="宋体"/>
                <w:color w:val="auto"/>
                <w:sz w:val="24"/>
                <w:szCs w:val="24"/>
              </w:rPr>
              <w:t>※</w:t>
            </w:r>
            <w:r>
              <w:rPr>
                <w:rFonts w:hint="eastAsia" w:ascii="宋体" w:hAnsi="宋体" w:cs="宋体"/>
                <w:color w:val="auto"/>
                <w:kern w:val="0"/>
                <w:sz w:val="24"/>
                <w:szCs w:val="24"/>
              </w:rPr>
              <w:t>1.支持 4K×2K@60Hz 视频输入并向下兼容；输入通道≥9路；支持≥12个图层同时显示，并具备输出画面无级缩放及逐点亮色度校正功能。</w:t>
            </w:r>
          </w:p>
          <w:p w14:paraId="4E7C4C58">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▲2.视频处理与视频控制二合一控制服务器，网口输出数量≥24个。</w:t>
            </w:r>
          </w:p>
          <w:p w14:paraId="4CB1C6EE">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3.单台设备最大带载像素点≥1560万，最大带载宽度≥16384像素。</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54279F6">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1</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D8A11C4">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套</w:t>
            </w:r>
          </w:p>
        </w:tc>
      </w:tr>
      <w:tr w14:paraId="02097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5222F9B9">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3</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B5426C">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视频矩阵</w:t>
            </w:r>
          </w:p>
        </w:tc>
        <w:tc>
          <w:tcPr>
            <w:tcW w:w="6395" w:type="dxa"/>
            <w:tcBorders>
              <w:top w:val="single" w:color="000000" w:sz="4" w:space="0"/>
              <w:left w:val="single" w:color="000000" w:sz="4" w:space="0"/>
              <w:bottom w:val="single" w:color="000000" w:sz="4" w:space="0"/>
              <w:right w:val="single" w:color="000000" w:sz="4" w:space="0"/>
            </w:tcBorders>
            <w:vAlign w:val="center"/>
          </w:tcPr>
          <w:p w14:paraId="38F76B94">
            <w:pPr>
              <w:widowControl/>
              <w:jc w:val="left"/>
              <w:textAlignment w:val="center"/>
              <w:rPr>
                <w:rFonts w:ascii="宋体" w:hAnsi="宋体" w:cs="宋体"/>
                <w:color w:val="auto"/>
                <w:kern w:val="0"/>
                <w:sz w:val="24"/>
                <w:szCs w:val="24"/>
              </w:rPr>
            </w:pPr>
            <w:r>
              <w:rPr>
                <w:rFonts w:hint="eastAsia" w:ascii="宋体" w:hAnsi="宋体" w:cs="宋体"/>
                <w:color w:val="auto"/>
                <w:sz w:val="24"/>
                <w:szCs w:val="24"/>
              </w:rPr>
              <w:t>※</w:t>
            </w:r>
            <w:r>
              <w:rPr>
                <w:rFonts w:hint="eastAsia" w:ascii="宋体" w:hAnsi="宋体" w:cs="宋体"/>
                <w:color w:val="auto"/>
                <w:kern w:val="0"/>
                <w:sz w:val="24"/>
                <w:szCs w:val="24"/>
              </w:rPr>
              <w:t>1.视频输入板卡：单卡支持≥4通道HDMI/DVI/DP高清信号输入，其中≥2通道支持HDMI1.4；单卡分辨率支持3840×2160@30Hz；支持IP流媒体输入，单网口支持≥16路1080P或≥32路720P，兼容H.264及H.265视频压缩格式。</w:t>
            </w:r>
          </w:p>
          <w:p w14:paraId="0F25F360">
            <w:pPr>
              <w:widowControl/>
              <w:jc w:val="left"/>
              <w:textAlignment w:val="center"/>
              <w:rPr>
                <w:rFonts w:ascii="宋体" w:hAnsi="宋体" w:cs="宋体"/>
                <w:color w:val="auto"/>
                <w:kern w:val="0"/>
                <w:sz w:val="24"/>
                <w:szCs w:val="24"/>
              </w:rPr>
            </w:pPr>
            <w:r>
              <w:rPr>
                <w:rFonts w:hint="eastAsia" w:ascii="宋体" w:hAnsi="宋体" w:cs="宋体"/>
                <w:color w:val="auto"/>
                <w:sz w:val="24"/>
                <w:szCs w:val="24"/>
              </w:rPr>
              <w:t>※</w:t>
            </w:r>
            <w:r>
              <w:rPr>
                <w:rFonts w:hint="eastAsia" w:ascii="宋体" w:hAnsi="宋体" w:cs="宋体"/>
                <w:color w:val="auto"/>
                <w:kern w:val="0"/>
                <w:sz w:val="24"/>
                <w:szCs w:val="24"/>
              </w:rPr>
              <w:t>2.视频输出板卡：单卡支持≥4路DVI-I及≥4路HDMI TypeA输出；支持HDMI1.3及HDCP协议；单卡分辨率支持1920×1080@60Hz；支持音频随路输出。</w:t>
            </w:r>
          </w:p>
          <w:p w14:paraId="7BC31158">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3.通信控制：支持网络、RS232、CS客户端、BS网页等多种方式对设备进行集中控制。</w:t>
            </w:r>
          </w:p>
          <w:p w14:paraId="329E58EE">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4.图像处理：支持矩阵切换、画面拼接、画面分割、OSD字符叠加等功能。</w:t>
            </w:r>
          </w:p>
          <w:p w14:paraId="54FD5B63">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5.本次配置：输入HDMI接口≥12通道，DVI≥4通道，输出HDMI≥8通道；所有通道分辨率均支持1920*1080@60Hz。</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6CF24422">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1</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7E61B5AD">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套</w:t>
            </w:r>
          </w:p>
        </w:tc>
      </w:tr>
      <w:tr w14:paraId="4EC44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442A17A5">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4</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57BB402">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工程结构</w:t>
            </w:r>
          </w:p>
        </w:tc>
        <w:tc>
          <w:tcPr>
            <w:tcW w:w="6395" w:type="dxa"/>
            <w:tcBorders>
              <w:top w:val="single" w:color="000000" w:sz="4" w:space="0"/>
              <w:left w:val="single" w:color="000000" w:sz="4" w:space="0"/>
              <w:bottom w:val="single" w:color="000000" w:sz="4" w:space="0"/>
              <w:right w:val="single" w:color="000000" w:sz="4" w:space="0"/>
            </w:tcBorders>
            <w:noWrap/>
            <w:vAlign w:val="center"/>
          </w:tcPr>
          <w:p w14:paraId="15F53F42">
            <w:pPr>
              <w:widowControl/>
              <w:jc w:val="left"/>
              <w:textAlignment w:val="center"/>
              <w:rPr>
                <w:rFonts w:ascii="宋体" w:hAnsi="宋体" w:cs="宋体"/>
                <w:color w:val="auto"/>
                <w:sz w:val="24"/>
                <w:szCs w:val="24"/>
              </w:rPr>
            </w:pPr>
            <w:r>
              <w:rPr>
                <w:rFonts w:hint="eastAsia" w:ascii="宋体" w:hAnsi="宋体" w:cs="宋体"/>
                <w:color w:val="auto"/>
                <w:kern w:val="0"/>
                <w:sz w:val="24"/>
                <w:szCs w:val="24"/>
              </w:rPr>
              <w:t>屏体安装钢结构支撑体（含安装施工），面积≥32.8㎡。</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268DA271">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≥32.8</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7D409BCE">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m²</w:t>
            </w:r>
          </w:p>
        </w:tc>
      </w:tr>
      <w:tr w14:paraId="7086D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44912E34">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5</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CB08C0F">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包边装饰</w:t>
            </w:r>
          </w:p>
        </w:tc>
        <w:tc>
          <w:tcPr>
            <w:tcW w:w="6395" w:type="dxa"/>
            <w:tcBorders>
              <w:top w:val="single" w:color="000000" w:sz="4" w:space="0"/>
              <w:left w:val="single" w:color="000000" w:sz="4" w:space="0"/>
              <w:bottom w:val="single" w:color="000000" w:sz="4" w:space="0"/>
              <w:right w:val="single" w:color="000000" w:sz="4" w:space="0"/>
            </w:tcBorders>
            <w:noWrap/>
            <w:vAlign w:val="center"/>
          </w:tcPr>
          <w:p w14:paraId="541D562A">
            <w:pPr>
              <w:widowControl/>
              <w:jc w:val="left"/>
              <w:textAlignment w:val="center"/>
              <w:rPr>
                <w:rFonts w:ascii="宋体" w:hAnsi="宋体" w:cs="宋体"/>
                <w:color w:val="auto"/>
                <w:sz w:val="24"/>
                <w:szCs w:val="24"/>
              </w:rPr>
            </w:pPr>
            <w:r>
              <w:rPr>
                <w:rFonts w:hint="eastAsia" w:ascii="宋体" w:hAnsi="宋体" w:cs="宋体"/>
                <w:color w:val="auto"/>
                <w:kern w:val="0"/>
                <w:sz w:val="24"/>
                <w:szCs w:val="24"/>
              </w:rPr>
              <w:t>根据现场情况定制，要求材质、颜色与指挥中心现有装修协调。</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1F277763">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1</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19D92621">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套</w:t>
            </w:r>
          </w:p>
        </w:tc>
      </w:tr>
      <w:tr w14:paraId="38849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70F59FC9">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6</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113E190">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配电箱</w:t>
            </w:r>
          </w:p>
        </w:tc>
        <w:tc>
          <w:tcPr>
            <w:tcW w:w="6395" w:type="dxa"/>
            <w:tcBorders>
              <w:top w:val="single" w:color="000000" w:sz="4" w:space="0"/>
              <w:left w:val="single" w:color="000000" w:sz="4" w:space="0"/>
              <w:bottom w:val="single" w:color="000000" w:sz="4" w:space="0"/>
              <w:right w:val="single" w:color="000000" w:sz="4" w:space="0"/>
            </w:tcBorders>
            <w:vAlign w:val="center"/>
          </w:tcPr>
          <w:p w14:paraId="7CC5CCEA">
            <w:pPr>
              <w:widowControl/>
              <w:jc w:val="left"/>
              <w:textAlignment w:val="center"/>
              <w:rPr>
                <w:rFonts w:ascii="宋体" w:hAnsi="宋体" w:cs="宋体"/>
                <w:color w:val="auto"/>
                <w:kern w:val="0"/>
                <w:sz w:val="24"/>
                <w:szCs w:val="24"/>
                <w:highlight w:val="none"/>
              </w:rPr>
            </w:pP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rPr>
              <w:t>1.</w:t>
            </w:r>
            <w:r>
              <w:rPr>
                <w:rFonts w:hint="eastAsia" w:ascii="宋体" w:hAnsi="宋体" w:cs="宋体"/>
                <w:color w:val="auto"/>
                <w:kern w:val="0"/>
                <w:sz w:val="24"/>
                <w:szCs w:val="24"/>
              </w:rPr>
              <w:t>配电规格：按LED大屏峰值功率≥120%设计总空开容量；配置≥2路备用空开及≥1路检修插座；配置延时启动接触器；支持PLC自动化管理，可通过RS232/RS485及以太网接口对配电箱进行远控制。</w:t>
            </w:r>
            <w:r>
              <w:rPr>
                <w:rFonts w:hint="eastAsia" w:ascii="宋体" w:hAnsi="宋体" w:cs="宋体"/>
                <w:color w:val="auto"/>
                <w:kern w:val="0"/>
                <w:sz w:val="24"/>
                <w:szCs w:val="24"/>
                <w:highlight w:val="none"/>
              </w:rPr>
              <w:t>(供应商提交《响应承诺函》</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格式自拟，加盖供应商鲜章</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w:t>
            </w:r>
          </w:p>
          <w:p w14:paraId="087316F0">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▲2.保护及检测：具备过流、过温、短路等多重保护功能；短路动作时间≤0.09s；防雷等级≥40kA，雷击触发跳闸保护；配备热启动灭火装置。</w:t>
            </w:r>
          </w:p>
          <w:p w14:paraId="31E9A291">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3.电气规格：三相五线制供电；保护接地电阻≤4Ω；防雷接地电阻≤4Ω。</w:t>
            </w:r>
          </w:p>
          <w:p w14:paraId="200E1F2E">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4.本地显示：配电箱自带显示屏，可实时显示电压、电流、用电量、温湿度及设备运行状态。</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6E73A447">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1</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678AA5CF">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套</w:t>
            </w:r>
          </w:p>
        </w:tc>
      </w:tr>
      <w:tr w14:paraId="5C088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76" w:type="dxa"/>
            <w:tcBorders>
              <w:top w:val="single" w:color="000000" w:sz="4" w:space="0"/>
              <w:left w:val="single" w:color="000000" w:sz="4" w:space="0"/>
              <w:bottom w:val="single" w:color="000000" w:sz="4" w:space="0"/>
              <w:right w:val="single" w:color="000000" w:sz="4" w:space="0"/>
            </w:tcBorders>
            <w:noWrap/>
            <w:vAlign w:val="center"/>
          </w:tcPr>
          <w:p w14:paraId="2D20C1F3">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7</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08055E3">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其他</w:t>
            </w:r>
          </w:p>
        </w:tc>
        <w:tc>
          <w:tcPr>
            <w:tcW w:w="6395" w:type="dxa"/>
            <w:tcBorders>
              <w:top w:val="single" w:color="000000" w:sz="4" w:space="0"/>
              <w:left w:val="single" w:color="000000" w:sz="4" w:space="0"/>
              <w:bottom w:val="single" w:color="000000" w:sz="4" w:space="0"/>
              <w:right w:val="single" w:color="000000" w:sz="4" w:space="0"/>
            </w:tcBorders>
            <w:vAlign w:val="center"/>
          </w:tcPr>
          <w:p w14:paraId="51750DBC">
            <w:pPr>
              <w:widowControl/>
              <w:jc w:val="left"/>
              <w:textAlignment w:val="center"/>
              <w:rPr>
                <w:rFonts w:ascii="宋体" w:hAnsi="宋体" w:cs="宋体"/>
                <w:color w:val="auto"/>
                <w:kern w:val="0"/>
                <w:sz w:val="24"/>
                <w:szCs w:val="24"/>
              </w:rPr>
            </w:pPr>
            <w:r>
              <w:rPr>
                <w:rFonts w:hint="eastAsia" w:ascii="宋体" w:hAnsi="宋体" w:cs="宋体"/>
                <w:color w:val="auto"/>
                <w:kern w:val="0"/>
                <w:sz w:val="24"/>
                <w:szCs w:val="24"/>
              </w:rPr>
              <w:t>综合布线服务、装修恢复等</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E90D969">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1</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025A9E51">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项</w:t>
            </w:r>
          </w:p>
        </w:tc>
      </w:tr>
    </w:tbl>
    <w:p w14:paraId="205A5F99">
      <w:pPr>
        <w:spacing w:line="6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对原磋商文件第</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篇项目技术需求“二、</w:t>
      </w:r>
      <w:r>
        <w:rPr>
          <w:rFonts w:hint="eastAsia" w:ascii="宋体" w:hAnsi="宋体" w:eastAsia="宋体" w:cs="宋体"/>
          <w:b/>
          <w:bCs/>
          <w:color w:val="auto"/>
          <w:sz w:val="24"/>
          <w:szCs w:val="24"/>
          <w:lang w:val="en-US" w:eastAsia="zh-CN"/>
        </w:rPr>
        <w:t>验收要求</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中“</w:t>
      </w:r>
      <w:r>
        <w:rPr>
          <w:rFonts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val="en-US" w:eastAsia="zh-CN"/>
        </w:rPr>
        <w:t>）</w:t>
      </w:r>
      <w:r>
        <w:rPr>
          <w:rFonts w:ascii="宋体" w:hAnsi="宋体" w:eastAsia="宋体" w:cs="宋体"/>
          <w:b/>
          <w:bCs/>
          <w:color w:val="auto"/>
          <w:sz w:val="24"/>
          <w:szCs w:val="24"/>
          <w:lang w:val="en-US" w:eastAsia="zh-CN"/>
        </w:rPr>
        <w:t>到货</w:t>
      </w:r>
      <w:r>
        <w:rPr>
          <w:rFonts w:hint="eastAsia" w:ascii="宋体" w:hAnsi="宋体" w:eastAsia="宋体" w:cs="宋体"/>
          <w:b/>
          <w:bCs/>
          <w:color w:val="auto"/>
          <w:sz w:val="24"/>
          <w:szCs w:val="24"/>
          <w:lang w:val="en-US" w:eastAsia="zh-CN"/>
        </w:rPr>
        <w:t>验收”</w:t>
      </w:r>
      <w:r>
        <w:rPr>
          <w:rFonts w:ascii="宋体" w:hAnsi="宋体" w:eastAsia="宋体" w:cs="宋体"/>
          <w:b/>
          <w:bCs/>
          <w:color w:val="auto"/>
          <w:sz w:val="24"/>
          <w:szCs w:val="24"/>
          <w:lang w:val="en-US" w:eastAsia="zh-CN"/>
        </w:rPr>
        <w:t>项下内容</w:t>
      </w:r>
      <w:r>
        <w:rPr>
          <w:rFonts w:hint="eastAsia" w:ascii="宋体" w:hAnsi="宋体" w:eastAsia="宋体" w:cs="宋体"/>
          <w:b/>
          <w:bCs/>
          <w:color w:val="auto"/>
          <w:sz w:val="24"/>
          <w:szCs w:val="24"/>
        </w:rPr>
        <w:t>做出更正，修改后的内容如下：</w:t>
      </w:r>
    </w:p>
    <w:p w14:paraId="3190A243">
      <w:pPr>
        <w:pBdr>
          <w:top w:val="none" w:color="auto" w:sz="0" w:space="0"/>
          <w:left w:val="none" w:color="auto" w:sz="0" w:space="0"/>
          <w:bottom w:val="none" w:color="auto" w:sz="0" w:space="0"/>
          <w:right w:val="none" w:color="auto" w:sz="0" w:space="0"/>
        </w:pBdr>
        <w:spacing w:line="600" w:lineRule="exact"/>
        <w:ind w:left="0" w:firstLine="480" w:firstLineChars="200"/>
        <w:jc w:val="both"/>
        <w:rPr>
          <w:rFonts w:ascii="宋体" w:cs="宋体"/>
          <w:color w:val="auto"/>
          <w:sz w:val="24"/>
          <w:szCs w:val="24"/>
        </w:rPr>
      </w:pPr>
      <w:r>
        <w:rPr>
          <w:rFonts w:ascii="宋体" w:cs="宋体"/>
          <w:color w:val="auto"/>
          <w:sz w:val="24"/>
          <w:szCs w:val="24"/>
        </w:rPr>
        <w:t>（a）货物到达现场后，供应商应在采购人见证下当面开箱，双方共同清点数量、检查外观，形成开箱记录并签字确认。</w:t>
      </w:r>
    </w:p>
    <w:p w14:paraId="7BB23C93">
      <w:pPr>
        <w:pBdr>
          <w:top w:val="none" w:color="auto" w:sz="0" w:space="0"/>
          <w:left w:val="none" w:color="auto" w:sz="0" w:space="0"/>
          <w:bottom w:val="none" w:color="auto" w:sz="0" w:space="0"/>
          <w:right w:val="none" w:color="auto" w:sz="0" w:space="0"/>
        </w:pBdr>
        <w:spacing w:line="600" w:lineRule="exact"/>
        <w:ind w:left="0" w:firstLine="480" w:firstLineChars="200"/>
        <w:jc w:val="both"/>
        <w:rPr>
          <w:rFonts w:ascii="宋体" w:cs="宋体"/>
          <w:color w:val="auto"/>
          <w:sz w:val="24"/>
          <w:szCs w:val="24"/>
        </w:rPr>
      </w:pPr>
      <w:r>
        <w:rPr>
          <w:rFonts w:ascii="宋体" w:cs="宋体"/>
          <w:color w:val="auto"/>
          <w:sz w:val="24"/>
          <w:szCs w:val="24"/>
        </w:rPr>
        <w:t>（b）供应商应保证货物完好送达，如有缺漏、损坏，由供应商负责无偿调换、补齐。</w:t>
      </w:r>
    </w:p>
    <w:p w14:paraId="75B55B6F">
      <w:pPr>
        <w:pBdr>
          <w:top w:val="none" w:color="auto" w:sz="0" w:space="0"/>
          <w:left w:val="none" w:color="auto" w:sz="0" w:space="0"/>
          <w:bottom w:val="none" w:color="auto" w:sz="0" w:space="0"/>
          <w:right w:val="none" w:color="auto" w:sz="0" w:space="0"/>
        </w:pBdr>
        <w:spacing w:line="600" w:lineRule="exact"/>
        <w:ind w:left="0" w:firstLine="480" w:firstLineChars="200"/>
        <w:rPr>
          <w:rFonts w:ascii="宋体" w:cs="宋体"/>
          <w:color w:val="auto"/>
          <w:sz w:val="24"/>
          <w:szCs w:val="24"/>
        </w:rPr>
      </w:pPr>
      <w:r>
        <w:rPr>
          <w:rFonts w:ascii="宋体" w:cs="宋体"/>
          <w:color w:val="auto"/>
          <w:sz w:val="24"/>
          <w:szCs w:val="24"/>
        </w:rPr>
        <w:t>（c）货物清点完成后，采购人有权通过组建专家组、委托具有CMA或CNAS资质的第三方检测机构等方式，对供应商交付的货物开展验核。验核发现任何一项指标不满足</w:t>
      </w:r>
      <w:r>
        <w:rPr>
          <w:rFonts w:ascii="宋体" w:cs="宋体"/>
          <w:color w:val="auto"/>
          <w:sz w:val="24"/>
          <w:szCs w:val="24"/>
          <w:highlight w:val="none"/>
        </w:rPr>
        <w:t>供应商中标文件承诺的</w:t>
      </w:r>
      <w:r>
        <w:rPr>
          <w:rFonts w:ascii="宋体" w:cs="宋体"/>
          <w:color w:val="auto"/>
          <w:sz w:val="24"/>
          <w:szCs w:val="24"/>
        </w:rPr>
        <w:t>技术参数要求且经整改仍然达不到要求的，判定为到货验收不合格，供应商</w:t>
      </w:r>
      <w:r>
        <w:rPr>
          <w:rFonts w:hint="eastAsia" w:ascii="宋体" w:cs="宋体"/>
          <w:color w:val="auto"/>
          <w:sz w:val="24"/>
          <w:szCs w:val="24"/>
        </w:rPr>
        <w:t>构成根本违约</w:t>
      </w:r>
      <w:r>
        <w:rPr>
          <w:rFonts w:ascii="宋体" w:cs="宋体"/>
          <w:color w:val="auto"/>
          <w:sz w:val="24"/>
          <w:szCs w:val="24"/>
        </w:rPr>
        <w:t>并承担违约责任</w:t>
      </w:r>
      <w:bookmarkStart w:id="63" w:name="_GoBack"/>
      <w:bookmarkEnd w:id="63"/>
      <w:r>
        <w:rPr>
          <w:rFonts w:ascii="宋体" w:cs="宋体"/>
          <w:color w:val="auto"/>
          <w:sz w:val="24"/>
          <w:szCs w:val="24"/>
        </w:rPr>
        <w:t>。供应商对验核结果有异议的，可在收到验核结果书面通知后5个工作日内提出书面请求，由双方共同选定另一家具有CMA或CNAS资质的检测机构进行复检，复检结论为最终结论。</w:t>
      </w:r>
    </w:p>
    <w:p w14:paraId="57B06755">
      <w:pPr>
        <w:pBdr>
          <w:top w:val="none" w:color="auto" w:sz="0" w:space="0"/>
          <w:left w:val="none" w:color="auto" w:sz="0" w:space="0"/>
          <w:bottom w:val="none" w:color="auto" w:sz="0" w:space="0"/>
          <w:right w:val="none" w:color="auto" w:sz="0" w:space="0"/>
        </w:pBdr>
        <w:spacing w:line="600" w:lineRule="exact"/>
        <w:ind w:left="0" w:firstLine="480" w:firstLineChars="200"/>
        <w:rPr>
          <w:rFonts w:ascii="宋体" w:cs="宋体"/>
          <w:color w:val="auto"/>
          <w:sz w:val="24"/>
          <w:szCs w:val="24"/>
        </w:rPr>
      </w:pPr>
      <w:r>
        <w:rPr>
          <w:rFonts w:ascii="宋体" w:cs="宋体"/>
          <w:color w:val="auto"/>
          <w:sz w:val="24"/>
          <w:szCs w:val="24"/>
        </w:rPr>
        <w:t>（d）费用承担方式：首次验核产生的相关费用由采购人承担；因首次验核不合格导致后续需要复检、复测产生的相关费用，均由供应商承担。</w:t>
      </w:r>
    </w:p>
    <w:p w14:paraId="3739723D">
      <w:pPr>
        <w:pBdr>
          <w:top w:val="none" w:color="auto" w:sz="0" w:space="0"/>
          <w:left w:val="none" w:color="auto" w:sz="0" w:space="0"/>
          <w:bottom w:val="none" w:color="auto" w:sz="0" w:space="0"/>
          <w:right w:val="none" w:color="auto" w:sz="0" w:space="0"/>
        </w:pBdr>
        <w:spacing w:line="600" w:lineRule="exact"/>
        <w:ind w:left="0" w:firstLine="480" w:firstLineChars="200"/>
        <w:rPr>
          <w:rFonts w:ascii="宋体" w:cs="宋体"/>
          <w:color w:val="auto"/>
          <w:sz w:val="24"/>
          <w:szCs w:val="24"/>
        </w:rPr>
      </w:pPr>
      <w:r>
        <w:rPr>
          <w:rFonts w:ascii="宋体" w:cs="宋体"/>
          <w:color w:val="auto"/>
          <w:sz w:val="24"/>
          <w:szCs w:val="24"/>
        </w:rPr>
        <w:t>（e）如因货物验核影响</w:t>
      </w:r>
      <w:r>
        <w:rPr>
          <w:rFonts w:hint="eastAsia" w:ascii="宋体" w:cs="宋体"/>
          <w:color w:val="auto"/>
          <w:sz w:val="24"/>
          <w:szCs w:val="24"/>
        </w:rPr>
        <w:t>合同履行期限</w:t>
      </w:r>
      <w:r>
        <w:rPr>
          <w:rFonts w:ascii="宋体" w:cs="宋体"/>
          <w:color w:val="auto"/>
          <w:sz w:val="24"/>
          <w:szCs w:val="24"/>
        </w:rPr>
        <w:t>的，采购人应根据实际情况合理</w:t>
      </w:r>
      <w:r>
        <w:rPr>
          <w:rFonts w:hint="eastAsia" w:ascii="宋体" w:cs="宋体"/>
          <w:color w:val="auto"/>
          <w:sz w:val="24"/>
          <w:szCs w:val="24"/>
        </w:rPr>
        <w:t>顺延工期</w:t>
      </w:r>
      <w:r>
        <w:rPr>
          <w:rFonts w:ascii="宋体" w:cs="宋体"/>
          <w:color w:val="auto"/>
          <w:sz w:val="24"/>
          <w:szCs w:val="24"/>
        </w:rPr>
        <w:t>。</w:t>
      </w:r>
    </w:p>
    <w:p w14:paraId="54D0A443">
      <w:pPr>
        <w:pBdr>
          <w:top w:val="none" w:color="auto" w:sz="0" w:space="0"/>
          <w:left w:val="none" w:color="auto" w:sz="0" w:space="0"/>
          <w:bottom w:val="none" w:color="auto" w:sz="0" w:space="0"/>
          <w:right w:val="none" w:color="auto" w:sz="0" w:space="0"/>
        </w:pBdr>
        <w:spacing w:line="600" w:lineRule="exact"/>
        <w:ind w:left="0" w:firstLine="480" w:firstLineChars="200"/>
        <w:rPr>
          <w:rFonts w:hint="eastAsia" w:ascii="宋体" w:cs="宋体"/>
          <w:color w:val="auto"/>
          <w:sz w:val="24"/>
          <w:szCs w:val="24"/>
        </w:rPr>
      </w:pPr>
      <w:r>
        <w:rPr>
          <w:rFonts w:ascii="宋体" w:cs="宋体"/>
          <w:color w:val="auto"/>
          <w:sz w:val="24"/>
          <w:szCs w:val="24"/>
        </w:rPr>
        <w:t>（f）</w:t>
      </w:r>
      <w:r>
        <w:rPr>
          <w:rFonts w:hint="eastAsia" w:ascii="宋体" w:cs="宋体"/>
          <w:color w:val="auto"/>
          <w:sz w:val="24"/>
          <w:szCs w:val="24"/>
          <w:lang w:bidi="ar-SA"/>
        </w:rPr>
        <w:t>供应商应提供完备的技术资料、装箱单、合格证等文件，并派遣专业技术人员进行现场安装调试</w:t>
      </w:r>
      <w:r>
        <w:rPr>
          <w:rFonts w:hint="eastAsia" w:ascii="宋体" w:cs="宋体"/>
          <w:color w:val="auto"/>
          <w:sz w:val="24"/>
          <w:szCs w:val="24"/>
          <w:lang w:eastAsia="zh-CN" w:bidi="ar-SA"/>
        </w:rPr>
        <w:t>。</w:t>
      </w:r>
    </w:p>
    <w:p w14:paraId="3C9386A9">
      <w:pPr>
        <w:spacing w:line="6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ascii="宋体" w:hAnsi="宋体" w:eastAsia="宋体" w:cs="宋体"/>
          <w:b/>
          <w:bCs/>
          <w:color w:val="auto"/>
          <w:sz w:val="24"/>
          <w:szCs w:val="24"/>
          <w:lang w:val="en-US" w:eastAsia="zh-CN"/>
        </w:rPr>
        <w:t>对</w:t>
      </w:r>
      <w:r>
        <w:rPr>
          <w:rFonts w:hint="eastAsia" w:ascii="宋体" w:hAnsi="宋体" w:eastAsia="宋体" w:cs="宋体"/>
          <w:b/>
          <w:bCs/>
          <w:color w:val="auto"/>
          <w:sz w:val="24"/>
          <w:szCs w:val="24"/>
        </w:rPr>
        <w:t>原磋商文件第</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篇项目技术需求“</w:t>
      </w:r>
      <w:r>
        <w:rPr>
          <w:rFonts w:hint="eastAsia" w:ascii="宋体" w:hAnsi="宋体" w:eastAsia="宋体" w:cs="宋体"/>
          <w:b/>
          <w:bCs/>
          <w:color w:val="auto"/>
          <w:sz w:val="24"/>
          <w:szCs w:val="24"/>
          <w:lang w:val="en-US" w:eastAsia="zh-CN"/>
        </w:rPr>
        <w:t>※三、质量保证及售后服务”中“</w:t>
      </w:r>
      <w:r>
        <w:rPr>
          <w:rFonts w:hint="eastAsia" w:ascii="宋体" w:hAnsi="宋体" w:eastAsia="宋体" w:cs="宋体"/>
          <w:b/>
          <w:bCs/>
          <w:color w:val="auto"/>
          <w:sz w:val="24"/>
          <w:szCs w:val="24"/>
        </w:rPr>
        <w:t>2、质保期</w:t>
      </w:r>
      <w:r>
        <w:rPr>
          <w:rFonts w:hint="eastAsia" w:ascii="宋体" w:hAnsi="宋体" w:eastAsia="宋体" w:cs="宋体"/>
          <w:b/>
          <w:bCs/>
          <w:color w:val="auto"/>
          <w:sz w:val="24"/>
          <w:szCs w:val="24"/>
          <w:lang w:val="en-US" w:eastAsia="zh-CN"/>
        </w:rPr>
        <w:t>”</w:t>
      </w:r>
      <w:r>
        <w:rPr>
          <w:rFonts w:ascii="宋体" w:hAnsi="宋体" w:cs="宋体"/>
          <w:b/>
          <w:bCs/>
          <w:color w:val="auto"/>
          <w:sz w:val="24"/>
          <w:szCs w:val="24"/>
          <w:lang w:val="en-US" w:eastAsia="zh-CN"/>
        </w:rPr>
        <w:t>项下内容</w:t>
      </w:r>
      <w:r>
        <w:rPr>
          <w:rFonts w:hint="eastAsia" w:ascii="宋体" w:hAnsi="宋体" w:eastAsia="宋体" w:cs="宋体"/>
          <w:b/>
          <w:bCs/>
          <w:color w:val="auto"/>
          <w:sz w:val="24"/>
          <w:szCs w:val="24"/>
        </w:rPr>
        <w:t>做出更正，修改后的内容如下：</w:t>
      </w:r>
    </w:p>
    <w:p w14:paraId="0EC6E8E7">
      <w:pPr>
        <w:spacing w:line="600" w:lineRule="exact"/>
        <w:ind w:firstLine="480" w:firstLineChars="200"/>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t>最终验收合格之日起，所有设备整机质保期3年，质保期内，产品出现质量问题，由投标人免费进行维修更换。</w:t>
      </w:r>
    </w:p>
    <w:p w14:paraId="255ED1BE">
      <w:pPr>
        <w:spacing w:line="600" w:lineRule="exact"/>
        <w:ind w:firstLine="482" w:firstLineChars="200"/>
        <w:rPr>
          <w:rFonts w:hint="eastAsia" w:ascii="宋体" w:hAnsi="宋体" w:eastAsia="宋体" w:cs="宋体"/>
          <w:b/>
          <w:bCs/>
          <w:color w:val="auto"/>
          <w:sz w:val="24"/>
          <w:szCs w:val="24"/>
        </w:rPr>
      </w:pPr>
      <w:r>
        <w:rPr>
          <w:rFonts w:ascii="宋体" w:hAnsi="宋体" w:eastAsia="宋体" w:cs="宋体"/>
          <w:b/>
          <w:bCs/>
          <w:color w:val="auto"/>
          <w:sz w:val="24"/>
          <w:szCs w:val="24"/>
        </w:rPr>
        <w:t>四、</w:t>
      </w:r>
      <w:r>
        <w:rPr>
          <w:rFonts w:hint="eastAsia" w:ascii="宋体" w:hAnsi="宋体" w:eastAsia="宋体" w:cs="宋体"/>
          <w:b/>
          <w:bCs/>
          <w:color w:val="auto"/>
          <w:sz w:val="24"/>
          <w:szCs w:val="24"/>
        </w:rPr>
        <w:t>对原磋商文件第四篇 磋商程序及方法、评审标准、无效响应和采购终止“二、评标标准”</w:t>
      </w:r>
      <w:r>
        <w:rPr>
          <w:rFonts w:ascii="宋体" w:hAnsi="宋体" w:eastAsia="宋体" w:cs="宋体"/>
          <w:b/>
          <w:bCs/>
          <w:color w:val="auto"/>
          <w:sz w:val="24"/>
          <w:szCs w:val="24"/>
        </w:rPr>
        <w:t>项下内容</w:t>
      </w:r>
      <w:r>
        <w:rPr>
          <w:rFonts w:hint="eastAsia" w:ascii="宋体" w:hAnsi="宋体" w:eastAsia="宋体" w:cs="宋体"/>
          <w:b/>
          <w:bCs/>
          <w:color w:val="auto"/>
          <w:sz w:val="24"/>
          <w:szCs w:val="24"/>
        </w:rPr>
        <w:t>做出更正，修改后的内容如下：</w:t>
      </w:r>
    </w:p>
    <w:tbl>
      <w:tblPr>
        <w:tblStyle w:val="29"/>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478"/>
        <w:gridCol w:w="762"/>
        <w:gridCol w:w="4182"/>
        <w:gridCol w:w="2469"/>
      </w:tblGrid>
      <w:tr w14:paraId="5868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center"/>
          </w:tcPr>
          <w:p w14:paraId="5695C5BC">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1478" w:type="dxa"/>
            <w:vAlign w:val="center"/>
          </w:tcPr>
          <w:p w14:paraId="2A6B3001">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评分因素及权值</w:t>
            </w:r>
          </w:p>
        </w:tc>
        <w:tc>
          <w:tcPr>
            <w:tcW w:w="762" w:type="dxa"/>
            <w:vAlign w:val="center"/>
          </w:tcPr>
          <w:p w14:paraId="4E4F311B">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分值</w:t>
            </w:r>
          </w:p>
        </w:tc>
        <w:tc>
          <w:tcPr>
            <w:tcW w:w="4182" w:type="dxa"/>
            <w:vAlign w:val="center"/>
          </w:tcPr>
          <w:p w14:paraId="39C52F48">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评分标准</w:t>
            </w:r>
          </w:p>
        </w:tc>
        <w:tc>
          <w:tcPr>
            <w:tcW w:w="2469" w:type="dxa"/>
            <w:vAlign w:val="center"/>
          </w:tcPr>
          <w:p w14:paraId="1245860D">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说明</w:t>
            </w:r>
          </w:p>
        </w:tc>
      </w:tr>
      <w:tr w14:paraId="2FAA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center"/>
          </w:tcPr>
          <w:p w14:paraId="3DF8A1FF">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1</w:t>
            </w:r>
          </w:p>
        </w:tc>
        <w:tc>
          <w:tcPr>
            <w:tcW w:w="1478" w:type="dxa"/>
            <w:tcBorders>
              <w:top w:val="single" w:color="auto" w:sz="4" w:space="0"/>
              <w:left w:val="single" w:color="auto" w:sz="4" w:space="0"/>
              <w:right w:val="single" w:color="auto" w:sz="4" w:space="0"/>
            </w:tcBorders>
            <w:vAlign w:val="center"/>
          </w:tcPr>
          <w:p w14:paraId="0B08A36E">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磋商报价</w:t>
            </w:r>
          </w:p>
          <w:p w14:paraId="12B652FC">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（30%）</w:t>
            </w:r>
          </w:p>
        </w:tc>
        <w:tc>
          <w:tcPr>
            <w:tcW w:w="762" w:type="dxa"/>
            <w:tcBorders>
              <w:top w:val="single" w:color="auto" w:sz="4" w:space="0"/>
              <w:left w:val="single" w:color="auto" w:sz="4" w:space="0"/>
              <w:right w:val="single" w:color="auto" w:sz="4" w:space="0"/>
            </w:tcBorders>
            <w:vAlign w:val="center"/>
          </w:tcPr>
          <w:p w14:paraId="32DB0DD1">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30分</w:t>
            </w:r>
          </w:p>
        </w:tc>
        <w:tc>
          <w:tcPr>
            <w:tcW w:w="4182" w:type="dxa"/>
            <w:tcBorders>
              <w:top w:val="single" w:color="auto" w:sz="4" w:space="0"/>
              <w:left w:val="single" w:color="auto" w:sz="4" w:space="0"/>
              <w:right w:val="single" w:color="auto" w:sz="4" w:space="0"/>
            </w:tcBorders>
            <w:vAlign w:val="center"/>
          </w:tcPr>
          <w:p w14:paraId="0DC957D8">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满足资格性、符合性要求且最后报价最低的供应商的价格为磋商基准价，其价格分为满分。其他供应商的价格分统一按照下列公式计算：</w:t>
            </w:r>
          </w:p>
          <w:p w14:paraId="34FE945A">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磋商报价得分=（磋商基准价/最后磋商报价）×价格权值×100</w:t>
            </w:r>
          </w:p>
        </w:tc>
        <w:tc>
          <w:tcPr>
            <w:tcW w:w="2469" w:type="dxa"/>
            <w:vAlign w:val="center"/>
          </w:tcPr>
          <w:p w14:paraId="3361D228">
            <w:pPr>
              <w:widowControl/>
              <w:jc w:val="center"/>
              <w:textAlignment w:val="center"/>
              <w:rPr>
                <w:rFonts w:ascii="宋体" w:hAnsi="宋体" w:cs="宋体"/>
                <w:color w:val="auto"/>
                <w:kern w:val="0"/>
                <w:sz w:val="24"/>
                <w:szCs w:val="24"/>
              </w:rPr>
            </w:pPr>
          </w:p>
        </w:tc>
      </w:tr>
      <w:tr w14:paraId="15B02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restart"/>
            <w:vAlign w:val="center"/>
          </w:tcPr>
          <w:p w14:paraId="65474E43">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2</w:t>
            </w:r>
          </w:p>
        </w:tc>
        <w:tc>
          <w:tcPr>
            <w:tcW w:w="1478" w:type="dxa"/>
            <w:vMerge w:val="restart"/>
            <w:tcBorders>
              <w:top w:val="single" w:color="auto" w:sz="4" w:space="0"/>
              <w:left w:val="single" w:color="auto" w:sz="4" w:space="0"/>
              <w:right w:val="single" w:color="auto" w:sz="4" w:space="0"/>
            </w:tcBorders>
            <w:vAlign w:val="center"/>
          </w:tcPr>
          <w:p w14:paraId="47101B69">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技术部分</w:t>
            </w:r>
          </w:p>
          <w:p w14:paraId="32030A47">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（50%）</w:t>
            </w:r>
          </w:p>
        </w:tc>
        <w:tc>
          <w:tcPr>
            <w:tcW w:w="762" w:type="dxa"/>
            <w:tcBorders>
              <w:bottom w:val="single" w:color="auto" w:sz="4" w:space="0"/>
            </w:tcBorders>
            <w:vAlign w:val="center"/>
          </w:tcPr>
          <w:p w14:paraId="49D7427A">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20分</w:t>
            </w:r>
          </w:p>
        </w:tc>
        <w:tc>
          <w:tcPr>
            <w:tcW w:w="4182" w:type="dxa"/>
            <w:tcBorders>
              <w:bottom w:val="single" w:color="auto" w:sz="4" w:space="0"/>
            </w:tcBorders>
            <w:vAlign w:val="center"/>
          </w:tcPr>
          <w:p w14:paraId="033FF166">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1、项目建设方案（10分）</w:t>
            </w:r>
          </w:p>
          <w:p w14:paraId="200E2274">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供应商须针对本项目采购需求编制项目建设方案，评审维度包含项目实施思路、工作内容、实施流程、重难点分析及应对措施、资源配置等内容。</w:t>
            </w:r>
          </w:p>
          <w:p w14:paraId="2A206A62">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（1）方案内容不存在瑕疵，得10分；</w:t>
            </w:r>
          </w:p>
          <w:p w14:paraId="04C4F791">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（2）方案内容存在1处瑕疵，得8分；</w:t>
            </w:r>
          </w:p>
          <w:p w14:paraId="3B0412A1">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（3）方案内容存在2处瑕疵，得4分；</w:t>
            </w:r>
          </w:p>
          <w:p w14:paraId="1C055CCD">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（4）方案内容存在3处瑕疵，得2分。</w:t>
            </w:r>
          </w:p>
          <w:p w14:paraId="040F91E3">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（5）方案内容存在4处及以上瑕疵或未提供方案，得0分。</w:t>
            </w:r>
          </w:p>
          <w:p w14:paraId="7200B6AF">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2、售后服务保障方案（10分）</w:t>
            </w:r>
          </w:p>
          <w:p w14:paraId="17376D16">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供应商须结合本项目实际编制售后服务保障方案，方案应当包含但不限于系统对接配合方案、服务响应标准、故障修复时限、服务质量管控措施、问题处置流程等内容。</w:t>
            </w:r>
          </w:p>
          <w:p w14:paraId="0F7D1537">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（1）方案内容不存在瑕疵，得10分；</w:t>
            </w:r>
          </w:p>
          <w:p w14:paraId="7B994E20">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（2）方案内容存在1处瑕疵，得8分；</w:t>
            </w:r>
          </w:p>
          <w:p w14:paraId="6270C1D9">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（3）方案内容存在2处瑕疵，得4分；</w:t>
            </w:r>
          </w:p>
          <w:p w14:paraId="1BECF922">
            <w:pPr>
              <w:widowControl/>
              <w:jc w:val="left"/>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（4）方案内容存在3处瑕疵，得2分。</w:t>
            </w:r>
          </w:p>
          <w:p w14:paraId="4531059E">
            <w:pPr>
              <w:widowControl/>
              <w:jc w:val="center"/>
              <w:textAlignment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（5）方案内容存在4处及以上瑕疵或未提供方案，得0分。</w:t>
            </w:r>
          </w:p>
        </w:tc>
        <w:tc>
          <w:tcPr>
            <w:tcW w:w="2469" w:type="dxa"/>
            <w:tcBorders>
              <w:bottom w:val="single" w:color="auto" w:sz="4" w:space="0"/>
            </w:tcBorders>
            <w:vAlign w:val="center"/>
          </w:tcPr>
          <w:p w14:paraId="1FEE98F6">
            <w:pPr>
              <w:widowControl/>
              <w:jc w:val="left"/>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提供方案并加盖公章。（格式自定）说明：本评审标准中所称的“瑕疵”是指下列任意一种情形：</w:t>
            </w:r>
          </w:p>
          <w:p w14:paraId="4B041FDD">
            <w:pPr>
              <w:widowControl/>
              <w:jc w:val="left"/>
              <w:textAlignment w:val="center"/>
              <w:rPr>
                <w:rFonts w:ascii="宋体" w:hAnsi="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①要素欠缺、仅有标题而无实质意义叙述内容、内容表述不完整；②方案及措施存在不科学、不合理之处，或存在逻辑漏洞；③内容粗略，难以理解方案中的所表达意图，或方案内容表述前后矛盾或无连贯性；④内容空泛，无具体实施方法或内容；⑤方案不适用本项目特性、方案相关内容不利于项目目标实现；⑥方案内容中包含其他项目名称，或出现与本项目不相关的其他内容；⑦操作性不强或现有技术条件下不可能实现目标。</w:t>
            </w:r>
          </w:p>
        </w:tc>
      </w:tr>
      <w:tr w14:paraId="6A303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5" w:type="dxa"/>
            <w:vMerge w:val="continue"/>
            <w:tcBorders>
              <w:bottom w:val="single" w:color="auto" w:sz="4" w:space="0"/>
            </w:tcBorders>
            <w:vAlign w:val="center"/>
          </w:tcPr>
          <w:p w14:paraId="77413DC3">
            <w:pPr>
              <w:rPr>
                <w:color w:val="auto"/>
                <w:sz w:val="24"/>
                <w:szCs w:val="24"/>
              </w:rPr>
            </w:pPr>
          </w:p>
        </w:tc>
        <w:tc>
          <w:tcPr>
            <w:tcW w:w="1478" w:type="dxa"/>
            <w:vMerge w:val="continue"/>
            <w:tcBorders>
              <w:bottom w:val="single" w:color="auto" w:sz="4" w:space="0"/>
            </w:tcBorders>
            <w:vAlign w:val="center"/>
          </w:tcPr>
          <w:p w14:paraId="30263582">
            <w:pPr>
              <w:rPr>
                <w:color w:val="auto"/>
                <w:sz w:val="24"/>
                <w:szCs w:val="24"/>
              </w:rPr>
            </w:pPr>
          </w:p>
        </w:tc>
        <w:tc>
          <w:tcPr>
            <w:tcW w:w="762" w:type="dxa"/>
            <w:tcBorders>
              <w:bottom w:val="single" w:color="auto" w:sz="4" w:space="0"/>
            </w:tcBorders>
            <w:vAlign w:val="center"/>
          </w:tcPr>
          <w:p w14:paraId="59C6E51D">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30分</w:t>
            </w:r>
          </w:p>
        </w:tc>
        <w:tc>
          <w:tcPr>
            <w:tcW w:w="4182" w:type="dxa"/>
            <w:tcBorders>
              <w:bottom w:val="single" w:color="auto" w:sz="4" w:space="0"/>
            </w:tcBorders>
            <w:vAlign w:val="center"/>
          </w:tcPr>
          <w:p w14:paraId="76B7B0F9">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A起评分：</w:t>
            </w:r>
          </w:p>
          <w:p w14:paraId="4DF6244C">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有效供应商的起评分为30分。</w:t>
            </w:r>
          </w:p>
          <w:p w14:paraId="616167F2">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B扣分条款：</w:t>
            </w:r>
          </w:p>
          <w:p w14:paraId="6F48E4F2">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1.重要技术参数（第二篇-项目技术需求-设备清单中带▲号标注的部分）有一条不满足的，扣5分,该项最高可扣15分。</w:t>
            </w:r>
          </w:p>
          <w:p w14:paraId="3BF5FEEC">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2．一般技术参数（第二篇-项目技术需求-设备清单中不带▲项）达不到招标文件要求的，每负偏离一条从起评分中扣除1分，扣完为止。</w:t>
            </w:r>
          </w:p>
        </w:tc>
        <w:tc>
          <w:tcPr>
            <w:tcW w:w="2469" w:type="dxa"/>
            <w:tcBorders>
              <w:bottom w:val="single" w:color="auto" w:sz="4" w:space="0"/>
            </w:tcBorders>
            <w:vAlign w:val="center"/>
          </w:tcPr>
          <w:p w14:paraId="4CB20027">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注：针对项目技术需求-设备清单中带▲号标注的重要技术参数，供应商在技术偏离表应答满足或优于要求的，须提供真实佐证材料</w:t>
            </w:r>
            <w:r>
              <w:rPr>
                <w:rFonts w:hint="eastAsia" w:ascii="宋体" w:hAnsi="宋体" w:cs="宋体"/>
                <w:color w:val="auto"/>
                <w:kern w:val="0"/>
                <w:sz w:val="24"/>
                <w:szCs w:val="24"/>
                <w:highlight w:val="none"/>
              </w:rPr>
              <w:t>，否则该▲参数不予认可。</w:t>
            </w:r>
            <w:r>
              <w:rPr>
                <w:rFonts w:ascii="宋体" w:hAnsi="宋体" w:cs="宋体"/>
                <w:color w:val="auto"/>
                <w:kern w:val="0"/>
                <w:sz w:val="24"/>
                <w:szCs w:val="24"/>
                <w:highlight w:val="none"/>
              </w:rPr>
              <w:t>须通过</w:t>
            </w:r>
            <w:r>
              <w:rPr>
                <w:rFonts w:hint="eastAsia" w:ascii="宋体" w:hAnsi="宋体" w:cs="宋体"/>
                <w:color w:val="auto"/>
                <w:kern w:val="0"/>
                <w:sz w:val="24"/>
                <w:szCs w:val="24"/>
                <w:highlight w:val="none"/>
              </w:rPr>
              <w:t>具备CNAS或CMA资质</w:t>
            </w:r>
            <w:r>
              <w:rPr>
                <w:rFonts w:ascii="宋体" w:hAnsi="宋体" w:cs="宋体"/>
                <w:color w:val="auto"/>
                <w:kern w:val="0"/>
                <w:sz w:val="24"/>
                <w:szCs w:val="24"/>
                <w:highlight w:val="none"/>
              </w:rPr>
              <w:t>的</w:t>
            </w:r>
            <w:r>
              <w:rPr>
                <w:rFonts w:hint="eastAsia" w:ascii="宋体" w:hAnsi="宋体" w:cs="宋体"/>
                <w:color w:val="auto"/>
                <w:kern w:val="0"/>
                <w:sz w:val="24"/>
                <w:szCs w:val="24"/>
                <w:highlight w:val="none"/>
              </w:rPr>
              <w:t>第三方检测报告、</w:t>
            </w:r>
            <w:r>
              <w:rPr>
                <w:rFonts w:ascii="宋体" w:hAnsi="宋体" w:cs="宋体"/>
                <w:color w:val="auto"/>
                <w:kern w:val="0"/>
                <w:sz w:val="24"/>
                <w:szCs w:val="24"/>
                <w:highlight w:val="none"/>
              </w:rPr>
              <w:t>产品说明书</w:t>
            </w:r>
            <w:r>
              <w:rPr>
                <w:rFonts w:hint="eastAsia" w:ascii="宋体" w:hAnsi="宋体" w:cs="宋体"/>
                <w:color w:val="auto"/>
                <w:kern w:val="0"/>
                <w:sz w:val="24"/>
                <w:szCs w:val="24"/>
                <w:highlight w:val="none"/>
              </w:rPr>
              <w:t>、制造商宣传样册</w:t>
            </w:r>
            <w:r>
              <w:rPr>
                <w:rFonts w:ascii="宋体" w:hAnsi="宋体" w:cs="宋体"/>
                <w:color w:val="auto"/>
                <w:kern w:val="0"/>
                <w:sz w:val="24"/>
                <w:szCs w:val="24"/>
                <w:highlight w:val="none"/>
              </w:rPr>
              <w:t>、制造商</w:t>
            </w:r>
            <w:r>
              <w:rPr>
                <w:rFonts w:hint="eastAsia" w:ascii="宋体" w:hAnsi="宋体" w:cs="宋体"/>
                <w:color w:val="auto"/>
                <w:kern w:val="0"/>
                <w:sz w:val="24"/>
                <w:szCs w:val="24"/>
                <w:highlight w:val="none"/>
              </w:rPr>
              <w:t>官网截图（附网址）</w:t>
            </w:r>
            <w:r>
              <w:rPr>
                <w:rFonts w:ascii="宋体" w:hAnsi="宋体" w:cs="宋体"/>
                <w:color w:val="auto"/>
                <w:kern w:val="0"/>
                <w:sz w:val="24"/>
                <w:szCs w:val="24"/>
                <w:highlight w:val="none"/>
              </w:rPr>
              <w:t>等</w:t>
            </w:r>
            <w:r>
              <w:rPr>
                <w:rFonts w:hint="eastAsia" w:ascii="宋体" w:hAnsi="宋体" w:cs="宋体"/>
                <w:color w:val="auto"/>
                <w:kern w:val="0"/>
                <w:sz w:val="24"/>
                <w:szCs w:val="24"/>
                <w:highlight w:val="none"/>
              </w:rPr>
              <w:t>中</w:t>
            </w:r>
            <w:r>
              <w:rPr>
                <w:rFonts w:ascii="宋体" w:hAnsi="宋体" w:cs="宋体"/>
                <w:color w:val="auto"/>
                <w:kern w:val="0"/>
                <w:sz w:val="24"/>
                <w:szCs w:val="24"/>
                <w:highlight w:val="none"/>
              </w:rPr>
              <w:t>的</w:t>
            </w:r>
            <w:r>
              <w:rPr>
                <w:rFonts w:hint="eastAsia" w:ascii="宋体" w:hAnsi="宋体" w:cs="宋体"/>
                <w:color w:val="auto"/>
                <w:kern w:val="0"/>
                <w:sz w:val="24"/>
                <w:szCs w:val="24"/>
                <w:highlight w:val="none"/>
              </w:rPr>
              <w:t>一项或多项</w:t>
            </w:r>
            <w:r>
              <w:rPr>
                <w:rFonts w:ascii="宋体" w:hAnsi="宋体" w:cs="宋体"/>
                <w:color w:val="auto"/>
                <w:kern w:val="0"/>
                <w:sz w:val="24"/>
                <w:szCs w:val="24"/>
                <w:highlight w:val="none"/>
              </w:rPr>
              <w:t>进行佐证；佐证</w:t>
            </w:r>
            <w:r>
              <w:rPr>
                <w:rFonts w:hint="eastAsia" w:ascii="宋体" w:hAnsi="宋体" w:cs="宋体"/>
                <w:color w:val="auto"/>
                <w:kern w:val="0"/>
                <w:sz w:val="24"/>
                <w:szCs w:val="24"/>
                <w:highlight w:val="none"/>
              </w:rPr>
              <w:t>材料加盖供应商鲜章。</w:t>
            </w:r>
          </w:p>
        </w:tc>
      </w:tr>
      <w:tr w14:paraId="04DB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restart"/>
            <w:tcBorders>
              <w:top w:val="single" w:color="auto" w:sz="4" w:space="0"/>
              <w:left w:val="single" w:color="auto" w:sz="4" w:space="0"/>
              <w:right w:val="single" w:color="auto" w:sz="4" w:space="0"/>
            </w:tcBorders>
            <w:vAlign w:val="center"/>
          </w:tcPr>
          <w:p w14:paraId="2F95919F">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3</w:t>
            </w:r>
          </w:p>
          <w:p w14:paraId="472A56C1">
            <w:pPr>
              <w:widowControl/>
              <w:jc w:val="center"/>
              <w:textAlignment w:val="center"/>
              <w:rPr>
                <w:rFonts w:ascii="宋体" w:hAnsi="宋体" w:cs="宋体"/>
                <w:color w:val="auto"/>
                <w:kern w:val="0"/>
                <w:sz w:val="24"/>
                <w:szCs w:val="24"/>
              </w:rPr>
            </w:pPr>
          </w:p>
        </w:tc>
        <w:tc>
          <w:tcPr>
            <w:tcW w:w="1478" w:type="dxa"/>
            <w:vMerge w:val="restart"/>
            <w:tcBorders>
              <w:top w:val="single" w:color="auto" w:sz="4" w:space="0"/>
              <w:left w:val="single" w:color="auto" w:sz="4" w:space="0"/>
              <w:right w:val="single" w:color="auto" w:sz="4" w:space="0"/>
            </w:tcBorders>
            <w:vAlign w:val="center"/>
          </w:tcPr>
          <w:p w14:paraId="5F15CF2D">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商务部分</w:t>
            </w:r>
          </w:p>
          <w:p w14:paraId="0A915391">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（20%）</w:t>
            </w:r>
          </w:p>
        </w:tc>
        <w:tc>
          <w:tcPr>
            <w:tcW w:w="762" w:type="dxa"/>
            <w:tcBorders>
              <w:top w:val="single" w:color="auto" w:sz="4" w:space="0"/>
              <w:left w:val="single" w:color="auto" w:sz="4" w:space="0"/>
              <w:bottom w:val="single" w:color="auto" w:sz="4" w:space="0"/>
              <w:right w:val="single" w:color="auto" w:sz="4" w:space="0"/>
            </w:tcBorders>
            <w:vAlign w:val="center"/>
          </w:tcPr>
          <w:p w14:paraId="3FD276CC">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质保期（8分）</w:t>
            </w:r>
          </w:p>
        </w:tc>
        <w:tc>
          <w:tcPr>
            <w:tcW w:w="4182" w:type="dxa"/>
            <w:tcBorders>
              <w:top w:val="single" w:color="auto" w:sz="4" w:space="0"/>
              <w:left w:val="single" w:color="auto" w:sz="4" w:space="0"/>
              <w:bottom w:val="single" w:color="auto" w:sz="4" w:space="0"/>
              <w:right w:val="single" w:color="auto" w:sz="4" w:space="0"/>
            </w:tcBorders>
            <w:vAlign w:val="center"/>
          </w:tcPr>
          <w:p w14:paraId="029465EC">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质保期在满足招标文件要求的前提下，每增加一年得4分，最多得8分。</w:t>
            </w:r>
          </w:p>
        </w:tc>
        <w:tc>
          <w:tcPr>
            <w:tcW w:w="2469" w:type="dxa"/>
            <w:tcBorders>
              <w:top w:val="single" w:color="auto" w:sz="4" w:space="0"/>
              <w:left w:val="single" w:color="auto" w:sz="4" w:space="0"/>
              <w:bottom w:val="single" w:color="auto" w:sz="4" w:space="0"/>
              <w:right w:val="single" w:color="auto" w:sz="4" w:space="0"/>
            </w:tcBorders>
            <w:vAlign w:val="center"/>
          </w:tcPr>
          <w:p w14:paraId="4F35E139">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提供承诺函并加盖公章。</w:t>
            </w:r>
          </w:p>
        </w:tc>
      </w:tr>
      <w:tr w14:paraId="13B23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continue"/>
            <w:tcBorders>
              <w:left w:val="single" w:color="auto" w:sz="4" w:space="0"/>
              <w:right w:val="single" w:color="auto" w:sz="4" w:space="0"/>
            </w:tcBorders>
            <w:vAlign w:val="center"/>
          </w:tcPr>
          <w:p w14:paraId="592C4DED">
            <w:pPr>
              <w:rPr>
                <w:color w:val="auto"/>
                <w:sz w:val="24"/>
                <w:szCs w:val="24"/>
              </w:rPr>
            </w:pPr>
          </w:p>
        </w:tc>
        <w:tc>
          <w:tcPr>
            <w:tcW w:w="1478" w:type="dxa"/>
            <w:vMerge w:val="continue"/>
            <w:tcBorders>
              <w:left w:val="single" w:color="auto" w:sz="4" w:space="0"/>
              <w:right w:val="single" w:color="auto" w:sz="4" w:space="0"/>
            </w:tcBorders>
            <w:vAlign w:val="center"/>
          </w:tcPr>
          <w:p w14:paraId="5C3B8332">
            <w:pPr>
              <w:rPr>
                <w:color w:val="auto"/>
                <w:sz w:val="24"/>
                <w:szCs w:val="24"/>
              </w:rPr>
            </w:pPr>
          </w:p>
        </w:tc>
        <w:tc>
          <w:tcPr>
            <w:tcW w:w="762" w:type="dxa"/>
            <w:tcBorders>
              <w:top w:val="single" w:color="auto" w:sz="4" w:space="0"/>
              <w:left w:val="single" w:color="auto" w:sz="4" w:space="0"/>
              <w:bottom w:val="single" w:color="auto" w:sz="4" w:space="0"/>
              <w:right w:val="single" w:color="auto" w:sz="4" w:space="0"/>
            </w:tcBorders>
            <w:vAlign w:val="center"/>
          </w:tcPr>
          <w:p w14:paraId="302E6C14">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类似业绩（4分）</w:t>
            </w:r>
          </w:p>
        </w:tc>
        <w:tc>
          <w:tcPr>
            <w:tcW w:w="4182" w:type="dxa"/>
            <w:tcBorders>
              <w:top w:val="single" w:color="auto" w:sz="4" w:space="0"/>
              <w:left w:val="single" w:color="auto" w:sz="4" w:space="0"/>
              <w:bottom w:val="single" w:color="auto" w:sz="4" w:space="0"/>
              <w:right w:val="single" w:color="auto" w:sz="4" w:space="0"/>
            </w:tcBorders>
            <w:vAlign w:val="center"/>
          </w:tcPr>
          <w:p w14:paraId="72ED02B8">
            <w:pPr>
              <w:widowControl/>
              <w:jc w:val="left"/>
              <w:textAlignment w:val="auto"/>
              <w:rPr>
                <w:rFonts w:ascii="宋体" w:hAnsi="宋体" w:cs="宋体"/>
                <w:color w:val="auto"/>
                <w:kern w:val="0"/>
                <w:sz w:val="24"/>
                <w:szCs w:val="24"/>
              </w:rPr>
            </w:pPr>
            <w:r>
              <w:rPr>
                <w:rFonts w:hint="eastAsia" w:ascii="宋体" w:hAnsi="宋体" w:cs="宋体"/>
                <w:color w:val="auto"/>
                <w:kern w:val="0"/>
                <w:sz w:val="24"/>
                <w:szCs w:val="24"/>
              </w:rPr>
              <w:t>投标人提供2023年9月1日（含）以来与本次招标</w:t>
            </w:r>
            <w:r>
              <w:rPr>
                <w:rFonts w:ascii="宋体" w:hAnsi="宋体" w:cs="宋体"/>
                <w:color w:val="auto"/>
                <w:kern w:val="0"/>
                <w:sz w:val="24"/>
                <w:szCs w:val="24"/>
              </w:rPr>
              <w:t>类似</w:t>
            </w:r>
            <w:r>
              <w:rPr>
                <w:rFonts w:hint="eastAsia" w:ascii="宋体" w:hAnsi="宋体" w:cs="宋体"/>
                <w:color w:val="auto"/>
                <w:kern w:val="0"/>
                <w:sz w:val="24"/>
                <w:szCs w:val="24"/>
              </w:rPr>
              <w:t>LED显示屏产品供货业绩，每提供1个销售合同得2分，本项最多得4分。</w:t>
            </w:r>
          </w:p>
        </w:tc>
        <w:tc>
          <w:tcPr>
            <w:tcW w:w="2469" w:type="dxa"/>
            <w:tcBorders>
              <w:top w:val="single" w:color="auto" w:sz="4" w:space="0"/>
              <w:left w:val="single" w:color="auto" w:sz="4" w:space="0"/>
              <w:bottom w:val="single" w:color="auto" w:sz="4" w:space="0"/>
              <w:right w:val="single" w:color="auto" w:sz="4" w:space="0"/>
            </w:tcBorders>
            <w:vAlign w:val="center"/>
          </w:tcPr>
          <w:p w14:paraId="17BF15F6">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需提供合同关键页（含签订合同双方的单位名称、签订合同双方的落款盖章、签订日期的关键页）复印件。不提供不得分。</w:t>
            </w:r>
          </w:p>
        </w:tc>
      </w:tr>
      <w:tr w14:paraId="73A8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continue"/>
            <w:tcBorders>
              <w:left w:val="single" w:color="auto" w:sz="4" w:space="0"/>
              <w:right w:val="single" w:color="auto" w:sz="4" w:space="0"/>
            </w:tcBorders>
            <w:vAlign w:val="center"/>
          </w:tcPr>
          <w:p w14:paraId="58906CEF">
            <w:pPr>
              <w:rPr>
                <w:color w:val="auto"/>
                <w:sz w:val="24"/>
                <w:szCs w:val="24"/>
              </w:rPr>
            </w:pPr>
          </w:p>
        </w:tc>
        <w:tc>
          <w:tcPr>
            <w:tcW w:w="1478" w:type="dxa"/>
            <w:vMerge w:val="continue"/>
            <w:tcBorders>
              <w:left w:val="single" w:color="auto" w:sz="4" w:space="0"/>
              <w:right w:val="single" w:color="auto" w:sz="4" w:space="0"/>
            </w:tcBorders>
            <w:vAlign w:val="center"/>
          </w:tcPr>
          <w:p w14:paraId="3E6997D9">
            <w:pPr>
              <w:rPr>
                <w:color w:val="auto"/>
                <w:sz w:val="24"/>
                <w:szCs w:val="24"/>
              </w:rPr>
            </w:pPr>
          </w:p>
        </w:tc>
        <w:tc>
          <w:tcPr>
            <w:tcW w:w="762" w:type="dxa"/>
            <w:tcBorders>
              <w:top w:val="single" w:color="auto" w:sz="4" w:space="0"/>
              <w:left w:val="single" w:color="auto" w:sz="4" w:space="0"/>
              <w:bottom w:val="single" w:color="auto" w:sz="4" w:space="0"/>
              <w:right w:val="single" w:color="auto" w:sz="4" w:space="0"/>
            </w:tcBorders>
            <w:vAlign w:val="center"/>
          </w:tcPr>
          <w:p w14:paraId="06F14E41">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重点保障（4分）</w:t>
            </w:r>
          </w:p>
        </w:tc>
        <w:tc>
          <w:tcPr>
            <w:tcW w:w="4182" w:type="dxa"/>
            <w:tcBorders>
              <w:top w:val="single" w:color="auto" w:sz="4" w:space="0"/>
              <w:left w:val="single" w:color="auto" w:sz="4" w:space="0"/>
              <w:bottom w:val="single" w:color="auto" w:sz="4" w:space="0"/>
              <w:right w:val="single" w:color="auto" w:sz="4" w:space="0"/>
            </w:tcBorders>
            <w:vAlign w:val="center"/>
          </w:tcPr>
          <w:p w14:paraId="6C54D6E2">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质保期内，投标人承诺根据采购人需求，在重大活动、重要工作期间提供至少1名专业人员的免费现场保障服务（包含但不限于设备调试、检查和技术支撑）。供应商承诺每月至少提供1次现场系统、设备检测巡检服务。 满足得4分，否则不得分。</w:t>
            </w:r>
          </w:p>
        </w:tc>
        <w:tc>
          <w:tcPr>
            <w:tcW w:w="2469" w:type="dxa"/>
            <w:tcBorders>
              <w:top w:val="single" w:color="auto" w:sz="4" w:space="0"/>
              <w:left w:val="single" w:color="auto" w:sz="4" w:space="0"/>
              <w:bottom w:val="single" w:color="auto" w:sz="4" w:space="0"/>
              <w:right w:val="single" w:color="auto" w:sz="4" w:space="0"/>
            </w:tcBorders>
            <w:vAlign w:val="center"/>
          </w:tcPr>
          <w:p w14:paraId="25312F2A">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提供承诺函并加盖公章。</w:t>
            </w:r>
          </w:p>
        </w:tc>
      </w:tr>
      <w:tr w14:paraId="64F8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Merge w:val="continue"/>
            <w:tcBorders>
              <w:left w:val="single" w:color="auto" w:sz="4" w:space="0"/>
              <w:right w:val="single" w:color="auto" w:sz="4" w:space="0"/>
            </w:tcBorders>
            <w:vAlign w:val="center"/>
          </w:tcPr>
          <w:p w14:paraId="3C99C981">
            <w:pPr>
              <w:rPr>
                <w:color w:val="auto"/>
                <w:sz w:val="24"/>
                <w:szCs w:val="24"/>
              </w:rPr>
            </w:pPr>
          </w:p>
        </w:tc>
        <w:tc>
          <w:tcPr>
            <w:tcW w:w="1478" w:type="dxa"/>
            <w:vMerge w:val="continue"/>
            <w:tcBorders>
              <w:left w:val="single" w:color="auto" w:sz="4" w:space="0"/>
              <w:right w:val="single" w:color="auto" w:sz="4" w:space="0"/>
            </w:tcBorders>
            <w:vAlign w:val="center"/>
          </w:tcPr>
          <w:p w14:paraId="3AEF9BE8">
            <w:pPr>
              <w:rPr>
                <w:color w:val="auto"/>
                <w:sz w:val="24"/>
                <w:szCs w:val="24"/>
              </w:rPr>
            </w:pPr>
          </w:p>
        </w:tc>
        <w:tc>
          <w:tcPr>
            <w:tcW w:w="762" w:type="dxa"/>
            <w:tcBorders>
              <w:top w:val="single" w:color="auto" w:sz="4" w:space="0"/>
              <w:left w:val="single" w:color="auto" w:sz="4" w:space="0"/>
              <w:bottom w:val="single" w:color="auto" w:sz="4" w:space="0"/>
              <w:right w:val="single" w:color="auto" w:sz="4" w:space="0"/>
            </w:tcBorders>
            <w:vAlign w:val="center"/>
          </w:tcPr>
          <w:p w14:paraId="4395EB15">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应急保障（4分）</w:t>
            </w:r>
          </w:p>
        </w:tc>
        <w:tc>
          <w:tcPr>
            <w:tcW w:w="4182" w:type="dxa"/>
            <w:tcBorders>
              <w:top w:val="single" w:color="auto" w:sz="4" w:space="0"/>
              <w:left w:val="single" w:color="auto" w:sz="4" w:space="0"/>
              <w:bottom w:val="single" w:color="auto" w:sz="4" w:space="0"/>
              <w:right w:val="single" w:color="auto" w:sz="4" w:space="0"/>
            </w:tcBorders>
            <w:vAlign w:val="center"/>
          </w:tcPr>
          <w:p w14:paraId="2F3B1785">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质保期内，现场发生意外情况，供应商接到采购人应急处理需求，一小时内能抵达现场进行应急处理的（包含但不限于设备抢修、调试和技术支撑）。满足得4分，否则不得分。</w:t>
            </w:r>
          </w:p>
        </w:tc>
        <w:tc>
          <w:tcPr>
            <w:tcW w:w="2469" w:type="dxa"/>
            <w:tcBorders>
              <w:top w:val="single" w:color="auto" w:sz="4" w:space="0"/>
              <w:left w:val="single" w:color="auto" w:sz="4" w:space="0"/>
              <w:bottom w:val="single" w:color="auto" w:sz="4" w:space="0"/>
              <w:right w:val="single" w:color="auto" w:sz="4" w:space="0"/>
            </w:tcBorders>
            <w:vAlign w:val="center"/>
          </w:tcPr>
          <w:p w14:paraId="2AD2801B">
            <w:pPr>
              <w:widowControl/>
              <w:jc w:val="center"/>
              <w:textAlignment w:val="center"/>
              <w:rPr>
                <w:rFonts w:ascii="宋体" w:hAnsi="宋体" w:cs="宋体"/>
                <w:color w:val="auto"/>
                <w:kern w:val="0"/>
                <w:sz w:val="24"/>
                <w:szCs w:val="24"/>
              </w:rPr>
            </w:pPr>
            <w:r>
              <w:rPr>
                <w:rFonts w:hint="eastAsia" w:ascii="宋体" w:hAnsi="宋体" w:cs="宋体"/>
                <w:color w:val="auto"/>
                <w:kern w:val="0"/>
                <w:sz w:val="24"/>
                <w:szCs w:val="24"/>
              </w:rPr>
              <w:t>提供承诺函并加盖公章。</w:t>
            </w:r>
          </w:p>
        </w:tc>
      </w:tr>
    </w:tbl>
    <w:p w14:paraId="36FB44C4">
      <w:pPr>
        <w:widowControl/>
        <w:adjustRightInd w:val="0"/>
        <w:snapToGrid w:val="0"/>
        <w:ind w:firstLine="482"/>
        <w:textAlignment w:val="center"/>
        <w:rPr>
          <w:rFonts w:ascii="宋体" w:hAnsi="宋体" w:cs="宋体"/>
          <w:b/>
          <w:bCs/>
          <w:color w:val="auto"/>
          <w:sz w:val="24"/>
          <w:szCs w:val="24"/>
        </w:rPr>
      </w:pPr>
      <w:r>
        <w:rPr>
          <w:rFonts w:hint="eastAsia" w:ascii="宋体" w:hAnsi="宋体" w:cs="宋体"/>
          <w:b/>
          <w:bCs/>
          <w:color w:val="auto"/>
          <w:sz w:val="24"/>
          <w:szCs w:val="24"/>
        </w:rPr>
        <w:t>五、对</w:t>
      </w:r>
      <w:r>
        <w:rPr>
          <w:rFonts w:hint="eastAsia" w:ascii="宋体" w:hAnsi="宋体" w:eastAsia="宋体" w:cs="宋体"/>
          <w:b/>
          <w:bCs/>
          <w:color w:val="auto"/>
          <w:sz w:val="24"/>
          <w:szCs w:val="24"/>
        </w:rPr>
        <w:t>原磋商文件第</w:t>
      </w:r>
      <w:r>
        <w:rPr>
          <w:rFonts w:ascii="宋体" w:hAnsi="宋体" w:eastAsia="宋体" w:cs="宋体"/>
          <w:b/>
          <w:bCs/>
          <w:color w:val="auto"/>
          <w:sz w:val="24"/>
          <w:szCs w:val="24"/>
        </w:rPr>
        <w:t>六</w:t>
      </w:r>
      <w:r>
        <w:rPr>
          <w:rFonts w:hint="eastAsia" w:ascii="宋体" w:hAnsi="宋体" w:eastAsia="宋体" w:cs="宋体"/>
          <w:b/>
          <w:bCs/>
          <w:color w:val="auto"/>
          <w:sz w:val="24"/>
          <w:szCs w:val="24"/>
        </w:rPr>
        <w:t>篇</w:t>
      </w:r>
      <w:r>
        <w:rPr>
          <w:rFonts w:ascii="宋体" w:hAnsi="宋体" w:eastAsia="宋体" w:cs="宋体"/>
          <w:b/>
          <w:bCs/>
          <w:color w:val="auto"/>
          <w:sz w:val="24"/>
          <w:szCs w:val="24"/>
        </w:rPr>
        <w:t>采购合同</w:t>
      </w:r>
      <w:r>
        <w:rPr>
          <w:rFonts w:hint="eastAsia" w:ascii="宋体" w:hAnsi="宋体" w:cs="宋体"/>
          <w:b/>
          <w:bCs/>
          <w:color w:val="auto"/>
          <w:sz w:val="24"/>
          <w:szCs w:val="24"/>
        </w:rPr>
        <w:t>做出更正，修改后的内容如下：</w:t>
      </w:r>
    </w:p>
    <w:p w14:paraId="70EF9652">
      <w:pPr>
        <w:widowControl/>
        <w:adjustRightInd w:val="0"/>
        <w:snapToGrid w:val="0"/>
        <w:ind w:firstLine="482"/>
        <w:textAlignment w:val="center"/>
        <w:rPr>
          <w:rFonts w:hint="eastAsia" w:ascii="宋体" w:cs="宋体"/>
          <w:color w:val="auto"/>
          <w:sz w:val="24"/>
          <w:szCs w:val="24"/>
        </w:rPr>
      </w:pPr>
      <w:bookmarkStart w:id="26" w:name="_Hlt41879464"/>
      <w:bookmarkEnd w:id="26"/>
      <w:r>
        <w:rPr>
          <w:rFonts w:hint="eastAsia" w:ascii="宋体" w:cs="宋体"/>
          <w:color w:val="auto"/>
          <w:sz w:val="24"/>
          <w:szCs w:val="24"/>
        </w:rPr>
        <w:t>甲方：</w:t>
      </w:r>
      <w:r>
        <w:rPr>
          <w:rFonts w:hint="eastAsia" w:ascii="宋体" w:cs="宋体"/>
          <w:color w:val="auto"/>
          <w:sz w:val="24"/>
          <w:szCs w:val="24"/>
          <w:u w:val="single"/>
          <w:lang w:bidi="ar-SA"/>
        </w:rPr>
        <w:t xml:space="preserve">                     </w:t>
      </w:r>
      <w:r>
        <w:rPr>
          <w:rFonts w:hint="eastAsia" w:ascii="宋体" w:cs="宋体"/>
          <w:color w:val="auto"/>
          <w:sz w:val="24"/>
          <w:szCs w:val="24"/>
        </w:rPr>
        <w:t>（以下简称“甲方”）</w:t>
      </w:r>
    </w:p>
    <w:p w14:paraId="62D3F8FE">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乙方：</w:t>
      </w:r>
      <w:r>
        <w:rPr>
          <w:rFonts w:hint="eastAsia" w:ascii="宋体" w:cs="宋体"/>
          <w:color w:val="auto"/>
          <w:sz w:val="24"/>
          <w:szCs w:val="24"/>
          <w:u w:val="single"/>
        </w:rPr>
        <w:t xml:space="preserve">                     </w:t>
      </w:r>
      <w:r>
        <w:rPr>
          <w:rFonts w:hint="eastAsia" w:ascii="宋体" w:cs="宋体"/>
          <w:color w:val="auto"/>
          <w:sz w:val="24"/>
          <w:szCs w:val="24"/>
        </w:rPr>
        <w:t>（以下简称“乙方”）</w:t>
      </w:r>
    </w:p>
    <w:p w14:paraId="7015D704">
      <w:pPr>
        <w:widowControl/>
        <w:adjustRightInd w:val="0"/>
        <w:snapToGrid w:val="0"/>
        <w:ind w:firstLine="482"/>
        <w:textAlignment w:val="center"/>
        <w:rPr>
          <w:rFonts w:hint="eastAsia" w:ascii="宋体" w:cs="宋体"/>
          <w:color w:val="auto"/>
          <w:sz w:val="24"/>
          <w:szCs w:val="24"/>
        </w:rPr>
      </w:pPr>
    </w:p>
    <w:p w14:paraId="7B8D3560">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27" w:name="_Toc3555"/>
      <w:bookmarkStart w:id="28" w:name="_Toc27281"/>
      <w:bookmarkStart w:id="29" w:name="_Toc4831"/>
      <w:r>
        <w:rPr>
          <w:rFonts w:hint="eastAsia" w:ascii="宋体" w:cs="宋体"/>
          <w:color w:val="auto"/>
          <w:sz w:val="24"/>
          <w:szCs w:val="24"/>
          <w:lang w:bidi="ar-SA"/>
        </w:rPr>
        <w:t>一、合同目的</w:t>
      </w:r>
      <w:bookmarkEnd w:id="27"/>
      <w:bookmarkEnd w:id="28"/>
      <w:bookmarkEnd w:id="29"/>
    </w:p>
    <w:p w14:paraId="4AC96A98">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根据《中华人民共和国民法典》及有关法律法规规定，甲、乙双方协商一致，就乙方承担甲方“重庆海关监控指挥中心大屏改造项目”项目建设相关事宜，订立本合同如下：</w:t>
      </w:r>
    </w:p>
    <w:p w14:paraId="0BC07FD2">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30" w:name="_Toc29768"/>
      <w:bookmarkStart w:id="31" w:name="_Toc13654"/>
      <w:bookmarkStart w:id="32" w:name="_Toc24237"/>
      <w:r>
        <w:rPr>
          <w:rFonts w:hint="eastAsia" w:ascii="宋体" w:cs="宋体"/>
          <w:color w:val="auto"/>
          <w:sz w:val="24"/>
          <w:szCs w:val="24"/>
          <w:lang w:bidi="ar-SA"/>
        </w:rPr>
        <w:t>二、合同内容</w:t>
      </w:r>
      <w:bookmarkEnd w:id="30"/>
      <w:bookmarkEnd w:id="31"/>
      <w:bookmarkEnd w:id="32"/>
    </w:p>
    <w:p w14:paraId="242F98D3">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乙方根据甲方委托完成“重庆海关监控指挥中心大屏改造项目”建设，</w:t>
      </w:r>
      <w:bookmarkStart w:id="33" w:name="_Toc21791"/>
      <w:bookmarkStart w:id="34" w:name="_Toc246"/>
      <w:r>
        <w:rPr>
          <w:rFonts w:hint="eastAsia" w:ascii="宋体" w:cs="宋体"/>
          <w:color w:val="auto"/>
          <w:sz w:val="24"/>
          <w:szCs w:val="24"/>
        </w:rPr>
        <w:t>建设内容涵盖旧设备拆除、全新LED大屏系统供货安装、墙体装修恢复、综合布线实施、系统集成调试及配套工程，涉及多专业交叉作业，须严格遵守重庆海关安全、保密及施工现场管理相关规定。具体采购内容包括但不限于：</w:t>
      </w:r>
    </w:p>
    <w:p w14:paraId="081615A7">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lang w:val="en-US" w:eastAsia="zh-CN"/>
        </w:rPr>
        <w:t>1）</w:t>
      </w:r>
      <w:r>
        <w:rPr>
          <w:rFonts w:hint="eastAsia" w:ascii="宋体" w:cs="宋体"/>
          <w:color w:val="auto"/>
          <w:sz w:val="24"/>
          <w:szCs w:val="24"/>
        </w:rPr>
        <w:t>原有系统设备的拆除、清理及出渣</w:t>
      </w:r>
    </w:p>
    <w:p w14:paraId="24FAEA43">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（a）设备拆除：拆除现有DLP显示屏、拼接控制器、矩阵及其配套拼接支架、底座。对拆除后的DLP显示屏、拼接控制器、矩阵等设备实施专业化拆卸、打包及防震防尘保护，依照</w:t>
      </w:r>
      <w:r>
        <w:rPr>
          <w:rFonts w:ascii="宋体" w:cs="宋体"/>
          <w:color w:val="auto"/>
          <w:sz w:val="24"/>
          <w:szCs w:val="24"/>
        </w:rPr>
        <w:t>甲方</w:t>
      </w:r>
      <w:r>
        <w:rPr>
          <w:rFonts w:hint="eastAsia" w:ascii="宋体" w:cs="宋体"/>
          <w:color w:val="auto"/>
          <w:sz w:val="24"/>
          <w:szCs w:val="24"/>
        </w:rPr>
        <w:t>要求运送至重庆市主城区指定地点存放，确保设备完好无损。</w:t>
      </w:r>
    </w:p>
    <w:p w14:paraId="01F12952">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（b）线路及附属设施拆除：拆除监控指挥中心坐席区域内老旧、损坏及本次大屏改造后不再适用的信号线缆、电源线缆及控制线缆，清理原有钢架固定点及残留物。</w:t>
      </w:r>
    </w:p>
    <w:p w14:paraId="31F718FB">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（c）现场清理及出渣：清除拆除作业区域内所有建筑垃圾及废弃物，开展全面除尘、去污确保安装基层平整干净，负责将全部建筑垃圾及废弃物料清运至渣场</w:t>
      </w:r>
      <w:r>
        <w:rPr>
          <w:rFonts w:ascii="宋体" w:cs="宋体"/>
          <w:color w:val="auto"/>
          <w:sz w:val="24"/>
          <w:szCs w:val="24"/>
        </w:rPr>
        <w:t>（需自行联系确定渣场）</w:t>
      </w:r>
      <w:r>
        <w:rPr>
          <w:rFonts w:hint="eastAsia" w:ascii="宋体" w:cs="宋体"/>
          <w:color w:val="auto"/>
          <w:sz w:val="24"/>
          <w:szCs w:val="24"/>
        </w:rPr>
        <w:t>。</w:t>
      </w:r>
    </w:p>
    <w:p w14:paraId="456D3B51">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（d）定制临时密封式防尘围挡，将大屏施工区域与指挥中心其他区域进行隔离，围挡底部及施工相关区域贴地、接缝密封，防止灰尘扩散。</w:t>
      </w:r>
    </w:p>
    <w:p w14:paraId="08E8D385">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2）LED大屏及配套设备供货</w:t>
      </w:r>
    </w:p>
    <w:p w14:paraId="189F4AFD">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（a）LED显示系统：提供全新室内高清COB封端的小间距LED显示屏单元（含灯板、驱动板）、压铸铝箱体（含散热结构），满足高分辨率、高刷新率及宽色域显示。</w:t>
      </w:r>
    </w:p>
    <w:p w14:paraId="79C0FF1B">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（b）支撑结构：提供定制化高强度钢结构框架（含前维护支架或液压支架），钢架构需进行防锈处理，承重能力需满足技术规范。</w:t>
      </w:r>
    </w:p>
    <w:p w14:paraId="48A98DDC">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（c）控制集成设备：提供多画面视频处理器、发送卡/接收卡、综合播控管理软件及视频矩阵。</w:t>
      </w:r>
    </w:p>
    <w:p w14:paraId="0B3A2A9F">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（d）配电系统：提供LED屏配电箱、PLC控制板及阻燃级信号、电源线缆。</w:t>
      </w:r>
    </w:p>
    <w:p w14:paraId="132C83D6">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（e）设备清单</w:t>
      </w:r>
    </w:p>
    <w:tbl>
      <w:tblPr>
        <w:tblStyle w:val="2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02"/>
        <w:gridCol w:w="1189"/>
        <w:gridCol w:w="6133"/>
        <w:gridCol w:w="987"/>
        <w:gridCol w:w="851"/>
      </w:tblGrid>
      <w:tr w14:paraId="7C2DB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8703CA1">
            <w:pPr>
              <w:widowControl/>
              <w:adjustRightInd w:val="0"/>
              <w:snapToGrid w:val="0"/>
              <w:ind w:left="0"/>
              <w:textAlignment w:val="center"/>
              <w:rPr>
                <w:rFonts w:hint="eastAsia" w:ascii="宋体" w:cs="宋体"/>
                <w:color w:val="auto"/>
                <w:sz w:val="24"/>
                <w:szCs w:val="24"/>
                <w:lang w:bidi="ar-SA"/>
              </w:rPr>
            </w:pPr>
            <w:r>
              <w:rPr>
                <w:rFonts w:ascii="宋体" w:cs="宋体"/>
                <w:color w:val="auto"/>
                <w:sz w:val="24"/>
                <w:szCs w:val="24"/>
                <w:lang w:bidi="ar-SA"/>
              </w:rPr>
              <w:t>序号</w:t>
            </w:r>
          </w:p>
        </w:tc>
        <w:tc>
          <w:tcPr>
            <w:tcW w:w="118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812A132">
            <w:pPr>
              <w:widowControl/>
              <w:adjustRightInd w:val="0"/>
              <w:snapToGrid w:val="0"/>
              <w:ind w:left="0"/>
              <w:textAlignment w:val="center"/>
              <w:rPr>
                <w:rFonts w:hint="eastAsia" w:ascii="宋体" w:cs="宋体"/>
                <w:color w:val="auto"/>
                <w:sz w:val="24"/>
                <w:szCs w:val="24"/>
                <w:lang w:bidi="ar-SA"/>
              </w:rPr>
            </w:pPr>
            <w:r>
              <w:rPr>
                <w:rFonts w:hint="eastAsia" w:ascii="宋体" w:cs="宋体"/>
                <w:color w:val="auto"/>
                <w:sz w:val="24"/>
                <w:szCs w:val="24"/>
                <w:lang w:bidi="ar-SA"/>
              </w:rPr>
              <w:t>设备名称</w:t>
            </w:r>
          </w:p>
        </w:tc>
        <w:tc>
          <w:tcPr>
            <w:tcW w:w="613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C78C094">
            <w:pPr>
              <w:widowControl/>
              <w:adjustRightInd w:val="0"/>
              <w:snapToGrid w:val="0"/>
              <w:ind w:firstLine="482"/>
              <w:jc w:val="center"/>
              <w:textAlignment w:val="center"/>
              <w:rPr>
                <w:rFonts w:hint="eastAsia" w:ascii="宋体" w:cs="宋体"/>
                <w:color w:val="auto"/>
                <w:sz w:val="24"/>
                <w:szCs w:val="24"/>
                <w:lang w:bidi="ar-SA"/>
              </w:rPr>
            </w:pPr>
            <w:r>
              <w:rPr>
                <w:rFonts w:hint="eastAsia" w:ascii="宋体" w:cs="宋体"/>
                <w:color w:val="auto"/>
                <w:sz w:val="24"/>
                <w:szCs w:val="24"/>
                <w:lang w:bidi="ar-SA"/>
              </w:rPr>
              <w:t>技术参数及要求</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DE9ED35">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数量</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7270C7A">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单位</w:t>
            </w:r>
          </w:p>
        </w:tc>
      </w:tr>
      <w:tr w14:paraId="72E62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D4C622E">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1189" w:type="dxa"/>
            <w:tcBorders>
              <w:top w:val="single" w:color="000000" w:sz="4" w:space="0"/>
              <w:left w:val="single" w:color="000000" w:sz="4" w:space="0"/>
              <w:bottom w:val="single" w:color="000000" w:sz="4" w:space="0"/>
              <w:right w:val="single" w:color="000000" w:sz="4" w:space="0"/>
              <w:tl2br w:val="nil"/>
              <w:tr2bl w:val="nil"/>
            </w:tcBorders>
            <w:vAlign w:val="center"/>
          </w:tcPr>
          <w:p w14:paraId="121A18E2">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LED显示屏(核心设备)</w:t>
            </w:r>
          </w:p>
        </w:tc>
        <w:tc>
          <w:tcPr>
            <w:tcW w:w="6133" w:type="dxa"/>
            <w:tcBorders>
              <w:top w:val="single" w:color="000000" w:sz="4" w:space="0"/>
              <w:left w:val="single" w:color="000000" w:sz="4" w:space="0"/>
              <w:bottom w:val="single" w:color="000000" w:sz="4" w:space="0"/>
              <w:right w:val="single" w:color="000000" w:sz="4" w:space="0"/>
              <w:tl2br w:val="nil"/>
              <w:tr2bl w:val="nil"/>
            </w:tcBorders>
            <w:vAlign w:val="center"/>
          </w:tcPr>
          <w:p w14:paraId="1851CBE3">
            <w:pPr>
              <w:widowControl/>
              <w:adjustRightInd w:val="0"/>
              <w:snapToGrid w:val="0"/>
              <w:ind w:firstLine="482"/>
              <w:textAlignment w:val="center"/>
              <w:rPr>
                <w:rFonts w:hint="eastAsia" w:ascii="宋体" w:cs="宋体"/>
                <w:color w:val="auto"/>
                <w:sz w:val="24"/>
                <w:szCs w:val="24"/>
                <w:lang w:eastAsia="zh-CN" w:bidi="ar-SA"/>
              </w:rPr>
            </w:pPr>
            <w:r>
              <w:rPr>
                <w:rFonts w:hint="eastAsia" w:ascii="宋体" w:cs="宋体"/>
                <w:color w:val="auto"/>
                <w:sz w:val="24"/>
                <w:szCs w:val="24"/>
                <w:lang w:bidi="ar-SA"/>
              </w:rPr>
              <w:t>※1.像素间距≤1.57mm</w:t>
            </w:r>
            <w:r>
              <w:rPr>
                <w:rFonts w:hint="eastAsia" w:ascii="宋体" w:cs="宋体"/>
                <w:color w:val="auto"/>
                <w:sz w:val="24"/>
                <w:szCs w:val="24"/>
                <w:lang w:eastAsia="zh-CN" w:bidi="ar-SA"/>
              </w:rPr>
              <w:t>，</w:t>
            </w:r>
            <w:r>
              <w:rPr>
                <w:rFonts w:hint="eastAsia" w:ascii="宋体" w:cs="宋体"/>
                <w:color w:val="auto"/>
                <w:sz w:val="24"/>
                <w:szCs w:val="24"/>
                <w:lang w:bidi="ar-SA"/>
              </w:rPr>
              <w:t>像素密度≥409600点/平方，采用全倒装COB封装(即板上芯片集成封装)</w:t>
            </w:r>
            <w:r>
              <w:rPr>
                <w:rFonts w:hint="eastAsia" w:ascii="宋体" w:cs="宋体"/>
                <w:color w:val="auto"/>
                <w:sz w:val="24"/>
                <w:szCs w:val="24"/>
                <w:lang w:eastAsia="zh-CN" w:bidi="ar-SA"/>
              </w:rPr>
              <w:t>。</w:t>
            </w:r>
          </w:p>
          <w:p w14:paraId="71382B50">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w:t>
            </w:r>
            <w:r>
              <w:rPr>
                <w:rFonts w:ascii="宋体" w:cs="宋体"/>
                <w:color w:val="auto"/>
                <w:sz w:val="24"/>
                <w:szCs w:val="24"/>
                <w:lang w:val="en-US" w:eastAsia="zh-CN" w:bidi="ar-SA"/>
              </w:rPr>
              <w:t>2</w:t>
            </w:r>
            <w:r>
              <w:rPr>
                <w:rFonts w:hint="eastAsia" w:ascii="宋体" w:cs="宋体"/>
                <w:color w:val="auto"/>
                <w:sz w:val="24"/>
                <w:szCs w:val="24"/>
                <w:lang w:bidi="ar-SA"/>
              </w:rPr>
              <w:t>.压铸铝合金材质，抗压抗拉，自然散热，无风扇设计，</w:t>
            </w:r>
            <w:r>
              <w:rPr>
                <w:rFonts w:hint="eastAsia" w:ascii="宋体" w:cs="宋体"/>
                <w:color w:val="auto"/>
                <w:sz w:val="24"/>
                <w:szCs w:val="24"/>
                <w:lang w:val="en-US" w:eastAsia="zh-CN" w:bidi="ar-SA"/>
              </w:rPr>
              <w:t>密封</w:t>
            </w:r>
            <w:r>
              <w:rPr>
                <w:rFonts w:hint="eastAsia" w:ascii="宋体" w:cs="宋体"/>
                <w:color w:val="auto"/>
                <w:sz w:val="24"/>
                <w:szCs w:val="24"/>
                <w:lang w:bidi="ar-SA"/>
              </w:rPr>
              <w:t>防尘、运行噪音≤25dB(A)，箱体拼装平整度≤0.15mm。</w:t>
            </w:r>
          </w:p>
          <w:p w14:paraId="5FDB5B7B">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w:t>
            </w:r>
            <w:r>
              <w:rPr>
                <w:rFonts w:ascii="宋体" w:cs="宋体"/>
                <w:color w:val="auto"/>
                <w:sz w:val="24"/>
                <w:szCs w:val="24"/>
                <w:lang w:val="en-US" w:eastAsia="zh-CN" w:bidi="ar-SA"/>
              </w:rPr>
              <w:t>3</w:t>
            </w:r>
            <w:r>
              <w:rPr>
                <w:rFonts w:hint="eastAsia" w:ascii="宋体" w:cs="宋体"/>
                <w:color w:val="auto"/>
                <w:sz w:val="24"/>
                <w:szCs w:val="24"/>
                <w:lang w:bidi="ar-SA"/>
              </w:rPr>
              <w:t>.峰值功耗≤450W/㎡（全白最大亮度条件下测试）；白平衡亮度≥600cd/㎡，支持0-100%无级调节；水平视角≥170°，垂直视角≥170°；亮度均匀性≥95%（即亮度非均匀性≤5%）；色温2000K-10000K连续可调，调节步长≤100K；色温设定为6500K时，输入信号电平在100%、75%、50%、25%四档条件下实测色温偏差≤100K。</w:t>
            </w:r>
          </w:p>
          <w:p w14:paraId="7C0BEC1C">
            <w:pPr>
              <w:widowControl/>
              <w:adjustRightInd w:val="0"/>
              <w:snapToGrid w:val="0"/>
              <w:ind w:firstLine="482"/>
              <w:textAlignment w:val="center"/>
              <w:rPr>
                <w:rFonts w:hint="eastAsia" w:ascii="宋体" w:cs="宋体"/>
                <w:color w:val="auto"/>
                <w:sz w:val="24"/>
                <w:szCs w:val="24"/>
                <w:lang w:bidi="ar-SA"/>
              </w:rPr>
            </w:pPr>
            <w:r>
              <w:rPr>
                <w:rFonts w:ascii="宋体" w:cs="宋体"/>
                <w:color w:val="auto"/>
                <w:sz w:val="24"/>
                <w:szCs w:val="24"/>
                <w:lang w:val="en-US" w:eastAsia="zh-CN" w:bidi="ar-SA"/>
              </w:rPr>
              <w:t>4</w:t>
            </w:r>
            <w:r>
              <w:rPr>
                <w:rFonts w:hint="eastAsia" w:ascii="宋体" w:cs="宋体"/>
                <w:color w:val="auto"/>
                <w:sz w:val="24"/>
                <w:szCs w:val="24"/>
                <w:lang w:bidi="ar-SA"/>
              </w:rPr>
              <w:t>.显示单元配备RJ45 8P8C标准网络接口，兼容T568A和T568B线序，接点三叉簧片镀金厚度≥50μ</w:t>
            </w:r>
            <w:r>
              <w:rPr>
                <w:rFonts w:hint="eastAsia" w:ascii="宋体" w:cs="宋体"/>
                <w:color w:val="auto"/>
                <w:sz w:val="24"/>
                <w:szCs w:val="24"/>
                <w:lang w:eastAsia="zh-CN" w:bidi="ar-SA"/>
              </w:rPr>
              <w:t>。</w:t>
            </w:r>
          </w:p>
          <w:p w14:paraId="241B38EC">
            <w:pPr>
              <w:widowControl/>
              <w:adjustRightInd w:val="0"/>
              <w:snapToGrid w:val="0"/>
              <w:ind w:firstLine="482"/>
              <w:textAlignment w:val="center"/>
              <w:rPr>
                <w:rFonts w:hint="eastAsia" w:ascii="宋体" w:cs="宋体"/>
                <w:color w:val="auto"/>
                <w:sz w:val="24"/>
                <w:szCs w:val="24"/>
                <w:lang w:bidi="ar-SA"/>
              </w:rPr>
            </w:pPr>
            <w:r>
              <w:rPr>
                <w:rFonts w:ascii="宋体" w:cs="宋体"/>
                <w:color w:val="auto"/>
                <w:sz w:val="24"/>
                <w:szCs w:val="24"/>
                <w:lang w:val="en-US" w:eastAsia="zh-CN" w:bidi="ar-SA"/>
              </w:rPr>
              <w:t>5</w:t>
            </w:r>
            <w:r>
              <w:rPr>
                <w:rFonts w:hint="eastAsia" w:ascii="宋体" w:cs="宋体"/>
                <w:color w:val="auto"/>
                <w:sz w:val="24"/>
                <w:szCs w:val="24"/>
                <w:lang w:bidi="ar-SA"/>
              </w:rPr>
              <w:t>.换帧频率支持50Hz、60Hz、120Hz，具备3D显示功能；对比度≥8000:1；刷新频率≥3840Hz，摄像机拍摄无摩尔纹。</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C6CFAFD">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≥32.8</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1D1F9CC">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m²</w:t>
            </w:r>
          </w:p>
        </w:tc>
      </w:tr>
      <w:tr w14:paraId="57696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82DCFAE">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2</w:t>
            </w:r>
          </w:p>
        </w:tc>
        <w:tc>
          <w:tcPr>
            <w:tcW w:w="118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0D82CCC">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视频处理器</w:t>
            </w:r>
          </w:p>
        </w:tc>
        <w:tc>
          <w:tcPr>
            <w:tcW w:w="6133" w:type="dxa"/>
            <w:tcBorders>
              <w:top w:val="single" w:color="000000" w:sz="4" w:space="0"/>
              <w:left w:val="single" w:color="000000" w:sz="4" w:space="0"/>
              <w:bottom w:val="single" w:color="000000" w:sz="4" w:space="0"/>
              <w:right w:val="single" w:color="000000" w:sz="4" w:space="0"/>
              <w:tl2br w:val="nil"/>
              <w:tr2bl w:val="nil"/>
            </w:tcBorders>
            <w:vAlign w:val="center"/>
          </w:tcPr>
          <w:p w14:paraId="514890C8">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※1.支持 4K×2K@60Hz 视频输入并向下兼容</w:t>
            </w:r>
            <w:r>
              <w:rPr>
                <w:rFonts w:hint="eastAsia" w:ascii="宋体" w:cs="宋体"/>
                <w:color w:val="auto"/>
                <w:sz w:val="24"/>
                <w:szCs w:val="24"/>
                <w:lang w:eastAsia="zh-CN" w:bidi="ar-SA"/>
              </w:rPr>
              <w:t>；</w:t>
            </w:r>
            <w:r>
              <w:rPr>
                <w:rFonts w:hint="eastAsia" w:ascii="宋体" w:cs="宋体"/>
                <w:color w:val="auto"/>
                <w:sz w:val="24"/>
                <w:szCs w:val="24"/>
                <w:lang w:bidi="ar-SA"/>
              </w:rPr>
              <w:t>输入通道≥9路；支持≥12个图层同时显示，</w:t>
            </w:r>
            <w:r>
              <w:rPr>
                <w:rFonts w:hint="eastAsia" w:ascii="宋体" w:cs="宋体"/>
                <w:color w:val="auto"/>
                <w:sz w:val="24"/>
                <w:szCs w:val="24"/>
                <w:lang w:val="en-US" w:eastAsia="zh-CN" w:bidi="ar-SA"/>
              </w:rPr>
              <w:t>并</w:t>
            </w:r>
            <w:r>
              <w:rPr>
                <w:rFonts w:hint="eastAsia" w:ascii="宋体" w:cs="宋体"/>
                <w:color w:val="auto"/>
                <w:sz w:val="24"/>
                <w:szCs w:val="24"/>
                <w:lang w:bidi="ar-SA"/>
              </w:rPr>
              <w:t>具备输出画面无级缩放及逐点亮色度校正功能。</w:t>
            </w:r>
          </w:p>
          <w:p w14:paraId="3A2CE8D1">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▲2.视频处理与视频控制二合一控制服务器，网口输出数量≥24个。</w:t>
            </w:r>
          </w:p>
          <w:p w14:paraId="39AD1BB3">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3.单台设备最大带载像素点≥1560万，最大带载宽度≥16384像素。</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64CC3CE">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57BA335">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套</w:t>
            </w:r>
          </w:p>
        </w:tc>
      </w:tr>
      <w:tr w14:paraId="0D853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6D0ABB8">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3</w:t>
            </w:r>
          </w:p>
        </w:tc>
        <w:tc>
          <w:tcPr>
            <w:tcW w:w="118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637FFA0">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视频矩阵</w:t>
            </w:r>
          </w:p>
        </w:tc>
        <w:tc>
          <w:tcPr>
            <w:tcW w:w="6133" w:type="dxa"/>
            <w:tcBorders>
              <w:top w:val="single" w:color="000000" w:sz="4" w:space="0"/>
              <w:left w:val="single" w:color="000000" w:sz="4" w:space="0"/>
              <w:bottom w:val="single" w:color="000000" w:sz="4" w:space="0"/>
              <w:right w:val="single" w:color="000000" w:sz="4" w:space="0"/>
              <w:tl2br w:val="nil"/>
              <w:tr2bl w:val="nil"/>
            </w:tcBorders>
            <w:vAlign w:val="center"/>
          </w:tcPr>
          <w:p w14:paraId="11377F98">
            <w:pPr>
              <w:widowControl/>
              <w:adjustRightInd w:val="0"/>
              <w:snapToGrid w:val="0"/>
              <w:ind w:firstLine="482"/>
              <w:textAlignment w:val="center"/>
              <w:rPr>
                <w:rFonts w:hint="eastAsia" w:ascii="宋体" w:cs="宋体"/>
                <w:color w:val="auto"/>
                <w:sz w:val="24"/>
                <w:szCs w:val="24"/>
                <w:lang w:eastAsia="zh-CN" w:bidi="ar-SA"/>
              </w:rPr>
            </w:pPr>
            <w:r>
              <w:rPr>
                <w:rFonts w:hint="eastAsia" w:ascii="宋体" w:cs="宋体"/>
                <w:color w:val="auto"/>
                <w:sz w:val="24"/>
                <w:szCs w:val="24"/>
                <w:lang w:bidi="ar-SA"/>
              </w:rPr>
              <w:t>※1.配电规格：按LED大屏峰值功率≥120%设计总空开容量；配置≥2路备用空开及≥1路检修插座；配置延时启动接触器；支持PLC自动化管理，可通过RS232/RS485及以太网接口对配电箱进行远控制。</w:t>
            </w:r>
            <w:r>
              <w:rPr>
                <w:rFonts w:hint="eastAsia" w:ascii="宋体" w:hAnsi="宋体" w:cs="宋体"/>
                <w:color w:val="auto"/>
                <w:sz w:val="24"/>
                <w:szCs w:val="24"/>
              </w:rPr>
              <w:t>(供应商提交《响应承诺函》</w:t>
            </w:r>
            <w:r>
              <w:rPr>
                <w:rFonts w:ascii="宋体" w:hAnsi="宋体" w:cs="宋体"/>
                <w:color w:val="auto"/>
                <w:sz w:val="24"/>
                <w:szCs w:val="24"/>
              </w:rPr>
              <w:t>，</w:t>
            </w:r>
            <w:r>
              <w:rPr>
                <w:rFonts w:hint="eastAsia" w:ascii="宋体" w:hAnsi="宋体" w:cs="宋体"/>
                <w:color w:val="auto"/>
                <w:sz w:val="24"/>
                <w:szCs w:val="24"/>
              </w:rPr>
              <w:t>格式自拟，加盖供应商鲜章</w:t>
            </w:r>
            <w:r>
              <w:rPr>
                <w:rFonts w:ascii="宋体" w:hAnsi="宋体" w:cs="宋体"/>
                <w:color w:val="auto"/>
                <w:sz w:val="24"/>
                <w:szCs w:val="24"/>
              </w:rPr>
              <w:t>。</w:t>
            </w:r>
            <w:r>
              <w:rPr>
                <w:rFonts w:hint="eastAsia" w:ascii="宋体" w:hAnsi="宋体" w:cs="宋体"/>
                <w:color w:val="auto"/>
                <w:sz w:val="24"/>
                <w:szCs w:val="24"/>
              </w:rPr>
              <w:t>）</w:t>
            </w:r>
          </w:p>
          <w:p w14:paraId="7FEC5755">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3.通信控制：支持网络、RS232、CS客户端、BS网页等多种方式对设备进行</w:t>
            </w:r>
            <w:r>
              <w:rPr>
                <w:rFonts w:hint="eastAsia" w:ascii="宋体" w:cs="宋体"/>
                <w:color w:val="auto"/>
                <w:sz w:val="24"/>
                <w:szCs w:val="24"/>
                <w:lang w:val="en-US" w:eastAsia="zh-CN" w:bidi="ar-SA"/>
              </w:rPr>
              <w:t>集中</w:t>
            </w:r>
            <w:r>
              <w:rPr>
                <w:rFonts w:hint="eastAsia" w:ascii="宋体" w:cs="宋体"/>
                <w:color w:val="auto"/>
                <w:sz w:val="24"/>
                <w:szCs w:val="24"/>
                <w:lang w:bidi="ar-SA"/>
              </w:rPr>
              <w:t>控制。</w:t>
            </w:r>
          </w:p>
          <w:p w14:paraId="0F926A69">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4.图像处理：支持矩阵切换、画面拼接、画面分割、OSD字符叠加等功能。</w:t>
            </w:r>
          </w:p>
          <w:p w14:paraId="36059863">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5.本次配置</w:t>
            </w:r>
            <w:r>
              <w:rPr>
                <w:rFonts w:hint="eastAsia" w:ascii="宋体" w:cs="宋体"/>
                <w:color w:val="auto"/>
                <w:sz w:val="24"/>
                <w:szCs w:val="24"/>
                <w:lang w:eastAsia="zh-CN" w:bidi="ar-SA"/>
              </w:rPr>
              <w:t>：</w:t>
            </w:r>
            <w:r>
              <w:rPr>
                <w:rFonts w:hint="eastAsia" w:ascii="宋体" w:cs="宋体"/>
                <w:color w:val="auto"/>
                <w:sz w:val="24"/>
                <w:szCs w:val="24"/>
                <w:lang w:bidi="ar-SA"/>
              </w:rPr>
              <w:t>输入HDMI接口≥12通道，DVI≥4通道，输出HDMI≥8通道；所有通道</w:t>
            </w:r>
            <w:r>
              <w:rPr>
                <w:rFonts w:hint="eastAsia" w:ascii="宋体" w:cs="宋体"/>
                <w:color w:val="auto"/>
                <w:sz w:val="24"/>
                <w:szCs w:val="24"/>
                <w:lang w:val="en-US" w:eastAsia="zh-CN" w:bidi="ar-SA"/>
              </w:rPr>
              <w:t>分辨率均支持</w:t>
            </w:r>
            <w:r>
              <w:rPr>
                <w:rFonts w:hint="eastAsia" w:ascii="宋体" w:cs="宋体"/>
                <w:color w:val="auto"/>
                <w:sz w:val="24"/>
                <w:szCs w:val="24"/>
                <w:lang w:bidi="ar-SA"/>
              </w:rPr>
              <w:t>1920*1080@60Hz。</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1CD0D92">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6E543D2">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套</w:t>
            </w:r>
          </w:p>
        </w:tc>
      </w:tr>
      <w:tr w14:paraId="2F809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0EF87AE">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4</w:t>
            </w:r>
          </w:p>
        </w:tc>
        <w:tc>
          <w:tcPr>
            <w:tcW w:w="118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A8DE364">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工程结构</w:t>
            </w:r>
          </w:p>
        </w:tc>
        <w:tc>
          <w:tcPr>
            <w:tcW w:w="613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DFA0A19">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屏体安装钢结构支撑体（含安装施工），面积≥32.8㎡。</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8489566">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≥32.8</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934C2DE">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m²</w:t>
            </w:r>
          </w:p>
        </w:tc>
      </w:tr>
      <w:tr w14:paraId="37682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81605B2">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5</w:t>
            </w:r>
          </w:p>
        </w:tc>
        <w:tc>
          <w:tcPr>
            <w:tcW w:w="118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44F8B40">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包边装饰</w:t>
            </w:r>
          </w:p>
        </w:tc>
        <w:tc>
          <w:tcPr>
            <w:tcW w:w="6133"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96EF34">
            <w:pPr>
              <w:widowControl/>
              <w:adjustRightInd w:val="0"/>
              <w:snapToGrid w:val="0"/>
              <w:ind w:firstLine="482"/>
              <w:textAlignment w:val="center"/>
              <w:rPr>
                <w:rFonts w:hint="eastAsia" w:ascii="宋体" w:cs="宋体"/>
                <w:color w:val="auto"/>
                <w:sz w:val="24"/>
                <w:szCs w:val="24"/>
                <w:lang w:eastAsia="zh-CN" w:bidi="ar-SA"/>
              </w:rPr>
            </w:pPr>
            <w:r>
              <w:rPr>
                <w:rFonts w:hint="eastAsia" w:ascii="宋体" w:cs="宋体"/>
                <w:color w:val="auto"/>
                <w:sz w:val="24"/>
                <w:szCs w:val="24"/>
                <w:lang w:bidi="ar-SA"/>
              </w:rPr>
              <w:t>根据现场情况定制</w:t>
            </w:r>
            <w:r>
              <w:rPr>
                <w:rFonts w:hint="eastAsia" w:ascii="宋体" w:cs="宋体"/>
                <w:color w:val="auto"/>
                <w:sz w:val="24"/>
                <w:szCs w:val="24"/>
                <w:lang w:eastAsia="zh-CN" w:bidi="ar-SA"/>
              </w:rPr>
              <w:t>，</w:t>
            </w:r>
            <w:r>
              <w:rPr>
                <w:rFonts w:hint="eastAsia" w:ascii="宋体" w:cs="宋体"/>
                <w:color w:val="auto"/>
                <w:sz w:val="24"/>
                <w:szCs w:val="24"/>
                <w:lang w:val="en-US" w:eastAsia="zh-CN" w:bidi="ar-SA"/>
              </w:rPr>
              <w:t>要求</w:t>
            </w:r>
            <w:r>
              <w:rPr>
                <w:rFonts w:hint="eastAsia" w:ascii="宋体" w:cs="宋体"/>
                <w:color w:val="auto"/>
                <w:sz w:val="24"/>
                <w:szCs w:val="24"/>
                <w:lang w:bidi="ar-SA"/>
              </w:rPr>
              <w:t>材质、颜色与指挥中心现有装修协调</w:t>
            </w:r>
            <w:r>
              <w:rPr>
                <w:rFonts w:hint="eastAsia" w:ascii="宋体" w:cs="宋体"/>
                <w:color w:val="auto"/>
                <w:sz w:val="24"/>
                <w:szCs w:val="24"/>
                <w:lang w:eastAsia="zh-CN" w:bidi="ar-SA"/>
              </w:rPr>
              <w:t>。</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7A65BCA">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725A813">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套</w:t>
            </w:r>
          </w:p>
        </w:tc>
      </w:tr>
      <w:tr w14:paraId="67494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1DBCAB0">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6</w:t>
            </w:r>
          </w:p>
        </w:tc>
        <w:tc>
          <w:tcPr>
            <w:tcW w:w="118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04DE984">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配电箱</w:t>
            </w:r>
          </w:p>
        </w:tc>
        <w:tc>
          <w:tcPr>
            <w:tcW w:w="6133" w:type="dxa"/>
            <w:tcBorders>
              <w:top w:val="single" w:color="000000" w:sz="4" w:space="0"/>
              <w:left w:val="single" w:color="000000" w:sz="4" w:space="0"/>
              <w:bottom w:val="single" w:color="000000" w:sz="4" w:space="0"/>
              <w:right w:val="single" w:color="000000" w:sz="4" w:space="0"/>
              <w:tl2br w:val="nil"/>
              <w:tr2bl w:val="nil"/>
            </w:tcBorders>
            <w:vAlign w:val="center"/>
          </w:tcPr>
          <w:p w14:paraId="168848D9">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※1.配电规格：按LED大屏峰值功率≥120%设计总空开容量；配置≥2路备用空开及≥1路检修插座；配置延时启动接触器；支持PLC自动化管理，可通过RS232/RS485及以太网接口对配电箱进行远控制。</w:t>
            </w:r>
          </w:p>
          <w:p w14:paraId="58ED96CE">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▲2.保护及检测：具备过流、过温、短路等多重保护功能；短路动作时间≤0.09s；防雷等级≥40kA，雷击触发跳闸保护；配备热启动灭火装置。</w:t>
            </w:r>
          </w:p>
          <w:p w14:paraId="35E0C064">
            <w:pPr>
              <w:widowControl/>
              <w:adjustRightInd w:val="0"/>
              <w:snapToGrid w:val="0"/>
              <w:ind w:firstLine="482"/>
              <w:textAlignment w:val="center"/>
              <w:rPr>
                <w:rFonts w:hint="eastAsia" w:ascii="宋体" w:cs="宋体"/>
                <w:color w:val="auto"/>
                <w:sz w:val="24"/>
                <w:szCs w:val="24"/>
                <w:lang w:eastAsia="zh-CN" w:bidi="ar-SA"/>
              </w:rPr>
            </w:pPr>
            <w:r>
              <w:rPr>
                <w:rFonts w:hint="eastAsia" w:ascii="宋体" w:cs="宋体"/>
                <w:color w:val="auto"/>
                <w:sz w:val="24"/>
                <w:szCs w:val="24"/>
                <w:lang w:bidi="ar-SA"/>
              </w:rPr>
              <w:t>3.电气规格：三相五线制供电；保护接地电阻≤4Ω；防雷接地电阻≤4Ω</w:t>
            </w:r>
            <w:r>
              <w:rPr>
                <w:rFonts w:hint="eastAsia" w:ascii="宋体" w:cs="宋体"/>
                <w:color w:val="auto"/>
                <w:sz w:val="24"/>
                <w:szCs w:val="24"/>
                <w:lang w:eastAsia="zh-CN" w:bidi="ar-SA"/>
              </w:rPr>
              <w:t>。</w:t>
            </w:r>
          </w:p>
          <w:p w14:paraId="3E07092C">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4.本地显示：配电箱自带显示屏，可实时显示电压、电流、用电量、温湿度及设备运行状态。</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DF5AC04">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AFB75F8">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套</w:t>
            </w:r>
          </w:p>
        </w:tc>
      </w:tr>
      <w:tr w14:paraId="617C0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FEA47BA">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7</w:t>
            </w:r>
          </w:p>
        </w:tc>
        <w:tc>
          <w:tcPr>
            <w:tcW w:w="118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BB15506">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其他</w:t>
            </w:r>
          </w:p>
        </w:tc>
        <w:tc>
          <w:tcPr>
            <w:tcW w:w="6133" w:type="dxa"/>
            <w:tcBorders>
              <w:top w:val="single" w:color="000000" w:sz="4" w:space="0"/>
              <w:left w:val="single" w:color="000000" w:sz="4" w:space="0"/>
              <w:bottom w:val="single" w:color="000000" w:sz="4" w:space="0"/>
              <w:right w:val="single" w:color="000000" w:sz="4" w:space="0"/>
              <w:tl2br w:val="nil"/>
              <w:tr2bl w:val="nil"/>
            </w:tcBorders>
            <w:vAlign w:val="center"/>
          </w:tcPr>
          <w:p w14:paraId="46F7C297">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综合布线服务、装修恢复等</w:t>
            </w:r>
          </w:p>
        </w:tc>
        <w:tc>
          <w:tcPr>
            <w:tcW w:w="987"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08B39BA">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85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5F19580">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项</w:t>
            </w:r>
          </w:p>
        </w:tc>
      </w:tr>
    </w:tbl>
    <w:p w14:paraId="72E15098">
      <w:pPr>
        <w:widowControl/>
        <w:adjustRightInd w:val="0"/>
        <w:snapToGrid w:val="0"/>
        <w:spacing w:line="240" w:lineRule="auto"/>
        <w:ind w:firstLine="482"/>
        <w:textAlignment w:val="center"/>
        <w:rPr>
          <w:rFonts w:ascii="宋体" w:cs="宋体"/>
          <w:color w:val="auto"/>
          <w:sz w:val="24"/>
          <w:szCs w:val="24"/>
        </w:rPr>
      </w:pPr>
      <w:r>
        <w:rPr>
          <w:rFonts w:ascii="宋体" w:cs="宋体"/>
          <w:color w:val="auto"/>
          <w:sz w:val="24"/>
          <w:szCs w:val="24"/>
        </w:rPr>
        <w:t>3</w:t>
      </w:r>
      <w:r>
        <w:rPr>
          <w:rFonts w:hint="eastAsia" w:ascii="宋体" w:cs="宋体"/>
          <w:color w:val="auto"/>
          <w:sz w:val="24"/>
          <w:szCs w:val="24"/>
        </w:rPr>
        <w:t>）综合布线实施</w:t>
      </w:r>
    </w:p>
    <w:p w14:paraId="418213A7">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a）线路布设：监控指挥中心坐席区域内老旧、损坏及本次大屏改造后不再适用的相关线缆清除后，室内需重新布设HDMI高清视频线缆15路、六类屏蔽数据网线17路。所有新建线缆均通过桥架部署，桥架安装严格按GB50168-2018《电器装置安装工程电缆线路施工及验收规范》及GB50303-2015《建筑电器工程施工质量验收规范》标准执行。所有线缆两端粘贴永久性标识标签，点位编号规整统一、便于后期运维检修；施工完毕后逐一对网线、HDMI 线等线缆开展通断、阻抗、信号传输专项检测，确保视频、网络各类信号运行稳定可靠。</w:t>
      </w:r>
    </w:p>
    <w:p w14:paraId="4764BCEB">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（b）综合布线清单</w:t>
      </w:r>
    </w:p>
    <w:tbl>
      <w:tblPr>
        <w:tblStyle w:val="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0"/>
        <w:gridCol w:w="1482"/>
        <w:gridCol w:w="5949"/>
        <w:gridCol w:w="831"/>
        <w:gridCol w:w="864"/>
      </w:tblGrid>
      <w:tr w14:paraId="5F3B2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70" w:type="dxa"/>
            <w:tcBorders>
              <w:top w:val="single" w:color="000000" w:sz="4" w:space="0"/>
              <w:left w:val="single" w:color="000000" w:sz="4" w:space="0"/>
              <w:bottom w:val="single" w:color="000000" w:sz="4" w:space="0"/>
              <w:right w:val="single" w:color="000000" w:sz="4" w:space="0"/>
              <w:tl2br w:val="nil"/>
              <w:tr2bl w:val="nil"/>
            </w:tcBorders>
            <w:vAlign w:val="center"/>
          </w:tcPr>
          <w:p w14:paraId="125C60B3">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序号</w:t>
            </w:r>
          </w:p>
        </w:tc>
        <w:tc>
          <w:tcPr>
            <w:tcW w:w="1375" w:type="dxa"/>
            <w:tcBorders>
              <w:top w:val="single" w:color="000000" w:sz="4" w:space="0"/>
              <w:left w:val="single" w:color="000000" w:sz="4" w:space="0"/>
              <w:bottom w:val="single" w:color="000000" w:sz="4" w:space="0"/>
              <w:right w:val="single" w:color="000000" w:sz="4" w:space="0"/>
              <w:tl2br w:val="nil"/>
              <w:tr2bl w:val="nil"/>
            </w:tcBorders>
            <w:vAlign w:val="center"/>
          </w:tcPr>
          <w:p w14:paraId="1495E0E1">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材料名称</w:t>
            </w:r>
          </w:p>
        </w:tc>
        <w:tc>
          <w:tcPr>
            <w:tcW w:w="551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9AF53AA">
            <w:pPr>
              <w:widowControl/>
              <w:adjustRightInd w:val="0"/>
              <w:snapToGrid w:val="0"/>
              <w:ind w:firstLine="482"/>
              <w:jc w:val="center"/>
              <w:textAlignment w:val="center"/>
              <w:rPr>
                <w:rFonts w:hint="eastAsia" w:ascii="宋体" w:cs="宋体"/>
                <w:color w:val="auto"/>
                <w:sz w:val="24"/>
                <w:szCs w:val="24"/>
                <w:lang w:bidi="ar-SA"/>
              </w:rPr>
            </w:pPr>
            <w:r>
              <w:rPr>
                <w:rFonts w:hint="eastAsia" w:ascii="宋体" w:cs="宋体"/>
                <w:color w:val="auto"/>
                <w:sz w:val="24"/>
                <w:szCs w:val="24"/>
                <w:lang w:bidi="ar-SA"/>
              </w:rPr>
              <w:t>主要规格</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2711371">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数量</w:t>
            </w:r>
          </w:p>
        </w:tc>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C7A321E">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单位</w:t>
            </w:r>
          </w:p>
        </w:tc>
      </w:tr>
      <w:tr w14:paraId="12073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0" w:type="dxa"/>
            <w:tcBorders>
              <w:top w:val="single" w:color="000000" w:sz="4" w:space="0"/>
              <w:left w:val="single" w:color="000000" w:sz="4" w:space="0"/>
              <w:bottom w:val="single" w:color="000000" w:sz="4" w:space="0"/>
              <w:right w:val="single" w:color="000000" w:sz="4" w:space="0"/>
              <w:tl2br w:val="nil"/>
              <w:tr2bl w:val="nil"/>
            </w:tcBorders>
            <w:vAlign w:val="center"/>
          </w:tcPr>
          <w:p w14:paraId="511412FF">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1375" w:type="dxa"/>
            <w:tcBorders>
              <w:top w:val="single" w:color="000000" w:sz="4" w:space="0"/>
              <w:left w:val="single" w:color="000000" w:sz="4" w:space="0"/>
              <w:bottom w:val="single" w:color="000000" w:sz="4" w:space="0"/>
              <w:right w:val="single" w:color="000000" w:sz="4" w:space="0"/>
              <w:tl2br w:val="nil"/>
              <w:tr2bl w:val="nil"/>
            </w:tcBorders>
            <w:vAlign w:val="center"/>
          </w:tcPr>
          <w:p w14:paraId="5E09EA80">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光纤HDMI线缆</w:t>
            </w:r>
          </w:p>
        </w:tc>
        <w:tc>
          <w:tcPr>
            <w:tcW w:w="551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51DDFC2">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 xml:space="preserve">光纤式HDMI线，长度20m，阻燃外被，支持4K高清传输 </w:t>
            </w:r>
          </w:p>
        </w:tc>
        <w:tc>
          <w:tcPr>
            <w:tcW w:w="771" w:type="dxa"/>
            <w:tcBorders>
              <w:top w:val="single" w:color="000000" w:sz="4" w:space="0"/>
              <w:left w:val="single" w:color="000000" w:sz="4" w:space="0"/>
              <w:bottom w:val="single" w:color="000000" w:sz="4" w:space="0"/>
              <w:right w:val="single" w:color="000000" w:sz="4" w:space="0"/>
              <w:tl2br w:val="nil"/>
              <w:tr2bl w:val="nil"/>
            </w:tcBorders>
            <w:vAlign w:val="center"/>
          </w:tcPr>
          <w:p w14:paraId="50BA9E1C">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15</w:t>
            </w:r>
          </w:p>
        </w:tc>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3FDBC88">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条</w:t>
            </w:r>
          </w:p>
        </w:tc>
      </w:tr>
      <w:tr w14:paraId="34C6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0" w:type="dxa"/>
            <w:tcBorders>
              <w:top w:val="single" w:color="000000" w:sz="4" w:space="0"/>
              <w:left w:val="single" w:color="000000" w:sz="4" w:space="0"/>
              <w:bottom w:val="single" w:color="000000" w:sz="4" w:space="0"/>
              <w:right w:val="single" w:color="000000" w:sz="4" w:space="0"/>
              <w:tl2br w:val="nil"/>
              <w:tr2bl w:val="nil"/>
            </w:tcBorders>
            <w:vAlign w:val="center"/>
          </w:tcPr>
          <w:p w14:paraId="0A43D17B">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2</w:t>
            </w:r>
          </w:p>
        </w:tc>
        <w:tc>
          <w:tcPr>
            <w:tcW w:w="1375" w:type="dxa"/>
            <w:tcBorders>
              <w:top w:val="single" w:color="000000" w:sz="4" w:space="0"/>
              <w:left w:val="single" w:color="000000" w:sz="4" w:space="0"/>
              <w:bottom w:val="single" w:color="000000" w:sz="4" w:space="0"/>
              <w:right w:val="single" w:color="000000" w:sz="4" w:space="0"/>
              <w:tl2br w:val="nil"/>
              <w:tr2bl w:val="nil"/>
            </w:tcBorders>
            <w:vAlign w:val="center"/>
          </w:tcPr>
          <w:p w14:paraId="25E4F386">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HDMI跳线</w:t>
            </w:r>
          </w:p>
        </w:tc>
        <w:tc>
          <w:tcPr>
            <w:tcW w:w="551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0B54C27">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HDMI线，长度5m，阻燃外被，支持4K高清传输</w:t>
            </w:r>
          </w:p>
        </w:tc>
        <w:tc>
          <w:tcPr>
            <w:tcW w:w="771" w:type="dxa"/>
            <w:tcBorders>
              <w:top w:val="single" w:color="000000" w:sz="4" w:space="0"/>
              <w:left w:val="single" w:color="000000" w:sz="4" w:space="0"/>
              <w:bottom w:val="single" w:color="000000" w:sz="4" w:space="0"/>
              <w:right w:val="single" w:color="000000" w:sz="4" w:space="0"/>
              <w:tl2br w:val="nil"/>
              <w:tr2bl w:val="nil"/>
            </w:tcBorders>
            <w:vAlign w:val="center"/>
          </w:tcPr>
          <w:p w14:paraId="0DB3DCF2">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10</w:t>
            </w:r>
          </w:p>
        </w:tc>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612C924">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条</w:t>
            </w:r>
          </w:p>
        </w:tc>
      </w:tr>
      <w:tr w14:paraId="6D502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0" w:type="dxa"/>
            <w:tcBorders>
              <w:top w:val="single" w:color="000000" w:sz="4" w:space="0"/>
              <w:left w:val="single" w:color="000000" w:sz="4" w:space="0"/>
              <w:bottom w:val="single" w:color="000000" w:sz="4" w:space="0"/>
              <w:right w:val="single" w:color="000000" w:sz="4" w:space="0"/>
              <w:tl2br w:val="nil"/>
              <w:tr2bl w:val="nil"/>
            </w:tcBorders>
            <w:vAlign w:val="center"/>
          </w:tcPr>
          <w:p w14:paraId="613D4A5E">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3</w:t>
            </w:r>
          </w:p>
        </w:tc>
        <w:tc>
          <w:tcPr>
            <w:tcW w:w="1375" w:type="dxa"/>
            <w:tcBorders>
              <w:top w:val="single" w:color="000000" w:sz="4" w:space="0"/>
              <w:left w:val="single" w:color="000000" w:sz="4" w:space="0"/>
              <w:bottom w:val="single" w:color="000000" w:sz="4" w:space="0"/>
              <w:right w:val="single" w:color="000000" w:sz="4" w:space="0"/>
              <w:tl2br w:val="nil"/>
              <w:tr2bl w:val="nil"/>
            </w:tcBorders>
            <w:vAlign w:val="center"/>
          </w:tcPr>
          <w:p w14:paraId="7CC5FAB4">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六类屏蔽网线</w:t>
            </w:r>
          </w:p>
        </w:tc>
        <w:tc>
          <w:tcPr>
            <w:tcW w:w="551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9F16A8">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阻燃六类屏蔽网线，满足内网数据、设备控制传输</w:t>
            </w:r>
          </w:p>
        </w:tc>
        <w:tc>
          <w:tcPr>
            <w:tcW w:w="771" w:type="dxa"/>
            <w:tcBorders>
              <w:top w:val="single" w:color="000000" w:sz="4" w:space="0"/>
              <w:left w:val="single" w:color="000000" w:sz="4" w:space="0"/>
              <w:bottom w:val="single" w:color="000000" w:sz="4" w:space="0"/>
              <w:right w:val="single" w:color="000000" w:sz="4" w:space="0"/>
              <w:tl2br w:val="nil"/>
              <w:tr2bl w:val="nil"/>
            </w:tcBorders>
            <w:vAlign w:val="center"/>
          </w:tcPr>
          <w:p w14:paraId="5BE3D4C7">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300</w:t>
            </w:r>
          </w:p>
        </w:tc>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2203FA3">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米</w:t>
            </w:r>
          </w:p>
        </w:tc>
      </w:tr>
      <w:tr w14:paraId="79A95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0" w:type="dxa"/>
            <w:tcBorders>
              <w:top w:val="single" w:color="000000" w:sz="4" w:space="0"/>
              <w:left w:val="single" w:color="000000" w:sz="4" w:space="0"/>
              <w:bottom w:val="single" w:color="000000" w:sz="4" w:space="0"/>
              <w:right w:val="single" w:color="000000" w:sz="4" w:space="0"/>
              <w:tl2br w:val="nil"/>
              <w:tr2bl w:val="nil"/>
            </w:tcBorders>
            <w:vAlign w:val="center"/>
          </w:tcPr>
          <w:p w14:paraId="669D3DAA">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4</w:t>
            </w:r>
          </w:p>
        </w:tc>
        <w:tc>
          <w:tcPr>
            <w:tcW w:w="1375" w:type="dxa"/>
            <w:tcBorders>
              <w:top w:val="single" w:color="000000" w:sz="4" w:space="0"/>
              <w:left w:val="single" w:color="000000" w:sz="4" w:space="0"/>
              <w:bottom w:val="single" w:color="000000" w:sz="4" w:space="0"/>
              <w:right w:val="single" w:color="000000" w:sz="4" w:space="0"/>
              <w:tl2br w:val="nil"/>
              <w:tr2bl w:val="nil"/>
            </w:tcBorders>
            <w:vAlign w:val="center"/>
          </w:tcPr>
          <w:p w14:paraId="66F7B0D2">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机房配线配套设备</w:t>
            </w:r>
          </w:p>
        </w:tc>
        <w:tc>
          <w:tcPr>
            <w:tcW w:w="5519" w:type="dxa"/>
            <w:tcBorders>
              <w:top w:val="single" w:color="000000" w:sz="4" w:space="0"/>
              <w:left w:val="single" w:color="000000" w:sz="4" w:space="0"/>
              <w:bottom w:val="single" w:color="000000" w:sz="4" w:space="0"/>
              <w:right w:val="single" w:color="000000" w:sz="4" w:space="0"/>
              <w:tl2br w:val="nil"/>
              <w:tr2bl w:val="nil"/>
            </w:tcBorders>
            <w:vAlign w:val="center"/>
          </w:tcPr>
          <w:p w14:paraId="6256B90C">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六类网络配线架、理线架</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0EA0DFF">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35A0062">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批</w:t>
            </w:r>
          </w:p>
        </w:tc>
      </w:tr>
      <w:tr w14:paraId="6D822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0" w:type="dxa"/>
            <w:tcBorders>
              <w:top w:val="single" w:color="000000" w:sz="4" w:space="0"/>
              <w:left w:val="single" w:color="000000" w:sz="4" w:space="0"/>
              <w:bottom w:val="single" w:color="000000" w:sz="4" w:space="0"/>
              <w:right w:val="single" w:color="000000" w:sz="4" w:space="0"/>
              <w:tl2br w:val="nil"/>
              <w:tr2bl w:val="nil"/>
            </w:tcBorders>
            <w:vAlign w:val="center"/>
          </w:tcPr>
          <w:p w14:paraId="3875B40E">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5</w:t>
            </w:r>
          </w:p>
        </w:tc>
        <w:tc>
          <w:tcPr>
            <w:tcW w:w="1375" w:type="dxa"/>
            <w:tcBorders>
              <w:top w:val="single" w:color="000000" w:sz="4" w:space="0"/>
              <w:left w:val="single" w:color="000000" w:sz="4" w:space="0"/>
              <w:bottom w:val="single" w:color="000000" w:sz="4" w:space="0"/>
              <w:right w:val="single" w:color="000000" w:sz="4" w:space="0"/>
              <w:tl2br w:val="nil"/>
              <w:tr2bl w:val="nil"/>
            </w:tcBorders>
            <w:vAlign w:val="center"/>
          </w:tcPr>
          <w:p w14:paraId="2919E5A4">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施工辅材</w:t>
            </w:r>
          </w:p>
        </w:tc>
        <w:tc>
          <w:tcPr>
            <w:tcW w:w="5519" w:type="dxa"/>
            <w:tcBorders>
              <w:top w:val="single" w:color="000000" w:sz="4" w:space="0"/>
              <w:left w:val="single" w:color="000000" w:sz="4" w:space="0"/>
              <w:bottom w:val="single" w:color="000000" w:sz="4" w:space="0"/>
              <w:right w:val="single" w:color="000000" w:sz="4" w:space="0"/>
              <w:tl2br w:val="nil"/>
              <w:tr2bl w:val="nil"/>
            </w:tcBorders>
            <w:vAlign w:val="center"/>
          </w:tcPr>
          <w:p w14:paraId="6B6ED163">
            <w:pPr>
              <w:widowControl/>
              <w:adjustRightInd w:val="0"/>
              <w:snapToGrid w:val="0"/>
              <w:ind w:firstLine="0"/>
              <w:textAlignment w:val="center"/>
              <w:rPr>
                <w:rFonts w:hint="eastAsia" w:ascii="宋体" w:cs="宋体"/>
                <w:color w:val="auto"/>
                <w:sz w:val="24"/>
                <w:szCs w:val="24"/>
                <w:lang w:bidi="ar-SA"/>
              </w:rPr>
            </w:pPr>
            <w:r>
              <w:rPr>
                <w:rFonts w:hint="eastAsia" w:ascii="宋体" w:cs="宋体"/>
                <w:color w:val="auto"/>
                <w:sz w:val="24"/>
                <w:szCs w:val="24"/>
                <w:lang w:bidi="ar-SA"/>
              </w:rPr>
              <w:t>防水线缆标签、扎带、防火封堵泥、绝缘胶带、膨胀螺栓、接线端子、空护线护套、桥架等所有安装耗材</w:t>
            </w:r>
          </w:p>
        </w:tc>
        <w:tc>
          <w:tcPr>
            <w:tcW w:w="771"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C55E8B0">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1</w:t>
            </w:r>
          </w:p>
        </w:tc>
        <w:tc>
          <w:tcPr>
            <w:tcW w:w="80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9B67F20">
            <w:pPr>
              <w:widowControl/>
              <w:adjustRightInd w:val="0"/>
              <w:snapToGrid w:val="0"/>
              <w:ind w:firstLine="0"/>
              <w:jc w:val="center"/>
              <w:textAlignment w:val="center"/>
              <w:rPr>
                <w:rFonts w:hint="eastAsia" w:ascii="宋体" w:cs="宋体"/>
                <w:color w:val="auto"/>
                <w:sz w:val="24"/>
                <w:szCs w:val="24"/>
                <w:lang w:bidi="ar-SA"/>
              </w:rPr>
            </w:pPr>
            <w:r>
              <w:rPr>
                <w:rFonts w:hint="eastAsia" w:ascii="宋体" w:cs="宋体"/>
                <w:color w:val="auto"/>
                <w:sz w:val="24"/>
                <w:szCs w:val="24"/>
                <w:lang w:bidi="ar-SA"/>
              </w:rPr>
              <w:t>批</w:t>
            </w:r>
          </w:p>
        </w:tc>
      </w:tr>
    </w:tbl>
    <w:p w14:paraId="5792E73C">
      <w:pPr>
        <w:widowControl/>
        <w:adjustRightInd w:val="0"/>
        <w:snapToGrid w:val="0"/>
        <w:spacing w:line="240" w:lineRule="auto"/>
        <w:ind w:firstLine="482"/>
        <w:textAlignment w:val="center"/>
        <w:rPr>
          <w:rFonts w:hint="eastAsia" w:ascii="宋体" w:cs="宋体"/>
          <w:color w:val="auto"/>
          <w:sz w:val="24"/>
          <w:szCs w:val="24"/>
        </w:rPr>
      </w:pPr>
      <w:r>
        <w:rPr>
          <w:rFonts w:ascii="宋体" w:cs="宋体"/>
          <w:color w:val="auto"/>
          <w:sz w:val="24"/>
          <w:szCs w:val="24"/>
        </w:rPr>
        <w:t>4</w:t>
      </w:r>
      <w:r>
        <w:rPr>
          <w:rFonts w:hint="eastAsia" w:ascii="宋体" w:cs="宋体"/>
          <w:color w:val="auto"/>
          <w:sz w:val="24"/>
          <w:szCs w:val="24"/>
        </w:rPr>
        <w:t>）</w:t>
      </w:r>
      <w:r>
        <w:rPr>
          <w:rFonts w:hint="eastAsia" w:ascii="宋体" w:hAnsi="宋体" w:cs="宋体"/>
          <w:color w:val="auto"/>
          <w:sz w:val="24"/>
          <w:szCs w:val="24"/>
        </w:rPr>
        <w:t>安装调试</w:t>
      </w:r>
    </w:p>
    <w:p w14:paraId="273EDA7A">
      <w:pPr>
        <w:widowControl/>
        <w:adjustRightInd w:val="0"/>
        <w:snapToGrid w:val="0"/>
        <w:spacing w:line="240" w:lineRule="auto"/>
        <w:ind w:firstLine="482"/>
        <w:textAlignment w:val="center"/>
        <w:rPr>
          <w:rFonts w:ascii="宋体" w:cs="宋体"/>
          <w:color w:val="auto"/>
          <w:sz w:val="24"/>
          <w:szCs w:val="24"/>
        </w:rPr>
      </w:pPr>
      <w:r>
        <w:rPr>
          <w:rFonts w:hint="eastAsia" w:ascii="宋体" w:cs="宋体"/>
          <w:color w:val="auto"/>
          <w:sz w:val="24"/>
          <w:szCs w:val="24"/>
        </w:rPr>
        <w:t>（a）系统安装</w:t>
      </w:r>
    </w:p>
    <w:p w14:paraId="48F0C593">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完成LED大屏钢结构安装、屏体拼接安装（控制拼缝≤0.05mm）；完成拼接控制器、视频矩阵及配套设备的安装以及线缆的布放。</w:t>
      </w:r>
    </w:p>
    <w:p w14:paraId="456C3264">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（b）系统联调测试</w:t>
      </w:r>
    </w:p>
    <w:p w14:paraId="5935D7FF">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硬件调试：进行通电测试，排查模组、接收卡故障，进行亮度及色度校正。</w:t>
      </w:r>
    </w:p>
    <w:p w14:paraId="6B202841">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软件调试：配置播控系统软件，调试单点亮度/颜色校正功能。</w:t>
      </w:r>
    </w:p>
    <w:p w14:paraId="67283F48">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信号对接：接入监控、电脑、视频等多信号源，测试跨屏漫游、画中画、分区显示及无缝切换功能。</w:t>
      </w:r>
    </w:p>
    <w:p w14:paraId="4655FACD">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原有系统的对接调试：新建大屏系统应接入原有的中控系统，与指挥中心现有的其他系统实现协同控制，便于统一管理和使用。指挥中心现有系统包括视频综合平台、互联网连线系统、音频扩声系统、中控系统、有线电视系统、录播系统等，详细系统情况以现场勘查为准。供应商完成新建系统后，需接入现有的中控系统，实现对大屏开关机、信号切换、布局模式的一键调用等功能。</w:t>
      </w:r>
    </w:p>
    <w:p w14:paraId="037C2E82">
      <w:pPr>
        <w:widowControl/>
        <w:adjustRightInd w:val="0"/>
        <w:snapToGrid w:val="0"/>
        <w:spacing w:line="240" w:lineRule="auto"/>
        <w:ind w:firstLine="482"/>
        <w:textAlignment w:val="center"/>
        <w:rPr>
          <w:rFonts w:hint="eastAsia" w:ascii="宋体" w:cs="宋体"/>
          <w:color w:val="auto"/>
          <w:sz w:val="24"/>
          <w:szCs w:val="24"/>
        </w:rPr>
      </w:pPr>
      <w:r>
        <w:rPr>
          <w:rFonts w:ascii="宋体" w:cs="宋体"/>
          <w:color w:val="auto"/>
          <w:sz w:val="24"/>
          <w:szCs w:val="24"/>
        </w:rPr>
        <w:t>5</w:t>
      </w:r>
      <w:r>
        <w:rPr>
          <w:rFonts w:hint="eastAsia" w:ascii="宋体" w:cs="宋体"/>
          <w:color w:val="auto"/>
          <w:sz w:val="24"/>
          <w:szCs w:val="24"/>
        </w:rPr>
        <w:t>）其他配套工程</w:t>
      </w:r>
    </w:p>
    <w:p w14:paraId="1779D980">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（a）现场防护与清理：施工区域设置封闭围挡与警示标识，配备足量消防器材；工程完工后进行全面清洁，去除装修残留与浮灰。</w:t>
      </w:r>
    </w:p>
    <w:p w14:paraId="3C71CA87">
      <w:pPr>
        <w:widowControl/>
        <w:adjustRightInd w:val="0"/>
        <w:snapToGrid w:val="0"/>
        <w:spacing w:line="240" w:lineRule="auto"/>
        <w:ind w:firstLine="482"/>
        <w:textAlignment w:val="center"/>
        <w:rPr>
          <w:rFonts w:ascii="宋体" w:cs="宋体"/>
          <w:color w:val="auto"/>
          <w:sz w:val="24"/>
          <w:szCs w:val="24"/>
        </w:rPr>
      </w:pPr>
      <w:r>
        <w:rPr>
          <w:rFonts w:hint="eastAsia" w:ascii="宋体" w:cs="宋体"/>
          <w:color w:val="auto"/>
          <w:sz w:val="24"/>
          <w:szCs w:val="24"/>
        </w:rPr>
        <w:t>（b）成品保护：对新安装的LED屏体、装修墙面及配套设备进行防尘、防碰撞保护。</w:t>
      </w:r>
    </w:p>
    <w:p w14:paraId="10C31141">
      <w:pPr>
        <w:widowControl/>
        <w:adjustRightInd w:val="0"/>
        <w:snapToGrid w:val="0"/>
        <w:spacing w:line="240" w:lineRule="auto"/>
        <w:ind w:firstLine="482"/>
        <w:textAlignment w:val="center"/>
        <w:rPr>
          <w:rFonts w:hint="eastAsia" w:ascii="宋体" w:cs="宋体"/>
          <w:color w:val="auto"/>
          <w:sz w:val="24"/>
          <w:szCs w:val="24"/>
        </w:rPr>
      </w:pPr>
      <w:r>
        <w:rPr>
          <w:rFonts w:ascii="宋体" w:cs="宋体"/>
          <w:color w:val="auto"/>
          <w:sz w:val="24"/>
          <w:szCs w:val="24"/>
        </w:rPr>
        <w:t>6</w:t>
      </w:r>
      <w:r>
        <w:rPr>
          <w:rFonts w:hint="eastAsia" w:ascii="宋体" w:cs="宋体"/>
          <w:color w:val="auto"/>
          <w:sz w:val="24"/>
          <w:szCs w:val="24"/>
        </w:rPr>
        <w:t>）墙体装修及环境恢复</w:t>
      </w:r>
    </w:p>
    <w:p w14:paraId="269A947A">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（a）墙体装修：如供应商大屏与旧大屏区域不匹配，需要对大屏安装区域墙体进行基层处理、重建、找平及饰面装修以满足新建大屏的安装及整体美观性。</w:t>
      </w:r>
    </w:p>
    <w:p w14:paraId="012757F2">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（b）环境恢复：对旧大屏区域进行施工后，装修完工表面需采用与现场一致的合金蜂窝铝板装饰；装修后墙面平整度、垂直度、颜色、质感与指挥中心原有环境保持统一，达到整体美观、整洁、适用的效果。</w:t>
      </w:r>
    </w:p>
    <w:p w14:paraId="703FFC86">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7）其他施工要求</w:t>
      </w:r>
    </w:p>
    <w:p w14:paraId="5F70326F">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（a）为保障施工地点正常上班秩序，所有拆除及安装作业，必须严格遵守采购人关于作业时间段要求，不得在上班时间产生噪音、粉尘、污水等环境污染。</w:t>
      </w:r>
    </w:p>
    <w:p w14:paraId="1C0EF40A">
      <w:pPr>
        <w:widowControl/>
        <w:adjustRightInd w:val="0"/>
        <w:snapToGrid w:val="0"/>
        <w:spacing w:line="240" w:lineRule="auto"/>
        <w:ind w:firstLine="482"/>
        <w:textAlignment w:val="center"/>
        <w:rPr>
          <w:rFonts w:hint="eastAsia" w:ascii="宋体" w:cs="宋体"/>
          <w:color w:val="auto"/>
          <w:sz w:val="24"/>
          <w:szCs w:val="24"/>
        </w:rPr>
      </w:pPr>
      <w:r>
        <w:rPr>
          <w:rFonts w:hint="eastAsia" w:ascii="宋体" w:cs="宋体"/>
          <w:color w:val="auto"/>
          <w:sz w:val="24"/>
          <w:szCs w:val="24"/>
        </w:rPr>
        <w:t>（b）</w:t>
      </w:r>
      <w:r>
        <w:rPr>
          <w:rFonts w:ascii="宋体" w:cs="宋体"/>
          <w:color w:val="auto"/>
          <w:sz w:val="24"/>
          <w:szCs w:val="24"/>
        </w:rPr>
        <w:t>乙方</w:t>
      </w:r>
      <w:r>
        <w:rPr>
          <w:rFonts w:hint="eastAsia" w:ascii="宋体" w:cs="宋体"/>
          <w:color w:val="auto"/>
          <w:sz w:val="24"/>
          <w:szCs w:val="24"/>
        </w:rPr>
        <w:t>应做好施工计划，每个施工环节施工前2日需向采购人进行报备，采购人同意后方可施工。特别是动火、焊接施工环节，在经采购人同意后，供应商须按报备的时间、空间及作业要求，在采取充分的安全保障措施后开展施工作业。如因采购人原因导致的供应商不能正常施工的，合同工期按采购人耽搁的实际时间顺延。</w:t>
      </w:r>
    </w:p>
    <w:p w14:paraId="0AA86857">
      <w:pPr>
        <w:widowControl/>
        <w:adjustRightInd w:val="0"/>
        <w:snapToGrid w:val="0"/>
        <w:spacing w:before="0" w:after="0" w:line="240" w:lineRule="auto"/>
        <w:ind w:firstLine="482"/>
        <w:textAlignment w:val="center"/>
        <w:outlineLvl w:val="9"/>
        <w:rPr>
          <w:rFonts w:hint="eastAsia" w:ascii="宋体" w:cs="宋体"/>
          <w:color w:val="auto"/>
          <w:sz w:val="24"/>
          <w:szCs w:val="24"/>
          <w:lang w:eastAsia="zh-CN" w:bidi="ar-SA"/>
        </w:rPr>
      </w:pPr>
      <w:bookmarkStart w:id="35" w:name="_Toc4911"/>
      <w:r>
        <w:rPr>
          <w:rFonts w:hint="eastAsia" w:ascii="宋体" w:cs="宋体"/>
          <w:color w:val="auto"/>
          <w:sz w:val="24"/>
          <w:szCs w:val="24"/>
          <w:lang w:bidi="ar-SA"/>
        </w:rPr>
        <w:t>三、验收</w:t>
      </w:r>
      <w:r>
        <w:rPr>
          <w:rFonts w:hint="eastAsia" w:ascii="宋体" w:cs="宋体"/>
          <w:color w:val="auto"/>
          <w:sz w:val="24"/>
          <w:szCs w:val="24"/>
          <w:lang w:val="en-US" w:eastAsia="zh-CN" w:bidi="ar-SA"/>
        </w:rPr>
        <w:t>要求</w:t>
      </w:r>
    </w:p>
    <w:p w14:paraId="05D667F5">
      <w:pPr>
        <w:widowControl/>
        <w:adjustRightInd w:val="0"/>
        <w:snapToGrid w:val="0"/>
        <w:ind w:firstLine="482"/>
        <w:textAlignment w:val="center"/>
        <w:rPr>
          <w:rFonts w:hint="eastAsia" w:ascii="宋体" w:cs="宋体"/>
          <w:color w:val="auto"/>
          <w:sz w:val="24"/>
          <w:szCs w:val="24"/>
          <w:lang w:val="en-US" w:eastAsia="zh-CN"/>
        </w:rPr>
      </w:pPr>
      <w:r>
        <w:rPr>
          <w:rFonts w:hint="eastAsia" w:ascii="宋体" w:cs="宋体"/>
          <w:color w:val="auto"/>
          <w:sz w:val="24"/>
          <w:szCs w:val="24"/>
        </w:rPr>
        <w:t>1）</w:t>
      </w:r>
      <w:r>
        <w:rPr>
          <w:rFonts w:hint="eastAsia" w:ascii="宋体" w:cs="宋体"/>
          <w:color w:val="auto"/>
          <w:sz w:val="24"/>
          <w:szCs w:val="24"/>
          <w:lang w:val="en-US" w:eastAsia="zh-CN"/>
        </w:rPr>
        <w:t>到货验收</w:t>
      </w:r>
    </w:p>
    <w:p w14:paraId="5C67C173">
      <w:pPr>
        <w:widowControl/>
        <w:pBdr>
          <w:top w:val="none" w:color="auto" w:sz="0" w:space="0"/>
          <w:left w:val="none" w:color="auto" w:sz="0" w:space="0"/>
          <w:bottom w:val="none" w:color="auto" w:sz="0" w:space="0"/>
          <w:right w:val="none" w:color="auto" w:sz="0" w:space="0"/>
        </w:pBdr>
        <w:adjustRightInd w:val="0"/>
        <w:snapToGrid w:val="0"/>
        <w:ind w:firstLine="482"/>
        <w:textAlignment w:val="center"/>
        <w:rPr>
          <w:rFonts w:ascii="宋体" w:cs="宋体"/>
          <w:color w:val="auto"/>
          <w:sz w:val="24"/>
          <w:szCs w:val="24"/>
        </w:rPr>
      </w:pPr>
      <w:r>
        <w:rPr>
          <w:rFonts w:ascii="宋体" w:cs="宋体"/>
          <w:color w:val="auto"/>
          <w:sz w:val="24"/>
          <w:szCs w:val="24"/>
        </w:rPr>
        <w:t>（a）货物到达现场后，乙方应在甲方见证下当面开箱，双方共同清点数量、检查外观，形成开箱记录并签字确认。</w:t>
      </w:r>
    </w:p>
    <w:p w14:paraId="30926C77">
      <w:pPr>
        <w:widowControl/>
        <w:pBdr>
          <w:top w:val="none" w:color="auto" w:sz="0" w:space="0"/>
          <w:left w:val="none" w:color="auto" w:sz="0" w:space="0"/>
          <w:bottom w:val="none" w:color="auto" w:sz="0" w:space="0"/>
          <w:right w:val="none" w:color="auto" w:sz="0" w:space="0"/>
        </w:pBdr>
        <w:adjustRightInd w:val="0"/>
        <w:snapToGrid w:val="0"/>
        <w:ind w:firstLine="482"/>
        <w:textAlignment w:val="center"/>
        <w:rPr>
          <w:rFonts w:ascii="宋体" w:cs="宋体"/>
          <w:color w:val="auto"/>
          <w:sz w:val="24"/>
          <w:szCs w:val="24"/>
        </w:rPr>
      </w:pPr>
      <w:r>
        <w:rPr>
          <w:rFonts w:ascii="宋体" w:cs="宋体"/>
          <w:color w:val="auto"/>
          <w:sz w:val="24"/>
          <w:szCs w:val="24"/>
        </w:rPr>
        <w:t>（b）乙方应保证货物完好送达，如有缺漏、损坏，由乙方负责无偿调换、补齐。</w:t>
      </w:r>
    </w:p>
    <w:p w14:paraId="15F346A2">
      <w:pPr>
        <w:pBdr>
          <w:top w:val="none" w:color="auto" w:sz="0" w:space="0"/>
          <w:left w:val="none" w:color="auto" w:sz="0" w:space="0"/>
          <w:bottom w:val="none" w:color="auto" w:sz="0" w:space="0"/>
          <w:right w:val="none" w:color="auto" w:sz="0" w:space="0"/>
        </w:pBdr>
        <w:spacing w:line="600" w:lineRule="exact"/>
        <w:ind w:left="0" w:firstLine="480" w:firstLineChars="200"/>
        <w:rPr>
          <w:rFonts w:ascii="宋体" w:cs="宋体"/>
          <w:color w:val="auto"/>
          <w:sz w:val="24"/>
          <w:szCs w:val="24"/>
        </w:rPr>
      </w:pPr>
      <w:r>
        <w:rPr>
          <w:rFonts w:ascii="宋体" w:cs="宋体"/>
          <w:color w:val="auto"/>
          <w:sz w:val="24"/>
          <w:szCs w:val="24"/>
        </w:rPr>
        <w:t>（c）到货清点完成后，甲方有权通过组建专家组、委托具有CMA或CNAS资质的第三方检测机构等方式，对乙方交付的货物开展验核。验核发现任何一项指标不满足</w:t>
      </w:r>
      <w:r>
        <w:rPr>
          <w:rFonts w:ascii="宋体" w:cs="宋体"/>
          <w:color w:val="auto"/>
          <w:sz w:val="24"/>
          <w:szCs w:val="24"/>
          <w:highlight w:val="none"/>
        </w:rPr>
        <w:t>中标文件承诺的</w:t>
      </w:r>
      <w:r>
        <w:rPr>
          <w:rFonts w:ascii="宋体" w:cs="宋体"/>
          <w:color w:val="auto"/>
          <w:sz w:val="24"/>
          <w:szCs w:val="24"/>
        </w:rPr>
        <w:t>技术参数要求且经整改仍然达不到要求的，判定为到货验收不合格，乙方</w:t>
      </w:r>
      <w:r>
        <w:rPr>
          <w:rFonts w:hint="eastAsia" w:ascii="宋体" w:cs="宋体"/>
          <w:color w:val="auto"/>
          <w:sz w:val="24"/>
          <w:szCs w:val="24"/>
        </w:rPr>
        <w:t>构成根本违约</w:t>
      </w:r>
      <w:r>
        <w:rPr>
          <w:rFonts w:ascii="宋体" w:cs="宋体"/>
          <w:color w:val="auto"/>
          <w:sz w:val="24"/>
          <w:szCs w:val="24"/>
        </w:rPr>
        <w:t>并承担违约责任。乙方对验核结果有异议的，可在收到验核结果书面通知后5个工作日内提出书面请求，由双方共同选定另一家具有CMA或CNAS资质的检测机构进行复检，复检结论为最终结论。</w:t>
      </w:r>
    </w:p>
    <w:p w14:paraId="2E12849E">
      <w:pPr>
        <w:pBdr>
          <w:top w:val="none" w:color="auto" w:sz="0" w:space="0"/>
          <w:left w:val="none" w:color="auto" w:sz="0" w:space="0"/>
          <w:bottom w:val="none" w:color="auto" w:sz="0" w:space="0"/>
          <w:right w:val="none" w:color="auto" w:sz="0" w:space="0"/>
        </w:pBdr>
        <w:spacing w:line="600" w:lineRule="exact"/>
        <w:ind w:left="0" w:firstLine="480" w:firstLineChars="200"/>
        <w:rPr>
          <w:rFonts w:ascii="宋体" w:cs="宋体"/>
          <w:color w:val="auto"/>
          <w:sz w:val="24"/>
          <w:szCs w:val="24"/>
        </w:rPr>
      </w:pPr>
      <w:r>
        <w:rPr>
          <w:rFonts w:ascii="宋体" w:cs="宋体"/>
          <w:color w:val="auto"/>
          <w:sz w:val="24"/>
          <w:szCs w:val="24"/>
        </w:rPr>
        <w:t>（d）费用承担方式：首次验核产生的相关费用由甲方承担；因首次验核不合格导致后续需要复检、复测产生的相关费用，均由乙方承担。</w:t>
      </w:r>
    </w:p>
    <w:p w14:paraId="50E4955E">
      <w:pPr>
        <w:pBdr>
          <w:top w:val="none" w:color="auto" w:sz="0" w:space="0"/>
          <w:left w:val="none" w:color="auto" w:sz="0" w:space="0"/>
          <w:bottom w:val="none" w:color="auto" w:sz="0" w:space="0"/>
          <w:right w:val="none" w:color="auto" w:sz="0" w:space="0"/>
        </w:pBdr>
        <w:spacing w:line="600" w:lineRule="exact"/>
        <w:ind w:left="0" w:firstLine="480" w:firstLineChars="200"/>
        <w:rPr>
          <w:rFonts w:ascii="宋体" w:cs="宋体"/>
          <w:color w:val="auto"/>
          <w:sz w:val="24"/>
          <w:szCs w:val="24"/>
        </w:rPr>
      </w:pPr>
      <w:r>
        <w:rPr>
          <w:rFonts w:ascii="宋体" w:cs="宋体"/>
          <w:color w:val="auto"/>
          <w:sz w:val="24"/>
          <w:szCs w:val="24"/>
        </w:rPr>
        <w:t>（e）如因货物验核影响</w:t>
      </w:r>
      <w:r>
        <w:rPr>
          <w:rFonts w:hint="eastAsia" w:ascii="宋体" w:cs="宋体"/>
          <w:color w:val="auto"/>
          <w:sz w:val="24"/>
          <w:szCs w:val="24"/>
        </w:rPr>
        <w:t>合同履行期限</w:t>
      </w:r>
      <w:r>
        <w:rPr>
          <w:rFonts w:ascii="宋体" w:cs="宋体"/>
          <w:color w:val="auto"/>
          <w:sz w:val="24"/>
          <w:szCs w:val="24"/>
        </w:rPr>
        <w:t>的，甲方应根据实际情况合理</w:t>
      </w:r>
      <w:r>
        <w:rPr>
          <w:rFonts w:hint="eastAsia" w:ascii="宋体" w:cs="宋体"/>
          <w:color w:val="auto"/>
          <w:sz w:val="24"/>
          <w:szCs w:val="24"/>
        </w:rPr>
        <w:t>顺延工期</w:t>
      </w:r>
      <w:r>
        <w:rPr>
          <w:rFonts w:ascii="宋体" w:cs="宋体"/>
          <w:color w:val="auto"/>
          <w:sz w:val="24"/>
          <w:szCs w:val="24"/>
        </w:rPr>
        <w:t>。</w:t>
      </w:r>
    </w:p>
    <w:p w14:paraId="736DB5E2">
      <w:pPr>
        <w:pBdr>
          <w:top w:val="none" w:color="auto" w:sz="0" w:space="0"/>
          <w:left w:val="none" w:color="auto" w:sz="0" w:space="0"/>
          <w:bottom w:val="none" w:color="auto" w:sz="0" w:space="0"/>
          <w:right w:val="none" w:color="auto" w:sz="0" w:space="0"/>
        </w:pBdr>
        <w:spacing w:line="600" w:lineRule="exact"/>
        <w:ind w:left="0" w:firstLine="480" w:firstLineChars="200"/>
        <w:rPr>
          <w:rFonts w:hint="eastAsia" w:ascii="宋体" w:cs="宋体"/>
          <w:color w:val="auto"/>
          <w:sz w:val="24"/>
          <w:szCs w:val="24"/>
        </w:rPr>
      </w:pPr>
      <w:r>
        <w:rPr>
          <w:rFonts w:ascii="宋体" w:cs="宋体"/>
          <w:color w:val="auto"/>
          <w:sz w:val="24"/>
          <w:szCs w:val="24"/>
        </w:rPr>
        <w:t>（f）乙方</w:t>
      </w:r>
      <w:r>
        <w:rPr>
          <w:rFonts w:hint="eastAsia" w:ascii="宋体" w:cs="宋体"/>
          <w:color w:val="auto"/>
          <w:sz w:val="24"/>
          <w:szCs w:val="24"/>
          <w:lang w:bidi="ar-SA"/>
        </w:rPr>
        <w:t>应提供完备的技术资料、装箱单、合格证等文件，并派遣专业技术人员进行现场安装调试</w:t>
      </w:r>
      <w:r>
        <w:rPr>
          <w:rFonts w:hint="eastAsia" w:ascii="宋体" w:cs="宋体"/>
          <w:color w:val="auto"/>
          <w:sz w:val="24"/>
          <w:szCs w:val="24"/>
          <w:lang w:eastAsia="zh-CN" w:bidi="ar-SA"/>
        </w:rPr>
        <w:t>。</w:t>
      </w:r>
    </w:p>
    <w:p w14:paraId="203101BD">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lang w:val="en-US" w:eastAsia="zh-CN"/>
        </w:rPr>
        <w:t>2</w:t>
      </w:r>
      <w:r>
        <w:rPr>
          <w:rFonts w:hint="eastAsia" w:ascii="宋体" w:cs="宋体"/>
          <w:color w:val="auto"/>
          <w:sz w:val="24"/>
          <w:szCs w:val="24"/>
        </w:rPr>
        <w:t>）隐蔽工程验收</w:t>
      </w:r>
    </w:p>
    <w:p w14:paraId="5317667B">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隐蔽工程施工完毕后，须经</w:t>
      </w:r>
      <w:r>
        <w:rPr>
          <w:rFonts w:ascii="宋体" w:cs="宋体"/>
          <w:color w:val="auto"/>
          <w:sz w:val="24"/>
          <w:szCs w:val="24"/>
          <w:lang w:bidi="ar-SA"/>
        </w:rPr>
        <w:t>甲方</w:t>
      </w:r>
      <w:r>
        <w:rPr>
          <w:rFonts w:hint="eastAsia" w:ascii="宋体" w:cs="宋体"/>
          <w:color w:val="auto"/>
          <w:sz w:val="24"/>
          <w:szCs w:val="24"/>
          <w:lang w:bidi="ar-SA"/>
        </w:rPr>
        <w:t>验收合格后方可进入下一道工序。验收合格后，</w:t>
      </w:r>
      <w:r>
        <w:rPr>
          <w:rFonts w:ascii="宋体" w:cs="宋体"/>
          <w:color w:val="auto"/>
          <w:sz w:val="24"/>
          <w:szCs w:val="24"/>
          <w:lang w:bidi="ar-SA"/>
        </w:rPr>
        <w:t>乙方</w:t>
      </w:r>
      <w:r>
        <w:rPr>
          <w:rFonts w:hint="eastAsia" w:ascii="宋体" w:cs="宋体"/>
          <w:color w:val="auto"/>
          <w:sz w:val="24"/>
          <w:szCs w:val="24"/>
          <w:lang w:bidi="ar-SA"/>
        </w:rPr>
        <w:t>应拍摄并保存隐蔽工程的视频、照片等影像资料，随竣工验收资料一并提交。</w:t>
      </w:r>
    </w:p>
    <w:p w14:paraId="1379752E">
      <w:pPr>
        <w:widowControl/>
        <w:adjustRightInd w:val="0"/>
        <w:snapToGrid w:val="0"/>
        <w:ind w:firstLine="482"/>
        <w:textAlignment w:val="center"/>
        <w:rPr>
          <w:rFonts w:hint="eastAsia" w:ascii="宋体" w:cs="宋体"/>
          <w:color w:val="auto"/>
          <w:sz w:val="24"/>
          <w:szCs w:val="24"/>
          <w:lang w:val="en-US" w:eastAsia="zh-CN"/>
        </w:rPr>
      </w:pPr>
      <w:r>
        <w:rPr>
          <w:rFonts w:hint="eastAsia" w:ascii="宋体" w:cs="宋体"/>
          <w:color w:val="auto"/>
          <w:sz w:val="24"/>
          <w:szCs w:val="24"/>
          <w:lang w:val="en-US" w:eastAsia="zh-CN"/>
        </w:rPr>
        <w:t>3）性能验收</w:t>
      </w:r>
    </w:p>
    <w:p w14:paraId="41F59B23">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系统安装调试完成后，进行7*24小时系统测试</w:t>
      </w:r>
      <w:r>
        <w:rPr>
          <w:rFonts w:hint="eastAsia" w:ascii="宋体" w:cs="宋体"/>
          <w:color w:val="auto"/>
          <w:sz w:val="24"/>
          <w:szCs w:val="24"/>
          <w:lang w:eastAsia="zh-CN" w:bidi="ar-SA"/>
        </w:rPr>
        <w:t>，</w:t>
      </w:r>
      <w:r>
        <w:rPr>
          <w:rFonts w:hint="eastAsia" w:ascii="宋体" w:cs="宋体"/>
          <w:color w:val="auto"/>
          <w:sz w:val="24"/>
          <w:szCs w:val="24"/>
          <w:lang w:val="en-US" w:eastAsia="zh-CN" w:bidi="ar-SA"/>
        </w:rPr>
        <w:t>并出具</w:t>
      </w:r>
      <w:r>
        <w:rPr>
          <w:rFonts w:hint="eastAsia" w:ascii="宋体" w:cs="宋体"/>
          <w:color w:val="auto"/>
          <w:sz w:val="24"/>
          <w:szCs w:val="24"/>
          <w:lang w:bidi="ar-SA"/>
        </w:rPr>
        <w:t>检测报告。</w:t>
      </w:r>
    </w:p>
    <w:p w14:paraId="1F9C7388">
      <w:pPr>
        <w:widowControl/>
        <w:adjustRightInd w:val="0"/>
        <w:snapToGrid w:val="0"/>
        <w:ind w:firstLine="482"/>
        <w:textAlignment w:val="center"/>
        <w:rPr>
          <w:rFonts w:hint="eastAsia" w:ascii="宋体" w:cs="宋体"/>
          <w:color w:val="auto"/>
          <w:sz w:val="24"/>
          <w:szCs w:val="24"/>
          <w:lang w:val="en-US" w:eastAsia="zh-CN"/>
        </w:rPr>
      </w:pPr>
      <w:r>
        <w:rPr>
          <w:rFonts w:hint="eastAsia" w:ascii="宋体" w:cs="宋体"/>
          <w:color w:val="auto"/>
          <w:sz w:val="24"/>
          <w:szCs w:val="24"/>
          <w:lang w:val="en-US" w:eastAsia="zh-CN"/>
        </w:rPr>
        <w:t>4）技术归档</w:t>
      </w:r>
    </w:p>
    <w:p w14:paraId="658FAC7D">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lang w:bidi="ar-SA"/>
        </w:rPr>
        <w:t>验收合格后，</w:t>
      </w:r>
      <w:r>
        <w:rPr>
          <w:rFonts w:ascii="宋体" w:cs="宋体"/>
          <w:color w:val="auto"/>
          <w:sz w:val="24"/>
          <w:szCs w:val="24"/>
          <w:lang w:bidi="ar-SA"/>
        </w:rPr>
        <w:t>乙方</w:t>
      </w:r>
      <w:r>
        <w:rPr>
          <w:rFonts w:hint="eastAsia" w:ascii="宋体" w:cs="宋体"/>
          <w:color w:val="auto"/>
          <w:sz w:val="24"/>
          <w:szCs w:val="24"/>
          <w:lang w:bidi="ar-SA"/>
        </w:rPr>
        <w:t>应向</w:t>
      </w:r>
      <w:r>
        <w:rPr>
          <w:rFonts w:ascii="宋体" w:cs="宋体"/>
          <w:color w:val="auto"/>
          <w:sz w:val="24"/>
          <w:szCs w:val="24"/>
          <w:lang w:bidi="ar-SA"/>
        </w:rPr>
        <w:t>甲方</w:t>
      </w:r>
      <w:r>
        <w:rPr>
          <w:rFonts w:hint="eastAsia" w:ascii="宋体" w:cs="宋体"/>
          <w:color w:val="auto"/>
          <w:sz w:val="24"/>
          <w:szCs w:val="24"/>
          <w:lang w:bidi="ar-SA"/>
        </w:rPr>
        <w:t>移交完整的技术归档资料，包括但不限于：施工图纸、设备清单、调试记录、售后档案等</w:t>
      </w:r>
    </w:p>
    <w:p w14:paraId="2F08C78E">
      <w:pPr>
        <w:widowControl/>
        <w:adjustRightInd w:val="0"/>
        <w:snapToGrid w:val="0"/>
        <w:ind w:firstLine="482"/>
        <w:textAlignment w:val="center"/>
        <w:rPr>
          <w:rFonts w:hint="eastAsia" w:ascii="宋体" w:cs="宋体"/>
          <w:color w:val="auto"/>
          <w:sz w:val="24"/>
          <w:szCs w:val="24"/>
          <w:lang w:val="en-US" w:eastAsia="zh-CN"/>
        </w:rPr>
      </w:pPr>
      <w:r>
        <w:rPr>
          <w:rFonts w:hint="eastAsia" w:ascii="宋体" w:cs="宋体"/>
          <w:color w:val="auto"/>
          <w:sz w:val="24"/>
          <w:szCs w:val="24"/>
          <w:lang w:val="en-US" w:eastAsia="zh-CN"/>
        </w:rPr>
        <w:t>5）最终验收条件</w:t>
      </w:r>
    </w:p>
    <w:p w14:paraId="763C64AD">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系统最终验收须同时满足以下条件：</w:t>
      </w:r>
    </w:p>
    <w:p w14:paraId="206CEADD">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val="en-US" w:eastAsia="zh-CN" w:bidi="ar-SA"/>
        </w:rPr>
        <w:t>（a）设备技术参数与采购合同一致，性能指标达到招标文件规定的标准；</w:t>
      </w:r>
    </w:p>
    <w:p w14:paraId="6E07CBF5">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val="en-US" w:eastAsia="zh-CN" w:bidi="ar-SA"/>
        </w:rPr>
        <w:t>（b）货物技术资料、装箱单、合格证等文件齐全；</w:t>
      </w:r>
    </w:p>
    <w:p w14:paraId="7DE2A4F6">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val="en-US" w:eastAsia="zh-CN" w:bidi="ar-SA"/>
        </w:rPr>
        <w:t>（c）试运行期间出现的问题已完全解决，系统运行正常；</w:t>
      </w:r>
    </w:p>
    <w:p w14:paraId="3BB78A8B">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val="en-US" w:eastAsia="zh-CN" w:bidi="ar-SA"/>
        </w:rPr>
        <w:t>（d）在规定时间内完成交货，并经</w:t>
      </w:r>
      <w:r>
        <w:rPr>
          <w:rFonts w:ascii="宋体" w:cs="宋体"/>
          <w:color w:val="auto"/>
          <w:sz w:val="24"/>
          <w:szCs w:val="24"/>
          <w:lang w:val="en-US" w:eastAsia="zh-CN" w:bidi="ar-SA"/>
        </w:rPr>
        <w:t>甲方</w:t>
      </w:r>
      <w:r>
        <w:rPr>
          <w:rFonts w:hint="eastAsia" w:ascii="宋体" w:cs="宋体"/>
          <w:color w:val="auto"/>
          <w:sz w:val="24"/>
          <w:szCs w:val="24"/>
          <w:lang w:val="en-US" w:eastAsia="zh-CN" w:bidi="ar-SA"/>
        </w:rPr>
        <w:t>确认；</w:t>
      </w:r>
    </w:p>
    <w:p w14:paraId="496B9FE5">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val="en-US" w:eastAsia="zh-CN" w:bidi="ar-SA"/>
        </w:rPr>
        <w:t>（e）产品在安装调试并试运行符合要求后，双方签署验收文件，作为最终验收凭证。</w:t>
      </w:r>
    </w:p>
    <w:p w14:paraId="3F8EF733">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w:t>
      </w:r>
      <w:r>
        <w:rPr>
          <w:rFonts w:hint="eastAsia" w:ascii="宋体" w:cs="宋体"/>
          <w:color w:val="auto"/>
          <w:sz w:val="24"/>
          <w:szCs w:val="24"/>
          <w:lang w:val="en-US" w:eastAsia="zh-CN"/>
        </w:rPr>
        <w:t>f</w:t>
      </w:r>
      <w:r>
        <w:rPr>
          <w:rFonts w:hint="eastAsia" w:ascii="宋体" w:cs="宋体"/>
          <w:color w:val="auto"/>
          <w:sz w:val="24"/>
          <w:szCs w:val="24"/>
        </w:rPr>
        <w:t>）</w:t>
      </w:r>
      <w:r>
        <w:rPr>
          <w:rFonts w:ascii="宋体" w:cs="宋体"/>
          <w:color w:val="auto"/>
          <w:sz w:val="24"/>
          <w:szCs w:val="24"/>
        </w:rPr>
        <w:t>乙方</w:t>
      </w:r>
      <w:r>
        <w:rPr>
          <w:rFonts w:hint="eastAsia" w:ascii="宋体" w:cs="宋体"/>
          <w:color w:val="auto"/>
          <w:sz w:val="24"/>
          <w:szCs w:val="24"/>
        </w:rPr>
        <w:t>提供的货物未达到招标文件规定要求</w:t>
      </w:r>
      <w:r>
        <w:rPr>
          <w:rFonts w:hint="eastAsia" w:ascii="宋体" w:cs="宋体"/>
          <w:color w:val="auto"/>
          <w:sz w:val="24"/>
          <w:szCs w:val="24"/>
          <w:lang w:val="en-US" w:eastAsia="zh-CN"/>
        </w:rPr>
        <w:t>的</w:t>
      </w:r>
      <w:r>
        <w:rPr>
          <w:rFonts w:hint="eastAsia" w:ascii="宋体" w:cs="宋体"/>
          <w:color w:val="auto"/>
          <w:sz w:val="24"/>
          <w:szCs w:val="24"/>
        </w:rPr>
        <w:t>，由</w:t>
      </w:r>
      <w:r>
        <w:rPr>
          <w:rFonts w:ascii="宋体" w:cs="宋体"/>
          <w:color w:val="auto"/>
          <w:sz w:val="24"/>
          <w:szCs w:val="24"/>
        </w:rPr>
        <w:t>乙方</w:t>
      </w:r>
      <w:r>
        <w:rPr>
          <w:rFonts w:hint="eastAsia" w:ascii="宋体" w:cs="宋体"/>
          <w:color w:val="auto"/>
          <w:sz w:val="24"/>
          <w:szCs w:val="24"/>
        </w:rPr>
        <w:t>承担一切责任并赔偿由此给</w:t>
      </w:r>
      <w:r>
        <w:rPr>
          <w:rFonts w:ascii="宋体" w:cs="宋体"/>
          <w:color w:val="auto"/>
          <w:sz w:val="24"/>
          <w:szCs w:val="24"/>
        </w:rPr>
        <w:t>甲方</w:t>
      </w:r>
      <w:r>
        <w:rPr>
          <w:rFonts w:hint="eastAsia" w:ascii="宋体" w:cs="宋体"/>
          <w:color w:val="auto"/>
          <w:sz w:val="24"/>
          <w:szCs w:val="24"/>
        </w:rPr>
        <w:t>造成的损失。</w:t>
      </w:r>
    </w:p>
    <w:p w14:paraId="37CC0F8A">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w:t>
      </w:r>
      <w:r>
        <w:rPr>
          <w:rFonts w:hint="eastAsia" w:ascii="宋体" w:cs="宋体"/>
          <w:color w:val="auto"/>
          <w:sz w:val="24"/>
          <w:szCs w:val="24"/>
          <w:lang w:val="en-US" w:eastAsia="zh-CN"/>
        </w:rPr>
        <w:t>g</w:t>
      </w:r>
      <w:r>
        <w:rPr>
          <w:rFonts w:hint="eastAsia" w:ascii="宋体" w:cs="宋体"/>
          <w:color w:val="auto"/>
          <w:sz w:val="24"/>
          <w:szCs w:val="24"/>
        </w:rPr>
        <w:t>）</w:t>
      </w:r>
      <w:r>
        <w:rPr>
          <w:rFonts w:ascii="宋体" w:cs="宋体"/>
          <w:color w:val="auto"/>
          <w:sz w:val="24"/>
          <w:szCs w:val="24"/>
        </w:rPr>
        <w:t>甲方</w:t>
      </w:r>
      <w:r>
        <w:rPr>
          <w:rFonts w:hint="eastAsia" w:ascii="宋体" w:cs="宋体"/>
          <w:color w:val="auto"/>
          <w:sz w:val="24"/>
          <w:szCs w:val="24"/>
        </w:rPr>
        <w:t>需要制造商对</w:t>
      </w:r>
      <w:r>
        <w:rPr>
          <w:rFonts w:ascii="宋体" w:cs="宋体"/>
          <w:color w:val="auto"/>
          <w:sz w:val="24"/>
          <w:szCs w:val="24"/>
        </w:rPr>
        <w:t>乙方</w:t>
      </w:r>
      <w:r>
        <w:rPr>
          <w:rFonts w:hint="eastAsia" w:ascii="宋体" w:cs="宋体"/>
          <w:color w:val="auto"/>
          <w:sz w:val="24"/>
          <w:szCs w:val="24"/>
        </w:rPr>
        <w:t>交付的产品（包括质量、技术参数等）进行确认的，制造商应予以配合并出具书面意见。</w:t>
      </w:r>
    </w:p>
    <w:p w14:paraId="2A30F307">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w:t>
      </w:r>
      <w:r>
        <w:rPr>
          <w:rFonts w:hint="eastAsia" w:ascii="宋体" w:cs="宋体"/>
          <w:color w:val="auto"/>
          <w:sz w:val="24"/>
          <w:szCs w:val="24"/>
          <w:lang w:val="en-US" w:eastAsia="zh-CN"/>
        </w:rPr>
        <w:t>h</w:t>
      </w:r>
      <w:r>
        <w:rPr>
          <w:rFonts w:hint="eastAsia" w:ascii="宋体" w:cs="宋体"/>
          <w:color w:val="auto"/>
          <w:sz w:val="24"/>
          <w:szCs w:val="24"/>
        </w:rPr>
        <w:t>）产品包装材料归</w:t>
      </w:r>
      <w:r>
        <w:rPr>
          <w:rFonts w:ascii="宋体" w:cs="宋体"/>
          <w:color w:val="auto"/>
          <w:sz w:val="24"/>
          <w:szCs w:val="24"/>
        </w:rPr>
        <w:t xml:space="preserve">甲方 </w:t>
      </w:r>
      <w:r>
        <w:rPr>
          <w:rFonts w:hint="eastAsia" w:ascii="宋体" w:cs="宋体"/>
          <w:color w:val="auto"/>
          <w:sz w:val="24"/>
          <w:szCs w:val="24"/>
        </w:rPr>
        <w:t>所有。</w:t>
      </w:r>
    </w:p>
    <w:p w14:paraId="12B76FD0">
      <w:pPr>
        <w:widowControl/>
        <w:adjustRightInd w:val="0"/>
        <w:snapToGrid w:val="0"/>
        <w:spacing w:before="0" w:after="0" w:line="240" w:lineRule="auto"/>
        <w:ind w:firstLine="482"/>
        <w:textAlignment w:val="center"/>
        <w:outlineLvl w:val="9"/>
        <w:rPr>
          <w:rFonts w:ascii="宋体" w:cs="宋体"/>
          <w:color w:val="auto"/>
          <w:sz w:val="24"/>
          <w:szCs w:val="24"/>
          <w:lang w:bidi="ar-SA"/>
        </w:rPr>
      </w:pPr>
      <w:r>
        <w:rPr>
          <w:rFonts w:ascii="宋体" w:cs="宋体"/>
          <w:color w:val="auto"/>
          <w:sz w:val="24"/>
          <w:szCs w:val="24"/>
          <w:lang w:bidi="ar-SA"/>
        </w:rPr>
        <w:t>四、</w:t>
      </w:r>
      <w:r>
        <w:rPr>
          <w:rFonts w:hint="eastAsia" w:ascii="宋体" w:cs="宋体"/>
          <w:color w:val="auto"/>
          <w:sz w:val="24"/>
          <w:szCs w:val="24"/>
          <w:lang w:bidi="ar-SA"/>
        </w:rPr>
        <w:t>质量保证期</w:t>
      </w:r>
      <w:r>
        <w:rPr>
          <w:rFonts w:ascii="宋体" w:cs="宋体"/>
          <w:color w:val="auto"/>
          <w:sz w:val="24"/>
          <w:szCs w:val="24"/>
          <w:lang w:bidi="ar-SA"/>
        </w:rPr>
        <w:t>要求</w:t>
      </w:r>
    </w:p>
    <w:p w14:paraId="31E9F72A">
      <w:pPr>
        <w:widowControl/>
        <w:adjustRightInd w:val="0"/>
        <w:snapToGrid w:val="0"/>
        <w:ind w:firstLine="482"/>
        <w:textAlignment w:val="center"/>
        <w:rPr>
          <w:rFonts w:ascii="宋体" w:hAnsi="宋体" w:cs="宋体"/>
          <w:color w:val="auto"/>
          <w:sz w:val="24"/>
          <w:szCs w:val="24"/>
        </w:rPr>
      </w:pPr>
      <w:r>
        <w:rPr>
          <w:rFonts w:ascii="宋体" w:hAnsi="宋体" w:cs="宋体"/>
          <w:color w:val="auto"/>
          <w:sz w:val="24"/>
          <w:szCs w:val="24"/>
          <w:lang w:val="en-US" w:eastAsia="zh-CN"/>
        </w:rPr>
        <w:t>最终验收合格之日起，乙方对所有设备提供整机质保期3年，质保期内，产品出现质量问题，由乙方免费进行维修更换。</w:t>
      </w:r>
    </w:p>
    <w:p w14:paraId="5FAEE6C2">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r>
        <w:rPr>
          <w:rFonts w:ascii="宋体" w:cs="宋体"/>
          <w:color w:val="auto"/>
          <w:sz w:val="24"/>
          <w:szCs w:val="24"/>
          <w:lang w:bidi="ar-SA"/>
        </w:rPr>
        <w:t>五、</w:t>
      </w:r>
      <w:r>
        <w:rPr>
          <w:rFonts w:hint="eastAsia" w:ascii="宋体" w:cs="宋体"/>
          <w:color w:val="auto"/>
          <w:sz w:val="24"/>
          <w:szCs w:val="24"/>
          <w:lang w:bidi="ar-SA"/>
        </w:rPr>
        <w:t>双方权利与义务</w:t>
      </w:r>
      <w:bookmarkEnd w:id="33"/>
      <w:bookmarkEnd w:id="34"/>
      <w:bookmarkEnd w:id="35"/>
    </w:p>
    <w:p w14:paraId="43682AE9">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（一）甲方权责：</w:t>
      </w:r>
    </w:p>
    <w:p w14:paraId="3A903B11">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1．甲方对乙方提供的服务享有监督权；</w:t>
      </w:r>
    </w:p>
    <w:p w14:paraId="54E4E3B3">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2．甲方有对乙方服务提出合理化意见和建议的权利；</w:t>
      </w:r>
    </w:p>
    <w:p w14:paraId="093CA61F">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3．甲方收到正式发票后，有按照合同规定向乙方支付服务费用的义务；</w:t>
      </w:r>
    </w:p>
    <w:p w14:paraId="23A6BADA">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4. 本项目所涉及的知识产权归甲方所有。</w:t>
      </w:r>
    </w:p>
    <w:p w14:paraId="63238E90">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（二）乙方权责：</w:t>
      </w:r>
    </w:p>
    <w:p w14:paraId="47AC650E">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1．乙方负责培训工作人员以满足工作技能要求；</w:t>
      </w:r>
    </w:p>
    <w:p w14:paraId="424110C0">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2.乙方履行本合同时应满足相关法律规定的要求，保证自身具备履行本合同项下义务的资质及能力并在履行合同时采取必要的安全措施，保证服务安全。如因前述原因造成甲方损失或导致甲方承担人身、财产赔偿责任或遭遇行政处罚，乙方应当承担赔偿责任。如由此导致甲方先行承担了赔偿责任，乙方应全额赔偿甲方损失；</w:t>
      </w:r>
    </w:p>
    <w:p w14:paraId="1EBE14B7">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3.乙方进入甲方区域作业的，应遵守甲方的规章制度。作业的安全责任由乙方承担，如因乙方自身原因发生意外或事故造成人身、财产损失的，乙方应自行承担赔偿责任。乙方应约束乙方人员的行为，使之符合有关法律、法规及甲方的规章制度。如因上述人员侵害甲方或第三方权益的，乙方应赔偿甲方或第三方损失。</w:t>
      </w:r>
    </w:p>
    <w:p w14:paraId="3B4EB727">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4.甲方在中华人民共和国境内使用乙方提供的项目内容及服务时免受第三方提出的侵犯其专利权或其它知识产权的起诉。如果第三方提出侵权指控，乙方应承担由此而引起的一切法律责任和费用。</w:t>
      </w:r>
    </w:p>
    <w:p w14:paraId="47BB8B50">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36" w:name="_Toc28260"/>
      <w:bookmarkStart w:id="37" w:name="_Toc30920"/>
      <w:bookmarkStart w:id="38" w:name="_Toc1692"/>
      <w:r>
        <w:rPr>
          <w:rFonts w:ascii="宋体" w:cs="宋体"/>
          <w:color w:val="auto"/>
          <w:sz w:val="24"/>
          <w:szCs w:val="24"/>
          <w:lang w:bidi="ar-SA"/>
        </w:rPr>
        <w:t>六</w:t>
      </w:r>
      <w:r>
        <w:rPr>
          <w:rFonts w:hint="eastAsia" w:ascii="宋体" w:cs="宋体"/>
          <w:color w:val="auto"/>
          <w:sz w:val="24"/>
          <w:szCs w:val="24"/>
          <w:lang w:bidi="ar-SA"/>
        </w:rPr>
        <w:t>、履行期限、地点和方式</w:t>
      </w:r>
      <w:bookmarkEnd w:id="36"/>
      <w:bookmarkEnd w:id="37"/>
      <w:bookmarkEnd w:id="38"/>
    </w:p>
    <w:p w14:paraId="6E8C51F3">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合同履行期限：合同签订后 25个日历日（若乙方投标文件《交付期承诺函》载明的期限短于前述期限，则以承诺函为准）。乙方须在上述期限内完成“重庆海关监控指挥中心大屏改造项目”的全部供货、安装及调试工作，并确保系统正常运行达到合同约定的技术性能指标。</w:t>
      </w:r>
    </w:p>
    <w:p w14:paraId="19E90D86">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合同履行地点：甲方指定地点。</w:t>
      </w:r>
    </w:p>
    <w:p w14:paraId="7479C5B6">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合同履行方式：供货、实施工作由乙方承担。</w:t>
      </w:r>
    </w:p>
    <w:p w14:paraId="5D8FDBFC">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39" w:name="_Toc20026"/>
      <w:bookmarkStart w:id="40" w:name="_Toc28873"/>
      <w:bookmarkStart w:id="41" w:name="_Toc24000"/>
      <w:r>
        <w:rPr>
          <w:rFonts w:ascii="宋体" w:cs="宋体"/>
          <w:color w:val="auto"/>
          <w:sz w:val="24"/>
          <w:szCs w:val="24"/>
          <w:lang w:bidi="ar-SA"/>
        </w:rPr>
        <w:t>七</w:t>
      </w:r>
      <w:r>
        <w:rPr>
          <w:rFonts w:hint="eastAsia" w:ascii="宋体" w:cs="宋体"/>
          <w:color w:val="auto"/>
          <w:sz w:val="24"/>
          <w:szCs w:val="24"/>
          <w:lang w:bidi="ar-SA"/>
        </w:rPr>
        <w:t>、合同费用及支付方式</w:t>
      </w:r>
      <w:bookmarkEnd w:id="39"/>
      <w:bookmarkEnd w:id="40"/>
      <w:bookmarkEnd w:id="41"/>
    </w:p>
    <w:p w14:paraId="68039B1A">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（一）本合同总金额：</w:t>
      </w:r>
      <w:r>
        <w:rPr>
          <w:rFonts w:hint="eastAsia" w:ascii="宋体" w:cs="宋体"/>
          <w:color w:val="auto"/>
          <w:sz w:val="24"/>
          <w:szCs w:val="24"/>
          <w:u w:val="single"/>
        </w:rPr>
        <w:t xml:space="preserve">        </w:t>
      </w:r>
      <w:r>
        <w:rPr>
          <w:rFonts w:hint="eastAsia" w:ascii="宋体" w:cs="宋体"/>
          <w:color w:val="auto"/>
          <w:sz w:val="24"/>
          <w:szCs w:val="24"/>
        </w:rPr>
        <w:t>元，大写：</w:t>
      </w:r>
      <w:r>
        <w:rPr>
          <w:rFonts w:hint="eastAsia" w:ascii="宋体" w:cs="宋体"/>
          <w:color w:val="auto"/>
          <w:sz w:val="24"/>
          <w:szCs w:val="24"/>
          <w:u w:val="single"/>
        </w:rPr>
        <w:t xml:space="preserve">        </w:t>
      </w:r>
      <w:r>
        <w:rPr>
          <w:rFonts w:hint="eastAsia" w:ascii="宋体" w:cs="宋体"/>
          <w:color w:val="auto"/>
          <w:sz w:val="24"/>
          <w:szCs w:val="24"/>
        </w:rPr>
        <w:t>。</w:t>
      </w:r>
    </w:p>
    <w:p w14:paraId="2C39EA04">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1、甲、乙双方签订本服务合同后,乙方提交付款申请并开具合同总金额10%的足额增值税普通发票，甲方在收到付款资料后十个工作日内向乙方指定账户通过转账方式支付合同总金额10%的费用。</w:t>
      </w:r>
    </w:p>
    <w:p w14:paraId="6DB65153">
      <w:pPr>
        <w:widowControl/>
        <w:adjustRightInd w:val="0"/>
        <w:snapToGrid w:val="0"/>
        <w:ind w:firstLine="482"/>
        <w:textAlignment w:val="center"/>
        <w:rPr>
          <w:rFonts w:hint="eastAsia" w:ascii="宋体" w:cs="宋体"/>
          <w:color w:val="auto"/>
          <w:sz w:val="24"/>
          <w:szCs w:val="24"/>
          <w:lang w:bidi="ar-SA"/>
        </w:rPr>
      </w:pPr>
      <w:r>
        <w:rPr>
          <w:rFonts w:hint="eastAsia" w:ascii="宋体" w:cs="宋体"/>
          <w:color w:val="auto"/>
          <w:sz w:val="24"/>
          <w:szCs w:val="24"/>
          <w:lang w:bidi="ar-SA"/>
        </w:rPr>
        <w:t>2、项目全部完成经甲方验收合格后，乙方提交付款申请并开具合同总金额87%的足额增值税普通发票及甲方出具的验收合格报告，甲方在收到付款资料后十个工作日内向乙方指定账户通过转账方式支付合同总金额87%的费用。</w:t>
      </w:r>
    </w:p>
    <w:p w14:paraId="76D044F5">
      <w:pPr>
        <w:widowControl/>
        <w:adjustRightInd w:val="0"/>
        <w:snapToGrid w:val="0"/>
        <w:ind w:firstLine="482"/>
        <w:textAlignment w:val="center"/>
        <w:rPr>
          <w:rFonts w:ascii="宋体" w:cs="宋体"/>
          <w:color w:val="auto"/>
          <w:sz w:val="24"/>
          <w:szCs w:val="24"/>
        </w:rPr>
      </w:pPr>
      <w:r>
        <w:rPr>
          <w:rFonts w:hint="eastAsia" w:ascii="宋体" w:cs="宋体"/>
          <w:color w:val="auto"/>
          <w:sz w:val="24"/>
          <w:szCs w:val="24"/>
          <w:lang w:val="en-US" w:eastAsia="zh-CN" w:bidi="ar-SA"/>
        </w:rPr>
        <w:t>3</w:t>
      </w:r>
      <w:r>
        <w:rPr>
          <w:rFonts w:hint="eastAsia" w:ascii="宋体" w:cs="宋体"/>
          <w:color w:val="auto"/>
          <w:sz w:val="24"/>
          <w:szCs w:val="24"/>
          <w:lang w:bidi="ar-SA"/>
        </w:rPr>
        <w:t>、合同总金额的3%作为质量保证金。质量保证期为</w:t>
      </w:r>
      <w:r>
        <w:rPr>
          <w:rFonts w:ascii="宋体" w:cs="宋体"/>
          <w:color w:val="auto"/>
          <w:sz w:val="24"/>
          <w:szCs w:val="24"/>
          <w:lang w:bidi="ar-SA"/>
        </w:rPr>
        <w:t>3年，</w:t>
      </w:r>
      <w:r>
        <w:rPr>
          <w:rFonts w:hint="eastAsia" w:ascii="宋体" w:cs="宋体"/>
          <w:color w:val="auto"/>
          <w:sz w:val="24"/>
          <w:szCs w:val="24"/>
          <w:lang w:bidi="ar-SA"/>
        </w:rPr>
        <w:t>自项目竣工验收合格签字之日起计算。质保期满且乙方履行了全部质保义务（无重大质量问题或已解决所有遗留故障）后，乙方提交付款申请，甲方在十个工作日内无息支付剩余质保金。若乙方在质保期内未按约定履行维修义务，甲方有权委托第三方维修，费用由质保金中扣除。</w:t>
      </w:r>
    </w:p>
    <w:p w14:paraId="53028502">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乙方银行及账号：</w:t>
      </w:r>
    </w:p>
    <w:p w14:paraId="16C7D24C">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开户单位：</w:t>
      </w:r>
      <w:r>
        <w:rPr>
          <w:rFonts w:hint="eastAsia" w:ascii="宋体" w:cs="宋体"/>
          <w:color w:val="auto"/>
          <w:sz w:val="24"/>
          <w:szCs w:val="24"/>
          <w:u w:val="single"/>
        </w:rPr>
        <w:t xml:space="preserve">                        </w:t>
      </w:r>
    </w:p>
    <w:p w14:paraId="334D46FA">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银行名称：</w:t>
      </w:r>
      <w:r>
        <w:rPr>
          <w:rFonts w:hint="eastAsia" w:ascii="宋体" w:cs="宋体"/>
          <w:color w:val="auto"/>
          <w:sz w:val="24"/>
          <w:szCs w:val="24"/>
          <w:u w:val="single"/>
        </w:rPr>
        <w:t xml:space="preserve">                       </w:t>
      </w:r>
    </w:p>
    <w:p w14:paraId="5E5E3584">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银行账号：</w:t>
      </w:r>
      <w:r>
        <w:rPr>
          <w:rFonts w:hint="eastAsia" w:ascii="宋体" w:cs="宋体"/>
          <w:color w:val="auto"/>
          <w:sz w:val="24"/>
          <w:szCs w:val="24"/>
          <w:u w:val="single"/>
        </w:rPr>
        <w:t xml:space="preserve">                       </w:t>
      </w:r>
    </w:p>
    <w:p w14:paraId="76827800">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社会统一信用代码：</w:t>
      </w:r>
      <w:r>
        <w:rPr>
          <w:rFonts w:hint="eastAsia" w:ascii="宋体" w:cs="宋体"/>
          <w:color w:val="auto"/>
          <w:sz w:val="24"/>
          <w:szCs w:val="24"/>
          <w:u w:val="single"/>
        </w:rPr>
        <w:t xml:space="preserve">                  </w:t>
      </w:r>
    </w:p>
    <w:p w14:paraId="60761F43">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42" w:name="_Toc1918"/>
      <w:bookmarkStart w:id="43" w:name="_Toc25300"/>
      <w:bookmarkStart w:id="44" w:name="_Toc6019"/>
      <w:r>
        <w:rPr>
          <w:rFonts w:ascii="宋体" w:cs="宋体"/>
          <w:color w:val="auto"/>
          <w:sz w:val="24"/>
          <w:szCs w:val="24"/>
          <w:lang w:bidi="ar-SA"/>
        </w:rPr>
        <w:t>八</w:t>
      </w:r>
      <w:r>
        <w:rPr>
          <w:rFonts w:hint="eastAsia" w:ascii="宋体" w:cs="宋体"/>
          <w:color w:val="auto"/>
          <w:sz w:val="24"/>
          <w:szCs w:val="24"/>
          <w:lang w:bidi="ar-SA"/>
        </w:rPr>
        <w:t>、违约责任</w:t>
      </w:r>
      <w:bookmarkEnd w:id="42"/>
      <w:bookmarkEnd w:id="43"/>
      <w:bookmarkEnd w:id="44"/>
    </w:p>
    <w:p w14:paraId="3F0C1544">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（一）甲方未按本合同约定支付到期款项的，每逾期一日，按应付未付金额的5‰（千分之五）向乙方支付违约金。</w:t>
      </w:r>
    </w:p>
    <w:p w14:paraId="0C80C81E">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二）除不可抗力及甲方书面确认顺延外，乙方未按中标文件承诺节点完成货物交付、安装调试或验收合格的，每逾期一日，按合同总金额的5‰（千分之五）支付违约金，累计不超过合同总价的10%；逾期超10日，甲方有权解除合同。</w:t>
      </w:r>
    </w:p>
    <w:p w14:paraId="0009AB42">
      <w:pPr>
        <w:widowControl/>
        <w:adjustRightInd w:val="0"/>
        <w:snapToGrid w:val="0"/>
        <w:ind w:firstLine="482"/>
        <w:textAlignment w:val="center"/>
        <w:rPr>
          <w:rFonts w:ascii="宋体" w:cs="宋体"/>
          <w:color w:val="auto"/>
          <w:sz w:val="24"/>
          <w:szCs w:val="24"/>
        </w:rPr>
      </w:pPr>
      <w:r>
        <w:rPr>
          <w:rFonts w:hint="eastAsia" w:ascii="宋体" w:cs="宋体"/>
          <w:color w:val="auto"/>
          <w:sz w:val="24"/>
          <w:szCs w:val="24"/>
        </w:rPr>
        <w:t>（三）乙方违反中标文件及合同约定的服务承诺，经书面通知合理期限未整改的，按2000元/次计违约金；构成根本违约（含验收不合格、拒不整改、拒不服务、擅自解除等）的，甲方有权解除合同，乙方支付合同总价20%的违约金，并赔偿超出部分损失。</w:t>
      </w:r>
    </w:p>
    <w:p w14:paraId="704221AD">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45" w:name="_Toc21808"/>
      <w:bookmarkStart w:id="46" w:name="_Toc32334"/>
      <w:bookmarkStart w:id="47" w:name="_Toc29288"/>
      <w:r>
        <w:rPr>
          <w:rFonts w:ascii="宋体" w:cs="宋体"/>
          <w:color w:val="auto"/>
          <w:sz w:val="24"/>
          <w:szCs w:val="24"/>
          <w:lang w:bidi="ar-SA"/>
        </w:rPr>
        <w:t>九</w:t>
      </w:r>
      <w:r>
        <w:rPr>
          <w:rFonts w:hint="eastAsia" w:ascii="宋体" w:cs="宋体"/>
          <w:color w:val="auto"/>
          <w:sz w:val="24"/>
          <w:szCs w:val="24"/>
          <w:lang w:bidi="ar-SA"/>
        </w:rPr>
        <w:t>、不可抗力</w:t>
      </w:r>
      <w:bookmarkEnd w:id="45"/>
      <w:bookmarkEnd w:id="46"/>
      <w:bookmarkEnd w:id="47"/>
    </w:p>
    <w:p w14:paraId="1F606DFC">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如发生了不能预见、不能避免并不能克服的不可抗力事件，例如地震、台风、水灾、火灾、战争、暴动等，致使直接影响本合同的履行或者致使无法按约定的条件履行本合同时，遇有上述不可抗力事件的一方，应立即将事件情况通知其他方，并应在不可抗力发生后三日内以书面形式向对方提供详细情况报告及不可抗力对履行本合同的影响程度的说明。合同双方应根据不可抗力对本合同的影响程度，协商确定是否终止本合同。</w:t>
      </w:r>
    </w:p>
    <w:p w14:paraId="2FD8B3C0">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48" w:name="_Toc27447"/>
      <w:bookmarkStart w:id="49" w:name="_Toc22037"/>
      <w:bookmarkStart w:id="50" w:name="_Toc17051"/>
      <w:r>
        <w:rPr>
          <w:rFonts w:ascii="宋体" w:cs="宋体"/>
          <w:color w:val="auto"/>
          <w:sz w:val="24"/>
          <w:szCs w:val="24"/>
          <w:lang w:bidi="ar-SA"/>
        </w:rPr>
        <w:t>十</w:t>
      </w:r>
      <w:r>
        <w:rPr>
          <w:rFonts w:hint="eastAsia" w:ascii="宋体" w:cs="宋体"/>
          <w:color w:val="auto"/>
          <w:sz w:val="24"/>
          <w:szCs w:val="24"/>
          <w:lang w:bidi="ar-SA"/>
        </w:rPr>
        <w:t>、项目合同终止</w:t>
      </w:r>
      <w:bookmarkEnd w:id="48"/>
      <w:bookmarkEnd w:id="49"/>
      <w:bookmarkEnd w:id="50"/>
    </w:p>
    <w:p w14:paraId="7C4E28D5">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由于合同一方不履行合同或严重违反合同，造成合同部分或全部无法履行时，对方除有权向违约方索赔外，还有权部分或全部终止合同。对于部分终止的合同，违约方除应承担第八条规定的责任外，还应继续履行合同的剩余部分。</w:t>
      </w:r>
    </w:p>
    <w:p w14:paraId="550B3CE1">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（一）违约终止合同</w:t>
      </w:r>
    </w:p>
    <w:p w14:paraId="010D6D97">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在甲方对乙方违约而采取的任何补救措施不受影响的情况下，甲方可向乙方发出书面违约通知书，提出终止部分或全部合同：</w:t>
      </w:r>
    </w:p>
    <w:p w14:paraId="5A702283">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1.如果乙方未能在合同规定的期限或甲方根据合同条款的规定同意延长的限期内提供部分或全部的货物或系统产品，达到合同所规定的需求和服务；</w:t>
      </w:r>
    </w:p>
    <w:p w14:paraId="3C3DA573">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2.如果乙方未能履行合同规定的其他任何义务。</w:t>
      </w:r>
    </w:p>
    <w:p w14:paraId="6E06772E">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如果甲方根据上述规定与乙方全部或部分终止合同，经双方协商，甲方可以依其认为适当的条件和方法购买与未交付成果类似的系统软件或服务，乙方应承担甲方因购买类似系统软件或服务而产生的额外支出（支出总额应不超过合同总价的10%）。</w:t>
      </w:r>
    </w:p>
    <w:p w14:paraId="0B353E16">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（二）因破产而终止合同</w:t>
      </w:r>
    </w:p>
    <w:p w14:paraId="331F86ED">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力。</w:t>
      </w:r>
    </w:p>
    <w:p w14:paraId="532A89D4">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（三）因甲方的便利而终止合同</w:t>
      </w:r>
    </w:p>
    <w:p w14:paraId="4FB4FA99">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甲方可在任何时候出于自身的便利，向乙方发出书面通知全部或部分终止合同，终止通知应明确该终止合同是出于甲方的便利，合同终止的程度，以及终止的生效日期。</w:t>
      </w:r>
    </w:p>
    <w:p w14:paraId="655C6F11">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对乙方在收到终止通知后30日内已完成并经甲方验收合格的设备部分及已完工并验收合格的施工部分，甲方应按原合同价和条款予以接收，对剩余未完部分，甲方可选择：</w:t>
      </w:r>
    </w:p>
    <w:p w14:paraId="62CE37D4">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1.指定其中任一部分继续按原合同价格和条款完成并交付；</w:t>
      </w:r>
    </w:p>
    <w:p w14:paraId="7F848FCA">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2.取消剩余部分，并按双方商定的金额向乙方支付已完合格部分价款，以及乙方为履行本合同已实际发生且不可撤销的成本（含已采购定制设备/材料款）。商定金额按原合同单价/中标折扣率折算，双方签订结算补充协议，依政府采购规定报备。</w:t>
      </w:r>
    </w:p>
    <w:p w14:paraId="40D95469">
      <w:pPr>
        <w:widowControl/>
        <w:adjustRightInd w:val="0"/>
        <w:snapToGrid w:val="0"/>
        <w:ind w:firstLine="482"/>
        <w:textAlignment w:val="center"/>
        <w:rPr>
          <w:rFonts w:ascii="宋体" w:cs="宋体"/>
          <w:color w:val="auto"/>
          <w:sz w:val="24"/>
          <w:szCs w:val="24"/>
        </w:rPr>
      </w:pPr>
      <w:r>
        <w:rPr>
          <w:rFonts w:hint="eastAsia" w:ascii="宋体" w:cs="宋体"/>
          <w:color w:val="auto"/>
          <w:sz w:val="24"/>
          <w:szCs w:val="24"/>
        </w:rPr>
        <w:t>无论何种方式，乙方均应配合完成设备清点移交、施工资料及场地交接，质保责任按原合同执行。</w:t>
      </w:r>
    </w:p>
    <w:p w14:paraId="03E04844">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51" w:name="_Toc30512"/>
      <w:bookmarkStart w:id="52" w:name="_Toc17629"/>
      <w:bookmarkStart w:id="53" w:name="_Toc781"/>
      <w:r>
        <w:rPr>
          <w:rFonts w:ascii="宋体" w:cs="宋体"/>
          <w:color w:val="auto"/>
          <w:sz w:val="24"/>
          <w:szCs w:val="24"/>
          <w:lang w:bidi="ar-SA"/>
        </w:rPr>
        <w:t>十一</w:t>
      </w:r>
      <w:r>
        <w:rPr>
          <w:rFonts w:hint="eastAsia" w:ascii="宋体" w:cs="宋体"/>
          <w:color w:val="auto"/>
          <w:sz w:val="24"/>
          <w:szCs w:val="24"/>
          <w:lang w:bidi="ar-SA"/>
        </w:rPr>
        <w:t>、保密条款</w:t>
      </w:r>
      <w:bookmarkEnd w:id="51"/>
      <w:bookmarkEnd w:id="52"/>
      <w:bookmarkEnd w:id="53"/>
    </w:p>
    <w:p w14:paraId="74CAA395">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本系统在改造过程中所涉及的所有信息资料由双方共同认定是否属于保密信息。</w:t>
      </w:r>
    </w:p>
    <w:p w14:paraId="236F0030">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（一）乙方采取积极的防范措施，确保本系统所有信息资料安全、完整。</w:t>
      </w:r>
    </w:p>
    <w:p w14:paraId="78FE87FE">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（二）乙方未经许可不得删改甲方本系统任何信息资料。</w:t>
      </w:r>
    </w:p>
    <w:p w14:paraId="68C88EAF">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（三）乙方不得以任何方式向任何第三方披露甲方本系统所有信息资料及在改造中所获取的信息资料。</w:t>
      </w:r>
    </w:p>
    <w:p w14:paraId="1186286C">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（四）因乙方过错导致甲方本系统涉及的信息资料被泄漏，依据国家相关法律、法规，追究乙方相关法律责任。</w:t>
      </w:r>
    </w:p>
    <w:p w14:paraId="23817A22">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54" w:name="_Toc25967"/>
      <w:bookmarkStart w:id="55" w:name="_Toc29570"/>
      <w:bookmarkStart w:id="56" w:name="_Toc22904"/>
      <w:r>
        <w:rPr>
          <w:rFonts w:hint="eastAsia" w:ascii="宋体" w:cs="宋体"/>
          <w:color w:val="auto"/>
          <w:sz w:val="24"/>
          <w:szCs w:val="24"/>
          <w:lang w:bidi="ar-SA"/>
        </w:rPr>
        <w:t>十</w:t>
      </w:r>
      <w:r>
        <w:rPr>
          <w:rFonts w:ascii="宋体" w:cs="宋体"/>
          <w:color w:val="auto"/>
          <w:sz w:val="24"/>
          <w:szCs w:val="24"/>
          <w:lang w:bidi="ar-SA"/>
        </w:rPr>
        <w:t>二</w:t>
      </w:r>
      <w:r>
        <w:rPr>
          <w:rFonts w:hint="eastAsia" w:ascii="宋体" w:cs="宋体"/>
          <w:color w:val="auto"/>
          <w:sz w:val="24"/>
          <w:szCs w:val="24"/>
          <w:lang w:bidi="ar-SA"/>
        </w:rPr>
        <w:t>、通知与送达</w:t>
      </w:r>
      <w:bookmarkEnd w:id="54"/>
      <w:bookmarkEnd w:id="55"/>
      <w:bookmarkEnd w:id="56"/>
    </w:p>
    <w:p w14:paraId="26113529">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甲乙双方确认在本合同中所载明的地址为双方因履行合同而进行的任何书面资料往来以及司法程序通知送达地址，是双方往来函件及仲裁文书、诉讼文书等司法文书的唯一送达地址，向该地址以快递方式邮寄出前述文书即视为有效送达。任何一方在本合同履行期间变更地址或联系方式，需提前7日以书面通知对方。书面通知变更送达地址到达对方后，送达地址以变更后新送达地址为准。</w:t>
      </w:r>
    </w:p>
    <w:p w14:paraId="752E6B7D">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57" w:name="_Toc12080"/>
      <w:bookmarkStart w:id="58" w:name="_Toc28400"/>
      <w:bookmarkStart w:id="59" w:name="_Toc32244"/>
      <w:r>
        <w:rPr>
          <w:rFonts w:hint="eastAsia" w:ascii="宋体" w:cs="宋体"/>
          <w:color w:val="auto"/>
          <w:sz w:val="24"/>
          <w:szCs w:val="24"/>
          <w:lang w:bidi="ar-SA"/>
        </w:rPr>
        <w:t>十</w:t>
      </w:r>
      <w:r>
        <w:rPr>
          <w:rFonts w:ascii="宋体" w:cs="宋体"/>
          <w:color w:val="auto"/>
          <w:sz w:val="24"/>
          <w:szCs w:val="24"/>
          <w:lang w:bidi="ar-SA"/>
        </w:rPr>
        <w:t>三</w:t>
      </w:r>
      <w:r>
        <w:rPr>
          <w:rFonts w:hint="eastAsia" w:ascii="宋体" w:cs="宋体"/>
          <w:color w:val="auto"/>
          <w:sz w:val="24"/>
          <w:szCs w:val="24"/>
          <w:lang w:bidi="ar-SA"/>
        </w:rPr>
        <w:t>、效力说明</w:t>
      </w:r>
      <w:bookmarkEnd w:id="57"/>
      <w:bookmarkEnd w:id="58"/>
      <w:bookmarkEnd w:id="59"/>
    </w:p>
    <w:p w14:paraId="731292A2">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一）本合同的任何条款或表述均不得被视为对一方权利的放弃，任何违约行为亦不得被免除责任，除非享有权利的一方以书面形式确认弃权或免责。任何一方以明示或暗示的方式同意免除或放弃追究另一方在某方面的违约责任，并不意味着免除或放弃追究该另一方在其他方面或后续发生的违约责任。</w:t>
      </w:r>
    </w:p>
    <w:p w14:paraId="29E075B2">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（二）本合同及其附件中所包含的任何条款在被认为无效或不具有强制执行力的情况下，该条款的无效性或不可执行性不得影响其他条款的法律效力。</w:t>
      </w:r>
    </w:p>
    <w:p w14:paraId="576D4583">
      <w:pPr>
        <w:widowControl/>
        <w:adjustRightInd w:val="0"/>
        <w:snapToGrid w:val="0"/>
        <w:spacing w:before="0" w:after="0" w:line="240" w:lineRule="auto"/>
        <w:ind w:firstLine="482"/>
        <w:textAlignment w:val="center"/>
        <w:outlineLvl w:val="9"/>
        <w:rPr>
          <w:rFonts w:hint="eastAsia" w:ascii="宋体" w:cs="宋体"/>
          <w:color w:val="auto"/>
          <w:sz w:val="24"/>
          <w:szCs w:val="24"/>
          <w:lang w:bidi="ar-SA"/>
        </w:rPr>
      </w:pPr>
      <w:bookmarkStart w:id="60" w:name="_Toc19679"/>
      <w:bookmarkStart w:id="61" w:name="_Toc14561"/>
      <w:bookmarkStart w:id="62" w:name="_Toc14236"/>
      <w:r>
        <w:rPr>
          <w:rFonts w:hint="eastAsia" w:ascii="宋体" w:cs="宋体"/>
          <w:color w:val="auto"/>
          <w:sz w:val="24"/>
          <w:szCs w:val="24"/>
          <w:lang w:bidi="ar-SA"/>
        </w:rPr>
        <w:t>十</w:t>
      </w:r>
      <w:r>
        <w:rPr>
          <w:rFonts w:ascii="宋体" w:cs="宋体"/>
          <w:color w:val="auto"/>
          <w:sz w:val="24"/>
          <w:szCs w:val="24"/>
          <w:lang w:bidi="ar-SA"/>
        </w:rPr>
        <w:t>四</w:t>
      </w:r>
      <w:r>
        <w:rPr>
          <w:rFonts w:hint="eastAsia" w:ascii="宋体" w:cs="宋体"/>
          <w:color w:val="auto"/>
          <w:sz w:val="24"/>
          <w:szCs w:val="24"/>
          <w:lang w:bidi="ar-SA"/>
        </w:rPr>
        <w:t>、 附则</w:t>
      </w:r>
      <w:bookmarkEnd w:id="60"/>
      <w:bookmarkEnd w:id="61"/>
      <w:bookmarkEnd w:id="62"/>
    </w:p>
    <w:p w14:paraId="291EE2E7">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（一）本合同经甲、乙双方签字并盖章后生效。未尽事宜经两方协商一致后，可另写补充协议作为附件。</w:t>
      </w:r>
    </w:p>
    <w:p w14:paraId="3F53F2BD">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（二）凡由本合同引起的或与解释、执行本合同有关的任何争议，双方应首先通过友好协商或调解的方式解决。协商或调解不成时，可向乙方所在地有管辖权的人民法院提起诉讼解决。</w:t>
      </w:r>
    </w:p>
    <w:p w14:paraId="24A61598">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（三）磋商文件及澄清、响应文件及承诺是本合同不可分割的部分。</w:t>
      </w:r>
    </w:p>
    <w:p w14:paraId="5DBB299F">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（四）本合同壹式肆份，双方各执两份，均具有同等法律效力。</w:t>
      </w:r>
    </w:p>
    <w:p w14:paraId="0B6C9116">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甲方（盖章）：                          乙方（盖章）：</w:t>
      </w:r>
    </w:p>
    <w:p w14:paraId="56D8C4EE">
      <w:pPr>
        <w:widowControl/>
        <w:adjustRightInd w:val="0"/>
        <w:snapToGrid w:val="0"/>
        <w:ind w:firstLine="482"/>
        <w:textAlignment w:val="center"/>
        <w:rPr>
          <w:rFonts w:hint="eastAsia" w:ascii="宋体" w:cs="宋体"/>
          <w:color w:val="auto"/>
          <w:sz w:val="24"/>
          <w:szCs w:val="24"/>
          <w:lang w:eastAsia="zh-CN"/>
        </w:rPr>
      </w:pPr>
      <w:r>
        <w:rPr>
          <w:rFonts w:hint="eastAsia" w:ascii="宋体" w:cs="宋体"/>
          <w:color w:val="auto"/>
          <w:sz w:val="24"/>
          <w:szCs w:val="24"/>
          <w:lang w:eastAsia="zh-CN"/>
        </w:rPr>
        <w:t>送达地址：</w:t>
      </w:r>
      <w:r>
        <w:rPr>
          <w:rFonts w:hint="eastAsia" w:ascii="宋体" w:cs="宋体"/>
          <w:color w:val="auto"/>
          <w:sz w:val="24"/>
          <w:szCs w:val="24"/>
        </w:rPr>
        <w:t xml:space="preserve">                              </w:t>
      </w:r>
      <w:r>
        <w:rPr>
          <w:rFonts w:hint="eastAsia" w:ascii="宋体" w:cs="宋体"/>
          <w:color w:val="auto"/>
          <w:sz w:val="24"/>
          <w:szCs w:val="24"/>
          <w:lang w:eastAsia="zh-CN"/>
        </w:rPr>
        <w:t>送达地址：</w:t>
      </w:r>
      <w:r>
        <w:rPr>
          <w:rFonts w:hint="eastAsia" w:ascii="宋体" w:cs="宋体"/>
          <w:color w:val="auto"/>
          <w:sz w:val="24"/>
          <w:szCs w:val="24"/>
        </w:rPr>
        <w:t xml:space="preserve"> </w:t>
      </w:r>
      <w:r>
        <w:rPr>
          <w:rFonts w:hint="eastAsia" w:ascii="宋体" w:cs="宋体"/>
          <w:color w:val="auto"/>
          <w:sz w:val="24"/>
          <w:szCs w:val="24"/>
          <w:lang w:eastAsia="zh-CN"/>
        </w:rPr>
        <w:t xml:space="preserve">                 </w:t>
      </w:r>
    </w:p>
    <w:p w14:paraId="3473B928">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法定代表人                            法定代表人</w:t>
      </w:r>
    </w:p>
    <w:p w14:paraId="3A674743">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 xml:space="preserve">或授权代表人（签字）：                 或授权代表人（签字）： </w:t>
      </w:r>
    </w:p>
    <w:p w14:paraId="34D431F7">
      <w:pPr>
        <w:widowControl/>
        <w:adjustRightInd w:val="0"/>
        <w:snapToGrid w:val="0"/>
        <w:ind w:firstLine="482"/>
        <w:textAlignment w:val="center"/>
        <w:rPr>
          <w:rFonts w:hint="eastAsia" w:ascii="宋体" w:cs="宋体"/>
          <w:color w:val="auto"/>
          <w:sz w:val="24"/>
          <w:szCs w:val="24"/>
        </w:rPr>
      </w:pPr>
    </w:p>
    <w:p w14:paraId="759F2F85">
      <w:pPr>
        <w:widowControl/>
        <w:adjustRightInd w:val="0"/>
        <w:snapToGrid w:val="0"/>
        <w:ind w:firstLine="482"/>
        <w:textAlignment w:val="center"/>
        <w:rPr>
          <w:rFonts w:hint="eastAsia" w:ascii="宋体" w:cs="宋体"/>
          <w:color w:val="auto"/>
          <w:sz w:val="24"/>
          <w:szCs w:val="24"/>
        </w:rPr>
      </w:pPr>
      <w:r>
        <w:rPr>
          <w:rFonts w:hint="eastAsia" w:ascii="宋体" w:cs="宋体"/>
          <w:color w:val="auto"/>
          <w:sz w:val="24"/>
          <w:szCs w:val="24"/>
        </w:rPr>
        <w:t>联系电话：                           联系电话：</w:t>
      </w:r>
    </w:p>
    <w:p w14:paraId="2DA019D6">
      <w:pPr>
        <w:widowControl/>
        <w:adjustRightInd w:val="0"/>
        <w:snapToGrid w:val="0"/>
        <w:ind w:firstLine="482"/>
        <w:textAlignment w:val="center"/>
        <w:rPr>
          <w:rFonts w:ascii="宋体" w:cs="宋体"/>
          <w:color w:val="auto"/>
          <w:sz w:val="24"/>
          <w:szCs w:val="24"/>
        </w:rPr>
      </w:pPr>
      <w:r>
        <w:rPr>
          <w:rFonts w:hint="eastAsia" w:ascii="宋体" w:cs="宋体"/>
          <w:color w:val="auto"/>
          <w:sz w:val="24"/>
          <w:szCs w:val="24"/>
        </w:rPr>
        <w:t>签约时间：                           签约时间：</w:t>
      </w:r>
    </w:p>
    <w:p w14:paraId="2FD72D55">
      <w:pPr>
        <w:keepNext w:val="0"/>
        <w:keepLines w:val="0"/>
        <w:pageBreakBefore w:val="0"/>
        <w:widowControl/>
        <w:kinsoku/>
        <w:wordWrap/>
        <w:overflowPunct/>
        <w:topLinePunct w:val="0"/>
        <w:autoSpaceDE/>
        <w:autoSpaceDN/>
        <w:bidi w:val="0"/>
        <w:adjustRightInd w:val="0"/>
        <w:snapToGrid w:val="0"/>
        <w:spacing w:line="240" w:lineRule="auto"/>
        <w:ind w:firstLine="482" w:firstLineChars="0"/>
        <w:textAlignment w:val="center"/>
        <w:rPr>
          <w:rFonts w:hint="eastAsia" w:ascii="宋体" w:eastAsia="宋体" w:cs="宋体"/>
          <w:b/>
          <w:bCs/>
          <w:color w:val="auto"/>
          <w:sz w:val="24"/>
          <w:szCs w:val="24"/>
          <w:lang w:val="en-US" w:eastAsia="zh-CN"/>
        </w:rPr>
      </w:pPr>
    </w:p>
    <w:p w14:paraId="48D754F6">
      <w:pPr>
        <w:keepNext w:val="0"/>
        <w:keepLines w:val="0"/>
        <w:pageBreakBefore w:val="0"/>
        <w:widowControl/>
        <w:kinsoku/>
        <w:wordWrap/>
        <w:overflowPunct/>
        <w:topLinePunct w:val="0"/>
        <w:autoSpaceDE/>
        <w:autoSpaceDN/>
        <w:bidi w:val="0"/>
        <w:adjustRightInd w:val="0"/>
        <w:snapToGrid w:val="0"/>
        <w:spacing w:line="240" w:lineRule="auto"/>
        <w:ind w:firstLine="482" w:firstLineChars="0"/>
        <w:textAlignment w:val="center"/>
        <w:rPr>
          <w:rFonts w:hint="eastAsia" w:ascii="宋体" w:hAnsi="Times New Roman" w:eastAsia="宋体" w:cs="宋体"/>
          <w:b/>
          <w:bCs/>
          <w:color w:val="auto"/>
          <w:sz w:val="24"/>
          <w:szCs w:val="24"/>
        </w:rPr>
      </w:pPr>
      <w:r>
        <w:rPr>
          <w:rFonts w:hint="eastAsia" w:ascii="宋体" w:eastAsia="宋体" w:cs="宋体"/>
          <w:b/>
          <w:bCs/>
          <w:color w:val="auto"/>
          <w:sz w:val="24"/>
          <w:szCs w:val="24"/>
          <w:lang w:val="en-US" w:eastAsia="zh-CN"/>
        </w:rPr>
        <w:t>六</w:t>
      </w:r>
      <w:r>
        <w:rPr>
          <w:rFonts w:hint="eastAsia" w:ascii="宋体" w:hAnsi="Times New Roman" w:eastAsia="宋体" w:cs="宋体"/>
          <w:b/>
          <w:bCs/>
          <w:color w:val="auto"/>
          <w:sz w:val="24"/>
          <w:szCs w:val="24"/>
        </w:rPr>
        <w:t>、相关时间调整如下：</w:t>
      </w:r>
    </w:p>
    <w:p w14:paraId="7169BA59">
      <w:pPr>
        <w:keepNext w:val="0"/>
        <w:keepLines w:val="0"/>
        <w:pageBreakBefore w:val="0"/>
        <w:widowControl/>
        <w:kinsoku/>
        <w:wordWrap/>
        <w:overflowPunct/>
        <w:topLinePunct w:val="0"/>
        <w:autoSpaceDE/>
        <w:autoSpaceDN/>
        <w:bidi w:val="0"/>
        <w:adjustRightInd w:val="0"/>
        <w:snapToGrid w:val="0"/>
        <w:spacing w:line="240" w:lineRule="auto"/>
        <w:ind w:firstLine="482" w:firstLineChars="0"/>
        <w:textAlignment w:val="center"/>
        <w:rPr>
          <w:rFonts w:hint="eastAsia" w:ascii="宋体" w:hAnsi="Times New Roman" w:eastAsia="宋体" w:cs="宋体"/>
          <w:color w:val="auto"/>
          <w:sz w:val="24"/>
          <w:szCs w:val="24"/>
        </w:rPr>
      </w:pPr>
      <w:r>
        <w:rPr>
          <w:rFonts w:hint="eastAsia" w:ascii="宋体" w:hAnsi="Times New Roman" w:eastAsia="宋体" w:cs="宋体"/>
          <w:color w:val="auto"/>
          <w:sz w:val="24"/>
          <w:szCs w:val="24"/>
        </w:rPr>
        <w:t>（一）</w:t>
      </w:r>
      <w:r>
        <w:rPr>
          <w:rFonts w:hint="eastAsia" w:ascii="宋体" w:eastAsia="宋体" w:cs="宋体"/>
          <w:color w:val="auto"/>
          <w:sz w:val="24"/>
          <w:szCs w:val="24"/>
          <w:lang w:bidi="ar-SA"/>
        </w:rPr>
        <w:t>响应文件提交</w:t>
      </w:r>
      <w:r>
        <w:rPr>
          <w:rFonts w:hint="eastAsia" w:ascii="宋体" w:hAnsi="Times New Roman" w:eastAsia="宋体" w:cs="宋体"/>
          <w:color w:val="auto"/>
          <w:sz w:val="24"/>
          <w:szCs w:val="24"/>
        </w:rPr>
        <w:t>截止时间：2026年</w:t>
      </w:r>
      <w:r>
        <w:rPr>
          <w:rFonts w:hint="eastAsia" w:ascii="宋体" w:eastAsia="宋体" w:cs="宋体"/>
          <w:color w:val="auto"/>
          <w:sz w:val="24"/>
          <w:szCs w:val="24"/>
          <w:lang w:val="en-US" w:eastAsia="zh-CN"/>
        </w:rPr>
        <w:t>9</w:t>
      </w:r>
      <w:r>
        <w:rPr>
          <w:rFonts w:hint="eastAsia" w:ascii="宋体" w:hAnsi="Times New Roman" w:eastAsia="宋体" w:cs="宋体"/>
          <w:color w:val="auto"/>
          <w:sz w:val="24"/>
          <w:szCs w:val="24"/>
        </w:rPr>
        <w:t>月</w:t>
      </w:r>
      <w:r>
        <w:rPr>
          <w:rFonts w:hint="eastAsia" w:ascii="宋体" w:hAnsi="Times New Roman" w:eastAsia="宋体" w:cs="宋体"/>
          <w:color w:val="auto"/>
          <w:sz w:val="24"/>
          <w:szCs w:val="24"/>
          <w:lang w:val="en-US" w:eastAsia="zh-CN"/>
        </w:rPr>
        <w:t>17</w:t>
      </w:r>
      <w:r>
        <w:rPr>
          <w:rFonts w:hint="eastAsia" w:ascii="宋体" w:hAnsi="Times New Roman" w:eastAsia="宋体" w:cs="宋体"/>
          <w:color w:val="auto"/>
          <w:sz w:val="24"/>
          <w:szCs w:val="24"/>
        </w:rPr>
        <w:t>日北京时间10:00</w:t>
      </w:r>
    </w:p>
    <w:p w14:paraId="2565C61E">
      <w:pPr>
        <w:widowControl/>
        <w:adjustRightInd w:val="0"/>
        <w:snapToGrid w:val="0"/>
        <w:ind w:firstLine="482"/>
        <w:textAlignment w:val="center"/>
        <w:rPr>
          <w:rFonts w:hint="eastAsia" w:ascii="宋体" w:eastAsia="宋体" w:cs="宋体"/>
          <w:b w:val="0"/>
          <w:bCs w:val="0"/>
          <w:color w:val="auto"/>
          <w:sz w:val="24"/>
          <w:szCs w:val="24"/>
        </w:rPr>
      </w:pPr>
      <w:r>
        <w:rPr>
          <w:rFonts w:hint="eastAsia" w:ascii="宋体" w:hAnsi="Times New Roman" w:eastAsia="宋体" w:cs="宋体"/>
          <w:color w:val="auto"/>
          <w:sz w:val="24"/>
          <w:szCs w:val="24"/>
        </w:rPr>
        <w:t>（二）</w:t>
      </w:r>
      <w:r>
        <w:rPr>
          <w:rFonts w:hint="eastAsia" w:ascii="宋体" w:eastAsia="宋体" w:cs="宋体"/>
          <w:color w:val="auto"/>
          <w:sz w:val="24"/>
          <w:szCs w:val="24"/>
          <w:lang w:val="en-US" w:eastAsia="zh-CN"/>
        </w:rPr>
        <w:t>开启</w:t>
      </w:r>
      <w:r>
        <w:rPr>
          <w:rFonts w:hint="eastAsia" w:ascii="宋体" w:hAnsi="Times New Roman" w:eastAsia="宋体" w:cs="宋体"/>
          <w:color w:val="auto"/>
          <w:sz w:val="24"/>
          <w:szCs w:val="24"/>
        </w:rPr>
        <w:t>时间</w:t>
      </w:r>
      <w:r>
        <w:rPr>
          <w:rFonts w:hint="eastAsia" w:ascii="宋体" w:hAnsi="Times New Roman" w:eastAsia="宋体" w:cs="宋体"/>
          <w:color w:val="auto"/>
          <w:sz w:val="24"/>
          <w:szCs w:val="24"/>
          <w:lang w:val="en-US" w:eastAsia="zh-CN"/>
        </w:rPr>
        <w:t>为</w:t>
      </w:r>
      <w:r>
        <w:rPr>
          <w:rFonts w:hint="eastAsia" w:ascii="宋体" w:hAnsi="Times New Roman" w:eastAsia="宋体" w:cs="宋体"/>
          <w:color w:val="auto"/>
          <w:sz w:val="24"/>
          <w:szCs w:val="24"/>
        </w:rPr>
        <w:t>：</w:t>
      </w:r>
      <w:r>
        <w:rPr>
          <w:rFonts w:hint="eastAsia" w:ascii="宋体" w:hAnsi="Times New Roman" w:eastAsia="宋体" w:cs="宋体"/>
          <w:color w:val="auto"/>
          <w:sz w:val="24"/>
          <w:szCs w:val="24"/>
          <w:lang w:val="en-US" w:eastAsia="zh-CN"/>
        </w:rPr>
        <w:t>2026</w:t>
      </w:r>
      <w:r>
        <w:rPr>
          <w:rFonts w:hint="eastAsia" w:ascii="宋体" w:hAnsi="Times New Roman" w:eastAsia="宋体" w:cs="宋体"/>
          <w:color w:val="auto"/>
          <w:sz w:val="24"/>
          <w:szCs w:val="24"/>
        </w:rPr>
        <w:t>年</w:t>
      </w:r>
      <w:r>
        <w:rPr>
          <w:rFonts w:hint="eastAsia" w:ascii="宋体" w:eastAsia="宋体" w:cs="宋体"/>
          <w:color w:val="auto"/>
          <w:sz w:val="24"/>
          <w:szCs w:val="24"/>
          <w:lang w:val="en-US" w:eastAsia="zh-CN"/>
        </w:rPr>
        <w:t>9</w:t>
      </w:r>
      <w:r>
        <w:rPr>
          <w:rFonts w:hint="eastAsia" w:ascii="宋体" w:hAnsi="Times New Roman" w:eastAsia="宋体" w:cs="宋体"/>
          <w:color w:val="auto"/>
          <w:sz w:val="24"/>
          <w:szCs w:val="24"/>
        </w:rPr>
        <w:t>月</w:t>
      </w:r>
      <w:r>
        <w:rPr>
          <w:rFonts w:hint="eastAsia" w:ascii="宋体" w:hAnsi="Times New Roman" w:eastAsia="宋体" w:cs="宋体"/>
          <w:color w:val="auto"/>
          <w:sz w:val="24"/>
          <w:szCs w:val="24"/>
          <w:lang w:val="en-US" w:eastAsia="zh-CN"/>
        </w:rPr>
        <w:t>17</w:t>
      </w:r>
      <w:r>
        <w:rPr>
          <w:rFonts w:hint="eastAsia" w:ascii="宋体" w:hAnsi="Times New Roman" w:eastAsia="宋体" w:cs="宋体"/>
          <w:color w:val="auto"/>
          <w:sz w:val="24"/>
          <w:szCs w:val="24"/>
        </w:rPr>
        <w:t>日北京时间</w:t>
      </w:r>
      <w:r>
        <w:rPr>
          <w:rFonts w:hint="eastAsia" w:ascii="宋体" w:hAnsi="Times New Roman" w:eastAsia="宋体" w:cs="宋体"/>
          <w:color w:val="auto"/>
          <w:sz w:val="24"/>
          <w:szCs w:val="24"/>
          <w:lang w:val="en-US" w:eastAsia="zh-CN"/>
        </w:rPr>
        <w:t>10:00</w:t>
      </w:r>
      <w:r>
        <w:rPr>
          <w:rFonts w:hint="eastAsia" w:ascii="宋体" w:hAnsi="Times New Roman" w:eastAsia="宋体" w:cs="宋体"/>
          <w:color w:val="auto"/>
          <w:sz w:val="24"/>
          <w:szCs w:val="24"/>
          <w:lang w:eastAsia="zh-CN"/>
        </w:rPr>
        <w:t>。</w:t>
      </w:r>
    </w:p>
    <w:p w14:paraId="7D91C73D">
      <w:pPr>
        <w:widowControl/>
        <w:adjustRightInd w:val="0"/>
        <w:snapToGrid w:val="0"/>
        <w:ind w:firstLine="567"/>
        <w:textAlignment w:val="center"/>
        <w:rPr>
          <w:rFonts w:ascii="宋体" w:cs="宋体"/>
          <w:b/>
          <w:bCs/>
          <w:color w:val="auto"/>
          <w:sz w:val="24"/>
          <w:szCs w:val="24"/>
        </w:rPr>
      </w:pPr>
    </w:p>
    <w:p w14:paraId="78EA41AF">
      <w:pPr>
        <w:widowControl/>
        <w:adjustRightInd w:val="0"/>
        <w:snapToGrid w:val="0"/>
        <w:ind w:firstLine="567"/>
        <w:textAlignment w:val="center"/>
        <w:rPr>
          <w:rFonts w:hint="eastAsia" w:ascii="宋体" w:cs="宋体"/>
          <w:b/>
          <w:bCs/>
          <w:color w:val="auto"/>
          <w:sz w:val="24"/>
          <w:szCs w:val="24"/>
        </w:rPr>
      </w:pPr>
      <w:r>
        <w:rPr>
          <w:rFonts w:ascii="宋体" w:cs="宋体"/>
          <w:b/>
          <w:bCs/>
          <w:color w:val="auto"/>
          <w:sz w:val="24"/>
          <w:szCs w:val="24"/>
        </w:rPr>
        <w:t>除以上更正内容外，原磋商文件中有与本更正公告内容不符的事项，以本更正公告为准。</w:t>
      </w:r>
    </w:p>
    <w:p w14:paraId="675F0DD3">
      <w:pPr>
        <w:spacing w:line="600" w:lineRule="exact"/>
        <w:ind w:firstLine="480" w:firstLineChars="200"/>
        <w:rPr>
          <w:rFonts w:ascii="宋体" w:hAnsi="宋体" w:cs="宋体"/>
          <w:color w:val="auto"/>
          <w:sz w:val="24"/>
          <w:szCs w:val="24"/>
        </w:rPr>
      </w:pPr>
    </w:p>
    <w:p w14:paraId="18201A70">
      <w:pPr>
        <w:spacing w:line="600" w:lineRule="exact"/>
        <w:ind w:firstLine="480" w:firstLineChars="200"/>
        <w:jc w:val="right"/>
        <w:rPr>
          <w:rFonts w:ascii="宋体" w:hAnsi="宋体" w:cs="宋体"/>
          <w:color w:val="auto"/>
          <w:sz w:val="24"/>
          <w:szCs w:val="24"/>
        </w:rPr>
      </w:pPr>
      <w:r>
        <w:rPr>
          <w:rFonts w:hint="eastAsia" w:ascii="宋体" w:hAnsi="宋体" w:cs="宋体"/>
          <w:color w:val="auto"/>
          <w:sz w:val="24"/>
          <w:szCs w:val="24"/>
        </w:rPr>
        <w:t>采购人：中华人民共和国重庆海关</w:t>
      </w:r>
    </w:p>
    <w:p w14:paraId="24CF1149">
      <w:pPr>
        <w:spacing w:line="600" w:lineRule="exact"/>
        <w:ind w:firstLine="480" w:firstLineChars="200"/>
        <w:jc w:val="right"/>
        <w:rPr>
          <w:rFonts w:ascii="宋体" w:hAnsi="宋体" w:cs="宋体"/>
          <w:color w:val="auto"/>
          <w:sz w:val="24"/>
          <w:szCs w:val="24"/>
        </w:rPr>
      </w:pPr>
      <w:r>
        <w:rPr>
          <w:rFonts w:hint="eastAsia" w:ascii="宋体" w:hAnsi="宋体" w:cs="宋体"/>
          <w:color w:val="auto"/>
          <w:sz w:val="24"/>
          <w:szCs w:val="24"/>
        </w:rPr>
        <w:t xml:space="preserve">采购代理机构：重庆欣宏达项目管理有限公司          </w:t>
      </w:r>
    </w:p>
    <w:p w14:paraId="4290E81F">
      <w:pPr>
        <w:spacing w:line="600" w:lineRule="exact"/>
        <w:ind w:left="8143" w:leftChars="2394" w:hanging="1440" w:hangingChars="600"/>
        <w:jc w:val="right"/>
        <w:rPr>
          <w:rFonts w:ascii="宋体" w:hAnsi="宋体" w:cs="宋体"/>
          <w:color w:val="auto"/>
          <w:sz w:val="24"/>
          <w:szCs w:val="24"/>
          <w:highlight w:val="none"/>
        </w:rPr>
      </w:pPr>
      <w:r>
        <w:rPr>
          <w:rFonts w:hint="eastAsia" w:ascii="宋体" w:hAnsi="宋体" w:cs="宋体"/>
          <w:color w:val="auto"/>
          <w:sz w:val="24"/>
          <w:szCs w:val="24"/>
          <w:highlight w:val="none"/>
        </w:rPr>
        <w:t>2026年9</w:t>
      </w:r>
      <w:r>
        <w:rPr>
          <w:rFonts w:hint="eastAsia" w:ascii="宋体" w:hAnsi="宋体" w:cs="宋体"/>
          <w:color w:val="auto"/>
          <w:sz w:val="24"/>
          <w:szCs w:val="24"/>
          <w:highlight w:val="none"/>
          <w:lang w:val="en-US" w:eastAsia="zh-CN"/>
        </w:rPr>
        <w:t>月11</w:t>
      </w:r>
      <w:r>
        <w:rPr>
          <w:rFonts w:hint="eastAsia" w:ascii="宋体" w:hAnsi="宋体" w:cs="宋体"/>
          <w:color w:val="auto"/>
          <w:sz w:val="24"/>
          <w:szCs w:val="24"/>
          <w:highlight w:val="none"/>
        </w:rPr>
        <w:t>日</w:t>
      </w:r>
    </w:p>
    <w:sectPr>
      <w:headerReference r:id="rId3" w:type="default"/>
      <w:footerReference r:id="rId4" w:type="default"/>
      <w:pgSz w:w="11906" w:h="16838"/>
      <w:pgMar w:top="1440" w:right="1080" w:bottom="1440" w:left="1080" w:header="1157"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w:altName w:val="Lucida Sans Unicode"/>
    <w:panose1 w:val="020B0602030504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兰亭黑_GBK">
    <w:altName w:val="微软雅黑"/>
    <w:panose1 w:val="02000000000000000000"/>
    <w:charset w:val="86"/>
    <w:family w:val="script"/>
    <w:pitch w:val="default"/>
    <w:sig w:usb0="00000000" w:usb1="00000000" w:usb2="00080016"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066C0">
    <w:pPr>
      <w:snapToGrid w:val="0"/>
      <w:ind w:firstLine="360"/>
      <w:rPr>
        <w:rFonts w:ascii="Calibri" w:hAnsi="Calibri"/>
        <w:sz w:val="18"/>
      </w:rPr>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45415" cy="133350"/>
              <wp:effectExtent l="0" t="0" r="0" b="0"/>
              <wp:wrapNone/>
              <wp:docPr id="1" name="文本框 12 3"/>
              <wp:cNvGraphicFramePr/>
              <a:graphic xmlns:a="http://schemas.openxmlformats.org/drawingml/2006/main">
                <a:graphicData uri="http://schemas.microsoft.com/office/word/2010/wordprocessingShape">
                  <wps:wsp>
                    <wps:cNvSpPr/>
                    <wps:spPr>
                      <a:xfrm>
                        <a:off x="0" y="0"/>
                        <a:ext cx="145389" cy="133159"/>
                      </a:xfrm>
                      <a:prstGeom prst="rect">
                        <a:avLst/>
                      </a:prstGeom>
                      <a:noFill/>
                      <a:ln w="6350" cap="flat" cmpd="sng">
                        <a:noFill/>
                        <a:prstDash val="solid"/>
                        <a:round/>
                      </a:ln>
                    </wps:spPr>
                    <wps:txbx>
                      <w:txbxContent>
                        <w:p w14:paraId="1E0141DB">
                          <w:pPr>
                            <w:pStyle w:val="19"/>
                          </w:pPr>
                          <w:r>
                            <w:fldChar w:fldCharType="begin"/>
                          </w:r>
                          <w:r>
                            <w:instrText xml:space="preserve"> PAGE  \* MERGEFORMAT </w:instrText>
                          </w:r>
                          <w:r>
                            <w:fldChar w:fldCharType="separate"/>
                          </w:r>
                          <w:r>
                            <w:t>5</w:t>
                          </w:r>
                          <w:r>
                            <w:fldChar w:fldCharType="end"/>
                          </w:r>
                        </w:p>
                      </w:txbxContent>
                    </wps:txbx>
                    <wps:bodyPr vert="horz" wrap="none" lIns="0" tIns="0" rIns="0" bIns="0" anchor="t" anchorCtr="0" upright="1">
                      <a:spAutoFit/>
                    </wps:bodyPr>
                  </wps:wsp>
                </a:graphicData>
              </a:graphic>
            </wp:anchor>
          </w:drawing>
        </mc:Choice>
        <mc:Fallback>
          <w:pict>
            <v:rect id="文本框 12 3" o:spid="_x0000_s1026" o:spt="1" style="position:absolute;left:0pt;margin-top:0pt;height:10.5pt;width:11.45pt;mso-position-horizontal:center;mso-position-horizontal-relative:margin;mso-wrap-style:none;z-index:251659264;mso-width-relative:page;mso-height-relative:page;" filled="f" stroked="f" coordsize="21600,21600" o:gfxdata="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vQb7h1QAAAAMBAAAPAAAAAAAAAAEAIAAAACIAAABkcnMv&#10;ZG93bnJldi54bWxQSwECFAAUAAAACACHTuJAHR9ABwYCAAD3AwAADgAAAAAAAAABACAAAAAkAQAA&#10;ZHJzL2Uyb0RvYy54bWxQSwUGAAAAAAYABgBZAQAAnAUAAAAA&#10;">
              <v:fill on="f" focussize="0,0"/>
              <v:stroke on="f" weight="0.5pt" joinstyle="round"/>
              <v:imagedata o:title=""/>
              <o:lock v:ext="edit" aspectratio="f"/>
              <v:textbox inset="0mm,0mm,0mm,0mm" style="mso-fit-shape-to-text:t;">
                <w:txbxContent>
                  <w:p w14:paraId="1E0141DB">
                    <w:pPr>
                      <w:pStyle w:val="19"/>
                    </w:pPr>
                    <w:r>
                      <w:fldChar w:fldCharType="begin"/>
                    </w:r>
                    <w:r>
                      <w:instrText xml:space="preserve"> PAGE  \* MERGEFORMAT </w:instrText>
                    </w:r>
                    <w:r>
                      <w:fldChar w:fldCharType="separate"/>
                    </w:r>
                    <w:r>
                      <w:t>5</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F952E">
    <w:pPr>
      <w:pStyle w:val="20"/>
      <w:jc w:val="left"/>
      <w:rPr>
        <w:rFonts w:ascii="宋体" w:hAnsi="宋体" w:cs="宋体"/>
        <w:color w:val="595959"/>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9C0C8"/>
    <w:multiLevelType w:val="multilevel"/>
    <w:tmpl w:val="8379C0C8"/>
    <w:lvl w:ilvl="0" w:tentative="0">
      <w:start w:val="1"/>
      <w:numFmt w:val="bullet"/>
      <w:pStyle w:val="34"/>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trackRevisions w:val="1"/>
  <w:documentProtection w:edit="readOnly" w:enforcement="0"/>
  <w:defaultTabStop w:val="420"/>
  <w:drawingGridHorizontalSpacing w:val="140"/>
  <w:drawingGridVerticalSpacing w:val="156"/>
  <w:displayHorizontalDrawingGridEvery w:val="0"/>
  <w:displayVerticalDrawingGridEvery w:val="1"/>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MzEwNTM5NzYwMDRjMzkwZTVkZjY2ODkwMGIxNGU0OTUifQ=="/>
  </w:docVars>
  <w:rsids>
    <w:rsidRoot w:val="00000000"/>
    <w:rsid w:val="34C7108E"/>
    <w:rsid w:val="592828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8"/>
      <w:szCs w:val="20"/>
      <w:lang w:val="en-US" w:eastAsia="zh-CN" w:bidi="ar-SA"/>
    </w:rPr>
  </w:style>
  <w:style w:type="paragraph" w:styleId="2">
    <w:name w:val="heading 1"/>
    <w:basedOn w:val="1"/>
    <w:next w:val="1"/>
    <w:autoRedefine/>
    <w:qFormat/>
    <w:uiPriority w:val="0"/>
    <w:pPr>
      <w:keepNext/>
      <w:keepLines/>
      <w:widowControl w:val="0"/>
      <w:spacing w:line="360" w:lineRule="auto"/>
      <w:jc w:val="center"/>
      <w:outlineLvl w:val="0"/>
    </w:pPr>
    <w:rPr>
      <w:b/>
      <w:kern w:val="44"/>
      <w:sz w:val="30"/>
    </w:rPr>
  </w:style>
  <w:style w:type="paragraph" w:styleId="3">
    <w:name w:val="heading 2"/>
    <w:basedOn w:val="1"/>
    <w:next w:val="1"/>
    <w:autoRedefine/>
    <w:uiPriority w:val="0"/>
    <w:pPr>
      <w:keepNext/>
      <w:keepLines/>
      <w:widowControl w:val="0"/>
      <w:spacing w:before="50" w:beforeLines="50"/>
      <w:ind w:firstLine="200" w:firstLineChars="200"/>
      <w:outlineLvl w:val="1"/>
    </w:pPr>
    <w:rPr>
      <w:rFonts w:ascii="Arial" w:hAnsi="Arial"/>
      <w:b/>
    </w:rPr>
  </w:style>
  <w:style w:type="paragraph" w:styleId="4">
    <w:name w:val="heading 3"/>
    <w:basedOn w:val="1"/>
    <w:next w:val="1"/>
    <w:autoRedefine/>
    <w:uiPriority w:val="0"/>
    <w:pPr>
      <w:keepNext/>
      <w:keepLines/>
      <w:widowControl w:val="0"/>
      <w:spacing w:line="360" w:lineRule="auto"/>
      <w:ind w:firstLine="200" w:firstLineChars="200"/>
      <w:jc w:val="left"/>
      <w:outlineLvl w:val="2"/>
    </w:pPr>
    <w:rPr>
      <w:b/>
    </w:rPr>
  </w:style>
  <w:style w:type="paragraph" w:styleId="5">
    <w:name w:val="heading 4"/>
    <w:basedOn w:val="1"/>
    <w:next w:val="1"/>
    <w:autoRedefine/>
    <w:uiPriority w:val="0"/>
    <w:pPr>
      <w:keepNext/>
      <w:keepLines/>
      <w:widowControl w:val="0"/>
      <w:spacing w:line="360" w:lineRule="auto"/>
      <w:ind w:firstLine="200" w:firstLineChars="200"/>
      <w:jc w:val="left"/>
      <w:outlineLvl w:val="3"/>
    </w:pPr>
    <w:rPr>
      <w:rFonts w:ascii="Arial" w:hAnsi="Arial"/>
      <w:b/>
    </w:rPr>
  </w:style>
  <w:style w:type="paragraph" w:styleId="6">
    <w:name w:val="heading 5"/>
    <w:basedOn w:val="1"/>
    <w:next w:val="1"/>
    <w:autoRedefine/>
    <w:qFormat/>
    <w:uiPriority w:val="0"/>
    <w:pPr>
      <w:keepNext/>
      <w:keepLines/>
      <w:widowControl w:val="0"/>
      <w:spacing w:line="360" w:lineRule="auto"/>
      <w:jc w:val="center"/>
      <w:outlineLvl w:val="4"/>
    </w:pPr>
    <w:rPr>
      <w:b/>
    </w:rPr>
  </w:style>
  <w:style w:type="character" w:default="1" w:styleId="30">
    <w:name w:val="Default Paragraph Font"/>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7">
    <w:name w:val="List 3"/>
    <w:basedOn w:val="1"/>
    <w:next w:val="1"/>
    <w:autoRedefine/>
    <w:qFormat/>
    <w:uiPriority w:val="0"/>
    <w:pPr>
      <w:adjustRightInd w:val="0"/>
      <w:snapToGrid w:val="0"/>
      <w:spacing w:line="360" w:lineRule="auto"/>
      <w:ind w:left="600" w:leftChars="400" w:hanging="200" w:hangingChars="200"/>
    </w:pPr>
  </w:style>
  <w:style w:type="paragraph" w:styleId="8">
    <w:name w:val="table of authorities"/>
    <w:basedOn w:val="1"/>
    <w:next w:val="1"/>
    <w:qFormat/>
    <w:uiPriority w:val="0"/>
    <w:pPr>
      <w:ind w:left="200" w:leftChars="200"/>
    </w:pPr>
  </w:style>
  <w:style w:type="paragraph" w:styleId="9">
    <w:name w:val="Normal Indent"/>
    <w:basedOn w:val="1"/>
    <w:autoRedefine/>
    <w:qFormat/>
    <w:uiPriority w:val="0"/>
    <w:pPr>
      <w:adjustRightInd w:val="0"/>
      <w:snapToGrid w:val="0"/>
      <w:spacing w:line="360" w:lineRule="auto"/>
      <w:ind w:firstLine="420"/>
    </w:pPr>
    <w:rPr>
      <w:sz w:val="24"/>
    </w:rPr>
  </w:style>
  <w:style w:type="paragraph" w:styleId="10">
    <w:name w:val="annotation text"/>
    <w:basedOn w:val="1"/>
    <w:autoRedefine/>
    <w:qFormat/>
    <w:uiPriority w:val="0"/>
    <w:pPr>
      <w:jc w:val="left"/>
    </w:pPr>
  </w:style>
  <w:style w:type="paragraph" w:styleId="11">
    <w:name w:val="Body Text"/>
    <w:basedOn w:val="1"/>
    <w:next w:val="12"/>
    <w:autoRedefine/>
    <w:qFormat/>
    <w:uiPriority w:val="0"/>
    <w:pPr>
      <w:widowControl w:val="0"/>
      <w:jc w:val="both"/>
    </w:pPr>
    <w:rPr>
      <w:rFonts w:ascii="仿宋_GB2312" w:hAnsi="Times New Roman" w:eastAsia="仿宋_GB2312" w:cs="Times New Roman"/>
      <w:kern w:val="2"/>
      <w:sz w:val="32"/>
      <w:szCs w:val="20"/>
      <w:lang w:val="en-US" w:eastAsia="zh-CN" w:bidi="ar-SA"/>
    </w:rPr>
  </w:style>
  <w:style w:type="paragraph" w:styleId="12">
    <w:name w:val="toc 2"/>
    <w:basedOn w:val="1"/>
    <w:next w:val="1"/>
    <w:autoRedefine/>
    <w:qFormat/>
    <w:uiPriority w:val="0"/>
    <w:pPr>
      <w:ind w:left="200" w:leftChars="200"/>
    </w:pPr>
  </w:style>
  <w:style w:type="paragraph" w:styleId="13">
    <w:name w:val="Body Text Indent"/>
    <w:basedOn w:val="1"/>
    <w:next w:val="14"/>
    <w:autoRedefine/>
    <w:qFormat/>
    <w:uiPriority w:val="0"/>
    <w:pPr>
      <w:spacing w:after="120"/>
      <w:ind w:left="200" w:leftChars="200"/>
    </w:pPr>
  </w:style>
  <w:style w:type="paragraph" w:styleId="14">
    <w:name w:val="envelope return"/>
    <w:basedOn w:val="1"/>
    <w:autoRedefine/>
    <w:qFormat/>
    <w:uiPriority w:val="0"/>
    <w:pPr>
      <w:snapToGrid w:val="0"/>
    </w:pPr>
    <w:rPr>
      <w:rFonts w:ascii="Arial" w:hAnsi="Arial" w:cs="Arial"/>
    </w:rPr>
  </w:style>
  <w:style w:type="paragraph" w:styleId="15">
    <w:name w:val="index 4"/>
    <w:basedOn w:val="1"/>
    <w:next w:val="1"/>
    <w:autoRedefine/>
    <w:qFormat/>
    <w:uiPriority w:val="0"/>
    <w:pPr>
      <w:ind w:left="1260"/>
    </w:pPr>
  </w:style>
  <w:style w:type="paragraph" w:styleId="16">
    <w:name w:val="Date"/>
    <w:basedOn w:val="1"/>
    <w:next w:val="1"/>
    <w:autoRedefine/>
    <w:qFormat/>
    <w:uiPriority w:val="0"/>
  </w:style>
  <w:style w:type="paragraph" w:styleId="17">
    <w:name w:val="Body Text Indent 2"/>
    <w:basedOn w:val="1"/>
    <w:qFormat/>
    <w:uiPriority w:val="0"/>
    <w:pPr>
      <w:snapToGrid w:val="0"/>
      <w:spacing w:line="560" w:lineRule="atLeast"/>
      <w:ind w:firstLine="540"/>
    </w:pPr>
  </w:style>
  <w:style w:type="paragraph" w:styleId="18">
    <w:name w:val="Balloon Text"/>
    <w:basedOn w:val="1"/>
    <w:autoRedefine/>
    <w:qFormat/>
    <w:uiPriority w:val="0"/>
    <w:rPr>
      <w:sz w:val="18"/>
      <w:szCs w:val="18"/>
    </w:rPr>
  </w:style>
  <w:style w:type="paragraph" w:styleId="19">
    <w:name w:val="footer"/>
    <w:basedOn w:val="1"/>
    <w:autoRedefine/>
    <w:qFormat/>
    <w:uiPriority w:val="0"/>
    <w:pPr>
      <w:tabs>
        <w:tab w:val="center" w:pos="4153"/>
        <w:tab w:val="right" w:pos="8306"/>
      </w:tabs>
      <w:snapToGrid w:val="0"/>
      <w:jc w:val="left"/>
    </w:pPr>
    <w:rPr>
      <w:sz w:val="18"/>
    </w:rPr>
  </w:style>
  <w:style w:type="paragraph" w:styleId="2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autoRedefine/>
    <w:qFormat/>
    <w:uiPriority w:val="0"/>
    <w:pPr>
      <w:spacing w:line="320" w:lineRule="exact"/>
      <w:jc w:val="left"/>
    </w:pPr>
    <w:rPr>
      <w:rFonts w:ascii="宋体" w:hAnsi="宋体"/>
      <w:sz w:val="24"/>
    </w:rPr>
  </w:style>
  <w:style w:type="paragraph" w:styleId="22">
    <w:name w:val="index heading"/>
    <w:basedOn w:val="1"/>
    <w:qFormat/>
    <w:uiPriority w:val="0"/>
    <w:rPr>
      <w:rFonts w:ascii="方正兰亭黑_GBK" w:hAnsi="方正兰亭黑_GBK"/>
      <w:b/>
      <w:bCs/>
    </w:rPr>
  </w:style>
  <w:style w:type="paragraph" w:styleId="23">
    <w:name w:val="HTML Preformatted"/>
    <w:autoRedefine/>
    <w:qFormat/>
    <w:uiPriority w:val="0"/>
    <w:pPr>
      <w:widowControl w:val="0"/>
      <w:jc w:val="both"/>
    </w:pPr>
    <w:rPr>
      <w:rFonts w:ascii="Courier New" w:hAnsi="Courier New" w:eastAsia="宋体" w:cs="Times New Roman"/>
      <w:kern w:val="2"/>
      <w:sz w:val="21"/>
      <w:szCs w:val="24"/>
      <w:lang w:val="en-US" w:eastAsia="zh-CN" w:bidi="ar-SA"/>
    </w:rPr>
  </w:style>
  <w:style w:type="paragraph" w:styleId="24">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25">
    <w:name w:val="Title"/>
    <w:basedOn w:val="1"/>
    <w:autoRedefine/>
    <w:qFormat/>
    <w:uiPriority w:val="0"/>
    <w:pPr>
      <w:widowControl/>
      <w:spacing w:after="240" w:line="360" w:lineRule="auto"/>
      <w:jc w:val="center"/>
    </w:pPr>
    <w:rPr>
      <w:rFonts w:ascii="Arial" w:hAnsi="Arial"/>
      <w:b/>
      <w:smallCaps/>
      <w:kern w:val="28"/>
      <w:sz w:val="36"/>
    </w:rPr>
  </w:style>
  <w:style w:type="paragraph" w:styleId="26">
    <w:name w:val="annotation subject"/>
    <w:basedOn w:val="10"/>
    <w:next w:val="10"/>
    <w:qFormat/>
    <w:uiPriority w:val="0"/>
    <w:rPr>
      <w:b/>
      <w:bCs/>
    </w:rPr>
  </w:style>
  <w:style w:type="paragraph" w:styleId="27">
    <w:name w:val="Body Text First Indent"/>
    <w:basedOn w:val="11"/>
    <w:autoRedefine/>
    <w:qFormat/>
    <w:uiPriority w:val="0"/>
    <w:pPr>
      <w:spacing w:line="360" w:lineRule="auto"/>
      <w:ind w:firstLine="420"/>
    </w:pPr>
    <w:rPr>
      <w:rFonts w:ascii="宋体" w:hAnsi="宋体"/>
      <w:sz w:val="24"/>
    </w:rPr>
  </w:style>
  <w:style w:type="paragraph" w:styleId="28">
    <w:name w:val="Body Text First Indent 2"/>
    <w:basedOn w:val="13"/>
    <w:autoRedefine/>
    <w:qFormat/>
    <w:uiPriority w:val="0"/>
    <w:pPr>
      <w:ind w:firstLine="200" w:firstLineChars="200"/>
    </w:pPr>
  </w:style>
  <w:style w:type="character" w:styleId="31">
    <w:name w:val="Strong"/>
    <w:basedOn w:val="30"/>
    <w:qFormat/>
    <w:uiPriority w:val="0"/>
    <w:rPr>
      <w:b/>
    </w:rPr>
  </w:style>
  <w:style w:type="character" w:styleId="32">
    <w:name w:val="Hyperlink"/>
    <w:basedOn w:val="30"/>
    <w:qFormat/>
    <w:uiPriority w:val="0"/>
    <w:rPr>
      <w:color w:val="0563C1"/>
      <w:u w:val="single"/>
    </w:rPr>
  </w:style>
  <w:style w:type="character" w:styleId="33">
    <w:name w:val="annotation reference"/>
    <w:basedOn w:val="30"/>
    <w:autoRedefine/>
    <w:qFormat/>
    <w:uiPriority w:val="0"/>
    <w:rPr>
      <w:sz w:val="21"/>
      <w:szCs w:val="21"/>
    </w:rPr>
  </w:style>
  <w:style w:type="paragraph" w:customStyle="1" w:styleId="34">
    <w:name w:val="首行缩进"/>
    <w:basedOn w:val="1"/>
    <w:qFormat/>
    <w:uiPriority w:val="0"/>
    <w:pPr>
      <w:numPr>
        <w:ilvl w:val="0"/>
        <w:numId w:val="1"/>
      </w:numPr>
      <w:spacing w:line="360" w:lineRule="auto"/>
    </w:pPr>
    <w:rPr>
      <w:rFonts w:eastAsia="仿宋_GB2312"/>
    </w:rPr>
  </w:style>
  <w:style w:type="paragraph" w:customStyle="1" w:styleId="35">
    <w:name w:val="Default"/>
    <w:autoRedefine/>
    <w:qFormat/>
    <w:uiPriority w:val="0"/>
    <w:pPr>
      <w:widowControl w:val="0"/>
      <w:autoSpaceDE w:val="0"/>
      <w:autoSpaceDN w:val="0"/>
      <w:adjustRightInd w:val="0"/>
    </w:pPr>
    <w:rPr>
      <w:rFonts w:ascii="宋体" w:hAnsi="Times New Roman" w:eastAsia="宋体" w:cs="Times New Roman"/>
      <w:color w:val="000000"/>
      <w:sz w:val="24"/>
      <w:szCs w:val="20"/>
      <w:lang w:val="en-US" w:eastAsia="zh-CN" w:bidi="ar-SA"/>
    </w:rPr>
  </w:style>
  <w:style w:type="character" w:customStyle="1" w:styleId="36">
    <w:name w:val="标题 1 Char"/>
    <w:autoRedefine/>
    <w:qFormat/>
    <w:uiPriority w:val="0"/>
    <w:rPr>
      <w:rFonts w:ascii="Times New Roman" w:hAnsi="Times New Roman" w:eastAsia="宋体" w:cs="Times New Roman"/>
      <w:b/>
      <w:bCs/>
      <w:kern w:val="2"/>
      <w:sz w:val="32"/>
      <w:szCs w:val="32"/>
      <w:lang w:val="en-US" w:eastAsia="zh-CN" w:bidi="ar-SA"/>
    </w:rPr>
  </w:style>
  <w:style w:type="paragraph" w:customStyle="1" w:styleId="37">
    <w:name w:val="图例"/>
    <w:basedOn w:val="1"/>
    <w:autoRedefine/>
    <w:qFormat/>
    <w:uiPriority w:val="0"/>
    <w:pPr>
      <w:spacing w:before="120" w:after="120" w:line="360" w:lineRule="auto"/>
      <w:jc w:val="center"/>
    </w:pPr>
    <w:rPr>
      <w:rFonts w:eastAsia="仿宋_GB2312"/>
      <w:b/>
      <w:sz w:val="24"/>
    </w:rPr>
  </w:style>
  <w:style w:type="paragraph" w:customStyle="1" w:styleId="38">
    <w:name w:val="授权书和信息卡行距"/>
    <w:autoRedefine/>
    <w:qFormat/>
    <w:uiPriority w:val="0"/>
    <w:pPr>
      <w:spacing w:line="560" w:lineRule="exact"/>
    </w:pPr>
    <w:rPr>
      <w:rFonts w:ascii="Times New Roman" w:hAnsi="Times New Roman" w:eastAsia="仿宋_GB2312" w:cs="Times New Roman"/>
      <w:kern w:val="2"/>
      <w:sz w:val="24"/>
      <w:szCs w:val="24"/>
      <w:lang w:val="en-US" w:eastAsia="zh-CN" w:bidi="ar-SA"/>
    </w:rPr>
  </w:style>
  <w:style w:type="character" w:customStyle="1" w:styleId="39">
    <w:name w:val="font11"/>
    <w:basedOn w:val="30"/>
    <w:autoRedefine/>
    <w:qFormat/>
    <w:uiPriority w:val="0"/>
    <w:rPr>
      <w:rFonts w:ascii="Segoe UI" w:hAnsi="Segoe UI" w:eastAsia="Segoe UI" w:cs="Segoe UI"/>
      <w:color w:val="000000"/>
      <w:sz w:val="22"/>
      <w:szCs w:val="22"/>
      <w:u w:val="none"/>
    </w:rPr>
  </w:style>
  <w:style w:type="character" w:customStyle="1" w:styleId="40">
    <w:name w:val="font21"/>
    <w:basedOn w:val="30"/>
    <w:autoRedefine/>
    <w:qFormat/>
    <w:uiPriority w:val="0"/>
    <w:rPr>
      <w:rFonts w:ascii="Segoe UI" w:hAnsi="Segoe UI" w:eastAsia="Segoe UI" w:cs="Segoe UI"/>
      <w:color w:val="000000"/>
      <w:sz w:val="21"/>
      <w:szCs w:val="21"/>
      <w:u w:val="none"/>
    </w:rPr>
  </w:style>
  <w:style w:type="character" w:customStyle="1" w:styleId="41">
    <w:name w:val="NormalCharacter"/>
    <w:autoRedefine/>
    <w:qFormat/>
    <w:uiPriority w:val="0"/>
  </w:style>
  <w:style w:type="paragraph" w:styleId="42">
    <w:name w:val="List Paragraph"/>
    <w:basedOn w:val="1"/>
    <w:autoRedefine/>
    <w:qFormat/>
    <w:uiPriority w:val="0"/>
    <w:pPr>
      <w:ind w:firstLine="200" w:firstLineChars="200"/>
    </w:pPr>
  </w:style>
  <w:style w:type="character" w:customStyle="1" w:styleId="43">
    <w:name w:val="font41"/>
    <w:basedOn w:val="30"/>
    <w:qFormat/>
    <w:uiPriority w:val="0"/>
    <w:rPr>
      <w:rFonts w:ascii="宋体" w:hAnsi="宋体" w:eastAsia="宋体" w:cs="宋体"/>
      <w:color w:val="000000"/>
      <w:sz w:val="18"/>
      <w:szCs w:val="18"/>
      <w:u w:val="none"/>
    </w:rPr>
  </w:style>
  <w:style w:type="character" w:customStyle="1" w:styleId="44">
    <w:name w:val="font61"/>
    <w:basedOn w:val="30"/>
    <w:qFormat/>
    <w:uiPriority w:val="0"/>
    <w:rPr>
      <w:rFonts w:ascii="宋体" w:hAnsi="宋体" w:eastAsia="宋体" w:cs="宋体"/>
      <w:color w:val="000000"/>
      <w:sz w:val="18"/>
      <w:szCs w:val="18"/>
      <w:u w:val="none"/>
    </w:rPr>
  </w:style>
  <w:style w:type="character" w:customStyle="1" w:styleId="45">
    <w:name w:val="未处理的提及1"/>
    <w:basedOn w:val="30"/>
    <w:qFormat/>
    <w:uiPriority w:val="0"/>
    <w:rPr>
      <w:color w:val="605E5C"/>
      <w:shd w:val="clear" w:color="auto" w:fill="E1DFDD"/>
    </w:rPr>
  </w:style>
  <w:style w:type="paragraph" w:customStyle="1" w:styleId="46">
    <w:name w:val="样式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47">
    <w:name w:val="样式 小四"/>
    <w:qFormat/>
    <w:uiPriority w:val="0"/>
    <w:pPr>
      <w:widowControl w:val="0"/>
      <w:spacing w:line="240" w:lineRule="auto"/>
      <w:jc w:val="left"/>
    </w:pPr>
    <w:rPr>
      <w:rFonts w:ascii="宋体" w:hAnsi="方正兰亭黑_GBK" w:eastAsia="宋体" w:cs="Lucida Sans"/>
      <w:kern w:val="2"/>
      <w:sz w:val="24"/>
      <w:szCs w:val="21"/>
      <w:lang w:val="en-US" w:eastAsia="zh-CN" w:bidi="ar-SA"/>
    </w:rPr>
  </w:style>
  <w:style w:type="paragraph" w:customStyle="1" w:styleId="48">
    <w:name w:val="样式 "/>
    <w:basedOn w:val="1"/>
    <w:qFormat/>
    <w:uiPriority w:val="0"/>
    <w:rPr>
      <w:b/>
      <w:bCs/>
    </w:rPr>
  </w:style>
  <w:style w:type="paragraph" w:customStyle="1" w:styleId="49">
    <w:name w:val="样式 1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0">
    <w:name w:val="样式 31 小四"/>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51">
    <w:name w:val="样式 1 小四"/>
    <w:qFormat/>
    <w:uiPriority w:val="0"/>
    <w:pPr>
      <w:widowControl w:val="0"/>
      <w:spacing w:line="240" w:lineRule="auto"/>
      <w:jc w:val="left"/>
    </w:pPr>
    <w:rPr>
      <w:rFonts w:ascii="宋体" w:hAnsi="方正兰亭黑_GBK" w:eastAsia="宋体" w:cs="Lucida Sans"/>
      <w:kern w:val="2"/>
      <w:sz w:val="24"/>
      <w:szCs w:val="21"/>
      <w:lang w:val="en-US" w:eastAsia="zh-CN" w:bidi="ar-SA"/>
    </w:rPr>
  </w:style>
  <w:style w:type="paragraph" w:customStyle="1" w:styleId="52">
    <w:name w:val="样式 2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3">
    <w:name w:val="样式 3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4">
    <w:name w:val="样式 4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5">
    <w:name w:val="样式 5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6">
    <w:name w:val="样式 6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7">
    <w:name w:val="样式 7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8">
    <w:name w:val="样式 8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59">
    <w:name w:val="样式 三号"/>
    <w:basedOn w:val="1"/>
    <w:qFormat/>
    <w:uiPriority w:val="0"/>
    <w:pPr>
      <w:keepNext/>
      <w:keepLines/>
      <w:widowControl w:val="0"/>
      <w:spacing w:before="260" w:beforeAutospacing="0" w:after="260" w:afterAutospacing="0" w:line="413" w:lineRule="auto"/>
      <w:jc w:val="both"/>
      <w:outlineLvl w:val="1"/>
    </w:pPr>
    <w:rPr>
      <w:rFonts w:ascii="Arial" w:hAnsi="Arial" w:eastAsia="黑体" w:cs="Times New Roman"/>
      <w:b/>
      <w:kern w:val="2"/>
      <w:sz w:val="32"/>
      <w:szCs w:val="20"/>
      <w:lang w:val="en-US" w:eastAsia="zh-CN" w:bidi="ar-SA"/>
    </w:rPr>
  </w:style>
  <w:style w:type="paragraph" w:customStyle="1" w:styleId="60">
    <w:name w:val="样式 2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61">
    <w:name w:val="样式 3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62">
    <w:name w:val="样式 9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63">
    <w:name w:val="样式 4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64">
    <w:name w:val="样式 10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65">
    <w:name w:val="样式 11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66">
    <w:name w:val="样式 12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67">
    <w:name w:val="样式 13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68">
    <w:name w:val="样式 1 三号"/>
    <w:basedOn w:val="1"/>
    <w:qFormat/>
    <w:uiPriority w:val="0"/>
    <w:pPr>
      <w:keepNext/>
      <w:keepLines/>
      <w:widowControl w:val="0"/>
      <w:spacing w:before="260" w:beforeAutospacing="0" w:after="260" w:afterAutospacing="0" w:line="413" w:lineRule="auto"/>
      <w:jc w:val="both"/>
      <w:outlineLvl w:val="1"/>
    </w:pPr>
    <w:rPr>
      <w:rFonts w:ascii="Arial" w:hAnsi="Arial" w:eastAsia="黑体" w:cs="Times New Roman"/>
      <w:b/>
      <w:kern w:val="2"/>
      <w:sz w:val="32"/>
      <w:szCs w:val="20"/>
      <w:lang w:val="en-US" w:eastAsia="zh-CN" w:bidi="ar-SA"/>
    </w:rPr>
  </w:style>
  <w:style w:type="paragraph" w:customStyle="1" w:styleId="69">
    <w:name w:val="样式 5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70">
    <w:name w:val="样式 28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71">
    <w:name w:val="样式 62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72">
    <w:name w:val="样式 29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73">
    <w:name w:val="样式 30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74">
    <w:name w:val="样式 24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75">
    <w:name w:val="样式 25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76">
    <w:name w:val="样式 14 小四"/>
    <w:basedOn w:val="1"/>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77">
    <w:name w:val="样式 2 三号"/>
    <w:basedOn w:val="1"/>
    <w:qFormat/>
    <w:uiPriority w:val="0"/>
    <w:pPr>
      <w:keepNext/>
      <w:keepLines/>
      <w:widowControl w:val="0"/>
      <w:spacing w:before="260" w:beforeAutospacing="0" w:after="260" w:afterAutospacing="0" w:line="413" w:lineRule="auto"/>
      <w:jc w:val="both"/>
      <w:outlineLvl w:val="1"/>
    </w:pPr>
    <w:rPr>
      <w:rFonts w:ascii="Arial" w:hAnsi="Arial" w:eastAsia="黑体" w:cs="Times New Roman"/>
      <w:b/>
      <w:kern w:val="2"/>
      <w:sz w:val="32"/>
      <w:szCs w:val="20"/>
      <w:lang w:val="en-US" w:eastAsia="zh-CN" w:bidi="ar-SA"/>
    </w:rPr>
  </w:style>
  <w:style w:type="paragraph" w:customStyle="1" w:styleId="78">
    <w:name w:val="样式 3 三号"/>
    <w:basedOn w:val="1"/>
    <w:qFormat/>
    <w:uiPriority w:val="0"/>
    <w:pPr>
      <w:widowControl w:val="0"/>
      <w:jc w:val="both"/>
    </w:pPr>
    <w:rPr>
      <w:rFonts w:ascii="仿宋_GB2312" w:hAnsi="Times New Roman" w:eastAsia="仿宋_GB2312" w:cs="Times New Roman"/>
      <w:kern w:val="2"/>
      <w:sz w:val="32"/>
      <w:szCs w:val="20"/>
      <w:lang w:val="en-US" w:eastAsia="zh-CN" w:bidi="ar-SA"/>
    </w:rPr>
  </w:style>
  <w:style w:type="paragraph" w:customStyle="1" w:styleId="79">
    <w:name w:val="样式 32 小四"/>
    <w:qFormat/>
    <w:uiPriority w:val="0"/>
    <w:pPr>
      <w:widowControl w:val="0"/>
      <w:spacing w:line="360" w:lineRule="auto"/>
      <w:ind w:firstLine="420"/>
      <w:jc w:val="both"/>
    </w:pPr>
    <w:rPr>
      <w:rFonts w:ascii="宋体" w:hAnsi="宋体" w:eastAsia="仿宋_GB2312" w:cs="Times New Roman"/>
      <w:kern w:val="2"/>
      <w:sz w:val="24"/>
      <w:szCs w:val="20"/>
      <w:lang w:val="en-US" w:eastAsia="zh-CN" w:bidi="ar-SA"/>
    </w:rPr>
  </w:style>
  <w:style w:type="paragraph" w:customStyle="1" w:styleId="80">
    <w:name w:val="样式 14 四号"/>
    <w:basedOn w:val="1"/>
    <w:qFormat/>
    <w:uiPriority w:val="0"/>
    <w:pPr>
      <w:widowControl w:val="0"/>
      <w:ind w:left="600" w:leftChars="600"/>
      <w:jc w:val="both"/>
    </w:pPr>
    <w:rPr>
      <w:rFonts w:ascii="Times New Roman" w:hAnsi="Times New Roman" w:eastAsia="宋体" w:cs="Times New Roman"/>
      <w:kern w:val="2"/>
      <w:sz w:val="28"/>
      <w:szCs w:val="20"/>
      <w:lang w:val="en-US" w:eastAsia="zh-CN" w:bidi="ar-SA"/>
    </w:rPr>
  </w:style>
  <w:style w:type="paragraph" w:customStyle="1" w:styleId="81">
    <w:name w:val="样式 15 四号"/>
    <w:qFormat/>
    <w:uiPriority w:val="0"/>
    <w:pPr>
      <w:widowControl w:val="0"/>
      <w:jc w:val="both"/>
    </w:pPr>
    <w:rPr>
      <w:rFonts w:ascii="Times New Roman" w:hAnsi="Times New Roman" w:eastAsia="宋体" w:cs="Times New Roman"/>
      <w:kern w:val="2"/>
      <w:sz w:val="28"/>
      <w:szCs w:val="20"/>
      <w:lang w:val="en-US" w:eastAsia="zh-CN" w:bidi="ar-SA"/>
    </w:rPr>
  </w:style>
  <w:style w:type="paragraph" w:customStyle="1" w:styleId="82">
    <w:name w:val="样式 16 四号"/>
    <w:qFormat/>
    <w:uiPriority w:val="0"/>
    <w:pPr>
      <w:widowControl w:val="0"/>
      <w:jc w:val="both"/>
    </w:pPr>
    <w:rPr>
      <w:rFonts w:ascii="Times New Roman" w:hAnsi="Times New Roman" w:eastAsia="宋体" w:cs="Times New Roman"/>
      <w:kern w:val="2"/>
      <w:sz w:val="28"/>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727978-4B57-4ACD-B853-37ACF6E6A87A}">
  <ds:schemaRefs/>
</ds:datastoreItem>
</file>

<file path=docProps/app.xml><?xml version="1.0" encoding="utf-8"?>
<Properties xmlns="http://schemas.openxmlformats.org/officeDocument/2006/extended-properties" xmlns:vt="http://schemas.openxmlformats.org/officeDocument/2006/docPropsVTypes">
  <Template>Normal.eit</Template>
  <Company>Microsoft</Company>
  <Pages>12</Pages>
  <Words>2020</Words>
  <Characters>2366</Characters>
  <Lines>0</Lines>
  <Paragraphs>173</Paragraphs>
  <TotalTime>1</TotalTime>
  <ScaleCrop>false</ScaleCrop>
  <LinksUpToDate>false</LinksUpToDate>
  <CharactersWithSpaces>2378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2022-05-17T16:32:00Z</dcterms:created>
  <dc:creator>Administrator</dc:creator>
  <cp:lastModifiedBy>代理改</cp:lastModifiedBy>
  <cp:lastPrinted>2026-01-13T11:42:00Z</cp:lastPrinted>
  <dcterms:modified xsi:type="dcterms:W3CDTF">2026-09-11T07:06:48Z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2DAD9D82C3D34C64A4A2AF37FA8C13D2_13</vt:lpwstr>
  </property>
  <property fmtid="{D5CDD505-2E9C-101B-9397-08002B2CF9AE}" pid="4" name="KSOTemplateDocerSaveRecord">
    <vt:lpwstr>eyJoZGlkIjoiZjZmZmY2OWY3YWRiMmZiZjFmZDQwMjEwNWNiNTljNWEiLCJ1c2VySWQiOiI1OTEwNzQxMTgifQ==</vt:lpwstr>
  </property>
</Properties>
</file>