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23643F">
      <w:pPr>
        <w:rPr>
          <w:rFonts w:hint="eastAsia" w:ascii="宋体" w:hAnsi="宋体" w:cs="宋体"/>
          <w:color w:val="auto"/>
          <w:sz w:val="24"/>
          <w:highlight w:val="none"/>
        </w:rPr>
      </w:pPr>
      <w:r>
        <w:rPr>
          <w:rFonts w:hint="eastAsia" w:ascii="黑体" w:eastAsia="黑体"/>
          <w:b/>
          <w:color w:val="auto"/>
          <w:sz w:val="52"/>
        </w:rPr>
        <w:drawing>
          <wp:inline distT="0" distB="0" distL="114300" distR="114300">
            <wp:extent cx="1741805" cy="810895"/>
            <wp:effectExtent l="0" t="0" r="10795" b="8255"/>
            <wp:docPr id="1" name="图片 5" descr="1bca7ff2cf9ee6a88a509358813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1bca7ff2cf9ee6a88a5093588131775"/>
                    <pic:cNvPicPr>
                      <a:picLocks noChangeAspect="1"/>
                    </pic:cNvPicPr>
                  </pic:nvPicPr>
                  <pic:blipFill>
                    <a:blip r:embed="rId6"/>
                    <a:stretch>
                      <a:fillRect/>
                    </a:stretch>
                  </pic:blipFill>
                  <pic:spPr>
                    <a:xfrm>
                      <a:off x="0" y="0"/>
                      <a:ext cx="1741805" cy="810895"/>
                    </a:xfrm>
                    <a:prstGeom prst="rect">
                      <a:avLst/>
                    </a:prstGeom>
                    <a:noFill/>
                    <a:ln>
                      <a:noFill/>
                    </a:ln>
                  </pic:spPr>
                </pic:pic>
              </a:graphicData>
            </a:graphic>
          </wp:inline>
        </w:drawing>
      </w:r>
    </w:p>
    <w:p w14:paraId="7C64B6E1">
      <w:pPr>
        <w:rPr>
          <w:rFonts w:hint="eastAsia" w:ascii="宋体" w:hAnsi="宋体" w:cs="宋体"/>
          <w:caps/>
          <w:color w:val="auto"/>
          <w:highlight w:val="none"/>
        </w:rPr>
      </w:pPr>
    </w:p>
    <w:p w14:paraId="4B805F0B">
      <w:pPr>
        <w:jc w:val="center"/>
        <w:rPr>
          <w:rFonts w:hint="eastAsia" w:ascii="宋体" w:hAnsi="宋体" w:eastAsia="宋体" w:cs="宋体"/>
          <w:caps/>
          <w:color w:val="auto"/>
          <w:sz w:val="44"/>
          <w:szCs w:val="44"/>
          <w:highlight w:val="none"/>
          <w:lang w:eastAsia="zh-CN"/>
        </w:rPr>
      </w:pPr>
      <w:r>
        <w:rPr>
          <w:rFonts w:hint="eastAsia" w:ascii="宋体" w:hAnsi="宋体" w:cs="宋体"/>
          <w:b/>
          <w:color w:val="auto"/>
          <w:spacing w:val="8"/>
          <w:sz w:val="44"/>
          <w:szCs w:val="44"/>
          <w:highlight w:val="none"/>
          <w:lang w:val="en-US" w:eastAsia="zh-CN"/>
        </w:rPr>
        <w:t>甘肃税务2026年税收大数据应用平台运维服务项目</w:t>
      </w:r>
    </w:p>
    <w:p w14:paraId="08E526B9">
      <w:pPr>
        <w:rPr>
          <w:rFonts w:hint="eastAsia"/>
          <w:color w:val="auto"/>
        </w:rPr>
      </w:pPr>
    </w:p>
    <w:p w14:paraId="5227497E">
      <w:pPr>
        <w:rPr>
          <w:rFonts w:hint="eastAsia"/>
          <w:color w:val="auto"/>
        </w:rPr>
      </w:pPr>
    </w:p>
    <w:p w14:paraId="182E19B4">
      <w:pPr>
        <w:rPr>
          <w:rFonts w:hint="eastAsia"/>
          <w:color w:val="auto"/>
        </w:rPr>
      </w:pPr>
    </w:p>
    <w:p w14:paraId="37B4A9C0">
      <w:pPr>
        <w:pStyle w:val="13"/>
        <w:rPr>
          <w:rFonts w:hint="eastAsia"/>
          <w:color w:val="auto"/>
        </w:rPr>
      </w:pPr>
    </w:p>
    <w:p w14:paraId="74E9B746">
      <w:pPr>
        <w:rPr>
          <w:rFonts w:hint="eastAsia"/>
          <w:color w:val="auto"/>
        </w:rPr>
      </w:pPr>
    </w:p>
    <w:p w14:paraId="1AE8D509">
      <w:pPr>
        <w:adjustRightInd/>
        <w:snapToGrid/>
        <w:jc w:val="left"/>
        <w:rPr>
          <w:rFonts w:hint="eastAsia"/>
          <w:color w:val="auto"/>
        </w:rPr>
      </w:pPr>
    </w:p>
    <w:p w14:paraId="50C2E5CA">
      <w:pPr>
        <w:rPr>
          <w:rFonts w:hint="eastAsia"/>
          <w:color w:val="auto"/>
        </w:rPr>
      </w:pPr>
    </w:p>
    <w:p w14:paraId="045F6A23">
      <w:pPr>
        <w:adjustRightInd w:val="0"/>
        <w:snapToGrid w:val="0"/>
        <w:jc w:val="center"/>
        <w:rPr>
          <w:rFonts w:hint="eastAsia" w:ascii="宋体" w:hAnsi="宋体" w:cs="宋体"/>
          <w:b/>
          <w:caps/>
          <w:color w:val="auto"/>
          <w:sz w:val="72"/>
          <w:highlight w:val="none"/>
        </w:rPr>
      </w:pPr>
      <w:r>
        <w:rPr>
          <w:rFonts w:hint="eastAsia" w:ascii="宋体" w:hAnsi="宋体" w:cs="宋体"/>
          <w:b/>
          <w:caps/>
          <w:color w:val="auto"/>
          <w:sz w:val="72"/>
          <w:highlight w:val="none"/>
        </w:rPr>
        <w:t>招标文件</w:t>
      </w:r>
    </w:p>
    <w:p w14:paraId="7B5D3F7D">
      <w:pPr>
        <w:bidi w:val="0"/>
        <w:rPr>
          <w:rFonts w:hint="eastAsia"/>
        </w:rPr>
      </w:pPr>
    </w:p>
    <w:p w14:paraId="7142ED28">
      <w:pPr>
        <w:rPr>
          <w:rFonts w:hint="eastAsia" w:ascii="宋体" w:hAnsi="宋体" w:cs="宋体"/>
          <w:color w:val="auto"/>
          <w:highlight w:val="none"/>
        </w:rPr>
      </w:pPr>
    </w:p>
    <w:p w14:paraId="48237A3A">
      <w:pPr>
        <w:bidi w:val="0"/>
        <w:rPr>
          <w:rFonts w:hint="eastAsia"/>
        </w:rPr>
      </w:pPr>
    </w:p>
    <w:p w14:paraId="529D6CE8">
      <w:pPr>
        <w:rPr>
          <w:rFonts w:hint="eastAsia" w:ascii="宋体" w:hAnsi="宋体" w:cs="宋体"/>
          <w:caps/>
          <w:color w:val="auto"/>
          <w:highlight w:val="none"/>
        </w:rPr>
      </w:pPr>
    </w:p>
    <w:p w14:paraId="7280BF8D">
      <w:pPr>
        <w:jc w:val="center"/>
        <w:rPr>
          <w:rFonts w:hint="eastAsia" w:ascii="宋体" w:hAnsi="宋体" w:cs="宋体"/>
          <w:caps/>
          <w:color w:val="auto"/>
          <w:highlight w:val="none"/>
        </w:rPr>
      </w:pPr>
    </w:p>
    <w:p w14:paraId="25B4F59F">
      <w:pPr>
        <w:bidi w:val="0"/>
        <w:rPr>
          <w:rFonts w:hint="eastAsia"/>
        </w:rPr>
      </w:pPr>
    </w:p>
    <w:p w14:paraId="1C8D8D6C">
      <w:pPr>
        <w:rPr>
          <w:rFonts w:hint="eastAsia" w:ascii="宋体" w:hAnsi="宋体" w:cs="宋体"/>
          <w:color w:val="auto"/>
          <w:highlight w:val="none"/>
        </w:rPr>
      </w:pPr>
    </w:p>
    <w:p w14:paraId="20F67553">
      <w:pPr>
        <w:rPr>
          <w:rFonts w:hint="eastAsia" w:ascii="宋体" w:hAnsi="宋体" w:cs="宋体"/>
          <w:color w:val="auto"/>
          <w:highlight w:val="none"/>
        </w:rPr>
      </w:pPr>
    </w:p>
    <w:tbl>
      <w:tblPr>
        <w:tblStyle w:val="31"/>
        <w:tblW w:w="8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4"/>
        <w:gridCol w:w="6451"/>
      </w:tblGrid>
      <w:tr w14:paraId="15AB6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1614" w:type="dxa"/>
            <w:tcBorders>
              <w:top w:val="nil"/>
              <w:left w:val="nil"/>
              <w:bottom w:val="nil"/>
              <w:right w:val="nil"/>
            </w:tcBorders>
            <w:noWrap w:val="0"/>
            <w:vAlign w:val="center"/>
          </w:tcPr>
          <w:p w14:paraId="686B4DCA">
            <w:pPr>
              <w:adjustRightInd w:val="0"/>
              <w:snapToGrid w:val="0"/>
              <w:jc w:val="distribute"/>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项目名称：</w:t>
            </w:r>
          </w:p>
        </w:tc>
        <w:tc>
          <w:tcPr>
            <w:tcW w:w="6451" w:type="dxa"/>
            <w:tcBorders>
              <w:top w:val="nil"/>
              <w:left w:val="nil"/>
              <w:right w:val="nil"/>
            </w:tcBorders>
            <w:noWrap w:val="0"/>
            <w:vAlign w:val="center"/>
          </w:tcPr>
          <w:p w14:paraId="4DD7AF95">
            <w:pPr>
              <w:adjustRightInd w:val="0"/>
              <w:snapToGrid w:val="0"/>
              <w:jc w:val="center"/>
              <w:rPr>
                <w:rFonts w:hint="eastAsia" w:ascii="宋体" w:hAnsi="宋体" w:eastAsia="宋体" w:cs="宋体"/>
                <w:b/>
                <w:caps/>
                <w:color w:val="auto"/>
                <w:sz w:val="30"/>
                <w:szCs w:val="30"/>
                <w:highlight w:val="none"/>
                <w:lang w:eastAsia="zh-CN"/>
              </w:rPr>
            </w:pPr>
            <w:r>
              <w:rPr>
                <w:rFonts w:hint="eastAsia" w:ascii="宋体" w:hAnsi="宋体" w:cs="宋体"/>
                <w:b/>
                <w:caps/>
                <w:color w:val="auto"/>
                <w:sz w:val="30"/>
                <w:szCs w:val="30"/>
                <w:highlight w:val="none"/>
                <w:lang w:eastAsia="zh-CN"/>
              </w:rPr>
              <w:t>甘肃税务2026年税收大数据应用平台运维服务项目</w:t>
            </w:r>
          </w:p>
        </w:tc>
      </w:tr>
      <w:tr w14:paraId="2C3D0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1614" w:type="dxa"/>
            <w:tcBorders>
              <w:top w:val="nil"/>
              <w:left w:val="nil"/>
              <w:bottom w:val="nil"/>
              <w:right w:val="nil"/>
            </w:tcBorders>
            <w:noWrap w:val="0"/>
            <w:vAlign w:val="center"/>
          </w:tcPr>
          <w:p w14:paraId="1149525F">
            <w:pPr>
              <w:adjustRightInd w:val="0"/>
              <w:snapToGrid w:val="0"/>
              <w:jc w:val="distribute"/>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项目编号：</w:t>
            </w:r>
          </w:p>
        </w:tc>
        <w:tc>
          <w:tcPr>
            <w:tcW w:w="6451" w:type="dxa"/>
            <w:tcBorders>
              <w:left w:val="nil"/>
              <w:right w:val="nil"/>
            </w:tcBorders>
            <w:noWrap w:val="0"/>
            <w:vAlign w:val="center"/>
          </w:tcPr>
          <w:p w14:paraId="36A31E71">
            <w:pPr>
              <w:adjustRightInd w:val="0"/>
              <w:snapToGrid w:val="0"/>
              <w:jc w:val="center"/>
              <w:rPr>
                <w:rFonts w:hint="default" w:ascii="宋体" w:hAnsi="宋体" w:eastAsia="宋体" w:cs="宋体"/>
                <w:b/>
                <w:caps/>
                <w:color w:val="auto"/>
                <w:sz w:val="30"/>
                <w:szCs w:val="30"/>
                <w:highlight w:val="none"/>
                <w:lang w:val="en-US" w:eastAsia="zh-CN"/>
              </w:rPr>
            </w:pPr>
            <w:r>
              <w:rPr>
                <w:rFonts w:hint="eastAsia" w:ascii="宋体" w:hAnsi="宋体" w:cs="宋体"/>
                <w:b/>
                <w:caps/>
                <w:color w:val="auto"/>
                <w:sz w:val="30"/>
                <w:szCs w:val="30"/>
                <w:highlight w:val="none"/>
                <w:lang w:eastAsia="zh-CN"/>
              </w:rPr>
              <w:t xml:space="preserve"> GS2026-DLGK-C0024-B00</w:t>
            </w:r>
          </w:p>
        </w:tc>
      </w:tr>
      <w:tr w14:paraId="6CBAE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1614" w:type="dxa"/>
            <w:tcBorders>
              <w:top w:val="nil"/>
              <w:left w:val="nil"/>
              <w:bottom w:val="nil"/>
              <w:right w:val="nil"/>
            </w:tcBorders>
            <w:noWrap w:val="0"/>
            <w:vAlign w:val="center"/>
          </w:tcPr>
          <w:p w14:paraId="098974FA">
            <w:pPr>
              <w:adjustRightInd w:val="0"/>
              <w:snapToGrid w:val="0"/>
              <w:jc w:val="distribute"/>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采 购 人：</w:t>
            </w:r>
          </w:p>
        </w:tc>
        <w:tc>
          <w:tcPr>
            <w:tcW w:w="6451" w:type="dxa"/>
            <w:tcBorders>
              <w:left w:val="nil"/>
              <w:right w:val="nil"/>
            </w:tcBorders>
            <w:noWrap w:val="0"/>
            <w:vAlign w:val="center"/>
          </w:tcPr>
          <w:p w14:paraId="58B5CCF4">
            <w:pPr>
              <w:adjustRightInd w:val="0"/>
              <w:snapToGrid w:val="0"/>
              <w:jc w:val="center"/>
              <w:rPr>
                <w:rFonts w:hint="eastAsia" w:ascii="宋体" w:hAnsi="宋体" w:cs="宋体"/>
                <w:b/>
                <w:caps/>
                <w:color w:val="auto"/>
                <w:sz w:val="30"/>
                <w:szCs w:val="30"/>
                <w:highlight w:val="none"/>
              </w:rPr>
            </w:pPr>
            <w:r>
              <w:rPr>
                <w:rFonts w:hint="eastAsia" w:ascii="宋体" w:hAnsi="宋体" w:cs="宋体"/>
                <w:caps/>
                <w:color w:val="auto"/>
                <w:highlight w:val="none"/>
              </w:rPr>
              <w:fldChar w:fldCharType="begin"/>
            </w:r>
            <w:r>
              <w:rPr>
                <w:rFonts w:hint="eastAsia" w:ascii="宋体" w:hAnsi="宋体" w:cs="宋体"/>
                <w:caps/>
                <w:color w:val="auto"/>
                <w:highlight w:val="none"/>
              </w:rPr>
              <w:instrText xml:space="preserve"> REF 采购人 \h  \* MERGEFORMAT </w:instrText>
            </w:r>
            <w:r>
              <w:rPr>
                <w:rFonts w:hint="eastAsia" w:ascii="宋体" w:hAnsi="宋体" w:cs="宋体"/>
                <w:caps/>
                <w:color w:val="auto"/>
                <w:highlight w:val="none"/>
              </w:rPr>
              <w:fldChar w:fldCharType="separate"/>
            </w:r>
            <w:r>
              <w:rPr>
                <w:rFonts w:hint="eastAsia" w:ascii="宋体" w:hAnsi="宋体" w:cs="宋体"/>
                <w:b/>
                <w:caps/>
                <w:color w:val="auto"/>
                <w:sz w:val="30"/>
                <w:szCs w:val="30"/>
                <w:highlight w:val="none"/>
              </w:rPr>
              <w:t>国家税务总局甘肃省税务局</w:t>
            </w:r>
            <w:r>
              <w:rPr>
                <w:rFonts w:hint="eastAsia" w:ascii="宋体" w:hAnsi="宋体" w:cs="宋体"/>
                <w:b/>
                <w:caps/>
                <w:color w:val="auto"/>
                <w:sz w:val="30"/>
                <w:szCs w:val="30"/>
                <w:highlight w:val="none"/>
              </w:rPr>
              <w:fldChar w:fldCharType="end"/>
            </w:r>
          </w:p>
        </w:tc>
      </w:tr>
      <w:tr w14:paraId="40612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1614" w:type="dxa"/>
            <w:tcBorders>
              <w:top w:val="nil"/>
              <w:left w:val="nil"/>
              <w:bottom w:val="nil"/>
              <w:right w:val="nil"/>
            </w:tcBorders>
            <w:noWrap w:val="0"/>
            <w:vAlign w:val="center"/>
          </w:tcPr>
          <w:p w14:paraId="79C6C45C">
            <w:pPr>
              <w:adjustRightInd w:val="0"/>
              <w:snapToGrid w:val="0"/>
              <w:jc w:val="distribute"/>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代理机构：</w:t>
            </w:r>
          </w:p>
        </w:tc>
        <w:tc>
          <w:tcPr>
            <w:tcW w:w="6451" w:type="dxa"/>
            <w:tcBorders>
              <w:left w:val="nil"/>
              <w:right w:val="nil"/>
            </w:tcBorders>
            <w:noWrap w:val="0"/>
            <w:vAlign w:val="center"/>
          </w:tcPr>
          <w:p w14:paraId="6867DC4B">
            <w:pPr>
              <w:adjustRightInd w:val="0"/>
              <w:snapToGrid w:val="0"/>
              <w:jc w:val="center"/>
              <w:rPr>
                <w:rFonts w:hint="eastAsia" w:ascii="宋体" w:hAnsi="宋体" w:eastAsia="宋体" w:cs="宋体"/>
                <w:b/>
                <w:caps/>
                <w:color w:val="auto"/>
                <w:sz w:val="30"/>
                <w:szCs w:val="30"/>
                <w:highlight w:val="none"/>
                <w:lang w:eastAsia="zh-CN"/>
              </w:rPr>
            </w:pPr>
            <w:r>
              <w:rPr>
                <w:rFonts w:hint="eastAsia" w:ascii="宋体" w:hAnsi="宋体" w:cs="宋体"/>
                <w:b/>
                <w:caps/>
                <w:color w:val="auto"/>
                <w:sz w:val="30"/>
                <w:szCs w:val="30"/>
                <w:highlight w:val="none"/>
                <w:lang w:eastAsia="zh-CN"/>
              </w:rPr>
              <w:t>公诚管理咨询有限公司</w:t>
            </w:r>
          </w:p>
        </w:tc>
      </w:tr>
    </w:tbl>
    <w:p w14:paraId="572E9134">
      <w:pPr>
        <w:rPr>
          <w:rFonts w:hint="eastAsia" w:ascii="宋体" w:hAnsi="宋体" w:cs="宋体"/>
          <w:color w:val="auto"/>
          <w:highlight w:val="none"/>
        </w:rPr>
      </w:pPr>
    </w:p>
    <w:p w14:paraId="24B3E211">
      <w:pPr>
        <w:adjustRightInd w:val="0"/>
        <w:snapToGrid w:val="0"/>
        <w:spacing w:line="360" w:lineRule="auto"/>
        <w:jc w:val="center"/>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202</w:t>
      </w:r>
      <w:r>
        <w:rPr>
          <w:rFonts w:hint="eastAsia" w:ascii="宋体" w:hAnsi="宋体" w:cs="宋体"/>
          <w:b/>
          <w:caps/>
          <w:color w:val="auto"/>
          <w:sz w:val="30"/>
          <w:szCs w:val="30"/>
          <w:highlight w:val="none"/>
          <w:lang w:val="en-US" w:eastAsia="zh-CN"/>
        </w:rPr>
        <w:t>6</w:t>
      </w:r>
      <w:r>
        <w:rPr>
          <w:rFonts w:hint="eastAsia" w:ascii="宋体" w:hAnsi="宋体" w:cs="宋体"/>
          <w:b/>
          <w:caps/>
          <w:color w:val="auto"/>
          <w:sz w:val="30"/>
          <w:szCs w:val="30"/>
          <w:highlight w:val="none"/>
        </w:rPr>
        <w:t>年</w:t>
      </w:r>
      <w:r>
        <w:rPr>
          <w:rFonts w:hint="eastAsia" w:ascii="宋体" w:hAnsi="宋体" w:cs="宋体"/>
          <w:b/>
          <w:caps/>
          <w:color w:val="auto"/>
          <w:sz w:val="30"/>
          <w:szCs w:val="30"/>
          <w:highlight w:val="none"/>
          <w:lang w:val="en-US" w:eastAsia="zh-CN"/>
        </w:rPr>
        <w:t>9</w:t>
      </w:r>
      <w:r>
        <w:rPr>
          <w:rFonts w:hint="eastAsia" w:ascii="宋体" w:hAnsi="宋体" w:cs="宋体"/>
          <w:b/>
          <w:caps/>
          <w:color w:val="auto"/>
          <w:sz w:val="30"/>
          <w:szCs w:val="30"/>
          <w:highlight w:val="none"/>
        </w:rPr>
        <w:t>月</w:t>
      </w:r>
    </w:p>
    <w:p w14:paraId="1D971A7F">
      <w:pPr>
        <w:rPr>
          <w:rFonts w:hint="eastAsia" w:ascii="宋体" w:hAnsi="宋体" w:cs="宋体"/>
          <w:color w:val="auto"/>
          <w:highlight w:val="none"/>
        </w:rPr>
        <w:sectPr>
          <w:footerReference r:id="rId3" w:type="default"/>
          <w:pgSz w:w="11906" w:h="16838"/>
          <w:pgMar w:top="1440" w:right="1800" w:bottom="1440" w:left="1800" w:header="964" w:footer="964" w:gutter="0"/>
          <w:cols w:space="720" w:num="1"/>
          <w:docGrid w:type="lines" w:linePitch="312" w:charSpace="0"/>
        </w:sectPr>
      </w:pPr>
    </w:p>
    <w:p w14:paraId="69611A31">
      <w:pPr>
        <w:spacing w:before="0" w:beforeLines="0" w:after="0" w:afterLines="0" w:line="240" w:lineRule="auto"/>
        <w:ind w:left="0" w:leftChars="0" w:right="0" w:rightChars="0" w:firstLine="0" w:firstLineChars="0"/>
        <w:jc w:val="center"/>
      </w:pPr>
      <w:bookmarkStart w:id="0" w:name="_Toc132880271"/>
      <w:bookmarkStart w:id="1" w:name="_Toc164182201"/>
      <w:bookmarkStart w:id="2" w:name="_Toc164681218"/>
      <w:bookmarkStart w:id="3" w:name="_Toc164182682"/>
      <w:bookmarkStart w:id="4" w:name="_Toc12899"/>
      <w:r>
        <w:rPr>
          <w:rFonts w:ascii="宋体" w:hAnsi="宋体" w:eastAsia="宋体"/>
          <w:sz w:val="21"/>
        </w:rPr>
        <w:t>目录</w:t>
      </w:r>
    </w:p>
    <w:p w14:paraId="26ABC780">
      <w:pPr>
        <w:pStyle w:val="22"/>
        <w:tabs>
          <w:tab w:val="right" w:leader="dot" w:pos="8306"/>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TOC \o "1-1" \h \u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_Toc26190 </w:instrText>
      </w:r>
      <w:r>
        <w:rPr>
          <w:rFonts w:hint="default" w:ascii="Times New Roman" w:hAnsi="Times New Roman" w:cs="Times New Roman"/>
          <w:highlight w:val="none"/>
        </w:rPr>
        <w:fldChar w:fldCharType="separate"/>
      </w:r>
      <w:r>
        <w:rPr>
          <w:rFonts w:hint="eastAsia" w:ascii="宋体" w:hAnsi="宋体" w:cs="宋体"/>
          <w:highlight w:val="none"/>
        </w:rPr>
        <w:t>第一章  招标公告</w:t>
      </w:r>
      <w:r>
        <w:tab/>
      </w:r>
      <w:r>
        <w:fldChar w:fldCharType="begin"/>
      </w:r>
      <w:r>
        <w:instrText xml:space="preserve"> PAGEREF _Toc26190 \h </w:instrText>
      </w:r>
      <w:r>
        <w:fldChar w:fldCharType="separate"/>
      </w:r>
      <w:r>
        <w:t>3</w:t>
      </w:r>
      <w:r>
        <w:fldChar w:fldCharType="end"/>
      </w:r>
      <w:r>
        <w:rPr>
          <w:rFonts w:hint="default" w:ascii="Times New Roman" w:hAnsi="Times New Roman" w:cs="Times New Roman"/>
          <w:highlight w:val="none"/>
        </w:rPr>
        <w:fldChar w:fldCharType="end"/>
      </w:r>
    </w:p>
    <w:p w14:paraId="384C8AD1">
      <w:pPr>
        <w:pStyle w:val="22"/>
        <w:tabs>
          <w:tab w:val="right" w:leader="dot" w:pos="8306"/>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_Toc27740 </w:instrText>
      </w:r>
      <w:r>
        <w:rPr>
          <w:rFonts w:hint="default" w:ascii="Times New Roman" w:hAnsi="Times New Roman" w:cs="Times New Roman"/>
          <w:highlight w:val="none"/>
        </w:rPr>
        <w:fldChar w:fldCharType="separate"/>
      </w:r>
      <w:r>
        <w:rPr>
          <w:rFonts w:hint="eastAsia" w:ascii="宋体" w:hAnsi="宋体" w:cs="宋体"/>
          <w:bCs/>
          <w:szCs w:val="40"/>
          <w:highlight w:val="none"/>
        </w:rPr>
        <w:t>第二章  投标人须知</w:t>
      </w:r>
      <w:r>
        <w:tab/>
      </w:r>
      <w:r>
        <w:fldChar w:fldCharType="begin"/>
      </w:r>
      <w:r>
        <w:instrText xml:space="preserve"> PAGEREF _Toc27740 \h </w:instrText>
      </w:r>
      <w:r>
        <w:fldChar w:fldCharType="separate"/>
      </w:r>
      <w:r>
        <w:t>6</w:t>
      </w:r>
      <w:r>
        <w:fldChar w:fldCharType="end"/>
      </w:r>
      <w:r>
        <w:rPr>
          <w:rFonts w:hint="default" w:ascii="Times New Roman" w:hAnsi="Times New Roman" w:cs="Times New Roman"/>
          <w:highlight w:val="none"/>
        </w:rPr>
        <w:fldChar w:fldCharType="end"/>
      </w:r>
    </w:p>
    <w:p w14:paraId="78F7925D">
      <w:pPr>
        <w:pStyle w:val="22"/>
        <w:tabs>
          <w:tab w:val="right" w:leader="dot" w:pos="8306"/>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_Toc21792 </w:instrText>
      </w:r>
      <w:r>
        <w:rPr>
          <w:rFonts w:hint="default" w:ascii="Times New Roman" w:hAnsi="Times New Roman" w:cs="Times New Roman"/>
          <w:highlight w:val="none"/>
        </w:rPr>
        <w:fldChar w:fldCharType="separate"/>
      </w:r>
      <w:r>
        <w:rPr>
          <w:rFonts w:hint="eastAsia" w:ascii="宋体" w:hAnsi="宋体" w:cs="宋体"/>
          <w:highlight w:val="none"/>
        </w:rPr>
        <w:t>第三章  评标方法及标准</w:t>
      </w:r>
      <w:r>
        <w:tab/>
      </w:r>
      <w:r>
        <w:fldChar w:fldCharType="begin"/>
      </w:r>
      <w:r>
        <w:instrText xml:space="preserve"> PAGEREF _Toc21792 \h </w:instrText>
      </w:r>
      <w:r>
        <w:fldChar w:fldCharType="separate"/>
      </w:r>
      <w:r>
        <w:t>29</w:t>
      </w:r>
      <w:r>
        <w:fldChar w:fldCharType="end"/>
      </w:r>
      <w:r>
        <w:rPr>
          <w:rFonts w:hint="default" w:ascii="Times New Roman" w:hAnsi="Times New Roman" w:cs="Times New Roman"/>
          <w:highlight w:val="none"/>
        </w:rPr>
        <w:fldChar w:fldCharType="end"/>
      </w:r>
    </w:p>
    <w:p w14:paraId="3580E13C">
      <w:pPr>
        <w:pStyle w:val="22"/>
        <w:tabs>
          <w:tab w:val="right" w:leader="dot" w:pos="8306"/>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_Toc12353 </w:instrText>
      </w:r>
      <w:r>
        <w:rPr>
          <w:rFonts w:hint="default" w:ascii="Times New Roman" w:hAnsi="Times New Roman" w:cs="Times New Roman"/>
          <w:highlight w:val="none"/>
        </w:rPr>
        <w:fldChar w:fldCharType="separate"/>
      </w:r>
      <w:r>
        <w:rPr>
          <w:rFonts w:hint="eastAsia" w:ascii="宋体" w:hAnsi="宋体" w:cs="宋体"/>
          <w:highlight w:val="none"/>
        </w:rPr>
        <w:t>第四章  政府采购合同文本</w:t>
      </w:r>
      <w:r>
        <w:tab/>
      </w:r>
      <w:r>
        <w:fldChar w:fldCharType="begin"/>
      </w:r>
      <w:r>
        <w:instrText xml:space="preserve"> PAGEREF _Toc12353 \h </w:instrText>
      </w:r>
      <w:r>
        <w:fldChar w:fldCharType="separate"/>
      </w:r>
      <w:r>
        <w:t>35</w:t>
      </w:r>
      <w:r>
        <w:fldChar w:fldCharType="end"/>
      </w:r>
      <w:r>
        <w:rPr>
          <w:rFonts w:hint="default" w:ascii="Times New Roman" w:hAnsi="Times New Roman" w:cs="Times New Roman"/>
          <w:highlight w:val="none"/>
        </w:rPr>
        <w:fldChar w:fldCharType="end"/>
      </w:r>
    </w:p>
    <w:p w14:paraId="1C372FA7">
      <w:pPr>
        <w:pStyle w:val="22"/>
        <w:tabs>
          <w:tab w:val="right" w:leader="dot" w:pos="8306"/>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_Toc3080 </w:instrText>
      </w:r>
      <w:r>
        <w:rPr>
          <w:rFonts w:hint="default" w:ascii="Times New Roman" w:hAnsi="Times New Roman" w:cs="Times New Roman"/>
          <w:highlight w:val="none"/>
        </w:rPr>
        <w:fldChar w:fldCharType="separate"/>
      </w:r>
      <w:r>
        <w:rPr>
          <w:rFonts w:hint="eastAsia" w:ascii="宋体" w:hAnsi="宋体" w:cs="宋体"/>
          <w:highlight w:val="none"/>
        </w:rPr>
        <w:t>第五章  投标文件格式</w:t>
      </w:r>
      <w:r>
        <w:tab/>
      </w:r>
      <w:r>
        <w:fldChar w:fldCharType="begin"/>
      </w:r>
      <w:r>
        <w:instrText xml:space="preserve"> PAGEREF _Toc3080 \h </w:instrText>
      </w:r>
      <w:r>
        <w:fldChar w:fldCharType="separate"/>
      </w:r>
      <w:r>
        <w:t>47</w:t>
      </w:r>
      <w:r>
        <w:fldChar w:fldCharType="end"/>
      </w:r>
      <w:r>
        <w:rPr>
          <w:rFonts w:hint="default" w:ascii="Times New Roman" w:hAnsi="Times New Roman" w:cs="Times New Roman"/>
          <w:highlight w:val="none"/>
        </w:rPr>
        <w:fldChar w:fldCharType="end"/>
      </w:r>
    </w:p>
    <w:p w14:paraId="1B6190CF">
      <w:pPr>
        <w:pStyle w:val="22"/>
        <w:tabs>
          <w:tab w:val="right" w:leader="dot" w:pos="8306"/>
        </w:tabs>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_Toc26852 </w:instrText>
      </w:r>
      <w:r>
        <w:rPr>
          <w:rFonts w:hint="default" w:ascii="Times New Roman" w:hAnsi="Times New Roman" w:cs="Times New Roman"/>
          <w:highlight w:val="none"/>
        </w:rPr>
        <w:fldChar w:fldCharType="separate"/>
      </w:r>
      <w:r>
        <w:rPr>
          <w:rFonts w:hint="eastAsia" w:ascii="宋体" w:hAnsi="宋体" w:eastAsia="宋体" w:cs="宋体"/>
          <w:highlight w:val="none"/>
        </w:rPr>
        <w:t>第六章  项目采购需求</w:t>
      </w:r>
      <w:r>
        <w:tab/>
      </w:r>
      <w:r>
        <w:fldChar w:fldCharType="begin"/>
      </w:r>
      <w:r>
        <w:instrText xml:space="preserve"> PAGEREF _Toc26852 \h </w:instrText>
      </w:r>
      <w:r>
        <w:fldChar w:fldCharType="separate"/>
      </w:r>
      <w:r>
        <w:t>78</w:t>
      </w:r>
      <w:r>
        <w:fldChar w:fldCharType="end"/>
      </w:r>
      <w:r>
        <w:rPr>
          <w:rFonts w:hint="default" w:ascii="Times New Roman" w:hAnsi="Times New Roman" w:cs="Times New Roman"/>
          <w:highlight w:val="none"/>
        </w:rPr>
        <w:fldChar w:fldCharType="end"/>
      </w:r>
    </w:p>
    <w:p w14:paraId="324C730E">
      <w:pPr>
        <w:rPr>
          <w:rFonts w:hint="default" w:ascii="Times New Roman" w:hAnsi="Times New Roman" w:cs="Times New Roman"/>
          <w:highlight w:val="none"/>
        </w:rPr>
      </w:pPr>
      <w:r>
        <w:rPr>
          <w:rFonts w:hint="default" w:ascii="Times New Roman" w:hAnsi="Times New Roman" w:cs="Times New Roman"/>
          <w:highlight w:val="none"/>
        </w:rPr>
        <w:fldChar w:fldCharType="end"/>
      </w:r>
    </w:p>
    <w:p w14:paraId="4690E883">
      <w:pPr>
        <w:rPr>
          <w:rFonts w:hint="default" w:ascii="Times New Roman" w:hAnsi="Times New Roman" w:cs="Times New Roman"/>
          <w:highlight w:val="none"/>
        </w:rPr>
      </w:pPr>
    </w:p>
    <w:p w14:paraId="1E4BA988">
      <w:pPr>
        <w:rPr>
          <w:rFonts w:hint="eastAsia" w:ascii="宋体" w:hAnsi="宋体" w:cs="宋体"/>
          <w:color w:val="auto"/>
          <w:highlight w:val="none"/>
        </w:rPr>
      </w:pPr>
      <w:r>
        <w:rPr>
          <w:rFonts w:hint="default" w:ascii="Times New Roman" w:hAnsi="Times New Roman" w:cs="Times New Roman"/>
          <w:highlight w:val="none"/>
        </w:rPr>
        <w:br w:type="page"/>
      </w:r>
    </w:p>
    <w:p w14:paraId="236C6584">
      <w:pPr>
        <w:pStyle w:val="2"/>
        <w:rPr>
          <w:rFonts w:hint="eastAsia" w:ascii="宋体" w:hAnsi="宋体" w:cs="宋体"/>
          <w:color w:val="auto"/>
          <w:highlight w:val="none"/>
        </w:rPr>
      </w:pPr>
      <w:bookmarkStart w:id="5" w:name="_Toc21803"/>
      <w:bookmarkStart w:id="6" w:name="_Toc12915"/>
      <w:bookmarkStart w:id="7" w:name="_Toc11991"/>
      <w:bookmarkStart w:id="8" w:name="_Toc11828"/>
      <w:bookmarkStart w:id="9" w:name="_Toc26190"/>
      <w:bookmarkStart w:id="10" w:name="_Toc4712"/>
      <w:bookmarkStart w:id="11" w:name="_Toc11257"/>
      <w:r>
        <w:rPr>
          <w:rFonts w:hint="eastAsia" w:ascii="宋体" w:hAnsi="宋体" w:cs="宋体"/>
          <w:color w:val="auto"/>
          <w:highlight w:val="none"/>
        </w:rPr>
        <w:t xml:space="preserve">第一章  </w:t>
      </w:r>
      <w:bookmarkEnd w:id="0"/>
      <w:r>
        <w:rPr>
          <w:rFonts w:hint="eastAsia" w:ascii="宋体" w:hAnsi="宋体" w:cs="宋体"/>
          <w:color w:val="auto"/>
          <w:highlight w:val="none"/>
        </w:rPr>
        <w:t>招标公告</w:t>
      </w:r>
      <w:bookmarkEnd w:id="1"/>
      <w:bookmarkEnd w:id="2"/>
      <w:bookmarkEnd w:id="3"/>
      <w:bookmarkEnd w:id="4"/>
      <w:bookmarkEnd w:id="5"/>
      <w:bookmarkEnd w:id="6"/>
      <w:bookmarkEnd w:id="7"/>
      <w:bookmarkEnd w:id="8"/>
      <w:bookmarkEnd w:id="9"/>
      <w:bookmarkEnd w:id="10"/>
      <w:bookmarkEnd w:id="11"/>
    </w:p>
    <w:p w14:paraId="3C398609">
      <w:pPr>
        <w:bidi w:val="0"/>
        <w:jc w:val="center"/>
        <w:rPr>
          <w:rFonts w:hint="eastAsia" w:ascii="宋体" w:hAnsi="宋体" w:eastAsia="宋体" w:cs="宋体"/>
          <w:b/>
          <w:bCs/>
          <w:sz w:val="36"/>
          <w:szCs w:val="36"/>
        </w:rPr>
      </w:pPr>
      <w:bookmarkStart w:id="12" w:name="_Toc3038"/>
      <w:bookmarkStart w:id="13" w:name="_Toc6616"/>
      <w:bookmarkStart w:id="14" w:name="_Toc6213"/>
      <w:r>
        <w:rPr>
          <w:rFonts w:hint="eastAsia" w:ascii="宋体" w:hAnsi="宋体" w:cs="宋体"/>
          <w:b/>
          <w:bCs/>
          <w:sz w:val="36"/>
          <w:szCs w:val="36"/>
          <w:lang w:val="en" w:eastAsia="zh-CN"/>
        </w:rPr>
        <w:t>甘肃税务2026年税收大数据应用平台运维服务项目</w:t>
      </w:r>
      <w:r>
        <w:rPr>
          <w:rFonts w:hint="eastAsia" w:ascii="宋体" w:hAnsi="宋体" w:cs="宋体"/>
          <w:b/>
          <w:bCs/>
          <w:sz w:val="36"/>
          <w:szCs w:val="36"/>
          <w:lang w:val="en-US" w:eastAsia="zh-CN"/>
        </w:rPr>
        <w:t>公开</w:t>
      </w:r>
      <w:r>
        <w:rPr>
          <w:rFonts w:hint="eastAsia" w:ascii="宋体" w:hAnsi="宋体" w:eastAsia="宋体" w:cs="宋体"/>
          <w:b/>
          <w:bCs/>
          <w:sz w:val="36"/>
          <w:szCs w:val="36"/>
        </w:rPr>
        <w:t>招标公告</w:t>
      </w:r>
      <w:bookmarkEnd w:id="12"/>
      <w:bookmarkEnd w:id="13"/>
      <w:bookmarkEnd w:id="14"/>
    </w:p>
    <w:p w14:paraId="518DE702">
      <w:pPr>
        <w:pBdr>
          <w:top w:val="single" w:color="auto" w:sz="4" w:space="1"/>
          <w:left w:val="single" w:color="auto" w:sz="4" w:space="4"/>
          <w:bottom w:val="single" w:color="auto" w:sz="4" w:space="1"/>
          <w:right w:val="single" w:color="auto" w:sz="4" w:space="1"/>
        </w:pBdr>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项目概况</w:t>
      </w:r>
    </w:p>
    <w:p w14:paraId="33276688">
      <w:pPr>
        <w:pBdr>
          <w:top w:val="single" w:color="auto" w:sz="4" w:space="1"/>
          <w:left w:val="single" w:color="auto" w:sz="4" w:space="4"/>
          <w:bottom w:val="single" w:color="auto" w:sz="4" w:space="1"/>
          <w:right w:val="single" w:color="auto" w:sz="4" w:space="1"/>
        </w:pBdr>
        <w:adjustRightInd w:val="0"/>
        <w:snapToGrid w:val="0"/>
        <w:spacing w:line="500" w:lineRule="exact"/>
        <w:ind w:firstLine="420" w:firstLineChars="200"/>
        <w:rPr>
          <w:rFonts w:hint="eastAsia" w:ascii="宋体" w:hAnsi="宋体" w:eastAsia="宋体" w:cs="宋体"/>
          <w:color w:val="auto"/>
          <w:szCs w:val="21"/>
          <w:highlight w:val="none"/>
        </w:rPr>
      </w:pPr>
      <w:bookmarkStart w:id="15" w:name="OLE_LINK2"/>
      <w:r>
        <w:rPr>
          <w:rFonts w:hint="eastAsia" w:ascii="宋体" w:hAnsi="宋体" w:cs="宋体"/>
          <w:color w:val="auto"/>
          <w:szCs w:val="21"/>
          <w:highlight w:val="none"/>
          <w:lang w:eastAsia="zh-CN"/>
        </w:rPr>
        <w:t>甘肃税务2026年税收大数据应用平台运维服务项目 招标项目的潜在投标人应在请通过“诚E招电子采购交易平台”（网址：https://www.chengezhao.com/）完成本项目招标文件的获取与下载。获取招标文件，并于2026年10月09日 09点30分（北京时间）前递交投标文件。</w:t>
      </w:r>
    </w:p>
    <w:bookmarkEnd w:id="15"/>
    <w:p w14:paraId="6E4255F0">
      <w:pPr>
        <w:spacing w:line="500" w:lineRule="exact"/>
        <w:outlineLvl w:val="1"/>
        <w:rPr>
          <w:rFonts w:hint="eastAsia" w:ascii="宋体" w:hAnsi="宋体" w:eastAsia="宋体" w:cs="宋体"/>
          <w:b/>
          <w:bCs/>
          <w:color w:val="auto"/>
          <w:szCs w:val="21"/>
          <w:highlight w:val="none"/>
        </w:rPr>
      </w:pPr>
      <w:bookmarkStart w:id="16" w:name="_Toc16547"/>
      <w:bookmarkStart w:id="17" w:name="_Toc22243"/>
      <w:r>
        <w:rPr>
          <w:rFonts w:hint="eastAsia" w:ascii="宋体" w:hAnsi="宋体" w:eastAsia="宋体" w:cs="宋体"/>
          <w:b/>
          <w:bCs/>
          <w:color w:val="auto"/>
          <w:szCs w:val="21"/>
          <w:highlight w:val="none"/>
        </w:rPr>
        <w:t>一、项目基本情况</w:t>
      </w:r>
      <w:bookmarkEnd w:id="16"/>
      <w:bookmarkEnd w:id="17"/>
    </w:p>
    <w:p w14:paraId="58B11197">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cs="宋体"/>
          <w:color w:val="auto"/>
          <w:szCs w:val="21"/>
          <w:highlight w:val="none"/>
          <w:lang w:eastAsia="zh-CN"/>
        </w:rPr>
        <w:t>GS2026-DLGK-C0024-B00</w:t>
      </w:r>
      <w:r>
        <w:rPr>
          <w:rFonts w:hint="eastAsia" w:ascii="宋体" w:hAnsi="宋体" w:eastAsia="宋体" w:cs="宋体"/>
          <w:caps/>
          <w:color w:val="auto"/>
          <w:szCs w:val="21"/>
          <w:highlight w:val="none"/>
        </w:rPr>
        <w:t xml:space="preserve">  </w:t>
      </w:r>
    </w:p>
    <w:p w14:paraId="5BEA4D63">
      <w:pPr>
        <w:adjustRightInd w:val="0"/>
        <w:snapToGrid w:val="0"/>
        <w:spacing w:line="500" w:lineRule="exact"/>
        <w:ind w:firstLine="420" w:firstLineChars="200"/>
        <w:rPr>
          <w:rFonts w:hint="eastAsia" w:ascii="宋体" w:hAnsi="宋体" w:eastAsia="宋体" w:cs="宋体"/>
          <w:caps/>
          <w:color w:val="auto"/>
          <w:szCs w:val="21"/>
          <w:highlight w:val="none"/>
          <w:lang w:val="en" w:eastAsia="zh-CN"/>
        </w:rPr>
      </w:pPr>
      <w:r>
        <w:rPr>
          <w:rFonts w:hint="eastAsia" w:ascii="宋体" w:hAnsi="宋体" w:eastAsia="宋体" w:cs="宋体"/>
          <w:color w:val="auto"/>
          <w:szCs w:val="21"/>
          <w:highlight w:val="none"/>
        </w:rPr>
        <w:t>项目名称：</w:t>
      </w:r>
      <w:r>
        <w:rPr>
          <w:rFonts w:hint="eastAsia" w:ascii="宋体" w:hAnsi="宋体" w:cs="宋体"/>
          <w:caps/>
          <w:color w:val="auto"/>
          <w:szCs w:val="21"/>
          <w:highlight w:val="none"/>
          <w:lang w:val="en" w:eastAsia="zh-CN"/>
        </w:rPr>
        <w:t>甘肃税务2026年税收大数据应用平台运维服务项目</w:t>
      </w:r>
    </w:p>
    <w:p w14:paraId="2D07841E">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预算金额：39.600000 万元（人民币）</w:t>
      </w:r>
    </w:p>
    <w:p w14:paraId="713A9737">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最高限价：39.600000 万元（人民币）</w:t>
      </w:r>
    </w:p>
    <w:p w14:paraId="2DFAFDDE">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采购需求：2026年税收大数据应用平台运维服务（具体要求详见招标文件）。</w:t>
      </w:r>
    </w:p>
    <w:p w14:paraId="71BF7A8B">
      <w:pPr>
        <w:adjustRightInd w:val="0"/>
        <w:snapToGrid w:val="0"/>
        <w:spacing w:line="500" w:lineRule="exact"/>
        <w:ind w:firstLine="420" w:firstLineChars="200"/>
        <w:rPr>
          <w:rFonts w:hint="eastAsia" w:ascii="宋体" w:hAnsi="宋体" w:eastAsia="宋体" w:cs="宋体"/>
          <w:caps/>
          <w:snapToGrid w:val="0"/>
          <w:color w:val="auto"/>
          <w:szCs w:val="21"/>
          <w:highlight w:val="none"/>
        </w:rPr>
      </w:pPr>
      <w:r>
        <w:rPr>
          <w:rFonts w:hint="eastAsia" w:ascii="宋体" w:hAnsi="宋体" w:eastAsia="宋体" w:cs="宋体"/>
          <w:color w:val="auto"/>
          <w:szCs w:val="21"/>
          <w:highlight w:val="none"/>
          <w:lang w:val="en-US" w:eastAsia="en-US"/>
        </w:rPr>
        <w:t>服务期</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en-US"/>
        </w:rPr>
        <w:t>自合同约定生效之日起一年</w:t>
      </w:r>
      <w:r>
        <w:rPr>
          <w:rFonts w:hint="eastAsia" w:ascii="宋体" w:hAnsi="宋体" w:eastAsia="宋体" w:cs="宋体"/>
          <w:caps/>
          <w:snapToGrid w:val="0"/>
          <w:color w:val="auto"/>
          <w:szCs w:val="21"/>
          <w:highlight w:val="none"/>
        </w:rPr>
        <w:t>。</w:t>
      </w:r>
    </w:p>
    <w:p w14:paraId="368D5641">
      <w:pPr>
        <w:adjustRightInd w:val="0"/>
        <w:snapToGrid w:val="0"/>
        <w:spacing w:line="500" w:lineRule="exact"/>
        <w:ind w:firstLine="420" w:firstLineChars="200"/>
        <w:rPr>
          <w:rFonts w:hint="eastAsia" w:ascii="宋体" w:hAnsi="宋体" w:eastAsia="宋体" w:cs="宋体"/>
          <w:caps/>
          <w:snapToGrid w:val="0"/>
          <w:color w:val="auto"/>
          <w:szCs w:val="21"/>
          <w:highlight w:val="none"/>
        </w:rPr>
      </w:pPr>
      <w:r>
        <w:rPr>
          <w:rFonts w:hint="eastAsia" w:ascii="宋体" w:hAnsi="宋体" w:eastAsia="宋体" w:cs="宋体"/>
          <w:caps/>
          <w:snapToGrid w:val="0"/>
          <w:color w:val="auto"/>
          <w:szCs w:val="21"/>
          <w:highlight w:val="none"/>
        </w:rPr>
        <w:t>本项目</w:t>
      </w:r>
      <w:r>
        <w:rPr>
          <w:rFonts w:hint="eastAsia" w:ascii="宋体" w:hAnsi="宋体" w:cs="宋体"/>
          <w:caps/>
          <w:snapToGrid w:val="0"/>
          <w:color w:val="auto"/>
          <w:szCs w:val="21"/>
          <w:highlight w:val="none"/>
          <w:lang w:eastAsia="zh-CN"/>
        </w:rPr>
        <w:t>（</w:t>
      </w:r>
      <w:r>
        <w:rPr>
          <w:rFonts w:hint="eastAsia" w:ascii="宋体" w:hAnsi="宋体" w:eastAsia="宋体" w:cs="宋体"/>
          <w:caps/>
          <w:snapToGrid w:val="0"/>
          <w:color w:val="auto"/>
          <w:szCs w:val="21"/>
          <w:highlight w:val="none"/>
        </w:rPr>
        <w:t>不接受</w:t>
      </w:r>
      <w:r>
        <w:rPr>
          <w:rFonts w:hint="eastAsia" w:ascii="宋体" w:hAnsi="宋体" w:cs="宋体"/>
          <w:caps/>
          <w:snapToGrid w:val="0"/>
          <w:color w:val="auto"/>
          <w:szCs w:val="21"/>
          <w:highlight w:val="none"/>
          <w:lang w:eastAsia="zh-CN"/>
        </w:rPr>
        <w:t>）</w:t>
      </w:r>
      <w:r>
        <w:rPr>
          <w:rFonts w:hint="eastAsia" w:ascii="宋体" w:hAnsi="宋体" w:eastAsia="宋体" w:cs="宋体"/>
          <w:caps/>
          <w:snapToGrid w:val="0"/>
          <w:color w:val="auto"/>
          <w:szCs w:val="21"/>
          <w:highlight w:val="none"/>
        </w:rPr>
        <w:t>联合体投标。</w:t>
      </w:r>
    </w:p>
    <w:p w14:paraId="01512E3F">
      <w:pPr>
        <w:spacing w:line="500" w:lineRule="exact"/>
        <w:outlineLvl w:val="1"/>
        <w:rPr>
          <w:rFonts w:hint="eastAsia" w:ascii="宋体" w:hAnsi="宋体" w:eastAsia="宋体" w:cs="宋体"/>
          <w:b/>
          <w:bCs/>
          <w:color w:val="auto"/>
          <w:szCs w:val="21"/>
          <w:highlight w:val="none"/>
        </w:rPr>
      </w:pPr>
      <w:bookmarkStart w:id="18" w:name="_Toc11071"/>
      <w:bookmarkStart w:id="19" w:name="_Toc13483"/>
      <w:r>
        <w:rPr>
          <w:rFonts w:hint="eastAsia" w:ascii="宋体" w:hAnsi="宋体" w:eastAsia="宋体" w:cs="宋体"/>
          <w:b/>
          <w:bCs/>
          <w:color w:val="auto"/>
          <w:szCs w:val="21"/>
          <w:highlight w:val="none"/>
        </w:rPr>
        <w:t>二、申请人的资格要求</w:t>
      </w:r>
      <w:bookmarkEnd w:id="18"/>
      <w:bookmarkEnd w:id="19"/>
    </w:p>
    <w:p w14:paraId="6B522616">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w:t>
      </w:r>
      <w:r>
        <w:rPr>
          <w:rFonts w:hint="eastAsia" w:ascii="宋体" w:hAnsi="宋体" w:cs="宋体"/>
          <w:caps/>
          <w:color w:val="auto"/>
          <w:szCs w:val="21"/>
          <w:highlight w:val="none"/>
          <w:lang w:val="en-US" w:eastAsia="zh-CN"/>
        </w:rPr>
        <w:t>满足</w:t>
      </w:r>
      <w:r>
        <w:rPr>
          <w:rFonts w:hint="eastAsia" w:ascii="宋体" w:hAnsi="宋体" w:eastAsia="宋体" w:cs="宋体"/>
          <w:caps/>
          <w:color w:val="auto"/>
          <w:szCs w:val="21"/>
          <w:highlight w:val="none"/>
        </w:rPr>
        <w:t>《</w:t>
      </w:r>
      <w:r>
        <w:rPr>
          <w:rFonts w:hint="eastAsia" w:ascii="宋体" w:hAnsi="宋体" w:eastAsia="宋体" w:cs="宋体"/>
          <w:caps/>
          <w:color w:val="auto"/>
          <w:szCs w:val="21"/>
          <w:highlight w:val="none"/>
          <w:lang w:eastAsia="zh-CN"/>
        </w:rPr>
        <w:t>中华人民共和国政府采购法</w:t>
      </w:r>
      <w:r>
        <w:rPr>
          <w:rFonts w:hint="eastAsia" w:ascii="宋体" w:hAnsi="宋体" w:eastAsia="宋体" w:cs="宋体"/>
          <w:caps/>
          <w:color w:val="auto"/>
          <w:szCs w:val="21"/>
          <w:highlight w:val="none"/>
        </w:rPr>
        <w:t>》第二十二条规定；</w:t>
      </w:r>
    </w:p>
    <w:p w14:paraId="5DAFC74E">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2．落实政府采购政策需满足的资格要求：详见招标文件；</w:t>
      </w:r>
    </w:p>
    <w:p w14:paraId="6EF1F796">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3．本项目的特定资格要求：</w:t>
      </w:r>
    </w:p>
    <w:p w14:paraId="5845E63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Cs/>
          <w:caps/>
          <w:color w:val="auto"/>
          <w:szCs w:val="21"/>
          <w:highlight w:val="none"/>
        </w:rPr>
      </w:pPr>
      <w:r>
        <w:rPr>
          <w:rFonts w:hint="eastAsia" w:ascii="宋体" w:hAnsi="宋体" w:eastAsia="宋体" w:cs="宋体"/>
          <w:bCs/>
          <w:caps/>
          <w:color w:val="auto"/>
          <w:szCs w:val="21"/>
          <w:highlight w:val="none"/>
        </w:rPr>
        <w:t>3.1</w:t>
      </w:r>
      <w:r>
        <w:rPr>
          <w:rFonts w:hint="eastAsia" w:ascii="宋体" w:hAnsi="宋体" w:cs="宋体"/>
          <w:bCs/>
          <w:caps/>
          <w:color w:val="auto"/>
          <w:szCs w:val="21"/>
          <w:highlight w:val="none"/>
          <w:lang w:val="en-US" w:eastAsia="zh-CN"/>
        </w:rPr>
        <w:t>供应商</w:t>
      </w:r>
      <w:r>
        <w:rPr>
          <w:rFonts w:hint="eastAsia" w:ascii="宋体" w:hAnsi="宋体" w:cs="宋体"/>
          <w:bCs/>
          <w:caps/>
          <w:color w:val="auto"/>
          <w:szCs w:val="21"/>
          <w:highlight w:val="none"/>
        </w:rPr>
        <w:t>未被列入“信用中国”网站</w:t>
      </w:r>
      <w:r>
        <w:rPr>
          <w:rFonts w:hint="eastAsia" w:ascii="宋体" w:hAnsi="宋体" w:cs="宋体"/>
          <w:color w:val="auto"/>
          <w:szCs w:val="21"/>
          <w:highlight w:val="none"/>
        </w:rPr>
        <w:t>(www.creditchina.gov.cn)</w:t>
      </w:r>
      <w:r>
        <w:rPr>
          <w:rFonts w:hint="eastAsia" w:ascii="宋体" w:hAnsi="宋体" w:cs="宋体"/>
          <w:bCs/>
          <w:caps/>
          <w:color w:val="auto"/>
          <w:szCs w:val="21"/>
          <w:highlight w:val="none"/>
        </w:rPr>
        <w:t>记录失信被执行人或</w:t>
      </w:r>
      <w:r>
        <w:rPr>
          <w:rFonts w:hint="eastAsia" w:ascii="宋体" w:hAnsi="宋体" w:cs="宋体"/>
          <w:bCs/>
          <w:caps/>
          <w:color w:val="auto"/>
          <w:szCs w:val="21"/>
          <w:highlight w:val="none"/>
          <w:lang w:eastAsia="zh-CN"/>
        </w:rPr>
        <w:t>重大税收违法失信主体</w:t>
      </w:r>
      <w:r>
        <w:rPr>
          <w:rFonts w:hint="eastAsia" w:ascii="宋体" w:hAnsi="宋体" w:cs="宋体"/>
          <w:bCs/>
          <w:caps/>
          <w:color w:val="auto"/>
          <w:szCs w:val="21"/>
          <w:highlight w:val="none"/>
        </w:rPr>
        <w:t>或政府采购严重违法失信行为记录名单；不处于中国政府采购网</w:t>
      </w:r>
      <w:r>
        <w:rPr>
          <w:rFonts w:hint="eastAsia" w:ascii="宋体" w:hAnsi="宋体" w:cs="宋体"/>
          <w:color w:val="auto"/>
          <w:szCs w:val="21"/>
          <w:highlight w:val="none"/>
        </w:rPr>
        <w:t>(www.ccgp.gov.cn)</w:t>
      </w:r>
      <w:r>
        <w:rPr>
          <w:rFonts w:hint="eastAsia" w:ascii="宋体" w:hAnsi="宋体" w:cs="宋体"/>
          <w:bCs/>
          <w:caps/>
          <w:color w:val="auto"/>
          <w:szCs w:val="21"/>
          <w:highlight w:val="none"/>
        </w:rPr>
        <w:t>政府采购严重违法失信行为信息记录中的禁止参加政府采购活动期间的方可参加本项目的</w:t>
      </w:r>
      <w:r>
        <w:rPr>
          <w:rFonts w:hint="eastAsia" w:ascii="宋体" w:hAnsi="宋体" w:cs="宋体"/>
          <w:bCs/>
          <w:caps/>
          <w:color w:val="auto"/>
          <w:szCs w:val="21"/>
          <w:highlight w:val="none"/>
          <w:lang w:val="en-US" w:eastAsia="zh-CN"/>
        </w:rPr>
        <w:t>招标</w:t>
      </w:r>
      <w:r>
        <w:rPr>
          <w:rFonts w:hint="eastAsia" w:ascii="宋体" w:hAnsi="宋体" w:cs="宋体"/>
          <w:bCs/>
          <w:caps/>
          <w:color w:val="auto"/>
          <w:szCs w:val="21"/>
          <w:highlight w:val="none"/>
        </w:rPr>
        <w:t>（以递交</w:t>
      </w:r>
      <w:r>
        <w:rPr>
          <w:rFonts w:hint="eastAsia" w:ascii="宋体" w:hAnsi="宋体" w:cs="宋体"/>
          <w:bCs/>
          <w:caps/>
          <w:color w:val="auto"/>
          <w:szCs w:val="21"/>
          <w:highlight w:val="none"/>
          <w:lang w:val="en-US" w:eastAsia="zh-CN"/>
        </w:rPr>
        <w:t>投标</w:t>
      </w:r>
      <w:r>
        <w:rPr>
          <w:rFonts w:hint="eastAsia" w:ascii="宋体" w:hAnsi="宋体" w:cs="宋体"/>
          <w:bCs/>
          <w:caps/>
          <w:color w:val="auto"/>
          <w:szCs w:val="21"/>
          <w:highlight w:val="none"/>
        </w:rPr>
        <w:t>文件截止日前一日在“信用中国”网站</w:t>
      </w:r>
      <w:r>
        <w:rPr>
          <w:rFonts w:hint="eastAsia" w:ascii="宋体" w:hAnsi="宋体" w:cs="宋体"/>
          <w:color w:val="auto"/>
          <w:szCs w:val="21"/>
          <w:highlight w:val="none"/>
        </w:rPr>
        <w:t>(www.creditchina.gov.cn)</w:t>
      </w:r>
      <w:r>
        <w:rPr>
          <w:rFonts w:hint="eastAsia" w:ascii="宋体" w:hAnsi="宋体" w:cs="宋体"/>
          <w:bCs/>
          <w:caps/>
          <w:color w:val="auto"/>
          <w:szCs w:val="21"/>
          <w:highlight w:val="none"/>
        </w:rPr>
        <w:t>、中国政府采购网</w:t>
      </w:r>
      <w:r>
        <w:rPr>
          <w:rFonts w:hint="eastAsia" w:ascii="宋体" w:hAnsi="宋体" w:cs="宋体"/>
          <w:color w:val="auto"/>
          <w:szCs w:val="21"/>
          <w:highlight w:val="none"/>
        </w:rPr>
        <w:t>(www.ccgp.gov.cn)</w:t>
      </w:r>
      <w:r>
        <w:rPr>
          <w:rFonts w:hint="eastAsia" w:ascii="宋体" w:hAnsi="宋体" w:cs="宋体"/>
          <w:bCs/>
          <w:caps/>
          <w:color w:val="auto"/>
          <w:szCs w:val="21"/>
          <w:highlight w:val="none"/>
        </w:rPr>
        <w:t>查询结果为准，如相关失信记录已失效，供应商需提供相关证明资料）</w:t>
      </w:r>
      <w:r>
        <w:rPr>
          <w:rFonts w:hint="eastAsia" w:ascii="宋体" w:hAnsi="宋体" w:eastAsia="宋体" w:cs="宋体"/>
          <w:bCs/>
          <w:caps/>
          <w:color w:val="auto"/>
          <w:szCs w:val="21"/>
          <w:highlight w:val="none"/>
        </w:rPr>
        <w:t>；</w:t>
      </w:r>
    </w:p>
    <w:p w14:paraId="25BB48DF">
      <w:pPr>
        <w:spacing w:line="500" w:lineRule="exact"/>
        <w:ind w:firstLine="420" w:firstLineChars="200"/>
        <w:rPr>
          <w:rFonts w:hint="eastAsia" w:ascii="宋体" w:hAnsi="宋体" w:eastAsia="宋体" w:cs="宋体"/>
          <w:bCs/>
          <w:caps/>
          <w:color w:val="auto"/>
          <w:szCs w:val="21"/>
          <w:highlight w:val="none"/>
        </w:rPr>
      </w:pPr>
      <w:bookmarkStart w:id="20" w:name="_Toc22049"/>
      <w:r>
        <w:rPr>
          <w:rFonts w:hint="eastAsia" w:ascii="宋体" w:hAnsi="宋体" w:eastAsia="宋体" w:cs="宋体"/>
          <w:bCs/>
          <w:caps/>
          <w:color w:val="auto"/>
          <w:szCs w:val="21"/>
          <w:highlight w:val="none"/>
        </w:rPr>
        <w:t>3.2</w:t>
      </w:r>
      <w:r>
        <w:rPr>
          <w:rFonts w:hint="eastAsia" w:ascii="宋体" w:hAnsi="宋体" w:eastAsia="宋体" w:cs="宋体"/>
          <w:bCs/>
          <w:caps/>
          <w:color w:val="auto"/>
          <w:szCs w:val="21"/>
          <w:highlight w:val="none"/>
          <w:lang w:eastAsia="zh-CN"/>
        </w:rPr>
        <w:t>本项目不得转包</w:t>
      </w:r>
      <w:r>
        <w:rPr>
          <w:rFonts w:hint="eastAsia" w:ascii="宋体" w:hAnsi="宋体" w:cs="宋体"/>
          <w:bCs/>
          <w:caps/>
          <w:color w:val="auto"/>
          <w:szCs w:val="21"/>
          <w:highlight w:val="none"/>
          <w:lang w:val="en-US" w:eastAsia="zh-CN"/>
        </w:rPr>
        <w:t>或</w:t>
      </w:r>
      <w:r>
        <w:rPr>
          <w:rFonts w:hint="eastAsia" w:ascii="宋体" w:hAnsi="宋体" w:eastAsia="宋体" w:cs="宋体"/>
          <w:bCs/>
          <w:caps/>
          <w:color w:val="auto"/>
          <w:szCs w:val="21"/>
          <w:highlight w:val="none"/>
          <w:lang w:eastAsia="zh-CN"/>
        </w:rPr>
        <w:t>分包，不接受联合体投标。</w:t>
      </w:r>
      <w:bookmarkEnd w:id="20"/>
    </w:p>
    <w:p w14:paraId="0F8DA68D">
      <w:pPr>
        <w:spacing w:line="500" w:lineRule="exact"/>
        <w:outlineLvl w:val="1"/>
        <w:rPr>
          <w:rFonts w:hint="eastAsia" w:ascii="宋体" w:hAnsi="宋体" w:eastAsia="宋体" w:cs="宋体"/>
          <w:b/>
          <w:bCs/>
          <w:color w:val="auto"/>
          <w:szCs w:val="21"/>
          <w:highlight w:val="none"/>
        </w:rPr>
      </w:pPr>
      <w:bookmarkStart w:id="21" w:name="_Toc15947"/>
      <w:bookmarkStart w:id="22" w:name="_Toc8700"/>
      <w:r>
        <w:rPr>
          <w:rFonts w:hint="eastAsia" w:ascii="宋体" w:hAnsi="宋体" w:eastAsia="宋体" w:cs="宋体"/>
          <w:b/>
          <w:bCs/>
          <w:color w:val="auto"/>
          <w:szCs w:val="21"/>
          <w:highlight w:val="none"/>
        </w:rPr>
        <w:t>三、获取招标文件</w:t>
      </w:r>
      <w:bookmarkEnd w:id="21"/>
      <w:bookmarkEnd w:id="22"/>
    </w:p>
    <w:p w14:paraId="277C44F0">
      <w:pPr>
        <w:adjustRightInd w:val="0"/>
        <w:snapToGrid w:val="0"/>
        <w:spacing w:line="500" w:lineRule="exact"/>
        <w:ind w:firstLine="420" w:firstLineChars="200"/>
        <w:rPr>
          <w:rFonts w:hint="eastAsia" w:ascii="宋体" w:hAnsi="宋体" w:eastAsia="宋体" w:cs="宋体"/>
          <w:caps/>
          <w:color w:val="auto"/>
          <w:szCs w:val="21"/>
          <w:highlight w:val="yellow"/>
        </w:rPr>
      </w:pPr>
      <w:r>
        <w:rPr>
          <w:rFonts w:hint="eastAsia" w:ascii="宋体" w:hAnsi="宋体" w:eastAsia="宋体" w:cs="宋体"/>
          <w:caps/>
          <w:color w:val="auto"/>
          <w:szCs w:val="21"/>
          <w:highlight w:val="none"/>
        </w:rPr>
        <w:t>时间：2026年</w:t>
      </w:r>
      <w:r>
        <w:rPr>
          <w:rFonts w:hint="eastAsia" w:ascii="宋体" w:hAnsi="宋体" w:cs="宋体"/>
          <w:caps/>
          <w:color w:val="auto"/>
          <w:szCs w:val="21"/>
          <w:highlight w:val="none"/>
          <w:lang w:val="en-US" w:eastAsia="zh-CN"/>
        </w:rPr>
        <w:t>09</w:t>
      </w:r>
      <w:r>
        <w:rPr>
          <w:rFonts w:hint="eastAsia" w:ascii="宋体" w:hAnsi="宋体" w:eastAsia="宋体" w:cs="宋体"/>
          <w:caps/>
          <w:color w:val="auto"/>
          <w:szCs w:val="21"/>
          <w:highlight w:val="none"/>
        </w:rPr>
        <w:t>月</w:t>
      </w:r>
      <w:r>
        <w:rPr>
          <w:rFonts w:hint="eastAsia" w:ascii="宋体" w:hAnsi="宋体" w:cs="宋体"/>
          <w:caps/>
          <w:color w:val="auto"/>
          <w:szCs w:val="21"/>
          <w:highlight w:val="none"/>
          <w:lang w:val="en-US" w:eastAsia="zh-CN"/>
        </w:rPr>
        <w:t>07</w:t>
      </w:r>
      <w:r>
        <w:rPr>
          <w:rFonts w:hint="eastAsia" w:ascii="宋体" w:hAnsi="宋体" w:eastAsia="宋体" w:cs="宋体"/>
          <w:caps/>
          <w:color w:val="auto"/>
          <w:szCs w:val="21"/>
          <w:highlight w:val="none"/>
        </w:rPr>
        <w:t>日至2026年</w:t>
      </w:r>
      <w:r>
        <w:rPr>
          <w:rFonts w:hint="eastAsia" w:ascii="宋体" w:hAnsi="宋体" w:cs="宋体"/>
          <w:caps/>
          <w:color w:val="auto"/>
          <w:szCs w:val="21"/>
          <w:highlight w:val="none"/>
          <w:lang w:val="en-US" w:eastAsia="zh-CN"/>
        </w:rPr>
        <w:t>09</w:t>
      </w:r>
      <w:r>
        <w:rPr>
          <w:rFonts w:hint="eastAsia" w:ascii="宋体" w:hAnsi="宋体" w:eastAsia="宋体" w:cs="宋体"/>
          <w:caps/>
          <w:color w:val="auto"/>
          <w:szCs w:val="21"/>
          <w:highlight w:val="none"/>
        </w:rPr>
        <w:t>月</w:t>
      </w:r>
      <w:r>
        <w:rPr>
          <w:rFonts w:hint="eastAsia" w:ascii="宋体" w:hAnsi="宋体" w:cs="宋体"/>
          <w:caps/>
          <w:color w:val="auto"/>
          <w:szCs w:val="21"/>
          <w:highlight w:val="none"/>
          <w:lang w:val="en-US" w:eastAsia="zh-CN"/>
        </w:rPr>
        <w:t>11</w:t>
      </w:r>
      <w:r>
        <w:rPr>
          <w:rFonts w:hint="eastAsia" w:ascii="宋体" w:hAnsi="宋体" w:eastAsia="宋体" w:cs="宋体"/>
          <w:caps/>
          <w:color w:val="auto"/>
          <w:szCs w:val="21"/>
          <w:highlight w:val="none"/>
        </w:rPr>
        <w:t>日，每天上午9:00至12:00，下午14:00至18:00。（北京时间，法定节假日除外）</w:t>
      </w:r>
    </w:p>
    <w:p w14:paraId="213AB401">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lang w:val="en-US" w:eastAsia="zh-CN"/>
        </w:rPr>
        <w:t>地点：</w:t>
      </w:r>
      <w:r>
        <w:rPr>
          <w:rFonts w:hint="eastAsia" w:ascii="宋体" w:hAnsi="宋体" w:eastAsia="宋体" w:cs="宋体"/>
          <w:caps/>
          <w:color w:val="auto"/>
          <w:szCs w:val="21"/>
          <w:highlight w:val="none"/>
        </w:rPr>
        <w:t>请通过“诚E招电子采购交易平台”（网址：https://www.chengezhao.com/）完成本项目招标文件的获取与下载。</w:t>
      </w:r>
    </w:p>
    <w:p w14:paraId="7EB49868">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cs="宋体"/>
          <w:caps/>
          <w:color w:val="auto"/>
          <w:szCs w:val="21"/>
          <w:highlight w:val="none"/>
          <w:lang w:val="en-US" w:eastAsia="zh-CN"/>
        </w:rPr>
        <w:t>方式：免费</w:t>
      </w:r>
      <w:r>
        <w:rPr>
          <w:rFonts w:hint="eastAsia" w:ascii="宋体" w:hAnsi="宋体" w:eastAsia="宋体" w:cs="宋体"/>
          <w:caps/>
          <w:color w:val="auto"/>
          <w:szCs w:val="21"/>
          <w:highlight w:val="none"/>
        </w:rPr>
        <w:t>注册：输入网址，点击【新用户注册】（注册步骤详见门户网站：【投标人操作指南】-【注册指引】）。登录账号后点击【常用文件】，下载《投标人&amp;投标人操作手册》。</w:t>
      </w:r>
    </w:p>
    <w:p w14:paraId="05626D6A">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获取与下载：注册成功后登录平台，点击【商机发现】，检索本项目后支付招标文件费。</w:t>
      </w:r>
    </w:p>
    <w:p w14:paraId="22159798">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疑问反馈：具体操作若有疑问，可致电客服热线：020-89524219。服务时间8:30-17:30（工作日）。</w:t>
      </w:r>
    </w:p>
    <w:p w14:paraId="6994B87A">
      <w:pPr>
        <w:adjustRightInd w:val="0"/>
        <w:snapToGrid w:val="0"/>
        <w:spacing w:line="360" w:lineRule="auto"/>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注：招标文件如需邮寄，需要以书面形式通知招标代理机构。采购代理机构在收到招标文件费用后2 日内寄出。</w:t>
      </w:r>
    </w:p>
    <w:p w14:paraId="35DABC37">
      <w:pPr>
        <w:keepNext w:val="0"/>
        <w:keepLines w:val="0"/>
        <w:pageBreakBefore w:val="0"/>
        <w:kinsoku/>
        <w:wordWrap/>
        <w:overflowPunct/>
        <w:topLinePunct w:val="0"/>
        <w:autoSpaceDE w:val="0"/>
        <w:autoSpaceDN w:val="0"/>
        <w:bidi w:val="0"/>
        <w:adjustRightInd w:val="0"/>
        <w:snapToGrid w:val="0"/>
        <w:spacing w:beforeAutospacing="0" w:afterAutospacing="0" w:line="500" w:lineRule="exact"/>
        <w:ind w:firstLine="48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注：招标文件获取费汇至账户：</w:t>
      </w:r>
    </w:p>
    <w:p w14:paraId="2950D38F">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开户名：公诚管理咨询有限公司</w:t>
      </w:r>
    </w:p>
    <w:p w14:paraId="51FDA544">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开户银行：中信银行广州花园支行</w:t>
      </w:r>
    </w:p>
    <w:p w14:paraId="188E56C4">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账号：</w:t>
      </w:r>
      <w:r>
        <w:rPr>
          <w:rFonts w:hint="eastAsia" w:ascii="宋体" w:hAnsi="宋体" w:cs="宋体"/>
          <w:caps/>
          <w:color w:val="auto"/>
          <w:szCs w:val="21"/>
          <w:highlight w:val="none"/>
          <w:lang w:eastAsia="zh-CN"/>
        </w:rPr>
        <w:t>3110910037672625800</w:t>
      </w:r>
      <w:r>
        <w:rPr>
          <w:rFonts w:hint="eastAsia" w:ascii="宋体" w:hAnsi="宋体" w:eastAsia="宋体" w:cs="宋体"/>
          <w:caps/>
          <w:color w:val="auto"/>
          <w:szCs w:val="21"/>
          <w:highlight w:val="none"/>
        </w:rPr>
        <w:t>（此账号为该项目独立账号，请各投标人注意避免汇款错误，进而影响项目投标）</w:t>
      </w:r>
    </w:p>
    <w:p w14:paraId="448F2199">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售价：¥ 300.00元/包，本公告包含的招标文件售价总和</w:t>
      </w:r>
    </w:p>
    <w:p w14:paraId="56D5C402">
      <w:pPr>
        <w:spacing w:line="500" w:lineRule="exact"/>
        <w:outlineLvl w:val="1"/>
        <w:rPr>
          <w:rFonts w:hint="eastAsia" w:ascii="宋体" w:hAnsi="宋体" w:eastAsia="宋体" w:cs="宋体"/>
          <w:b/>
          <w:bCs/>
          <w:color w:val="auto"/>
          <w:szCs w:val="21"/>
          <w:highlight w:val="none"/>
        </w:rPr>
      </w:pPr>
      <w:bookmarkStart w:id="23" w:name="_Toc15480"/>
      <w:bookmarkStart w:id="24" w:name="_Toc4239"/>
      <w:r>
        <w:rPr>
          <w:rFonts w:hint="eastAsia" w:ascii="宋体" w:hAnsi="宋体" w:eastAsia="宋体" w:cs="宋体"/>
          <w:b/>
          <w:bCs/>
          <w:color w:val="auto"/>
          <w:szCs w:val="21"/>
          <w:highlight w:val="none"/>
        </w:rPr>
        <w:t>四、提交投标文件截止时间、开标时间和地点</w:t>
      </w:r>
      <w:bookmarkEnd w:id="23"/>
      <w:bookmarkEnd w:id="24"/>
    </w:p>
    <w:p w14:paraId="5FE41512">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提交投标文件截止时间：202</w:t>
      </w:r>
      <w:r>
        <w:rPr>
          <w:rFonts w:hint="eastAsia" w:ascii="宋体" w:hAnsi="宋体" w:eastAsia="宋体" w:cs="宋体"/>
          <w:caps/>
          <w:color w:val="auto"/>
          <w:szCs w:val="21"/>
          <w:highlight w:val="none"/>
          <w:lang w:eastAsia="zh-CN"/>
        </w:rPr>
        <w:t>6</w:t>
      </w:r>
      <w:r>
        <w:rPr>
          <w:rFonts w:hint="eastAsia" w:ascii="宋体" w:hAnsi="宋体" w:eastAsia="宋体" w:cs="宋体"/>
          <w:caps/>
          <w:color w:val="auto"/>
          <w:szCs w:val="21"/>
          <w:highlight w:val="none"/>
        </w:rPr>
        <w:t>年</w:t>
      </w:r>
      <w:r>
        <w:rPr>
          <w:rFonts w:hint="eastAsia" w:ascii="宋体" w:hAnsi="宋体" w:cs="宋体"/>
          <w:caps/>
          <w:color w:val="auto"/>
          <w:szCs w:val="21"/>
          <w:highlight w:val="none"/>
          <w:lang w:val="en-US" w:eastAsia="zh-CN"/>
        </w:rPr>
        <w:t>10</w:t>
      </w:r>
      <w:r>
        <w:rPr>
          <w:rFonts w:hint="eastAsia" w:ascii="宋体" w:hAnsi="宋体" w:eastAsia="宋体" w:cs="宋体"/>
          <w:caps/>
          <w:color w:val="auto"/>
          <w:szCs w:val="21"/>
          <w:highlight w:val="none"/>
        </w:rPr>
        <w:t>月</w:t>
      </w:r>
      <w:r>
        <w:rPr>
          <w:rFonts w:hint="eastAsia" w:ascii="宋体" w:hAnsi="宋体" w:cs="宋体"/>
          <w:caps/>
          <w:color w:val="auto"/>
          <w:szCs w:val="21"/>
          <w:highlight w:val="none"/>
          <w:lang w:val="en-US" w:eastAsia="zh-CN"/>
        </w:rPr>
        <w:t>09</w:t>
      </w:r>
      <w:r>
        <w:rPr>
          <w:rFonts w:hint="eastAsia" w:ascii="宋体" w:hAnsi="宋体" w:eastAsia="宋体" w:cs="宋体"/>
          <w:caps/>
          <w:color w:val="auto"/>
          <w:szCs w:val="21"/>
          <w:highlight w:val="none"/>
        </w:rPr>
        <w:t>日09时30分（北京时间）</w:t>
      </w:r>
    </w:p>
    <w:p w14:paraId="335A0CC7">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开标时间：</w:t>
      </w:r>
      <w:r>
        <w:rPr>
          <w:rFonts w:hint="eastAsia" w:ascii="宋体" w:hAnsi="宋体" w:eastAsia="宋体" w:cs="宋体"/>
          <w:caps/>
          <w:color w:val="auto"/>
          <w:szCs w:val="21"/>
          <w:highlight w:val="none"/>
        </w:rPr>
        <w:fldChar w:fldCharType="begin"/>
      </w:r>
      <w:r>
        <w:rPr>
          <w:rFonts w:hint="eastAsia" w:ascii="宋体" w:hAnsi="宋体" w:eastAsia="宋体" w:cs="宋体"/>
          <w:caps/>
          <w:color w:val="auto"/>
          <w:szCs w:val="21"/>
          <w:highlight w:val="none"/>
        </w:rPr>
        <w:instrText xml:space="preserve"> REF 开标时间 \h  \* MERGEFORMAT </w:instrText>
      </w:r>
      <w:r>
        <w:rPr>
          <w:rFonts w:hint="eastAsia" w:ascii="宋体" w:hAnsi="宋体" w:eastAsia="宋体" w:cs="宋体"/>
          <w:caps/>
          <w:color w:val="auto"/>
          <w:szCs w:val="21"/>
          <w:highlight w:val="none"/>
        </w:rPr>
        <w:fldChar w:fldCharType="separate"/>
      </w:r>
      <w:r>
        <w:rPr>
          <w:rFonts w:hint="eastAsia" w:ascii="宋体" w:hAnsi="宋体" w:eastAsia="宋体" w:cs="宋体"/>
          <w:caps/>
          <w:color w:val="auto"/>
          <w:szCs w:val="21"/>
          <w:highlight w:val="none"/>
        </w:rPr>
        <w:t>202</w:t>
      </w:r>
      <w:r>
        <w:rPr>
          <w:rFonts w:hint="eastAsia" w:ascii="宋体" w:hAnsi="宋体" w:eastAsia="宋体" w:cs="宋体"/>
          <w:caps/>
          <w:color w:val="auto"/>
          <w:szCs w:val="21"/>
          <w:highlight w:val="none"/>
          <w:lang w:eastAsia="zh-CN"/>
        </w:rPr>
        <w:t>6</w:t>
      </w:r>
      <w:r>
        <w:rPr>
          <w:rFonts w:hint="eastAsia" w:ascii="宋体" w:hAnsi="宋体" w:eastAsia="宋体" w:cs="宋体"/>
          <w:caps/>
          <w:color w:val="auto"/>
          <w:szCs w:val="21"/>
          <w:highlight w:val="none"/>
        </w:rPr>
        <w:t>年</w:t>
      </w:r>
      <w:r>
        <w:rPr>
          <w:rFonts w:hint="eastAsia" w:ascii="宋体" w:hAnsi="宋体" w:cs="宋体"/>
          <w:caps/>
          <w:color w:val="auto"/>
          <w:szCs w:val="21"/>
          <w:highlight w:val="none"/>
          <w:lang w:val="en-US" w:eastAsia="zh-CN"/>
        </w:rPr>
        <w:t>10</w:t>
      </w:r>
      <w:r>
        <w:rPr>
          <w:rFonts w:hint="eastAsia" w:ascii="宋体" w:hAnsi="宋体" w:eastAsia="宋体" w:cs="宋体"/>
          <w:caps/>
          <w:color w:val="auto"/>
          <w:szCs w:val="21"/>
          <w:highlight w:val="none"/>
        </w:rPr>
        <w:t>月</w:t>
      </w:r>
      <w:r>
        <w:rPr>
          <w:rFonts w:hint="eastAsia" w:ascii="宋体" w:hAnsi="宋体" w:cs="宋体"/>
          <w:caps/>
          <w:color w:val="auto"/>
          <w:szCs w:val="21"/>
          <w:highlight w:val="none"/>
          <w:lang w:val="en-US" w:eastAsia="zh-CN"/>
        </w:rPr>
        <w:t>09</w:t>
      </w:r>
      <w:r>
        <w:rPr>
          <w:rFonts w:hint="eastAsia" w:ascii="宋体" w:hAnsi="宋体" w:eastAsia="宋体" w:cs="宋体"/>
          <w:caps/>
          <w:color w:val="auto"/>
          <w:szCs w:val="21"/>
          <w:highlight w:val="none"/>
        </w:rPr>
        <w:t>日09时30分（北京时间）</w:t>
      </w:r>
      <w:r>
        <w:rPr>
          <w:rFonts w:hint="eastAsia" w:ascii="宋体" w:hAnsi="宋体" w:eastAsia="宋体" w:cs="宋体"/>
          <w:caps/>
          <w:color w:val="auto"/>
          <w:szCs w:val="21"/>
          <w:highlight w:val="none"/>
        </w:rPr>
        <w:fldChar w:fldCharType="end"/>
      </w:r>
    </w:p>
    <w:p w14:paraId="529C00B9">
      <w:pPr>
        <w:adjustRightInd w:val="0"/>
        <w:snapToGrid w:val="0"/>
        <w:spacing w:line="500" w:lineRule="exact"/>
        <w:ind w:firstLine="420" w:firstLineChars="200"/>
        <w:rPr>
          <w:rFonts w:hint="eastAsia" w:ascii="宋体" w:hAnsi="宋体" w:eastAsia="宋体" w:cs="宋体"/>
          <w:caps/>
          <w:color w:val="auto"/>
          <w:szCs w:val="21"/>
          <w:highlight w:val="none"/>
          <w:lang w:eastAsia="zh-CN"/>
        </w:rPr>
      </w:pPr>
      <w:r>
        <w:rPr>
          <w:rFonts w:hint="eastAsia" w:ascii="宋体" w:hAnsi="宋体" w:eastAsia="宋体" w:cs="宋体"/>
          <w:caps/>
          <w:color w:val="auto"/>
          <w:szCs w:val="21"/>
          <w:highlight w:val="none"/>
        </w:rPr>
        <w:t>地点：</w:t>
      </w:r>
      <w:r>
        <w:rPr>
          <w:rFonts w:hint="eastAsia" w:ascii="宋体" w:hAnsi="宋体" w:eastAsia="宋体" w:cs="宋体"/>
          <w:caps/>
          <w:color w:val="auto"/>
          <w:szCs w:val="21"/>
          <w:highlight w:val="none"/>
          <w:lang w:eastAsia="zh-CN"/>
        </w:rPr>
        <w:t>公诚管理咨询有限公司开标室（甘肃省兰州市城关区雁兴路农垦总部经济大厦2#楼（雁兴路19号）20层2001-2003室）</w:t>
      </w:r>
    </w:p>
    <w:p w14:paraId="36B6410A">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注：在递交投标文件的同时，投标人的法定代表人或其委托的授权委托人应持（1）授权委托书原件（如为授权委托人）；（2）被委托人身份证原件；到场核验登记，以上材料缺少其中一项或逾期送达或者未送达指定地点或者材料密封不符合密封要求的投标文件，其投标文件将被采购人拒绝。</w:t>
      </w:r>
    </w:p>
    <w:p w14:paraId="679A0E35">
      <w:pPr>
        <w:spacing w:line="500" w:lineRule="exact"/>
        <w:outlineLvl w:val="1"/>
        <w:rPr>
          <w:rFonts w:hint="eastAsia" w:ascii="宋体" w:hAnsi="宋体" w:eastAsia="宋体" w:cs="宋体"/>
          <w:b/>
          <w:bCs/>
          <w:color w:val="auto"/>
          <w:szCs w:val="21"/>
          <w:highlight w:val="none"/>
        </w:rPr>
      </w:pPr>
      <w:bookmarkStart w:id="25" w:name="_Toc8806"/>
      <w:bookmarkStart w:id="26" w:name="_Toc27118"/>
      <w:r>
        <w:rPr>
          <w:rFonts w:hint="eastAsia" w:ascii="宋体" w:hAnsi="宋体" w:eastAsia="宋体" w:cs="宋体"/>
          <w:b/>
          <w:bCs/>
          <w:color w:val="auto"/>
          <w:szCs w:val="21"/>
          <w:highlight w:val="none"/>
        </w:rPr>
        <w:t>五、公告期限</w:t>
      </w:r>
      <w:bookmarkEnd w:id="25"/>
      <w:bookmarkEnd w:id="26"/>
    </w:p>
    <w:p w14:paraId="79FD20F2">
      <w:pPr>
        <w:adjustRightInd w:val="0"/>
        <w:snapToGrid w:val="0"/>
        <w:spacing w:line="500" w:lineRule="exact"/>
        <w:ind w:firstLine="420" w:firstLineChars="200"/>
        <w:rPr>
          <w:rFonts w:hint="eastAsia" w:ascii="宋体" w:hAnsi="宋体" w:eastAsia="宋体" w:cs="宋体"/>
          <w:caps/>
          <w:snapToGrid w:val="0"/>
          <w:color w:val="auto"/>
          <w:szCs w:val="21"/>
          <w:highlight w:val="none"/>
        </w:rPr>
      </w:pPr>
      <w:r>
        <w:rPr>
          <w:rFonts w:hint="eastAsia" w:ascii="宋体" w:hAnsi="宋体" w:eastAsia="宋体" w:cs="宋体"/>
          <w:caps/>
          <w:snapToGrid w:val="0"/>
          <w:color w:val="auto"/>
          <w:szCs w:val="21"/>
          <w:highlight w:val="none"/>
        </w:rPr>
        <w:t>自本公告发布之日起5个工作日</w:t>
      </w:r>
    </w:p>
    <w:p w14:paraId="3B7C590B">
      <w:pPr>
        <w:spacing w:line="500" w:lineRule="exact"/>
        <w:outlineLvl w:val="1"/>
        <w:rPr>
          <w:rFonts w:hint="eastAsia" w:ascii="宋体" w:hAnsi="宋体" w:eastAsia="宋体" w:cs="宋体"/>
          <w:b/>
          <w:bCs/>
          <w:color w:val="auto"/>
          <w:szCs w:val="21"/>
          <w:highlight w:val="none"/>
        </w:rPr>
      </w:pPr>
      <w:bookmarkStart w:id="27" w:name="_Toc31336"/>
      <w:bookmarkStart w:id="28" w:name="_Toc23550"/>
      <w:r>
        <w:rPr>
          <w:rFonts w:hint="eastAsia" w:ascii="宋体" w:hAnsi="宋体" w:eastAsia="宋体" w:cs="宋体"/>
          <w:b/>
          <w:bCs/>
          <w:color w:val="auto"/>
          <w:szCs w:val="21"/>
          <w:highlight w:val="none"/>
        </w:rPr>
        <w:t>六、其他补充事宜</w:t>
      </w:r>
      <w:bookmarkEnd w:id="27"/>
      <w:bookmarkEnd w:id="28"/>
    </w:p>
    <w:p w14:paraId="09482A09">
      <w:pPr>
        <w:adjustRightInd w:val="0"/>
        <w:snapToGrid w:val="0"/>
        <w:spacing w:line="500" w:lineRule="exact"/>
        <w:ind w:firstLine="420" w:firstLineChars="200"/>
        <w:rPr>
          <w:rFonts w:hint="eastAsia" w:ascii="宋体" w:hAnsi="宋体" w:eastAsia="宋体" w:cs="宋体"/>
          <w:caps/>
          <w:color w:val="auto"/>
          <w:szCs w:val="21"/>
          <w:highlight w:val="none"/>
        </w:rPr>
      </w:pPr>
      <w:bookmarkStart w:id="29" w:name="_Toc32569"/>
      <w:r>
        <w:rPr>
          <w:rFonts w:hint="eastAsia" w:ascii="宋体" w:hAnsi="宋体" w:eastAsia="宋体" w:cs="宋体"/>
          <w:caps/>
          <w:color w:val="auto"/>
          <w:szCs w:val="21"/>
          <w:highlight w:val="none"/>
        </w:rPr>
        <w:t>1．项目需要落实的政府采购政策：</w:t>
      </w:r>
      <w:bookmarkEnd w:id="29"/>
    </w:p>
    <w:p w14:paraId="63D7E023">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（1）《政府采购促进中小企业发展管理办法》</w:t>
      </w:r>
    </w:p>
    <w:p w14:paraId="36CFAB4B">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（2）《关于政府采购支持监狱企业发展有关问题的通知》</w:t>
      </w:r>
    </w:p>
    <w:p w14:paraId="56888303">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（3）《关于促进残疾人就业政府采购政策的通知》</w:t>
      </w:r>
    </w:p>
    <w:p w14:paraId="4A72DF22">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（4）《关于调整优化节能产品、环境标志产品政府采购执行机制的通知》</w:t>
      </w:r>
    </w:p>
    <w:p w14:paraId="0942A590">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详见招标文件。</w:t>
      </w:r>
    </w:p>
    <w:p w14:paraId="12215635">
      <w:pPr>
        <w:adjustRightInd w:val="0"/>
        <w:snapToGrid w:val="0"/>
        <w:spacing w:line="500" w:lineRule="exact"/>
        <w:ind w:firstLine="420" w:firstLineChars="200"/>
        <w:rPr>
          <w:rFonts w:hint="eastAsia" w:ascii="宋体" w:hAnsi="宋体" w:eastAsia="宋体" w:cs="宋体"/>
          <w:caps/>
          <w:color w:val="auto"/>
          <w:szCs w:val="21"/>
          <w:highlight w:val="none"/>
        </w:rPr>
      </w:pPr>
      <w:bookmarkStart w:id="30" w:name="_Toc3445"/>
      <w:r>
        <w:rPr>
          <w:rFonts w:hint="eastAsia" w:ascii="宋体" w:hAnsi="宋体" w:eastAsia="宋体" w:cs="宋体"/>
          <w:caps/>
          <w:color w:val="auto"/>
          <w:szCs w:val="21"/>
          <w:highlight w:val="none"/>
        </w:rPr>
        <w:t>2．发布公告的媒介：</w:t>
      </w:r>
      <w:bookmarkEnd w:id="30"/>
    </w:p>
    <w:p w14:paraId="440EC7D6">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本次公告同时在中国政府采购网、国家税务总局甘肃省税务局官网发布。</w:t>
      </w:r>
    </w:p>
    <w:p w14:paraId="02DB1BA3">
      <w:pPr>
        <w:spacing w:line="500" w:lineRule="exact"/>
        <w:outlineLvl w:val="1"/>
        <w:rPr>
          <w:rFonts w:hint="eastAsia" w:ascii="宋体" w:hAnsi="宋体" w:eastAsia="宋体" w:cs="宋体"/>
          <w:b/>
          <w:bCs/>
          <w:color w:val="auto"/>
          <w:szCs w:val="21"/>
          <w:highlight w:val="none"/>
        </w:rPr>
      </w:pPr>
      <w:bookmarkStart w:id="31" w:name="_Toc3688"/>
      <w:bookmarkStart w:id="32" w:name="_Toc5937"/>
      <w:r>
        <w:rPr>
          <w:rFonts w:hint="eastAsia" w:ascii="宋体" w:hAnsi="宋体" w:eastAsia="宋体" w:cs="宋体"/>
          <w:b/>
          <w:bCs/>
          <w:color w:val="auto"/>
          <w:szCs w:val="21"/>
          <w:highlight w:val="none"/>
        </w:rPr>
        <w:t>七、对本次招标提出询问，请按以下方式联系</w:t>
      </w:r>
      <w:bookmarkEnd w:id="31"/>
      <w:bookmarkEnd w:id="32"/>
    </w:p>
    <w:p w14:paraId="7FF6F5E1">
      <w:pPr>
        <w:adjustRightInd w:val="0"/>
        <w:snapToGrid w:val="0"/>
        <w:spacing w:line="500" w:lineRule="exact"/>
        <w:ind w:firstLine="420" w:firstLineChars="200"/>
        <w:rPr>
          <w:rFonts w:hint="eastAsia" w:ascii="宋体" w:hAnsi="宋体" w:eastAsia="宋体" w:cs="宋体"/>
          <w:caps/>
          <w:color w:val="auto"/>
          <w:szCs w:val="21"/>
          <w:highlight w:val="none"/>
        </w:rPr>
      </w:pPr>
      <w:bookmarkStart w:id="33" w:name="_Toc3661"/>
      <w:r>
        <w:rPr>
          <w:rFonts w:hint="eastAsia" w:ascii="宋体" w:hAnsi="宋体" w:eastAsia="宋体" w:cs="宋体"/>
          <w:caps/>
          <w:color w:val="auto"/>
          <w:szCs w:val="21"/>
          <w:highlight w:val="none"/>
        </w:rPr>
        <w:t>1.采购人信息</w:t>
      </w:r>
      <w:bookmarkEnd w:id="33"/>
    </w:p>
    <w:p w14:paraId="068A5950">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名    称：国家税务总局甘肃省税务局</w:t>
      </w:r>
    </w:p>
    <w:p w14:paraId="49A8465F">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地    址：兰州市城关区金昌南路353号</w:t>
      </w:r>
    </w:p>
    <w:p w14:paraId="30BE7478">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联系方式：0931-8533780</w:t>
      </w:r>
    </w:p>
    <w:p w14:paraId="3CEA54E5">
      <w:pPr>
        <w:adjustRightInd w:val="0"/>
        <w:snapToGrid w:val="0"/>
        <w:spacing w:line="500" w:lineRule="exact"/>
        <w:ind w:firstLine="420" w:firstLineChars="200"/>
        <w:rPr>
          <w:rFonts w:hint="eastAsia" w:ascii="宋体" w:hAnsi="宋体" w:eastAsia="宋体" w:cs="宋体"/>
          <w:caps/>
          <w:color w:val="auto"/>
          <w:szCs w:val="21"/>
          <w:highlight w:val="none"/>
        </w:rPr>
      </w:pPr>
      <w:bookmarkStart w:id="34" w:name="_Toc13649"/>
      <w:r>
        <w:rPr>
          <w:rFonts w:hint="eastAsia" w:ascii="宋体" w:hAnsi="宋体" w:eastAsia="宋体" w:cs="宋体"/>
          <w:caps/>
          <w:color w:val="auto"/>
          <w:szCs w:val="21"/>
          <w:highlight w:val="none"/>
        </w:rPr>
        <w:t>2.采购代理机构信息</w:t>
      </w:r>
      <w:bookmarkEnd w:id="34"/>
    </w:p>
    <w:p w14:paraId="7E17AC4D">
      <w:pPr>
        <w:adjustRightInd w:val="0"/>
        <w:snapToGrid w:val="0"/>
        <w:spacing w:line="500" w:lineRule="exact"/>
        <w:ind w:firstLine="420" w:firstLineChars="200"/>
        <w:rPr>
          <w:rFonts w:hint="eastAsia" w:ascii="宋体" w:hAnsi="宋体" w:eastAsia="宋体" w:cs="宋体"/>
          <w:caps/>
          <w:color w:val="auto"/>
          <w:szCs w:val="21"/>
          <w:highlight w:val="none"/>
          <w:lang w:eastAsia="zh-CN"/>
        </w:rPr>
      </w:pPr>
      <w:r>
        <w:rPr>
          <w:rFonts w:hint="eastAsia" w:ascii="宋体" w:hAnsi="宋体" w:eastAsia="宋体" w:cs="宋体"/>
          <w:caps/>
          <w:color w:val="auto"/>
          <w:szCs w:val="21"/>
          <w:highlight w:val="none"/>
        </w:rPr>
        <w:t>名    称：</w:t>
      </w:r>
      <w:r>
        <w:rPr>
          <w:rFonts w:hint="eastAsia" w:ascii="宋体" w:hAnsi="宋体" w:eastAsia="宋体" w:cs="宋体"/>
          <w:caps/>
          <w:color w:val="auto"/>
          <w:szCs w:val="21"/>
          <w:highlight w:val="none"/>
          <w:lang w:eastAsia="zh-CN"/>
        </w:rPr>
        <w:t>公诚管理咨询有限公司</w:t>
      </w:r>
    </w:p>
    <w:p w14:paraId="6399384F">
      <w:pPr>
        <w:adjustRightInd w:val="0"/>
        <w:snapToGrid w:val="0"/>
        <w:spacing w:line="500" w:lineRule="exact"/>
        <w:ind w:firstLine="420" w:firstLineChars="200"/>
        <w:rPr>
          <w:rFonts w:hint="eastAsia" w:ascii="宋体" w:hAnsi="宋体" w:eastAsia="宋体" w:cs="宋体"/>
          <w:caps/>
          <w:color w:val="auto"/>
          <w:szCs w:val="21"/>
          <w:highlight w:val="none"/>
          <w:lang w:eastAsia="zh-CN"/>
        </w:rPr>
      </w:pPr>
      <w:r>
        <w:rPr>
          <w:rFonts w:hint="eastAsia" w:ascii="宋体" w:hAnsi="宋体" w:eastAsia="宋体" w:cs="宋体"/>
          <w:caps/>
          <w:color w:val="auto"/>
          <w:szCs w:val="21"/>
          <w:highlight w:val="none"/>
        </w:rPr>
        <w:t>地  　址：</w:t>
      </w:r>
      <w:r>
        <w:rPr>
          <w:rFonts w:hint="eastAsia" w:ascii="宋体" w:hAnsi="宋体" w:eastAsia="宋体" w:cs="宋体"/>
          <w:caps/>
          <w:color w:val="auto"/>
          <w:szCs w:val="21"/>
          <w:highlight w:val="none"/>
          <w:lang w:eastAsia="zh-CN"/>
        </w:rPr>
        <w:t>甘肃省兰州市城关区雁兴路农垦总部经济大厦2#楼（雁兴路19号）20层2001-2003室</w:t>
      </w:r>
    </w:p>
    <w:p w14:paraId="7EFB1C73">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联系方式：</w:t>
      </w:r>
      <w:bookmarkStart w:id="35" w:name="_Toc32604"/>
      <w:r>
        <w:rPr>
          <w:rFonts w:hint="eastAsia" w:ascii="宋体" w:hAnsi="宋体" w:eastAsia="宋体" w:cs="宋体"/>
          <w:caps/>
          <w:color w:val="auto"/>
          <w:szCs w:val="21"/>
          <w:highlight w:val="none"/>
        </w:rPr>
        <w:t>田文娟17739832686、张倩18919950844、马艳 18194260382、韦二许 13909319912　</w:t>
      </w:r>
    </w:p>
    <w:p w14:paraId="733F05A0">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3.项目联系方式</w:t>
      </w:r>
      <w:bookmarkEnd w:id="35"/>
    </w:p>
    <w:p w14:paraId="513B2F5C">
      <w:pPr>
        <w:adjustRightInd w:val="0"/>
        <w:snapToGrid w:val="0"/>
        <w:spacing w:line="500" w:lineRule="exact"/>
        <w:ind w:firstLine="42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项目联系人：田文娟、张倩、马艳、韦二许</w:t>
      </w:r>
    </w:p>
    <w:p w14:paraId="398D1E20">
      <w:pPr>
        <w:adjustRightInd w:val="0"/>
        <w:snapToGrid w:val="0"/>
        <w:spacing w:line="500" w:lineRule="exact"/>
        <w:ind w:firstLine="420" w:firstLineChars="200"/>
        <w:rPr>
          <w:rFonts w:hint="eastAsia" w:ascii="宋体" w:hAnsi="宋体" w:eastAsia="宋体" w:cs="宋体"/>
          <w:caps/>
          <w:color w:val="auto"/>
          <w:szCs w:val="21"/>
          <w:highlight w:val="none"/>
          <w:lang w:val="en-US" w:eastAsia="zh-CN"/>
        </w:rPr>
      </w:pPr>
      <w:r>
        <w:rPr>
          <w:rFonts w:hint="eastAsia" w:ascii="宋体" w:hAnsi="宋体" w:eastAsia="宋体" w:cs="宋体"/>
          <w:caps/>
          <w:color w:val="auto"/>
          <w:szCs w:val="21"/>
          <w:highlight w:val="none"/>
          <w:u w:val="none"/>
        </w:rPr>
        <w:t>电　    话： 17739832686、18919950844、18194260382</w:t>
      </w:r>
    </w:p>
    <w:p w14:paraId="015560A8">
      <w:pPr>
        <w:rPr>
          <w:rFonts w:hint="eastAsia" w:ascii="宋体" w:hAnsi="宋体" w:cs="宋体"/>
          <w:color w:val="auto"/>
          <w:highlight w:val="none"/>
        </w:rPr>
      </w:pPr>
    </w:p>
    <w:p w14:paraId="224D50CA">
      <w:pPr>
        <w:rPr>
          <w:rFonts w:hint="eastAsia" w:ascii="宋体" w:hAnsi="宋体" w:cs="宋体"/>
          <w:color w:val="auto"/>
          <w:highlight w:val="none"/>
        </w:rPr>
      </w:pPr>
    </w:p>
    <w:p w14:paraId="06755A95">
      <w:pPr>
        <w:widowControl/>
        <w:spacing w:line="480" w:lineRule="exact"/>
        <w:jc w:val="center"/>
        <w:outlineLvl w:val="0"/>
        <w:rPr>
          <w:rFonts w:hint="eastAsia" w:ascii="宋体" w:hAnsi="宋体" w:cs="宋体"/>
          <w:color w:val="auto"/>
          <w:highlight w:val="none"/>
        </w:rPr>
      </w:pPr>
      <w:r>
        <w:rPr>
          <w:rFonts w:hint="eastAsia" w:ascii="宋体" w:hAnsi="宋体" w:cs="宋体"/>
          <w:color w:val="auto"/>
          <w:sz w:val="24"/>
          <w:szCs w:val="24"/>
          <w:highlight w:val="none"/>
        </w:rPr>
        <w:br w:type="page"/>
      </w:r>
      <w:bookmarkStart w:id="36" w:name="_Toc164681226"/>
      <w:bookmarkStart w:id="37" w:name="_Toc164182690"/>
      <w:bookmarkStart w:id="38" w:name="_Toc19416"/>
      <w:bookmarkStart w:id="39" w:name="_Toc4665"/>
      <w:bookmarkStart w:id="40" w:name="_Toc2661"/>
      <w:bookmarkStart w:id="41" w:name="_Toc132880272"/>
      <w:bookmarkStart w:id="42" w:name="_Toc9874"/>
      <w:bookmarkStart w:id="43" w:name="_Toc27740"/>
      <w:bookmarkStart w:id="44" w:name="_Toc164182209"/>
      <w:bookmarkStart w:id="45" w:name="_Toc1313"/>
      <w:bookmarkStart w:id="46" w:name="_Toc1204"/>
      <w:bookmarkStart w:id="47" w:name="_Toc7293"/>
      <w:r>
        <w:rPr>
          <w:rFonts w:hint="eastAsia" w:ascii="宋体" w:hAnsi="宋体" w:cs="宋体"/>
          <w:b/>
          <w:bCs/>
          <w:color w:val="auto"/>
          <w:sz w:val="36"/>
          <w:szCs w:val="40"/>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p>
    <w:p w14:paraId="1724CC07">
      <w:pPr>
        <w:pStyle w:val="3"/>
        <w:rPr>
          <w:rFonts w:hint="eastAsia" w:ascii="宋体" w:hAnsi="宋体" w:cs="宋体"/>
          <w:color w:val="auto"/>
          <w:highlight w:val="none"/>
        </w:rPr>
      </w:pPr>
      <w:bookmarkStart w:id="48" w:name="_Toc13344"/>
      <w:bookmarkStart w:id="49" w:name="_Toc164182210"/>
      <w:bookmarkStart w:id="50" w:name="_Toc21114"/>
      <w:bookmarkStart w:id="51" w:name="_Toc164182691"/>
      <w:bookmarkStart w:id="52" w:name="_Toc31353"/>
      <w:bookmarkStart w:id="53" w:name="_Toc132880273"/>
      <w:bookmarkStart w:id="54" w:name="_Toc24718"/>
      <w:bookmarkStart w:id="55" w:name="_Toc164681227"/>
      <w:bookmarkStart w:id="56" w:name="_Toc3168"/>
      <w:bookmarkStart w:id="57" w:name="_Toc7430"/>
      <w:r>
        <w:rPr>
          <w:rFonts w:hint="eastAsia" w:ascii="宋体" w:hAnsi="宋体" w:cs="宋体"/>
          <w:color w:val="auto"/>
          <w:highlight w:val="none"/>
        </w:rPr>
        <w:t>投标人须知前附表</w:t>
      </w:r>
      <w:bookmarkEnd w:id="48"/>
      <w:bookmarkEnd w:id="49"/>
      <w:bookmarkEnd w:id="50"/>
      <w:bookmarkEnd w:id="51"/>
      <w:bookmarkEnd w:id="52"/>
      <w:bookmarkEnd w:id="53"/>
      <w:bookmarkEnd w:id="54"/>
      <w:bookmarkEnd w:id="55"/>
      <w:bookmarkEnd w:id="56"/>
      <w:bookmarkEnd w:id="57"/>
    </w:p>
    <w:tbl>
      <w:tblPr>
        <w:tblStyle w:val="31"/>
        <w:tblW w:w="9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671"/>
        <w:gridCol w:w="709"/>
        <w:gridCol w:w="5977"/>
      </w:tblGrid>
      <w:tr w14:paraId="22F0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5E480A77">
            <w:pPr>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01FDA39C">
            <w:pPr>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类别</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5426FC91">
            <w:pPr>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内容</w:t>
            </w:r>
          </w:p>
        </w:tc>
      </w:tr>
      <w:tr w14:paraId="13E1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restart"/>
            <w:tcBorders>
              <w:top w:val="single" w:color="auto" w:sz="4" w:space="0"/>
              <w:left w:val="single" w:color="auto" w:sz="4" w:space="0"/>
              <w:right w:val="single" w:color="auto" w:sz="4" w:space="0"/>
            </w:tcBorders>
            <w:noWrap w:val="0"/>
            <w:vAlign w:val="center"/>
          </w:tcPr>
          <w:p w14:paraId="34292CE6">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671" w:type="dxa"/>
            <w:vMerge w:val="restart"/>
            <w:tcBorders>
              <w:top w:val="single" w:color="auto" w:sz="4" w:space="0"/>
              <w:left w:val="single" w:color="auto" w:sz="4" w:space="0"/>
              <w:right w:val="single" w:color="auto" w:sz="4" w:space="0"/>
            </w:tcBorders>
            <w:noWrap w:val="0"/>
            <w:vAlign w:val="center"/>
          </w:tcPr>
          <w:p w14:paraId="41B0E8F9">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项目名称、</w:t>
            </w:r>
          </w:p>
          <w:p w14:paraId="6624057A">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编号、预算</w:t>
            </w:r>
          </w:p>
          <w:p w14:paraId="1FF42CD9">
            <w:pPr>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及最高限价</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6475836D">
            <w:pPr>
              <w:adjustRightInd w:val="0"/>
              <w:snapToGrid w:val="0"/>
              <w:spacing w:line="500" w:lineRule="exact"/>
              <w:jc w:val="left"/>
              <w:rPr>
                <w:rFonts w:hint="eastAsia" w:ascii="宋体" w:hAnsi="宋体" w:eastAsia="宋体" w:cs="宋体"/>
                <w:b/>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甘肃税务2026年税收大数据应用平台运维服务项目</w:t>
            </w:r>
          </w:p>
        </w:tc>
      </w:tr>
      <w:tr w14:paraId="1D85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tcBorders>
              <w:left w:val="single" w:color="auto" w:sz="4" w:space="0"/>
              <w:right w:val="single" w:color="auto" w:sz="4" w:space="0"/>
            </w:tcBorders>
            <w:noWrap w:val="0"/>
            <w:vAlign w:val="center"/>
          </w:tcPr>
          <w:p w14:paraId="3531E177">
            <w:pPr>
              <w:adjustRightInd w:val="0"/>
              <w:snapToGrid w:val="0"/>
              <w:spacing w:line="500" w:lineRule="exact"/>
              <w:jc w:val="center"/>
              <w:rPr>
                <w:rFonts w:hint="eastAsia" w:ascii="宋体" w:hAnsi="宋体" w:cs="宋体"/>
                <w:color w:val="auto"/>
                <w:szCs w:val="21"/>
                <w:highlight w:val="none"/>
              </w:rPr>
            </w:pPr>
          </w:p>
        </w:tc>
        <w:tc>
          <w:tcPr>
            <w:tcW w:w="1671" w:type="dxa"/>
            <w:vMerge w:val="continue"/>
            <w:tcBorders>
              <w:left w:val="single" w:color="auto" w:sz="4" w:space="0"/>
              <w:right w:val="single" w:color="auto" w:sz="4" w:space="0"/>
            </w:tcBorders>
            <w:noWrap w:val="0"/>
            <w:vAlign w:val="center"/>
          </w:tcPr>
          <w:p w14:paraId="7AA43063">
            <w:pPr>
              <w:adjustRightInd w:val="0"/>
              <w:snapToGrid w:val="0"/>
              <w:spacing w:line="500" w:lineRule="exact"/>
              <w:jc w:val="center"/>
              <w:rPr>
                <w:rFonts w:hint="eastAsia" w:ascii="宋体" w:hAnsi="宋体" w:cs="宋体"/>
                <w:color w:val="auto"/>
                <w:szCs w:val="21"/>
                <w:highlight w:val="none"/>
              </w:rPr>
            </w:pP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69875F7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项目编号：GS2026-DLGK-C0024-B00 </w:t>
            </w:r>
          </w:p>
        </w:tc>
      </w:tr>
      <w:tr w14:paraId="6F8D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tcBorders>
              <w:left w:val="single" w:color="auto" w:sz="4" w:space="0"/>
              <w:right w:val="single" w:color="auto" w:sz="4" w:space="0"/>
            </w:tcBorders>
            <w:noWrap w:val="0"/>
            <w:vAlign w:val="center"/>
          </w:tcPr>
          <w:p w14:paraId="0504045D">
            <w:pPr>
              <w:adjustRightInd w:val="0"/>
              <w:snapToGrid w:val="0"/>
              <w:spacing w:line="500" w:lineRule="exact"/>
              <w:jc w:val="center"/>
              <w:rPr>
                <w:rFonts w:hint="eastAsia" w:ascii="宋体" w:hAnsi="宋体" w:cs="宋体"/>
                <w:color w:val="auto"/>
                <w:szCs w:val="21"/>
                <w:highlight w:val="none"/>
              </w:rPr>
            </w:pPr>
          </w:p>
        </w:tc>
        <w:tc>
          <w:tcPr>
            <w:tcW w:w="1671" w:type="dxa"/>
            <w:vMerge w:val="continue"/>
            <w:tcBorders>
              <w:left w:val="single" w:color="auto" w:sz="4" w:space="0"/>
              <w:right w:val="single" w:color="auto" w:sz="4" w:space="0"/>
            </w:tcBorders>
            <w:noWrap w:val="0"/>
            <w:vAlign w:val="center"/>
          </w:tcPr>
          <w:p w14:paraId="25954655">
            <w:pPr>
              <w:adjustRightInd w:val="0"/>
              <w:snapToGrid w:val="0"/>
              <w:spacing w:line="500" w:lineRule="exact"/>
              <w:jc w:val="center"/>
              <w:rPr>
                <w:rFonts w:hint="eastAsia" w:ascii="宋体" w:hAnsi="宋体" w:cs="宋体"/>
                <w:color w:val="auto"/>
                <w:szCs w:val="21"/>
                <w:highlight w:val="none"/>
              </w:rPr>
            </w:pP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6EDD8C4E">
            <w:pPr>
              <w:adjustRightInd w:val="0"/>
              <w:snapToGrid w:val="0"/>
              <w:spacing w:line="500" w:lineRule="exact"/>
              <w:jc w:val="left"/>
              <w:rPr>
                <w:rFonts w:hint="eastAsia" w:ascii="宋体" w:hAnsi="宋体" w:cs="宋体"/>
                <w:color w:val="auto"/>
                <w:szCs w:val="21"/>
                <w:highlight w:val="yellow"/>
              </w:rPr>
            </w:pPr>
            <w:r>
              <w:rPr>
                <w:rFonts w:hint="eastAsia" w:ascii="宋体" w:hAnsi="宋体" w:cs="宋体"/>
                <w:color w:val="auto"/>
                <w:szCs w:val="21"/>
                <w:highlight w:val="none"/>
              </w:rPr>
              <w:t>项目预算：</w:t>
            </w:r>
            <w:r>
              <w:rPr>
                <w:rFonts w:hint="eastAsia" w:ascii="宋体" w:hAnsi="宋体" w:eastAsia="宋体" w:cs="宋体"/>
                <w:color w:val="auto"/>
                <w:szCs w:val="21"/>
                <w:highlight w:val="none"/>
              </w:rPr>
              <w:t>39.6</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rPr>
              <w:t>万元（人民币）</w:t>
            </w:r>
          </w:p>
        </w:tc>
      </w:tr>
      <w:tr w14:paraId="5811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tcBorders>
              <w:left w:val="single" w:color="auto" w:sz="4" w:space="0"/>
              <w:bottom w:val="single" w:color="auto" w:sz="4" w:space="0"/>
              <w:right w:val="single" w:color="auto" w:sz="4" w:space="0"/>
            </w:tcBorders>
            <w:noWrap w:val="0"/>
            <w:vAlign w:val="center"/>
          </w:tcPr>
          <w:p w14:paraId="15B6B0C1">
            <w:pPr>
              <w:adjustRightInd w:val="0"/>
              <w:snapToGrid w:val="0"/>
              <w:spacing w:line="500" w:lineRule="exact"/>
              <w:jc w:val="center"/>
              <w:rPr>
                <w:rFonts w:hint="eastAsia" w:ascii="宋体" w:hAnsi="宋体" w:cs="宋体"/>
                <w:color w:val="auto"/>
                <w:szCs w:val="21"/>
                <w:highlight w:val="none"/>
              </w:rPr>
            </w:pPr>
          </w:p>
        </w:tc>
        <w:tc>
          <w:tcPr>
            <w:tcW w:w="1671" w:type="dxa"/>
            <w:vMerge w:val="continue"/>
            <w:tcBorders>
              <w:left w:val="single" w:color="auto" w:sz="4" w:space="0"/>
              <w:bottom w:val="single" w:color="auto" w:sz="4" w:space="0"/>
              <w:right w:val="single" w:color="auto" w:sz="4" w:space="0"/>
            </w:tcBorders>
            <w:noWrap w:val="0"/>
            <w:vAlign w:val="center"/>
          </w:tcPr>
          <w:p w14:paraId="710BFC14">
            <w:pPr>
              <w:adjustRightInd w:val="0"/>
              <w:snapToGrid w:val="0"/>
              <w:spacing w:line="500" w:lineRule="exact"/>
              <w:jc w:val="center"/>
              <w:rPr>
                <w:rFonts w:hint="eastAsia" w:ascii="宋体" w:hAnsi="宋体" w:cs="宋体"/>
                <w:color w:val="auto"/>
                <w:szCs w:val="21"/>
                <w:highlight w:val="none"/>
              </w:rPr>
            </w:pP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51D951E5">
            <w:pPr>
              <w:tabs>
                <w:tab w:val="left" w:pos="4620"/>
              </w:tabs>
              <w:adjustRightInd w:val="0"/>
              <w:snapToGrid w:val="0"/>
              <w:spacing w:line="500" w:lineRule="exact"/>
              <w:jc w:val="left"/>
              <w:rPr>
                <w:rFonts w:hint="eastAsia" w:ascii="宋体" w:hAnsi="宋体" w:cs="宋体"/>
                <w:caps/>
                <w:color w:val="auto"/>
                <w:szCs w:val="21"/>
                <w:highlight w:val="yellow"/>
              </w:rPr>
            </w:pPr>
            <w:r>
              <w:rPr>
                <w:rFonts w:hint="eastAsia" w:ascii="宋体" w:hAnsi="宋体" w:cs="宋体"/>
                <w:color w:val="auto"/>
                <w:szCs w:val="21"/>
                <w:highlight w:val="none"/>
              </w:rPr>
              <w:t>最高限价：</w:t>
            </w:r>
            <w:r>
              <w:rPr>
                <w:rFonts w:hint="eastAsia" w:ascii="宋体" w:hAnsi="宋体" w:eastAsia="宋体" w:cs="宋体"/>
                <w:color w:val="auto"/>
                <w:szCs w:val="21"/>
                <w:highlight w:val="none"/>
              </w:rPr>
              <w:t>39.6</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rPr>
              <w:t>万元（人民币）</w:t>
            </w:r>
          </w:p>
        </w:tc>
      </w:tr>
      <w:tr w14:paraId="78E69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04EEED8D">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5A9DFC37">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采购需求</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3F065A8D">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详见《招标文件》第六章</w:t>
            </w:r>
          </w:p>
        </w:tc>
      </w:tr>
      <w:tr w14:paraId="33DA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666E9264">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77134D52">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p w14:paraId="0524E6E0">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和类别</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044E700D">
            <w:pPr>
              <w:adjustRightInd w:val="0"/>
              <w:snapToGrid w:val="0"/>
              <w:spacing w:line="500" w:lineRule="exact"/>
              <w:jc w:val="left"/>
              <w:rPr>
                <w:rFonts w:hint="eastAsia" w:ascii="宋体" w:hAnsi="宋体" w:cs="宋体"/>
                <w:b/>
                <w:color w:val="auto"/>
                <w:szCs w:val="21"/>
                <w:highlight w:val="none"/>
              </w:rPr>
            </w:pPr>
            <w:r>
              <w:rPr>
                <w:rFonts w:hint="eastAsia" w:ascii="宋体" w:hAnsi="宋体" w:cs="宋体"/>
                <w:b/>
                <w:color w:val="auto"/>
                <w:szCs w:val="21"/>
                <w:highlight w:val="none"/>
              </w:rPr>
              <w:t>项目属性：</w:t>
            </w:r>
            <w:r>
              <w:rPr>
                <w:rFonts w:hint="eastAsia" w:ascii="宋体" w:hAnsi="宋体" w:cs="宋体"/>
                <w:color w:val="auto"/>
                <w:szCs w:val="21"/>
                <w:highlight w:val="none"/>
              </w:rPr>
              <w:sym w:font="Wingdings 2" w:char="F0A3"/>
            </w:r>
            <w:r>
              <w:rPr>
                <w:rFonts w:hint="eastAsia" w:ascii="宋体" w:hAnsi="宋体" w:cs="宋体"/>
                <w:color w:val="auto"/>
                <w:szCs w:val="21"/>
                <w:highlight w:val="none"/>
              </w:rPr>
              <w:t xml:space="preserve">货物           </w:t>
            </w: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服务</w:t>
            </w:r>
          </w:p>
          <w:p w14:paraId="4930309E">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b/>
                <w:bCs/>
                <w:color w:val="auto"/>
                <w:szCs w:val="21"/>
                <w:highlight w:val="none"/>
              </w:rPr>
              <w:t>项目类别：</w:t>
            </w:r>
            <w:r>
              <w:rPr>
                <w:rFonts w:hint="eastAsia" w:ascii="宋体" w:hAnsi="宋体" w:cs="宋体"/>
                <w:caps/>
                <w:snapToGrid w:val="0"/>
                <w:color w:val="auto"/>
                <w:szCs w:val="21"/>
                <w:highlight w:val="none"/>
              </w:rPr>
              <w:sym w:font="Wingdings 2" w:char="0052"/>
            </w:r>
            <w:r>
              <w:rPr>
                <w:rFonts w:hint="eastAsia" w:ascii="宋体" w:hAnsi="宋体" w:cs="宋体"/>
                <w:color w:val="auto"/>
                <w:szCs w:val="21"/>
                <w:highlight w:val="none"/>
              </w:rPr>
              <w:t xml:space="preserve">信息化项目     </w:t>
            </w:r>
            <w:r>
              <w:rPr>
                <w:rFonts w:hint="eastAsia" w:ascii="宋体" w:hAnsi="宋体" w:cs="宋体"/>
                <w:color w:val="auto"/>
                <w:szCs w:val="21"/>
                <w:highlight w:val="none"/>
              </w:rPr>
              <w:sym w:font="Wingdings 2" w:char="00A3"/>
            </w:r>
            <w:r>
              <w:rPr>
                <w:rFonts w:hint="eastAsia" w:ascii="宋体" w:hAnsi="宋体" w:cs="宋体"/>
                <w:color w:val="auto"/>
                <w:szCs w:val="21"/>
                <w:highlight w:val="none"/>
              </w:rPr>
              <w:t>非信息化项目</w:t>
            </w:r>
          </w:p>
        </w:tc>
      </w:tr>
      <w:tr w14:paraId="1883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6BB0F7B8">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1B6C649F">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采购人</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74E8316B">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名称：国家税务总局甘肃省税务局</w:t>
            </w:r>
          </w:p>
          <w:p w14:paraId="4FB69E85">
            <w:pPr>
              <w:adjustRightInd w:val="0"/>
              <w:snapToGrid w:val="0"/>
              <w:spacing w:line="500" w:lineRule="exact"/>
              <w:jc w:val="left"/>
              <w:rPr>
                <w:rFonts w:hint="eastAsia" w:ascii="宋体" w:hAnsi="宋体" w:cs="宋体"/>
                <w:bCs/>
                <w:color w:val="auto"/>
                <w:szCs w:val="21"/>
                <w:highlight w:val="none"/>
              </w:rPr>
            </w:pPr>
            <w:r>
              <w:rPr>
                <w:rFonts w:hint="eastAsia" w:ascii="宋体" w:hAnsi="宋体" w:cs="宋体"/>
                <w:color w:val="auto"/>
                <w:szCs w:val="21"/>
                <w:highlight w:val="none"/>
              </w:rPr>
              <w:t>地址：兰州市城关区金昌南路353号</w:t>
            </w:r>
          </w:p>
          <w:p w14:paraId="623ABEE8">
            <w:pPr>
              <w:adjustRightInd w:val="0"/>
              <w:snapToGrid w:val="0"/>
              <w:spacing w:line="500" w:lineRule="exact"/>
              <w:jc w:val="left"/>
              <w:rPr>
                <w:rFonts w:hint="eastAsia" w:ascii="宋体" w:hAnsi="宋体" w:cs="宋体"/>
                <w:color w:val="auto"/>
                <w:szCs w:val="21"/>
                <w:highlight w:val="none"/>
                <w:lang w:val="zh-CN"/>
              </w:rPr>
            </w:pPr>
            <w:r>
              <w:rPr>
                <w:rFonts w:hint="eastAsia" w:ascii="宋体" w:hAnsi="宋体" w:cs="宋体"/>
                <w:color w:val="auto"/>
                <w:szCs w:val="21"/>
                <w:highlight w:val="none"/>
              </w:rPr>
              <w:t>联系方式：</w:t>
            </w:r>
            <w:r>
              <w:rPr>
                <w:rFonts w:hint="eastAsia" w:ascii="宋体" w:hAnsi="宋体" w:cs="宋体"/>
                <w:caps/>
                <w:color w:val="auto"/>
                <w:szCs w:val="21"/>
                <w:highlight w:val="none"/>
              </w:rPr>
              <w:t xml:space="preserve">0931-8533780 </w:t>
            </w:r>
          </w:p>
        </w:tc>
      </w:tr>
      <w:tr w14:paraId="0ECD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restart"/>
            <w:tcBorders>
              <w:top w:val="single" w:color="auto" w:sz="4" w:space="0"/>
              <w:left w:val="single" w:color="auto" w:sz="4" w:space="0"/>
              <w:right w:val="single" w:color="auto" w:sz="4" w:space="0"/>
            </w:tcBorders>
            <w:noWrap w:val="0"/>
            <w:vAlign w:val="center"/>
          </w:tcPr>
          <w:p w14:paraId="0BA37953">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6DC39532">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采购代理机构</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7E8DC6BF">
            <w:pPr>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名称：</w:t>
            </w:r>
            <w:r>
              <w:rPr>
                <w:rFonts w:hint="eastAsia" w:ascii="宋体" w:hAnsi="宋体" w:cs="宋体"/>
                <w:color w:val="auto"/>
                <w:szCs w:val="21"/>
                <w:highlight w:val="none"/>
                <w:lang w:eastAsia="zh-CN"/>
              </w:rPr>
              <w:t>公诚管理咨询有限公司</w:t>
            </w:r>
          </w:p>
          <w:p w14:paraId="030ED168">
            <w:pPr>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甘肃省兰州市城关区雁兴路农垦总部经济大厦2#楼（雁兴路19号）20层2001-2003室</w:t>
            </w:r>
          </w:p>
          <w:p w14:paraId="6E381FF0">
            <w:pPr>
              <w:adjustRightInd w:val="0"/>
              <w:snapToGrid w:val="0"/>
              <w:spacing w:line="500" w:lineRule="exact"/>
              <w:jc w:val="left"/>
              <w:rPr>
                <w:rFonts w:hint="default" w:ascii="宋体" w:hAnsi="宋体" w:eastAsia="宋体" w:cs="宋体"/>
                <w:caps/>
                <w:snapToGrid w:val="0"/>
                <w:color w:val="auto"/>
                <w:szCs w:val="21"/>
                <w:highlight w:val="none"/>
                <w:lang w:val="en-US" w:eastAsia="zh-CN"/>
              </w:rPr>
            </w:pPr>
            <w:r>
              <w:rPr>
                <w:rFonts w:hint="eastAsia" w:ascii="宋体" w:hAnsi="宋体" w:cs="宋体"/>
                <w:caps/>
                <w:snapToGrid w:val="0"/>
                <w:color w:val="auto"/>
                <w:szCs w:val="21"/>
                <w:highlight w:val="none"/>
              </w:rPr>
              <w:t>联系方式：</w:t>
            </w:r>
            <w:r>
              <w:rPr>
                <w:rFonts w:hint="eastAsia" w:ascii="宋体" w:hAnsi="宋体" w:cs="宋体"/>
                <w:color w:val="auto"/>
                <w:szCs w:val="21"/>
                <w:u w:val="none"/>
                <w:lang w:val="en-US" w:eastAsia="zh-CN"/>
              </w:rPr>
              <w:t>田文娟17739832686、马艳</w:t>
            </w:r>
            <w:r>
              <w:rPr>
                <w:rFonts w:hint="eastAsia" w:ascii="宋体" w:hAnsi="宋体" w:eastAsia="宋体" w:cs="宋体"/>
                <w:color w:val="auto"/>
                <w:szCs w:val="21"/>
                <w:u w:val="none"/>
              </w:rPr>
              <w:t xml:space="preserve"> 18194260382</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韦二许 13909319912</w:t>
            </w:r>
          </w:p>
          <w:p w14:paraId="7494CB03">
            <w:pPr>
              <w:adjustRightInd w:val="0"/>
              <w:snapToGrid w:val="0"/>
              <w:spacing w:line="500" w:lineRule="exact"/>
              <w:jc w:val="left"/>
              <w:rPr>
                <w:rFonts w:hint="eastAsia" w:ascii="宋体" w:hAnsi="宋体" w:eastAsia="宋体" w:cs="宋体"/>
                <w:b/>
                <w:bCs/>
                <w:caps/>
                <w:snapToGrid w:val="0"/>
                <w:color w:val="auto"/>
                <w:szCs w:val="21"/>
                <w:highlight w:val="none"/>
                <w:lang w:eastAsia="zh-CN"/>
              </w:rPr>
            </w:pPr>
            <w:r>
              <w:rPr>
                <w:rFonts w:hint="eastAsia" w:ascii="宋体" w:hAnsi="宋体" w:cs="宋体"/>
                <w:caps/>
                <w:snapToGrid w:val="0"/>
                <w:color w:val="auto"/>
                <w:szCs w:val="21"/>
                <w:highlight w:val="none"/>
              </w:rPr>
              <w:t>邮箱：</w:t>
            </w:r>
            <w:r>
              <w:rPr>
                <w:rFonts w:hint="eastAsia" w:ascii="宋体" w:hAnsi="宋体" w:cs="宋体"/>
                <w:color w:val="auto"/>
                <w:szCs w:val="21"/>
                <w:highlight w:val="none"/>
                <w:u w:val="single"/>
                <w:lang w:eastAsia="zh-CN"/>
              </w:rPr>
              <w:t>gczxgsfgs@163.com</w:t>
            </w:r>
          </w:p>
        </w:tc>
      </w:tr>
      <w:tr w14:paraId="48F6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tcBorders>
              <w:left w:val="single" w:color="auto" w:sz="4" w:space="0"/>
              <w:bottom w:val="single" w:color="auto" w:sz="4" w:space="0"/>
              <w:right w:val="single" w:color="auto" w:sz="4" w:space="0"/>
            </w:tcBorders>
            <w:noWrap w:val="0"/>
            <w:vAlign w:val="center"/>
          </w:tcPr>
          <w:p w14:paraId="1E474231">
            <w:pPr>
              <w:adjustRightInd w:val="0"/>
              <w:snapToGrid w:val="0"/>
              <w:spacing w:line="500" w:lineRule="exact"/>
              <w:jc w:val="center"/>
              <w:rPr>
                <w:rFonts w:hint="eastAsia" w:ascii="宋体" w:hAnsi="宋体" w:cs="宋体"/>
                <w:color w:val="auto"/>
                <w:szCs w:val="21"/>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center"/>
          </w:tcPr>
          <w:p w14:paraId="07DBEEF8">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异议受理渠道</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6004A484">
            <w:pPr>
              <w:adjustRightInd w:val="0"/>
              <w:snapToGrid w:val="0"/>
              <w:spacing w:line="500" w:lineRule="exact"/>
              <w:jc w:val="left"/>
              <w:rPr>
                <w:rFonts w:hint="eastAsia" w:ascii="宋体" w:hAnsi="宋体" w:cs="宋体"/>
                <w:caps/>
                <w:snapToGrid w:val="0"/>
                <w:color w:val="auto"/>
                <w:szCs w:val="21"/>
                <w:highlight w:val="none"/>
                <w:lang w:val="en-US" w:eastAsia="zh-CN"/>
              </w:rPr>
            </w:pPr>
            <w:r>
              <w:rPr>
                <w:rFonts w:hint="eastAsia" w:ascii="宋体" w:hAnsi="宋体" w:cs="宋体"/>
                <w:caps/>
                <w:snapToGrid w:val="0"/>
                <w:color w:val="auto"/>
                <w:szCs w:val="21"/>
                <w:highlight w:val="none"/>
                <w:lang w:val="en-US" w:eastAsia="zh-CN"/>
              </w:rPr>
              <w:t>异议受理联系人：张顺祥</w:t>
            </w:r>
          </w:p>
          <w:p w14:paraId="30DB4704">
            <w:pPr>
              <w:adjustRightInd w:val="0"/>
              <w:snapToGrid w:val="0"/>
              <w:spacing w:line="500" w:lineRule="exact"/>
              <w:jc w:val="left"/>
              <w:rPr>
                <w:rFonts w:hint="default" w:ascii="宋体" w:hAnsi="宋体" w:cs="宋体"/>
                <w:caps/>
                <w:snapToGrid w:val="0"/>
                <w:color w:val="auto"/>
                <w:szCs w:val="21"/>
                <w:highlight w:val="none"/>
                <w:lang w:val="en-US" w:eastAsia="zh-CN"/>
              </w:rPr>
            </w:pPr>
            <w:r>
              <w:rPr>
                <w:rFonts w:hint="eastAsia" w:ascii="宋体" w:hAnsi="宋体" w:cs="宋体"/>
                <w:caps/>
                <w:snapToGrid w:val="0"/>
                <w:color w:val="auto"/>
                <w:szCs w:val="21"/>
                <w:highlight w:val="none"/>
                <w:lang w:val="en-US" w:eastAsia="zh-CN"/>
              </w:rPr>
              <w:t>异议受理电话：18693112855</w:t>
            </w:r>
          </w:p>
          <w:p w14:paraId="10999220">
            <w:pPr>
              <w:widowControl w:val="0"/>
              <w:spacing w:before="62" w:beforeLines="20" w:after="62" w:afterLines="20" w:line="400" w:lineRule="exact"/>
              <w:ind w:left="0" w:firstLine="0" w:firstLineChars="0"/>
              <w:jc w:val="both"/>
              <w:textAlignment w:val="baseline"/>
              <w:rPr>
                <w:rFonts w:hint="eastAsia" w:ascii="宋体" w:hAnsi="宋体" w:cs="宋体"/>
                <w:caps/>
                <w:snapToGrid w:val="0"/>
                <w:color w:val="auto"/>
                <w:szCs w:val="21"/>
                <w:highlight w:val="none"/>
              </w:rPr>
            </w:pPr>
            <w:r>
              <w:rPr>
                <w:rFonts w:hint="eastAsia" w:ascii="宋体" w:hAnsi="宋体" w:cs="宋体"/>
                <w:caps/>
                <w:snapToGrid w:val="0"/>
                <w:color w:val="auto"/>
                <w:szCs w:val="21"/>
                <w:highlight w:val="none"/>
                <w:lang w:val="en-US" w:eastAsia="zh-CN"/>
              </w:rPr>
              <w:t>异议受理邮箱：</w:t>
            </w:r>
            <w:r>
              <w:rPr>
                <w:rFonts w:hint="default" w:ascii="宋体" w:hAnsi="宋体" w:eastAsia="宋体" w:cs="Times New Roman"/>
                <w:kern w:val="2"/>
                <w:sz w:val="21"/>
                <w:szCs w:val="24"/>
                <w:highlight w:val="none"/>
                <w:lang w:val="en-US" w:eastAsia="zh-CN" w:bidi="ar-SA"/>
              </w:rPr>
              <w:fldChar w:fldCharType="begin"/>
            </w:r>
            <w:r>
              <w:rPr>
                <w:rFonts w:hint="default" w:ascii="宋体" w:hAnsi="宋体" w:eastAsia="宋体" w:cs="Times New Roman"/>
                <w:kern w:val="2"/>
                <w:sz w:val="21"/>
                <w:szCs w:val="24"/>
                <w:highlight w:val="none"/>
                <w:lang w:val="en-US" w:eastAsia="zh-CN" w:bidi="ar-SA"/>
              </w:rPr>
              <w:instrText xml:space="preserve"> HYPERLINK "mailto:gczbgslt@163.com" </w:instrText>
            </w:r>
            <w:r>
              <w:rPr>
                <w:rFonts w:hint="default" w:ascii="宋体" w:hAnsi="宋体" w:eastAsia="宋体" w:cs="Times New Roman"/>
                <w:kern w:val="2"/>
                <w:sz w:val="21"/>
                <w:szCs w:val="24"/>
                <w:highlight w:val="none"/>
                <w:lang w:val="en-US" w:eastAsia="zh-CN" w:bidi="ar-SA"/>
              </w:rPr>
              <w:fldChar w:fldCharType="separate"/>
            </w:r>
            <w:r>
              <w:rPr>
                <w:rFonts w:hint="default" w:ascii="宋体" w:hAnsi="宋体" w:eastAsia="宋体" w:cs="Times New Roman"/>
                <w:kern w:val="2"/>
                <w:sz w:val="21"/>
                <w:szCs w:val="24"/>
                <w:highlight w:val="none"/>
                <w:lang w:val="en-US" w:eastAsia="zh-CN" w:bidi="ar-SA"/>
              </w:rPr>
              <w:t>gczbgslt@163.com</w:t>
            </w:r>
            <w:r>
              <w:rPr>
                <w:rFonts w:hint="default" w:ascii="宋体" w:hAnsi="宋体" w:eastAsia="宋体" w:cs="Times New Roman"/>
                <w:kern w:val="2"/>
                <w:sz w:val="21"/>
                <w:szCs w:val="24"/>
                <w:highlight w:val="none"/>
                <w:lang w:val="en-US" w:eastAsia="zh-CN" w:bidi="ar-SA"/>
              </w:rPr>
              <w:fldChar w:fldCharType="end"/>
            </w:r>
          </w:p>
        </w:tc>
      </w:tr>
      <w:tr w14:paraId="0DE29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4D9D1BA6">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7839417A">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投标人资格</w:t>
            </w:r>
          </w:p>
          <w:p w14:paraId="6BF8E8FE">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要求</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0DF09369">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1．</w:t>
            </w:r>
            <w:r>
              <w:rPr>
                <w:rFonts w:hint="eastAsia" w:ascii="宋体" w:hAnsi="宋体" w:cs="宋体"/>
                <w:snapToGrid w:val="0"/>
                <w:color w:val="auto"/>
                <w:szCs w:val="21"/>
                <w:highlight w:val="none"/>
                <w:lang w:val="en-US" w:eastAsia="zh-CN"/>
              </w:rPr>
              <w:t>满足</w:t>
            </w:r>
            <w:r>
              <w:rPr>
                <w:rFonts w:hint="eastAsia" w:ascii="宋体" w:hAnsi="宋体" w:cs="宋体"/>
                <w:snapToGrid w:val="0"/>
                <w:color w:val="auto"/>
                <w:szCs w:val="21"/>
                <w:highlight w:val="none"/>
              </w:rPr>
              <w:t>《</w:t>
            </w:r>
            <w:r>
              <w:rPr>
                <w:rFonts w:hint="eastAsia" w:ascii="宋体" w:hAnsi="宋体" w:cs="宋体"/>
                <w:snapToGrid w:val="0"/>
                <w:color w:val="auto"/>
                <w:szCs w:val="21"/>
                <w:highlight w:val="none"/>
                <w:lang w:eastAsia="zh-CN"/>
              </w:rPr>
              <w:t>中华人民共和国政府采购法</w:t>
            </w:r>
            <w:r>
              <w:rPr>
                <w:rFonts w:hint="eastAsia" w:ascii="宋体" w:hAnsi="宋体" w:cs="宋体"/>
                <w:snapToGrid w:val="0"/>
                <w:color w:val="auto"/>
                <w:szCs w:val="21"/>
                <w:highlight w:val="none"/>
              </w:rPr>
              <w:t>》第二十二条规定；</w:t>
            </w:r>
          </w:p>
          <w:p w14:paraId="43CA3C7A">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2．落实政府采购政策需满足的资格要求：详见招标文件；</w:t>
            </w:r>
          </w:p>
          <w:p w14:paraId="5A8488C8">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3．本项目的特定资格要求：</w:t>
            </w:r>
          </w:p>
          <w:p w14:paraId="18893F4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3.1</w:t>
            </w:r>
            <w:r>
              <w:rPr>
                <w:rFonts w:hint="eastAsia" w:ascii="宋体" w:hAnsi="宋体" w:cs="宋体"/>
                <w:bCs/>
                <w:caps/>
                <w:color w:val="auto"/>
                <w:szCs w:val="21"/>
                <w:highlight w:val="none"/>
                <w:lang w:val="en-US" w:eastAsia="zh-CN"/>
              </w:rPr>
              <w:t>供应商</w:t>
            </w:r>
            <w:r>
              <w:rPr>
                <w:rFonts w:hint="eastAsia" w:ascii="宋体" w:hAnsi="宋体" w:cs="宋体"/>
                <w:bCs/>
                <w:caps/>
                <w:color w:val="auto"/>
                <w:szCs w:val="21"/>
                <w:highlight w:val="none"/>
              </w:rPr>
              <w:t>未被列入“信用中国”网站</w:t>
            </w:r>
            <w:r>
              <w:rPr>
                <w:rFonts w:hint="eastAsia" w:ascii="宋体" w:hAnsi="宋体" w:cs="宋体"/>
                <w:color w:val="auto"/>
                <w:szCs w:val="21"/>
                <w:highlight w:val="none"/>
              </w:rPr>
              <w:t>(www.creditchina.gov.cn)</w:t>
            </w:r>
            <w:r>
              <w:rPr>
                <w:rFonts w:hint="eastAsia" w:ascii="宋体" w:hAnsi="宋体" w:cs="宋体"/>
                <w:bCs/>
                <w:caps/>
                <w:color w:val="auto"/>
                <w:szCs w:val="21"/>
                <w:highlight w:val="none"/>
              </w:rPr>
              <w:t>记录失信被执行人或</w:t>
            </w:r>
            <w:r>
              <w:rPr>
                <w:rFonts w:hint="eastAsia" w:ascii="宋体" w:hAnsi="宋体" w:cs="宋体"/>
                <w:bCs/>
                <w:caps/>
                <w:color w:val="auto"/>
                <w:szCs w:val="21"/>
                <w:highlight w:val="none"/>
                <w:lang w:eastAsia="zh-CN"/>
              </w:rPr>
              <w:t>重大税收违法失信主体</w:t>
            </w:r>
            <w:r>
              <w:rPr>
                <w:rFonts w:hint="eastAsia" w:ascii="宋体" w:hAnsi="宋体" w:cs="宋体"/>
                <w:bCs/>
                <w:caps/>
                <w:color w:val="auto"/>
                <w:szCs w:val="21"/>
                <w:highlight w:val="none"/>
              </w:rPr>
              <w:t>或政府采购严重违法失信行为记录名单；不处于中国政府采购网</w:t>
            </w:r>
            <w:r>
              <w:rPr>
                <w:rFonts w:hint="eastAsia" w:ascii="宋体" w:hAnsi="宋体" w:cs="宋体"/>
                <w:color w:val="auto"/>
                <w:szCs w:val="21"/>
                <w:highlight w:val="none"/>
              </w:rPr>
              <w:t>(www.ccgp.gov.cn)</w:t>
            </w:r>
            <w:r>
              <w:rPr>
                <w:rFonts w:hint="eastAsia" w:ascii="宋体" w:hAnsi="宋体" w:cs="宋体"/>
                <w:bCs/>
                <w:caps/>
                <w:color w:val="auto"/>
                <w:szCs w:val="21"/>
                <w:highlight w:val="none"/>
              </w:rPr>
              <w:t>政府采购严重违法失信行为信息记录中的禁止参加政府采购活动期间的方可参加本项目的</w:t>
            </w:r>
            <w:r>
              <w:rPr>
                <w:rFonts w:hint="eastAsia" w:ascii="宋体" w:hAnsi="宋体" w:cs="宋体"/>
                <w:bCs/>
                <w:caps/>
                <w:color w:val="auto"/>
                <w:szCs w:val="21"/>
                <w:highlight w:val="none"/>
                <w:lang w:val="en-US" w:eastAsia="zh-CN"/>
              </w:rPr>
              <w:t>招标</w:t>
            </w:r>
            <w:r>
              <w:rPr>
                <w:rFonts w:hint="eastAsia" w:ascii="宋体" w:hAnsi="宋体" w:cs="宋体"/>
                <w:bCs/>
                <w:caps/>
                <w:color w:val="auto"/>
                <w:szCs w:val="21"/>
                <w:highlight w:val="none"/>
              </w:rPr>
              <w:t>（以递交</w:t>
            </w:r>
            <w:r>
              <w:rPr>
                <w:rFonts w:hint="eastAsia" w:ascii="宋体" w:hAnsi="宋体" w:cs="宋体"/>
                <w:bCs/>
                <w:caps/>
                <w:color w:val="auto"/>
                <w:szCs w:val="21"/>
                <w:highlight w:val="none"/>
                <w:lang w:val="en-US" w:eastAsia="zh-CN"/>
              </w:rPr>
              <w:t>投标</w:t>
            </w:r>
            <w:r>
              <w:rPr>
                <w:rFonts w:hint="eastAsia" w:ascii="宋体" w:hAnsi="宋体" w:cs="宋体"/>
                <w:bCs/>
                <w:caps/>
                <w:color w:val="auto"/>
                <w:szCs w:val="21"/>
                <w:highlight w:val="none"/>
              </w:rPr>
              <w:t>文件截止日前一日在“信用中国”网站</w:t>
            </w:r>
            <w:r>
              <w:rPr>
                <w:rFonts w:hint="eastAsia" w:ascii="宋体" w:hAnsi="宋体" w:cs="宋体"/>
                <w:color w:val="auto"/>
                <w:szCs w:val="21"/>
                <w:highlight w:val="none"/>
              </w:rPr>
              <w:t>(www.creditchina.gov.cn)</w:t>
            </w:r>
            <w:r>
              <w:rPr>
                <w:rFonts w:hint="eastAsia" w:ascii="宋体" w:hAnsi="宋体" w:cs="宋体"/>
                <w:bCs/>
                <w:caps/>
                <w:color w:val="auto"/>
                <w:szCs w:val="21"/>
                <w:highlight w:val="none"/>
              </w:rPr>
              <w:t>、中国政府采购网</w:t>
            </w:r>
            <w:r>
              <w:rPr>
                <w:rFonts w:hint="eastAsia" w:ascii="宋体" w:hAnsi="宋体" w:cs="宋体"/>
                <w:color w:val="auto"/>
                <w:szCs w:val="21"/>
                <w:highlight w:val="none"/>
              </w:rPr>
              <w:t>(www.ccgp.gov.cn)</w:t>
            </w:r>
            <w:r>
              <w:rPr>
                <w:rFonts w:hint="eastAsia" w:ascii="宋体" w:hAnsi="宋体" w:cs="宋体"/>
                <w:bCs/>
                <w:caps/>
                <w:color w:val="auto"/>
                <w:szCs w:val="21"/>
                <w:highlight w:val="none"/>
              </w:rPr>
              <w:t>查询结果为准，如相关失信记录已失效，</w:t>
            </w:r>
            <w:r>
              <w:rPr>
                <w:rFonts w:hint="eastAsia" w:ascii="宋体" w:hAnsi="宋体" w:cs="宋体"/>
                <w:bCs/>
                <w:caps/>
                <w:color w:val="auto"/>
                <w:szCs w:val="21"/>
                <w:highlight w:val="none"/>
                <w:lang w:val="en-US" w:eastAsia="zh-CN"/>
              </w:rPr>
              <w:t>供应商</w:t>
            </w:r>
            <w:r>
              <w:rPr>
                <w:rFonts w:hint="eastAsia" w:ascii="宋体" w:hAnsi="宋体" w:cs="宋体"/>
                <w:bCs/>
                <w:caps/>
                <w:color w:val="auto"/>
                <w:szCs w:val="21"/>
                <w:highlight w:val="none"/>
              </w:rPr>
              <w:t>需提供相关证明资料）</w:t>
            </w:r>
            <w:r>
              <w:rPr>
                <w:rFonts w:hint="eastAsia" w:ascii="宋体" w:hAnsi="宋体" w:eastAsia="宋体" w:cs="宋体"/>
                <w:caps/>
                <w:color w:val="auto"/>
                <w:szCs w:val="21"/>
                <w:highlight w:val="none"/>
                <w:lang w:eastAsia="zh-CN"/>
              </w:rPr>
              <w:t>；</w:t>
            </w:r>
          </w:p>
          <w:p w14:paraId="68855968">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3.2</w:t>
            </w:r>
            <w:r>
              <w:rPr>
                <w:rFonts w:hint="eastAsia" w:ascii="宋体" w:hAnsi="宋体" w:cs="宋体"/>
                <w:snapToGrid w:val="0"/>
                <w:color w:val="auto"/>
                <w:szCs w:val="21"/>
                <w:highlight w:val="none"/>
                <w:lang w:eastAsia="zh-CN"/>
              </w:rPr>
              <w:t>本项目不得转包</w:t>
            </w:r>
            <w:r>
              <w:rPr>
                <w:rFonts w:hint="eastAsia" w:ascii="宋体" w:hAnsi="宋体" w:cs="宋体"/>
                <w:snapToGrid w:val="0"/>
                <w:color w:val="auto"/>
                <w:szCs w:val="21"/>
                <w:highlight w:val="none"/>
                <w:lang w:val="en-US" w:eastAsia="zh-CN"/>
              </w:rPr>
              <w:t>或</w:t>
            </w:r>
            <w:r>
              <w:rPr>
                <w:rFonts w:hint="eastAsia" w:ascii="宋体" w:hAnsi="宋体" w:cs="宋体"/>
                <w:snapToGrid w:val="0"/>
                <w:color w:val="auto"/>
                <w:szCs w:val="21"/>
                <w:highlight w:val="none"/>
                <w:lang w:eastAsia="zh-CN"/>
              </w:rPr>
              <w:t>分包，不接受联合体投标。</w:t>
            </w:r>
          </w:p>
        </w:tc>
      </w:tr>
      <w:tr w14:paraId="7D0A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556578AD">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29461147">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是否接受</w:t>
            </w:r>
          </w:p>
          <w:p w14:paraId="3F32E2A9">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联合体投标</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693A4D71">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不接受</w:t>
            </w:r>
          </w:p>
          <w:p w14:paraId="3183D28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F0A3"/>
            </w:r>
            <w:r>
              <w:rPr>
                <w:rFonts w:hint="eastAsia" w:ascii="宋体" w:hAnsi="宋体" w:cs="宋体"/>
                <w:color w:val="auto"/>
                <w:szCs w:val="21"/>
                <w:highlight w:val="none"/>
              </w:rPr>
              <w:t>接受（接受联合体投标且投标人为联合体的，投标人应提供联合体协议；否则无须提供）</w:t>
            </w:r>
          </w:p>
        </w:tc>
      </w:tr>
      <w:tr w14:paraId="2F65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2D1F082A">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49FEAE98">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采购标的</w:t>
            </w:r>
          </w:p>
          <w:p w14:paraId="4D7FD1DF">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对应的中小企业划分标准所属行业</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5222ED5C">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软件和信息技术服务业</w:t>
            </w:r>
          </w:p>
        </w:tc>
      </w:tr>
      <w:tr w14:paraId="2334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tcBorders>
              <w:top w:val="single" w:color="auto" w:sz="4" w:space="0"/>
              <w:left w:val="single" w:color="auto" w:sz="4" w:space="0"/>
              <w:bottom w:val="single" w:color="auto" w:sz="4" w:space="0"/>
              <w:right w:val="single" w:color="auto" w:sz="4" w:space="0"/>
            </w:tcBorders>
            <w:noWrap w:val="0"/>
            <w:vAlign w:val="center"/>
          </w:tcPr>
          <w:p w14:paraId="2A334BCD">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7705305F">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非主体、</w:t>
            </w:r>
          </w:p>
          <w:p w14:paraId="33AE4BD1">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非关键性</w:t>
            </w:r>
          </w:p>
          <w:p w14:paraId="24FF107D">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工作分包</w:t>
            </w:r>
          </w:p>
        </w:tc>
        <w:tc>
          <w:tcPr>
            <w:tcW w:w="6686" w:type="dxa"/>
            <w:gridSpan w:val="2"/>
            <w:tcBorders>
              <w:top w:val="single" w:color="auto" w:sz="4" w:space="0"/>
              <w:left w:val="single" w:color="auto" w:sz="4" w:space="0"/>
              <w:bottom w:val="single" w:color="auto" w:sz="4" w:space="0"/>
              <w:right w:val="single" w:color="auto" w:sz="4" w:space="0"/>
            </w:tcBorders>
            <w:noWrap w:val="0"/>
            <w:vAlign w:val="center"/>
          </w:tcPr>
          <w:p w14:paraId="0B5BEEC5">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是否允许中标人将本项目的非主体、非关键性工作进行分包：</w:t>
            </w:r>
          </w:p>
          <w:p w14:paraId="35D723D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采购包：</w:t>
            </w:r>
          </w:p>
          <w:p w14:paraId="36FF929E">
            <w:pPr>
              <w:adjustRightInd w:val="0"/>
              <w:snapToGrid w:val="0"/>
              <w:spacing w:line="500" w:lineRule="exact"/>
              <w:jc w:val="left"/>
              <w:rPr>
                <w:rFonts w:hint="eastAsia" w:ascii="宋体" w:hAnsi="宋体" w:cs="宋体"/>
                <w:i/>
                <w:color w:val="auto"/>
                <w:szCs w:val="21"/>
                <w:highlight w:val="none"/>
                <w:u w:val="singl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 xml:space="preserve">不允许   </w:t>
            </w:r>
            <w:r>
              <w:rPr>
                <w:rFonts w:hint="eastAsia" w:ascii="宋体" w:hAnsi="宋体" w:cs="宋体"/>
                <w:color w:val="auto"/>
                <w:szCs w:val="21"/>
                <w:highlight w:val="none"/>
              </w:rPr>
              <w:sym w:font="Wingdings 2" w:char="F0A3"/>
            </w:r>
            <w:r>
              <w:rPr>
                <w:rFonts w:hint="eastAsia" w:ascii="宋体" w:hAnsi="宋体" w:cs="宋体"/>
                <w:color w:val="auto"/>
                <w:szCs w:val="21"/>
                <w:highlight w:val="none"/>
              </w:rPr>
              <w:t>允许，</w:t>
            </w:r>
            <w:r>
              <w:rPr>
                <w:rFonts w:hint="eastAsia" w:ascii="宋体" w:hAnsi="宋体" w:cs="宋体"/>
                <w:i/>
                <w:color w:val="auto"/>
                <w:szCs w:val="21"/>
                <w:highlight w:val="none"/>
                <w:u w:val="single"/>
              </w:rPr>
              <w:t>（写明可以分包履行的具体内容、金额或者比例）</w:t>
            </w:r>
          </w:p>
        </w:tc>
      </w:tr>
      <w:tr w14:paraId="7253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46ED7ED2">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671" w:type="dxa"/>
            <w:noWrap w:val="0"/>
            <w:vAlign w:val="center"/>
          </w:tcPr>
          <w:p w14:paraId="6796115A">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核心产品</w:t>
            </w:r>
          </w:p>
        </w:tc>
        <w:tc>
          <w:tcPr>
            <w:tcW w:w="6686" w:type="dxa"/>
            <w:gridSpan w:val="2"/>
            <w:noWrap w:val="0"/>
            <w:vAlign w:val="center"/>
          </w:tcPr>
          <w:p w14:paraId="0BCD16A3">
            <w:pPr>
              <w:adjustRightInd w:val="0"/>
              <w:snapToGrid w:val="0"/>
              <w:spacing w:line="500" w:lineRule="exact"/>
              <w:jc w:val="left"/>
              <w:rPr>
                <w:rFonts w:hint="eastAsia" w:ascii="宋体" w:hAnsi="宋体" w:cs="宋体"/>
                <w:color w:val="auto"/>
                <w:szCs w:val="21"/>
                <w:highlight w:val="none"/>
                <w:u w:val="singl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 xml:space="preserve">无       </w:t>
            </w:r>
            <w:r>
              <w:rPr>
                <w:rFonts w:hint="eastAsia" w:ascii="宋体" w:hAnsi="宋体" w:cs="宋体"/>
                <w:color w:val="auto"/>
                <w:szCs w:val="21"/>
                <w:highlight w:val="none"/>
              </w:rPr>
              <w:sym w:font="Wingdings 2" w:char="F0A3"/>
            </w:r>
            <w:r>
              <w:rPr>
                <w:rFonts w:hint="eastAsia" w:ascii="宋体" w:hAnsi="宋体" w:cs="宋体"/>
                <w:color w:val="auto"/>
                <w:szCs w:val="21"/>
                <w:highlight w:val="none"/>
              </w:rPr>
              <w:t>有，产品名称：</w:t>
            </w:r>
            <w:r>
              <w:rPr>
                <w:rFonts w:hint="eastAsia" w:ascii="宋体" w:hAnsi="宋体" w:cs="宋体"/>
                <w:color w:val="auto"/>
                <w:szCs w:val="21"/>
                <w:highlight w:val="none"/>
                <w:u w:val="single"/>
              </w:rPr>
              <w:t xml:space="preserve">      </w:t>
            </w:r>
          </w:p>
          <w:p w14:paraId="34454BF6">
            <w:pPr>
              <w:adjustRightInd w:val="0"/>
              <w:snapToGrid w:val="0"/>
              <w:spacing w:line="500" w:lineRule="exact"/>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采用最低评标价法的采购项目，提供相同品牌产品的不同投标人参加同一合同项下投标的，以其中通过资格审查、符合性审查且报价最低的参加评标；报价相同的，由采购人或者采购人委托评标委员会按照</w:t>
            </w:r>
            <w:r>
              <w:rPr>
                <w:rFonts w:hint="eastAsia" w:ascii="宋体" w:hAnsi="宋体" w:cs="宋体"/>
                <w:b/>
                <w:bCs/>
                <w:color w:val="auto"/>
                <w:szCs w:val="21"/>
                <w:highlight w:val="none"/>
                <w:u w:val="single"/>
                <w:lang w:val="zh-CN"/>
              </w:rPr>
              <w:t xml:space="preserve">         </w:t>
            </w:r>
            <w:r>
              <w:rPr>
                <w:rFonts w:hint="eastAsia" w:ascii="宋体" w:hAnsi="宋体" w:cs="宋体"/>
                <w:b/>
                <w:bCs/>
                <w:color w:val="auto"/>
                <w:szCs w:val="21"/>
                <w:highlight w:val="none"/>
                <w:lang w:val="zh-CN"/>
              </w:rPr>
              <w:t>的方式确定一个参加评标的投标人，招标文件未规定的采取随机抽取方式确定，其他投标无效。</w:t>
            </w:r>
          </w:p>
          <w:p w14:paraId="20FA15DC">
            <w:pPr>
              <w:adjustRightInd w:val="0"/>
              <w:snapToGrid w:val="0"/>
              <w:spacing w:line="500" w:lineRule="exact"/>
              <w:jc w:val="left"/>
              <w:rPr>
                <w:rFonts w:hint="eastAsia" w:ascii="宋体" w:hAnsi="宋体" w:cs="宋体"/>
                <w:color w:val="auto"/>
                <w:szCs w:val="21"/>
                <w:highlight w:val="none"/>
                <w:u w:val="single"/>
              </w:rPr>
            </w:pPr>
            <w:r>
              <w:rPr>
                <w:rFonts w:hint="eastAsia" w:ascii="宋体" w:hAnsi="宋体" w:cs="宋体"/>
                <w:b/>
                <w:bCs/>
                <w:color w:val="auto"/>
                <w:szCs w:val="21"/>
                <w:highlight w:val="none"/>
                <w:lang w:val="zh-CN"/>
              </w:rPr>
              <w:t>采用综合评分法的采购项目，多家投标人提供的核心产品品牌相同，且通过资格审查、符合性审查的，按一家投标人计算，评审后得分最高的同品牌投标人获得中标人推荐资格，（</w:t>
            </w:r>
            <w:r>
              <w:rPr>
                <w:rFonts w:hint="eastAsia" w:ascii="宋体" w:hAnsi="宋体" w:cs="宋体"/>
                <w:b/>
                <w:color w:val="auto"/>
                <w:szCs w:val="21"/>
                <w:highlight w:val="none"/>
              </w:rPr>
              <w:t>评审得分相同的，由采购人或者采购人委托评标委员会按照</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的方式确定一个投标人获得中标人推荐资格，招标文件未规定的采取随机抽取方式确定</w:t>
            </w:r>
            <w:r>
              <w:rPr>
                <w:rFonts w:hint="eastAsia" w:ascii="宋体" w:hAnsi="宋体" w:cs="宋体"/>
                <w:b/>
                <w:bCs/>
                <w:color w:val="auto"/>
                <w:szCs w:val="21"/>
                <w:highlight w:val="none"/>
                <w:lang w:val="zh-CN"/>
              </w:rPr>
              <w:t>），其他同品牌投标人不作为中标候选人。</w:t>
            </w:r>
          </w:p>
        </w:tc>
      </w:tr>
      <w:tr w14:paraId="3F7A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E55D58D">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671" w:type="dxa"/>
            <w:noWrap w:val="0"/>
            <w:vAlign w:val="center"/>
          </w:tcPr>
          <w:p w14:paraId="65DF1646">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采购进口产品</w:t>
            </w:r>
          </w:p>
        </w:tc>
        <w:tc>
          <w:tcPr>
            <w:tcW w:w="6686" w:type="dxa"/>
            <w:gridSpan w:val="2"/>
            <w:noWrap w:val="0"/>
            <w:vAlign w:val="center"/>
          </w:tcPr>
          <w:p w14:paraId="499C1F80">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F0A3"/>
            </w:r>
            <w:r>
              <w:rPr>
                <w:rFonts w:hint="eastAsia" w:ascii="宋体" w:hAnsi="宋体" w:cs="宋体"/>
                <w:color w:val="auto"/>
                <w:szCs w:val="21"/>
                <w:highlight w:val="none"/>
              </w:rPr>
              <w:t>本采购项目拒绝进口产品参加投标</w:t>
            </w:r>
          </w:p>
          <w:p w14:paraId="6A22B65F">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F0A3"/>
            </w:r>
            <w:r>
              <w:rPr>
                <w:rFonts w:hint="eastAsia" w:ascii="宋体" w:hAnsi="宋体" w:cs="宋体"/>
                <w:color w:val="auto"/>
                <w:szCs w:val="21"/>
                <w:highlight w:val="none"/>
              </w:rPr>
              <w:t>本采购项目已经财政部审核同意购买进口产品</w:t>
            </w:r>
          </w:p>
          <w:p w14:paraId="731AE52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其他，本项目不适用</w:t>
            </w:r>
          </w:p>
        </w:tc>
      </w:tr>
      <w:tr w14:paraId="2672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E5ACF3D">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671" w:type="dxa"/>
            <w:noWrap w:val="0"/>
            <w:vAlign w:val="center"/>
          </w:tcPr>
          <w:p w14:paraId="66BDC114">
            <w:pPr>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信息发布媒体</w:t>
            </w:r>
          </w:p>
        </w:tc>
        <w:tc>
          <w:tcPr>
            <w:tcW w:w="6686" w:type="dxa"/>
            <w:gridSpan w:val="2"/>
            <w:noWrap w:val="0"/>
            <w:vAlign w:val="center"/>
          </w:tcPr>
          <w:p w14:paraId="4AB0A2EC">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（1）中国政府采购网（</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"http://www.ccgp.gov.cn"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www.ccgp.gov.cn</w:t>
            </w:r>
            <w:r>
              <w:rPr>
                <w:rFonts w:hint="eastAsia" w:ascii="宋体" w:hAnsi="宋体" w:cs="宋体"/>
                <w:color w:val="auto"/>
                <w:szCs w:val="21"/>
                <w:highlight w:val="none"/>
              </w:rPr>
              <w:fldChar w:fldCharType="end"/>
            </w:r>
            <w:r>
              <w:rPr>
                <w:rFonts w:hint="eastAsia" w:ascii="宋体" w:hAnsi="宋体" w:cs="宋体"/>
                <w:color w:val="auto"/>
                <w:szCs w:val="21"/>
                <w:highlight w:val="none"/>
              </w:rPr>
              <w:t>）</w:t>
            </w:r>
          </w:p>
          <w:p w14:paraId="157C51E1">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（2）国家税务总局甘肃省税务局（http：//gansu.chinatax.gov.cn/）</w:t>
            </w:r>
          </w:p>
        </w:tc>
      </w:tr>
      <w:tr w14:paraId="7DF85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1C51D6D0">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671" w:type="dxa"/>
            <w:noWrap w:val="0"/>
            <w:vAlign w:val="center"/>
          </w:tcPr>
          <w:p w14:paraId="52EAA5B5">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获取招标文件</w:t>
            </w:r>
          </w:p>
          <w:p w14:paraId="3A98818A">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时间、地点和</w:t>
            </w:r>
          </w:p>
          <w:p w14:paraId="0ECC8D16">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方式等</w:t>
            </w:r>
          </w:p>
        </w:tc>
        <w:tc>
          <w:tcPr>
            <w:tcW w:w="6686" w:type="dxa"/>
            <w:gridSpan w:val="2"/>
            <w:noWrap w:val="0"/>
            <w:vAlign w:val="center"/>
          </w:tcPr>
          <w:p w14:paraId="3E995DC4">
            <w:pPr>
              <w:keepNext w:val="0"/>
              <w:keepLines w:val="0"/>
              <w:pageBreakBefore w:val="0"/>
              <w:widowControl w:val="0"/>
              <w:kinsoku/>
              <w:wordWrap w:val="0"/>
              <w:overflowPunct/>
              <w:topLinePunct w:val="0"/>
              <w:autoSpaceDE/>
              <w:autoSpaceDN/>
              <w:bidi w:val="0"/>
              <w:adjustRightInd w:val="0"/>
              <w:snapToGrid w:val="0"/>
              <w:spacing w:line="500" w:lineRule="exact"/>
              <w:textAlignment w:val="auto"/>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时间：</w:t>
            </w:r>
            <w:r>
              <w:rPr>
                <w:rFonts w:hint="eastAsia" w:ascii="宋体" w:hAnsi="宋体" w:eastAsia="宋体" w:cs="宋体"/>
                <w:caps/>
                <w:color w:val="auto"/>
                <w:szCs w:val="21"/>
                <w:highlight w:val="none"/>
              </w:rPr>
              <w:t>2026年</w:t>
            </w:r>
            <w:r>
              <w:rPr>
                <w:rFonts w:hint="eastAsia" w:ascii="宋体" w:hAnsi="宋体" w:cs="宋体"/>
                <w:caps/>
                <w:color w:val="auto"/>
                <w:szCs w:val="21"/>
                <w:highlight w:val="none"/>
                <w:lang w:val="en-US" w:eastAsia="zh-CN"/>
              </w:rPr>
              <w:t>09</w:t>
            </w:r>
            <w:r>
              <w:rPr>
                <w:rFonts w:hint="eastAsia" w:ascii="宋体" w:hAnsi="宋体" w:eastAsia="宋体" w:cs="宋体"/>
                <w:caps/>
                <w:color w:val="auto"/>
                <w:szCs w:val="21"/>
                <w:highlight w:val="none"/>
              </w:rPr>
              <w:t>月</w:t>
            </w:r>
            <w:r>
              <w:rPr>
                <w:rFonts w:hint="eastAsia" w:ascii="宋体" w:hAnsi="宋体" w:cs="宋体"/>
                <w:caps/>
                <w:color w:val="auto"/>
                <w:szCs w:val="21"/>
                <w:highlight w:val="none"/>
                <w:lang w:val="en-US" w:eastAsia="zh-CN"/>
              </w:rPr>
              <w:t>07</w:t>
            </w:r>
            <w:r>
              <w:rPr>
                <w:rFonts w:hint="eastAsia" w:ascii="宋体" w:hAnsi="宋体" w:eastAsia="宋体" w:cs="宋体"/>
                <w:caps/>
                <w:color w:val="auto"/>
                <w:szCs w:val="21"/>
                <w:highlight w:val="none"/>
              </w:rPr>
              <w:t>日至2026年</w:t>
            </w:r>
            <w:r>
              <w:rPr>
                <w:rFonts w:hint="eastAsia" w:ascii="宋体" w:hAnsi="宋体" w:cs="宋体"/>
                <w:caps/>
                <w:color w:val="auto"/>
                <w:szCs w:val="21"/>
                <w:highlight w:val="none"/>
                <w:lang w:val="en-US" w:eastAsia="zh-CN"/>
              </w:rPr>
              <w:t>09</w:t>
            </w:r>
            <w:r>
              <w:rPr>
                <w:rFonts w:hint="eastAsia" w:ascii="宋体" w:hAnsi="宋体" w:eastAsia="宋体" w:cs="宋体"/>
                <w:caps/>
                <w:color w:val="auto"/>
                <w:szCs w:val="21"/>
                <w:highlight w:val="none"/>
              </w:rPr>
              <w:t>月</w:t>
            </w:r>
            <w:r>
              <w:rPr>
                <w:rFonts w:hint="eastAsia" w:ascii="宋体" w:hAnsi="宋体" w:cs="宋体"/>
                <w:caps/>
                <w:color w:val="auto"/>
                <w:szCs w:val="21"/>
                <w:highlight w:val="none"/>
                <w:lang w:val="en-US" w:eastAsia="zh-CN"/>
              </w:rPr>
              <w:t>11</w:t>
            </w:r>
            <w:r>
              <w:rPr>
                <w:rFonts w:hint="eastAsia" w:ascii="宋体" w:hAnsi="宋体" w:eastAsia="宋体" w:cs="宋体"/>
                <w:caps/>
                <w:color w:val="auto"/>
                <w:szCs w:val="21"/>
                <w:highlight w:val="none"/>
              </w:rPr>
              <w:t>日，每天上午9:00至12:00，下午14:00至18:00</w:t>
            </w:r>
            <w:r>
              <w:rPr>
                <w:rFonts w:hint="eastAsia" w:ascii="宋体" w:hAnsi="宋体" w:cs="宋体"/>
                <w:snapToGrid w:val="0"/>
                <w:color w:val="auto"/>
                <w:szCs w:val="21"/>
                <w:highlight w:val="none"/>
              </w:rPr>
              <w:t>。（北京时间，法定节假日除外）</w:t>
            </w:r>
          </w:p>
          <w:p w14:paraId="6BB24E70">
            <w:pPr>
              <w:keepNext w:val="0"/>
              <w:keepLines w:val="0"/>
              <w:pageBreakBefore w:val="0"/>
              <w:widowControl w:val="0"/>
              <w:kinsoku/>
              <w:wordWrap w:val="0"/>
              <w:overflowPunct/>
              <w:topLinePunct w:val="0"/>
              <w:autoSpaceDE/>
              <w:autoSpaceDN/>
              <w:bidi w:val="0"/>
              <w:adjustRightInd w:val="0"/>
              <w:snapToGrid w:val="0"/>
              <w:spacing w:line="500" w:lineRule="exact"/>
              <w:textAlignment w:val="auto"/>
              <w:rPr>
                <w:rFonts w:hint="eastAsia" w:ascii="宋体" w:hAnsi="宋体" w:cs="宋体"/>
                <w:snapToGrid w:val="0"/>
                <w:color w:val="auto"/>
                <w:szCs w:val="21"/>
                <w:highlight w:val="none"/>
              </w:rPr>
            </w:pPr>
            <w:r>
              <w:rPr>
                <w:rFonts w:hint="eastAsia" w:ascii="宋体" w:hAnsi="宋体" w:cs="宋体"/>
                <w:snapToGrid w:val="0"/>
                <w:color w:val="auto"/>
                <w:szCs w:val="21"/>
                <w:highlight w:val="none"/>
                <w:lang w:val="en-US" w:eastAsia="zh-CN"/>
              </w:rPr>
              <w:t>地点：</w:t>
            </w:r>
            <w:r>
              <w:rPr>
                <w:rFonts w:hint="eastAsia" w:ascii="宋体" w:hAnsi="宋体" w:cs="宋体"/>
                <w:snapToGrid w:val="0"/>
                <w:color w:val="auto"/>
                <w:szCs w:val="21"/>
                <w:highlight w:val="none"/>
              </w:rPr>
              <w:t>请通过“诚E招电子采购交易平台”（网址：https://www.chengezhao.com/）完成本项目招标文件的获取与下载。</w:t>
            </w:r>
          </w:p>
          <w:p w14:paraId="6FDD16DC">
            <w:pPr>
              <w:keepNext w:val="0"/>
              <w:keepLines w:val="0"/>
              <w:pageBreakBefore w:val="0"/>
              <w:widowControl w:val="0"/>
              <w:kinsoku/>
              <w:wordWrap w:val="0"/>
              <w:overflowPunct/>
              <w:topLinePunct w:val="0"/>
              <w:autoSpaceDE/>
              <w:autoSpaceDN/>
              <w:bidi w:val="0"/>
              <w:adjustRightInd w:val="0"/>
              <w:snapToGrid w:val="0"/>
              <w:spacing w:line="500" w:lineRule="exact"/>
              <w:textAlignment w:val="auto"/>
              <w:rPr>
                <w:rFonts w:hint="eastAsia" w:ascii="宋体" w:hAnsi="宋体" w:cs="宋体"/>
                <w:snapToGrid w:val="0"/>
                <w:color w:val="auto"/>
                <w:szCs w:val="21"/>
                <w:highlight w:val="none"/>
              </w:rPr>
            </w:pPr>
            <w:r>
              <w:rPr>
                <w:rFonts w:hint="eastAsia" w:ascii="宋体" w:hAnsi="宋体" w:cs="宋体"/>
                <w:snapToGrid w:val="0"/>
                <w:color w:val="auto"/>
                <w:szCs w:val="21"/>
                <w:highlight w:val="none"/>
                <w:lang w:val="en-US" w:eastAsia="zh-CN"/>
              </w:rPr>
              <w:t>方式：</w:t>
            </w:r>
            <w:r>
              <w:rPr>
                <w:rFonts w:hint="eastAsia" w:ascii="宋体" w:hAnsi="宋体" w:cs="宋体"/>
                <w:snapToGrid w:val="0"/>
                <w:color w:val="auto"/>
                <w:szCs w:val="21"/>
                <w:highlight w:val="none"/>
              </w:rPr>
              <w:t>注册：输入网址，点击【新用户注册】（注册步骤详见门户网站：【投标人操作指南】-【注册指引】）。登录账号后点击【常用文件】，下载《投标人&amp;投标人操作手册》。</w:t>
            </w:r>
          </w:p>
          <w:p w14:paraId="56821EC4">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获取与下载：注册成功后登录平台，点击【商机发现】，检索本项目后支付招标文件费。</w:t>
            </w:r>
          </w:p>
          <w:p w14:paraId="2C5B0C25">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疑问反馈：具体操作若有疑问，可致电客服热线：020-89524219。服务时间8:30-17:30（工作日）。</w:t>
            </w:r>
          </w:p>
          <w:p w14:paraId="53477DC4">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注：招标文件如需邮寄，需要以书面形式通知招标代理机构。采购代理机构在收到招标文件费用后2 日内寄出，邮寄费用由投标人承担。</w:t>
            </w:r>
          </w:p>
          <w:p w14:paraId="54CC25A3">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售价：¥ 300.00元/包，本公告包含的招标文件售价总和</w:t>
            </w:r>
          </w:p>
          <w:p w14:paraId="380A0371">
            <w:pPr>
              <w:adjustRightInd w:val="0"/>
              <w:snapToGrid w:val="0"/>
              <w:spacing w:line="500" w:lineRule="exact"/>
              <w:rPr>
                <w:rFonts w:hint="eastAsia" w:ascii="宋体" w:hAnsi="宋体" w:cs="宋体"/>
                <w:b/>
                <w:bCs/>
                <w:snapToGrid w:val="0"/>
                <w:color w:val="auto"/>
                <w:szCs w:val="21"/>
                <w:highlight w:val="none"/>
              </w:rPr>
            </w:pPr>
            <w:r>
              <w:rPr>
                <w:rFonts w:hint="eastAsia" w:ascii="宋体" w:hAnsi="宋体" w:cs="宋体"/>
                <w:b/>
                <w:bCs/>
                <w:snapToGrid w:val="0"/>
                <w:color w:val="auto"/>
                <w:szCs w:val="21"/>
                <w:highlight w:val="none"/>
              </w:rPr>
              <w:t>注：招标文件获取费汇至账户：</w:t>
            </w:r>
          </w:p>
          <w:p w14:paraId="1DC0AEDB">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开户名：公诚管理咨询有限公司</w:t>
            </w:r>
          </w:p>
          <w:p w14:paraId="25981F53">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开户银行：中信银行广州花园支行</w:t>
            </w:r>
          </w:p>
          <w:p w14:paraId="62821CBF">
            <w:pPr>
              <w:adjustRightInd w:val="0"/>
              <w:snapToGrid w:val="0"/>
              <w:spacing w:line="500" w:lineRule="exact"/>
              <w:rPr>
                <w:rFonts w:hint="eastAsia" w:ascii="宋体" w:hAnsi="宋体" w:cs="宋体"/>
                <w:color w:val="auto"/>
                <w:szCs w:val="21"/>
                <w:highlight w:val="none"/>
              </w:rPr>
            </w:pPr>
            <w:r>
              <w:rPr>
                <w:rFonts w:hint="eastAsia" w:ascii="宋体" w:hAnsi="宋体" w:cs="宋体"/>
                <w:snapToGrid w:val="0"/>
                <w:color w:val="auto"/>
                <w:szCs w:val="21"/>
                <w:highlight w:val="none"/>
              </w:rPr>
              <w:t>账号：</w:t>
            </w:r>
            <w:r>
              <w:rPr>
                <w:rFonts w:hint="eastAsia" w:ascii="宋体" w:hAnsi="宋体" w:cs="宋体"/>
                <w:snapToGrid w:val="0"/>
                <w:color w:val="auto"/>
                <w:szCs w:val="21"/>
                <w:highlight w:val="none"/>
                <w:lang w:eastAsia="zh-CN"/>
              </w:rPr>
              <w:t>3110910037672625800</w:t>
            </w:r>
            <w:r>
              <w:rPr>
                <w:rFonts w:hint="eastAsia" w:ascii="宋体" w:hAnsi="宋体" w:cs="宋体"/>
                <w:snapToGrid w:val="0"/>
                <w:color w:val="auto"/>
                <w:szCs w:val="21"/>
                <w:highlight w:val="none"/>
              </w:rPr>
              <w:t>（此账号为该项目独立账号，请各投标人注意避免汇款错误，进而影响项目投标）</w:t>
            </w:r>
          </w:p>
        </w:tc>
      </w:tr>
      <w:tr w14:paraId="3865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7D50FAC0">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14</w:t>
            </w:r>
          </w:p>
        </w:tc>
        <w:tc>
          <w:tcPr>
            <w:tcW w:w="1671" w:type="dxa"/>
            <w:noWrap w:val="0"/>
            <w:vAlign w:val="center"/>
          </w:tcPr>
          <w:p w14:paraId="3070C3F5">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现场考察/踏勘</w:t>
            </w:r>
          </w:p>
        </w:tc>
        <w:tc>
          <w:tcPr>
            <w:tcW w:w="6686" w:type="dxa"/>
            <w:gridSpan w:val="2"/>
            <w:noWrap w:val="0"/>
            <w:vAlign w:val="center"/>
          </w:tcPr>
          <w:p w14:paraId="0C243CF5">
            <w:pPr>
              <w:tabs>
                <w:tab w:val="left" w:pos="0"/>
                <w:tab w:val="left" w:pos="42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 xml:space="preserve">不组织现场考察/踏勘  </w:t>
            </w:r>
          </w:p>
        </w:tc>
      </w:tr>
      <w:tr w14:paraId="5C26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08CAA38A">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15</w:t>
            </w:r>
          </w:p>
        </w:tc>
        <w:tc>
          <w:tcPr>
            <w:tcW w:w="1671" w:type="dxa"/>
            <w:noWrap w:val="0"/>
            <w:vAlign w:val="center"/>
          </w:tcPr>
          <w:p w14:paraId="2E5B5710">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样品</w:t>
            </w:r>
          </w:p>
        </w:tc>
        <w:tc>
          <w:tcPr>
            <w:tcW w:w="6686" w:type="dxa"/>
            <w:gridSpan w:val="2"/>
            <w:noWrap w:val="0"/>
            <w:vAlign w:val="center"/>
          </w:tcPr>
          <w:p w14:paraId="253368D0">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 xml:space="preserve">不要求提供    </w:t>
            </w:r>
          </w:p>
        </w:tc>
      </w:tr>
      <w:tr w14:paraId="57BB0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80" w:type="dxa"/>
            <w:vMerge w:val="restart"/>
            <w:noWrap w:val="0"/>
            <w:vAlign w:val="center"/>
          </w:tcPr>
          <w:p w14:paraId="13D7DD9D">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16</w:t>
            </w:r>
          </w:p>
        </w:tc>
        <w:tc>
          <w:tcPr>
            <w:tcW w:w="1671" w:type="dxa"/>
            <w:vMerge w:val="restart"/>
            <w:noWrap w:val="0"/>
            <w:vAlign w:val="center"/>
          </w:tcPr>
          <w:p w14:paraId="4C8DCE8C">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投标文件组成</w:t>
            </w:r>
          </w:p>
        </w:tc>
        <w:tc>
          <w:tcPr>
            <w:tcW w:w="709" w:type="dxa"/>
            <w:vMerge w:val="restart"/>
            <w:noWrap w:val="0"/>
            <w:vAlign w:val="center"/>
          </w:tcPr>
          <w:p w14:paraId="74499DC3">
            <w:pPr>
              <w:topLinePunct/>
              <w:autoSpaceDE w:val="0"/>
              <w:autoSpaceDN w:val="0"/>
              <w:adjustRightInd w:val="0"/>
              <w:snapToGrid w:val="0"/>
              <w:spacing w:line="500" w:lineRule="exact"/>
              <w:jc w:val="center"/>
              <w:rPr>
                <w:rFonts w:hint="eastAsia" w:ascii="宋体" w:hAnsi="宋体" w:cs="宋体"/>
                <w:bCs/>
                <w:color w:val="auto"/>
                <w:szCs w:val="21"/>
                <w:highlight w:val="none"/>
              </w:rPr>
            </w:pPr>
            <w:r>
              <w:rPr>
                <w:rFonts w:hint="eastAsia" w:ascii="宋体" w:hAnsi="宋体" w:cs="宋体"/>
                <w:color w:val="auto"/>
                <w:szCs w:val="21"/>
                <w:highlight w:val="none"/>
              </w:rPr>
              <w:t>商务部</w:t>
            </w:r>
            <w:r>
              <w:rPr>
                <w:rFonts w:hint="eastAsia" w:ascii="宋体" w:hAnsi="宋体" w:cs="宋体"/>
                <w:bCs/>
                <w:color w:val="auto"/>
                <w:szCs w:val="21"/>
                <w:highlight w:val="none"/>
              </w:rPr>
              <w:t>分</w:t>
            </w:r>
          </w:p>
        </w:tc>
        <w:tc>
          <w:tcPr>
            <w:tcW w:w="5977" w:type="dxa"/>
            <w:noWrap w:val="0"/>
            <w:vAlign w:val="center"/>
          </w:tcPr>
          <w:p w14:paraId="60B8F0D6">
            <w:pPr>
              <w:widowControl/>
              <w:tabs>
                <w:tab w:val="left" w:pos="0"/>
                <w:tab w:val="left" w:pos="42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b/>
                <w:color w:val="auto"/>
                <w:szCs w:val="21"/>
                <w:highlight w:val="none"/>
              </w:rPr>
              <w:t>一、资格证明文件：</w:t>
            </w:r>
          </w:p>
          <w:p w14:paraId="7021873D">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★1．法人或者其他组织的营业执照副本复印件或自然人身份证明复印件有效期内的相应证件复印件加盖公章。</w:t>
            </w:r>
          </w:p>
          <w:p w14:paraId="064EFDC9">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★2．财务状况报告</w:t>
            </w:r>
          </w:p>
          <w:p w14:paraId="0DCAD343">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应提供202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年度</w:t>
            </w:r>
            <w:bookmarkStart w:id="58" w:name="OLE_LINK1"/>
            <w:r>
              <w:rPr>
                <w:rFonts w:hint="eastAsia" w:ascii="宋体" w:hAnsi="宋体" w:cs="宋体"/>
                <w:color w:val="auto"/>
                <w:szCs w:val="21"/>
                <w:highlight w:val="none"/>
                <w:lang w:val="en-US" w:eastAsia="zh-CN"/>
              </w:rPr>
              <w:t>经第三方审计的</w:t>
            </w:r>
            <w:bookmarkEnd w:id="58"/>
            <w:r>
              <w:rPr>
                <w:rFonts w:hint="eastAsia" w:ascii="宋体" w:hAnsi="宋体" w:cs="宋体"/>
                <w:color w:val="auto"/>
                <w:szCs w:val="21"/>
                <w:highlight w:val="none"/>
              </w:rPr>
              <w:t>财务审计报告。投标人提供的财务审计报告，应包括资产负债表、损益表等加盖公章的复印件。</w:t>
            </w:r>
          </w:p>
          <w:p w14:paraId="338D7A5C">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投标人为当年新成立公司，则应提供公司成立之日后的财务报表。投标人为国家机关、事业单位、团体组织或个人的，可提供本单位财务报表。</w:t>
            </w:r>
          </w:p>
          <w:p w14:paraId="2764369B">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★3．依法缴纳税收的相关材料</w:t>
            </w:r>
          </w:p>
          <w:p w14:paraId="6205A24B">
            <w:pPr>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202</w:t>
            </w:r>
            <w:r>
              <w:rPr>
                <w:rFonts w:hint="eastAsia" w:ascii="宋体" w:hAnsi="宋体" w:cs="宋体"/>
                <w:color w:val="auto"/>
                <w:szCs w:val="21"/>
                <w:highlight w:val="none"/>
                <w:lang w:eastAsia="zh-CN"/>
              </w:rPr>
              <w:t>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01</w:t>
            </w:r>
            <w:r>
              <w:rPr>
                <w:rFonts w:hint="eastAsia" w:ascii="宋体" w:hAnsi="宋体" w:cs="宋体"/>
                <w:color w:val="auto"/>
                <w:szCs w:val="21"/>
                <w:highlight w:val="none"/>
              </w:rPr>
              <w:t>月以来不少于一个月依法缴纳税收（不包括个人所得税）的相关材料，如依法免税或不需要纳税的，则应提供相应证明材料复印件加盖公章</w:t>
            </w:r>
            <w:r>
              <w:rPr>
                <w:rFonts w:hint="eastAsia" w:ascii="宋体" w:hAnsi="宋体" w:cs="宋体"/>
                <w:color w:val="auto"/>
                <w:szCs w:val="21"/>
                <w:highlight w:val="none"/>
                <w:lang w:eastAsia="zh-CN"/>
              </w:rPr>
              <w:t>。</w:t>
            </w:r>
          </w:p>
          <w:p w14:paraId="47B7DF5C">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★4．依法缴纳社会保障资金的相关材料</w:t>
            </w:r>
          </w:p>
          <w:p w14:paraId="64E4FC9C">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lang w:eastAsia="zh-CN"/>
              </w:rPr>
              <w:t>2026年01月以来</w:t>
            </w:r>
            <w:r>
              <w:rPr>
                <w:rFonts w:hint="eastAsia" w:ascii="宋体" w:hAnsi="宋体" w:cs="宋体"/>
                <w:color w:val="auto"/>
                <w:szCs w:val="21"/>
                <w:highlight w:val="none"/>
              </w:rPr>
              <w:t>不少于一个月的依法缴纳社会保障资金的相关材料，如依法不需要缴纳社会保障资金的，则应提供相应证明材料复印件加盖公章。</w:t>
            </w:r>
          </w:p>
          <w:p w14:paraId="230750FA">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★5．具备履行合同所必需的设备和专业技术能力的证明材料；</w:t>
            </w:r>
          </w:p>
          <w:p w14:paraId="3A078E46">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★6．参加本次政府采购活动前三年内在经营活动中没有重大违法记录的书面声明；</w:t>
            </w:r>
          </w:p>
          <w:p w14:paraId="71B72BFF">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★7．具备法律、行政法规规定的其他条件的证明材料；</w:t>
            </w:r>
          </w:p>
          <w:p w14:paraId="0D316660">
            <w:pPr>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7.1供应商公平参与市场竞争承诺函</w:t>
            </w:r>
            <w:r>
              <w:rPr>
                <w:rFonts w:hint="eastAsia" w:ascii="宋体" w:hAnsi="宋体" w:cs="宋体"/>
                <w:color w:val="auto"/>
                <w:szCs w:val="21"/>
                <w:highlight w:val="none"/>
                <w:lang w:eastAsia="zh-CN"/>
              </w:rPr>
              <w:t>。</w:t>
            </w:r>
          </w:p>
          <w:p w14:paraId="0B6D93D9">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7.2 供应商参与本项目不得转包或分包、不接受联合体投标承</w:t>
            </w:r>
          </w:p>
          <w:p w14:paraId="105AFC3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诺函。</w:t>
            </w:r>
          </w:p>
          <w:p w14:paraId="6A19E98C">
            <w:pPr>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★8．无不良信用记录承诺函</w:t>
            </w:r>
            <w:r>
              <w:rPr>
                <w:rFonts w:hint="eastAsia" w:ascii="宋体" w:hAnsi="宋体" w:cs="宋体"/>
                <w:color w:val="auto"/>
                <w:szCs w:val="21"/>
                <w:highlight w:val="none"/>
                <w:lang w:eastAsia="zh-CN"/>
              </w:rPr>
              <w:t>。</w:t>
            </w:r>
          </w:p>
        </w:tc>
      </w:tr>
      <w:tr w14:paraId="55B52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noWrap w:val="0"/>
            <w:vAlign w:val="center"/>
          </w:tcPr>
          <w:p w14:paraId="6FA0E055">
            <w:pPr>
              <w:adjustRightInd w:val="0"/>
              <w:snapToGrid w:val="0"/>
              <w:spacing w:line="500" w:lineRule="exact"/>
              <w:jc w:val="center"/>
              <w:rPr>
                <w:rFonts w:hint="eastAsia" w:ascii="宋体" w:hAnsi="宋体" w:cs="宋体"/>
                <w:b/>
                <w:color w:val="auto"/>
                <w:szCs w:val="21"/>
                <w:highlight w:val="none"/>
              </w:rPr>
            </w:pPr>
          </w:p>
        </w:tc>
        <w:tc>
          <w:tcPr>
            <w:tcW w:w="1671" w:type="dxa"/>
            <w:vMerge w:val="continue"/>
            <w:noWrap w:val="0"/>
            <w:vAlign w:val="center"/>
          </w:tcPr>
          <w:p w14:paraId="779FBCD8">
            <w:pPr>
              <w:topLinePunct/>
              <w:autoSpaceDE w:val="0"/>
              <w:autoSpaceDN w:val="0"/>
              <w:adjustRightInd w:val="0"/>
              <w:snapToGrid w:val="0"/>
              <w:spacing w:line="500" w:lineRule="exact"/>
              <w:jc w:val="center"/>
              <w:rPr>
                <w:rFonts w:hint="eastAsia" w:ascii="宋体" w:hAnsi="宋体" w:cs="宋体"/>
                <w:b/>
                <w:color w:val="auto"/>
                <w:szCs w:val="21"/>
                <w:highlight w:val="none"/>
              </w:rPr>
            </w:pPr>
          </w:p>
        </w:tc>
        <w:tc>
          <w:tcPr>
            <w:tcW w:w="709" w:type="dxa"/>
            <w:vMerge w:val="continue"/>
            <w:noWrap w:val="0"/>
            <w:vAlign w:val="center"/>
          </w:tcPr>
          <w:p w14:paraId="0B7B7DD5">
            <w:pPr>
              <w:topLinePunct/>
              <w:autoSpaceDE w:val="0"/>
              <w:autoSpaceDN w:val="0"/>
              <w:adjustRightInd w:val="0"/>
              <w:snapToGrid w:val="0"/>
              <w:spacing w:line="500" w:lineRule="exact"/>
              <w:jc w:val="left"/>
              <w:rPr>
                <w:rFonts w:hint="eastAsia" w:ascii="宋体" w:hAnsi="宋体" w:cs="宋体"/>
                <w:b/>
                <w:bCs/>
                <w:color w:val="auto"/>
                <w:szCs w:val="21"/>
                <w:highlight w:val="none"/>
              </w:rPr>
            </w:pPr>
          </w:p>
        </w:tc>
        <w:tc>
          <w:tcPr>
            <w:tcW w:w="5977" w:type="dxa"/>
            <w:noWrap w:val="0"/>
            <w:vAlign w:val="center"/>
          </w:tcPr>
          <w:p w14:paraId="1795C7F5">
            <w:pPr>
              <w:adjustRightInd w:val="0"/>
              <w:snapToGrid w:val="0"/>
              <w:spacing w:line="500" w:lineRule="exact"/>
              <w:jc w:val="left"/>
              <w:rPr>
                <w:rFonts w:hint="eastAsia" w:ascii="宋体" w:hAnsi="宋体" w:cs="宋体"/>
                <w:b/>
                <w:bCs/>
                <w:color w:val="auto"/>
                <w:szCs w:val="21"/>
                <w:highlight w:val="none"/>
              </w:rPr>
            </w:pPr>
            <w:r>
              <w:rPr>
                <w:rFonts w:hint="eastAsia" w:ascii="宋体" w:hAnsi="宋体" w:cs="宋体"/>
                <w:b/>
                <w:bCs/>
                <w:color w:val="auto"/>
                <w:szCs w:val="21"/>
                <w:highlight w:val="none"/>
              </w:rPr>
              <w:t>二、</w:t>
            </w:r>
            <w:r>
              <w:rPr>
                <w:rFonts w:hint="eastAsia" w:ascii="宋体" w:hAnsi="宋体" w:cs="宋体"/>
                <w:b/>
                <w:color w:val="auto"/>
                <w:szCs w:val="21"/>
                <w:highlight w:val="none"/>
              </w:rPr>
              <w:t>开标一览表</w:t>
            </w:r>
            <w:r>
              <w:rPr>
                <w:rFonts w:hint="eastAsia" w:ascii="宋体" w:hAnsi="宋体" w:cs="宋体"/>
                <w:b/>
                <w:bCs/>
                <w:color w:val="auto"/>
                <w:szCs w:val="21"/>
                <w:highlight w:val="none"/>
              </w:rPr>
              <w:t>：</w:t>
            </w:r>
          </w:p>
          <w:p w14:paraId="7F904A95">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1.★投标报价表（需另外单独密封1份提交）；</w:t>
            </w:r>
          </w:p>
        </w:tc>
      </w:tr>
      <w:tr w14:paraId="35534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noWrap w:val="0"/>
            <w:vAlign w:val="center"/>
          </w:tcPr>
          <w:p w14:paraId="5D1C7727">
            <w:pPr>
              <w:adjustRightInd w:val="0"/>
              <w:snapToGrid w:val="0"/>
              <w:spacing w:line="500" w:lineRule="exact"/>
              <w:jc w:val="center"/>
              <w:rPr>
                <w:rFonts w:hint="eastAsia" w:ascii="宋体" w:hAnsi="宋体" w:cs="宋体"/>
                <w:b/>
                <w:color w:val="auto"/>
                <w:szCs w:val="21"/>
                <w:highlight w:val="none"/>
              </w:rPr>
            </w:pPr>
          </w:p>
        </w:tc>
        <w:tc>
          <w:tcPr>
            <w:tcW w:w="1671" w:type="dxa"/>
            <w:vMerge w:val="continue"/>
            <w:noWrap w:val="0"/>
            <w:vAlign w:val="center"/>
          </w:tcPr>
          <w:p w14:paraId="6A0F5964">
            <w:pPr>
              <w:topLinePunct/>
              <w:autoSpaceDE w:val="0"/>
              <w:autoSpaceDN w:val="0"/>
              <w:adjustRightInd w:val="0"/>
              <w:snapToGrid w:val="0"/>
              <w:spacing w:line="500" w:lineRule="exact"/>
              <w:jc w:val="center"/>
              <w:rPr>
                <w:rFonts w:hint="eastAsia" w:ascii="宋体" w:hAnsi="宋体" w:cs="宋体"/>
                <w:b/>
                <w:color w:val="auto"/>
                <w:szCs w:val="21"/>
                <w:highlight w:val="none"/>
              </w:rPr>
            </w:pPr>
          </w:p>
        </w:tc>
        <w:tc>
          <w:tcPr>
            <w:tcW w:w="709" w:type="dxa"/>
            <w:vMerge w:val="continue"/>
            <w:noWrap w:val="0"/>
            <w:vAlign w:val="center"/>
          </w:tcPr>
          <w:p w14:paraId="76F39BD8">
            <w:pPr>
              <w:topLinePunct/>
              <w:autoSpaceDE w:val="0"/>
              <w:autoSpaceDN w:val="0"/>
              <w:adjustRightInd w:val="0"/>
              <w:snapToGrid w:val="0"/>
              <w:spacing w:line="500" w:lineRule="exact"/>
              <w:jc w:val="left"/>
              <w:rPr>
                <w:rFonts w:hint="eastAsia" w:ascii="宋体" w:hAnsi="宋体" w:cs="宋体"/>
                <w:b/>
                <w:bCs/>
                <w:color w:val="auto"/>
                <w:szCs w:val="21"/>
                <w:highlight w:val="none"/>
              </w:rPr>
            </w:pPr>
          </w:p>
        </w:tc>
        <w:tc>
          <w:tcPr>
            <w:tcW w:w="5977" w:type="dxa"/>
            <w:noWrap w:val="0"/>
            <w:vAlign w:val="center"/>
          </w:tcPr>
          <w:p w14:paraId="154DEB92">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b/>
                <w:color w:val="auto"/>
                <w:szCs w:val="21"/>
                <w:highlight w:val="none"/>
              </w:rPr>
              <w:t>三、其他文件及资料</w:t>
            </w:r>
            <w:r>
              <w:rPr>
                <w:rFonts w:hint="eastAsia" w:ascii="宋体" w:hAnsi="宋体" w:cs="宋体"/>
                <w:color w:val="auto"/>
                <w:szCs w:val="21"/>
                <w:highlight w:val="none"/>
              </w:rPr>
              <w:t>：</w:t>
            </w:r>
          </w:p>
          <w:p w14:paraId="1981135C">
            <w:pPr>
              <w:pStyle w:val="6"/>
              <w:spacing w:line="500" w:lineRule="exact"/>
              <w:ind w:firstLine="0" w:firstLineChars="0"/>
              <w:rPr>
                <w:rFonts w:hint="eastAsia" w:ascii="宋体" w:hAnsi="宋体" w:cs="宋体"/>
                <w:b w:val="0"/>
                <w:color w:val="auto"/>
                <w:sz w:val="21"/>
                <w:highlight w:val="none"/>
              </w:rPr>
            </w:pPr>
            <w:bookmarkStart w:id="59" w:name="_Toc164680839"/>
            <w:bookmarkStart w:id="60" w:name="_Toc164680175"/>
            <w:bookmarkStart w:id="61" w:name="_Toc164680397"/>
            <w:bookmarkStart w:id="62" w:name="_Toc164680616"/>
            <w:bookmarkStart w:id="63" w:name="_Toc5167"/>
            <w:bookmarkStart w:id="64" w:name="_Toc24966"/>
            <w:r>
              <w:rPr>
                <w:rFonts w:hint="eastAsia" w:ascii="宋体" w:hAnsi="宋体" w:cs="宋体"/>
                <w:b w:val="0"/>
                <w:color w:val="auto"/>
                <w:sz w:val="21"/>
                <w:highlight w:val="none"/>
              </w:rPr>
              <w:t>1．★授权委托书；</w:t>
            </w:r>
            <w:bookmarkEnd w:id="59"/>
            <w:bookmarkEnd w:id="60"/>
            <w:bookmarkEnd w:id="61"/>
            <w:bookmarkEnd w:id="62"/>
            <w:bookmarkEnd w:id="63"/>
            <w:bookmarkEnd w:id="64"/>
          </w:p>
          <w:p w14:paraId="1BC89B76">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2．★投标函；</w:t>
            </w:r>
          </w:p>
          <w:p w14:paraId="7CA0677A">
            <w:pPr>
              <w:pStyle w:val="6"/>
              <w:spacing w:line="500" w:lineRule="exact"/>
              <w:ind w:firstLine="0" w:firstLineChars="0"/>
              <w:rPr>
                <w:rFonts w:hint="eastAsia" w:ascii="宋体" w:hAnsi="宋体" w:cs="宋体"/>
                <w:b w:val="0"/>
                <w:color w:val="auto"/>
                <w:sz w:val="21"/>
                <w:highlight w:val="none"/>
              </w:rPr>
            </w:pPr>
            <w:bookmarkStart w:id="65" w:name="_Toc164680176"/>
            <w:bookmarkStart w:id="66" w:name="_Toc164680840"/>
            <w:bookmarkStart w:id="67" w:name="_Toc26191"/>
            <w:bookmarkStart w:id="68" w:name="_Toc6158"/>
            <w:bookmarkStart w:id="69" w:name="_Toc164680398"/>
            <w:bookmarkStart w:id="70" w:name="_Toc164680617"/>
            <w:r>
              <w:rPr>
                <w:rFonts w:hint="eastAsia" w:ascii="宋体" w:hAnsi="宋体" w:cs="宋体"/>
                <w:b w:val="0"/>
                <w:color w:val="auto"/>
                <w:sz w:val="21"/>
                <w:highlight w:val="none"/>
              </w:rPr>
              <w:t>3．商务条款偏离表；</w:t>
            </w:r>
            <w:bookmarkEnd w:id="65"/>
            <w:bookmarkEnd w:id="66"/>
            <w:bookmarkEnd w:id="67"/>
            <w:bookmarkEnd w:id="68"/>
            <w:bookmarkEnd w:id="69"/>
            <w:bookmarkEnd w:id="70"/>
          </w:p>
          <w:p w14:paraId="68AFB651">
            <w:pPr>
              <w:pStyle w:val="6"/>
              <w:spacing w:line="500" w:lineRule="exact"/>
              <w:ind w:firstLine="0" w:firstLineChars="0"/>
              <w:rPr>
                <w:rFonts w:hint="eastAsia" w:ascii="宋体" w:hAnsi="宋体" w:cs="宋体"/>
                <w:b w:val="0"/>
                <w:color w:val="auto"/>
                <w:sz w:val="21"/>
                <w:highlight w:val="none"/>
              </w:rPr>
            </w:pPr>
            <w:bookmarkStart w:id="71" w:name="_Toc164680178"/>
            <w:bookmarkStart w:id="72" w:name="_Toc164680619"/>
            <w:bookmarkStart w:id="73" w:name="_Toc164680400"/>
            <w:bookmarkStart w:id="74" w:name="_Toc26415"/>
            <w:bookmarkStart w:id="75" w:name="_Toc13418"/>
            <w:bookmarkStart w:id="76" w:name="_Toc164680842"/>
            <w:r>
              <w:rPr>
                <w:rFonts w:hint="eastAsia" w:ascii="宋体" w:hAnsi="宋体" w:cs="宋体"/>
                <w:b w:val="0"/>
                <w:color w:val="auto"/>
                <w:sz w:val="21"/>
                <w:highlight w:val="none"/>
                <w:lang w:val="en-US" w:eastAsia="zh-CN"/>
              </w:rPr>
              <w:t>4</w:t>
            </w:r>
            <w:r>
              <w:rPr>
                <w:rFonts w:hint="eastAsia" w:ascii="宋体" w:hAnsi="宋体" w:cs="宋体"/>
                <w:b w:val="0"/>
                <w:color w:val="auto"/>
                <w:sz w:val="21"/>
                <w:highlight w:val="none"/>
              </w:rPr>
              <w:t>．相关证书；</w:t>
            </w:r>
            <w:bookmarkEnd w:id="71"/>
            <w:bookmarkEnd w:id="72"/>
            <w:bookmarkEnd w:id="73"/>
            <w:bookmarkEnd w:id="74"/>
            <w:bookmarkEnd w:id="75"/>
            <w:bookmarkEnd w:id="76"/>
          </w:p>
          <w:p w14:paraId="60563DF5">
            <w:pPr>
              <w:pStyle w:val="6"/>
              <w:spacing w:line="500" w:lineRule="exact"/>
              <w:ind w:firstLine="0" w:firstLineChars="0"/>
              <w:rPr>
                <w:rFonts w:hint="eastAsia" w:ascii="宋体" w:hAnsi="宋体" w:cs="宋体"/>
                <w:b w:val="0"/>
                <w:color w:val="auto"/>
                <w:sz w:val="21"/>
                <w:highlight w:val="none"/>
              </w:rPr>
            </w:pPr>
            <w:bookmarkStart w:id="77" w:name="_Toc164680620"/>
            <w:bookmarkStart w:id="78" w:name="_Toc164680401"/>
            <w:bookmarkStart w:id="79" w:name="_Toc164680843"/>
            <w:bookmarkStart w:id="80" w:name="_Toc10446"/>
            <w:bookmarkStart w:id="81" w:name="_Toc164680179"/>
            <w:bookmarkStart w:id="82" w:name="_Toc32256"/>
            <w:r>
              <w:rPr>
                <w:rFonts w:hint="eastAsia" w:ascii="宋体" w:hAnsi="宋体" w:cs="宋体"/>
                <w:b w:val="0"/>
                <w:color w:val="auto"/>
                <w:sz w:val="21"/>
                <w:highlight w:val="none"/>
                <w:lang w:val="en-US" w:eastAsia="zh-CN"/>
              </w:rPr>
              <w:t>5</w:t>
            </w:r>
            <w:r>
              <w:rPr>
                <w:rFonts w:hint="eastAsia" w:ascii="宋体" w:hAnsi="宋体" w:cs="宋体"/>
                <w:b w:val="0"/>
                <w:color w:val="auto"/>
                <w:sz w:val="21"/>
                <w:highlight w:val="none"/>
              </w:rPr>
              <w:t>．成功案例一览表；</w:t>
            </w:r>
            <w:bookmarkEnd w:id="77"/>
            <w:bookmarkEnd w:id="78"/>
            <w:bookmarkEnd w:id="79"/>
            <w:bookmarkEnd w:id="80"/>
            <w:bookmarkEnd w:id="81"/>
            <w:bookmarkEnd w:id="82"/>
          </w:p>
          <w:p w14:paraId="054DB89C">
            <w:pPr>
              <w:pStyle w:val="6"/>
              <w:spacing w:line="500" w:lineRule="exact"/>
              <w:ind w:firstLine="0" w:firstLineChars="0"/>
              <w:rPr>
                <w:rFonts w:hint="eastAsia" w:ascii="宋体" w:hAnsi="宋体" w:cs="宋体"/>
                <w:b w:val="0"/>
                <w:color w:val="auto"/>
                <w:sz w:val="21"/>
                <w:highlight w:val="none"/>
              </w:rPr>
            </w:pPr>
            <w:bookmarkStart w:id="83" w:name="_Toc5223"/>
            <w:bookmarkStart w:id="84" w:name="_Toc164680180"/>
            <w:bookmarkStart w:id="85" w:name="_Toc6175"/>
            <w:bookmarkStart w:id="86" w:name="_Toc164680621"/>
            <w:bookmarkStart w:id="87" w:name="_Toc164680402"/>
            <w:bookmarkStart w:id="88" w:name="_Toc164680844"/>
            <w:r>
              <w:rPr>
                <w:rFonts w:hint="eastAsia" w:ascii="宋体" w:hAnsi="宋体" w:cs="宋体"/>
                <w:b w:val="0"/>
                <w:color w:val="auto"/>
                <w:sz w:val="21"/>
                <w:highlight w:val="none"/>
                <w:lang w:val="en-US" w:eastAsia="zh-CN"/>
              </w:rPr>
              <w:t>6</w:t>
            </w:r>
            <w:r>
              <w:rPr>
                <w:rFonts w:hint="eastAsia" w:ascii="宋体" w:hAnsi="宋体" w:cs="宋体"/>
                <w:b w:val="0"/>
                <w:color w:val="auto"/>
                <w:sz w:val="21"/>
                <w:highlight w:val="none"/>
              </w:rPr>
              <w:t>．服务团队；</w:t>
            </w:r>
            <w:bookmarkEnd w:id="83"/>
            <w:bookmarkEnd w:id="84"/>
            <w:bookmarkEnd w:id="85"/>
            <w:bookmarkEnd w:id="86"/>
            <w:bookmarkEnd w:id="87"/>
            <w:bookmarkEnd w:id="88"/>
          </w:p>
          <w:p w14:paraId="2A670A1A">
            <w:pPr>
              <w:pStyle w:val="6"/>
              <w:spacing w:line="500" w:lineRule="exact"/>
              <w:ind w:firstLine="0" w:firstLineChars="0"/>
              <w:rPr>
                <w:rFonts w:hint="eastAsia" w:ascii="宋体" w:hAnsi="宋体" w:cs="宋体"/>
                <w:b w:val="0"/>
                <w:color w:val="auto"/>
                <w:sz w:val="21"/>
                <w:highlight w:val="none"/>
              </w:rPr>
            </w:pPr>
            <w:bookmarkStart w:id="89" w:name="_Toc6587"/>
            <w:bookmarkStart w:id="90" w:name="_Toc164680181"/>
            <w:bookmarkStart w:id="91" w:name="_Toc164680622"/>
            <w:bookmarkStart w:id="92" w:name="_Toc24891"/>
            <w:bookmarkStart w:id="93" w:name="_Toc164680403"/>
            <w:bookmarkStart w:id="94" w:name="_Toc164680845"/>
            <w:r>
              <w:rPr>
                <w:rFonts w:hint="eastAsia" w:ascii="宋体" w:hAnsi="宋体" w:cs="宋体"/>
                <w:b w:val="0"/>
                <w:color w:val="auto"/>
                <w:sz w:val="21"/>
                <w:highlight w:val="none"/>
                <w:lang w:val="en-US" w:eastAsia="zh-CN"/>
              </w:rPr>
              <w:t>7</w:t>
            </w:r>
            <w:r>
              <w:rPr>
                <w:rFonts w:hint="eastAsia" w:ascii="宋体" w:hAnsi="宋体" w:cs="宋体"/>
                <w:b w:val="0"/>
                <w:color w:val="auto"/>
                <w:sz w:val="21"/>
                <w:highlight w:val="none"/>
              </w:rPr>
              <w:t>．其他资料；</w:t>
            </w:r>
            <w:bookmarkEnd w:id="89"/>
            <w:bookmarkEnd w:id="90"/>
            <w:bookmarkEnd w:id="91"/>
            <w:bookmarkEnd w:id="92"/>
            <w:bookmarkEnd w:id="93"/>
            <w:bookmarkEnd w:id="94"/>
          </w:p>
          <w:p w14:paraId="024AFD46">
            <w:pPr>
              <w:spacing w:line="5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．__</w:t>
            </w:r>
            <w:r>
              <w:rPr>
                <w:rFonts w:hint="eastAsia" w:ascii="宋体" w:hAnsi="宋体" w:cs="宋体"/>
                <w:color w:val="auto"/>
                <w:szCs w:val="21"/>
                <w:highlight w:val="none"/>
                <w:u w:val="single"/>
              </w:rPr>
              <w:t>/</w:t>
            </w:r>
            <w:r>
              <w:rPr>
                <w:rFonts w:hint="eastAsia" w:ascii="宋体" w:hAnsi="宋体" w:cs="宋体"/>
                <w:color w:val="auto"/>
                <w:szCs w:val="21"/>
                <w:highlight w:val="none"/>
              </w:rPr>
              <w:t>__。</w:t>
            </w:r>
          </w:p>
        </w:tc>
      </w:tr>
      <w:tr w14:paraId="75A37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noWrap w:val="0"/>
            <w:vAlign w:val="center"/>
          </w:tcPr>
          <w:p w14:paraId="137DE90C">
            <w:pPr>
              <w:adjustRightInd w:val="0"/>
              <w:snapToGrid w:val="0"/>
              <w:spacing w:line="500" w:lineRule="exact"/>
              <w:jc w:val="center"/>
              <w:rPr>
                <w:rFonts w:hint="eastAsia" w:ascii="宋体" w:hAnsi="宋体" w:cs="宋体"/>
                <w:color w:val="auto"/>
                <w:szCs w:val="21"/>
                <w:highlight w:val="none"/>
              </w:rPr>
            </w:pPr>
          </w:p>
        </w:tc>
        <w:tc>
          <w:tcPr>
            <w:tcW w:w="1671" w:type="dxa"/>
            <w:vMerge w:val="continue"/>
            <w:noWrap w:val="0"/>
            <w:vAlign w:val="center"/>
          </w:tcPr>
          <w:p w14:paraId="230344F6">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709" w:type="dxa"/>
            <w:noWrap w:val="0"/>
            <w:vAlign w:val="center"/>
          </w:tcPr>
          <w:p w14:paraId="1B096A41">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w:t>
            </w:r>
          </w:p>
        </w:tc>
        <w:tc>
          <w:tcPr>
            <w:tcW w:w="5977" w:type="dxa"/>
            <w:noWrap w:val="0"/>
            <w:vAlign w:val="center"/>
          </w:tcPr>
          <w:p w14:paraId="53843518">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一、服务响应与偏离表</w:t>
            </w:r>
          </w:p>
          <w:p w14:paraId="4B5210BE">
            <w:pPr>
              <w:spacing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lang w:val="en-US" w:eastAsia="zh-CN"/>
              </w:rPr>
              <w:t>技术和服务水平</w:t>
            </w:r>
          </w:p>
          <w:p w14:paraId="4FA77604">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1.项目需求理解</w:t>
            </w:r>
          </w:p>
          <w:p w14:paraId="3790FCE4">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服务方案</w:t>
            </w:r>
          </w:p>
          <w:p w14:paraId="3E381B1E">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.安全保密方案</w:t>
            </w:r>
          </w:p>
          <w:p w14:paraId="39003D14">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验收方案</w:t>
            </w:r>
          </w:p>
          <w:p w14:paraId="65C3C184">
            <w:pPr>
              <w:spacing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5.保密方案</w:t>
            </w:r>
          </w:p>
          <w:p w14:paraId="48DBD14C">
            <w:pPr>
              <w:spacing w:line="500" w:lineRule="exact"/>
              <w:rPr>
                <w:rFonts w:hint="eastAsia" w:eastAsia="宋体"/>
                <w:color w:val="auto"/>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其他</w:t>
            </w:r>
            <w:r>
              <w:rPr>
                <w:rFonts w:hint="eastAsia" w:ascii="宋体" w:hAnsi="宋体" w:eastAsia="宋体" w:cs="宋体"/>
                <w:color w:val="auto"/>
                <w:szCs w:val="21"/>
                <w:highlight w:val="none"/>
              </w:rPr>
              <w:t>资料</w:t>
            </w:r>
          </w:p>
        </w:tc>
      </w:tr>
      <w:tr w14:paraId="2B10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noWrap w:val="0"/>
            <w:vAlign w:val="center"/>
          </w:tcPr>
          <w:p w14:paraId="5A936D07">
            <w:pPr>
              <w:adjustRightInd w:val="0"/>
              <w:snapToGrid w:val="0"/>
              <w:spacing w:line="500" w:lineRule="exact"/>
              <w:jc w:val="center"/>
              <w:rPr>
                <w:rFonts w:hint="eastAsia" w:ascii="宋体" w:hAnsi="宋体" w:cs="宋体"/>
                <w:b/>
                <w:color w:val="auto"/>
                <w:szCs w:val="21"/>
                <w:highlight w:val="none"/>
              </w:rPr>
            </w:pPr>
          </w:p>
        </w:tc>
        <w:tc>
          <w:tcPr>
            <w:tcW w:w="1671" w:type="dxa"/>
            <w:vMerge w:val="continue"/>
            <w:noWrap w:val="0"/>
            <w:vAlign w:val="center"/>
          </w:tcPr>
          <w:p w14:paraId="43ED24CF">
            <w:pPr>
              <w:topLinePunct/>
              <w:autoSpaceDE w:val="0"/>
              <w:autoSpaceDN w:val="0"/>
              <w:adjustRightInd w:val="0"/>
              <w:snapToGrid w:val="0"/>
              <w:spacing w:line="500" w:lineRule="exact"/>
              <w:jc w:val="center"/>
              <w:rPr>
                <w:rFonts w:hint="eastAsia" w:ascii="宋体" w:hAnsi="宋体" w:cs="宋体"/>
                <w:b/>
                <w:color w:val="auto"/>
                <w:szCs w:val="21"/>
                <w:highlight w:val="none"/>
              </w:rPr>
            </w:pPr>
          </w:p>
        </w:tc>
        <w:tc>
          <w:tcPr>
            <w:tcW w:w="6686" w:type="dxa"/>
            <w:gridSpan w:val="2"/>
            <w:noWrap w:val="0"/>
            <w:vAlign w:val="center"/>
          </w:tcPr>
          <w:p w14:paraId="03EBCF17">
            <w:pPr>
              <w:adjustRightInd w:val="0"/>
              <w:snapToGrid w:val="0"/>
              <w:spacing w:line="500" w:lineRule="exact"/>
              <w:jc w:val="left"/>
              <w:rPr>
                <w:rFonts w:hint="eastAsia" w:ascii="宋体" w:hAnsi="宋体" w:cs="宋体"/>
                <w:b/>
                <w:color w:val="auto"/>
                <w:szCs w:val="21"/>
                <w:highlight w:val="none"/>
              </w:rPr>
            </w:pPr>
            <w:r>
              <w:rPr>
                <w:rFonts w:hint="eastAsia" w:ascii="宋体" w:hAnsi="宋体" w:cs="宋体"/>
                <w:b/>
                <w:color w:val="auto"/>
                <w:szCs w:val="21"/>
                <w:highlight w:val="none"/>
              </w:rPr>
              <w:t>1．以上带★的文件及资料未提供或提供的无效，则视为无效投标。</w:t>
            </w:r>
          </w:p>
          <w:p w14:paraId="0B573018">
            <w:pPr>
              <w:topLinePunct/>
              <w:autoSpaceDE w:val="0"/>
              <w:autoSpaceDN w:val="0"/>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2．__</w:t>
            </w:r>
            <w:r>
              <w:rPr>
                <w:rFonts w:hint="eastAsia" w:ascii="宋体" w:hAnsi="宋体" w:cs="宋体"/>
                <w:color w:val="auto"/>
                <w:szCs w:val="21"/>
                <w:highlight w:val="none"/>
                <w:u w:val="single"/>
              </w:rPr>
              <w:t>/</w:t>
            </w:r>
            <w:r>
              <w:rPr>
                <w:rFonts w:hint="eastAsia" w:ascii="宋体" w:hAnsi="宋体" w:cs="宋体"/>
                <w:color w:val="auto"/>
                <w:szCs w:val="21"/>
                <w:highlight w:val="none"/>
              </w:rPr>
              <w:t>__。</w:t>
            </w:r>
          </w:p>
        </w:tc>
      </w:tr>
      <w:tr w14:paraId="743C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46F71F42">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17</w:t>
            </w:r>
          </w:p>
        </w:tc>
        <w:tc>
          <w:tcPr>
            <w:tcW w:w="1671" w:type="dxa"/>
            <w:noWrap w:val="0"/>
            <w:vAlign w:val="center"/>
          </w:tcPr>
          <w:p w14:paraId="3A2D802B">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6686" w:type="dxa"/>
            <w:gridSpan w:val="2"/>
            <w:noWrap w:val="0"/>
            <w:vAlign w:val="center"/>
          </w:tcPr>
          <w:p w14:paraId="479C9BED">
            <w:pPr>
              <w:topLinePunct/>
              <w:autoSpaceDE w:val="0"/>
              <w:autoSpaceDN w:val="0"/>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从提交投标文件的截止之日起计算</w:t>
            </w:r>
            <w:r>
              <w:rPr>
                <w:rFonts w:hint="eastAsia" w:ascii="宋体" w:hAnsi="宋体" w:cs="宋体"/>
                <w:color w:val="auto"/>
                <w:szCs w:val="21"/>
                <w:highlight w:val="none"/>
                <w:u w:val="single"/>
              </w:rPr>
              <w:t>90</w:t>
            </w:r>
            <w:r>
              <w:rPr>
                <w:rFonts w:hint="eastAsia" w:ascii="宋体" w:hAnsi="宋体" w:cs="宋体"/>
                <w:color w:val="auto"/>
                <w:szCs w:val="21"/>
                <w:highlight w:val="none"/>
              </w:rPr>
              <w:t>日历日。</w:t>
            </w:r>
          </w:p>
        </w:tc>
      </w:tr>
      <w:tr w14:paraId="4FF8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2DFF275">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18</w:t>
            </w:r>
          </w:p>
        </w:tc>
        <w:tc>
          <w:tcPr>
            <w:tcW w:w="1671" w:type="dxa"/>
            <w:noWrap w:val="0"/>
            <w:vAlign w:val="center"/>
          </w:tcPr>
          <w:p w14:paraId="78B204B8">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提交投标文件方式、截止时间、开标时间、地点</w:t>
            </w:r>
          </w:p>
        </w:tc>
        <w:tc>
          <w:tcPr>
            <w:tcW w:w="6686" w:type="dxa"/>
            <w:gridSpan w:val="2"/>
            <w:noWrap w:val="0"/>
            <w:vAlign w:val="center"/>
          </w:tcPr>
          <w:p w14:paraId="38714294">
            <w:pPr>
              <w:topLinePunct/>
              <w:autoSpaceDE w:val="0"/>
              <w:autoSpaceDN w:val="0"/>
              <w:adjustRightInd w:val="0"/>
              <w:snapToGrid w:val="0"/>
              <w:spacing w:line="500" w:lineRule="exact"/>
              <w:rPr>
                <w:rFonts w:hint="eastAsia" w:ascii="宋体" w:hAnsi="宋体" w:cs="宋体"/>
                <w:b/>
                <w:color w:val="auto"/>
                <w:szCs w:val="21"/>
                <w:highlight w:val="none"/>
              </w:rPr>
            </w:pPr>
            <w:r>
              <w:rPr>
                <w:rFonts w:hint="eastAsia" w:ascii="宋体" w:hAnsi="宋体" w:cs="宋体"/>
                <w:b/>
                <w:color w:val="auto"/>
                <w:szCs w:val="21"/>
                <w:highlight w:val="none"/>
              </w:rPr>
              <w:t>提交方式：</w:t>
            </w:r>
            <w:r>
              <w:rPr>
                <w:rFonts w:hint="eastAsia" w:ascii="宋体" w:hAnsi="宋体" w:cs="宋体"/>
                <w:bCs/>
                <w:color w:val="auto"/>
                <w:szCs w:val="21"/>
                <w:highlight w:val="none"/>
                <w:u w:val="single"/>
              </w:rPr>
              <w:t>（纸质文件提交）</w:t>
            </w:r>
          </w:p>
          <w:p w14:paraId="7192DCD3">
            <w:pPr>
              <w:topLinePunct/>
              <w:autoSpaceDE w:val="0"/>
              <w:autoSpaceDN w:val="0"/>
              <w:adjustRightInd w:val="0"/>
              <w:snapToGrid w:val="0"/>
              <w:spacing w:line="500" w:lineRule="exact"/>
              <w:rPr>
                <w:rFonts w:hint="eastAsia" w:ascii="宋体" w:hAnsi="宋体" w:cs="宋体"/>
                <w:color w:val="auto"/>
                <w:szCs w:val="21"/>
                <w:highlight w:val="none"/>
              </w:rPr>
            </w:pPr>
            <w:r>
              <w:rPr>
                <w:rFonts w:hint="eastAsia" w:ascii="宋体" w:hAnsi="宋体" w:cs="宋体"/>
                <w:b/>
                <w:color w:val="auto"/>
                <w:szCs w:val="21"/>
                <w:highlight w:val="none"/>
              </w:rPr>
              <w:t>投标截止时间和开标时间：</w:t>
            </w:r>
            <w:r>
              <w:rPr>
                <w:rFonts w:hint="eastAsia" w:ascii="宋体" w:hAnsi="宋体" w:cs="宋体"/>
                <w:color w:val="auto"/>
                <w:szCs w:val="21"/>
                <w:highlight w:val="none"/>
                <w:u w:val="single"/>
                <w:lang w:eastAsia="zh-CN"/>
              </w:rPr>
              <w:t>2026年</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lang w:eastAsia="zh-CN"/>
              </w:rPr>
              <w:t>月</w:t>
            </w:r>
            <w:r>
              <w:rPr>
                <w:rFonts w:hint="eastAsia" w:ascii="宋体" w:hAnsi="宋体" w:cs="宋体"/>
                <w:color w:val="auto"/>
                <w:szCs w:val="21"/>
                <w:highlight w:val="none"/>
                <w:u w:val="single"/>
                <w:lang w:val="en-US" w:eastAsia="zh-CN"/>
              </w:rPr>
              <w:t>09</w:t>
            </w:r>
            <w:r>
              <w:rPr>
                <w:rFonts w:hint="eastAsia" w:ascii="宋体" w:hAnsi="宋体" w:cs="宋体"/>
                <w:color w:val="auto"/>
                <w:szCs w:val="21"/>
                <w:highlight w:val="none"/>
                <w:u w:val="single"/>
                <w:lang w:eastAsia="zh-CN"/>
              </w:rPr>
              <w:t>日09时30分</w:t>
            </w:r>
            <w:r>
              <w:rPr>
                <w:rFonts w:hint="eastAsia" w:ascii="宋体" w:hAnsi="宋体" w:cs="宋体"/>
                <w:color w:val="auto"/>
                <w:szCs w:val="21"/>
                <w:highlight w:val="none"/>
              </w:rPr>
              <w:t>（北京时间）</w:t>
            </w:r>
          </w:p>
          <w:p w14:paraId="5772A738">
            <w:pPr>
              <w:topLinePunct/>
              <w:autoSpaceDE w:val="0"/>
              <w:autoSpaceDN w:val="0"/>
              <w:adjustRightInd w:val="0"/>
              <w:snapToGrid w:val="0"/>
              <w:spacing w:line="500" w:lineRule="exact"/>
              <w:rPr>
                <w:rFonts w:hint="eastAsia" w:ascii="宋体" w:hAnsi="宋体" w:cs="宋体"/>
                <w:color w:val="auto"/>
                <w:szCs w:val="21"/>
                <w:highlight w:val="none"/>
              </w:rPr>
            </w:pPr>
            <w:r>
              <w:rPr>
                <w:rFonts w:hint="eastAsia" w:ascii="宋体" w:hAnsi="宋体" w:cs="宋体"/>
                <w:b/>
                <w:color w:val="auto"/>
                <w:szCs w:val="21"/>
                <w:highlight w:val="none"/>
              </w:rPr>
              <w:t>开标方式：</w:t>
            </w:r>
            <w:r>
              <w:rPr>
                <w:rFonts w:hint="eastAsia" w:ascii="宋体" w:hAnsi="宋体" w:cs="宋体"/>
                <w:bCs/>
                <w:color w:val="auto"/>
                <w:szCs w:val="21"/>
                <w:highlight w:val="none"/>
                <w:u w:val="single"/>
              </w:rPr>
              <w:t>（线下开标）</w:t>
            </w:r>
          </w:p>
          <w:p w14:paraId="141E170C">
            <w:pPr>
              <w:topLinePunct/>
              <w:autoSpaceDE w:val="0"/>
              <w:autoSpaceDN w:val="0"/>
              <w:adjustRightInd w:val="0"/>
              <w:snapToGrid w:val="0"/>
              <w:spacing w:line="500" w:lineRule="exact"/>
              <w:rPr>
                <w:rFonts w:hint="eastAsia" w:ascii="宋体" w:hAnsi="宋体" w:cs="宋体"/>
                <w:b/>
                <w:color w:val="auto"/>
                <w:szCs w:val="21"/>
                <w:highlight w:val="none"/>
              </w:rPr>
            </w:pPr>
            <w:r>
              <w:rPr>
                <w:rFonts w:hint="eastAsia" w:ascii="宋体" w:hAnsi="宋体" w:cs="宋体"/>
                <w:b/>
                <w:color w:val="auto"/>
                <w:szCs w:val="21"/>
                <w:highlight w:val="none"/>
              </w:rPr>
              <w:t>提交投标文件地点：</w:t>
            </w:r>
            <w:r>
              <w:rPr>
                <w:rFonts w:hint="eastAsia" w:ascii="宋体" w:hAnsi="宋体" w:cs="宋体"/>
                <w:bCs/>
                <w:color w:val="auto"/>
                <w:szCs w:val="21"/>
                <w:highlight w:val="none"/>
                <w:u w:val="single"/>
                <w:lang w:eastAsia="zh-CN"/>
              </w:rPr>
              <w:t>公诚管理咨询有限公司开标室（甘肃省兰州市城关区雁兴路农垦总部经济大厦2#楼（雁兴路19号）20层2001-2003室）</w:t>
            </w:r>
          </w:p>
          <w:p w14:paraId="1AE06BB1">
            <w:pPr>
              <w:topLinePunct/>
              <w:autoSpaceDE w:val="0"/>
              <w:autoSpaceDN w:val="0"/>
              <w:adjustRightInd w:val="0"/>
              <w:snapToGrid w:val="0"/>
              <w:spacing w:line="500" w:lineRule="exact"/>
              <w:rPr>
                <w:rFonts w:hint="eastAsia" w:ascii="宋体" w:hAnsi="宋体" w:cs="宋体"/>
                <w:b/>
                <w:color w:val="auto"/>
                <w:szCs w:val="21"/>
                <w:highlight w:val="none"/>
              </w:rPr>
            </w:pPr>
            <w:r>
              <w:rPr>
                <w:rFonts w:hint="eastAsia" w:ascii="宋体" w:hAnsi="宋体" w:cs="宋体"/>
                <w:b/>
                <w:color w:val="auto"/>
                <w:szCs w:val="21"/>
                <w:highlight w:val="none"/>
              </w:rPr>
              <w:t>开标地点：</w:t>
            </w:r>
            <w:r>
              <w:rPr>
                <w:rFonts w:hint="eastAsia" w:ascii="宋体" w:hAnsi="宋体" w:cs="宋体"/>
                <w:bCs/>
                <w:color w:val="auto"/>
                <w:szCs w:val="21"/>
                <w:highlight w:val="none"/>
                <w:u w:val="single"/>
                <w:lang w:eastAsia="zh-CN"/>
              </w:rPr>
              <w:t>公诚管理咨询有限公司开标室（甘肃省兰州市城关区雁兴路农垦总部经济大厦2#楼（雁兴路19号）20层2001-2003室）</w:t>
            </w:r>
            <w:r>
              <w:rPr>
                <w:rFonts w:hint="eastAsia" w:ascii="宋体" w:hAnsi="宋体" w:cs="宋体"/>
                <w:bCs/>
                <w:color w:val="auto"/>
                <w:szCs w:val="21"/>
                <w:highlight w:val="none"/>
                <w:u w:val="single"/>
              </w:rPr>
              <w:t xml:space="preserve"> </w:t>
            </w:r>
          </w:p>
          <w:p w14:paraId="3BF732C3">
            <w:pPr>
              <w:topLinePunct/>
              <w:autoSpaceDE w:val="0"/>
              <w:autoSpaceDN w:val="0"/>
              <w:adjustRightInd w:val="0"/>
              <w:snapToGrid w:val="0"/>
              <w:spacing w:line="500" w:lineRule="exact"/>
              <w:jc w:val="left"/>
              <w:rPr>
                <w:rFonts w:ascii="宋体" w:hAnsi="宋体" w:cs="宋体"/>
                <w:b/>
                <w:color w:val="auto"/>
                <w:szCs w:val="21"/>
                <w:highlight w:val="none"/>
              </w:rPr>
            </w:pPr>
            <w:r>
              <w:rPr>
                <w:rFonts w:hint="eastAsia" w:ascii="宋体" w:hAnsi="宋体" w:cs="宋体"/>
                <w:b/>
                <w:color w:val="auto"/>
                <w:szCs w:val="21"/>
                <w:highlight w:val="none"/>
              </w:rPr>
              <w:t>联系电话：</w:t>
            </w:r>
            <w:r>
              <w:rPr>
                <w:rFonts w:hint="eastAsia" w:ascii="宋体" w:hAnsi="宋体"/>
                <w:color w:val="auto"/>
                <w:szCs w:val="21"/>
                <w:u w:val="single"/>
                <w:lang w:val="en-US" w:eastAsia="zh-CN"/>
              </w:rPr>
              <w:t>18293474453</w:t>
            </w:r>
          </w:p>
        </w:tc>
      </w:tr>
      <w:tr w14:paraId="589E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40C562E8">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1671" w:type="dxa"/>
            <w:noWrap w:val="0"/>
            <w:vAlign w:val="center"/>
          </w:tcPr>
          <w:p w14:paraId="190ADEEA">
            <w:pPr>
              <w:tabs>
                <w:tab w:val="left" w:pos="1875"/>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6686" w:type="dxa"/>
            <w:gridSpan w:val="2"/>
            <w:noWrap w:val="0"/>
            <w:vAlign w:val="center"/>
          </w:tcPr>
          <w:p w14:paraId="4B2FFD90">
            <w:pPr>
              <w:topLinePunct/>
              <w:autoSpaceDE w:val="0"/>
              <w:autoSpaceDN w:val="0"/>
              <w:adjustRightInd w:val="0"/>
              <w:snapToGrid w:val="0"/>
              <w:spacing w:line="500" w:lineRule="exact"/>
              <w:rPr>
                <w:rFonts w:hint="eastAsia" w:ascii="宋体" w:hAnsi="宋体" w:cs="宋体"/>
                <w:snapToGrid w:val="0"/>
                <w:color w:val="auto"/>
                <w:szCs w:val="21"/>
                <w:highlight w:val="none"/>
                <w:lang w:val="zh-CN"/>
              </w:rPr>
            </w:pPr>
            <w:r>
              <w:rPr>
                <w:rFonts w:hint="eastAsia" w:ascii="宋体" w:hAnsi="宋体" w:cs="宋体"/>
                <w:color w:val="auto"/>
                <w:szCs w:val="21"/>
                <w:highlight w:val="none"/>
              </w:rPr>
              <w:sym w:font="Wingdings 2" w:char="0052"/>
            </w:r>
            <w:r>
              <w:rPr>
                <w:rFonts w:hint="eastAsia" w:ascii="宋体" w:hAnsi="宋体" w:cs="宋体"/>
                <w:color w:val="auto"/>
                <w:szCs w:val="21"/>
                <w:highlight w:val="none"/>
              </w:rPr>
              <w:t>不要求提供</w:t>
            </w:r>
          </w:p>
          <w:p w14:paraId="4AC87FBB">
            <w:pPr>
              <w:topLinePunct/>
              <w:autoSpaceDE w:val="0"/>
              <w:autoSpaceDN w:val="0"/>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sym w:font="Wingdings 2" w:char="F0A3"/>
            </w:r>
            <w:r>
              <w:rPr>
                <w:rFonts w:hint="eastAsia" w:ascii="宋体" w:hAnsi="宋体" w:cs="宋体"/>
                <w:color w:val="auto"/>
                <w:szCs w:val="21"/>
                <w:highlight w:val="none"/>
              </w:rPr>
              <w:t>要求提供</w:t>
            </w:r>
          </w:p>
        </w:tc>
      </w:tr>
      <w:tr w14:paraId="73CFE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51719512">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20</w:t>
            </w:r>
          </w:p>
        </w:tc>
        <w:tc>
          <w:tcPr>
            <w:tcW w:w="1671" w:type="dxa"/>
            <w:noWrap w:val="0"/>
            <w:vAlign w:val="center"/>
          </w:tcPr>
          <w:p w14:paraId="486D4962">
            <w:pPr>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信用记录审查</w:t>
            </w:r>
          </w:p>
        </w:tc>
        <w:tc>
          <w:tcPr>
            <w:tcW w:w="6686" w:type="dxa"/>
            <w:gridSpan w:val="2"/>
            <w:noWrap w:val="0"/>
            <w:vAlign w:val="center"/>
          </w:tcPr>
          <w:p w14:paraId="14E534BE">
            <w:pPr>
              <w:topLinePunct/>
              <w:autoSpaceDE w:val="0"/>
              <w:autoSpaceDN w:val="0"/>
              <w:spacing w:line="500" w:lineRule="exact"/>
              <w:rPr>
                <w:rFonts w:hint="eastAsia" w:ascii="宋体" w:hAnsi="宋体" w:cs="宋体"/>
                <w:color w:val="auto"/>
                <w:szCs w:val="21"/>
                <w:highlight w:val="none"/>
              </w:rPr>
            </w:pPr>
            <w:r>
              <w:rPr>
                <w:rFonts w:hint="eastAsia" w:ascii="宋体" w:hAnsi="宋体" w:cs="宋体"/>
                <w:snapToGrid w:val="0"/>
                <w:color w:val="auto"/>
                <w:szCs w:val="21"/>
                <w:highlight w:val="none"/>
              </w:rPr>
              <w:t>☑</w:t>
            </w:r>
            <w:r>
              <w:rPr>
                <w:rFonts w:hint="eastAsia" w:ascii="宋体" w:hAnsi="宋体" w:cs="宋体"/>
                <w:color w:val="auto"/>
                <w:szCs w:val="21"/>
                <w:highlight w:val="none"/>
              </w:rPr>
              <w:t>根据《财政部关于在政府采购活动中查询及使用信用记录有关问题的通知》（财库〔2016〕125号）规定，开标结束后，采购人、采购代理机构将通过“信用中国”网站（www.creditchina.gov.cn）、中国政府采购网（</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"http://www.ccgp.gov.cn"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www.ccgp.gov.cn</w:t>
            </w:r>
            <w:r>
              <w:rPr>
                <w:rFonts w:hint="eastAsia" w:ascii="宋体" w:hAnsi="宋体" w:cs="宋体"/>
                <w:color w:val="auto"/>
                <w:szCs w:val="21"/>
                <w:highlight w:val="none"/>
              </w:rPr>
              <w:fldChar w:fldCharType="end"/>
            </w:r>
            <w:r>
              <w:rPr>
                <w:rFonts w:hint="eastAsia" w:ascii="宋体" w:hAnsi="宋体" w:cs="宋体"/>
                <w:color w:val="auto"/>
                <w:szCs w:val="21"/>
                <w:highlight w:val="none"/>
              </w:rPr>
              <w:t>），对投标人截止到投标截止时间的信用记录进行审查，对列入失信被执行人、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、政府采购严重违法失信行为记录名单及其他不符合《</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》第二十二条规定条件的投标人，其投标将被拒绝。（查询时间为本项目投标截止时间前一日或开标当日）</w:t>
            </w:r>
          </w:p>
          <w:p w14:paraId="776ECAD0">
            <w:pPr>
              <w:topLinePunct/>
              <w:autoSpaceDE w:val="0"/>
              <w:autoSpaceDN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lang w:eastAsia="zh-CN"/>
              </w:rPr>
              <w:t>□</w:t>
            </w:r>
            <w:r>
              <w:rPr>
                <w:rFonts w:hint="eastAsia" w:ascii="宋体" w:hAnsi="宋体" w:cs="宋体"/>
                <w:snapToGrid w:val="0"/>
                <w:color w:val="auto"/>
                <w:szCs w:val="21"/>
                <w:highlight w:val="none"/>
              </w:rPr>
              <w:t>投标人如实提供《无不良信用记录承诺》并加盖投标人公章且需提供“信用中国”网站（www.creditchina.gov.cn）、中国政府采购网（www.ccgp.gov.cn）查询相关主体信用记录装入投标文件中。（查询时间为招标公告发出之日起至本项目投标截止时间前）</w:t>
            </w:r>
          </w:p>
          <w:p w14:paraId="14959FE1">
            <w:pPr>
              <w:topLinePunct/>
              <w:autoSpaceDE w:val="0"/>
              <w:autoSpaceDN w:val="0"/>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t>本次查询的信用记录仅限于本项目使用，查询结果将留存在采购档案中。</w:t>
            </w:r>
          </w:p>
          <w:p w14:paraId="345B182C">
            <w:pPr>
              <w:topLinePunct/>
              <w:autoSpaceDE w:val="0"/>
              <w:autoSpaceDN w:val="0"/>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在上述指定网站不能查询信用信息的投标人，应提供相关证明材料（原件加盖公章）。</w:t>
            </w:r>
          </w:p>
        </w:tc>
      </w:tr>
      <w:tr w14:paraId="3677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5BB1C19F">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1671" w:type="dxa"/>
            <w:noWrap w:val="0"/>
            <w:vAlign w:val="center"/>
          </w:tcPr>
          <w:p w14:paraId="26062899">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支持中小型</w:t>
            </w:r>
          </w:p>
          <w:p w14:paraId="2948B11C">
            <w:pPr>
              <w:topLinePunct/>
              <w:autoSpaceDE w:val="0"/>
              <w:autoSpaceDN w:val="0"/>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企业发展</w:t>
            </w:r>
          </w:p>
        </w:tc>
        <w:tc>
          <w:tcPr>
            <w:tcW w:w="6686" w:type="dxa"/>
            <w:gridSpan w:val="2"/>
            <w:noWrap w:val="0"/>
            <w:vAlign w:val="center"/>
          </w:tcPr>
          <w:p w14:paraId="3456F0E7">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根据《政府采购促进中小型企业发展管理办法》（财库〔2020〕46号），鼓励中小企业参加本项目采购活动。</w:t>
            </w:r>
          </w:p>
          <w:p w14:paraId="357FBAF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在货物采购项目中，满足所有标的均由中小企业制造，即所有标的均由中小企业生产且使用该中小企业商号或者注册商标的，可享受中小企业扶持政策。</w:t>
            </w:r>
          </w:p>
          <w:p w14:paraId="5C5A503B">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在服务采购项目中，满足服务由中小企业承接，即提供服务的人员为中小企业依照《中华人民共和国劳动合同法》订立劳动合同的从业人员的，可享受中小企业扶持政策。</w:t>
            </w:r>
          </w:p>
          <w:p w14:paraId="1136AE4F">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w:t>
            </w:r>
          </w:p>
          <w:p w14:paraId="3EC889A7">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本项目专门面向中小企业采购项目。</w:t>
            </w:r>
          </w:p>
          <w:p w14:paraId="2987216B">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F0A3"/>
            </w:r>
            <w:r>
              <w:rPr>
                <w:rFonts w:hint="eastAsia" w:ascii="宋体" w:hAnsi="宋体" w:cs="宋体"/>
                <w:color w:val="auto"/>
                <w:szCs w:val="21"/>
                <w:highlight w:val="none"/>
              </w:rPr>
              <w:t>预留份额面向中小企业采购项目（说明：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B9135A9">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0052"/>
            </w:r>
            <w:r>
              <w:rPr>
                <w:rFonts w:hint="eastAsia" w:ascii="宋体" w:hAnsi="宋体" w:cs="宋体"/>
                <w:caps/>
                <w:snapToGrid w:val="0"/>
                <w:color w:val="auto"/>
                <w:szCs w:val="21"/>
                <w:highlight w:val="none"/>
              </w:rPr>
              <w:t>本项目</w:t>
            </w:r>
            <w:r>
              <w:rPr>
                <w:rFonts w:hint="eastAsia" w:ascii="宋体" w:hAnsi="宋体" w:cs="宋体"/>
                <w:color w:val="auto"/>
                <w:szCs w:val="21"/>
                <w:highlight w:val="none"/>
              </w:rPr>
              <w:t>非专门面向中小企业采购项目。对小型和微型企业的投标价格给予</w:t>
            </w:r>
            <w:r>
              <w:rPr>
                <w:rFonts w:hint="eastAsia" w:ascii="宋体" w:hAnsi="宋体" w:cs="宋体"/>
                <w:color w:val="auto"/>
                <w:szCs w:val="21"/>
                <w:highlight w:val="none"/>
                <w:u w:val="single"/>
              </w:rPr>
              <w:t>15</w:t>
            </w:r>
            <w:r>
              <w:rPr>
                <w:rFonts w:hint="eastAsia" w:ascii="宋体" w:hAnsi="宋体" w:cs="宋体"/>
                <w:color w:val="auto"/>
                <w:szCs w:val="21"/>
                <w:highlight w:val="none"/>
              </w:rPr>
              <w:t>%的扣除，用扣除后的价格参与评审。</w:t>
            </w:r>
          </w:p>
        </w:tc>
      </w:tr>
      <w:tr w14:paraId="5526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EAD17EC">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671" w:type="dxa"/>
            <w:noWrap w:val="0"/>
            <w:vAlign w:val="center"/>
          </w:tcPr>
          <w:p w14:paraId="2C01D031">
            <w:pPr>
              <w:topLinePunct/>
              <w:autoSpaceDE w:val="0"/>
              <w:autoSpaceDN w:val="0"/>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支持监狱企业发展</w:t>
            </w:r>
          </w:p>
        </w:tc>
        <w:tc>
          <w:tcPr>
            <w:tcW w:w="6686" w:type="dxa"/>
            <w:gridSpan w:val="2"/>
            <w:noWrap w:val="0"/>
            <w:vAlign w:val="center"/>
          </w:tcPr>
          <w:p w14:paraId="124A1899">
            <w:pPr>
              <w:adjustRightInd w:val="0"/>
              <w:snapToGrid w:val="0"/>
              <w:spacing w:line="500" w:lineRule="exact"/>
              <w:jc w:val="left"/>
              <w:rPr>
                <w:rFonts w:hint="eastAsia" w:ascii="宋体" w:hAnsi="宋体" w:cs="宋体"/>
                <w:b/>
                <w:color w:val="auto"/>
                <w:szCs w:val="21"/>
                <w:highlight w:val="none"/>
              </w:rPr>
            </w:pPr>
            <w:r>
              <w:rPr>
                <w:rFonts w:hint="eastAsia" w:ascii="宋体" w:hAnsi="宋体" w:cs="宋体"/>
                <w:color w:val="auto"/>
                <w:szCs w:val="21"/>
                <w:highlight w:val="none"/>
              </w:rPr>
              <w:t>根据《关于政府采购支持监狱企业发展有关问题的通知》（财库〔2014〕68号），监狱企业视同小型、微型企业，按照</w:t>
            </w:r>
            <w:r>
              <w:rPr>
                <w:rFonts w:hint="eastAsia" w:ascii="宋体" w:hAnsi="宋体" w:cs="宋体"/>
                <w:b/>
                <w:bCs/>
                <w:color w:val="auto"/>
                <w:szCs w:val="21"/>
                <w:highlight w:val="none"/>
              </w:rPr>
              <w:t>投标人须知前附表第21项</w:t>
            </w:r>
            <w:r>
              <w:rPr>
                <w:rFonts w:hint="eastAsia" w:ascii="宋体" w:hAnsi="宋体" w:cs="宋体"/>
                <w:color w:val="auto"/>
                <w:szCs w:val="21"/>
                <w:highlight w:val="none"/>
              </w:rPr>
              <w:t>享受价格扣除政策。</w:t>
            </w:r>
          </w:p>
        </w:tc>
      </w:tr>
      <w:tr w14:paraId="069BC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9955A03">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23</w:t>
            </w:r>
          </w:p>
        </w:tc>
        <w:tc>
          <w:tcPr>
            <w:tcW w:w="1671" w:type="dxa"/>
            <w:noWrap w:val="0"/>
            <w:vAlign w:val="center"/>
          </w:tcPr>
          <w:p w14:paraId="29BD1B24">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促进残疾人</w:t>
            </w:r>
          </w:p>
          <w:p w14:paraId="5CEFF3BF">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就业</w:t>
            </w:r>
          </w:p>
        </w:tc>
        <w:tc>
          <w:tcPr>
            <w:tcW w:w="6686" w:type="dxa"/>
            <w:gridSpan w:val="2"/>
            <w:noWrap w:val="0"/>
            <w:vAlign w:val="center"/>
          </w:tcPr>
          <w:p w14:paraId="74215B23">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根据《关于促进残疾人就业政府采购政策的通知》（财库〔2017〕141号），残疾人福利性单位视同小型、微型企业，按照</w:t>
            </w:r>
            <w:r>
              <w:rPr>
                <w:rFonts w:hint="eastAsia" w:ascii="宋体" w:hAnsi="宋体" w:cs="宋体"/>
                <w:b/>
                <w:bCs/>
                <w:color w:val="auto"/>
                <w:szCs w:val="21"/>
                <w:highlight w:val="none"/>
              </w:rPr>
              <w:t>投标人须知前附表第21项</w:t>
            </w:r>
            <w:r>
              <w:rPr>
                <w:rFonts w:hint="eastAsia" w:ascii="宋体" w:hAnsi="宋体" w:cs="宋体"/>
                <w:color w:val="auto"/>
                <w:szCs w:val="21"/>
                <w:highlight w:val="none"/>
              </w:rPr>
              <w:t>享受价格扣除政策。</w:t>
            </w:r>
          </w:p>
        </w:tc>
      </w:tr>
      <w:tr w14:paraId="5569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restart"/>
            <w:noWrap w:val="0"/>
            <w:vAlign w:val="center"/>
          </w:tcPr>
          <w:p w14:paraId="30C608C8">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24</w:t>
            </w:r>
          </w:p>
        </w:tc>
        <w:tc>
          <w:tcPr>
            <w:tcW w:w="1671" w:type="dxa"/>
            <w:vMerge w:val="restart"/>
            <w:noWrap w:val="0"/>
            <w:vAlign w:val="center"/>
          </w:tcPr>
          <w:p w14:paraId="44C61969">
            <w:pPr>
              <w:topLinePunct/>
              <w:autoSpaceDE w:val="0"/>
              <w:autoSpaceDN w:val="0"/>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其他法律法规强制性规定或扶持政策</w:t>
            </w:r>
          </w:p>
        </w:tc>
        <w:tc>
          <w:tcPr>
            <w:tcW w:w="6686" w:type="dxa"/>
            <w:gridSpan w:val="2"/>
            <w:noWrap w:val="0"/>
            <w:vAlign w:val="center"/>
          </w:tcPr>
          <w:p w14:paraId="1DC19B0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本项目中强制采购节能产品的货物名称：</w:t>
            </w:r>
          </w:p>
          <w:p w14:paraId="5C3E8358">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采购包1：</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580D19D0">
            <w:pPr>
              <w:topLinePunct/>
              <w:autoSpaceDE w:val="0"/>
              <w:autoSpaceDN w:val="0"/>
              <w:adjustRightInd w:val="0"/>
              <w:snapToGrid w:val="0"/>
              <w:spacing w:line="500" w:lineRule="exact"/>
              <w:jc w:val="left"/>
              <w:rPr>
                <w:rFonts w:hint="eastAsia" w:ascii="宋体" w:hAnsi="宋体" w:cs="宋体"/>
                <w:b/>
                <w:color w:val="auto"/>
                <w:szCs w:val="21"/>
                <w:highlight w:val="none"/>
              </w:rPr>
            </w:pPr>
            <w:r>
              <w:rPr>
                <w:rFonts w:hint="eastAsia" w:ascii="宋体" w:hAnsi="宋体" w:cs="宋体"/>
                <w:color w:val="auto"/>
                <w:szCs w:val="21"/>
                <w:highlight w:val="none"/>
              </w:rPr>
              <w:t>注：投标人所投上述产品必须具有节能产品认证证书，并提供依据国家确定的认证机构出具的、处于有效期之内的节能产品认证证书复印件，否则投标无效。</w:t>
            </w:r>
          </w:p>
        </w:tc>
      </w:tr>
      <w:tr w14:paraId="33B80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noWrap w:val="0"/>
            <w:vAlign w:val="center"/>
          </w:tcPr>
          <w:p w14:paraId="4B4928F1">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1671" w:type="dxa"/>
            <w:vMerge w:val="continue"/>
            <w:noWrap w:val="0"/>
            <w:vAlign w:val="center"/>
          </w:tcPr>
          <w:p w14:paraId="643014B8">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6686" w:type="dxa"/>
            <w:gridSpan w:val="2"/>
            <w:noWrap w:val="0"/>
            <w:vAlign w:val="center"/>
          </w:tcPr>
          <w:p w14:paraId="3D0F0095">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本项目中采购信息安全产品的货物名称：</w:t>
            </w:r>
          </w:p>
          <w:p w14:paraId="495528ED">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采购包1：</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0DFF7866">
            <w:pPr>
              <w:spacing w:line="500" w:lineRule="exact"/>
              <w:rPr>
                <w:rFonts w:hint="eastAsia" w:ascii="宋体" w:hAnsi="宋体" w:cs="宋体"/>
                <w:b/>
                <w:color w:val="auto"/>
                <w:szCs w:val="21"/>
                <w:highlight w:val="none"/>
              </w:rPr>
            </w:pPr>
            <w:bookmarkStart w:id="95" w:name="_Toc11223"/>
            <w:r>
              <w:rPr>
                <w:rFonts w:hint="eastAsia" w:ascii="宋体" w:hAnsi="宋体" w:cs="宋体"/>
                <w:color w:val="auto"/>
                <w:szCs w:val="21"/>
                <w:highlight w:val="none"/>
              </w:rPr>
              <w:t>注：投标人所投上述产品需为国家认证的信息安全产品，并提供由中国网络安全审查技术与认证中心（原中国信息安全认证中心）按国家标准认证颁发的有效认证证书复印件，否则投标无效。</w:t>
            </w:r>
            <w:bookmarkEnd w:id="95"/>
          </w:p>
        </w:tc>
      </w:tr>
      <w:tr w14:paraId="3195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vMerge w:val="continue"/>
            <w:noWrap w:val="0"/>
            <w:vAlign w:val="center"/>
          </w:tcPr>
          <w:p w14:paraId="1BD744D7">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1671" w:type="dxa"/>
            <w:vMerge w:val="continue"/>
            <w:noWrap w:val="0"/>
            <w:vAlign w:val="center"/>
          </w:tcPr>
          <w:p w14:paraId="3C9DF7D4">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6686" w:type="dxa"/>
            <w:gridSpan w:val="2"/>
            <w:noWrap w:val="0"/>
            <w:vAlign w:val="center"/>
          </w:tcPr>
          <w:p w14:paraId="5DB19032">
            <w:pPr>
              <w:topLinePunct/>
              <w:autoSpaceDE w:val="0"/>
              <w:autoSpaceDN w:val="0"/>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其他法律法规强制性规定或扶持政策：</w:t>
            </w:r>
          </w:p>
          <w:p w14:paraId="7506D88F">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采购包1：</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tc>
      </w:tr>
      <w:tr w14:paraId="7B60C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680" w:type="dxa"/>
            <w:vMerge w:val="continue"/>
            <w:noWrap w:val="0"/>
            <w:vAlign w:val="center"/>
          </w:tcPr>
          <w:p w14:paraId="2B3A1CF2">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1671" w:type="dxa"/>
            <w:vMerge w:val="continue"/>
            <w:noWrap w:val="0"/>
            <w:vAlign w:val="center"/>
          </w:tcPr>
          <w:p w14:paraId="599B6410">
            <w:pPr>
              <w:topLinePunct/>
              <w:autoSpaceDE w:val="0"/>
              <w:autoSpaceDN w:val="0"/>
              <w:adjustRightInd w:val="0"/>
              <w:snapToGrid w:val="0"/>
              <w:spacing w:line="500" w:lineRule="exact"/>
              <w:jc w:val="center"/>
              <w:rPr>
                <w:rFonts w:hint="eastAsia" w:ascii="宋体" w:hAnsi="宋体" w:cs="宋体"/>
                <w:color w:val="auto"/>
                <w:szCs w:val="21"/>
                <w:highlight w:val="none"/>
              </w:rPr>
            </w:pPr>
          </w:p>
        </w:tc>
        <w:tc>
          <w:tcPr>
            <w:tcW w:w="6686" w:type="dxa"/>
            <w:gridSpan w:val="2"/>
            <w:noWrap w:val="0"/>
            <w:vAlign w:val="center"/>
          </w:tcPr>
          <w:p w14:paraId="038C3656">
            <w:pPr>
              <w:topLinePunct/>
              <w:autoSpaceDE w:val="0"/>
              <w:autoSpaceDN w:val="0"/>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本项目不适用</w:t>
            </w:r>
          </w:p>
        </w:tc>
      </w:tr>
      <w:tr w14:paraId="20D5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DA36214">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25</w:t>
            </w:r>
          </w:p>
        </w:tc>
        <w:tc>
          <w:tcPr>
            <w:tcW w:w="1671" w:type="dxa"/>
            <w:noWrap w:val="0"/>
            <w:vAlign w:val="center"/>
          </w:tcPr>
          <w:p w14:paraId="0D4D7766">
            <w:pPr>
              <w:tabs>
                <w:tab w:val="left" w:pos="1875"/>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评标方法</w:t>
            </w:r>
          </w:p>
          <w:p w14:paraId="0AB5F4A4">
            <w:pPr>
              <w:tabs>
                <w:tab w:val="left" w:pos="1875"/>
              </w:tabs>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及分值</w:t>
            </w:r>
          </w:p>
        </w:tc>
        <w:tc>
          <w:tcPr>
            <w:tcW w:w="6686" w:type="dxa"/>
            <w:gridSpan w:val="2"/>
            <w:noWrap w:val="0"/>
            <w:vAlign w:val="center"/>
          </w:tcPr>
          <w:p w14:paraId="0B764CE5">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F0A3"/>
            </w:r>
            <w:r>
              <w:rPr>
                <w:rFonts w:hint="eastAsia" w:ascii="宋体" w:hAnsi="宋体" w:cs="宋体"/>
                <w:color w:val="auto"/>
                <w:szCs w:val="21"/>
                <w:highlight w:val="none"/>
              </w:rPr>
              <w:t>本项目采用最低评标价法，详见招标文件第三章。</w:t>
            </w:r>
          </w:p>
          <w:p w14:paraId="7A583D74">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本项目采用综合评分法，其中价格分值为</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rPr>
              <w:t>分，其他因素分值为</w:t>
            </w:r>
            <w:r>
              <w:rPr>
                <w:rFonts w:hint="eastAsia" w:ascii="宋体" w:hAnsi="宋体" w:cs="宋体"/>
                <w:color w:val="auto"/>
                <w:szCs w:val="21"/>
                <w:highlight w:val="none"/>
                <w:u w:val="single"/>
                <w:lang w:val="en-US" w:eastAsia="zh-CN"/>
              </w:rPr>
              <w:t>90</w:t>
            </w:r>
            <w:r>
              <w:rPr>
                <w:rFonts w:hint="eastAsia" w:ascii="宋体" w:hAnsi="宋体" w:cs="宋体"/>
                <w:color w:val="auto"/>
                <w:szCs w:val="21"/>
                <w:highlight w:val="none"/>
              </w:rPr>
              <w:t>分，详见招标文件第三章。</w:t>
            </w:r>
          </w:p>
        </w:tc>
      </w:tr>
      <w:tr w14:paraId="3FF2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3975FAC1">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26</w:t>
            </w:r>
          </w:p>
        </w:tc>
        <w:tc>
          <w:tcPr>
            <w:tcW w:w="1671" w:type="dxa"/>
            <w:noWrap w:val="0"/>
            <w:vAlign w:val="center"/>
          </w:tcPr>
          <w:p w14:paraId="6859AA88">
            <w:pPr>
              <w:topLinePunct/>
              <w:autoSpaceDE w:val="0"/>
              <w:autoSpaceDN w:val="0"/>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履约保证金</w:t>
            </w:r>
          </w:p>
        </w:tc>
        <w:tc>
          <w:tcPr>
            <w:tcW w:w="6686" w:type="dxa"/>
            <w:gridSpan w:val="2"/>
            <w:noWrap w:val="0"/>
            <w:vAlign w:val="center"/>
          </w:tcPr>
          <w:p w14:paraId="65A3E139">
            <w:pPr>
              <w:adjustRightInd w:val="0"/>
              <w:snapToGrid w:val="0"/>
              <w:spacing w:line="500" w:lineRule="exact"/>
              <w:jc w:val="left"/>
              <w:rPr>
                <w:rFonts w:hint="eastAsia" w:ascii="宋体" w:hAnsi="宋体" w:cs="宋体"/>
                <w:b/>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不要求提供</w:t>
            </w:r>
          </w:p>
        </w:tc>
      </w:tr>
      <w:tr w14:paraId="31E7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603E6585">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27</w:t>
            </w:r>
          </w:p>
        </w:tc>
        <w:tc>
          <w:tcPr>
            <w:tcW w:w="1671" w:type="dxa"/>
            <w:noWrap w:val="0"/>
            <w:vAlign w:val="center"/>
          </w:tcPr>
          <w:p w14:paraId="5911EC7B">
            <w:pPr>
              <w:topLinePunct/>
              <w:autoSpaceDE w:val="0"/>
              <w:autoSpaceDN w:val="0"/>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color w:val="auto"/>
                <w:szCs w:val="21"/>
                <w:highlight w:val="none"/>
              </w:rPr>
              <w:t>接收质疑的方式、部门、电话和通讯地址</w:t>
            </w:r>
          </w:p>
        </w:tc>
        <w:tc>
          <w:tcPr>
            <w:tcW w:w="6686" w:type="dxa"/>
            <w:gridSpan w:val="2"/>
            <w:noWrap w:val="0"/>
            <w:vAlign w:val="center"/>
          </w:tcPr>
          <w:p w14:paraId="539A79EE">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质疑联系方式：</w:t>
            </w:r>
          </w:p>
          <w:p w14:paraId="307D4C87">
            <w:pPr>
              <w:spacing w:line="500" w:lineRule="exact"/>
              <w:rPr>
                <w:rFonts w:hint="eastAsia" w:ascii="宋体" w:hAnsi="宋体" w:cs="宋体"/>
                <w:color w:val="auto"/>
                <w:szCs w:val="21"/>
                <w:highlight w:val="none"/>
                <w:u w:val="single"/>
              </w:rPr>
            </w:pPr>
            <w:r>
              <w:rPr>
                <w:rFonts w:hint="eastAsia" w:ascii="宋体" w:hAnsi="宋体" w:cs="宋体"/>
                <w:color w:val="auto"/>
                <w:szCs w:val="21"/>
                <w:highlight w:val="none"/>
              </w:rPr>
              <w:t>（1）接收质疑函的方式：</w:t>
            </w:r>
            <w:r>
              <w:rPr>
                <w:rFonts w:hint="eastAsia" w:ascii="宋体" w:hAnsi="宋体" w:cs="宋体"/>
                <w:color w:val="auto"/>
                <w:szCs w:val="21"/>
                <w:highlight w:val="none"/>
                <w:u w:val="single"/>
              </w:rPr>
              <w:t>纸质文件线下递交</w:t>
            </w:r>
          </w:p>
          <w:p w14:paraId="6C80EB45">
            <w:pPr>
              <w:spacing w:line="50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（2）联系部门：</w:t>
            </w:r>
            <w:r>
              <w:rPr>
                <w:rFonts w:hint="eastAsia" w:ascii="宋体" w:hAnsi="宋体" w:cs="宋体"/>
                <w:color w:val="auto"/>
                <w:szCs w:val="21"/>
                <w:highlight w:val="none"/>
                <w:u w:val="single"/>
                <w:lang w:eastAsia="zh-CN"/>
              </w:rPr>
              <w:t>公诚管理咨询有限公司</w:t>
            </w:r>
          </w:p>
          <w:p w14:paraId="50152B3D">
            <w:pPr>
              <w:spacing w:line="50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（3）联系电话：</w:t>
            </w:r>
            <w:r>
              <w:rPr>
                <w:rFonts w:hint="eastAsia" w:ascii="宋体" w:hAnsi="宋体" w:cs="宋体"/>
                <w:color w:val="auto"/>
                <w:szCs w:val="21"/>
                <w:highlight w:val="none"/>
                <w:u w:val="single"/>
                <w:lang w:eastAsia="zh-CN"/>
              </w:rPr>
              <w:t>18194260382</w:t>
            </w:r>
          </w:p>
          <w:p w14:paraId="7870BC8C">
            <w:pPr>
              <w:spacing w:line="50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（4）通讯地址：</w:t>
            </w:r>
            <w:r>
              <w:rPr>
                <w:rFonts w:hint="eastAsia" w:ascii="宋体" w:hAnsi="宋体" w:cs="宋体"/>
                <w:color w:val="auto"/>
                <w:szCs w:val="21"/>
                <w:highlight w:val="none"/>
                <w:u w:val="single"/>
                <w:lang w:eastAsia="zh-CN"/>
              </w:rPr>
              <w:t>甘肃省兰州市城关区雁兴路农垦总部经济大厦2#楼（雁兴路19号）20层2001-2003室</w:t>
            </w:r>
          </w:p>
          <w:p w14:paraId="7E378491">
            <w:pPr>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（5）电子邮箱：</w:t>
            </w:r>
            <w:r>
              <w:rPr>
                <w:rFonts w:hint="eastAsia" w:ascii="宋体" w:hAnsi="宋体" w:cs="宋体"/>
                <w:color w:val="auto"/>
                <w:szCs w:val="21"/>
                <w:highlight w:val="none"/>
                <w:u w:val="single"/>
                <w:lang w:eastAsia="zh-CN"/>
              </w:rPr>
              <w:t>gczxgsfgs@163.com</w:t>
            </w:r>
          </w:p>
        </w:tc>
      </w:tr>
      <w:tr w14:paraId="17BF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1EDEFE35">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28</w:t>
            </w:r>
          </w:p>
        </w:tc>
        <w:tc>
          <w:tcPr>
            <w:tcW w:w="1671" w:type="dxa"/>
            <w:noWrap w:val="0"/>
            <w:vAlign w:val="center"/>
          </w:tcPr>
          <w:p w14:paraId="14956E37">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需提交的投标文件份数</w:t>
            </w:r>
          </w:p>
        </w:tc>
        <w:tc>
          <w:tcPr>
            <w:tcW w:w="6686" w:type="dxa"/>
            <w:gridSpan w:val="2"/>
            <w:noWrap w:val="0"/>
            <w:vAlign w:val="center"/>
          </w:tcPr>
          <w:p w14:paraId="35AE1722">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需提交的投标文件份数：</w:t>
            </w:r>
          </w:p>
          <w:p w14:paraId="19B22395">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（1）正本</w:t>
            </w:r>
            <w:r>
              <w:rPr>
                <w:rFonts w:hint="eastAsia" w:ascii="宋体" w:hAnsi="宋体" w:cs="宋体"/>
                <w:color w:val="auto"/>
                <w:szCs w:val="21"/>
                <w:highlight w:val="none"/>
                <w:u w:val="single"/>
              </w:rPr>
              <w:t xml:space="preserve"> 1</w:t>
            </w:r>
            <w:r>
              <w:rPr>
                <w:rFonts w:hint="eastAsia" w:ascii="宋体" w:hAnsi="宋体" w:cs="宋体"/>
                <w:color w:val="auto"/>
                <w:szCs w:val="21"/>
                <w:highlight w:val="none"/>
              </w:rPr>
              <w:t>份、副本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份。</w:t>
            </w:r>
          </w:p>
          <w:p w14:paraId="53C9365B">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（2）电子文件</w:t>
            </w:r>
            <w:r>
              <w:rPr>
                <w:rFonts w:hint="eastAsia" w:ascii="宋体" w:hAnsi="宋体" w:cs="宋体"/>
                <w:color w:val="auto"/>
                <w:szCs w:val="21"/>
                <w:highlight w:val="none"/>
                <w:u w:val="single"/>
              </w:rPr>
              <w:t xml:space="preserve"> 1 </w:t>
            </w:r>
            <w:r>
              <w:rPr>
                <w:rFonts w:hint="eastAsia" w:ascii="宋体" w:hAnsi="宋体" w:cs="宋体"/>
                <w:color w:val="auto"/>
                <w:szCs w:val="21"/>
                <w:highlight w:val="none"/>
              </w:rPr>
              <w:t>份（☑扫描件 ☑Word）。</w:t>
            </w:r>
          </w:p>
          <w:p w14:paraId="74380D7B">
            <w:pPr>
              <w:spacing w:line="500" w:lineRule="exact"/>
              <w:rPr>
                <w:rFonts w:hint="eastAsia" w:ascii="宋体" w:hAnsi="宋体" w:cs="宋体"/>
                <w:color w:val="auto"/>
                <w:szCs w:val="21"/>
                <w:highlight w:val="none"/>
              </w:rPr>
            </w:pPr>
            <w:r>
              <w:rPr>
                <w:rFonts w:hint="eastAsia" w:ascii="宋体" w:hAnsi="宋体" w:cs="宋体"/>
                <w:color w:val="auto"/>
                <w:szCs w:val="21"/>
                <w:highlight w:val="none"/>
              </w:rPr>
              <w:t>采用U盘刻录提交，</w:t>
            </w:r>
            <w:r>
              <w:rPr>
                <w:rFonts w:hint="eastAsia" w:ascii="宋体" w:hAnsi="宋体" w:cs="宋体"/>
                <w:snapToGrid w:val="0"/>
                <w:color w:val="auto"/>
                <w:szCs w:val="21"/>
                <w:highlight w:val="none"/>
              </w:rPr>
              <w:t>如没有按照要求递交投标文件，其投标将不予接收。</w:t>
            </w:r>
          </w:p>
        </w:tc>
      </w:tr>
      <w:tr w14:paraId="3B328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7B5599D0">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29</w:t>
            </w:r>
          </w:p>
        </w:tc>
        <w:tc>
          <w:tcPr>
            <w:tcW w:w="1671" w:type="dxa"/>
            <w:noWrap w:val="0"/>
            <w:vAlign w:val="center"/>
          </w:tcPr>
          <w:p w14:paraId="49162929">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代理费用</w:t>
            </w:r>
          </w:p>
        </w:tc>
        <w:tc>
          <w:tcPr>
            <w:tcW w:w="6686" w:type="dxa"/>
            <w:gridSpan w:val="2"/>
            <w:noWrap w:val="0"/>
            <w:vAlign w:val="center"/>
          </w:tcPr>
          <w:p w14:paraId="3481941E">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代理费用：</w:t>
            </w:r>
          </w:p>
          <w:p w14:paraId="5D0C7ADB">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（1）本项目代理费用由中标人支付。</w:t>
            </w:r>
          </w:p>
          <w:p w14:paraId="534CDDD2">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（2）代理费用收取方式及标准：</w:t>
            </w:r>
          </w:p>
          <w:p w14:paraId="0E2D169B">
            <w:pPr>
              <w:pStyle w:val="51"/>
              <w:adjustRightInd w:val="0"/>
              <w:snapToGrid w:val="0"/>
              <w:spacing w:line="500" w:lineRule="exact"/>
              <w:jc w:val="both"/>
              <w:rPr>
                <w:rFonts w:hint="eastAsia" w:ascii="宋体" w:hAnsi="宋体" w:cs="宋体"/>
                <w:color w:val="auto"/>
                <w:kern w:val="2"/>
                <w:sz w:val="21"/>
                <w:szCs w:val="21"/>
                <w:highlight w:val="none"/>
                <w:lang w:eastAsia="zh-CN"/>
              </w:rPr>
            </w:pPr>
            <w:r>
              <w:rPr>
                <w:rFonts w:hint="eastAsia" w:ascii="宋体" w:hAnsi="宋体" w:cs="宋体"/>
                <w:color w:val="auto"/>
                <w:kern w:val="2"/>
                <w:sz w:val="21"/>
                <w:szCs w:val="21"/>
                <w:highlight w:val="none"/>
                <w:lang w:eastAsia="zh-CN"/>
              </w:rPr>
              <w:t>①以中标通知书确定的中标金额作为收费的计算基数。</w:t>
            </w:r>
          </w:p>
          <w:p w14:paraId="259A97B2">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②参照原《国家计委关于印发&lt;招标代理服务收费管理暂行办法&gt;的通知》(计价格[2002]1980号) 和《国家发展改革委员会关于降低部分建设项目收费标准规范收费行为等有关问题的通知》(发改价格[2011]534号)文件规定的标准，将收费标准划分为两档: 100 万元(含 100 万元整) 以下为第一档,100 万元 (不含 100 万元整)以上为第二档。第一档内项目在收费标准基础上下浮 10%向中标人或成交供应商收取代理费用，第二档内项目的收费标准基础上下浮</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%向中标人或成交供应商收取代理费用，如果中标人未按约定时间缴纳，每延误一日按服务费的千分之一（1‰）计收违约金。</w:t>
            </w:r>
          </w:p>
          <w:p w14:paraId="7022401D">
            <w:pPr>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③中标人在领取中标通知书时向代理机构缴纳招标代理服务费。</w:t>
            </w:r>
          </w:p>
        </w:tc>
      </w:tr>
      <w:tr w14:paraId="5762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1F824F9A">
            <w:pPr>
              <w:topLinePunct/>
              <w:autoSpaceDE w:val="0"/>
              <w:autoSpaceDN w:val="0"/>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30</w:t>
            </w:r>
          </w:p>
        </w:tc>
        <w:tc>
          <w:tcPr>
            <w:tcW w:w="1671" w:type="dxa"/>
            <w:noWrap w:val="0"/>
            <w:vAlign w:val="center"/>
          </w:tcPr>
          <w:p w14:paraId="1F31F3DB">
            <w:pPr>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其他补充事项</w:t>
            </w:r>
          </w:p>
        </w:tc>
        <w:tc>
          <w:tcPr>
            <w:tcW w:w="6686" w:type="dxa"/>
            <w:gridSpan w:val="2"/>
            <w:noWrap w:val="0"/>
            <w:vAlign w:val="center"/>
          </w:tcPr>
          <w:p w14:paraId="040C8B4E">
            <w:pPr>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t>其他补充事项：</w:t>
            </w:r>
          </w:p>
          <w:p w14:paraId="0D001BC2">
            <w:pPr>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t>1.投标人对招标文件提出质疑的时间：收到采购文件之日起7个工作日内。</w:t>
            </w:r>
          </w:p>
          <w:p w14:paraId="558AC326">
            <w:pPr>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t>招标文件的澄清、修改书及有关补充通知为招标文件的有效组成部分。</w:t>
            </w:r>
          </w:p>
          <w:p w14:paraId="0C9873CF">
            <w:pPr>
              <w:pStyle w:val="11"/>
              <w:spacing w:line="500" w:lineRule="exact"/>
              <w:ind w:firstLine="0"/>
              <w:rPr>
                <w:rFonts w:hint="eastAsia" w:ascii="宋体" w:hAnsi="宋体" w:cs="宋体"/>
                <w:color w:val="auto"/>
                <w:highlight w:val="none"/>
                <w:u w:val="single"/>
              </w:rPr>
            </w:pPr>
            <w:r>
              <w:rPr>
                <w:rFonts w:hint="eastAsia" w:ascii="宋体" w:hAnsi="宋体" w:cs="宋体"/>
                <w:color w:val="auto"/>
                <w:highlight w:val="none"/>
              </w:rPr>
              <w:t>2.澄清或者修改时间：</w:t>
            </w:r>
            <w:r>
              <w:rPr>
                <w:rFonts w:hint="eastAsia" w:ascii="宋体" w:hAnsi="宋体" w:cs="宋体"/>
                <w:color w:val="auto"/>
                <w:highlight w:val="none"/>
                <w:u w:val="single"/>
              </w:rPr>
              <w:t>提交投标文件截止时间15日前</w:t>
            </w:r>
            <w:r>
              <w:rPr>
                <w:rFonts w:hint="eastAsia" w:ascii="宋体" w:hAnsi="宋体" w:cs="宋体"/>
                <w:color w:val="auto"/>
                <w:highlight w:val="none"/>
              </w:rPr>
              <w:t>。</w:t>
            </w:r>
          </w:p>
          <w:p w14:paraId="292BB575">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3.定标原则：</w:t>
            </w:r>
          </w:p>
          <w:p w14:paraId="60C74BB1">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（1）采购人在评标报告确定的中标候选人名单中按顺序确定中标人。</w:t>
            </w:r>
          </w:p>
          <w:p w14:paraId="54F9545D">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（2）中标候选人并列的，按照以下方式确定中标人。</w:t>
            </w:r>
          </w:p>
          <w:p w14:paraId="03AB1B76">
            <w:pPr>
              <w:adjustRightInd w:val="0"/>
              <w:snapToGrid w:val="0"/>
              <w:spacing w:line="500" w:lineRule="exact"/>
              <w:rPr>
                <w:rFonts w:hint="eastAsia" w:ascii="宋体" w:hAnsi="宋体" w:cs="宋体"/>
                <w:snapToGrid w:val="0"/>
                <w:color w:val="auto"/>
                <w:szCs w:val="21"/>
                <w:highlight w:val="none"/>
              </w:rPr>
            </w:pPr>
            <w:r>
              <w:rPr>
                <w:rFonts w:hint="eastAsia" w:ascii="宋体" w:hAnsi="宋体" w:cs="宋体"/>
                <w:snapToGrid w:val="0"/>
                <w:color w:val="auto"/>
                <w:szCs w:val="21"/>
                <w:highlight w:val="none"/>
              </w:rPr>
              <w:t>☑其他：得分相同的，按投标报价由低到高顺序排列。得分且投标报价相同的，按技术指标优劣顺序排列。</w:t>
            </w:r>
          </w:p>
          <w:p w14:paraId="4CD70A6D">
            <w:pPr>
              <w:numPr>
                <w:ilvl w:val="0"/>
                <w:numId w:val="0"/>
              </w:numPr>
              <w:adjustRightInd w:val="0"/>
              <w:snapToGrid w:val="0"/>
              <w:spacing w:line="500" w:lineRule="exact"/>
              <w:jc w:val="left"/>
              <w:rPr>
                <w:rFonts w:hint="eastAsia" w:ascii="宋体" w:hAnsi="宋体" w:cs="宋体"/>
                <w:color w:val="auto"/>
                <w:szCs w:val="21"/>
                <w:highlight w:val="none"/>
              </w:rPr>
            </w:pPr>
            <w:r>
              <w:rPr>
                <w:rFonts w:hint="eastAsia" w:ascii="宋体" w:hAnsi="宋体" w:eastAsia="宋体" w:cs="宋体"/>
                <w:color w:val="auto"/>
                <w:kern w:val="2"/>
                <w:sz w:val="21"/>
                <w:szCs w:val="21"/>
                <w:lang w:val="en-US" w:eastAsia="zh-CN" w:bidi="ar-SA"/>
              </w:rPr>
              <w:t>4.</w:t>
            </w:r>
            <w:r>
              <w:rPr>
                <w:rFonts w:hint="eastAsia" w:ascii="宋体" w:hAnsi="宋体" w:cs="宋体"/>
                <w:color w:val="auto"/>
                <w:szCs w:val="21"/>
                <w:highlight w:val="none"/>
              </w:rPr>
              <w:t>开标后，采购人或采购代理机构应当依法对投标人的资格进行审查。资格审查合格的投标人不足3家的，不得评标。若提供的资格证明文件不全或不实，将导致其投标无效。</w:t>
            </w:r>
          </w:p>
          <w:p w14:paraId="27791E53">
            <w:pPr>
              <w:numPr>
                <w:ilvl w:val="0"/>
                <w:numId w:val="0"/>
              </w:numPr>
              <w:adjustRightInd w:val="0"/>
              <w:snapToGrid w:val="0"/>
              <w:spacing w:line="500" w:lineRule="exact"/>
              <w:rPr>
                <w:rFonts w:hint="eastAsia"/>
                <w:color w:val="auto"/>
              </w:rPr>
            </w:pPr>
            <w:r>
              <w:rPr>
                <w:rFonts w:hint="eastAsia" w:ascii="宋体" w:hAnsi="宋体" w:eastAsia="宋体" w:cs="宋体"/>
                <w:color w:val="auto"/>
                <w:szCs w:val="21"/>
                <w:highlight w:val="none"/>
                <w:lang w:val="en-US" w:eastAsia="zh-CN"/>
              </w:rPr>
              <w:t>5.评标委员会的组成：人数：5人，由采购人代表和评审专家组成。</w:t>
            </w:r>
          </w:p>
        </w:tc>
      </w:tr>
      <w:tr w14:paraId="15554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0" w:type="dxa"/>
            <w:noWrap w:val="0"/>
            <w:vAlign w:val="center"/>
          </w:tcPr>
          <w:p w14:paraId="7CA1C79D">
            <w:pPr>
              <w:adjustRightInd w:val="0"/>
              <w:snapToGrid w:val="0"/>
              <w:spacing w:line="5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1</w:t>
            </w:r>
          </w:p>
        </w:tc>
        <w:tc>
          <w:tcPr>
            <w:tcW w:w="1671" w:type="dxa"/>
            <w:noWrap w:val="0"/>
            <w:vAlign w:val="center"/>
          </w:tcPr>
          <w:p w14:paraId="69314156">
            <w:pPr>
              <w:pStyle w:val="51"/>
              <w:adjustRightInd w:val="0"/>
              <w:snapToGrid w:val="0"/>
              <w:spacing w:line="500" w:lineRule="exact"/>
              <w:jc w:val="center"/>
              <w:rPr>
                <w:rFonts w:hint="eastAsia" w:ascii="宋体" w:hAnsi="宋体" w:cs="宋体"/>
                <w:color w:val="auto"/>
                <w:sz w:val="21"/>
                <w:szCs w:val="21"/>
                <w:highlight w:val="none"/>
                <w:lang w:eastAsia="zh-CN"/>
              </w:rPr>
            </w:pPr>
            <w:r>
              <w:rPr>
                <w:rFonts w:hint="eastAsia" w:ascii="宋体" w:hAnsi="宋体" w:cs="宋体"/>
                <w:snapToGrid w:val="0"/>
                <w:color w:val="auto"/>
                <w:sz w:val="21"/>
                <w:szCs w:val="21"/>
                <w:highlight w:val="none"/>
                <w:lang w:eastAsia="zh-CN"/>
              </w:rPr>
              <w:t>服务期限、地点、方式</w:t>
            </w:r>
          </w:p>
        </w:tc>
        <w:tc>
          <w:tcPr>
            <w:tcW w:w="6686" w:type="dxa"/>
            <w:gridSpan w:val="2"/>
            <w:noWrap w:val="0"/>
            <w:vAlign w:val="center"/>
          </w:tcPr>
          <w:p w14:paraId="73F5FB13">
            <w:pPr>
              <w:pStyle w:val="62"/>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bCs w:val="0"/>
                <w:color w:val="auto"/>
                <w:spacing w:val="0"/>
                <w:kern w:val="2"/>
                <w:sz w:val="21"/>
                <w:szCs w:val="21"/>
                <w:highlight w:val="yellow"/>
                <w:lang w:val="en-US" w:eastAsia="zh-CN" w:bidi="ar-SA"/>
              </w:rPr>
            </w:pPr>
            <w:r>
              <w:rPr>
                <w:rFonts w:hint="eastAsia" w:ascii="宋体" w:hAnsi="宋体" w:eastAsia="宋体" w:cs="宋体"/>
                <w:bCs w:val="0"/>
                <w:color w:val="auto"/>
                <w:spacing w:val="0"/>
                <w:kern w:val="2"/>
                <w:sz w:val="21"/>
                <w:szCs w:val="21"/>
                <w:highlight w:val="none"/>
                <w:lang w:val="en-US" w:eastAsia="zh-CN" w:bidi="ar-SA"/>
              </w:rPr>
              <w:t>服务期限：自合同约定生效之日起一年</w:t>
            </w:r>
          </w:p>
          <w:p w14:paraId="010AE685">
            <w:pPr>
              <w:pStyle w:val="62"/>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服务地点：国家税务总局甘肃省税务局指定场所</w:t>
            </w:r>
          </w:p>
          <w:p w14:paraId="7B0B0497">
            <w:pPr>
              <w:pStyle w:val="62"/>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方式：服务期内驻场服务，7×24小时的电话、电子邮件、视频、网络会议等支持服务</w:t>
            </w:r>
          </w:p>
        </w:tc>
      </w:tr>
      <w:tr w14:paraId="5DEA3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80" w:type="dxa"/>
            <w:noWrap w:val="0"/>
            <w:vAlign w:val="center"/>
          </w:tcPr>
          <w:p w14:paraId="5A3F11D1">
            <w:pPr>
              <w:adjustRightInd w:val="0"/>
              <w:snapToGrid w:val="0"/>
              <w:spacing w:line="5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2</w:t>
            </w:r>
          </w:p>
        </w:tc>
        <w:tc>
          <w:tcPr>
            <w:tcW w:w="1671" w:type="dxa"/>
            <w:noWrap w:val="0"/>
            <w:vAlign w:val="center"/>
          </w:tcPr>
          <w:p w14:paraId="09F58D8D">
            <w:pPr>
              <w:pStyle w:val="51"/>
              <w:adjustRightInd w:val="0"/>
              <w:snapToGrid w:val="0"/>
              <w:spacing w:line="500" w:lineRule="exact"/>
              <w:jc w:val="center"/>
              <w:rPr>
                <w:rFonts w:hint="eastAsia" w:ascii="宋体" w:hAnsi="宋体" w:cs="宋体"/>
                <w:snapToGrid w:val="0"/>
                <w:color w:val="auto"/>
                <w:sz w:val="21"/>
                <w:szCs w:val="21"/>
                <w:highlight w:val="none"/>
                <w:lang w:eastAsia="zh-CN"/>
              </w:rPr>
            </w:pPr>
            <w:r>
              <w:rPr>
                <w:rFonts w:hint="eastAsia" w:ascii="宋体" w:hAnsi="宋体" w:cs="宋体"/>
                <w:snapToGrid w:val="0"/>
                <w:color w:val="auto"/>
                <w:sz w:val="21"/>
                <w:szCs w:val="21"/>
                <w:highlight w:val="none"/>
                <w:lang w:eastAsia="zh-CN"/>
              </w:rPr>
              <w:t>采购资金的</w:t>
            </w:r>
          </w:p>
          <w:p w14:paraId="290FB470">
            <w:pPr>
              <w:pStyle w:val="51"/>
              <w:adjustRightInd w:val="0"/>
              <w:snapToGrid w:val="0"/>
              <w:spacing w:line="500" w:lineRule="exact"/>
              <w:jc w:val="center"/>
              <w:rPr>
                <w:rFonts w:hint="eastAsia" w:ascii="宋体" w:hAnsi="宋体" w:cs="宋体"/>
                <w:color w:val="auto"/>
                <w:sz w:val="21"/>
                <w:szCs w:val="21"/>
                <w:highlight w:val="none"/>
                <w:lang w:eastAsia="zh-CN"/>
              </w:rPr>
            </w:pPr>
            <w:r>
              <w:rPr>
                <w:rFonts w:hint="eastAsia" w:ascii="宋体" w:hAnsi="宋体" w:cs="宋体"/>
                <w:snapToGrid w:val="0"/>
                <w:color w:val="auto"/>
                <w:sz w:val="21"/>
                <w:szCs w:val="21"/>
                <w:highlight w:val="none"/>
                <w:lang w:eastAsia="zh-CN"/>
              </w:rPr>
              <w:t>支付方式及时间</w:t>
            </w:r>
          </w:p>
        </w:tc>
        <w:tc>
          <w:tcPr>
            <w:tcW w:w="6686" w:type="dxa"/>
            <w:gridSpan w:val="2"/>
            <w:noWrap w:val="0"/>
            <w:vAlign w:val="center"/>
          </w:tcPr>
          <w:p w14:paraId="05E50C91">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采购完成后，采购人分3次支付款项，分别为：</w:t>
            </w:r>
          </w:p>
          <w:p w14:paraId="20E1C54F">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第1次付款,采购合同签订后30日内，中标供应商开具增值税普通发票，采购人在收到发票后，原则上10个工作日内支付合同价款25%;</w:t>
            </w:r>
          </w:p>
          <w:p w14:paraId="09E7D15C">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第2次付款,在服务满9个月之日起30日内，中标供应商开具增值税普通发票，采购人在收到发票后，原则上10个工作日内支付合同总价款50%;</w:t>
            </w:r>
          </w:p>
          <w:p w14:paraId="28EF74E4">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第3次付款,在完成全部服务项目并通过验收后30日内，中标供应商开具增值税普通发票，采购人在收到发票后，原则上10个工作日内支付合同剩余款项。</w:t>
            </w:r>
          </w:p>
          <w:p w14:paraId="6B27F5C4">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（如遇国家税务总局政策调整，采购人可提前终止合同，费用按照实际发生金额结算）</w:t>
            </w:r>
          </w:p>
          <w:p w14:paraId="184B0D2A">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（1）中标人为联合体的，款项支付给《联合体投标协议书》中指定牵头人。</w:t>
            </w:r>
          </w:p>
          <w:p w14:paraId="6DFD5F6B">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（2）收款方、出具发票方、合同供应商均需与中标供应商名称一致。</w:t>
            </w:r>
          </w:p>
          <w:p w14:paraId="11AD1F03">
            <w:pPr>
              <w:pStyle w:val="62"/>
              <w:spacing w:before="0" w:after="0" w:line="500" w:lineRule="exact"/>
              <w:ind w:firstLine="0" w:firstLineChars="0"/>
              <w:rPr>
                <w:rFonts w:hint="eastAsia" w:ascii="宋体" w:hAnsi="宋体" w:eastAsia="宋体" w:cs="宋体"/>
                <w:bCs w:val="0"/>
                <w:color w:val="auto"/>
                <w:spacing w:val="0"/>
                <w:kern w:val="2"/>
                <w:sz w:val="21"/>
                <w:szCs w:val="21"/>
                <w:highlight w:val="none"/>
                <w:lang w:val="en-US" w:eastAsia="zh-CN" w:bidi="ar-SA"/>
              </w:rPr>
            </w:pPr>
            <w:r>
              <w:rPr>
                <w:rFonts w:hint="eastAsia" w:ascii="宋体" w:hAnsi="宋体" w:eastAsia="宋体" w:cs="宋体"/>
                <w:bCs w:val="0"/>
                <w:color w:val="auto"/>
                <w:spacing w:val="0"/>
                <w:kern w:val="2"/>
                <w:sz w:val="21"/>
                <w:szCs w:val="21"/>
                <w:highlight w:val="none"/>
                <w:lang w:val="en-US" w:eastAsia="zh-CN" w:bidi="ar-SA"/>
              </w:rPr>
              <w:t>（3）如遇不可抗力因素（包括但不限于国家政策调整、系统故障、招标人未开账）导致招标人无法完成付款的，招标人付款义务顺延，自不可抗力因素消除，中标投标人开具并向招标人提交增值税普通发票后 10 个工作日内结算款项。如遇国家税务总局政策调整，采购人可提前终止合同，费用按照实际发生金额结算。</w:t>
            </w:r>
          </w:p>
        </w:tc>
      </w:tr>
    </w:tbl>
    <w:p w14:paraId="377B5F44">
      <w:pPr>
        <w:widowControl/>
        <w:jc w:val="center"/>
        <w:outlineLvl w:val="1"/>
        <w:rPr>
          <w:rFonts w:hint="eastAsia" w:ascii="宋体" w:hAnsi="宋体" w:cs="宋体"/>
          <w:color w:val="auto"/>
          <w:highlight w:val="none"/>
        </w:rPr>
      </w:pPr>
      <w:r>
        <w:rPr>
          <w:rFonts w:hint="eastAsia" w:ascii="宋体" w:hAnsi="宋体" w:cs="宋体"/>
          <w:color w:val="auto"/>
          <w:highlight w:val="none"/>
        </w:rPr>
        <w:br w:type="page"/>
      </w:r>
      <w:bookmarkStart w:id="96" w:name="_Toc20310"/>
      <w:bookmarkStart w:id="97" w:name="_Toc164182211"/>
      <w:bookmarkStart w:id="98" w:name="_Toc164681228"/>
      <w:bookmarkStart w:id="99" w:name="_Toc26099"/>
      <w:bookmarkStart w:id="100" w:name="_Toc31301"/>
      <w:bookmarkStart w:id="101" w:name="_Toc8234"/>
      <w:bookmarkStart w:id="102" w:name="_Toc20644"/>
      <w:bookmarkStart w:id="103" w:name="_Toc2579"/>
      <w:bookmarkStart w:id="104" w:name="_Toc164182693"/>
      <w:r>
        <w:rPr>
          <w:rFonts w:hint="eastAsia" w:ascii="宋体" w:hAnsi="宋体" w:cs="宋体"/>
          <w:color w:val="auto"/>
          <w:sz w:val="32"/>
          <w:szCs w:val="32"/>
          <w:highlight w:val="none"/>
        </w:rPr>
        <w:t>投标人须知</w:t>
      </w:r>
      <w:bookmarkEnd w:id="96"/>
      <w:bookmarkEnd w:id="97"/>
      <w:bookmarkEnd w:id="98"/>
      <w:bookmarkEnd w:id="99"/>
      <w:bookmarkEnd w:id="100"/>
      <w:bookmarkEnd w:id="101"/>
      <w:bookmarkEnd w:id="102"/>
      <w:bookmarkEnd w:id="103"/>
      <w:bookmarkEnd w:id="104"/>
    </w:p>
    <w:p w14:paraId="4259EB37">
      <w:pPr>
        <w:pStyle w:val="4"/>
        <w:spacing w:line="500" w:lineRule="exact"/>
        <w:jc w:val="center"/>
        <w:outlineLvl w:val="1"/>
        <w:rPr>
          <w:rFonts w:hint="eastAsia" w:ascii="宋体" w:hAnsi="宋体" w:cs="宋体"/>
          <w:color w:val="auto"/>
          <w:sz w:val="21"/>
          <w:szCs w:val="21"/>
          <w:highlight w:val="none"/>
        </w:rPr>
      </w:pPr>
      <w:bookmarkStart w:id="105" w:name="_Toc164181992"/>
      <w:bookmarkStart w:id="106" w:name="_Toc28157"/>
      <w:bookmarkStart w:id="107" w:name="_Toc1112"/>
      <w:bookmarkStart w:id="108" w:name="_Toc3359"/>
      <w:bookmarkStart w:id="109" w:name="_Toc28015"/>
      <w:bookmarkStart w:id="110" w:name="_Toc164680182"/>
      <w:bookmarkStart w:id="111" w:name="_Toc5520"/>
      <w:bookmarkStart w:id="112" w:name="_Toc2327"/>
      <w:bookmarkStart w:id="113" w:name="_Toc164182212"/>
      <w:bookmarkStart w:id="114" w:name="_Toc164680404"/>
      <w:bookmarkStart w:id="115" w:name="_Toc164681229"/>
      <w:bookmarkStart w:id="116" w:name="_Toc164182694"/>
      <w:bookmarkStart w:id="117" w:name="_Toc164680623"/>
      <w:bookmarkStart w:id="118" w:name="_Toc164181674"/>
      <w:bookmarkStart w:id="119" w:name="_Toc164680846"/>
      <w:r>
        <w:rPr>
          <w:rFonts w:hint="eastAsia" w:ascii="宋体" w:hAnsi="宋体" w:cs="宋体"/>
          <w:color w:val="auto"/>
          <w:sz w:val="21"/>
          <w:szCs w:val="21"/>
          <w:highlight w:val="none"/>
        </w:rPr>
        <w:t>一、总则</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0152CD0D">
      <w:pPr>
        <w:pStyle w:val="5"/>
        <w:spacing w:line="500" w:lineRule="exact"/>
        <w:outlineLvl w:val="2"/>
        <w:rPr>
          <w:rFonts w:hint="eastAsia" w:ascii="宋体" w:hAnsi="宋体" w:cs="宋体"/>
          <w:color w:val="auto"/>
          <w:sz w:val="21"/>
          <w:highlight w:val="none"/>
        </w:rPr>
      </w:pPr>
      <w:bookmarkStart w:id="120" w:name="_Toc164680405"/>
      <w:bookmarkStart w:id="121" w:name="_Toc164182213"/>
      <w:bookmarkStart w:id="122" w:name="_Toc24623"/>
      <w:bookmarkStart w:id="123" w:name="_Toc164680624"/>
      <w:bookmarkStart w:id="124" w:name="_Toc28622"/>
      <w:bookmarkStart w:id="125" w:name="_Toc16795"/>
      <w:bookmarkStart w:id="126" w:name="_Toc17452"/>
      <w:bookmarkStart w:id="127" w:name="_Toc32110"/>
      <w:bookmarkStart w:id="128" w:name="_Toc164680183"/>
      <w:bookmarkStart w:id="129" w:name="_Toc164182377"/>
      <w:bookmarkStart w:id="130" w:name="_Toc164181993"/>
      <w:bookmarkStart w:id="131" w:name="_Toc164681230"/>
      <w:bookmarkStart w:id="132" w:name="_Toc164181675"/>
      <w:bookmarkStart w:id="133" w:name="_Toc164680847"/>
      <w:bookmarkStart w:id="134" w:name="_Toc164182695"/>
      <w:r>
        <w:rPr>
          <w:rFonts w:hint="eastAsia" w:ascii="宋体" w:hAnsi="宋体" w:cs="宋体"/>
          <w:color w:val="auto"/>
          <w:sz w:val="21"/>
          <w:highlight w:val="none"/>
        </w:rPr>
        <w:t>1．预算资金及来源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0DD41239">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 本项目已经</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REF 采购人 \h  \* MERGEFORMAT </w:instrText>
      </w:r>
      <w:r>
        <w:rPr>
          <w:rFonts w:hint="eastAsia" w:ascii="宋体" w:hAnsi="宋体" w:cs="宋体"/>
          <w:color w:val="auto"/>
          <w:szCs w:val="21"/>
          <w:highlight w:val="none"/>
        </w:rPr>
        <w:fldChar w:fldCharType="separate"/>
      </w:r>
      <w:r>
        <w:rPr>
          <w:rFonts w:hint="eastAsia" w:ascii="宋体" w:hAnsi="宋体" w:cs="宋体"/>
          <w:caps/>
          <w:color w:val="auto"/>
          <w:szCs w:val="21"/>
          <w:highlight w:val="none"/>
        </w:rPr>
        <w:t>国家税务总局甘肃省税务局</w:t>
      </w:r>
      <w:r>
        <w:rPr>
          <w:rFonts w:hint="eastAsia" w:ascii="宋体" w:hAnsi="宋体" w:cs="宋体"/>
          <w:color w:val="auto"/>
          <w:szCs w:val="21"/>
          <w:highlight w:val="none"/>
        </w:rPr>
        <w:fldChar w:fldCharType="end"/>
      </w:r>
      <w:r>
        <w:rPr>
          <w:rFonts w:hint="eastAsia" w:ascii="宋体" w:hAnsi="宋体" w:cs="宋体"/>
          <w:color w:val="auto"/>
          <w:szCs w:val="21"/>
          <w:highlight w:val="none"/>
        </w:rPr>
        <w:t>批准立项。</w:t>
      </w:r>
    </w:p>
    <w:p w14:paraId="15E2399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 本项目预算资金见投标人须知前附表，已列入</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REF 采购人 \h  \* MERGEFORMAT </w:instrText>
      </w:r>
      <w:r>
        <w:rPr>
          <w:rFonts w:hint="eastAsia" w:ascii="宋体" w:hAnsi="宋体" w:cs="宋体"/>
          <w:color w:val="auto"/>
          <w:szCs w:val="21"/>
          <w:highlight w:val="none"/>
        </w:rPr>
        <w:fldChar w:fldCharType="separate"/>
      </w:r>
      <w:r>
        <w:rPr>
          <w:rFonts w:hint="eastAsia" w:ascii="宋体" w:hAnsi="宋体" w:cs="宋体"/>
          <w:caps/>
          <w:color w:val="auto"/>
          <w:szCs w:val="21"/>
          <w:highlight w:val="none"/>
        </w:rPr>
        <w:t>国家税务总局甘肃省税务局</w:t>
      </w:r>
      <w:r>
        <w:rPr>
          <w:rFonts w:hint="eastAsia" w:ascii="宋体" w:hAnsi="宋体" w:cs="宋体"/>
          <w:color w:val="auto"/>
          <w:szCs w:val="21"/>
          <w:highlight w:val="none"/>
        </w:rPr>
        <w:fldChar w:fldCharType="end"/>
      </w:r>
      <w:r>
        <w:rPr>
          <w:rFonts w:hint="eastAsia" w:ascii="宋体" w:hAnsi="宋体" w:cs="宋体"/>
          <w:color w:val="auto"/>
          <w:szCs w:val="21"/>
          <w:highlight w:val="none"/>
        </w:rPr>
        <w:t>预算。</w:t>
      </w:r>
    </w:p>
    <w:p w14:paraId="47214DDA">
      <w:pPr>
        <w:pStyle w:val="5"/>
        <w:spacing w:line="500" w:lineRule="exact"/>
        <w:outlineLvl w:val="2"/>
        <w:rPr>
          <w:rFonts w:hint="eastAsia" w:ascii="宋体" w:hAnsi="宋体" w:cs="宋体"/>
          <w:color w:val="auto"/>
          <w:sz w:val="21"/>
          <w:highlight w:val="none"/>
        </w:rPr>
      </w:pPr>
      <w:bookmarkStart w:id="135" w:name="_Toc18314"/>
      <w:bookmarkStart w:id="136" w:name="_Toc164680406"/>
      <w:bookmarkStart w:id="137" w:name="_Toc164182378"/>
      <w:bookmarkStart w:id="138" w:name="_Toc164181994"/>
      <w:bookmarkStart w:id="139" w:name="_Toc164680184"/>
      <w:bookmarkStart w:id="140" w:name="_Toc164181676"/>
      <w:bookmarkStart w:id="141" w:name="_Toc164182696"/>
      <w:bookmarkStart w:id="142" w:name="_Toc164681231"/>
      <w:bookmarkStart w:id="143" w:name="_Toc23056"/>
      <w:bookmarkStart w:id="144" w:name="_Toc164182214"/>
      <w:bookmarkStart w:id="145" w:name="_Toc7505"/>
      <w:bookmarkStart w:id="146" w:name="_Toc7485"/>
      <w:bookmarkStart w:id="147" w:name="_Toc164680625"/>
      <w:bookmarkStart w:id="148" w:name="_Toc164680848"/>
      <w:bookmarkStart w:id="149" w:name="_Toc11809"/>
      <w:r>
        <w:rPr>
          <w:rFonts w:hint="eastAsia" w:ascii="宋体" w:hAnsi="宋体" w:cs="宋体"/>
          <w:color w:val="auto"/>
          <w:sz w:val="21"/>
          <w:highlight w:val="none"/>
        </w:rPr>
        <w:t>2</w:t>
      </w:r>
      <w:r>
        <w:rPr>
          <w:rFonts w:hint="eastAsia" w:ascii="宋体" w:hAnsi="宋体" w:cs="宋体"/>
          <w:caps/>
          <w:color w:val="auto"/>
          <w:sz w:val="21"/>
          <w:highlight w:val="none"/>
        </w:rPr>
        <w:t>．</w:t>
      </w:r>
      <w:r>
        <w:rPr>
          <w:rFonts w:hint="eastAsia" w:ascii="宋体" w:hAnsi="宋体" w:cs="宋体"/>
          <w:color w:val="auto"/>
          <w:sz w:val="21"/>
          <w:highlight w:val="none"/>
        </w:rPr>
        <w:t>合格的产品和服务</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7F17AA7F">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 本项目所涉及的所有产品和服务均应来自中国境内（指关境内），合同金额的支付也仅限于这些产品和服务。</w:t>
      </w:r>
    </w:p>
    <w:p w14:paraId="1C39A98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 合格的产品和服务即采购需求见招标文件（技术部分）。</w:t>
      </w:r>
    </w:p>
    <w:p w14:paraId="0F03F1C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 投标人应保证所提供的产品及服务免受第三方提出侵犯其知识产权（专利权、商标权、工业设计权及使用权）的请求及起诉。</w:t>
      </w:r>
    </w:p>
    <w:p w14:paraId="2E2CB690">
      <w:pPr>
        <w:pStyle w:val="5"/>
        <w:spacing w:line="500" w:lineRule="exact"/>
        <w:outlineLvl w:val="2"/>
        <w:rPr>
          <w:rFonts w:hint="eastAsia" w:ascii="宋体" w:hAnsi="宋体" w:cs="宋体"/>
          <w:color w:val="auto"/>
          <w:sz w:val="21"/>
          <w:highlight w:val="none"/>
        </w:rPr>
      </w:pPr>
      <w:bookmarkStart w:id="150" w:name="_Toc164680185"/>
      <w:bookmarkStart w:id="151" w:name="_Toc164182697"/>
      <w:bookmarkStart w:id="152" w:name="_Toc164182215"/>
      <w:bookmarkStart w:id="153" w:name="_Toc4259"/>
      <w:bookmarkStart w:id="154" w:name="_Toc164181995"/>
      <w:bookmarkStart w:id="155" w:name="_Toc164681232"/>
      <w:bookmarkStart w:id="156" w:name="_Toc164181677"/>
      <w:bookmarkStart w:id="157" w:name="_Toc164680407"/>
      <w:bookmarkStart w:id="158" w:name="_Toc164182379"/>
      <w:bookmarkStart w:id="159" w:name="_Toc3150"/>
      <w:bookmarkStart w:id="160" w:name="_Toc29330"/>
      <w:bookmarkStart w:id="161" w:name="_Toc16927"/>
      <w:bookmarkStart w:id="162" w:name="_Toc164680849"/>
      <w:bookmarkStart w:id="163" w:name="_Toc24125"/>
      <w:bookmarkStart w:id="164" w:name="_Toc164680626"/>
      <w:r>
        <w:rPr>
          <w:rFonts w:hint="eastAsia" w:ascii="宋体" w:hAnsi="宋体" w:cs="宋体"/>
          <w:color w:val="auto"/>
          <w:sz w:val="21"/>
          <w:highlight w:val="none"/>
        </w:rPr>
        <w:t>3</w:t>
      </w:r>
      <w:r>
        <w:rPr>
          <w:rFonts w:hint="eastAsia" w:ascii="宋体" w:hAnsi="宋体" w:cs="宋体"/>
          <w:caps/>
          <w:color w:val="auto"/>
          <w:sz w:val="21"/>
          <w:highlight w:val="none"/>
        </w:rPr>
        <w:t>．</w:t>
      </w:r>
      <w:r>
        <w:rPr>
          <w:rFonts w:hint="eastAsia" w:ascii="宋体" w:hAnsi="宋体" w:cs="宋体"/>
          <w:color w:val="auto"/>
          <w:sz w:val="21"/>
          <w:highlight w:val="none"/>
        </w:rPr>
        <w:t>合格的投标人</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82A0941">
      <w:pPr>
        <w:pStyle w:val="6"/>
        <w:spacing w:line="500" w:lineRule="exact"/>
        <w:ind w:firstLine="422"/>
        <w:rPr>
          <w:rFonts w:hint="eastAsia" w:ascii="宋体" w:hAnsi="宋体" w:cs="宋体"/>
          <w:color w:val="auto"/>
          <w:sz w:val="21"/>
          <w:highlight w:val="none"/>
        </w:rPr>
      </w:pPr>
      <w:bookmarkStart w:id="165" w:name="_Toc164680186"/>
      <w:bookmarkStart w:id="166" w:name="_Toc6419"/>
      <w:bookmarkStart w:id="167" w:name="_Toc164680408"/>
      <w:bookmarkStart w:id="168" w:name="_Toc164680627"/>
      <w:bookmarkStart w:id="169" w:name="_Toc164181678"/>
      <w:bookmarkStart w:id="170" w:name="_Toc164182698"/>
      <w:bookmarkStart w:id="171" w:name="_Toc164181996"/>
      <w:bookmarkStart w:id="172" w:name="_Toc2662"/>
      <w:bookmarkStart w:id="173" w:name="_Toc164680850"/>
      <w:r>
        <w:rPr>
          <w:rFonts w:hint="eastAsia" w:ascii="宋体" w:hAnsi="宋体" w:cs="宋体"/>
          <w:color w:val="auto"/>
          <w:sz w:val="21"/>
          <w:highlight w:val="none"/>
        </w:rPr>
        <w:t>3.1 一般规定</w:t>
      </w:r>
      <w:bookmarkEnd w:id="165"/>
      <w:bookmarkEnd w:id="166"/>
      <w:bookmarkEnd w:id="167"/>
      <w:bookmarkEnd w:id="168"/>
      <w:bookmarkEnd w:id="169"/>
      <w:bookmarkEnd w:id="170"/>
      <w:bookmarkEnd w:id="171"/>
      <w:bookmarkEnd w:id="172"/>
      <w:bookmarkEnd w:id="173"/>
    </w:p>
    <w:p w14:paraId="72E1D049">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3.1.1投标人应遵守《</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》及其实施条例、《政府采购货物和服务招标投标管理办法》《政府采购质疑和投诉办法》及有关政府采购的规定，同时还应遵守有关法律、法规和规章的强制性规定。</w:t>
      </w:r>
    </w:p>
    <w:p w14:paraId="30B5EBC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3.1.2投标人的资格要求及本项目的特定资格要求见投标人须知前附表。</w:t>
      </w:r>
    </w:p>
    <w:p w14:paraId="41E015C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3.1.3资格条件中所称“重大违法记录”，是指投标人因违法经营受到刑事处罚或者责令停产停业、吊销许可证或者执照、较大数额罚款等行政处罚。</w:t>
      </w:r>
    </w:p>
    <w:p w14:paraId="15ABFB1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投标人在参加政府采购活动前3年内因违法经营被禁止在一定期限内参加政府采购活动，期限届满的，可以参加政府采购活动。</w:t>
      </w:r>
    </w:p>
    <w:p w14:paraId="75083BB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“较大数额罚款”认定为200万元以上的罚款，法律、行政法规以及国务院有关部门明确规定相关领域“较大数额罚款”标准高于200万元的，从其规定。</w:t>
      </w:r>
    </w:p>
    <w:p w14:paraId="58146B5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3.1.4信用记录要求</w:t>
      </w:r>
    </w:p>
    <w:p w14:paraId="4E71D0C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采购人、采购代理机构应当通过“信用中国”网站（www.creditchina.gov.cn）、中国政府采购网（www.ccgp.gov.cn）等渠道查询投标人的信用记录，并对投标人信用记录进行甄别，对列入失信被执行人、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、政府采购严重违法失信行为记录名单及其他不符合《</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》第二十二条规定条件的投标人，应当拒绝其参与政府采购活动。</w:t>
      </w:r>
    </w:p>
    <w:p w14:paraId="205F04CF">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645A192E">
      <w:pPr>
        <w:pStyle w:val="6"/>
        <w:spacing w:line="500" w:lineRule="exact"/>
        <w:ind w:firstLine="422"/>
        <w:rPr>
          <w:rFonts w:hint="eastAsia" w:ascii="宋体" w:hAnsi="宋体" w:cs="宋体"/>
          <w:color w:val="auto"/>
          <w:sz w:val="21"/>
          <w:highlight w:val="none"/>
        </w:rPr>
      </w:pPr>
      <w:bookmarkStart w:id="174" w:name="_Toc164680187"/>
      <w:bookmarkStart w:id="175" w:name="_Toc12796"/>
      <w:bookmarkStart w:id="176" w:name="_Toc164680628"/>
      <w:bookmarkStart w:id="177" w:name="_Toc164680851"/>
      <w:bookmarkStart w:id="178" w:name="_Toc9141"/>
      <w:bookmarkStart w:id="179" w:name="_Toc164680409"/>
      <w:bookmarkStart w:id="180" w:name="_Toc164182699"/>
      <w:bookmarkStart w:id="181" w:name="_Toc164181997"/>
      <w:bookmarkStart w:id="182" w:name="_Toc164181679"/>
      <w:r>
        <w:rPr>
          <w:rFonts w:hint="eastAsia" w:ascii="宋体" w:hAnsi="宋体" w:cs="宋体"/>
          <w:color w:val="auto"/>
          <w:sz w:val="21"/>
          <w:highlight w:val="none"/>
        </w:rPr>
        <w:t>3.2 联合体</w:t>
      </w:r>
      <w:bookmarkEnd w:id="174"/>
      <w:bookmarkEnd w:id="175"/>
      <w:bookmarkEnd w:id="176"/>
      <w:bookmarkEnd w:id="177"/>
      <w:bookmarkEnd w:id="178"/>
      <w:bookmarkEnd w:id="179"/>
      <w:bookmarkEnd w:id="180"/>
      <w:bookmarkEnd w:id="181"/>
      <w:bookmarkEnd w:id="182"/>
    </w:p>
    <w:p w14:paraId="77F464D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3.2.1若本项目接受联合体投标，则两个以上的自然人、法人或者其他组织可以组成一个联合体，以一个投标人的身份共同参加政府采购。</w:t>
      </w:r>
    </w:p>
    <w:p w14:paraId="2A599E6B">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3.2.2以联合体形式参加投标的，联合体各方应按第二章要求提供资格条件材料。</w:t>
      </w:r>
    </w:p>
    <w:p w14:paraId="0E83C60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3.2.3联合体中有同类资质的投标人按照联合体分工承担相同工作的，应当按照资质等级较低的投标人确定资质等级。</w:t>
      </w:r>
    </w:p>
    <w:p w14:paraId="5025F34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3.2.4联合体应当提交联合协议，载明联合体各方承担的工作和义务。</w:t>
      </w:r>
    </w:p>
    <w:p w14:paraId="49D84F0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3.2.5联合体各方应当共同与采购人签订采购合同，就采购合同约定的事项对采购人承担连带责任。</w:t>
      </w:r>
    </w:p>
    <w:p w14:paraId="3C04BC7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3.2.6以联合体形式参加政府采购活动的，联合体各方不得再单独参加或者与其他投标人另外组成联合体参加同一合同项下的政府采购活动。</w:t>
      </w:r>
    </w:p>
    <w:p w14:paraId="0EF9125B">
      <w:pPr>
        <w:pStyle w:val="6"/>
        <w:spacing w:line="500" w:lineRule="exact"/>
        <w:ind w:firstLine="422"/>
        <w:rPr>
          <w:rFonts w:hint="eastAsia" w:ascii="宋体" w:hAnsi="宋体" w:cs="宋体"/>
          <w:color w:val="auto"/>
          <w:sz w:val="21"/>
          <w:highlight w:val="none"/>
        </w:rPr>
      </w:pPr>
      <w:bookmarkStart w:id="183" w:name="_Toc164680852"/>
      <w:bookmarkStart w:id="184" w:name="_Toc164680410"/>
      <w:bookmarkStart w:id="185" w:name="_Toc164181680"/>
      <w:bookmarkStart w:id="186" w:name="_Toc164680629"/>
      <w:bookmarkStart w:id="187" w:name="_Toc21095"/>
      <w:bookmarkStart w:id="188" w:name="_Toc164181998"/>
      <w:bookmarkStart w:id="189" w:name="_Toc164182700"/>
      <w:bookmarkStart w:id="190" w:name="_Toc164680188"/>
      <w:bookmarkStart w:id="191" w:name="_Toc27275"/>
      <w:r>
        <w:rPr>
          <w:rFonts w:hint="eastAsia" w:ascii="宋体" w:hAnsi="宋体" w:cs="宋体"/>
          <w:color w:val="auto"/>
          <w:sz w:val="21"/>
          <w:highlight w:val="none"/>
        </w:rPr>
        <w:t>3.3 禁止规定</w:t>
      </w:r>
      <w:bookmarkEnd w:id="183"/>
      <w:bookmarkEnd w:id="184"/>
      <w:bookmarkEnd w:id="185"/>
      <w:bookmarkEnd w:id="186"/>
      <w:bookmarkEnd w:id="187"/>
      <w:bookmarkEnd w:id="188"/>
      <w:bookmarkEnd w:id="189"/>
      <w:bookmarkEnd w:id="190"/>
      <w:bookmarkEnd w:id="191"/>
    </w:p>
    <w:p w14:paraId="567B598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3.3.1单位负责人为同一人或者存在直接控股、管理关系的不同投标人，不得参加同一采购包的政府采购活动。否则投标均无效。</w:t>
      </w:r>
    </w:p>
    <w:p w14:paraId="5210BF9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3.3.2除单一来源采购项目外，为采购项目提供整体设计、规范编制或者项目管理、监理、检测等服务的投标人，不得再参加该采购项目的其他采购活动。否则投标无效。</w:t>
      </w:r>
    </w:p>
    <w:p w14:paraId="0665BF39">
      <w:pPr>
        <w:pStyle w:val="5"/>
        <w:spacing w:line="500" w:lineRule="exact"/>
        <w:outlineLvl w:val="2"/>
        <w:rPr>
          <w:rFonts w:hint="eastAsia" w:ascii="宋体" w:hAnsi="宋体" w:cs="宋体"/>
          <w:color w:val="auto"/>
          <w:sz w:val="21"/>
          <w:highlight w:val="none"/>
        </w:rPr>
      </w:pPr>
      <w:bookmarkStart w:id="192" w:name="_Toc164680189"/>
      <w:bookmarkStart w:id="193" w:name="_Toc164680630"/>
      <w:bookmarkStart w:id="194" w:name="_Toc164182380"/>
      <w:bookmarkStart w:id="195" w:name="_Toc164182216"/>
      <w:bookmarkStart w:id="196" w:name="_Toc164681233"/>
      <w:bookmarkStart w:id="197" w:name="_Toc164181999"/>
      <w:bookmarkStart w:id="198" w:name="_Toc164181681"/>
      <w:bookmarkStart w:id="199" w:name="_Toc164680411"/>
      <w:bookmarkStart w:id="200" w:name="_Toc11253"/>
      <w:bookmarkStart w:id="201" w:name="_Toc164182701"/>
      <w:bookmarkStart w:id="202" w:name="_Toc8780"/>
      <w:bookmarkStart w:id="203" w:name="_Toc32326"/>
      <w:bookmarkStart w:id="204" w:name="_Toc164680853"/>
      <w:bookmarkStart w:id="205" w:name="_Toc12664"/>
      <w:bookmarkStart w:id="206" w:name="_Toc13257"/>
      <w:r>
        <w:rPr>
          <w:rFonts w:hint="eastAsia" w:ascii="宋体" w:hAnsi="宋体" w:cs="宋体"/>
          <w:color w:val="auto"/>
          <w:sz w:val="21"/>
          <w:highlight w:val="none"/>
        </w:rPr>
        <w:t>4．投标费用</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3986517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4.1 投标人应承担所有与编写、提交投标文件有关的费用，不论招标的结果如何，采购人在任何情况下均无义务和责任承担这些费用。</w:t>
      </w:r>
    </w:p>
    <w:p w14:paraId="7B22C692">
      <w:pPr>
        <w:pStyle w:val="4"/>
        <w:spacing w:line="500" w:lineRule="exact"/>
        <w:jc w:val="center"/>
        <w:outlineLvl w:val="1"/>
        <w:rPr>
          <w:rFonts w:hint="eastAsia" w:ascii="宋体" w:hAnsi="宋体" w:cs="宋体"/>
          <w:color w:val="auto"/>
          <w:sz w:val="21"/>
          <w:szCs w:val="21"/>
          <w:highlight w:val="none"/>
        </w:rPr>
      </w:pPr>
      <w:bookmarkStart w:id="207" w:name="_Toc29971"/>
      <w:bookmarkStart w:id="208" w:name="_Toc164182217"/>
      <w:bookmarkStart w:id="209" w:name="_Toc164680631"/>
      <w:bookmarkStart w:id="210" w:name="_Toc31516"/>
      <w:bookmarkStart w:id="211" w:name="_Toc164680412"/>
      <w:bookmarkStart w:id="212" w:name="_Toc164680854"/>
      <w:bookmarkStart w:id="213" w:name="_Toc19495"/>
      <w:bookmarkStart w:id="214" w:name="_Toc164680190"/>
      <w:bookmarkStart w:id="215" w:name="_Toc164182702"/>
      <w:bookmarkStart w:id="216" w:name="_Toc22992"/>
      <w:bookmarkStart w:id="217" w:name="_Toc164181682"/>
      <w:bookmarkStart w:id="218" w:name="_Toc1877"/>
      <w:bookmarkStart w:id="219" w:name="_Toc16451"/>
      <w:bookmarkStart w:id="220" w:name="_Toc164681234"/>
      <w:bookmarkStart w:id="221" w:name="_Toc164182000"/>
      <w:r>
        <w:rPr>
          <w:rFonts w:hint="eastAsia" w:ascii="宋体" w:hAnsi="宋体" w:cs="宋体"/>
          <w:color w:val="auto"/>
          <w:sz w:val="21"/>
          <w:szCs w:val="21"/>
          <w:highlight w:val="none"/>
        </w:rPr>
        <w:t>二、招标文件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5B2AE3B7">
      <w:pPr>
        <w:pStyle w:val="5"/>
        <w:spacing w:line="500" w:lineRule="exact"/>
        <w:rPr>
          <w:rFonts w:hint="eastAsia" w:ascii="宋体" w:hAnsi="宋体" w:cs="宋体"/>
          <w:color w:val="auto"/>
          <w:sz w:val="21"/>
          <w:highlight w:val="none"/>
        </w:rPr>
      </w:pPr>
      <w:bookmarkStart w:id="222" w:name="_Toc23037"/>
      <w:bookmarkStart w:id="223" w:name="_Toc164680191"/>
      <w:bookmarkStart w:id="224" w:name="_Toc21052"/>
      <w:bookmarkStart w:id="225" w:name="_Toc17253"/>
      <w:bookmarkStart w:id="226" w:name="_Toc164680413"/>
      <w:bookmarkStart w:id="227" w:name="_Toc164182218"/>
      <w:bookmarkStart w:id="228" w:name="_Toc164181683"/>
      <w:bookmarkStart w:id="229" w:name="_Toc164680632"/>
      <w:bookmarkStart w:id="230" w:name="_Toc164681235"/>
      <w:bookmarkStart w:id="231" w:name="_Toc164182703"/>
      <w:bookmarkStart w:id="232" w:name="_Toc164182382"/>
      <w:bookmarkStart w:id="233" w:name="_Toc31392"/>
      <w:bookmarkStart w:id="234" w:name="_Toc164182001"/>
      <w:bookmarkStart w:id="235" w:name="_Toc164680855"/>
      <w:r>
        <w:rPr>
          <w:rFonts w:hint="eastAsia" w:ascii="宋体" w:hAnsi="宋体" w:cs="宋体"/>
          <w:color w:val="auto"/>
          <w:sz w:val="21"/>
          <w:highlight w:val="none"/>
        </w:rPr>
        <w:t>5．招标文件构成</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6A5DE22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第一章  招标公告</w:t>
      </w:r>
    </w:p>
    <w:p w14:paraId="5C11E61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第二章  投标人须知</w:t>
      </w:r>
    </w:p>
    <w:p w14:paraId="1D34CF8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第三章  评标方法及标准</w:t>
      </w:r>
    </w:p>
    <w:p w14:paraId="1C56F38F">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第四章  政府采购合同文本</w:t>
      </w:r>
    </w:p>
    <w:p w14:paraId="5D41516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第五章  投标文件格式</w:t>
      </w:r>
    </w:p>
    <w:p w14:paraId="40AFBC2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第六章  项目采购需求</w:t>
      </w:r>
    </w:p>
    <w:p w14:paraId="52E501BE">
      <w:pPr>
        <w:pStyle w:val="5"/>
        <w:spacing w:line="500" w:lineRule="exact"/>
        <w:rPr>
          <w:rFonts w:hint="eastAsia" w:ascii="宋体" w:hAnsi="宋体" w:cs="宋体"/>
          <w:color w:val="auto"/>
          <w:sz w:val="21"/>
          <w:highlight w:val="none"/>
        </w:rPr>
      </w:pPr>
      <w:bookmarkStart w:id="236" w:name="_Toc164680856"/>
      <w:bookmarkStart w:id="237" w:name="_Toc164181684"/>
      <w:bookmarkStart w:id="238" w:name="_Toc24748"/>
      <w:bookmarkStart w:id="239" w:name="_Toc164182383"/>
      <w:bookmarkStart w:id="240" w:name="_Toc164681236"/>
      <w:bookmarkStart w:id="241" w:name="_Toc164680414"/>
      <w:bookmarkStart w:id="242" w:name="_Toc164680633"/>
      <w:bookmarkStart w:id="243" w:name="_Toc164182002"/>
      <w:bookmarkStart w:id="244" w:name="_Toc164182219"/>
      <w:bookmarkStart w:id="245" w:name="_Toc17379"/>
      <w:bookmarkStart w:id="246" w:name="_Toc164680192"/>
      <w:bookmarkStart w:id="247" w:name="_Toc27729"/>
      <w:bookmarkStart w:id="248" w:name="_Toc164182704"/>
      <w:bookmarkStart w:id="249" w:name="_Toc11729"/>
      <w:r>
        <w:rPr>
          <w:rFonts w:hint="eastAsia" w:ascii="宋体" w:hAnsi="宋体" w:cs="宋体"/>
          <w:color w:val="auto"/>
          <w:sz w:val="21"/>
          <w:highlight w:val="none"/>
        </w:rPr>
        <w:t>6．招标文件询问、澄清或修改</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0E86B60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 投标人对招标文件如有疑问的，可以向采购人或者采购代理机构提出询问，采购人或者采购代理机构应当在3个工作日内作出答复，但答复的内容不得涉及商业秘密。如有必要，采购人或者采购代理机构可对招标文件进行澄清或者修改。</w:t>
      </w:r>
    </w:p>
    <w:p w14:paraId="5230318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 采购人或者采购代理机构可主动对招标文件进行必要的澄清或者修改，但不得改变采购标的和资格条件。</w:t>
      </w:r>
    </w:p>
    <w:p w14:paraId="4BB7654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6.3 澄清或者修改应当在原公告发布媒体上发布澄清公告，线上采购项目还应通过国家税务总局政府采购评审管理系统（以下简称“评审管理系统”）通知所有获取招标文件的潜在投标人。</w:t>
      </w:r>
    </w:p>
    <w:p w14:paraId="1E57541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004FCA8B">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6.5 澄清或者修改的内容为招标文件的组成部分。</w:t>
      </w:r>
    </w:p>
    <w:p w14:paraId="531297E6">
      <w:pPr>
        <w:pStyle w:val="4"/>
        <w:spacing w:line="500" w:lineRule="exact"/>
        <w:jc w:val="center"/>
        <w:outlineLvl w:val="1"/>
        <w:rPr>
          <w:rFonts w:hint="eastAsia" w:ascii="宋体" w:hAnsi="宋体" w:cs="宋体"/>
          <w:color w:val="auto"/>
          <w:sz w:val="21"/>
          <w:szCs w:val="21"/>
          <w:highlight w:val="none"/>
        </w:rPr>
      </w:pPr>
      <w:bookmarkStart w:id="250" w:name="_Toc164680634"/>
      <w:bookmarkStart w:id="251" w:name="_Toc20202"/>
      <w:bookmarkStart w:id="252" w:name="_Toc164680857"/>
      <w:bookmarkStart w:id="253" w:name="_Toc164681237"/>
      <w:bookmarkStart w:id="254" w:name="_Toc15131"/>
      <w:bookmarkStart w:id="255" w:name="_Toc164181685"/>
      <w:bookmarkStart w:id="256" w:name="_Toc164182705"/>
      <w:bookmarkStart w:id="257" w:name="_Toc4001"/>
      <w:bookmarkStart w:id="258" w:name="_Toc164182003"/>
      <w:bookmarkStart w:id="259" w:name="_Toc2479"/>
      <w:bookmarkStart w:id="260" w:name="_Toc12900"/>
      <w:bookmarkStart w:id="261" w:name="_Toc8285"/>
      <w:bookmarkStart w:id="262" w:name="_Toc164680415"/>
      <w:bookmarkStart w:id="263" w:name="_Toc164182220"/>
      <w:bookmarkStart w:id="264" w:name="_Toc164680193"/>
      <w:r>
        <w:rPr>
          <w:rFonts w:hint="eastAsia" w:ascii="宋体" w:hAnsi="宋体" w:cs="宋体"/>
          <w:color w:val="auto"/>
          <w:sz w:val="21"/>
          <w:szCs w:val="21"/>
          <w:highlight w:val="none"/>
        </w:rPr>
        <w:t>三、投标文件</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02FBBF1E">
      <w:pPr>
        <w:pStyle w:val="5"/>
        <w:spacing w:line="500" w:lineRule="exact"/>
        <w:rPr>
          <w:rFonts w:hint="eastAsia" w:ascii="宋体" w:hAnsi="宋体" w:cs="宋体"/>
          <w:color w:val="auto"/>
          <w:sz w:val="21"/>
          <w:highlight w:val="none"/>
        </w:rPr>
      </w:pPr>
      <w:bookmarkStart w:id="265" w:name="_Toc8033"/>
      <w:bookmarkStart w:id="266" w:name="_Toc164680416"/>
      <w:bookmarkStart w:id="267" w:name="_Toc164680858"/>
      <w:bookmarkStart w:id="268" w:name="_Toc164182004"/>
      <w:bookmarkStart w:id="269" w:name="_Toc2773"/>
      <w:bookmarkStart w:id="270" w:name="_Toc164680194"/>
      <w:bookmarkStart w:id="271" w:name="_Toc164681238"/>
      <w:bookmarkStart w:id="272" w:name="_Toc164181686"/>
      <w:bookmarkStart w:id="273" w:name="_Toc164182221"/>
      <w:bookmarkStart w:id="274" w:name="_Toc164182706"/>
      <w:bookmarkStart w:id="275" w:name="_Toc28689"/>
      <w:bookmarkStart w:id="276" w:name="_Toc32308"/>
      <w:bookmarkStart w:id="277" w:name="_Toc164680635"/>
      <w:bookmarkStart w:id="278" w:name="_Toc164182385"/>
      <w:r>
        <w:rPr>
          <w:rFonts w:hint="eastAsia" w:ascii="宋体" w:hAnsi="宋体" w:cs="宋体"/>
          <w:color w:val="auto"/>
          <w:sz w:val="21"/>
          <w:highlight w:val="none"/>
        </w:rPr>
        <w:t>7．投标文件编制</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2DD4116">
      <w:pPr>
        <w:pStyle w:val="6"/>
        <w:spacing w:line="500" w:lineRule="exact"/>
        <w:ind w:firstLine="422"/>
        <w:rPr>
          <w:rFonts w:hint="eastAsia" w:ascii="宋体" w:hAnsi="宋体" w:cs="宋体"/>
          <w:color w:val="auto"/>
          <w:sz w:val="21"/>
          <w:highlight w:val="none"/>
        </w:rPr>
      </w:pPr>
      <w:bookmarkStart w:id="279" w:name="_Toc20491"/>
      <w:bookmarkStart w:id="280" w:name="_Toc164181687"/>
      <w:bookmarkStart w:id="281" w:name="_Toc9191"/>
      <w:bookmarkStart w:id="282" w:name="_Toc164680195"/>
      <w:bookmarkStart w:id="283" w:name="_Toc164182005"/>
      <w:bookmarkStart w:id="284" w:name="_Toc164680859"/>
      <w:bookmarkStart w:id="285" w:name="_Toc164182707"/>
      <w:bookmarkStart w:id="286" w:name="_Toc164680417"/>
      <w:bookmarkStart w:id="287" w:name="_Toc164680636"/>
      <w:r>
        <w:rPr>
          <w:rFonts w:hint="eastAsia" w:ascii="宋体" w:hAnsi="宋体" w:cs="宋体"/>
          <w:color w:val="auto"/>
          <w:sz w:val="21"/>
          <w:highlight w:val="none"/>
        </w:rPr>
        <w:t>7.1 投标文件的编制</w:t>
      </w:r>
      <w:bookmarkEnd w:id="279"/>
      <w:bookmarkEnd w:id="280"/>
      <w:bookmarkEnd w:id="281"/>
      <w:bookmarkEnd w:id="282"/>
      <w:bookmarkEnd w:id="283"/>
      <w:bookmarkEnd w:id="284"/>
      <w:bookmarkEnd w:id="285"/>
      <w:bookmarkEnd w:id="286"/>
      <w:bookmarkEnd w:id="287"/>
    </w:p>
    <w:p w14:paraId="42FF8B6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7.1.1投标人应先仔细阅读招标文件的全部内容后，再进行投标文件的编制。</w:t>
      </w:r>
    </w:p>
    <w:p w14:paraId="72D535E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7.1.2投标文件应满足招标文件提出的实质性要求和条件，并保证其所提交的全部资料是不可割离且真实、有效、准确、完整和不具有任何误导性的，否则造成不利后果由投标人承担责任。</w:t>
      </w:r>
    </w:p>
    <w:p w14:paraId="6B06B485">
      <w:pPr>
        <w:pStyle w:val="6"/>
        <w:spacing w:line="500" w:lineRule="exact"/>
        <w:ind w:firstLine="422"/>
        <w:rPr>
          <w:rFonts w:hint="eastAsia" w:ascii="宋体" w:hAnsi="宋体" w:cs="宋体"/>
          <w:color w:val="auto"/>
          <w:sz w:val="21"/>
          <w:highlight w:val="none"/>
        </w:rPr>
      </w:pPr>
      <w:bookmarkStart w:id="288" w:name="_Toc13196"/>
      <w:bookmarkStart w:id="289" w:name="_Toc164182006"/>
      <w:bookmarkStart w:id="290" w:name="_Toc164680418"/>
      <w:bookmarkStart w:id="291" w:name="_Toc164680196"/>
      <w:bookmarkStart w:id="292" w:name="_Toc164680860"/>
      <w:bookmarkStart w:id="293" w:name="_Toc11711"/>
      <w:bookmarkStart w:id="294" w:name="_Toc164182708"/>
      <w:bookmarkStart w:id="295" w:name="_Toc164181688"/>
      <w:bookmarkStart w:id="296" w:name="_Toc164680637"/>
      <w:r>
        <w:rPr>
          <w:rFonts w:hint="eastAsia" w:ascii="宋体" w:hAnsi="宋体" w:cs="宋体"/>
          <w:color w:val="auto"/>
          <w:sz w:val="21"/>
          <w:highlight w:val="none"/>
        </w:rPr>
        <w:t>7.2 投标文件的语言</w:t>
      </w:r>
      <w:bookmarkEnd w:id="288"/>
      <w:bookmarkEnd w:id="289"/>
      <w:bookmarkEnd w:id="290"/>
      <w:bookmarkEnd w:id="291"/>
      <w:bookmarkEnd w:id="292"/>
      <w:bookmarkEnd w:id="293"/>
      <w:bookmarkEnd w:id="294"/>
      <w:bookmarkEnd w:id="295"/>
      <w:bookmarkEnd w:id="296"/>
    </w:p>
    <w:p w14:paraId="410F53A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7.2.1除招标文件另有规定外，投标文件应使用中文文本并使用中文简化字，若有不同文本，以中文简化字文本为准。</w:t>
      </w:r>
    </w:p>
    <w:p w14:paraId="60682B79">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7.2.2投标文件提供的全部资料中，若属于非中文描述的，应同时提供中文简化字译本。</w:t>
      </w:r>
    </w:p>
    <w:p w14:paraId="11C9781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7.2.3除在招标文件的要求中另有规定外，投标文件计量单位应使用中华人民共和国法定计量单位。</w:t>
      </w:r>
    </w:p>
    <w:p w14:paraId="0985D097">
      <w:pPr>
        <w:pStyle w:val="5"/>
        <w:spacing w:line="500" w:lineRule="exact"/>
        <w:rPr>
          <w:rFonts w:hint="eastAsia" w:ascii="宋体" w:hAnsi="宋体" w:cs="宋体"/>
          <w:color w:val="auto"/>
          <w:sz w:val="21"/>
          <w:highlight w:val="none"/>
        </w:rPr>
      </w:pPr>
      <w:bookmarkStart w:id="297" w:name="_Toc164182222"/>
      <w:bookmarkStart w:id="298" w:name="_Toc18817"/>
      <w:bookmarkStart w:id="299" w:name="_Toc164680862"/>
      <w:bookmarkStart w:id="300" w:name="_Toc5191"/>
      <w:bookmarkStart w:id="301" w:name="_Toc164182710"/>
      <w:bookmarkStart w:id="302" w:name="_Toc164680639"/>
      <w:bookmarkStart w:id="303" w:name="_Toc164681239"/>
      <w:bookmarkStart w:id="304" w:name="_Toc22143"/>
      <w:bookmarkStart w:id="305" w:name="_Toc2371"/>
      <w:bookmarkStart w:id="306" w:name="_Toc164680420"/>
      <w:bookmarkStart w:id="307" w:name="_Toc164680198"/>
      <w:bookmarkStart w:id="308" w:name="_Toc164182008"/>
      <w:bookmarkStart w:id="309" w:name="_Toc164182386"/>
      <w:bookmarkStart w:id="310" w:name="_Toc164181690"/>
      <w:r>
        <w:rPr>
          <w:rFonts w:hint="eastAsia" w:ascii="宋体" w:hAnsi="宋体" w:cs="宋体"/>
          <w:color w:val="auto"/>
          <w:sz w:val="21"/>
          <w:highlight w:val="none"/>
        </w:rPr>
        <w:t>8．投标文件的组成</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40E765E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 投标文件包括商务部分和技术部分。</w:t>
      </w:r>
    </w:p>
    <w:p w14:paraId="0CFED96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8.2 投标文件商务部分主要包括的文件和资料：</w:t>
      </w:r>
    </w:p>
    <w:p w14:paraId="60BDCEF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8.2.1 资格证明文件，见投标人须知前附表。</w:t>
      </w:r>
    </w:p>
    <w:p w14:paraId="775579F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8.2.2 其他文件及资料，见投标人须知前附表。</w:t>
      </w:r>
    </w:p>
    <w:p w14:paraId="6CC992B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8.3 投标文件技术部分主要包括的文件及资料，见投标人须知前附表。</w:t>
      </w:r>
    </w:p>
    <w:p w14:paraId="68FA6F3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8.4 证明资料如标明有效期的，必须在有效期内。</w:t>
      </w:r>
    </w:p>
    <w:p w14:paraId="40FA380F">
      <w:pPr>
        <w:pStyle w:val="5"/>
        <w:spacing w:line="500" w:lineRule="exact"/>
        <w:rPr>
          <w:rFonts w:hint="eastAsia" w:ascii="宋体" w:hAnsi="宋体" w:cs="宋体"/>
          <w:color w:val="auto"/>
          <w:sz w:val="21"/>
          <w:highlight w:val="none"/>
        </w:rPr>
      </w:pPr>
      <w:bookmarkStart w:id="311" w:name="_Toc6932"/>
      <w:bookmarkStart w:id="312" w:name="_Toc164681240"/>
      <w:bookmarkStart w:id="313" w:name="_Toc23516"/>
      <w:bookmarkStart w:id="314" w:name="_Toc8020"/>
      <w:bookmarkStart w:id="315" w:name="_Toc164181691"/>
      <w:bookmarkStart w:id="316" w:name="_Toc164182711"/>
      <w:bookmarkStart w:id="317" w:name="_Toc164680640"/>
      <w:bookmarkStart w:id="318" w:name="_Toc164182009"/>
      <w:bookmarkStart w:id="319" w:name="_Toc15545"/>
      <w:bookmarkStart w:id="320" w:name="_Toc164680199"/>
      <w:bookmarkStart w:id="321" w:name="_Toc164680863"/>
      <w:bookmarkStart w:id="322" w:name="_Toc164680421"/>
      <w:bookmarkStart w:id="323" w:name="_Toc164182387"/>
      <w:bookmarkStart w:id="324" w:name="_Toc164182223"/>
      <w:r>
        <w:rPr>
          <w:rFonts w:hint="eastAsia" w:ascii="宋体" w:hAnsi="宋体" w:cs="宋体"/>
          <w:color w:val="auto"/>
          <w:sz w:val="21"/>
          <w:highlight w:val="none"/>
        </w:rPr>
        <w:t>9．报价要求</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691D7E1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 除招标文件另有规定外，投标应以人民币报价。</w:t>
      </w:r>
    </w:p>
    <w:p w14:paraId="01CEFFE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9.2 本项目不接受任何形式的赠送、“零”报价和折扣报价。</w:t>
      </w:r>
    </w:p>
    <w:p w14:paraId="0E83F29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9.3 本项目以投标报价为依据计算价格分。投标报价应包括招标文件中要求投标人承担所有工作内容的全部费用。</w:t>
      </w:r>
    </w:p>
    <w:p w14:paraId="3E999A4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DB416EB">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9.5 最低报价不能作为中标的保证。</w:t>
      </w:r>
    </w:p>
    <w:p w14:paraId="35C82C82">
      <w:pPr>
        <w:pStyle w:val="5"/>
        <w:spacing w:line="500" w:lineRule="exact"/>
        <w:rPr>
          <w:rFonts w:hint="eastAsia" w:ascii="宋体" w:hAnsi="宋体" w:cs="宋体"/>
          <w:color w:val="auto"/>
          <w:sz w:val="21"/>
          <w:highlight w:val="none"/>
        </w:rPr>
      </w:pPr>
      <w:bookmarkStart w:id="325" w:name="_Toc164681241"/>
      <w:bookmarkStart w:id="326" w:name="_Toc164680200"/>
      <w:bookmarkStart w:id="327" w:name="_Toc164182010"/>
      <w:bookmarkStart w:id="328" w:name="_Toc164680641"/>
      <w:bookmarkStart w:id="329" w:name="_Toc164182388"/>
      <w:bookmarkStart w:id="330" w:name="_Toc3345"/>
      <w:bookmarkStart w:id="331" w:name="_Toc164181692"/>
      <w:bookmarkStart w:id="332" w:name="_Toc32738"/>
      <w:bookmarkStart w:id="333" w:name="_Toc164182712"/>
      <w:bookmarkStart w:id="334" w:name="_Toc598"/>
      <w:bookmarkStart w:id="335" w:name="_Toc164680422"/>
      <w:bookmarkStart w:id="336" w:name="_Toc164680864"/>
      <w:bookmarkStart w:id="337" w:name="_Toc164182224"/>
      <w:bookmarkStart w:id="338" w:name="_Toc8244"/>
      <w:r>
        <w:rPr>
          <w:rFonts w:hint="eastAsia" w:ascii="宋体" w:hAnsi="宋体" w:cs="宋体"/>
          <w:color w:val="auto"/>
          <w:sz w:val="21"/>
          <w:highlight w:val="none"/>
        </w:rPr>
        <w:t>10．投标文件的书写、密封、签署、盖章</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7DE6052A">
      <w:pPr>
        <w:pStyle w:val="52"/>
        <w:widowControl w:val="0"/>
        <w:spacing w:line="360" w:lineRule="auto"/>
        <w:ind w:firstLine="420" w:firstLineChars="200"/>
        <w:jc w:val="both"/>
        <w:rPr>
          <w:rFonts w:ascii="宋体" w:hAnsi="宋体" w:cs="宋体"/>
          <w:color w:val="auto"/>
          <w:sz w:val="21"/>
          <w:szCs w:val="21"/>
          <w:highlight w:val="none"/>
        </w:rPr>
      </w:pPr>
      <w:bookmarkStart w:id="339" w:name="_Toc1631"/>
      <w:bookmarkStart w:id="340" w:name="_Toc164680645"/>
      <w:bookmarkStart w:id="341" w:name="_Toc164181696"/>
      <w:bookmarkStart w:id="342" w:name="_Toc164182716"/>
      <w:bookmarkStart w:id="343" w:name="_Toc22092"/>
      <w:bookmarkStart w:id="344" w:name="_Toc28826"/>
      <w:bookmarkStart w:id="345" w:name="_Toc164680426"/>
      <w:bookmarkStart w:id="346" w:name="_Toc164182389"/>
      <w:bookmarkStart w:id="347" w:name="_Toc164182014"/>
      <w:bookmarkStart w:id="348" w:name="_Toc164681242"/>
      <w:bookmarkStart w:id="349" w:name="_Toc164680204"/>
      <w:bookmarkStart w:id="350" w:name="_Toc164680868"/>
      <w:bookmarkStart w:id="351" w:name="_Toc10442"/>
      <w:bookmarkStart w:id="352" w:name="_Toc164182225"/>
      <w:r>
        <w:rPr>
          <w:rFonts w:ascii="宋体" w:hAnsi="宋体" w:cs="宋体"/>
          <w:color w:val="auto"/>
          <w:sz w:val="21"/>
          <w:szCs w:val="21"/>
          <w:highlight w:val="none"/>
        </w:rPr>
        <w:t>10.1书写</w:t>
      </w:r>
    </w:p>
    <w:p w14:paraId="77CC7785">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10.1.1投标文件应使用不能擦去的墨料或墨水打印、书写。</w:t>
      </w:r>
    </w:p>
    <w:p w14:paraId="5094A04E">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10.1.2投标文件内容应没有涂改或行间插字。若有前述改动，在改动处应由单位负责人（投标人代表）签字确认或加盖投标人的单位公章或校正章。</w:t>
      </w:r>
    </w:p>
    <w:p w14:paraId="01AC210B">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10.2密封</w:t>
      </w:r>
    </w:p>
    <w:p w14:paraId="31D005B4">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10.2.1投标文件应胶装或装订成册，避免材料散装、脱落。</w:t>
      </w:r>
    </w:p>
    <w:p w14:paraId="3D2A4433">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10.2.2投标文件应使用不透明的牛皮纸或档案袋等材料密封包装，并在外包装封面注明“正本”或“副本”，以及项目编号、项目名称、投标人名称和地址等信息，避免投标文件被误拆或提前拆封。投标文件正本应按上述要求制作。副本可按上述要求制作，也可用正本的完整复印件，并与正本保持一致（若不一致，以正本为准）；为方便开标唱标，投标人应提供开标信封（开标一览表），单独密封递交，并在开标信封上标明“开标一览表”字样。电子版单独密封递交，并在密封信封上标明“电子版投标文件”字样。</w:t>
      </w:r>
    </w:p>
    <w:p w14:paraId="7E0034A9">
      <w:pPr>
        <w:adjustRightInd w:val="0"/>
        <w:snapToGrid w:val="0"/>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注明“在202</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年</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月</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日</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时</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分之前不得启封”的字样。</w:t>
      </w:r>
    </w:p>
    <w:p w14:paraId="6DD08685">
      <w:pPr>
        <w:adjustRightInd w:val="0"/>
        <w:snapToGrid w:val="0"/>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封口处须粘贴密封条并加盖投标人公章（鲜章）。</w:t>
      </w:r>
    </w:p>
    <w:p w14:paraId="4BF12CA5">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10.3签署、盖章</w:t>
      </w:r>
    </w:p>
    <w:p w14:paraId="6D8E1972">
      <w:pPr>
        <w:topLinePunct/>
        <w:autoSpaceDE w:val="0"/>
        <w:autoSpaceDN w:val="0"/>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10.3.1投标文件中要求签字处应由投标人的单位负责人（投标人代表）签字或加盖个人印章。</w:t>
      </w:r>
    </w:p>
    <w:p w14:paraId="5CB5153A">
      <w:pPr>
        <w:pStyle w:val="52"/>
        <w:widowControl w:val="0"/>
        <w:spacing w:line="360" w:lineRule="auto"/>
        <w:ind w:firstLine="420" w:firstLineChars="200"/>
        <w:jc w:val="both"/>
        <w:rPr>
          <w:rFonts w:ascii="宋体" w:hAnsi="宋体" w:cs="宋体"/>
          <w:color w:val="auto"/>
          <w:sz w:val="21"/>
          <w:szCs w:val="21"/>
          <w:highlight w:val="none"/>
        </w:rPr>
      </w:pPr>
      <w:r>
        <w:rPr>
          <w:rFonts w:ascii="宋体" w:hAnsi="宋体" w:cs="宋体"/>
          <w:color w:val="auto"/>
          <w:sz w:val="21"/>
          <w:szCs w:val="21"/>
          <w:highlight w:val="none"/>
        </w:rPr>
        <w:t>10.3.2投标文件必须按照招标文件给出文件格式的签署要求进行签署。</w:t>
      </w:r>
    </w:p>
    <w:p w14:paraId="5CACF0F0">
      <w:pPr>
        <w:topLinePunct/>
        <w:autoSpaceDE w:val="0"/>
        <w:autoSpaceDN w:val="0"/>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10.3.3投标人在</w:t>
      </w:r>
      <w:r>
        <w:rPr>
          <w:rFonts w:hint="eastAsia" w:ascii="宋体" w:hAnsi="宋体" w:cs="宋体"/>
          <w:b/>
          <w:bCs/>
          <w:color w:val="auto"/>
          <w:szCs w:val="21"/>
          <w:highlight w:val="none"/>
        </w:rPr>
        <w:t>“投标函”“法定代表人授权委托书”</w:t>
      </w:r>
      <w:r>
        <w:rPr>
          <w:rFonts w:hint="eastAsia" w:ascii="宋体" w:hAnsi="宋体" w:cs="宋体"/>
          <w:color w:val="auto"/>
          <w:szCs w:val="21"/>
          <w:highlight w:val="none"/>
        </w:rPr>
        <w:t>上应当按格式要求加盖与投标人名称全称一致的标准公章，并按照招标文件第五章投标文件格式中的相应格式文件要求签署全名或加盖名章。</w:t>
      </w:r>
    </w:p>
    <w:p w14:paraId="4D02A00C">
      <w:pPr>
        <w:topLinePunct/>
        <w:autoSpaceDE w:val="0"/>
        <w:autoSpaceDN w:val="0"/>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10.3.4投标文件中的“盖章”指加盖投标人的“公章”，而非“合同专用章”、“投标专用章”等其他非公章。</w:t>
      </w:r>
    </w:p>
    <w:p w14:paraId="54059158">
      <w:pPr>
        <w:pStyle w:val="5"/>
        <w:spacing w:line="500" w:lineRule="exact"/>
        <w:rPr>
          <w:rFonts w:hint="eastAsia" w:ascii="宋体" w:hAnsi="宋体" w:cs="宋体"/>
          <w:color w:val="auto"/>
          <w:sz w:val="21"/>
          <w:highlight w:val="none"/>
        </w:rPr>
      </w:pPr>
      <w:r>
        <w:rPr>
          <w:rFonts w:hint="eastAsia" w:ascii="宋体" w:hAnsi="宋体" w:cs="宋体"/>
          <w:color w:val="auto"/>
          <w:sz w:val="21"/>
          <w:highlight w:val="none"/>
        </w:rPr>
        <w:t>11．投标有效期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65F059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 投标有效期见投标人须知前附表，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390200E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 特殊情况下，在原投标有效期期满之前，采购人或者采购代理机构可征得投标人同意延长投标有效期。</w:t>
      </w:r>
    </w:p>
    <w:p w14:paraId="45B955E0">
      <w:pPr>
        <w:pStyle w:val="4"/>
        <w:spacing w:line="500" w:lineRule="exact"/>
        <w:jc w:val="center"/>
        <w:outlineLvl w:val="1"/>
        <w:rPr>
          <w:rFonts w:hint="eastAsia" w:ascii="宋体" w:hAnsi="宋体" w:cs="宋体"/>
          <w:color w:val="auto"/>
          <w:sz w:val="21"/>
          <w:szCs w:val="21"/>
          <w:highlight w:val="none"/>
        </w:rPr>
      </w:pPr>
      <w:bookmarkStart w:id="353" w:name="_Toc16522"/>
      <w:bookmarkStart w:id="354" w:name="_Toc8007"/>
      <w:bookmarkStart w:id="355" w:name="_Toc164681243"/>
      <w:bookmarkStart w:id="356" w:name="_Toc164181697"/>
      <w:bookmarkStart w:id="357" w:name="_Toc11180"/>
      <w:bookmarkStart w:id="358" w:name="_Toc4277"/>
      <w:bookmarkStart w:id="359" w:name="_Toc164680427"/>
      <w:bookmarkStart w:id="360" w:name="_Toc164182717"/>
      <w:bookmarkStart w:id="361" w:name="_Toc164680869"/>
      <w:bookmarkStart w:id="362" w:name="_Toc164182226"/>
      <w:bookmarkStart w:id="363" w:name="_Toc164680646"/>
      <w:bookmarkStart w:id="364" w:name="_Toc1369"/>
      <w:bookmarkStart w:id="365" w:name="_Toc164182015"/>
      <w:bookmarkStart w:id="366" w:name="_Toc164680205"/>
      <w:bookmarkStart w:id="367" w:name="_Toc7137"/>
      <w:r>
        <w:rPr>
          <w:rFonts w:hint="eastAsia" w:ascii="宋体" w:hAnsi="宋体" w:cs="宋体"/>
          <w:color w:val="auto"/>
          <w:sz w:val="21"/>
          <w:szCs w:val="21"/>
          <w:highlight w:val="none"/>
        </w:rPr>
        <w:t>四、投标文件递交</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17D0CE51">
      <w:pPr>
        <w:pStyle w:val="5"/>
        <w:spacing w:line="500" w:lineRule="exact"/>
        <w:rPr>
          <w:rFonts w:hint="eastAsia" w:ascii="宋体" w:hAnsi="宋体" w:cs="宋体"/>
          <w:color w:val="auto"/>
          <w:sz w:val="21"/>
          <w:highlight w:val="none"/>
        </w:rPr>
      </w:pPr>
      <w:bookmarkStart w:id="368" w:name="_Toc164182718"/>
      <w:bookmarkStart w:id="369" w:name="_Toc164681244"/>
      <w:bookmarkStart w:id="370" w:name="_Toc164680870"/>
      <w:bookmarkStart w:id="371" w:name="_Toc23577"/>
      <w:bookmarkStart w:id="372" w:name="_Toc164182391"/>
      <w:bookmarkStart w:id="373" w:name="_Toc7818"/>
      <w:bookmarkStart w:id="374" w:name="_Toc164680206"/>
      <w:bookmarkStart w:id="375" w:name="_Toc164680428"/>
      <w:bookmarkStart w:id="376" w:name="_Toc164182227"/>
      <w:bookmarkStart w:id="377" w:name="_Toc6571"/>
      <w:bookmarkStart w:id="378" w:name="_Toc164181698"/>
      <w:bookmarkStart w:id="379" w:name="_Toc164680647"/>
      <w:bookmarkStart w:id="380" w:name="_Toc164182016"/>
      <w:bookmarkStart w:id="381" w:name="_Toc17060"/>
      <w:r>
        <w:rPr>
          <w:rFonts w:hint="eastAsia" w:ascii="宋体" w:hAnsi="宋体" w:cs="宋体"/>
          <w:color w:val="auto"/>
          <w:sz w:val="21"/>
          <w:highlight w:val="none"/>
        </w:rPr>
        <w:t>12．投标文件递交</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6F2886C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 投标人应当在</w:t>
      </w:r>
      <w:r>
        <w:rPr>
          <w:rFonts w:hint="eastAsia" w:ascii="宋体" w:hAnsi="宋体" w:cs="宋体"/>
          <w:b/>
          <w:color w:val="auto"/>
          <w:szCs w:val="21"/>
          <w:highlight w:val="none"/>
        </w:rPr>
        <w:t>投标人须知前附表</w:t>
      </w:r>
      <w:r>
        <w:rPr>
          <w:rFonts w:hint="eastAsia" w:ascii="宋体" w:hAnsi="宋体" w:cs="宋体"/>
          <w:color w:val="auto"/>
          <w:szCs w:val="21"/>
          <w:highlight w:val="none"/>
        </w:rPr>
        <w:t>要求提交投标文件截止时间前，根据《投标人须知前附表》载明方式提交投标文件。提交投标文件截止时间后，递交投标文件的投标将被拒绝。</w:t>
      </w:r>
    </w:p>
    <w:p w14:paraId="4A946330">
      <w:pPr>
        <w:pStyle w:val="5"/>
        <w:spacing w:line="500" w:lineRule="exact"/>
        <w:rPr>
          <w:rFonts w:hint="eastAsia" w:ascii="宋体" w:hAnsi="宋体" w:cs="宋体"/>
          <w:color w:val="auto"/>
          <w:sz w:val="21"/>
          <w:highlight w:val="none"/>
        </w:rPr>
      </w:pPr>
      <w:bookmarkStart w:id="382" w:name="_Toc164680207"/>
      <w:bookmarkStart w:id="383" w:name="_Toc164182228"/>
      <w:bookmarkStart w:id="384" w:name="_Toc164680871"/>
      <w:bookmarkStart w:id="385" w:name="_Toc164181699"/>
      <w:bookmarkStart w:id="386" w:name="_Toc164182719"/>
      <w:bookmarkStart w:id="387" w:name="_Toc164681245"/>
      <w:bookmarkStart w:id="388" w:name="_Toc25124"/>
      <w:bookmarkStart w:id="389" w:name="_Toc164182017"/>
      <w:bookmarkStart w:id="390" w:name="_Toc29886"/>
      <w:bookmarkStart w:id="391" w:name="_Toc11799"/>
      <w:bookmarkStart w:id="392" w:name="_Toc164182392"/>
      <w:bookmarkStart w:id="393" w:name="_Toc14002"/>
      <w:bookmarkStart w:id="394" w:name="_Toc164680429"/>
      <w:bookmarkStart w:id="395" w:name="_Toc164680648"/>
      <w:r>
        <w:rPr>
          <w:rFonts w:hint="eastAsia" w:ascii="宋体" w:hAnsi="宋体" w:cs="宋体"/>
          <w:color w:val="auto"/>
          <w:sz w:val="21"/>
          <w:highlight w:val="none"/>
        </w:rPr>
        <w:t>13．投标文件补充、修改或撤回</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2643F729">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6358F31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13.2 线上采购项目，投标人在投标截止时间前，可以登录评审管理系统对所提交的投标文件进行撤回、补充、修改、重新提交。补充、修改的内容应当按照招标文件要求签署、盖章。</w:t>
      </w:r>
    </w:p>
    <w:p w14:paraId="1031983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13.3 提交投标文件截止时间后，不支持对已提交的投标文件作任何补充、修改或者撤回。</w:t>
      </w:r>
    </w:p>
    <w:p w14:paraId="55C6E699">
      <w:pPr>
        <w:pStyle w:val="4"/>
        <w:spacing w:line="500" w:lineRule="exact"/>
        <w:jc w:val="center"/>
        <w:outlineLvl w:val="1"/>
        <w:rPr>
          <w:rFonts w:hint="eastAsia" w:ascii="宋体" w:hAnsi="宋体" w:cs="宋体"/>
          <w:color w:val="auto"/>
          <w:sz w:val="21"/>
          <w:szCs w:val="21"/>
          <w:highlight w:val="none"/>
        </w:rPr>
      </w:pPr>
      <w:bookmarkStart w:id="396" w:name="_Toc164680430"/>
      <w:bookmarkStart w:id="397" w:name="_Toc31454"/>
      <w:bookmarkStart w:id="398" w:name="_Toc1630"/>
      <w:bookmarkStart w:id="399" w:name="_Toc164182018"/>
      <w:bookmarkStart w:id="400" w:name="_Toc7817"/>
      <w:bookmarkStart w:id="401" w:name="_Toc164680208"/>
      <w:bookmarkStart w:id="402" w:name="_Toc164680649"/>
      <w:bookmarkStart w:id="403" w:name="_Toc4287"/>
      <w:bookmarkStart w:id="404" w:name="_Toc14280"/>
      <w:bookmarkStart w:id="405" w:name="_Toc164182229"/>
      <w:bookmarkStart w:id="406" w:name="_Toc13763"/>
      <w:bookmarkStart w:id="407" w:name="_Toc164181700"/>
      <w:bookmarkStart w:id="408" w:name="_Toc164182720"/>
      <w:bookmarkStart w:id="409" w:name="_Toc164681246"/>
      <w:bookmarkStart w:id="410" w:name="_Toc164680872"/>
      <w:r>
        <w:rPr>
          <w:rFonts w:hint="eastAsia" w:ascii="宋体" w:hAnsi="宋体" w:cs="宋体"/>
          <w:color w:val="auto"/>
          <w:sz w:val="21"/>
          <w:szCs w:val="21"/>
          <w:highlight w:val="none"/>
        </w:rPr>
        <w:t>五、开标与评标</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52AE96E1">
      <w:pPr>
        <w:pStyle w:val="5"/>
        <w:spacing w:line="500" w:lineRule="exact"/>
        <w:rPr>
          <w:rFonts w:hint="eastAsia" w:ascii="宋体" w:hAnsi="宋体" w:cs="宋体"/>
          <w:color w:val="auto"/>
          <w:sz w:val="21"/>
          <w:highlight w:val="none"/>
        </w:rPr>
      </w:pPr>
      <w:bookmarkStart w:id="411" w:name="_Toc164182019"/>
      <w:bookmarkStart w:id="412" w:name="_Toc164182230"/>
      <w:bookmarkStart w:id="413" w:name="_Toc164681247"/>
      <w:bookmarkStart w:id="414" w:name="_Toc164680650"/>
      <w:bookmarkStart w:id="415" w:name="_Toc164680873"/>
      <w:bookmarkStart w:id="416" w:name="_Toc6355"/>
      <w:bookmarkStart w:id="417" w:name="_Toc17843"/>
      <w:bookmarkStart w:id="418" w:name="_Toc164182721"/>
      <w:bookmarkStart w:id="419" w:name="_Toc21053"/>
      <w:bookmarkStart w:id="420" w:name="_Toc164182394"/>
      <w:bookmarkStart w:id="421" w:name="_Toc28537"/>
      <w:bookmarkStart w:id="422" w:name="_Toc164680209"/>
      <w:bookmarkStart w:id="423" w:name="_Toc164680431"/>
      <w:bookmarkStart w:id="424" w:name="_Toc164181701"/>
      <w:r>
        <w:rPr>
          <w:rFonts w:hint="eastAsia" w:ascii="宋体" w:hAnsi="宋体" w:cs="宋体"/>
          <w:color w:val="auto"/>
          <w:sz w:val="21"/>
          <w:highlight w:val="none"/>
        </w:rPr>
        <w:t>14．开标</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05B803F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14.1 开标在招标文件确定的提交投标文件截止时间的同一时间进行。开标地点详见投标人须知前附表。</w:t>
      </w:r>
    </w:p>
    <w:p w14:paraId="7519D69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 开标由采购人或者采购代理机构主持，邀请投标人参加。评标委员会成员不得参加开标活动。</w:t>
      </w:r>
    </w:p>
    <w:p w14:paraId="233D401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14.3 开标时，由投标人或者其推选的代表检查投标文件的密封情况；经确认无误后，由采购人或者采购代理机构工作人员当众拆封，宣布投标人名称、投标价格和招标文件规定的需要宣布的其他内容。</w:t>
      </w:r>
    </w:p>
    <w:p w14:paraId="0EA2D77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14.4 开标过程由采购人或者采购代理机构负责记录，由参加开标的各投标人代表和相关工作人员签字确认后随采购文件一并存档。投标人未参加开标的，视同认可开标结果。</w:t>
      </w:r>
    </w:p>
    <w:p w14:paraId="40A5E5E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3C97EAD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14.6 在政府采购活动中，采购人员及相关人员与投标人有下列利害关系之一的，应当回避：</w:t>
      </w:r>
    </w:p>
    <w:p w14:paraId="4F79C24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（1）参加采购活动前3年内与投标人存在劳动关系；</w:t>
      </w:r>
    </w:p>
    <w:p w14:paraId="737F8EE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（2）参加采购活动前3年内担任投标人的董事、监事；</w:t>
      </w:r>
    </w:p>
    <w:p w14:paraId="02693F8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（3）参加采购活动前3年内是投标人的控股股东或者实际控制人；</w:t>
      </w:r>
    </w:p>
    <w:p w14:paraId="6F431A5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（4）与投标人的法定代表人或者负责人有夫妻、直系血亲、三代以内旁系血亲或者近姻亲关系；</w:t>
      </w:r>
    </w:p>
    <w:p w14:paraId="5AAA956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（5）与投标人有其他可能影响政府采购活动公平、公正进行的关系。</w:t>
      </w:r>
    </w:p>
    <w:p w14:paraId="6567A22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11CC13D5">
      <w:pPr>
        <w:pStyle w:val="5"/>
        <w:spacing w:line="500" w:lineRule="exact"/>
        <w:rPr>
          <w:rFonts w:hint="eastAsia" w:ascii="宋体" w:hAnsi="宋体" w:cs="宋体"/>
          <w:color w:val="auto"/>
          <w:sz w:val="21"/>
          <w:highlight w:val="none"/>
        </w:rPr>
      </w:pPr>
      <w:bookmarkStart w:id="425" w:name="_Toc164181702"/>
      <w:bookmarkStart w:id="426" w:name="_Toc164680210"/>
      <w:bookmarkStart w:id="427" w:name="_Toc14662"/>
      <w:bookmarkStart w:id="428" w:name="_Toc164681248"/>
      <w:bookmarkStart w:id="429" w:name="_Toc164182395"/>
      <w:bookmarkStart w:id="430" w:name="_Toc164182020"/>
      <w:bookmarkStart w:id="431" w:name="_Toc9177"/>
      <w:bookmarkStart w:id="432" w:name="_Toc13075"/>
      <w:bookmarkStart w:id="433" w:name="_Toc164182231"/>
      <w:bookmarkStart w:id="434" w:name="_Toc164680874"/>
      <w:bookmarkStart w:id="435" w:name="_Toc164680432"/>
      <w:bookmarkStart w:id="436" w:name="_Toc164680651"/>
      <w:bookmarkStart w:id="437" w:name="_Toc164182722"/>
      <w:bookmarkStart w:id="438" w:name="_Toc5288"/>
      <w:r>
        <w:rPr>
          <w:rFonts w:hint="eastAsia" w:ascii="宋体" w:hAnsi="宋体" w:cs="宋体"/>
          <w:color w:val="auto"/>
          <w:sz w:val="21"/>
          <w:highlight w:val="none"/>
        </w:rPr>
        <w:t>15．投标资格审查</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1C33001B">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 公开招标采购项目开标结束后，由采购人或者采购代理机构依法对投标人的资格进行审查，以确定投标人是否具备投标资格。</w:t>
      </w:r>
    </w:p>
    <w:p w14:paraId="208FED9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15.1.1 审查投标人按照8.2.1提交的“资格证明文件”。</w:t>
      </w:r>
    </w:p>
    <w:p w14:paraId="1172862E">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15.1.2 信用记录审查。见投标人须知前附表。</w:t>
      </w:r>
    </w:p>
    <w:p w14:paraId="54F04E1F">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 未通过资格审查的投标人，其投标无效。</w:t>
      </w:r>
    </w:p>
    <w:p w14:paraId="4AE9AB4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 合格投标人不足3家的，不得评标。</w:t>
      </w:r>
    </w:p>
    <w:p w14:paraId="09FE9C7D">
      <w:pPr>
        <w:pStyle w:val="5"/>
        <w:spacing w:line="500" w:lineRule="exact"/>
        <w:rPr>
          <w:rFonts w:hint="eastAsia" w:ascii="宋体" w:hAnsi="宋体" w:cs="宋体"/>
          <w:color w:val="auto"/>
          <w:sz w:val="21"/>
          <w:highlight w:val="none"/>
        </w:rPr>
      </w:pPr>
      <w:bookmarkStart w:id="439" w:name="_Toc5224"/>
      <w:bookmarkStart w:id="440" w:name="_Toc164182396"/>
      <w:bookmarkStart w:id="441" w:name="_Toc164680211"/>
      <w:bookmarkStart w:id="442" w:name="_Toc164680433"/>
      <w:bookmarkStart w:id="443" w:name="_Toc164680652"/>
      <w:bookmarkStart w:id="444" w:name="_Toc164681249"/>
      <w:bookmarkStart w:id="445" w:name="_Toc11255"/>
      <w:bookmarkStart w:id="446" w:name="_Toc164182021"/>
      <w:bookmarkStart w:id="447" w:name="_Toc164182723"/>
      <w:bookmarkStart w:id="448" w:name="_Toc164181703"/>
      <w:bookmarkStart w:id="449" w:name="_Toc11585"/>
      <w:bookmarkStart w:id="450" w:name="_Toc164680875"/>
      <w:bookmarkStart w:id="451" w:name="_Toc164182232"/>
      <w:bookmarkStart w:id="452" w:name="_Toc29261"/>
      <w:r>
        <w:rPr>
          <w:rFonts w:hint="eastAsia" w:ascii="宋体" w:hAnsi="宋体" w:cs="宋体"/>
          <w:color w:val="auto"/>
          <w:sz w:val="21"/>
          <w:highlight w:val="none"/>
        </w:rPr>
        <w:t>16．评标委员会的组成</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1588C00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16.1 采购人或者采购代理机构根据有关法律法规规定组建评标委员会，评标委员会由采购人代表和评审专家组成。</w:t>
      </w:r>
    </w:p>
    <w:p w14:paraId="2C0ECF43">
      <w:pPr>
        <w:pStyle w:val="5"/>
        <w:spacing w:line="500" w:lineRule="exact"/>
        <w:rPr>
          <w:rFonts w:hint="eastAsia" w:ascii="宋体" w:hAnsi="宋体" w:cs="宋体"/>
          <w:color w:val="auto"/>
          <w:sz w:val="21"/>
          <w:highlight w:val="none"/>
        </w:rPr>
      </w:pPr>
      <w:bookmarkStart w:id="453" w:name="_Toc3303"/>
      <w:bookmarkStart w:id="454" w:name="_Toc20115"/>
      <w:bookmarkStart w:id="455" w:name="_Toc164680653"/>
      <w:bookmarkStart w:id="456" w:name="_Toc27329"/>
      <w:bookmarkStart w:id="457" w:name="_Toc164680212"/>
      <w:bookmarkStart w:id="458" w:name="_Toc164680434"/>
      <w:bookmarkStart w:id="459" w:name="_Toc27188"/>
      <w:bookmarkStart w:id="460" w:name="_Toc164182022"/>
      <w:bookmarkStart w:id="461" w:name="_Toc164182233"/>
      <w:bookmarkStart w:id="462" w:name="_Toc164681250"/>
      <w:bookmarkStart w:id="463" w:name="_Toc164182397"/>
      <w:bookmarkStart w:id="464" w:name="_Toc164680876"/>
      <w:bookmarkStart w:id="465" w:name="_Toc164182724"/>
      <w:bookmarkStart w:id="466" w:name="_Toc164181704"/>
      <w:r>
        <w:rPr>
          <w:rFonts w:hint="eastAsia" w:ascii="宋体" w:hAnsi="宋体" w:cs="宋体"/>
          <w:color w:val="auto"/>
          <w:sz w:val="21"/>
          <w:highlight w:val="none"/>
        </w:rPr>
        <w:t>17．投标符合性审查</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70464B9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17.1 评标委员会对符合资格的投标人的投标文件进行符合性审查，以确定其是否符合招标文件的商务、技术等实质性要求。</w:t>
      </w:r>
    </w:p>
    <w:p w14:paraId="49F2CB5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17.2 未通过符合性审查的投标人，其投标无效。</w:t>
      </w:r>
    </w:p>
    <w:p w14:paraId="442D34C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17.3 通过符合性审查的投标人不足3家的，应予以废标。</w:t>
      </w:r>
    </w:p>
    <w:p w14:paraId="015C8133">
      <w:pPr>
        <w:pStyle w:val="5"/>
        <w:spacing w:line="500" w:lineRule="exact"/>
        <w:rPr>
          <w:rFonts w:hint="eastAsia" w:ascii="宋体" w:hAnsi="宋体" w:cs="宋体"/>
          <w:color w:val="auto"/>
          <w:sz w:val="21"/>
          <w:highlight w:val="none"/>
        </w:rPr>
      </w:pPr>
      <w:bookmarkStart w:id="467" w:name="_Toc164681251"/>
      <w:bookmarkStart w:id="468" w:name="_Toc164680654"/>
      <w:bookmarkStart w:id="469" w:name="_Toc164680435"/>
      <w:bookmarkStart w:id="470" w:name="_Toc164182398"/>
      <w:bookmarkStart w:id="471" w:name="_Toc3327"/>
      <w:bookmarkStart w:id="472" w:name="_Toc164182725"/>
      <w:bookmarkStart w:id="473" w:name="_Toc164680213"/>
      <w:bookmarkStart w:id="474" w:name="_Toc407"/>
      <w:bookmarkStart w:id="475" w:name="_Toc164182023"/>
      <w:bookmarkStart w:id="476" w:name="_Toc164181705"/>
      <w:bookmarkStart w:id="477" w:name="_Toc164680877"/>
      <w:bookmarkStart w:id="478" w:name="_Toc17237"/>
      <w:bookmarkStart w:id="479" w:name="_Toc21080"/>
      <w:bookmarkStart w:id="480" w:name="_Toc164182234"/>
      <w:r>
        <w:rPr>
          <w:rFonts w:hint="eastAsia" w:ascii="宋体" w:hAnsi="宋体" w:cs="宋体"/>
          <w:color w:val="auto"/>
          <w:sz w:val="21"/>
          <w:highlight w:val="none"/>
        </w:rPr>
        <w:t>18．投标文件的澄清</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707567D7">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18.1 对于投标文件中含义不明确、同类问题表述不一致或者有明显文字和计算错误的内容，评标委员会应当以书面形式要求投标人作出必要的澄清、说明或者补正。</w:t>
      </w:r>
    </w:p>
    <w:p w14:paraId="48E0B5F9">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18.2 投标人的澄清、说明或者补正应当采用书面形式，并加盖公章，或者由法定代表人或其授权的代表签字。投标人的澄清、说明或者补正不得超出投标文件的范围或者改变投标文件的实质性内容。</w:t>
      </w:r>
    </w:p>
    <w:p w14:paraId="42B8520F">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18.3 关于投标描述（即投标文件中描述的内容）</w:t>
      </w:r>
    </w:p>
    <w:p w14:paraId="5A0D7356">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（1）投标描述前后不一致且不涉及证明材料的：按照本节第18.1条规定执行。</w:t>
      </w:r>
    </w:p>
    <w:p w14:paraId="42951279">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（2）投标描述与证明材料不一致或多份证明材料之间不一致的：</w:t>
      </w:r>
    </w:p>
    <w:p w14:paraId="755B2597">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①评标委员会将要求投标人进行书面澄清，无法澄清的将按照不利于投标人的内容进行评标。</w:t>
      </w:r>
    </w:p>
    <w:p w14:paraId="44D8C7F8">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4B25B40E">
      <w:pPr>
        <w:pStyle w:val="52"/>
        <w:widowControl w:val="0"/>
        <w:spacing w:line="360" w:lineRule="auto"/>
        <w:ind w:firstLine="420" w:firstLineChars="200"/>
        <w:rPr>
          <w:rFonts w:ascii="宋体" w:hAnsi="宋体" w:cs="宋体"/>
          <w:color w:val="auto"/>
          <w:sz w:val="21"/>
          <w:szCs w:val="21"/>
          <w:highlight w:val="none"/>
        </w:rPr>
      </w:pPr>
      <w:r>
        <w:rPr>
          <w:rFonts w:ascii="宋体" w:hAnsi="宋体" w:cs="宋体"/>
          <w:color w:val="auto"/>
          <w:sz w:val="21"/>
          <w:szCs w:val="21"/>
          <w:highlight w:val="none"/>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5449BB05">
      <w:pPr>
        <w:topLinePunct/>
        <w:autoSpaceDE w:val="0"/>
        <w:autoSpaceDN w:val="0"/>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18.4 除评标委员会要求投标人做出的澄清、说明或者补正以外，评标委员会不接受投标人的任何询问、说明、更改及文件。</w:t>
      </w:r>
    </w:p>
    <w:p w14:paraId="0BCCEA5D">
      <w:pPr>
        <w:topLinePunct/>
        <w:autoSpaceDE w:val="0"/>
        <w:autoSpaceDN w:val="0"/>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18.5 投标人的澄清必须在规定的时间内提交。</w:t>
      </w:r>
    </w:p>
    <w:p w14:paraId="3B746FFE">
      <w:pPr>
        <w:pStyle w:val="5"/>
        <w:spacing w:line="500" w:lineRule="exact"/>
        <w:rPr>
          <w:rFonts w:hint="eastAsia" w:ascii="宋体" w:hAnsi="宋体" w:cs="宋体"/>
          <w:color w:val="auto"/>
          <w:sz w:val="21"/>
          <w:highlight w:val="none"/>
        </w:rPr>
      </w:pPr>
      <w:bookmarkStart w:id="481" w:name="_Toc164182399"/>
      <w:bookmarkStart w:id="482" w:name="_Toc164182024"/>
      <w:bookmarkStart w:id="483" w:name="_Toc164182235"/>
      <w:bookmarkStart w:id="484" w:name="_Toc164680214"/>
      <w:bookmarkStart w:id="485" w:name="_Toc164681252"/>
      <w:bookmarkStart w:id="486" w:name="_Toc24810"/>
      <w:bookmarkStart w:id="487" w:name="_Toc7853"/>
      <w:bookmarkStart w:id="488" w:name="_Toc164182726"/>
      <w:bookmarkStart w:id="489" w:name="_Toc164181706"/>
      <w:bookmarkStart w:id="490" w:name="_Toc164680878"/>
      <w:bookmarkStart w:id="491" w:name="_Toc21676"/>
      <w:bookmarkStart w:id="492" w:name="_Toc1277"/>
      <w:bookmarkStart w:id="493" w:name="_Toc164680655"/>
      <w:bookmarkStart w:id="494" w:name="_Toc164680436"/>
      <w:r>
        <w:rPr>
          <w:rFonts w:hint="eastAsia" w:ascii="宋体" w:hAnsi="宋体" w:cs="宋体"/>
          <w:color w:val="auto"/>
          <w:sz w:val="21"/>
          <w:highlight w:val="none"/>
        </w:rPr>
        <w:t>19．核价原则</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7AF83AB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19.1 投标文件报价出现前后不一致的，除招标文件另有规定外，按照下列规定修正：</w:t>
      </w:r>
    </w:p>
    <w:p w14:paraId="13D5E63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（1）投标文件中开标一览表（总报价表）内容与投标文件中相应内容不一致的，以开标一览表（总报价表）为准；</w:t>
      </w:r>
    </w:p>
    <w:p w14:paraId="36CA4DF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（2）大写金额和小写金额不一致的，以大写金额为准；</w:t>
      </w:r>
    </w:p>
    <w:p w14:paraId="23E5276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（3）单价金额小数点或者百分比有明显错位的，以开标一览表的总价为准，并修改单价；</w:t>
      </w:r>
    </w:p>
    <w:p w14:paraId="4C4420D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（4）总价金额与按单价汇总金额不一致的，以单价金额计算结果为准。</w:t>
      </w:r>
    </w:p>
    <w:p w14:paraId="0E7B78A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（5）同时出现两种以上不一致的，按照前款规定的顺序修正。修正后的报价按照18.2条的规定经投标人确认后产生约束力，投标人不确认的，其投标无效。</w:t>
      </w:r>
    </w:p>
    <w:p w14:paraId="346AACAE">
      <w:pPr>
        <w:pStyle w:val="5"/>
        <w:spacing w:line="500" w:lineRule="exact"/>
        <w:rPr>
          <w:rFonts w:hint="eastAsia" w:ascii="宋体" w:hAnsi="宋体" w:cs="宋体"/>
          <w:color w:val="auto"/>
          <w:sz w:val="21"/>
          <w:highlight w:val="none"/>
        </w:rPr>
      </w:pPr>
      <w:bookmarkStart w:id="495" w:name="_Toc164182025"/>
      <w:bookmarkStart w:id="496" w:name="_Toc164182400"/>
      <w:bookmarkStart w:id="497" w:name="_Toc164681253"/>
      <w:bookmarkStart w:id="498" w:name="_Toc796"/>
      <w:bookmarkStart w:id="499" w:name="_Toc164680215"/>
      <w:bookmarkStart w:id="500" w:name="_Toc164181707"/>
      <w:bookmarkStart w:id="501" w:name="_Toc164680879"/>
      <w:bookmarkStart w:id="502" w:name="_Toc23781"/>
      <w:bookmarkStart w:id="503" w:name="_Toc29660"/>
      <w:bookmarkStart w:id="504" w:name="_Toc164182727"/>
      <w:bookmarkStart w:id="505" w:name="_Toc164680437"/>
      <w:bookmarkStart w:id="506" w:name="_Toc164182236"/>
      <w:bookmarkStart w:id="507" w:name="_Toc29557"/>
      <w:bookmarkStart w:id="508" w:name="_Toc164680656"/>
      <w:r>
        <w:rPr>
          <w:rFonts w:hint="eastAsia" w:ascii="宋体" w:hAnsi="宋体" w:cs="宋体"/>
          <w:color w:val="auto"/>
          <w:sz w:val="21"/>
          <w:highlight w:val="none"/>
        </w:rPr>
        <w:t>20．投标无效</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4E5B12B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20.1 投标人及投标文件有下列情况之一的，应当在资格审查时按照投标无效处理：</w:t>
      </w:r>
    </w:p>
    <w:p w14:paraId="24DD3D8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（1）不具备招标文件中规定的资格要求的；</w:t>
      </w:r>
    </w:p>
    <w:p w14:paraId="32AB68D9">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（2）投标文件组成中“资格证明文件”未提供或无效的；</w:t>
      </w:r>
    </w:p>
    <w:p w14:paraId="0666DAB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（3）未通过信用记录审查或未提供相关证明材料的。</w:t>
      </w:r>
    </w:p>
    <w:p w14:paraId="5AAEF06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20.2 投标人及投标文件有下列情况之一的，应当在符合性审查时按照投标无效处理：</w:t>
      </w:r>
    </w:p>
    <w:p w14:paraId="5DA60DC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（1）投标文件组成中除“资格证明文件”外，★条款相关文件及资料未提供或提供无效的；</w:t>
      </w:r>
    </w:p>
    <w:p w14:paraId="50BB323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（2）投标文件未按招标文件要求签署、盖章的；</w:t>
      </w:r>
    </w:p>
    <w:p w14:paraId="121C5E9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（3）投标报价超过招标文件中规定的预算金额或者最高限价的；</w:t>
      </w:r>
    </w:p>
    <w:p w14:paraId="2A37CD6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（4）投标有效期不足的；</w:t>
      </w:r>
    </w:p>
    <w:p w14:paraId="349EA65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（5）投标文件含有采购人不能接受的附加条件的；</w:t>
      </w:r>
    </w:p>
    <w:p w14:paraId="2134937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（6）投标报价明显低于其他通过符合性审查投标人的报价，且不能证明其报价合理性的。</w:t>
      </w:r>
    </w:p>
    <w:p w14:paraId="22C95DB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（7）不符合法律、法规和招标文件规定的其他无效情形的。</w:t>
      </w:r>
    </w:p>
    <w:p w14:paraId="49620CC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20.3 除20.1及20.2情形外，投标人及投标文件有下列情况之一的，应当按照投标无效处理：</w:t>
      </w:r>
    </w:p>
    <w:p w14:paraId="2D1EE60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（1）提供虚假投标文件材料的；</w:t>
      </w:r>
    </w:p>
    <w:p w14:paraId="604A7C2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（2）投标人串通投标的；</w:t>
      </w:r>
    </w:p>
    <w:p w14:paraId="73F6FA3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（3）法律、法规和招标文件规定的其他无效情形。</w:t>
      </w:r>
    </w:p>
    <w:p w14:paraId="72A4C0E3">
      <w:pPr>
        <w:pStyle w:val="5"/>
        <w:spacing w:line="500" w:lineRule="exact"/>
        <w:rPr>
          <w:rFonts w:hint="eastAsia" w:ascii="宋体" w:hAnsi="宋体" w:cs="宋体"/>
          <w:color w:val="auto"/>
          <w:sz w:val="21"/>
          <w:highlight w:val="none"/>
        </w:rPr>
      </w:pPr>
      <w:bookmarkStart w:id="509" w:name="_Toc164680880"/>
      <w:bookmarkStart w:id="510" w:name="_Toc31166"/>
      <w:bookmarkStart w:id="511" w:name="_Toc10672"/>
      <w:bookmarkStart w:id="512" w:name="_Toc164680657"/>
      <w:bookmarkStart w:id="513" w:name="_Toc164182728"/>
      <w:bookmarkStart w:id="514" w:name="_Toc164680438"/>
      <w:bookmarkStart w:id="515" w:name="_Toc164181708"/>
      <w:bookmarkStart w:id="516" w:name="_Toc164182401"/>
      <w:bookmarkStart w:id="517" w:name="_Toc164182026"/>
      <w:bookmarkStart w:id="518" w:name="_Toc164680216"/>
      <w:bookmarkStart w:id="519" w:name="_Toc164681254"/>
      <w:bookmarkStart w:id="520" w:name="_Toc164182237"/>
      <w:bookmarkStart w:id="521" w:name="_Toc19116"/>
      <w:bookmarkStart w:id="522" w:name="_Toc11372"/>
      <w:r>
        <w:rPr>
          <w:rFonts w:hint="eastAsia" w:ascii="宋体" w:hAnsi="宋体" w:cs="宋体"/>
          <w:color w:val="auto"/>
          <w:sz w:val="21"/>
          <w:highlight w:val="none"/>
        </w:rPr>
        <w:t>21．比较与评价</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24283FA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21.1 评标委员会按照招标文件中规定的评标方法和标准，对符合性审查合格的投标文件进行商务和技术评估，综合比较与评价。</w:t>
      </w:r>
    </w:p>
    <w:p w14:paraId="4DAA94C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21.2 价格分应当采用低价优先法计算。小型、微型企业和监狱企业、残疾人福利性单位的投标报价按照投标人须知前附表规定，分别给予扣除，并以扣除后的报价计算价格分。未提供《中小型企业声明函》、《监狱企业证明文件》、《残疾人福利性单位声明函》的，价格不予扣除。同一投标人不得重复享受价格扣除政策。</w:t>
      </w:r>
    </w:p>
    <w:p w14:paraId="68FBDC5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21.3 评标委员会各成员独立对每个投标人的投标文件进行评价，并汇总得出每个投标人的评审得分。</w:t>
      </w:r>
    </w:p>
    <w:p w14:paraId="28AC616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21.4 评标结果按评审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0ABF20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21.5 评标方法及标准详见招标文件第三章。</w:t>
      </w:r>
    </w:p>
    <w:p w14:paraId="5E0D617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3DEA6DE5">
      <w:pPr>
        <w:pStyle w:val="5"/>
        <w:spacing w:line="500" w:lineRule="exact"/>
        <w:rPr>
          <w:rFonts w:hint="eastAsia" w:ascii="宋体" w:hAnsi="宋体" w:cs="宋体"/>
          <w:color w:val="auto"/>
          <w:sz w:val="21"/>
          <w:highlight w:val="none"/>
        </w:rPr>
      </w:pPr>
      <w:bookmarkStart w:id="523" w:name="_Toc164680881"/>
      <w:bookmarkStart w:id="524" w:name="_Toc164182027"/>
      <w:bookmarkStart w:id="525" w:name="_Toc164181709"/>
      <w:bookmarkStart w:id="526" w:name="_Toc16738"/>
      <w:bookmarkStart w:id="527" w:name="_Toc25104"/>
      <w:bookmarkStart w:id="528" w:name="_Toc164680658"/>
      <w:bookmarkStart w:id="529" w:name="_Toc164182238"/>
      <w:bookmarkStart w:id="530" w:name="_Toc164182729"/>
      <w:bookmarkStart w:id="531" w:name="_Toc809"/>
      <w:bookmarkStart w:id="532" w:name="_Toc21645"/>
      <w:bookmarkStart w:id="533" w:name="_Toc164182402"/>
      <w:bookmarkStart w:id="534" w:name="_Toc164680217"/>
      <w:bookmarkStart w:id="535" w:name="_Toc164681255"/>
      <w:bookmarkStart w:id="536" w:name="_Toc164680439"/>
      <w:r>
        <w:rPr>
          <w:rFonts w:hint="eastAsia" w:ascii="宋体" w:hAnsi="宋体" w:cs="宋体"/>
          <w:color w:val="auto"/>
          <w:sz w:val="21"/>
          <w:highlight w:val="none"/>
        </w:rPr>
        <w:t>22．废标</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54C07F3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22.1 在招标采购中，出现下列情形之一的，应予废标：</w:t>
      </w:r>
    </w:p>
    <w:p w14:paraId="1C1DD98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（1）符合专业条件的投标人或者对招标文件作实质响应的投标人不足三家的；</w:t>
      </w:r>
    </w:p>
    <w:p w14:paraId="3DB6DA5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（2）出现影响采购公正的违法、违规行为的；</w:t>
      </w:r>
    </w:p>
    <w:p w14:paraId="73E9DE0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（3）投标人的报价均超过了采购预算，采购人不能支付的；</w:t>
      </w:r>
    </w:p>
    <w:p w14:paraId="5D780ED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（4）因重大变故，采购任务取消的。</w:t>
      </w:r>
    </w:p>
    <w:p w14:paraId="78F78C0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22.2 废标后，采购人或者采购代理机构将废标理由通知所有投标人。</w:t>
      </w:r>
    </w:p>
    <w:p w14:paraId="1C4A2C87">
      <w:pPr>
        <w:pStyle w:val="4"/>
        <w:spacing w:line="500" w:lineRule="exact"/>
        <w:jc w:val="center"/>
        <w:outlineLvl w:val="1"/>
        <w:rPr>
          <w:rFonts w:hint="eastAsia" w:ascii="宋体" w:hAnsi="宋体" w:cs="宋体"/>
          <w:color w:val="auto"/>
          <w:sz w:val="21"/>
          <w:szCs w:val="21"/>
          <w:highlight w:val="none"/>
        </w:rPr>
      </w:pPr>
      <w:bookmarkStart w:id="537" w:name="_Toc11667"/>
      <w:bookmarkStart w:id="538" w:name="_Toc164681256"/>
      <w:bookmarkStart w:id="539" w:name="_Toc29396"/>
      <w:bookmarkStart w:id="540" w:name="_Toc164181710"/>
      <w:bookmarkStart w:id="541" w:name="_Toc13269"/>
      <w:bookmarkStart w:id="542" w:name="_Toc1412"/>
      <w:bookmarkStart w:id="543" w:name="_Toc164680218"/>
      <w:bookmarkStart w:id="544" w:name="_Toc164182239"/>
      <w:bookmarkStart w:id="545" w:name="_Toc164182730"/>
      <w:bookmarkStart w:id="546" w:name="_Toc19476"/>
      <w:bookmarkStart w:id="547" w:name="_Toc164182028"/>
      <w:bookmarkStart w:id="548" w:name="_Toc164680440"/>
      <w:bookmarkStart w:id="549" w:name="_Toc164680882"/>
      <w:bookmarkStart w:id="550" w:name="_Toc2326"/>
      <w:bookmarkStart w:id="551" w:name="_Toc164680659"/>
      <w:r>
        <w:rPr>
          <w:rFonts w:hint="eastAsia" w:ascii="宋体" w:hAnsi="宋体" w:cs="宋体"/>
          <w:color w:val="auto"/>
          <w:sz w:val="21"/>
          <w:szCs w:val="21"/>
          <w:highlight w:val="none"/>
        </w:rPr>
        <w:t>六、中标和合同</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52D445F3">
      <w:pPr>
        <w:pStyle w:val="5"/>
        <w:spacing w:line="500" w:lineRule="exact"/>
        <w:rPr>
          <w:rFonts w:hint="eastAsia" w:ascii="宋体" w:hAnsi="宋体" w:cs="宋体"/>
          <w:color w:val="auto"/>
          <w:sz w:val="21"/>
          <w:highlight w:val="none"/>
        </w:rPr>
      </w:pPr>
      <w:bookmarkStart w:id="552" w:name="_Toc164680883"/>
      <w:bookmarkStart w:id="553" w:name="_Toc164681257"/>
      <w:bookmarkStart w:id="554" w:name="_Toc164182240"/>
      <w:bookmarkStart w:id="555" w:name="_Toc164680660"/>
      <w:bookmarkStart w:id="556" w:name="_Toc164182731"/>
      <w:bookmarkStart w:id="557" w:name="_Toc1716"/>
      <w:bookmarkStart w:id="558" w:name="_Toc164181711"/>
      <w:bookmarkStart w:id="559" w:name="_Toc164182029"/>
      <w:bookmarkStart w:id="560" w:name="_Toc164680219"/>
      <w:bookmarkStart w:id="561" w:name="_Toc2124"/>
      <w:bookmarkStart w:id="562" w:name="_Toc851"/>
      <w:bookmarkStart w:id="563" w:name="_Toc164680441"/>
      <w:bookmarkStart w:id="564" w:name="_Toc164182404"/>
      <w:bookmarkStart w:id="565" w:name="_Toc12907"/>
      <w:r>
        <w:rPr>
          <w:rFonts w:hint="eastAsia" w:ascii="宋体" w:hAnsi="宋体" w:cs="宋体"/>
          <w:color w:val="auto"/>
          <w:sz w:val="21"/>
          <w:highlight w:val="none"/>
        </w:rPr>
        <w:t>23．中标</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1CC14C4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4FC77D41">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采购人自行组织招标的，采购人应当在评标结束后5个工作日内，按评标报告推荐的中标候选人顺序确定中标人。</w:t>
      </w:r>
    </w:p>
    <w:p w14:paraId="2B9C289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23.2 采购人或者采购代理机构应当自中标人确定之日起2个工作日内，在投标人须知前附表规定的媒体上公告中标结果，招标文件应随中标结果同时公告。中标公告期限为1个工作日。</w:t>
      </w:r>
    </w:p>
    <w:p w14:paraId="74C8A48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23.3 在公告中标结果的同时，采购人或者采购代理机构应当向中标人发出中标通知书（对线上采购项目，通过评审管理系统发出中标通知书）；对未通过资格审查的投标人，告知其未通过的原因；采用综合评分法评审的，同时告知未中标人本人的评审得分与排序。</w:t>
      </w:r>
    </w:p>
    <w:p w14:paraId="4C656CE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23.4 中标通知书发出后，采购人或者采购代理机构不得违法改变中标结果，中标人无正当理由不得放弃中标。</w:t>
      </w:r>
    </w:p>
    <w:p w14:paraId="074D6DA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23.5 中标通知书对采购人和中标人具有同等法律效力。</w:t>
      </w:r>
    </w:p>
    <w:p w14:paraId="1B9DD352">
      <w:pPr>
        <w:pStyle w:val="5"/>
        <w:spacing w:line="500" w:lineRule="exact"/>
        <w:rPr>
          <w:rFonts w:hint="eastAsia" w:ascii="宋体" w:hAnsi="宋体" w:cs="宋体"/>
          <w:color w:val="auto"/>
          <w:sz w:val="21"/>
          <w:highlight w:val="none"/>
        </w:rPr>
      </w:pPr>
      <w:bookmarkStart w:id="566" w:name="_Toc13860"/>
      <w:bookmarkStart w:id="567" w:name="_Toc164182030"/>
      <w:bookmarkStart w:id="568" w:name="_Toc164182732"/>
      <w:bookmarkStart w:id="569" w:name="_Toc164680220"/>
      <w:bookmarkStart w:id="570" w:name="_Toc26122"/>
      <w:bookmarkStart w:id="571" w:name="_Toc164181712"/>
      <w:bookmarkStart w:id="572" w:name="_Toc164182405"/>
      <w:bookmarkStart w:id="573" w:name="_Toc164182241"/>
      <w:bookmarkStart w:id="574" w:name="_Toc29022"/>
      <w:bookmarkStart w:id="575" w:name="_Toc164681258"/>
      <w:bookmarkStart w:id="576" w:name="_Toc164680884"/>
      <w:bookmarkStart w:id="577" w:name="_Toc691"/>
      <w:bookmarkStart w:id="578" w:name="_Toc164680661"/>
      <w:bookmarkStart w:id="579" w:name="_Toc164680442"/>
      <w:r>
        <w:rPr>
          <w:rFonts w:hint="eastAsia" w:ascii="宋体" w:hAnsi="宋体" w:cs="宋体"/>
          <w:color w:val="auto"/>
          <w:sz w:val="21"/>
          <w:highlight w:val="none"/>
        </w:rPr>
        <w:t>24．签订合同</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3128FAD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24.1 采购人应当自中标通知书发出之日起30日内，按照招标文件和中标人投标文件的规定，与中标人签订合同。线上采购项目可通过评审管理系统签订合同。</w:t>
      </w:r>
    </w:p>
    <w:p w14:paraId="3860B23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24.2 所签订的合同不得对招标文件确定的事项和中标人投标文件作实质性修改。</w:t>
      </w:r>
    </w:p>
    <w:p w14:paraId="18E9D14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24.3 采购人不得向中标人提出任何不合理的要求作为签订合同的条件。</w:t>
      </w:r>
    </w:p>
    <w:p w14:paraId="7067ED6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24.4 中标人拒绝与采购人签订合同的，采购人可以按照评审报告推荐的中标候选人名单排序，确定下一候选人为中标人，也可以重新开展政府采购活动。</w:t>
      </w:r>
    </w:p>
    <w:p w14:paraId="312C2EB5">
      <w:pPr>
        <w:pStyle w:val="5"/>
        <w:spacing w:line="500" w:lineRule="exact"/>
        <w:rPr>
          <w:rFonts w:hint="eastAsia" w:ascii="宋体" w:hAnsi="宋体" w:cs="宋体"/>
          <w:color w:val="auto"/>
          <w:sz w:val="21"/>
          <w:highlight w:val="none"/>
        </w:rPr>
      </w:pPr>
      <w:bookmarkStart w:id="580" w:name="_Toc164182406"/>
      <w:bookmarkStart w:id="581" w:name="_Toc164182242"/>
      <w:bookmarkStart w:id="582" w:name="_Toc164181713"/>
      <w:bookmarkStart w:id="583" w:name="_Toc164680662"/>
      <w:bookmarkStart w:id="584" w:name="_Toc164680443"/>
      <w:bookmarkStart w:id="585" w:name="_Toc31626"/>
      <w:bookmarkStart w:id="586" w:name="_Toc29975"/>
      <w:bookmarkStart w:id="587" w:name="_Toc16063"/>
      <w:bookmarkStart w:id="588" w:name="_Toc164182733"/>
      <w:bookmarkStart w:id="589" w:name="_Toc164680221"/>
      <w:bookmarkStart w:id="590" w:name="_Toc30375"/>
      <w:bookmarkStart w:id="591" w:name="_Toc164681259"/>
      <w:bookmarkStart w:id="592" w:name="_Toc164182031"/>
      <w:bookmarkStart w:id="593" w:name="_Toc164680885"/>
      <w:r>
        <w:rPr>
          <w:rFonts w:hint="eastAsia" w:ascii="宋体" w:hAnsi="宋体" w:cs="宋体"/>
          <w:color w:val="auto"/>
          <w:sz w:val="21"/>
          <w:highlight w:val="none"/>
        </w:rPr>
        <w:t>25．履约保证金</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6C42B0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25.1 需提交履约保证金的项目，中标人应在合同签订之日起30日内，按照投标人须知前附表的规定，向采购人提交履约保证金。</w:t>
      </w:r>
    </w:p>
    <w:p w14:paraId="46B668EC">
      <w:pPr>
        <w:pStyle w:val="4"/>
        <w:spacing w:line="500" w:lineRule="exact"/>
        <w:jc w:val="center"/>
        <w:outlineLvl w:val="1"/>
        <w:rPr>
          <w:rFonts w:hint="eastAsia" w:ascii="宋体" w:hAnsi="宋体" w:cs="宋体"/>
          <w:color w:val="auto"/>
          <w:sz w:val="21"/>
          <w:szCs w:val="21"/>
          <w:highlight w:val="none"/>
        </w:rPr>
      </w:pPr>
      <w:bookmarkStart w:id="594" w:name="_Toc164680886"/>
      <w:bookmarkStart w:id="595" w:name="_Toc164681260"/>
      <w:bookmarkStart w:id="596" w:name="_Toc8340"/>
      <w:bookmarkStart w:id="597" w:name="_Toc3459"/>
      <w:bookmarkStart w:id="598" w:name="_Toc13199"/>
      <w:bookmarkStart w:id="599" w:name="_Toc164182032"/>
      <w:bookmarkStart w:id="600" w:name="_Toc5317"/>
      <w:bookmarkStart w:id="601" w:name="_Toc164181714"/>
      <w:bookmarkStart w:id="602" w:name="_Toc164182734"/>
      <w:bookmarkStart w:id="603" w:name="_Toc164182243"/>
      <w:bookmarkStart w:id="604" w:name="_Toc25509"/>
      <w:bookmarkStart w:id="605" w:name="_Toc164680663"/>
      <w:bookmarkStart w:id="606" w:name="_Toc164680444"/>
      <w:bookmarkStart w:id="607" w:name="_Toc24661"/>
      <w:r>
        <w:rPr>
          <w:rFonts w:hint="eastAsia" w:ascii="宋体" w:hAnsi="宋体" w:cs="宋体"/>
          <w:color w:val="auto"/>
          <w:sz w:val="21"/>
          <w:szCs w:val="21"/>
          <w:highlight w:val="none"/>
        </w:rPr>
        <w:t>七、询问和质疑</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7D34E0E0">
      <w:pPr>
        <w:pStyle w:val="5"/>
        <w:spacing w:line="500" w:lineRule="exact"/>
        <w:rPr>
          <w:rFonts w:hint="eastAsia" w:ascii="宋体" w:hAnsi="宋体" w:cs="宋体"/>
          <w:color w:val="auto"/>
          <w:sz w:val="21"/>
          <w:highlight w:val="none"/>
        </w:rPr>
      </w:pPr>
      <w:bookmarkStart w:id="608" w:name="_Toc164680445"/>
      <w:bookmarkStart w:id="609" w:name="_Toc10269"/>
      <w:bookmarkStart w:id="610" w:name="_Toc164680664"/>
      <w:bookmarkStart w:id="611" w:name="_Toc164182033"/>
      <w:bookmarkStart w:id="612" w:name="_Toc164681261"/>
      <w:bookmarkStart w:id="613" w:name="_Toc164182408"/>
      <w:bookmarkStart w:id="614" w:name="_Toc164680887"/>
      <w:bookmarkStart w:id="615" w:name="_Toc18414"/>
      <w:bookmarkStart w:id="616" w:name="_Toc164182735"/>
      <w:bookmarkStart w:id="617" w:name="_Toc164182244"/>
      <w:bookmarkStart w:id="618" w:name="_Toc164181715"/>
      <w:bookmarkStart w:id="619" w:name="_Toc2610"/>
      <w:bookmarkStart w:id="620" w:name="_Toc14041"/>
      <w:r>
        <w:rPr>
          <w:rFonts w:hint="eastAsia" w:ascii="宋体" w:hAnsi="宋体" w:cs="宋体"/>
          <w:color w:val="auto"/>
          <w:sz w:val="21"/>
          <w:highlight w:val="none"/>
        </w:rPr>
        <w:t>26．询问</w:t>
      </w:r>
      <w:bookmarkEnd w:id="608"/>
      <w:bookmarkEnd w:id="609"/>
      <w:bookmarkEnd w:id="610"/>
      <w:bookmarkEnd w:id="611"/>
      <w:bookmarkEnd w:id="612"/>
      <w:bookmarkEnd w:id="613"/>
      <w:bookmarkEnd w:id="614"/>
      <w:bookmarkEnd w:id="615"/>
      <w:bookmarkEnd w:id="616"/>
      <w:bookmarkEnd w:id="617"/>
      <w:bookmarkEnd w:id="618"/>
      <w:bookmarkEnd w:id="619"/>
      <w:bookmarkEnd w:id="620"/>
    </w:p>
    <w:p w14:paraId="0D38175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26.1潜在投标人、投标人对政府采购活动事项有疑问的，可以向采购人或者采购代理机构提出询问，采购人或者采购代理机构应当在3个工作日内对依法提出的询问作出答复，但答复的内容不得涉及商业秘密。</w:t>
      </w:r>
    </w:p>
    <w:p w14:paraId="0722EE73">
      <w:pPr>
        <w:pStyle w:val="5"/>
        <w:spacing w:line="500" w:lineRule="exact"/>
        <w:rPr>
          <w:rFonts w:hint="eastAsia" w:ascii="宋体" w:hAnsi="宋体" w:cs="宋体"/>
          <w:color w:val="auto"/>
          <w:sz w:val="21"/>
          <w:highlight w:val="none"/>
        </w:rPr>
      </w:pPr>
      <w:bookmarkStart w:id="621" w:name="_Toc164182245"/>
      <w:bookmarkStart w:id="622" w:name="_Toc164680888"/>
      <w:bookmarkStart w:id="623" w:name="_Toc164181716"/>
      <w:bookmarkStart w:id="624" w:name="_Toc3090"/>
      <w:bookmarkStart w:id="625" w:name="_Toc164680665"/>
      <w:bookmarkStart w:id="626" w:name="_Toc164182409"/>
      <w:bookmarkStart w:id="627" w:name="_Toc164182034"/>
      <w:bookmarkStart w:id="628" w:name="_Toc21870"/>
      <w:bookmarkStart w:id="629" w:name="_Toc164182736"/>
      <w:bookmarkStart w:id="630" w:name="_Toc15258"/>
      <w:bookmarkStart w:id="631" w:name="_Toc164681262"/>
      <w:bookmarkStart w:id="632" w:name="_Toc13135"/>
      <w:bookmarkStart w:id="633" w:name="_Toc164680446"/>
      <w:r>
        <w:rPr>
          <w:rFonts w:hint="eastAsia" w:ascii="宋体" w:hAnsi="宋体" w:cs="宋体"/>
          <w:color w:val="auto"/>
          <w:sz w:val="21"/>
          <w:highlight w:val="none"/>
        </w:rPr>
        <w:t>27．质疑</w:t>
      </w:r>
      <w:bookmarkEnd w:id="621"/>
      <w:bookmarkEnd w:id="622"/>
      <w:bookmarkEnd w:id="623"/>
      <w:bookmarkEnd w:id="624"/>
      <w:bookmarkEnd w:id="625"/>
      <w:bookmarkEnd w:id="626"/>
      <w:bookmarkEnd w:id="627"/>
      <w:bookmarkEnd w:id="628"/>
      <w:bookmarkEnd w:id="629"/>
      <w:bookmarkEnd w:id="630"/>
      <w:bookmarkEnd w:id="631"/>
      <w:bookmarkEnd w:id="632"/>
      <w:bookmarkEnd w:id="633"/>
    </w:p>
    <w:p w14:paraId="67C34CD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27.1潜在投标人、投标人（统称质疑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址、电子邮箱见投标人须知前附表。</w:t>
      </w:r>
    </w:p>
    <w:p w14:paraId="6BA0807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27.2在法定质疑期内，针对同一采购程序环节的质疑应一次性提出。</w:t>
      </w:r>
    </w:p>
    <w:p w14:paraId="2D1D015F">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27.3质疑人应知其权益受到损害之日，是指： </w:t>
      </w:r>
    </w:p>
    <w:p w14:paraId="4174D86D">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（1）对可以质疑的采购文件提出质疑的，为收到采购文件之日或者采购文件公告期限届满之日；</w:t>
      </w:r>
    </w:p>
    <w:p w14:paraId="55B6D32B">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（2）对采购过程提出质疑的，为各采购程序环节结束之日；</w:t>
      </w:r>
    </w:p>
    <w:p w14:paraId="6CA72F70">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（3）对中标结果提出质疑的，为中标结果公告期限届满之日。</w:t>
      </w:r>
    </w:p>
    <w:p w14:paraId="3DDF8C2F">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27.4质疑应当有明确的请求和必要的证明材料。供应商为自然人的，应当由本人签字；供应商为法人或者其他组织的，应当由法定代表人、主要负责人，或者其授权代表签字或者签章，并加盖公章。</w:t>
      </w:r>
    </w:p>
    <w:p w14:paraId="6A6CB897">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27.5 采购人或者代理机构应当在收到供应商的质疑函后7个工作日内，对质疑内容作出答复，书面形式通知质疑供应商和其他有关供应商，但答复内容不得涉及商业秘密。</w:t>
      </w:r>
    </w:p>
    <w:p w14:paraId="5C69C79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27.6质疑人对采购人、采购代理机构的答复不满意或者采购人、采购代理机构未在规定的时间内作出答复的，可以在答复期满后15个工作日内向同级人民政府财政部门投诉。</w:t>
      </w:r>
    </w:p>
    <w:p w14:paraId="46495938">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27.7投诉应当有明确的请求和必要的证明材料。投诉的事项不得超出已质疑事项的范围。</w:t>
      </w:r>
    </w:p>
    <w:p w14:paraId="306B1CE1">
      <w:pPr>
        <w:pStyle w:val="4"/>
        <w:spacing w:line="500" w:lineRule="exact"/>
        <w:jc w:val="center"/>
        <w:outlineLvl w:val="1"/>
        <w:rPr>
          <w:rFonts w:hint="eastAsia" w:ascii="宋体" w:hAnsi="宋体" w:cs="宋体"/>
          <w:color w:val="auto"/>
          <w:sz w:val="21"/>
          <w:szCs w:val="21"/>
          <w:highlight w:val="none"/>
        </w:rPr>
      </w:pPr>
      <w:bookmarkStart w:id="634" w:name="_Toc32491"/>
      <w:bookmarkStart w:id="635" w:name="_Toc164181717"/>
      <w:bookmarkStart w:id="636" w:name="_Toc164182737"/>
      <w:bookmarkStart w:id="637" w:name="_Toc23321"/>
      <w:bookmarkStart w:id="638" w:name="_Toc24386"/>
      <w:bookmarkStart w:id="639" w:name="_Toc164680889"/>
      <w:bookmarkStart w:id="640" w:name="_Toc164681263"/>
      <w:bookmarkStart w:id="641" w:name="_Toc18885"/>
      <w:bookmarkStart w:id="642" w:name="_Toc14558"/>
      <w:bookmarkStart w:id="643" w:name="_Toc164182246"/>
      <w:bookmarkStart w:id="644" w:name="_Toc164182035"/>
      <w:bookmarkStart w:id="645" w:name="_Toc1990"/>
      <w:bookmarkStart w:id="646" w:name="_Toc164680447"/>
      <w:bookmarkStart w:id="647" w:name="_Toc164680666"/>
      <w:r>
        <w:rPr>
          <w:rFonts w:hint="eastAsia" w:ascii="宋体" w:hAnsi="宋体" w:cs="宋体"/>
          <w:color w:val="auto"/>
          <w:sz w:val="21"/>
          <w:szCs w:val="21"/>
          <w:highlight w:val="none"/>
        </w:rPr>
        <w:t>八、其他</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19BCBF07">
      <w:pPr>
        <w:pStyle w:val="5"/>
        <w:spacing w:line="500" w:lineRule="exact"/>
        <w:rPr>
          <w:rFonts w:hint="eastAsia" w:ascii="宋体" w:hAnsi="宋体" w:cs="宋体"/>
          <w:color w:val="auto"/>
          <w:sz w:val="21"/>
          <w:highlight w:val="none"/>
        </w:rPr>
      </w:pPr>
      <w:bookmarkStart w:id="648" w:name="_Toc164681264"/>
      <w:bookmarkStart w:id="649" w:name="_Toc13372"/>
      <w:bookmarkStart w:id="650" w:name="_Toc164680667"/>
      <w:bookmarkStart w:id="651" w:name="_Toc164181718"/>
      <w:bookmarkStart w:id="652" w:name="_Toc164680890"/>
      <w:bookmarkStart w:id="653" w:name="_Toc164182247"/>
      <w:bookmarkStart w:id="654" w:name="_Toc164182036"/>
      <w:bookmarkStart w:id="655" w:name="_Toc19983"/>
      <w:bookmarkStart w:id="656" w:name="_Toc164182738"/>
      <w:bookmarkStart w:id="657" w:name="_Toc29133"/>
      <w:bookmarkStart w:id="658" w:name="_Toc164680448"/>
      <w:bookmarkStart w:id="659" w:name="_Toc20861"/>
      <w:bookmarkStart w:id="660" w:name="_Toc164182411"/>
      <w:r>
        <w:rPr>
          <w:rFonts w:hint="eastAsia" w:ascii="宋体" w:hAnsi="宋体" w:cs="宋体"/>
          <w:color w:val="auto"/>
          <w:sz w:val="21"/>
          <w:highlight w:val="none"/>
        </w:rPr>
        <w:t>28．保密</w:t>
      </w:r>
      <w:bookmarkEnd w:id="648"/>
      <w:bookmarkEnd w:id="649"/>
      <w:bookmarkEnd w:id="650"/>
      <w:bookmarkEnd w:id="651"/>
      <w:bookmarkEnd w:id="652"/>
      <w:bookmarkEnd w:id="653"/>
      <w:bookmarkEnd w:id="654"/>
      <w:bookmarkEnd w:id="655"/>
      <w:bookmarkEnd w:id="656"/>
      <w:bookmarkEnd w:id="657"/>
      <w:bookmarkEnd w:id="658"/>
      <w:bookmarkEnd w:id="659"/>
      <w:bookmarkEnd w:id="660"/>
    </w:p>
    <w:p w14:paraId="66CB3AE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28.1采购人、采购代理机构应当采取必要措施，保证评标在严格保密的情况下进行。除采购人代表、评标现场组织人员外，采购人的其他工作人员以及与评标工作无关的人员不得进入评标现场。</w:t>
      </w:r>
    </w:p>
    <w:p w14:paraId="77A42D69">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28.2 评标委员会成员和参与评标工作的有关人员对评标情况以及在评标过程中获悉的国家秘密、商业秘密负有保密责任。</w:t>
      </w:r>
    </w:p>
    <w:p w14:paraId="5345B806">
      <w:pPr>
        <w:pStyle w:val="5"/>
        <w:spacing w:line="500" w:lineRule="exact"/>
        <w:rPr>
          <w:rFonts w:hint="eastAsia" w:ascii="宋体" w:hAnsi="宋体" w:cs="宋体"/>
          <w:color w:val="auto"/>
          <w:sz w:val="21"/>
          <w:highlight w:val="none"/>
        </w:rPr>
      </w:pPr>
      <w:bookmarkStart w:id="661" w:name="_Toc164680668"/>
      <w:bookmarkStart w:id="662" w:name="_Toc164182739"/>
      <w:bookmarkStart w:id="663" w:name="_Toc164181719"/>
      <w:bookmarkStart w:id="664" w:name="_Toc416"/>
      <w:bookmarkStart w:id="665" w:name="_Toc8930"/>
      <w:bookmarkStart w:id="666" w:name="_Toc164182412"/>
      <w:bookmarkStart w:id="667" w:name="_Toc164182037"/>
      <w:bookmarkStart w:id="668" w:name="_Toc164681265"/>
      <w:bookmarkStart w:id="669" w:name="_Toc164182248"/>
      <w:bookmarkStart w:id="670" w:name="_Toc164680891"/>
      <w:bookmarkStart w:id="671" w:name="_Toc28944"/>
      <w:bookmarkStart w:id="672" w:name="_Toc5389"/>
      <w:bookmarkStart w:id="673" w:name="_Toc164680449"/>
      <w:r>
        <w:rPr>
          <w:rFonts w:hint="eastAsia" w:ascii="宋体" w:hAnsi="宋体" w:cs="宋体"/>
          <w:color w:val="auto"/>
          <w:sz w:val="21"/>
          <w:highlight w:val="none"/>
        </w:rPr>
        <w:t>29．知识产权与规避专利、版权纠纷</w:t>
      </w:r>
      <w:bookmarkEnd w:id="661"/>
      <w:bookmarkEnd w:id="662"/>
      <w:bookmarkEnd w:id="663"/>
      <w:bookmarkEnd w:id="664"/>
      <w:bookmarkEnd w:id="665"/>
      <w:bookmarkEnd w:id="666"/>
      <w:bookmarkEnd w:id="667"/>
      <w:bookmarkEnd w:id="668"/>
      <w:bookmarkEnd w:id="669"/>
      <w:bookmarkEnd w:id="670"/>
      <w:bookmarkEnd w:id="671"/>
      <w:bookmarkEnd w:id="672"/>
      <w:bookmarkEnd w:id="673"/>
    </w:p>
    <w:p w14:paraId="0114436E">
      <w:pPr>
        <w:pStyle w:val="6"/>
        <w:spacing w:line="500" w:lineRule="exact"/>
        <w:ind w:firstLine="422"/>
        <w:rPr>
          <w:rFonts w:hint="eastAsia" w:ascii="宋体" w:hAnsi="宋体" w:cs="宋体"/>
          <w:color w:val="auto"/>
          <w:sz w:val="21"/>
          <w:highlight w:val="none"/>
        </w:rPr>
      </w:pPr>
      <w:bookmarkStart w:id="674" w:name="_Toc17059"/>
      <w:bookmarkStart w:id="675" w:name="_Toc164182740"/>
      <w:bookmarkStart w:id="676" w:name="_Toc164680450"/>
      <w:bookmarkStart w:id="677" w:name="_Toc164680669"/>
      <w:bookmarkStart w:id="678" w:name="_Toc24693"/>
      <w:bookmarkStart w:id="679" w:name="_Toc164181720"/>
      <w:bookmarkStart w:id="680" w:name="_Toc164680892"/>
      <w:bookmarkStart w:id="681" w:name="_Toc164182038"/>
      <w:r>
        <w:rPr>
          <w:rFonts w:hint="eastAsia" w:ascii="宋体" w:hAnsi="宋体" w:cs="宋体"/>
          <w:color w:val="auto"/>
          <w:sz w:val="21"/>
          <w:highlight w:val="none"/>
        </w:rPr>
        <w:t>29.1 知识产权</w:t>
      </w:r>
      <w:bookmarkEnd w:id="674"/>
      <w:bookmarkEnd w:id="675"/>
      <w:bookmarkEnd w:id="676"/>
      <w:bookmarkEnd w:id="677"/>
      <w:bookmarkEnd w:id="678"/>
      <w:bookmarkEnd w:id="679"/>
      <w:bookmarkEnd w:id="680"/>
      <w:bookmarkEnd w:id="681"/>
    </w:p>
    <w:p w14:paraId="3414FCD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5CF12F7B">
      <w:pPr>
        <w:pStyle w:val="6"/>
        <w:spacing w:line="500" w:lineRule="exact"/>
        <w:ind w:firstLine="422"/>
        <w:rPr>
          <w:rFonts w:hint="eastAsia" w:ascii="宋体" w:hAnsi="宋体" w:cs="宋体"/>
          <w:color w:val="auto"/>
          <w:sz w:val="21"/>
          <w:highlight w:val="none"/>
        </w:rPr>
      </w:pPr>
      <w:bookmarkStart w:id="682" w:name="_Toc164680451"/>
      <w:bookmarkStart w:id="683" w:name="_Toc2358"/>
      <w:bookmarkStart w:id="684" w:name="_Toc164182039"/>
      <w:bookmarkStart w:id="685" w:name="_Toc164680670"/>
      <w:bookmarkStart w:id="686" w:name="_Toc164181721"/>
      <w:bookmarkStart w:id="687" w:name="_Toc2488"/>
      <w:bookmarkStart w:id="688" w:name="_Toc164182741"/>
      <w:bookmarkStart w:id="689" w:name="_Toc164680893"/>
      <w:r>
        <w:rPr>
          <w:rFonts w:hint="eastAsia" w:ascii="宋体" w:hAnsi="宋体" w:cs="宋体"/>
          <w:color w:val="auto"/>
          <w:sz w:val="21"/>
          <w:highlight w:val="none"/>
        </w:rPr>
        <w:t>29.2 规避专利、版权纠纷</w:t>
      </w:r>
      <w:bookmarkEnd w:id="682"/>
      <w:bookmarkEnd w:id="683"/>
      <w:bookmarkEnd w:id="684"/>
      <w:bookmarkEnd w:id="685"/>
      <w:bookmarkEnd w:id="686"/>
      <w:bookmarkEnd w:id="687"/>
      <w:bookmarkEnd w:id="688"/>
      <w:bookmarkEnd w:id="689"/>
    </w:p>
    <w:p w14:paraId="5524F11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29.2.1 投标人应保证其投标方案中的有关软件、文件、图纸等没有违反有关专利和版权等知识产权的规定。</w:t>
      </w:r>
    </w:p>
    <w:p w14:paraId="7DE723E4">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29.2.2 中标人应保证采购人在中华人民共和国使用本项目成果任何一部分、或接受乙方服务时，免受第三方提出的侵犯其专利权、商标权或工业设计权等知识产权的索赔或起诉。</w:t>
      </w:r>
    </w:p>
    <w:p w14:paraId="16942DB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29.2.3 如果采购人在使用本项目任何一部分时被任何第三方诉称侵犯了第三方知识产权或任何其它权利，中标人应负责处理这一指控并应以中标人的名义自负费用向起诉方提出抗辩。由此可能产生的一切法律责任和经济责任均由中标人承担。</w:t>
      </w:r>
    </w:p>
    <w:p w14:paraId="6EBF232C">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38A2FDB6">
      <w:pPr>
        <w:pStyle w:val="5"/>
        <w:spacing w:line="500" w:lineRule="exact"/>
        <w:rPr>
          <w:rFonts w:hint="eastAsia" w:ascii="宋体" w:hAnsi="宋体" w:cs="宋体"/>
          <w:color w:val="auto"/>
          <w:sz w:val="21"/>
          <w:highlight w:val="none"/>
        </w:rPr>
      </w:pPr>
      <w:bookmarkStart w:id="690" w:name="_Toc164182742"/>
      <w:bookmarkStart w:id="691" w:name="_Toc164680894"/>
      <w:bookmarkStart w:id="692" w:name="_Toc138234752"/>
      <w:bookmarkStart w:id="693" w:name="_Toc138234938"/>
      <w:bookmarkStart w:id="694" w:name="_Toc137660733"/>
      <w:bookmarkStart w:id="695" w:name="_Toc164681266"/>
      <w:bookmarkStart w:id="696" w:name="_Toc5431"/>
      <w:bookmarkStart w:id="697" w:name="_Toc164680671"/>
      <w:bookmarkStart w:id="698" w:name="_Toc164182413"/>
      <w:bookmarkStart w:id="699" w:name="_Toc143701755"/>
      <w:bookmarkStart w:id="700" w:name="_Toc23294"/>
      <w:bookmarkStart w:id="701" w:name="_Toc164181722"/>
      <w:bookmarkStart w:id="702" w:name="_Toc164182040"/>
      <w:bookmarkStart w:id="703" w:name="_Toc11961"/>
      <w:bookmarkStart w:id="704" w:name="_Toc143701636"/>
      <w:bookmarkStart w:id="705" w:name="_Toc2418"/>
      <w:bookmarkStart w:id="706" w:name="_Toc164182249"/>
      <w:bookmarkStart w:id="707" w:name="_Toc137660484"/>
      <w:r>
        <w:rPr>
          <w:rFonts w:hint="eastAsia" w:ascii="宋体" w:hAnsi="宋体" w:cs="宋体"/>
          <w:color w:val="auto"/>
          <w:sz w:val="21"/>
          <w:highlight w:val="none"/>
        </w:rPr>
        <w:t>30．禁止行为</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65F4EF27">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30.1投标人不得与采购人、采购代理机构恶意串通；不得向采购人、采购代理机构或者评标委员会成员行贿或者提供其他不正当利益；不得提供虚假材料谋取中标；不得以任何方式干扰、影响采购工作。投标人违反</w:t>
      </w:r>
      <w:r>
        <w:rPr>
          <w:rFonts w:hint="eastAsia" w:ascii="宋体" w:hAnsi="宋体" w:cs="宋体"/>
          <w:caps/>
          <w:color w:val="auto"/>
          <w:szCs w:val="21"/>
          <w:highlight w:val="none"/>
          <w:lang w:eastAsia="zh-CN"/>
        </w:rPr>
        <w:t>中华人民共和国政府采购法</w:t>
      </w:r>
      <w:r>
        <w:rPr>
          <w:rFonts w:hint="eastAsia" w:ascii="宋体" w:hAnsi="宋体" w:cs="宋体"/>
          <w:caps/>
          <w:color w:val="auto"/>
          <w:szCs w:val="21"/>
          <w:highlight w:val="none"/>
        </w:rPr>
        <w:t>律法规相关规定的，依法追究法律责任。</w:t>
      </w:r>
    </w:p>
    <w:p w14:paraId="3D55416B">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30.2投标人应当遵循公平竞争的原则，不得恶意串通，不得妨碍其他投标人的竞争行为，不得损害采购人或者其他投标人的合法权益。</w:t>
      </w:r>
    </w:p>
    <w:p w14:paraId="54CA548D">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有下列情形之一的，视为投标人串通投标，其投标无效：</w:t>
      </w:r>
    </w:p>
    <w:p w14:paraId="107473BC">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（1）不同投标人的投标文件由同一单位或者个人编制；</w:t>
      </w:r>
    </w:p>
    <w:p w14:paraId="2D868BF9">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（2）不同投标人委托同一单位或者个人办理投标事宜；</w:t>
      </w:r>
    </w:p>
    <w:p w14:paraId="3C2B1A3A">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（3）不同投标人的投标文件载明的项目管理成员或者联系人员为同一人；</w:t>
      </w:r>
    </w:p>
    <w:p w14:paraId="3F710B0A">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（4）不同投标人的投标文件异常一致或者投标报价呈规律性差异；</w:t>
      </w:r>
    </w:p>
    <w:p w14:paraId="7710DDC2">
      <w:pPr>
        <w:adjustRightInd w:val="0"/>
        <w:snapToGrid w:val="0"/>
        <w:spacing w:line="500" w:lineRule="exact"/>
        <w:ind w:firstLine="420" w:firstLineChars="200"/>
        <w:rPr>
          <w:rFonts w:hint="eastAsia" w:ascii="宋体" w:hAnsi="宋体" w:cs="宋体"/>
          <w:caps/>
          <w:snapToGrid w:val="0"/>
          <w:color w:val="auto"/>
          <w:szCs w:val="21"/>
          <w:highlight w:val="none"/>
        </w:rPr>
      </w:pPr>
      <w:r>
        <w:rPr>
          <w:rFonts w:hint="eastAsia" w:ascii="宋体" w:hAnsi="宋体" w:cs="宋体"/>
          <w:caps/>
          <w:color w:val="auto"/>
          <w:szCs w:val="21"/>
          <w:highlight w:val="none"/>
        </w:rPr>
        <w:t>（5）不同投标人的投标文件相互混装</w:t>
      </w:r>
      <w:r>
        <w:rPr>
          <w:rFonts w:hint="eastAsia" w:ascii="宋体" w:hAnsi="宋体" w:cs="宋体"/>
          <w:caps/>
          <w:snapToGrid w:val="0"/>
          <w:color w:val="auto"/>
          <w:szCs w:val="21"/>
          <w:highlight w:val="none"/>
        </w:rPr>
        <w:t>。</w:t>
      </w:r>
    </w:p>
    <w:p w14:paraId="06BF9682">
      <w:pPr>
        <w:pStyle w:val="5"/>
        <w:spacing w:line="500" w:lineRule="exact"/>
        <w:rPr>
          <w:rFonts w:hint="eastAsia" w:ascii="宋体" w:hAnsi="宋体" w:cs="宋体"/>
          <w:color w:val="auto"/>
          <w:sz w:val="21"/>
          <w:highlight w:val="none"/>
        </w:rPr>
      </w:pPr>
      <w:bookmarkStart w:id="708" w:name="_Toc164182743"/>
      <w:bookmarkStart w:id="709" w:name="_Toc143701647"/>
      <w:bookmarkStart w:id="710" w:name="_Toc137660495"/>
      <w:bookmarkStart w:id="711" w:name="_Toc23757"/>
      <w:bookmarkStart w:id="712" w:name="_Toc164182041"/>
      <w:bookmarkStart w:id="713" w:name="_Toc138234763"/>
      <w:bookmarkStart w:id="714" w:name="_Toc15869"/>
      <w:bookmarkStart w:id="715" w:name="_Toc143701766"/>
      <w:bookmarkStart w:id="716" w:name="_Toc164681267"/>
      <w:bookmarkStart w:id="717" w:name="_Toc164182414"/>
      <w:bookmarkStart w:id="718" w:name="_Toc164680672"/>
      <w:bookmarkStart w:id="719" w:name="_Toc164181723"/>
      <w:bookmarkStart w:id="720" w:name="_Toc137660744"/>
      <w:bookmarkStart w:id="721" w:name="_Toc25391"/>
      <w:bookmarkStart w:id="722" w:name="_Toc164680895"/>
      <w:bookmarkStart w:id="723" w:name="_Toc164182250"/>
      <w:bookmarkStart w:id="724" w:name="_Toc138234949"/>
      <w:bookmarkStart w:id="725" w:name="_Toc9671"/>
      <w:r>
        <w:rPr>
          <w:rFonts w:hint="eastAsia" w:ascii="宋体" w:hAnsi="宋体" w:cs="宋体"/>
          <w:color w:val="auto"/>
          <w:sz w:val="21"/>
          <w:highlight w:val="none"/>
        </w:rPr>
        <w:t>31．未尽事宜</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73B78950">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其他未尽事宜按</w:t>
      </w:r>
      <w:r>
        <w:rPr>
          <w:rFonts w:hint="eastAsia" w:ascii="宋体" w:hAnsi="宋体" w:cs="宋体"/>
          <w:caps/>
          <w:color w:val="auto"/>
          <w:szCs w:val="21"/>
          <w:highlight w:val="none"/>
          <w:lang w:eastAsia="zh-CN"/>
        </w:rPr>
        <w:t>中华人民共和国政府采购法</w:t>
      </w:r>
      <w:r>
        <w:rPr>
          <w:rFonts w:hint="eastAsia" w:ascii="宋体" w:hAnsi="宋体" w:cs="宋体"/>
          <w:caps/>
          <w:color w:val="auto"/>
          <w:szCs w:val="21"/>
          <w:highlight w:val="none"/>
        </w:rPr>
        <w:t>律法规的相关规定执行。</w:t>
      </w:r>
    </w:p>
    <w:p w14:paraId="23B6AB48">
      <w:pPr>
        <w:pStyle w:val="5"/>
        <w:spacing w:line="500" w:lineRule="exact"/>
        <w:rPr>
          <w:rFonts w:hint="eastAsia" w:ascii="宋体" w:hAnsi="宋体" w:cs="宋体"/>
          <w:color w:val="auto"/>
          <w:sz w:val="21"/>
          <w:highlight w:val="none"/>
        </w:rPr>
      </w:pPr>
      <w:bookmarkStart w:id="726" w:name="_Toc138234764"/>
      <w:bookmarkStart w:id="727" w:name="_Toc164181724"/>
      <w:bookmarkStart w:id="728" w:name="_Toc164681268"/>
      <w:bookmarkStart w:id="729" w:name="_Toc164182744"/>
      <w:bookmarkStart w:id="730" w:name="_Toc32460"/>
      <w:bookmarkStart w:id="731" w:name="_Toc164680896"/>
      <w:bookmarkStart w:id="732" w:name="_Toc164182042"/>
      <w:bookmarkStart w:id="733" w:name="_Toc137660496"/>
      <w:bookmarkStart w:id="734" w:name="_Toc164182415"/>
      <w:bookmarkStart w:id="735" w:name="_Toc164680673"/>
      <w:bookmarkStart w:id="736" w:name="_Toc3536"/>
      <w:bookmarkStart w:id="737" w:name="_Toc13067"/>
      <w:bookmarkStart w:id="738" w:name="_Toc137660745"/>
      <w:bookmarkStart w:id="739" w:name="_Toc164182251"/>
      <w:bookmarkStart w:id="740" w:name="_Toc15597"/>
      <w:bookmarkStart w:id="741" w:name="_Toc143701767"/>
      <w:bookmarkStart w:id="742" w:name="_Toc138234950"/>
      <w:bookmarkStart w:id="743" w:name="_Toc143701648"/>
      <w:r>
        <w:rPr>
          <w:rFonts w:hint="eastAsia" w:ascii="宋体" w:hAnsi="宋体" w:cs="宋体"/>
          <w:color w:val="auto"/>
          <w:sz w:val="21"/>
          <w:highlight w:val="none"/>
        </w:rPr>
        <w:t>32．文件解释权</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0AF8B8B2">
      <w:pPr>
        <w:adjustRightInd w:val="0"/>
        <w:snapToGrid w:val="0"/>
        <w:spacing w:line="500" w:lineRule="exact"/>
        <w:ind w:firstLine="420" w:firstLineChars="200"/>
        <w:rPr>
          <w:rFonts w:hint="eastAsia" w:ascii="宋体" w:hAnsi="宋体" w:cs="宋体"/>
          <w:caps/>
          <w:color w:val="auto"/>
          <w:szCs w:val="21"/>
          <w:highlight w:val="none"/>
        </w:rPr>
      </w:pPr>
      <w:r>
        <w:rPr>
          <w:rFonts w:hint="eastAsia" w:ascii="宋体" w:hAnsi="宋体" w:cs="宋体"/>
          <w:caps/>
          <w:color w:val="auto"/>
          <w:szCs w:val="21"/>
          <w:highlight w:val="none"/>
        </w:rPr>
        <w:t>本招标文件的最终解释权归采购人（或采购代理机构）所有。</w:t>
      </w:r>
    </w:p>
    <w:p w14:paraId="0D2000F9">
      <w:pPr>
        <w:widowControl/>
        <w:jc w:val="left"/>
        <w:rPr>
          <w:rFonts w:hint="eastAsia" w:ascii="宋体" w:hAnsi="宋体" w:cs="宋体"/>
          <w:color w:val="auto"/>
          <w:highlight w:val="none"/>
        </w:rPr>
      </w:pPr>
      <w:r>
        <w:rPr>
          <w:rFonts w:hint="eastAsia" w:ascii="宋体" w:hAnsi="宋体" w:cs="宋体"/>
          <w:color w:val="auto"/>
          <w:highlight w:val="none"/>
        </w:rPr>
        <w:br w:type="page"/>
      </w:r>
    </w:p>
    <w:p w14:paraId="4B318AE5">
      <w:pPr>
        <w:pStyle w:val="2"/>
        <w:rPr>
          <w:rFonts w:hint="eastAsia" w:ascii="宋体" w:hAnsi="宋体" w:cs="宋体"/>
          <w:color w:val="auto"/>
          <w:highlight w:val="none"/>
        </w:rPr>
      </w:pPr>
      <w:bookmarkStart w:id="744" w:name="_Toc47535707"/>
      <w:bookmarkStart w:id="745" w:name="_Toc99721150"/>
      <w:bookmarkStart w:id="746" w:name="_Toc137660334"/>
      <w:bookmarkStart w:id="747" w:name="_Toc137660274"/>
      <w:bookmarkStart w:id="748" w:name="_Toc501047620"/>
      <w:bookmarkStart w:id="749" w:name="_Toc84935248"/>
      <w:bookmarkStart w:id="750" w:name="_Toc79077690"/>
      <w:bookmarkStart w:id="751" w:name="_Toc100768009"/>
      <w:bookmarkStart w:id="752" w:name="_Toc99721513"/>
      <w:bookmarkStart w:id="753" w:name="_Toc47535769"/>
      <w:bookmarkStart w:id="754" w:name="_Toc99526743"/>
      <w:bookmarkStart w:id="755" w:name="_Toc107941462"/>
      <w:bookmarkStart w:id="756" w:name="_Toc137660654"/>
      <w:bookmarkStart w:id="757" w:name="_Toc84934856"/>
      <w:bookmarkStart w:id="758" w:name="_Toc106203111"/>
      <w:bookmarkStart w:id="759" w:name="_Toc498959706"/>
      <w:bookmarkStart w:id="760" w:name="_Toc79078773"/>
      <w:bookmarkStart w:id="761" w:name="_Toc498959534"/>
      <w:bookmarkStart w:id="762" w:name="_Toc99525706"/>
      <w:bookmarkStart w:id="763" w:name="_Toc84935319"/>
      <w:bookmarkStart w:id="764" w:name="_Toc9111"/>
      <w:bookmarkStart w:id="765" w:name="_Toc23185"/>
      <w:bookmarkStart w:id="766" w:name="_Toc1560"/>
      <w:bookmarkStart w:id="767" w:name="_Toc164182745"/>
      <w:bookmarkStart w:id="768" w:name="_Toc19176"/>
      <w:bookmarkStart w:id="769" w:name="_Toc21792"/>
      <w:bookmarkStart w:id="770" w:name="_Toc26110"/>
      <w:bookmarkStart w:id="771" w:name="_Toc164182252"/>
      <w:bookmarkStart w:id="772" w:name="_Toc23050"/>
      <w:bookmarkStart w:id="773" w:name="_Toc164681269"/>
      <w:bookmarkStart w:id="774" w:name="_Toc31786"/>
      <w:r>
        <w:rPr>
          <w:rFonts w:hint="eastAsia" w:ascii="宋体" w:hAnsi="宋体" w:cs="宋体"/>
          <w:color w:val="auto"/>
          <w:highlight w:val="none"/>
        </w:rPr>
        <w:t xml:space="preserve">第三章  </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r>
        <w:rPr>
          <w:rFonts w:hint="eastAsia" w:ascii="宋体" w:hAnsi="宋体" w:cs="宋体"/>
          <w:color w:val="auto"/>
          <w:highlight w:val="none"/>
        </w:rPr>
        <w:t>评标方法及标准</w:t>
      </w:r>
      <w:bookmarkEnd w:id="764"/>
      <w:bookmarkEnd w:id="765"/>
      <w:bookmarkEnd w:id="766"/>
      <w:bookmarkEnd w:id="767"/>
      <w:bookmarkEnd w:id="768"/>
      <w:bookmarkEnd w:id="769"/>
      <w:bookmarkEnd w:id="770"/>
      <w:bookmarkEnd w:id="771"/>
      <w:bookmarkEnd w:id="772"/>
      <w:bookmarkEnd w:id="773"/>
      <w:bookmarkEnd w:id="774"/>
    </w:p>
    <w:p w14:paraId="63878BD1">
      <w:pPr>
        <w:pStyle w:val="4"/>
        <w:spacing w:line="360" w:lineRule="auto"/>
        <w:outlineLvl w:val="1"/>
        <w:rPr>
          <w:rFonts w:hint="eastAsia" w:ascii="宋体" w:hAnsi="宋体" w:cs="宋体"/>
          <w:color w:val="auto"/>
          <w:sz w:val="21"/>
          <w:szCs w:val="21"/>
          <w:highlight w:val="none"/>
        </w:rPr>
      </w:pPr>
      <w:bookmarkStart w:id="775" w:name="_Toc13459"/>
      <w:bookmarkStart w:id="776" w:name="_Toc164181725"/>
      <w:bookmarkStart w:id="777" w:name="_Toc2099"/>
      <w:bookmarkStart w:id="778" w:name="_Toc164680674"/>
      <w:bookmarkStart w:id="779" w:name="_Toc4437"/>
      <w:bookmarkStart w:id="780" w:name="_Toc164182746"/>
      <w:bookmarkStart w:id="781" w:name="_Toc164680897"/>
      <w:bookmarkStart w:id="782" w:name="_Toc164182253"/>
      <w:bookmarkStart w:id="783" w:name="_Toc164182043"/>
      <w:bookmarkStart w:id="784" w:name="_Toc3479"/>
      <w:bookmarkStart w:id="785" w:name="_Toc26479"/>
      <w:bookmarkStart w:id="786" w:name="_Toc29531"/>
      <w:bookmarkStart w:id="787" w:name="_Toc164681270"/>
      <w:r>
        <w:rPr>
          <w:rFonts w:hint="eastAsia" w:ascii="宋体" w:hAnsi="宋体" w:cs="宋体"/>
          <w:color w:val="auto"/>
          <w:sz w:val="21"/>
          <w:szCs w:val="21"/>
          <w:highlight w:val="none"/>
        </w:rPr>
        <w:t>一、评标方法</w:t>
      </w:r>
      <w:bookmarkEnd w:id="775"/>
      <w:bookmarkEnd w:id="776"/>
      <w:bookmarkEnd w:id="777"/>
      <w:bookmarkEnd w:id="778"/>
      <w:bookmarkEnd w:id="779"/>
      <w:bookmarkEnd w:id="780"/>
      <w:bookmarkEnd w:id="781"/>
      <w:bookmarkEnd w:id="782"/>
      <w:bookmarkEnd w:id="783"/>
      <w:bookmarkEnd w:id="784"/>
      <w:bookmarkEnd w:id="785"/>
      <w:bookmarkEnd w:id="786"/>
      <w:bookmarkEnd w:id="787"/>
    </w:p>
    <w:p w14:paraId="511A76F6">
      <w:pPr>
        <w:bidi w:val="0"/>
        <w:spacing w:line="360" w:lineRule="auto"/>
        <w:ind w:firstLine="420" w:firstLineChars="200"/>
        <w:rPr>
          <w:rFonts w:hint="eastAsia" w:ascii="宋体" w:hAnsi="宋体" w:cs="宋体"/>
          <w:color w:val="auto"/>
          <w:szCs w:val="21"/>
          <w:highlight w:val="none"/>
          <w:u w:val="single"/>
        </w:rPr>
      </w:pPr>
      <w:bookmarkStart w:id="788" w:name="_Toc17307"/>
      <w:bookmarkStart w:id="789" w:name="_Toc22677"/>
      <w:bookmarkStart w:id="790" w:name="_Toc4045"/>
      <w:bookmarkStart w:id="791" w:name="_Toc3467"/>
      <w:r>
        <w:rPr>
          <w:rFonts w:hint="eastAsia" w:ascii="宋体" w:hAnsi="宋体" w:eastAsia="宋体" w:cs="宋体"/>
          <w:color w:val="auto"/>
          <w:szCs w:val="21"/>
          <w:highlight w:val="none"/>
        </w:rPr>
        <w:t>本项目评标方法</w:t>
      </w:r>
      <w:r>
        <w:rPr>
          <w:rFonts w:hint="eastAsia" w:ascii="宋体" w:hAnsi="宋体" w:cs="宋体"/>
          <w:color w:val="auto"/>
          <w:szCs w:val="21"/>
          <w:highlight w:val="none"/>
        </w:rPr>
        <w:t>：</w:t>
      </w:r>
      <w:r>
        <w:rPr>
          <w:rFonts w:hint="eastAsia" w:ascii="宋体" w:hAnsi="宋体" w:cs="宋体"/>
          <w:b/>
          <w:color w:val="auto"/>
          <w:szCs w:val="21"/>
          <w:highlight w:val="none"/>
          <w:u w:val="single"/>
        </w:rPr>
        <w:t>综合评分法</w:t>
      </w:r>
      <w:bookmarkEnd w:id="788"/>
      <w:bookmarkEnd w:id="789"/>
      <w:bookmarkEnd w:id="790"/>
      <w:bookmarkEnd w:id="791"/>
    </w:p>
    <w:p w14:paraId="7F53C4B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综合评分法是指投标文件满足招标文件全部实质性要求，且按照评审因素的量化指标评审得分最高的投标人为中标候选人的评标方法。</w:t>
      </w:r>
    </w:p>
    <w:p w14:paraId="6852E652">
      <w:pPr>
        <w:pStyle w:val="4"/>
        <w:spacing w:line="360" w:lineRule="auto"/>
        <w:outlineLvl w:val="1"/>
        <w:rPr>
          <w:rFonts w:hint="eastAsia" w:ascii="宋体" w:hAnsi="宋体" w:cs="宋体"/>
          <w:color w:val="auto"/>
          <w:sz w:val="21"/>
          <w:szCs w:val="21"/>
          <w:highlight w:val="none"/>
        </w:rPr>
      </w:pPr>
      <w:bookmarkStart w:id="792" w:name="_Toc164680675"/>
      <w:bookmarkStart w:id="793" w:name="_Toc29610"/>
      <w:bookmarkStart w:id="794" w:name="_Toc164182747"/>
      <w:bookmarkStart w:id="795" w:name="_Toc24602"/>
      <w:bookmarkStart w:id="796" w:name="_Toc164182254"/>
      <w:bookmarkStart w:id="797" w:name="_Toc164182044"/>
      <w:bookmarkStart w:id="798" w:name="_Toc698"/>
      <w:bookmarkStart w:id="799" w:name="_Toc19780"/>
      <w:bookmarkStart w:id="800" w:name="_Toc164181726"/>
      <w:bookmarkStart w:id="801" w:name="_Toc6177"/>
      <w:bookmarkStart w:id="802" w:name="_Toc164681271"/>
      <w:bookmarkStart w:id="803" w:name="_Toc164680898"/>
      <w:bookmarkStart w:id="804" w:name="_Toc17779"/>
      <w:r>
        <w:rPr>
          <w:rFonts w:hint="eastAsia" w:ascii="宋体" w:hAnsi="宋体" w:cs="宋体"/>
          <w:color w:val="auto"/>
          <w:sz w:val="21"/>
          <w:szCs w:val="21"/>
          <w:highlight w:val="none"/>
        </w:rPr>
        <w:t>二、评标标准</w:t>
      </w:r>
      <w:bookmarkEnd w:id="792"/>
      <w:bookmarkEnd w:id="793"/>
      <w:bookmarkEnd w:id="794"/>
      <w:bookmarkEnd w:id="795"/>
      <w:bookmarkEnd w:id="796"/>
      <w:bookmarkEnd w:id="797"/>
      <w:bookmarkEnd w:id="798"/>
      <w:bookmarkEnd w:id="799"/>
      <w:bookmarkEnd w:id="800"/>
      <w:bookmarkEnd w:id="801"/>
      <w:bookmarkEnd w:id="802"/>
      <w:bookmarkEnd w:id="803"/>
      <w:bookmarkEnd w:id="804"/>
    </w:p>
    <w:p w14:paraId="2BFECBEA">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本项目价格分值为</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分，其余评审因素分值为</w:t>
      </w:r>
      <w:r>
        <w:rPr>
          <w:rFonts w:hint="eastAsia" w:ascii="宋体" w:hAnsi="宋体" w:cs="宋体"/>
          <w:color w:val="auto"/>
          <w:szCs w:val="21"/>
          <w:highlight w:val="none"/>
          <w:lang w:val="en-US" w:eastAsia="zh-CN"/>
        </w:rPr>
        <w:t>90</w:t>
      </w:r>
      <w:r>
        <w:rPr>
          <w:rFonts w:hint="eastAsia" w:ascii="宋体" w:hAnsi="宋体" w:cs="宋体"/>
          <w:color w:val="auto"/>
          <w:szCs w:val="21"/>
          <w:highlight w:val="none"/>
        </w:rPr>
        <w:t>分。评审标准如下表：</w:t>
      </w:r>
    </w:p>
    <w:tbl>
      <w:tblPr>
        <w:tblStyle w:val="31"/>
        <w:tblW w:w="917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5"/>
        <w:gridCol w:w="791"/>
        <w:gridCol w:w="1134"/>
        <w:gridCol w:w="841"/>
        <w:gridCol w:w="5011"/>
        <w:gridCol w:w="661"/>
      </w:tblGrid>
      <w:tr w14:paraId="2B8E5A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7" w:hRule="atLeast"/>
          <w:tblHeader/>
          <w:jc w:val="center"/>
        </w:trPr>
        <w:tc>
          <w:tcPr>
            <w:tcW w:w="735" w:type="dxa"/>
            <w:noWrap w:val="0"/>
            <w:vAlign w:val="center"/>
          </w:tcPr>
          <w:p w14:paraId="0ADA14A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791" w:type="dxa"/>
            <w:noWrap w:val="0"/>
            <w:vAlign w:val="center"/>
          </w:tcPr>
          <w:p w14:paraId="78142C3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类别</w:t>
            </w:r>
          </w:p>
        </w:tc>
        <w:tc>
          <w:tcPr>
            <w:tcW w:w="1134" w:type="dxa"/>
            <w:noWrap w:val="0"/>
            <w:vAlign w:val="center"/>
          </w:tcPr>
          <w:p w14:paraId="0234045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评审因素</w:t>
            </w:r>
          </w:p>
        </w:tc>
        <w:tc>
          <w:tcPr>
            <w:tcW w:w="841" w:type="dxa"/>
            <w:tcBorders>
              <w:right w:val="single" w:color="auto" w:sz="4" w:space="0"/>
            </w:tcBorders>
            <w:noWrap w:val="0"/>
            <w:vAlign w:val="center"/>
          </w:tcPr>
          <w:p w14:paraId="0AE473D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主要内容</w:t>
            </w:r>
          </w:p>
        </w:tc>
        <w:tc>
          <w:tcPr>
            <w:tcW w:w="5011" w:type="dxa"/>
            <w:tcBorders>
              <w:left w:val="single" w:color="auto" w:sz="4" w:space="0"/>
            </w:tcBorders>
            <w:noWrap w:val="0"/>
            <w:vAlign w:val="center"/>
          </w:tcPr>
          <w:p w14:paraId="08ED7CF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评分标准</w:t>
            </w:r>
          </w:p>
        </w:tc>
        <w:tc>
          <w:tcPr>
            <w:tcW w:w="661" w:type="dxa"/>
            <w:noWrap w:val="0"/>
            <w:vAlign w:val="center"/>
          </w:tcPr>
          <w:p w14:paraId="4A6A390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分值</w:t>
            </w:r>
          </w:p>
        </w:tc>
      </w:tr>
      <w:tr w14:paraId="07707E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tblHeader/>
          <w:jc w:val="center"/>
        </w:trPr>
        <w:tc>
          <w:tcPr>
            <w:tcW w:w="735" w:type="dxa"/>
            <w:noWrap w:val="0"/>
            <w:vAlign w:val="center"/>
          </w:tcPr>
          <w:p w14:paraId="1FFCFA13">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91" w:type="dxa"/>
            <w:noWrap w:val="0"/>
            <w:vAlign w:val="center"/>
          </w:tcPr>
          <w:p w14:paraId="0F6D359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价格分（10分）</w:t>
            </w:r>
          </w:p>
        </w:tc>
        <w:tc>
          <w:tcPr>
            <w:tcW w:w="1134" w:type="dxa"/>
            <w:noWrap w:val="0"/>
            <w:vAlign w:val="center"/>
          </w:tcPr>
          <w:p w14:paraId="5DAA31F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报价</w:t>
            </w:r>
          </w:p>
        </w:tc>
        <w:tc>
          <w:tcPr>
            <w:tcW w:w="841" w:type="dxa"/>
            <w:tcBorders>
              <w:right w:val="single" w:color="auto" w:sz="4" w:space="0"/>
            </w:tcBorders>
            <w:noWrap w:val="0"/>
            <w:vAlign w:val="center"/>
          </w:tcPr>
          <w:p w14:paraId="7F1ED32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价格</w:t>
            </w:r>
          </w:p>
        </w:tc>
        <w:tc>
          <w:tcPr>
            <w:tcW w:w="5011" w:type="dxa"/>
            <w:tcBorders>
              <w:left w:val="single" w:color="auto" w:sz="4" w:space="0"/>
            </w:tcBorders>
            <w:noWrap w:val="0"/>
            <w:vAlign w:val="center"/>
          </w:tcPr>
          <w:p w14:paraId="427A5E3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得分S＝（Pmin/P）×10，其中：Pmin为所有供应商的最低有效报价，P为供应商有效报价。</w:t>
            </w:r>
            <w:r>
              <w:rPr>
                <w:rFonts w:hint="eastAsia" w:ascii="宋体" w:hAnsi="宋体" w:cs="宋体"/>
                <w:color w:val="auto"/>
                <w:szCs w:val="21"/>
                <w:highlight w:val="none"/>
              </w:rPr>
              <w:br w:type="textWrapping"/>
            </w:r>
            <w:r>
              <w:rPr>
                <w:rFonts w:hint="eastAsia" w:ascii="宋体" w:hAnsi="宋体" w:cs="宋体"/>
                <w:color w:val="auto"/>
                <w:szCs w:val="21"/>
                <w:highlight w:val="none"/>
              </w:rPr>
              <w:t>对小微企业、监狱企业及残疾人福利性单位的投标价格给予15%的扣除，用扣除后的价格参与评审。</w:t>
            </w:r>
            <w:r>
              <w:rPr>
                <w:rFonts w:hint="eastAsia" w:ascii="宋体" w:hAnsi="宋体" w:cs="宋体"/>
                <w:color w:val="auto"/>
                <w:szCs w:val="21"/>
                <w:highlight w:val="none"/>
              </w:rPr>
              <w:br w:type="textWrapping"/>
            </w:r>
            <w:r>
              <w:rPr>
                <w:rFonts w:hint="eastAsia" w:ascii="宋体" w:hAnsi="宋体" w:cs="宋体"/>
                <w:color w:val="auto"/>
                <w:szCs w:val="21"/>
                <w:highlight w:val="none"/>
              </w:rPr>
              <w:t>备注:价格评分取值至小数点后第2位，2位以后四舍五入。如有算数修正，参与价格得分计算的投标报价应是修正后的报价。</w:t>
            </w:r>
            <w:r>
              <w:rPr>
                <w:rFonts w:hint="eastAsia" w:ascii="宋体" w:hAnsi="宋体" w:cs="宋体"/>
                <w:color w:val="auto"/>
                <w:szCs w:val="21"/>
                <w:highlight w:val="none"/>
              </w:rPr>
              <w:br w:type="textWrapping"/>
            </w:r>
            <w:r>
              <w:rPr>
                <w:rFonts w:hint="eastAsia" w:ascii="宋体" w:hAnsi="宋体" w:cs="宋体"/>
                <w:color w:val="auto"/>
                <w:szCs w:val="21"/>
                <w:highlight w:val="none"/>
              </w:rPr>
              <w:t>(1)因落实政府采购政策进行价格调整的，以调整后的价格计算投标基准价和最后投标报价。</w:t>
            </w:r>
            <w:r>
              <w:rPr>
                <w:rFonts w:hint="eastAsia" w:ascii="宋体" w:hAnsi="宋体" w:cs="宋体"/>
                <w:color w:val="auto"/>
                <w:szCs w:val="21"/>
                <w:highlight w:val="none"/>
              </w:rPr>
              <w:br w:type="textWrapping"/>
            </w:r>
            <w:r>
              <w:rPr>
                <w:rFonts w:hint="eastAsia" w:ascii="宋体" w:hAnsi="宋体" w:cs="宋体"/>
                <w:color w:val="auto"/>
                <w:szCs w:val="21"/>
                <w:highlight w:val="none"/>
              </w:rPr>
              <w:t>(2)评审中出现下列情形中之一的，评审委员会应当启动异常低价投标（响应）审查程序：</w:t>
            </w:r>
            <w:r>
              <w:rPr>
                <w:rFonts w:hint="eastAsia" w:ascii="宋体" w:hAnsi="宋体" w:cs="宋体"/>
                <w:color w:val="auto"/>
                <w:szCs w:val="21"/>
                <w:highlight w:val="none"/>
              </w:rPr>
              <w:br w:type="textWrapping"/>
            </w:r>
            <w:r>
              <w:rPr>
                <w:rFonts w:hint="eastAsia" w:ascii="宋体" w:hAnsi="宋体" w:cs="宋体"/>
                <w:color w:val="auto"/>
                <w:szCs w:val="21"/>
                <w:highlight w:val="none"/>
              </w:rPr>
              <w:t>A.投标（响应）报价低于全部通过符合性审查投标人投标（响应）报价50%的，即投标（响应）报价&lt;全部通过符合性审查投标人投标（响应）报价平均值*50%；</w:t>
            </w:r>
            <w:r>
              <w:rPr>
                <w:rFonts w:hint="eastAsia" w:ascii="宋体" w:hAnsi="宋体" w:cs="宋体"/>
                <w:color w:val="auto"/>
                <w:szCs w:val="21"/>
                <w:highlight w:val="none"/>
              </w:rPr>
              <w:br w:type="textWrapping"/>
            </w:r>
            <w:r>
              <w:rPr>
                <w:rFonts w:hint="eastAsia" w:ascii="宋体" w:hAnsi="宋体" w:cs="宋体"/>
                <w:color w:val="auto"/>
                <w:szCs w:val="21"/>
                <w:highlight w:val="none"/>
              </w:rPr>
              <w:t>B.投标（响应）报价低于通过符合性审查的次低报价投标人投标（响应）报价50%的，即投标（响应）报价&lt;通过符合性审查的次低投标人投标（响应）报价*50%；</w:t>
            </w:r>
            <w:r>
              <w:rPr>
                <w:rFonts w:hint="eastAsia" w:ascii="宋体" w:hAnsi="宋体" w:cs="宋体"/>
                <w:color w:val="auto"/>
                <w:szCs w:val="21"/>
                <w:highlight w:val="none"/>
              </w:rPr>
              <w:br w:type="textWrapping"/>
            </w:r>
            <w:r>
              <w:rPr>
                <w:rFonts w:hint="eastAsia" w:ascii="宋体" w:hAnsi="宋体" w:cs="宋体"/>
                <w:color w:val="auto"/>
                <w:szCs w:val="21"/>
                <w:highlight w:val="none"/>
              </w:rPr>
              <w:t>C.投标（响应）报价低于采购项目最高限价45%的，即投标（响应）报价&lt;采购项目最高限价*45%；</w:t>
            </w:r>
            <w:r>
              <w:rPr>
                <w:rFonts w:hint="eastAsia" w:ascii="宋体" w:hAnsi="宋体" w:cs="宋体"/>
                <w:color w:val="auto"/>
                <w:szCs w:val="21"/>
                <w:highlight w:val="none"/>
              </w:rPr>
              <w:br w:type="textWrapping"/>
            </w:r>
            <w:r>
              <w:rPr>
                <w:rFonts w:hint="eastAsia" w:ascii="宋体" w:hAnsi="宋体" w:cs="宋体"/>
                <w:color w:val="auto"/>
                <w:szCs w:val="21"/>
                <w:highlight w:val="none"/>
              </w:rPr>
              <w:t>D.评审委员会基于专业判断，认为投标人报价过低，有可能影响货物质量或不能诚信履约的其他情形。</w:t>
            </w:r>
          </w:p>
        </w:tc>
        <w:tc>
          <w:tcPr>
            <w:tcW w:w="661" w:type="dxa"/>
            <w:noWrap w:val="0"/>
            <w:vAlign w:val="center"/>
          </w:tcPr>
          <w:p w14:paraId="2229B5B1">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652EB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tblHeader/>
          <w:jc w:val="center"/>
        </w:trPr>
        <w:tc>
          <w:tcPr>
            <w:tcW w:w="735" w:type="dxa"/>
            <w:noWrap w:val="0"/>
            <w:vAlign w:val="center"/>
          </w:tcPr>
          <w:p w14:paraId="450DF81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p w14:paraId="1AD3736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p w14:paraId="6BE21B2B">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791" w:type="dxa"/>
            <w:vMerge w:val="restart"/>
            <w:noWrap w:val="0"/>
            <w:vAlign w:val="center"/>
          </w:tcPr>
          <w:p w14:paraId="7F44674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客观分（</w:t>
            </w:r>
            <w:r>
              <w:rPr>
                <w:rFonts w:hint="eastAsia" w:ascii="宋体" w:hAnsi="宋体" w:cs="宋体"/>
                <w:color w:val="auto"/>
                <w:sz w:val="21"/>
                <w:szCs w:val="21"/>
                <w:highlight w:val="none"/>
                <w:lang w:val="en-US" w:eastAsia="zh-CN"/>
              </w:rPr>
              <w:t>48</w:t>
            </w:r>
            <w:r>
              <w:rPr>
                <w:rFonts w:hint="eastAsia" w:ascii="宋体" w:hAnsi="宋体" w:eastAsia="宋体" w:cs="宋体"/>
                <w:color w:val="auto"/>
                <w:sz w:val="21"/>
                <w:szCs w:val="21"/>
                <w:highlight w:val="none"/>
                <w:lang w:val="en-US" w:eastAsia="zh-CN"/>
              </w:rPr>
              <w:t>分）</w:t>
            </w:r>
          </w:p>
        </w:tc>
        <w:tc>
          <w:tcPr>
            <w:tcW w:w="1134" w:type="dxa"/>
            <w:vMerge w:val="restart"/>
            <w:noWrap w:val="0"/>
            <w:vAlign w:val="center"/>
          </w:tcPr>
          <w:p w14:paraId="4EE3AD6C">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履约能力</w:t>
            </w:r>
          </w:p>
          <w:p w14:paraId="6C7672A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tcBorders>
              <w:right w:val="single" w:color="auto" w:sz="4" w:space="0"/>
            </w:tcBorders>
            <w:noWrap w:val="0"/>
            <w:vAlign w:val="center"/>
          </w:tcPr>
          <w:p w14:paraId="74AED9B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相关证书</w:t>
            </w:r>
          </w:p>
        </w:tc>
        <w:tc>
          <w:tcPr>
            <w:tcW w:w="5011" w:type="dxa"/>
            <w:tcBorders>
              <w:left w:val="single" w:color="auto" w:sz="4" w:space="0"/>
            </w:tcBorders>
            <w:noWrap w:val="0"/>
            <w:vAlign w:val="top"/>
          </w:tcPr>
          <w:p w14:paraId="4C26B89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1.投标人具有有效期内的信息技术服务管理体系认证证书的得3分。</w:t>
            </w:r>
            <w:r>
              <w:rPr>
                <w:rFonts w:hint="eastAsia" w:ascii="宋体" w:hAnsi="宋体" w:cs="宋体"/>
                <w:color w:val="auto"/>
                <w:szCs w:val="21"/>
                <w:highlight w:val="none"/>
              </w:rPr>
              <w:br w:type="textWrapping"/>
            </w:r>
            <w:r>
              <w:rPr>
                <w:rFonts w:hint="eastAsia" w:ascii="宋体" w:hAnsi="宋体" w:cs="宋体"/>
                <w:color w:val="auto"/>
                <w:szCs w:val="21"/>
                <w:highlight w:val="none"/>
              </w:rPr>
              <w:t>2. 投标人具有有效期内的信息安全管理体系认证证书的得3分。</w:t>
            </w:r>
            <w:r>
              <w:rPr>
                <w:rFonts w:hint="eastAsia" w:ascii="宋体" w:hAnsi="宋体" w:cs="宋体"/>
                <w:color w:val="auto"/>
                <w:szCs w:val="21"/>
                <w:highlight w:val="none"/>
              </w:rPr>
              <w:br w:type="textWrapping"/>
            </w:r>
            <w:r>
              <w:rPr>
                <w:rFonts w:hint="eastAsia" w:ascii="宋体" w:hAnsi="宋体" w:cs="宋体"/>
                <w:color w:val="auto"/>
                <w:szCs w:val="21"/>
                <w:highlight w:val="none"/>
              </w:rPr>
              <w:t>注：提供以上证书复印件并加盖投标人公章，不提供不得分。</w:t>
            </w:r>
          </w:p>
        </w:tc>
        <w:tc>
          <w:tcPr>
            <w:tcW w:w="661" w:type="dxa"/>
            <w:noWrap w:val="0"/>
            <w:vAlign w:val="center"/>
          </w:tcPr>
          <w:p w14:paraId="08DA0B8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6</w:t>
            </w:r>
          </w:p>
        </w:tc>
      </w:tr>
      <w:tr w14:paraId="6C8DD7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152" w:hRule="atLeast"/>
          <w:tblHeader/>
          <w:jc w:val="center"/>
        </w:trPr>
        <w:tc>
          <w:tcPr>
            <w:tcW w:w="735" w:type="dxa"/>
            <w:noWrap w:val="0"/>
            <w:vAlign w:val="center"/>
          </w:tcPr>
          <w:p w14:paraId="18479058">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91" w:type="dxa"/>
            <w:vMerge w:val="continue"/>
            <w:noWrap w:val="0"/>
            <w:vAlign w:val="center"/>
          </w:tcPr>
          <w:p w14:paraId="129E1B6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134" w:type="dxa"/>
            <w:vMerge w:val="continue"/>
            <w:noWrap w:val="0"/>
            <w:vAlign w:val="center"/>
          </w:tcPr>
          <w:p w14:paraId="2AEFCB0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noWrap w:val="0"/>
            <w:vAlign w:val="center"/>
          </w:tcPr>
          <w:p w14:paraId="426E880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成功案例</w:t>
            </w:r>
          </w:p>
        </w:tc>
        <w:tc>
          <w:tcPr>
            <w:tcW w:w="5011" w:type="dxa"/>
            <w:noWrap w:val="0"/>
            <w:vAlign w:val="top"/>
          </w:tcPr>
          <w:p w14:paraId="65F03CE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投标人近三年至今承担的同类项目成功案例，每提供1个案例得2分，最高得6分。</w:t>
            </w:r>
            <w:r>
              <w:rPr>
                <w:rFonts w:hint="eastAsia" w:ascii="宋体" w:hAnsi="宋体" w:cs="宋体"/>
                <w:color w:val="auto"/>
                <w:szCs w:val="21"/>
                <w:highlight w:val="none"/>
              </w:rPr>
              <w:br w:type="textWrapping"/>
            </w:r>
            <w:r>
              <w:rPr>
                <w:rFonts w:hint="eastAsia" w:ascii="宋体" w:hAnsi="宋体" w:cs="宋体"/>
                <w:color w:val="auto"/>
                <w:szCs w:val="21"/>
                <w:highlight w:val="none"/>
              </w:rPr>
              <w:t>应提供合同首页、内容页、签字盖章页或中标/成交通知书等证明文件复印件加盖公章，时间认定以合同签订日期或中标/成交通知书签发日期为准。同一用户连续年度签订的同一项目业绩不重复记分。</w:t>
            </w:r>
          </w:p>
        </w:tc>
        <w:tc>
          <w:tcPr>
            <w:tcW w:w="661" w:type="dxa"/>
            <w:noWrap w:val="0"/>
            <w:vAlign w:val="center"/>
          </w:tcPr>
          <w:p w14:paraId="20668844">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6</w:t>
            </w:r>
          </w:p>
        </w:tc>
      </w:tr>
      <w:tr w14:paraId="4AB228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 w:hRule="atLeast"/>
          <w:tblHeader/>
          <w:jc w:val="center"/>
        </w:trPr>
        <w:tc>
          <w:tcPr>
            <w:tcW w:w="735" w:type="dxa"/>
            <w:noWrap w:val="0"/>
            <w:vAlign w:val="center"/>
          </w:tcPr>
          <w:p w14:paraId="0C8CA9E1">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91" w:type="dxa"/>
            <w:vMerge w:val="continue"/>
            <w:noWrap w:val="0"/>
            <w:vAlign w:val="center"/>
          </w:tcPr>
          <w:p w14:paraId="3682A32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134" w:type="dxa"/>
            <w:vMerge w:val="continue"/>
            <w:noWrap w:val="0"/>
            <w:vAlign w:val="center"/>
          </w:tcPr>
          <w:p w14:paraId="4C7A494F">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noWrap w:val="0"/>
            <w:vAlign w:val="center"/>
          </w:tcPr>
          <w:p w14:paraId="2EC1975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项目经理</w:t>
            </w:r>
          </w:p>
        </w:tc>
        <w:tc>
          <w:tcPr>
            <w:tcW w:w="5011" w:type="dxa"/>
            <w:noWrap w:val="0"/>
            <w:vAlign w:val="top"/>
          </w:tcPr>
          <w:p w14:paraId="23A6DD2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1.项目经理具有有效的信息系统项目管理师证书得3分，没有不得分；</w:t>
            </w:r>
            <w:r>
              <w:rPr>
                <w:rFonts w:hint="eastAsia" w:ascii="宋体" w:hAnsi="宋体" w:cs="宋体"/>
                <w:color w:val="auto"/>
                <w:szCs w:val="21"/>
                <w:highlight w:val="none"/>
              </w:rPr>
              <w:br w:type="textWrapping"/>
            </w:r>
            <w:r>
              <w:rPr>
                <w:rFonts w:hint="eastAsia" w:ascii="宋体" w:hAnsi="宋体" w:cs="宋体"/>
                <w:color w:val="auto"/>
                <w:szCs w:val="21"/>
                <w:highlight w:val="none"/>
              </w:rPr>
              <w:t>2.项目经理具有5年以上信息化项目工作经验的得3分，不满足不得分。</w:t>
            </w:r>
            <w:r>
              <w:rPr>
                <w:rFonts w:hint="eastAsia" w:ascii="宋体" w:hAnsi="宋体" w:cs="宋体"/>
                <w:color w:val="auto"/>
                <w:szCs w:val="21"/>
                <w:highlight w:val="none"/>
              </w:rPr>
              <w:br w:type="textWrapping"/>
            </w:r>
            <w:r>
              <w:rPr>
                <w:rFonts w:hint="eastAsia" w:ascii="宋体" w:hAnsi="宋体" w:cs="宋体"/>
                <w:color w:val="auto"/>
                <w:szCs w:val="21"/>
                <w:highlight w:val="none"/>
              </w:rPr>
              <w:t>注：提供以上相关资质证书复印件加盖公章；能够证明项目经理工作经验的相关证明材料，包括含有拟派项经理的合同、以往投标时的响中包含拟派项目经理的内或甲方开具的用户证明，提供上述人员开标日前三个月中任意一个月的由投标单位为其缴纳社会保险证明。</w:t>
            </w:r>
          </w:p>
        </w:tc>
        <w:tc>
          <w:tcPr>
            <w:tcW w:w="661" w:type="dxa"/>
            <w:noWrap w:val="0"/>
            <w:vAlign w:val="center"/>
          </w:tcPr>
          <w:p w14:paraId="66BBA81A">
            <w:pPr>
              <w:keepNext w:val="0"/>
              <w:keepLines w:val="0"/>
              <w:pageBreakBefore w:val="0"/>
              <w:widowControl/>
              <w:kinsoku/>
              <w:wordWrap/>
              <w:overflowPunct/>
              <w:topLinePunct w:val="0"/>
              <w:autoSpaceDE/>
              <w:autoSpaceDN/>
              <w:bidi w:val="0"/>
              <w:adjustRightInd/>
              <w:snapToGrid/>
              <w:spacing w:line="360" w:lineRule="exact"/>
              <w:ind w:firstLine="210" w:firstLineChars="10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6</w:t>
            </w:r>
          </w:p>
        </w:tc>
      </w:tr>
      <w:tr w14:paraId="059433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 w:hRule="atLeast"/>
          <w:tblHeader/>
          <w:jc w:val="center"/>
        </w:trPr>
        <w:tc>
          <w:tcPr>
            <w:tcW w:w="735" w:type="dxa"/>
            <w:noWrap w:val="0"/>
            <w:vAlign w:val="center"/>
          </w:tcPr>
          <w:p w14:paraId="75061909">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791" w:type="dxa"/>
            <w:vMerge w:val="continue"/>
            <w:noWrap w:val="0"/>
            <w:vAlign w:val="center"/>
          </w:tcPr>
          <w:p w14:paraId="244CE3F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134" w:type="dxa"/>
            <w:vMerge w:val="continue"/>
            <w:noWrap w:val="0"/>
            <w:vAlign w:val="center"/>
          </w:tcPr>
          <w:p w14:paraId="6C43135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noWrap w:val="0"/>
            <w:vAlign w:val="center"/>
          </w:tcPr>
          <w:p w14:paraId="4753A83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技术力量</w:t>
            </w:r>
          </w:p>
        </w:tc>
        <w:tc>
          <w:tcPr>
            <w:tcW w:w="5011" w:type="dxa"/>
            <w:noWrap w:val="0"/>
            <w:vAlign w:val="top"/>
          </w:tcPr>
          <w:p w14:paraId="0250578D">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投标人拟投入本项目驻场人员（不含项目经理），提供全国计算机技术与软件专业技术资格（水平）考试中级及以上证书的，每提供一个得3分，最多得6分。</w:t>
            </w:r>
            <w:r>
              <w:rPr>
                <w:rFonts w:hint="eastAsia" w:ascii="宋体" w:hAnsi="宋体" w:cs="宋体"/>
                <w:color w:val="auto"/>
                <w:szCs w:val="21"/>
                <w:highlight w:val="none"/>
              </w:rPr>
              <w:br w:type="textWrapping"/>
            </w:r>
            <w:r>
              <w:rPr>
                <w:rFonts w:hint="eastAsia" w:ascii="宋体" w:hAnsi="宋体" w:cs="宋体"/>
                <w:color w:val="auto"/>
                <w:szCs w:val="21"/>
                <w:highlight w:val="none"/>
              </w:rPr>
              <w:t>注：应提供相关证书复印件，并提供驻场人员开标日前三个月中任意一个月的由投标单位为其缴纳社会保险证明。</w:t>
            </w:r>
          </w:p>
        </w:tc>
        <w:tc>
          <w:tcPr>
            <w:tcW w:w="661" w:type="dxa"/>
            <w:noWrap w:val="0"/>
            <w:vAlign w:val="center"/>
          </w:tcPr>
          <w:p w14:paraId="54D1601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6</w:t>
            </w:r>
          </w:p>
        </w:tc>
      </w:tr>
      <w:tr w14:paraId="0A7147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 w:hRule="atLeast"/>
          <w:tblHeader/>
          <w:jc w:val="center"/>
        </w:trPr>
        <w:tc>
          <w:tcPr>
            <w:tcW w:w="735" w:type="dxa"/>
            <w:noWrap w:val="0"/>
            <w:vAlign w:val="center"/>
          </w:tcPr>
          <w:p w14:paraId="4CAA31A3">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791" w:type="dxa"/>
            <w:vMerge w:val="continue"/>
            <w:noWrap w:val="0"/>
            <w:vAlign w:val="center"/>
          </w:tcPr>
          <w:p w14:paraId="3617E7F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134" w:type="dxa"/>
            <w:noWrap w:val="0"/>
            <w:vAlign w:val="center"/>
          </w:tcPr>
          <w:p w14:paraId="418736F0">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bookmarkStart w:id="1764" w:name="_GoBack"/>
            <w:r>
              <w:rPr>
                <w:rFonts w:hint="eastAsia" w:ascii="宋体" w:hAnsi="宋体" w:eastAsia="宋体" w:cs="宋体"/>
                <w:color w:val="auto"/>
                <w:sz w:val="21"/>
                <w:szCs w:val="21"/>
                <w:highlight w:val="none"/>
                <w:lang w:val="en-US" w:eastAsia="zh-CN"/>
              </w:rPr>
              <w:t>技术和服</w:t>
            </w:r>
          </w:p>
          <w:p w14:paraId="2228FC1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务客观指</w:t>
            </w:r>
          </w:p>
          <w:p w14:paraId="594CAF1C">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w:t>
            </w:r>
            <w:bookmarkEnd w:id="1764"/>
          </w:p>
        </w:tc>
        <w:tc>
          <w:tcPr>
            <w:tcW w:w="841" w:type="dxa"/>
            <w:noWrap w:val="0"/>
            <w:vAlign w:val="center"/>
          </w:tcPr>
          <w:p w14:paraId="58A5EBB6">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满足指标要求情况</w:t>
            </w:r>
          </w:p>
        </w:tc>
        <w:tc>
          <w:tcPr>
            <w:tcW w:w="5011" w:type="dxa"/>
            <w:noWrap w:val="0"/>
            <w:vAlign w:val="top"/>
          </w:tcPr>
          <w:p w14:paraId="6F325B7A">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本项目采购文件技术部分中：</w:t>
            </w:r>
            <w:r>
              <w:rPr>
                <w:rFonts w:hint="eastAsia" w:ascii="宋体" w:hAnsi="宋体" w:cs="宋体"/>
                <w:color w:val="auto"/>
                <w:szCs w:val="21"/>
                <w:highlight w:val="none"/>
              </w:rPr>
              <w:br w:type="textWrapping"/>
            </w:r>
            <w:r>
              <w:rPr>
                <w:rFonts w:hint="eastAsia" w:ascii="宋体" w:hAnsi="宋体" w:cs="宋体"/>
                <w:color w:val="auto"/>
                <w:szCs w:val="21"/>
                <w:highlight w:val="none"/>
              </w:rPr>
              <w:t>带（★）号的服务要求为关键指标项，不满足该指标项将导致无效投标；需提供承诺函（格式自拟）并加盖公章；</w:t>
            </w:r>
            <w:r>
              <w:rPr>
                <w:rFonts w:hint="eastAsia" w:ascii="宋体" w:hAnsi="宋体" w:cs="宋体"/>
                <w:color w:val="auto"/>
                <w:szCs w:val="21"/>
                <w:highlight w:val="none"/>
              </w:rPr>
              <w:br w:type="textWrapping"/>
            </w:r>
            <w:r>
              <w:rPr>
                <w:rFonts w:hint="eastAsia" w:ascii="宋体" w:hAnsi="宋体" w:cs="宋体"/>
                <w:color w:val="auto"/>
                <w:szCs w:val="21"/>
                <w:highlight w:val="none"/>
              </w:rPr>
              <w:t>带（△）号的服务要求为重要指标项，满足或优于该指标项得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分，共计</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项，共计24分；</w:t>
            </w:r>
            <w:r>
              <w:rPr>
                <w:rFonts w:hint="eastAsia" w:ascii="宋体" w:hAnsi="宋体" w:cs="宋体"/>
                <w:color w:val="auto"/>
                <w:szCs w:val="21"/>
                <w:highlight w:val="none"/>
              </w:rPr>
              <w:br w:type="textWrapping"/>
            </w:r>
            <w:r>
              <w:rPr>
                <w:rFonts w:hint="eastAsia" w:ascii="宋体" w:hAnsi="宋体" w:cs="宋体"/>
                <w:color w:val="auto"/>
                <w:szCs w:val="21"/>
                <w:highlight w:val="none"/>
              </w:rPr>
              <w:t>注：需提供服务响应与偏离表。</w:t>
            </w:r>
          </w:p>
        </w:tc>
        <w:tc>
          <w:tcPr>
            <w:tcW w:w="661" w:type="dxa"/>
            <w:noWrap w:val="0"/>
            <w:vAlign w:val="center"/>
          </w:tcPr>
          <w:p w14:paraId="62E70E96">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24</w:t>
            </w:r>
          </w:p>
        </w:tc>
      </w:tr>
      <w:tr w14:paraId="6E2662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5" w:hRule="atLeast"/>
          <w:tblHeader/>
          <w:jc w:val="center"/>
        </w:trPr>
        <w:tc>
          <w:tcPr>
            <w:tcW w:w="735" w:type="dxa"/>
            <w:noWrap w:val="0"/>
            <w:vAlign w:val="center"/>
          </w:tcPr>
          <w:p w14:paraId="25E59430">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791" w:type="dxa"/>
            <w:vMerge w:val="restart"/>
            <w:noWrap w:val="0"/>
            <w:vAlign w:val="center"/>
          </w:tcPr>
          <w:p w14:paraId="1B9B12A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主观分（</w:t>
            </w:r>
            <w:r>
              <w:rPr>
                <w:rFonts w:hint="eastAsia" w:ascii="宋体" w:hAnsi="宋体" w:cs="宋体"/>
                <w:color w:val="auto"/>
                <w:sz w:val="21"/>
                <w:szCs w:val="21"/>
                <w:highlight w:val="none"/>
                <w:lang w:val="en-US" w:eastAsia="zh-CN"/>
              </w:rPr>
              <w:t>42</w:t>
            </w:r>
            <w:r>
              <w:rPr>
                <w:rFonts w:hint="eastAsia" w:ascii="宋体" w:hAnsi="宋体" w:eastAsia="宋体" w:cs="宋体"/>
                <w:color w:val="auto"/>
                <w:sz w:val="21"/>
                <w:szCs w:val="21"/>
                <w:highlight w:val="none"/>
                <w:lang w:val="en-US" w:eastAsia="zh-CN"/>
              </w:rPr>
              <w:t>分）</w:t>
            </w:r>
          </w:p>
        </w:tc>
        <w:tc>
          <w:tcPr>
            <w:tcW w:w="1134" w:type="dxa"/>
            <w:vMerge w:val="restart"/>
            <w:noWrap w:val="0"/>
            <w:vAlign w:val="center"/>
          </w:tcPr>
          <w:p w14:paraId="08D10101">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技术和服务水平</w:t>
            </w:r>
          </w:p>
        </w:tc>
        <w:tc>
          <w:tcPr>
            <w:tcW w:w="841" w:type="dxa"/>
            <w:noWrap w:val="0"/>
            <w:vAlign w:val="center"/>
          </w:tcPr>
          <w:p w14:paraId="33429F0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项目需求理解</w:t>
            </w:r>
          </w:p>
        </w:tc>
        <w:tc>
          <w:tcPr>
            <w:tcW w:w="5011" w:type="dxa"/>
            <w:noWrap w:val="0"/>
            <w:vAlign w:val="top"/>
          </w:tcPr>
          <w:p w14:paraId="39292591">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根据投标人对本项目运维工作需求等内容的理解进行综合评审：</w:t>
            </w:r>
            <w:r>
              <w:rPr>
                <w:rFonts w:hint="eastAsia" w:ascii="宋体" w:hAnsi="宋体" w:cs="宋体"/>
                <w:color w:val="auto"/>
                <w:szCs w:val="21"/>
                <w:highlight w:val="none"/>
              </w:rPr>
              <w:br w:type="textWrapping"/>
            </w:r>
            <w:r>
              <w:rPr>
                <w:rFonts w:hint="eastAsia" w:ascii="宋体" w:hAnsi="宋体" w:cs="宋体"/>
                <w:color w:val="auto"/>
                <w:szCs w:val="21"/>
                <w:highlight w:val="none"/>
              </w:rPr>
              <w:t>1.理解全面、详细，不存在逻辑性漏洞，符合本项目特点的得8分；</w:t>
            </w:r>
            <w:r>
              <w:rPr>
                <w:rFonts w:hint="eastAsia" w:ascii="宋体" w:hAnsi="宋体" w:cs="宋体"/>
                <w:color w:val="auto"/>
                <w:szCs w:val="21"/>
                <w:highlight w:val="none"/>
              </w:rPr>
              <w:br w:type="textWrapping"/>
            </w:r>
            <w:r>
              <w:rPr>
                <w:rFonts w:hint="eastAsia" w:ascii="宋体" w:hAnsi="宋体" w:cs="宋体"/>
                <w:color w:val="auto"/>
                <w:szCs w:val="21"/>
                <w:highlight w:val="none"/>
              </w:rPr>
              <w:t>2.理解全面、描述不完全准确、存在逻辑性漏洞，能结合项目部分特点的得6 分;</w:t>
            </w:r>
            <w:r>
              <w:rPr>
                <w:rFonts w:hint="eastAsia" w:ascii="宋体" w:hAnsi="宋体" w:cs="宋体"/>
                <w:color w:val="auto"/>
                <w:szCs w:val="21"/>
                <w:highlight w:val="none"/>
              </w:rPr>
              <w:br w:type="textWrapping"/>
            </w:r>
            <w:r>
              <w:rPr>
                <w:rFonts w:hint="eastAsia" w:ascii="宋体" w:hAnsi="宋体" w:cs="宋体"/>
                <w:color w:val="auto"/>
                <w:szCs w:val="21"/>
                <w:highlight w:val="none"/>
              </w:rPr>
              <w:t>3. 内容仅简单重复（响应）采购需求，套用其他项目理解的得4分；</w:t>
            </w:r>
            <w:r>
              <w:rPr>
                <w:rFonts w:hint="eastAsia" w:ascii="宋体" w:hAnsi="宋体" w:cs="宋体"/>
                <w:color w:val="auto"/>
                <w:szCs w:val="21"/>
                <w:highlight w:val="none"/>
              </w:rPr>
              <w:br w:type="textWrapping"/>
            </w:r>
            <w:r>
              <w:rPr>
                <w:rFonts w:hint="eastAsia" w:ascii="宋体" w:hAnsi="宋体" w:cs="宋体"/>
                <w:color w:val="auto"/>
                <w:szCs w:val="21"/>
                <w:highlight w:val="none"/>
              </w:rPr>
              <w:t>4.内容与本项目关联度不高的得2分；</w:t>
            </w:r>
            <w:r>
              <w:rPr>
                <w:rFonts w:hint="eastAsia" w:ascii="宋体" w:hAnsi="宋体" w:cs="宋体"/>
                <w:color w:val="auto"/>
                <w:szCs w:val="21"/>
                <w:highlight w:val="none"/>
              </w:rPr>
              <w:br w:type="textWrapping"/>
            </w:r>
            <w:r>
              <w:rPr>
                <w:rFonts w:hint="eastAsia" w:ascii="宋体" w:hAnsi="宋体" w:cs="宋体"/>
                <w:color w:val="auto"/>
                <w:szCs w:val="21"/>
                <w:highlight w:val="none"/>
              </w:rPr>
              <w:t>5.未提供不得分。</w:t>
            </w:r>
          </w:p>
        </w:tc>
        <w:tc>
          <w:tcPr>
            <w:tcW w:w="661" w:type="dxa"/>
            <w:noWrap w:val="0"/>
            <w:vAlign w:val="center"/>
          </w:tcPr>
          <w:p w14:paraId="1948B940">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8</w:t>
            </w:r>
          </w:p>
        </w:tc>
      </w:tr>
      <w:tr w14:paraId="1B1FDC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 w:hRule="atLeast"/>
          <w:tblHeader/>
          <w:jc w:val="center"/>
        </w:trPr>
        <w:tc>
          <w:tcPr>
            <w:tcW w:w="735" w:type="dxa"/>
            <w:noWrap w:val="0"/>
            <w:vAlign w:val="center"/>
          </w:tcPr>
          <w:p w14:paraId="30EC60C0">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791" w:type="dxa"/>
            <w:vMerge w:val="continue"/>
            <w:noWrap w:val="0"/>
            <w:vAlign w:val="center"/>
          </w:tcPr>
          <w:p w14:paraId="1228811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134" w:type="dxa"/>
            <w:vMerge w:val="continue"/>
            <w:noWrap w:val="0"/>
            <w:vAlign w:val="center"/>
          </w:tcPr>
          <w:p w14:paraId="46A737E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tcBorders>
              <w:top w:val="single" w:color="auto" w:sz="4" w:space="0"/>
            </w:tcBorders>
            <w:noWrap w:val="0"/>
            <w:vAlign w:val="center"/>
          </w:tcPr>
          <w:p w14:paraId="11A9D54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cs="宋体"/>
                <w:color w:val="auto"/>
                <w:szCs w:val="21"/>
                <w:highlight w:val="none"/>
                <w:lang w:val="en-US"/>
              </w:rPr>
            </w:pPr>
            <w:r>
              <w:rPr>
                <w:rFonts w:hint="eastAsia" w:ascii="宋体" w:hAnsi="宋体" w:cs="宋体"/>
                <w:color w:val="auto"/>
                <w:szCs w:val="21"/>
                <w:highlight w:val="none"/>
              </w:rPr>
              <w:t>服务方案</w:t>
            </w:r>
          </w:p>
        </w:tc>
        <w:tc>
          <w:tcPr>
            <w:tcW w:w="5011" w:type="dxa"/>
            <w:tcBorders>
              <w:bottom w:val="single" w:color="auto" w:sz="4" w:space="0"/>
            </w:tcBorders>
            <w:noWrap w:val="0"/>
            <w:vAlign w:val="top"/>
          </w:tcPr>
          <w:p w14:paraId="4AB64109">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人应详细阐述本项目的服务方案，明确服务目标／范围／任务、服务体系、服务方案内容、服务团队组织安排计划（服务团队配置与人员安排）、服务工作流程、服务进度计划及保证措施、服务质量保证措施、服务合理化建议，确保服务的响应时间、处理时限满足相关服务要求。</w:t>
            </w:r>
            <w:r>
              <w:rPr>
                <w:rFonts w:hint="eastAsia" w:ascii="宋体" w:hAnsi="宋体" w:cs="宋体"/>
                <w:color w:val="auto"/>
                <w:szCs w:val="21"/>
                <w:highlight w:val="none"/>
              </w:rPr>
              <w:br w:type="textWrapping"/>
            </w:r>
            <w:r>
              <w:rPr>
                <w:rFonts w:hint="eastAsia" w:ascii="宋体" w:hAnsi="宋体" w:cs="宋体"/>
                <w:color w:val="auto"/>
                <w:szCs w:val="21"/>
                <w:highlight w:val="none"/>
              </w:rPr>
              <w:t>1.方案合理全面、响应及时，服务保障措施定位准确，能结合项目特点制定方案的得8分；</w:t>
            </w:r>
            <w:r>
              <w:rPr>
                <w:rFonts w:hint="eastAsia" w:ascii="宋体" w:hAnsi="宋体" w:cs="宋体"/>
                <w:color w:val="auto"/>
                <w:szCs w:val="21"/>
                <w:highlight w:val="none"/>
              </w:rPr>
              <w:br w:type="textWrapping"/>
            </w:r>
            <w:r>
              <w:rPr>
                <w:rFonts w:hint="eastAsia" w:ascii="宋体" w:hAnsi="宋体" w:cs="宋体"/>
                <w:color w:val="auto"/>
                <w:szCs w:val="21"/>
                <w:highlight w:val="none"/>
              </w:rPr>
              <w:t>2.方案合理全面、响应及时服务保障措施定位略有偏差，能结合项目部分特点制定方案的得6分；</w:t>
            </w:r>
            <w:r>
              <w:rPr>
                <w:rFonts w:hint="eastAsia" w:ascii="宋体" w:hAnsi="宋体" w:cs="宋体"/>
                <w:color w:val="auto"/>
                <w:szCs w:val="21"/>
                <w:highlight w:val="none"/>
              </w:rPr>
              <w:br w:type="textWrapping"/>
            </w:r>
            <w:r>
              <w:rPr>
                <w:rFonts w:hint="eastAsia" w:ascii="宋体" w:hAnsi="宋体" w:cs="宋体"/>
                <w:color w:val="auto"/>
                <w:szCs w:val="21"/>
                <w:highlight w:val="none"/>
              </w:rPr>
              <w:t>3.方案有缺失、响应时间不够及时，服务保障措施定位有漏洞，能结项目部分特点制定方案的得4分；</w:t>
            </w:r>
            <w:r>
              <w:rPr>
                <w:rFonts w:hint="eastAsia" w:ascii="宋体" w:hAnsi="宋体" w:cs="宋体"/>
                <w:color w:val="auto"/>
                <w:szCs w:val="21"/>
                <w:highlight w:val="none"/>
              </w:rPr>
              <w:br w:type="textWrapping"/>
            </w:r>
            <w:r>
              <w:rPr>
                <w:rFonts w:hint="eastAsia" w:ascii="宋体" w:hAnsi="宋体" w:cs="宋体"/>
                <w:color w:val="auto"/>
                <w:szCs w:val="21"/>
                <w:highlight w:val="none"/>
              </w:rPr>
              <w:t>4.方案有缺失，响应时间长，服务保障措施定位不准确，未结合项目部分特点制定方案的得2分;</w:t>
            </w:r>
            <w:r>
              <w:rPr>
                <w:rFonts w:hint="eastAsia" w:ascii="宋体" w:hAnsi="宋体" w:cs="宋体"/>
                <w:color w:val="auto"/>
                <w:szCs w:val="21"/>
                <w:highlight w:val="none"/>
              </w:rPr>
              <w:br w:type="textWrapping"/>
            </w:r>
            <w:r>
              <w:rPr>
                <w:rFonts w:hint="eastAsia" w:ascii="宋体" w:hAnsi="宋体" w:cs="宋体"/>
                <w:color w:val="auto"/>
                <w:szCs w:val="21"/>
                <w:highlight w:val="none"/>
              </w:rPr>
              <w:t>5.不提供不得分。</w:t>
            </w:r>
          </w:p>
        </w:tc>
        <w:tc>
          <w:tcPr>
            <w:tcW w:w="661" w:type="dxa"/>
            <w:tcBorders>
              <w:bottom w:val="single" w:color="auto" w:sz="4" w:space="0"/>
            </w:tcBorders>
            <w:noWrap w:val="0"/>
            <w:vAlign w:val="center"/>
          </w:tcPr>
          <w:p w14:paraId="331959E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8</w:t>
            </w:r>
          </w:p>
        </w:tc>
      </w:tr>
      <w:tr w14:paraId="1A58F8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 w:hRule="atLeast"/>
          <w:tblHeader/>
          <w:jc w:val="center"/>
        </w:trPr>
        <w:tc>
          <w:tcPr>
            <w:tcW w:w="735" w:type="dxa"/>
            <w:noWrap w:val="0"/>
            <w:vAlign w:val="center"/>
          </w:tcPr>
          <w:p w14:paraId="6C686206">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791" w:type="dxa"/>
            <w:vMerge w:val="continue"/>
            <w:noWrap w:val="0"/>
            <w:vAlign w:val="center"/>
          </w:tcPr>
          <w:p w14:paraId="6C42033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134" w:type="dxa"/>
            <w:vMerge w:val="continue"/>
            <w:noWrap w:val="0"/>
            <w:vAlign w:val="center"/>
          </w:tcPr>
          <w:p w14:paraId="1D41D41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tcBorders>
              <w:top w:val="single" w:color="auto" w:sz="4" w:space="0"/>
            </w:tcBorders>
            <w:noWrap w:val="0"/>
            <w:vAlign w:val="center"/>
          </w:tcPr>
          <w:p w14:paraId="01F2191F">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安全保密方案</w:t>
            </w:r>
          </w:p>
        </w:tc>
        <w:tc>
          <w:tcPr>
            <w:tcW w:w="5011" w:type="dxa"/>
            <w:tcBorders>
              <w:bottom w:val="single" w:color="auto" w:sz="4" w:space="0"/>
            </w:tcBorders>
            <w:noWrap w:val="0"/>
            <w:vAlign w:val="top"/>
          </w:tcPr>
          <w:p w14:paraId="29035993">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根据投标人提供的安全保密方案（包括但不限于：信息安全、数据安全、人员安全等内容）的响应情况进行综合评审：</w:t>
            </w:r>
            <w:r>
              <w:rPr>
                <w:rFonts w:hint="eastAsia" w:ascii="宋体" w:hAnsi="宋体" w:cs="宋体"/>
                <w:color w:val="auto"/>
                <w:szCs w:val="21"/>
                <w:highlight w:val="none"/>
              </w:rPr>
              <w:br w:type="textWrapping"/>
            </w:r>
            <w:r>
              <w:rPr>
                <w:rFonts w:hint="eastAsia" w:ascii="宋体" w:hAnsi="宋体" w:cs="宋体"/>
                <w:color w:val="auto"/>
                <w:szCs w:val="21"/>
                <w:highlight w:val="none"/>
              </w:rPr>
              <w:t>1. 内容完整、详细，不存在逻辑性漏洞，可操作性强，符合本项目特点的得8分；</w:t>
            </w:r>
            <w:r>
              <w:rPr>
                <w:rFonts w:hint="eastAsia" w:ascii="宋体" w:hAnsi="宋体" w:cs="宋体"/>
                <w:color w:val="auto"/>
                <w:szCs w:val="21"/>
                <w:highlight w:val="none"/>
              </w:rPr>
              <w:br w:type="textWrapping"/>
            </w:r>
            <w:r>
              <w:rPr>
                <w:rFonts w:hint="eastAsia" w:ascii="宋体" w:hAnsi="宋体" w:cs="宋体"/>
                <w:color w:val="auto"/>
                <w:szCs w:val="21"/>
                <w:highlight w:val="none"/>
              </w:rPr>
              <w:t>2.内容细节略有欠缺，存在逻辑性漏洞，有一定可操作性，能结合项目部分特点的得6分；</w:t>
            </w:r>
            <w:r>
              <w:rPr>
                <w:rFonts w:hint="eastAsia" w:ascii="宋体" w:hAnsi="宋体" w:cs="宋体"/>
                <w:color w:val="auto"/>
                <w:szCs w:val="21"/>
                <w:highlight w:val="none"/>
              </w:rPr>
              <w:br w:type="textWrapping"/>
            </w:r>
            <w:r>
              <w:rPr>
                <w:rFonts w:hint="eastAsia" w:ascii="宋体" w:hAnsi="宋体" w:cs="宋体"/>
                <w:color w:val="auto"/>
                <w:szCs w:val="21"/>
                <w:highlight w:val="none"/>
              </w:rPr>
              <w:t>3.内容细节有明显缺陷，逻辑混乱，有一定可操作性，能结合项目部分特点的得4分；</w:t>
            </w:r>
            <w:r>
              <w:rPr>
                <w:rFonts w:hint="eastAsia" w:ascii="宋体" w:hAnsi="宋体" w:cs="宋体"/>
                <w:color w:val="auto"/>
                <w:szCs w:val="21"/>
                <w:highlight w:val="none"/>
              </w:rPr>
              <w:br w:type="textWrapping"/>
            </w:r>
            <w:r>
              <w:rPr>
                <w:rFonts w:hint="eastAsia" w:ascii="宋体" w:hAnsi="宋体" w:cs="宋体"/>
                <w:color w:val="auto"/>
                <w:szCs w:val="21"/>
                <w:highlight w:val="none"/>
              </w:rPr>
              <w:t>4. 内容仅简单重复（响应）采购需求，没有可操作性，套用其他项目理解的得2分；</w:t>
            </w:r>
            <w:r>
              <w:rPr>
                <w:rFonts w:hint="eastAsia" w:ascii="宋体" w:hAnsi="宋体" w:cs="宋体"/>
                <w:color w:val="auto"/>
                <w:szCs w:val="21"/>
                <w:highlight w:val="none"/>
              </w:rPr>
              <w:br w:type="textWrapping"/>
            </w:r>
            <w:r>
              <w:rPr>
                <w:rFonts w:hint="eastAsia" w:ascii="宋体" w:hAnsi="宋体" w:cs="宋体"/>
                <w:color w:val="auto"/>
                <w:szCs w:val="21"/>
                <w:highlight w:val="none"/>
              </w:rPr>
              <w:t>5. 未提供不得分。</w:t>
            </w:r>
          </w:p>
        </w:tc>
        <w:tc>
          <w:tcPr>
            <w:tcW w:w="661" w:type="dxa"/>
            <w:tcBorders>
              <w:bottom w:val="single" w:color="auto" w:sz="4" w:space="0"/>
            </w:tcBorders>
            <w:noWrap w:val="0"/>
            <w:vAlign w:val="center"/>
          </w:tcPr>
          <w:p w14:paraId="382DE23B">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8</w:t>
            </w:r>
          </w:p>
        </w:tc>
      </w:tr>
      <w:tr w14:paraId="0F2F34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tblHeader/>
          <w:jc w:val="center"/>
        </w:trPr>
        <w:tc>
          <w:tcPr>
            <w:tcW w:w="735" w:type="dxa"/>
            <w:noWrap w:val="0"/>
            <w:vAlign w:val="center"/>
          </w:tcPr>
          <w:p w14:paraId="4E2ECC84">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791" w:type="dxa"/>
            <w:vMerge w:val="continue"/>
            <w:noWrap w:val="0"/>
            <w:vAlign w:val="center"/>
          </w:tcPr>
          <w:p w14:paraId="5BFCDC1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134" w:type="dxa"/>
            <w:vMerge w:val="continue"/>
            <w:noWrap w:val="0"/>
            <w:vAlign w:val="center"/>
          </w:tcPr>
          <w:p w14:paraId="2380CAC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tcBorders>
              <w:top w:val="single" w:color="auto" w:sz="4" w:space="0"/>
              <w:bottom w:val="single" w:color="auto" w:sz="4" w:space="0"/>
            </w:tcBorders>
            <w:noWrap w:val="0"/>
            <w:vAlign w:val="center"/>
          </w:tcPr>
          <w:p w14:paraId="6BCB6DC7">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验收方案</w:t>
            </w:r>
          </w:p>
        </w:tc>
        <w:tc>
          <w:tcPr>
            <w:tcW w:w="5011" w:type="dxa"/>
            <w:tcBorders>
              <w:top w:val="single" w:color="auto" w:sz="4" w:space="0"/>
              <w:bottom w:val="single" w:color="auto" w:sz="4" w:space="0"/>
            </w:tcBorders>
            <w:noWrap w:val="0"/>
            <w:vAlign w:val="top"/>
          </w:tcPr>
          <w:p w14:paraId="28C0389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根据投标人提供的验收方案（包括但不限于：验收方式、验收时间、验收流程、验收依据、验收标准、验收文档以及验收过程中可能出现的问题及问题补救措施等内容）的响应情况进行综合评审：</w:t>
            </w:r>
            <w:r>
              <w:rPr>
                <w:rFonts w:hint="eastAsia" w:ascii="宋体" w:hAnsi="宋体" w:cs="宋体"/>
                <w:color w:val="auto"/>
                <w:szCs w:val="21"/>
                <w:highlight w:val="none"/>
              </w:rPr>
              <w:br w:type="textWrapping"/>
            </w:r>
            <w:r>
              <w:rPr>
                <w:rFonts w:hint="eastAsia" w:ascii="宋体" w:hAnsi="宋体" w:cs="宋体"/>
                <w:color w:val="auto"/>
                <w:szCs w:val="21"/>
                <w:highlight w:val="none"/>
              </w:rPr>
              <w:t>1.内容完整、详细，不存在逻辑性源洞，可操作性强，符合本项目特点的得8分；</w:t>
            </w:r>
            <w:r>
              <w:rPr>
                <w:rFonts w:hint="eastAsia" w:ascii="宋体" w:hAnsi="宋体" w:cs="宋体"/>
                <w:color w:val="auto"/>
                <w:szCs w:val="21"/>
                <w:highlight w:val="none"/>
              </w:rPr>
              <w:br w:type="textWrapping"/>
            </w:r>
            <w:r>
              <w:rPr>
                <w:rFonts w:hint="eastAsia" w:ascii="宋体" w:hAnsi="宋体" w:cs="宋体"/>
                <w:color w:val="auto"/>
                <w:szCs w:val="21"/>
                <w:highlight w:val="none"/>
              </w:rPr>
              <w:t>2.内容细节略有欠缺，存在逻辑性漏洞，有一定可操作性，能结合项目部分特点的得6分；</w:t>
            </w:r>
            <w:r>
              <w:rPr>
                <w:rFonts w:hint="eastAsia" w:ascii="宋体" w:hAnsi="宋体" w:cs="宋体"/>
                <w:color w:val="auto"/>
                <w:szCs w:val="21"/>
                <w:highlight w:val="none"/>
              </w:rPr>
              <w:br w:type="textWrapping"/>
            </w:r>
            <w:r>
              <w:rPr>
                <w:rFonts w:hint="eastAsia" w:ascii="宋体" w:hAnsi="宋体" w:cs="宋体"/>
                <w:color w:val="auto"/>
                <w:szCs w:val="21"/>
                <w:highlight w:val="none"/>
              </w:rPr>
              <w:t>3.内容细节有明显缺陷，逻辑混乱，有一定可操作性，能结合项目部分特点的得4分；</w:t>
            </w:r>
            <w:r>
              <w:rPr>
                <w:rFonts w:hint="eastAsia" w:ascii="宋体" w:hAnsi="宋体" w:cs="宋体"/>
                <w:color w:val="auto"/>
                <w:szCs w:val="21"/>
                <w:highlight w:val="none"/>
              </w:rPr>
              <w:br w:type="textWrapping"/>
            </w:r>
            <w:r>
              <w:rPr>
                <w:rFonts w:hint="eastAsia" w:ascii="宋体" w:hAnsi="宋体" w:cs="宋体"/>
                <w:color w:val="auto"/>
                <w:szCs w:val="21"/>
                <w:highlight w:val="none"/>
              </w:rPr>
              <w:t>4. 内容仅简单重复（响应）采购没有可操作性，套用其他项目得2分；</w:t>
            </w:r>
            <w:r>
              <w:rPr>
                <w:rFonts w:hint="eastAsia" w:ascii="宋体" w:hAnsi="宋体" w:cs="宋体"/>
                <w:color w:val="auto"/>
                <w:szCs w:val="21"/>
                <w:highlight w:val="none"/>
              </w:rPr>
              <w:br w:type="textWrapping"/>
            </w:r>
            <w:r>
              <w:rPr>
                <w:rFonts w:hint="eastAsia" w:ascii="宋体" w:hAnsi="宋体" w:cs="宋体"/>
                <w:color w:val="auto"/>
                <w:szCs w:val="21"/>
                <w:highlight w:val="none"/>
              </w:rPr>
              <w:t>5.未提供不得分。</w:t>
            </w:r>
          </w:p>
        </w:tc>
        <w:tc>
          <w:tcPr>
            <w:tcW w:w="661" w:type="dxa"/>
            <w:noWrap w:val="0"/>
            <w:vAlign w:val="center"/>
          </w:tcPr>
          <w:p w14:paraId="7440590A">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8</w:t>
            </w:r>
          </w:p>
        </w:tc>
      </w:tr>
      <w:tr w14:paraId="48BC57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0" w:hRule="atLeast"/>
          <w:tblHeader/>
          <w:jc w:val="center"/>
        </w:trPr>
        <w:tc>
          <w:tcPr>
            <w:tcW w:w="735" w:type="dxa"/>
            <w:noWrap w:val="0"/>
            <w:vAlign w:val="center"/>
          </w:tcPr>
          <w:p w14:paraId="00E34660">
            <w:pPr>
              <w:pStyle w:val="72"/>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791" w:type="dxa"/>
            <w:vMerge w:val="continue"/>
            <w:noWrap w:val="0"/>
            <w:vAlign w:val="center"/>
          </w:tcPr>
          <w:p w14:paraId="5F813A7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134" w:type="dxa"/>
            <w:vMerge w:val="continue"/>
            <w:noWrap w:val="0"/>
            <w:vAlign w:val="center"/>
          </w:tcPr>
          <w:p w14:paraId="6752D3C4">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841" w:type="dxa"/>
            <w:tcBorders>
              <w:top w:val="single" w:color="auto" w:sz="4" w:space="0"/>
              <w:bottom w:val="single" w:color="auto" w:sz="4" w:space="0"/>
            </w:tcBorders>
            <w:noWrap w:val="0"/>
            <w:vAlign w:val="center"/>
          </w:tcPr>
          <w:p w14:paraId="7AFAD928">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保密方案</w:t>
            </w:r>
          </w:p>
        </w:tc>
        <w:tc>
          <w:tcPr>
            <w:tcW w:w="5011" w:type="dxa"/>
            <w:tcBorders>
              <w:top w:val="single" w:color="auto" w:sz="4" w:space="0"/>
              <w:bottom w:val="single" w:color="auto" w:sz="4" w:space="0"/>
            </w:tcBorders>
            <w:noWrap w:val="0"/>
            <w:vAlign w:val="top"/>
          </w:tcPr>
          <w:p w14:paraId="1891229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投标人应对运维服务中可能发生的应急事件提出应急保障方案，内容“：包括但不限于：（1）应急准备；（2）监测与预警;(3）应急处置；（4）处置反馈；(5)总结改进。</w:t>
            </w:r>
            <w:r>
              <w:rPr>
                <w:rFonts w:hint="eastAsia" w:ascii="宋体" w:hAnsi="宋体" w:cs="宋体"/>
                <w:color w:val="auto"/>
                <w:szCs w:val="21"/>
                <w:highlight w:val="none"/>
              </w:rPr>
              <w:br w:type="textWrapping"/>
            </w:r>
            <w:r>
              <w:rPr>
                <w:rFonts w:hint="eastAsia" w:ascii="宋体" w:hAnsi="宋体" w:cs="宋体"/>
                <w:color w:val="auto"/>
                <w:szCs w:val="21"/>
                <w:highlight w:val="none"/>
              </w:rPr>
              <w:t>对投标人提供的方案进行综合评审，以上5项内容每项内容2分，共10分。</w:t>
            </w:r>
            <w:r>
              <w:rPr>
                <w:rFonts w:hint="eastAsia" w:ascii="宋体" w:hAnsi="宋体" w:cs="宋体"/>
                <w:color w:val="auto"/>
                <w:szCs w:val="21"/>
                <w:highlight w:val="none"/>
              </w:rPr>
              <w:br w:type="textWrapping"/>
            </w:r>
            <w:r>
              <w:rPr>
                <w:rFonts w:hint="eastAsia" w:ascii="宋体" w:hAnsi="宋体" w:cs="宋体"/>
                <w:color w:val="auto"/>
                <w:szCs w:val="21"/>
                <w:highlight w:val="none"/>
              </w:rPr>
              <w:t>每项的评分标准如下：①内容完整、详细、可操作性强，阐述的内容针对性强、具体、透彻，结合项目特点，得2分。</w:t>
            </w:r>
            <w:r>
              <w:rPr>
                <w:rFonts w:hint="eastAsia" w:ascii="宋体" w:hAnsi="宋体" w:cs="宋体"/>
                <w:color w:val="auto"/>
                <w:szCs w:val="21"/>
                <w:highlight w:val="none"/>
              </w:rPr>
              <w:br w:type="textWrapping"/>
            </w:r>
            <w:r>
              <w:rPr>
                <w:rFonts w:hint="eastAsia" w:ascii="宋体" w:hAnsi="宋体" w:cs="宋体"/>
                <w:color w:val="auto"/>
                <w:szCs w:val="21"/>
                <w:highlight w:val="none"/>
              </w:rPr>
              <w:t>②各项内容完整，有具体措施描述，但操作性和针对性不够强，得1分。</w:t>
            </w:r>
            <w:r>
              <w:rPr>
                <w:rFonts w:hint="eastAsia" w:ascii="宋体" w:hAnsi="宋体" w:cs="宋体"/>
                <w:color w:val="auto"/>
                <w:szCs w:val="21"/>
                <w:highlight w:val="none"/>
              </w:rPr>
              <w:br w:type="textWrapping"/>
            </w:r>
            <w:r>
              <w:rPr>
                <w:rFonts w:hint="eastAsia" w:ascii="宋体" w:hAnsi="宋体" w:cs="宋体"/>
                <w:color w:val="auto"/>
                <w:szCs w:val="21"/>
                <w:highlight w:val="none"/>
              </w:rPr>
              <w:t>③未提供方案的不得分。</w:t>
            </w:r>
          </w:p>
        </w:tc>
        <w:tc>
          <w:tcPr>
            <w:tcW w:w="661" w:type="dxa"/>
            <w:noWrap w:val="0"/>
            <w:vAlign w:val="center"/>
          </w:tcPr>
          <w:p w14:paraId="3762487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10</w:t>
            </w:r>
          </w:p>
        </w:tc>
      </w:tr>
    </w:tbl>
    <w:p w14:paraId="65A1DFB1">
      <w:pPr>
        <w:adjustRightInd w:val="0"/>
        <w:snapToGrid w:val="0"/>
        <w:spacing w:line="500" w:lineRule="exact"/>
        <w:ind w:firstLine="0" w:firstLineChars="0"/>
        <w:rPr>
          <w:rFonts w:hint="eastAsia" w:ascii="宋体" w:hAnsi="宋体" w:cs="宋体"/>
          <w:color w:val="auto"/>
          <w:szCs w:val="21"/>
          <w:highlight w:val="none"/>
        </w:rPr>
      </w:pPr>
    </w:p>
    <w:p w14:paraId="3503856E">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2.3 落实政府采购政策进行价格调整的规则：</w:t>
      </w:r>
    </w:p>
    <w:tbl>
      <w:tblPr>
        <w:tblStyle w:val="31"/>
        <w:tblW w:w="89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24"/>
        <w:gridCol w:w="3305"/>
        <w:gridCol w:w="3357"/>
      </w:tblGrid>
      <w:tr w14:paraId="5D4B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324" w:type="dxa"/>
            <w:noWrap w:val="0"/>
            <w:vAlign w:val="center"/>
          </w:tcPr>
          <w:p w14:paraId="7E63D53C">
            <w:pPr>
              <w:pStyle w:val="52"/>
              <w:widowControl w:val="0"/>
              <w:adjustRightInd w:val="0"/>
              <w:snapToGrid w:val="0"/>
              <w:spacing w:line="400" w:lineRule="exact"/>
              <w:jc w:val="center"/>
              <w:rPr>
                <w:rFonts w:ascii="宋体" w:hAnsi="宋体" w:cs="宋体"/>
                <w:b/>
                <w:color w:val="auto"/>
                <w:kern w:val="2"/>
                <w:sz w:val="21"/>
                <w:szCs w:val="21"/>
                <w:highlight w:val="none"/>
              </w:rPr>
            </w:pPr>
            <w:r>
              <w:rPr>
                <w:rFonts w:ascii="宋体" w:hAnsi="宋体" w:cs="宋体"/>
                <w:b/>
                <w:color w:val="auto"/>
                <w:kern w:val="2"/>
                <w:sz w:val="21"/>
                <w:szCs w:val="21"/>
                <w:highlight w:val="none"/>
              </w:rPr>
              <w:t>政府采购政策</w:t>
            </w:r>
          </w:p>
        </w:tc>
        <w:tc>
          <w:tcPr>
            <w:tcW w:w="3305" w:type="dxa"/>
            <w:noWrap w:val="0"/>
            <w:vAlign w:val="center"/>
          </w:tcPr>
          <w:p w14:paraId="72377366">
            <w:pPr>
              <w:pStyle w:val="52"/>
              <w:widowControl w:val="0"/>
              <w:adjustRightInd w:val="0"/>
              <w:snapToGrid w:val="0"/>
              <w:spacing w:line="400" w:lineRule="exact"/>
              <w:jc w:val="center"/>
              <w:rPr>
                <w:rFonts w:ascii="宋体" w:hAnsi="宋体" w:cs="宋体"/>
                <w:b/>
                <w:color w:val="auto"/>
                <w:kern w:val="2"/>
                <w:sz w:val="21"/>
                <w:szCs w:val="21"/>
                <w:highlight w:val="none"/>
              </w:rPr>
            </w:pPr>
            <w:r>
              <w:rPr>
                <w:rFonts w:ascii="宋体" w:hAnsi="宋体" w:cs="宋体"/>
                <w:b/>
                <w:color w:val="auto"/>
                <w:kern w:val="2"/>
                <w:sz w:val="21"/>
                <w:szCs w:val="21"/>
                <w:highlight w:val="none"/>
              </w:rPr>
              <w:t>价格扣除规则</w:t>
            </w:r>
          </w:p>
        </w:tc>
        <w:tc>
          <w:tcPr>
            <w:tcW w:w="3357" w:type="dxa"/>
            <w:noWrap w:val="0"/>
            <w:vAlign w:val="center"/>
          </w:tcPr>
          <w:p w14:paraId="1757551B">
            <w:pPr>
              <w:pStyle w:val="52"/>
              <w:widowControl w:val="0"/>
              <w:adjustRightInd w:val="0"/>
              <w:snapToGrid w:val="0"/>
              <w:spacing w:line="400" w:lineRule="exact"/>
              <w:jc w:val="center"/>
              <w:rPr>
                <w:rFonts w:ascii="宋体" w:hAnsi="宋体" w:cs="宋体"/>
                <w:b/>
                <w:color w:val="auto"/>
                <w:kern w:val="2"/>
                <w:sz w:val="21"/>
                <w:szCs w:val="21"/>
                <w:highlight w:val="none"/>
              </w:rPr>
            </w:pPr>
            <w:r>
              <w:rPr>
                <w:rFonts w:ascii="宋体" w:hAnsi="宋体" w:cs="宋体"/>
                <w:b/>
                <w:color w:val="auto"/>
                <w:kern w:val="2"/>
                <w:sz w:val="21"/>
                <w:szCs w:val="21"/>
                <w:highlight w:val="none"/>
              </w:rPr>
              <w:t>享受价格扣除的条件</w:t>
            </w:r>
          </w:p>
        </w:tc>
      </w:tr>
      <w:tr w14:paraId="78B5A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324" w:type="dxa"/>
            <w:noWrap w:val="0"/>
            <w:vAlign w:val="center"/>
          </w:tcPr>
          <w:p w14:paraId="52BBC22D">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节约能源政策</w:t>
            </w:r>
          </w:p>
        </w:tc>
        <w:tc>
          <w:tcPr>
            <w:tcW w:w="3305" w:type="dxa"/>
            <w:noWrap w:val="0"/>
            <w:vAlign w:val="center"/>
          </w:tcPr>
          <w:p w14:paraId="48DD409B">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本项目不适用</w:t>
            </w:r>
          </w:p>
        </w:tc>
        <w:tc>
          <w:tcPr>
            <w:tcW w:w="3357" w:type="dxa"/>
            <w:noWrap w:val="0"/>
            <w:vAlign w:val="center"/>
          </w:tcPr>
          <w:p w14:paraId="03445F04">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本项目不适用</w:t>
            </w:r>
          </w:p>
        </w:tc>
      </w:tr>
      <w:tr w14:paraId="16CB3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324" w:type="dxa"/>
            <w:noWrap w:val="0"/>
            <w:vAlign w:val="center"/>
          </w:tcPr>
          <w:p w14:paraId="75343158">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保护环境政策</w:t>
            </w:r>
          </w:p>
        </w:tc>
        <w:tc>
          <w:tcPr>
            <w:tcW w:w="3305" w:type="dxa"/>
            <w:noWrap w:val="0"/>
            <w:vAlign w:val="center"/>
          </w:tcPr>
          <w:p w14:paraId="408DF261">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本项目不适用</w:t>
            </w:r>
          </w:p>
        </w:tc>
        <w:tc>
          <w:tcPr>
            <w:tcW w:w="3357" w:type="dxa"/>
            <w:noWrap w:val="0"/>
            <w:vAlign w:val="center"/>
          </w:tcPr>
          <w:p w14:paraId="7B0C89C3">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本项目不适用</w:t>
            </w:r>
          </w:p>
        </w:tc>
      </w:tr>
      <w:tr w14:paraId="74B37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324" w:type="dxa"/>
            <w:noWrap w:val="0"/>
            <w:vAlign w:val="center"/>
          </w:tcPr>
          <w:p w14:paraId="5524C9B7">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促进中小企业发展政策</w:t>
            </w:r>
          </w:p>
        </w:tc>
        <w:tc>
          <w:tcPr>
            <w:tcW w:w="3305" w:type="dxa"/>
            <w:noWrap w:val="0"/>
            <w:vAlign w:val="center"/>
          </w:tcPr>
          <w:p w14:paraId="533B5172">
            <w:pPr>
              <w:pStyle w:val="52"/>
              <w:adjustRightInd w:val="0"/>
              <w:snapToGrid w:val="0"/>
              <w:spacing w:line="400" w:lineRule="exact"/>
              <w:rPr>
                <w:rFonts w:ascii="宋体" w:hAnsi="宋体" w:cs="宋体"/>
                <w:color w:val="auto"/>
                <w:kern w:val="2"/>
                <w:sz w:val="21"/>
                <w:szCs w:val="21"/>
                <w:highlight w:val="none"/>
              </w:rPr>
            </w:pPr>
            <w:r>
              <w:rPr>
                <w:rFonts w:ascii="宋体" w:hAnsi="宋体" w:cs="宋体"/>
                <w:color w:val="auto"/>
                <w:kern w:val="2"/>
                <w:sz w:val="21"/>
                <w:szCs w:val="21"/>
                <w:highlight w:val="none"/>
              </w:rPr>
              <w:t>本项目对小型和微型企业产品的价格给予15％的扣除，用扣除后的价格参与评审。</w:t>
            </w:r>
          </w:p>
        </w:tc>
        <w:tc>
          <w:tcPr>
            <w:tcW w:w="3357" w:type="dxa"/>
            <w:noWrap w:val="0"/>
            <w:vAlign w:val="center"/>
          </w:tcPr>
          <w:p w14:paraId="1D0CFCDE">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在服务采购项目中，服务由中小企业承接，即提供服务的人员为中小企业依照《中华人民共和国劳动合同法》订立劳动合同的从业人员。</w:t>
            </w:r>
          </w:p>
        </w:tc>
      </w:tr>
      <w:tr w14:paraId="2C4B8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324" w:type="dxa"/>
            <w:noWrap w:val="0"/>
            <w:vAlign w:val="center"/>
          </w:tcPr>
          <w:p w14:paraId="2271F685">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促进残疾人就业政策</w:t>
            </w:r>
          </w:p>
        </w:tc>
        <w:tc>
          <w:tcPr>
            <w:tcW w:w="3305" w:type="dxa"/>
            <w:noWrap w:val="0"/>
            <w:vAlign w:val="center"/>
          </w:tcPr>
          <w:p w14:paraId="638FA1E4">
            <w:pPr>
              <w:pStyle w:val="52"/>
              <w:widowControl w:val="0"/>
              <w:adjustRightInd w:val="0"/>
              <w:snapToGrid w:val="0"/>
              <w:spacing w:line="400" w:lineRule="exact"/>
              <w:rPr>
                <w:rFonts w:ascii="宋体" w:hAnsi="宋体" w:cs="宋体"/>
                <w:color w:val="auto"/>
                <w:kern w:val="2"/>
                <w:sz w:val="21"/>
                <w:szCs w:val="21"/>
                <w:highlight w:val="none"/>
              </w:rPr>
            </w:pPr>
            <w:r>
              <w:rPr>
                <w:rFonts w:ascii="宋体" w:hAnsi="宋体" w:cs="宋体"/>
                <w:color w:val="auto"/>
                <w:kern w:val="2"/>
                <w:sz w:val="21"/>
                <w:szCs w:val="21"/>
                <w:highlight w:val="none"/>
              </w:rPr>
              <w:t>本项目在政府采购活动中，残疾人福利性单位视同小型、微型企业，享受预留份额、评审中价格扣除等促进中小企业发展的政府采购政策。</w:t>
            </w:r>
          </w:p>
        </w:tc>
        <w:tc>
          <w:tcPr>
            <w:tcW w:w="3357" w:type="dxa"/>
            <w:noWrap w:val="0"/>
            <w:vAlign w:val="center"/>
          </w:tcPr>
          <w:p w14:paraId="46A96E97">
            <w:pPr>
              <w:pStyle w:val="52"/>
              <w:widowControl w:val="0"/>
              <w:adjustRightInd w:val="0"/>
              <w:snapToGrid w:val="0"/>
              <w:spacing w:line="400" w:lineRule="exact"/>
              <w:rPr>
                <w:rFonts w:ascii="宋体" w:hAnsi="宋体" w:cs="宋体"/>
                <w:color w:val="auto"/>
                <w:kern w:val="2"/>
                <w:sz w:val="21"/>
                <w:szCs w:val="21"/>
                <w:highlight w:val="none"/>
              </w:rPr>
            </w:pPr>
            <w:r>
              <w:rPr>
                <w:rFonts w:ascii="宋体" w:hAnsi="宋体" w:cs="宋体"/>
                <w:color w:val="auto"/>
                <w:kern w:val="2"/>
                <w:sz w:val="21"/>
                <w:szCs w:val="21"/>
                <w:highlight w:val="none"/>
              </w:rPr>
              <w:t>符合条件的残疾人福利性单位在参加政府采购活动时，应当提供《残疾人福利性单位声明函》，并对声明的真实性负责。</w:t>
            </w:r>
          </w:p>
        </w:tc>
      </w:tr>
      <w:tr w14:paraId="7ACFB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324" w:type="dxa"/>
            <w:noWrap w:val="0"/>
            <w:vAlign w:val="center"/>
          </w:tcPr>
          <w:p w14:paraId="6E39F9AC">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支持监狱企业发展政策</w:t>
            </w:r>
          </w:p>
        </w:tc>
        <w:tc>
          <w:tcPr>
            <w:tcW w:w="3305" w:type="dxa"/>
            <w:noWrap w:val="0"/>
            <w:vAlign w:val="center"/>
          </w:tcPr>
          <w:p w14:paraId="10DE2E21">
            <w:pPr>
              <w:pStyle w:val="52"/>
              <w:widowControl w:val="0"/>
              <w:adjustRightInd w:val="0"/>
              <w:snapToGrid w:val="0"/>
              <w:spacing w:line="400" w:lineRule="exact"/>
              <w:rPr>
                <w:rFonts w:ascii="宋体" w:hAnsi="宋体" w:cs="宋体"/>
                <w:color w:val="auto"/>
                <w:kern w:val="2"/>
                <w:sz w:val="21"/>
                <w:szCs w:val="21"/>
                <w:highlight w:val="none"/>
              </w:rPr>
            </w:pPr>
            <w:r>
              <w:rPr>
                <w:rFonts w:ascii="宋体" w:hAnsi="宋体" w:cs="宋体"/>
                <w:color w:val="auto"/>
                <w:kern w:val="2"/>
                <w:sz w:val="21"/>
                <w:szCs w:val="21"/>
                <w:highlight w:val="none"/>
              </w:rPr>
              <w:t>本项目在政府采购活动中，监狱企业视同小型、微型企业，享受预留份额、评审中价格扣除等政府采购促进中小企业发展的政府采购政策。</w:t>
            </w:r>
          </w:p>
        </w:tc>
        <w:tc>
          <w:tcPr>
            <w:tcW w:w="3357" w:type="dxa"/>
            <w:noWrap w:val="0"/>
            <w:vAlign w:val="center"/>
          </w:tcPr>
          <w:p w14:paraId="15BF9A47">
            <w:pPr>
              <w:pStyle w:val="52"/>
              <w:widowControl w:val="0"/>
              <w:adjustRightInd w:val="0"/>
              <w:snapToGrid w:val="0"/>
              <w:spacing w:line="400" w:lineRule="exact"/>
              <w:jc w:val="center"/>
              <w:rPr>
                <w:rFonts w:ascii="宋体" w:hAnsi="宋体" w:cs="宋体"/>
                <w:color w:val="auto"/>
                <w:kern w:val="2"/>
                <w:sz w:val="21"/>
                <w:szCs w:val="21"/>
                <w:highlight w:val="none"/>
              </w:rPr>
            </w:pPr>
            <w:r>
              <w:rPr>
                <w:rFonts w:ascii="宋体" w:hAnsi="宋体" w:cs="宋体"/>
                <w:color w:val="auto"/>
                <w:kern w:val="2"/>
                <w:sz w:val="21"/>
                <w:szCs w:val="21"/>
                <w:highlight w:val="none"/>
              </w:rPr>
              <w:t>监狱企业参加政府采购活动时，应当提供由省级以上监狱管理局、戒毒管理局（含新疆生产建设兵团）出具的属于监狱企业的证明文件。</w:t>
            </w:r>
          </w:p>
        </w:tc>
      </w:tr>
    </w:tbl>
    <w:p w14:paraId="2A9AF510">
      <w:pPr>
        <w:adjustRightInd w:val="0"/>
        <w:snapToGrid w:val="0"/>
        <w:spacing w:before="156" w:beforeLines="50"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 推荐中标候选人</w:t>
      </w:r>
    </w:p>
    <w:p w14:paraId="268A3DD3">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2.4.1 按评审后得分由高到低顺序排列。得分相同的，按投标报价由低到高顺序排列。得分且投标报价相同的并列。</w:t>
      </w:r>
    </w:p>
    <w:p w14:paraId="2846B612">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2.4.2 是否授权评标小组确定中标供应商：是。</w:t>
      </w:r>
    </w:p>
    <w:p w14:paraId="0D78D6D6">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2.4.3 中标人数量：一家/包。</w:t>
      </w:r>
    </w:p>
    <w:p w14:paraId="3B3A7775">
      <w:pPr>
        <w:adjustRightInd w:val="0"/>
        <w:snapToGrid w:val="0"/>
        <w:spacing w:line="5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中标候选人并列的，</w:t>
      </w:r>
      <w:r>
        <w:rPr>
          <w:rFonts w:hint="eastAsia" w:ascii="宋体" w:hAnsi="宋体" w:cs="宋体"/>
          <w:snapToGrid w:val="0"/>
          <w:color w:val="auto"/>
          <w:szCs w:val="21"/>
          <w:highlight w:val="none"/>
        </w:rPr>
        <w:t>得分相同的，按投标报价由低到高顺序排列。得分且投标报价相同的，按技术指标优劣顺序排列。</w:t>
      </w:r>
      <w:r>
        <w:rPr>
          <w:rFonts w:hint="eastAsia" w:ascii="宋体" w:hAnsi="宋体" w:cs="宋体"/>
          <w:color w:val="auto"/>
          <w:szCs w:val="21"/>
          <w:highlight w:val="none"/>
        </w:rPr>
        <w:t>招标文件未规定的，采取随机抽取的方式确定。</w:t>
      </w:r>
    </w:p>
    <w:p w14:paraId="162F3402">
      <w:pPr>
        <w:adjustRightInd w:val="0"/>
        <w:snapToGrid w:val="0"/>
        <w:spacing w:line="500" w:lineRule="exact"/>
        <w:ind w:firstLine="420" w:firstLineChars="200"/>
        <w:rPr>
          <w:rFonts w:hint="eastAsia" w:ascii="宋体" w:hAnsi="宋体" w:cs="宋体"/>
          <w:color w:val="auto"/>
          <w:szCs w:val="21"/>
          <w:highlight w:val="none"/>
        </w:rPr>
      </w:pPr>
    </w:p>
    <w:p w14:paraId="13F1DE92">
      <w:pPr>
        <w:bidi w:val="0"/>
        <w:rPr>
          <w:rFonts w:hint="eastAsia"/>
        </w:rPr>
      </w:pPr>
      <w:r>
        <w:rPr>
          <w:rFonts w:hint="eastAsia" w:ascii="宋体" w:hAnsi="宋体" w:cs="宋体"/>
          <w:color w:val="auto"/>
          <w:highlight w:val="none"/>
        </w:rPr>
        <w:br w:type="page"/>
      </w:r>
      <w:bookmarkStart w:id="805" w:name="_Toc164182255"/>
      <w:bookmarkStart w:id="806" w:name="_Toc30551"/>
      <w:bookmarkStart w:id="807" w:name="_Toc14730"/>
      <w:bookmarkStart w:id="808" w:name="_Toc20147"/>
      <w:bookmarkStart w:id="809" w:name="_Toc164681272"/>
      <w:bookmarkStart w:id="810" w:name="_Toc164182749"/>
      <w:bookmarkStart w:id="811" w:name="_Toc5260"/>
    </w:p>
    <w:p w14:paraId="775AF4C9">
      <w:pPr>
        <w:pStyle w:val="2"/>
        <w:rPr>
          <w:rFonts w:hint="eastAsia" w:ascii="宋体" w:hAnsi="宋体" w:cs="宋体"/>
          <w:color w:val="auto"/>
          <w:highlight w:val="none"/>
        </w:rPr>
      </w:pPr>
      <w:bookmarkStart w:id="812" w:name="_Toc16415"/>
      <w:bookmarkStart w:id="813" w:name="_Toc12353"/>
      <w:bookmarkStart w:id="814" w:name="_Toc32750"/>
      <w:bookmarkStart w:id="815" w:name="_Toc19382"/>
      <w:r>
        <w:rPr>
          <w:rFonts w:hint="eastAsia" w:ascii="宋体" w:hAnsi="宋体" w:cs="宋体"/>
          <w:color w:val="auto"/>
          <w:highlight w:val="none"/>
        </w:rPr>
        <w:t>第四章  政府采购合同文本</w:t>
      </w:r>
      <w:bookmarkEnd w:id="805"/>
      <w:bookmarkEnd w:id="806"/>
      <w:bookmarkEnd w:id="807"/>
      <w:bookmarkEnd w:id="808"/>
      <w:bookmarkEnd w:id="809"/>
      <w:bookmarkEnd w:id="810"/>
      <w:bookmarkEnd w:id="811"/>
      <w:bookmarkEnd w:id="812"/>
      <w:bookmarkEnd w:id="813"/>
      <w:bookmarkEnd w:id="814"/>
      <w:bookmarkEnd w:id="815"/>
    </w:p>
    <w:p w14:paraId="2937C9A5">
      <w:pPr>
        <w:adjustRightInd w:val="0"/>
        <w:snapToGrid w:val="0"/>
        <w:spacing w:line="360" w:lineRule="auto"/>
        <w:jc w:val="center"/>
        <w:rPr>
          <w:rFonts w:hint="eastAsia" w:ascii="宋体" w:hAnsi="宋体" w:cs="宋体"/>
          <w:caps/>
          <w:color w:val="auto"/>
          <w:szCs w:val="21"/>
          <w:highlight w:val="none"/>
        </w:rPr>
      </w:pPr>
    </w:p>
    <w:p w14:paraId="5E3A8781">
      <w:pPr>
        <w:bidi w:val="0"/>
        <w:jc w:val="center"/>
        <w:rPr>
          <w:rFonts w:hint="eastAsia" w:ascii="宋体" w:hAnsi="宋体" w:eastAsia="宋体" w:cs="宋体"/>
          <w:b/>
          <w:bCs/>
          <w:sz w:val="40"/>
          <w:szCs w:val="40"/>
          <w:lang w:eastAsia="zh-CN"/>
        </w:rPr>
      </w:pPr>
      <w:r>
        <w:rPr>
          <w:rFonts w:hint="eastAsia" w:ascii="宋体" w:hAnsi="宋体" w:cs="宋体"/>
          <w:b/>
          <w:bCs/>
          <w:sz w:val="40"/>
          <w:szCs w:val="40"/>
          <w:lang w:eastAsia="zh-CN"/>
        </w:rPr>
        <w:t>甘肃税务2026年税收大数据应用平台运维服务项目</w:t>
      </w:r>
    </w:p>
    <w:p w14:paraId="7FED4B74">
      <w:pPr>
        <w:adjustRightInd w:val="0"/>
        <w:snapToGrid w:val="0"/>
        <w:spacing w:line="360" w:lineRule="auto"/>
        <w:rPr>
          <w:rFonts w:hint="eastAsia" w:ascii="宋体" w:hAnsi="宋体" w:cs="宋体"/>
          <w:caps/>
          <w:color w:val="auto"/>
          <w:szCs w:val="21"/>
          <w:highlight w:val="none"/>
        </w:rPr>
      </w:pPr>
    </w:p>
    <w:p w14:paraId="08214993">
      <w:pPr>
        <w:adjustRightInd w:val="0"/>
        <w:snapToGrid w:val="0"/>
        <w:spacing w:line="360" w:lineRule="auto"/>
        <w:rPr>
          <w:rFonts w:hint="eastAsia" w:ascii="宋体" w:hAnsi="宋体" w:cs="宋体"/>
          <w:caps/>
          <w:color w:val="auto"/>
          <w:szCs w:val="21"/>
          <w:highlight w:val="none"/>
        </w:rPr>
      </w:pPr>
    </w:p>
    <w:p w14:paraId="067D71E5">
      <w:pPr>
        <w:adjustRightInd w:val="0"/>
        <w:snapToGrid w:val="0"/>
        <w:spacing w:line="360" w:lineRule="auto"/>
        <w:jc w:val="center"/>
        <w:rPr>
          <w:rFonts w:hint="eastAsia" w:ascii="宋体" w:hAnsi="宋体" w:cs="宋体"/>
          <w:b/>
          <w:caps/>
          <w:color w:val="auto"/>
          <w:sz w:val="72"/>
          <w:szCs w:val="20"/>
          <w:highlight w:val="none"/>
        </w:rPr>
      </w:pPr>
    </w:p>
    <w:p w14:paraId="118F4515">
      <w:pPr>
        <w:bidi w:val="0"/>
        <w:jc w:val="center"/>
        <w:rPr>
          <w:rFonts w:hint="eastAsia" w:ascii="宋体" w:hAnsi="宋体" w:eastAsia="宋体" w:cs="宋体"/>
          <w:b/>
          <w:bCs/>
          <w:sz w:val="40"/>
          <w:szCs w:val="40"/>
          <w:lang w:eastAsia="zh-CN"/>
        </w:rPr>
      </w:pPr>
      <w:bookmarkStart w:id="816" w:name="_Toc19375"/>
      <w:bookmarkStart w:id="817" w:name="_Toc18808"/>
      <w:r>
        <w:rPr>
          <w:rFonts w:hint="eastAsia" w:ascii="宋体" w:hAnsi="宋体" w:eastAsia="宋体" w:cs="宋体"/>
          <w:b/>
          <w:bCs/>
          <w:sz w:val="40"/>
          <w:szCs w:val="40"/>
          <w:lang w:eastAsia="zh-CN"/>
        </w:rPr>
        <w:t>合  同</w:t>
      </w:r>
      <w:bookmarkEnd w:id="816"/>
      <w:bookmarkEnd w:id="817"/>
    </w:p>
    <w:p w14:paraId="1C17D6EF">
      <w:pPr>
        <w:adjustRightInd w:val="0"/>
        <w:snapToGrid w:val="0"/>
        <w:spacing w:line="360" w:lineRule="auto"/>
        <w:rPr>
          <w:rFonts w:hint="eastAsia" w:ascii="宋体" w:hAnsi="宋体" w:cs="宋体"/>
          <w:caps/>
          <w:color w:val="auto"/>
          <w:szCs w:val="21"/>
          <w:highlight w:val="none"/>
        </w:rPr>
      </w:pPr>
    </w:p>
    <w:p w14:paraId="54A72EB5">
      <w:pPr>
        <w:adjustRightInd w:val="0"/>
        <w:snapToGrid w:val="0"/>
        <w:spacing w:line="360" w:lineRule="auto"/>
        <w:rPr>
          <w:rFonts w:hint="eastAsia" w:ascii="宋体" w:hAnsi="宋体" w:cs="宋体"/>
          <w:caps/>
          <w:color w:val="auto"/>
          <w:szCs w:val="21"/>
          <w:highlight w:val="none"/>
        </w:rPr>
      </w:pPr>
    </w:p>
    <w:p w14:paraId="11945461">
      <w:pPr>
        <w:adjustRightInd w:val="0"/>
        <w:snapToGrid w:val="0"/>
        <w:spacing w:line="360" w:lineRule="auto"/>
        <w:rPr>
          <w:rFonts w:hint="eastAsia" w:ascii="宋体" w:hAnsi="宋体" w:cs="宋体"/>
          <w:caps/>
          <w:color w:val="auto"/>
          <w:szCs w:val="21"/>
          <w:highlight w:val="none"/>
        </w:rPr>
      </w:pPr>
    </w:p>
    <w:p w14:paraId="0A7B67B7">
      <w:pPr>
        <w:adjustRightInd w:val="0"/>
        <w:snapToGrid w:val="0"/>
        <w:spacing w:line="360" w:lineRule="auto"/>
        <w:ind w:left="630" w:leftChars="300" w:right="630" w:rightChars="300"/>
        <w:rPr>
          <w:rFonts w:hint="eastAsia" w:ascii="宋体" w:hAnsi="宋体" w:eastAsia="宋体" w:cs="宋体"/>
          <w:b/>
          <w:caps/>
          <w:color w:val="auto"/>
          <w:sz w:val="30"/>
          <w:szCs w:val="30"/>
          <w:highlight w:val="none"/>
          <w:lang w:eastAsia="zh-CN"/>
        </w:rPr>
      </w:pPr>
      <w:r>
        <w:rPr>
          <w:rFonts w:hint="eastAsia" w:ascii="宋体" w:hAnsi="宋体" w:cs="宋体"/>
          <w:b/>
          <w:caps/>
          <w:color w:val="auto"/>
          <w:sz w:val="30"/>
          <w:szCs w:val="30"/>
          <w:highlight w:val="none"/>
        </w:rPr>
        <w:t>项目名称：</w:t>
      </w:r>
      <w:r>
        <w:rPr>
          <w:rFonts w:hint="eastAsia" w:ascii="宋体" w:hAnsi="宋体" w:cs="宋体"/>
          <w:b/>
          <w:caps/>
          <w:color w:val="auto"/>
          <w:sz w:val="30"/>
          <w:szCs w:val="30"/>
          <w:highlight w:val="none"/>
          <w:lang w:eastAsia="zh-CN"/>
        </w:rPr>
        <w:t>甘肃税务2026年税收大数据应用平台运维服务项目</w:t>
      </w:r>
    </w:p>
    <w:p w14:paraId="0227F01C">
      <w:pPr>
        <w:adjustRightInd w:val="0"/>
        <w:snapToGrid w:val="0"/>
        <w:spacing w:line="360" w:lineRule="auto"/>
        <w:ind w:left="630" w:leftChars="300" w:right="630" w:rightChars="300"/>
        <w:rPr>
          <w:rFonts w:hint="default" w:ascii="宋体" w:hAnsi="宋体" w:eastAsia="宋体" w:cs="宋体"/>
          <w:b/>
          <w:caps/>
          <w:color w:val="auto"/>
          <w:sz w:val="30"/>
          <w:szCs w:val="30"/>
          <w:highlight w:val="none"/>
          <w:lang w:val="en-US" w:eastAsia="zh-CN"/>
        </w:rPr>
      </w:pPr>
      <w:r>
        <w:rPr>
          <w:rFonts w:hint="eastAsia" w:ascii="宋体" w:hAnsi="宋体" w:cs="宋体"/>
          <w:b/>
          <w:caps/>
          <w:color w:val="auto"/>
          <w:sz w:val="30"/>
          <w:szCs w:val="30"/>
          <w:highlight w:val="none"/>
        </w:rPr>
        <w:t>合同编号：GS2026-DLGK-C0024-B00-</w:t>
      </w:r>
      <w:r>
        <w:rPr>
          <w:rFonts w:hint="eastAsia" w:ascii="宋体" w:hAnsi="宋体" w:cs="宋体"/>
          <w:b/>
          <w:caps/>
          <w:color w:val="auto"/>
          <w:sz w:val="30"/>
          <w:szCs w:val="30"/>
          <w:highlight w:val="none"/>
          <w:lang w:val="en-US" w:eastAsia="zh-CN"/>
        </w:rPr>
        <w:t>HT</w:t>
      </w:r>
    </w:p>
    <w:p w14:paraId="5FA7A242">
      <w:pPr>
        <w:adjustRightInd w:val="0"/>
        <w:snapToGrid w:val="0"/>
        <w:spacing w:line="360" w:lineRule="auto"/>
        <w:rPr>
          <w:rFonts w:hint="eastAsia" w:ascii="宋体" w:hAnsi="宋体" w:cs="宋体"/>
          <w:caps/>
          <w:color w:val="auto"/>
          <w:szCs w:val="21"/>
          <w:highlight w:val="none"/>
        </w:rPr>
      </w:pPr>
    </w:p>
    <w:p w14:paraId="70A4BD7F">
      <w:pPr>
        <w:adjustRightInd w:val="0"/>
        <w:snapToGrid w:val="0"/>
        <w:spacing w:line="360" w:lineRule="auto"/>
        <w:rPr>
          <w:rFonts w:hint="eastAsia" w:ascii="宋体" w:hAnsi="宋体" w:cs="宋体"/>
          <w:caps/>
          <w:color w:val="auto"/>
          <w:szCs w:val="21"/>
          <w:highlight w:val="none"/>
        </w:rPr>
      </w:pPr>
    </w:p>
    <w:p w14:paraId="5D74270B">
      <w:pPr>
        <w:adjustRightInd w:val="0"/>
        <w:snapToGrid w:val="0"/>
        <w:spacing w:line="360" w:lineRule="auto"/>
        <w:rPr>
          <w:rFonts w:hint="eastAsia" w:ascii="宋体" w:hAnsi="宋体" w:cs="宋体"/>
          <w:caps/>
          <w:color w:val="auto"/>
          <w:szCs w:val="21"/>
          <w:highlight w:val="none"/>
        </w:rPr>
      </w:pPr>
    </w:p>
    <w:p w14:paraId="1E42C3B5">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甲    方：</w:t>
      </w:r>
      <w:r>
        <w:rPr>
          <w:rFonts w:hint="eastAsia" w:ascii="宋体" w:hAnsi="宋体" w:cs="宋体"/>
          <w:b/>
          <w:caps/>
          <w:color w:val="auto"/>
          <w:sz w:val="30"/>
          <w:szCs w:val="30"/>
          <w:highlight w:val="none"/>
        </w:rPr>
        <w:fldChar w:fldCharType="begin"/>
      </w:r>
      <w:r>
        <w:rPr>
          <w:rFonts w:hint="eastAsia" w:ascii="宋体" w:hAnsi="宋体" w:cs="宋体"/>
          <w:b/>
          <w:caps/>
          <w:color w:val="auto"/>
          <w:sz w:val="30"/>
          <w:szCs w:val="30"/>
          <w:highlight w:val="none"/>
        </w:rPr>
        <w:instrText xml:space="preserve"> REF 采购人 \h  \* MERGEFORMAT </w:instrText>
      </w:r>
      <w:r>
        <w:rPr>
          <w:rFonts w:hint="eastAsia" w:ascii="宋体" w:hAnsi="宋体" w:cs="宋体"/>
          <w:b/>
          <w:caps/>
          <w:color w:val="auto"/>
          <w:sz w:val="30"/>
          <w:szCs w:val="30"/>
          <w:highlight w:val="none"/>
        </w:rPr>
        <w:fldChar w:fldCharType="separate"/>
      </w:r>
      <w:r>
        <w:rPr>
          <w:rFonts w:hint="eastAsia" w:ascii="宋体" w:hAnsi="宋体" w:cs="宋体"/>
          <w:b/>
          <w:caps/>
          <w:color w:val="auto"/>
          <w:sz w:val="30"/>
          <w:szCs w:val="30"/>
          <w:highlight w:val="none"/>
        </w:rPr>
        <w:t>国家税务总局甘肃省税务局</w:t>
      </w:r>
      <w:r>
        <w:rPr>
          <w:rFonts w:hint="eastAsia" w:ascii="宋体" w:hAnsi="宋体" w:cs="宋体"/>
          <w:b/>
          <w:caps/>
          <w:color w:val="auto"/>
          <w:sz w:val="30"/>
          <w:szCs w:val="30"/>
          <w:highlight w:val="none"/>
        </w:rPr>
        <w:fldChar w:fldCharType="end"/>
      </w:r>
    </w:p>
    <w:p w14:paraId="2554F0FF">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乙    方：______________________</w:t>
      </w:r>
    </w:p>
    <w:p w14:paraId="2BAB9A36">
      <w:pPr>
        <w:adjustRightInd w:val="0"/>
        <w:snapToGrid w:val="0"/>
        <w:spacing w:line="360" w:lineRule="auto"/>
        <w:ind w:left="630" w:leftChars="300" w:right="630" w:rightChars="300"/>
        <w:rPr>
          <w:rFonts w:hint="eastAsia" w:ascii="宋体" w:hAnsi="宋体" w:cs="宋体"/>
          <w:color w:val="auto"/>
          <w:highlight w:val="none"/>
        </w:rPr>
      </w:pPr>
      <w:r>
        <w:rPr>
          <w:rFonts w:hint="eastAsia" w:ascii="宋体" w:hAnsi="宋体" w:cs="宋体"/>
          <w:b/>
          <w:caps/>
          <w:color w:val="auto"/>
          <w:sz w:val="30"/>
          <w:szCs w:val="30"/>
          <w:highlight w:val="none"/>
        </w:rPr>
        <w:t>日    期：_________年____月___日</w:t>
      </w:r>
      <w:bookmarkStart w:id="818" w:name="_Toc164182256"/>
      <w:bookmarkStart w:id="819" w:name="_Toc164681273"/>
      <w:bookmarkStart w:id="820" w:name="_Toc164182750"/>
    </w:p>
    <w:p w14:paraId="40A56F27">
      <w:pPr>
        <w:rPr>
          <w:rFonts w:hint="eastAsia" w:ascii="宋体" w:hAnsi="宋体" w:cs="宋体"/>
          <w:color w:val="auto"/>
          <w:highlight w:val="none"/>
        </w:rPr>
      </w:pPr>
      <w:bookmarkStart w:id="821" w:name="_Toc25042"/>
      <w:bookmarkStart w:id="822" w:name="_Toc7385"/>
      <w:bookmarkStart w:id="823" w:name="_Toc12284"/>
      <w:bookmarkStart w:id="824" w:name="_Toc3682"/>
    </w:p>
    <w:p w14:paraId="662AF8D7">
      <w:pPr>
        <w:pStyle w:val="13"/>
        <w:rPr>
          <w:rFonts w:hint="eastAsia" w:ascii="宋体" w:hAnsi="宋体" w:cs="宋体"/>
          <w:color w:val="auto"/>
          <w:highlight w:val="none"/>
        </w:rPr>
      </w:pPr>
    </w:p>
    <w:p w14:paraId="60B13D0F">
      <w:pPr>
        <w:rPr>
          <w:rFonts w:hint="eastAsia"/>
          <w:color w:val="auto"/>
          <w:highlight w:val="none"/>
        </w:rPr>
      </w:pPr>
    </w:p>
    <w:p w14:paraId="54704E65">
      <w:pPr>
        <w:pStyle w:val="4"/>
        <w:jc w:val="center"/>
        <w:rPr>
          <w:rFonts w:hint="eastAsia"/>
        </w:rPr>
      </w:pPr>
      <w:bookmarkStart w:id="825" w:name="_Toc21904"/>
      <w:bookmarkStart w:id="826" w:name="_Toc11545"/>
      <w:r>
        <w:rPr>
          <w:rFonts w:hint="eastAsia"/>
        </w:rPr>
        <w:br w:type="page"/>
      </w:r>
      <w:r>
        <w:rPr>
          <w:rFonts w:hint="eastAsia" w:ascii="宋体" w:hAnsi="宋体" w:eastAsia="宋体" w:cs="宋体"/>
          <w:color w:val="auto"/>
          <w:sz w:val="21"/>
          <w:szCs w:val="21"/>
          <w:highlight w:val="none"/>
        </w:rPr>
        <w:t>合同条款前附表</w:t>
      </w:r>
      <w:bookmarkEnd w:id="818"/>
      <w:bookmarkEnd w:id="819"/>
      <w:bookmarkEnd w:id="820"/>
      <w:bookmarkEnd w:id="821"/>
      <w:bookmarkEnd w:id="822"/>
      <w:bookmarkEnd w:id="823"/>
      <w:bookmarkEnd w:id="824"/>
      <w:bookmarkEnd w:id="825"/>
      <w:bookmarkEnd w:id="826"/>
    </w:p>
    <w:tbl>
      <w:tblPr>
        <w:tblStyle w:val="31"/>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459"/>
        <w:gridCol w:w="1500"/>
        <w:gridCol w:w="6264"/>
      </w:tblGrid>
      <w:tr w14:paraId="75FE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56CDF132">
            <w:pPr>
              <w:tabs>
                <w:tab w:val="left" w:pos="700"/>
              </w:tabs>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8223" w:type="dxa"/>
            <w:gridSpan w:val="3"/>
            <w:tcBorders>
              <w:top w:val="single" w:color="auto" w:sz="4" w:space="0"/>
              <w:left w:val="single" w:color="auto" w:sz="4" w:space="0"/>
              <w:bottom w:val="single" w:color="auto" w:sz="4" w:space="0"/>
              <w:right w:val="single" w:color="auto" w:sz="4" w:space="0"/>
            </w:tcBorders>
            <w:noWrap w:val="0"/>
            <w:vAlign w:val="center"/>
          </w:tcPr>
          <w:p w14:paraId="7863F0FA">
            <w:pPr>
              <w:tabs>
                <w:tab w:val="left" w:pos="700"/>
              </w:tabs>
              <w:adjustRightInd w:val="0"/>
              <w:snapToGrid w:val="0"/>
              <w:spacing w:line="5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内容</w:t>
            </w:r>
          </w:p>
        </w:tc>
      </w:tr>
      <w:tr w14:paraId="7D73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6E88A0E1">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63005AAD">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合同名称</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16BC82BA">
            <w:pPr>
              <w:tabs>
                <w:tab w:val="left" w:pos="700"/>
              </w:tabs>
              <w:adjustRightInd w:val="0"/>
              <w:snapToGrid w:val="0"/>
              <w:spacing w:line="5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甘肃税务2026年税收大数据应用平台运维服务项目</w:t>
            </w:r>
          </w:p>
        </w:tc>
      </w:tr>
      <w:tr w14:paraId="7800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5C4A2DD7">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516CF270">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合同编号</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717ABB36">
            <w:pPr>
              <w:tabs>
                <w:tab w:val="left" w:pos="700"/>
              </w:tabs>
              <w:adjustRightInd w:val="0"/>
              <w:snapToGrid w:val="0"/>
              <w:spacing w:line="500" w:lineRule="exact"/>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GS2026-DLGK-C0024-B00-</w:t>
            </w:r>
            <w:r>
              <w:rPr>
                <w:rFonts w:hint="eastAsia" w:ascii="宋体" w:hAnsi="宋体" w:cs="宋体"/>
                <w:color w:val="auto"/>
                <w:szCs w:val="21"/>
                <w:highlight w:val="none"/>
                <w:lang w:val="en-US" w:eastAsia="zh-CN"/>
              </w:rPr>
              <w:t>HT</w:t>
            </w:r>
          </w:p>
        </w:tc>
      </w:tr>
      <w:tr w14:paraId="7EF9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416D7422">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1C37D54B">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合同类型</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504F3CA9">
            <w:pPr>
              <w:tabs>
                <w:tab w:val="left" w:pos="2160"/>
              </w:tabs>
              <w:topLinePunct/>
              <w:autoSpaceDE w:val="0"/>
              <w:autoSpaceDN w:val="0"/>
              <w:adjustRightInd w:val="0"/>
              <w:snapToGrid w:val="0"/>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服务类合同</w:t>
            </w:r>
          </w:p>
        </w:tc>
      </w:tr>
      <w:tr w14:paraId="025AF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09EC18B3">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1EE6D6F2">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定价方式</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585480A3">
            <w:pPr>
              <w:tabs>
                <w:tab w:val="left" w:pos="2160"/>
              </w:tabs>
              <w:topLinePunct/>
              <w:autoSpaceDE w:val="0"/>
              <w:autoSpaceDN w:val="0"/>
              <w:adjustRightInd w:val="0"/>
              <w:snapToGrid w:val="0"/>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固定总价合同</w:t>
            </w:r>
          </w:p>
        </w:tc>
      </w:tr>
      <w:tr w14:paraId="107D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restart"/>
            <w:tcBorders>
              <w:top w:val="single" w:color="auto" w:sz="4" w:space="0"/>
              <w:left w:val="single" w:color="auto" w:sz="4" w:space="0"/>
              <w:right w:val="single" w:color="auto" w:sz="4" w:space="0"/>
            </w:tcBorders>
            <w:noWrap w:val="0"/>
            <w:vAlign w:val="center"/>
          </w:tcPr>
          <w:p w14:paraId="79A746F8">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959" w:type="dxa"/>
            <w:gridSpan w:val="2"/>
            <w:tcBorders>
              <w:top w:val="single" w:color="auto" w:sz="4" w:space="0"/>
              <w:left w:val="single" w:color="auto" w:sz="4" w:space="0"/>
              <w:bottom w:val="single" w:color="auto" w:sz="6" w:space="0"/>
              <w:right w:val="single" w:color="auto" w:sz="6" w:space="0"/>
            </w:tcBorders>
            <w:noWrap w:val="0"/>
            <w:vAlign w:val="center"/>
          </w:tcPr>
          <w:p w14:paraId="24695756">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甲方名称</w:t>
            </w:r>
          </w:p>
        </w:tc>
        <w:tc>
          <w:tcPr>
            <w:tcW w:w="6264" w:type="dxa"/>
            <w:tcBorders>
              <w:top w:val="single" w:color="auto" w:sz="4" w:space="0"/>
              <w:left w:val="single" w:color="auto" w:sz="6" w:space="0"/>
              <w:bottom w:val="single" w:color="auto" w:sz="6" w:space="0"/>
              <w:right w:val="single" w:color="auto" w:sz="4" w:space="0"/>
            </w:tcBorders>
            <w:noWrap w:val="0"/>
            <w:vAlign w:val="center"/>
          </w:tcPr>
          <w:p w14:paraId="4A3AA7D2">
            <w:pPr>
              <w:tabs>
                <w:tab w:val="left" w:pos="2160"/>
              </w:tabs>
              <w:topLinePunct/>
              <w:autoSpaceDE w:val="0"/>
              <w:autoSpaceDN w:val="0"/>
              <w:adjustRightInd w:val="0"/>
              <w:snapToGrid w:val="0"/>
              <w:spacing w:line="500" w:lineRule="exact"/>
              <w:jc w:val="left"/>
              <w:rPr>
                <w:rFonts w:hint="eastAsia" w:ascii="宋体" w:hAnsi="宋体" w:cs="宋体"/>
                <w:color w:val="auto"/>
                <w:szCs w:val="21"/>
                <w:highlight w:val="none"/>
              </w:rPr>
            </w:pP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REF 采购人 \h  \* MERGEFORMAT </w:instrText>
            </w:r>
            <w:r>
              <w:rPr>
                <w:rFonts w:hint="eastAsia" w:ascii="宋体" w:hAnsi="宋体" w:cs="宋体"/>
                <w:bCs/>
                <w:color w:val="auto"/>
                <w:szCs w:val="21"/>
                <w:highlight w:val="none"/>
              </w:rPr>
              <w:fldChar w:fldCharType="separate"/>
            </w:r>
            <w:r>
              <w:rPr>
                <w:rFonts w:hint="eastAsia" w:ascii="宋体" w:hAnsi="宋体" w:cs="宋体"/>
                <w:bCs/>
                <w:color w:val="auto"/>
                <w:szCs w:val="21"/>
                <w:highlight w:val="none"/>
              </w:rPr>
              <w:t>国家税务总局甘肃省税务局</w:t>
            </w:r>
            <w:r>
              <w:rPr>
                <w:rFonts w:hint="eastAsia" w:ascii="宋体" w:hAnsi="宋体" w:cs="宋体"/>
                <w:bCs/>
                <w:color w:val="auto"/>
                <w:szCs w:val="21"/>
                <w:highlight w:val="none"/>
              </w:rPr>
              <w:fldChar w:fldCharType="end"/>
            </w:r>
          </w:p>
        </w:tc>
      </w:tr>
      <w:tr w14:paraId="6C35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left w:val="single" w:color="auto" w:sz="4" w:space="0"/>
              <w:right w:val="single" w:color="auto" w:sz="4" w:space="0"/>
            </w:tcBorders>
            <w:noWrap w:val="0"/>
            <w:vAlign w:val="center"/>
          </w:tcPr>
          <w:p w14:paraId="00C0FD3F">
            <w:pPr>
              <w:widowControl/>
              <w:adjustRightInd w:val="0"/>
              <w:snapToGrid w:val="0"/>
              <w:spacing w:line="500" w:lineRule="exact"/>
              <w:jc w:val="center"/>
              <w:rPr>
                <w:rFonts w:hint="eastAsia" w:ascii="宋体" w:hAnsi="宋体" w:cs="宋体"/>
                <w:color w:val="auto"/>
                <w:szCs w:val="21"/>
                <w:highlight w:val="none"/>
              </w:rPr>
            </w:pPr>
          </w:p>
        </w:tc>
        <w:tc>
          <w:tcPr>
            <w:tcW w:w="1959" w:type="dxa"/>
            <w:gridSpan w:val="2"/>
            <w:tcBorders>
              <w:top w:val="single" w:color="auto" w:sz="6" w:space="0"/>
              <w:left w:val="single" w:color="auto" w:sz="4" w:space="0"/>
              <w:bottom w:val="single" w:color="auto" w:sz="6" w:space="0"/>
              <w:right w:val="single" w:color="auto" w:sz="6" w:space="0"/>
            </w:tcBorders>
            <w:noWrap w:val="0"/>
            <w:vAlign w:val="center"/>
          </w:tcPr>
          <w:p w14:paraId="25A4F926">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甲方地址</w:t>
            </w:r>
          </w:p>
        </w:tc>
        <w:tc>
          <w:tcPr>
            <w:tcW w:w="6264" w:type="dxa"/>
            <w:tcBorders>
              <w:top w:val="single" w:color="auto" w:sz="6" w:space="0"/>
              <w:left w:val="single" w:color="auto" w:sz="6" w:space="0"/>
              <w:bottom w:val="single" w:color="auto" w:sz="6" w:space="0"/>
              <w:right w:val="single" w:color="auto" w:sz="4" w:space="0"/>
            </w:tcBorders>
            <w:noWrap w:val="0"/>
            <w:vAlign w:val="center"/>
          </w:tcPr>
          <w:p w14:paraId="0B338D9C">
            <w:pPr>
              <w:tabs>
                <w:tab w:val="left" w:pos="70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兰州市城关区金昌南路353号</w:t>
            </w:r>
          </w:p>
        </w:tc>
      </w:tr>
      <w:tr w14:paraId="59F0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left w:val="single" w:color="auto" w:sz="4" w:space="0"/>
              <w:right w:val="single" w:color="auto" w:sz="4" w:space="0"/>
            </w:tcBorders>
            <w:noWrap w:val="0"/>
            <w:vAlign w:val="center"/>
          </w:tcPr>
          <w:p w14:paraId="35E4A9A1">
            <w:pPr>
              <w:widowControl/>
              <w:adjustRightInd w:val="0"/>
              <w:snapToGrid w:val="0"/>
              <w:spacing w:line="500" w:lineRule="exact"/>
              <w:jc w:val="center"/>
              <w:rPr>
                <w:rFonts w:hint="eastAsia" w:ascii="宋体" w:hAnsi="宋体" w:cs="宋体"/>
                <w:color w:val="auto"/>
                <w:szCs w:val="21"/>
                <w:highlight w:val="none"/>
              </w:rPr>
            </w:pPr>
          </w:p>
        </w:tc>
        <w:tc>
          <w:tcPr>
            <w:tcW w:w="459" w:type="dxa"/>
            <w:vMerge w:val="restart"/>
            <w:tcBorders>
              <w:top w:val="single" w:color="auto" w:sz="6" w:space="0"/>
              <w:left w:val="single" w:color="auto" w:sz="4" w:space="0"/>
              <w:right w:val="single" w:color="auto" w:sz="4" w:space="0"/>
            </w:tcBorders>
            <w:noWrap w:val="0"/>
            <w:vAlign w:val="center"/>
          </w:tcPr>
          <w:p w14:paraId="147857EB">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甲方相关部门</w:t>
            </w:r>
          </w:p>
        </w:tc>
        <w:tc>
          <w:tcPr>
            <w:tcW w:w="1500" w:type="dxa"/>
            <w:tcBorders>
              <w:top w:val="single" w:color="auto" w:sz="6" w:space="0"/>
              <w:left w:val="single" w:color="auto" w:sz="4" w:space="0"/>
              <w:bottom w:val="single" w:color="auto" w:sz="6" w:space="0"/>
              <w:right w:val="single" w:color="auto" w:sz="6" w:space="0"/>
            </w:tcBorders>
            <w:noWrap w:val="0"/>
            <w:vAlign w:val="center"/>
          </w:tcPr>
          <w:p w14:paraId="65FF64F3">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甲方采购部门</w:t>
            </w:r>
          </w:p>
        </w:tc>
        <w:tc>
          <w:tcPr>
            <w:tcW w:w="6264" w:type="dxa"/>
            <w:tcBorders>
              <w:top w:val="single" w:color="auto" w:sz="6" w:space="0"/>
              <w:left w:val="single" w:color="auto" w:sz="6" w:space="0"/>
              <w:bottom w:val="single" w:color="auto" w:sz="6" w:space="0"/>
              <w:right w:val="single" w:color="auto" w:sz="4" w:space="0"/>
            </w:tcBorders>
            <w:noWrap w:val="0"/>
            <w:vAlign w:val="center"/>
          </w:tcPr>
          <w:p w14:paraId="72507E1F">
            <w:pPr>
              <w:tabs>
                <w:tab w:val="left" w:pos="700"/>
              </w:tabs>
              <w:adjustRightInd w:val="0"/>
              <w:snapToGrid w:val="0"/>
              <w:spacing w:line="500" w:lineRule="exact"/>
              <w:rPr>
                <w:rFonts w:hint="default" w:ascii="宋体" w:hAnsi="宋体" w:eastAsia="宋体" w:cs="宋体"/>
                <w:color w:val="auto"/>
                <w:szCs w:val="21"/>
                <w:highlight w:val="none"/>
                <w:lang w:val="en-US" w:eastAsia="zh-CN"/>
              </w:rPr>
            </w:pPr>
            <w:r>
              <w:rPr>
                <w:rFonts w:hint="eastAsia" w:ascii="宋体" w:hAnsi="宋体" w:cs="宋体"/>
                <w:bCs/>
                <w:color w:val="auto"/>
                <w:szCs w:val="21"/>
                <w:highlight w:val="none"/>
              </w:rPr>
              <w:t>国家税务总局甘肃省税务局</w:t>
            </w:r>
            <w:r>
              <w:rPr>
                <w:rFonts w:hint="eastAsia" w:ascii="宋体" w:hAnsi="宋体" w:cs="宋体"/>
                <w:bCs/>
                <w:color w:val="auto"/>
                <w:szCs w:val="21"/>
                <w:highlight w:val="none"/>
                <w:lang w:val="en-US" w:eastAsia="zh-CN"/>
              </w:rPr>
              <w:t>财务管理处</w:t>
            </w:r>
          </w:p>
        </w:tc>
      </w:tr>
      <w:tr w14:paraId="2D0F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left w:val="single" w:color="auto" w:sz="4" w:space="0"/>
              <w:right w:val="single" w:color="auto" w:sz="4" w:space="0"/>
            </w:tcBorders>
            <w:noWrap w:val="0"/>
            <w:vAlign w:val="center"/>
          </w:tcPr>
          <w:p w14:paraId="0B6CA1F0">
            <w:pPr>
              <w:widowControl/>
              <w:adjustRightInd w:val="0"/>
              <w:snapToGrid w:val="0"/>
              <w:spacing w:line="500" w:lineRule="exact"/>
              <w:jc w:val="center"/>
              <w:rPr>
                <w:rFonts w:hint="eastAsia" w:ascii="宋体" w:hAnsi="宋体" w:cs="宋体"/>
                <w:color w:val="auto"/>
                <w:szCs w:val="21"/>
                <w:highlight w:val="none"/>
              </w:rPr>
            </w:pPr>
          </w:p>
        </w:tc>
        <w:tc>
          <w:tcPr>
            <w:tcW w:w="459" w:type="dxa"/>
            <w:vMerge w:val="continue"/>
            <w:tcBorders>
              <w:left w:val="single" w:color="auto" w:sz="4" w:space="0"/>
              <w:right w:val="single" w:color="auto" w:sz="4" w:space="0"/>
            </w:tcBorders>
            <w:noWrap w:val="0"/>
            <w:vAlign w:val="center"/>
          </w:tcPr>
          <w:p w14:paraId="5294CBC1">
            <w:pPr>
              <w:tabs>
                <w:tab w:val="left" w:pos="700"/>
              </w:tabs>
              <w:adjustRightInd w:val="0"/>
              <w:snapToGrid w:val="0"/>
              <w:spacing w:line="500" w:lineRule="exact"/>
              <w:jc w:val="center"/>
              <w:rPr>
                <w:rFonts w:hint="eastAsia" w:ascii="宋体" w:hAnsi="宋体" w:cs="宋体"/>
                <w:color w:val="auto"/>
                <w:szCs w:val="21"/>
                <w:highlight w:val="none"/>
              </w:rPr>
            </w:pPr>
          </w:p>
        </w:tc>
        <w:tc>
          <w:tcPr>
            <w:tcW w:w="1500" w:type="dxa"/>
            <w:tcBorders>
              <w:top w:val="single" w:color="auto" w:sz="6" w:space="0"/>
              <w:left w:val="single" w:color="auto" w:sz="4" w:space="0"/>
              <w:bottom w:val="single" w:color="auto" w:sz="6" w:space="0"/>
              <w:right w:val="single" w:color="auto" w:sz="6" w:space="0"/>
            </w:tcBorders>
            <w:noWrap w:val="0"/>
            <w:vAlign w:val="center"/>
          </w:tcPr>
          <w:p w14:paraId="7DB9EC06">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6264" w:type="dxa"/>
            <w:tcBorders>
              <w:top w:val="single" w:color="auto" w:sz="6" w:space="0"/>
              <w:left w:val="single" w:color="auto" w:sz="6" w:space="0"/>
              <w:bottom w:val="single" w:color="auto" w:sz="6" w:space="0"/>
              <w:right w:val="single" w:color="auto" w:sz="4" w:space="0"/>
            </w:tcBorders>
            <w:noWrap w:val="0"/>
            <w:vAlign w:val="center"/>
          </w:tcPr>
          <w:p w14:paraId="791FFA3E">
            <w:pPr>
              <w:tabs>
                <w:tab w:val="left" w:pos="700"/>
              </w:tabs>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t>苏老师</w:t>
            </w:r>
          </w:p>
        </w:tc>
      </w:tr>
      <w:tr w14:paraId="66D1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left w:val="single" w:color="auto" w:sz="4" w:space="0"/>
              <w:right w:val="single" w:color="auto" w:sz="4" w:space="0"/>
            </w:tcBorders>
            <w:noWrap w:val="0"/>
            <w:vAlign w:val="center"/>
          </w:tcPr>
          <w:p w14:paraId="43EE5FCC">
            <w:pPr>
              <w:widowControl/>
              <w:adjustRightInd w:val="0"/>
              <w:snapToGrid w:val="0"/>
              <w:spacing w:line="500" w:lineRule="exact"/>
              <w:jc w:val="center"/>
              <w:rPr>
                <w:rFonts w:hint="eastAsia" w:ascii="宋体" w:hAnsi="宋体" w:cs="宋体"/>
                <w:color w:val="auto"/>
                <w:szCs w:val="21"/>
                <w:highlight w:val="none"/>
              </w:rPr>
            </w:pPr>
          </w:p>
        </w:tc>
        <w:tc>
          <w:tcPr>
            <w:tcW w:w="459" w:type="dxa"/>
            <w:vMerge w:val="continue"/>
            <w:tcBorders>
              <w:left w:val="single" w:color="auto" w:sz="4" w:space="0"/>
              <w:right w:val="single" w:color="auto" w:sz="4" w:space="0"/>
            </w:tcBorders>
            <w:noWrap w:val="0"/>
            <w:vAlign w:val="center"/>
          </w:tcPr>
          <w:p w14:paraId="55F0D428">
            <w:pPr>
              <w:tabs>
                <w:tab w:val="left" w:pos="700"/>
              </w:tabs>
              <w:adjustRightInd w:val="0"/>
              <w:snapToGrid w:val="0"/>
              <w:spacing w:line="500" w:lineRule="exact"/>
              <w:jc w:val="center"/>
              <w:rPr>
                <w:rFonts w:hint="eastAsia" w:ascii="宋体" w:hAnsi="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4E5D581C">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6264" w:type="dxa"/>
            <w:tcBorders>
              <w:top w:val="single" w:color="auto" w:sz="6" w:space="0"/>
              <w:left w:val="single" w:color="auto" w:sz="6" w:space="0"/>
              <w:bottom w:val="single" w:color="auto" w:sz="4" w:space="0"/>
              <w:right w:val="single" w:color="auto" w:sz="4" w:space="0"/>
            </w:tcBorders>
            <w:noWrap w:val="0"/>
            <w:vAlign w:val="center"/>
          </w:tcPr>
          <w:p w14:paraId="422C7499">
            <w:pPr>
              <w:tabs>
                <w:tab w:val="left" w:pos="700"/>
              </w:tabs>
              <w:adjustRightInd w:val="0"/>
              <w:snapToGrid w:val="0"/>
              <w:spacing w:line="500" w:lineRule="exact"/>
              <w:rPr>
                <w:rFonts w:hint="eastAsia" w:ascii="宋体" w:hAnsi="宋体" w:cs="宋体"/>
                <w:color w:val="auto"/>
                <w:szCs w:val="21"/>
                <w:highlight w:val="none"/>
              </w:rPr>
            </w:pPr>
            <w:r>
              <w:rPr>
                <w:rFonts w:hint="eastAsia" w:ascii="宋体" w:hAnsi="宋体" w:cs="宋体"/>
                <w:color w:val="auto"/>
                <w:szCs w:val="21"/>
                <w:highlight w:val="none"/>
              </w:rPr>
              <w:t>0931-8533780</w:t>
            </w:r>
          </w:p>
        </w:tc>
      </w:tr>
      <w:tr w14:paraId="7B28E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left w:val="single" w:color="auto" w:sz="4" w:space="0"/>
              <w:right w:val="single" w:color="auto" w:sz="4" w:space="0"/>
            </w:tcBorders>
            <w:noWrap w:val="0"/>
            <w:vAlign w:val="center"/>
          </w:tcPr>
          <w:p w14:paraId="4D31F913">
            <w:pPr>
              <w:widowControl/>
              <w:adjustRightInd w:val="0"/>
              <w:snapToGrid w:val="0"/>
              <w:spacing w:line="500" w:lineRule="exact"/>
              <w:jc w:val="center"/>
              <w:rPr>
                <w:rFonts w:hint="eastAsia" w:ascii="宋体" w:hAnsi="宋体" w:cs="宋体"/>
                <w:color w:val="auto"/>
                <w:szCs w:val="21"/>
                <w:highlight w:val="none"/>
              </w:rPr>
            </w:pPr>
          </w:p>
        </w:tc>
        <w:tc>
          <w:tcPr>
            <w:tcW w:w="459" w:type="dxa"/>
            <w:vMerge w:val="continue"/>
            <w:tcBorders>
              <w:left w:val="single" w:color="auto" w:sz="4" w:space="0"/>
              <w:right w:val="single" w:color="auto" w:sz="4" w:space="0"/>
            </w:tcBorders>
            <w:noWrap w:val="0"/>
            <w:vAlign w:val="center"/>
          </w:tcPr>
          <w:p w14:paraId="2DED1FBA">
            <w:pPr>
              <w:tabs>
                <w:tab w:val="left" w:pos="700"/>
              </w:tabs>
              <w:adjustRightInd w:val="0"/>
              <w:snapToGrid w:val="0"/>
              <w:spacing w:line="500" w:lineRule="exact"/>
              <w:jc w:val="center"/>
              <w:rPr>
                <w:rFonts w:hint="eastAsia" w:ascii="宋体" w:hAnsi="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40D5728D">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甲方需求部门</w:t>
            </w:r>
          </w:p>
        </w:tc>
        <w:tc>
          <w:tcPr>
            <w:tcW w:w="6264" w:type="dxa"/>
            <w:tcBorders>
              <w:top w:val="single" w:color="auto" w:sz="6" w:space="0"/>
              <w:left w:val="single" w:color="auto" w:sz="6" w:space="0"/>
              <w:bottom w:val="single" w:color="auto" w:sz="4" w:space="0"/>
              <w:right w:val="single" w:color="auto" w:sz="4" w:space="0"/>
            </w:tcBorders>
            <w:noWrap w:val="0"/>
            <w:vAlign w:val="center"/>
          </w:tcPr>
          <w:p w14:paraId="070C2744">
            <w:pPr>
              <w:tabs>
                <w:tab w:val="left" w:pos="700"/>
              </w:tabs>
              <w:adjustRightInd w:val="0"/>
              <w:snapToGrid w:val="0"/>
              <w:spacing w:line="500" w:lineRule="exact"/>
              <w:jc w:val="lef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第二税务分局（税收大数据和风险管理局）</w:t>
            </w:r>
          </w:p>
        </w:tc>
      </w:tr>
      <w:tr w14:paraId="7D5D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0" w:type="dxa"/>
            <w:vMerge w:val="continue"/>
            <w:tcBorders>
              <w:left w:val="single" w:color="auto" w:sz="4" w:space="0"/>
              <w:right w:val="single" w:color="auto" w:sz="4" w:space="0"/>
            </w:tcBorders>
            <w:noWrap w:val="0"/>
            <w:vAlign w:val="center"/>
          </w:tcPr>
          <w:p w14:paraId="0272A8EF">
            <w:pPr>
              <w:widowControl/>
              <w:adjustRightInd w:val="0"/>
              <w:snapToGrid w:val="0"/>
              <w:spacing w:line="500" w:lineRule="exact"/>
              <w:jc w:val="center"/>
              <w:rPr>
                <w:rFonts w:hint="eastAsia" w:ascii="宋体" w:hAnsi="宋体" w:cs="宋体"/>
                <w:color w:val="auto"/>
                <w:szCs w:val="21"/>
                <w:highlight w:val="none"/>
              </w:rPr>
            </w:pPr>
          </w:p>
        </w:tc>
        <w:tc>
          <w:tcPr>
            <w:tcW w:w="459" w:type="dxa"/>
            <w:vMerge w:val="continue"/>
            <w:tcBorders>
              <w:left w:val="single" w:color="auto" w:sz="4" w:space="0"/>
              <w:right w:val="single" w:color="auto" w:sz="4" w:space="0"/>
            </w:tcBorders>
            <w:noWrap w:val="0"/>
            <w:vAlign w:val="center"/>
          </w:tcPr>
          <w:p w14:paraId="155E86E4">
            <w:pPr>
              <w:tabs>
                <w:tab w:val="left" w:pos="700"/>
              </w:tabs>
              <w:adjustRightInd w:val="0"/>
              <w:snapToGrid w:val="0"/>
              <w:spacing w:line="500" w:lineRule="exact"/>
              <w:jc w:val="center"/>
              <w:rPr>
                <w:rFonts w:hint="eastAsia" w:ascii="宋体" w:hAnsi="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2F45D6DA">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6264" w:type="dxa"/>
            <w:tcBorders>
              <w:top w:val="single" w:color="auto" w:sz="6" w:space="0"/>
              <w:left w:val="single" w:color="auto" w:sz="6" w:space="0"/>
              <w:bottom w:val="single" w:color="auto" w:sz="4" w:space="0"/>
              <w:right w:val="single" w:color="auto" w:sz="4" w:space="0"/>
            </w:tcBorders>
            <w:noWrap w:val="0"/>
            <w:vAlign w:val="center"/>
          </w:tcPr>
          <w:p w14:paraId="6CF45228">
            <w:pPr>
              <w:tabs>
                <w:tab w:val="left" w:pos="700"/>
              </w:tabs>
              <w:adjustRightInd w:val="0"/>
              <w:snapToGrid w:val="0"/>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魏老师</w:t>
            </w:r>
          </w:p>
        </w:tc>
      </w:tr>
      <w:tr w14:paraId="674F9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left w:val="single" w:color="auto" w:sz="4" w:space="0"/>
              <w:bottom w:val="single" w:color="auto" w:sz="4" w:space="0"/>
              <w:right w:val="single" w:color="auto" w:sz="4" w:space="0"/>
            </w:tcBorders>
            <w:noWrap w:val="0"/>
            <w:vAlign w:val="center"/>
          </w:tcPr>
          <w:p w14:paraId="511B4DFC">
            <w:pPr>
              <w:widowControl/>
              <w:adjustRightInd w:val="0"/>
              <w:snapToGrid w:val="0"/>
              <w:spacing w:line="500" w:lineRule="exact"/>
              <w:jc w:val="center"/>
              <w:rPr>
                <w:rFonts w:hint="eastAsia" w:ascii="宋体" w:hAnsi="宋体" w:cs="宋体"/>
                <w:color w:val="auto"/>
                <w:szCs w:val="21"/>
                <w:highlight w:val="none"/>
              </w:rPr>
            </w:pPr>
          </w:p>
        </w:tc>
        <w:tc>
          <w:tcPr>
            <w:tcW w:w="459" w:type="dxa"/>
            <w:vMerge w:val="continue"/>
            <w:tcBorders>
              <w:left w:val="single" w:color="auto" w:sz="4" w:space="0"/>
              <w:bottom w:val="single" w:color="auto" w:sz="4" w:space="0"/>
              <w:right w:val="single" w:color="auto" w:sz="4" w:space="0"/>
            </w:tcBorders>
            <w:noWrap w:val="0"/>
            <w:vAlign w:val="center"/>
          </w:tcPr>
          <w:p w14:paraId="586199E5">
            <w:pPr>
              <w:tabs>
                <w:tab w:val="left" w:pos="700"/>
              </w:tabs>
              <w:adjustRightInd w:val="0"/>
              <w:snapToGrid w:val="0"/>
              <w:spacing w:line="500" w:lineRule="exact"/>
              <w:jc w:val="center"/>
              <w:rPr>
                <w:rFonts w:hint="eastAsia" w:ascii="宋体" w:hAnsi="宋体" w:cs="宋体"/>
                <w:color w:val="auto"/>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1580A717">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6264" w:type="dxa"/>
            <w:tcBorders>
              <w:top w:val="single" w:color="auto" w:sz="6" w:space="0"/>
              <w:left w:val="single" w:color="auto" w:sz="6" w:space="0"/>
              <w:bottom w:val="single" w:color="auto" w:sz="4" w:space="0"/>
              <w:right w:val="single" w:color="auto" w:sz="4" w:space="0"/>
            </w:tcBorders>
            <w:noWrap w:val="0"/>
            <w:vAlign w:val="center"/>
          </w:tcPr>
          <w:p w14:paraId="757BE078">
            <w:pPr>
              <w:tabs>
                <w:tab w:val="left" w:pos="700"/>
              </w:tabs>
              <w:adjustRightInd w:val="0"/>
              <w:snapToGrid w:val="0"/>
              <w:spacing w:line="500" w:lineRule="exact"/>
              <w:jc w:val="left"/>
              <w:rPr>
                <w:rFonts w:hint="eastAsia" w:ascii="宋体" w:hAnsi="宋体" w:cs="宋体"/>
                <w:bCs/>
                <w:color w:val="auto"/>
                <w:szCs w:val="21"/>
                <w:highlight w:val="none"/>
              </w:rPr>
            </w:pPr>
            <w:r>
              <w:rPr>
                <w:rFonts w:hint="eastAsia" w:ascii="宋体" w:hAnsi="宋体" w:cs="宋体"/>
                <w:bCs/>
                <w:color w:val="auto"/>
                <w:szCs w:val="21"/>
                <w:highlight w:val="none"/>
              </w:rPr>
              <w:t>09318437580</w:t>
            </w:r>
          </w:p>
        </w:tc>
      </w:tr>
      <w:tr w14:paraId="1C97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restart"/>
            <w:tcBorders>
              <w:top w:val="single" w:color="auto" w:sz="4" w:space="0"/>
              <w:left w:val="single" w:color="auto" w:sz="4" w:space="0"/>
              <w:bottom w:val="single" w:color="auto" w:sz="4" w:space="0"/>
              <w:right w:val="single" w:color="auto" w:sz="4" w:space="0"/>
            </w:tcBorders>
            <w:noWrap w:val="0"/>
            <w:vAlign w:val="center"/>
          </w:tcPr>
          <w:p w14:paraId="04B9C389">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696DCB67">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乙方名称</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005078C8">
            <w:pPr>
              <w:tabs>
                <w:tab w:val="left" w:pos="700"/>
              </w:tabs>
              <w:adjustRightInd w:val="0"/>
              <w:snapToGrid w:val="0"/>
              <w:spacing w:line="500" w:lineRule="exact"/>
              <w:jc w:val="left"/>
              <w:rPr>
                <w:rFonts w:hint="eastAsia" w:ascii="宋体" w:hAnsi="宋体" w:cs="宋体"/>
                <w:color w:val="auto"/>
                <w:szCs w:val="21"/>
                <w:highlight w:val="none"/>
              </w:rPr>
            </w:pPr>
          </w:p>
        </w:tc>
      </w:tr>
      <w:tr w14:paraId="3E62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top w:val="single" w:color="auto" w:sz="4" w:space="0"/>
              <w:left w:val="single" w:color="auto" w:sz="4" w:space="0"/>
              <w:bottom w:val="single" w:color="auto" w:sz="4" w:space="0"/>
              <w:right w:val="single" w:color="auto" w:sz="4" w:space="0"/>
            </w:tcBorders>
            <w:noWrap w:val="0"/>
            <w:vAlign w:val="center"/>
          </w:tcPr>
          <w:p w14:paraId="36D59F62">
            <w:pPr>
              <w:widowControl/>
              <w:adjustRightInd w:val="0"/>
              <w:snapToGrid w:val="0"/>
              <w:spacing w:line="500" w:lineRule="exact"/>
              <w:jc w:val="center"/>
              <w:rPr>
                <w:rFonts w:hint="eastAsia" w:ascii="宋体" w:hAnsi="宋体" w:cs="宋体"/>
                <w:color w:val="auto"/>
                <w:szCs w:val="21"/>
                <w:highlight w:val="none"/>
              </w:rPr>
            </w:pP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550860CD">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乙方企业性质</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4F47ABA3">
            <w:pPr>
              <w:tabs>
                <w:tab w:val="left" w:pos="70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 xml:space="preserve">中型企业     </w:t>
            </w:r>
            <w:r>
              <w:rPr>
                <w:rFonts w:hint="eastAsia" w:ascii="宋体" w:hAnsi="宋体" w:cs="宋体"/>
                <w:color w:val="auto"/>
                <w:szCs w:val="21"/>
                <w:highlight w:val="none"/>
              </w:rPr>
              <w:sym w:font="Wingdings 2" w:char="00A3"/>
            </w:r>
            <w:r>
              <w:rPr>
                <w:rFonts w:hint="eastAsia" w:ascii="宋体" w:hAnsi="宋体" w:cs="宋体"/>
                <w:color w:val="auto"/>
                <w:szCs w:val="21"/>
                <w:highlight w:val="none"/>
              </w:rPr>
              <w:t xml:space="preserve">小型企业              </w:t>
            </w:r>
            <w:r>
              <w:rPr>
                <w:rFonts w:hint="eastAsia" w:ascii="宋体" w:hAnsi="宋体" w:cs="宋体"/>
                <w:color w:val="auto"/>
                <w:szCs w:val="21"/>
                <w:highlight w:val="none"/>
              </w:rPr>
              <w:sym w:font="Wingdings 2" w:char="00A3"/>
            </w:r>
            <w:r>
              <w:rPr>
                <w:rFonts w:hint="eastAsia" w:ascii="宋体" w:hAnsi="宋体" w:cs="宋体"/>
                <w:color w:val="auto"/>
                <w:szCs w:val="21"/>
                <w:highlight w:val="none"/>
              </w:rPr>
              <w:t>微型企业</w:t>
            </w:r>
          </w:p>
          <w:p w14:paraId="7E696C00">
            <w:pPr>
              <w:tabs>
                <w:tab w:val="left" w:pos="70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sym w:font="Wingdings 2" w:char="00A3"/>
            </w:r>
            <w:r>
              <w:rPr>
                <w:rFonts w:hint="eastAsia" w:ascii="宋体" w:hAnsi="宋体" w:cs="宋体"/>
                <w:color w:val="auto"/>
                <w:szCs w:val="21"/>
                <w:highlight w:val="none"/>
              </w:rPr>
              <w:t xml:space="preserve">监狱企业     </w:t>
            </w:r>
            <w:r>
              <w:rPr>
                <w:rFonts w:hint="eastAsia" w:ascii="宋体" w:hAnsi="宋体" w:cs="宋体"/>
                <w:color w:val="auto"/>
                <w:szCs w:val="21"/>
                <w:highlight w:val="none"/>
              </w:rPr>
              <w:sym w:font="Wingdings 2" w:char="00A3"/>
            </w:r>
            <w:r>
              <w:rPr>
                <w:rFonts w:hint="eastAsia" w:ascii="宋体" w:hAnsi="宋体" w:cs="宋体"/>
                <w:color w:val="auto"/>
                <w:szCs w:val="21"/>
                <w:highlight w:val="none"/>
              </w:rPr>
              <w:t xml:space="preserve">残疾人福利性单位      </w:t>
            </w:r>
            <w:r>
              <w:rPr>
                <w:rFonts w:hint="eastAsia" w:ascii="宋体" w:hAnsi="宋体" w:cs="宋体"/>
                <w:color w:val="auto"/>
                <w:szCs w:val="21"/>
                <w:highlight w:val="none"/>
              </w:rPr>
              <w:sym w:font="Wingdings 2" w:char="00A3"/>
            </w:r>
            <w:r>
              <w:rPr>
                <w:rFonts w:hint="eastAsia" w:ascii="宋体" w:hAnsi="宋体" w:cs="宋体"/>
                <w:color w:val="auto"/>
                <w:szCs w:val="21"/>
                <w:highlight w:val="none"/>
              </w:rPr>
              <w:t>其他</w:t>
            </w:r>
          </w:p>
        </w:tc>
      </w:tr>
      <w:tr w14:paraId="6271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top w:val="single" w:color="auto" w:sz="4" w:space="0"/>
              <w:left w:val="single" w:color="auto" w:sz="4" w:space="0"/>
              <w:bottom w:val="single" w:color="auto" w:sz="4" w:space="0"/>
              <w:right w:val="single" w:color="auto" w:sz="4" w:space="0"/>
            </w:tcBorders>
            <w:noWrap w:val="0"/>
            <w:vAlign w:val="center"/>
          </w:tcPr>
          <w:p w14:paraId="400634F2">
            <w:pPr>
              <w:widowControl/>
              <w:adjustRightInd w:val="0"/>
              <w:snapToGrid w:val="0"/>
              <w:spacing w:line="500" w:lineRule="exact"/>
              <w:jc w:val="center"/>
              <w:rPr>
                <w:rFonts w:hint="eastAsia" w:ascii="宋体" w:hAnsi="宋体" w:cs="宋体"/>
                <w:color w:val="auto"/>
                <w:szCs w:val="21"/>
                <w:highlight w:val="none"/>
              </w:rPr>
            </w:pP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3CADD032">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乙方地址</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5B36BDA0">
            <w:pPr>
              <w:tabs>
                <w:tab w:val="left" w:pos="700"/>
              </w:tabs>
              <w:adjustRightInd w:val="0"/>
              <w:snapToGrid w:val="0"/>
              <w:spacing w:line="500" w:lineRule="exact"/>
              <w:jc w:val="left"/>
              <w:rPr>
                <w:rFonts w:hint="eastAsia" w:ascii="宋体" w:hAnsi="宋体" w:cs="宋体"/>
                <w:color w:val="auto"/>
                <w:szCs w:val="21"/>
                <w:highlight w:val="none"/>
              </w:rPr>
            </w:pPr>
          </w:p>
        </w:tc>
      </w:tr>
      <w:tr w14:paraId="641A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top w:val="single" w:color="auto" w:sz="4" w:space="0"/>
              <w:left w:val="single" w:color="auto" w:sz="4" w:space="0"/>
              <w:bottom w:val="single" w:color="auto" w:sz="4" w:space="0"/>
              <w:right w:val="single" w:color="auto" w:sz="4" w:space="0"/>
            </w:tcBorders>
            <w:noWrap w:val="0"/>
            <w:vAlign w:val="center"/>
          </w:tcPr>
          <w:p w14:paraId="3C705F01">
            <w:pPr>
              <w:widowControl/>
              <w:adjustRightInd w:val="0"/>
              <w:snapToGrid w:val="0"/>
              <w:spacing w:line="500" w:lineRule="exact"/>
              <w:jc w:val="center"/>
              <w:rPr>
                <w:rFonts w:hint="eastAsia" w:ascii="宋体" w:hAnsi="宋体" w:cs="宋体"/>
                <w:color w:val="auto"/>
                <w:szCs w:val="21"/>
                <w:highlight w:val="none"/>
              </w:rPr>
            </w:pP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09942521">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乙方联系人</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2130D1E4">
            <w:pPr>
              <w:tabs>
                <w:tab w:val="left" w:pos="700"/>
              </w:tabs>
              <w:adjustRightInd w:val="0"/>
              <w:snapToGrid w:val="0"/>
              <w:spacing w:line="500" w:lineRule="exact"/>
              <w:jc w:val="left"/>
              <w:rPr>
                <w:rFonts w:hint="eastAsia" w:ascii="宋体" w:hAnsi="宋体" w:cs="宋体"/>
                <w:color w:val="auto"/>
                <w:szCs w:val="21"/>
                <w:highlight w:val="none"/>
              </w:rPr>
            </w:pPr>
          </w:p>
        </w:tc>
      </w:tr>
      <w:tr w14:paraId="124A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top w:val="single" w:color="auto" w:sz="4" w:space="0"/>
              <w:left w:val="single" w:color="auto" w:sz="4" w:space="0"/>
              <w:bottom w:val="single" w:color="auto" w:sz="4" w:space="0"/>
              <w:right w:val="single" w:color="auto" w:sz="4" w:space="0"/>
            </w:tcBorders>
            <w:noWrap w:val="0"/>
            <w:vAlign w:val="center"/>
          </w:tcPr>
          <w:p w14:paraId="79739FE0">
            <w:pPr>
              <w:widowControl/>
              <w:adjustRightInd w:val="0"/>
              <w:snapToGrid w:val="0"/>
              <w:spacing w:line="500" w:lineRule="exact"/>
              <w:jc w:val="center"/>
              <w:rPr>
                <w:rFonts w:hint="eastAsia" w:ascii="宋体" w:hAnsi="宋体" w:cs="宋体"/>
                <w:color w:val="auto"/>
                <w:szCs w:val="21"/>
                <w:highlight w:val="none"/>
              </w:rPr>
            </w:pP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26508145">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2F968301">
            <w:pPr>
              <w:tabs>
                <w:tab w:val="left" w:pos="700"/>
              </w:tabs>
              <w:adjustRightInd w:val="0"/>
              <w:snapToGrid w:val="0"/>
              <w:spacing w:line="500" w:lineRule="exact"/>
              <w:jc w:val="left"/>
              <w:rPr>
                <w:rFonts w:hint="eastAsia" w:ascii="宋体" w:hAnsi="宋体" w:cs="宋体"/>
                <w:color w:val="auto"/>
                <w:szCs w:val="21"/>
                <w:highlight w:val="none"/>
              </w:rPr>
            </w:pPr>
          </w:p>
        </w:tc>
      </w:tr>
      <w:tr w14:paraId="0C3B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vMerge w:val="continue"/>
            <w:tcBorders>
              <w:top w:val="single" w:color="auto" w:sz="4" w:space="0"/>
              <w:left w:val="single" w:color="auto" w:sz="4" w:space="0"/>
              <w:bottom w:val="single" w:color="auto" w:sz="4" w:space="0"/>
              <w:right w:val="single" w:color="auto" w:sz="4" w:space="0"/>
            </w:tcBorders>
            <w:noWrap w:val="0"/>
            <w:vAlign w:val="center"/>
          </w:tcPr>
          <w:p w14:paraId="1CEEF525">
            <w:pPr>
              <w:widowControl/>
              <w:adjustRightInd w:val="0"/>
              <w:snapToGrid w:val="0"/>
              <w:spacing w:line="500" w:lineRule="exact"/>
              <w:jc w:val="center"/>
              <w:rPr>
                <w:rFonts w:hint="eastAsia" w:ascii="宋体" w:hAnsi="宋体" w:cs="宋体"/>
                <w:color w:val="auto"/>
                <w:szCs w:val="21"/>
                <w:highlight w:val="none"/>
              </w:rPr>
            </w:pP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428A3712">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传真</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57E04C04">
            <w:pPr>
              <w:tabs>
                <w:tab w:val="left" w:pos="700"/>
              </w:tabs>
              <w:adjustRightInd w:val="0"/>
              <w:snapToGrid w:val="0"/>
              <w:spacing w:line="500" w:lineRule="exact"/>
              <w:jc w:val="left"/>
              <w:rPr>
                <w:rFonts w:hint="eastAsia" w:ascii="宋体" w:hAnsi="宋体" w:cs="宋体"/>
                <w:color w:val="auto"/>
                <w:szCs w:val="21"/>
                <w:highlight w:val="none"/>
              </w:rPr>
            </w:pPr>
          </w:p>
        </w:tc>
      </w:tr>
      <w:tr w14:paraId="517AD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63E823B9">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72CA02EF">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合同金额</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1030FDF4">
            <w:pPr>
              <w:tabs>
                <w:tab w:val="left" w:pos="70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color w:val="auto"/>
                <w:szCs w:val="21"/>
                <w:highlight w:val="none"/>
              </w:rPr>
              <w:t>人民币________元整（¥___________）。</w:t>
            </w:r>
          </w:p>
        </w:tc>
      </w:tr>
      <w:tr w14:paraId="34F7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43A7F39C">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3E4028DF">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服务内容</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52F5E188">
            <w:pPr>
              <w:tabs>
                <w:tab w:val="left" w:pos="700"/>
              </w:tabs>
              <w:adjustRightInd w:val="0"/>
              <w:snapToGrid w:val="0"/>
              <w:spacing w:line="500" w:lineRule="exact"/>
              <w:jc w:val="left"/>
              <w:rPr>
                <w:rFonts w:hint="eastAsia" w:ascii="宋体" w:hAnsi="宋体" w:cs="宋体"/>
                <w:color w:val="auto"/>
                <w:highlight w:val="none"/>
              </w:rPr>
            </w:pPr>
            <w:r>
              <w:rPr>
                <w:rFonts w:hint="eastAsia" w:ascii="宋体" w:hAnsi="宋体" w:cs="宋体"/>
                <w:color w:val="auto"/>
                <w:highlight w:val="none"/>
              </w:rPr>
              <w:t>本合</w:t>
            </w:r>
            <w:r>
              <w:rPr>
                <w:rFonts w:hint="eastAsia" w:ascii="宋体" w:hAnsi="宋体" w:cs="宋体"/>
                <w:color w:val="auto"/>
                <w:szCs w:val="21"/>
                <w:highlight w:val="none"/>
              </w:rPr>
              <w:t>同服务内容为：</w:t>
            </w:r>
            <w:r>
              <w:rPr>
                <w:rFonts w:hint="eastAsia" w:ascii="宋体" w:hAnsi="宋体" w:cs="宋体"/>
                <w:bCs/>
                <w:color w:val="auto"/>
                <w:szCs w:val="21"/>
                <w:highlight w:val="none"/>
                <w:lang w:eastAsia="zh-CN"/>
              </w:rPr>
              <w:t>甘肃税务2026年税收大数据应用平台运维服务项目</w:t>
            </w:r>
            <w:r>
              <w:rPr>
                <w:rFonts w:hint="eastAsia" w:ascii="宋体" w:hAnsi="宋体" w:cs="宋体"/>
                <w:color w:val="auto"/>
                <w:highlight w:val="none"/>
              </w:rPr>
              <w:t>。</w:t>
            </w:r>
          </w:p>
        </w:tc>
      </w:tr>
      <w:tr w14:paraId="308B0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2FFC32DF">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5CC5CF4E">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合同付款</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1394DCC7">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采购完成后，采购人分3次支付款项，分别为：</w:t>
            </w:r>
          </w:p>
          <w:p w14:paraId="418DC65E">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第1次付款,采购合同签订后30日内，中标供应商开具增值税普通发票，采购人在收到发票后，原则上10个工作日内支付合同价款25%;</w:t>
            </w:r>
          </w:p>
          <w:p w14:paraId="0F5E6806">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第2次付款,在服务满9个月之日起30日内，中标供应商开具增值税普通发票，采购人在收到发票后，原则上10个工作日内支付合同总价款50%;</w:t>
            </w:r>
          </w:p>
          <w:p w14:paraId="16426030">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第3次付款,在完成全部服务项目并通过验收后30日内，中标供应商开具增值税普通发票，采购人在收到发票后，原则上10个工作日内支付合同剩余款项。</w:t>
            </w:r>
          </w:p>
          <w:p w14:paraId="16836B7C">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（如遇国家税务总局政策调整，采购人可提前终止合同，费用按照实际发生金额结算）</w:t>
            </w:r>
          </w:p>
          <w:p w14:paraId="3C0BC37B">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（1）中标人为联合体的，款项支付给《联合体投标协议书》中指定牵头人。</w:t>
            </w:r>
          </w:p>
          <w:p w14:paraId="4361AFD6">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（2）收款方、出具发票方、合同供应商均需与中标供应商名称一致。</w:t>
            </w:r>
          </w:p>
          <w:p w14:paraId="77880DBF">
            <w:pPr>
              <w:pStyle w:val="68"/>
              <w:ind w:firstLine="0" w:firstLineChars="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（3）如遇不可抗力因素（包括但不限于国家政策调整、系统故障、招标人未开账）导致招标人无法完成付款的，招标人付款义务顺延，自不可抗力因素消除，中标投标人开具并向招标人提交增值税普通发票后 10 个工作日内结算款项。如遇国家税务总局政策调整，采购人可提前终止合同，费用按照实际发生金额结算。</w:t>
            </w:r>
          </w:p>
        </w:tc>
      </w:tr>
      <w:tr w14:paraId="4A76C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670FB0C9">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7239253B">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履约保证金及返还</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6F4D81F4">
            <w:pPr>
              <w:tabs>
                <w:tab w:val="left" w:pos="700"/>
              </w:tabs>
              <w:adjustRightInd w:val="0"/>
              <w:snapToGrid w:val="0"/>
              <w:spacing w:line="500" w:lineRule="exact"/>
              <w:jc w:val="left"/>
              <w:rPr>
                <w:rFonts w:hint="eastAsia" w:ascii="宋体" w:hAnsi="宋体" w:cs="宋体"/>
                <w:color w:val="auto"/>
                <w:szCs w:val="21"/>
                <w:highlight w:val="none"/>
              </w:rPr>
            </w:pPr>
            <w:r>
              <w:rPr>
                <w:rFonts w:hint="eastAsia" w:ascii="宋体" w:hAnsi="宋体" w:cs="宋体"/>
                <w:caps/>
                <w:snapToGrid w:val="0"/>
                <w:color w:val="auto"/>
                <w:szCs w:val="21"/>
                <w:highlight w:val="none"/>
              </w:rPr>
              <w:sym w:font="Wingdings 2" w:char="F052"/>
            </w:r>
            <w:r>
              <w:rPr>
                <w:rFonts w:hint="eastAsia" w:ascii="宋体" w:hAnsi="宋体" w:cs="宋体"/>
                <w:color w:val="auto"/>
                <w:szCs w:val="21"/>
                <w:highlight w:val="none"/>
              </w:rPr>
              <w:t>本项目不要求提供履约保证金。</w:t>
            </w:r>
          </w:p>
        </w:tc>
      </w:tr>
      <w:tr w14:paraId="2DA82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430251CE">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69B19C54">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合同履行期限</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0B082559">
            <w:pPr>
              <w:pStyle w:val="62"/>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bCs w:val="0"/>
                <w:color w:val="auto"/>
                <w:spacing w:val="0"/>
                <w:kern w:val="2"/>
                <w:sz w:val="21"/>
                <w:szCs w:val="21"/>
                <w:highlight w:val="none"/>
                <w:lang w:val="en-US" w:eastAsia="en-US" w:bidi="ar-SA"/>
              </w:rPr>
              <w:t>自合同约定生效之日起一年</w:t>
            </w:r>
          </w:p>
        </w:tc>
      </w:tr>
      <w:tr w14:paraId="4A19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447BCA5D">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17246E87">
            <w:pPr>
              <w:tabs>
                <w:tab w:val="left" w:pos="700"/>
              </w:tabs>
              <w:adjustRightInd w:val="0"/>
              <w:snapToGrid w:val="0"/>
              <w:spacing w:line="500" w:lineRule="exact"/>
              <w:jc w:val="center"/>
              <w:rPr>
                <w:rFonts w:hint="eastAsia" w:ascii="宋体" w:hAnsi="宋体" w:cs="宋体"/>
                <w:color w:val="auto"/>
                <w:szCs w:val="21"/>
                <w:highlight w:val="none"/>
                <w:lang w:val="en"/>
              </w:rPr>
            </w:pPr>
            <w:r>
              <w:rPr>
                <w:rFonts w:hint="eastAsia" w:ascii="宋体" w:hAnsi="宋体" w:eastAsia="宋体" w:cs="宋体"/>
                <w:bCs w:val="0"/>
                <w:color w:val="auto"/>
                <w:spacing w:val="0"/>
                <w:kern w:val="2"/>
                <w:sz w:val="21"/>
                <w:szCs w:val="21"/>
                <w:highlight w:val="none"/>
                <w:lang w:val="en-US" w:eastAsia="zh-CN" w:bidi="ar-SA"/>
              </w:rPr>
              <w:t>上线实施服务期限</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5BE331E5">
            <w:pPr>
              <w:tabs>
                <w:tab w:val="left" w:pos="700"/>
              </w:tabs>
              <w:adjustRightInd w:val="0"/>
              <w:snapToGrid w:val="0"/>
              <w:spacing w:line="500" w:lineRule="exact"/>
              <w:jc w:val="left"/>
              <w:rPr>
                <w:rFonts w:hint="default" w:ascii="宋体" w:hAnsi="宋体" w:eastAsia="宋体" w:cs="宋体"/>
                <w:color w:val="auto"/>
                <w:szCs w:val="21"/>
                <w:highlight w:val="none"/>
                <w:lang w:val="en-US" w:eastAsia="zh-CN"/>
              </w:rPr>
            </w:pPr>
            <w:r>
              <w:rPr>
                <w:rFonts w:hint="eastAsia" w:ascii="宋体" w:hAnsi="宋体" w:eastAsia="宋体" w:cs="宋体"/>
                <w:bCs w:val="0"/>
                <w:color w:val="auto"/>
                <w:spacing w:val="0"/>
                <w:kern w:val="2"/>
                <w:sz w:val="21"/>
                <w:szCs w:val="21"/>
                <w:highlight w:val="none"/>
                <w:lang w:val="en-US" w:eastAsia="en-US" w:bidi="ar-SA"/>
              </w:rPr>
              <w:t>自合同约定生效之日起一年</w:t>
            </w:r>
          </w:p>
        </w:tc>
      </w:tr>
      <w:tr w14:paraId="33BC9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357B7B8B">
            <w:pPr>
              <w:tabs>
                <w:tab w:val="left" w:pos="700"/>
              </w:tabs>
              <w:adjustRightInd w:val="0"/>
              <w:snapToGrid w:val="0"/>
              <w:spacing w:line="5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7671C8D3">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合同履约地点</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37385120">
            <w:pPr>
              <w:tabs>
                <w:tab w:val="left" w:pos="700"/>
              </w:tabs>
              <w:adjustRightInd w:val="0"/>
              <w:snapToGrid w:val="0"/>
              <w:spacing w:line="500" w:lineRule="exact"/>
              <w:jc w:val="left"/>
              <w:rPr>
                <w:rFonts w:hint="eastAsia" w:ascii="宋体" w:hAnsi="宋体" w:eastAsia="宋体" w:cs="宋体"/>
                <w:color w:val="auto"/>
                <w:szCs w:val="21"/>
                <w:highlight w:val="none"/>
                <w:lang w:eastAsia="zh-CN"/>
              </w:rPr>
            </w:pPr>
            <w:r>
              <w:rPr>
                <w:rFonts w:hint="eastAsia" w:ascii="宋体" w:hAnsi="宋体" w:cs="宋体"/>
                <w:bCs/>
                <w:color w:val="auto"/>
                <w:szCs w:val="21"/>
                <w:highlight w:val="none"/>
                <w:lang w:eastAsia="zh-CN"/>
              </w:rPr>
              <w:t>国家税务总局甘肃省税务局指定场所</w:t>
            </w:r>
          </w:p>
        </w:tc>
      </w:tr>
      <w:tr w14:paraId="78BF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01702E76">
            <w:pPr>
              <w:tabs>
                <w:tab w:val="left" w:pos="700"/>
              </w:tabs>
              <w:adjustRightInd w:val="0"/>
              <w:snapToGrid w:val="0"/>
              <w:spacing w:line="500" w:lineRule="exact"/>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14</w:t>
            </w:r>
          </w:p>
        </w:tc>
        <w:tc>
          <w:tcPr>
            <w:tcW w:w="1959" w:type="dxa"/>
            <w:gridSpan w:val="2"/>
            <w:tcBorders>
              <w:top w:val="single" w:color="auto" w:sz="4" w:space="0"/>
              <w:left w:val="single" w:color="auto" w:sz="4" w:space="0"/>
              <w:bottom w:val="single" w:color="auto" w:sz="4" w:space="0"/>
              <w:right w:val="single" w:color="auto" w:sz="4" w:space="0"/>
            </w:tcBorders>
            <w:noWrap w:val="0"/>
            <w:vAlign w:val="center"/>
          </w:tcPr>
          <w:p w14:paraId="4E824BF5">
            <w:pPr>
              <w:tabs>
                <w:tab w:val="left" w:pos="700"/>
              </w:tabs>
              <w:adjustRightInd w:val="0"/>
              <w:snapToGrid w:val="0"/>
              <w:spacing w:line="5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合同纠纷解决方式</w:t>
            </w:r>
          </w:p>
        </w:tc>
        <w:tc>
          <w:tcPr>
            <w:tcW w:w="6264" w:type="dxa"/>
            <w:tcBorders>
              <w:top w:val="single" w:color="auto" w:sz="4" w:space="0"/>
              <w:left w:val="single" w:color="auto" w:sz="4" w:space="0"/>
              <w:bottom w:val="single" w:color="auto" w:sz="4" w:space="0"/>
              <w:right w:val="single" w:color="auto" w:sz="4" w:space="0"/>
            </w:tcBorders>
            <w:noWrap w:val="0"/>
            <w:vAlign w:val="center"/>
          </w:tcPr>
          <w:p w14:paraId="77E3AEE2">
            <w:pPr>
              <w:pStyle w:val="53"/>
              <w:tabs>
                <w:tab w:val="left" w:pos="840"/>
              </w:tabs>
              <w:adjustRightInd w:val="0"/>
              <w:snapToGrid w:val="0"/>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甲乙双方应首先通过友好协商解决在执行本合同中所发生的或与本合同有关的一切争端。如从协商开始30天内仍不能解决，可以选择以下途径之一解决纠纷：</w:t>
            </w:r>
          </w:p>
          <w:p w14:paraId="7F1C4084">
            <w:pPr>
              <w:pStyle w:val="53"/>
              <w:tabs>
                <w:tab w:val="left" w:pos="840"/>
              </w:tabs>
              <w:adjustRightInd w:val="0"/>
              <w:snapToGrid w:val="0"/>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□向甲方所在地仲裁委员会或________仲裁委员会申请仲裁</w:t>
            </w:r>
          </w:p>
          <w:p w14:paraId="23A79EDF">
            <w:pPr>
              <w:pStyle w:val="53"/>
              <w:tabs>
                <w:tab w:val="left" w:pos="840"/>
              </w:tabs>
              <w:adjustRightInd w:val="0"/>
              <w:snapToGrid w:val="0"/>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☑向甲方所在地人民法院提起诉讼</w:t>
            </w:r>
          </w:p>
        </w:tc>
      </w:tr>
    </w:tbl>
    <w:p w14:paraId="495C7D75">
      <w:pPr>
        <w:pStyle w:val="4"/>
        <w:jc w:val="center"/>
        <w:rPr>
          <w:rFonts w:hint="eastAsia" w:ascii="宋体" w:hAnsi="宋体" w:cs="宋体"/>
          <w:color w:val="auto"/>
          <w:highlight w:val="none"/>
        </w:rPr>
      </w:pPr>
      <w:r>
        <w:rPr>
          <w:rFonts w:hint="eastAsia" w:ascii="宋体" w:hAnsi="宋体" w:cs="宋体"/>
          <w:color w:val="auto"/>
          <w:highlight w:val="none"/>
        </w:rPr>
        <w:br w:type="page"/>
      </w:r>
      <w:bookmarkStart w:id="827" w:name="_Toc164182257"/>
      <w:bookmarkStart w:id="828" w:name="_Toc12661"/>
      <w:bookmarkStart w:id="829" w:name="_Toc164681274"/>
      <w:bookmarkStart w:id="830" w:name="_Toc11128"/>
      <w:bookmarkStart w:id="831" w:name="_Toc164680676"/>
      <w:bookmarkStart w:id="832" w:name="_Toc12960"/>
      <w:bookmarkStart w:id="833" w:name="_Toc164181729"/>
      <w:bookmarkStart w:id="834" w:name="_Toc164182047"/>
      <w:bookmarkStart w:id="835" w:name="_Toc164680899"/>
      <w:bookmarkStart w:id="836" w:name="_Toc9777"/>
      <w:bookmarkStart w:id="837" w:name="_Toc164182753"/>
      <w:r>
        <w:rPr>
          <w:rFonts w:hint="eastAsia" w:ascii="宋体" w:hAnsi="宋体" w:eastAsia="宋体" w:cs="宋体"/>
          <w:color w:val="auto"/>
          <w:highlight w:val="none"/>
        </w:rPr>
        <w:t>一、合同</w:t>
      </w:r>
      <w:bookmarkEnd w:id="827"/>
      <w:bookmarkEnd w:id="828"/>
      <w:bookmarkEnd w:id="829"/>
      <w:bookmarkEnd w:id="830"/>
      <w:bookmarkEnd w:id="831"/>
      <w:bookmarkEnd w:id="832"/>
      <w:bookmarkEnd w:id="833"/>
      <w:bookmarkEnd w:id="834"/>
      <w:bookmarkEnd w:id="835"/>
      <w:bookmarkEnd w:id="836"/>
      <w:bookmarkEnd w:id="837"/>
    </w:p>
    <w:p w14:paraId="6F2C31D0">
      <w:pPr>
        <w:adjustRightInd w:val="0"/>
        <w:snapToGrid w:val="0"/>
        <w:spacing w:line="360" w:lineRule="auto"/>
        <w:ind w:firstLine="420" w:firstLineChars="200"/>
        <w:jc w:val="left"/>
        <w:rPr>
          <w:rFonts w:hint="eastAsia" w:ascii="宋体" w:hAnsi="宋体" w:cs="宋体"/>
          <w:color w:val="auto"/>
          <w:szCs w:val="18"/>
          <w:highlight w:val="none"/>
        </w:rPr>
      </w:pPr>
      <w:r>
        <w:rPr>
          <w:rFonts w:hint="eastAsia" w:ascii="宋体" w:hAnsi="宋体" w:cs="宋体"/>
          <w:color w:val="auto"/>
          <w:szCs w:val="18"/>
          <w:highlight w:val="none"/>
        </w:rPr>
        <w:t>国家税务总局甘肃省税务局（以下简称“甲方”）通过公开招标方式采购，确定______公司（以下简称“乙方”）为《</w:t>
      </w:r>
      <w:r>
        <w:rPr>
          <w:rFonts w:hint="eastAsia" w:ascii="宋体" w:hAnsi="宋体" w:cs="宋体"/>
          <w:color w:val="auto"/>
          <w:szCs w:val="18"/>
          <w:highlight w:val="none"/>
          <w:lang w:eastAsia="zh-CN"/>
        </w:rPr>
        <w:t>甘肃税务2026年税收大数据应用平台运维服务项目</w:t>
      </w:r>
      <w:r>
        <w:rPr>
          <w:rFonts w:hint="eastAsia" w:ascii="宋体" w:hAnsi="宋体" w:cs="宋体"/>
          <w:color w:val="auto"/>
          <w:szCs w:val="18"/>
          <w:highlight w:val="none"/>
        </w:rPr>
        <w:t>》中标（成交）供应商。甲乙双方同意按照该项目招标（采购）文件约定的内容，签署《</w:t>
      </w:r>
      <w:r>
        <w:rPr>
          <w:rFonts w:hint="eastAsia" w:ascii="宋体" w:hAnsi="宋体" w:cs="宋体"/>
          <w:color w:val="auto"/>
          <w:szCs w:val="18"/>
          <w:highlight w:val="none"/>
          <w:lang w:eastAsia="zh-CN"/>
        </w:rPr>
        <w:t>甘肃税务2026年税收大数据应用平台运维服务项目</w:t>
      </w:r>
      <w:r>
        <w:rPr>
          <w:rFonts w:hint="eastAsia" w:ascii="宋体" w:hAnsi="宋体" w:cs="宋体"/>
          <w:color w:val="auto"/>
          <w:szCs w:val="18"/>
          <w:highlight w:val="none"/>
        </w:rPr>
        <w:t>合同书》（合同编号：</w:t>
      </w:r>
      <w:r>
        <w:rPr>
          <w:rFonts w:hint="eastAsia" w:ascii="宋体" w:hAnsi="宋体" w:cs="宋体"/>
          <w:color w:val="auto"/>
          <w:szCs w:val="18"/>
          <w:highlight w:val="none"/>
          <w:lang w:eastAsia="zh-CN"/>
        </w:rPr>
        <w:t>GS2026-DLGK-C0024-B00</w:t>
      </w:r>
      <w:r>
        <w:rPr>
          <w:rFonts w:hint="eastAsia" w:ascii="宋体" w:hAnsi="宋体" w:cs="宋体"/>
          <w:color w:val="auto"/>
          <w:szCs w:val="18"/>
          <w:highlight w:val="none"/>
        </w:rPr>
        <w:t>-</w:t>
      </w:r>
      <w:r>
        <w:rPr>
          <w:rFonts w:hint="eastAsia" w:ascii="宋体" w:hAnsi="宋体" w:cs="宋体"/>
          <w:color w:val="auto"/>
          <w:szCs w:val="18"/>
          <w:highlight w:val="none"/>
          <w:lang w:val="en-US" w:eastAsia="zh-CN"/>
        </w:rPr>
        <w:t>HT</w:t>
      </w:r>
      <w:r>
        <w:rPr>
          <w:rFonts w:hint="eastAsia" w:ascii="宋体" w:hAnsi="宋体" w:cs="宋体"/>
          <w:color w:val="auto"/>
          <w:szCs w:val="18"/>
          <w:highlight w:val="none"/>
        </w:rPr>
        <w:t>，以下简称“合同”）。</w:t>
      </w:r>
    </w:p>
    <w:p w14:paraId="37AD1B3F">
      <w:pPr>
        <w:pStyle w:val="5"/>
        <w:rPr>
          <w:rFonts w:hint="eastAsia" w:ascii="宋体" w:hAnsi="宋体" w:cs="宋体"/>
          <w:color w:val="auto"/>
          <w:sz w:val="21"/>
          <w:szCs w:val="18"/>
          <w:highlight w:val="none"/>
        </w:rPr>
      </w:pPr>
      <w:bookmarkStart w:id="838" w:name="_Toc27061"/>
      <w:bookmarkStart w:id="839" w:name="_Toc6366"/>
      <w:bookmarkStart w:id="840" w:name="_Toc164680900"/>
      <w:bookmarkStart w:id="841" w:name="_Toc164681275"/>
      <w:bookmarkStart w:id="842" w:name="_Toc164181730"/>
      <w:bookmarkStart w:id="843" w:name="_Toc32045"/>
      <w:bookmarkStart w:id="844" w:name="_Toc164182754"/>
      <w:bookmarkStart w:id="845" w:name="_Toc164182048"/>
      <w:bookmarkStart w:id="846" w:name="_Toc14761"/>
      <w:bookmarkStart w:id="847" w:name="_Toc164182422"/>
      <w:bookmarkStart w:id="848" w:name="_Toc164680677"/>
      <w:bookmarkStart w:id="849" w:name="_Toc164182258"/>
      <w:r>
        <w:rPr>
          <w:rFonts w:hint="eastAsia" w:ascii="宋体" w:hAnsi="宋体" w:cs="宋体"/>
          <w:color w:val="auto"/>
          <w:sz w:val="21"/>
          <w:szCs w:val="18"/>
          <w:highlight w:val="none"/>
        </w:rPr>
        <w:t>1</w:t>
      </w:r>
      <w:r>
        <w:rPr>
          <w:rFonts w:hint="eastAsia" w:ascii="宋体" w:hAnsi="宋体" w:cs="宋体"/>
          <w:caps/>
          <w:color w:val="auto"/>
          <w:sz w:val="21"/>
          <w:szCs w:val="16"/>
          <w:highlight w:val="none"/>
        </w:rPr>
        <w:t>．</w:t>
      </w:r>
      <w:r>
        <w:rPr>
          <w:rFonts w:hint="eastAsia" w:ascii="宋体" w:hAnsi="宋体" w:cs="宋体"/>
          <w:color w:val="auto"/>
          <w:sz w:val="21"/>
          <w:szCs w:val="18"/>
          <w:highlight w:val="none"/>
        </w:rPr>
        <w:t>合同文件</w:t>
      </w:r>
      <w:bookmarkEnd w:id="838"/>
      <w:bookmarkEnd w:id="839"/>
      <w:bookmarkEnd w:id="840"/>
      <w:bookmarkEnd w:id="841"/>
      <w:bookmarkEnd w:id="842"/>
      <w:bookmarkEnd w:id="843"/>
      <w:bookmarkEnd w:id="844"/>
      <w:bookmarkEnd w:id="845"/>
      <w:bookmarkEnd w:id="846"/>
      <w:bookmarkEnd w:id="847"/>
      <w:bookmarkEnd w:id="848"/>
      <w:bookmarkEnd w:id="849"/>
    </w:p>
    <w:p w14:paraId="1CA977C0">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本合同所附下列文件是构成本合同不可分割的部分：</w:t>
      </w:r>
    </w:p>
    <w:p w14:paraId="1E57016C">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（1）合同通用条款；</w:t>
      </w:r>
    </w:p>
    <w:p w14:paraId="185413E3">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（2）报价表（总报价表和分项报价表）；</w:t>
      </w:r>
    </w:p>
    <w:p w14:paraId="6612880B">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（3）招标（采购）文件；</w:t>
      </w:r>
    </w:p>
    <w:p w14:paraId="3B824BD5">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（4）投标（响应）文件。</w:t>
      </w:r>
    </w:p>
    <w:p w14:paraId="0DE449BD">
      <w:pPr>
        <w:pStyle w:val="5"/>
        <w:rPr>
          <w:rFonts w:hint="eastAsia" w:ascii="宋体" w:hAnsi="宋体" w:cs="宋体"/>
          <w:color w:val="auto"/>
          <w:sz w:val="21"/>
          <w:szCs w:val="18"/>
          <w:highlight w:val="none"/>
        </w:rPr>
      </w:pPr>
      <w:bookmarkStart w:id="850" w:name="_Toc164182049"/>
      <w:bookmarkStart w:id="851" w:name="_Toc26216"/>
      <w:bookmarkStart w:id="852" w:name="_Toc164182423"/>
      <w:bookmarkStart w:id="853" w:name="_Toc164680901"/>
      <w:bookmarkStart w:id="854" w:name="_Toc164181731"/>
      <w:bookmarkStart w:id="855" w:name="_Toc164681276"/>
      <w:bookmarkStart w:id="856" w:name="_Toc164182755"/>
      <w:bookmarkStart w:id="857" w:name="_Toc164182259"/>
      <w:bookmarkStart w:id="858" w:name="_Toc6782"/>
      <w:bookmarkStart w:id="859" w:name="_Toc29804"/>
      <w:bookmarkStart w:id="860" w:name="_Toc17464"/>
      <w:bookmarkStart w:id="861" w:name="_Toc164680678"/>
      <w:r>
        <w:rPr>
          <w:rFonts w:hint="eastAsia" w:ascii="宋体" w:hAnsi="宋体" w:cs="宋体"/>
          <w:color w:val="auto"/>
          <w:sz w:val="21"/>
          <w:szCs w:val="18"/>
          <w:highlight w:val="none"/>
        </w:rPr>
        <w:t>2．合同范围和条件</w:t>
      </w:r>
      <w:bookmarkEnd w:id="850"/>
      <w:bookmarkEnd w:id="851"/>
      <w:bookmarkEnd w:id="852"/>
      <w:bookmarkEnd w:id="853"/>
      <w:bookmarkEnd w:id="854"/>
      <w:bookmarkEnd w:id="855"/>
      <w:bookmarkEnd w:id="856"/>
      <w:bookmarkEnd w:id="857"/>
      <w:bookmarkEnd w:id="858"/>
      <w:bookmarkEnd w:id="859"/>
      <w:bookmarkEnd w:id="860"/>
      <w:bookmarkEnd w:id="861"/>
    </w:p>
    <w:p w14:paraId="41015112">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本合同的范围和条件应与上述合同文件的规定相一致。</w:t>
      </w:r>
    </w:p>
    <w:p w14:paraId="0F70B4F6">
      <w:pPr>
        <w:pStyle w:val="5"/>
        <w:rPr>
          <w:rFonts w:hint="eastAsia" w:ascii="宋体" w:hAnsi="宋体" w:cs="宋体"/>
          <w:color w:val="auto"/>
          <w:sz w:val="21"/>
          <w:szCs w:val="18"/>
          <w:highlight w:val="none"/>
        </w:rPr>
      </w:pPr>
      <w:bookmarkStart w:id="862" w:name="_Toc28457"/>
      <w:bookmarkStart w:id="863" w:name="_Toc164182260"/>
      <w:bookmarkStart w:id="864" w:name="_Toc164182050"/>
      <w:bookmarkStart w:id="865" w:name="_Toc164680902"/>
      <w:bookmarkStart w:id="866" w:name="_Toc164182756"/>
      <w:bookmarkStart w:id="867" w:name="_Toc164681277"/>
      <w:bookmarkStart w:id="868" w:name="_Toc164181732"/>
      <w:bookmarkStart w:id="869" w:name="_Toc164680679"/>
      <w:bookmarkStart w:id="870" w:name="_Toc164182424"/>
      <w:bookmarkStart w:id="871" w:name="_Toc5308"/>
      <w:bookmarkStart w:id="872" w:name="_Toc11887"/>
      <w:bookmarkStart w:id="873" w:name="_Toc26615"/>
      <w:r>
        <w:rPr>
          <w:rFonts w:hint="eastAsia" w:ascii="宋体" w:hAnsi="宋体" w:cs="宋体"/>
          <w:color w:val="auto"/>
          <w:sz w:val="21"/>
          <w:szCs w:val="18"/>
          <w:highlight w:val="none"/>
        </w:rPr>
        <w:t>3．合同金额</w:t>
      </w:r>
      <w:bookmarkEnd w:id="862"/>
      <w:bookmarkEnd w:id="863"/>
      <w:bookmarkEnd w:id="864"/>
      <w:bookmarkEnd w:id="865"/>
      <w:bookmarkEnd w:id="866"/>
      <w:bookmarkEnd w:id="867"/>
      <w:bookmarkEnd w:id="868"/>
      <w:bookmarkEnd w:id="869"/>
      <w:bookmarkEnd w:id="870"/>
      <w:bookmarkEnd w:id="871"/>
      <w:bookmarkEnd w:id="872"/>
      <w:bookmarkEnd w:id="873"/>
    </w:p>
    <w:p w14:paraId="1F3C9ECB">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本合同金额为人民币________元整（¥__________）。</w:t>
      </w:r>
    </w:p>
    <w:p w14:paraId="58B81FA7">
      <w:pPr>
        <w:pStyle w:val="5"/>
        <w:rPr>
          <w:rFonts w:hint="eastAsia" w:ascii="宋体" w:hAnsi="宋体" w:cs="宋体"/>
          <w:color w:val="auto"/>
          <w:sz w:val="21"/>
          <w:szCs w:val="18"/>
          <w:highlight w:val="none"/>
        </w:rPr>
      </w:pPr>
      <w:bookmarkStart w:id="874" w:name="_Toc164681278"/>
      <w:bookmarkStart w:id="875" w:name="_Toc164680680"/>
      <w:bookmarkStart w:id="876" w:name="_Toc164182261"/>
      <w:bookmarkStart w:id="877" w:name="_Toc164182757"/>
      <w:bookmarkStart w:id="878" w:name="_Toc164680903"/>
      <w:bookmarkStart w:id="879" w:name="_Toc1378"/>
      <w:bookmarkStart w:id="880" w:name="_Toc164182051"/>
      <w:bookmarkStart w:id="881" w:name="_Toc22501"/>
      <w:bookmarkStart w:id="882" w:name="_Toc19144"/>
      <w:bookmarkStart w:id="883" w:name="_Toc164182425"/>
      <w:bookmarkStart w:id="884" w:name="_Toc164181733"/>
      <w:bookmarkStart w:id="885" w:name="_Toc9482"/>
      <w:r>
        <w:rPr>
          <w:rFonts w:hint="eastAsia" w:ascii="宋体" w:hAnsi="宋体" w:cs="宋体"/>
          <w:color w:val="auto"/>
          <w:sz w:val="21"/>
          <w:szCs w:val="18"/>
          <w:highlight w:val="none"/>
        </w:rPr>
        <w:t>4．付款条件</w:t>
      </w:r>
      <w:bookmarkEnd w:id="874"/>
      <w:bookmarkEnd w:id="875"/>
      <w:bookmarkEnd w:id="876"/>
      <w:bookmarkEnd w:id="877"/>
      <w:bookmarkEnd w:id="878"/>
      <w:bookmarkEnd w:id="879"/>
      <w:bookmarkEnd w:id="880"/>
      <w:bookmarkEnd w:id="881"/>
      <w:bookmarkEnd w:id="882"/>
      <w:bookmarkEnd w:id="883"/>
      <w:bookmarkEnd w:id="884"/>
      <w:bookmarkEnd w:id="885"/>
    </w:p>
    <w:p w14:paraId="4779ED63">
      <w:pPr>
        <w:adjustRightInd w:val="0"/>
        <w:snapToGrid w:val="0"/>
        <w:spacing w:line="360" w:lineRule="auto"/>
        <w:ind w:firstLine="420" w:firstLineChars="200"/>
        <w:rPr>
          <w:rFonts w:hint="eastAsia" w:ascii="宋体" w:hAnsi="宋体" w:cs="宋体"/>
          <w:color w:val="auto"/>
          <w:sz w:val="21"/>
          <w:szCs w:val="18"/>
          <w:highlight w:val="none"/>
          <w:lang w:eastAsia="zh-CN"/>
        </w:rPr>
      </w:pPr>
      <w:bookmarkStart w:id="886" w:name="_Toc164680904"/>
      <w:bookmarkStart w:id="887" w:name="_Toc14144"/>
      <w:bookmarkStart w:id="888" w:name="_Toc164182052"/>
      <w:bookmarkStart w:id="889" w:name="_Toc16117"/>
      <w:bookmarkStart w:id="890" w:name="_Toc164182426"/>
      <w:bookmarkStart w:id="891" w:name="_Toc164181734"/>
      <w:bookmarkStart w:id="892" w:name="_Toc164182262"/>
      <w:bookmarkStart w:id="893" w:name="_Toc20702"/>
      <w:bookmarkStart w:id="894" w:name="_Toc164182758"/>
      <w:bookmarkStart w:id="895" w:name="_Toc1250"/>
      <w:bookmarkStart w:id="896" w:name="_Toc164680681"/>
      <w:bookmarkStart w:id="897" w:name="_Toc164681279"/>
      <w:r>
        <w:rPr>
          <w:rFonts w:hint="eastAsia" w:ascii="宋体" w:hAnsi="宋体" w:cs="宋体"/>
          <w:color w:val="auto"/>
          <w:sz w:val="21"/>
          <w:szCs w:val="18"/>
          <w:highlight w:val="none"/>
          <w:lang w:eastAsia="zh-CN"/>
        </w:rPr>
        <w:t>采购完成后，采购人分3次支付款项，分别为：</w:t>
      </w:r>
    </w:p>
    <w:p w14:paraId="76C9A61D">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第1次付款,采购合同签订后30日内，中标供应商开具增值税普通发票，采购人在收到发票后，原则上10个工作日内支付合同价款25%;</w:t>
      </w:r>
    </w:p>
    <w:p w14:paraId="26D8CB59">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第2次付款,在服务满9个月之日起30日内，中标供应商开具增值税普通发票，采购人在收到发票后，原则上10个工作日内支付合同总价款50%;</w:t>
      </w:r>
    </w:p>
    <w:p w14:paraId="7C85F750">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第3次付款,在完成全部服务项目并通过验收后30日内，中标供应商开具增值税普通发票，采购人在收到发票后，原则上10个工作日内支付合同剩余款项。</w:t>
      </w:r>
    </w:p>
    <w:p w14:paraId="1C8FE65B">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（如遇国家税务总局政策调整，采购人可提前终止合同，费用按照实际发生金额结算）</w:t>
      </w:r>
    </w:p>
    <w:p w14:paraId="0033B122">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（1）中标人为联合体的，款项支付给《联合体投标协议书》中指定牵头人。</w:t>
      </w:r>
    </w:p>
    <w:p w14:paraId="72C6A313">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（2）收款方、出具发票方、合同供应商均需与中标供应商名称一致。</w:t>
      </w:r>
    </w:p>
    <w:p w14:paraId="073F17B1">
      <w:pPr>
        <w:adjustRightInd w:val="0"/>
        <w:snapToGrid w:val="0"/>
        <w:spacing w:line="360" w:lineRule="auto"/>
        <w:ind w:firstLine="420" w:firstLineChars="200"/>
        <w:rPr>
          <w:rFonts w:hint="eastAsia"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（3）如遇不可抗力因素（包括但不限于国家政策调整、系统故障、招标人未开账）导致招标人无法完成付款的，招标人付款义务顺延，自不可抗力因素消除，中标投标人开具并向招标人提交增值税普通发票后 10 个工作日内结算款项。如遇国家税务总局政策调整，采购人可提前终止合同，费用按照实际发生金额结算。</w:t>
      </w:r>
    </w:p>
    <w:p w14:paraId="39F39292">
      <w:pPr>
        <w:pStyle w:val="5"/>
        <w:spacing w:line="240" w:lineRule="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5.履约验收</w:t>
      </w:r>
    </w:p>
    <w:p w14:paraId="52229941">
      <w:pPr>
        <w:adjustRightInd w:val="0"/>
        <w:snapToGrid w:val="0"/>
        <w:spacing w:line="360" w:lineRule="auto"/>
        <w:ind w:firstLine="420" w:firstLineChars="200"/>
        <w:rPr>
          <w:rFonts w:hint="eastAsia" w:ascii="宋体" w:hAnsi="宋体" w:eastAsia="宋体" w:cs="宋体"/>
          <w:color w:val="auto"/>
          <w:szCs w:val="18"/>
          <w:highlight w:val="none"/>
        </w:rPr>
      </w:pP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lang w:val="en-US" w:eastAsia="zh-CN"/>
        </w:rPr>
        <w:t>1</w:t>
      </w: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rPr>
        <w:t>总体要求。 项目验收工作以本项目合同书、验收前双方确认的补充工作需求书等为依据。通过对项目进行验收，验证项目工作成果是否符合要求，功能实现的正确性及运行安全可靠性。通过项目验收工作，发现工作过程中存在的、潜在的问题，最大限度保证项目工程质量。</w:t>
      </w:r>
    </w:p>
    <w:p w14:paraId="2CBC9C2D">
      <w:pPr>
        <w:adjustRightInd w:val="0"/>
        <w:snapToGrid w:val="0"/>
        <w:spacing w:line="360" w:lineRule="auto"/>
        <w:ind w:firstLine="420" w:firstLineChars="200"/>
        <w:rPr>
          <w:rFonts w:hint="eastAsia" w:ascii="宋体" w:hAnsi="宋体" w:eastAsia="宋体" w:cs="宋体"/>
          <w:color w:val="auto"/>
          <w:szCs w:val="18"/>
          <w:highlight w:val="none"/>
        </w:rPr>
      </w:pP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lang w:val="en-US" w:eastAsia="zh-CN"/>
        </w:rPr>
        <w:t>2</w:t>
      </w: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rPr>
        <w:t>人员安排。验收工作由采购人组织实施，由验收参与方（采购人、供应商、第三方）等共同完成，验收工作按采购人要求进行。供应商应配合完成项目的验收工作，提交项目验收相关产出物，经项目单位确认后进行项目验收。</w:t>
      </w:r>
    </w:p>
    <w:p w14:paraId="1F24B480">
      <w:pPr>
        <w:adjustRightInd w:val="0"/>
        <w:snapToGrid w:val="0"/>
        <w:spacing w:line="360" w:lineRule="auto"/>
        <w:ind w:firstLine="420" w:firstLineChars="200"/>
        <w:rPr>
          <w:rFonts w:hint="eastAsia" w:ascii="宋体" w:hAnsi="宋体" w:eastAsia="宋体" w:cs="宋体"/>
          <w:color w:val="auto"/>
          <w:szCs w:val="18"/>
          <w:highlight w:val="none"/>
        </w:rPr>
      </w:pP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lang w:val="en-US" w:eastAsia="zh-CN"/>
        </w:rPr>
        <w:t>3</w:t>
      </w: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rPr>
        <w:t>验收依据。项目验收工作以本项目合同书、验收前双方确认的补充工作需求书等为依据。供应商提供的各类文档应内容完整、描述清晰、版本最新，各类方案要求实现目标明确、工作措施得力、可操作性强、具有前瞻性。产出物应提供电子和纸质两种介质，并保持版本一致。对验收中发现的问题，供应商应提出有效解决办法和措施，经采购人确认后实施。</w:t>
      </w:r>
    </w:p>
    <w:p w14:paraId="3E7D5B7A">
      <w:pPr>
        <w:adjustRightInd w:val="0"/>
        <w:snapToGrid w:val="0"/>
        <w:spacing w:line="360" w:lineRule="auto"/>
        <w:ind w:firstLine="420" w:firstLineChars="200"/>
        <w:rPr>
          <w:rFonts w:hint="eastAsia" w:ascii="宋体" w:hAnsi="宋体" w:eastAsia="宋体" w:cs="宋体"/>
          <w:color w:val="auto"/>
          <w:szCs w:val="18"/>
          <w:highlight w:val="none"/>
        </w:rPr>
      </w:pP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lang w:val="en-US" w:eastAsia="zh-CN"/>
        </w:rPr>
        <w:t>4</w:t>
      </w:r>
      <w:r>
        <w:rPr>
          <w:rFonts w:hint="eastAsia" w:ascii="宋体" w:hAnsi="宋体" w:eastAsia="宋体" w:cs="宋体"/>
          <w:color w:val="auto"/>
          <w:szCs w:val="18"/>
          <w:highlight w:val="none"/>
          <w:lang w:eastAsia="zh-CN"/>
        </w:rPr>
        <w:t>）</w:t>
      </w:r>
      <w:r>
        <w:rPr>
          <w:rFonts w:hint="eastAsia" w:ascii="宋体" w:hAnsi="宋体" w:eastAsia="宋体" w:cs="宋体"/>
          <w:color w:val="auto"/>
          <w:szCs w:val="18"/>
          <w:highlight w:val="none"/>
        </w:rPr>
        <w:t>验收流程。验收工作由采购人组织实施，由验收参与方（采购人、供应商、第三方）等共同完成，验收工作按采购人要求进行；供应商应配合完成项目的验收工作，提交相关产出物，经项目单位确认后进行项目验收；采购人组织进行项目验收评审会议，对项目工作内容及文档进行验收评审。通过验收工作发现工作过程中存在的、潜在的问题，最大限度保障项目工程质量。</w:t>
      </w:r>
    </w:p>
    <w:p w14:paraId="3A052186">
      <w:pPr>
        <w:pStyle w:val="5"/>
        <w:rPr>
          <w:rFonts w:hint="eastAsia" w:ascii="宋体" w:hAnsi="宋体" w:cs="宋体"/>
          <w:color w:val="auto"/>
          <w:sz w:val="21"/>
          <w:szCs w:val="18"/>
          <w:highlight w:val="none"/>
        </w:rPr>
      </w:pPr>
      <w:r>
        <w:rPr>
          <w:rFonts w:hint="eastAsia" w:ascii="宋体" w:hAnsi="宋体" w:cs="宋体"/>
          <w:color w:val="auto"/>
          <w:sz w:val="21"/>
          <w:szCs w:val="18"/>
          <w:highlight w:val="none"/>
        </w:rPr>
        <w:t>6.合同签订及生效</w:t>
      </w:r>
      <w:bookmarkEnd w:id="886"/>
      <w:bookmarkEnd w:id="887"/>
      <w:bookmarkEnd w:id="888"/>
      <w:bookmarkEnd w:id="889"/>
      <w:bookmarkEnd w:id="890"/>
      <w:bookmarkEnd w:id="891"/>
      <w:bookmarkEnd w:id="892"/>
      <w:bookmarkEnd w:id="893"/>
      <w:bookmarkEnd w:id="894"/>
      <w:bookmarkEnd w:id="895"/>
      <w:bookmarkEnd w:id="896"/>
      <w:bookmarkEnd w:id="897"/>
    </w:p>
    <w:p w14:paraId="726F9271">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本合同一式</w:t>
      </w:r>
      <w:r>
        <w:rPr>
          <w:rFonts w:hint="eastAsia" w:ascii="宋体" w:hAnsi="宋体" w:cs="宋体"/>
          <w:color w:val="auto"/>
          <w:szCs w:val="18"/>
          <w:highlight w:val="none"/>
          <w:lang w:val="en-US" w:eastAsia="zh-CN"/>
        </w:rPr>
        <w:t>伍</w:t>
      </w:r>
      <w:r>
        <w:rPr>
          <w:rFonts w:hint="eastAsia" w:ascii="宋体" w:hAnsi="宋体" w:cs="宋体"/>
          <w:color w:val="auto"/>
          <w:szCs w:val="18"/>
          <w:highlight w:val="none"/>
        </w:rPr>
        <w:t>份，甲方执</w:t>
      </w:r>
      <w:r>
        <w:rPr>
          <w:rFonts w:hint="eastAsia" w:ascii="宋体" w:hAnsi="宋体" w:cs="宋体"/>
          <w:color w:val="auto"/>
          <w:szCs w:val="18"/>
          <w:highlight w:val="none"/>
          <w:lang w:val="en-US" w:eastAsia="zh-CN"/>
        </w:rPr>
        <w:t>叁</w:t>
      </w:r>
      <w:r>
        <w:rPr>
          <w:rFonts w:hint="eastAsia" w:ascii="宋体" w:hAnsi="宋体" w:cs="宋体"/>
          <w:color w:val="auto"/>
          <w:szCs w:val="18"/>
          <w:highlight w:val="none"/>
        </w:rPr>
        <w:t>份，乙方执</w:t>
      </w:r>
      <w:r>
        <w:rPr>
          <w:rFonts w:hint="eastAsia" w:ascii="宋体" w:hAnsi="宋体" w:cs="宋体"/>
          <w:color w:val="auto"/>
          <w:szCs w:val="18"/>
          <w:highlight w:val="none"/>
          <w:lang w:val="en-US" w:eastAsia="zh-CN"/>
        </w:rPr>
        <w:t>贰</w:t>
      </w:r>
      <w:r>
        <w:rPr>
          <w:rFonts w:hint="eastAsia" w:ascii="宋体" w:hAnsi="宋体" w:cs="宋体"/>
          <w:color w:val="auto"/>
          <w:szCs w:val="18"/>
          <w:highlight w:val="none"/>
        </w:rPr>
        <w:t>份。由甲乙双方法定代表人或被授权人签字并盖章后生效。</w:t>
      </w:r>
    </w:p>
    <w:p w14:paraId="4FE72FDC">
      <w:pPr>
        <w:adjustRightInd w:val="0"/>
        <w:snapToGrid w:val="0"/>
        <w:spacing w:line="360" w:lineRule="auto"/>
        <w:ind w:firstLine="420" w:firstLineChars="200"/>
        <w:rPr>
          <w:rFonts w:hint="eastAsia" w:ascii="宋体" w:hAnsi="宋体" w:cs="宋体"/>
          <w:color w:val="auto"/>
          <w:szCs w:val="18"/>
          <w:highlight w:val="none"/>
        </w:rPr>
      </w:pPr>
      <w:r>
        <w:rPr>
          <w:rFonts w:hint="eastAsia" w:ascii="宋体" w:hAnsi="宋体" w:cs="宋体"/>
          <w:color w:val="auto"/>
          <w:szCs w:val="18"/>
          <w:highlight w:val="none"/>
        </w:rPr>
        <w:t>乙方由法定代表人签订合同的，应提供法定代表人身份证复印件；乙方由被授权人签订合同的，应提供授权委托书和法定代表人及被授权人身份证复印件。</w:t>
      </w:r>
    </w:p>
    <w:p w14:paraId="2F5EFAC3">
      <w:pPr>
        <w:rPr>
          <w:rFonts w:hint="eastAsia" w:ascii="宋体" w:hAnsi="宋体" w:cs="宋体"/>
          <w:color w:val="auto"/>
          <w:sz w:val="24"/>
          <w:szCs w:val="21"/>
          <w:highlight w:val="none"/>
        </w:rPr>
      </w:pPr>
    </w:p>
    <w:p w14:paraId="7D89A187">
      <w:pPr>
        <w:rPr>
          <w:rFonts w:hint="eastAsia" w:ascii="宋体" w:hAnsi="宋体" w:cs="宋体"/>
          <w:color w:val="auto"/>
          <w:sz w:val="24"/>
          <w:szCs w:val="21"/>
          <w:highlight w:val="none"/>
        </w:rPr>
      </w:pPr>
    </w:p>
    <w:p w14:paraId="3FEADB5D">
      <w:pPr>
        <w:rPr>
          <w:rFonts w:hint="eastAsia" w:ascii="宋体" w:hAnsi="宋体" w:cs="宋体"/>
          <w:color w:val="auto"/>
          <w:sz w:val="24"/>
          <w:szCs w:val="21"/>
          <w:highlight w:val="none"/>
        </w:rPr>
      </w:pPr>
    </w:p>
    <w:p w14:paraId="53B2D830">
      <w:pPr>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r>
    </w:p>
    <w:p w14:paraId="41F28ABD">
      <w:pPr>
        <w:rPr>
          <w:rFonts w:hint="eastAsia" w:ascii="宋体" w:hAnsi="宋体" w:cs="宋体"/>
          <w:color w:val="auto"/>
          <w:szCs w:val="18"/>
          <w:highlight w:val="none"/>
        </w:rPr>
      </w:pPr>
      <w:r>
        <w:rPr>
          <w:rFonts w:hint="eastAsia" w:ascii="宋体" w:hAnsi="宋体" w:cs="宋体"/>
          <w:color w:val="auto"/>
          <w:szCs w:val="18"/>
          <w:highlight w:val="none"/>
        </w:rPr>
        <w:t>以下无正文</w:t>
      </w:r>
    </w:p>
    <w:tbl>
      <w:tblPr>
        <w:tblStyle w:val="31"/>
        <w:tblW w:w="8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2"/>
        <w:gridCol w:w="4196"/>
      </w:tblGrid>
      <w:tr w14:paraId="6A115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112" w:type="dxa"/>
            <w:noWrap w:val="0"/>
            <w:vAlign w:val="top"/>
          </w:tcPr>
          <w:p w14:paraId="79434530">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甲方：</w:t>
            </w:r>
            <w:r>
              <w:rPr>
                <w:rFonts w:hint="eastAsia" w:ascii="宋体" w:hAnsi="宋体" w:cs="宋体"/>
                <w:caps/>
                <w:color w:val="auto"/>
                <w:szCs w:val="21"/>
                <w:highlight w:val="none"/>
              </w:rPr>
              <w:fldChar w:fldCharType="begin"/>
            </w:r>
            <w:r>
              <w:rPr>
                <w:rFonts w:hint="eastAsia" w:ascii="宋体" w:hAnsi="宋体" w:cs="宋体"/>
                <w:caps/>
                <w:color w:val="auto"/>
                <w:szCs w:val="21"/>
                <w:highlight w:val="none"/>
              </w:rPr>
              <w:instrText xml:space="preserve"> REF 采购人 \h  \* MERGEFORMAT </w:instrText>
            </w:r>
            <w:r>
              <w:rPr>
                <w:rFonts w:hint="eastAsia" w:ascii="宋体" w:hAnsi="宋体" w:cs="宋体"/>
                <w:caps/>
                <w:color w:val="auto"/>
                <w:szCs w:val="21"/>
                <w:highlight w:val="none"/>
              </w:rPr>
              <w:fldChar w:fldCharType="separate"/>
            </w:r>
            <w:r>
              <w:rPr>
                <w:rFonts w:hint="eastAsia" w:ascii="宋体" w:hAnsi="宋体" w:cs="宋体"/>
                <w:caps/>
                <w:color w:val="auto"/>
                <w:szCs w:val="21"/>
                <w:highlight w:val="none"/>
              </w:rPr>
              <w:t>国家税务总局甘肃省税务局</w:t>
            </w:r>
            <w:r>
              <w:rPr>
                <w:rFonts w:hint="eastAsia" w:ascii="宋体" w:hAnsi="宋体" w:cs="宋体"/>
                <w:caps/>
                <w:color w:val="auto"/>
                <w:szCs w:val="21"/>
                <w:highlight w:val="none"/>
              </w:rPr>
              <w:fldChar w:fldCharType="end"/>
            </w:r>
          </w:p>
        </w:tc>
        <w:tc>
          <w:tcPr>
            <w:tcW w:w="4196" w:type="dxa"/>
            <w:noWrap w:val="0"/>
            <w:vAlign w:val="top"/>
          </w:tcPr>
          <w:p w14:paraId="311F36C5">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乙方：</w:t>
            </w:r>
          </w:p>
        </w:tc>
      </w:tr>
      <w:tr w14:paraId="5BE9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4112" w:type="dxa"/>
            <w:noWrap w:val="0"/>
            <w:vAlign w:val="top"/>
          </w:tcPr>
          <w:p w14:paraId="24A61791">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（盖章）</w:t>
            </w:r>
          </w:p>
        </w:tc>
        <w:tc>
          <w:tcPr>
            <w:tcW w:w="4196" w:type="dxa"/>
            <w:noWrap w:val="0"/>
            <w:vAlign w:val="top"/>
          </w:tcPr>
          <w:p w14:paraId="5D5608B0">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（盖章）</w:t>
            </w:r>
          </w:p>
        </w:tc>
      </w:tr>
      <w:tr w14:paraId="4A008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4112" w:type="dxa"/>
            <w:noWrap w:val="0"/>
            <w:vAlign w:val="top"/>
          </w:tcPr>
          <w:p w14:paraId="1A045E24">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法定代表人</w:t>
            </w:r>
          </w:p>
          <w:p w14:paraId="2E3DFC07">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或授权委托人</w:t>
            </w:r>
          </w:p>
          <w:p w14:paraId="6BA99DD2">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（签字或盖章）：</w:t>
            </w:r>
          </w:p>
          <w:p w14:paraId="0999E6EC">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 xml:space="preserve">                     年    月    日</w:t>
            </w:r>
          </w:p>
        </w:tc>
        <w:tc>
          <w:tcPr>
            <w:tcW w:w="4196" w:type="dxa"/>
            <w:noWrap w:val="0"/>
            <w:vAlign w:val="top"/>
          </w:tcPr>
          <w:p w14:paraId="7023A7C7">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法定代表人</w:t>
            </w:r>
          </w:p>
          <w:p w14:paraId="5767E1F1">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或授权委托人</w:t>
            </w:r>
          </w:p>
          <w:p w14:paraId="53F8EAA0">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（签字或盖章）：</w:t>
            </w:r>
          </w:p>
          <w:p w14:paraId="4AD8C993">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 xml:space="preserve">                     年    月    日</w:t>
            </w:r>
          </w:p>
        </w:tc>
      </w:tr>
      <w:tr w14:paraId="34A7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4112" w:type="dxa"/>
            <w:noWrap w:val="0"/>
            <w:vAlign w:val="top"/>
          </w:tcPr>
          <w:p w14:paraId="6C73D2CE">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经办人</w:t>
            </w:r>
          </w:p>
          <w:p w14:paraId="1D0C01DF">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（签字或盖章）：</w:t>
            </w:r>
          </w:p>
          <w:p w14:paraId="776C4E69">
            <w:pPr>
              <w:adjustRightInd w:val="0"/>
              <w:snapToGrid w:val="0"/>
              <w:spacing w:before="156" w:beforeLines="50" w:line="276" w:lineRule="auto"/>
              <w:rPr>
                <w:rFonts w:hint="eastAsia" w:ascii="宋体" w:hAnsi="宋体" w:cs="宋体"/>
                <w:caps/>
                <w:color w:val="auto"/>
                <w:szCs w:val="21"/>
                <w:highlight w:val="none"/>
              </w:rPr>
            </w:pPr>
          </w:p>
          <w:p w14:paraId="041FD2C6">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 xml:space="preserve">                    年    月    日</w:t>
            </w:r>
          </w:p>
        </w:tc>
        <w:tc>
          <w:tcPr>
            <w:tcW w:w="4196" w:type="dxa"/>
            <w:noWrap w:val="0"/>
            <w:vAlign w:val="top"/>
          </w:tcPr>
          <w:p w14:paraId="2EBA91EF">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经办人</w:t>
            </w:r>
          </w:p>
          <w:p w14:paraId="57530FC4">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（签字或盖章）：</w:t>
            </w:r>
          </w:p>
          <w:p w14:paraId="53069206">
            <w:pPr>
              <w:adjustRightInd w:val="0"/>
              <w:snapToGrid w:val="0"/>
              <w:spacing w:before="156" w:beforeLines="50" w:line="276" w:lineRule="auto"/>
              <w:rPr>
                <w:rFonts w:hint="eastAsia" w:ascii="宋体" w:hAnsi="宋体" w:cs="宋体"/>
                <w:caps/>
                <w:color w:val="auto"/>
                <w:szCs w:val="21"/>
                <w:highlight w:val="none"/>
              </w:rPr>
            </w:pPr>
          </w:p>
          <w:p w14:paraId="528A0F70">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 xml:space="preserve">                       年    月    日</w:t>
            </w:r>
          </w:p>
        </w:tc>
      </w:tr>
      <w:tr w14:paraId="309C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4112" w:type="dxa"/>
            <w:noWrap w:val="0"/>
            <w:vAlign w:val="top"/>
          </w:tcPr>
          <w:p w14:paraId="0F67B087">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开户行：</w:t>
            </w:r>
          </w:p>
          <w:p w14:paraId="259CC23A">
            <w:pPr>
              <w:adjustRightInd w:val="0"/>
              <w:snapToGrid w:val="0"/>
              <w:spacing w:before="156" w:beforeLines="50" w:line="276" w:lineRule="auto"/>
              <w:rPr>
                <w:rFonts w:hint="eastAsia" w:ascii="宋体" w:hAnsi="宋体" w:cs="宋体"/>
                <w:caps/>
                <w:color w:val="auto"/>
                <w:szCs w:val="21"/>
                <w:highlight w:val="none"/>
              </w:rPr>
            </w:pPr>
          </w:p>
          <w:p w14:paraId="491F45E6">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账  号：</w:t>
            </w:r>
          </w:p>
          <w:p w14:paraId="3A8E6247">
            <w:pPr>
              <w:adjustRightInd w:val="0"/>
              <w:snapToGrid w:val="0"/>
              <w:spacing w:before="156" w:beforeLines="50" w:line="276" w:lineRule="auto"/>
              <w:rPr>
                <w:rFonts w:hint="eastAsia" w:ascii="宋体" w:hAnsi="宋体" w:cs="宋体"/>
                <w:caps/>
                <w:color w:val="auto"/>
                <w:szCs w:val="21"/>
                <w:highlight w:val="none"/>
              </w:rPr>
            </w:pPr>
          </w:p>
        </w:tc>
        <w:tc>
          <w:tcPr>
            <w:tcW w:w="4196" w:type="dxa"/>
            <w:noWrap w:val="0"/>
            <w:vAlign w:val="top"/>
          </w:tcPr>
          <w:p w14:paraId="1ED616C2">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开户行：</w:t>
            </w:r>
          </w:p>
          <w:p w14:paraId="5CFA7D7E">
            <w:pPr>
              <w:adjustRightInd w:val="0"/>
              <w:snapToGrid w:val="0"/>
              <w:spacing w:before="156" w:beforeLines="50" w:line="276" w:lineRule="auto"/>
              <w:rPr>
                <w:rFonts w:hint="eastAsia" w:ascii="宋体" w:hAnsi="宋体" w:cs="宋体"/>
                <w:caps/>
                <w:color w:val="auto"/>
                <w:szCs w:val="21"/>
                <w:highlight w:val="none"/>
              </w:rPr>
            </w:pPr>
          </w:p>
          <w:p w14:paraId="03F02AE8">
            <w:pPr>
              <w:adjustRightInd w:val="0"/>
              <w:snapToGrid w:val="0"/>
              <w:spacing w:before="156" w:beforeLines="50" w:line="276" w:lineRule="auto"/>
              <w:rPr>
                <w:rFonts w:hint="eastAsia" w:ascii="宋体" w:hAnsi="宋体" w:cs="宋体"/>
                <w:caps/>
                <w:color w:val="auto"/>
                <w:szCs w:val="21"/>
                <w:highlight w:val="none"/>
              </w:rPr>
            </w:pPr>
            <w:r>
              <w:rPr>
                <w:rFonts w:hint="eastAsia" w:ascii="宋体" w:hAnsi="宋体" w:cs="宋体"/>
                <w:caps/>
                <w:color w:val="auto"/>
                <w:szCs w:val="21"/>
                <w:highlight w:val="none"/>
              </w:rPr>
              <w:t>账  号：</w:t>
            </w:r>
          </w:p>
          <w:p w14:paraId="3C0100F9">
            <w:pPr>
              <w:adjustRightInd w:val="0"/>
              <w:snapToGrid w:val="0"/>
              <w:spacing w:before="156" w:beforeLines="50" w:line="276" w:lineRule="auto"/>
              <w:rPr>
                <w:rFonts w:hint="eastAsia" w:ascii="宋体" w:hAnsi="宋体" w:cs="宋体"/>
                <w:caps/>
                <w:color w:val="auto"/>
                <w:szCs w:val="21"/>
                <w:highlight w:val="none"/>
              </w:rPr>
            </w:pPr>
          </w:p>
        </w:tc>
      </w:tr>
    </w:tbl>
    <w:p w14:paraId="00C3043E">
      <w:pPr>
        <w:rPr>
          <w:rFonts w:hint="eastAsia" w:ascii="宋体" w:hAnsi="宋体" w:cs="宋体"/>
          <w:color w:val="auto"/>
          <w:highlight w:val="none"/>
        </w:rPr>
      </w:pPr>
    </w:p>
    <w:p w14:paraId="7DFFD9E1">
      <w:pPr>
        <w:rPr>
          <w:rFonts w:hint="eastAsia" w:ascii="宋体" w:hAnsi="宋体" w:cs="宋体"/>
          <w:color w:val="auto"/>
          <w:highlight w:val="none"/>
        </w:rPr>
      </w:pPr>
    </w:p>
    <w:p w14:paraId="01507393">
      <w:pPr>
        <w:rPr>
          <w:rFonts w:hint="eastAsia" w:ascii="宋体" w:hAnsi="宋体" w:cs="宋体"/>
          <w:color w:val="auto"/>
          <w:highlight w:val="none"/>
        </w:rPr>
      </w:pPr>
    </w:p>
    <w:p w14:paraId="2B267261">
      <w:pPr>
        <w:pStyle w:val="26"/>
        <w:ind w:firstLine="240"/>
        <w:rPr>
          <w:rFonts w:hint="eastAsia" w:ascii="宋体" w:hAnsi="宋体" w:cs="宋体"/>
          <w:color w:val="auto"/>
          <w:highlight w:val="none"/>
        </w:rPr>
      </w:pPr>
    </w:p>
    <w:p w14:paraId="11A59CA0">
      <w:pPr>
        <w:rPr>
          <w:rFonts w:hint="eastAsia" w:ascii="宋体" w:hAnsi="宋体" w:cs="宋体"/>
          <w:color w:val="auto"/>
          <w:highlight w:val="none"/>
        </w:rPr>
      </w:pPr>
    </w:p>
    <w:p w14:paraId="70D66F71">
      <w:pPr>
        <w:rPr>
          <w:rFonts w:hint="eastAsia" w:ascii="宋体" w:hAnsi="宋体" w:cs="宋体"/>
          <w:color w:val="auto"/>
          <w:highlight w:val="none"/>
        </w:rPr>
      </w:pPr>
    </w:p>
    <w:p w14:paraId="2803B9D1">
      <w:pPr>
        <w:rPr>
          <w:rFonts w:hint="eastAsia" w:ascii="宋体" w:hAnsi="宋体" w:cs="宋体"/>
          <w:color w:val="auto"/>
          <w:highlight w:val="none"/>
        </w:rPr>
      </w:pPr>
    </w:p>
    <w:p w14:paraId="372DA065">
      <w:pPr>
        <w:rPr>
          <w:rFonts w:hint="eastAsia" w:ascii="宋体" w:hAnsi="宋体" w:cs="宋体"/>
          <w:color w:val="auto"/>
          <w:highlight w:val="none"/>
        </w:rPr>
      </w:pPr>
    </w:p>
    <w:p w14:paraId="604CCEA9">
      <w:pPr>
        <w:rPr>
          <w:rFonts w:hint="eastAsia" w:ascii="宋体" w:hAnsi="宋体" w:cs="宋体"/>
          <w:color w:val="auto"/>
          <w:highlight w:val="none"/>
        </w:rPr>
      </w:pPr>
    </w:p>
    <w:p w14:paraId="24A5AF87">
      <w:pPr>
        <w:rPr>
          <w:rFonts w:hint="eastAsia" w:ascii="宋体" w:hAnsi="宋体" w:cs="宋体"/>
          <w:color w:val="auto"/>
          <w:highlight w:val="none"/>
        </w:rPr>
      </w:pPr>
    </w:p>
    <w:p w14:paraId="3CD59344">
      <w:pPr>
        <w:rPr>
          <w:rFonts w:hint="eastAsia" w:ascii="宋体" w:hAnsi="宋体" w:cs="宋体"/>
          <w:color w:val="auto"/>
          <w:highlight w:val="none"/>
        </w:rPr>
      </w:pPr>
    </w:p>
    <w:p w14:paraId="363B305F">
      <w:pPr>
        <w:rPr>
          <w:rFonts w:hint="eastAsia" w:ascii="宋体" w:hAnsi="宋体" w:cs="宋体"/>
          <w:color w:val="auto"/>
          <w:highlight w:val="none"/>
        </w:rPr>
      </w:pPr>
    </w:p>
    <w:p w14:paraId="11D31841">
      <w:pPr>
        <w:rPr>
          <w:rFonts w:hint="eastAsia" w:ascii="宋体" w:hAnsi="宋体" w:cs="宋体"/>
          <w:color w:val="auto"/>
          <w:highlight w:val="none"/>
        </w:rPr>
      </w:pPr>
    </w:p>
    <w:p w14:paraId="419C0BF1">
      <w:pPr>
        <w:pStyle w:val="4"/>
        <w:jc w:val="center"/>
        <w:rPr>
          <w:rFonts w:hint="eastAsia" w:ascii="宋体" w:hAnsi="宋体" w:cs="宋体"/>
          <w:color w:val="auto"/>
          <w:highlight w:val="none"/>
        </w:rPr>
      </w:pPr>
      <w:bookmarkStart w:id="898" w:name="_Toc164182263"/>
      <w:bookmarkStart w:id="899" w:name="_Toc164681280"/>
      <w:bookmarkStart w:id="900" w:name="_Toc164680905"/>
      <w:bookmarkStart w:id="901" w:name="_Toc7469"/>
      <w:bookmarkStart w:id="902" w:name="_Toc164181735"/>
      <w:bookmarkStart w:id="903" w:name="_Toc21084"/>
      <w:bookmarkStart w:id="904" w:name="_Toc21314"/>
      <w:bookmarkStart w:id="905" w:name="_Toc164182053"/>
      <w:bookmarkStart w:id="906" w:name="_Toc18470"/>
      <w:bookmarkStart w:id="907" w:name="_Toc164680682"/>
      <w:bookmarkStart w:id="908" w:name="_Toc838"/>
      <w:bookmarkStart w:id="909" w:name="_Toc164182759"/>
      <w:r>
        <w:rPr>
          <w:rFonts w:hint="eastAsia" w:ascii="宋体" w:hAnsi="宋体" w:cs="宋体"/>
          <w:color w:val="auto"/>
          <w:highlight w:val="none"/>
        </w:rPr>
        <w:br w:type="page"/>
      </w:r>
      <w:r>
        <w:rPr>
          <w:rFonts w:hint="eastAsia" w:ascii="宋体" w:hAnsi="宋体" w:cs="宋体"/>
          <w:color w:val="auto"/>
          <w:highlight w:val="none"/>
        </w:rPr>
        <w:t>二、合同通用条款</w:t>
      </w:r>
      <w:bookmarkEnd w:id="898"/>
      <w:bookmarkEnd w:id="899"/>
      <w:bookmarkEnd w:id="900"/>
      <w:bookmarkEnd w:id="901"/>
      <w:bookmarkEnd w:id="902"/>
      <w:bookmarkEnd w:id="903"/>
      <w:bookmarkEnd w:id="904"/>
      <w:bookmarkEnd w:id="905"/>
      <w:bookmarkEnd w:id="906"/>
      <w:bookmarkEnd w:id="907"/>
      <w:bookmarkEnd w:id="908"/>
      <w:bookmarkEnd w:id="909"/>
    </w:p>
    <w:p w14:paraId="042804CE">
      <w:pPr>
        <w:pStyle w:val="5"/>
        <w:rPr>
          <w:rFonts w:hint="eastAsia" w:ascii="宋体" w:hAnsi="宋体" w:cs="宋体"/>
          <w:color w:val="auto"/>
          <w:sz w:val="21"/>
          <w:highlight w:val="none"/>
        </w:rPr>
      </w:pPr>
      <w:bookmarkStart w:id="910" w:name="_Toc164182760"/>
      <w:bookmarkStart w:id="911" w:name="_Toc29195"/>
      <w:bookmarkStart w:id="912" w:name="_Toc164680906"/>
      <w:bookmarkStart w:id="913" w:name="_Toc164681281"/>
      <w:bookmarkStart w:id="914" w:name="_Toc164181736"/>
      <w:bookmarkStart w:id="915" w:name="_Toc13216"/>
      <w:bookmarkStart w:id="916" w:name="_Toc164182054"/>
      <w:bookmarkStart w:id="917" w:name="_Toc29842"/>
      <w:bookmarkStart w:id="918" w:name="_Toc9194"/>
      <w:bookmarkStart w:id="919" w:name="_Toc164680683"/>
      <w:bookmarkStart w:id="920" w:name="_Toc164182264"/>
      <w:bookmarkStart w:id="921" w:name="_Toc164182428"/>
      <w:r>
        <w:rPr>
          <w:rFonts w:hint="eastAsia" w:ascii="宋体" w:hAnsi="宋体" w:cs="宋体"/>
          <w:color w:val="auto"/>
          <w:sz w:val="21"/>
          <w:highlight w:val="none"/>
        </w:rPr>
        <w:t>1．定义</w:t>
      </w:r>
      <w:bookmarkEnd w:id="910"/>
      <w:bookmarkEnd w:id="911"/>
      <w:bookmarkEnd w:id="912"/>
      <w:bookmarkEnd w:id="913"/>
      <w:bookmarkEnd w:id="914"/>
      <w:bookmarkEnd w:id="915"/>
      <w:bookmarkEnd w:id="916"/>
      <w:bookmarkEnd w:id="917"/>
      <w:bookmarkEnd w:id="918"/>
      <w:bookmarkEnd w:id="919"/>
      <w:bookmarkEnd w:id="920"/>
      <w:bookmarkEnd w:id="921"/>
    </w:p>
    <w:p w14:paraId="1863E60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本合同下列术语应解释为：</w:t>
      </w:r>
    </w:p>
    <w:p w14:paraId="50DB35C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 “甲方”是指</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REF 采购人 \h  \* MERGEFORMAT </w:instrText>
      </w:r>
      <w:r>
        <w:rPr>
          <w:rFonts w:hint="eastAsia" w:ascii="宋体" w:hAnsi="宋体" w:cs="宋体"/>
          <w:color w:val="auto"/>
          <w:szCs w:val="21"/>
          <w:highlight w:val="none"/>
        </w:rPr>
        <w:fldChar w:fldCharType="separate"/>
      </w:r>
      <w:r>
        <w:rPr>
          <w:rFonts w:hint="eastAsia" w:ascii="宋体" w:hAnsi="宋体" w:cs="宋体"/>
          <w:caps/>
          <w:color w:val="auto"/>
          <w:szCs w:val="21"/>
          <w:highlight w:val="none"/>
        </w:rPr>
        <w:t>国家税务总局甘肃省税务局</w:t>
      </w:r>
      <w:r>
        <w:rPr>
          <w:rFonts w:hint="eastAsia" w:ascii="宋体" w:hAnsi="宋体" w:cs="宋体"/>
          <w:color w:val="auto"/>
          <w:szCs w:val="21"/>
          <w:highlight w:val="none"/>
        </w:rPr>
        <w:fldChar w:fldCharType="end"/>
      </w:r>
      <w:r>
        <w:rPr>
          <w:rFonts w:hint="eastAsia" w:ascii="宋体" w:hAnsi="宋体" w:cs="宋体"/>
          <w:color w:val="auto"/>
          <w:szCs w:val="21"/>
          <w:highlight w:val="none"/>
        </w:rPr>
        <w:t>。</w:t>
      </w:r>
    </w:p>
    <w:p w14:paraId="169EAFE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1.1.1“甲方采购部门”见“合同条款前附表”第5项“甲方采购部门”。</w:t>
      </w:r>
    </w:p>
    <w:p w14:paraId="3965320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1.1.2“甲方需求部门”见“合同条款前附表”第5项“甲方需求部门”。</w:t>
      </w:r>
    </w:p>
    <w:p w14:paraId="503D487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 “乙方”见“合同条款前附表”第6项“乙方名称”。</w:t>
      </w:r>
    </w:p>
    <w:p w14:paraId="51373BE7">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 “合同”系指甲乙双方签订的、合同格式中载明的甲乙双方所达成的协议，包括所有的附件、附录和上述文件所提到的构成合同的所有文件。</w:t>
      </w:r>
    </w:p>
    <w:p w14:paraId="02965407">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 “天”除非特别指出，“天”均为自然天。</w:t>
      </w:r>
    </w:p>
    <w:p w14:paraId="1BB672CE">
      <w:pPr>
        <w:pStyle w:val="5"/>
        <w:rPr>
          <w:rFonts w:hint="eastAsia" w:ascii="宋体" w:hAnsi="宋体" w:cs="宋体"/>
          <w:color w:val="auto"/>
          <w:sz w:val="21"/>
          <w:highlight w:val="none"/>
        </w:rPr>
      </w:pPr>
      <w:bookmarkStart w:id="922" w:name="_Toc14356"/>
      <w:bookmarkStart w:id="923" w:name="_Toc164680684"/>
      <w:bookmarkStart w:id="924" w:name="_Toc164182761"/>
      <w:bookmarkStart w:id="925" w:name="_Toc164182265"/>
      <w:bookmarkStart w:id="926" w:name="_Toc5645"/>
      <w:bookmarkStart w:id="927" w:name="_Toc164182055"/>
      <w:bookmarkStart w:id="928" w:name="_Toc164182429"/>
      <w:bookmarkStart w:id="929" w:name="_Toc164681282"/>
      <w:bookmarkStart w:id="930" w:name="_Toc12476"/>
      <w:bookmarkStart w:id="931" w:name="_Toc164680907"/>
      <w:bookmarkStart w:id="932" w:name="_Toc31084"/>
      <w:bookmarkStart w:id="933" w:name="_Toc164181737"/>
      <w:r>
        <w:rPr>
          <w:rFonts w:hint="eastAsia" w:ascii="宋体" w:hAnsi="宋体" w:cs="宋体"/>
          <w:color w:val="auto"/>
          <w:sz w:val="21"/>
          <w:highlight w:val="none"/>
        </w:rPr>
        <w:t>2．标准</w:t>
      </w:r>
      <w:bookmarkEnd w:id="922"/>
      <w:bookmarkEnd w:id="923"/>
      <w:bookmarkEnd w:id="924"/>
      <w:bookmarkEnd w:id="925"/>
      <w:bookmarkEnd w:id="926"/>
      <w:bookmarkEnd w:id="927"/>
      <w:bookmarkEnd w:id="928"/>
      <w:bookmarkEnd w:id="929"/>
      <w:bookmarkEnd w:id="930"/>
      <w:bookmarkEnd w:id="931"/>
      <w:bookmarkEnd w:id="932"/>
      <w:bookmarkEnd w:id="933"/>
    </w:p>
    <w:p w14:paraId="20B5775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 乙方为甲方交付或提供的服务应符合招标（采购）文件所述的标准，如果没有提及适用标准，则应符合相应的国家标准。这些标准必须是有关机构发布的最新版本的标准。</w:t>
      </w:r>
    </w:p>
    <w:p w14:paraId="2EAB845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 除非技术要求中另有规定，计量单位均采用中华人民共和国法定计量单位。</w:t>
      </w:r>
    </w:p>
    <w:p w14:paraId="715E3855">
      <w:pPr>
        <w:pStyle w:val="5"/>
        <w:rPr>
          <w:rFonts w:hint="eastAsia" w:ascii="宋体" w:hAnsi="宋体" w:cs="宋体"/>
          <w:color w:val="auto"/>
          <w:sz w:val="21"/>
          <w:highlight w:val="none"/>
        </w:rPr>
      </w:pPr>
      <w:bookmarkStart w:id="934" w:name="_Toc164182056"/>
      <w:bookmarkStart w:id="935" w:name="_Toc164182762"/>
      <w:bookmarkStart w:id="936" w:name="_Toc164182430"/>
      <w:bookmarkStart w:id="937" w:name="_Toc7636"/>
      <w:bookmarkStart w:id="938" w:name="_Toc164182266"/>
      <w:bookmarkStart w:id="939" w:name="_Toc25784"/>
      <w:bookmarkStart w:id="940" w:name="_Toc164181738"/>
      <w:bookmarkStart w:id="941" w:name="_Toc164680685"/>
      <w:bookmarkStart w:id="942" w:name="_Toc22316"/>
      <w:bookmarkStart w:id="943" w:name="_Toc164680908"/>
      <w:bookmarkStart w:id="944" w:name="_Toc164681283"/>
      <w:bookmarkStart w:id="945" w:name="_Toc7805"/>
      <w:r>
        <w:rPr>
          <w:rFonts w:hint="eastAsia" w:ascii="宋体" w:hAnsi="宋体" w:cs="宋体"/>
          <w:color w:val="auto"/>
          <w:sz w:val="21"/>
          <w:highlight w:val="none"/>
        </w:rPr>
        <w:t>3．服务</w:t>
      </w:r>
      <w:bookmarkEnd w:id="934"/>
      <w:bookmarkEnd w:id="935"/>
      <w:bookmarkEnd w:id="936"/>
      <w:bookmarkEnd w:id="937"/>
      <w:bookmarkEnd w:id="938"/>
      <w:bookmarkEnd w:id="939"/>
      <w:bookmarkEnd w:id="940"/>
      <w:bookmarkEnd w:id="941"/>
      <w:bookmarkEnd w:id="942"/>
      <w:bookmarkEnd w:id="943"/>
      <w:bookmarkEnd w:id="944"/>
      <w:bookmarkEnd w:id="945"/>
    </w:p>
    <w:p w14:paraId="2F31A3C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 本项目的“服务”见“合同条款前附表”第8项“服务内容”。</w:t>
      </w:r>
    </w:p>
    <w:p w14:paraId="344B543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 乙方应保证所提供的服务符合合同规定的技术要求。如不符时，乙方应负全责并尽快处理解决，由此造成的损失和相关费用由乙方负责，甲方保留终止合同及索赔的权利。</w:t>
      </w:r>
    </w:p>
    <w:p w14:paraId="01A9DCB7">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 乙方应保证通过执行合同中全部方案后，可以取得本合同约定的结果，达到本合同约定的预期目标。对任何情况下出现的问题，应尽快提出解决方案。</w:t>
      </w:r>
    </w:p>
    <w:p w14:paraId="65226074">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 如果乙方提供的服务和解决方案不符合甲方要求，或在规定的时间内没有弥补缺陷，甲方有权采取一切必要的补救措施，由此产生的费用全部由乙方负责。</w:t>
      </w:r>
    </w:p>
    <w:p w14:paraId="275BE67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 除合同条款另行规定外，伴随服务的费用应含在合同价中，不单独进行支付。</w:t>
      </w:r>
    </w:p>
    <w:p w14:paraId="69BBC558">
      <w:pPr>
        <w:pStyle w:val="5"/>
        <w:rPr>
          <w:rFonts w:hint="eastAsia" w:ascii="宋体" w:hAnsi="宋体" w:cs="宋体"/>
          <w:color w:val="auto"/>
          <w:sz w:val="21"/>
          <w:highlight w:val="none"/>
        </w:rPr>
      </w:pPr>
      <w:bookmarkStart w:id="946" w:name="_Toc11748"/>
      <w:bookmarkStart w:id="947" w:name="_Toc164181739"/>
      <w:bookmarkStart w:id="948" w:name="_Toc164182267"/>
      <w:bookmarkStart w:id="949" w:name="_Toc164680909"/>
      <w:bookmarkStart w:id="950" w:name="_Toc164681284"/>
      <w:bookmarkStart w:id="951" w:name="_Toc21871"/>
      <w:bookmarkStart w:id="952" w:name="_Toc15636"/>
      <w:bookmarkStart w:id="953" w:name="_Toc164182057"/>
      <w:bookmarkStart w:id="954" w:name="_Toc8872"/>
      <w:bookmarkStart w:id="955" w:name="_Toc164182431"/>
      <w:bookmarkStart w:id="956" w:name="_Toc164680686"/>
      <w:bookmarkStart w:id="957" w:name="_Toc164182763"/>
      <w:r>
        <w:rPr>
          <w:rFonts w:hint="eastAsia" w:ascii="宋体" w:hAnsi="宋体" w:cs="宋体"/>
          <w:color w:val="auto"/>
          <w:sz w:val="21"/>
          <w:highlight w:val="none"/>
        </w:rPr>
        <w:t>4．知识产权</w:t>
      </w:r>
      <w:bookmarkEnd w:id="946"/>
      <w:bookmarkEnd w:id="947"/>
      <w:bookmarkEnd w:id="948"/>
      <w:bookmarkEnd w:id="949"/>
      <w:bookmarkEnd w:id="950"/>
      <w:bookmarkEnd w:id="951"/>
      <w:bookmarkEnd w:id="952"/>
      <w:bookmarkEnd w:id="953"/>
      <w:bookmarkEnd w:id="954"/>
      <w:bookmarkEnd w:id="955"/>
      <w:bookmarkEnd w:id="956"/>
      <w:bookmarkEnd w:id="957"/>
    </w:p>
    <w:p w14:paraId="1B8FED05">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4.1 乙方应保证所提供的服务免受第三方提出侵犯其知识产权（专利权、商标权、软件著作权、版权等）的起诉。</w:t>
      </w:r>
    </w:p>
    <w:p w14:paraId="69EB6811">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 甲方对项目实施过程中所产生的所有成果（包括发明、发现、可运行系统、源代码及相关技术资料、文档等）享有永久使用权、复制权和修改权，其专利申请权、专利权、软件著作权、技术秘密的所有权、使用权、转让权等知识产权归甲方所有。</w:t>
      </w:r>
    </w:p>
    <w:p w14:paraId="5906ED8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4.3 乙方不得利用本项目实施过程中所产生的成果（包括发明、发现、可运行系统、源代码及相关技术资料、文档等），另行自行开发本合同业务范围内供纳税人缴费人使用的软件或产品，不得利用开发便利变相收费或搭车收费。</w:t>
      </w:r>
    </w:p>
    <w:p w14:paraId="362426C1">
      <w:pPr>
        <w:pStyle w:val="5"/>
        <w:rPr>
          <w:rFonts w:hint="eastAsia" w:ascii="宋体" w:hAnsi="宋体" w:cs="宋体"/>
          <w:color w:val="auto"/>
          <w:sz w:val="21"/>
          <w:highlight w:val="none"/>
        </w:rPr>
      </w:pPr>
      <w:bookmarkStart w:id="958" w:name="_Toc164681285"/>
      <w:bookmarkStart w:id="959" w:name="_Toc164182432"/>
      <w:bookmarkStart w:id="960" w:name="_Toc164182764"/>
      <w:bookmarkStart w:id="961" w:name="_Toc164680910"/>
      <w:bookmarkStart w:id="962" w:name="_Toc164181740"/>
      <w:bookmarkStart w:id="963" w:name="_Toc3365"/>
      <w:bookmarkStart w:id="964" w:name="_Toc164182058"/>
      <w:bookmarkStart w:id="965" w:name="_Toc164182268"/>
      <w:bookmarkStart w:id="966" w:name="_Toc16414"/>
      <w:bookmarkStart w:id="967" w:name="_Toc25936"/>
      <w:bookmarkStart w:id="968" w:name="_Toc3546"/>
      <w:bookmarkStart w:id="969" w:name="_Toc164680687"/>
      <w:r>
        <w:rPr>
          <w:rFonts w:hint="eastAsia" w:ascii="宋体" w:hAnsi="宋体" w:cs="宋体"/>
          <w:color w:val="auto"/>
          <w:sz w:val="21"/>
          <w:highlight w:val="none"/>
        </w:rPr>
        <w:t>5．保密条款</w:t>
      </w:r>
      <w:bookmarkEnd w:id="958"/>
      <w:bookmarkEnd w:id="959"/>
      <w:bookmarkEnd w:id="960"/>
      <w:bookmarkEnd w:id="961"/>
      <w:bookmarkEnd w:id="962"/>
      <w:bookmarkEnd w:id="963"/>
      <w:bookmarkEnd w:id="964"/>
      <w:bookmarkEnd w:id="965"/>
      <w:bookmarkEnd w:id="966"/>
      <w:bookmarkEnd w:id="967"/>
      <w:bookmarkEnd w:id="968"/>
      <w:bookmarkEnd w:id="969"/>
    </w:p>
    <w:p w14:paraId="1DA755B4">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5.1 甲乙双方应对在本合同签订或履行过程中所接触的对方信息，包括但不限于知识产权、技术资料、技术诀窍、内部管理及其他相关信息，负有保密义务。</w:t>
      </w:r>
    </w:p>
    <w:p w14:paraId="373A39E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79FFBAA5">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（1）应以审慎态度避免泄漏、公开或传播甲方的信息；</w:t>
      </w:r>
    </w:p>
    <w:p w14:paraId="2146F624">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（2）在开发过程中对数据的处理方式应事先得到甲方的许可；</w:t>
      </w:r>
    </w:p>
    <w:p w14:paraId="2B92DC3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（3）未经甲方书面许可，不得对有关信息进行修改、补充、复制；</w:t>
      </w:r>
    </w:p>
    <w:p w14:paraId="329E006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（4）未经甲方书面许可，不得将信息以任何方式（如E-mail）携带出甲方场所；</w:t>
      </w:r>
    </w:p>
    <w:p w14:paraId="1E31B26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（5）未经甲方书面许可，不得将信息透露给任何其他人；</w:t>
      </w:r>
    </w:p>
    <w:p w14:paraId="496D8D12">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（6）严禁在提交的软件产品中设置远程维护接口和后门程序；</w:t>
      </w:r>
    </w:p>
    <w:p w14:paraId="4A8CD44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（7）不得进行系统软硬件设备的远程维护；</w:t>
      </w:r>
    </w:p>
    <w:p w14:paraId="2D9518D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（8）甲方以书面形式提出的其他保密措施。</w:t>
      </w:r>
    </w:p>
    <w:p w14:paraId="3C16477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保密期限不受合同有效期的限制，在合同有效期结束后，信息接受方仍应承担保密义务，直至该等信息成为公开信息。</w:t>
      </w:r>
    </w:p>
    <w:p w14:paraId="14B29D6F">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 甲乙双方如出现泄密行为，泄密方应承担相关的法律责任，包括但是不限于对由此给对方造成的经济损失进行赔偿。</w:t>
      </w:r>
    </w:p>
    <w:p w14:paraId="4D258D6C">
      <w:pPr>
        <w:pStyle w:val="5"/>
        <w:rPr>
          <w:rFonts w:hint="eastAsia" w:ascii="宋体" w:hAnsi="宋体" w:cs="宋体"/>
          <w:color w:val="auto"/>
          <w:sz w:val="21"/>
          <w:highlight w:val="none"/>
        </w:rPr>
      </w:pPr>
      <w:bookmarkStart w:id="970" w:name="_Toc164182269"/>
      <w:bookmarkStart w:id="971" w:name="_Toc20769"/>
      <w:bookmarkStart w:id="972" w:name="_Toc164182059"/>
      <w:bookmarkStart w:id="973" w:name="_Toc10465"/>
      <w:bookmarkStart w:id="974" w:name="_Toc16627"/>
      <w:bookmarkStart w:id="975" w:name="_Toc164182765"/>
      <w:bookmarkStart w:id="976" w:name="_Toc22828"/>
      <w:bookmarkStart w:id="977" w:name="_Toc164181741"/>
      <w:bookmarkStart w:id="978" w:name="_Toc164680911"/>
      <w:bookmarkStart w:id="979" w:name="_Toc164680688"/>
      <w:bookmarkStart w:id="980" w:name="_Toc164182433"/>
      <w:bookmarkStart w:id="981" w:name="_Toc164681286"/>
      <w:r>
        <w:rPr>
          <w:rFonts w:hint="eastAsia" w:ascii="宋体" w:hAnsi="宋体" w:cs="宋体"/>
          <w:color w:val="auto"/>
          <w:sz w:val="21"/>
          <w:highlight w:val="none"/>
        </w:rPr>
        <w:t>6．履约验收要求</w:t>
      </w:r>
      <w:bookmarkEnd w:id="970"/>
      <w:bookmarkEnd w:id="971"/>
      <w:bookmarkEnd w:id="972"/>
      <w:bookmarkEnd w:id="973"/>
      <w:bookmarkEnd w:id="974"/>
      <w:bookmarkEnd w:id="975"/>
      <w:bookmarkEnd w:id="976"/>
      <w:bookmarkEnd w:id="977"/>
      <w:bookmarkEnd w:id="978"/>
      <w:bookmarkEnd w:id="979"/>
      <w:bookmarkEnd w:id="980"/>
      <w:bookmarkEnd w:id="981"/>
    </w:p>
    <w:p w14:paraId="51EECA9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 甲方需求部门严格按照采购合同开展履约验收。验收时，应当按照本合同约定的技术、服务和安全标准，对投标人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0BC5044E">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 具体履约验收要求详见招标（采购）文件。</w:t>
      </w:r>
    </w:p>
    <w:p w14:paraId="19A4D3D9">
      <w:pPr>
        <w:pStyle w:val="5"/>
        <w:rPr>
          <w:rFonts w:hint="eastAsia" w:ascii="宋体" w:hAnsi="宋体" w:cs="宋体"/>
          <w:color w:val="auto"/>
          <w:sz w:val="21"/>
          <w:highlight w:val="none"/>
        </w:rPr>
      </w:pPr>
      <w:bookmarkStart w:id="982" w:name="_Toc164680689"/>
      <w:bookmarkStart w:id="983" w:name="_Toc164182270"/>
      <w:bookmarkStart w:id="984" w:name="_Toc164182060"/>
      <w:bookmarkStart w:id="985" w:name="_Toc164681287"/>
      <w:bookmarkStart w:id="986" w:name="_Toc164680912"/>
      <w:bookmarkStart w:id="987" w:name="_Toc21652"/>
      <w:bookmarkStart w:id="988" w:name="_Toc7350"/>
      <w:bookmarkStart w:id="989" w:name="_Toc164182766"/>
      <w:bookmarkStart w:id="990" w:name="_Toc390"/>
      <w:bookmarkStart w:id="991" w:name="_Toc7217"/>
      <w:bookmarkStart w:id="992" w:name="_Toc164182434"/>
      <w:bookmarkStart w:id="993" w:name="_Toc164181742"/>
      <w:r>
        <w:rPr>
          <w:rFonts w:hint="eastAsia" w:ascii="宋体" w:hAnsi="宋体" w:cs="宋体"/>
          <w:color w:val="auto"/>
          <w:sz w:val="21"/>
          <w:highlight w:val="none"/>
        </w:rPr>
        <w:t>7．履约保证金</w:t>
      </w:r>
      <w:bookmarkEnd w:id="982"/>
      <w:bookmarkEnd w:id="983"/>
      <w:bookmarkEnd w:id="984"/>
      <w:bookmarkEnd w:id="985"/>
      <w:bookmarkEnd w:id="986"/>
      <w:bookmarkEnd w:id="987"/>
      <w:bookmarkEnd w:id="988"/>
      <w:bookmarkEnd w:id="989"/>
      <w:bookmarkEnd w:id="990"/>
      <w:bookmarkEnd w:id="991"/>
      <w:bookmarkEnd w:id="992"/>
      <w:bookmarkEnd w:id="993"/>
    </w:p>
    <w:p w14:paraId="59750157">
      <w:pPr>
        <w:adjustRightInd w:val="0"/>
        <w:snapToGrid w:val="0"/>
        <w:spacing w:line="360" w:lineRule="auto"/>
        <w:ind w:firstLine="420" w:firstLineChars="200"/>
        <w:rPr>
          <w:rFonts w:hint="eastAsia" w:ascii="宋体" w:hAnsi="宋体" w:eastAsia="宋体" w:cs="宋体"/>
          <w:color w:val="auto"/>
          <w:szCs w:val="21"/>
          <w:highlight w:val="none"/>
          <w:lang w:eastAsia="zh-CN"/>
        </w:rPr>
      </w:pPr>
      <w:bookmarkStart w:id="994" w:name="_Toc164182767"/>
      <w:bookmarkStart w:id="995" w:name="_Toc1606"/>
      <w:bookmarkStart w:id="996" w:name="_Toc164181743"/>
      <w:bookmarkStart w:id="997" w:name="_Toc164182435"/>
      <w:bookmarkStart w:id="998" w:name="_Toc164681288"/>
      <w:bookmarkStart w:id="999" w:name="_Toc164680913"/>
      <w:bookmarkStart w:id="1000" w:name="_Toc164680690"/>
      <w:bookmarkStart w:id="1001" w:name="_Toc14775"/>
      <w:bookmarkStart w:id="1002" w:name="_Toc21925"/>
      <w:bookmarkStart w:id="1003" w:name="_Toc10041"/>
      <w:bookmarkStart w:id="1004" w:name="_Toc164182061"/>
      <w:bookmarkStart w:id="1005" w:name="_Toc164182271"/>
      <w:r>
        <w:rPr>
          <w:rFonts w:hint="eastAsia" w:ascii="宋体" w:hAnsi="宋体" w:eastAsia="宋体" w:cs="宋体"/>
          <w:color w:val="auto"/>
          <w:szCs w:val="21"/>
          <w:highlight w:val="none"/>
        </w:rPr>
        <w:t>本项目无需缴纳履约保证金</w:t>
      </w:r>
      <w:r>
        <w:rPr>
          <w:rFonts w:hint="eastAsia" w:ascii="宋体" w:hAnsi="宋体" w:eastAsia="宋体" w:cs="宋体"/>
          <w:color w:val="auto"/>
          <w:szCs w:val="21"/>
          <w:highlight w:val="none"/>
          <w:lang w:eastAsia="zh-CN"/>
        </w:rPr>
        <w:t>。</w:t>
      </w:r>
    </w:p>
    <w:p w14:paraId="64AF3A53">
      <w:pPr>
        <w:pStyle w:val="5"/>
        <w:rPr>
          <w:rFonts w:hint="eastAsia" w:ascii="宋体" w:hAnsi="宋体" w:cs="宋体"/>
          <w:color w:val="auto"/>
          <w:sz w:val="21"/>
          <w:highlight w:val="none"/>
        </w:rPr>
      </w:pPr>
      <w:r>
        <w:rPr>
          <w:rFonts w:hint="eastAsia" w:ascii="宋体" w:hAnsi="宋体" w:cs="宋体"/>
          <w:color w:val="auto"/>
          <w:sz w:val="21"/>
          <w:highlight w:val="none"/>
        </w:rPr>
        <w:t>8．履约延误</w:t>
      </w:r>
      <w:bookmarkEnd w:id="994"/>
      <w:bookmarkEnd w:id="995"/>
      <w:bookmarkEnd w:id="996"/>
      <w:bookmarkEnd w:id="997"/>
      <w:bookmarkEnd w:id="998"/>
      <w:bookmarkEnd w:id="999"/>
      <w:bookmarkEnd w:id="1000"/>
      <w:bookmarkEnd w:id="1001"/>
      <w:bookmarkEnd w:id="1002"/>
      <w:bookmarkEnd w:id="1003"/>
      <w:bookmarkEnd w:id="1004"/>
      <w:bookmarkEnd w:id="1005"/>
    </w:p>
    <w:p w14:paraId="5FA9494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 乙方应按照本合同的规定提供服务。</w:t>
      </w:r>
    </w:p>
    <w:p w14:paraId="639499DE">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8.2 如乙方迟延履行合同义务，甲方将从应付合同金额中扣除误期违约金，每延误一天误期违约金按合同总金额的万分之三（0.03%）计收。乙方支付的误期违约金不足以弥补甲方损失的，应继续承担赔偿责任。本合同约定的损失，包括但不限于：直接损失、调查取证费、诉讼费、律师费等。</w:t>
      </w:r>
    </w:p>
    <w:p w14:paraId="432C9CD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赔偿费。</w:t>
      </w:r>
    </w:p>
    <w:p w14:paraId="50821577">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8.4 除不可抗力和根据合同规定延期取得甲方同意而不收取误期赔偿费之外，乙方延误工期，将按合同规定被收取误期赔偿费。</w:t>
      </w:r>
    </w:p>
    <w:p w14:paraId="1B645924">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p>
    <w:p w14:paraId="071DA776">
      <w:pPr>
        <w:pStyle w:val="5"/>
        <w:rPr>
          <w:rFonts w:hint="eastAsia" w:ascii="宋体" w:hAnsi="宋体" w:cs="宋体"/>
          <w:color w:val="auto"/>
          <w:sz w:val="21"/>
          <w:highlight w:val="none"/>
        </w:rPr>
      </w:pPr>
      <w:bookmarkStart w:id="1006" w:name="_Toc32514"/>
      <w:bookmarkStart w:id="1007" w:name="_Toc164680691"/>
      <w:bookmarkStart w:id="1008" w:name="_Toc164181744"/>
      <w:bookmarkStart w:id="1009" w:name="_Toc19884"/>
      <w:bookmarkStart w:id="1010" w:name="_Toc164182272"/>
      <w:bookmarkStart w:id="1011" w:name="_Toc164680914"/>
      <w:bookmarkStart w:id="1012" w:name="_Toc164182062"/>
      <w:bookmarkStart w:id="1013" w:name="_Toc164182436"/>
      <w:bookmarkStart w:id="1014" w:name="_Toc164681289"/>
      <w:bookmarkStart w:id="1015" w:name="_Toc23180"/>
      <w:bookmarkStart w:id="1016" w:name="_Toc22958"/>
      <w:bookmarkStart w:id="1017" w:name="_Toc164182768"/>
      <w:r>
        <w:rPr>
          <w:rFonts w:hint="eastAsia" w:ascii="宋体" w:hAnsi="宋体" w:cs="宋体"/>
          <w:color w:val="auto"/>
          <w:sz w:val="21"/>
          <w:highlight w:val="none"/>
        </w:rPr>
        <w:t>9．违约责任</w:t>
      </w:r>
      <w:bookmarkEnd w:id="1006"/>
      <w:bookmarkEnd w:id="1007"/>
      <w:bookmarkEnd w:id="1008"/>
      <w:bookmarkEnd w:id="1009"/>
      <w:bookmarkEnd w:id="1010"/>
      <w:bookmarkEnd w:id="1011"/>
      <w:bookmarkEnd w:id="1012"/>
      <w:bookmarkEnd w:id="1013"/>
      <w:bookmarkEnd w:id="1014"/>
      <w:bookmarkEnd w:id="1015"/>
      <w:bookmarkEnd w:id="1016"/>
      <w:bookmarkEnd w:id="1017"/>
    </w:p>
    <w:p w14:paraId="7626D49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p>
    <w:p w14:paraId="3C49BFB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p>
    <w:p w14:paraId="4F05CAF5">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9.3 除应支付甲方违约金等外，甲方有权根据合同或有关部门出具的检验证书向乙方提出索赔。</w:t>
      </w:r>
    </w:p>
    <w:p w14:paraId="57DEFE5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9.4 如果乙方对差异负有责任而甲方提出索赔，乙方同意按照下列方式解决索赔事宜：</w:t>
      </w:r>
    </w:p>
    <w:p w14:paraId="3ACFB37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如果在甲方发出索赔通知后5个工作日内，乙方未作书面答复，上述索赔应视为已被乙方接受。如乙方未能在甲方发出索赔通知后5个工作日内或甲方同意的延长期限内着手解决索赔事宜，甲方有权从乙方的合同款项中扣除索赔金额。</w:t>
      </w:r>
    </w:p>
    <w:p w14:paraId="56924F67">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9.5 乙方利用本项目实施过程中所产生的成果（包括发明、发现、可运行系统、源代码及相关技术资料、文档等），另行自行开发本合同业务范围内供纳税人缴费人使用的软件或产品，或利用为税务机关提供信息化服务的便利，向纳税人缴费人搭车收费或变相收费的，或有其他失信行为的，纳入国家税务总局失信名单。</w:t>
      </w:r>
    </w:p>
    <w:p w14:paraId="1ABEB4F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对于影响恶劣的严重违法失信行为，推送财政部纳入政府采购严重违法失信行为记录名单。</w:t>
      </w:r>
    </w:p>
    <w:p w14:paraId="70230BA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9.6 如果乙方在本项目实施过程中发生违反网络安全规定行为造成不良后果的，自甲方做出认定之日起三年内，税务系统各单位可以拒绝乙方参与税务系统政府采购活动。</w:t>
      </w:r>
    </w:p>
    <w:p w14:paraId="5828E2A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不良后果指造成数据失窃或丢失、敏感信息泄露、主要业务系统瘫痪等网络安全事件。</w:t>
      </w:r>
    </w:p>
    <w:p w14:paraId="3B0BA049">
      <w:pPr>
        <w:pStyle w:val="17"/>
        <w:snapToGrid w:val="0"/>
        <w:spacing w:line="360" w:lineRule="auto"/>
        <w:ind w:firstLine="420" w:firstLineChars="200"/>
        <w:rPr>
          <w:rFonts w:hint="eastAsia" w:hAnsi="宋体" w:cs="宋体"/>
          <w:caps/>
          <w:snapToGrid w:val="0"/>
          <w:color w:val="auto"/>
          <w:szCs w:val="21"/>
          <w:highlight w:val="none"/>
          <w:lang w:eastAsia="zh-CN"/>
        </w:rPr>
      </w:pPr>
      <w:r>
        <w:rPr>
          <w:rFonts w:hint="eastAsia" w:hAnsi="宋体" w:cs="宋体"/>
          <w:caps/>
          <w:snapToGrid w:val="0"/>
          <w:color w:val="auto"/>
          <w:szCs w:val="21"/>
          <w:highlight w:val="none"/>
          <w:lang w:eastAsia="zh-CN"/>
        </w:rPr>
        <w:t>9.7 于本合同签订时，乙方应已建立防止违法违规聘用离职税务人员风险控制制度，出现违法违规聘用离职税务人员行为将采取相应的措施（包括但不限于限期改正、支付违约金、解除合同等）。同时，乙方应在3年内（自所聘用人员从原单位办结离职手续之日起）不得参加所聘人员原单位及下属单位信息化项目政府采购活动。</w:t>
      </w:r>
    </w:p>
    <w:p w14:paraId="2B884EC1">
      <w:pPr>
        <w:pStyle w:val="17"/>
        <w:snapToGrid w:val="0"/>
        <w:spacing w:line="360" w:lineRule="auto"/>
        <w:ind w:firstLine="422" w:firstLineChars="200"/>
        <w:rPr>
          <w:rFonts w:hint="eastAsia" w:hAnsi="宋体" w:cs="宋体"/>
          <w:b/>
          <w:caps/>
          <w:snapToGrid w:val="0"/>
          <w:color w:val="auto"/>
          <w:szCs w:val="21"/>
          <w:highlight w:val="none"/>
          <w:lang w:eastAsia="zh-CN"/>
        </w:rPr>
      </w:pPr>
      <w:r>
        <w:rPr>
          <w:rFonts w:hint="eastAsia" w:hAnsi="宋体" w:cs="宋体"/>
          <w:b/>
          <w:caps/>
          <w:snapToGrid w:val="0"/>
          <w:color w:val="auto"/>
          <w:szCs w:val="21"/>
          <w:highlight w:val="none"/>
          <w:lang w:eastAsia="zh-CN"/>
        </w:rPr>
        <w:t xml:space="preserve">前款所列违约金计算办法为：每存在一起违法违规聘用人员的，乙方应向甲方承担违约金3万元，如造成其他损失的，还应赔偿全部实际损失。 </w:t>
      </w:r>
    </w:p>
    <w:p w14:paraId="204AE7E6">
      <w:pPr>
        <w:pStyle w:val="17"/>
        <w:snapToGrid w:val="0"/>
        <w:spacing w:line="360" w:lineRule="auto"/>
        <w:ind w:firstLine="420" w:firstLineChars="200"/>
        <w:rPr>
          <w:rFonts w:hint="eastAsia" w:hAnsi="宋体" w:cs="宋体"/>
          <w:b/>
          <w:caps/>
          <w:snapToGrid w:val="0"/>
          <w:color w:val="auto"/>
          <w:szCs w:val="21"/>
          <w:highlight w:val="none"/>
          <w:lang w:eastAsia="zh-CN"/>
        </w:rPr>
      </w:pPr>
      <w:r>
        <w:rPr>
          <w:rFonts w:hint="eastAsia" w:hAnsi="宋体" w:cs="宋体"/>
          <w:caps/>
          <w:snapToGrid w:val="0"/>
          <w:color w:val="auto"/>
          <w:szCs w:val="21"/>
          <w:highlight w:val="none"/>
          <w:lang w:eastAsia="zh-CN"/>
        </w:rPr>
        <w:t>9.8 乙方确认于签订本合同时，已完全获悉国家税务总局办公厅主动公开文件：税总办征科发〔2022〕1号。根据该文件规定，国家税务总局发票电子化改革（金税四期）领导小组办公室有权对本制度列举的失信行为进行认定，经其认定乙方存在失信行为的，3年内限制乙方参加税收信息化项目政府采购活动。</w:t>
      </w:r>
    </w:p>
    <w:p w14:paraId="0B5D8DA2">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9.9 对于本协议未约定的、招标（采购）文件（技术部分）中约定的违约处理条款，按招标（采购）文件（技术部分）相关约定执行；对本协议与招标（采购）文件（技术部分）约定不同的违约处理条款，以本协议约定为准。</w:t>
      </w:r>
    </w:p>
    <w:p w14:paraId="4FA768BF">
      <w:pPr>
        <w:pStyle w:val="5"/>
        <w:rPr>
          <w:rFonts w:hint="eastAsia" w:ascii="宋体" w:hAnsi="宋体" w:cs="宋体"/>
          <w:color w:val="auto"/>
          <w:sz w:val="21"/>
          <w:highlight w:val="none"/>
        </w:rPr>
      </w:pPr>
      <w:bookmarkStart w:id="1018" w:name="_Toc16054"/>
      <w:bookmarkStart w:id="1019" w:name="_Toc164182273"/>
      <w:bookmarkStart w:id="1020" w:name="_Toc164182769"/>
      <w:bookmarkStart w:id="1021" w:name="_Toc164182437"/>
      <w:bookmarkStart w:id="1022" w:name="_Toc164681290"/>
      <w:bookmarkStart w:id="1023" w:name="_Toc164680692"/>
      <w:bookmarkStart w:id="1024" w:name="_Toc164181745"/>
      <w:bookmarkStart w:id="1025" w:name="_Toc7965"/>
      <w:bookmarkStart w:id="1026" w:name="_Toc164182063"/>
      <w:bookmarkStart w:id="1027" w:name="_Toc13757"/>
      <w:bookmarkStart w:id="1028" w:name="_Toc15702"/>
      <w:bookmarkStart w:id="1029" w:name="_Toc164680915"/>
      <w:r>
        <w:rPr>
          <w:rFonts w:hint="eastAsia" w:ascii="宋体" w:hAnsi="宋体" w:cs="宋体"/>
          <w:color w:val="auto"/>
          <w:sz w:val="21"/>
          <w:highlight w:val="none"/>
        </w:rPr>
        <w:t>10．不可抗力</w:t>
      </w:r>
      <w:bookmarkEnd w:id="1018"/>
      <w:bookmarkEnd w:id="1019"/>
      <w:bookmarkEnd w:id="1020"/>
      <w:bookmarkEnd w:id="1021"/>
      <w:bookmarkEnd w:id="1022"/>
      <w:bookmarkEnd w:id="1023"/>
      <w:bookmarkEnd w:id="1024"/>
      <w:bookmarkEnd w:id="1025"/>
      <w:bookmarkEnd w:id="1026"/>
      <w:bookmarkEnd w:id="1027"/>
      <w:bookmarkEnd w:id="1028"/>
      <w:bookmarkEnd w:id="1029"/>
    </w:p>
    <w:p w14:paraId="72697412">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10.1 本条所述的“不可抗力”系指双方不可预见、不可避免、不可克服的客观情况，但不包括双方的违约或疏忽。这些事件包括但不限于：战争、严重火灾、洪水、台风、地震等。</w:t>
      </w:r>
    </w:p>
    <w:p w14:paraId="3732B7A5">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10.2 如果乙方因不可抗力而导致合同实施延误或不能履行合同义务，不应承担误期赔偿或终止合同的责任。</w:t>
      </w:r>
    </w:p>
    <w:p w14:paraId="799DF46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61E87DB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p>
    <w:p w14:paraId="13AAD2B2">
      <w:pPr>
        <w:pStyle w:val="5"/>
        <w:rPr>
          <w:rFonts w:hint="eastAsia" w:ascii="宋体" w:hAnsi="宋体" w:cs="宋体"/>
          <w:color w:val="auto"/>
          <w:sz w:val="21"/>
          <w:highlight w:val="none"/>
        </w:rPr>
      </w:pPr>
      <w:bookmarkStart w:id="1030" w:name="_Toc164680693"/>
      <w:bookmarkStart w:id="1031" w:name="_Toc31255"/>
      <w:bookmarkStart w:id="1032" w:name="_Toc164182064"/>
      <w:bookmarkStart w:id="1033" w:name="_Toc164181746"/>
      <w:bookmarkStart w:id="1034" w:name="_Toc164681291"/>
      <w:bookmarkStart w:id="1035" w:name="_Toc11629"/>
      <w:bookmarkStart w:id="1036" w:name="_Toc164182770"/>
      <w:bookmarkStart w:id="1037" w:name="_Toc164182438"/>
      <w:bookmarkStart w:id="1038" w:name="_Toc164680916"/>
      <w:bookmarkStart w:id="1039" w:name="_Toc29347"/>
      <w:bookmarkStart w:id="1040" w:name="_Toc25423"/>
      <w:bookmarkStart w:id="1041" w:name="_Toc164182274"/>
      <w:r>
        <w:rPr>
          <w:rFonts w:hint="eastAsia" w:ascii="宋体" w:hAnsi="宋体" w:cs="宋体"/>
          <w:color w:val="auto"/>
          <w:sz w:val="21"/>
          <w:highlight w:val="none"/>
        </w:rPr>
        <w:t>11．争端的解决</w:t>
      </w:r>
      <w:bookmarkEnd w:id="1030"/>
      <w:bookmarkEnd w:id="1031"/>
      <w:bookmarkEnd w:id="1032"/>
      <w:bookmarkEnd w:id="1033"/>
      <w:bookmarkEnd w:id="1034"/>
      <w:bookmarkEnd w:id="1035"/>
      <w:bookmarkEnd w:id="1036"/>
      <w:bookmarkEnd w:id="1037"/>
      <w:bookmarkEnd w:id="1038"/>
      <w:bookmarkEnd w:id="1039"/>
      <w:bookmarkEnd w:id="1040"/>
      <w:bookmarkEnd w:id="1041"/>
    </w:p>
    <w:p w14:paraId="615006BE">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11.1 甲乙双方应首先通过友好协商解决在执行本合同中所发生的或与本合同有关的一切争端。如从协商开始30天内仍不能解决，可以按合同约定的方式提起仲裁或诉讼。</w:t>
      </w:r>
    </w:p>
    <w:p w14:paraId="5D44B1E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 诉讼应向甲方所在地人民法院提起诉讼。</w:t>
      </w:r>
    </w:p>
    <w:p w14:paraId="7C62A94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11.2.1 诉讼费除人民法院另有判决外，应由败诉方负担。</w:t>
      </w:r>
    </w:p>
    <w:p w14:paraId="0702FC31">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11.2.2 在诉讼期间，除正在进行诉讼部分外，本合同的其它部分应继续执行。</w:t>
      </w:r>
    </w:p>
    <w:p w14:paraId="682D2816">
      <w:pPr>
        <w:pStyle w:val="5"/>
        <w:rPr>
          <w:rFonts w:hint="eastAsia" w:ascii="宋体" w:hAnsi="宋体" w:cs="宋体"/>
          <w:color w:val="auto"/>
          <w:sz w:val="21"/>
          <w:highlight w:val="none"/>
        </w:rPr>
      </w:pPr>
      <w:bookmarkStart w:id="1042" w:name="_Toc164681292"/>
      <w:bookmarkStart w:id="1043" w:name="_Toc164182771"/>
      <w:bookmarkStart w:id="1044" w:name="_Toc164680694"/>
      <w:bookmarkStart w:id="1045" w:name="_Toc164182065"/>
      <w:bookmarkStart w:id="1046" w:name="_Toc164181747"/>
      <w:bookmarkStart w:id="1047" w:name="_Toc164182275"/>
      <w:bookmarkStart w:id="1048" w:name="_Toc164182439"/>
      <w:bookmarkStart w:id="1049" w:name="_Toc164680917"/>
      <w:bookmarkStart w:id="1050" w:name="_Toc25139"/>
      <w:bookmarkStart w:id="1051" w:name="_Toc5578"/>
      <w:bookmarkStart w:id="1052" w:name="_Toc28954"/>
      <w:bookmarkStart w:id="1053" w:name="_Toc26136"/>
      <w:r>
        <w:rPr>
          <w:rFonts w:hint="eastAsia" w:ascii="宋体" w:hAnsi="宋体" w:cs="宋体"/>
          <w:color w:val="auto"/>
          <w:sz w:val="21"/>
          <w:highlight w:val="none"/>
        </w:rPr>
        <w:t>12．违约终止合同</w:t>
      </w:r>
      <w:bookmarkEnd w:id="1042"/>
      <w:bookmarkEnd w:id="1043"/>
      <w:bookmarkEnd w:id="1044"/>
      <w:bookmarkEnd w:id="1045"/>
      <w:bookmarkEnd w:id="1046"/>
      <w:bookmarkEnd w:id="1047"/>
      <w:bookmarkEnd w:id="1048"/>
      <w:bookmarkEnd w:id="1049"/>
      <w:bookmarkEnd w:id="1050"/>
      <w:bookmarkEnd w:id="1051"/>
      <w:bookmarkEnd w:id="1052"/>
      <w:bookmarkEnd w:id="1053"/>
    </w:p>
    <w:p w14:paraId="66D64D0E">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调查取证费、诉讼费、律师费等。</w:t>
      </w:r>
    </w:p>
    <w:p w14:paraId="0E9698D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12.1.1 乙方不履行合同业务或者履行合同义务不符合合同约定；</w:t>
      </w:r>
    </w:p>
    <w:p w14:paraId="4F9D2C4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12.1.2 如果乙方未能在合同规定的期限或甲方同意延长的期限内提供服务；</w:t>
      </w:r>
    </w:p>
    <w:p w14:paraId="75477ED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12.1.3 因乙方人员自身技术能力、经验不足等问题造成甲方发生重大紧急故障，带来重大影响和损失的；</w:t>
      </w:r>
    </w:p>
    <w:p w14:paraId="0A96888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12.1.4 乙方对重大紧急故障没有及时响应，或不能在规定时间内解决处理故障、恢复正常运行的；</w:t>
      </w:r>
    </w:p>
    <w:p w14:paraId="281447B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12.1.5 不能满足本项目技术需求的管理要求和规范，且经多次整改无明显改进的；</w:t>
      </w:r>
    </w:p>
    <w:p w14:paraId="55F40118">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12.1.6 在合同服务期内，同一个应用系统在升级完善、运行维护支持服务过程中，出现5次经甲乙双方确认的用户投诉的；</w:t>
      </w:r>
    </w:p>
    <w:p w14:paraId="0B89352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12.1.7 乙方利用本项目实施过程中所产生的成果（包括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p>
    <w:p w14:paraId="1F5F2AE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12.1.8 乙方在本项目实施过程中发生违反网络安全规定行为造成不良后果的。</w:t>
      </w:r>
    </w:p>
    <w:p w14:paraId="6DF3EDD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12.1.9 乙方提供的服务侵犯甲方、第三方知识产权等合法权益的；</w:t>
      </w:r>
    </w:p>
    <w:p w14:paraId="3B71098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12.1.10 乙方或乙方人员造成甲方或第三方经济损失而拒不赔偿的；</w:t>
      </w:r>
    </w:p>
    <w:p w14:paraId="36F3D2F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12.1.11 乙方转让其应履行的合同义务，或未经甲方同意采取分包方式履行合同的；</w:t>
      </w:r>
    </w:p>
    <w:p w14:paraId="50E8CEC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12.1.12 乙方有其他严重违约行为的。</w:t>
      </w:r>
    </w:p>
    <w:p w14:paraId="1D019C1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12.2 如果甲方根据上述第12.1条的规定，终止了全部或部分合同，甲方可以适当的条件和方法购买乙方未能提供的服务，乙方应对甲方购买类似服务所超出的费用负责。同时，乙方应继续执行合同中未终止的部分。</w:t>
      </w:r>
    </w:p>
    <w:p w14:paraId="2DCBD606">
      <w:pPr>
        <w:pStyle w:val="5"/>
        <w:rPr>
          <w:rFonts w:hint="eastAsia" w:ascii="宋体" w:hAnsi="宋体" w:cs="宋体"/>
          <w:color w:val="auto"/>
          <w:sz w:val="21"/>
          <w:highlight w:val="none"/>
        </w:rPr>
      </w:pPr>
      <w:bookmarkStart w:id="1054" w:name="_Toc164182276"/>
      <w:bookmarkStart w:id="1055" w:name="_Toc164182772"/>
      <w:bookmarkStart w:id="1056" w:name="_Toc164182066"/>
      <w:bookmarkStart w:id="1057" w:name="_Toc164181748"/>
      <w:bookmarkStart w:id="1058" w:name="_Toc164680918"/>
      <w:bookmarkStart w:id="1059" w:name="_Toc164681293"/>
      <w:bookmarkStart w:id="1060" w:name="_Toc7435"/>
      <w:bookmarkStart w:id="1061" w:name="_Toc30954"/>
      <w:bookmarkStart w:id="1062" w:name="_Toc27867"/>
      <w:bookmarkStart w:id="1063" w:name="_Toc18932"/>
      <w:bookmarkStart w:id="1064" w:name="_Toc164680695"/>
      <w:bookmarkStart w:id="1065" w:name="_Toc164182440"/>
      <w:r>
        <w:rPr>
          <w:rFonts w:hint="eastAsia" w:ascii="宋体" w:hAnsi="宋体" w:cs="宋体"/>
          <w:color w:val="auto"/>
          <w:sz w:val="21"/>
          <w:highlight w:val="none"/>
        </w:rPr>
        <w:t>13．破产终止合同</w:t>
      </w:r>
      <w:bookmarkEnd w:id="1054"/>
      <w:bookmarkEnd w:id="1055"/>
      <w:bookmarkEnd w:id="1056"/>
      <w:bookmarkEnd w:id="1057"/>
      <w:bookmarkEnd w:id="1058"/>
      <w:bookmarkEnd w:id="1059"/>
      <w:bookmarkEnd w:id="1060"/>
      <w:bookmarkEnd w:id="1061"/>
      <w:bookmarkEnd w:id="1062"/>
      <w:bookmarkEnd w:id="1063"/>
      <w:bookmarkEnd w:id="1064"/>
      <w:bookmarkEnd w:id="1065"/>
    </w:p>
    <w:p w14:paraId="708F9671">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13.1 如果乙方破产或无清偿能力，甲方可在任何时候以书面形式通知乙方终止合同而不给乙方补偿。</w:t>
      </w:r>
    </w:p>
    <w:p w14:paraId="11B82D3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13.2 该终止合同将不损害或影响甲方已经采取或将要采取的任何行动或补救措施的权力。</w:t>
      </w:r>
    </w:p>
    <w:p w14:paraId="67F96992">
      <w:pPr>
        <w:pStyle w:val="5"/>
        <w:rPr>
          <w:rFonts w:hint="eastAsia" w:ascii="宋体" w:hAnsi="宋体" w:cs="宋体"/>
          <w:color w:val="auto"/>
          <w:sz w:val="21"/>
          <w:highlight w:val="none"/>
        </w:rPr>
      </w:pPr>
      <w:bookmarkStart w:id="1066" w:name="_Toc23525"/>
      <w:bookmarkStart w:id="1067" w:name="_Toc20706"/>
      <w:bookmarkStart w:id="1068" w:name="_Toc164182277"/>
      <w:bookmarkStart w:id="1069" w:name="_Toc164680696"/>
      <w:bookmarkStart w:id="1070" w:name="_Toc26655"/>
      <w:bookmarkStart w:id="1071" w:name="_Toc164181749"/>
      <w:bookmarkStart w:id="1072" w:name="_Toc164182773"/>
      <w:bookmarkStart w:id="1073" w:name="_Toc164680919"/>
      <w:bookmarkStart w:id="1074" w:name="_Toc164182441"/>
      <w:bookmarkStart w:id="1075" w:name="_Toc31706"/>
      <w:bookmarkStart w:id="1076" w:name="_Toc164182067"/>
      <w:bookmarkStart w:id="1077" w:name="_Toc164681294"/>
      <w:r>
        <w:rPr>
          <w:rFonts w:hint="eastAsia" w:ascii="宋体" w:hAnsi="宋体" w:cs="宋体"/>
          <w:color w:val="auto"/>
          <w:sz w:val="21"/>
          <w:highlight w:val="none"/>
        </w:rPr>
        <w:t>14．其他情况的终止合同</w:t>
      </w:r>
      <w:bookmarkEnd w:id="1066"/>
      <w:bookmarkEnd w:id="1067"/>
      <w:bookmarkEnd w:id="1068"/>
      <w:bookmarkEnd w:id="1069"/>
      <w:bookmarkEnd w:id="1070"/>
      <w:bookmarkEnd w:id="1071"/>
      <w:bookmarkEnd w:id="1072"/>
      <w:bookmarkEnd w:id="1073"/>
      <w:bookmarkEnd w:id="1074"/>
      <w:bookmarkEnd w:id="1075"/>
      <w:bookmarkEnd w:id="1076"/>
      <w:bookmarkEnd w:id="1077"/>
    </w:p>
    <w:p w14:paraId="6BD8B40C">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14.1 乙方在执行合同的过程中发生重大事故或变故，对履行合同有直接影响的，甲方可以提出终止合同而不给予乙方任何补偿。</w:t>
      </w:r>
    </w:p>
    <w:p w14:paraId="083F76D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14.2 在服务期内，由于甲方工作计划调整，推广使用新应用系统导致本项目相关服务停止的，甲方可以提出终止合同而不给予乙方任何补偿。</w:t>
      </w:r>
    </w:p>
    <w:p w14:paraId="690F1E60">
      <w:pPr>
        <w:pStyle w:val="5"/>
        <w:rPr>
          <w:rFonts w:hint="eastAsia" w:ascii="宋体" w:hAnsi="宋体" w:cs="宋体"/>
          <w:color w:val="auto"/>
          <w:sz w:val="21"/>
          <w:highlight w:val="none"/>
        </w:rPr>
      </w:pPr>
      <w:bookmarkStart w:id="1078" w:name="_Toc1075"/>
      <w:bookmarkStart w:id="1079" w:name="_Toc164680697"/>
      <w:bookmarkStart w:id="1080" w:name="_Toc164181750"/>
      <w:bookmarkStart w:id="1081" w:name="_Toc164182442"/>
      <w:bookmarkStart w:id="1082" w:name="_Toc164182278"/>
      <w:bookmarkStart w:id="1083" w:name="_Toc27969"/>
      <w:bookmarkStart w:id="1084" w:name="_Toc164182774"/>
      <w:bookmarkStart w:id="1085" w:name="_Toc164681295"/>
      <w:bookmarkStart w:id="1086" w:name="_Toc164680920"/>
      <w:bookmarkStart w:id="1087" w:name="_Toc26164"/>
      <w:bookmarkStart w:id="1088" w:name="_Toc164182068"/>
      <w:bookmarkStart w:id="1089" w:name="_Toc30705"/>
      <w:r>
        <w:rPr>
          <w:rFonts w:hint="eastAsia" w:ascii="宋体" w:hAnsi="宋体" w:cs="宋体"/>
          <w:color w:val="auto"/>
          <w:sz w:val="21"/>
          <w:highlight w:val="none"/>
        </w:rPr>
        <w:t>15．合同修改或变更</w:t>
      </w:r>
      <w:bookmarkEnd w:id="1078"/>
      <w:bookmarkEnd w:id="1079"/>
      <w:bookmarkEnd w:id="1080"/>
      <w:bookmarkEnd w:id="1081"/>
      <w:bookmarkEnd w:id="1082"/>
      <w:bookmarkEnd w:id="1083"/>
      <w:bookmarkEnd w:id="1084"/>
      <w:bookmarkEnd w:id="1085"/>
      <w:bookmarkEnd w:id="1086"/>
      <w:bookmarkEnd w:id="1087"/>
      <w:bookmarkEnd w:id="1088"/>
      <w:bookmarkEnd w:id="1089"/>
    </w:p>
    <w:p w14:paraId="5A8F8CE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15.1 合同如有未尽事宜，须经甲乙双方共同协商，做出补充约定，并签订书面补充合同或变更协议。补充合同或变更协议作为本合同的一部分，与本合同具有同等效力。</w:t>
      </w:r>
    </w:p>
    <w:p w14:paraId="43EDB433">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15.2 除了双方签署书面修改或变更协议，并成为本合同不可分割的一部分的情况之外，本合同的条款不得有任何变化或修改。</w:t>
      </w:r>
    </w:p>
    <w:p w14:paraId="5406442A">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15.3 由于采购人项目统一规划等原因导致本项目停止部分服务的，甲方将启动合同变更程序，与乙方协商变更相关合同条款。</w:t>
      </w:r>
    </w:p>
    <w:p w14:paraId="66E2DB33">
      <w:pPr>
        <w:pStyle w:val="5"/>
        <w:rPr>
          <w:rFonts w:hint="eastAsia" w:ascii="宋体" w:hAnsi="宋体" w:cs="宋体"/>
          <w:color w:val="auto"/>
          <w:sz w:val="21"/>
          <w:highlight w:val="none"/>
        </w:rPr>
      </w:pPr>
      <w:bookmarkStart w:id="1090" w:name="_Toc164680921"/>
      <w:bookmarkStart w:id="1091" w:name="_Toc164182279"/>
      <w:bookmarkStart w:id="1092" w:name="_Toc13659"/>
      <w:bookmarkStart w:id="1093" w:name="_Toc19872"/>
      <w:bookmarkStart w:id="1094" w:name="_Toc164182775"/>
      <w:bookmarkStart w:id="1095" w:name="_Toc164181751"/>
      <w:bookmarkStart w:id="1096" w:name="_Toc164681296"/>
      <w:bookmarkStart w:id="1097" w:name="_Toc164182443"/>
      <w:bookmarkStart w:id="1098" w:name="_Toc29400"/>
      <w:bookmarkStart w:id="1099" w:name="_Toc164680698"/>
      <w:bookmarkStart w:id="1100" w:name="_Toc164182069"/>
      <w:bookmarkStart w:id="1101" w:name="_Toc14811"/>
      <w:r>
        <w:rPr>
          <w:rFonts w:hint="eastAsia" w:ascii="宋体" w:hAnsi="宋体" w:cs="宋体"/>
          <w:color w:val="auto"/>
          <w:sz w:val="21"/>
          <w:highlight w:val="none"/>
        </w:rPr>
        <w:t>16．转让和分包</w:t>
      </w:r>
      <w:bookmarkEnd w:id="1090"/>
      <w:bookmarkEnd w:id="1091"/>
      <w:bookmarkEnd w:id="1092"/>
      <w:bookmarkEnd w:id="1093"/>
      <w:bookmarkEnd w:id="1094"/>
      <w:bookmarkEnd w:id="1095"/>
      <w:bookmarkEnd w:id="1096"/>
      <w:bookmarkEnd w:id="1097"/>
      <w:bookmarkEnd w:id="1098"/>
      <w:bookmarkEnd w:id="1099"/>
      <w:bookmarkEnd w:id="1100"/>
      <w:bookmarkEnd w:id="1101"/>
    </w:p>
    <w:p w14:paraId="359D010D">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16.1 除甲方事先书面同意外，乙方不得部分转让或全部转让其应履行的合同义务。</w:t>
      </w:r>
    </w:p>
    <w:p w14:paraId="3F086FF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16.2 未经甲方同意，乙方不得采取分包方式履行合同。经甲方同意分包履行合同的，乙方就采购项目及分包项目向甲方负责，分包供应商就分包项目承担责任。</w:t>
      </w:r>
    </w:p>
    <w:p w14:paraId="3E6B4E8D">
      <w:pPr>
        <w:pStyle w:val="5"/>
        <w:rPr>
          <w:rFonts w:hint="eastAsia" w:ascii="宋体" w:hAnsi="宋体" w:cs="宋体"/>
          <w:color w:val="auto"/>
          <w:sz w:val="21"/>
          <w:highlight w:val="none"/>
        </w:rPr>
      </w:pPr>
      <w:bookmarkStart w:id="1102" w:name="_Toc164182070"/>
      <w:bookmarkStart w:id="1103" w:name="_Toc164182444"/>
      <w:bookmarkStart w:id="1104" w:name="_Toc13468"/>
      <w:bookmarkStart w:id="1105" w:name="_Toc164680922"/>
      <w:bookmarkStart w:id="1106" w:name="_Toc164680699"/>
      <w:bookmarkStart w:id="1107" w:name="_Toc164182280"/>
      <w:bookmarkStart w:id="1108" w:name="_Toc17596"/>
      <w:bookmarkStart w:id="1109" w:name="_Toc164681297"/>
      <w:bookmarkStart w:id="1110" w:name="_Toc31484"/>
      <w:bookmarkStart w:id="1111" w:name="_Toc164182776"/>
      <w:bookmarkStart w:id="1112" w:name="_Toc3647"/>
      <w:bookmarkStart w:id="1113" w:name="_Toc164181752"/>
      <w:r>
        <w:rPr>
          <w:rFonts w:hint="eastAsia" w:ascii="宋体" w:hAnsi="宋体" w:cs="宋体"/>
          <w:color w:val="auto"/>
          <w:sz w:val="21"/>
          <w:highlight w:val="none"/>
        </w:rPr>
        <w:t>17．合同语言</w:t>
      </w:r>
      <w:bookmarkEnd w:id="1102"/>
      <w:bookmarkEnd w:id="1103"/>
      <w:bookmarkEnd w:id="1104"/>
      <w:bookmarkEnd w:id="1105"/>
      <w:bookmarkEnd w:id="1106"/>
      <w:bookmarkEnd w:id="1107"/>
      <w:bookmarkEnd w:id="1108"/>
      <w:bookmarkEnd w:id="1109"/>
      <w:bookmarkEnd w:id="1110"/>
      <w:bookmarkEnd w:id="1111"/>
      <w:bookmarkEnd w:id="1112"/>
      <w:bookmarkEnd w:id="1113"/>
    </w:p>
    <w:p w14:paraId="6F957499">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17.1．本合同语言为中文。</w:t>
      </w:r>
    </w:p>
    <w:p w14:paraId="6A5C361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17.2．双方交换的与合同有关的信件和其他文件应用合同语言书写。</w:t>
      </w:r>
    </w:p>
    <w:p w14:paraId="649F8B56">
      <w:pPr>
        <w:pStyle w:val="5"/>
        <w:rPr>
          <w:rFonts w:hint="eastAsia" w:ascii="宋体" w:hAnsi="宋体" w:cs="宋体"/>
          <w:color w:val="auto"/>
          <w:sz w:val="21"/>
          <w:highlight w:val="none"/>
        </w:rPr>
      </w:pPr>
      <w:bookmarkStart w:id="1114" w:name="_Toc164680700"/>
      <w:bookmarkStart w:id="1115" w:name="_Toc164681298"/>
      <w:bookmarkStart w:id="1116" w:name="_Toc164182777"/>
      <w:bookmarkStart w:id="1117" w:name="_Toc164182071"/>
      <w:bookmarkStart w:id="1118" w:name="_Toc164680923"/>
      <w:bookmarkStart w:id="1119" w:name="_Toc20536"/>
      <w:bookmarkStart w:id="1120" w:name="_Toc27064"/>
      <w:bookmarkStart w:id="1121" w:name="_Toc164181753"/>
      <w:bookmarkStart w:id="1122" w:name="_Toc164182445"/>
      <w:bookmarkStart w:id="1123" w:name="_Toc22289"/>
      <w:bookmarkStart w:id="1124" w:name="_Toc164182281"/>
      <w:bookmarkStart w:id="1125" w:name="_Toc17528"/>
      <w:r>
        <w:rPr>
          <w:rFonts w:hint="eastAsia" w:ascii="宋体" w:hAnsi="宋体" w:cs="宋体"/>
          <w:color w:val="auto"/>
          <w:sz w:val="21"/>
          <w:highlight w:val="none"/>
        </w:rPr>
        <w:t>18．适用法律</w:t>
      </w:r>
      <w:bookmarkEnd w:id="1114"/>
      <w:bookmarkEnd w:id="1115"/>
      <w:bookmarkEnd w:id="1116"/>
      <w:bookmarkEnd w:id="1117"/>
      <w:bookmarkEnd w:id="1118"/>
      <w:bookmarkEnd w:id="1119"/>
      <w:bookmarkEnd w:id="1120"/>
      <w:bookmarkEnd w:id="1121"/>
      <w:bookmarkEnd w:id="1122"/>
      <w:bookmarkEnd w:id="1123"/>
      <w:bookmarkEnd w:id="1124"/>
      <w:bookmarkEnd w:id="1125"/>
    </w:p>
    <w:p w14:paraId="454505A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18.1 本合同按照中华人民共和国现行法律进行解释。</w:t>
      </w:r>
    </w:p>
    <w:p w14:paraId="475D0E20">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18.2 本合同的履行、违约责任和解决争议的方法等适用《中华人民共和国民法典（合同编）》。</w:t>
      </w:r>
    </w:p>
    <w:p w14:paraId="7BD4BFD0">
      <w:pPr>
        <w:pStyle w:val="5"/>
        <w:rPr>
          <w:rFonts w:hint="eastAsia" w:ascii="宋体" w:hAnsi="宋体" w:cs="宋体"/>
          <w:color w:val="auto"/>
          <w:sz w:val="21"/>
          <w:highlight w:val="none"/>
        </w:rPr>
      </w:pPr>
      <w:bookmarkStart w:id="1126" w:name="_Toc25427"/>
      <w:bookmarkStart w:id="1127" w:name="_Toc164182446"/>
      <w:bookmarkStart w:id="1128" w:name="_Toc164182072"/>
      <w:bookmarkStart w:id="1129" w:name="_Toc164680701"/>
      <w:bookmarkStart w:id="1130" w:name="_Toc23146"/>
      <w:bookmarkStart w:id="1131" w:name="_Toc164681299"/>
      <w:bookmarkStart w:id="1132" w:name="_Toc164680924"/>
      <w:bookmarkStart w:id="1133" w:name="_Toc3673"/>
      <w:bookmarkStart w:id="1134" w:name="_Toc164182778"/>
      <w:bookmarkStart w:id="1135" w:name="_Toc16126"/>
      <w:bookmarkStart w:id="1136" w:name="_Toc164182282"/>
      <w:bookmarkStart w:id="1137" w:name="_Toc164181754"/>
      <w:r>
        <w:rPr>
          <w:rFonts w:hint="eastAsia" w:ascii="宋体" w:hAnsi="宋体" w:cs="宋体"/>
          <w:color w:val="auto"/>
          <w:sz w:val="21"/>
          <w:highlight w:val="none"/>
        </w:rPr>
        <w:t>19．税费</w:t>
      </w:r>
      <w:bookmarkEnd w:id="1126"/>
      <w:bookmarkEnd w:id="1127"/>
      <w:bookmarkEnd w:id="1128"/>
      <w:bookmarkEnd w:id="1129"/>
      <w:bookmarkEnd w:id="1130"/>
      <w:bookmarkEnd w:id="1131"/>
      <w:bookmarkEnd w:id="1132"/>
      <w:bookmarkEnd w:id="1133"/>
      <w:bookmarkEnd w:id="1134"/>
      <w:bookmarkEnd w:id="1135"/>
      <w:bookmarkEnd w:id="1136"/>
      <w:bookmarkEnd w:id="1137"/>
    </w:p>
    <w:p w14:paraId="2C14021F">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19.1 合同服务的所有税费均已包含于合同价中，甲方不再另行支付。</w:t>
      </w:r>
    </w:p>
    <w:p w14:paraId="1FFD754F">
      <w:pPr>
        <w:pStyle w:val="5"/>
        <w:rPr>
          <w:rFonts w:hint="eastAsia" w:ascii="宋体" w:hAnsi="宋体" w:cs="宋体"/>
          <w:color w:val="auto"/>
          <w:sz w:val="21"/>
          <w:highlight w:val="none"/>
        </w:rPr>
      </w:pPr>
      <w:bookmarkStart w:id="1138" w:name="_Toc32098"/>
      <w:bookmarkStart w:id="1139" w:name="_Toc32489"/>
      <w:bookmarkStart w:id="1140" w:name="_Toc164182283"/>
      <w:bookmarkStart w:id="1141" w:name="_Toc164680702"/>
      <w:bookmarkStart w:id="1142" w:name="_Toc164681300"/>
      <w:bookmarkStart w:id="1143" w:name="_Toc164680925"/>
      <w:bookmarkStart w:id="1144" w:name="_Toc164182447"/>
      <w:bookmarkStart w:id="1145" w:name="_Toc164182779"/>
      <w:bookmarkStart w:id="1146" w:name="_Toc164182073"/>
      <w:bookmarkStart w:id="1147" w:name="_Toc28448"/>
      <w:bookmarkStart w:id="1148" w:name="_Toc164181755"/>
      <w:bookmarkStart w:id="1149" w:name="_Toc16619"/>
      <w:r>
        <w:rPr>
          <w:rFonts w:hint="eastAsia" w:ascii="宋体" w:hAnsi="宋体" w:cs="宋体"/>
          <w:color w:val="auto"/>
          <w:sz w:val="21"/>
          <w:highlight w:val="none"/>
        </w:rPr>
        <w:t>20．合同生效</w:t>
      </w:r>
      <w:bookmarkEnd w:id="1138"/>
      <w:bookmarkEnd w:id="1139"/>
      <w:bookmarkEnd w:id="1140"/>
      <w:bookmarkEnd w:id="1141"/>
      <w:bookmarkEnd w:id="1142"/>
      <w:bookmarkEnd w:id="1143"/>
      <w:bookmarkEnd w:id="1144"/>
      <w:bookmarkEnd w:id="1145"/>
      <w:bookmarkEnd w:id="1146"/>
      <w:bookmarkEnd w:id="1147"/>
      <w:bookmarkEnd w:id="1148"/>
      <w:bookmarkEnd w:id="1149"/>
    </w:p>
    <w:p w14:paraId="4F327486">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20.1 本合同一式</w:t>
      </w:r>
      <w:r>
        <w:rPr>
          <w:rFonts w:hint="eastAsia" w:ascii="宋体" w:hAnsi="宋体" w:cs="宋体"/>
          <w:color w:val="auto"/>
          <w:szCs w:val="21"/>
          <w:highlight w:val="none"/>
          <w:lang w:val="en-US" w:eastAsia="zh-CN"/>
        </w:rPr>
        <w:t>伍</w:t>
      </w:r>
      <w:r>
        <w:rPr>
          <w:rFonts w:hint="eastAsia" w:ascii="宋体" w:hAnsi="宋体" w:cs="宋体"/>
          <w:color w:val="auto"/>
          <w:szCs w:val="21"/>
          <w:highlight w:val="none"/>
        </w:rPr>
        <w:t>份，甲方执</w:t>
      </w:r>
      <w:r>
        <w:rPr>
          <w:rFonts w:hint="eastAsia" w:ascii="宋体" w:hAnsi="宋体" w:cs="宋体"/>
          <w:color w:val="auto"/>
          <w:szCs w:val="21"/>
          <w:highlight w:val="none"/>
          <w:lang w:val="en-US" w:eastAsia="zh-CN"/>
        </w:rPr>
        <w:t>叁</w:t>
      </w:r>
      <w:r>
        <w:rPr>
          <w:rFonts w:hint="eastAsia" w:ascii="宋体" w:hAnsi="宋体" w:cs="宋体"/>
          <w:color w:val="auto"/>
          <w:szCs w:val="21"/>
          <w:highlight w:val="none"/>
        </w:rPr>
        <w:t>份，乙方执</w:t>
      </w:r>
      <w:r>
        <w:rPr>
          <w:rFonts w:hint="eastAsia" w:ascii="宋体" w:hAnsi="宋体" w:cs="宋体"/>
          <w:color w:val="auto"/>
          <w:szCs w:val="21"/>
          <w:highlight w:val="none"/>
          <w:lang w:val="en-US" w:eastAsia="zh-CN"/>
        </w:rPr>
        <w:t>贰</w:t>
      </w:r>
      <w:r>
        <w:rPr>
          <w:rFonts w:hint="eastAsia" w:ascii="宋体" w:hAnsi="宋体" w:cs="宋体"/>
          <w:color w:val="auto"/>
          <w:szCs w:val="21"/>
          <w:highlight w:val="none"/>
        </w:rPr>
        <w:t>份。由甲乙双方法定代表人或被授权人签字并盖章后生效。</w:t>
      </w:r>
    </w:p>
    <w:p w14:paraId="7AADC001">
      <w:pPr>
        <w:pStyle w:val="4"/>
        <w:jc w:val="center"/>
        <w:rPr>
          <w:rFonts w:hint="eastAsia" w:ascii="宋体" w:hAnsi="宋体" w:cs="宋体"/>
          <w:color w:val="auto"/>
          <w:sz w:val="21"/>
          <w:szCs w:val="21"/>
          <w:highlight w:val="none"/>
        </w:rPr>
      </w:pPr>
      <w:bookmarkStart w:id="1150" w:name="_Toc164680926"/>
      <w:bookmarkStart w:id="1151" w:name="_Toc164182074"/>
      <w:bookmarkStart w:id="1152" w:name="_Toc164182780"/>
      <w:bookmarkStart w:id="1153" w:name="_Toc8145"/>
      <w:bookmarkStart w:id="1154" w:name="_Toc164182284"/>
      <w:bookmarkStart w:id="1155" w:name="_Toc164681301"/>
      <w:bookmarkStart w:id="1156" w:name="_Toc19411"/>
      <w:bookmarkStart w:id="1157" w:name="_Toc17236"/>
      <w:bookmarkStart w:id="1158" w:name="_Toc164181756"/>
      <w:bookmarkStart w:id="1159" w:name="_Toc1505"/>
      <w:bookmarkStart w:id="1160" w:name="_Toc1618"/>
      <w:bookmarkStart w:id="1161" w:name="_Toc164680703"/>
      <w:r>
        <w:rPr>
          <w:rFonts w:hint="eastAsia" w:ascii="宋体" w:hAnsi="宋体" w:cs="宋体"/>
          <w:color w:val="auto"/>
          <w:sz w:val="21"/>
          <w:szCs w:val="21"/>
          <w:highlight w:val="none"/>
        </w:rPr>
        <w:t>三、合同附件</w:t>
      </w:r>
      <w:bookmarkEnd w:id="1150"/>
      <w:bookmarkEnd w:id="1151"/>
      <w:bookmarkEnd w:id="1152"/>
      <w:bookmarkEnd w:id="1153"/>
      <w:bookmarkEnd w:id="1154"/>
      <w:bookmarkEnd w:id="1155"/>
      <w:bookmarkEnd w:id="1156"/>
      <w:bookmarkEnd w:id="1157"/>
      <w:bookmarkEnd w:id="1158"/>
      <w:bookmarkEnd w:id="1159"/>
      <w:bookmarkEnd w:id="1160"/>
      <w:bookmarkEnd w:id="1161"/>
    </w:p>
    <w:p w14:paraId="3832577F">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（如需要，可另附）</w:t>
      </w:r>
    </w:p>
    <w:p w14:paraId="164F2005">
      <w:pPr>
        <w:widowControl/>
        <w:jc w:val="left"/>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r>
    </w:p>
    <w:p w14:paraId="11937D3D">
      <w:pPr>
        <w:pStyle w:val="2"/>
        <w:rPr>
          <w:rFonts w:hint="eastAsia" w:ascii="宋体" w:hAnsi="宋体" w:cs="宋体"/>
          <w:color w:val="auto"/>
          <w:highlight w:val="none"/>
        </w:rPr>
      </w:pPr>
      <w:bookmarkStart w:id="1162" w:name="_Toc132880284"/>
      <w:bookmarkStart w:id="1163" w:name="_Toc18907"/>
      <w:bookmarkStart w:id="1164" w:name="_Toc25942"/>
      <w:bookmarkStart w:id="1165" w:name="_Toc164182781"/>
      <w:bookmarkStart w:id="1166" w:name="_Toc164681302"/>
      <w:bookmarkStart w:id="1167" w:name="_Toc18298"/>
      <w:bookmarkStart w:id="1168" w:name="_Toc3080"/>
      <w:bookmarkStart w:id="1169" w:name="_Toc164182285"/>
      <w:bookmarkStart w:id="1170" w:name="_Toc2747"/>
      <w:bookmarkStart w:id="1171" w:name="_Toc10826"/>
      <w:bookmarkStart w:id="1172" w:name="_Toc28384"/>
      <w:bookmarkStart w:id="1173" w:name="_Toc9203"/>
      <w:r>
        <w:rPr>
          <w:rFonts w:hint="eastAsia" w:ascii="宋体" w:hAnsi="宋体" w:cs="宋体"/>
          <w:color w:val="auto"/>
          <w:highlight w:val="none"/>
        </w:rPr>
        <w:t>第五章  投标文件格式</w:t>
      </w:r>
      <w:bookmarkEnd w:id="1162"/>
      <w:bookmarkEnd w:id="1163"/>
      <w:bookmarkEnd w:id="1164"/>
      <w:bookmarkEnd w:id="1165"/>
      <w:bookmarkEnd w:id="1166"/>
      <w:bookmarkEnd w:id="1167"/>
      <w:bookmarkEnd w:id="1168"/>
      <w:bookmarkEnd w:id="1169"/>
      <w:bookmarkEnd w:id="1170"/>
      <w:bookmarkEnd w:id="1171"/>
      <w:bookmarkEnd w:id="1172"/>
      <w:bookmarkEnd w:id="1173"/>
    </w:p>
    <w:p w14:paraId="20F03F64">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注：</w:t>
      </w:r>
    </w:p>
    <w:p w14:paraId="24049EFE">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投标人必须按下列文本格式，如实提供具有法律效力的资格证明文件和真实有效的其他文件资料，任何不按下列文本格式提供或有实质性变更将由投标人承担风险。</w:t>
      </w:r>
    </w:p>
    <w:p w14:paraId="764CE438">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1.投标人应严格按照本章规定填写和提交全部格式文件以及其他有关资料，混乱的编排导致投标文件被误读或查找不到，后果由投标人承担。</w:t>
      </w:r>
    </w:p>
    <w:p w14:paraId="41FE6BDE">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1174" w:name="_Toc26712"/>
      <w:bookmarkStart w:id="1175" w:name="_Toc4234"/>
      <w:bookmarkStart w:id="1176" w:name="_Toc5647"/>
      <w:bookmarkStart w:id="1177" w:name="_Toc5571"/>
      <w:bookmarkStart w:id="1178" w:name="_Toc29346"/>
      <w:r>
        <w:rPr>
          <w:rFonts w:hint="eastAsia" w:ascii="宋体" w:hAnsi="宋体" w:eastAsia="宋体" w:cs="宋体"/>
          <w:color w:val="auto"/>
          <w:sz w:val="24"/>
          <w:szCs w:val="21"/>
          <w:highlight w:val="none"/>
        </w:rPr>
        <w:t>2.所附表格中要求回答的全部问题和信息都必须正面回答。</w:t>
      </w:r>
      <w:bookmarkEnd w:id="1174"/>
      <w:bookmarkEnd w:id="1175"/>
      <w:bookmarkEnd w:id="1176"/>
      <w:bookmarkEnd w:id="1177"/>
      <w:bookmarkEnd w:id="1178"/>
    </w:p>
    <w:p w14:paraId="71E78DB7">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3.资格声明文件的签字人应保证全部声明和问题的回答是真实的和准确的。</w:t>
      </w:r>
    </w:p>
    <w:p w14:paraId="2133E6D2">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4.评标委员会将应用投标人提交的资料并根据自己的判断，决定投标人履行合同的合格性及能力。</w:t>
      </w:r>
    </w:p>
    <w:p w14:paraId="48D49145">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1179" w:name="_Toc19903"/>
      <w:bookmarkStart w:id="1180" w:name="_Toc12935"/>
      <w:bookmarkStart w:id="1181" w:name="_Toc5755"/>
      <w:bookmarkStart w:id="1182" w:name="_Toc23371"/>
      <w:bookmarkStart w:id="1183" w:name="_Toc28121"/>
      <w:r>
        <w:rPr>
          <w:rFonts w:hint="eastAsia" w:ascii="宋体" w:hAnsi="宋体" w:eastAsia="宋体" w:cs="宋体"/>
          <w:color w:val="auto"/>
          <w:sz w:val="24"/>
          <w:szCs w:val="21"/>
          <w:highlight w:val="none"/>
        </w:rPr>
        <w:t>5.全部文件应按投标人须知中规定的语言提交。</w:t>
      </w:r>
      <w:bookmarkEnd w:id="1179"/>
      <w:bookmarkEnd w:id="1180"/>
      <w:bookmarkEnd w:id="1181"/>
      <w:bookmarkEnd w:id="1182"/>
      <w:bookmarkEnd w:id="1183"/>
    </w:p>
    <w:p w14:paraId="621CEEC5">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6.以下格式文件为要求填写内容的固定格式，投标人不得擅自修改格式，其他未提供格式的文件和资料由投标人自行设计编制格式填写。</w:t>
      </w:r>
    </w:p>
    <w:p w14:paraId="57FE89F0">
      <w:pPr>
        <w:widowControl/>
        <w:jc w:val="left"/>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r>
    </w:p>
    <w:p w14:paraId="3E1018C7">
      <w:pPr>
        <w:pStyle w:val="3"/>
        <w:rPr>
          <w:rFonts w:hint="eastAsia" w:ascii="宋体" w:hAnsi="宋体" w:cs="宋体"/>
          <w:color w:val="auto"/>
          <w:highlight w:val="none"/>
        </w:rPr>
      </w:pPr>
      <w:bookmarkStart w:id="1184" w:name="_Toc164681303"/>
      <w:bookmarkStart w:id="1185" w:name="_Toc21269"/>
      <w:bookmarkStart w:id="1186" w:name="_Toc32335"/>
      <w:bookmarkStart w:id="1187" w:name="_Toc137660283"/>
      <w:bookmarkStart w:id="1188" w:name="_Toc106203139"/>
      <w:bookmarkStart w:id="1189" w:name="_Toc7596"/>
      <w:bookmarkStart w:id="1190" w:name="_Toc137660343"/>
      <w:bookmarkStart w:id="1191" w:name="_Toc137660663"/>
      <w:bookmarkStart w:id="1192" w:name="_Toc29642"/>
      <w:bookmarkStart w:id="1193" w:name="_Toc29753"/>
      <w:bookmarkStart w:id="1194" w:name="_Toc107941490"/>
      <w:bookmarkStart w:id="1195" w:name="_Toc164182782"/>
      <w:bookmarkStart w:id="1196" w:name="_Toc23526"/>
      <w:bookmarkStart w:id="1197" w:name="_Toc164182286"/>
      <w:r>
        <w:rPr>
          <w:rFonts w:hint="eastAsia" w:ascii="宋体" w:hAnsi="宋体" w:cs="宋体"/>
          <w:color w:val="auto"/>
          <w:highlight w:val="none"/>
        </w:rPr>
        <w:t>第一部分  投标文件商务部分格式</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14:paraId="21F46950">
      <w:pPr>
        <w:adjustRightInd w:val="0"/>
        <w:snapToGrid w:val="0"/>
        <w:spacing w:line="360" w:lineRule="auto"/>
        <w:ind w:firstLine="480" w:firstLineChars="200"/>
        <w:rPr>
          <w:rFonts w:hint="eastAsia" w:ascii="宋体" w:hAnsi="宋体" w:cs="宋体"/>
          <w:color w:val="auto"/>
          <w:sz w:val="24"/>
          <w:szCs w:val="21"/>
          <w:highlight w:val="none"/>
        </w:rPr>
      </w:pPr>
    </w:p>
    <w:p w14:paraId="2370927D">
      <w:pPr>
        <w:adjustRightInd w:val="0"/>
        <w:snapToGrid w:val="0"/>
        <w:spacing w:line="360" w:lineRule="auto"/>
        <w:ind w:firstLine="480" w:firstLineChars="200"/>
        <w:rPr>
          <w:rFonts w:hint="eastAsia" w:ascii="宋体" w:hAnsi="宋体" w:cs="宋体"/>
          <w:color w:val="auto"/>
          <w:sz w:val="24"/>
          <w:szCs w:val="21"/>
          <w:highlight w:val="none"/>
        </w:rPr>
      </w:pPr>
    </w:p>
    <w:p w14:paraId="368F5352">
      <w:pPr>
        <w:adjustRightInd w:val="0"/>
        <w:snapToGrid w:val="0"/>
        <w:spacing w:line="360" w:lineRule="auto"/>
        <w:ind w:firstLine="480" w:firstLineChars="200"/>
        <w:rPr>
          <w:rFonts w:hint="eastAsia" w:ascii="宋体" w:hAnsi="宋体" w:cs="宋体"/>
          <w:color w:val="auto"/>
          <w:sz w:val="24"/>
          <w:szCs w:val="21"/>
          <w:highlight w:val="none"/>
        </w:rPr>
      </w:pPr>
    </w:p>
    <w:p w14:paraId="5A32E009">
      <w:pPr>
        <w:adjustRightInd w:val="0"/>
        <w:snapToGrid w:val="0"/>
        <w:spacing w:line="360" w:lineRule="auto"/>
        <w:ind w:firstLine="480" w:firstLineChars="200"/>
        <w:rPr>
          <w:rFonts w:hint="eastAsia" w:ascii="宋体" w:hAnsi="宋体" w:cs="宋体"/>
          <w:color w:val="auto"/>
          <w:sz w:val="24"/>
          <w:szCs w:val="21"/>
          <w:highlight w:val="none"/>
        </w:rPr>
      </w:pPr>
    </w:p>
    <w:p w14:paraId="1DAC9370">
      <w:pPr>
        <w:adjustRightInd w:val="0"/>
        <w:snapToGrid w:val="0"/>
        <w:spacing w:line="360" w:lineRule="auto"/>
        <w:jc w:val="center"/>
        <w:rPr>
          <w:rFonts w:hint="eastAsia" w:ascii="宋体" w:hAnsi="宋体" w:cs="宋体"/>
          <w:b/>
          <w:caps/>
          <w:color w:val="auto"/>
          <w:sz w:val="72"/>
          <w:szCs w:val="20"/>
          <w:highlight w:val="none"/>
        </w:rPr>
      </w:pPr>
      <w:r>
        <w:rPr>
          <w:rFonts w:hint="eastAsia" w:ascii="宋体" w:hAnsi="宋体" w:cs="宋体"/>
          <w:b/>
          <w:caps/>
          <w:color w:val="auto"/>
          <w:sz w:val="72"/>
          <w:szCs w:val="20"/>
          <w:highlight w:val="none"/>
        </w:rPr>
        <w:t>投 标 文 件</w:t>
      </w:r>
    </w:p>
    <w:p w14:paraId="0A6213FE">
      <w:pPr>
        <w:adjustRightInd w:val="0"/>
        <w:snapToGrid w:val="0"/>
        <w:spacing w:line="360" w:lineRule="auto"/>
        <w:jc w:val="center"/>
        <w:rPr>
          <w:rFonts w:hint="eastAsia" w:ascii="宋体" w:hAnsi="宋体" w:cs="宋体"/>
          <w:b/>
          <w:caps/>
          <w:color w:val="auto"/>
          <w:sz w:val="72"/>
          <w:szCs w:val="20"/>
          <w:highlight w:val="none"/>
        </w:rPr>
      </w:pPr>
      <w:r>
        <w:rPr>
          <w:rFonts w:hint="eastAsia" w:ascii="宋体" w:hAnsi="宋体" w:cs="宋体"/>
          <w:b/>
          <w:caps/>
          <w:color w:val="auto"/>
          <w:sz w:val="44"/>
          <w:szCs w:val="20"/>
          <w:highlight w:val="none"/>
        </w:rPr>
        <w:t>商务部分</w:t>
      </w:r>
    </w:p>
    <w:p w14:paraId="3FF5C8FD">
      <w:pPr>
        <w:adjustRightInd w:val="0"/>
        <w:snapToGrid w:val="0"/>
        <w:spacing w:line="360" w:lineRule="auto"/>
        <w:ind w:firstLine="480" w:firstLineChars="200"/>
        <w:rPr>
          <w:rFonts w:hint="eastAsia" w:ascii="宋体" w:hAnsi="宋体" w:cs="宋体"/>
          <w:color w:val="auto"/>
          <w:sz w:val="24"/>
          <w:szCs w:val="21"/>
          <w:highlight w:val="none"/>
        </w:rPr>
      </w:pPr>
    </w:p>
    <w:p w14:paraId="0D6E281E">
      <w:pPr>
        <w:adjustRightInd w:val="0"/>
        <w:snapToGrid w:val="0"/>
        <w:spacing w:line="360" w:lineRule="auto"/>
        <w:ind w:firstLine="480" w:firstLineChars="200"/>
        <w:rPr>
          <w:rFonts w:hint="eastAsia" w:ascii="宋体" w:hAnsi="宋体" w:cs="宋体"/>
          <w:color w:val="auto"/>
          <w:sz w:val="24"/>
          <w:szCs w:val="21"/>
          <w:highlight w:val="none"/>
        </w:rPr>
      </w:pPr>
    </w:p>
    <w:p w14:paraId="2F48A2D6">
      <w:pPr>
        <w:adjustRightInd w:val="0"/>
        <w:snapToGrid w:val="0"/>
        <w:spacing w:line="360" w:lineRule="auto"/>
        <w:jc w:val="center"/>
        <w:rPr>
          <w:rFonts w:hint="eastAsia" w:ascii="宋体" w:hAnsi="宋体" w:cs="宋体"/>
          <w:b/>
          <w:caps/>
          <w:snapToGrid w:val="0"/>
          <w:color w:val="auto"/>
          <w:kern w:val="0"/>
          <w:sz w:val="30"/>
          <w:szCs w:val="20"/>
          <w:highlight w:val="none"/>
        </w:rPr>
      </w:pPr>
      <w:r>
        <w:rPr>
          <w:rFonts w:hint="eastAsia" w:ascii="宋体" w:hAnsi="宋体" w:cs="宋体"/>
          <w:b/>
          <w:caps/>
          <w:snapToGrid w:val="0"/>
          <w:color w:val="auto"/>
          <w:kern w:val="0"/>
          <w:sz w:val="30"/>
          <w:szCs w:val="20"/>
          <w:highlight w:val="none"/>
        </w:rPr>
        <w:t>（填写正本或副本）</w:t>
      </w:r>
    </w:p>
    <w:p w14:paraId="7330FB8E">
      <w:pPr>
        <w:adjustRightInd w:val="0"/>
        <w:snapToGrid w:val="0"/>
        <w:spacing w:line="360" w:lineRule="auto"/>
        <w:ind w:firstLine="480" w:firstLineChars="200"/>
        <w:rPr>
          <w:rFonts w:hint="eastAsia" w:ascii="宋体" w:hAnsi="宋体" w:cs="宋体"/>
          <w:color w:val="auto"/>
          <w:sz w:val="24"/>
          <w:szCs w:val="21"/>
          <w:highlight w:val="none"/>
        </w:rPr>
      </w:pPr>
    </w:p>
    <w:p w14:paraId="5F82C96B">
      <w:pPr>
        <w:adjustRightInd w:val="0"/>
        <w:snapToGrid w:val="0"/>
        <w:spacing w:line="360" w:lineRule="auto"/>
        <w:ind w:firstLine="480" w:firstLineChars="200"/>
        <w:rPr>
          <w:rFonts w:hint="eastAsia" w:ascii="宋体" w:hAnsi="宋体" w:cs="宋体"/>
          <w:color w:val="auto"/>
          <w:sz w:val="24"/>
          <w:szCs w:val="21"/>
          <w:highlight w:val="none"/>
        </w:rPr>
      </w:pPr>
    </w:p>
    <w:p w14:paraId="3B1AA35A">
      <w:pPr>
        <w:adjustRightInd w:val="0"/>
        <w:snapToGrid w:val="0"/>
        <w:spacing w:line="360" w:lineRule="auto"/>
        <w:ind w:firstLine="480" w:firstLineChars="200"/>
        <w:rPr>
          <w:rFonts w:hint="eastAsia" w:ascii="宋体" w:hAnsi="宋体" w:cs="宋体"/>
          <w:color w:val="auto"/>
          <w:sz w:val="24"/>
          <w:szCs w:val="21"/>
          <w:highlight w:val="none"/>
        </w:rPr>
      </w:pPr>
    </w:p>
    <w:p w14:paraId="54E642D8">
      <w:pPr>
        <w:adjustRightInd w:val="0"/>
        <w:snapToGrid w:val="0"/>
        <w:spacing w:line="360" w:lineRule="auto"/>
        <w:ind w:firstLine="480" w:firstLineChars="200"/>
        <w:rPr>
          <w:rFonts w:hint="eastAsia" w:ascii="宋体" w:hAnsi="宋体" w:cs="宋体"/>
          <w:color w:val="auto"/>
          <w:sz w:val="24"/>
          <w:szCs w:val="21"/>
          <w:highlight w:val="none"/>
        </w:rPr>
      </w:pPr>
    </w:p>
    <w:p w14:paraId="23B49D57">
      <w:pPr>
        <w:adjustRightInd w:val="0"/>
        <w:snapToGrid w:val="0"/>
        <w:spacing w:line="360" w:lineRule="auto"/>
        <w:ind w:left="630" w:leftChars="300" w:right="630" w:rightChars="300"/>
        <w:rPr>
          <w:rFonts w:hint="eastAsia" w:ascii="宋体" w:hAnsi="宋体" w:eastAsia="宋体" w:cs="宋体"/>
          <w:b/>
          <w:caps/>
          <w:color w:val="auto"/>
          <w:sz w:val="30"/>
          <w:szCs w:val="30"/>
          <w:highlight w:val="none"/>
          <w:lang w:eastAsia="zh-CN"/>
        </w:rPr>
      </w:pPr>
      <w:r>
        <w:rPr>
          <w:rFonts w:hint="eastAsia" w:ascii="宋体" w:hAnsi="宋体" w:cs="宋体"/>
          <w:b/>
          <w:caps/>
          <w:color w:val="auto"/>
          <w:sz w:val="30"/>
          <w:szCs w:val="30"/>
          <w:highlight w:val="none"/>
        </w:rPr>
        <w:t>项目名称：</w:t>
      </w:r>
      <w:r>
        <w:rPr>
          <w:rFonts w:hint="eastAsia" w:ascii="宋体" w:hAnsi="宋体" w:cs="宋体"/>
          <w:b/>
          <w:caps/>
          <w:color w:val="auto"/>
          <w:sz w:val="30"/>
          <w:szCs w:val="30"/>
          <w:highlight w:val="none"/>
          <w:u w:val="single"/>
          <w:lang w:eastAsia="zh-CN"/>
        </w:rPr>
        <w:t>甘肃税务2026年税收大数据应用平台运维服务项目</w:t>
      </w:r>
    </w:p>
    <w:p w14:paraId="3F757644">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项目编号：GS2026-DLGK-C0024-B00</w:t>
      </w:r>
    </w:p>
    <w:p w14:paraId="573E8963">
      <w:pPr>
        <w:adjustRightInd w:val="0"/>
        <w:snapToGrid w:val="0"/>
        <w:spacing w:line="360" w:lineRule="auto"/>
        <w:ind w:firstLine="480" w:firstLineChars="200"/>
        <w:rPr>
          <w:rFonts w:hint="eastAsia" w:ascii="宋体" w:hAnsi="宋体" w:cs="宋体"/>
          <w:color w:val="auto"/>
          <w:sz w:val="24"/>
          <w:szCs w:val="21"/>
          <w:highlight w:val="none"/>
        </w:rPr>
      </w:pPr>
    </w:p>
    <w:p w14:paraId="4E11C840">
      <w:pPr>
        <w:adjustRightInd w:val="0"/>
        <w:snapToGrid w:val="0"/>
        <w:spacing w:line="360" w:lineRule="auto"/>
        <w:ind w:firstLine="480" w:firstLineChars="200"/>
        <w:rPr>
          <w:rFonts w:hint="eastAsia" w:ascii="宋体" w:hAnsi="宋体" w:cs="宋体"/>
          <w:color w:val="auto"/>
          <w:sz w:val="24"/>
          <w:szCs w:val="21"/>
          <w:highlight w:val="none"/>
        </w:rPr>
      </w:pPr>
    </w:p>
    <w:p w14:paraId="1666FACA">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投 标 人：_____________________________________</w:t>
      </w:r>
    </w:p>
    <w:p w14:paraId="5D24B06D">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日    期：_____________________________________</w:t>
      </w:r>
    </w:p>
    <w:p w14:paraId="48EEFE74">
      <w:pPr>
        <w:pStyle w:val="4"/>
        <w:rPr>
          <w:rFonts w:hint="eastAsia" w:ascii="宋体" w:hAnsi="宋体" w:cs="宋体"/>
          <w:color w:val="auto"/>
          <w:highlight w:val="none"/>
        </w:rPr>
      </w:pPr>
      <w:bookmarkStart w:id="1198" w:name="_Toc137660664"/>
      <w:bookmarkStart w:id="1199" w:name="_Toc143701790"/>
      <w:bookmarkStart w:id="1200" w:name="_Toc164182783"/>
      <w:bookmarkStart w:id="1201" w:name="_Toc163825180"/>
      <w:bookmarkStart w:id="1202" w:name="_Toc143701904"/>
      <w:bookmarkStart w:id="1203" w:name="_Toc138234976"/>
      <w:bookmarkStart w:id="1204" w:name="_Toc163753137"/>
      <w:bookmarkStart w:id="1205" w:name="_Toc164182451"/>
      <w:bookmarkStart w:id="1206" w:name="_Toc137660777"/>
      <w:bookmarkStart w:id="1207" w:name="_Toc164681304"/>
      <w:bookmarkStart w:id="1208" w:name="_Toc164680927"/>
      <w:bookmarkStart w:id="1209" w:name="_Toc164181757"/>
      <w:bookmarkStart w:id="1210" w:name="_Toc164680704"/>
      <w:bookmarkStart w:id="1211" w:name="_Toc138234790"/>
      <w:bookmarkStart w:id="1212" w:name="_Toc143701671"/>
      <w:bookmarkStart w:id="1213" w:name="_Toc164182075"/>
      <w:bookmarkStart w:id="1214" w:name="_Toc137660284"/>
      <w:bookmarkStart w:id="1215" w:name="_Toc137660344"/>
      <w:bookmarkStart w:id="1216" w:name="_Toc137660528"/>
      <w:bookmarkStart w:id="1217" w:name="_Toc164182287"/>
      <w:r>
        <w:rPr>
          <w:rFonts w:hint="eastAsia" w:ascii="宋体" w:hAnsi="宋体" w:cs="宋体"/>
          <w:b/>
          <w:color w:val="auto"/>
          <w:highlight w:val="none"/>
        </w:rPr>
        <w:br w:type="page"/>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Start w:id="1218" w:name="_Toc164182784"/>
      <w:bookmarkStart w:id="1219" w:name="_Toc164181758"/>
      <w:bookmarkStart w:id="1220" w:name="_Toc2595"/>
      <w:bookmarkStart w:id="1221" w:name="_Toc17919"/>
      <w:bookmarkStart w:id="1222" w:name="_Toc6688"/>
      <w:bookmarkStart w:id="1223" w:name="_Toc164182288"/>
      <w:bookmarkStart w:id="1224" w:name="_Toc164681305"/>
      <w:bookmarkStart w:id="1225" w:name="_Toc26364"/>
      <w:bookmarkStart w:id="1226" w:name="_Toc164182076"/>
      <w:bookmarkStart w:id="1227" w:name="_Toc164680928"/>
      <w:r>
        <w:rPr>
          <w:rFonts w:hint="eastAsia" w:ascii="宋体" w:hAnsi="宋体" w:eastAsia="宋体" w:cs="宋体"/>
          <w:color w:val="auto"/>
          <w:highlight w:val="none"/>
        </w:rPr>
        <w:t>一、授权委托书</w:t>
      </w:r>
      <w:bookmarkEnd w:id="1218"/>
      <w:bookmarkEnd w:id="1219"/>
      <w:bookmarkEnd w:id="1220"/>
      <w:bookmarkEnd w:id="1221"/>
      <w:bookmarkEnd w:id="1222"/>
      <w:bookmarkEnd w:id="1223"/>
      <w:bookmarkEnd w:id="1224"/>
      <w:bookmarkEnd w:id="1225"/>
      <w:bookmarkEnd w:id="1226"/>
      <w:bookmarkEnd w:id="1227"/>
    </w:p>
    <w:p w14:paraId="478BBD36">
      <w:pPr>
        <w:pStyle w:val="5"/>
        <w:jc w:val="center"/>
        <w:rPr>
          <w:rFonts w:hint="eastAsia" w:ascii="宋体" w:hAnsi="宋体" w:cs="宋体"/>
          <w:color w:val="auto"/>
          <w:highlight w:val="none"/>
        </w:rPr>
      </w:pPr>
      <w:bookmarkStart w:id="1228" w:name="_Toc164680929"/>
      <w:bookmarkStart w:id="1229" w:name="_Toc164181759"/>
      <w:bookmarkStart w:id="1230" w:name="_Toc164182785"/>
      <w:bookmarkStart w:id="1231" w:name="_Toc164182289"/>
      <w:bookmarkStart w:id="1232" w:name="_Toc30919"/>
      <w:bookmarkStart w:id="1233" w:name="_Toc8740"/>
      <w:bookmarkStart w:id="1234" w:name="_Toc6169"/>
      <w:bookmarkStart w:id="1235" w:name="_Toc164681306"/>
      <w:bookmarkStart w:id="1236" w:name="_Toc164182077"/>
      <w:bookmarkStart w:id="1237" w:name="_Toc26786"/>
      <w:r>
        <w:rPr>
          <w:rFonts w:hint="eastAsia" w:ascii="宋体" w:hAnsi="宋体" w:cs="宋体"/>
          <w:color w:val="auto"/>
          <w:highlight w:val="none"/>
        </w:rPr>
        <w:t>1．法定代表人授权委托书</w:t>
      </w:r>
      <w:bookmarkEnd w:id="1228"/>
      <w:bookmarkEnd w:id="1229"/>
      <w:bookmarkEnd w:id="1230"/>
      <w:bookmarkEnd w:id="1231"/>
      <w:bookmarkEnd w:id="1232"/>
      <w:bookmarkEnd w:id="1233"/>
      <w:bookmarkEnd w:id="1234"/>
      <w:bookmarkEnd w:id="1235"/>
      <w:bookmarkEnd w:id="1236"/>
      <w:bookmarkEnd w:id="1237"/>
    </w:p>
    <w:p w14:paraId="132E14F2">
      <w:pPr>
        <w:bidi w:val="0"/>
        <w:spacing w:line="360" w:lineRule="auto"/>
        <w:jc w:val="center"/>
        <w:rPr>
          <w:rFonts w:hint="eastAsia"/>
          <w:b/>
          <w:bCs/>
          <w:sz w:val="32"/>
          <w:szCs w:val="32"/>
        </w:rPr>
      </w:pPr>
      <w:bookmarkStart w:id="1238" w:name="_Toc31550"/>
      <w:bookmarkStart w:id="1239" w:name="_Toc16245"/>
      <w:bookmarkStart w:id="1240" w:name="_Toc20741"/>
      <w:bookmarkStart w:id="1241" w:name="_Toc28272"/>
      <w:r>
        <w:rPr>
          <w:rFonts w:hint="eastAsia"/>
          <w:b/>
          <w:bCs/>
          <w:sz w:val="32"/>
          <w:szCs w:val="32"/>
        </w:rPr>
        <w:t>法定代表人授权委托书</w:t>
      </w:r>
      <w:bookmarkEnd w:id="1238"/>
      <w:bookmarkEnd w:id="1239"/>
      <w:bookmarkEnd w:id="1240"/>
      <w:bookmarkEnd w:id="1241"/>
    </w:p>
    <w:p w14:paraId="49653F9D">
      <w:pPr>
        <w:adjustRightInd w:val="0"/>
        <w:snapToGrid w:val="0"/>
        <w:spacing w:line="360" w:lineRule="auto"/>
        <w:jc w:val="center"/>
        <w:rPr>
          <w:rFonts w:hint="eastAsia" w:ascii="宋体" w:hAnsi="宋体" w:cs="宋体"/>
          <w:color w:val="auto"/>
          <w:sz w:val="24"/>
          <w:szCs w:val="21"/>
          <w:highlight w:val="none"/>
        </w:rPr>
      </w:pPr>
      <w:r>
        <w:rPr>
          <w:rFonts w:hint="eastAsia" w:ascii="宋体" w:hAnsi="宋体" w:cs="宋体"/>
          <w:color w:val="auto"/>
          <w:sz w:val="24"/>
          <w:szCs w:val="21"/>
          <w:highlight w:val="none"/>
        </w:rPr>
        <w:t>（适用于授权代表参加投标）</w:t>
      </w:r>
    </w:p>
    <w:p w14:paraId="4EECE5EF">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致</w:t>
      </w:r>
      <w:r>
        <w:rPr>
          <w:rFonts w:hint="eastAsia" w:ascii="宋体" w:hAnsi="宋体" w:cs="宋体"/>
          <w:color w:val="auto"/>
          <w:sz w:val="24"/>
          <w:szCs w:val="21"/>
          <w:highlight w:val="none"/>
          <w:u w:val="single"/>
        </w:rPr>
        <w:fldChar w:fldCharType="begin"/>
      </w:r>
      <w:r>
        <w:rPr>
          <w:rFonts w:hint="eastAsia" w:ascii="宋体" w:hAnsi="宋体" w:cs="宋体"/>
          <w:color w:val="auto"/>
          <w:sz w:val="24"/>
          <w:szCs w:val="21"/>
          <w:highlight w:val="none"/>
          <w:u w:val="single"/>
        </w:rPr>
        <w:instrText xml:space="preserve"> REF 代理机构 \h  \* MERGEFORMAT </w:instrText>
      </w:r>
      <w:r>
        <w:rPr>
          <w:rFonts w:hint="eastAsia" w:ascii="宋体" w:hAnsi="宋体" w:cs="宋体"/>
          <w:color w:val="auto"/>
          <w:sz w:val="24"/>
          <w:szCs w:val="21"/>
          <w:highlight w:val="none"/>
          <w:u w:val="single"/>
        </w:rPr>
        <w:fldChar w:fldCharType="separate"/>
      </w:r>
      <w:r>
        <w:rPr>
          <w:rFonts w:hint="eastAsia" w:ascii="宋体" w:hAnsi="宋体" w:cs="宋体"/>
          <w:caps/>
          <w:color w:val="auto"/>
          <w:sz w:val="24"/>
          <w:szCs w:val="20"/>
          <w:highlight w:val="none"/>
          <w:u w:val="single"/>
          <w:lang w:eastAsia="zh-CN"/>
        </w:rPr>
        <w:t>公诚管理咨询有限公司</w:t>
      </w:r>
      <w:r>
        <w:rPr>
          <w:rFonts w:hint="eastAsia" w:ascii="宋体" w:hAnsi="宋体" w:cs="宋体"/>
          <w:color w:val="auto"/>
          <w:sz w:val="24"/>
          <w:szCs w:val="21"/>
          <w:highlight w:val="none"/>
          <w:u w:val="single"/>
        </w:rPr>
        <w:fldChar w:fldCharType="end"/>
      </w:r>
      <w:r>
        <w:rPr>
          <w:rFonts w:hint="eastAsia" w:ascii="宋体" w:hAnsi="宋体" w:cs="宋体"/>
          <w:color w:val="auto"/>
          <w:sz w:val="24"/>
          <w:szCs w:val="21"/>
          <w:highlight w:val="none"/>
        </w:rPr>
        <w:t>：</w:t>
      </w:r>
    </w:p>
    <w:p w14:paraId="3B92A694">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本授权书声明：注册于________________________________（投标人住址）的__________________（投标人名称）法定代表人_______、_______（姓名、职务）代表本公司授权_______、_______（被授权投标代表姓名、职务）为本公司的合法投标代表，就贵方组织的《</w:t>
      </w:r>
      <w:r>
        <w:rPr>
          <w:rFonts w:hint="eastAsia" w:ascii="宋体" w:hAnsi="宋体" w:cs="宋体"/>
          <w:color w:val="auto"/>
          <w:sz w:val="24"/>
          <w:szCs w:val="21"/>
          <w:highlight w:val="none"/>
          <w:lang w:eastAsia="zh-CN"/>
        </w:rPr>
        <w:t>甘肃税务2026年税收大数据应用平台运维服务项目</w:t>
      </w:r>
      <w:r>
        <w:rPr>
          <w:rFonts w:hint="eastAsia" w:ascii="宋体" w:hAnsi="宋体" w:cs="宋体"/>
          <w:color w:val="auto"/>
          <w:sz w:val="24"/>
          <w:szCs w:val="21"/>
          <w:highlight w:val="none"/>
        </w:rPr>
        <w:t>》（项目编号：</w:t>
      </w:r>
      <w:r>
        <w:rPr>
          <w:rFonts w:hint="eastAsia" w:ascii="宋体" w:hAnsi="宋体" w:cs="宋体"/>
          <w:color w:val="auto"/>
          <w:sz w:val="24"/>
          <w:szCs w:val="21"/>
          <w:highlight w:val="none"/>
          <w:u w:val="single"/>
        </w:rPr>
        <w:t xml:space="preserve">GS2026-DLGK-C0024-B00 </w:t>
      </w:r>
      <w:r>
        <w:rPr>
          <w:rFonts w:hint="eastAsia" w:ascii="宋体" w:hAnsi="宋体" w:cs="宋体"/>
          <w:color w:val="auto"/>
          <w:sz w:val="24"/>
          <w:szCs w:val="21"/>
          <w:highlight w:val="none"/>
        </w:rPr>
        <w:t>）投标、合同的执行，以本公司名义处理一切与之有关的事务。</w:t>
      </w:r>
    </w:p>
    <w:p w14:paraId="5A7939EA">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本授权书于______年______月_____日生效，特此声明。</w:t>
      </w:r>
    </w:p>
    <w:p w14:paraId="58F02853">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被授权投标代表无转委托权。</w:t>
      </w:r>
    </w:p>
    <w:tbl>
      <w:tblPr>
        <w:tblStyle w:val="31"/>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3"/>
        <w:gridCol w:w="4067"/>
      </w:tblGrid>
      <w:tr w14:paraId="04BF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jc w:val="center"/>
        </w:trPr>
        <w:tc>
          <w:tcPr>
            <w:tcW w:w="4253" w:type="dxa"/>
            <w:noWrap/>
            <w:vAlign w:val="center"/>
          </w:tcPr>
          <w:p w14:paraId="5626A808">
            <w:pPr>
              <w:adjustRightInd w:val="0"/>
              <w:snapToGrid w:val="0"/>
              <w:rPr>
                <w:rFonts w:hint="eastAsia" w:ascii="宋体" w:hAnsi="宋体" w:cs="宋体"/>
                <w:b/>
                <w:color w:val="auto"/>
                <w:szCs w:val="21"/>
                <w:highlight w:val="none"/>
              </w:rPr>
            </w:pPr>
            <w:r>
              <w:rPr>
                <w:rFonts w:hint="eastAsia" w:ascii="宋体" w:hAnsi="宋体" w:cs="宋体"/>
                <w:b/>
                <w:color w:val="auto"/>
                <w:szCs w:val="21"/>
                <w:highlight w:val="none"/>
              </w:rPr>
              <w:t>被授权代表身份证复印件粘贴处（国徽面）</w:t>
            </w:r>
          </w:p>
        </w:tc>
        <w:tc>
          <w:tcPr>
            <w:tcW w:w="4067" w:type="dxa"/>
            <w:noWrap w:val="0"/>
            <w:vAlign w:val="center"/>
          </w:tcPr>
          <w:p w14:paraId="0A62AB77">
            <w:pPr>
              <w:adjustRightInd w:val="0"/>
              <w:snapToGrid w:val="0"/>
              <w:rPr>
                <w:rFonts w:hint="eastAsia" w:ascii="宋体" w:hAnsi="宋体" w:cs="宋体"/>
                <w:b/>
                <w:color w:val="auto"/>
                <w:szCs w:val="21"/>
                <w:highlight w:val="none"/>
              </w:rPr>
            </w:pPr>
            <w:r>
              <w:rPr>
                <w:rFonts w:hint="eastAsia" w:ascii="宋体" w:hAnsi="宋体" w:cs="宋体"/>
                <w:b/>
                <w:color w:val="auto"/>
                <w:szCs w:val="21"/>
                <w:highlight w:val="none"/>
              </w:rPr>
              <w:t>被授权代表身份证复印件粘贴处（人像面）</w:t>
            </w:r>
          </w:p>
        </w:tc>
      </w:tr>
      <w:tr w14:paraId="50F6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jc w:val="center"/>
        </w:trPr>
        <w:tc>
          <w:tcPr>
            <w:tcW w:w="4253" w:type="dxa"/>
            <w:noWrap/>
            <w:vAlign w:val="center"/>
          </w:tcPr>
          <w:p w14:paraId="0D92999C">
            <w:pPr>
              <w:adjustRightInd w:val="0"/>
              <w:snapToGrid w:val="0"/>
              <w:rPr>
                <w:rFonts w:hint="eastAsia" w:ascii="宋体" w:hAnsi="宋体" w:cs="宋体"/>
                <w:b/>
                <w:color w:val="auto"/>
                <w:szCs w:val="21"/>
                <w:highlight w:val="none"/>
              </w:rPr>
            </w:pPr>
            <w:r>
              <w:rPr>
                <w:rFonts w:hint="eastAsia" w:ascii="宋体" w:hAnsi="宋体" w:cs="宋体"/>
                <w:b/>
                <w:color w:val="auto"/>
                <w:szCs w:val="21"/>
                <w:highlight w:val="none"/>
              </w:rPr>
              <w:t>法定代表人身份证复印件粘贴处（国徽面）</w:t>
            </w:r>
          </w:p>
        </w:tc>
        <w:tc>
          <w:tcPr>
            <w:tcW w:w="4067" w:type="dxa"/>
            <w:noWrap w:val="0"/>
            <w:vAlign w:val="center"/>
          </w:tcPr>
          <w:p w14:paraId="58A88DCE">
            <w:pPr>
              <w:adjustRightInd w:val="0"/>
              <w:snapToGrid w:val="0"/>
              <w:rPr>
                <w:rFonts w:hint="eastAsia" w:ascii="宋体" w:hAnsi="宋体" w:cs="宋体"/>
                <w:b/>
                <w:color w:val="auto"/>
                <w:szCs w:val="21"/>
                <w:highlight w:val="none"/>
              </w:rPr>
            </w:pPr>
            <w:r>
              <w:rPr>
                <w:rFonts w:hint="eastAsia" w:ascii="宋体" w:hAnsi="宋体" w:cs="宋体"/>
                <w:b/>
                <w:color w:val="auto"/>
                <w:szCs w:val="21"/>
                <w:highlight w:val="none"/>
              </w:rPr>
              <w:t>法定代表人身份证复印件粘贴处（人像面）</w:t>
            </w:r>
          </w:p>
        </w:tc>
      </w:tr>
    </w:tbl>
    <w:p w14:paraId="362A8CE0">
      <w:pPr>
        <w:pStyle w:val="17"/>
        <w:adjustRightInd w:val="0"/>
        <w:snapToGrid w:val="0"/>
        <w:spacing w:line="360" w:lineRule="auto"/>
        <w:jc w:val="left"/>
        <w:rPr>
          <w:rFonts w:hint="eastAsia" w:hAnsi="宋体" w:cs="宋体"/>
          <w:color w:val="auto"/>
          <w:highlight w:val="none"/>
          <w:lang w:eastAsia="zh-CN"/>
        </w:rPr>
      </w:pPr>
    </w:p>
    <w:p w14:paraId="586C7A60">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投标人名称（公章）：__________________________</w:t>
      </w:r>
    </w:p>
    <w:p w14:paraId="488D1F03">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法定代表人（签字或签章）：____________________</w:t>
      </w:r>
    </w:p>
    <w:p w14:paraId="668AD988">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被授权投标代表（签字）：______________________</w:t>
      </w:r>
    </w:p>
    <w:p w14:paraId="2F921813">
      <w:pPr>
        <w:adjustRightInd w:val="0"/>
        <w:snapToGrid w:val="0"/>
        <w:spacing w:line="360" w:lineRule="auto"/>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被授权投标代表联系电话：_____________________</w:t>
      </w:r>
    </w:p>
    <w:p w14:paraId="2BFFF3F7">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7BBD86B4">
      <w:pPr>
        <w:topLinePunct/>
        <w:autoSpaceDE w:val="0"/>
        <w:autoSpaceDN w:val="0"/>
        <w:adjustRightInd w:val="0"/>
        <w:snapToGrid w:val="0"/>
        <w:spacing w:line="360" w:lineRule="auto"/>
        <w:jc w:val="left"/>
        <w:rPr>
          <w:rFonts w:hint="eastAsia" w:ascii="宋体" w:hAnsi="宋体" w:cs="宋体"/>
          <w:b/>
          <w:i/>
          <w:iCs/>
          <w:color w:val="auto"/>
          <w:highlight w:val="none"/>
        </w:rPr>
      </w:pPr>
      <w:r>
        <w:rPr>
          <w:rFonts w:hint="eastAsia" w:ascii="宋体" w:hAnsi="宋体" w:cs="宋体"/>
          <w:b/>
          <w:color w:val="auto"/>
          <w:highlight w:val="none"/>
        </w:rPr>
        <w:t>特别说明：</w:t>
      </w:r>
    </w:p>
    <w:p w14:paraId="10DBAB36">
      <w:pPr>
        <w:tabs>
          <w:tab w:val="left" w:pos="312"/>
        </w:tabs>
        <w:topLinePunct/>
        <w:autoSpaceDE w:val="0"/>
        <w:autoSpaceDN w:val="0"/>
        <w:adjustRightInd w:val="0"/>
        <w:snapToGrid w:val="0"/>
        <w:spacing w:line="360" w:lineRule="auto"/>
        <w:ind w:firstLine="422" w:firstLineChars="200"/>
        <w:rPr>
          <w:rFonts w:hint="eastAsia" w:ascii="宋体" w:hAnsi="宋体" w:cs="宋体"/>
          <w:b/>
          <w:color w:val="auto"/>
          <w:highlight w:val="none"/>
        </w:rPr>
      </w:pPr>
      <w:r>
        <w:rPr>
          <w:rFonts w:hint="eastAsia" w:ascii="宋体" w:hAnsi="宋体" w:cs="宋体"/>
          <w:b/>
          <w:color w:val="auto"/>
          <w:highlight w:val="none"/>
        </w:rPr>
        <w:t>投标人如由被授权投标代表参与投标活动的，须同时提供《法定代表人授权委托书》和被授权投标代表身份证复印件。《法定代表人授权委托书》应当按本格式要求加盖与投标人名称全称一致的标准公章，并签署法定代表人或被授权投标代表的全名或加盖名章</w:t>
      </w:r>
      <w:r>
        <w:rPr>
          <w:rFonts w:hint="eastAsia" w:ascii="宋体" w:hAnsi="宋体" w:cs="宋体"/>
          <w:b/>
          <w:color w:val="auto"/>
          <w:szCs w:val="21"/>
          <w:highlight w:val="none"/>
        </w:rPr>
        <w:t>。</w:t>
      </w:r>
    </w:p>
    <w:p w14:paraId="4D6CD1E7">
      <w:pPr>
        <w:widowControl/>
        <w:jc w:val="left"/>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r>
    </w:p>
    <w:p w14:paraId="3E6ECA9C">
      <w:pPr>
        <w:pStyle w:val="5"/>
        <w:rPr>
          <w:rFonts w:hint="eastAsia" w:ascii="宋体" w:hAnsi="宋体" w:cs="宋体"/>
          <w:color w:val="auto"/>
          <w:highlight w:val="none"/>
        </w:rPr>
      </w:pPr>
      <w:bookmarkStart w:id="1242" w:name="_Toc164182786"/>
      <w:bookmarkStart w:id="1243" w:name="_Toc164681307"/>
      <w:bookmarkStart w:id="1244" w:name="_Toc164680930"/>
      <w:bookmarkStart w:id="1245" w:name="_Toc24246"/>
      <w:bookmarkStart w:id="1246" w:name="_Toc15250"/>
      <w:bookmarkStart w:id="1247" w:name="_Toc1295"/>
      <w:bookmarkStart w:id="1248" w:name="_Toc164181760"/>
      <w:bookmarkStart w:id="1249" w:name="_Toc19527"/>
      <w:bookmarkStart w:id="1250" w:name="_Toc164182078"/>
      <w:bookmarkStart w:id="1251" w:name="_Toc164182290"/>
      <w:r>
        <w:rPr>
          <w:rFonts w:hint="eastAsia" w:ascii="宋体" w:hAnsi="宋体" w:cs="宋体"/>
          <w:color w:val="auto"/>
          <w:highlight w:val="none"/>
        </w:rPr>
        <w:t>2．法定代表人身份证明复印件</w:t>
      </w:r>
      <w:bookmarkEnd w:id="1242"/>
      <w:bookmarkEnd w:id="1243"/>
      <w:bookmarkEnd w:id="1244"/>
      <w:bookmarkEnd w:id="1245"/>
      <w:bookmarkEnd w:id="1246"/>
      <w:bookmarkEnd w:id="1247"/>
      <w:bookmarkEnd w:id="1248"/>
      <w:bookmarkEnd w:id="1249"/>
      <w:bookmarkEnd w:id="1250"/>
      <w:bookmarkEnd w:id="1251"/>
    </w:p>
    <w:p w14:paraId="4D5EBA12">
      <w:pPr>
        <w:bidi w:val="0"/>
        <w:spacing w:line="360" w:lineRule="auto"/>
        <w:jc w:val="center"/>
        <w:rPr>
          <w:rFonts w:hint="eastAsia" w:ascii="Times New Roman" w:hAnsi="Times New Roman" w:eastAsia="宋体" w:cs="Times New Roman"/>
          <w:b/>
          <w:bCs/>
          <w:sz w:val="32"/>
          <w:szCs w:val="32"/>
        </w:rPr>
      </w:pPr>
      <w:bookmarkStart w:id="1252" w:name="_Toc11915"/>
      <w:bookmarkStart w:id="1253" w:name="_Toc14535"/>
      <w:bookmarkStart w:id="1254" w:name="_Toc18799"/>
      <w:bookmarkStart w:id="1255" w:name="_Toc25346"/>
      <w:r>
        <w:rPr>
          <w:rFonts w:hint="eastAsia" w:ascii="Times New Roman" w:hAnsi="Times New Roman" w:eastAsia="宋体" w:cs="Times New Roman"/>
          <w:b/>
          <w:bCs/>
          <w:sz w:val="32"/>
          <w:szCs w:val="32"/>
        </w:rPr>
        <w:t>法定代表人身份证明复印件</w:t>
      </w:r>
      <w:bookmarkEnd w:id="1252"/>
      <w:bookmarkEnd w:id="1253"/>
      <w:bookmarkEnd w:id="1254"/>
      <w:bookmarkEnd w:id="1255"/>
    </w:p>
    <w:p w14:paraId="21FD9989">
      <w:pPr>
        <w:adjustRightInd w:val="0"/>
        <w:snapToGrid w:val="0"/>
        <w:spacing w:line="360" w:lineRule="auto"/>
        <w:jc w:val="center"/>
        <w:rPr>
          <w:rFonts w:hint="eastAsia" w:ascii="宋体" w:hAnsi="宋体" w:cs="宋体"/>
          <w:color w:val="auto"/>
          <w:sz w:val="24"/>
          <w:szCs w:val="21"/>
          <w:highlight w:val="none"/>
        </w:rPr>
      </w:pPr>
      <w:r>
        <w:rPr>
          <w:rFonts w:hint="eastAsia" w:ascii="宋体" w:hAnsi="宋体" w:cs="宋体"/>
          <w:color w:val="auto"/>
          <w:sz w:val="24"/>
          <w:szCs w:val="21"/>
          <w:highlight w:val="none"/>
        </w:rPr>
        <w:t>（适用于法定代表人参加投标）</w:t>
      </w:r>
    </w:p>
    <w:p w14:paraId="31962057">
      <w:pPr>
        <w:rPr>
          <w:rFonts w:hint="eastAsia" w:ascii="宋体" w:hAnsi="宋体" w:cs="宋体"/>
          <w:color w:val="auto"/>
          <w:highlight w:val="none"/>
        </w:rPr>
      </w:pPr>
    </w:p>
    <w:tbl>
      <w:tblPr>
        <w:tblStyle w:val="31"/>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3"/>
        <w:gridCol w:w="4067"/>
      </w:tblGrid>
      <w:tr w14:paraId="199A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jc w:val="center"/>
        </w:trPr>
        <w:tc>
          <w:tcPr>
            <w:tcW w:w="4253" w:type="dxa"/>
            <w:noWrap/>
            <w:vAlign w:val="center"/>
          </w:tcPr>
          <w:p w14:paraId="072933EB">
            <w:pPr>
              <w:adjustRightInd w:val="0"/>
              <w:snapToGrid w:val="0"/>
              <w:rPr>
                <w:rFonts w:hint="eastAsia" w:ascii="宋体" w:hAnsi="宋体" w:cs="宋体"/>
                <w:b/>
                <w:color w:val="auto"/>
                <w:szCs w:val="21"/>
                <w:highlight w:val="none"/>
              </w:rPr>
            </w:pPr>
            <w:r>
              <w:rPr>
                <w:rFonts w:hint="eastAsia" w:ascii="宋体" w:hAnsi="宋体" w:cs="宋体"/>
                <w:b/>
                <w:color w:val="auto"/>
                <w:szCs w:val="21"/>
                <w:highlight w:val="none"/>
              </w:rPr>
              <w:t>法定代表人身份证复印件粘贴处（国徽面）</w:t>
            </w:r>
          </w:p>
        </w:tc>
        <w:tc>
          <w:tcPr>
            <w:tcW w:w="4067" w:type="dxa"/>
            <w:noWrap w:val="0"/>
            <w:vAlign w:val="center"/>
          </w:tcPr>
          <w:p w14:paraId="210C9116">
            <w:pPr>
              <w:adjustRightInd w:val="0"/>
              <w:snapToGrid w:val="0"/>
              <w:rPr>
                <w:rFonts w:hint="eastAsia" w:ascii="宋体" w:hAnsi="宋体" w:cs="宋体"/>
                <w:b/>
                <w:color w:val="auto"/>
                <w:szCs w:val="21"/>
                <w:highlight w:val="none"/>
              </w:rPr>
            </w:pPr>
            <w:r>
              <w:rPr>
                <w:rFonts w:hint="eastAsia" w:ascii="宋体" w:hAnsi="宋体" w:cs="宋体"/>
                <w:b/>
                <w:color w:val="auto"/>
                <w:szCs w:val="21"/>
                <w:highlight w:val="none"/>
              </w:rPr>
              <w:t>法定代表人身份证复印件粘贴处（人像面）</w:t>
            </w:r>
          </w:p>
        </w:tc>
      </w:tr>
    </w:tbl>
    <w:p w14:paraId="46CD94C6">
      <w:pPr>
        <w:topLinePunct/>
        <w:autoSpaceDE w:val="0"/>
        <w:autoSpaceDN w:val="0"/>
        <w:adjustRightInd w:val="0"/>
        <w:snapToGrid w:val="0"/>
        <w:spacing w:line="360" w:lineRule="auto"/>
        <w:rPr>
          <w:rFonts w:hint="eastAsia" w:ascii="宋体" w:hAnsi="宋体" w:cs="宋体"/>
          <w:color w:val="auto"/>
          <w:highlight w:val="none"/>
        </w:rPr>
      </w:pPr>
    </w:p>
    <w:p w14:paraId="631B9273">
      <w:pPr>
        <w:topLinePunct/>
        <w:autoSpaceDE w:val="0"/>
        <w:autoSpaceDN w:val="0"/>
        <w:adjustRightInd w:val="0"/>
        <w:snapToGrid w:val="0"/>
        <w:spacing w:line="360" w:lineRule="auto"/>
        <w:jc w:val="left"/>
        <w:rPr>
          <w:rFonts w:hint="eastAsia" w:ascii="宋体" w:hAnsi="宋体" w:cs="宋体"/>
          <w:color w:val="auto"/>
          <w:highlight w:val="none"/>
        </w:rPr>
      </w:pPr>
    </w:p>
    <w:p w14:paraId="04688BF3">
      <w:pPr>
        <w:topLinePunct/>
        <w:autoSpaceDE w:val="0"/>
        <w:autoSpaceDN w:val="0"/>
        <w:adjustRightInd w:val="0"/>
        <w:snapToGrid w:val="0"/>
        <w:spacing w:line="360" w:lineRule="auto"/>
        <w:jc w:val="left"/>
        <w:rPr>
          <w:rFonts w:hint="eastAsia" w:ascii="宋体" w:hAnsi="宋体" w:cs="宋体"/>
          <w:i/>
          <w:iCs/>
          <w:color w:val="auto"/>
          <w:highlight w:val="none"/>
        </w:rPr>
      </w:pPr>
      <w:r>
        <w:rPr>
          <w:rFonts w:hint="eastAsia" w:ascii="宋体" w:hAnsi="宋体" w:cs="宋体"/>
          <w:color w:val="auto"/>
          <w:highlight w:val="none"/>
        </w:rPr>
        <w:t>特别说明：</w:t>
      </w:r>
    </w:p>
    <w:p w14:paraId="101EB2EB">
      <w:pPr>
        <w:tabs>
          <w:tab w:val="left" w:pos="312"/>
        </w:tabs>
        <w:topLinePunct/>
        <w:autoSpaceDE w:val="0"/>
        <w:autoSpaceDN w:val="0"/>
        <w:adjustRightInd w:val="0"/>
        <w:snapToGrid w:val="0"/>
        <w:spacing w:line="360" w:lineRule="auto"/>
        <w:ind w:firstLine="422" w:firstLineChars="200"/>
        <w:rPr>
          <w:rFonts w:hint="eastAsia" w:ascii="宋体" w:hAnsi="宋体" w:cs="宋体"/>
          <w:b/>
          <w:color w:val="auto"/>
          <w:highlight w:val="none"/>
        </w:rPr>
      </w:pPr>
      <w:r>
        <w:rPr>
          <w:rFonts w:hint="eastAsia" w:ascii="宋体" w:hAnsi="宋体" w:cs="宋体"/>
          <w:b/>
          <w:color w:val="auto"/>
          <w:highlight w:val="none"/>
        </w:rPr>
        <w:t>投标人如由</w:t>
      </w:r>
      <w:r>
        <w:rPr>
          <w:rFonts w:hint="eastAsia" w:ascii="宋体" w:hAnsi="宋体" w:cs="宋体"/>
          <w:b/>
          <w:bCs/>
          <w:color w:val="auto"/>
          <w:highlight w:val="none"/>
        </w:rPr>
        <w:t>法定代表人作为投标代表参与投标活动的，仅须提供法定代表人身份证复印件</w:t>
      </w:r>
      <w:r>
        <w:rPr>
          <w:rFonts w:hint="eastAsia" w:ascii="宋体" w:hAnsi="宋体" w:cs="宋体"/>
          <w:b/>
          <w:color w:val="auto"/>
          <w:highlight w:val="none"/>
        </w:rPr>
        <w:t>。</w:t>
      </w:r>
    </w:p>
    <w:p w14:paraId="25D080CD">
      <w:pPr>
        <w:widowControl/>
        <w:jc w:val="left"/>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r>
    </w:p>
    <w:p w14:paraId="3C5BB2C0">
      <w:pPr>
        <w:pStyle w:val="5"/>
        <w:rPr>
          <w:rFonts w:hint="eastAsia" w:ascii="宋体" w:hAnsi="宋体" w:cs="宋体"/>
          <w:color w:val="auto"/>
          <w:highlight w:val="none"/>
        </w:rPr>
      </w:pPr>
      <w:bookmarkStart w:id="1256" w:name="_Toc164681308"/>
      <w:bookmarkStart w:id="1257" w:name="_Toc8867"/>
      <w:bookmarkStart w:id="1258" w:name="_Toc164182079"/>
      <w:bookmarkStart w:id="1259" w:name="_Toc31548"/>
      <w:bookmarkStart w:id="1260" w:name="_Toc21650"/>
      <w:bookmarkStart w:id="1261" w:name="_Toc164680931"/>
      <w:bookmarkStart w:id="1262" w:name="_Toc2103"/>
      <w:bookmarkStart w:id="1263" w:name="_Toc164182787"/>
      <w:bookmarkStart w:id="1264" w:name="_Toc164181761"/>
      <w:bookmarkStart w:id="1265" w:name="_Toc164182291"/>
      <w:r>
        <w:rPr>
          <w:rFonts w:hint="eastAsia" w:ascii="宋体" w:hAnsi="宋体" w:cs="宋体"/>
          <w:color w:val="auto"/>
          <w:highlight w:val="none"/>
        </w:rPr>
        <w:t>3．自然人授权委托书</w:t>
      </w:r>
      <w:bookmarkEnd w:id="1256"/>
      <w:bookmarkEnd w:id="1257"/>
      <w:bookmarkEnd w:id="1258"/>
      <w:bookmarkEnd w:id="1259"/>
      <w:bookmarkEnd w:id="1260"/>
      <w:bookmarkEnd w:id="1261"/>
      <w:bookmarkEnd w:id="1262"/>
      <w:bookmarkEnd w:id="1263"/>
      <w:bookmarkEnd w:id="1264"/>
      <w:bookmarkEnd w:id="1265"/>
    </w:p>
    <w:p w14:paraId="07A9D5F6">
      <w:pPr>
        <w:bidi w:val="0"/>
        <w:spacing w:line="360" w:lineRule="auto"/>
        <w:jc w:val="center"/>
        <w:rPr>
          <w:rFonts w:hint="eastAsia" w:ascii="Times New Roman" w:hAnsi="Times New Roman" w:eastAsia="宋体" w:cs="Times New Roman"/>
          <w:b/>
          <w:bCs/>
          <w:sz w:val="32"/>
          <w:szCs w:val="32"/>
        </w:rPr>
      </w:pPr>
      <w:bookmarkStart w:id="1266" w:name="_Toc8173"/>
      <w:bookmarkStart w:id="1267" w:name="_Toc8970"/>
      <w:bookmarkStart w:id="1268" w:name="_Toc31371"/>
      <w:bookmarkStart w:id="1269" w:name="_Toc11778"/>
      <w:r>
        <w:rPr>
          <w:rFonts w:hint="eastAsia" w:ascii="Times New Roman" w:hAnsi="Times New Roman" w:eastAsia="宋体" w:cs="Times New Roman"/>
          <w:b/>
          <w:bCs/>
          <w:sz w:val="32"/>
          <w:szCs w:val="32"/>
        </w:rPr>
        <w:t>自然人授权委托书</w:t>
      </w:r>
      <w:bookmarkEnd w:id="1266"/>
      <w:bookmarkEnd w:id="1267"/>
      <w:bookmarkEnd w:id="1268"/>
      <w:bookmarkEnd w:id="1269"/>
    </w:p>
    <w:p w14:paraId="625392C0">
      <w:pPr>
        <w:adjustRightInd w:val="0"/>
        <w:snapToGrid w:val="0"/>
        <w:spacing w:line="360" w:lineRule="auto"/>
        <w:jc w:val="center"/>
        <w:rPr>
          <w:rFonts w:hint="eastAsia" w:ascii="宋体" w:hAnsi="宋体" w:cs="宋体"/>
          <w:color w:val="auto"/>
          <w:sz w:val="24"/>
          <w:szCs w:val="21"/>
          <w:highlight w:val="none"/>
        </w:rPr>
      </w:pPr>
      <w:r>
        <w:rPr>
          <w:rFonts w:hint="eastAsia" w:ascii="宋体" w:hAnsi="宋体" w:cs="宋体"/>
          <w:color w:val="auto"/>
          <w:sz w:val="24"/>
          <w:szCs w:val="21"/>
          <w:highlight w:val="none"/>
        </w:rPr>
        <w:t>（适用于自然人投标）</w:t>
      </w:r>
    </w:p>
    <w:p w14:paraId="78B82FB4">
      <w:pPr>
        <w:pStyle w:val="17"/>
        <w:rPr>
          <w:rFonts w:hint="eastAsia" w:hAnsi="宋体" w:cs="宋体"/>
          <w:color w:val="auto"/>
          <w:highlight w:val="none"/>
          <w:lang w:eastAsia="zh-CN"/>
        </w:rPr>
      </w:pPr>
    </w:p>
    <w:p w14:paraId="1C1FF2A6">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致</w:t>
      </w:r>
      <w:r>
        <w:rPr>
          <w:rFonts w:hint="eastAsia" w:ascii="宋体" w:hAnsi="宋体" w:cs="宋体"/>
          <w:color w:val="auto"/>
          <w:sz w:val="24"/>
          <w:szCs w:val="21"/>
          <w:highlight w:val="none"/>
          <w:u w:val="single"/>
        </w:rPr>
        <w:fldChar w:fldCharType="begin"/>
      </w:r>
      <w:r>
        <w:rPr>
          <w:rFonts w:hint="eastAsia" w:ascii="宋体" w:hAnsi="宋体" w:cs="宋体"/>
          <w:color w:val="auto"/>
          <w:sz w:val="24"/>
          <w:szCs w:val="21"/>
          <w:highlight w:val="none"/>
          <w:u w:val="single"/>
        </w:rPr>
        <w:instrText xml:space="preserve"> REF 代理机构 \h  \* MERGEFORMAT </w:instrText>
      </w:r>
      <w:r>
        <w:rPr>
          <w:rFonts w:hint="eastAsia" w:ascii="宋体" w:hAnsi="宋体" w:cs="宋体"/>
          <w:color w:val="auto"/>
          <w:sz w:val="24"/>
          <w:szCs w:val="21"/>
          <w:highlight w:val="none"/>
          <w:u w:val="single"/>
        </w:rPr>
        <w:fldChar w:fldCharType="separate"/>
      </w:r>
      <w:r>
        <w:rPr>
          <w:rFonts w:hint="eastAsia" w:ascii="宋体" w:hAnsi="宋体" w:cs="宋体"/>
          <w:caps/>
          <w:color w:val="auto"/>
          <w:sz w:val="24"/>
          <w:szCs w:val="20"/>
          <w:highlight w:val="none"/>
          <w:u w:val="single"/>
          <w:lang w:eastAsia="zh-CN"/>
        </w:rPr>
        <w:t>公诚管理咨询有限公司</w:t>
      </w:r>
      <w:r>
        <w:rPr>
          <w:rFonts w:hint="eastAsia" w:ascii="宋体" w:hAnsi="宋体" w:cs="宋体"/>
          <w:color w:val="auto"/>
          <w:sz w:val="24"/>
          <w:szCs w:val="21"/>
          <w:highlight w:val="none"/>
          <w:u w:val="single"/>
        </w:rPr>
        <w:fldChar w:fldCharType="end"/>
      </w:r>
      <w:r>
        <w:rPr>
          <w:rFonts w:hint="eastAsia" w:ascii="宋体" w:hAnsi="宋体" w:cs="宋体"/>
          <w:color w:val="auto"/>
          <w:sz w:val="24"/>
          <w:szCs w:val="21"/>
          <w:highlight w:val="none"/>
        </w:rPr>
        <w:t>：</w:t>
      </w:r>
    </w:p>
    <w:p w14:paraId="600E9F75">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本授权书声明：我________（姓名）身份证号码________________________系自然人，现授权委托________（姓名）身份证号码________________________以本人名义参加《</w:t>
      </w:r>
      <w:r>
        <w:rPr>
          <w:rFonts w:hint="eastAsia" w:ascii="宋体" w:hAnsi="宋体" w:cs="宋体"/>
          <w:color w:val="auto"/>
          <w:sz w:val="24"/>
          <w:szCs w:val="21"/>
          <w:highlight w:val="none"/>
          <w:u w:val="single"/>
          <w:lang w:eastAsia="zh-CN"/>
        </w:rPr>
        <w:t>甘肃税务2026年税收大数据应用平台运维服务项目</w:t>
      </w:r>
      <w:r>
        <w:rPr>
          <w:rFonts w:hint="eastAsia" w:ascii="宋体" w:hAnsi="宋体" w:cs="宋体"/>
          <w:color w:val="auto"/>
          <w:sz w:val="24"/>
          <w:szCs w:val="21"/>
          <w:highlight w:val="none"/>
        </w:rPr>
        <w:t>》（项目编号：</w:t>
      </w:r>
      <w:r>
        <w:rPr>
          <w:rFonts w:hint="eastAsia" w:ascii="宋体" w:hAnsi="宋体" w:cs="宋体"/>
          <w:color w:val="auto"/>
          <w:sz w:val="24"/>
          <w:szCs w:val="21"/>
          <w:highlight w:val="none"/>
          <w:u w:val="single"/>
        </w:rPr>
        <w:t xml:space="preserve">GS2026-DLGK-C0024-B00 </w:t>
      </w:r>
      <w:r>
        <w:rPr>
          <w:rFonts w:hint="eastAsia" w:ascii="宋体" w:hAnsi="宋体" w:cs="宋体"/>
          <w:color w:val="auto"/>
          <w:sz w:val="24"/>
          <w:szCs w:val="21"/>
          <w:highlight w:val="none"/>
        </w:rPr>
        <w:t>）的投标活动，并代表本人全权办理针对上述项目的投标、签约等具体事务和签署相关文件。</w:t>
      </w:r>
    </w:p>
    <w:p w14:paraId="6EF1107E">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本人对被授权人的签字事项负全部责任。</w:t>
      </w:r>
    </w:p>
    <w:p w14:paraId="2CA36FF0">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授权委托代理期限：从______年___月___日起至______年___月___日止。</w:t>
      </w:r>
    </w:p>
    <w:p w14:paraId="3767A58A">
      <w:pPr>
        <w:adjustRightInd w:val="0"/>
        <w:snapToGrid w:val="0"/>
        <w:spacing w:line="360" w:lineRule="auto"/>
        <w:ind w:firstLine="480" w:firstLineChars="200"/>
        <w:rPr>
          <w:rFonts w:hint="eastAsia" w:ascii="宋体" w:hAnsi="宋体" w:cs="宋体"/>
          <w:color w:val="auto"/>
          <w:sz w:val="24"/>
          <w:szCs w:val="21"/>
          <w:highlight w:val="none"/>
        </w:rPr>
      </w:pPr>
    </w:p>
    <w:p w14:paraId="6903AB2D">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代理人无转委托权，特此委托。</w:t>
      </w:r>
    </w:p>
    <w:p w14:paraId="5094C53B">
      <w:pPr>
        <w:adjustRightInd w:val="0"/>
        <w:snapToGrid w:val="0"/>
        <w:spacing w:line="360" w:lineRule="auto"/>
        <w:ind w:firstLine="480" w:firstLineChars="200"/>
        <w:rPr>
          <w:rFonts w:hint="eastAsia" w:ascii="宋体" w:hAnsi="宋体" w:cs="宋体"/>
          <w:color w:val="auto"/>
          <w:sz w:val="24"/>
          <w:szCs w:val="21"/>
          <w:highlight w:val="none"/>
        </w:rPr>
      </w:pPr>
    </w:p>
    <w:p w14:paraId="351456BA">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我已在下面签字，以资证明。</w:t>
      </w:r>
    </w:p>
    <w:p w14:paraId="00002C2D">
      <w:pPr>
        <w:adjustRightInd w:val="0"/>
        <w:snapToGrid w:val="0"/>
        <w:spacing w:line="360" w:lineRule="auto"/>
        <w:ind w:firstLine="480" w:firstLineChars="200"/>
        <w:rPr>
          <w:rFonts w:hint="eastAsia" w:ascii="宋体" w:hAnsi="宋体" w:cs="宋体"/>
          <w:color w:val="auto"/>
          <w:sz w:val="24"/>
          <w:szCs w:val="21"/>
          <w:highlight w:val="none"/>
        </w:rPr>
      </w:pPr>
    </w:p>
    <w:p w14:paraId="49D69D3B">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自然人签字并在签名处加盖食指指印：____________</w:t>
      </w:r>
    </w:p>
    <w:p w14:paraId="77C21BC8">
      <w:pPr>
        <w:adjustRightInd w:val="0"/>
        <w:snapToGrid w:val="0"/>
        <w:spacing w:line="360" w:lineRule="auto"/>
        <w:ind w:firstLine="480" w:firstLineChars="200"/>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______年___月___日</w:t>
      </w:r>
    </w:p>
    <w:p w14:paraId="34363217">
      <w:pPr>
        <w:adjustRightInd w:val="0"/>
        <w:snapToGrid w:val="0"/>
        <w:spacing w:line="360" w:lineRule="auto"/>
        <w:ind w:firstLine="480" w:firstLineChars="200"/>
        <w:rPr>
          <w:rFonts w:hint="eastAsia" w:ascii="宋体" w:hAnsi="宋体" w:cs="宋体"/>
          <w:color w:val="auto"/>
          <w:sz w:val="24"/>
          <w:szCs w:val="21"/>
          <w:highlight w:val="none"/>
        </w:rPr>
      </w:pPr>
    </w:p>
    <w:p w14:paraId="5223E3BD">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7623F617">
      <w:pPr>
        <w:tabs>
          <w:tab w:val="left" w:pos="312"/>
        </w:tabs>
        <w:topLinePunct/>
        <w:autoSpaceDE w:val="0"/>
        <w:autoSpaceDN w:val="0"/>
        <w:adjustRightInd w:val="0"/>
        <w:snapToGrid w:val="0"/>
        <w:spacing w:line="360" w:lineRule="auto"/>
        <w:ind w:firstLine="422" w:firstLineChars="200"/>
        <w:rPr>
          <w:rFonts w:hint="eastAsia" w:ascii="宋体" w:hAnsi="宋体" w:cs="宋体"/>
          <w:b/>
          <w:color w:val="auto"/>
          <w:highlight w:val="none"/>
        </w:rPr>
      </w:pPr>
      <w:r>
        <w:rPr>
          <w:rFonts w:hint="eastAsia" w:ascii="宋体" w:hAnsi="宋体" w:cs="宋体"/>
          <w:b/>
          <w:color w:val="auto"/>
          <w:highlight w:val="none"/>
        </w:rPr>
        <w:t>投标人如由被授权人参与投标活动的，须提供《自然人授权委托书》，《自然人授权委托书》应当按本格式要求签字并由自然人在签名处加盖食指指印。</w:t>
      </w:r>
    </w:p>
    <w:p w14:paraId="4F71D160">
      <w:pPr>
        <w:pStyle w:val="4"/>
        <w:rPr>
          <w:rFonts w:hint="eastAsia" w:ascii="宋体" w:hAnsi="宋体" w:cs="宋体"/>
          <w:color w:val="auto"/>
          <w:highlight w:val="none"/>
        </w:rPr>
      </w:pPr>
      <w:r>
        <w:rPr>
          <w:rFonts w:hint="eastAsia" w:ascii="宋体" w:hAnsi="宋体" w:cs="宋体"/>
          <w:color w:val="auto"/>
          <w:sz w:val="24"/>
          <w:szCs w:val="21"/>
          <w:highlight w:val="none"/>
        </w:rPr>
        <w:br w:type="page"/>
      </w:r>
      <w:bookmarkStart w:id="1270" w:name="_Toc7933"/>
      <w:bookmarkStart w:id="1271" w:name="_Toc164680932"/>
      <w:bookmarkStart w:id="1272" w:name="_Toc16622"/>
      <w:bookmarkStart w:id="1273" w:name="_Toc3796"/>
      <w:bookmarkStart w:id="1274" w:name="_Toc14672"/>
      <w:bookmarkStart w:id="1275" w:name="_Toc164181762"/>
      <w:bookmarkStart w:id="1276" w:name="_Toc164681309"/>
      <w:bookmarkStart w:id="1277" w:name="_Toc3157"/>
      <w:bookmarkStart w:id="1278" w:name="_Toc164182080"/>
      <w:bookmarkStart w:id="1279" w:name="_Toc164182788"/>
      <w:bookmarkStart w:id="1280" w:name="_Toc164182292"/>
      <w:r>
        <w:rPr>
          <w:rFonts w:hint="eastAsia" w:ascii="宋体" w:hAnsi="宋体" w:eastAsia="宋体" w:cs="宋体"/>
          <w:color w:val="auto"/>
          <w:highlight w:val="none"/>
        </w:rPr>
        <w:t>二、投标函</w:t>
      </w:r>
      <w:bookmarkEnd w:id="1270"/>
      <w:bookmarkEnd w:id="1271"/>
      <w:bookmarkEnd w:id="1272"/>
      <w:bookmarkEnd w:id="1273"/>
      <w:bookmarkEnd w:id="1274"/>
      <w:bookmarkEnd w:id="1275"/>
      <w:bookmarkEnd w:id="1276"/>
      <w:bookmarkEnd w:id="1277"/>
      <w:bookmarkEnd w:id="1278"/>
      <w:bookmarkEnd w:id="1279"/>
      <w:bookmarkEnd w:id="1280"/>
    </w:p>
    <w:p w14:paraId="1123BB33">
      <w:pPr>
        <w:adjustRightInd w:val="0"/>
        <w:snapToGrid w:val="0"/>
        <w:spacing w:line="360" w:lineRule="auto"/>
        <w:jc w:val="center"/>
        <w:rPr>
          <w:rFonts w:hint="eastAsia" w:ascii="宋体" w:hAnsi="宋体" w:cs="宋体"/>
          <w:b/>
          <w:color w:val="auto"/>
          <w:sz w:val="32"/>
          <w:szCs w:val="21"/>
          <w:highlight w:val="none"/>
        </w:rPr>
      </w:pPr>
      <w:r>
        <w:rPr>
          <w:rFonts w:hint="eastAsia" w:ascii="宋体" w:hAnsi="宋体" w:cs="宋体"/>
          <w:b/>
          <w:color w:val="auto"/>
          <w:sz w:val="32"/>
          <w:szCs w:val="21"/>
          <w:highlight w:val="none"/>
        </w:rPr>
        <w:t>投标函</w:t>
      </w:r>
    </w:p>
    <w:p w14:paraId="72025E19">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致</w:t>
      </w:r>
      <w:r>
        <w:rPr>
          <w:rFonts w:hint="eastAsia" w:ascii="宋体" w:hAnsi="宋体" w:cs="宋体"/>
          <w:color w:val="auto"/>
          <w:sz w:val="24"/>
          <w:szCs w:val="21"/>
          <w:highlight w:val="none"/>
          <w:u w:val="single"/>
        </w:rPr>
        <w:fldChar w:fldCharType="begin"/>
      </w:r>
      <w:r>
        <w:rPr>
          <w:rFonts w:hint="eastAsia" w:ascii="宋体" w:hAnsi="宋体" w:cs="宋体"/>
          <w:color w:val="auto"/>
          <w:sz w:val="24"/>
          <w:szCs w:val="21"/>
          <w:highlight w:val="none"/>
          <w:u w:val="single"/>
        </w:rPr>
        <w:instrText xml:space="preserve"> REF 代理机构 \h  \* MERGEFORMAT </w:instrText>
      </w:r>
      <w:r>
        <w:rPr>
          <w:rFonts w:hint="eastAsia" w:ascii="宋体" w:hAnsi="宋体" w:cs="宋体"/>
          <w:color w:val="auto"/>
          <w:sz w:val="24"/>
          <w:szCs w:val="21"/>
          <w:highlight w:val="none"/>
          <w:u w:val="single"/>
        </w:rPr>
        <w:fldChar w:fldCharType="separate"/>
      </w:r>
      <w:r>
        <w:rPr>
          <w:rFonts w:hint="eastAsia" w:ascii="宋体" w:hAnsi="宋体" w:cs="宋体"/>
          <w:caps/>
          <w:color w:val="auto"/>
          <w:sz w:val="24"/>
          <w:szCs w:val="20"/>
          <w:highlight w:val="none"/>
          <w:u w:val="single"/>
          <w:lang w:eastAsia="zh-CN"/>
        </w:rPr>
        <w:t>公诚管理咨询有限公司</w:t>
      </w:r>
      <w:r>
        <w:rPr>
          <w:rFonts w:hint="eastAsia" w:ascii="宋体" w:hAnsi="宋体" w:cs="宋体"/>
          <w:color w:val="auto"/>
          <w:sz w:val="24"/>
          <w:szCs w:val="21"/>
          <w:highlight w:val="none"/>
          <w:u w:val="single"/>
        </w:rPr>
        <w:fldChar w:fldCharType="end"/>
      </w:r>
      <w:r>
        <w:rPr>
          <w:rFonts w:hint="eastAsia" w:ascii="宋体" w:hAnsi="宋体" w:cs="宋体"/>
          <w:color w:val="auto"/>
          <w:sz w:val="24"/>
          <w:szCs w:val="21"/>
          <w:highlight w:val="none"/>
        </w:rPr>
        <w:t>：</w:t>
      </w:r>
    </w:p>
    <w:p w14:paraId="7CA49772">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根据</w:t>
      </w:r>
      <w:r>
        <w:rPr>
          <w:rFonts w:hint="eastAsia" w:ascii="宋体" w:hAnsi="宋体" w:cs="宋体"/>
          <w:color w:val="auto"/>
          <w:sz w:val="24"/>
          <w:szCs w:val="21"/>
          <w:highlight w:val="none"/>
          <w:u w:val="single"/>
          <w:lang w:eastAsia="zh-CN"/>
        </w:rPr>
        <w:t>甘肃税务2026年税收大数据应用平台运维服务项目</w:t>
      </w:r>
      <w:r>
        <w:rPr>
          <w:rFonts w:hint="eastAsia" w:ascii="宋体" w:hAnsi="宋体" w:cs="宋体"/>
          <w:color w:val="auto"/>
          <w:sz w:val="24"/>
          <w:szCs w:val="21"/>
          <w:highlight w:val="none"/>
        </w:rPr>
        <w:t>（项目名称）（项目编号：</w:t>
      </w:r>
      <w:r>
        <w:rPr>
          <w:rFonts w:hint="eastAsia" w:ascii="宋体" w:hAnsi="宋体" w:cs="宋体"/>
          <w:color w:val="auto"/>
          <w:sz w:val="24"/>
          <w:szCs w:val="21"/>
          <w:highlight w:val="none"/>
          <w:u w:val="single"/>
        </w:rPr>
        <w:t xml:space="preserve">GS2026-DLGK-C0024-B00 </w:t>
      </w:r>
      <w:r>
        <w:rPr>
          <w:rFonts w:hint="eastAsia" w:ascii="宋体" w:hAnsi="宋体" w:cs="宋体"/>
          <w:color w:val="auto"/>
          <w:sz w:val="24"/>
          <w:szCs w:val="21"/>
          <w:highlight w:val="none"/>
        </w:rPr>
        <w:t>）的招标公告，______、______（姓名、职务）代表投标人__________________、__________________（投标人名称、地址）参加项目招标的有关活动。据此函，作如下承诺：</w:t>
      </w:r>
    </w:p>
    <w:p w14:paraId="267A99CF">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1．同意在本项目招标文件中规定的开标日起</w:t>
      </w:r>
      <w:r>
        <w:rPr>
          <w:rFonts w:hint="eastAsia" w:ascii="宋体" w:hAnsi="宋体" w:cs="宋体"/>
          <w:color w:val="auto"/>
          <w:sz w:val="24"/>
          <w:szCs w:val="21"/>
          <w:highlight w:val="none"/>
          <w:u w:val="single"/>
        </w:rPr>
        <w:t>90</w:t>
      </w:r>
      <w:r>
        <w:rPr>
          <w:rFonts w:hint="eastAsia" w:ascii="宋体" w:hAnsi="宋体" w:cs="宋体"/>
          <w:color w:val="auto"/>
          <w:sz w:val="24"/>
          <w:szCs w:val="21"/>
          <w:highlight w:val="none"/>
          <w:lang w:val="en-US" w:eastAsia="zh-CN"/>
        </w:rPr>
        <w:t>日历日</w:t>
      </w:r>
      <w:r>
        <w:rPr>
          <w:rFonts w:hint="eastAsia" w:ascii="宋体" w:hAnsi="宋体" w:cs="宋体"/>
          <w:color w:val="auto"/>
          <w:sz w:val="24"/>
          <w:szCs w:val="21"/>
          <w:highlight w:val="none"/>
        </w:rPr>
        <w:t>遵守本投标文件中的承诺，且在期满之前均具有约束力。</w:t>
      </w:r>
    </w:p>
    <w:p w14:paraId="1EB68136">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2．具备政府采购相关法律法规规定的参加政府采购活动的投标人应当具备的条件：</w:t>
      </w:r>
    </w:p>
    <w:p w14:paraId="56626E82">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（1）具有独立承担民事责任的能力；</w:t>
      </w:r>
    </w:p>
    <w:p w14:paraId="067B8BA3">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（2）具有良好的商业信誉和健全的财务会计制度；</w:t>
      </w:r>
    </w:p>
    <w:p w14:paraId="32E6BCBB">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（3）具有履行合同所必需的设备和专业技术能力；</w:t>
      </w:r>
    </w:p>
    <w:p w14:paraId="79A15F54">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（4）有依法缴纳税收和社会保障资金的良好记录；</w:t>
      </w:r>
    </w:p>
    <w:p w14:paraId="78D765F3">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（5）参加此项采购活动前三年内，在经营活动中没有重大违法记录。</w:t>
      </w:r>
    </w:p>
    <w:p w14:paraId="033612D0">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（6）法律、行政法规规定的其他条件。 </w:t>
      </w:r>
    </w:p>
    <w:p w14:paraId="3366F7EF">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3．具备本项目招标文件中规定的其他要求和资质条件。</w:t>
      </w:r>
    </w:p>
    <w:p w14:paraId="45F4D6C0">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4．提供投标人须知规定的全部投标文件。</w:t>
      </w:r>
    </w:p>
    <w:p w14:paraId="5325F9C1">
      <w:pPr>
        <w:adjustRightInd w:val="0"/>
        <w:snapToGrid w:val="0"/>
        <w:spacing w:line="360" w:lineRule="auto"/>
        <w:ind w:firstLine="480" w:firstLineChars="200"/>
        <w:rPr>
          <w:rFonts w:hint="eastAsia" w:ascii="宋体" w:hAnsi="宋体" w:eastAsia="宋体" w:cs="宋体"/>
          <w:color w:val="auto"/>
          <w:sz w:val="24"/>
          <w:szCs w:val="21"/>
          <w:highlight w:val="none"/>
        </w:rPr>
      </w:pPr>
      <w:r>
        <w:rPr>
          <w:rFonts w:hint="eastAsia" w:ascii="宋体" w:hAnsi="宋体" w:cs="宋体"/>
          <w:color w:val="auto"/>
          <w:sz w:val="24"/>
          <w:szCs w:val="21"/>
          <w:highlight w:val="none"/>
        </w:rPr>
        <w:t>5．已详细审阅全部招标文件（包括招标文件澄清函），理解投标人须知的所有</w:t>
      </w:r>
      <w:r>
        <w:rPr>
          <w:rFonts w:hint="eastAsia" w:ascii="宋体" w:hAnsi="宋体" w:eastAsia="宋体" w:cs="宋体"/>
          <w:color w:val="auto"/>
          <w:sz w:val="24"/>
          <w:szCs w:val="21"/>
          <w:highlight w:val="none"/>
        </w:rPr>
        <w:t>条款。</w:t>
      </w:r>
    </w:p>
    <w:p w14:paraId="075CC009">
      <w:pPr>
        <w:adjustRightInd w:val="0"/>
        <w:snapToGrid w:val="0"/>
        <w:spacing w:line="360" w:lineRule="auto"/>
        <w:ind w:firstLine="480" w:firstLineChars="200"/>
        <w:rPr>
          <w:rFonts w:hint="eastAsia" w:ascii="宋体" w:hAnsi="宋体" w:cs="宋体"/>
          <w:color w:val="auto"/>
          <w:sz w:val="24"/>
          <w:szCs w:val="21"/>
          <w:highlight w:val="none"/>
        </w:rPr>
      </w:pPr>
      <w:bookmarkStart w:id="1281" w:name="_Toc29206"/>
      <w:bookmarkStart w:id="1282" w:name="_Toc14125"/>
      <w:bookmarkStart w:id="1283" w:name="_Toc14850"/>
      <w:bookmarkStart w:id="1284" w:name="_Toc10884"/>
      <w:bookmarkStart w:id="1285" w:name="_Toc143"/>
      <w:r>
        <w:rPr>
          <w:rFonts w:hint="eastAsia" w:ascii="宋体" w:hAnsi="宋体" w:eastAsia="宋体" w:cs="宋体"/>
          <w:color w:val="auto"/>
          <w:sz w:val="24"/>
          <w:szCs w:val="21"/>
          <w:highlight w:val="none"/>
        </w:rPr>
        <w:t>6．完全</w:t>
      </w:r>
      <w:r>
        <w:rPr>
          <w:rFonts w:hint="eastAsia" w:ascii="宋体" w:hAnsi="宋体" w:cs="宋体"/>
          <w:color w:val="auto"/>
          <w:sz w:val="24"/>
          <w:szCs w:val="21"/>
          <w:highlight w:val="none"/>
        </w:rPr>
        <w:t>理解贵方“最低报价不能作为中标的保证”的规定。</w:t>
      </w:r>
      <w:bookmarkEnd w:id="1281"/>
      <w:bookmarkEnd w:id="1282"/>
      <w:bookmarkEnd w:id="1283"/>
      <w:bookmarkEnd w:id="1284"/>
      <w:bookmarkEnd w:id="1285"/>
    </w:p>
    <w:p w14:paraId="0CE3E6A5">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7．接受招标文件中全部合同条款，且无任何异议；保证忠实地执行双方所签订的合同，并承担合同规定的责任和义务。</w:t>
      </w:r>
    </w:p>
    <w:p w14:paraId="663A8068">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8．完全满足和响应招标文件中的各项商务和技术要求，若有偏差，已在投标文件中明确说明。</w:t>
      </w:r>
    </w:p>
    <w:p w14:paraId="38E65C6E">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9．愿意提供任何与投标有关的数据、情况和技术资料等。若贵方需要，愿意提供一切证明材料。</w:t>
      </w:r>
    </w:p>
    <w:p w14:paraId="3F0829D2">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10．我方已详细审核全部投标文件、参考资料及有关附件，确认无误。</w:t>
      </w:r>
    </w:p>
    <w:p w14:paraId="4290260D">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11．对本次招标内容及与本项目有关的知识产权、技术资料、商业秘密及相关信息保密。</w:t>
      </w:r>
    </w:p>
    <w:p w14:paraId="2EEF519B">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12．已知悉并承诺遵守《税务系统信息化服务商失信行为记录名单制度（试行）》关于失信行为进行记录和结果应用的相关规定，及对于违反网络安全规定行为造成不良后果、“围猎”税务人员、违法违规聘用离职税务人员、国家税务总局发票电子化改革领导小组办公室认定的失信行为，3年内限制参加税务系统政府采购活动的相关规定。</w:t>
      </w:r>
    </w:p>
    <w:p w14:paraId="43F24EFE">
      <w:pPr>
        <w:adjustRightInd w:val="0"/>
        <w:snapToGrid w:val="0"/>
        <w:spacing w:line="360" w:lineRule="auto"/>
        <w:ind w:firstLine="480" w:firstLineChars="200"/>
        <w:rPr>
          <w:rFonts w:hint="eastAsia" w:ascii="宋体" w:hAnsi="宋体" w:cs="宋体"/>
          <w:color w:val="auto"/>
          <w:sz w:val="24"/>
          <w:szCs w:val="21"/>
          <w:highlight w:val="none"/>
        </w:rPr>
      </w:pPr>
    </w:p>
    <w:p w14:paraId="7F5918E0">
      <w:pPr>
        <w:adjustRightInd w:val="0"/>
        <w:snapToGrid w:val="0"/>
        <w:spacing w:line="360" w:lineRule="auto"/>
        <w:ind w:firstLine="480" w:firstLineChars="200"/>
        <w:rPr>
          <w:rFonts w:hint="eastAsia" w:ascii="宋体" w:hAnsi="宋体" w:cs="宋体"/>
          <w:color w:val="auto"/>
          <w:sz w:val="24"/>
          <w:szCs w:val="21"/>
          <w:highlight w:val="none"/>
        </w:rPr>
      </w:pPr>
    </w:p>
    <w:p w14:paraId="115085C8">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投标人名称（公章）：____________________________________________________</w:t>
      </w:r>
    </w:p>
    <w:p w14:paraId="556848A0">
      <w:pPr>
        <w:adjustRightInd w:val="0"/>
        <w:snapToGrid w:val="0"/>
        <w:spacing w:line="360" w:lineRule="auto"/>
        <w:rPr>
          <w:rFonts w:hint="eastAsia" w:ascii="宋体" w:hAnsi="宋体" w:cs="宋体"/>
          <w:color w:val="auto"/>
          <w:sz w:val="24"/>
          <w:szCs w:val="21"/>
          <w:highlight w:val="none"/>
        </w:rPr>
      </w:pPr>
    </w:p>
    <w:p w14:paraId="19600A9F">
      <w:pPr>
        <w:adjustRightInd w:val="0"/>
        <w:snapToGrid w:val="0"/>
        <w:spacing w:line="360" w:lineRule="auto"/>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法定代表人（签字或签章）/被授权投标代表（签字或签章）：__________________</w:t>
      </w:r>
    </w:p>
    <w:p w14:paraId="26C4CD27">
      <w:pPr>
        <w:adjustRightInd w:val="0"/>
        <w:snapToGrid w:val="0"/>
        <w:spacing w:line="360" w:lineRule="auto"/>
        <w:rPr>
          <w:rFonts w:hint="eastAsia" w:ascii="宋体" w:hAnsi="宋体" w:cs="宋体"/>
          <w:color w:val="auto"/>
          <w:sz w:val="24"/>
          <w:szCs w:val="21"/>
          <w:highlight w:val="none"/>
        </w:rPr>
      </w:pPr>
    </w:p>
    <w:p w14:paraId="7F0F85C1">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投标人地址：__________________________________________________________</w:t>
      </w:r>
    </w:p>
    <w:p w14:paraId="48F920B1">
      <w:pPr>
        <w:adjustRightInd w:val="0"/>
        <w:snapToGrid w:val="0"/>
        <w:spacing w:line="360" w:lineRule="auto"/>
        <w:rPr>
          <w:rFonts w:hint="eastAsia" w:ascii="宋体" w:hAnsi="宋体" w:cs="宋体"/>
          <w:color w:val="auto"/>
          <w:sz w:val="24"/>
          <w:szCs w:val="21"/>
          <w:highlight w:val="none"/>
        </w:rPr>
      </w:pPr>
    </w:p>
    <w:p w14:paraId="6FFCE91A">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邮编：_________________电话：__________________传真：___________________</w:t>
      </w:r>
    </w:p>
    <w:p w14:paraId="35F8C6A8">
      <w:pPr>
        <w:adjustRightInd w:val="0"/>
        <w:snapToGrid w:val="0"/>
        <w:spacing w:line="360" w:lineRule="auto"/>
        <w:rPr>
          <w:rFonts w:hint="eastAsia" w:ascii="宋体" w:hAnsi="宋体" w:cs="宋体"/>
          <w:color w:val="auto"/>
          <w:sz w:val="24"/>
          <w:szCs w:val="21"/>
          <w:highlight w:val="none"/>
        </w:rPr>
      </w:pPr>
    </w:p>
    <w:p w14:paraId="57A815F7">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4877026A">
      <w:pPr>
        <w:adjustRightInd w:val="0"/>
        <w:snapToGrid w:val="0"/>
        <w:spacing w:line="360" w:lineRule="auto"/>
        <w:ind w:firstLine="480" w:firstLineChars="200"/>
        <w:rPr>
          <w:rFonts w:hint="eastAsia" w:ascii="宋体" w:hAnsi="宋体" w:cs="宋体"/>
          <w:color w:val="auto"/>
          <w:sz w:val="24"/>
          <w:szCs w:val="21"/>
          <w:highlight w:val="none"/>
        </w:rPr>
      </w:pPr>
    </w:p>
    <w:p w14:paraId="00CBB3C4">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266D18C0">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投标人应当按上述格式要求加盖与投标人名称全称一致的标准公章，并签署法定代表人或被授权投标代表的全名或加盖名章，线上采购项目应上传扫描件。</w:t>
      </w:r>
    </w:p>
    <w:p w14:paraId="5DDF7860">
      <w:pPr>
        <w:widowControl/>
        <w:jc w:val="left"/>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r>
    </w:p>
    <w:p w14:paraId="7C6A424B">
      <w:pPr>
        <w:pStyle w:val="4"/>
        <w:rPr>
          <w:rFonts w:hint="eastAsia" w:ascii="宋体" w:hAnsi="宋体" w:cs="宋体"/>
          <w:color w:val="auto"/>
          <w:highlight w:val="none"/>
        </w:rPr>
      </w:pPr>
      <w:bookmarkStart w:id="1286" w:name="_Toc5682"/>
      <w:bookmarkStart w:id="1287" w:name="_Toc30900"/>
      <w:bookmarkStart w:id="1288" w:name="_Toc223"/>
      <w:bookmarkStart w:id="1289" w:name="_Toc164181763"/>
      <w:bookmarkStart w:id="1290" w:name="_Toc16893"/>
      <w:bookmarkStart w:id="1291" w:name="_Toc1987"/>
      <w:bookmarkStart w:id="1292" w:name="_Toc164681310"/>
      <w:bookmarkStart w:id="1293" w:name="_Toc164680933"/>
      <w:bookmarkStart w:id="1294" w:name="_Toc164182789"/>
      <w:bookmarkStart w:id="1295" w:name="_Toc164182081"/>
      <w:bookmarkStart w:id="1296" w:name="_Toc164182293"/>
      <w:bookmarkStart w:id="1297" w:name="_Toc18153"/>
      <w:bookmarkStart w:id="1298" w:name="_Toc8860"/>
      <w:r>
        <w:rPr>
          <w:rFonts w:hint="eastAsia" w:ascii="宋体" w:hAnsi="宋体" w:cs="宋体"/>
          <w:color w:val="auto"/>
          <w:highlight w:val="none"/>
        </w:rPr>
        <w:t>三、投标报价表</w:t>
      </w:r>
      <w:bookmarkEnd w:id="1286"/>
      <w:bookmarkEnd w:id="1287"/>
      <w:bookmarkEnd w:id="1288"/>
      <w:bookmarkEnd w:id="1289"/>
      <w:bookmarkEnd w:id="1290"/>
      <w:bookmarkEnd w:id="1291"/>
      <w:bookmarkEnd w:id="1292"/>
      <w:bookmarkEnd w:id="1293"/>
      <w:bookmarkEnd w:id="1294"/>
      <w:bookmarkEnd w:id="1295"/>
      <w:bookmarkEnd w:id="1296"/>
    </w:p>
    <w:p w14:paraId="1CAE4C60">
      <w:pPr>
        <w:pStyle w:val="5"/>
        <w:jc w:val="center"/>
        <w:rPr>
          <w:rFonts w:hint="eastAsia" w:ascii="宋体" w:hAnsi="宋体" w:cs="宋体"/>
          <w:color w:val="auto"/>
          <w:highlight w:val="none"/>
        </w:rPr>
      </w:pPr>
      <w:bookmarkStart w:id="1299" w:name="_Toc164680934"/>
      <w:bookmarkStart w:id="1300" w:name="_Toc27736"/>
      <w:bookmarkStart w:id="1301" w:name="_Toc164182294"/>
      <w:bookmarkStart w:id="1302" w:name="_Toc164182082"/>
      <w:bookmarkStart w:id="1303" w:name="_Toc3332"/>
      <w:bookmarkStart w:id="1304" w:name="_Toc4474"/>
      <w:bookmarkStart w:id="1305" w:name="_Toc164681311"/>
      <w:bookmarkStart w:id="1306" w:name="_Toc164181764"/>
      <w:bookmarkStart w:id="1307" w:name="_Toc164182790"/>
      <w:bookmarkStart w:id="1308" w:name="_Toc13922"/>
      <w:r>
        <w:rPr>
          <w:rFonts w:hint="eastAsia" w:ascii="宋体" w:hAnsi="宋体" w:cs="宋体"/>
          <w:color w:val="auto"/>
          <w:highlight w:val="none"/>
        </w:rPr>
        <w:t>1．开标一览表（总报价表）</w:t>
      </w:r>
      <w:bookmarkEnd w:id="1297"/>
      <w:bookmarkEnd w:id="1298"/>
      <w:bookmarkEnd w:id="1299"/>
      <w:bookmarkEnd w:id="1300"/>
      <w:bookmarkEnd w:id="1301"/>
      <w:bookmarkEnd w:id="1302"/>
      <w:bookmarkEnd w:id="1303"/>
      <w:bookmarkEnd w:id="1304"/>
      <w:bookmarkEnd w:id="1305"/>
      <w:bookmarkEnd w:id="1306"/>
      <w:bookmarkEnd w:id="1307"/>
      <w:bookmarkEnd w:id="1308"/>
    </w:p>
    <w:p w14:paraId="1AB7D33D">
      <w:pPr>
        <w:pStyle w:val="17"/>
        <w:topLinePunct/>
        <w:autoSpaceDE w:val="0"/>
        <w:autoSpaceDN w:val="0"/>
        <w:adjustRightInd w:val="0"/>
        <w:snapToGrid w:val="0"/>
        <w:spacing w:line="360" w:lineRule="auto"/>
        <w:ind w:left="2"/>
        <w:jc w:val="center"/>
        <w:rPr>
          <w:rFonts w:hint="eastAsia" w:hAnsi="宋体" w:cs="宋体"/>
          <w:color w:val="auto"/>
          <w:kern w:val="2"/>
          <w:sz w:val="22"/>
          <w:highlight w:val="none"/>
          <w:lang w:eastAsia="zh-CN"/>
        </w:rPr>
      </w:pPr>
      <w:r>
        <w:rPr>
          <w:rFonts w:hint="eastAsia" w:hAnsi="宋体" w:cs="宋体"/>
          <w:color w:val="auto"/>
          <w:kern w:val="2"/>
          <w:sz w:val="22"/>
          <w:highlight w:val="none"/>
          <w:lang w:eastAsia="zh-CN"/>
        </w:rPr>
        <w:t>（服务类项目适用）</w:t>
      </w:r>
    </w:p>
    <w:tbl>
      <w:tblPr>
        <w:tblStyle w:val="31"/>
        <w:tblW w:w="8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4111"/>
        <w:gridCol w:w="1857"/>
        <w:gridCol w:w="1191"/>
      </w:tblGrid>
      <w:tr w14:paraId="05C4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52" w:type="dxa"/>
            <w:noWrap/>
            <w:vAlign w:val="center"/>
          </w:tcPr>
          <w:p w14:paraId="64288084">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项目名称</w:t>
            </w:r>
          </w:p>
        </w:tc>
        <w:tc>
          <w:tcPr>
            <w:tcW w:w="4111" w:type="dxa"/>
            <w:noWrap/>
            <w:vAlign w:val="center"/>
          </w:tcPr>
          <w:p w14:paraId="0C462C38">
            <w:pPr>
              <w:adjustRightInd w:val="0"/>
              <w:snapToGrid w:val="0"/>
              <w:jc w:val="center"/>
              <w:rPr>
                <w:rFonts w:hint="eastAsia" w:ascii="宋体" w:hAnsi="宋体" w:eastAsia="宋体" w:cs="宋体"/>
                <w:b/>
                <w:color w:val="auto"/>
                <w:szCs w:val="21"/>
                <w:highlight w:val="none"/>
                <w:lang w:eastAsia="zh-CN"/>
              </w:rPr>
            </w:pPr>
            <w:r>
              <w:rPr>
                <w:rFonts w:hint="eastAsia" w:ascii="宋体" w:hAnsi="宋体" w:cs="宋体"/>
                <w:bCs/>
                <w:color w:val="auto"/>
                <w:szCs w:val="21"/>
                <w:highlight w:val="none"/>
                <w:lang w:eastAsia="zh-CN"/>
              </w:rPr>
              <w:t>甘肃税务2026年税收大数据应用平台运维服务项目</w:t>
            </w:r>
          </w:p>
        </w:tc>
        <w:tc>
          <w:tcPr>
            <w:tcW w:w="1857" w:type="dxa"/>
            <w:noWrap/>
            <w:vAlign w:val="center"/>
          </w:tcPr>
          <w:p w14:paraId="5ACA4D65">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采购包号</w:t>
            </w:r>
          </w:p>
        </w:tc>
        <w:tc>
          <w:tcPr>
            <w:tcW w:w="1191" w:type="dxa"/>
            <w:noWrap w:val="0"/>
            <w:vAlign w:val="center"/>
          </w:tcPr>
          <w:p w14:paraId="09D1EBD3">
            <w:pPr>
              <w:adjustRightInd w:val="0"/>
              <w:snapToGrid w:val="0"/>
              <w:jc w:val="center"/>
              <w:rPr>
                <w:rFonts w:hint="eastAsia" w:ascii="宋体" w:hAnsi="宋体" w:cs="宋体"/>
                <w:b/>
                <w:color w:val="auto"/>
                <w:szCs w:val="21"/>
                <w:highlight w:val="none"/>
              </w:rPr>
            </w:pPr>
          </w:p>
        </w:tc>
      </w:tr>
      <w:tr w14:paraId="496F0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152" w:type="dxa"/>
            <w:noWrap/>
            <w:vAlign w:val="center"/>
          </w:tcPr>
          <w:p w14:paraId="6EC5333D">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项目编号</w:t>
            </w:r>
          </w:p>
        </w:tc>
        <w:tc>
          <w:tcPr>
            <w:tcW w:w="4111" w:type="dxa"/>
            <w:noWrap/>
            <w:vAlign w:val="center"/>
          </w:tcPr>
          <w:p w14:paraId="39DE0F9C">
            <w:pPr>
              <w:adjustRightInd w:val="0"/>
              <w:snapToGrid w:val="0"/>
              <w:jc w:val="center"/>
              <w:rPr>
                <w:rFonts w:hint="default" w:ascii="宋体" w:hAnsi="宋体" w:eastAsia="宋体" w:cs="宋体"/>
                <w:b/>
                <w:color w:val="auto"/>
                <w:szCs w:val="21"/>
                <w:highlight w:val="none"/>
                <w:lang w:val="en-US" w:eastAsia="zh-CN"/>
              </w:rPr>
            </w:pPr>
            <w:r>
              <w:rPr>
                <w:rFonts w:hint="default" w:ascii="宋体" w:hAnsi="宋体" w:eastAsia="宋体" w:cs="宋体"/>
                <w:b/>
                <w:color w:val="auto"/>
                <w:szCs w:val="21"/>
                <w:highlight w:val="none"/>
                <w:lang w:val="en-US" w:eastAsia="zh-CN"/>
              </w:rPr>
              <w:t>GS2026-DLGK-C0024-B00</w:t>
            </w:r>
          </w:p>
        </w:tc>
        <w:tc>
          <w:tcPr>
            <w:tcW w:w="1857" w:type="dxa"/>
            <w:noWrap/>
            <w:vAlign w:val="center"/>
          </w:tcPr>
          <w:p w14:paraId="3A17109B">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价格单位</w:t>
            </w:r>
          </w:p>
        </w:tc>
        <w:tc>
          <w:tcPr>
            <w:tcW w:w="1191" w:type="dxa"/>
            <w:noWrap w:val="0"/>
            <w:vAlign w:val="center"/>
          </w:tcPr>
          <w:p w14:paraId="19606486">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人民币：元</w:t>
            </w:r>
          </w:p>
        </w:tc>
      </w:tr>
      <w:tr w14:paraId="6833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152" w:type="dxa"/>
            <w:noWrap/>
            <w:vAlign w:val="center"/>
          </w:tcPr>
          <w:p w14:paraId="24DBDB34">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5968" w:type="dxa"/>
            <w:gridSpan w:val="2"/>
            <w:noWrap/>
            <w:vAlign w:val="center"/>
          </w:tcPr>
          <w:p w14:paraId="408F81DE">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内容</w:t>
            </w:r>
          </w:p>
        </w:tc>
        <w:tc>
          <w:tcPr>
            <w:tcW w:w="1191" w:type="dxa"/>
            <w:noWrap/>
            <w:vAlign w:val="center"/>
          </w:tcPr>
          <w:p w14:paraId="26E973D0">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价格小计</w:t>
            </w:r>
          </w:p>
        </w:tc>
      </w:tr>
      <w:tr w14:paraId="53648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152" w:type="dxa"/>
            <w:noWrap/>
            <w:vAlign w:val="center"/>
          </w:tcPr>
          <w:p w14:paraId="139FB5E3">
            <w:pPr>
              <w:adjustRightInd w:val="0"/>
              <w:snapToGrid w:val="0"/>
              <w:jc w:val="center"/>
              <w:rPr>
                <w:rFonts w:hint="eastAsia" w:ascii="宋体" w:hAnsi="宋体" w:cs="宋体"/>
                <w:b/>
                <w:color w:val="auto"/>
                <w:szCs w:val="21"/>
                <w:highlight w:val="none"/>
              </w:rPr>
            </w:pPr>
            <w:r>
              <w:rPr>
                <w:rFonts w:hint="eastAsia" w:ascii="宋体" w:hAnsi="宋体" w:cs="宋体"/>
                <w:color w:val="auto"/>
                <w:szCs w:val="21"/>
                <w:highlight w:val="none"/>
              </w:rPr>
              <w:t>1</w:t>
            </w:r>
          </w:p>
        </w:tc>
        <w:tc>
          <w:tcPr>
            <w:tcW w:w="5968" w:type="dxa"/>
            <w:gridSpan w:val="2"/>
            <w:noWrap/>
            <w:vAlign w:val="center"/>
          </w:tcPr>
          <w:p w14:paraId="0DB5E470">
            <w:pPr>
              <w:adjustRightInd w:val="0"/>
              <w:snapToGrid w:val="0"/>
              <w:spacing w:line="360" w:lineRule="auto"/>
              <w:jc w:val="center"/>
              <w:rPr>
                <w:rFonts w:hint="eastAsia" w:ascii="宋体" w:hAnsi="宋体" w:cs="宋体"/>
                <w:b/>
                <w:bCs/>
                <w:color w:val="auto"/>
                <w:szCs w:val="21"/>
                <w:highlight w:val="none"/>
              </w:rPr>
            </w:pPr>
          </w:p>
        </w:tc>
        <w:tc>
          <w:tcPr>
            <w:tcW w:w="1191" w:type="dxa"/>
            <w:noWrap/>
            <w:vAlign w:val="center"/>
          </w:tcPr>
          <w:p w14:paraId="3B265E44">
            <w:pPr>
              <w:adjustRightInd w:val="0"/>
              <w:snapToGrid w:val="0"/>
              <w:jc w:val="center"/>
              <w:rPr>
                <w:rFonts w:hint="eastAsia" w:ascii="宋体" w:hAnsi="宋体" w:cs="宋体"/>
                <w:b/>
                <w:color w:val="auto"/>
                <w:szCs w:val="21"/>
                <w:highlight w:val="none"/>
              </w:rPr>
            </w:pPr>
          </w:p>
        </w:tc>
      </w:tr>
      <w:tr w14:paraId="4F186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152" w:type="dxa"/>
            <w:noWrap/>
            <w:vAlign w:val="center"/>
          </w:tcPr>
          <w:p w14:paraId="5B82E01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5968" w:type="dxa"/>
            <w:gridSpan w:val="2"/>
            <w:noWrap/>
            <w:vAlign w:val="center"/>
          </w:tcPr>
          <w:p w14:paraId="199D5586">
            <w:pPr>
              <w:adjustRightInd w:val="0"/>
              <w:snapToGrid w:val="0"/>
              <w:spacing w:line="360" w:lineRule="auto"/>
              <w:jc w:val="center"/>
              <w:rPr>
                <w:rFonts w:hint="eastAsia" w:ascii="宋体" w:hAnsi="宋体" w:cs="宋体"/>
                <w:b/>
                <w:bCs/>
                <w:color w:val="auto"/>
                <w:szCs w:val="21"/>
                <w:highlight w:val="none"/>
              </w:rPr>
            </w:pPr>
          </w:p>
        </w:tc>
        <w:tc>
          <w:tcPr>
            <w:tcW w:w="1191" w:type="dxa"/>
            <w:noWrap/>
            <w:vAlign w:val="center"/>
          </w:tcPr>
          <w:p w14:paraId="2A9849BD">
            <w:pPr>
              <w:adjustRightInd w:val="0"/>
              <w:snapToGrid w:val="0"/>
              <w:jc w:val="center"/>
              <w:rPr>
                <w:rFonts w:hint="eastAsia" w:ascii="宋体" w:hAnsi="宋体" w:cs="宋体"/>
                <w:color w:val="auto"/>
                <w:szCs w:val="21"/>
                <w:highlight w:val="none"/>
              </w:rPr>
            </w:pPr>
          </w:p>
        </w:tc>
      </w:tr>
      <w:tr w14:paraId="15C22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0" w:type="dxa"/>
            <w:gridSpan w:val="3"/>
            <w:noWrap/>
            <w:vAlign w:val="center"/>
          </w:tcPr>
          <w:p w14:paraId="421A55A7">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报价合计（小写）</w:t>
            </w:r>
          </w:p>
        </w:tc>
        <w:tc>
          <w:tcPr>
            <w:tcW w:w="1191" w:type="dxa"/>
            <w:noWrap/>
            <w:vAlign w:val="center"/>
          </w:tcPr>
          <w:p w14:paraId="26FCC1EC">
            <w:pPr>
              <w:adjustRightInd w:val="0"/>
              <w:snapToGrid w:val="0"/>
              <w:jc w:val="center"/>
              <w:rPr>
                <w:rFonts w:hint="eastAsia" w:ascii="宋体" w:hAnsi="宋体" w:cs="宋体"/>
                <w:color w:val="auto"/>
                <w:szCs w:val="21"/>
                <w:highlight w:val="none"/>
              </w:rPr>
            </w:pPr>
          </w:p>
        </w:tc>
      </w:tr>
      <w:tr w14:paraId="07905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0" w:type="dxa"/>
            <w:gridSpan w:val="3"/>
            <w:noWrap/>
            <w:vAlign w:val="center"/>
          </w:tcPr>
          <w:p w14:paraId="16D8350F">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报价合计（大写）</w:t>
            </w:r>
          </w:p>
        </w:tc>
        <w:tc>
          <w:tcPr>
            <w:tcW w:w="1191" w:type="dxa"/>
            <w:noWrap/>
            <w:vAlign w:val="center"/>
          </w:tcPr>
          <w:p w14:paraId="4279A9B0">
            <w:pPr>
              <w:adjustRightInd w:val="0"/>
              <w:snapToGrid w:val="0"/>
              <w:jc w:val="center"/>
              <w:rPr>
                <w:rFonts w:hint="eastAsia" w:ascii="宋体" w:hAnsi="宋体" w:cs="宋体"/>
                <w:color w:val="auto"/>
                <w:szCs w:val="21"/>
                <w:highlight w:val="none"/>
              </w:rPr>
            </w:pPr>
          </w:p>
        </w:tc>
      </w:tr>
      <w:tr w14:paraId="007D9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0" w:type="dxa"/>
            <w:gridSpan w:val="3"/>
            <w:noWrap/>
            <w:vAlign w:val="center"/>
          </w:tcPr>
          <w:p w14:paraId="2A8E9429">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服务期</w:t>
            </w:r>
          </w:p>
        </w:tc>
        <w:tc>
          <w:tcPr>
            <w:tcW w:w="1191" w:type="dxa"/>
            <w:noWrap/>
            <w:vAlign w:val="center"/>
          </w:tcPr>
          <w:p w14:paraId="0070511C">
            <w:pPr>
              <w:adjustRightInd w:val="0"/>
              <w:snapToGrid w:val="0"/>
              <w:jc w:val="center"/>
              <w:rPr>
                <w:rFonts w:hint="eastAsia" w:ascii="宋体" w:hAnsi="宋体" w:cs="宋体"/>
                <w:color w:val="auto"/>
                <w:szCs w:val="21"/>
                <w:highlight w:val="none"/>
              </w:rPr>
            </w:pPr>
          </w:p>
        </w:tc>
      </w:tr>
      <w:tr w14:paraId="49C7F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0" w:type="dxa"/>
            <w:gridSpan w:val="3"/>
            <w:noWrap/>
            <w:vAlign w:val="center"/>
          </w:tcPr>
          <w:p w14:paraId="769DFB7C">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191" w:type="dxa"/>
            <w:noWrap/>
            <w:vAlign w:val="center"/>
          </w:tcPr>
          <w:p w14:paraId="482D0C41">
            <w:pPr>
              <w:adjustRightInd w:val="0"/>
              <w:snapToGrid w:val="0"/>
              <w:jc w:val="center"/>
              <w:rPr>
                <w:rFonts w:hint="eastAsia" w:ascii="宋体" w:hAnsi="宋体" w:cs="宋体"/>
                <w:color w:val="auto"/>
                <w:szCs w:val="21"/>
                <w:highlight w:val="none"/>
              </w:rPr>
            </w:pPr>
          </w:p>
        </w:tc>
      </w:tr>
    </w:tbl>
    <w:p w14:paraId="17B8FAB6">
      <w:pPr>
        <w:adjustRightInd w:val="0"/>
        <w:snapToGrid w:val="0"/>
        <w:spacing w:line="360" w:lineRule="auto"/>
        <w:rPr>
          <w:rFonts w:hint="eastAsia" w:ascii="宋体" w:hAnsi="宋体" w:cs="宋体"/>
          <w:b/>
          <w:color w:val="auto"/>
          <w:szCs w:val="21"/>
          <w:highlight w:val="none"/>
        </w:rPr>
      </w:pPr>
    </w:p>
    <w:p w14:paraId="7735A372">
      <w:pPr>
        <w:adjustRightInd w:val="0"/>
        <w:snapToGrid w:val="0"/>
        <w:spacing w:line="30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20400AB8">
      <w:pPr>
        <w:adjustRightInd w:val="0"/>
        <w:snapToGrid w:val="0"/>
        <w:spacing w:line="30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①本项目总价及分项报价均不接受任何形式的赠送、“零”报价和折扣报价。</w:t>
      </w:r>
    </w:p>
    <w:p w14:paraId="3117F995">
      <w:pPr>
        <w:adjustRightInd w:val="0"/>
        <w:snapToGrid w:val="0"/>
        <w:spacing w:line="30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②本项目执行中所发生的所有费用均计入投标报价中，采购人不再另行支付其他任何费用。</w:t>
      </w:r>
    </w:p>
    <w:p w14:paraId="04666E2E">
      <w:pPr>
        <w:adjustRightInd w:val="0"/>
        <w:snapToGrid w:val="0"/>
        <w:spacing w:line="30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③投标人应根据《项目采购需求》相关要求填报。</w:t>
      </w:r>
    </w:p>
    <w:p w14:paraId="50ACA60C">
      <w:pPr>
        <w:adjustRightInd w:val="0"/>
        <w:snapToGrid w:val="0"/>
        <w:spacing w:line="30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④如报价不一致，按照投标人须知“19.核价原则”进行修正。</w:t>
      </w:r>
    </w:p>
    <w:p w14:paraId="12D38204">
      <w:pPr>
        <w:adjustRightInd w:val="0"/>
        <w:snapToGrid w:val="0"/>
        <w:spacing w:line="30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⑤“开标一览表”为多页的，每页均需由法定代表人或授权代表签字并盖投标人公章，否则为无效投标。</w:t>
      </w:r>
    </w:p>
    <w:p w14:paraId="7D0D8FD6">
      <w:pPr>
        <w:adjustRightInd w:val="0"/>
        <w:snapToGrid w:val="0"/>
        <w:spacing w:line="30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⑥此表应按投标须知的规定单独密封和递交。如有投标降价声明必须在开标前单独密封和递交，否则无效。</w:t>
      </w:r>
    </w:p>
    <w:p w14:paraId="0A606369">
      <w:pPr>
        <w:adjustRightInd w:val="0"/>
        <w:snapToGrid w:val="0"/>
        <w:spacing w:line="300" w:lineRule="auto"/>
        <w:ind w:firstLine="422" w:firstLineChars="200"/>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注：报价四舍五入保留两位小数。</w:t>
      </w:r>
    </w:p>
    <w:p w14:paraId="54AF434D">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331A76DB">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68E3A05A">
      <w:pPr>
        <w:rPr>
          <w:rFonts w:hint="eastAsia" w:ascii="宋体" w:hAnsi="宋体" w:cs="宋体"/>
          <w:color w:val="auto"/>
          <w:highlight w:val="none"/>
        </w:rPr>
      </w:pPr>
    </w:p>
    <w:p w14:paraId="4B729F31">
      <w:pPr>
        <w:adjustRightInd w:val="0"/>
        <w:snapToGrid w:val="0"/>
        <w:spacing w:line="360" w:lineRule="auto"/>
        <w:jc w:val="right"/>
        <w:rPr>
          <w:rFonts w:hint="eastAsia" w:ascii="宋体" w:hAnsi="宋体" w:cs="宋体"/>
          <w:color w:val="auto"/>
          <w:highlight w:val="none"/>
        </w:rPr>
      </w:pPr>
      <w:r>
        <w:rPr>
          <w:rFonts w:hint="eastAsia" w:ascii="宋体" w:hAnsi="宋体" w:cs="宋体"/>
          <w:color w:val="auto"/>
          <w:sz w:val="24"/>
          <w:szCs w:val="21"/>
          <w:highlight w:val="none"/>
        </w:rPr>
        <w:t>日期：______年______月_____日</w:t>
      </w:r>
      <w:r>
        <w:rPr>
          <w:rFonts w:hint="eastAsia" w:ascii="宋体" w:hAnsi="宋体" w:cs="宋体"/>
          <w:color w:val="auto"/>
          <w:highlight w:val="none"/>
        </w:rPr>
        <w:br w:type="page"/>
      </w:r>
    </w:p>
    <w:p w14:paraId="7B729D66">
      <w:pPr>
        <w:pStyle w:val="5"/>
        <w:jc w:val="center"/>
        <w:rPr>
          <w:rFonts w:hint="eastAsia" w:ascii="宋体" w:hAnsi="宋体" w:cs="宋体"/>
          <w:color w:val="auto"/>
          <w:highlight w:val="none"/>
        </w:rPr>
      </w:pPr>
      <w:bookmarkStart w:id="1309" w:name="_Toc164182791"/>
      <w:bookmarkStart w:id="1310" w:name="_Toc164182295"/>
      <w:bookmarkStart w:id="1311" w:name="_Toc26936"/>
      <w:bookmarkStart w:id="1312" w:name="_Toc22136"/>
      <w:bookmarkStart w:id="1313" w:name="_Toc164181765"/>
      <w:bookmarkStart w:id="1314" w:name="_Toc164681312"/>
      <w:bookmarkStart w:id="1315" w:name="_Toc164182083"/>
      <w:bookmarkStart w:id="1316" w:name="_Toc30891"/>
      <w:bookmarkStart w:id="1317" w:name="_Toc164680935"/>
      <w:bookmarkStart w:id="1318" w:name="_Toc16268"/>
      <w:r>
        <w:rPr>
          <w:rFonts w:hint="eastAsia" w:ascii="宋体" w:hAnsi="宋体" w:cs="宋体"/>
          <w:color w:val="auto"/>
          <w:highlight w:val="none"/>
        </w:rPr>
        <w:t>2．分项报价表</w:t>
      </w:r>
      <w:bookmarkEnd w:id="1309"/>
      <w:bookmarkEnd w:id="1310"/>
      <w:bookmarkEnd w:id="1311"/>
      <w:bookmarkEnd w:id="1312"/>
      <w:bookmarkEnd w:id="1313"/>
      <w:bookmarkEnd w:id="1314"/>
      <w:bookmarkEnd w:id="1315"/>
      <w:bookmarkEnd w:id="1316"/>
      <w:bookmarkEnd w:id="1317"/>
      <w:bookmarkEnd w:id="1318"/>
    </w:p>
    <w:p w14:paraId="4E59FDF5">
      <w:pPr>
        <w:pStyle w:val="17"/>
        <w:topLinePunct/>
        <w:autoSpaceDE w:val="0"/>
        <w:autoSpaceDN w:val="0"/>
        <w:adjustRightInd w:val="0"/>
        <w:snapToGrid w:val="0"/>
        <w:spacing w:line="360" w:lineRule="auto"/>
        <w:ind w:left="2"/>
        <w:jc w:val="center"/>
        <w:rPr>
          <w:rFonts w:hint="eastAsia" w:hAnsi="宋体" w:cs="宋体"/>
          <w:color w:val="auto"/>
          <w:kern w:val="2"/>
          <w:sz w:val="22"/>
          <w:highlight w:val="none"/>
          <w:lang w:eastAsia="zh-CN"/>
        </w:rPr>
      </w:pPr>
      <w:r>
        <w:rPr>
          <w:rFonts w:hint="eastAsia" w:hAnsi="宋体" w:cs="宋体"/>
          <w:color w:val="auto"/>
          <w:kern w:val="2"/>
          <w:sz w:val="22"/>
          <w:highlight w:val="none"/>
          <w:lang w:eastAsia="zh-CN"/>
        </w:rPr>
        <w:t>（服务类项目适用)</w:t>
      </w:r>
    </w:p>
    <w:tbl>
      <w:tblPr>
        <w:tblStyle w:val="31"/>
        <w:tblW w:w="9032" w:type="dxa"/>
        <w:jc w:val="center"/>
        <w:tblLayout w:type="fixed"/>
        <w:tblCellMar>
          <w:top w:w="0" w:type="dxa"/>
          <w:left w:w="108" w:type="dxa"/>
          <w:bottom w:w="0" w:type="dxa"/>
          <w:right w:w="108" w:type="dxa"/>
        </w:tblCellMar>
      </w:tblPr>
      <w:tblGrid>
        <w:gridCol w:w="709"/>
        <w:gridCol w:w="372"/>
        <w:gridCol w:w="1077"/>
        <w:gridCol w:w="2662"/>
        <w:gridCol w:w="1134"/>
        <w:gridCol w:w="1111"/>
        <w:gridCol w:w="993"/>
        <w:gridCol w:w="974"/>
      </w:tblGrid>
      <w:tr w14:paraId="41D092A6">
        <w:tblPrEx>
          <w:tblCellMar>
            <w:top w:w="0" w:type="dxa"/>
            <w:left w:w="108" w:type="dxa"/>
            <w:bottom w:w="0" w:type="dxa"/>
            <w:right w:w="108" w:type="dxa"/>
          </w:tblCellMar>
        </w:tblPrEx>
        <w:trPr>
          <w:trHeight w:val="510" w:hRule="atLeast"/>
          <w:tblHeader/>
          <w:jc w:val="center"/>
        </w:trPr>
        <w:tc>
          <w:tcPr>
            <w:tcW w:w="1081" w:type="dxa"/>
            <w:gridSpan w:val="2"/>
            <w:tcBorders>
              <w:top w:val="single" w:color="auto" w:sz="4" w:space="0"/>
              <w:left w:val="single" w:color="auto" w:sz="4" w:space="0"/>
              <w:bottom w:val="single" w:color="auto" w:sz="4" w:space="0"/>
              <w:right w:val="single" w:color="auto" w:sz="4" w:space="0"/>
            </w:tcBorders>
            <w:noWrap w:val="0"/>
            <w:vAlign w:val="center"/>
          </w:tcPr>
          <w:p w14:paraId="21CAAE98">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highlight w:val="none"/>
              </w:rPr>
              <w:t>项目名称</w:t>
            </w:r>
          </w:p>
        </w:tc>
        <w:tc>
          <w:tcPr>
            <w:tcW w:w="7951" w:type="dxa"/>
            <w:gridSpan w:val="6"/>
            <w:tcBorders>
              <w:top w:val="single" w:color="auto" w:sz="4" w:space="0"/>
              <w:left w:val="nil"/>
              <w:bottom w:val="single" w:color="auto" w:sz="4" w:space="0"/>
              <w:right w:val="single" w:color="auto" w:sz="4" w:space="0"/>
            </w:tcBorders>
            <w:noWrap w:val="0"/>
            <w:vAlign w:val="center"/>
          </w:tcPr>
          <w:p w14:paraId="447F7132">
            <w:pPr>
              <w:adjustRightInd w:val="0"/>
              <w:snapToGrid w:val="0"/>
              <w:jc w:val="center"/>
              <w:rPr>
                <w:rFonts w:hint="eastAsia" w:ascii="宋体" w:hAnsi="宋体" w:cs="宋体"/>
                <w:b/>
                <w:color w:val="auto"/>
                <w:szCs w:val="21"/>
                <w:highlight w:val="none"/>
              </w:rPr>
            </w:pPr>
          </w:p>
        </w:tc>
      </w:tr>
      <w:tr w14:paraId="52C10301">
        <w:tblPrEx>
          <w:tblCellMar>
            <w:top w:w="0" w:type="dxa"/>
            <w:left w:w="108" w:type="dxa"/>
            <w:bottom w:w="0" w:type="dxa"/>
            <w:right w:w="108" w:type="dxa"/>
          </w:tblCellMar>
        </w:tblPrEx>
        <w:trPr>
          <w:trHeight w:val="510" w:hRule="atLeast"/>
          <w:tblHeader/>
          <w:jc w:val="center"/>
        </w:trPr>
        <w:tc>
          <w:tcPr>
            <w:tcW w:w="1081" w:type="dxa"/>
            <w:gridSpan w:val="2"/>
            <w:tcBorders>
              <w:top w:val="single" w:color="auto" w:sz="4" w:space="0"/>
              <w:left w:val="single" w:color="auto" w:sz="4" w:space="0"/>
              <w:bottom w:val="single" w:color="auto" w:sz="4" w:space="0"/>
              <w:right w:val="single" w:color="auto" w:sz="4" w:space="0"/>
            </w:tcBorders>
            <w:noWrap w:val="0"/>
            <w:vAlign w:val="center"/>
          </w:tcPr>
          <w:p w14:paraId="75AA8DDF">
            <w:pPr>
              <w:widowControl/>
              <w:adjustRightInd w:val="0"/>
              <w:snapToGrid w:val="0"/>
              <w:jc w:val="center"/>
              <w:rPr>
                <w:rFonts w:hint="eastAsia" w:ascii="宋体" w:hAnsi="宋体" w:cs="宋体"/>
                <w:b/>
                <w:color w:val="auto"/>
                <w:highlight w:val="none"/>
              </w:rPr>
            </w:pPr>
            <w:r>
              <w:rPr>
                <w:rFonts w:hint="eastAsia" w:ascii="宋体" w:hAnsi="宋体" w:cs="宋体"/>
                <w:b/>
                <w:color w:val="auto"/>
                <w:highlight w:val="none"/>
              </w:rPr>
              <w:t>项目编号</w:t>
            </w:r>
          </w:p>
        </w:tc>
        <w:tc>
          <w:tcPr>
            <w:tcW w:w="4873" w:type="dxa"/>
            <w:gridSpan w:val="3"/>
            <w:tcBorders>
              <w:top w:val="single" w:color="auto" w:sz="4" w:space="0"/>
              <w:left w:val="nil"/>
              <w:bottom w:val="single" w:color="auto" w:sz="4" w:space="0"/>
              <w:right w:val="single" w:color="auto" w:sz="4" w:space="0"/>
            </w:tcBorders>
            <w:noWrap w:val="0"/>
            <w:vAlign w:val="center"/>
          </w:tcPr>
          <w:p w14:paraId="364D94AB">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GS2026-DLGK-C0024-B00</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776A3B3A">
            <w:pPr>
              <w:widowControl/>
              <w:adjustRightInd w:val="0"/>
              <w:snapToGrid w:val="0"/>
              <w:jc w:val="center"/>
              <w:rPr>
                <w:rFonts w:hint="eastAsia" w:ascii="宋体" w:hAnsi="宋体" w:cs="宋体"/>
                <w:b/>
                <w:color w:val="auto"/>
                <w:highlight w:val="none"/>
              </w:rPr>
            </w:pPr>
            <w:r>
              <w:rPr>
                <w:rFonts w:hint="eastAsia" w:ascii="宋体" w:hAnsi="宋体" w:cs="宋体"/>
                <w:b/>
                <w:color w:val="auto"/>
                <w:highlight w:val="none"/>
              </w:rPr>
              <w:t>价格单位</w:t>
            </w:r>
          </w:p>
        </w:tc>
        <w:tc>
          <w:tcPr>
            <w:tcW w:w="1967" w:type="dxa"/>
            <w:gridSpan w:val="2"/>
            <w:tcBorders>
              <w:top w:val="single" w:color="auto" w:sz="4" w:space="0"/>
              <w:left w:val="nil"/>
              <w:bottom w:val="single" w:color="auto" w:sz="4" w:space="0"/>
              <w:right w:val="single" w:color="auto" w:sz="4" w:space="0"/>
            </w:tcBorders>
            <w:noWrap w:val="0"/>
            <w:vAlign w:val="center"/>
          </w:tcPr>
          <w:p w14:paraId="67019D66">
            <w:pPr>
              <w:adjustRightInd w:val="0"/>
              <w:snapToGrid w:val="0"/>
              <w:jc w:val="center"/>
              <w:rPr>
                <w:rFonts w:hint="eastAsia" w:ascii="宋体" w:hAnsi="宋体" w:cs="宋体"/>
                <w:b/>
                <w:color w:val="auto"/>
                <w:szCs w:val="21"/>
                <w:highlight w:val="none"/>
              </w:rPr>
            </w:pPr>
            <w:r>
              <w:rPr>
                <w:rFonts w:hint="eastAsia" w:ascii="宋体" w:hAnsi="宋体" w:cs="宋体"/>
                <w:color w:val="auto"/>
                <w:highlight w:val="none"/>
              </w:rPr>
              <w:t>人民币：元</w:t>
            </w:r>
          </w:p>
        </w:tc>
      </w:tr>
      <w:tr w14:paraId="2B3BB104">
        <w:tblPrEx>
          <w:tblCellMar>
            <w:top w:w="0" w:type="dxa"/>
            <w:left w:w="108" w:type="dxa"/>
            <w:bottom w:w="0" w:type="dxa"/>
            <w:right w:w="108" w:type="dxa"/>
          </w:tblCellMar>
        </w:tblPrEx>
        <w:trPr>
          <w:trHeight w:val="510" w:hRule="atLeast"/>
          <w:tblHeader/>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41F8547F">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449" w:type="dxa"/>
            <w:gridSpan w:val="2"/>
            <w:tcBorders>
              <w:top w:val="single" w:color="auto" w:sz="4" w:space="0"/>
              <w:left w:val="nil"/>
              <w:bottom w:val="single" w:color="auto" w:sz="4" w:space="0"/>
              <w:right w:val="single" w:color="auto" w:sz="4" w:space="0"/>
            </w:tcBorders>
            <w:noWrap w:val="0"/>
            <w:vAlign w:val="center"/>
          </w:tcPr>
          <w:p w14:paraId="4D3FC5EC">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项目名称</w:t>
            </w:r>
          </w:p>
        </w:tc>
        <w:tc>
          <w:tcPr>
            <w:tcW w:w="2662" w:type="dxa"/>
            <w:tcBorders>
              <w:top w:val="single" w:color="auto" w:sz="4" w:space="0"/>
              <w:left w:val="nil"/>
              <w:bottom w:val="single" w:color="auto" w:sz="4" w:space="0"/>
              <w:right w:val="single" w:color="auto" w:sz="4" w:space="0"/>
            </w:tcBorders>
            <w:noWrap w:val="0"/>
            <w:vAlign w:val="center"/>
          </w:tcPr>
          <w:p w14:paraId="219B0BBB">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内容描述</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851799F">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…费用</w:t>
            </w:r>
          </w:p>
        </w:tc>
        <w:tc>
          <w:tcPr>
            <w:tcW w:w="1111" w:type="dxa"/>
            <w:tcBorders>
              <w:top w:val="single" w:color="auto" w:sz="4" w:space="0"/>
              <w:left w:val="single" w:color="auto" w:sz="4" w:space="0"/>
              <w:bottom w:val="single" w:color="auto" w:sz="4" w:space="0"/>
              <w:right w:val="single" w:color="auto" w:sz="4" w:space="0"/>
            </w:tcBorders>
            <w:noWrap w:val="0"/>
            <w:vAlign w:val="center"/>
          </w:tcPr>
          <w:p w14:paraId="024B9F6F">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…费用</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760C8013">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小计</w:t>
            </w:r>
          </w:p>
          <w:p w14:paraId="6CDE714F">
            <w:pPr>
              <w:widowControl/>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（元）</w:t>
            </w:r>
          </w:p>
        </w:tc>
        <w:tc>
          <w:tcPr>
            <w:tcW w:w="974" w:type="dxa"/>
            <w:tcBorders>
              <w:top w:val="single" w:color="auto" w:sz="4" w:space="0"/>
              <w:left w:val="nil"/>
              <w:bottom w:val="single" w:color="auto" w:sz="4" w:space="0"/>
              <w:right w:val="single" w:color="auto" w:sz="4" w:space="0"/>
            </w:tcBorders>
            <w:noWrap w:val="0"/>
            <w:vAlign w:val="center"/>
          </w:tcPr>
          <w:p w14:paraId="6DECD6A5">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193BEBE8">
        <w:tblPrEx>
          <w:tblCellMar>
            <w:top w:w="0" w:type="dxa"/>
            <w:left w:w="108" w:type="dxa"/>
            <w:bottom w:w="0" w:type="dxa"/>
            <w:right w:w="108" w:type="dxa"/>
          </w:tblCellMar>
        </w:tblPrEx>
        <w:trPr>
          <w:trHeight w:val="510" w:hRule="atLeast"/>
          <w:tblHeader/>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251E7DD8">
            <w:pPr>
              <w:tabs>
                <w:tab w:val="left" w:pos="425"/>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449" w:type="dxa"/>
            <w:gridSpan w:val="2"/>
            <w:tcBorders>
              <w:top w:val="single" w:color="auto" w:sz="4" w:space="0"/>
              <w:left w:val="nil"/>
              <w:bottom w:val="single" w:color="auto" w:sz="4" w:space="0"/>
              <w:right w:val="single" w:color="auto" w:sz="4" w:space="0"/>
            </w:tcBorders>
            <w:noWrap w:val="0"/>
            <w:vAlign w:val="center"/>
          </w:tcPr>
          <w:p w14:paraId="65B5D1EA">
            <w:pPr>
              <w:adjustRightInd w:val="0"/>
              <w:snapToGrid w:val="0"/>
              <w:jc w:val="center"/>
              <w:rPr>
                <w:rFonts w:hint="eastAsia" w:ascii="宋体" w:hAnsi="宋体" w:cs="宋体"/>
                <w:color w:val="auto"/>
                <w:szCs w:val="21"/>
                <w:highlight w:val="none"/>
              </w:rPr>
            </w:pPr>
          </w:p>
        </w:tc>
        <w:tc>
          <w:tcPr>
            <w:tcW w:w="2662" w:type="dxa"/>
            <w:tcBorders>
              <w:top w:val="single" w:color="auto" w:sz="4" w:space="0"/>
              <w:left w:val="nil"/>
              <w:bottom w:val="single" w:color="auto" w:sz="4" w:space="0"/>
              <w:right w:val="single" w:color="auto" w:sz="4" w:space="0"/>
            </w:tcBorders>
            <w:noWrap w:val="0"/>
            <w:vAlign w:val="center"/>
          </w:tcPr>
          <w:p w14:paraId="0071CCB1">
            <w:pPr>
              <w:tabs>
                <w:tab w:val="left" w:pos="425"/>
              </w:tabs>
              <w:adjustRightInd w:val="0"/>
              <w:snapToGrid w:val="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C5423D">
            <w:pPr>
              <w:tabs>
                <w:tab w:val="left" w:pos="425"/>
              </w:tabs>
              <w:adjustRightInd w:val="0"/>
              <w:snapToGrid w:val="0"/>
              <w:jc w:val="center"/>
              <w:rPr>
                <w:rFonts w:hint="eastAsia" w:ascii="宋体" w:hAnsi="宋体" w:cs="宋体"/>
                <w:color w:val="auto"/>
                <w:szCs w:val="21"/>
                <w:highlight w:val="none"/>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39215FB">
            <w:pPr>
              <w:tabs>
                <w:tab w:val="left" w:pos="425"/>
              </w:tabs>
              <w:adjustRightInd w:val="0"/>
              <w:snapToGrid w:val="0"/>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81D7AB2">
            <w:pPr>
              <w:tabs>
                <w:tab w:val="left" w:pos="425"/>
              </w:tabs>
              <w:adjustRightInd w:val="0"/>
              <w:snapToGrid w:val="0"/>
              <w:jc w:val="center"/>
              <w:rPr>
                <w:rFonts w:hint="eastAsia" w:ascii="宋体" w:hAnsi="宋体" w:cs="宋体"/>
                <w:color w:val="auto"/>
                <w:szCs w:val="21"/>
                <w:highlight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7C5B766F">
            <w:pPr>
              <w:tabs>
                <w:tab w:val="left" w:pos="425"/>
              </w:tabs>
              <w:adjustRightInd w:val="0"/>
              <w:snapToGrid w:val="0"/>
              <w:jc w:val="center"/>
              <w:rPr>
                <w:rFonts w:hint="eastAsia" w:ascii="宋体" w:hAnsi="宋体" w:cs="宋体"/>
                <w:color w:val="auto"/>
                <w:szCs w:val="21"/>
                <w:highlight w:val="none"/>
              </w:rPr>
            </w:pPr>
          </w:p>
        </w:tc>
      </w:tr>
      <w:tr w14:paraId="1DFFE0D7">
        <w:tblPrEx>
          <w:tblCellMar>
            <w:top w:w="0" w:type="dxa"/>
            <w:left w:w="108" w:type="dxa"/>
            <w:bottom w:w="0" w:type="dxa"/>
            <w:right w:w="108" w:type="dxa"/>
          </w:tblCellMar>
        </w:tblPrEx>
        <w:trPr>
          <w:trHeight w:val="510" w:hRule="atLeast"/>
          <w:tblHeader/>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5C6AE87A">
            <w:pPr>
              <w:tabs>
                <w:tab w:val="left" w:pos="425"/>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449" w:type="dxa"/>
            <w:gridSpan w:val="2"/>
            <w:tcBorders>
              <w:top w:val="single" w:color="auto" w:sz="4" w:space="0"/>
              <w:left w:val="nil"/>
              <w:bottom w:val="single" w:color="auto" w:sz="4" w:space="0"/>
              <w:right w:val="single" w:color="auto" w:sz="4" w:space="0"/>
            </w:tcBorders>
            <w:noWrap w:val="0"/>
            <w:vAlign w:val="center"/>
          </w:tcPr>
          <w:p w14:paraId="72E29977">
            <w:pPr>
              <w:adjustRightInd w:val="0"/>
              <w:snapToGrid w:val="0"/>
              <w:jc w:val="center"/>
              <w:rPr>
                <w:rFonts w:hint="eastAsia" w:ascii="宋体" w:hAnsi="宋体" w:cs="宋体"/>
                <w:color w:val="auto"/>
                <w:szCs w:val="21"/>
                <w:highlight w:val="none"/>
              </w:rPr>
            </w:pPr>
          </w:p>
        </w:tc>
        <w:tc>
          <w:tcPr>
            <w:tcW w:w="2662" w:type="dxa"/>
            <w:tcBorders>
              <w:top w:val="single" w:color="auto" w:sz="4" w:space="0"/>
              <w:left w:val="nil"/>
              <w:bottom w:val="single" w:color="auto" w:sz="4" w:space="0"/>
              <w:right w:val="single" w:color="auto" w:sz="4" w:space="0"/>
            </w:tcBorders>
            <w:noWrap w:val="0"/>
            <w:vAlign w:val="center"/>
          </w:tcPr>
          <w:p w14:paraId="78FCAC29">
            <w:pPr>
              <w:tabs>
                <w:tab w:val="left" w:pos="425"/>
              </w:tabs>
              <w:adjustRightInd w:val="0"/>
              <w:snapToGrid w:val="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994A440">
            <w:pPr>
              <w:tabs>
                <w:tab w:val="left" w:pos="425"/>
              </w:tabs>
              <w:adjustRightInd w:val="0"/>
              <w:snapToGrid w:val="0"/>
              <w:jc w:val="center"/>
              <w:rPr>
                <w:rFonts w:hint="eastAsia" w:ascii="宋体" w:hAnsi="宋体" w:cs="宋体"/>
                <w:color w:val="auto"/>
                <w:szCs w:val="21"/>
                <w:highlight w:val="none"/>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14:paraId="470ADCA2">
            <w:pPr>
              <w:tabs>
                <w:tab w:val="left" w:pos="425"/>
              </w:tabs>
              <w:adjustRightInd w:val="0"/>
              <w:snapToGrid w:val="0"/>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877F269">
            <w:pPr>
              <w:tabs>
                <w:tab w:val="left" w:pos="425"/>
              </w:tabs>
              <w:adjustRightInd w:val="0"/>
              <w:snapToGrid w:val="0"/>
              <w:jc w:val="center"/>
              <w:rPr>
                <w:rFonts w:hint="eastAsia" w:ascii="宋体" w:hAnsi="宋体" w:cs="宋体"/>
                <w:color w:val="auto"/>
                <w:szCs w:val="21"/>
                <w:highlight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1F2D92EF">
            <w:pPr>
              <w:tabs>
                <w:tab w:val="left" w:pos="425"/>
              </w:tabs>
              <w:adjustRightInd w:val="0"/>
              <w:snapToGrid w:val="0"/>
              <w:jc w:val="center"/>
              <w:rPr>
                <w:rFonts w:hint="eastAsia" w:ascii="宋体" w:hAnsi="宋体" w:cs="宋体"/>
                <w:color w:val="auto"/>
                <w:szCs w:val="21"/>
                <w:highlight w:val="none"/>
              </w:rPr>
            </w:pPr>
          </w:p>
        </w:tc>
      </w:tr>
      <w:tr w14:paraId="3FE6D521">
        <w:tblPrEx>
          <w:tblCellMar>
            <w:top w:w="0" w:type="dxa"/>
            <w:left w:w="108" w:type="dxa"/>
            <w:bottom w:w="0" w:type="dxa"/>
            <w:right w:w="108" w:type="dxa"/>
          </w:tblCellMar>
        </w:tblPrEx>
        <w:trPr>
          <w:trHeight w:val="510" w:hRule="atLeast"/>
          <w:tblHeader/>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6651495F">
            <w:pPr>
              <w:tabs>
                <w:tab w:val="left" w:pos="425"/>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449" w:type="dxa"/>
            <w:gridSpan w:val="2"/>
            <w:tcBorders>
              <w:top w:val="single" w:color="auto" w:sz="4" w:space="0"/>
              <w:left w:val="nil"/>
              <w:bottom w:val="single" w:color="auto" w:sz="4" w:space="0"/>
              <w:right w:val="single" w:color="auto" w:sz="4" w:space="0"/>
            </w:tcBorders>
            <w:noWrap w:val="0"/>
            <w:vAlign w:val="center"/>
          </w:tcPr>
          <w:p w14:paraId="35C39E83">
            <w:pPr>
              <w:adjustRightInd w:val="0"/>
              <w:snapToGrid w:val="0"/>
              <w:jc w:val="center"/>
              <w:rPr>
                <w:rFonts w:hint="eastAsia" w:ascii="宋体" w:hAnsi="宋体" w:cs="宋体"/>
                <w:color w:val="auto"/>
                <w:szCs w:val="21"/>
                <w:highlight w:val="none"/>
              </w:rPr>
            </w:pPr>
          </w:p>
        </w:tc>
        <w:tc>
          <w:tcPr>
            <w:tcW w:w="2662" w:type="dxa"/>
            <w:tcBorders>
              <w:top w:val="single" w:color="auto" w:sz="4" w:space="0"/>
              <w:left w:val="nil"/>
              <w:bottom w:val="single" w:color="auto" w:sz="4" w:space="0"/>
              <w:right w:val="single" w:color="auto" w:sz="4" w:space="0"/>
            </w:tcBorders>
            <w:noWrap w:val="0"/>
            <w:vAlign w:val="center"/>
          </w:tcPr>
          <w:p w14:paraId="0EF0B42F">
            <w:pPr>
              <w:tabs>
                <w:tab w:val="left" w:pos="425"/>
              </w:tabs>
              <w:adjustRightInd w:val="0"/>
              <w:snapToGrid w:val="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51B43D0">
            <w:pPr>
              <w:tabs>
                <w:tab w:val="left" w:pos="425"/>
              </w:tabs>
              <w:adjustRightInd w:val="0"/>
              <w:snapToGrid w:val="0"/>
              <w:jc w:val="center"/>
              <w:rPr>
                <w:rFonts w:hint="eastAsia" w:ascii="宋体" w:hAnsi="宋体" w:cs="宋体"/>
                <w:color w:val="auto"/>
                <w:szCs w:val="21"/>
                <w:highlight w:val="none"/>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14:paraId="5874E57A">
            <w:pPr>
              <w:tabs>
                <w:tab w:val="left" w:pos="425"/>
              </w:tabs>
              <w:adjustRightInd w:val="0"/>
              <w:snapToGrid w:val="0"/>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275FA73">
            <w:pPr>
              <w:tabs>
                <w:tab w:val="left" w:pos="425"/>
              </w:tabs>
              <w:adjustRightInd w:val="0"/>
              <w:snapToGrid w:val="0"/>
              <w:jc w:val="center"/>
              <w:rPr>
                <w:rFonts w:hint="eastAsia" w:ascii="宋体" w:hAnsi="宋体" w:cs="宋体"/>
                <w:color w:val="auto"/>
                <w:szCs w:val="21"/>
                <w:highlight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78EB901E">
            <w:pPr>
              <w:tabs>
                <w:tab w:val="left" w:pos="425"/>
              </w:tabs>
              <w:adjustRightInd w:val="0"/>
              <w:snapToGrid w:val="0"/>
              <w:jc w:val="center"/>
              <w:rPr>
                <w:rFonts w:hint="eastAsia" w:ascii="宋体" w:hAnsi="宋体" w:cs="宋体"/>
                <w:color w:val="auto"/>
                <w:szCs w:val="21"/>
                <w:highlight w:val="none"/>
              </w:rPr>
            </w:pPr>
          </w:p>
        </w:tc>
      </w:tr>
      <w:tr w14:paraId="08740BDE">
        <w:tblPrEx>
          <w:tblCellMar>
            <w:top w:w="0" w:type="dxa"/>
            <w:left w:w="108" w:type="dxa"/>
            <w:bottom w:w="0" w:type="dxa"/>
            <w:right w:w="108" w:type="dxa"/>
          </w:tblCellMar>
        </w:tblPrEx>
        <w:trPr>
          <w:trHeight w:val="510" w:hRule="atLeast"/>
          <w:tblHeader/>
          <w:jc w:val="center"/>
        </w:trPr>
        <w:tc>
          <w:tcPr>
            <w:tcW w:w="709" w:type="dxa"/>
            <w:tcBorders>
              <w:top w:val="nil"/>
              <w:left w:val="single" w:color="auto" w:sz="4" w:space="0"/>
              <w:bottom w:val="single" w:color="auto" w:sz="4" w:space="0"/>
              <w:right w:val="single" w:color="auto" w:sz="4" w:space="0"/>
            </w:tcBorders>
            <w:noWrap w:val="0"/>
            <w:vAlign w:val="center"/>
          </w:tcPr>
          <w:p w14:paraId="23A5F9C5">
            <w:pPr>
              <w:tabs>
                <w:tab w:val="left" w:pos="425"/>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449" w:type="dxa"/>
            <w:gridSpan w:val="2"/>
            <w:tcBorders>
              <w:top w:val="nil"/>
              <w:left w:val="nil"/>
              <w:bottom w:val="single" w:color="auto" w:sz="4" w:space="0"/>
              <w:right w:val="single" w:color="auto" w:sz="4" w:space="0"/>
            </w:tcBorders>
            <w:noWrap w:val="0"/>
            <w:vAlign w:val="center"/>
          </w:tcPr>
          <w:p w14:paraId="140B8BCD">
            <w:pPr>
              <w:adjustRightInd w:val="0"/>
              <w:snapToGrid w:val="0"/>
              <w:jc w:val="center"/>
              <w:rPr>
                <w:rFonts w:hint="eastAsia" w:ascii="宋体" w:hAnsi="宋体" w:cs="宋体"/>
                <w:color w:val="auto"/>
                <w:szCs w:val="21"/>
                <w:highlight w:val="none"/>
              </w:rPr>
            </w:pPr>
          </w:p>
        </w:tc>
        <w:tc>
          <w:tcPr>
            <w:tcW w:w="2662" w:type="dxa"/>
            <w:tcBorders>
              <w:top w:val="nil"/>
              <w:left w:val="nil"/>
              <w:bottom w:val="single" w:color="auto" w:sz="4" w:space="0"/>
              <w:right w:val="single" w:color="auto" w:sz="4" w:space="0"/>
            </w:tcBorders>
            <w:noWrap w:val="0"/>
            <w:vAlign w:val="center"/>
          </w:tcPr>
          <w:p w14:paraId="730979DB">
            <w:pPr>
              <w:tabs>
                <w:tab w:val="left" w:pos="425"/>
              </w:tabs>
              <w:adjustRightInd w:val="0"/>
              <w:snapToGrid w:val="0"/>
              <w:jc w:val="center"/>
              <w:rPr>
                <w:rFonts w:hint="eastAsia" w:ascii="宋体" w:hAnsi="宋体" w:cs="宋体"/>
                <w:color w:val="auto"/>
                <w:szCs w:val="21"/>
                <w:highlight w:val="none"/>
              </w:rPr>
            </w:pPr>
          </w:p>
        </w:tc>
        <w:tc>
          <w:tcPr>
            <w:tcW w:w="1134" w:type="dxa"/>
            <w:tcBorders>
              <w:top w:val="nil"/>
              <w:left w:val="single" w:color="auto" w:sz="4" w:space="0"/>
              <w:bottom w:val="single" w:color="auto" w:sz="4" w:space="0"/>
              <w:right w:val="single" w:color="auto" w:sz="4" w:space="0"/>
            </w:tcBorders>
            <w:noWrap w:val="0"/>
            <w:vAlign w:val="center"/>
          </w:tcPr>
          <w:p w14:paraId="20E379BB">
            <w:pPr>
              <w:tabs>
                <w:tab w:val="left" w:pos="425"/>
              </w:tabs>
              <w:adjustRightInd w:val="0"/>
              <w:snapToGrid w:val="0"/>
              <w:jc w:val="center"/>
              <w:rPr>
                <w:rFonts w:hint="eastAsia" w:ascii="宋体" w:hAnsi="宋体" w:cs="宋体"/>
                <w:color w:val="auto"/>
                <w:szCs w:val="21"/>
                <w:highlight w:val="none"/>
              </w:rPr>
            </w:pPr>
          </w:p>
        </w:tc>
        <w:tc>
          <w:tcPr>
            <w:tcW w:w="1111" w:type="dxa"/>
            <w:tcBorders>
              <w:top w:val="nil"/>
              <w:left w:val="single" w:color="auto" w:sz="4" w:space="0"/>
              <w:bottom w:val="single" w:color="auto" w:sz="4" w:space="0"/>
              <w:right w:val="single" w:color="auto" w:sz="4" w:space="0"/>
            </w:tcBorders>
            <w:noWrap w:val="0"/>
            <w:vAlign w:val="center"/>
          </w:tcPr>
          <w:p w14:paraId="712F6EF4">
            <w:pPr>
              <w:tabs>
                <w:tab w:val="left" w:pos="425"/>
              </w:tabs>
              <w:adjustRightInd w:val="0"/>
              <w:snapToGrid w:val="0"/>
              <w:jc w:val="center"/>
              <w:rPr>
                <w:rFonts w:hint="eastAsia" w:ascii="宋体" w:hAnsi="宋体" w:cs="宋体"/>
                <w:color w:val="auto"/>
                <w:szCs w:val="21"/>
                <w:highlight w:val="none"/>
              </w:rPr>
            </w:pPr>
          </w:p>
        </w:tc>
        <w:tc>
          <w:tcPr>
            <w:tcW w:w="993" w:type="dxa"/>
            <w:tcBorders>
              <w:top w:val="nil"/>
              <w:left w:val="single" w:color="auto" w:sz="4" w:space="0"/>
              <w:bottom w:val="single" w:color="auto" w:sz="4" w:space="0"/>
              <w:right w:val="single" w:color="auto" w:sz="4" w:space="0"/>
            </w:tcBorders>
            <w:noWrap w:val="0"/>
            <w:vAlign w:val="center"/>
          </w:tcPr>
          <w:p w14:paraId="5744CB21">
            <w:pPr>
              <w:tabs>
                <w:tab w:val="left" w:pos="425"/>
              </w:tabs>
              <w:adjustRightInd w:val="0"/>
              <w:snapToGrid w:val="0"/>
              <w:jc w:val="center"/>
              <w:rPr>
                <w:rFonts w:hint="eastAsia" w:ascii="宋体" w:hAnsi="宋体" w:cs="宋体"/>
                <w:color w:val="auto"/>
                <w:szCs w:val="21"/>
                <w:highlight w:val="none"/>
              </w:rPr>
            </w:pPr>
          </w:p>
        </w:tc>
        <w:tc>
          <w:tcPr>
            <w:tcW w:w="974" w:type="dxa"/>
            <w:tcBorders>
              <w:top w:val="nil"/>
              <w:left w:val="single" w:color="auto" w:sz="4" w:space="0"/>
              <w:bottom w:val="single" w:color="auto" w:sz="4" w:space="0"/>
              <w:right w:val="single" w:color="auto" w:sz="4" w:space="0"/>
            </w:tcBorders>
            <w:noWrap w:val="0"/>
            <w:vAlign w:val="center"/>
          </w:tcPr>
          <w:p w14:paraId="57BB78B1">
            <w:pPr>
              <w:tabs>
                <w:tab w:val="left" w:pos="425"/>
              </w:tabs>
              <w:adjustRightInd w:val="0"/>
              <w:snapToGrid w:val="0"/>
              <w:jc w:val="center"/>
              <w:rPr>
                <w:rFonts w:hint="eastAsia" w:ascii="宋体" w:hAnsi="宋体" w:cs="宋体"/>
                <w:color w:val="auto"/>
                <w:szCs w:val="21"/>
                <w:highlight w:val="none"/>
              </w:rPr>
            </w:pPr>
          </w:p>
        </w:tc>
      </w:tr>
      <w:tr w14:paraId="24269467">
        <w:tblPrEx>
          <w:tblCellMar>
            <w:top w:w="0" w:type="dxa"/>
            <w:left w:w="108" w:type="dxa"/>
            <w:bottom w:w="0" w:type="dxa"/>
            <w:right w:w="108" w:type="dxa"/>
          </w:tblCellMar>
        </w:tblPrEx>
        <w:trPr>
          <w:trHeight w:val="510" w:hRule="atLeast"/>
          <w:tblHeader/>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389D7BB9">
            <w:pPr>
              <w:tabs>
                <w:tab w:val="left" w:pos="425"/>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449" w:type="dxa"/>
            <w:gridSpan w:val="2"/>
            <w:tcBorders>
              <w:top w:val="single" w:color="auto" w:sz="4" w:space="0"/>
              <w:left w:val="nil"/>
              <w:bottom w:val="single" w:color="auto" w:sz="4" w:space="0"/>
              <w:right w:val="single" w:color="auto" w:sz="4" w:space="0"/>
            </w:tcBorders>
            <w:noWrap w:val="0"/>
            <w:vAlign w:val="center"/>
          </w:tcPr>
          <w:p w14:paraId="5292E622">
            <w:pPr>
              <w:tabs>
                <w:tab w:val="left" w:pos="425"/>
              </w:tabs>
              <w:adjustRightInd w:val="0"/>
              <w:snapToGrid w:val="0"/>
              <w:jc w:val="center"/>
              <w:rPr>
                <w:rFonts w:hint="eastAsia" w:ascii="宋体" w:hAnsi="宋体" w:cs="宋体"/>
                <w:color w:val="auto"/>
                <w:szCs w:val="21"/>
                <w:highlight w:val="none"/>
              </w:rPr>
            </w:pPr>
          </w:p>
        </w:tc>
        <w:tc>
          <w:tcPr>
            <w:tcW w:w="2662" w:type="dxa"/>
            <w:tcBorders>
              <w:top w:val="single" w:color="auto" w:sz="4" w:space="0"/>
              <w:left w:val="nil"/>
              <w:bottom w:val="single" w:color="auto" w:sz="4" w:space="0"/>
              <w:right w:val="single" w:color="auto" w:sz="4" w:space="0"/>
            </w:tcBorders>
            <w:noWrap w:val="0"/>
            <w:vAlign w:val="center"/>
          </w:tcPr>
          <w:p w14:paraId="2FCD2A36">
            <w:pPr>
              <w:tabs>
                <w:tab w:val="left" w:pos="425"/>
              </w:tabs>
              <w:adjustRightInd w:val="0"/>
              <w:snapToGrid w:val="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3EABF3B">
            <w:pPr>
              <w:tabs>
                <w:tab w:val="left" w:pos="425"/>
              </w:tabs>
              <w:adjustRightInd w:val="0"/>
              <w:snapToGrid w:val="0"/>
              <w:jc w:val="center"/>
              <w:rPr>
                <w:rFonts w:hint="eastAsia" w:ascii="宋体" w:hAnsi="宋体" w:cs="宋体"/>
                <w:color w:val="auto"/>
                <w:szCs w:val="21"/>
                <w:highlight w:val="none"/>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14:paraId="73BFDA0B">
            <w:pPr>
              <w:tabs>
                <w:tab w:val="left" w:pos="425"/>
              </w:tabs>
              <w:adjustRightInd w:val="0"/>
              <w:snapToGrid w:val="0"/>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75E993F2">
            <w:pPr>
              <w:tabs>
                <w:tab w:val="left" w:pos="425"/>
              </w:tabs>
              <w:adjustRightInd w:val="0"/>
              <w:snapToGrid w:val="0"/>
              <w:jc w:val="center"/>
              <w:rPr>
                <w:rFonts w:hint="eastAsia" w:ascii="宋体" w:hAnsi="宋体" w:cs="宋体"/>
                <w:color w:val="auto"/>
                <w:szCs w:val="21"/>
                <w:highlight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3B0E2228">
            <w:pPr>
              <w:tabs>
                <w:tab w:val="left" w:pos="425"/>
              </w:tabs>
              <w:adjustRightInd w:val="0"/>
              <w:snapToGrid w:val="0"/>
              <w:jc w:val="center"/>
              <w:rPr>
                <w:rFonts w:hint="eastAsia" w:ascii="宋体" w:hAnsi="宋体" w:cs="宋体"/>
                <w:color w:val="auto"/>
                <w:szCs w:val="21"/>
                <w:highlight w:val="none"/>
              </w:rPr>
            </w:pPr>
          </w:p>
        </w:tc>
      </w:tr>
      <w:tr w14:paraId="360B3A95">
        <w:tblPrEx>
          <w:tblCellMar>
            <w:top w:w="0" w:type="dxa"/>
            <w:left w:w="108" w:type="dxa"/>
            <w:bottom w:w="0" w:type="dxa"/>
            <w:right w:w="108" w:type="dxa"/>
          </w:tblCellMar>
        </w:tblPrEx>
        <w:trPr>
          <w:trHeight w:val="510" w:hRule="atLeast"/>
          <w:tblHeader/>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6E686AA8">
            <w:pPr>
              <w:tabs>
                <w:tab w:val="left" w:pos="425"/>
              </w:tabs>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449" w:type="dxa"/>
            <w:gridSpan w:val="2"/>
            <w:tcBorders>
              <w:top w:val="single" w:color="auto" w:sz="4" w:space="0"/>
              <w:left w:val="nil"/>
              <w:bottom w:val="single" w:color="auto" w:sz="4" w:space="0"/>
              <w:right w:val="single" w:color="auto" w:sz="4" w:space="0"/>
            </w:tcBorders>
            <w:noWrap w:val="0"/>
            <w:vAlign w:val="center"/>
          </w:tcPr>
          <w:p w14:paraId="68ECE6C4">
            <w:pPr>
              <w:tabs>
                <w:tab w:val="left" w:pos="425"/>
              </w:tabs>
              <w:adjustRightInd w:val="0"/>
              <w:snapToGrid w:val="0"/>
              <w:jc w:val="center"/>
              <w:rPr>
                <w:rFonts w:hint="eastAsia" w:ascii="宋体" w:hAnsi="宋体" w:cs="宋体"/>
                <w:color w:val="auto"/>
                <w:szCs w:val="21"/>
                <w:highlight w:val="none"/>
              </w:rPr>
            </w:pPr>
          </w:p>
        </w:tc>
        <w:tc>
          <w:tcPr>
            <w:tcW w:w="2662" w:type="dxa"/>
            <w:tcBorders>
              <w:top w:val="single" w:color="auto" w:sz="4" w:space="0"/>
              <w:left w:val="nil"/>
              <w:bottom w:val="single" w:color="auto" w:sz="4" w:space="0"/>
              <w:right w:val="single" w:color="auto" w:sz="4" w:space="0"/>
            </w:tcBorders>
            <w:noWrap w:val="0"/>
            <w:vAlign w:val="center"/>
          </w:tcPr>
          <w:p w14:paraId="5A7CAD39">
            <w:pPr>
              <w:tabs>
                <w:tab w:val="left" w:pos="425"/>
              </w:tabs>
              <w:adjustRightInd w:val="0"/>
              <w:snapToGrid w:val="0"/>
              <w:jc w:val="center"/>
              <w:rPr>
                <w:rFonts w:hint="eastAsia"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6D80DC3">
            <w:pPr>
              <w:tabs>
                <w:tab w:val="left" w:pos="425"/>
              </w:tabs>
              <w:adjustRightInd w:val="0"/>
              <w:snapToGrid w:val="0"/>
              <w:jc w:val="center"/>
              <w:rPr>
                <w:rFonts w:hint="eastAsia" w:ascii="宋体" w:hAnsi="宋体" w:cs="宋体"/>
                <w:color w:val="auto"/>
                <w:szCs w:val="21"/>
                <w:highlight w:val="none"/>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14:paraId="11AE2BDA">
            <w:pPr>
              <w:tabs>
                <w:tab w:val="left" w:pos="425"/>
              </w:tabs>
              <w:adjustRightInd w:val="0"/>
              <w:snapToGrid w:val="0"/>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654ED40">
            <w:pPr>
              <w:tabs>
                <w:tab w:val="left" w:pos="425"/>
              </w:tabs>
              <w:adjustRightInd w:val="0"/>
              <w:snapToGrid w:val="0"/>
              <w:jc w:val="center"/>
              <w:rPr>
                <w:rFonts w:hint="eastAsia" w:ascii="宋体" w:hAnsi="宋体" w:cs="宋体"/>
                <w:color w:val="auto"/>
                <w:szCs w:val="21"/>
                <w:highlight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2DB79FB7">
            <w:pPr>
              <w:tabs>
                <w:tab w:val="left" w:pos="425"/>
              </w:tabs>
              <w:adjustRightInd w:val="0"/>
              <w:snapToGrid w:val="0"/>
              <w:jc w:val="center"/>
              <w:rPr>
                <w:rFonts w:hint="eastAsia" w:ascii="宋体" w:hAnsi="宋体" w:cs="宋体"/>
                <w:color w:val="auto"/>
                <w:szCs w:val="21"/>
                <w:highlight w:val="none"/>
              </w:rPr>
            </w:pPr>
          </w:p>
        </w:tc>
      </w:tr>
      <w:tr w14:paraId="38F71BE0">
        <w:tblPrEx>
          <w:tblCellMar>
            <w:top w:w="0" w:type="dxa"/>
            <w:left w:w="108" w:type="dxa"/>
            <w:bottom w:w="0" w:type="dxa"/>
            <w:right w:w="108" w:type="dxa"/>
          </w:tblCellMar>
        </w:tblPrEx>
        <w:trPr>
          <w:trHeight w:val="510" w:hRule="atLeast"/>
          <w:tblHeader/>
          <w:jc w:val="center"/>
        </w:trPr>
        <w:tc>
          <w:tcPr>
            <w:tcW w:w="4820" w:type="dxa"/>
            <w:gridSpan w:val="4"/>
            <w:tcBorders>
              <w:top w:val="single" w:color="auto" w:sz="4" w:space="0"/>
              <w:left w:val="single" w:color="auto" w:sz="4" w:space="0"/>
              <w:bottom w:val="single" w:color="auto" w:sz="4" w:space="0"/>
              <w:right w:val="single" w:color="auto" w:sz="4" w:space="0"/>
            </w:tcBorders>
            <w:noWrap w:val="0"/>
            <w:vAlign w:val="center"/>
          </w:tcPr>
          <w:p w14:paraId="669A974E">
            <w:pPr>
              <w:tabs>
                <w:tab w:val="left" w:pos="425"/>
              </w:tabs>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合   计</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23FE97A">
            <w:pPr>
              <w:tabs>
                <w:tab w:val="left" w:pos="425"/>
              </w:tabs>
              <w:adjustRightInd w:val="0"/>
              <w:snapToGrid w:val="0"/>
              <w:jc w:val="center"/>
              <w:rPr>
                <w:rFonts w:hint="eastAsia" w:ascii="宋体" w:hAnsi="宋体" w:cs="宋体"/>
                <w:color w:val="auto"/>
                <w:szCs w:val="21"/>
                <w:highlight w:val="none"/>
              </w:rPr>
            </w:pPr>
          </w:p>
        </w:tc>
        <w:tc>
          <w:tcPr>
            <w:tcW w:w="1111" w:type="dxa"/>
            <w:tcBorders>
              <w:top w:val="single" w:color="auto" w:sz="4" w:space="0"/>
              <w:left w:val="single" w:color="auto" w:sz="4" w:space="0"/>
              <w:bottom w:val="single" w:color="auto" w:sz="4" w:space="0"/>
              <w:right w:val="single" w:color="auto" w:sz="4" w:space="0"/>
            </w:tcBorders>
            <w:noWrap w:val="0"/>
            <w:vAlign w:val="center"/>
          </w:tcPr>
          <w:p w14:paraId="759A221B">
            <w:pPr>
              <w:tabs>
                <w:tab w:val="left" w:pos="425"/>
              </w:tabs>
              <w:adjustRightInd w:val="0"/>
              <w:snapToGrid w:val="0"/>
              <w:jc w:val="center"/>
              <w:rPr>
                <w:rFonts w:hint="eastAsia" w:ascii="宋体" w:hAnsi="宋体" w:cs="宋体"/>
                <w:color w:val="auto"/>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5D4F9A9">
            <w:pPr>
              <w:tabs>
                <w:tab w:val="left" w:pos="425"/>
              </w:tabs>
              <w:adjustRightInd w:val="0"/>
              <w:snapToGrid w:val="0"/>
              <w:jc w:val="center"/>
              <w:rPr>
                <w:rFonts w:hint="eastAsia" w:ascii="宋体" w:hAnsi="宋体" w:cs="宋体"/>
                <w:color w:val="auto"/>
                <w:szCs w:val="21"/>
                <w:highlight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14:paraId="6659B6FF">
            <w:pPr>
              <w:tabs>
                <w:tab w:val="left" w:pos="425"/>
              </w:tabs>
              <w:adjustRightInd w:val="0"/>
              <w:snapToGrid w:val="0"/>
              <w:jc w:val="center"/>
              <w:rPr>
                <w:rFonts w:hint="eastAsia" w:ascii="宋体" w:hAnsi="宋体" w:cs="宋体"/>
                <w:color w:val="auto"/>
                <w:szCs w:val="21"/>
                <w:highlight w:val="none"/>
              </w:rPr>
            </w:pPr>
          </w:p>
        </w:tc>
      </w:tr>
    </w:tbl>
    <w:p w14:paraId="4C96E3FD">
      <w:pPr>
        <w:pStyle w:val="17"/>
        <w:topLinePunct/>
        <w:autoSpaceDE w:val="0"/>
        <w:autoSpaceDN w:val="0"/>
        <w:adjustRightInd w:val="0"/>
        <w:snapToGrid w:val="0"/>
        <w:spacing w:line="360" w:lineRule="auto"/>
        <w:ind w:left="2"/>
        <w:jc w:val="center"/>
        <w:rPr>
          <w:rFonts w:hint="eastAsia" w:hAnsi="宋体" w:cs="宋体"/>
          <w:color w:val="auto"/>
          <w:kern w:val="2"/>
          <w:sz w:val="22"/>
          <w:highlight w:val="none"/>
          <w:lang w:eastAsia="zh-CN"/>
        </w:rPr>
      </w:pPr>
    </w:p>
    <w:p w14:paraId="136A56B3">
      <w:pPr>
        <w:topLinePunct/>
        <w:autoSpaceDE w:val="0"/>
        <w:autoSpaceDN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35923E91">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①本项目总价及分项报价均不接受任何形式的赠送、“零”报价和折扣报价。</w:t>
      </w:r>
    </w:p>
    <w:p w14:paraId="468DB6E5">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②如报价不一致，按照投标人须知“19.核价原则”进行修正。</w:t>
      </w:r>
    </w:p>
    <w:p w14:paraId="0AE8ED4B">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③本表中小计=数量×单价。</w:t>
      </w:r>
    </w:p>
    <w:p w14:paraId="04717A76">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④本表仅供参考，可扩展。</w:t>
      </w:r>
    </w:p>
    <w:p w14:paraId="5020573F">
      <w:pPr>
        <w:pStyle w:val="17"/>
        <w:ind w:firstLine="420" w:firstLineChars="200"/>
        <w:rPr>
          <w:rFonts w:hint="eastAsia" w:hAnsi="宋体" w:cs="宋体"/>
          <w:color w:val="auto"/>
          <w:szCs w:val="21"/>
          <w:highlight w:val="none"/>
          <w:lang w:eastAsia="zh-CN"/>
        </w:rPr>
      </w:pPr>
    </w:p>
    <w:p w14:paraId="4E78345A">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25C987DF">
      <w:pPr>
        <w:adjustRightInd w:val="0"/>
        <w:snapToGrid w:val="0"/>
        <w:spacing w:line="360" w:lineRule="auto"/>
        <w:rPr>
          <w:rFonts w:hint="eastAsia" w:ascii="宋体" w:hAnsi="宋体" w:cs="宋体"/>
          <w:color w:val="auto"/>
          <w:sz w:val="24"/>
          <w:szCs w:val="21"/>
          <w:highlight w:val="none"/>
        </w:rPr>
      </w:pPr>
    </w:p>
    <w:p w14:paraId="62F5EE57">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4197E4BA">
      <w:pPr>
        <w:rPr>
          <w:rFonts w:hint="eastAsia" w:ascii="宋体" w:hAnsi="宋体" w:cs="宋体"/>
          <w:color w:val="auto"/>
          <w:highlight w:val="none"/>
        </w:rPr>
      </w:pPr>
    </w:p>
    <w:p w14:paraId="02D01DD7">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2F11FCB8">
      <w:pPr>
        <w:pStyle w:val="4"/>
        <w:rPr>
          <w:rFonts w:hint="eastAsia" w:ascii="宋体" w:hAnsi="宋体" w:cs="宋体"/>
          <w:color w:val="auto"/>
          <w:highlight w:val="none"/>
        </w:rPr>
      </w:pPr>
      <w:r>
        <w:rPr>
          <w:rFonts w:hint="eastAsia" w:ascii="宋体" w:hAnsi="宋体" w:cs="宋体"/>
          <w:color w:val="auto"/>
          <w:highlight w:val="none"/>
        </w:rPr>
        <w:br w:type="page"/>
      </w:r>
      <w:bookmarkStart w:id="1319" w:name="_Toc18545"/>
      <w:bookmarkStart w:id="1320" w:name="_Toc164680936"/>
      <w:bookmarkStart w:id="1321" w:name="_Toc17407"/>
      <w:bookmarkStart w:id="1322" w:name="_Toc164681313"/>
      <w:bookmarkStart w:id="1323" w:name="_Toc164181766"/>
      <w:bookmarkStart w:id="1324" w:name="_Toc21839"/>
      <w:bookmarkStart w:id="1325" w:name="_Toc164182792"/>
      <w:bookmarkStart w:id="1326" w:name="_Toc164182084"/>
      <w:bookmarkStart w:id="1327" w:name="_Toc164182296"/>
      <w:bookmarkStart w:id="1328" w:name="_Toc10609"/>
      <w:r>
        <w:rPr>
          <w:rFonts w:hint="eastAsia" w:ascii="宋体" w:hAnsi="宋体" w:eastAsia="宋体" w:cs="宋体"/>
          <w:color w:val="auto"/>
          <w:highlight w:val="none"/>
        </w:rPr>
        <w:t>四、商务条款偏离表</w:t>
      </w:r>
      <w:bookmarkEnd w:id="1319"/>
      <w:bookmarkEnd w:id="1320"/>
      <w:bookmarkEnd w:id="1321"/>
      <w:bookmarkEnd w:id="1322"/>
      <w:bookmarkEnd w:id="1323"/>
      <w:bookmarkEnd w:id="1324"/>
      <w:bookmarkEnd w:id="1325"/>
      <w:bookmarkEnd w:id="1326"/>
      <w:bookmarkEnd w:id="1327"/>
      <w:bookmarkEnd w:id="1328"/>
    </w:p>
    <w:p w14:paraId="7609A4B0">
      <w:pPr>
        <w:adjustRightInd w:val="0"/>
        <w:snapToGrid w:val="0"/>
        <w:spacing w:line="360" w:lineRule="auto"/>
        <w:jc w:val="center"/>
        <w:rPr>
          <w:rFonts w:hint="eastAsia" w:ascii="宋体" w:hAnsi="宋体" w:cs="宋体"/>
          <w:b/>
          <w:color w:val="auto"/>
          <w:sz w:val="32"/>
          <w:szCs w:val="21"/>
          <w:highlight w:val="none"/>
        </w:rPr>
      </w:pPr>
      <w:r>
        <w:rPr>
          <w:rFonts w:hint="eastAsia" w:ascii="宋体" w:hAnsi="宋体" w:cs="宋体"/>
          <w:b/>
          <w:color w:val="auto"/>
          <w:sz w:val="32"/>
          <w:szCs w:val="21"/>
          <w:highlight w:val="none"/>
        </w:rPr>
        <w:t>商务条款偏离表</w:t>
      </w:r>
    </w:p>
    <w:tbl>
      <w:tblPr>
        <w:tblStyle w:val="31"/>
        <w:tblW w:w="8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798"/>
        <w:gridCol w:w="1545"/>
        <w:gridCol w:w="1530"/>
        <w:gridCol w:w="1515"/>
        <w:gridCol w:w="1075"/>
      </w:tblGrid>
      <w:tr w14:paraId="20CC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2D7E3F4A">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798" w:type="dxa"/>
            <w:tcBorders>
              <w:top w:val="single" w:color="auto" w:sz="4" w:space="0"/>
              <w:left w:val="single" w:color="auto" w:sz="4" w:space="0"/>
              <w:bottom w:val="single" w:color="auto" w:sz="4" w:space="0"/>
              <w:right w:val="single" w:color="auto" w:sz="4" w:space="0"/>
            </w:tcBorders>
            <w:noWrap/>
            <w:vAlign w:val="center"/>
          </w:tcPr>
          <w:p w14:paraId="58149941">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招标文件条目号</w:t>
            </w:r>
          </w:p>
        </w:tc>
        <w:tc>
          <w:tcPr>
            <w:tcW w:w="1545" w:type="dxa"/>
            <w:tcBorders>
              <w:top w:val="single" w:color="auto" w:sz="4" w:space="0"/>
              <w:left w:val="single" w:color="auto" w:sz="4" w:space="0"/>
              <w:bottom w:val="single" w:color="auto" w:sz="4" w:space="0"/>
              <w:right w:val="single" w:color="auto" w:sz="4" w:space="0"/>
            </w:tcBorders>
            <w:noWrap/>
            <w:vAlign w:val="center"/>
          </w:tcPr>
          <w:p w14:paraId="44048138">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招标文件</w:t>
            </w:r>
          </w:p>
          <w:p w14:paraId="7606C6F8">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商务条款</w:t>
            </w:r>
          </w:p>
        </w:tc>
        <w:tc>
          <w:tcPr>
            <w:tcW w:w="1530" w:type="dxa"/>
            <w:tcBorders>
              <w:top w:val="single" w:color="auto" w:sz="4" w:space="0"/>
              <w:left w:val="single" w:color="auto" w:sz="4" w:space="0"/>
              <w:bottom w:val="single" w:color="auto" w:sz="4" w:space="0"/>
              <w:right w:val="single" w:color="auto" w:sz="4" w:space="0"/>
            </w:tcBorders>
            <w:noWrap/>
            <w:vAlign w:val="center"/>
          </w:tcPr>
          <w:p w14:paraId="6F9D0E5D">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投标文件</w:t>
            </w:r>
          </w:p>
          <w:p w14:paraId="6720375F">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商务条款</w:t>
            </w:r>
          </w:p>
        </w:tc>
        <w:tc>
          <w:tcPr>
            <w:tcW w:w="1515" w:type="dxa"/>
            <w:tcBorders>
              <w:top w:val="single" w:color="auto" w:sz="4" w:space="0"/>
              <w:left w:val="single" w:color="auto" w:sz="4" w:space="0"/>
              <w:bottom w:val="single" w:color="auto" w:sz="4" w:space="0"/>
              <w:right w:val="single" w:color="auto" w:sz="4" w:space="0"/>
            </w:tcBorders>
            <w:noWrap/>
            <w:vAlign w:val="center"/>
          </w:tcPr>
          <w:p w14:paraId="4EF4AFCF">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偏离</w:t>
            </w:r>
          </w:p>
          <w:p w14:paraId="0B26FA8C">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（无/正/负）</w:t>
            </w:r>
          </w:p>
        </w:tc>
        <w:tc>
          <w:tcPr>
            <w:tcW w:w="1075" w:type="dxa"/>
            <w:tcBorders>
              <w:top w:val="single" w:color="auto" w:sz="4" w:space="0"/>
              <w:left w:val="single" w:color="auto" w:sz="4" w:space="0"/>
              <w:bottom w:val="single" w:color="auto" w:sz="4" w:space="0"/>
              <w:right w:val="single" w:color="auto" w:sz="4" w:space="0"/>
            </w:tcBorders>
            <w:noWrap/>
            <w:vAlign w:val="center"/>
          </w:tcPr>
          <w:p w14:paraId="2D2A82B3">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说明</w:t>
            </w:r>
          </w:p>
        </w:tc>
      </w:tr>
      <w:tr w14:paraId="6D1D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58D2F360">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798" w:type="dxa"/>
            <w:tcBorders>
              <w:top w:val="single" w:color="auto" w:sz="4" w:space="0"/>
              <w:left w:val="single" w:color="auto" w:sz="4" w:space="0"/>
              <w:bottom w:val="single" w:color="auto" w:sz="4" w:space="0"/>
              <w:right w:val="single" w:color="auto" w:sz="4" w:space="0"/>
            </w:tcBorders>
            <w:noWrap/>
            <w:vAlign w:val="center"/>
          </w:tcPr>
          <w:p w14:paraId="19CFFEE4">
            <w:pPr>
              <w:topLinePunct/>
              <w:autoSpaceDE w:val="0"/>
              <w:autoSpaceDN w:val="0"/>
              <w:adjustRightInd w:val="0"/>
              <w:snapToGrid w:val="0"/>
              <w:jc w:val="center"/>
              <w:rPr>
                <w:rFonts w:hint="eastAsia" w:ascii="宋体" w:hAnsi="宋体" w:cs="宋体"/>
                <w:b/>
                <w:bCs/>
                <w:color w:val="auto"/>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4E0B9123">
            <w:pPr>
              <w:topLinePunct/>
              <w:autoSpaceDE w:val="0"/>
              <w:autoSpaceDN w:val="0"/>
              <w:adjustRightInd w:val="0"/>
              <w:snapToGrid w:val="0"/>
              <w:jc w:val="center"/>
              <w:rPr>
                <w:rFonts w:hint="eastAsia" w:ascii="宋体" w:hAnsi="宋体" w:cs="宋体"/>
                <w:b/>
                <w:bCs/>
                <w:color w:val="auto"/>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2A27D7A8">
            <w:pPr>
              <w:topLinePunct/>
              <w:autoSpaceDE w:val="0"/>
              <w:autoSpaceDN w:val="0"/>
              <w:adjustRightInd w:val="0"/>
              <w:snapToGrid w:val="0"/>
              <w:jc w:val="center"/>
              <w:rPr>
                <w:rFonts w:hint="eastAsia" w:ascii="宋体" w:hAnsi="宋体" w:cs="宋体"/>
                <w:b/>
                <w:bCs/>
                <w:color w:val="auto"/>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7504C778">
            <w:pPr>
              <w:topLinePunct/>
              <w:autoSpaceDE w:val="0"/>
              <w:autoSpaceDN w:val="0"/>
              <w:adjustRightInd w:val="0"/>
              <w:snapToGrid w:val="0"/>
              <w:jc w:val="center"/>
              <w:rPr>
                <w:rFonts w:hint="eastAsia" w:ascii="宋体" w:hAnsi="宋体" w:cs="宋体"/>
                <w:b/>
                <w:bCs/>
                <w:color w:val="auto"/>
                <w:szCs w:val="21"/>
                <w:highlight w:val="none"/>
              </w:rPr>
            </w:pPr>
          </w:p>
        </w:tc>
        <w:tc>
          <w:tcPr>
            <w:tcW w:w="1075" w:type="dxa"/>
            <w:tcBorders>
              <w:top w:val="single" w:color="auto" w:sz="4" w:space="0"/>
              <w:left w:val="single" w:color="auto" w:sz="4" w:space="0"/>
              <w:bottom w:val="single" w:color="auto" w:sz="4" w:space="0"/>
              <w:right w:val="single" w:color="auto" w:sz="4" w:space="0"/>
            </w:tcBorders>
            <w:noWrap/>
            <w:vAlign w:val="center"/>
          </w:tcPr>
          <w:p w14:paraId="76BBED31">
            <w:pPr>
              <w:topLinePunct/>
              <w:autoSpaceDE w:val="0"/>
              <w:autoSpaceDN w:val="0"/>
              <w:adjustRightInd w:val="0"/>
              <w:snapToGrid w:val="0"/>
              <w:jc w:val="center"/>
              <w:rPr>
                <w:rFonts w:hint="eastAsia" w:ascii="宋体" w:hAnsi="宋体" w:cs="宋体"/>
                <w:b/>
                <w:bCs/>
                <w:color w:val="auto"/>
                <w:szCs w:val="21"/>
                <w:highlight w:val="none"/>
              </w:rPr>
            </w:pPr>
          </w:p>
        </w:tc>
      </w:tr>
      <w:tr w14:paraId="6F93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789E6ECE">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798" w:type="dxa"/>
            <w:tcBorders>
              <w:top w:val="single" w:color="auto" w:sz="4" w:space="0"/>
              <w:left w:val="single" w:color="auto" w:sz="4" w:space="0"/>
              <w:bottom w:val="single" w:color="auto" w:sz="4" w:space="0"/>
              <w:right w:val="single" w:color="auto" w:sz="4" w:space="0"/>
            </w:tcBorders>
            <w:noWrap/>
            <w:vAlign w:val="center"/>
          </w:tcPr>
          <w:p w14:paraId="1791D7F8">
            <w:pPr>
              <w:topLinePunct/>
              <w:autoSpaceDE w:val="0"/>
              <w:autoSpaceDN w:val="0"/>
              <w:adjustRightInd w:val="0"/>
              <w:snapToGrid w:val="0"/>
              <w:jc w:val="center"/>
              <w:rPr>
                <w:rFonts w:hint="eastAsia" w:ascii="宋体" w:hAnsi="宋体" w:cs="宋体"/>
                <w:b/>
                <w:bCs/>
                <w:color w:val="auto"/>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28D29797">
            <w:pPr>
              <w:topLinePunct/>
              <w:autoSpaceDE w:val="0"/>
              <w:autoSpaceDN w:val="0"/>
              <w:adjustRightInd w:val="0"/>
              <w:snapToGrid w:val="0"/>
              <w:jc w:val="center"/>
              <w:rPr>
                <w:rFonts w:hint="eastAsia" w:ascii="宋体" w:hAnsi="宋体" w:cs="宋体"/>
                <w:b/>
                <w:bCs/>
                <w:color w:val="auto"/>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1DC8EDAF">
            <w:pPr>
              <w:topLinePunct/>
              <w:autoSpaceDE w:val="0"/>
              <w:autoSpaceDN w:val="0"/>
              <w:adjustRightInd w:val="0"/>
              <w:snapToGrid w:val="0"/>
              <w:jc w:val="center"/>
              <w:rPr>
                <w:rFonts w:hint="eastAsia" w:ascii="宋体" w:hAnsi="宋体" w:cs="宋体"/>
                <w:b/>
                <w:bCs/>
                <w:color w:val="auto"/>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35487AED">
            <w:pPr>
              <w:topLinePunct/>
              <w:autoSpaceDE w:val="0"/>
              <w:autoSpaceDN w:val="0"/>
              <w:adjustRightInd w:val="0"/>
              <w:snapToGrid w:val="0"/>
              <w:jc w:val="center"/>
              <w:rPr>
                <w:rFonts w:hint="eastAsia" w:ascii="宋体" w:hAnsi="宋体" w:cs="宋体"/>
                <w:b/>
                <w:bCs/>
                <w:color w:val="auto"/>
                <w:szCs w:val="21"/>
                <w:highlight w:val="none"/>
              </w:rPr>
            </w:pPr>
          </w:p>
        </w:tc>
        <w:tc>
          <w:tcPr>
            <w:tcW w:w="1075" w:type="dxa"/>
            <w:tcBorders>
              <w:top w:val="single" w:color="auto" w:sz="4" w:space="0"/>
              <w:left w:val="single" w:color="auto" w:sz="4" w:space="0"/>
              <w:bottom w:val="single" w:color="auto" w:sz="4" w:space="0"/>
              <w:right w:val="single" w:color="auto" w:sz="4" w:space="0"/>
            </w:tcBorders>
            <w:noWrap/>
            <w:vAlign w:val="center"/>
          </w:tcPr>
          <w:p w14:paraId="436E0025">
            <w:pPr>
              <w:topLinePunct/>
              <w:autoSpaceDE w:val="0"/>
              <w:autoSpaceDN w:val="0"/>
              <w:adjustRightInd w:val="0"/>
              <w:snapToGrid w:val="0"/>
              <w:jc w:val="center"/>
              <w:rPr>
                <w:rFonts w:hint="eastAsia" w:ascii="宋体" w:hAnsi="宋体" w:cs="宋体"/>
                <w:b/>
                <w:bCs/>
                <w:color w:val="auto"/>
                <w:szCs w:val="21"/>
                <w:highlight w:val="none"/>
              </w:rPr>
            </w:pPr>
          </w:p>
        </w:tc>
      </w:tr>
      <w:tr w14:paraId="24AC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11E9CB68">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798" w:type="dxa"/>
            <w:tcBorders>
              <w:top w:val="single" w:color="auto" w:sz="4" w:space="0"/>
              <w:left w:val="single" w:color="auto" w:sz="4" w:space="0"/>
              <w:bottom w:val="single" w:color="auto" w:sz="4" w:space="0"/>
              <w:right w:val="single" w:color="auto" w:sz="4" w:space="0"/>
            </w:tcBorders>
            <w:noWrap/>
            <w:vAlign w:val="center"/>
          </w:tcPr>
          <w:p w14:paraId="2521C45C">
            <w:pPr>
              <w:topLinePunct/>
              <w:autoSpaceDE w:val="0"/>
              <w:autoSpaceDN w:val="0"/>
              <w:adjustRightInd w:val="0"/>
              <w:snapToGrid w:val="0"/>
              <w:jc w:val="center"/>
              <w:rPr>
                <w:rFonts w:hint="eastAsia" w:ascii="宋体" w:hAnsi="宋体" w:cs="宋体"/>
                <w:b/>
                <w:bCs/>
                <w:color w:val="auto"/>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294023ED">
            <w:pPr>
              <w:topLinePunct/>
              <w:autoSpaceDE w:val="0"/>
              <w:autoSpaceDN w:val="0"/>
              <w:adjustRightInd w:val="0"/>
              <w:snapToGrid w:val="0"/>
              <w:jc w:val="center"/>
              <w:rPr>
                <w:rFonts w:hint="eastAsia" w:ascii="宋体" w:hAnsi="宋体" w:cs="宋体"/>
                <w:b/>
                <w:bCs/>
                <w:color w:val="auto"/>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621E299E">
            <w:pPr>
              <w:topLinePunct/>
              <w:autoSpaceDE w:val="0"/>
              <w:autoSpaceDN w:val="0"/>
              <w:adjustRightInd w:val="0"/>
              <w:snapToGrid w:val="0"/>
              <w:jc w:val="center"/>
              <w:rPr>
                <w:rFonts w:hint="eastAsia" w:ascii="宋体" w:hAnsi="宋体" w:cs="宋体"/>
                <w:b/>
                <w:bCs/>
                <w:color w:val="auto"/>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3082D57B">
            <w:pPr>
              <w:topLinePunct/>
              <w:autoSpaceDE w:val="0"/>
              <w:autoSpaceDN w:val="0"/>
              <w:adjustRightInd w:val="0"/>
              <w:snapToGrid w:val="0"/>
              <w:jc w:val="center"/>
              <w:rPr>
                <w:rFonts w:hint="eastAsia" w:ascii="宋体" w:hAnsi="宋体" w:cs="宋体"/>
                <w:b/>
                <w:bCs/>
                <w:color w:val="auto"/>
                <w:szCs w:val="21"/>
                <w:highlight w:val="none"/>
              </w:rPr>
            </w:pPr>
          </w:p>
        </w:tc>
        <w:tc>
          <w:tcPr>
            <w:tcW w:w="1075" w:type="dxa"/>
            <w:tcBorders>
              <w:top w:val="single" w:color="auto" w:sz="4" w:space="0"/>
              <w:left w:val="single" w:color="auto" w:sz="4" w:space="0"/>
              <w:bottom w:val="single" w:color="auto" w:sz="4" w:space="0"/>
              <w:right w:val="single" w:color="auto" w:sz="4" w:space="0"/>
            </w:tcBorders>
            <w:noWrap/>
            <w:vAlign w:val="center"/>
          </w:tcPr>
          <w:p w14:paraId="6D100968">
            <w:pPr>
              <w:topLinePunct/>
              <w:autoSpaceDE w:val="0"/>
              <w:autoSpaceDN w:val="0"/>
              <w:adjustRightInd w:val="0"/>
              <w:snapToGrid w:val="0"/>
              <w:jc w:val="center"/>
              <w:rPr>
                <w:rFonts w:hint="eastAsia" w:ascii="宋体" w:hAnsi="宋体" w:cs="宋体"/>
                <w:b/>
                <w:bCs/>
                <w:color w:val="auto"/>
                <w:szCs w:val="21"/>
                <w:highlight w:val="none"/>
              </w:rPr>
            </w:pPr>
          </w:p>
        </w:tc>
      </w:tr>
      <w:tr w14:paraId="5EE8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788C4409">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798" w:type="dxa"/>
            <w:tcBorders>
              <w:top w:val="single" w:color="auto" w:sz="4" w:space="0"/>
              <w:left w:val="single" w:color="auto" w:sz="4" w:space="0"/>
              <w:bottom w:val="single" w:color="auto" w:sz="4" w:space="0"/>
              <w:right w:val="single" w:color="auto" w:sz="4" w:space="0"/>
            </w:tcBorders>
            <w:noWrap/>
            <w:vAlign w:val="center"/>
          </w:tcPr>
          <w:p w14:paraId="43BE26C6">
            <w:pPr>
              <w:topLinePunct/>
              <w:autoSpaceDE w:val="0"/>
              <w:autoSpaceDN w:val="0"/>
              <w:adjustRightInd w:val="0"/>
              <w:snapToGrid w:val="0"/>
              <w:jc w:val="center"/>
              <w:rPr>
                <w:rFonts w:hint="eastAsia" w:ascii="宋体" w:hAnsi="宋体" w:cs="宋体"/>
                <w:b/>
                <w:bCs/>
                <w:color w:val="auto"/>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504FC321">
            <w:pPr>
              <w:topLinePunct/>
              <w:autoSpaceDE w:val="0"/>
              <w:autoSpaceDN w:val="0"/>
              <w:adjustRightInd w:val="0"/>
              <w:snapToGrid w:val="0"/>
              <w:jc w:val="center"/>
              <w:rPr>
                <w:rFonts w:hint="eastAsia" w:ascii="宋体" w:hAnsi="宋体" w:cs="宋体"/>
                <w:b/>
                <w:bCs/>
                <w:color w:val="auto"/>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176D9E00">
            <w:pPr>
              <w:topLinePunct/>
              <w:autoSpaceDE w:val="0"/>
              <w:autoSpaceDN w:val="0"/>
              <w:adjustRightInd w:val="0"/>
              <w:snapToGrid w:val="0"/>
              <w:jc w:val="center"/>
              <w:rPr>
                <w:rFonts w:hint="eastAsia" w:ascii="宋体" w:hAnsi="宋体" w:cs="宋体"/>
                <w:b/>
                <w:bCs/>
                <w:color w:val="auto"/>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70093290">
            <w:pPr>
              <w:topLinePunct/>
              <w:autoSpaceDE w:val="0"/>
              <w:autoSpaceDN w:val="0"/>
              <w:adjustRightInd w:val="0"/>
              <w:snapToGrid w:val="0"/>
              <w:jc w:val="center"/>
              <w:rPr>
                <w:rFonts w:hint="eastAsia" w:ascii="宋体" w:hAnsi="宋体" w:cs="宋体"/>
                <w:b/>
                <w:bCs/>
                <w:color w:val="auto"/>
                <w:szCs w:val="21"/>
                <w:highlight w:val="none"/>
              </w:rPr>
            </w:pPr>
          </w:p>
        </w:tc>
        <w:tc>
          <w:tcPr>
            <w:tcW w:w="1075" w:type="dxa"/>
            <w:tcBorders>
              <w:top w:val="single" w:color="auto" w:sz="4" w:space="0"/>
              <w:left w:val="single" w:color="auto" w:sz="4" w:space="0"/>
              <w:bottom w:val="single" w:color="auto" w:sz="4" w:space="0"/>
              <w:right w:val="single" w:color="auto" w:sz="4" w:space="0"/>
            </w:tcBorders>
            <w:noWrap/>
            <w:vAlign w:val="center"/>
          </w:tcPr>
          <w:p w14:paraId="0017A7A8">
            <w:pPr>
              <w:topLinePunct/>
              <w:autoSpaceDE w:val="0"/>
              <w:autoSpaceDN w:val="0"/>
              <w:adjustRightInd w:val="0"/>
              <w:snapToGrid w:val="0"/>
              <w:jc w:val="center"/>
              <w:rPr>
                <w:rFonts w:hint="eastAsia" w:ascii="宋体" w:hAnsi="宋体" w:cs="宋体"/>
                <w:b/>
                <w:bCs/>
                <w:color w:val="auto"/>
                <w:szCs w:val="21"/>
                <w:highlight w:val="none"/>
              </w:rPr>
            </w:pPr>
          </w:p>
        </w:tc>
      </w:tr>
      <w:tr w14:paraId="7128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4AE33BFE">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798" w:type="dxa"/>
            <w:tcBorders>
              <w:top w:val="single" w:color="auto" w:sz="4" w:space="0"/>
              <w:left w:val="single" w:color="auto" w:sz="4" w:space="0"/>
              <w:bottom w:val="single" w:color="auto" w:sz="4" w:space="0"/>
              <w:right w:val="single" w:color="auto" w:sz="4" w:space="0"/>
            </w:tcBorders>
            <w:noWrap/>
            <w:vAlign w:val="center"/>
          </w:tcPr>
          <w:p w14:paraId="235928C7">
            <w:pPr>
              <w:topLinePunct/>
              <w:autoSpaceDE w:val="0"/>
              <w:autoSpaceDN w:val="0"/>
              <w:adjustRightInd w:val="0"/>
              <w:snapToGrid w:val="0"/>
              <w:jc w:val="center"/>
              <w:rPr>
                <w:rFonts w:hint="eastAsia" w:ascii="宋体" w:hAnsi="宋体" w:cs="宋体"/>
                <w:b/>
                <w:bCs/>
                <w:color w:val="auto"/>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398C933D">
            <w:pPr>
              <w:topLinePunct/>
              <w:autoSpaceDE w:val="0"/>
              <w:autoSpaceDN w:val="0"/>
              <w:adjustRightInd w:val="0"/>
              <w:snapToGrid w:val="0"/>
              <w:jc w:val="center"/>
              <w:rPr>
                <w:rFonts w:hint="eastAsia" w:ascii="宋体" w:hAnsi="宋体" w:cs="宋体"/>
                <w:b/>
                <w:bCs/>
                <w:color w:val="auto"/>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6132B863">
            <w:pPr>
              <w:topLinePunct/>
              <w:autoSpaceDE w:val="0"/>
              <w:autoSpaceDN w:val="0"/>
              <w:adjustRightInd w:val="0"/>
              <w:snapToGrid w:val="0"/>
              <w:jc w:val="center"/>
              <w:rPr>
                <w:rFonts w:hint="eastAsia" w:ascii="宋体" w:hAnsi="宋体" w:cs="宋体"/>
                <w:b/>
                <w:bCs/>
                <w:color w:val="auto"/>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492AE6BF">
            <w:pPr>
              <w:topLinePunct/>
              <w:autoSpaceDE w:val="0"/>
              <w:autoSpaceDN w:val="0"/>
              <w:adjustRightInd w:val="0"/>
              <w:snapToGrid w:val="0"/>
              <w:jc w:val="center"/>
              <w:rPr>
                <w:rFonts w:hint="eastAsia" w:ascii="宋体" w:hAnsi="宋体" w:cs="宋体"/>
                <w:b/>
                <w:bCs/>
                <w:color w:val="auto"/>
                <w:szCs w:val="21"/>
                <w:highlight w:val="none"/>
              </w:rPr>
            </w:pPr>
          </w:p>
        </w:tc>
        <w:tc>
          <w:tcPr>
            <w:tcW w:w="1075" w:type="dxa"/>
            <w:tcBorders>
              <w:top w:val="single" w:color="auto" w:sz="4" w:space="0"/>
              <w:left w:val="single" w:color="auto" w:sz="4" w:space="0"/>
              <w:bottom w:val="single" w:color="auto" w:sz="4" w:space="0"/>
              <w:right w:val="single" w:color="auto" w:sz="4" w:space="0"/>
            </w:tcBorders>
            <w:noWrap/>
            <w:vAlign w:val="center"/>
          </w:tcPr>
          <w:p w14:paraId="5E0DDF49">
            <w:pPr>
              <w:topLinePunct/>
              <w:autoSpaceDE w:val="0"/>
              <w:autoSpaceDN w:val="0"/>
              <w:adjustRightInd w:val="0"/>
              <w:snapToGrid w:val="0"/>
              <w:jc w:val="center"/>
              <w:rPr>
                <w:rFonts w:hint="eastAsia" w:ascii="宋体" w:hAnsi="宋体" w:cs="宋体"/>
                <w:b/>
                <w:bCs/>
                <w:color w:val="auto"/>
                <w:szCs w:val="21"/>
                <w:highlight w:val="none"/>
              </w:rPr>
            </w:pPr>
          </w:p>
        </w:tc>
      </w:tr>
      <w:tr w14:paraId="103E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4" w:type="dxa"/>
            <w:tcBorders>
              <w:top w:val="single" w:color="auto" w:sz="4" w:space="0"/>
              <w:left w:val="single" w:color="auto" w:sz="4" w:space="0"/>
              <w:bottom w:val="single" w:color="auto" w:sz="4" w:space="0"/>
              <w:right w:val="single" w:color="auto" w:sz="4" w:space="0"/>
            </w:tcBorders>
            <w:noWrap/>
            <w:vAlign w:val="center"/>
          </w:tcPr>
          <w:p w14:paraId="560187EB">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798" w:type="dxa"/>
            <w:tcBorders>
              <w:top w:val="single" w:color="auto" w:sz="4" w:space="0"/>
              <w:left w:val="single" w:color="auto" w:sz="4" w:space="0"/>
              <w:bottom w:val="single" w:color="auto" w:sz="4" w:space="0"/>
              <w:right w:val="single" w:color="auto" w:sz="4" w:space="0"/>
            </w:tcBorders>
            <w:noWrap/>
            <w:vAlign w:val="center"/>
          </w:tcPr>
          <w:p w14:paraId="19114363">
            <w:pPr>
              <w:topLinePunct/>
              <w:autoSpaceDE w:val="0"/>
              <w:autoSpaceDN w:val="0"/>
              <w:adjustRightInd w:val="0"/>
              <w:snapToGrid w:val="0"/>
              <w:jc w:val="center"/>
              <w:rPr>
                <w:rFonts w:hint="eastAsia" w:ascii="宋体" w:hAnsi="宋体" w:cs="宋体"/>
                <w:b/>
                <w:bCs/>
                <w:color w:val="auto"/>
                <w:szCs w:val="21"/>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36BBBCC8">
            <w:pPr>
              <w:topLinePunct/>
              <w:autoSpaceDE w:val="0"/>
              <w:autoSpaceDN w:val="0"/>
              <w:adjustRightInd w:val="0"/>
              <w:snapToGrid w:val="0"/>
              <w:jc w:val="center"/>
              <w:rPr>
                <w:rFonts w:hint="eastAsia" w:ascii="宋体" w:hAnsi="宋体" w:cs="宋体"/>
                <w:b/>
                <w:bCs/>
                <w:color w:val="auto"/>
                <w:szCs w:val="21"/>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6B8FC006">
            <w:pPr>
              <w:topLinePunct/>
              <w:autoSpaceDE w:val="0"/>
              <w:autoSpaceDN w:val="0"/>
              <w:adjustRightInd w:val="0"/>
              <w:snapToGrid w:val="0"/>
              <w:jc w:val="center"/>
              <w:rPr>
                <w:rFonts w:hint="eastAsia" w:ascii="宋体" w:hAnsi="宋体" w:cs="宋体"/>
                <w:b/>
                <w:bCs/>
                <w:color w:val="auto"/>
                <w:szCs w:val="21"/>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6E59264A">
            <w:pPr>
              <w:topLinePunct/>
              <w:autoSpaceDE w:val="0"/>
              <w:autoSpaceDN w:val="0"/>
              <w:adjustRightInd w:val="0"/>
              <w:snapToGrid w:val="0"/>
              <w:jc w:val="center"/>
              <w:rPr>
                <w:rFonts w:hint="eastAsia" w:ascii="宋体" w:hAnsi="宋体" w:cs="宋体"/>
                <w:b/>
                <w:bCs/>
                <w:color w:val="auto"/>
                <w:szCs w:val="21"/>
                <w:highlight w:val="none"/>
              </w:rPr>
            </w:pPr>
          </w:p>
        </w:tc>
        <w:tc>
          <w:tcPr>
            <w:tcW w:w="1075" w:type="dxa"/>
            <w:tcBorders>
              <w:top w:val="single" w:color="auto" w:sz="4" w:space="0"/>
              <w:left w:val="single" w:color="auto" w:sz="4" w:space="0"/>
              <w:bottom w:val="single" w:color="auto" w:sz="4" w:space="0"/>
              <w:right w:val="single" w:color="auto" w:sz="4" w:space="0"/>
            </w:tcBorders>
            <w:noWrap/>
            <w:vAlign w:val="center"/>
          </w:tcPr>
          <w:p w14:paraId="1269D17D">
            <w:pPr>
              <w:topLinePunct/>
              <w:autoSpaceDE w:val="0"/>
              <w:autoSpaceDN w:val="0"/>
              <w:adjustRightInd w:val="0"/>
              <w:snapToGrid w:val="0"/>
              <w:jc w:val="center"/>
              <w:rPr>
                <w:rFonts w:hint="eastAsia" w:ascii="宋体" w:hAnsi="宋体" w:cs="宋体"/>
                <w:b/>
                <w:bCs/>
                <w:color w:val="auto"/>
                <w:szCs w:val="21"/>
                <w:highlight w:val="none"/>
              </w:rPr>
            </w:pPr>
          </w:p>
        </w:tc>
      </w:tr>
    </w:tbl>
    <w:p w14:paraId="7F0D743A">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0F45A56E">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①商务条款无需条对条应答，如无偏离，请在此表中填写“无偏离”；如有偏离，请在此表中应答为“正/负偏离”并说明偏离情况。</w:t>
      </w:r>
    </w:p>
    <w:p w14:paraId="7D01A9D3">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②如《招标文件》中有标注★号的，则为实质性要求，必须满足，如应答为“负偏离”，将导致投标无效。</w:t>
      </w:r>
    </w:p>
    <w:p w14:paraId="4559CDAB">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③本表可扩展。</w:t>
      </w:r>
    </w:p>
    <w:p w14:paraId="3B643A75">
      <w:pPr>
        <w:topLinePunct/>
        <w:autoSpaceDE w:val="0"/>
        <w:autoSpaceDN w:val="0"/>
        <w:spacing w:line="500" w:lineRule="exact"/>
        <w:rPr>
          <w:rFonts w:hint="eastAsia" w:ascii="宋体" w:hAnsi="宋体" w:cs="宋体"/>
          <w:color w:val="auto"/>
          <w:sz w:val="24"/>
          <w:highlight w:val="none"/>
        </w:rPr>
      </w:pPr>
    </w:p>
    <w:p w14:paraId="566E6BBF">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58715858">
      <w:pPr>
        <w:adjustRightInd w:val="0"/>
        <w:snapToGrid w:val="0"/>
        <w:spacing w:line="360" w:lineRule="auto"/>
        <w:rPr>
          <w:rFonts w:hint="eastAsia" w:ascii="宋体" w:hAnsi="宋体" w:cs="宋体"/>
          <w:color w:val="auto"/>
          <w:sz w:val="24"/>
          <w:szCs w:val="21"/>
          <w:highlight w:val="none"/>
        </w:rPr>
      </w:pPr>
    </w:p>
    <w:p w14:paraId="76AA400F">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5FC3ADA4">
      <w:pPr>
        <w:rPr>
          <w:rFonts w:hint="eastAsia" w:ascii="宋体" w:hAnsi="宋体" w:cs="宋体"/>
          <w:color w:val="auto"/>
          <w:highlight w:val="none"/>
        </w:rPr>
      </w:pPr>
    </w:p>
    <w:p w14:paraId="2A74D975">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6256FD0B">
      <w:pPr>
        <w:pStyle w:val="4"/>
        <w:rPr>
          <w:rFonts w:hint="eastAsia" w:ascii="宋体" w:hAnsi="宋体" w:cs="宋体"/>
          <w:color w:val="auto"/>
          <w:highlight w:val="none"/>
        </w:rPr>
      </w:pPr>
      <w:r>
        <w:rPr>
          <w:rFonts w:hint="eastAsia" w:ascii="宋体" w:hAnsi="宋体" w:cs="宋体"/>
          <w:b/>
          <w:bCs/>
          <w:color w:val="auto"/>
          <w:sz w:val="28"/>
          <w:szCs w:val="28"/>
          <w:highlight w:val="none"/>
        </w:rPr>
        <w:br w:type="page"/>
      </w:r>
      <w:bookmarkStart w:id="1329" w:name="_Toc164182793"/>
      <w:bookmarkStart w:id="1330" w:name="_Toc20889"/>
      <w:bookmarkStart w:id="1331" w:name="_Toc18960"/>
      <w:bookmarkStart w:id="1332" w:name="_Toc164182085"/>
      <w:bookmarkStart w:id="1333" w:name="_Toc164181767"/>
      <w:bookmarkStart w:id="1334" w:name="_Toc164680937"/>
      <w:bookmarkStart w:id="1335" w:name="_Toc164182297"/>
      <w:bookmarkStart w:id="1336" w:name="_Toc164681314"/>
      <w:bookmarkStart w:id="1337" w:name="_Toc4964"/>
      <w:bookmarkStart w:id="1338" w:name="_Toc16200"/>
      <w:r>
        <w:rPr>
          <w:rFonts w:hint="eastAsia" w:ascii="宋体" w:hAnsi="宋体" w:eastAsia="宋体" w:cs="宋体"/>
          <w:color w:val="auto"/>
          <w:highlight w:val="none"/>
        </w:rPr>
        <w:t>五、投标人具备投标资格证明文件</w:t>
      </w:r>
      <w:bookmarkEnd w:id="1329"/>
      <w:bookmarkEnd w:id="1330"/>
      <w:bookmarkEnd w:id="1331"/>
      <w:bookmarkEnd w:id="1332"/>
      <w:bookmarkEnd w:id="1333"/>
      <w:bookmarkEnd w:id="1334"/>
      <w:bookmarkEnd w:id="1335"/>
      <w:bookmarkEnd w:id="1336"/>
      <w:bookmarkEnd w:id="1337"/>
      <w:bookmarkEnd w:id="1338"/>
    </w:p>
    <w:p w14:paraId="7A1D33FE">
      <w:pPr>
        <w:pStyle w:val="5"/>
        <w:rPr>
          <w:rFonts w:hint="eastAsia" w:ascii="宋体" w:hAnsi="宋体" w:cs="宋体"/>
          <w:color w:val="auto"/>
          <w:highlight w:val="none"/>
        </w:rPr>
      </w:pPr>
      <w:bookmarkStart w:id="1339" w:name="_Toc164681315"/>
      <w:bookmarkStart w:id="1340" w:name="_Toc164182086"/>
      <w:bookmarkStart w:id="1341" w:name="_Toc164182794"/>
      <w:bookmarkStart w:id="1342" w:name="_Toc164181768"/>
      <w:bookmarkStart w:id="1343" w:name="_Toc29390"/>
      <w:bookmarkStart w:id="1344" w:name="_Toc164182298"/>
      <w:bookmarkStart w:id="1345" w:name="_Toc27183"/>
      <w:bookmarkStart w:id="1346" w:name="_Toc164680938"/>
      <w:bookmarkStart w:id="1347" w:name="_Toc1208"/>
      <w:bookmarkStart w:id="1348" w:name="_Toc17198"/>
      <w:r>
        <w:rPr>
          <w:rFonts w:hint="eastAsia" w:ascii="宋体" w:hAnsi="宋体" w:cs="宋体"/>
          <w:color w:val="auto"/>
          <w:highlight w:val="none"/>
        </w:rPr>
        <w:t>1．投标人基本情况</w:t>
      </w:r>
      <w:bookmarkEnd w:id="1339"/>
      <w:bookmarkEnd w:id="1340"/>
      <w:bookmarkEnd w:id="1341"/>
      <w:bookmarkEnd w:id="1342"/>
      <w:bookmarkEnd w:id="1343"/>
      <w:bookmarkEnd w:id="1344"/>
      <w:bookmarkEnd w:id="1345"/>
      <w:bookmarkEnd w:id="1346"/>
      <w:bookmarkEnd w:id="1347"/>
      <w:bookmarkEnd w:id="1348"/>
    </w:p>
    <w:tbl>
      <w:tblPr>
        <w:tblStyle w:val="31"/>
        <w:tblW w:w="48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1"/>
        <w:gridCol w:w="561"/>
        <w:gridCol w:w="1543"/>
        <w:gridCol w:w="1682"/>
        <w:gridCol w:w="2472"/>
      </w:tblGrid>
      <w:tr w14:paraId="6345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3" w:type="pct"/>
            <w:noWrap w:val="0"/>
            <w:vAlign w:val="center"/>
          </w:tcPr>
          <w:p w14:paraId="0732835F">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投标人名称</w:t>
            </w:r>
          </w:p>
        </w:tc>
        <w:tc>
          <w:tcPr>
            <w:tcW w:w="1263" w:type="pct"/>
            <w:gridSpan w:val="2"/>
            <w:noWrap w:val="0"/>
            <w:vAlign w:val="center"/>
          </w:tcPr>
          <w:p w14:paraId="7F86029A">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6557C1CE">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1484" w:type="pct"/>
            <w:noWrap w:val="0"/>
            <w:vAlign w:val="center"/>
          </w:tcPr>
          <w:p w14:paraId="18FAD316">
            <w:pPr>
              <w:topLinePunct/>
              <w:autoSpaceDE w:val="0"/>
              <w:autoSpaceDN w:val="0"/>
              <w:adjustRightInd w:val="0"/>
              <w:snapToGrid w:val="0"/>
              <w:jc w:val="center"/>
              <w:rPr>
                <w:rFonts w:hint="eastAsia" w:ascii="宋体" w:hAnsi="宋体" w:cs="宋体"/>
                <w:color w:val="auto"/>
                <w:szCs w:val="21"/>
                <w:highlight w:val="none"/>
              </w:rPr>
            </w:pPr>
          </w:p>
        </w:tc>
      </w:tr>
      <w:tr w14:paraId="20EE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3" w:type="pct"/>
            <w:noWrap w:val="0"/>
            <w:vAlign w:val="center"/>
          </w:tcPr>
          <w:p w14:paraId="4125416C">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1263" w:type="pct"/>
            <w:gridSpan w:val="2"/>
            <w:noWrap w:val="0"/>
            <w:vAlign w:val="center"/>
          </w:tcPr>
          <w:p w14:paraId="162B126C">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5090369A">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1484" w:type="pct"/>
            <w:noWrap w:val="0"/>
            <w:vAlign w:val="center"/>
          </w:tcPr>
          <w:p w14:paraId="54BBE447">
            <w:pPr>
              <w:topLinePunct/>
              <w:autoSpaceDE w:val="0"/>
              <w:autoSpaceDN w:val="0"/>
              <w:adjustRightInd w:val="0"/>
              <w:snapToGrid w:val="0"/>
              <w:jc w:val="center"/>
              <w:rPr>
                <w:rFonts w:hint="eastAsia" w:ascii="宋体" w:hAnsi="宋体" w:cs="宋体"/>
                <w:color w:val="auto"/>
                <w:szCs w:val="21"/>
                <w:highlight w:val="none"/>
              </w:rPr>
            </w:pPr>
          </w:p>
        </w:tc>
      </w:tr>
      <w:tr w14:paraId="6325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3" w:type="pct"/>
            <w:noWrap w:val="0"/>
            <w:vAlign w:val="center"/>
          </w:tcPr>
          <w:p w14:paraId="498CFBC4">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授权代表</w:t>
            </w:r>
          </w:p>
        </w:tc>
        <w:tc>
          <w:tcPr>
            <w:tcW w:w="1263" w:type="pct"/>
            <w:gridSpan w:val="2"/>
            <w:noWrap w:val="0"/>
            <w:vAlign w:val="center"/>
          </w:tcPr>
          <w:p w14:paraId="6F335128">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67125B64">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1484" w:type="pct"/>
            <w:noWrap w:val="0"/>
            <w:vAlign w:val="center"/>
          </w:tcPr>
          <w:p w14:paraId="2FA0349E">
            <w:pPr>
              <w:topLinePunct/>
              <w:autoSpaceDE w:val="0"/>
              <w:autoSpaceDN w:val="0"/>
              <w:adjustRightInd w:val="0"/>
              <w:snapToGrid w:val="0"/>
              <w:jc w:val="center"/>
              <w:rPr>
                <w:rFonts w:hint="eastAsia" w:ascii="宋体" w:hAnsi="宋体" w:cs="宋体"/>
                <w:color w:val="auto"/>
                <w:szCs w:val="21"/>
                <w:highlight w:val="none"/>
              </w:rPr>
            </w:pPr>
          </w:p>
        </w:tc>
      </w:tr>
      <w:tr w14:paraId="70C5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3" w:type="pct"/>
            <w:noWrap w:val="0"/>
            <w:vAlign w:val="center"/>
          </w:tcPr>
          <w:p w14:paraId="365C3360">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电子邮箱</w:t>
            </w:r>
          </w:p>
        </w:tc>
        <w:tc>
          <w:tcPr>
            <w:tcW w:w="1263" w:type="pct"/>
            <w:gridSpan w:val="2"/>
            <w:noWrap w:val="0"/>
            <w:vAlign w:val="center"/>
          </w:tcPr>
          <w:p w14:paraId="7B4628EC">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0E8E1AF6">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传真</w:t>
            </w:r>
          </w:p>
        </w:tc>
        <w:tc>
          <w:tcPr>
            <w:tcW w:w="1484" w:type="pct"/>
            <w:noWrap w:val="0"/>
            <w:vAlign w:val="center"/>
          </w:tcPr>
          <w:p w14:paraId="54763256">
            <w:pPr>
              <w:topLinePunct/>
              <w:autoSpaceDE w:val="0"/>
              <w:autoSpaceDN w:val="0"/>
              <w:adjustRightInd w:val="0"/>
              <w:snapToGrid w:val="0"/>
              <w:jc w:val="center"/>
              <w:rPr>
                <w:rFonts w:hint="eastAsia" w:ascii="宋体" w:hAnsi="宋体" w:cs="宋体"/>
                <w:color w:val="auto"/>
                <w:szCs w:val="21"/>
                <w:highlight w:val="none"/>
              </w:rPr>
            </w:pPr>
          </w:p>
        </w:tc>
      </w:tr>
      <w:tr w14:paraId="020D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3" w:type="pct"/>
            <w:noWrap w:val="0"/>
            <w:vAlign w:val="center"/>
          </w:tcPr>
          <w:p w14:paraId="050C74DA">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上年营业收入</w:t>
            </w:r>
          </w:p>
        </w:tc>
        <w:tc>
          <w:tcPr>
            <w:tcW w:w="1263" w:type="pct"/>
            <w:gridSpan w:val="2"/>
            <w:noWrap w:val="0"/>
            <w:vAlign w:val="center"/>
          </w:tcPr>
          <w:p w14:paraId="43125D84">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54347768">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c>
          <w:tcPr>
            <w:tcW w:w="1484" w:type="pct"/>
            <w:noWrap w:val="0"/>
            <w:vAlign w:val="center"/>
          </w:tcPr>
          <w:p w14:paraId="1A97240F">
            <w:pPr>
              <w:topLinePunct/>
              <w:autoSpaceDE w:val="0"/>
              <w:autoSpaceDN w:val="0"/>
              <w:adjustRightInd w:val="0"/>
              <w:snapToGrid w:val="0"/>
              <w:jc w:val="center"/>
              <w:rPr>
                <w:rFonts w:hint="eastAsia" w:ascii="宋体" w:hAnsi="宋体" w:cs="宋体"/>
                <w:color w:val="auto"/>
                <w:szCs w:val="21"/>
                <w:highlight w:val="none"/>
              </w:rPr>
            </w:pPr>
          </w:p>
        </w:tc>
      </w:tr>
      <w:tr w14:paraId="30D1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0" w:type="pct"/>
            <w:gridSpan w:val="2"/>
            <w:noWrap w:val="0"/>
            <w:vAlign w:val="center"/>
          </w:tcPr>
          <w:p w14:paraId="1A51E7D3">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基本账户开户行及账号</w:t>
            </w:r>
          </w:p>
        </w:tc>
        <w:tc>
          <w:tcPr>
            <w:tcW w:w="3420" w:type="pct"/>
            <w:gridSpan w:val="3"/>
            <w:noWrap w:val="0"/>
            <w:vAlign w:val="center"/>
          </w:tcPr>
          <w:p w14:paraId="719154CF">
            <w:pPr>
              <w:topLinePunct/>
              <w:autoSpaceDE w:val="0"/>
              <w:autoSpaceDN w:val="0"/>
              <w:adjustRightInd w:val="0"/>
              <w:snapToGrid w:val="0"/>
              <w:jc w:val="center"/>
              <w:rPr>
                <w:rFonts w:hint="eastAsia" w:ascii="宋体" w:hAnsi="宋体" w:cs="宋体"/>
                <w:color w:val="auto"/>
                <w:szCs w:val="21"/>
                <w:highlight w:val="none"/>
              </w:rPr>
            </w:pPr>
          </w:p>
        </w:tc>
      </w:tr>
      <w:tr w14:paraId="3ADF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0" w:type="pct"/>
            <w:gridSpan w:val="2"/>
            <w:noWrap w:val="0"/>
            <w:vAlign w:val="center"/>
          </w:tcPr>
          <w:p w14:paraId="40B7AA42">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税务登记机关</w:t>
            </w:r>
          </w:p>
        </w:tc>
        <w:tc>
          <w:tcPr>
            <w:tcW w:w="3420" w:type="pct"/>
            <w:gridSpan w:val="3"/>
            <w:noWrap w:val="0"/>
            <w:vAlign w:val="center"/>
          </w:tcPr>
          <w:p w14:paraId="0E836826">
            <w:pPr>
              <w:topLinePunct/>
              <w:autoSpaceDE w:val="0"/>
              <w:autoSpaceDN w:val="0"/>
              <w:adjustRightInd w:val="0"/>
              <w:snapToGrid w:val="0"/>
              <w:jc w:val="center"/>
              <w:rPr>
                <w:rFonts w:hint="eastAsia" w:ascii="宋体" w:hAnsi="宋体" w:cs="宋体"/>
                <w:color w:val="auto"/>
                <w:szCs w:val="21"/>
                <w:highlight w:val="none"/>
              </w:rPr>
            </w:pPr>
          </w:p>
        </w:tc>
      </w:tr>
      <w:tr w14:paraId="30A0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0" w:type="pct"/>
            <w:gridSpan w:val="2"/>
            <w:noWrap w:val="0"/>
            <w:vAlign w:val="center"/>
          </w:tcPr>
          <w:p w14:paraId="7ACFB8D9">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资质名称</w:t>
            </w:r>
          </w:p>
        </w:tc>
        <w:tc>
          <w:tcPr>
            <w:tcW w:w="926" w:type="pct"/>
            <w:noWrap w:val="0"/>
            <w:vAlign w:val="center"/>
          </w:tcPr>
          <w:p w14:paraId="05D3725B">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等级</w:t>
            </w:r>
          </w:p>
        </w:tc>
        <w:tc>
          <w:tcPr>
            <w:tcW w:w="1010" w:type="pct"/>
            <w:noWrap w:val="0"/>
            <w:vAlign w:val="center"/>
          </w:tcPr>
          <w:p w14:paraId="50B1E767">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发证机关</w:t>
            </w:r>
          </w:p>
        </w:tc>
        <w:tc>
          <w:tcPr>
            <w:tcW w:w="1484" w:type="pct"/>
            <w:noWrap w:val="0"/>
            <w:vAlign w:val="center"/>
          </w:tcPr>
          <w:p w14:paraId="769DBAFF">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有效期</w:t>
            </w:r>
          </w:p>
        </w:tc>
      </w:tr>
      <w:tr w14:paraId="666A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0" w:type="pct"/>
            <w:gridSpan w:val="2"/>
            <w:noWrap w:val="0"/>
            <w:vAlign w:val="center"/>
          </w:tcPr>
          <w:p w14:paraId="543D4C42">
            <w:pPr>
              <w:topLinePunct/>
              <w:autoSpaceDE w:val="0"/>
              <w:autoSpaceDN w:val="0"/>
              <w:adjustRightInd w:val="0"/>
              <w:snapToGrid w:val="0"/>
              <w:jc w:val="center"/>
              <w:rPr>
                <w:rFonts w:hint="eastAsia" w:ascii="宋体" w:hAnsi="宋体" w:cs="宋体"/>
                <w:color w:val="auto"/>
                <w:szCs w:val="21"/>
                <w:highlight w:val="none"/>
              </w:rPr>
            </w:pPr>
          </w:p>
        </w:tc>
        <w:tc>
          <w:tcPr>
            <w:tcW w:w="926" w:type="pct"/>
            <w:noWrap w:val="0"/>
            <w:vAlign w:val="center"/>
          </w:tcPr>
          <w:p w14:paraId="040BA5CE">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541F5A5C">
            <w:pPr>
              <w:topLinePunct/>
              <w:autoSpaceDE w:val="0"/>
              <w:autoSpaceDN w:val="0"/>
              <w:adjustRightInd w:val="0"/>
              <w:snapToGrid w:val="0"/>
              <w:jc w:val="center"/>
              <w:rPr>
                <w:rFonts w:hint="eastAsia" w:ascii="宋体" w:hAnsi="宋体" w:cs="宋体"/>
                <w:color w:val="auto"/>
                <w:szCs w:val="21"/>
                <w:highlight w:val="none"/>
              </w:rPr>
            </w:pPr>
          </w:p>
        </w:tc>
        <w:tc>
          <w:tcPr>
            <w:tcW w:w="1484" w:type="pct"/>
            <w:noWrap w:val="0"/>
            <w:vAlign w:val="center"/>
          </w:tcPr>
          <w:p w14:paraId="6407419A">
            <w:pPr>
              <w:topLinePunct/>
              <w:autoSpaceDE w:val="0"/>
              <w:autoSpaceDN w:val="0"/>
              <w:adjustRightInd w:val="0"/>
              <w:snapToGrid w:val="0"/>
              <w:jc w:val="center"/>
              <w:rPr>
                <w:rFonts w:hint="eastAsia" w:ascii="宋体" w:hAnsi="宋体" w:cs="宋体"/>
                <w:color w:val="auto"/>
                <w:szCs w:val="21"/>
                <w:highlight w:val="none"/>
              </w:rPr>
            </w:pPr>
          </w:p>
        </w:tc>
      </w:tr>
      <w:tr w14:paraId="6B9F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80" w:type="pct"/>
            <w:gridSpan w:val="2"/>
            <w:noWrap w:val="0"/>
            <w:vAlign w:val="center"/>
          </w:tcPr>
          <w:p w14:paraId="4397415E">
            <w:pPr>
              <w:topLinePunct/>
              <w:autoSpaceDE w:val="0"/>
              <w:autoSpaceDN w:val="0"/>
              <w:adjustRightInd w:val="0"/>
              <w:snapToGrid w:val="0"/>
              <w:jc w:val="center"/>
              <w:rPr>
                <w:rFonts w:hint="eastAsia" w:ascii="宋体" w:hAnsi="宋体" w:cs="宋体"/>
                <w:color w:val="auto"/>
                <w:szCs w:val="21"/>
                <w:highlight w:val="none"/>
              </w:rPr>
            </w:pPr>
          </w:p>
        </w:tc>
        <w:tc>
          <w:tcPr>
            <w:tcW w:w="926" w:type="pct"/>
            <w:noWrap w:val="0"/>
            <w:vAlign w:val="center"/>
          </w:tcPr>
          <w:p w14:paraId="281F5FAD">
            <w:pPr>
              <w:topLinePunct/>
              <w:autoSpaceDE w:val="0"/>
              <w:autoSpaceDN w:val="0"/>
              <w:adjustRightInd w:val="0"/>
              <w:snapToGrid w:val="0"/>
              <w:jc w:val="center"/>
              <w:rPr>
                <w:rFonts w:hint="eastAsia" w:ascii="宋体" w:hAnsi="宋体" w:cs="宋体"/>
                <w:color w:val="auto"/>
                <w:szCs w:val="21"/>
                <w:highlight w:val="none"/>
              </w:rPr>
            </w:pPr>
          </w:p>
        </w:tc>
        <w:tc>
          <w:tcPr>
            <w:tcW w:w="1010" w:type="pct"/>
            <w:noWrap w:val="0"/>
            <w:vAlign w:val="center"/>
          </w:tcPr>
          <w:p w14:paraId="5D86686D">
            <w:pPr>
              <w:topLinePunct/>
              <w:autoSpaceDE w:val="0"/>
              <w:autoSpaceDN w:val="0"/>
              <w:adjustRightInd w:val="0"/>
              <w:snapToGrid w:val="0"/>
              <w:jc w:val="center"/>
              <w:rPr>
                <w:rFonts w:hint="eastAsia" w:ascii="宋体" w:hAnsi="宋体" w:cs="宋体"/>
                <w:color w:val="auto"/>
                <w:szCs w:val="21"/>
                <w:highlight w:val="none"/>
              </w:rPr>
            </w:pPr>
          </w:p>
        </w:tc>
        <w:tc>
          <w:tcPr>
            <w:tcW w:w="1484" w:type="pct"/>
            <w:noWrap w:val="0"/>
            <w:vAlign w:val="center"/>
          </w:tcPr>
          <w:p w14:paraId="717E5222">
            <w:pPr>
              <w:topLinePunct/>
              <w:autoSpaceDE w:val="0"/>
              <w:autoSpaceDN w:val="0"/>
              <w:adjustRightInd w:val="0"/>
              <w:snapToGrid w:val="0"/>
              <w:jc w:val="center"/>
              <w:rPr>
                <w:rFonts w:hint="eastAsia" w:ascii="宋体" w:hAnsi="宋体" w:cs="宋体"/>
                <w:color w:val="auto"/>
                <w:szCs w:val="21"/>
                <w:highlight w:val="none"/>
              </w:rPr>
            </w:pPr>
          </w:p>
        </w:tc>
      </w:tr>
      <w:tr w14:paraId="53A61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3" w:type="pct"/>
            <w:noWrap w:val="0"/>
            <w:vAlign w:val="center"/>
          </w:tcPr>
          <w:p w14:paraId="6513C17C">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3757" w:type="pct"/>
            <w:gridSpan w:val="4"/>
            <w:noWrap w:val="0"/>
            <w:vAlign w:val="center"/>
          </w:tcPr>
          <w:p w14:paraId="3E599C42">
            <w:pPr>
              <w:topLinePunct/>
              <w:autoSpaceDE w:val="0"/>
              <w:autoSpaceDN w:val="0"/>
              <w:adjustRightInd w:val="0"/>
              <w:snapToGrid w:val="0"/>
              <w:jc w:val="center"/>
              <w:rPr>
                <w:rFonts w:hint="eastAsia" w:ascii="宋体" w:hAnsi="宋体" w:cs="宋体"/>
                <w:color w:val="auto"/>
                <w:szCs w:val="21"/>
                <w:highlight w:val="none"/>
              </w:rPr>
            </w:pPr>
          </w:p>
        </w:tc>
      </w:tr>
    </w:tbl>
    <w:p w14:paraId="020EBEB4">
      <w:pPr>
        <w:rPr>
          <w:rFonts w:hint="eastAsia" w:ascii="宋体" w:hAnsi="宋体" w:cs="宋体"/>
          <w:color w:val="auto"/>
          <w:highlight w:val="none"/>
        </w:rPr>
      </w:pPr>
    </w:p>
    <w:p w14:paraId="20E5A76E">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75BCFF59">
      <w:pPr>
        <w:adjustRightInd w:val="0"/>
        <w:snapToGrid w:val="0"/>
        <w:spacing w:line="360" w:lineRule="auto"/>
        <w:rPr>
          <w:rFonts w:hint="eastAsia" w:ascii="宋体" w:hAnsi="宋体" w:cs="宋体"/>
          <w:color w:val="auto"/>
          <w:sz w:val="24"/>
          <w:szCs w:val="21"/>
          <w:highlight w:val="none"/>
        </w:rPr>
      </w:pPr>
    </w:p>
    <w:p w14:paraId="2C6F403F">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31044998">
      <w:pPr>
        <w:rPr>
          <w:rFonts w:hint="eastAsia" w:ascii="宋体" w:hAnsi="宋体" w:cs="宋体"/>
          <w:color w:val="auto"/>
          <w:highlight w:val="none"/>
        </w:rPr>
      </w:pPr>
    </w:p>
    <w:p w14:paraId="6167D6C1">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20967043">
      <w:pPr>
        <w:widowControl/>
        <w:jc w:val="left"/>
        <w:rPr>
          <w:rFonts w:hint="eastAsia" w:ascii="宋体" w:hAnsi="宋体" w:cs="宋体"/>
          <w:color w:val="auto"/>
          <w:kern w:val="0"/>
          <w:szCs w:val="21"/>
          <w:highlight w:val="none"/>
        </w:rPr>
      </w:pPr>
      <w:r>
        <w:rPr>
          <w:rFonts w:hint="eastAsia" w:ascii="宋体" w:hAnsi="宋体" w:cs="宋体"/>
          <w:color w:val="auto"/>
          <w:szCs w:val="21"/>
          <w:highlight w:val="none"/>
        </w:rPr>
        <w:br w:type="page"/>
      </w:r>
    </w:p>
    <w:p w14:paraId="6AF4BA88">
      <w:pPr>
        <w:pStyle w:val="5"/>
        <w:rPr>
          <w:rFonts w:hint="eastAsia" w:ascii="宋体" w:hAnsi="宋体" w:cs="宋体"/>
          <w:color w:val="auto"/>
          <w:highlight w:val="none"/>
        </w:rPr>
      </w:pPr>
      <w:bookmarkStart w:id="1349" w:name="_Toc11895"/>
      <w:bookmarkStart w:id="1350" w:name="_Toc164681316"/>
      <w:bookmarkStart w:id="1351" w:name="_Toc28913"/>
      <w:bookmarkStart w:id="1352" w:name="_Toc6696"/>
      <w:bookmarkStart w:id="1353" w:name="_Toc696"/>
      <w:bookmarkStart w:id="1354" w:name="_Toc164680939"/>
      <w:bookmarkStart w:id="1355" w:name="_Toc164182795"/>
      <w:bookmarkStart w:id="1356" w:name="_Toc164182299"/>
      <w:bookmarkStart w:id="1357" w:name="_Toc164181769"/>
      <w:bookmarkStart w:id="1358" w:name="_Toc164182087"/>
      <w:r>
        <w:rPr>
          <w:rFonts w:hint="eastAsia" w:ascii="宋体" w:hAnsi="宋体" w:cs="宋体"/>
          <w:color w:val="auto"/>
          <w:highlight w:val="none"/>
        </w:rPr>
        <w:t>2．法人或者其他组织的营业执照副本复印件或自然人身份证明复印件</w:t>
      </w:r>
      <w:bookmarkEnd w:id="1349"/>
      <w:bookmarkEnd w:id="1350"/>
      <w:bookmarkEnd w:id="1351"/>
      <w:bookmarkEnd w:id="1352"/>
      <w:bookmarkEnd w:id="1353"/>
      <w:bookmarkEnd w:id="1354"/>
    </w:p>
    <w:p w14:paraId="0AD6D243">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1359" w:name="_Toc1498"/>
      <w:bookmarkStart w:id="1360" w:name="_Toc7405"/>
      <w:bookmarkStart w:id="1361" w:name="_Toc25305"/>
      <w:bookmarkStart w:id="1362" w:name="_Toc7008"/>
      <w:r>
        <w:rPr>
          <w:rFonts w:hint="eastAsia" w:ascii="宋体" w:hAnsi="宋体" w:eastAsia="宋体" w:cs="宋体"/>
          <w:color w:val="auto"/>
          <w:sz w:val="24"/>
          <w:szCs w:val="21"/>
          <w:highlight w:val="none"/>
        </w:rPr>
        <w:t>有效期内的相应证件复印件加盖公章</w:t>
      </w:r>
      <w:bookmarkEnd w:id="1359"/>
      <w:bookmarkEnd w:id="1360"/>
      <w:bookmarkEnd w:id="1361"/>
      <w:bookmarkEnd w:id="1362"/>
    </w:p>
    <w:p w14:paraId="75315040">
      <w:pPr>
        <w:adjustRightInd w:val="0"/>
        <w:snapToGrid w:val="0"/>
        <w:spacing w:line="360" w:lineRule="auto"/>
        <w:ind w:firstLine="480" w:firstLineChars="200"/>
        <w:rPr>
          <w:rFonts w:hint="eastAsia" w:ascii="宋体" w:hAnsi="宋体" w:cs="宋体"/>
          <w:color w:val="auto"/>
          <w:sz w:val="24"/>
          <w:szCs w:val="21"/>
          <w:highlight w:val="none"/>
        </w:rPr>
      </w:pPr>
    </w:p>
    <w:p w14:paraId="5CE2C043">
      <w:pPr>
        <w:pStyle w:val="5"/>
        <w:rPr>
          <w:rFonts w:hint="eastAsia" w:ascii="宋体" w:hAnsi="宋体" w:eastAsia="宋体" w:cs="宋体"/>
          <w:color w:val="auto"/>
          <w:highlight w:val="none"/>
        </w:rPr>
      </w:pPr>
      <w:bookmarkStart w:id="1363" w:name="_Toc164680940"/>
      <w:bookmarkStart w:id="1364" w:name="_Toc17091"/>
      <w:bookmarkStart w:id="1365" w:name="_Toc6337"/>
      <w:bookmarkStart w:id="1366" w:name="_Toc17367"/>
      <w:bookmarkStart w:id="1367" w:name="_Toc15039"/>
      <w:bookmarkStart w:id="1368" w:name="_Toc164681317"/>
      <w:r>
        <w:rPr>
          <w:rFonts w:hint="eastAsia" w:ascii="宋体" w:hAnsi="宋体" w:eastAsia="宋体" w:cs="宋体"/>
          <w:color w:val="auto"/>
          <w:highlight w:val="none"/>
        </w:rPr>
        <w:t>3．财务状况报告</w:t>
      </w:r>
      <w:bookmarkEnd w:id="1355"/>
      <w:bookmarkEnd w:id="1356"/>
      <w:bookmarkEnd w:id="1357"/>
      <w:bookmarkEnd w:id="1358"/>
      <w:bookmarkEnd w:id="1363"/>
      <w:bookmarkEnd w:id="1364"/>
      <w:bookmarkEnd w:id="1365"/>
      <w:bookmarkEnd w:id="1366"/>
      <w:bookmarkEnd w:id="1367"/>
      <w:bookmarkEnd w:id="1368"/>
    </w:p>
    <w:p w14:paraId="728DA168">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应提供202</w:t>
      </w:r>
      <w:r>
        <w:rPr>
          <w:rFonts w:hint="eastAsia" w:ascii="宋体" w:hAnsi="宋体" w:cs="宋体"/>
          <w:color w:val="auto"/>
          <w:sz w:val="24"/>
          <w:szCs w:val="21"/>
          <w:highlight w:val="none"/>
          <w:lang w:val="en-US" w:eastAsia="zh-CN"/>
        </w:rPr>
        <w:t>5</w:t>
      </w:r>
      <w:r>
        <w:rPr>
          <w:rFonts w:hint="eastAsia" w:ascii="宋体" w:hAnsi="宋体" w:cs="宋体"/>
          <w:color w:val="auto"/>
          <w:sz w:val="24"/>
          <w:szCs w:val="21"/>
          <w:highlight w:val="none"/>
        </w:rPr>
        <w:t>年度</w:t>
      </w:r>
      <w:r>
        <w:rPr>
          <w:rFonts w:hint="eastAsia" w:ascii="宋体" w:hAnsi="宋体" w:cs="宋体"/>
          <w:color w:val="auto"/>
          <w:sz w:val="24"/>
          <w:szCs w:val="21"/>
          <w:highlight w:val="none"/>
          <w:lang w:val="en-US" w:eastAsia="zh-CN"/>
        </w:rPr>
        <w:t>经第三方审计的</w:t>
      </w:r>
      <w:r>
        <w:rPr>
          <w:rFonts w:hint="eastAsia" w:ascii="宋体" w:hAnsi="宋体" w:cs="宋体"/>
          <w:color w:val="auto"/>
          <w:sz w:val="24"/>
          <w:szCs w:val="21"/>
          <w:highlight w:val="none"/>
        </w:rPr>
        <w:t>财务审计报告。</w:t>
      </w:r>
    </w:p>
    <w:p w14:paraId="71957DCB">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投标人提供的财务审计报告，应包括资产负债表、损益表等加盖公章的复印件。</w:t>
      </w:r>
    </w:p>
    <w:p w14:paraId="4889FC1A">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投标人为当年新成立公司，则应提供公司成立之日后的财务报表。</w:t>
      </w:r>
    </w:p>
    <w:p w14:paraId="4D3F1F00">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投标人为国家机关、事业单位、团体组织或个人的，可提供本单位财务报表。</w:t>
      </w:r>
    </w:p>
    <w:p w14:paraId="6A601E51">
      <w:pPr>
        <w:spacing w:line="360" w:lineRule="auto"/>
        <w:ind w:firstLine="480" w:firstLineChars="200"/>
        <w:jc w:val="left"/>
        <w:rPr>
          <w:rFonts w:hint="eastAsia" w:ascii="宋体" w:hAnsi="宋体" w:cs="宋体"/>
          <w:color w:val="auto"/>
          <w:kern w:val="0"/>
          <w:sz w:val="24"/>
          <w:highlight w:val="none"/>
        </w:rPr>
      </w:pPr>
    </w:p>
    <w:p w14:paraId="1B4CF66D">
      <w:pPr>
        <w:pStyle w:val="5"/>
        <w:rPr>
          <w:rFonts w:hint="eastAsia" w:ascii="宋体" w:hAnsi="宋体" w:cs="宋体"/>
          <w:color w:val="auto"/>
          <w:highlight w:val="none"/>
        </w:rPr>
      </w:pPr>
      <w:bookmarkStart w:id="1369" w:name="_Toc164182796"/>
      <w:bookmarkStart w:id="1370" w:name="_Toc12349"/>
      <w:bookmarkStart w:id="1371" w:name="_Toc14092"/>
      <w:bookmarkStart w:id="1372" w:name="_Toc164182088"/>
      <w:bookmarkStart w:id="1373" w:name="_Toc164181770"/>
      <w:bookmarkStart w:id="1374" w:name="_Toc11631"/>
      <w:bookmarkStart w:id="1375" w:name="_Toc164681318"/>
      <w:bookmarkStart w:id="1376" w:name="_Toc164182300"/>
      <w:bookmarkStart w:id="1377" w:name="_Toc164680941"/>
      <w:bookmarkStart w:id="1378" w:name="_Toc1342"/>
      <w:r>
        <w:rPr>
          <w:rFonts w:hint="eastAsia" w:ascii="宋体" w:hAnsi="宋体" w:cs="宋体"/>
          <w:color w:val="auto"/>
          <w:highlight w:val="none"/>
        </w:rPr>
        <w:t>4．依法缴纳税收的相关材料</w:t>
      </w:r>
      <w:bookmarkEnd w:id="1369"/>
      <w:bookmarkEnd w:id="1370"/>
      <w:bookmarkEnd w:id="1371"/>
      <w:bookmarkEnd w:id="1372"/>
      <w:bookmarkEnd w:id="1373"/>
      <w:bookmarkEnd w:id="1374"/>
      <w:bookmarkEnd w:id="1375"/>
      <w:bookmarkEnd w:id="1376"/>
      <w:bookmarkEnd w:id="1377"/>
      <w:bookmarkEnd w:id="1378"/>
    </w:p>
    <w:p w14:paraId="2F359D42">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lang w:eastAsia="zh-CN"/>
        </w:rPr>
        <w:t>2026年01月以来</w:t>
      </w:r>
      <w:r>
        <w:rPr>
          <w:rFonts w:hint="eastAsia" w:ascii="宋体" w:hAnsi="宋体" w:cs="宋体"/>
          <w:color w:val="auto"/>
          <w:sz w:val="24"/>
          <w:szCs w:val="21"/>
          <w:highlight w:val="none"/>
        </w:rPr>
        <w:t>不少于一个月依法缴纳税收（不包括个人所得税）的相关材料，如依法免税或不需要纳税的，则应提供相应证明材料复印件加盖公章；</w:t>
      </w:r>
    </w:p>
    <w:p w14:paraId="38747241">
      <w:pPr>
        <w:spacing w:line="360" w:lineRule="auto"/>
        <w:ind w:firstLine="480" w:firstLineChars="200"/>
        <w:jc w:val="left"/>
        <w:rPr>
          <w:rFonts w:hint="eastAsia" w:ascii="宋体" w:hAnsi="宋体" w:cs="宋体"/>
          <w:color w:val="auto"/>
          <w:kern w:val="0"/>
          <w:sz w:val="24"/>
          <w:highlight w:val="none"/>
        </w:rPr>
      </w:pPr>
    </w:p>
    <w:p w14:paraId="6CD70DF0">
      <w:pPr>
        <w:pStyle w:val="5"/>
        <w:rPr>
          <w:rFonts w:hint="eastAsia" w:ascii="宋体" w:hAnsi="宋体" w:cs="宋体"/>
          <w:color w:val="auto"/>
          <w:highlight w:val="none"/>
        </w:rPr>
      </w:pPr>
      <w:bookmarkStart w:id="1379" w:name="_Toc8000"/>
      <w:bookmarkStart w:id="1380" w:name="_Toc30942"/>
      <w:bookmarkStart w:id="1381" w:name="_Toc164680942"/>
      <w:bookmarkStart w:id="1382" w:name="_Toc29735"/>
      <w:bookmarkStart w:id="1383" w:name="_Toc164182797"/>
      <w:bookmarkStart w:id="1384" w:name="_Toc24291"/>
      <w:bookmarkStart w:id="1385" w:name="_Toc164681319"/>
      <w:bookmarkStart w:id="1386" w:name="_Toc164181771"/>
      <w:bookmarkStart w:id="1387" w:name="_Toc164182301"/>
      <w:bookmarkStart w:id="1388" w:name="_Toc164182089"/>
      <w:r>
        <w:rPr>
          <w:rFonts w:hint="eastAsia" w:ascii="宋体" w:hAnsi="宋体" w:cs="宋体"/>
          <w:color w:val="auto"/>
          <w:highlight w:val="none"/>
        </w:rPr>
        <w:t>5．依法缴纳社会保障资金的相关材料</w:t>
      </w:r>
      <w:bookmarkEnd w:id="1379"/>
      <w:bookmarkEnd w:id="1380"/>
      <w:bookmarkEnd w:id="1381"/>
      <w:bookmarkEnd w:id="1382"/>
      <w:bookmarkEnd w:id="1383"/>
      <w:bookmarkEnd w:id="1384"/>
      <w:bookmarkEnd w:id="1385"/>
      <w:bookmarkEnd w:id="1386"/>
      <w:bookmarkEnd w:id="1387"/>
      <w:bookmarkEnd w:id="1388"/>
    </w:p>
    <w:p w14:paraId="34A3386F">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lang w:eastAsia="zh-CN"/>
        </w:rPr>
        <w:t>2026年01月以来</w:t>
      </w:r>
      <w:r>
        <w:rPr>
          <w:rFonts w:hint="eastAsia" w:ascii="宋体" w:hAnsi="宋体" w:cs="宋体"/>
          <w:color w:val="auto"/>
          <w:sz w:val="24"/>
          <w:szCs w:val="21"/>
          <w:highlight w:val="none"/>
        </w:rPr>
        <w:t>不少于一个月的依法缴纳社会保障资金的相关材料，如依法不需要缴纳社会保障资金的，则应提供相应证明材料复印件加盖公章；</w:t>
      </w:r>
    </w:p>
    <w:p w14:paraId="4226FE70">
      <w:pPr>
        <w:spacing w:line="360" w:lineRule="auto"/>
        <w:ind w:firstLine="480" w:firstLineChars="200"/>
        <w:jc w:val="left"/>
        <w:rPr>
          <w:rFonts w:hint="eastAsia" w:ascii="宋体" w:hAnsi="宋体" w:cs="宋体"/>
          <w:color w:val="auto"/>
          <w:kern w:val="0"/>
          <w:sz w:val="24"/>
          <w:highlight w:val="none"/>
        </w:rPr>
      </w:pPr>
    </w:p>
    <w:p w14:paraId="79775DE2">
      <w:pPr>
        <w:pStyle w:val="5"/>
        <w:rPr>
          <w:rFonts w:hint="eastAsia" w:ascii="宋体" w:hAnsi="宋体" w:eastAsia="宋体" w:cs="宋体"/>
          <w:color w:val="auto"/>
          <w:highlight w:val="none"/>
          <w:lang w:val="en-US" w:eastAsia="zh-CN"/>
        </w:rPr>
      </w:pPr>
      <w:bookmarkStart w:id="1389" w:name="_Toc164681320"/>
      <w:bookmarkStart w:id="1390" w:name="_Toc164182090"/>
      <w:bookmarkStart w:id="1391" w:name="_Toc18361"/>
      <w:bookmarkStart w:id="1392" w:name="_Toc9982"/>
      <w:bookmarkStart w:id="1393" w:name="_Toc164182798"/>
      <w:bookmarkStart w:id="1394" w:name="_Toc164181772"/>
      <w:bookmarkStart w:id="1395" w:name="_Toc164182302"/>
      <w:bookmarkStart w:id="1396" w:name="_Toc164680943"/>
      <w:bookmarkStart w:id="1397" w:name="_Toc13337"/>
      <w:bookmarkStart w:id="1398" w:name="_Toc30429"/>
      <w:r>
        <w:rPr>
          <w:rFonts w:hint="eastAsia" w:ascii="宋体" w:hAnsi="宋体" w:cs="宋体"/>
          <w:color w:val="auto"/>
          <w:highlight w:val="none"/>
        </w:rPr>
        <w:t>6．具备履行合同所必需的设备和专业技术能力的证明材料</w:t>
      </w:r>
      <w:bookmarkEnd w:id="1389"/>
      <w:bookmarkEnd w:id="1390"/>
      <w:bookmarkEnd w:id="1391"/>
      <w:bookmarkEnd w:id="1392"/>
      <w:bookmarkEnd w:id="1393"/>
      <w:bookmarkEnd w:id="1394"/>
      <w:bookmarkEnd w:id="1395"/>
      <w:bookmarkEnd w:id="1396"/>
      <w:bookmarkEnd w:id="1397"/>
      <w:bookmarkEnd w:id="1398"/>
    </w:p>
    <w:p w14:paraId="1DADD06D">
      <w:pPr>
        <w:adjustRightInd w:val="0"/>
        <w:snapToGrid w:val="0"/>
        <w:spacing w:line="360" w:lineRule="auto"/>
        <w:ind w:firstLine="480" w:firstLineChars="200"/>
        <w:rPr>
          <w:rFonts w:hint="eastAsia" w:ascii="宋体" w:hAnsi="宋体" w:eastAsia="宋体" w:cs="宋体"/>
          <w:color w:val="auto"/>
          <w:sz w:val="24"/>
          <w:szCs w:val="21"/>
          <w:highlight w:val="none"/>
        </w:rPr>
      </w:pPr>
      <w:bookmarkStart w:id="1399" w:name="_Toc9446"/>
      <w:bookmarkStart w:id="1400" w:name="_Toc18238"/>
      <w:bookmarkStart w:id="1401" w:name="_Toc11434"/>
      <w:bookmarkStart w:id="1402" w:name="_Toc2129"/>
      <w:r>
        <w:rPr>
          <w:rFonts w:hint="eastAsia" w:ascii="宋体" w:hAnsi="宋体" w:eastAsia="宋体" w:cs="宋体"/>
          <w:color w:val="auto"/>
          <w:sz w:val="24"/>
          <w:szCs w:val="21"/>
          <w:highlight w:val="none"/>
        </w:rPr>
        <w:t>（由投标人根据项目需求提供说明材料，示例略）</w:t>
      </w:r>
      <w:bookmarkEnd w:id="1399"/>
      <w:bookmarkEnd w:id="1400"/>
      <w:bookmarkEnd w:id="1401"/>
      <w:bookmarkEnd w:id="1402"/>
    </w:p>
    <w:p w14:paraId="0C7A250A">
      <w:pPr>
        <w:spacing w:line="360" w:lineRule="auto"/>
        <w:ind w:firstLine="480" w:firstLineChars="200"/>
        <w:jc w:val="left"/>
        <w:rPr>
          <w:rFonts w:hint="eastAsia" w:ascii="宋体" w:hAnsi="宋体" w:cs="宋体"/>
          <w:color w:val="auto"/>
          <w:kern w:val="0"/>
          <w:sz w:val="24"/>
          <w:highlight w:val="none"/>
        </w:rPr>
      </w:pPr>
    </w:p>
    <w:p w14:paraId="4EE458CC">
      <w:pPr>
        <w:widowControl/>
        <w:jc w:val="left"/>
        <w:rPr>
          <w:rFonts w:hint="eastAsia" w:ascii="宋体" w:hAnsi="宋体" w:cs="宋体"/>
          <w:color w:val="auto"/>
          <w:kern w:val="0"/>
          <w:szCs w:val="21"/>
          <w:highlight w:val="none"/>
        </w:rPr>
      </w:pPr>
      <w:r>
        <w:rPr>
          <w:rFonts w:hint="eastAsia" w:ascii="宋体" w:hAnsi="宋体" w:cs="宋体"/>
          <w:color w:val="auto"/>
          <w:szCs w:val="21"/>
          <w:highlight w:val="none"/>
        </w:rPr>
        <w:br w:type="page"/>
      </w:r>
    </w:p>
    <w:p w14:paraId="045F0943">
      <w:pPr>
        <w:pStyle w:val="5"/>
        <w:rPr>
          <w:rFonts w:hint="eastAsia" w:ascii="宋体" w:hAnsi="宋体" w:cs="宋体"/>
          <w:color w:val="auto"/>
          <w:highlight w:val="none"/>
        </w:rPr>
      </w:pPr>
      <w:bookmarkStart w:id="1403" w:name="_Toc164680944"/>
      <w:bookmarkStart w:id="1404" w:name="_Toc2286"/>
      <w:bookmarkStart w:id="1405" w:name="_Toc164182303"/>
      <w:bookmarkStart w:id="1406" w:name="_Toc31156"/>
      <w:bookmarkStart w:id="1407" w:name="_Toc164681321"/>
      <w:bookmarkStart w:id="1408" w:name="_Toc164182799"/>
      <w:bookmarkStart w:id="1409" w:name="_Toc164181773"/>
      <w:bookmarkStart w:id="1410" w:name="_Toc19172"/>
      <w:bookmarkStart w:id="1411" w:name="_Toc164182091"/>
      <w:bookmarkStart w:id="1412" w:name="_Toc9981"/>
      <w:r>
        <w:rPr>
          <w:rFonts w:hint="eastAsia" w:ascii="宋体" w:hAnsi="宋体" w:cs="宋体"/>
          <w:color w:val="auto"/>
          <w:highlight w:val="none"/>
        </w:rPr>
        <w:t>7．参加本次政府采购活动前三年内在经营活动中没有重大违法记录的书面声明</w:t>
      </w:r>
      <w:bookmarkEnd w:id="1403"/>
      <w:bookmarkEnd w:id="1404"/>
      <w:bookmarkEnd w:id="1405"/>
      <w:bookmarkEnd w:id="1406"/>
      <w:bookmarkEnd w:id="1407"/>
      <w:bookmarkEnd w:id="1408"/>
      <w:bookmarkEnd w:id="1409"/>
      <w:bookmarkEnd w:id="1410"/>
      <w:bookmarkEnd w:id="1411"/>
      <w:bookmarkEnd w:id="1412"/>
    </w:p>
    <w:p w14:paraId="2C9ACD80">
      <w:pPr>
        <w:adjustRightInd w:val="0"/>
        <w:snapToGrid w:val="0"/>
        <w:spacing w:line="360" w:lineRule="auto"/>
        <w:jc w:val="center"/>
        <w:rPr>
          <w:rFonts w:hint="eastAsia" w:ascii="宋体" w:hAnsi="宋体" w:cs="宋体"/>
          <w:b/>
          <w:color w:val="auto"/>
          <w:sz w:val="32"/>
          <w:szCs w:val="21"/>
          <w:highlight w:val="none"/>
        </w:rPr>
      </w:pPr>
    </w:p>
    <w:p w14:paraId="69BA38FF">
      <w:pPr>
        <w:bidi w:val="0"/>
        <w:jc w:val="center"/>
        <w:rPr>
          <w:rFonts w:hint="eastAsia"/>
          <w:b/>
          <w:bCs/>
          <w:sz w:val="32"/>
          <w:szCs w:val="32"/>
        </w:rPr>
      </w:pPr>
      <w:bookmarkStart w:id="1413" w:name="_Toc17705"/>
      <w:bookmarkStart w:id="1414" w:name="_Toc1284"/>
      <w:bookmarkStart w:id="1415" w:name="_Toc25819"/>
      <w:bookmarkStart w:id="1416" w:name="_Toc311"/>
      <w:r>
        <w:rPr>
          <w:rFonts w:hint="eastAsia"/>
          <w:b/>
          <w:bCs/>
          <w:sz w:val="32"/>
          <w:szCs w:val="32"/>
        </w:rPr>
        <w:t>参加本次政府采购活动前三年内在经营活动中</w:t>
      </w:r>
      <w:bookmarkEnd w:id="1413"/>
      <w:bookmarkEnd w:id="1414"/>
      <w:bookmarkEnd w:id="1415"/>
      <w:bookmarkEnd w:id="1416"/>
    </w:p>
    <w:p w14:paraId="2CFDAA7D">
      <w:pPr>
        <w:bidi w:val="0"/>
        <w:jc w:val="center"/>
        <w:rPr>
          <w:rFonts w:hint="eastAsia" w:ascii="宋体" w:hAnsi="宋体" w:cs="宋体"/>
          <w:b/>
          <w:color w:val="auto"/>
          <w:szCs w:val="21"/>
          <w:highlight w:val="none"/>
        </w:rPr>
      </w:pPr>
      <w:r>
        <w:rPr>
          <w:rFonts w:hint="eastAsia"/>
          <w:b/>
          <w:bCs/>
          <w:sz w:val="32"/>
          <w:szCs w:val="32"/>
        </w:rPr>
        <w:t>没有重大违法记录的书面声明</w:t>
      </w:r>
    </w:p>
    <w:p w14:paraId="51C8CE2C">
      <w:pPr>
        <w:adjustRightInd w:val="0"/>
        <w:snapToGrid w:val="0"/>
        <w:spacing w:line="360" w:lineRule="auto"/>
        <w:rPr>
          <w:rFonts w:hint="eastAsia" w:ascii="宋体" w:hAnsi="宋体" w:cs="宋体"/>
          <w:color w:val="auto"/>
          <w:sz w:val="24"/>
          <w:szCs w:val="21"/>
          <w:highlight w:val="none"/>
        </w:rPr>
      </w:pPr>
    </w:p>
    <w:p w14:paraId="6FB5C99B">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致</w:t>
      </w:r>
      <w:r>
        <w:rPr>
          <w:rFonts w:hint="eastAsia" w:ascii="宋体" w:hAnsi="宋体" w:cs="宋体"/>
          <w:color w:val="auto"/>
          <w:sz w:val="24"/>
          <w:szCs w:val="21"/>
          <w:highlight w:val="none"/>
          <w:u w:val="single"/>
        </w:rPr>
        <w:fldChar w:fldCharType="begin"/>
      </w:r>
      <w:r>
        <w:rPr>
          <w:rFonts w:hint="eastAsia" w:ascii="宋体" w:hAnsi="宋体" w:cs="宋体"/>
          <w:color w:val="auto"/>
          <w:sz w:val="24"/>
          <w:szCs w:val="21"/>
          <w:highlight w:val="none"/>
          <w:u w:val="single"/>
        </w:rPr>
        <w:instrText xml:space="preserve"> REF 代理机构 \h  \* MERGEFORMAT </w:instrText>
      </w:r>
      <w:r>
        <w:rPr>
          <w:rFonts w:hint="eastAsia" w:ascii="宋体" w:hAnsi="宋体" w:cs="宋体"/>
          <w:color w:val="auto"/>
          <w:sz w:val="24"/>
          <w:szCs w:val="21"/>
          <w:highlight w:val="none"/>
          <w:u w:val="single"/>
        </w:rPr>
        <w:fldChar w:fldCharType="separate"/>
      </w:r>
      <w:r>
        <w:rPr>
          <w:rFonts w:hint="eastAsia" w:ascii="宋体" w:hAnsi="宋体" w:cs="宋体"/>
          <w:caps/>
          <w:color w:val="auto"/>
          <w:sz w:val="24"/>
          <w:szCs w:val="20"/>
          <w:highlight w:val="none"/>
          <w:u w:val="single"/>
          <w:lang w:eastAsia="zh-CN"/>
        </w:rPr>
        <w:t>公诚管理咨询有限公司</w:t>
      </w:r>
      <w:r>
        <w:rPr>
          <w:rFonts w:hint="eastAsia" w:ascii="宋体" w:hAnsi="宋体" w:cs="宋体"/>
          <w:color w:val="auto"/>
          <w:sz w:val="24"/>
          <w:szCs w:val="21"/>
          <w:highlight w:val="none"/>
          <w:u w:val="single"/>
        </w:rPr>
        <w:fldChar w:fldCharType="end"/>
      </w:r>
      <w:r>
        <w:rPr>
          <w:rFonts w:hint="eastAsia" w:ascii="宋体" w:hAnsi="宋体" w:cs="宋体"/>
          <w:color w:val="auto"/>
          <w:sz w:val="24"/>
          <w:szCs w:val="21"/>
          <w:highlight w:val="none"/>
        </w:rPr>
        <w:t>：</w:t>
      </w:r>
    </w:p>
    <w:p w14:paraId="369334CB">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我单位在参加本次采购活动前三年内在经营活动中没有《</w:t>
      </w:r>
      <w:r>
        <w:rPr>
          <w:rFonts w:hint="eastAsia" w:ascii="宋体" w:hAnsi="宋体" w:cs="宋体"/>
          <w:color w:val="auto"/>
          <w:sz w:val="24"/>
          <w:szCs w:val="21"/>
          <w:highlight w:val="none"/>
          <w:lang w:eastAsia="zh-CN"/>
        </w:rPr>
        <w:t>中华人民共和国政府采购法</w:t>
      </w:r>
      <w:r>
        <w:rPr>
          <w:rFonts w:hint="eastAsia" w:ascii="宋体" w:hAnsi="宋体" w:cs="宋体"/>
          <w:color w:val="auto"/>
          <w:sz w:val="24"/>
          <w:szCs w:val="21"/>
          <w:highlight w:val="none"/>
        </w:rPr>
        <w:t>》第二十二条第一款第（五）项所称重大违法记录，包括：</w:t>
      </w:r>
    </w:p>
    <w:p w14:paraId="05E78492">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我单位未因经营活动中的违法行为受到刑事处罚或者责令停产停业、吊销许可证或者执照、较大数额罚款等行政处罚。</w:t>
      </w:r>
    </w:p>
    <w:p w14:paraId="36EE2903">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特此声明！</w:t>
      </w:r>
    </w:p>
    <w:p w14:paraId="054419CE">
      <w:pPr>
        <w:adjustRightInd w:val="0"/>
        <w:snapToGrid w:val="0"/>
        <w:spacing w:line="360" w:lineRule="auto"/>
        <w:ind w:firstLine="480" w:firstLineChars="200"/>
        <w:rPr>
          <w:rFonts w:hint="eastAsia" w:ascii="宋体" w:hAnsi="宋体" w:cs="宋体"/>
          <w:color w:val="auto"/>
          <w:sz w:val="24"/>
          <w:szCs w:val="21"/>
          <w:highlight w:val="none"/>
        </w:rPr>
      </w:pPr>
    </w:p>
    <w:p w14:paraId="4694C8DD">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（请投标人根据实际情况如实声明，否则视为提供虚假材料。）</w:t>
      </w:r>
    </w:p>
    <w:p w14:paraId="30C08078">
      <w:pPr>
        <w:adjustRightInd w:val="0"/>
        <w:snapToGrid w:val="0"/>
        <w:spacing w:line="360" w:lineRule="auto"/>
        <w:ind w:firstLine="480" w:firstLineChars="200"/>
        <w:rPr>
          <w:rFonts w:hint="eastAsia" w:ascii="宋体" w:hAnsi="宋体" w:cs="宋体"/>
          <w:color w:val="auto"/>
          <w:sz w:val="24"/>
          <w:szCs w:val="21"/>
          <w:highlight w:val="none"/>
        </w:rPr>
      </w:pPr>
    </w:p>
    <w:p w14:paraId="684FCAB1">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517DD44A">
      <w:pPr>
        <w:adjustRightInd w:val="0"/>
        <w:snapToGrid w:val="0"/>
        <w:spacing w:line="360" w:lineRule="auto"/>
        <w:rPr>
          <w:rFonts w:hint="eastAsia" w:ascii="宋体" w:hAnsi="宋体" w:cs="宋体"/>
          <w:color w:val="auto"/>
          <w:sz w:val="24"/>
          <w:szCs w:val="21"/>
          <w:highlight w:val="none"/>
        </w:rPr>
      </w:pPr>
    </w:p>
    <w:p w14:paraId="1517361C">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488CFE2E">
      <w:pPr>
        <w:rPr>
          <w:rFonts w:hint="eastAsia" w:ascii="宋体" w:hAnsi="宋体" w:cs="宋体"/>
          <w:color w:val="auto"/>
          <w:highlight w:val="none"/>
        </w:rPr>
      </w:pPr>
    </w:p>
    <w:p w14:paraId="687EB97C">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2C3C4E21">
      <w:pPr>
        <w:adjustRightInd w:val="0"/>
        <w:snapToGrid w:val="0"/>
        <w:spacing w:line="360" w:lineRule="auto"/>
        <w:ind w:firstLine="480" w:firstLineChars="200"/>
        <w:rPr>
          <w:rFonts w:hint="eastAsia" w:ascii="宋体" w:hAnsi="宋体" w:cs="宋体"/>
          <w:color w:val="auto"/>
          <w:sz w:val="24"/>
          <w:szCs w:val="21"/>
          <w:highlight w:val="none"/>
        </w:rPr>
      </w:pPr>
    </w:p>
    <w:p w14:paraId="56745F58">
      <w:pPr>
        <w:bidi w:val="0"/>
        <w:rPr>
          <w:rFonts w:hint="eastAsia"/>
        </w:rPr>
      </w:pPr>
      <w:bookmarkStart w:id="1417" w:name="_Toc22428"/>
      <w:bookmarkStart w:id="1418" w:name="_Toc164681322"/>
      <w:bookmarkStart w:id="1419" w:name="_Toc164680945"/>
      <w:bookmarkStart w:id="1420" w:name="_Toc164182800"/>
      <w:bookmarkStart w:id="1421" w:name="_Toc164182092"/>
      <w:bookmarkStart w:id="1422" w:name="_Toc164182304"/>
      <w:bookmarkStart w:id="1423" w:name="_Toc16915"/>
      <w:bookmarkStart w:id="1424" w:name="_Toc2301"/>
      <w:bookmarkStart w:id="1425" w:name="_Toc164181774"/>
      <w:bookmarkStart w:id="1426" w:name="_Toc23854"/>
    </w:p>
    <w:p w14:paraId="7F7B8089">
      <w:pPr>
        <w:pStyle w:val="5"/>
        <w:numPr>
          <w:ilvl w:val="0"/>
          <w:numId w:val="0"/>
        </w:numPr>
        <w:rPr>
          <w:rFonts w:hint="eastAsia" w:ascii="宋体" w:hAnsi="宋体" w:cs="宋体"/>
          <w:color w:val="auto"/>
          <w:highlight w:val="none"/>
        </w:rPr>
      </w:pPr>
      <w:r>
        <w:rPr>
          <w:rFonts w:hint="default" w:ascii="宋体" w:hAnsi="宋体" w:cs="宋体"/>
          <w:color w:val="auto"/>
          <w:highlight w:val="none"/>
        </w:rPr>
        <w:br w:type="page"/>
      </w:r>
      <w:bookmarkEnd w:id="1417"/>
      <w:bookmarkEnd w:id="1418"/>
      <w:bookmarkEnd w:id="1419"/>
      <w:bookmarkEnd w:id="1420"/>
      <w:bookmarkEnd w:id="1421"/>
      <w:bookmarkEnd w:id="1422"/>
      <w:bookmarkEnd w:id="1423"/>
      <w:bookmarkEnd w:id="1424"/>
      <w:bookmarkEnd w:id="1425"/>
      <w:bookmarkEnd w:id="1426"/>
      <w:bookmarkStart w:id="1427" w:name="_Toc164182306"/>
      <w:bookmarkStart w:id="1428" w:name="_Toc164181776"/>
      <w:bookmarkStart w:id="1429" w:name="_Toc164182094"/>
      <w:bookmarkStart w:id="1430" w:name="_Toc2211"/>
      <w:bookmarkStart w:id="1431" w:name="_Toc164680947"/>
      <w:bookmarkStart w:id="1432" w:name="_Toc12359"/>
      <w:bookmarkStart w:id="1433" w:name="_Toc28679"/>
      <w:bookmarkStart w:id="1434" w:name="_Toc164681324"/>
      <w:bookmarkStart w:id="1435" w:name="_Toc164182802"/>
      <w:bookmarkStart w:id="1436" w:name="_Toc9322"/>
      <w:r>
        <w:rPr>
          <w:rFonts w:hint="eastAsia" w:ascii="宋体" w:hAnsi="宋体" w:cs="宋体"/>
          <w:color w:val="auto"/>
          <w:highlight w:val="none"/>
          <w:lang w:val="en-US" w:eastAsia="zh-CN"/>
        </w:rPr>
        <w:t>8</w:t>
      </w:r>
      <w:r>
        <w:rPr>
          <w:rFonts w:hint="eastAsia" w:ascii="宋体" w:hAnsi="宋体" w:cs="宋体"/>
          <w:color w:val="auto"/>
          <w:highlight w:val="none"/>
        </w:rPr>
        <w:t>．具备法律、行政法规规定的其他条件的证明材料</w:t>
      </w:r>
    </w:p>
    <w:p w14:paraId="1C2E324B">
      <w:pPr>
        <w:numPr>
          <w:ilvl w:val="0"/>
          <w:numId w:val="0"/>
        </w:numPr>
        <w:rPr>
          <w:rFonts w:hint="eastAsia"/>
          <w:b/>
          <w:bCs/>
          <w:sz w:val="24"/>
          <w:szCs w:val="28"/>
          <w:lang w:val="en-US" w:eastAsia="zh-CN"/>
        </w:rPr>
      </w:pPr>
    </w:p>
    <w:p w14:paraId="2C0DC070">
      <w:pPr>
        <w:numPr>
          <w:ilvl w:val="0"/>
          <w:numId w:val="0"/>
        </w:numPr>
        <w:outlineLvl w:val="4"/>
        <w:rPr>
          <w:rFonts w:hint="eastAsia" w:ascii="宋体" w:hAnsi="宋体" w:eastAsia="宋体" w:cs="宋体"/>
          <w:b/>
          <w:bCs/>
          <w:color w:val="auto"/>
          <w:sz w:val="24"/>
          <w:szCs w:val="24"/>
          <w:highlight w:val="none"/>
        </w:rPr>
      </w:pPr>
      <w:r>
        <w:rPr>
          <w:rFonts w:hint="eastAsia" w:ascii="宋体" w:hAnsi="宋体" w:eastAsia="宋体" w:cs="宋体"/>
          <w:b/>
          <w:caps/>
          <w:color w:val="auto"/>
          <w:kern w:val="2"/>
          <w:sz w:val="24"/>
          <w:szCs w:val="21"/>
          <w:highlight w:val="none"/>
          <w:lang w:val="en-US" w:eastAsia="zh-CN" w:bidi="ar-SA"/>
        </w:rPr>
        <w:t>8-1供应商公平参与市场竞争承诺函</w:t>
      </w:r>
    </w:p>
    <w:p w14:paraId="4C9E1C20">
      <w:pPr>
        <w:bidi w:val="0"/>
        <w:jc w:val="center"/>
        <w:rPr>
          <w:rFonts w:hint="eastAsia"/>
          <w:b/>
          <w:bCs/>
          <w:sz w:val="28"/>
          <w:szCs w:val="28"/>
          <w:lang w:val="en-US" w:eastAsia="zh-CN"/>
        </w:rPr>
      </w:pPr>
    </w:p>
    <w:p w14:paraId="30E6932A">
      <w:pPr>
        <w:bidi w:val="0"/>
        <w:jc w:val="center"/>
        <w:rPr>
          <w:rFonts w:hint="eastAsia" w:ascii="方正小标宋简体" w:hAnsi="方正小标宋简体" w:eastAsia="方正小标宋简体" w:cs="方正小标宋简体"/>
          <w:b w:val="0"/>
          <w:bCs w:val="0"/>
          <w:color w:val="auto"/>
          <w:szCs w:val="44"/>
          <w:highlight w:val="none"/>
        </w:rPr>
      </w:pPr>
      <w:r>
        <w:rPr>
          <w:rFonts w:hint="eastAsia"/>
          <w:b/>
          <w:bCs/>
          <w:sz w:val="28"/>
          <w:szCs w:val="28"/>
          <w:lang w:val="en-US" w:eastAsia="zh-CN"/>
        </w:rPr>
        <w:t>供应商公平参与市场竞争承诺函</w:t>
      </w:r>
    </w:p>
    <w:p w14:paraId="27DF87DD">
      <w:pPr>
        <w:pStyle w:val="17"/>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0" w:firstLineChars="0"/>
        <w:textAlignment w:val="auto"/>
        <w:rPr>
          <w:rFonts w:hint="eastAsia" w:ascii="宋体" w:hAnsi="宋体" w:eastAsia="宋体" w:cs="宋体"/>
          <w:color w:val="auto"/>
          <w:kern w:val="2"/>
          <w:sz w:val="24"/>
          <w:szCs w:val="21"/>
          <w:highlight w:val="none"/>
          <w:lang w:val="en-US" w:eastAsia="zh-CN" w:bidi="ar-SA"/>
        </w:rPr>
      </w:pPr>
    </w:p>
    <w:p w14:paraId="729CE097">
      <w:pPr>
        <w:pStyle w:val="17"/>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0" w:firstLineChars="0"/>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致：</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lang w:val="en-US" w:eastAsia="zh-CN" w:bidi="ar-SA"/>
        </w:rPr>
        <w:t>（采购人名称）</w:t>
      </w:r>
    </w:p>
    <w:p w14:paraId="19A51FE9">
      <w:pPr>
        <w:pStyle w:val="17"/>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根据 </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u w:val="single"/>
          <w:lang w:val="en-US" w:eastAsia="zh-CN" w:bidi="ar-SA"/>
        </w:rPr>
        <w:t xml:space="preserve">甘肃税务2026年税收大数据应用平台运维服务项目 </w:t>
      </w:r>
      <w:r>
        <w:rPr>
          <w:rFonts w:hint="eastAsia" w:ascii="宋体" w:hAnsi="宋体" w:eastAsia="宋体" w:cs="宋体"/>
          <w:color w:val="auto"/>
          <w:kern w:val="2"/>
          <w:sz w:val="24"/>
          <w:szCs w:val="21"/>
          <w:highlight w:val="none"/>
          <w:lang w:val="en-US" w:eastAsia="zh-CN" w:bidi="ar-SA"/>
        </w:rPr>
        <w:t xml:space="preserve">    （项目名称）（项目编号：</w:t>
      </w:r>
      <w:r>
        <w:rPr>
          <w:rFonts w:hint="eastAsia" w:ascii="宋体" w:hAnsi="宋体" w:eastAsia="宋体" w:cs="宋体"/>
          <w:color w:val="auto"/>
          <w:kern w:val="2"/>
          <w:sz w:val="24"/>
          <w:szCs w:val="21"/>
          <w:highlight w:val="none"/>
          <w:u w:val="single"/>
          <w:lang w:val="en-US" w:eastAsia="zh-CN" w:bidi="ar-SA"/>
        </w:rPr>
        <w:t>GS2026-DLGK-C0024-B00</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lang w:val="en-US" w:eastAsia="zh-CN" w:bidi="ar-SA"/>
        </w:rPr>
        <w:t>）的招标公告，</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lang w:val="en-US" w:eastAsia="zh-CN" w:bidi="ar-SA"/>
        </w:rPr>
        <w:t>（供应商名称，以下简称“我单位”）参加本项目招标活动。现就有关情况进行说明，并就公平参与市场竞争作如下承诺：</w:t>
      </w:r>
    </w:p>
    <w:p w14:paraId="729C824F">
      <w:pPr>
        <w:pStyle w:val="17"/>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1.我单位被授权代表</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lang w:val="en-US" w:eastAsia="zh-CN" w:bidi="ar-SA"/>
        </w:rPr>
        <w:t>（被授权代表姓名）为</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lang w:val="en-US" w:eastAsia="zh-CN" w:bidi="ar-SA"/>
        </w:rPr>
        <w:t>（被授权代表所在单位名称）员工，其由</w:t>
      </w:r>
      <w:r>
        <w:rPr>
          <w:rFonts w:hint="eastAsia" w:ascii="仿宋_GB2312" w:hAnsi="仿宋_GB2312" w:eastAsia="仿宋_GB2312" w:cs="仿宋_GB2312"/>
          <w:color w:val="000000"/>
          <w:sz w:val="32"/>
          <w:szCs w:val="32"/>
          <w:highlight w:val="none"/>
          <w:u w:val="single"/>
        </w:rPr>
        <w:t xml:space="preserve">        </w:t>
      </w:r>
      <w:r>
        <w:rPr>
          <w:rFonts w:hint="eastAsia" w:ascii="宋体" w:hAnsi="宋体" w:eastAsia="宋体" w:cs="宋体"/>
          <w:color w:val="auto"/>
          <w:kern w:val="2"/>
          <w:sz w:val="24"/>
          <w:szCs w:val="21"/>
          <w:highlight w:val="none"/>
          <w:lang w:val="en-US" w:eastAsia="zh-CN" w:bidi="ar-SA"/>
        </w:rPr>
        <w:t>（为被授权代表缴纳社保费和个人所得税的单位名称）统一缴纳社保费和办理个人所得税代扣代缴申报。我单位承诺：不存在与其他参与本项目的供应商委托同一单位或者个人办理投标事宜的情况，也不存在接受其他供应商委托办理投标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响应）处理。</w:t>
      </w:r>
    </w:p>
    <w:p w14:paraId="20B6C9A4">
      <w:pPr>
        <w:pStyle w:val="17"/>
        <w:keepNext w:val="0"/>
        <w:keepLines w:val="0"/>
        <w:pageBreakBefore w:val="0"/>
        <w:widowControl w:val="0"/>
        <w:kinsoku/>
        <w:wordWrap/>
        <w:overflowPunct/>
        <w:topLinePunct/>
        <w:autoSpaceDE w:val="0"/>
        <w:autoSpaceDN w:val="0"/>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2.我单位承诺诚信参与政府采购活动，投标（响应）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p>
    <w:p w14:paraId="59B2D1FC">
      <w:pPr>
        <w:pStyle w:val="53"/>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kern w:val="2"/>
          <w:sz w:val="24"/>
          <w:szCs w:val="21"/>
          <w:highlight w:val="none"/>
          <w:lang w:val="en-US" w:eastAsia="zh-CN" w:bidi="ar-SA"/>
        </w:rPr>
      </w:pPr>
    </w:p>
    <w:p w14:paraId="1D3DDFA8">
      <w:pPr>
        <w:pStyle w:val="53"/>
        <w:numPr>
          <w:ilvl w:val="0"/>
          <w:numId w:val="0"/>
        </w:numPr>
        <w:tabs>
          <w:tab w:val="left" w:pos="420"/>
        </w:tabs>
        <w:topLinePunct/>
        <w:autoSpaceDE w:val="0"/>
        <w:autoSpaceDN w:val="0"/>
        <w:snapToGrid w:val="0"/>
        <w:spacing w:before="0" w:beforeAutospacing="0" w:after="0" w:afterAutospacing="0" w:line="360" w:lineRule="auto"/>
        <w:ind w:firstLine="480" w:firstLineChars="200"/>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供应商名称（公章）：            </w:t>
      </w:r>
    </w:p>
    <w:p w14:paraId="0FC25088">
      <w:pPr>
        <w:pStyle w:val="53"/>
        <w:numPr>
          <w:ilvl w:val="0"/>
          <w:numId w:val="0"/>
        </w:numPr>
        <w:tabs>
          <w:tab w:val="left" w:pos="420"/>
        </w:tabs>
        <w:topLinePunct/>
        <w:autoSpaceDE w:val="0"/>
        <w:autoSpaceDN w:val="0"/>
        <w:snapToGrid w:val="0"/>
        <w:spacing w:before="0" w:beforeAutospacing="0" w:after="0" w:afterAutospacing="0" w:line="360" w:lineRule="auto"/>
        <w:ind w:firstLine="480" w:firstLineChars="200"/>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法定代表人（签字或签章）/被授权投标代表（签字）：</w:t>
      </w:r>
    </w:p>
    <w:p w14:paraId="558123C7">
      <w:pPr>
        <w:pStyle w:val="53"/>
        <w:numPr>
          <w:ilvl w:val="0"/>
          <w:numId w:val="0"/>
        </w:numPr>
        <w:tabs>
          <w:tab w:val="left" w:pos="420"/>
        </w:tabs>
        <w:topLinePunct/>
        <w:autoSpaceDE w:val="0"/>
        <w:autoSpaceDN w:val="0"/>
        <w:snapToGrid w:val="0"/>
        <w:spacing w:before="0" w:beforeAutospacing="0" w:after="0" w:afterAutospacing="0" w:line="360" w:lineRule="auto"/>
        <w:ind w:firstLine="480" w:firstLineChars="200"/>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               </w:t>
      </w:r>
    </w:p>
    <w:p w14:paraId="205617AF">
      <w:pPr>
        <w:pStyle w:val="53"/>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供应商地址：            </w:t>
      </w:r>
    </w:p>
    <w:p w14:paraId="1A04FEDD">
      <w:pPr>
        <w:pStyle w:val="53"/>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邮编：            </w:t>
      </w:r>
    </w:p>
    <w:p w14:paraId="66C639E5">
      <w:pPr>
        <w:pStyle w:val="53"/>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电话：            </w:t>
      </w:r>
    </w:p>
    <w:p w14:paraId="1B348943">
      <w:pPr>
        <w:pStyle w:val="53"/>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传真：            </w:t>
      </w:r>
    </w:p>
    <w:p w14:paraId="5A209FF3">
      <w:pPr>
        <w:pStyle w:val="53"/>
        <w:numPr>
          <w:ilvl w:val="0"/>
          <w:numId w:val="0"/>
        </w:numPr>
        <w:tabs>
          <w:tab w:val="left" w:pos="420"/>
        </w:tabs>
        <w:topLinePunct/>
        <w:autoSpaceDE w:val="0"/>
        <w:autoSpaceDN w:val="0"/>
        <w:snapToGrid w:val="0"/>
        <w:spacing w:before="0" w:beforeAutospacing="0" w:after="0" w:afterAutospacing="0" w:line="360" w:lineRule="auto"/>
        <w:ind w:firstLine="489" w:firstLineChars="204"/>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 xml:space="preserve">日期：                      </w:t>
      </w:r>
    </w:p>
    <w:p w14:paraId="493E8928">
      <w:pPr>
        <w:adjustRightInd w:val="0"/>
        <w:snapToGrid w:val="0"/>
        <w:spacing w:before="0" w:beforeAutospacing="0" w:after="0" w:afterAutospacing="0" w:line="360" w:lineRule="auto"/>
        <w:ind w:firstLine="0" w:firstLineChars="0"/>
        <w:jc w:val="both"/>
        <w:rPr>
          <w:rFonts w:hint="eastAsia" w:ascii="宋体" w:hAnsi="宋体" w:eastAsia="宋体" w:cs="宋体"/>
          <w:color w:val="auto"/>
          <w:kern w:val="2"/>
          <w:sz w:val="24"/>
          <w:szCs w:val="21"/>
          <w:highlight w:val="none"/>
          <w:lang w:val="en-US" w:eastAsia="zh-CN" w:bidi="ar-SA"/>
        </w:rPr>
      </w:pPr>
      <w:r>
        <w:rPr>
          <w:rFonts w:hint="eastAsia" w:ascii="宋体" w:hAnsi="宋体" w:eastAsia="宋体" w:cs="宋体"/>
          <w:color w:val="auto"/>
          <w:kern w:val="2"/>
          <w:sz w:val="24"/>
          <w:szCs w:val="21"/>
          <w:highlight w:val="none"/>
          <w:lang w:val="en-US" w:eastAsia="zh-CN" w:bidi="ar-SA"/>
        </w:rPr>
        <w:t>特别说明：</w:t>
      </w:r>
    </w:p>
    <w:p w14:paraId="625346A5">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hint="eastAsia" w:ascii="宋体" w:hAnsi="宋体" w:eastAsia="宋体" w:cs="宋体"/>
          <w:b/>
          <w:bCs/>
          <w:color w:val="auto"/>
          <w:kern w:val="2"/>
          <w:sz w:val="24"/>
          <w:szCs w:val="21"/>
          <w:highlight w:val="none"/>
          <w:lang w:val="en-US" w:eastAsia="zh-CN" w:bidi="ar-SA"/>
        </w:rPr>
      </w:pPr>
      <w:r>
        <w:rPr>
          <w:rFonts w:hint="eastAsia" w:ascii="宋体" w:hAnsi="宋体" w:eastAsia="宋体" w:cs="宋体"/>
          <w:b/>
          <w:bCs/>
          <w:color w:val="auto"/>
          <w:kern w:val="2"/>
          <w:sz w:val="24"/>
          <w:szCs w:val="21"/>
          <w:highlight w:val="none"/>
          <w:lang w:val="en-US" w:eastAsia="zh-CN" w:bidi="ar-SA"/>
        </w:rPr>
        <w:t>供应商应当按上述格式要求加盖与供应商名称全称一致的标准公章，并签署法定代表人或被授权投标代表的全名或加盖名章之后，上传扫描件。</w:t>
      </w:r>
    </w:p>
    <w:p w14:paraId="1F53E25A">
      <w:pPr>
        <w:rPr>
          <w:rFonts w:hint="eastAsia" w:ascii="宋体" w:hAnsi="宋体" w:eastAsia="宋体" w:cs="宋体"/>
          <w:caps/>
          <w:color w:val="auto"/>
          <w:highlight w:val="none"/>
          <w:lang w:eastAsia="zh-CN"/>
        </w:rPr>
      </w:pPr>
      <w:r>
        <w:rPr>
          <w:rFonts w:hint="eastAsia" w:ascii="宋体" w:hAnsi="宋体" w:eastAsia="宋体" w:cs="宋体"/>
          <w:caps/>
          <w:color w:val="auto"/>
          <w:highlight w:val="none"/>
          <w:lang w:eastAsia="zh-CN"/>
        </w:rPr>
        <w:br w:type="page"/>
      </w:r>
    </w:p>
    <w:p w14:paraId="4DAF475A">
      <w:pPr>
        <w:pStyle w:val="6"/>
        <w:ind w:firstLine="0" w:firstLineChars="0"/>
        <w:rPr>
          <w:rFonts w:hint="default" w:ascii="宋体" w:hAnsi="宋体" w:eastAsia="宋体" w:cs="宋体"/>
          <w:caps/>
          <w:color w:val="auto"/>
          <w:highlight w:val="none"/>
          <w:lang w:val="en-US"/>
        </w:rPr>
      </w:pPr>
      <w:r>
        <w:rPr>
          <w:rFonts w:hint="eastAsia" w:ascii="宋体" w:hAnsi="宋体" w:cs="宋体"/>
          <w:caps/>
          <w:color w:val="auto"/>
          <w:highlight w:val="none"/>
          <w:lang w:val="en-US" w:eastAsia="zh-CN"/>
        </w:rPr>
        <w:t>8</w:t>
      </w:r>
      <w:r>
        <w:rPr>
          <w:rFonts w:hint="eastAsia" w:ascii="宋体" w:hAnsi="宋体" w:eastAsia="宋体" w:cs="宋体"/>
          <w:caps/>
          <w:color w:val="auto"/>
          <w:highlight w:val="none"/>
        </w:rPr>
        <w:t>-</w:t>
      </w:r>
      <w:r>
        <w:rPr>
          <w:rFonts w:hint="eastAsia" w:ascii="宋体" w:hAnsi="宋体" w:cs="宋体"/>
          <w:caps/>
          <w:color w:val="auto"/>
          <w:highlight w:val="none"/>
          <w:lang w:val="en-US" w:eastAsia="zh-CN"/>
        </w:rPr>
        <w:t>2</w:t>
      </w:r>
      <w:r>
        <w:rPr>
          <w:rFonts w:hint="eastAsia" w:ascii="宋体" w:hAnsi="宋体" w:eastAsia="宋体" w:cs="宋体"/>
          <w:caps/>
          <w:color w:val="auto"/>
          <w:highlight w:val="none"/>
        </w:rPr>
        <w:t>、</w:t>
      </w:r>
      <w:r>
        <w:rPr>
          <w:rFonts w:hint="eastAsia" w:ascii="宋体" w:hAnsi="宋体" w:eastAsia="宋体" w:cs="宋体"/>
          <w:caps/>
          <w:color w:val="auto"/>
          <w:highlight w:val="none"/>
          <w:lang w:val="en-US" w:eastAsia="zh-CN"/>
        </w:rPr>
        <w:t>本项目不得</w:t>
      </w:r>
      <w:r>
        <w:rPr>
          <w:rFonts w:hint="eastAsia" w:ascii="宋体" w:hAnsi="宋体" w:cs="宋体"/>
          <w:caps/>
          <w:color w:val="auto"/>
          <w:highlight w:val="none"/>
          <w:lang w:val="en-US" w:eastAsia="zh-CN"/>
        </w:rPr>
        <w:t>转包或分包</w:t>
      </w:r>
      <w:r>
        <w:rPr>
          <w:rFonts w:hint="eastAsia" w:ascii="宋体" w:hAnsi="宋体" w:eastAsia="宋体" w:cs="宋体"/>
          <w:caps/>
          <w:color w:val="auto"/>
          <w:highlight w:val="none"/>
          <w:lang w:val="en-US" w:eastAsia="zh-CN"/>
        </w:rPr>
        <w:t>，不接受联合体投标，提供相关声明。</w:t>
      </w:r>
    </w:p>
    <w:p w14:paraId="6721F226">
      <w:pPr>
        <w:pStyle w:val="11"/>
        <w:bidi w:val="0"/>
        <w:rPr>
          <w:rFonts w:hint="eastAsia" w:ascii="宋体" w:hAnsi="宋体" w:eastAsia="宋体" w:cs="宋体"/>
          <w:b/>
          <w:caps/>
          <w:color w:val="auto"/>
          <w:kern w:val="2"/>
          <w:sz w:val="24"/>
          <w:szCs w:val="21"/>
          <w:highlight w:val="none"/>
          <w:lang w:val="en-US" w:eastAsia="zh-CN" w:bidi="ar-SA"/>
        </w:rPr>
      </w:pPr>
      <w:r>
        <w:rPr>
          <w:rFonts w:hint="eastAsia" w:ascii="宋体" w:hAnsi="宋体" w:eastAsia="宋体" w:cs="宋体"/>
          <w:b/>
          <w:caps/>
          <w:color w:val="auto"/>
          <w:kern w:val="2"/>
          <w:sz w:val="24"/>
          <w:szCs w:val="21"/>
          <w:highlight w:val="none"/>
          <w:lang w:val="en-US" w:eastAsia="zh-CN" w:bidi="ar-SA"/>
        </w:rPr>
        <w:t>投标人参与本项目不转包</w:t>
      </w:r>
      <w:r>
        <w:rPr>
          <w:rFonts w:hint="eastAsia" w:ascii="宋体" w:hAnsi="宋体" w:cs="宋体"/>
          <w:b/>
          <w:caps/>
          <w:color w:val="auto"/>
          <w:kern w:val="2"/>
          <w:sz w:val="24"/>
          <w:szCs w:val="21"/>
          <w:highlight w:val="none"/>
          <w:lang w:val="en-US" w:eastAsia="zh-CN" w:bidi="ar-SA"/>
        </w:rPr>
        <w:t>或</w:t>
      </w:r>
      <w:r>
        <w:rPr>
          <w:rFonts w:hint="eastAsia" w:ascii="宋体" w:hAnsi="宋体" w:eastAsia="宋体" w:cs="宋体"/>
          <w:b/>
          <w:caps/>
          <w:color w:val="auto"/>
          <w:kern w:val="2"/>
          <w:sz w:val="24"/>
          <w:szCs w:val="21"/>
          <w:highlight w:val="none"/>
          <w:lang w:val="en-US" w:eastAsia="zh-CN" w:bidi="ar-SA"/>
        </w:rPr>
        <w:t>不分包及非联合体投标承诺书</w:t>
      </w:r>
    </w:p>
    <w:p w14:paraId="31290E79">
      <w:pPr>
        <w:adjustRightInd w:val="0"/>
        <w:snapToGrid w:val="0"/>
        <w:spacing w:line="360" w:lineRule="auto"/>
        <w:jc w:val="right"/>
        <w:rPr>
          <w:rFonts w:hint="eastAsia" w:ascii="宋体" w:hAnsi="宋体" w:cs="宋体"/>
          <w:color w:val="auto"/>
          <w:sz w:val="24"/>
          <w:szCs w:val="21"/>
          <w:highlight w:val="none"/>
        </w:rPr>
      </w:pPr>
    </w:p>
    <w:p w14:paraId="2FC65E8A">
      <w:pPr>
        <w:adjustRightInd w:val="0"/>
        <w:snapToGrid w:val="0"/>
        <w:spacing w:line="360" w:lineRule="auto"/>
        <w:jc w:val="center"/>
        <w:rPr>
          <w:rFonts w:hint="eastAsia" w:ascii="宋体" w:hAnsi="宋体" w:eastAsia="宋体" w:cs="宋体"/>
          <w:b/>
          <w:caps/>
          <w:color w:val="auto"/>
          <w:sz w:val="32"/>
          <w:highlight w:val="none"/>
        </w:rPr>
      </w:pPr>
      <w:r>
        <w:rPr>
          <w:rFonts w:hint="eastAsia" w:ascii="宋体" w:hAnsi="宋体" w:eastAsia="宋体" w:cs="宋体"/>
          <w:b/>
          <w:caps/>
          <w:color w:val="auto"/>
          <w:sz w:val="32"/>
          <w:highlight w:val="none"/>
        </w:rPr>
        <w:t>不转包</w:t>
      </w:r>
      <w:r>
        <w:rPr>
          <w:rFonts w:hint="eastAsia" w:ascii="宋体" w:hAnsi="宋体" w:cs="宋体"/>
          <w:b/>
          <w:caps/>
          <w:color w:val="auto"/>
          <w:sz w:val="32"/>
          <w:highlight w:val="none"/>
          <w:lang w:val="en-US" w:eastAsia="zh-CN"/>
        </w:rPr>
        <w:t>或</w:t>
      </w:r>
      <w:r>
        <w:rPr>
          <w:rFonts w:hint="eastAsia" w:ascii="宋体" w:hAnsi="宋体" w:eastAsia="宋体" w:cs="宋体"/>
          <w:b/>
          <w:caps/>
          <w:color w:val="auto"/>
          <w:sz w:val="32"/>
          <w:highlight w:val="none"/>
        </w:rPr>
        <w:t>不分包及非联合体投标承诺书</w:t>
      </w:r>
    </w:p>
    <w:p w14:paraId="5B86081B">
      <w:pPr>
        <w:adjustRightInd w:val="0"/>
        <w:snapToGrid w:val="0"/>
        <w:spacing w:line="360" w:lineRule="auto"/>
        <w:jc w:val="right"/>
        <w:rPr>
          <w:rFonts w:hint="eastAsia" w:ascii="宋体" w:hAnsi="宋体" w:cs="宋体"/>
          <w:color w:val="auto"/>
          <w:sz w:val="24"/>
          <w:szCs w:val="21"/>
          <w:highlight w:val="none"/>
        </w:rPr>
      </w:pPr>
    </w:p>
    <w:p w14:paraId="1C250617">
      <w:pPr>
        <w:adjustRightInd w:val="0"/>
        <w:snapToGrid w:val="0"/>
        <w:spacing w:line="360" w:lineRule="auto"/>
        <w:jc w:val="left"/>
        <w:rPr>
          <w:rFonts w:hint="eastAsia" w:ascii="宋体" w:hAnsi="宋体" w:cs="宋体"/>
          <w:color w:val="auto"/>
          <w:sz w:val="24"/>
          <w:szCs w:val="21"/>
          <w:highlight w:val="none"/>
        </w:rPr>
      </w:pPr>
      <w:r>
        <w:rPr>
          <w:rFonts w:hint="eastAsia" w:ascii="宋体" w:hAnsi="宋体" w:eastAsia="宋体" w:cs="宋体"/>
          <w:b/>
          <w:caps/>
          <w:snapToGrid w:val="0"/>
          <w:color w:val="auto"/>
          <w:kern w:val="0"/>
          <w:sz w:val="24"/>
          <w:szCs w:val="20"/>
          <w:highlight w:val="none"/>
          <w:lang w:val="en-US" w:eastAsia="zh-CN" w:bidi="ar-SA"/>
        </w:rPr>
        <w:t>致代理机构/采购人：</w:t>
      </w:r>
    </w:p>
    <w:p w14:paraId="48172327">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本公司就参与本次 [</w:t>
      </w:r>
      <w:r>
        <w:rPr>
          <w:rFonts w:hint="eastAsia" w:ascii="宋体" w:hAnsi="宋体" w:eastAsia="宋体" w:cs="宋体"/>
          <w:caps/>
          <w:snapToGrid w:val="0"/>
          <w:color w:val="auto"/>
          <w:sz w:val="24"/>
          <w:highlight w:val="none"/>
          <w:lang w:val="en" w:eastAsia="zh-CN"/>
        </w:rPr>
        <w:t>甘肃税务2026年税收大数据应用平台运维服务项目</w:t>
      </w:r>
      <w:r>
        <w:rPr>
          <w:rFonts w:hint="eastAsia" w:ascii="宋体" w:hAnsi="宋体" w:eastAsia="宋体" w:cs="宋体"/>
          <w:caps/>
          <w:snapToGrid w:val="0"/>
          <w:color w:val="auto"/>
          <w:sz w:val="24"/>
          <w:highlight w:val="none"/>
          <w:lang w:eastAsia="zh-CN"/>
        </w:rPr>
        <w:t>] 政府采购活动，郑重作出如下承诺：</w:t>
      </w:r>
    </w:p>
    <w:p w14:paraId="3E8DA49F">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本公司承诺，若中标本次项目，不将本项目进行任何形式的转包或分包，由本公司自行完成项目全部工作内容，不委托任何第三方参与项目实施。</w:t>
      </w:r>
    </w:p>
    <w:p w14:paraId="44A5D8B0">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本单位承诺，本次投标为单一主体投标，未与任何其他单位或个人组成联合体，不存在以联合体形式参与本次投标的情形。</w:t>
      </w:r>
    </w:p>
    <w:p w14:paraId="0A0C5F76">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若本单位违反上述承诺，自愿接受投标无效、中标无效、记入政府采购不良行为记录名单等一切处理结果，承担由此产生的全部法律责任和经济损失，给采购单位造成损失的，依法予以赔偿。</w:t>
      </w:r>
    </w:p>
    <w:p w14:paraId="3F4AF70F">
      <w:pPr>
        <w:adjustRightInd w:val="0"/>
        <w:snapToGrid w:val="0"/>
        <w:spacing w:line="360" w:lineRule="auto"/>
        <w:jc w:val="right"/>
        <w:rPr>
          <w:rFonts w:hint="eastAsia" w:ascii="宋体" w:hAnsi="宋体" w:cs="宋体"/>
          <w:color w:val="auto"/>
          <w:sz w:val="24"/>
          <w:szCs w:val="21"/>
          <w:highlight w:val="none"/>
        </w:rPr>
      </w:pPr>
    </w:p>
    <w:p w14:paraId="720BEE5D">
      <w:pPr>
        <w:adjustRightInd w:val="0"/>
        <w:snapToGrid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投标人（全称并加盖公章）：______________________________________________</w:t>
      </w:r>
    </w:p>
    <w:p w14:paraId="739EFE8B">
      <w:pPr>
        <w:adjustRightInd w:val="0"/>
        <w:snapToGrid w:val="0"/>
        <w:spacing w:line="360" w:lineRule="auto"/>
        <w:rPr>
          <w:rFonts w:hint="eastAsia" w:ascii="宋体" w:hAnsi="宋体" w:eastAsia="宋体" w:cs="宋体"/>
          <w:color w:val="auto"/>
          <w:sz w:val="24"/>
          <w:szCs w:val="21"/>
          <w:highlight w:val="none"/>
        </w:rPr>
      </w:pPr>
    </w:p>
    <w:p w14:paraId="68F834B9">
      <w:pPr>
        <w:adjustRightInd w:val="0"/>
        <w:snapToGrid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投标人代表（签字或盖章）：_____________________________________________</w:t>
      </w:r>
    </w:p>
    <w:p w14:paraId="78E1F890">
      <w:pPr>
        <w:adjustRightInd w:val="0"/>
        <w:snapToGrid w:val="0"/>
        <w:spacing w:line="360" w:lineRule="auto"/>
        <w:rPr>
          <w:rFonts w:hint="eastAsia" w:ascii="宋体" w:hAnsi="宋体" w:eastAsia="宋体" w:cs="宋体"/>
          <w:color w:val="auto"/>
          <w:sz w:val="24"/>
          <w:szCs w:val="21"/>
          <w:highlight w:val="none"/>
        </w:rPr>
      </w:pPr>
    </w:p>
    <w:p w14:paraId="397FDE61">
      <w:pPr>
        <w:adjustRightInd w:val="0"/>
        <w:snapToGrid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日期：______年______月_____日</w:t>
      </w:r>
    </w:p>
    <w:p w14:paraId="5D76C0CE">
      <w:pPr>
        <w:pStyle w:val="5"/>
        <w:rPr>
          <w:rFonts w:hint="eastAsia" w:ascii="宋体" w:hAnsi="宋体" w:cs="宋体"/>
          <w:color w:val="auto"/>
          <w:highlight w:val="none"/>
        </w:rPr>
      </w:pPr>
      <w:r>
        <w:rPr>
          <w:rFonts w:hint="eastAsia" w:ascii="宋体" w:hAnsi="宋体" w:cs="宋体"/>
          <w:color w:val="auto"/>
          <w:szCs w:val="21"/>
          <w:highlight w:val="none"/>
        </w:rPr>
        <w:br w:type="page"/>
      </w:r>
      <w:r>
        <w:rPr>
          <w:rFonts w:hint="eastAsia" w:ascii="宋体" w:hAnsi="宋体" w:cs="宋体"/>
          <w:color w:val="auto"/>
          <w:highlight w:val="none"/>
          <w:lang w:val="en-US" w:eastAsia="zh-CN"/>
        </w:rPr>
        <w:t>9</w:t>
      </w:r>
      <w:r>
        <w:rPr>
          <w:rFonts w:hint="eastAsia" w:ascii="宋体" w:hAnsi="宋体" w:eastAsia="宋体" w:cs="宋体"/>
          <w:color w:val="auto"/>
          <w:highlight w:val="none"/>
          <w:lang w:eastAsia="zh-CN"/>
        </w:rPr>
        <w:t>．其他资格证明文件</w:t>
      </w:r>
      <w:bookmarkEnd w:id="1427"/>
      <w:bookmarkEnd w:id="1428"/>
      <w:bookmarkEnd w:id="1429"/>
      <w:bookmarkEnd w:id="1430"/>
      <w:bookmarkEnd w:id="1431"/>
      <w:bookmarkEnd w:id="1432"/>
      <w:bookmarkEnd w:id="1433"/>
      <w:bookmarkEnd w:id="1434"/>
      <w:bookmarkEnd w:id="1435"/>
      <w:bookmarkEnd w:id="1436"/>
    </w:p>
    <w:p w14:paraId="09DBAD73">
      <w:pPr>
        <w:rPr>
          <w:rFonts w:hint="eastAsia" w:ascii="宋体" w:hAnsi="宋体" w:cs="宋体"/>
          <w:color w:val="auto"/>
          <w:highlight w:val="none"/>
        </w:rPr>
      </w:pPr>
    </w:p>
    <w:p w14:paraId="6A4D7317">
      <w:pPr>
        <w:bidi w:val="0"/>
        <w:rPr>
          <w:rFonts w:hint="eastAsia" w:ascii="宋体" w:hAnsi="宋体" w:eastAsia="宋体" w:cs="宋体"/>
          <w:b/>
          <w:bCs/>
          <w:sz w:val="24"/>
          <w:szCs w:val="24"/>
        </w:rPr>
      </w:pPr>
      <w:bookmarkStart w:id="1437" w:name="_Toc164181777"/>
      <w:bookmarkStart w:id="1438" w:name="_Toc21675"/>
      <w:bookmarkStart w:id="1439" w:name="_Toc164182095"/>
      <w:bookmarkStart w:id="1440" w:name="_Toc164182803"/>
      <w:bookmarkStart w:id="1441" w:name="_Toc164680948"/>
      <w:bookmarkStart w:id="1442" w:name="_Toc14115"/>
      <w:bookmarkStart w:id="1443" w:name="_Toc23510"/>
      <w:r>
        <w:rPr>
          <w:rFonts w:hint="eastAsia" w:ascii="宋体" w:hAnsi="宋体" w:cs="宋体"/>
          <w:b/>
          <w:bCs/>
          <w:sz w:val="24"/>
          <w:szCs w:val="24"/>
          <w:lang w:val="en-US" w:eastAsia="zh-CN"/>
        </w:rPr>
        <w:t>9</w:t>
      </w:r>
      <w:r>
        <w:rPr>
          <w:rFonts w:hint="eastAsia" w:ascii="宋体" w:hAnsi="宋体" w:eastAsia="宋体" w:cs="宋体"/>
          <w:b/>
          <w:bCs/>
          <w:sz w:val="24"/>
          <w:szCs w:val="24"/>
        </w:rPr>
        <w:t>-1、无不良信用记录承诺函</w:t>
      </w:r>
      <w:bookmarkEnd w:id="1437"/>
      <w:bookmarkEnd w:id="1438"/>
      <w:bookmarkEnd w:id="1439"/>
      <w:bookmarkEnd w:id="1440"/>
      <w:bookmarkEnd w:id="1441"/>
      <w:bookmarkEnd w:id="1442"/>
      <w:bookmarkEnd w:id="1443"/>
    </w:p>
    <w:p w14:paraId="384FC935">
      <w:pPr>
        <w:adjustRightInd w:val="0"/>
        <w:snapToGrid w:val="0"/>
        <w:spacing w:line="360" w:lineRule="auto"/>
        <w:jc w:val="center"/>
        <w:rPr>
          <w:rFonts w:hint="eastAsia" w:ascii="宋体" w:hAnsi="宋体" w:cs="宋体"/>
          <w:b/>
          <w:caps/>
          <w:color w:val="auto"/>
          <w:highlight w:val="none"/>
        </w:rPr>
      </w:pPr>
    </w:p>
    <w:p w14:paraId="30744AE0">
      <w:pPr>
        <w:adjustRightInd w:val="0"/>
        <w:snapToGrid w:val="0"/>
        <w:spacing w:line="360" w:lineRule="auto"/>
        <w:jc w:val="center"/>
        <w:rPr>
          <w:rFonts w:hint="eastAsia" w:ascii="宋体" w:hAnsi="宋体" w:cs="宋体"/>
          <w:b/>
          <w:caps/>
          <w:color w:val="auto"/>
          <w:sz w:val="32"/>
          <w:highlight w:val="none"/>
        </w:rPr>
      </w:pPr>
      <w:r>
        <w:rPr>
          <w:rFonts w:hint="eastAsia" w:ascii="宋体" w:hAnsi="宋体" w:cs="宋体"/>
          <w:b/>
          <w:caps/>
          <w:color w:val="auto"/>
          <w:sz w:val="32"/>
          <w:highlight w:val="none"/>
        </w:rPr>
        <w:t>无不良信用记录承诺函</w:t>
      </w:r>
    </w:p>
    <w:p w14:paraId="59AA1448">
      <w:pPr>
        <w:pStyle w:val="13"/>
        <w:tabs>
          <w:tab w:val="left" w:pos="1682"/>
          <w:tab w:val="left" w:pos="2330"/>
          <w:tab w:val="left" w:pos="6111"/>
          <w:tab w:val="left" w:pos="7770"/>
        </w:tabs>
        <w:adjustRightInd w:val="0"/>
        <w:snapToGrid w:val="0"/>
        <w:spacing w:line="360" w:lineRule="auto"/>
        <w:ind w:left="0"/>
        <w:rPr>
          <w:rFonts w:hint="eastAsia" w:ascii="宋体" w:hAnsi="宋体" w:eastAsia="宋体" w:cs="宋体"/>
          <w:b/>
          <w:caps/>
          <w:snapToGrid w:val="0"/>
          <w:color w:val="auto"/>
          <w:sz w:val="24"/>
          <w:highlight w:val="none"/>
          <w:lang w:eastAsia="zh-CN"/>
        </w:rPr>
      </w:pPr>
      <w:r>
        <w:rPr>
          <w:rFonts w:hint="eastAsia" w:ascii="宋体" w:hAnsi="宋体" w:eastAsia="宋体" w:cs="宋体"/>
          <w:b/>
          <w:caps/>
          <w:snapToGrid w:val="0"/>
          <w:color w:val="auto"/>
          <w:sz w:val="24"/>
          <w:highlight w:val="none"/>
          <w:lang w:eastAsia="zh-CN"/>
        </w:rPr>
        <w:t>致</w:t>
      </w:r>
      <w:r>
        <w:rPr>
          <w:rFonts w:hint="eastAsia" w:ascii="宋体" w:hAnsi="宋体" w:eastAsia="宋体" w:cs="宋体"/>
          <w:caps/>
          <w:color w:val="auto"/>
          <w:highlight w:val="none"/>
          <w:u w:val="single"/>
        </w:rPr>
        <w:fldChar w:fldCharType="begin"/>
      </w:r>
      <w:r>
        <w:rPr>
          <w:rFonts w:hint="eastAsia" w:ascii="宋体" w:hAnsi="宋体" w:eastAsia="宋体" w:cs="宋体"/>
          <w:caps/>
          <w:color w:val="auto"/>
          <w:highlight w:val="none"/>
          <w:u w:val="single"/>
          <w:lang w:eastAsia="zh-CN"/>
        </w:rPr>
        <w:instrText xml:space="preserve"> REF 代理机构 \h  \* MERGEFORMAT </w:instrText>
      </w:r>
      <w:r>
        <w:rPr>
          <w:rFonts w:hint="eastAsia" w:ascii="宋体" w:hAnsi="宋体" w:eastAsia="宋体" w:cs="宋体"/>
          <w:caps/>
          <w:color w:val="auto"/>
          <w:highlight w:val="none"/>
          <w:u w:val="single"/>
        </w:rPr>
        <w:fldChar w:fldCharType="separate"/>
      </w:r>
      <w:r>
        <w:rPr>
          <w:rFonts w:hint="eastAsia" w:ascii="宋体" w:hAnsi="宋体" w:eastAsia="宋体" w:cs="宋体"/>
          <w:b/>
          <w:caps/>
          <w:color w:val="auto"/>
          <w:kern w:val="2"/>
          <w:sz w:val="24"/>
          <w:highlight w:val="none"/>
          <w:u w:val="single"/>
          <w:lang w:eastAsia="zh-CN"/>
        </w:rPr>
        <w:t>公诚管理咨询有限公司</w:t>
      </w:r>
      <w:r>
        <w:rPr>
          <w:rFonts w:hint="eastAsia" w:ascii="宋体" w:hAnsi="宋体" w:eastAsia="宋体" w:cs="宋体"/>
          <w:b/>
          <w:caps/>
          <w:color w:val="auto"/>
          <w:kern w:val="2"/>
          <w:sz w:val="24"/>
          <w:highlight w:val="none"/>
          <w:u w:val="single"/>
          <w:lang w:eastAsia="zh-CN"/>
        </w:rPr>
        <w:fldChar w:fldCharType="end"/>
      </w:r>
      <w:r>
        <w:rPr>
          <w:rFonts w:hint="eastAsia" w:ascii="宋体" w:hAnsi="宋体" w:eastAsia="宋体" w:cs="宋体"/>
          <w:b/>
          <w:caps/>
          <w:snapToGrid w:val="0"/>
          <w:color w:val="auto"/>
          <w:sz w:val="24"/>
          <w:highlight w:val="none"/>
          <w:lang w:eastAsia="zh-CN"/>
        </w:rPr>
        <w:t>：</w:t>
      </w:r>
    </w:p>
    <w:p w14:paraId="606154B7">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本单位郑重承诺，我单位无以下不良信用记录情形：</w:t>
      </w:r>
    </w:p>
    <w:p w14:paraId="5DD6C3D9">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（1）被人民法院列入失信被执行人；</w:t>
      </w:r>
    </w:p>
    <w:p w14:paraId="39FB34CF">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（2）被税务部门列入税收违法黑名单；</w:t>
      </w:r>
    </w:p>
    <w:p w14:paraId="2D0647C0">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（3）被政府采购监管部门列入政府采购严重违法失信行为记录名单；</w:t>
      </w:r>
    </w:p>
    <w:p w14:paraId="16DA808E">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bookmarkStart w:id="1444" w:name="_Toc22806"/>
      <w:bookmarkStart w:id="1445" w:name="_Toc26855"/>
      <w:bookmarkStart w:id="1446" w:name="_Toc19455"/>
      <w:bookmarkStart w:id="1447" w:name="_Toc23192"/>
      <w:r>
        <w:rPr>
          <w:rFonts w:hint="eastAsia" w:ascii="宋体" w:hAnsi="宋体" w:eastAsia="宋体" w:cs="宋体"/>
          <w:caps/>
          <w:snapToGrid w:val="0"/>
          <w:color w:val="auto"/>
          <w:sz w:val="24"/>
          <w:highlight w:val="none"/>
          <w:lang w:eastAsia="zh-CN"/>
        </w:rPr>
        <w:t>（4）不符合《中华人民共和国政府采购法》第二十二条规定的条件。</w:t>
      </w:r>
      <w:bookmarkEnd w:id="1444"/>
      <w:bookmarkEnd w:id="1445"/>
      <w:bookmarkEnd w:id="1446"/>
      <w:bookmarkEnd w:id="1447"/>
    </w:p>
    <w:p w14:paraId="15425DE5">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bookmarkStart w:id="1448" w:name="_Toc32625"/>
      <w:r>
        <w:rPr>
          <w:rFonts w:hint="eastAsia" w:ascii="宋体" w:hAnsi="宋体" w:eastAsia="宋体" w:cs="宋体"/>
          <w:caps/>
          <w:snapToGrid w:val="0"/>
          <w:color w:val="auto"/>
          <w:sz w:val="24"/>
          <w:highlight w:val="none"/>
          <w:lang w:eastAsia="zh-CN"/>
        </w:rPr>
        <w:t>（</w:t>
      </w:r>
      <w:r>
        <w:rPr>
          <w:rFonts w:hint="eastAsia" w:ascii="宋体" w:hAnsi="宋体" w:eastAsia="宋体" w:cs="宋体"/>
          <w:caps/>
          <w:snapToGrid w:val="0"/>
          <w:color w:val="auto"/>
          <w:sz w:val="24"/>
          <w:highlight w:val="none"/>
          <w:lang w:val="en-US" w:eastAsia="zh-CN"/>
        </w:rPr>
        <w:t>5</w:t>
      </w:r>
      <w:r>
        <w:rPr>
          <w:rFonts w:hint="eastAsia" w:ascii="宋体" w:hAnsi="宋体" w:eastAsia="宋体" w:cs="宋体"/>
          <w:caps/>
          <w:snapToGrid w:val="0"/>
          <w:color w:val="auto"/>
          <w:sz w:val="24"/>
          <w:highlight w:val="none"/>
          <w:lang w:eastAsia="zh-CN"/>
        </w:rPr>
        <w:t>）处于税务系统信息化服务商失信名单。</w:t>
      </w:r>
      <w:bookmarkEnd w:id="1448"/>
    </w:p>
    <w:p w14:paraId="6AB1C791">
      <w:pPr>
        <w:rPr>
          <w:rFonts w:hint="eastAsia"/>
          <w:color w:val="auto"/>
          <w:lang w:eastAsia="zh-CN"/>
        </w:rPr>
      </w:pPr>
    </w:p>
    <w:p w14:paraId="6B172770">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4EAA4380">
      <w:pPr>
        <w:rPr>
          <w:rFonts w:hint="eastAsia"/>
          <w:color w:val="auto"/>
          <w:lang w:eastAsia="zh-CN"/>
        </w:rPr>
      </w:pPr>
    </w:p>
    <w:p w14:paraId="1972DFBB">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r>
        <w:rPr>
          <w:rFonts w:hint="eastAsia" w:ascii="宋体" w:hAnsi="宋体" w:eastAsia="宋体" w:cs="宋体"/>
          <w:caps/>
          <w:snapToGrid w:val="0"/>
          <w:color w:val="auto"/>
          <w:sz w:val="24"/>
          <w:highlight w:val="none"/>
          <w:lang w:eastAsia="zh-CN"/>
        </w:rPr>
        <w:t>采购人或采购人代理机构可以通过互联网能够在线查询的信息，投标人不需提供纸质证明材料。</w:t>
      </w:r>
    </w:p>
    <w:p w14:paraId="06E92122">
      <w:pPr>
        <w:pStyle w:val="13"/>
        <w:tabs>
          <w:tab w:val="left" w:pos="1682"/>
          <w:tab w:val="left" w:pos="2330"/>
          <w:tab w:val="left" w:pos="6111"/>
          <w:tab w:val="left" w:pos="7770"/>
        </w:tabs>
        <w:adjustRightInd w:val="0"/>
        <w:snapToGrid w:val="0"/>
        <w:spacing w:line="360" w:lineRule="auto"/>
        <w:ind w:left="0" w:firstLine="480" w:firstLineChars="200"/>
        <w:rPr>
          <w:rFonts w:hint="eastAsia" w:ascii="宋体" w:hAnsi="宋体" w:eastAsia="宋体" w:cs="宋体"/>
          <w:caps/>
          <w:snapToGrid w:val="0"/>
          <w:color w:val="auto"/>
          <w:sz w:val="24"/>
          <w:highlight w:val="none"/>
          <w:lang w:eastAsia="zh-CN"/>
        </w:rPr>
      </w:pPr>
    </w:p>
    <w:p w14:paraId="1AEC9555">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5915F944">
      <w:pPr>
        <w:adjustRightInd w:val="0"/>
        <w:snapToGrid w:val="0"/>
        <w:spacing w:line="360" w:lineRule="auto"/>
        <w:rPr>
          <w:rFonts w:hint="eastAsia" w:ascii="宋体" w:hAnsi="宋体" w:cs="宋体"/>
          <w:color w:val="auto"/>
          <w:sz w:val="24"/>
          <w:szCs w:val="21"/>
          <w:highlight w:val="none"/>
        </w:rPr>
      </w:pPr>
    </w:p>
    <w:p w14:paraId="23FC1015">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44BD222D">
      <w:pPr>
        <w:rPr>
          <w:rFonts w:hint="eastAsia" w:ascii="宋体" w:hAnsi="宋体" w:cs="宋体"/>
          <w:color w:val="auto"/>
          <w:highlight w:val="none"/>
        </w:rPr>
      </w:pPr>
    </w:p>
    <w:p w14:paraId="7B18F7A6">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37154AA2">
      <w:pPr>
        <w:bidi w:val="0"/>
        <w:spacing w:line="360" w:lineRule="auto"/>
        <w:rPr>
          <w:rFonts w:hint="eastAsia" w:ascii="宋体" w:hAnsi="宋体" w:cs="宋体"/>
          <w:caps/>
          <w:color w:val="auto"/>
          <w:highlight w:val="none"/>
          <w:lang w:eastAsia="zh-CN"/>
        </w:rPr>
      </w:pPr>
      <w:r>
        <w:rPr>
          <w:rFonts w:hint="eastAsia" w:ascii="宋体" w:hAnsi="宋体" w:cs="宋体"/>
          <w:color w:val="auto"/>
          <w:sz w:val="24"/>
          <w:szCs w:val="21"/>
          <w:highlight w:val="none"/>
        </w:rPr>
        <w:br w:type="page"/>
      </w:r>
    </w:p>
    <w:p w14:paraId="69897326">
      <w:pPr>
        <w:pStyle w:val="6"/>
        <w:rPr>
          <w:rFonts w:hint="eastAsia" w:ascii="宋体" w:hAnsi="宋体" w:cs="宋体"/>
          <w:snapToGrid w:val="0"/>
          <w:color w:val="auto"/>
          <w:szCs w:val="21"/>
          <w:highlight w:val="none"/>
        </w:rPr>
      </w:pPr>
      <w:bookmarkStart w:id="1449" w:name="_Toc164182097"/>
      <w:bookmarkStart w:id="1450" w:name="_Toc7094"/>
      <w:bookmarkStart w:id="1451" w:name="_Toc17280"/>
      <w:bookmarkStart w:id="1452" w:name="_Toc137660350"/>
      <w:bookmarkStart w:id="1453" w:name="_Toc138234807"/>
      <w:bookmarkStart w:id="1454" w:name="_Toc16448"/>
      <w:bookmarkStart w:id="1455" w:name="_Toc138234993"/>
      <w:bookmarkStart w:id="1456" w:name="_Toc143701807"/>
      <w:bookmarkStart w:id="1457" w:name="_Toc164681325"/>
      <w:bookmarkStart w:id="1458" w:name="_Toc137660670"/>
      <w:bookmarkStart w:id="1459" w:name="_Toc164182805"/>
      <w:bookmarkStart w:id="1460" w:name="_Toc164181779"/>
      <w:bookmarkStart w:id="1461" w:name="_Toc9004"/>
      <w:bookmarkStart w:id="1462" w:name="_Toc143701688"/>
      <w:bookmarkStart w:id="1463" w:name="_Toc164680950"/>
      <w:bookmarkStart w:id="1464" w:name="_Toc137660545"/>
      <w:bookmarkStart w:id="1465" w:name="_Toc164182307"/>
      <w:r>
        <w:rPr>
          <w:rFonts w:hint="eastAsia"/>
          <w:lang w:val="en-US" w:eastAsia="zh-CN"/>
        </w:rPr>
        <w:t>9-2、</w:t>
      </w:r>
      <w:r>
        <w:rPr>
          <w:rFonts w:hint="eastAsia" w:ascii="宋体" w:hAnsi="宋体" w:cs="宋体"/>
          <w:snapToGrid w:val="0"/>
          <w:color w:val="auto"/>
          <w:szCs w:val="21"/>
          <w:highlight w:val="none"/>
        </w:rPr>
        <w:t>特定资格要求</w:t>
      </w:r>
    </w:p>
    <w:p w14:paraId="6E088F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lang w:val="en-US" w:eastAsia="zh-CN"/>
        </w:rPr>
        <w:sectPr>
          <w:pgSz w:w="11906" w:h="16838"/>
          <w:pgMar w:top="1440" w:right="1800" w:bottom="1440" w:left="1800" w:header="964" w:footer="964" w:gutter="0"/>
          <w:pgNumType w:fmt="decimal"/>
          <w:cols w:space="720" w:num="1"/>
          <w:docGrid w:type="lines" w:linePitch="312" w:charSpace="0"/>
        </w:sectPr>
      </w:pPr>
      <w:r>
        <w:rPr>
          <w:rFonts w:hint="eastAsia" w:ascii="宋体" w:hAnsi="宋体" w:cs="宋体"/>
          <w:b w:val="0"/>
          <w:bCs w:val="0"/>
          <w:caps/>
          <w:color w:val="auto"/>
          <w:sz w:val="24"/>
          <w:szCs w:val="24"/>
          <w:highlight w:val="none"/>
        </w:rPr>
        <w:t>供应商未被列入“信用中国”网站</w:t>
      </w:r>
      <w:r>
        <w:rPr>
          <w:rFonts w:hint="eastAsia" w:ascii="宋体" w:hAnsi="宋体" w:cs="宋体"/>
          <w:b w:val="0"/>
          <w:bCs w:val="0"/>
          <w:color w:val="auto"/>
          <w:sz w:val="24"/>
          <w:szCs w:val="24"/>
          <w:highlight w:val="none"/>
        </w:rPr>
        <w:t>(www.creditchina.gov.cn)</w:t>
      </w:r>
      <w:r>
        <w:rPr>
          <w:rFonts w:hint="eastAsia" w:ascii="宋体" w:hAnsi="宋体" w:cs="宋体"/>
          <w:b w:val="0"/>
          <w:bCs w:val="0"/>
          <w:caps/>
          <w:color w:val="auto"/>
          <w:sz w:val="24"/>
          <w:szCs w:val="24"/>
          <w:highlight w:val="none"/>
        </w:rPr>
        <w:t>记录失信被执行人或</w:t>
      </w:r>
      <w:r>
        <w:rPr>
          <w:rFonts w:hint="eastAsia" w:ascii="宋体" w:hAnsi="宋体" w:cs="宋体"/>
          <w:b w:val="0"/>
          <w:bCs w:val="0"/>
          <w:caps/>
          <w:color w:val="auto"/>
          <w:sz w:val="24"/>
          <w:szCs w:val="24"/>
          <w:highlight w:val="none"/>
          <w:lang w:eastAsia="zh-CN"/>
        </w:rPr>
        <w:t>重大税收违法失信主体</w:t>
      </w:r>
      <w:r>
        <w:rPr>
          <w:rFonts w:hint="eastAsia" w:ascii="宋体" w:hAnsi="宋体" w:cs="宋体"/>
          <w:b w:val="0"/>
          <w:bCs w:val="0"/>
          <w:caps/>
          <w:color w:val="auto"/>
          <w:sz w:val="24"/>
          <w:szCs w:val="24"/>
          <w:highlight w:val="none"/>
        </w:rPr>
        <w:t>或政府采购严重违法失信行为记录名单；不处于中国政府采购网</w:t>
      </w:r>
      <w:r>
        <w:rPr>
          <w:rFonts w:hint="eastAsia" w:ascii="宋体" w:hAnsi="宋体" w:cs="宋体"/>
          <w:b w:val="0"/>
          <w:bCs w:val="0"/>
          <w:color w:val="auto"/>
          <w:sz w:val="24"/>
          <w:szCs w:val="24"/>
          <w:highlight w:val="none"/>
        </w:rPr>
        <w:t>(www.ccgp.gov.cn)</w:t>
      </w:r>
      <w:r>
        <w:rPr>
          <w:rFonts w:hint="eastAsia" w:ascii="宋体" w:hAnsi="宋体" w:cs="宋体"/>
          <w:b w:val="0"/>
          <w:bCs w:val="0"/>
          <w:caps/>
          <w:color w:val="auto"/>
          <w:sz w:val="24"/>
          <w:szCs w:val="24"/>
          <w:highlight w:val="none"/>
        </w:rPr>
        <w:t>政府采购严重违法失信行为信息记录中的禁止参加政府采购活动期间的方可参加本项目的</w:t>
      </w:r>
      <w:r>
        <w:rPr>
          <w:rFonts w:hint="eastAsia" w:ascii="宋体" w:hAnsi="宋体" w:cs="宋体"/>
          <w:b w:val="0"/>
          <w:bCs w:val="0"/>
          <w:caps/>
          <w:color w:val="auto"/>
          <w:sz w:val="24"/>
          <w:szCs w:val="24"/>
          <w:highlight w:val="none"/>
          <w:lang w:val="en-US" w:eastAsia="zh-CN"/>
        </w:rPr>
        <w:t>招标</w:t>
      </w:r>
      <w:r>
        <w:rPr>
          <w:rFonts w:hint="eastAsia" w:ascii="宋体" w:hAnsi="宋体" w:cs="宋体"/>
          <w:b w:val="0"/>
          <w:bCs w:val="0"/>
          <w:caps/>
          <w:color w:val="auto"/>
          <w:sz w:val="24"/>
          <w:szCs w:val="24"/>
          <w:highlight w:val="none"/>
        </w:rPr>
        <w:t>（以递交</w:t>
      </w:r>
      <w:r>
        <w:rPr>
          <w:rFonts w:hint="eastAsia" w:ascii="宋体" w:hAnsi="宋体" w:cs="宋体"/>
          <w:b w:val="0"/>
          <w:bCs w:val="0"/>
          <w:caps/>
          <w:color w:val="auto"/>
          <w:sz w:val="24"/>
          <w:szCs w:val="24"/>
          <w:highlight w:val="none"/>
          <w:lang w:val="en-US" w:eastAsia="zh-CN"/>
        </w:rPr>
        <w:t>投标</w:t>
      </w:r>
      <w:r>
        <w:rPr>
          <w:rFonts w:hint="eastAsia" w:ascii="宋体" w:hAnsi="宋体" w:cs="宋体"/>
          <w:b w:val="0"/>
          <w:bCs w:val="0"/>
          <w:caps/>
          <w:color w:val="auto"/>
          <w:sz w:val="24"/>
          <w:szCs w:val="24"/>
          <w:highlight w:val="none"/>
        </w:rPr>
        <w:t>文件截止日前一日在“信用中国”网站</w:t>
      </w:r>
      <w:r>
        <w:rPr>
          <w:rFonts w:hint="eastAsia" w:ascii="宋体" w:hAnsi="宋体" w:cs="宋体"/>
          <w:b w:val="0"/>
          <w:bCs w:val="0"/>
          <w:color w:val="auto"/>
          <w:sz w:val="24"/>
          <w:szCs w:val="24"/>
          <w:highlight w:val="none"/>
        </w:rPr>
        <w:t>(www.creditchina.gov.cn)</w:t>
      </w:r>
      <w:r>
        <w:rPr>
          <w:rFonts w:hint="eastAsia" w:ascii="宋体" w:hAnsi="宋体" w:cs="宋体"/>
          <w:b w:val="0"/>
          <w:bCs w:val="0"/>
          <w:caps/>
          <w:color w:val="auto"/>
          <w:sz w:val="24"/>
          <w:szCs w:val="24"/>
          <w:highlight w:val="none"/>
        </w:rPr>
        <w:t>、中国政府采购网</w:t>
      </w:r>
      <w:r>
        <w:rPr>
          <w:rFonts w:hint="eastAsia" w:ascii="宋体" w:hAnsi="宋体" w:cs="宋体"/>
          <w:b w:val="0"/>
          <w:bCs w:val="0"/>
          <w:color w:val="auto"/>
          <w:sz w:val="24"/>
          <w:szCs w:val="24"/>
          <w:highlight w:val="none"/>
        </w:rPr>
        <w:t>(www.ccgp.gov.cn)</w:t>
      </w:r>
      <w:r>
        <w:rPr>
          <w:rFonts w:hint="eastAsia" w:ascii="宋体" w:hAnsi="宋体" w:cs="宋体"/>
          <w:b w:val="0"/>
          <w:bCs w:val="0"/>
          <w:caps/>
          <w:color w:val="auto"/>
          <w:sz w:val="24"/>
          <w:szCs w:val="24"/>
          <w:highlight w:val="none"/>
        </w:rPr>
        <w:t>查询结果为准，如相关失信记录已失效，供应商需提供相关证明资料）</w:t>
      </w:r>
    </w:p>
    <w:p w14:paraId="298CA34C">
      <w:pPr>
        <w:pStyle w:val="4"/>
        <w:rPr>
          <w:rFonts w:hint="eastAsia" w:ascii="宋体" w:hAnsi="宋体" w:cs="宋体"/>
          <w:color w:val="auto"/>
          <w:highlight w:val="none"/>
        </w:rPr>
      </w:pPr>
      <w:r>
        <w:rPr>
          <w:rFonts w:hint="eastAsia" w:ascii="宋体" w:hAnsi="宋体" w:eastAsia="宋体" w:cs="宋体"/>
          <w:b/>
          <w:bCs/>
          <w:color w:val="auto"/>
          <w:sz w:val="28"/>
          <w:szCs w:val="28"/>
          <w:highlight w:val="none"/>
        </w:rPr>
        <w:t>六、提供符合政府采购政策的证明材料</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p>
    <w:p w14:paraId="674C48B6">
      <w:pPr>
        <w:adjustRightInd w:val="0"/>
        <w:snapToGrid w:val="0"/>
        <w:spacing w:line="360" w:lineRule="auto"/>
        <w:ind w:firstLine="482" w:firstLineChars="200"/>
        <w:rPr>
          <w:rFonts w:hint="eastAsia" w:ascii="宋体" w:hAnsi="宋体" w:cs="宋体"/>
          <w:b/>
          <w:caps/>
          <w:color w:val="auto"/>
          <w:sz w:val="24"/>
          <w:szCs w:val="24"/>
          <w:highlight w:val="none"/>
        </w:rPr>
      </w:pPr>
      <w:bookmarkStart w:id="1466" w:name="_Toc100768071"/>
      <w:bookmarkStart w:id="1467" w:name="_Toc100768074"/>
      <w:bookmarkStart w:id="1468" w:name="_Toc99721582"/>
      <w:bookmarkStart w:id="1469" w:name="_Toc99525775"/>
      <w:bookmarkStart w:id="1470" w:name="_Toc99721219"/>
      <w:bookmarkStart w:id="1471" w:name="_Toc99526812"/>
      <w:bookmarkStart w:id="1472" w:name="_Hlk100767741"/>
      <w:r>
        <w:rPr>
          <w:rFonts w:hint="eastAsia" w:ascii="宋体" w:hAnsi="宋体" w:cs="宋体"/>
          <w:b/>
          <w:caps/>
          <w:color w:val="auto"/>
          <w:sz w:val="24"/>
          <w:szCs w:val="24"/>
          <w:highlight w:val="none"/>
        </w:rPr>
        <w:t>投标人不享受相应扶持政策时可不提供本部分材料，投标人享受扶持政策的，投标文件中第1、2、3项相关材料将随中标公告一并公开，接受社会监督。投标人应对递交文件的真实性负责，如有虚假，将依法承担相应责任。</w:t>
      </w:r>
    </w:p>
    <w:p w14:paraId="5C900B2C">
      <w:pPr>
        <w:pStyle w:val="5"/>
        <w:rPr>
          <w:rFonts w:hint="eastAsia" w:ascii="宋体" w:hAnsi="宋体" w:cs="宋体"/>
          <w:color w:val="auto"/>
          <w:highlight w:val="none"/>
        </w:rPr>
      </w:pPr>
      <w:bookmarkStart w:id="1473" w:name="_Toc23964"/>
      <w:bookmarkStart w:id="1474" w:name="_Toc14070"/>
      <w:bookmarkStart w:id="1475" w:name="_Toc14299"/>
      <w:bookmarkStart w:id="1476" w:name="_Toc137660546"/>
      <w:bookmarkStart w:id="1477" w:name="_Toc164182098"/>
      <w:bookmarkStart w:id="1478" w:name="_Toc138234808"/>
      <w:bookmarkStart w:id="1479" w:name="_Toc164182806"/>
      <w:bookmarkStart w:id="1480" w:name="_Toc143701808"/>
      <w:bookmarkStart w:id="1481" w:name="_Toc164680951"/>
      <w:bookmarkStart w:id="1482" w:name="_Toc106203160"/>
      <w:bookmarkStart w:id="1483" w:name="_Toc51"/>
      <w:bookmarkStart w:id="1484" w:name="_Toc164182308"/>
      <w:bookmarkStart w:id="1485" w:name="_Toc164181780"/>
      <w:bookmarkStart w:id="1486" w:name="_Toc164681326"/>
      <w:bookmarkStart w:id="1487" w:name="_Toc138234994"/>
      <w:bookmarkStart w:id="1488" w:name="_Toc107941511"/>
      <w:bookmarkStart w:id="1489" w:name="_Toc143701689"/>
      <w:r>
        <w:rPr>
          <w:rFonts w:hint="eastAsia" w:ascii="宋体" w:hAnsi="宋体" w:cs="宋体"/>
          <w:color w:val="auto"/>
          <w:highlight w:val="none"/>
        </w:rPr>
        <w:t>1．中小企业声明函</w:t>
      </w:r>
      <w:bookmarkEnd w:id="1466"/>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p>
    <w:p w14:paraId="3088E778">
      <w:pPr>
        <w:bidi w:val="0"/>
        <w:jc w:val="center"/>
        <w:rPr>
          <w:rFonts w:hint="eastAsia"/>
          <w:b/>
          <w:bCs/>
          <w:sz w:val="28"/>
          <w:szCs w:val="28"/>
        </w:rPr>
      </w:pPr>
      <w:bookmarkStart w:id="1490" w:name="_Toc25895"/>
      <w:bookmarkStart w:id="1491" w:name="_Toc30234"/>
      <w:bookmarkStart w:id="1492" w:name="_Toc4111"/>
      <w:bookmarkStart w:id="1493" w:name="_Toc18418"/>
      <w:r>
        <w:rPr>
          <w:rFonts w:hint="eastAsia"/>
          <w:b/>
          <w:bCs/>
          <w:sz w:val="28"/>
          <w:szCs w:val="28"/>
        </w:rPr>
        <w:t>中小企业声明函（服务）</w:t>
      </w:r>
      <w:bookmarkEnd w:id="1490"/>
      <w:bookmarkEnd w:id="1491"/>
      <w:bookmarkEnd w:id="1492"/>
      <w:bookmarkEnd w:id="1493"/>
    </w:p>
    <w:p w14:paraId="7C6E3CD7">
      <w:pPr>
        <w:adjustRightInd w:val="0"/>
        <w:snapToGrid w:val="0"/>
        <w:spacing w:line="360" w:lineRule="auto"/>
        <w:ind w:firstLine="480" w:firstLineChars="200"/>
        <w:rPr>
          <w:rFonts w:hint="eastAsia" w:ascii="宋体" w:hAnsi="宋体" w:cs="宋体"/>
          <w:caps/>
          <w:color w:val="auto"/>
          <w:sz w:val="24"/>
          <w:szCs w:val="24"/>
          <w:highlight w:val="none"/>
        </w:rPr>
      </w:pPr>
      <w:r>
        <w:rPr>
          <w:rFonts w:hint="eastAsia" w:ascii="宋体" w:hAnsi="宋体" w:cs="宋体"/>
          <w:caps/>
          <w:color w:val="auto"/>
          <w:sz w:val="24"/>
          <w:szCs w:val="24"/>
          <w:highlight w:val="none"/>
        </w:rPr>
        <w:t>本公司（或联合体）郑重声明，根据《政府采购促进中小企业发展管理办法》（财库﹝2020﹞46号）的规定，本公司（或联合体）参加</w:t>
      </w:r>
      <w:r>
        <w:rPr>
          <w:rFonts w:hint="eastAsia" w:ascii="宋体" w:hAnsi="宋体" w:cs="宋体"/>
          <w:caps/>
          <w:color w:val="auto"/>
          <w:sz w:val="24"/>
          <w:szCs w:val="24"/>
          <w:highlight w:val="none"/>
          <w:u w:val="single"/>
        </w:rPr>
        <w:fldChar w:fldCharType="begin"/>
      </w:r>
      <w:r>
        <w:rPr>
          <w:rFonts w:hint="eastAsia" w:ascii="宋体" w:hAnsi="宋体" w:cs="宋体"/>
          <w:caps/>
          <w:color w:val="auto"/>
          <w:sz w:val="24"/>
          <w:szCs w:val="24"/>
          <w:highlight w:val="none"/>
          <w:u w:val="single"/>
        </w:rPr>
        <w:instrText xml:space="preserve"> REF 采购人 \h  \* MERGEFORMAT </w:instrText>
      </w:r>
      <w:r>
        <w:rPr>
          <w:rFonts w:hint="eastAsia" w:ascii="宋体" w:hAnsi="宋体" w:cs="宋体"/>
          <w:caps/>
          <w:color w:val="auto"/>
          <w:sz w:val="24"/>
          <w:szCs w:val="24"/>
          <w:highlight w:val="none"/>
          <w:u w:val="single"/>
        </w:rPr>
        <w:fldChar w:fldCharType="separate"/>
      </w:r>
      <w:r>
        <w:rPr>
          <w:rFonts w:hint="eastAsia" w:ascii="宋体" w:hAnsi="宋体" w:cs="宋体"/>
          <w:caps/>
          <w:color w:val="auto"/>
          <w:sz w:val="24"/>
          <w:szCs w:val="20"/>
          <w:highlight w:val="none"/>
          <w:u w:val="single"/>
        </w:rPr>
        <w:t>国家税务总局甘肃省税务局</w:t>
      </w:r>
      <w:r>
        <w:rPr>
          <w:rFonts w:hint="eastAsia" w:ascii="宋体" w:hAnsi="宋体" w:cs="宋体"/>
          <w:caps/>
          <w:color w:val="auto"/>
          <w:sz w:val="24"/>
          <w:szCs w:val="24"/>
          <w:highlight w:val="none"/>
          <w:u w:val="single"/>
        </w:rPr>
        <w:fldChar w:fldCharType="end"/>
      </w:r>
      <w:r>
        <w:rPr>
          <w:rFonts w:hint="eastAsia" w:ascii="宋体" w:hAnsi="宋体" w:cs="宋体"/>
          <w:caps/>
          <w:color w:val="auto"/>
          <w:sz w:val="24"/>
          <w:szCs w:val="24"/>
          <w:highlight w:val="none"/>
        </w:rPr>
        <w:t>的</w:t>
      </w:r>
      <w:r>
        <w:rPr>
          <w:rFonts w:hint="eastAsia" w:ascii="宋体" w:hAnsi="宋体" w:cs="宋体"/>
          <w:caps/>
          <w:color w:val="auto"/>
          <w:sz w:val="24"/>
          <w:szCs w:val="24"/>
          <w:highlight w:val="none"/>
          <w:u w:val="single"/>
          <w:lang w:eastAsia="zh-CN"/>
        </w:rPr>
        <w:t>甘肃税务2026年税收大数据应用平台运维服务项目</w:t>
      </w:r>
      <w:r>
        <w:rPr>
          <w:rFonts w:hint="eastAsia" w:ascii="宋体" w:hAnsi="宋体" w:cs="宋体"/>
          <w:caps/>
          <w:color w:val="auto"/>
          <w:sz w:val="24"/>
          <w:szCs w:val="24"/>
          <w:highlight w:val="none"/>
        </w:rPr>
        <w:t>采购活动，服务</w:t>
      </w:r>
      <w:r>
        <w:rPr>
          <w:rFonts w:hint="eastAsia" w:ascii="宋体" w:hAnsi="宋体" w:cs="宋体"/>
          <w:b/>
          <w:caps/>
          <w:color w:val="auto"/>
          <w:sz w:val="24"/>
          <w:szCs w:val="24"/>
          <w:highlight w:val="none"/>
        </w:rPr>
        <w:t>全部由</w:t>
      </w:r>
      <w:r>
        <w:rPr>
          <w:rFonts w:hint="eastAsia" w:ascii="宋体" w:hAnsi="宋体" w:cs="宋体"/>
          <w:caps/>
          <w:color w:val="auto"/>
          <w:sz w:val="24"/>
          <w:szCs w:val="24"/>
          <w:highlight w:val="none"/>
        </w:rPr>
        <w:t>符合政策要求的中小企业承接。相关企业（含联合体中的中小企业、签订分包意向协议的中小企业）的具体情况如下：</w:t>
      </w:r>
    </w:p>
    <w:p w14:paraId="49BA426A">
      <w:pPr>
        <w:tabs>
          <w:tab w:val="left" w:pos="1705"/>
          <w:tab w:val="left" w:pos="4905"/>
          <w:tab w:val="left" w:pos="7113"/>
        </w:tabs>
        <w:adjustRightInd w:val="0"/>
        <w:snapToGrid w:val="0"/>
        <w:spacing w:line="360" w:lineRule="auto"/>
        <w:ind w:firstLine="480" w:firstLineChars="200"/>
        <w:rPr>
          <w:rFonts w:hint="eastAsia" w:ascii="宋体" w:hAnsi="宋体" w:cs="宋体"/>
          <w:caps/>
          <w:color w:val="auto"/>
          <w:sz w:val="24"/>
          <w:szCs w:val="24"/>
          <w:highlight w:val="none"/>
        </w:rPr>
      </w:pPr>
      <w:r>
        <w:rPr>
          <w:rFonts w:hint="eastAsia" w:ascii="宋体" w:hAnsi="宋体" w:cs="宋体"/>
          <w:caps/>
          <w:color w:val="auto"/>
          <w:sz w:val="24"/>
          <w:szCs w:val="24"/>
          <w:highlight w:val="none"/>
          <w:u w:val="single"/>
          <w:lang w:eastAsia="zh-CN"/>
        </w:rPr>
        <w:t>甘肃税务2026年税收大数据应用平台运维服务项目</w:t>
      </w:r>
      <w:r>
        <w:rPr>
          <w:rFonts w:hint="eastAsia" w:ascii="宋体" w:hAnsi="宋体" w:cs="宋体"/>
          <w:caps/>
          <w:color w:val="auto"/>
          <w:sz w:val="24"/>
          <w:szCs w:val="24"/>
          <w:highlight w:val="none"/>
        </w:rPr>
        <w:t>，属于</w:t>
      </w:r>
      <w:r>
        <w:rPr>
          <w:rFonts w:hint="eastAsia" w:ascii="宋体" w:hAnsi="宋体" w:cs="宋体"/>
          <w:b/>
          <w:caps/>
          <w:color w:val="auto"/>
          <w:sz w:val="24"/>
          <w:szCs w:val="24"/>
          <w:highlight w:val="none"/>
          <w:u w:val="single"/>
        </w:rPr>
        <w:t xml:space="preserve">               （行业）</w:t>
      </w:r>
      <w:r>
        <w:rPr>
          <w:rFonts w:hint="eastAsia" w:ascii="宋体" w:hAnsi="宋体" w:cs="宋体"/>
          <w:caps/>
          <w:color w:val="auto"/>
          <w:sz w:val="24"/>
          <w:szCs w:val="24"/>
          <w:highlight w:val="none"/>
        </w:rPr>
        <w:t>；承接企业为__________（企业名称）__________，从业人员___人，营业收入为________万元，资产总额为____________万元，属于</w:t>
      </w:r>
      <w:r>
        <w:rPr>
          <w:rFonts w:hint="eastAsia" w:ascii="宋体" w:hAnsi="宋体" w:cs="宋体"/>
          <w:b/>
          <w:caps/>
          <w:color w:val="auto"/>
          <w:sz w:val="24"/>
          <w:szCs w:val="24"/>
          <w:highlight w:val="none"/>
        </w:rPr>
        <w:t>（中型企业、小型企业、微型企业）（按本企业类型填写，其余删除）</w:t>
      </w:r>
      <w:r>
        <w:rPr>
          <w:rFonts w:hint="eastAsia" w:ascii="宋体" w:hAnsi="宋体" w:cs="宋体"/>
          <w:caps/>
          <w:color w:val="auto"/>
          <w:sz w:val="24"/>
          <w:szCs w:val="24"/>
          <w:highlight w:val="none"/>
        </w:rPr>
        <w:t>；</w:t>
      </w:r>
    </w:p>
    <w:p w14:paraId="5DC75EF0">
      <w:pPr>
        <w:tabs>
          <w:tab w:val="left" w:pos="1705"/>
          <w:tab w:val="left" w:pos="4905"/>
          <w:tab w:val="left" w:pos="7113"/>
        </w:tabs>
        <w:adjustRightInd w:val="0"/>
        <w:snapToGrid w:val="0"/>
        <w:spacing w:line="360" w:lineRule="auto"/>
        <w:ind w:firstLine="480" w:firstLineChars="200"/>
        <w:rPr>
          <w:rFonts w:hint="eastAsia" w:ascii="宋体" w:hAnsi="宋体" w:cs="宋体"/>
          <w:caps/>
          <w:color w:val="auto"/>
          <w:sz w:val="24"/>
          <w:szCs w:val="24"/>
          <w:highlight w:val="none"/>
        </w:rPr>
      </w:pPr>
      <w:r>
        <w:rPr>
          <w:rFonts w:hint="eastAsia" w:ascii="宋体" w:hAnsi="宋体" w:cs="宋体"/>
          <w:caps/>
          <w:color w:val="auto"/>
          <w:sz w:val="24"/>
          <w:szCs w:val="24"/>
          <w:highlight w:val="none"/>
        </w:rPr>
        <w:t>以上企业，</w:t>
      </w:r>
      <w:r>
        <w:rPr>
          <w:rFonts w:hint="eastAsia" w:ascii="宋体" w:hAnsi="宋体" w:cs="宋体"/>
          <w:b/>
          <w:caps/>
          <w:color w:val="auto"/>
          <w:sz w:val="24"/>
          <w:szCs w:val="24"/>
          <w:highlight w:val="none"/>
        </w:rPr>
        <w:t>不属于大企业的分支机构</w:t>
      </w:r>
      <w:r>
        <w:rPr>
          <w:rFonts w:hint="eastAsia" w:ascii="宋体" w:hAnsi="宋体" w:cs="宋体"/>
          <w:caps/>
          <w:color w:val="auto"/>
          <w:sz w:val="24"/>
          <w:szCs w:val="24"/>
          <w:highlight w:val="none"/>
        </w:rPr>
        <w:t>，</w:t>
      </w:r>
      <w:r>
        <w:rPr>
          <w:rFonts w:hint="eastAsia" w:ascii="宋体" w:hAnsi="宋体" w:cs="宋体"/>
          <w:b/>
          <w:caps/>
          <w:color w:val="auto"/>
          <w:sz w:val="24"/>
          <w:szCs w:val="24"/>
          <w:highlight w:val="none"/>
        </w:rPr>
        <w:t>不存在控股股东为大企业</w:t>
      </w:r>
      <w:r>
        <w:rPr>
          <w:rFonts w:hint="eastAsia" w:ascii="宋体" w:hAnsi="宋体" w:cs="宋体"/>
          <w:caps/>
          <w:color w:val="auto"/>
          <w:sz w:val="24"/>
          <w:szCs w:val="24"/>
          <w:highlight w:val="none"/>
        </w:rPr>
        <w:t>的情形，</w:t>
      </w:r>
      <w:r>
        <w:rPr>
          <w:rFonts w:hint="eastAsia" w:ascii="宋体" w:hAnsi="宋体" w:cs="宋体"/>
          <w:b/>
          <w:caps/>
          <w:color w:val="auto"/>
          <w:sz w:val="24"/>
          <w:szCs w:val="24"/>
          <w:highlight w:val="none"/>
        </w:rPr>
        <w:t>也不存在与大企业的负责人为同一人</w:t>
      </w:r>
      <w:r>
        <w:rPr>
          <w:rFonts w:hint="eastAsia" w:ascii="宋体" w:hAnsi="宋体" w:cs="宋体"/>
          <w:caps/>
          <w:color w:val="auto"/>
          <w:sz w:val="24"/>
          <w:szCs w:val="24"/>
          <w:highlight w:val="none"/>
        </w:rPr>
        <w:t>的情形。</w:t>
      </w:r>
    </w:p>
    <w:p w14:paraId="3B0AFE22">
      <w:pPr>
        <w:tabs>
          <w:tab w:val="left" w:pos="1705"/>
          <w:tab w:val="left" w:pos="4905"/>
          <w:tab w:val="left" w:pos="7113"/>
        </w:tabs>
        <w:adjustRightInd w:val="0"/>
        <w:snapToGrid w:val="0"/>
        <w:spacing w:line="360" w:lineRule="auto"/>
        <w:ind w:firstLine="482" w:firstLineChars="200"/>
        <w:rPr>
          <w:rFonts w:hint="eastAsia" w:ascii="宋体" w:hAnsi="宋体" w:cs="宋体"/>
          <w:b/>
          <w:caps/>
          <w:color w:val="auto"/>
          <w:sz w:val="24"/>
          <w:szCs w:val="24"/>
          <w:highlight w:val="none"/>
        </w:rPr>
      </w:pPr>
      <w:r>
        <w:rPr>
          <w:rFonts w:hint="eastAsia" w:ascii="宋体" w:hAnsi="宋体" w:cs="宋体"/>
          <w:b/>
          <w:caps/>
          <w:color w:val="auto"/>
          <w:sz w:val="24"/>
          <w:szCs w:val="24"/>
          <w:highlight w:val="none"/>
        </w:rPr>
        <w:t>本企业对上述声明内容的真实性负责。如有虚假，将依法承担相应责任。</w:t>
      </w:r>
    </w:p>
    <w:p w14:paraId="52B9897C">
      <w:pPr>
        <w:adjustRightInd w:val="0"/>
        <w:snapToGrid w:val="0"/>
        <w:spacing w:line="360" w:lineRule="auto"/>
        <w:rPr>
          <w:rFonts w:hint="eastAsia" w:ascii="宋体" w:hAnsi="宋体" w:cs="宋体"/>
          <w:color w:val="auto"/>
          <w:sz w:val="24"/>
          <w:szCs w:val="21"/>
          <w:highlight w:val="none"/>
        </w:rPr>
      </w:pPr>
    </w:p>
    <w:p w14:paraId="6094EA4E">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607BC65F">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5BB467B7">
      <w:pPr>
        <w:tabs>
          <w:tab w:val="left" w:pos="1705"/>
          <w:tab w:val="left" w:pos="4905"/>
          <w:tab w:val="left" w:pos="7113"/>
        </w:tabs>
        <w:adjustRightInd w:val="0"/>
        <w:snapToGrid w:val="0"/>
        <w:rPr>
          <w:rFonts w:hint="eastAsia" w:ascii="宋体" w:hAnsi="宋体" w:cs="宋体"/>
          <w:caps/>
          <w:color w:val="auto"/>
          <w:szCs w:val="24"/>
          <w:highlight w:val="none"/>
        </w:rPr>
      </w:pPr>
      <w:r>
        <w:rPr>
          <w:rFonts w:hint="eastAsia" w:ascii="宋体" w:hAnsi="宋体" w:cs="宋体"/>
          <w:b/>
          <w:caps/>
          <w:color w:val="auto"/>
          <w:szCs w:val="24"/>
          <w:highlight w:val="none"/>
        </w:rPr>
        <w:t>注：</w:t>
      </w:r>
      <w:r>
        <w:rPr>
          <w:rFonts w:hint="eastAsia" w:ascii="宋体" w:hAnsi="宋体" w:cs="宋体"/>
          <w:caps/>
          <w:color w:val="auto"/>
          <w:szCs w:val="24"/>
          <w:highlight w:val="none"/>
        </w:rPr>
        <w:t>（1）应按《工业和信息化部、国家统计局、国家发展和改革委员会、财政部关于印发中小企业划型标准规定的通知》（工信部联企业2011〕300号）的规定填列，以企业上一年度未数据为准。</w:t>
      </w:r>
    </w:p>
    <w:p w14:paraId="7CDD8057">
      <w:pPr>
        <w:tabs>
          <w:tab w:val="left" w:pos="1705"/>
          <w:tab w:val="left" w:pos="4905"/>
          <w:tab w:val="left" w:pos="7113"/>
        </w:tabs>
        <w:adjustRightInd w:val="0"/>
        <w:snapToGrid w:val="0"/>
        <w:rPr>
          <w:rFonts w:hint="eastAsia" w:ascii="宋体" w:hAnsi="宋体" w:cs="宋体"/>
          <w:b/>
          <w:caps/>
          <w:color w:val="auto"/>
          <w:szCs w:val="24"/>
          <w:highlight w:val="none"/>
        </w:rPr>
      </w:pPr>
      <w:r>
        <w:rPr>
          <w:rFonts w:hint="eastAsia" w:ascii="宋体" w:hAnsi="宋体" w:cs="宋体"/>
          <w:caps/>
          <w:color w:val="auto"/>
          <w:szCs w:val="24"/>
          <w:highlight w:val="none"/>
        </w:rPr>
        <w:t>（2）在政府采购活动中，供应商提供的货物、工程或者服务符合下列情形的，享受中小企业扶持政策：</w:t>
      </w:r>
      <w:r>
        <w:rPr>
          <w:rFonts w:hint="eastAsia" w:ascii="宋体" w:hAnsi="宋体" w:cs="宋体"/>
          <w:b/>
          <w:caps/>
          <w:color w:val="auto"/>
          <w:szCs w:val="24"/>
          <w:highlight w:val="none"/>
        </w:rPr>
        <w:t>在服务采购项目中，服务由中小企业承接，即提供服务的人员为中小企业依照《中华人民共和国劳动合同法》订立劳动合同的从业人员。</w:t>
      </w:r>
    </w:p>
    <w:p w14:paraId="436F0887">
      <w:pPr>
        <w:tabs>
          <w:tab w:val="left" w:pos="1705"/>
          <w:tab w:val="left" w:pos="4905"/>
          <w:tab w:val="left" w:pos="7113"/>
        </w:tabs>
        <w:adjustRightInd w:val="0"/>
        <w:snapToGrid w:val="0"/>
        <w:rPr>
          <w:rFonts w:hint="eastAsia" w:ascii="宋体" w:hAnsi="宋体" w:cs="宋体"/>
          <w:caps/>
          <w:color w:val="auto"/>
          <w:szCs w:val="24"/>
          <w:highlight w:val="none"/>
        </w:rPr>
      </w:pPr>
      <w:r>
        <w:rPr>
          <w:rFonts w:hint="eastAsia" w:ascii="宋体" w:hAnsi="宋体" w:cs="宋体"/>
          <w:caps/>
          <w:color w:val="auto"/>
          <w:szCs w:val="24"/>
          <w:highlight w:val="none"/>
        </w:rPr>
        <w:t>以联合体形式参加政府采购活动，联合体各方均为中小企业的，联合体视同中小企业。其中，联合体各方均为小微企业的，联合体视同小微企业。</w:t>
      </w:r>
    </w:p>
    <w:p w14:paraId="5493BCB6">
      <w:pPr>
        <w:tabs>
          <w:tab w:val="left" w:pos="1705"/>
          <w:tab w:val="left" w:pos="4905"/>
          <w:tab w:val="left" w:pos="7113"/>
        </w:tabs>
        <w:adjustRightInd w:val="0"/>
        <w:snapToGrid w:val="0"/>
        <w:rPr>
          <w:rFonts w:hint="eastAsia" w:ascii="宋体" w:hAnsi="宋体" w:cs="宋体"/>
          <w:caps/>
          <w:color w:val="auto"/>
          <w:szCs w:val="24"/>
          <w:highlight w:val="none"/>
        </w:rPr>
      </w:pPr>
      <w:r>
        <w:rPr>
          <w:rFonts w:hint="eastAsia" w:ascii="宋体" w:hAnsi="宋体" w:cs="宋体"/>
          <w:caps/>
          <w:color w:val="auto"/>
          <w:szCs w:val="24"/>
          <w:highlight w:val="none"/>
        </w:rPr>
        <w:t>（3）从业人员、营业收入、资产总额填报上一年度数据，无上一年度数据的新成立企业可不填报。</w:t>
      </w:r>
    </w:p>
    <w:p w14:paraId="70DBE571">
      <w:pPr>
        <w:rPr>
          <w:rFonts w:hint="eastAsia" w:ascii="宋体" w:hAnsi="宋体" w:cs="宋体"/>
          <w:caps/>
          <w:color w:val="auto"/>
          <w:highlight w:val="none"/>
        </w:rPr>
      </w:pPr>
      <w:r>
        <w:rPr>
          <w:rFonts w:hint="eastAsia" w:ascii="宋体" w:hAnsi="宋体" w:cs="宋体"/>
          <w:caps/>
          <w:color w:val="auto"/>
          <w:highlight w:val="none"/>
        </w:rPr>
        <w:br w:type="page"/>
      </w:r>
    </w:p>
    <w:p w14:paraId="156E0355">
      <w:pPr>
        <w:pStyle w:val="5"/>
        <w:rPr>
          <w:rFonts w:hint="eastAsia" w:ascii="宋体" w:hAnsi="宋体" w:cs="宋体"/>
          <w:color w:val="auto"/>
          <w:highlight w:val="none"/>
        </w:rPr>
      </w:pPr>
      <w:bookmarkStart w:id="1494" w:name="_Toc138234809"/>
      <w:bookmarkStart w:id="1495" w:name="_Toc137660547"/>
      <w:bookmarkStart w:id="1496" w:name="_Toc164181781"/>
      <w:bookmarkStart w:id="1497" w:name="_Toc106203161"/>
      <w:bookmarkStart w:id="1498" w:name="_Toc164681327"/>
      <w:bookmarkStart w:id="1499" w:name="_Toc143701690"/>
      <w:bookmarkStart w:id="1500" w:name="_Toc9636"/>
      <w:bookmarkStart w:id="1501" w:name="_Toc164182807"/>
      <w:bookmarkStart w:id="1502" w:name="_Toc18995"/>
      <w:bookmarkStart w:id="1503" w:name="_Toc138234995"/>
      <w:bookmarkStart w:id="1504" w:name="_Toc4768"/>
      <w:bookmarkStart w:id="1505" w:name="_Toc418"/>
      <w:bookmarkStart w:id="1506" w:name="_Toc164182099"/>
      <w:bookmarkStart w:id="1507" w:name="_Toc107941512"/>
      <w:bookmarkStart w:id="1508" w:name="_Toc164680952"/>
      <w:bookmarkStart w:id="1509" w:name="_Toc164182309"/>
      <w:bookmarkStart w:id="1510" w:name="_Toc143701809"/>
      <w:r>
        <w:rPr>
          <w:rFonts w:hint="eastAsia" w:ascii="宋体" w:hAnsi="宋体" w:cs="宋体"/>
          <w:color w:val="auto"/>
          <w:highlight w:val="none"/>
        </w:rPr>
        <w:t>2．残疾人福利性单位声明函</w:t>
      </w:r>
      <w:bookmarkEnd w:id="1467"/>
      <w:bookmarkEnd w:id="1468"/>
      <w:bookmarkEnd w:id="1469"/>
      <w:bookmarkEnd w:id="1470"/>
      <w:bookmarkEnd w:id="1471"/>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p>
    <w:p w14:paraId="6EE96C77">
      <w:pPr>
        <w:adjustRightInd w:val="0"/>
        <w:snapToGrid w:val="0"/>
        <w:spacing w:line="360" w:lineRule="auto"/>
        <w:jc w:val="center"/>
        <w:rPr>
          <w:rFonts w:hint="eastAsia" w:ascii="宋体" w:hAnsi="宋体" w:cs="宋体"/>
          <w:b/>
          <w:caps/>
          <w:color w:val="auto"/>
          <w:sz w:val="28"/>
          <w:highlight w:val="none"/>
        </w:rPr>
      </w:pPr>
    </w:p>
    <w:p w14:paraId="6BADFB1B">
      <w:pPr>
        <w:bidi w:val="0"/>
        <w:jc w:val="center"/>
        <w:rPr>
          <w:rFonts w:hint="eastAsia" w:ascii="Times New Roman" w:hAnsi="Times New Roman" w:eastAsia="宋体" w:cs="Times New Roman"/>
          <w:b/>
          <w:bCs/>
          <w:sz w:val="28"/>
          <w:szCs w:val="28"/>
        </w:rPr>
      </w:pPr>
      <w:bookmarkStart w:id="1511" w:name="_Toc31397"/>
      <w:bookmarkStart w:id="1512" w:name="_Toc25281"/>
      <w:bookmarkStart w:id="1513" w:name="_Toc14717"/>
      <w:bookmarkStart w:id="1514" w:name="_Toc16806"/>
      <w:r>
        <w:rPr>
          <w:rFonts w:hint="eastAsia" w:ascii="Times New Roman" w:hAnsi="Times New Roman" w:eastAsia="宋体" w:cs="Times New Roman"/>
          <w:b/>
          <w:bCs/>
          <w:sz w:val="28"/>
          <w:szCs w:val="28"/>
        </w:rPr>
        <w:t>残疾人福利性单位声明函</w:t>
      </w:r>
      <w:bookmarkEnd w:id="1511"/>
      <w:bookmarkEnd w:id="1512"/>
      <w:bookmarkEnd w:id="1513"/>
      <w:bookmarkEnd w:id="1514"/>
    </w:p>
    <w:p w14:paraId="696DA49B">
      <w:pPr>
        <w:adjustRightInd w:val="0"/>
        <w:snapToGrid w:val="0"/>
        <w:spacing w:line="360" w:lineRule="auto"/>
        <w:ind w:firstLine="480" w:firstLineChars="200"/>
        <w:rPr>
          <w:rFonts w:hint="eastAsia" w:ascii="宋体" w:hAnsi="宋体" w:cs="宋体"/>
          <w:caps/>
          <w:color w:val="auto"/>
          <w:sz w:val="24"/>
          <w:szCs w:val="20"/>
          <w:highlight w:val="none"/>
        </w:rPr>
      </w:pPr>
      <w:r>
        <w:rPr>
          <w:rFonts w:hint="eastAsia" w:ascii="宋体" w:hAnsi="宋体" w:cs="宋体"/>
          <w:caps/>
          <w:color w:val="auto"/>
          <w:sz w:val="24"/>
          <w:szCs w:val="20"/>
          <w:highlight w:val="none"/>
        </w:rPr>
        <w:t>本单位郑重声明，根据《财政部 民政部 中国残疾人联合会关于促进残疾人就业政府采购政策的通知》（财库〔2017〕141号）的规定，本单位为符合条件的残疾人福利性单位，且本单位参加______</w:t>
      </w:r>
      <w:r>
        <w:rPr>
          <w:rFonts w:hint="eastAsia" w:ascii="宋体" w:hAnsi="宋体" w:cs="宋体"/>
          <w:caps/>
          <w:color w:val="auto"/>
          <w:sz w:val="24"/>
          <w:szCs w:val="24"/>
          <w:highlight w:val="none"/>
        </w:rPr>
        <w:t>__</w:t>
      </w:r>
      <w:r>
        <w:rPr>
          <w:rFonts w:hint="eastAsia" w:ascii="宋体" w:hAnsi="宋体" w:cs="宋体"/>
          <w:caps/>
          <w:color w:val="auto"/>
          <w:sz w:val="24"/>
          <w:szCs w:val="20"/>
          <w:highlight w:val="none"/>
        </w:rPr>
        <w:t>单位的______</w:t>
      </w:r>
      <w:r>
        <w:rPr>
          <w:rFonts w:hint="eastAsia" w:ascii="宋体" w:hAnsi="宋体" w:cs="宋体"/>
          <w:caps/>
          <w:color w:val="auto"/>
          <w:sz w:val="24"/>
          <w:szCs w:val="24"/>
          <w:highlight w:val="none"/>
        </w:rPr>
        <w:t>_______________</w:t>
      </w:r>
      <w:r>
        <w:rPr>
          <w:rFonts w:hint="eastAsia" w:ascii="宋体" w:hAnsi="宋体" w:cs="宋体"/>
          <w:caps/>
          <w:color w:val="auto"/>
          <w:sz w:val="24"/>
          <w:szCs w:val="20"/>
          <w:highlight w:val="none"/>
        </w:rPr>
        <w:t>项目采购活动提供本单位制造的货物（由本单位承担工程/提供服务），或者提供其他残疾人福利性单位制造的货物（不包括使用非残疾人福利性单位注册商标的货物）。</w:t>
      </w:r>
    </w:p>
    <w:p w14:paraId="37CE3594">
      <w:pPr>
        <w:adjustRightInd w:val="0"/>
        <w:snapToGrid w:val="0"/>
        <w:spacing w:line="360" w:lineRule="auto"/>
        <w:ind w:firstLine="480" w:firstLineChars="200"/>
        <w:rPr>
          <w:rFonts w:hint="eastAsia" w:ascii="宋体" w:hAnsi="宋体" w:cs="宋体"/>
          <w:caps/>
          <w:color w:val="auto"/>
          <w:sz w:val="24"/>
          <w:szCs w:val="20"/>
          <w:highlight w:val="none"/>
        </w:rPr>
      </w:pPr>
      <w:r>
        <w:rPr>
          <w:rFonts w:hint="eastAsia" w:ascii="宋体" w:hAnsi="宋体" w:cs="宋体"/>
          <w:caps/>
          <w:color w:val="auto"/>
          <w:sz w:val="24"/>
          <w:szCs w:val="20"/>
          <w:highlight w:val="none"/>
        </w:rPr>
        <w:t>本单位对上述声明的真实性负责。如有虚假，将依法承担相应责任。</w:t>
      </w:r>
    </w:p>
    <w:p w14:paraId="6775686C">
      <w:pPr>
        <w:adjustRightInd w:val="0"/>
        <w:snapToGrid w:val="0"/>
        <w:spacing w:line="360" w:lineRule="auto"/>
        <w:rPr>
          <w:rFonts w:hint="eastAsia" w:ascii="宋体" w:hAnsi="宋体" w:cs="宋体"/>
          <w:color w:val="auto"/>
          <w:sz w:val="24"/>
          <w:szCs w:val="21"/>
          <w:highlight w:val="none"/>
        </w:rPr>
      </w:pPr>
    </w:p>
    <w:p w14:paraId="0636D502">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47241717">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4C77C51D">
      <w:pPr>
        <w:adjustRightInd w:val="0"/>
        <w:snapToGrid w:val="0"/>
        <w:spacing w:line="360" w:lineRule="auto"/>
        <w:rPr>
          <w:rFonts w:hint="eastAsia" w:ascii="宋体" w:hAnsi="宋体" w:cs="宋体"/>
          <w:b/>
          <w:caps/>
          <w:color w:val="auto"/>
          <w:szCs w:val="20"/>
          <w:highlight w:val="none"/>
        </w:rPr>
      </w:pPr>
      <w:r>
        <w:rPr>
          <w:rFonts w:hint="eastAsia" w:ascii="宋体" w:hAnsi="宋体" w:cs="宋体"/>
          <w:b/>
          <w:caps/>
          <w:color w:val="auto"/>
          <w:szCs w:val="20"/>
          <w:highlight w:val="none"/>
        </w:rPr>
        <w:t>注：享受政府采购支持政策的残疾人福利性单位应当同时满足以下条件：</w:t>
      </w:r>
    </w:p>
    <w:p w14:paraId="5AF28FE9">
      <w:pPr>
        <w:adjustRightInd w:val="0"/>
        <w:snapToGrid w:val="0"/>
        <w:spacing w:line="360" w:lineRule="auto"/>
        <w:rPr>
          <w:rFonts w:hint="eastAsia" w:ascii="宋体" w:hAnsi="宋体" w:cs="宋体"/>
          <w:caps/>
          <w:color w:val="auto"/>
          <w:szCs w:val="20"/>
          <w:highlight w:val="none"/>
        </w:rPr>
      </w:pPr>
      <w:r>
        <w:rPr>
          <w:rFonts w:hint="eastAsia" w:ascii="宋体" w:hAnsi="宋体" w:cs="宋体"/>
          <w:caps/>
          <w:color w:val="auto"/>
          <w:szCs w:val="20"/>
          <w:highlight w:val="none"/>
        </w:rPr>
        <w:t>（1）安置的残疾人占本单位在职职工人数的比例不低于25%（含25%），并且安置的残疾人人数不少于10人（含10人）；</w:t>
      </w:r>
    </w:p>
    <w:p w14:paraId="3C1C2AE9">
      <w:pPr>
        <w:adjustRightInd w:val="0"/>
        <w:snapToGrid w:val="0"/>
        <w:spacing w:line="360" w:lineRule="auto"/>
        <w:rPr>
          <w:rFonts w:hint="eastAsia" w:ascii="宋体" w:hAnsi="宋体" w:cs="宋体"/>
          <w:caps/>
          <w:color w:val="auto"/>
          <w:szCs w:val="20"/>
          <w:highlight w:val="none"/>
        </w:rPr>
      </w:pPr>
      <w:r>
        <w:rPr>
          <w:rFonts w:hint="eastAsia" w:ascii="宋体" w:hAnsi="宋体" w:cs="宋体"/>
          <w:caps/>
          <w:color w:val="auto"/>
          <w:szCs w:val="20"/>
          <w:highlight w:val="none"/>
        </w:rPr>
        <w:t>（2）依法与安置的每位残疾人签订了一年以上（含一年）的劳动合同或服务协议；</w:t>
      </w:r>
    </w:p>
    <w:p w14:paraId="65F1C016">
      <w:pPr>
        <w:adjustRightInd w:val="0"/>
        <w:snapToGrid w:val="0"/>
        <w:spacing w:line="360" w:lineRule="auto"/>
        <w:rPr>
          <w:rFonts w:hint="eastAsia" w:ascii="宋体" w:hAnsi="宋体" w:cs="宋体"/>
          <w:caps/>
          <w:color w:val="auto"/>
          <w:szCs w:val="20"/>
          <w:highlight w:val="none"/>
        </w:rPr>
      </w:pPr>
      <w:r>
        <w:rPr>
          <w:rFonts w:hint="eastAsia" w:ascii="宋体" w:hAnsi="宋体" w:cs="宋体"/>
          <w:caps/>
          <w:color w:val="auto"/>
          <w:szCs w:val="20"/>
          <w:highlight w:val="none"/>
        </w:rPr>
        <w:t>（3）为安置的每位残疾人按月足额缴纳了基本养老保险、基本医疗保险、失业保险、工伤保险和生育保险等社会保险费；</w:t>
      </w:r>
    </w:p>
    <w:p w14:paraId="44F08F1A">
      <w:pPr>
        <w:adjustRightInd w:val="0"/>
        <w:snapToGrid w:val="0"/>
        <w:spacing w:line="360" w:lineRule="auto"/>
        <w:rPr>
          <w:rFonts w:hint="eastAsia" w:ascii="宋体" w:hAnsi="宋体" w:cs="宋体"/>
          <w:caps/>
          <w:color w:val="auto"/>
          <w:szCs w:val="20"/>
          <w:highlight w:val="none"/>
        </w:rPr>
      </w:pPr>
      <w:r>
        <w:rPr>
          <w:rFonts w:hint="eastAsia" w:ascii="宋体" w:hAnsi="宋体" w:cs="宋体"/>
          <w:caps/>
          <w:color w:val="auto"/>
          <w:szCs w:val="20"/>
          <w:highlight w:val="none"/>
        </w:rPr>
        <w:t>（4）通过银行等金融机构向安置的每位残疾人，按月支付了不低于单位所在区县适用的经省级人民政府批准的月最低工资标准的工资；</w:t>
      </w:r>
    </w:p>
    <w:p w14:paraId="4B3B6E24">
      <w:pPr>
        <w:adjustRightInd w:val="0"/>
        <w:snapToGrid w:val="0"/>
        <w:spacing w:line="360" w:lineRule="auto"/>
        <w:rPr>
          <w:rFonts w:hint="eastAsia" w:ascii="宋体" w:hAnsi="宋体" w:cs="宋体"/>
          <w:caps/>
          <w:color w:val="auto"/>
          <w:szCs w:val="20"/>
          <w:highlight w:val="none"/>
        </w:rPr>
      </w:pPr>
      <w:r>
        <w:rPr>
          <w:rFonts w:hint="eastAsia" w:ascii="宋体" w:hAnsi="宋体" w:cs="宋体"/>
          <w:caps/>
          <w:color w:val="auto"/>
          <w:szCs w:val="20"/>
          <w:highlight w:val="none"/>
        </w:rPr>
        <w:t>（5）提供本单位制造的货物、承担的工程或者服务（以下简称产品），或者提供其他残疾人福利性单位制造的货物（不包括使用非残疾人福利性单位注册商标的货物）。</w:t>
      </w:r>
    </w:p>
    <w:p w14:paraId="5284C851">
      <w:pPr>
        <w:adjustRightInd w:val="0"/>
        <w:snapToGrid w:val="0"/>
        <w:spacing w:line="360" w:lineRule="auto"/>
        <w:rPr>
          <w:rFonts w:hint="eastAsia" w:ascii="宋体" w:hAnsi="宋体" w:cs="宋体"/>
          <w:caps/>
          <w:color w:val="auto"/>
          <w:szCs w:val="20"/>
          <w:highlight w:val="none"/>
        </w:rPr>
      </w:pPr>
      <w:r>
        <w:rPr>
          <w:rFonts w:hint="eastAsia" w:ascii="宋体" w:hAnsi="宋体" w:cs="宋体"/>
          <w:caps/>
          <w:color w:val="auto"/>
          <w:szCs w:val="20"/>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A219F0D">
      <w:pPr>
        <w:adjustRightInd w:val="0"/>
        <w:snapToGrid w:val="0"/>
        <w:spacing w:line="360" w:lineRule="auto"/>
        <w:ind w:firstLine="422" w:firstLineChars="200"/>
        <w:rPr>
          <w:rFonts w:hint="eastAsia" w:ascii="宋体" w:hAnsi="宋体" w:cs="宋体"/>
          <w:b/>
          <w:caps/>
          <w:color w:val="auto"/>
          <w:szCs w:val="20"/>
          <w:highlight w:val="none"/>
        </w:rPr>
      </w:pPr>
      <w:r>
        <w:rPr>
          <w:rFonts w:hint="eastAsia" w:ascii="宋体" w:hAnsi="宋体" w:cs="宋体"/>
          <w:b/>
          <w:caps/>
          <w:color w:val="auto"/>
          <w:szCs w:val="20"/>
          <w:highlight w:val="none"/>
        </w:rPr>
        <w:t>中标人为残疾人福利性单位的，将随中标结果同时公告其《残疾人福利性单位声明函》，接受社会监督。</w:t>
      </w:r>
    </w:p>
    <w:p w14:paraId="0440AD39">
      <w:pPr>
        <w:rPr>
          <w:rFonts w:hint="eastAsia" w:ascii="宋体" w:hAnsi="宋体" w:cs="宋体"/>
          <w:caps/>
          <w:color w:val="auto"/>
          <w:highlight w:val="none"/>
        </w:rPr>
      </w:pPr>
      <w:r>
        <w:rPr>
          <w:rFonts w:hint="eastAsia" w:ascii="宋体" w:hAnsi="宋体" w:cs="宋体"/>
          <w:caps/>
          <w:color w:val="auto"/>
          <w:highlight w:val="none"/>
        </w:rPr>
        <w:br w:type="page"/>
      </w:r>
      <w:bookmarkStart w:id="1515" w:name="_Toc100768075"/>
      <w:bookmarkStart w:id="1516" w:name="_Toc99526813"/>
      <w:bookmarkStart w:id="1517" w:name="_Toc99525776"/>
      <w:bookmarkStart w:id="1518" w:name="_Toc99721220"/>
      <w:bookmarkStart w:id="1519" w:name="_Toc99721583"/>
    </w:p>
    <w:p w14:paraId="22C5696E">
      <w:pPr>
        <w:pStyle w:val="5"/>
        <w:rPr>
          <w:rFonts w:hint="eastAsia" w:ascii="宋体" w:hAnsi="宋体" w:cs="宋体"/>
          <w:color w:val="auto"/>
          <w:highlight w:val="none"/>
        </w:rPr>
      </w:pPr>
      <w:bookmarkStart w:id="1520" w:name="_Toc164680953"/>
      <w:bookmarkStart w:id="1521" w:name="_Toc164681328"/>
      <w:bookmarkStart w:id="1522" w:name="_Toc143701691"/>
      <w:bookmarkStart w:id="1523" w:name="_Toc164182100"/>
      <w:bookmarkStart w:id="1524" w:name="_Toc138234996"/>
      <w:bookmarkStart w:id="1525" w:name="_Toc7156"/>
      <w:bookmarkStart w:id="1526" w:name="_Toc164182808"/>
      <w:bookmarkStart w:id="1527" w:name="_Toc138234810"/>
      <w:bookmarkStart w:id="1528" w:name="_Toc164181782"/>
      <w:bookmarkStart w:id="1529" w:name="_Toc107941513"/>
      <w:bookmarkStart w:id="1530" w:name="_Toc27937"/>
      <w:bookmarkStart w:id="1531" w:name="_Toc10613"/>
      <w:bookmarkStart w:id="1532" w:name="_Toc24592"/>
      <w:bookmarkStart w:id="1533" w:name="_Toc164182310"/>
      <w:bookmarkStart w:id="1534" w:name="_Toc143701810"/>
      <w:bookmarkStart w:id="1535" w:name="_Toc106203162"/>
      <w:bookmarkStart w:id="1536" w:name="_Toc137660548"/>
      <w:r>
        <w:rPr>
          <w:rFonts w:hint="eastAsia" w:ascii="宋体" w:hAnsi="宋体" w:cs="宋体"/>
          <w:color w:val="auto"/>
          <w:highlight w:val="none"/>
        </w:rPr>
        <w:t>3．监狱企业的证明文件</w:t>
      </w:r>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14:paraId="7FBFBE92">
      <w:pPr>
        <w:widowControl/>
        <w:adjustRightInd w:val="0"/>
        <w:snapToGrid w:val="0"/>
        <w:spacing w:line="360" w:lineRule="auto"/>
        <w:ind w:firstLine="480" w:firstLineChars="200"/>
        <w:rPr>
          <w:rFonts w:hint="eastAsia" w:ascii="宋体" w:hAnsi="宋体" w:cs="宋体"/>
          <w:caps/>
          <w:color w:val="auto"/>
          <w:sz w:val="24"/>
          <w:highlight w:val="none"/>
        </w:rPr>
      </w:pPr>
      <w:r>
        <w:rPr>
          <w:rFonts w:hint="eastAsia" w:ascii="宋体" w:hAnsi="宋体" w:cs="宋体"/>
          <w:caps/>
          <w:color w:val="auto"/>
          <w:sz w:val="24"/>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319592">
      <w:pPr>
        <w:widowControl/>
        <w:adjustRightInd w:val="0"/>
        <w:snapToGrid w:val="0"/>
        <w:spacing w:line="360" w:lineRule="auto"/>
        <w:ind w:firstLine="480" w:firstLineChars="200"/>
        <w:rPr>
          <w:rFonts w:hint="eastAsia" w:ascii="宋体" w:hAnsi="宋体" w:cs="宋体"/>
          <w:caps/>
          <w:color w:val="auto"/>
          <w:sz w:val="24"/>
          <w:highlight w:val="none"/>
        </w:rPr>
      </w:pPr>
      <w:r>
        <w:rPr>
          <w:rFonts w:hint="eastAsia" w:ascii="宋体" w:hAnsi="宋体" w:cs="宋体"/>
          <w:caps/>
          <w:color w:val="auto"/>
          <w:sz w:val="24"/>
          <w:highlight w:val="none"/>
        </w:rPr>
        <w:t>监狱企业参加政府采购活动时，应当</w:t>
      </w:r>
      <w:r>
        <w:rPr>
          <w:rFonts w:hint="eastAsia" w:ascii="宋体" w:hAnsi="宋体" w:cs="宋体"/>
          <w:b/>
          <w:caps/>
          <w:color w:val="auto"/>
          <w:sz w:val="24"/>
          <w:highlight w:val="none"/>
        </w:rPr>
        <w:t>提供由省级以上监狱管理局、戒毒管理局（含新疆生产建设兵团）出具的属于监狱企业的证明文件</w:t>
      </w:r>
      <w:r>
        <w:rPr>
          <w:rFonts w:hint="eastAsia" w:ascii="宋体" w:hAnsi="宋体" w:cs="宋体"/>
          <w:caps/>
          <w:color w:val="auto"/>
          <w:sz w:val="24"/>
          <w:highlight w:val="none"/>
        </w:rPr>
        <w:t>。</w:t>
      </w:r>
    </w:p>
    <w:p w14:paraId="5DD7A253">
      <w:pPr>
        <w:widowControl/>
        <w:adjustRightInd w:val="0"/>
        <w:snapToGrid w:val="0"/>
        <w:spacing w:line="360" w:lineRule="auto"/>
        <w:ind w:firstLine="480" w:firstLineChars="200"/>
        <w:rPr>
          <w:rFonts w:hint="eastAsia" w:ascii="宋体" w:hAnsi="宋体" w:cs="宋体"/>
          <w:caps/>
          <w:color w:val="auto"/>
          <w:sz w:val="24"/>
          <w:highlight w:val="none"/>
        </w:rPr>
      </w:pPr>
      <w:r>
        <w:rPr>
          <w:rFonts w:hint="eastAsia" w:ascii="宋体" w:hAnsi="宋体" w:cs="宋体"/>
          <w:caps/>
          <w:color w:val="auto"/>
          <w:sz w:val="24"/>
          <w:highlight w:val="none"/>
        </w:rPr>
        <w:t>在政府采购活动中，监狱企业视同小型、微型企业，享受预留份额、评审中价格扣除等政府采购促进中小企业发展的政府采购政策。向监狱企业采购的金额，计入面向中小企业采购的统计数据。</w:t>
      </w:r>
    </w:p>
    <w:p w14:paraId="2F620BF1">
      <w:pPr>
        <w:widowControl/>
        <w:adjustRightInd w:val="0"/>
        <w:snapToGrid w:val="0"/>
        <w:spacing w:line="360" w:lineRule="auto"/>
        <w:ind w:firstLine="480" w:firstLineChars="200"/>
        <w:rPr>
          <w:rFonts w:hint="eastAsia" w:ascii="宋体" w:hAnsi="宋体" w:cs="宋体"/>
          <w:caps/>
          <w:color w:val="auto"/>
          <w:sz w:val="24"/>
          <w:highlight w:val="none"/>
        </w:rPr>
      </w:pPr>
    </w:p>
    <w:p w14:paraId="3E510EEB">
      <w:pPr>
        <w:pStyle w:val="5"/>
        <w:rPr>
          <w:rFonts w:hint="eastAsia" w:ascii="宋体" w:hAnsi="宋体" w:cs="宋体"/>
          <w:color w:val="auto"/>
          <w:highlight w:val="none"/>
        </w:rPr>
      </w:pPr>
      <w:bookmarkStart w:id="1537" w:name="_Toc143701692"/>
      <w:bookmarkStart w:id="1538" w:name="_Toc164680954"/>
      <w:bookmarkStart w:id="1539" w:name="_Toc25723"/>
      <w:bookmarkStart w:id="1540" w:name="_Toc164182101"/>
      <w:bookmarkStart w:id="1541" w:name="_Toc107941514"/>
      <w:bookmarkStart w:id="1542" w:name="_Toc99721221"/>
      <w:bookmarkStart w:id="1543" w:name="_Toc138234811"/>
      <w:bookmarkStart w:id="1544" w:name="_Toc164181783"/>
      <w:bookmarkStart w:id="1545" w:name="_Toc137660549"/>
      <w:bookmarkStart w:id="1546" w:name="_Toc143701811"/>
      <w:bookmarkStart w:id="1547" w:name="_Toc99525777"/>
      <w:bookmarkStart w:id="1548" w:name="_Toc100768076"/>
      <w:bookmarkStart w:id="1549" w:name="_Toc164182311"/>
      <w:bookmarkStart w:id="1550" w:name="_Toc99721584"/>
      <w:bookmarkStart w:id="1551" w:name="_Toc138234997"/>
      <w:bookmarkStart w:id="1552" w:name="_Toc106203163"/>
      <w:bookmarkStart w:id="1553" w:name="_Toc164182809"/>
      <w:bookmarkStart w:id="1554" w:name="_Toc22539"/>
      <w:bookmarkStart w:id="1555" w:name="_Toc164681329"/>
      <w:bookmarkStart w:id="1556" w:name="_Toc99526814"/>
      <w:bookmarkStart w:id="1557" w:name="_Toc18807"/>
      <w:bookmarkStart w:id="1558" w:name="_Toc1854"/>
      <w:r>
        <w:rPr>
          <w:rFonts w:hint="eastAsia" w:ascii="宋体" w:hAnsi="宋体" w:cs="宋体"/>
          <w:color w:val="auto"/>
          <w:highlight w:val="none"/>
        </w:rPr>
        <w:t>4．“节能产品”“环境标志产品”、信息安全认证产品等</w:t>
      </w:r>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p>
    <w:p w14:paraId="43926FCB">
      <w:pPr>
        <w:widowControl/>
        <w:adjustRightInd w:val="0"/>
        <w:snapToGrid w:val="0"/>
        <w:spacing w:line="360" w:lineRule="auto"/>
        <w:ind w:firstLine="480" w:firstLineChars="200"/>
        <w:rPr>
          <w:rFonts w:hint="eastAsia" w:ascii="宋体" w:hAnsi="宋体" w:eastAsia="宋体" w:cs="宋体"/>
          <w:caps/>
          <w:color w:val="auto"/>
          <w:sz w:val="24"/>
          <w:highlight w:val="none"/>
        </w:rPr>
      </w:pPr>
      <w:bookmarkStart w:id="1559" w:name="_Toc31606"/>
      <w:bookmarkStart w:id="1560" w:name="_Toc25151"/>
      <w:bookmarkStart w:id="1561" w:name="_Toc588"/>
      <w:bookmarkStart w:id="1562" w:name="_Toc20961"/>
      <w:r>
        <w:rPr>
          <w:rFonts w:hint="eastAsia" w:ascii="宋体" w:hAnsi="宋体" w:eastAsia="宋体" w:cs="宋体"/>
          <w:caps/>
          <w:color w:val="auto"/>
          <w:sz w:val="24"/>
          <w:highlight w:val="none"/>
        </w:rPr>
        <w:t>本项目不适用</w:t>
      </w:r>
      <w:bookmarkEnd w:id="1559"/>
      <w:bookmarkEnd w:id="1560"/>
      <w:bookmarkEnd w:id="1561"/>
      <w:bookmarkEnd w:id="1562"/>
    </w:p>
    <w:p w14:paraId="794C3150">
      <w:pPr>
        <w:pStyle w:val="4"/>
        <w:rPr>
          <w:rFonts w:hint="eastAsia" w:ascii="宋体" w:hAnsi="宋体" w:eastAsia="宋体" w:cs="宋体"/>
          <w:b/>
          <w:bCs/>
          <w:color w:val="auto"/>
          <w:sz w:val="28"/>
          <w:szCs w:val="28"/>
          <w:highlight w:val="none"/>
          <w:lang w:val="en-US" w:eastAsia="zh-CN"/>
        </w:rPr>
      </w:pPr>
      <w:r>
        <w:rPr>
          <w:rFonts w:hint="eastAsia" w:ascii="宋体" w:hAnsi="宋体" w:cs="宋体"/>
          <w:caps/>
          <w:snapToGrid w:val="0"/>
          <w:color w:val="auto"/>
          <w:sz w:val="24"/>
          <w:szCs w:val="23"/>
          <w:highlight w:val="none"/>
        </w:rPr>
        <w:br w:type="page"/>
      </w:r>
      <w:bookmarkStart w:id="1563" w:name="_Toc138235000"/>
      <w:bookmarkStart w:id="1564" w:name="_Toc164181784"/>
      <w:bookmarkStart w:id="1565" w:name="_Toc164680955"/>
      <w:bookmarkStart w:id="1566" w:name="_Toc29357"/>
      <w:bookmarkStart w:id="1567" w:name="_Toc8010"/>
      <w:bookmarkStart w:id="1568" w:name="_Toc164681330"/>
      <w:bookmarkStart w:id="1569" w:name="_Toc164182102"/>
      <w:bookmarkStart w:id="1570" w:name="_Toc107941517"/>
      <w:bookmarkStart w:id="1571" w:name="_Toc143701695"/>
      <w:bookmarkStart w:id="1572" w:name="_Toc137660552"/>
      <w:bookmarkStart w:id="1573" w:name="_Toc15311"/>
      <w:bookmarkStart w:id="1574" w:name="_Toc14219"/>
      <w:bookmarkStart w:id="1575" w:name="_Toc106203166"/>
      <w:bookmarkStart w:id="1576" w:name="_Toc164182312"/>
      <w:bookmarkStart w:id="1577" w:name="_Toc164182810"/>
      <w:bookmarkStart w:id="1578" w:name="_Toc138234814"/>
      <w:bookmarkStart w:id="1579" w:name="_Toc143701814"/>
      <w:bookmarkStart w:id="1580" w:name="_Toc2729"/>
      <w:r>
        <w:rPr>
          <w:rFonts w:hint="eastAsia" w:ascii="宋体" w:hAnsi="宋体" w:eastAsia="宋体" w:cs="宋体"/>
          <w:b/>
          <w:bCs/>
          <w:color w:val="auto"/>
          <w:sz w:val="28"/>
          <w:szCs w:val="28"/>
          <w:highlight w:val="none"/>
        </w:rPr>
        <w:t>七、</w:t>
      </w:r>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r>
        <w:rPr>
          <w:rFonts w:hint="eastAsia" w:ascii="宋体" w:hAnsi="宋体" w:cs="宋体"/>
          <w:b/>
          <w:bCs/>
          <w:color w:val="auto"/>
          <w:sz w:val="28"/>
          <w:szCs w:val="28"/>
          <w:highlight w:val="none"/>
          <w:lang w:val="en-US" w:eastAsia="zh-CN"/>
        </w:rPr>
        <w:t>相关证书</w:t>
      </w:r>
    </w:p>
    <w:p w14:paraId="44861573">
      <w:pPr>
        <w:tabs>
          <w:tab w:val="left" w:pos="3165"/>
          <w:tab w:val="left" w:pos="7854"/>
        </w:tabs>
        <w:adjustRightInd w:val="0"/>
        <w:snapToGrid w:val="0"/>
        <w:spacing w:line="360" w:lineRule="auto"/>
        <w:ind w:firstLine="480" w:firstLineChars="200"/>
        <w:rPr>
          <w:rFonts w:hint="eastAsia" w:ascii="宋体" w:hAnsi="宋体" w:cs="宋体"/>
          <w:caps/>
          <w:snapToGrid w:val="0"/>
          <w:color w:val="auto"/>
          <w:sz w:val="24"/>
          <w:szCs w:val="23"/>
          <w:highlight w:val="none"/>
        </w:rPr>
      </w:pPr>
      <w:r>
        <w:rPr>
          <w:rFonts w:hint="eastAsia" w:ascii="宋体" w:hAnsi="宋体" w:cs="宋体"/>
          <w:caps/>
          <w:snapToGrid w:val="0"/>
          <w:color w:val="auto"/>
          <w:sz w:val="24"/>
          <w:szCs w:val="23"/>
          <w:highlight w:val="none"/>
        </w:rPr>
        <w:t>提供有效的认证证书复印件加盖公章。</w:t>
      </w:r>
    </w:p>
    <w:p w14:paraId="7255063F">
      <w:pPr>
        <w:tabs>
          <w:tab w:val="left" w:pos="3165"/>
          <w:tab w:val="left" w:pos="7854"/>
        </w:tabs>
        <w:adjustRightInd w:val="0"/>
        <w:snapToGrid w:val="0"/>
        <w:spacing w:line="360" w:lineRule="auto"/>
        <w:rPr>
          <w:rFonts w:hint="eastAsia" w:ascii="宋体" w:hAnsi="宋体" w:cs="宋体"/>
          <w:caps/>
          <w:snapToGrid w:val="0"/>
          <w:color w:val="auto"/>
          <w:sz w:val="24"/>
          <w:szCs w:val="23"/>
          <w:highlight w:val="none"/>
        </w:rPr>
      </w:pPr>
    </w:p>
    <w:p w14:paraId="5012C0C1">
      <w:pPr>
        <w:pStyle w:val="4"/>
        <w:rPr>
          <w:rFonts w:hint="eastAsia" w:ascii="宋体" w:hAnsi="宋体" w:eastAsia="宋体" w:cs="宋体"/>
          <w:b/>
          <w:bCs/>
          <w:color w:val="auto"/>
          <w:sz w:val="28"/>
          <w:szCs w:val="28"/>
          <w:highlight w:val="none"/>
        </w:rPr>
      </w:pPr>
      <w:bookmarkStart w:id="1581" w:name="_Toc1251"/>
      <w:bookmarkStart w:id="1582" w:name="_Toc164680959"/>
      <w:bookmarkStart w:id="1583" w:name="_Toc15884"/>
      <w:bookmarkStart w:id="1584" w:name="_Toc24202"/>
      <w:bookmarkStart w:id="1585" w:name="_Toc598152851"/>
      <w:bookmarkStart w:id="1586" w:name="_Toc78504842"/>
      <w:bookmarkStart w:id="1587" w:name="_Toc1381122819"/>
      <w:bookmarkStart w:id="1588" w:name="_Toc164681334"/>
      <w:bookmarkStart w:id="1589" w:name="_Toc164182814"/>
      <w:bookmarkStart w:id="1590" w:name="_Toc681730266"/>
      <w:bookmarkStart w:id="1591" w:name="_Toc220361175"/>
      <w:bookmarkStart w:id="1592" w:name="_Toc147"/>
      <w:bookmarkStart w:id="1593" w:name="_Toc1097421187"/>
      <w:bookmarkStart w:id="1594" w:name="_Toc116"/>
      <w:bookmarkStart w:id="1595" w:name="_Toc1615545750"/>
      <w:bookmarkStart w:id="1596" w:name="_Toc164182106"/>
      <w:bookmarkStart w:id="1597" w:name="_Toc1749127877"/>
      <w:bookmarkStart w:id="1598" w:name="_Toc164182316"/>
      <w:bookmarkStart w:id="1599" w:name="_Toc164181788"/>
      <w:bookmarkStart w:id="1600" w:name="_Toc680706022"/>
      <w:r>
        <w:rPr>
          <w:rFonts w:hint="eastAsia" w:ascii="宋体" w:hAnsi="宋体" w:eastAsia="宋体" w:cs="宋体"/>
          <w:b/>
          <w:bCs/>
          <w:color w:val="auto"/>
          <w:sz w:val="28"/>
          <w:szCs w:val="28"/>
          <w:highlight w:val="none"/>
        </w:rPr>
        <w:t>八、成功案例一览表</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p>
    <w:p w14:paraId="7CEFC5BF">
      <w:pPr>
        <w:adjustRightInd w:val="0"/>
        <w:snapToGrid w:val="0"/>
        <w:spacing w:line="360" w:lineRule="auto"/>
        <w:jc w:val="center"/>
        <w:rPr>
          <w:rFonts w:hint="eastAsia" w:ascii="宋体" w:hAnsi="宋体" w:cs="宋体"/>
          <w:b/>
          <w:color w:val="auto"/>
          <w:sz w:val="32"/>
          <w:szCs w:val="21"/>
          <w:highlight w:val="none"/>
        </w:rPr>
      </w:pPr>
      <w:r>
        <w:rPr>
          <w:rFonts w:hint="eastAsia" w:ascii="宋体" w:hAnsi="宋体" w:cs="宋体"/>
          <w:b/>
          <w:color w:val="auto"/>
          <w:sz w:val="32"/>
          <w:szCs w:val="21"/>
          <w:highlight w:val="none"/>
        </w:rPr>
        <w:t>成功案例一览表</w:t>
      </w:r>
    </w:p>
    <w:tbl>
      <w:tblPr>
        <w:tblStyle w:val="31"/>
        <w:tblW w:w="8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943"/>
      </w:tblGrid>
      <w:tr w14:paraId="1E13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4D3B1B5F">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45418660">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合同</w:t>
            </w:r>
          </w:p>
          <w:p w14:paraId="1402693F">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10344398">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合同</w:t>
            </w:r>
          </w:p>
          <w:p w14:paraId="2055B7E5">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0A00FC20">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629E58D9">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合同</w:t>
            </w:r>
          </w:p>
          <w:p w14:paraId="5B08B802">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2F6B3148">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合同主要</w:t>
            </w:r>
          </w:p>
          <w:p w14:paraId="4315F78C">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41732156">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用  户</w:t>
            </w:r>
          </w:p>
          <w:p w14:paraId="5ED0ED69">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7A7FC51E">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用户联</w:t>
            </w:r>
          </w:p>
          <w:p w14:paraId="63BE22D8">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系电话</w:t>
            </w:r>
          </w:p>
        </w:tc>
        <w:tc>
          <w:tcPr>
            <w:tcW w:w="943" w:type="dxa"/>
            <w:tcBorders>
              <w:top w:val="single" w:color="auto" w:sz="4" w:space="0"/>
              <w:left w:val="single" w:color="auto" w:sz="4" w:space="0"/>
              <w:bottom w:val="single" w:color="auto" w:sz="4" w:space="0"/>
              <w:right w:val="single" w:color="auto" w:sz="4" w:space="0"/>
            </w:tcBorders>
            <w:noWrap/>
            <w:vAlign w:val="center"/>
          </w:tcPr>
          <w:p w14:paraId="06648177">
            <w:pPr>
              <w:topLinePunct/>
              <w:autoSpaceDE w:val="0"/>
              <w:autoSpaceDN w:val="0"/>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187C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66EAF5B1">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393577C6">
            <w:pPr>
              <w:topLinePunct/>
              <w:autoSpaceDE w:val="0"/>
              <w:autoSpaceDN w:val="0"/>
              <w:adjustRightInd w:val="0"/>
              <w:snapToGrid w:val="0"/>
              <w:jc w:val="center"/>
              <w:rPr>
                <w:rFonts w:hint="eastAsia" w:ascii="宋体" w:hAnsi="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FA2E0A7">
            <w:pPr>
              <w:topLinePunct/>
              <w:autoSpaceDE w:val="0"/>
              <w:autoSpaceDN w:val="0"/>
              <w:adjustRightInd w:val="0"/>
              <w:snapToGrid w:val="0"/>
              <w:jc w:val="center"/>
              <w:rPr>
                <w:rFonts w:hint="eastAsia" w:ascii="宋体" w:hAnsi="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184318FF">
            <w:pPr>
              <w:topLinePunct/>
              <w:autoSpaceDE w:val="0"/>
              <w:autoSpaceDN w:val="0"/>
              <w:adjustRightInd w:val="0"/>
              <w:snapToGrid w:val="0"/>
              <w:jc w:val="center"/>
              <w:rPr>
                <w:rFonts w:hint="eastAsia" w:ascii="宋体" w:hAnsi="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0387E1F5">
            <w:pPr>
              <w:topLinePunct/>
              <w:autoSpaceDE w:val="0"/>
              <w:autoSpaceDN w:val="0"/>
              <w:adjustRightInd w:val="0"/>
              <w:snapToGrid w:val="0"/>
              <w:jc w:val="center"/>
              <w:rPr>
                <w:rFonts w:hint="eastAsia" w:ascii="宋体" w:hAnsi="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11FFEEA">
            <w:pPr>
              <w:topLinePunct/>
              <w:autoSpaceDE w:val="0"/>
              <w:autoSpaceDN w:val="0"/>
              <w:adjustRightInd w:val="0"/>
              <w:snapToGrid w:val="0"/>
              <w:jc w:val="center"/>
              <w:rPr>
                <w:rFonts w:hint="eastAsia" w:ascii="宋体" w:hAnsi="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B155868">
            <w:pPr>
              <w:topLinePunct/>
              <w:autoSpaceDE w:val="0"/>
              <w:autoSpaceDN w:val="0"/>
              <w:adjustRightInd w:val="0"/>
              <w:snapToGrid w:val="0"/>
              <w:jc w:val="center"/>
              <w:rPr>
                <w:rFonts w:hint="eastAsia" w:ascii="宋体" w:hAnsi="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38996DA9">
            <w:pPr>
              <w:topLinePunct/>
              <w:autoSpaceDE w:val="0"/>
              <w:autoSpaceDN w:val="0"/>
              <w:adjustRightInd w:val="0"/>
              <w:snapToGrid w:val="0"/>
              <w:jc w:val="center"/>
              <w:rPr>
                <w:rFonts w:hint="eastAsia" w:ascii="宋体" w:hAnsi="宋体" w:cs="宋体"/>
                <w:color w:val="auto"/>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ign w:val="center"/>
          </w:tcPr>
          <w:p w14:paraId="08D2085D">
            <w:pPr>
              <w:topLinePunct/>
              <w:autoSpaceDE w:val="0"/>
              <w:autoSpaceDN w:val="0"/>
              <w:adjustRightInd w:val="0"/>
              <w:snapToGrid w:val="0"/>
              <w:jc w:val="center"/>
              <w:rPr>
                <w:rFonts w:hint="eastAsia" w:ascii="宋体" w:hAnsi="宋体" w:cs="宋体"/>
                <w:color w:val="auto"/>
                <w:szCs w:val="21"/>
                <w:highlight w:val="none"/>
              </w:rPr>
            </w:pPr>
          </w:p>
        </w:tc>
      </w:tr>
      <w:tr w14:paraId="66616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304AC7B4">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323DC60D">
            <w:pPr>
              <w:topLinePunct/>
              <w:autoSpaceDE w:val="0"/>
              <w:autoSpaceDN w:val="0"/>
              <w:adjustRightInd w:val="0"/>
              <w:snapToGrid w:val="0"/>
              <w:jc w:val="center"/>
              <w:rPr>
                <w:rFonts w:hint="eastAsia" w:ascii="宋体" w:hAnsi="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3E70322E">
            <w:pPr>
              <w:topLinePunct/>
              <w:autoSpaceDE w:val="0"/>
              <w:autoSpaceDN w:val="0"/>
              <w:adjustRightInd w:val="0"/>
              <w:snapToGrid w:val="0"/>
              <w:jc w:val="center"/>
              <w:rPr>
                <w:rFonts w:hint="eastAsia" w:ascii="宋体" w:hAnsi="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4276FDF6">
            <w:pPr>
              <w:topLinePunct/>
              <w:autoSpaceDE w:val="0"/>
              <w:autoSpaceDN w:val="0"/>
              <w:adjustRightInd w:val="0"/>
              <w:snapToGrid w:val="0"/>
              <w:jc w:val="center"/>
              <w:rPr>
                <w:rFonts w:hint="eastAsia" w:ascii="宋体" w:hAnsi="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6CDEA80">
            <w:pPr>
              <w:topLinePunct/>
              <w:autoSpaceDE w:val="0"/>
              <w:autoSpaceDN w:val="0"/>
              <w:adjustRightInd w:val="0"/>
              <w:snapToGrid w:val="0"/>
              <w:jc w:val="center"/>
              <w:rPr>
                <w:rFonts w:hint="eastAsia" w:ascii="宋体" w:hAnsi="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C8B60A3">
            <w:pPr>
              <w:topLinePunct/>
              <w:autoSpaceDE w:val="0"/>
              <w:autoSpaceDN w:val="0"/>
              <w:adjustRightInd w:val="0"/>
              <w:snapToGrid w:val="0"/>
              <w:jc w:val="center"/>
              <w:rPr>
                <w:rFonts w:hint="eastAsia" w:ascii="宋体" w:hAnsi="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23D976C">
            <w:pPr>
              <w:topLinePunct/>
              <w:autoSpaceDE w:val="0"/>
              <w:autoSpaceDN w:val="0"/>
              <w:adjustRightInd w:val="0"/>
              <w:snapToGrid w:val="0"/>
              <w:jc w:val="center"/>
              <w:rPr>
                <w:rFonts w:hint="eastAsia" w:ascii="宋体" w:hAnsi="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4976099C">
            <w:pPr>
              <w:topLinePunct/>
              <w:autoSpaceDE w:val="0"/>
              <w:autoSpaceDN w:val="0"/>
              <w:adjustRightInd w:val="0"/>
              <w:snapToGrid w:val="0"/>
              <w:jc w:val="center"/>
              <w:rPr>
                <w:rFonts w:hint="eastAsia" w:ascii="宋体" w:hAnsi="宋体" w:cs="宋体"/>
                <w:color w:val="auto"/>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ign w:val="center"/>
          </w:tcPr>
          <w:p w14:paraId="51510C48">
            <w:pPr>
              <w:topLinePunct/>
              <w:autoSpaceDE w:val="0"/>
              <w:autoSpaceDN w:val="0"/>
              <w:adjustRightInd w:val="0"/>
              <w:snapToGrid w:val="0"/>
              <w:jc w:val="center"/>
              <w:rPr>
                <w:rFonts w:hint="eastAsia" w:ascii="宋体" w:hAnsi="宋体" w:cs="宋体"/>
                <w:color w:val="auto"/>
                <w:szCs w:val="21"/>
                <w:highlight w:val="none"/>
              </w:rPr>
            </w:pPr>
          </w:p>
        </w:tc>
      </w:tr>
      <w:tr w14:paraId="1AC5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4A048DFE">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5EFEF9C3">
            <w:pPr>
              <w:topLinePunct/>
              <w:autoSpaceDE w:val="0"/>
              <w:autoSpaceDN w:val="0"/>
              <w:adjustRightInd w:val="0"/>
              <w:snapToGrid w:val="0"/>
              <w:jc w:val="center"/>
              <w:rPr>
                <w:rFonts w:hint="eastAsia" w:ascii="宋体" w:hAnsi="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2D6E4C75">
            <w:pPr>
              <w:topLinePunct/>
              <w:autoSpaceDE w:val="0"/>
              <w:autoSpaceDN w:val="0"/>
              <w:adjustRightInd w:val="0"/>
              <w:snapToGrid w:val="0"/>
              <w:jc w:val="center"/>
              <w:rPr>
                <w:rFonts w:hint="eastAsia" w:ascii="宋体" w:hAnsi="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19403985">
            <w:pPr>
              <w:topLinePunct/>
              <w:autoSpaceDE w:val="0"/>
              <w:autoSpaceDN w:val="0"/>
              <w:adjustRightInd w:val="0"/>
              <w:snapToGrid w:val="0"/>
              <w:jc w:val="center"/>
              <w:rPr>
                <w:rFonts w:hint="eastAsia" w:ascii="宋体" w:hAnsi="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0CAFC075">
            <w:pPr>
              <w:topLinePunct/>
              <w:autoSpaceDE w:val="0"/>
              <w:autoSpaceDN w:val="0"/>
              <w:adjustRightInd w:val="0"/>
              <w:snapToGrid w:val="0"/>
              <w:jc w:val="center"/>
              <w:rPr>
                <w:rFonts w:hint="eastAsia" w:ascii="宋体" w:hAnsi="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1FD63430">
            <w:pPr>
              <w:topLinePunct/>
              <w:autoSpaceDE w:val="0"/>
              <w:autoSpaceDN w:val="0"/>
              <w:adjustRightInd w:val="0"/>
              <w:snapToGrid w:val="0"/>
              <w:jc w:val="center"/>
              <w:rPr>
                <w:rFonts w:hint="eastAsia" w:ascii="宋体" w:hAnsi="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289B8AFF">
            <w:pPr>
              <w:topLinePunct/>
              <w:autoSpaceDE w:val="0"/>
              <w:autoSpaceDN w:val="0"/>
              <w:adjustRightInd w:val="0"/>
              <w:snapToGrid w:val="0"/>
              <w:jc w:val="center"/>
              <w:rPr>
                <w:rFonts w:hint="eastAsia" w:ascii="宋体" w:hAnsi="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70A61CDE">
            <w:pPr>
              <w:topLinePunct/>
              <w:autoSpaceDE w:val="0"/>
              <w:autoSpaceDN w:val="0"/>
              <w:adjustRightInd w:val="0"/>
              <w:snapToGrid w:val="0"/>
              <w:jc w:val="center"/>
              <w:rPr>
                <w:rFonts w:hint="eastAsia" w:ascii="宋体" w:hAnsi="宋体" w:cs="宋体"/>
                <w:color w:val="auto"/>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ign w:val="center"/>
          </w:tcPr>
          <w:p w14:paraId="3D45BB50">
            <w:pPr>
              <w:topLinePunct/>
              <w:autoSpaceDE w:val="0"/>
              <w:autoSpaceDN w:val="0"/>
              <w:adjustRightInd w:val="0"/>
              <w:snapToGrid w:val="0"/>
              <w:jc w:val="center"/>
              <w:rPr>
                <w:rFonts w:hint="eastAsia" w:ascii="宋体" w:hAnsi="宋体" w:cs="宋体"/>
                <w:color w:val="auto"/>
                <w:szCs w:val="21"/>
                <w:highlight w:val="none"/>
              </w:rPr>
            </w:pPr>
          </w:p>
        </w:tc>
      </w:tr>
      <w:tr w14:paraId="4ED1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5AA4FB89">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263D8B9D">
            <w:pPr>
              <w:topLinePunct/>
              <w:autoSpaceDE w:val="0"/>
              <w:autoSpaceDN w:val="0"/>
              <w:adjustRightInd w:val="0"/>
              <w:snapToGrid w:val="0"/>
              <w:jc w:val="center"/>
              <w:rPr>
                <w:rFonts w:hint="eastAsia" w:ascii="宋体" w:hAnsi="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2D1FF3E">
            <w:pPr>
              <w:topLinePunct/>
              <w:autoSpaceDE w:val="0"/>
              <w:autoSpaceDN w:val="0"/>
              <w:adjustRightInd w:val="0"/>
              <w:snapToGrid w:val="0"/>
              <w:jc w:val="center"/>
              <w:rPr>
                <w:rFonts w:hint="eastAsia" w:ascii="宋体" w:hAnsi="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549C732D">
            <w:pPr>
              <w:topLinePunct/>
              <w:autoSpaceDE w:val="0"/>
              <w:autoSpaceDN w:val="0"/>
              <w:adjustRightInd w:val="0"/>
              <w:snapToGrid w:val="0"/>
              <w:jc w:val="center"/>
              <w:rPr>
                <w:rFonts w:hint="eastAsia" w:ascii="宋体" w:hAnsi="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55EF4CE7">
            <w:pPr>
              <w:topLinePunct/>
              <w:autoSpaceDE w:val="0"/>
              <w:autoSpaceDN w:val="0"/>
              <w:adjustRightInd w:val="0"/>
              <w:snapToGrid w:val="0"/>
              <w:jc w:val="center"/>
              <w:rPr>
                <w:rFonts w:hint="eastAsia" w:ascii="宋体" w:hAnsi="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2BAAD851">
            <w:pPr>
              <w:topLinePunct/>
              <w:autoSpaceDE w:val="0"/>
              <w:autoSpaceDN w:val="0"/>
              <w:adjustRightInd w:val="0"/>
              <w:snapToGrid w:val="0"/>
              <w:jc w:val="center"/>
              <w:rPr>
                <w:rFonts w:hint="eastAsia" w:ascii="宋体" w:hAnsi="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1D5670C">
            <w:pPr>
              <w:topLinePunct/>
              <w:autoSpaceDE w:val="0"/>
              <w:autoSpaceDN w:val="0"/>
              <w:adjustRightInd w:val="0"/>
              <w:snapToGrid w:val="0"/>
              <w:jc w:val="center"/>
              <w:rPr>
                <w:rFonts w:hint="eastAsia" w:ascii="宋体" w:hAnsi="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0434AD57">
            <w:pPr>
              <w:topLinePunct/>
              <w:autoSpaceDE w:val="0"/>
              <w:autoSpaceDN w:val="0"/>
              <w:adjustRightInd w:val="0"/>
              <w:snapToGrid w:val="0"/>
              <w:jc w:val="center"/>
              <w:rPr>
                <w:rFonts w:hint="eastAsia" w:ascii="宋体" w:hAnsi="宋体" w:cs="宋体"/>
                <w:color w:val="auto"/>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ign w:val="center"/>
          </w:tcPr>
          <w:p w14:paraId="05CF85F6">
            <w:pPr>
              <w:topLinePunct/>
              <w:autoSpaceDE w:val="0"/>
              <w:autoSpaceDN w:val="0"/>
              <w:adjustRightInd w:val="0"/>
              <w:snapToGrid w:val="0"/>
              <w:jc w:val="center"/>
              <w:rPr>
                <w:rFonts w:hint="eastAsia" w:ascii="宋体" w:hAnsi="宋体" w:cs="宋体"/>
                <w:color w:val="auto"/>
                <w:szCs w:val="21"/>
                <w:highlight w:val="none"/>
              </w:rPr>
            </w:pPr>
          </w:p>
        </w:tc>
      </w:tr>
      <w:tr w14:paraId="3806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5E0F4F03">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7929FF49">
            <w:pPr>
              <w:topLinePunct/>
              <w:autoSpaceDE w:val="0"/>
              <w:autoSpaceDN w:val="0"/>
              <w:adjustRightInd w:val="0"/>
              <w:snapToGrid w:val="0"/>
              <w:jc w:val="center"/>
              <w:rPr>
                <w:rFonts w:hint="eastAsia" w:ascii="宋体" w:hAnsi="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875B429">
            <w:pPr>
              <w:topLinePunct/>
              <w:autoSpaceDE w:val="0"/>
              <w:autoSpaceDN w:val="0"/>
              <w:adjustRightInd w:val="0"/>
              <w:snapToGrid w:val="0"/>
              <w:jc w:val="center"/>
              <w:rPr>
                <w:rFonts w:hint="eastAsia" w:ascii="宋体" w:hAnsi="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15B119D3">
            <w:pPr>
              <w:topLinePunct/>
              <w:autoSpaceDE w:val="0"/>
              <w:autoSpaceDN w:val="0"/>
              <w:adjustRightInd w:val="0"/>
              <w:snapToGrid w:val="0"/>
              <w:jc w:val="center"/>
              <w:rPr>
                <w:rFonts w:hint="eastAsia" w:ascii="宋体" w:hAnsi="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AB7F644">
            <w:pPr>
              <w:topLinePunct/>
              <w:autoSpaceDE w:val="0"/>
              <w:autoSpaceDN w:val="0"/>
              <w:adjustRightInd w:val="0"/>
              <w:snapToGrid w:val="0"/>
              <w:jc w:val="center"/>
              <w:rPr>
                <w:rFonts w:hint="eastAsia" w:ascii="宋体" w:hAnsi="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166A59DB">
            <w:pPr>
              <w:topLinePunct/>
              <w:autoSpaceDE w:val="0"/>
              <w:autoSpaceDN w:val="0"/>
              <w:adjustRightInd w:val="0"/>
              <w:snapToGrid w:val="0"/>
              <w:jc w:val="center"/>
              <w:rPr>
                <w:rFonts w:hint="eastAsia" w:ascii="宋体" w:hAnsi="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25B8638">
            <w:pPr>
              <w:topLinePunct/>
              <w:autoSpaceDE w:val="0"/>
              <w:autoSpaceDN w:val="0"/>
              <w:adjustRightInd w:val="0"/>
              <w:snapToGrid w:val="0"/>
              <w:jc w:val="center"/>
              <w:rPr>
                <w:rFonts w:hint="eastAsia" w:ascii="宋体" w:hAnsi="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28BE4CC6">
            <w:pPr>
              <w:topLinePunct/>
              <w:autoSpaceDE w:val="0"/>
              <w:autoSpaceDN w:val="0"/>
              <w:adjustRightInd w:val="0"/>
              <w:snapToGrid w:val="0"/>
              <w:jc w:val="center"/>
              <w:rPr>
                <w:rFonts w:hint="eastAsia" w:ascii="宋体" w:hAnsi="宋体" w:cs="宋体"/>
                <w:color w:val="auto"/>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ign w:val="center"/>
          </w:tcPr>
          <w:p w14:paraId="0449E893">
            <w:pPr>
              <w:topLinePunct/>
              <w:autoSpaceDE w:val="0"/>
              <w:autoSpaceDN w:val="0"/>
              <w:adjustRightInd w:val="0"/>
              <w:snapToGrid w:val="0"/>
              <w:jc w:val="center"/>
              <w:rPr>
                <w:rFonts w:hint="eastAsia" w:ascii="宋体" w:hAnsi="宋体" w:cs="宋体"/>
                <w:color w:val="auto"/>
                <w:szCs w:val="21"/>
                <w:highlight w:val="none"/>
              </w:rPr>
            </w:pPr>
          </w:p>
        </w:tc>
      </w:tr>
      <w:tr w14:paraId="2C875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51316A1E">
            <w:pPr>
              <w:topLinePunct/>
              <w:autoSpaceDE w:val="0"/>
              <w:autoSpaceDN w:val="0"/>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684103BC">
            <w:pPr>
              <w:topLinePunct/>
              <w:autoSpaceDE w:val="0"/>
              <w:autoSpaceDN w:val="0"/>
              <w:adjustRightInd w:val="0"/>
              <w:snapToGrid w:val="0"/>
              <w:jc w:val="center"/>
              <w:rPr>
                <w:rFonts w:hint="eastAsia" w:ascii="宋体" w:hAnsi="宋体" w:cs="宋体"/>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5B310E84">
            <w:pPr>
              <w:topLinePunct/>
              <w:autoSpaceDE w:val="0"/>
              <w:autoSpaceDN w:val="0"/>
              <w:adjustRightInd w:val="0"/>
              <w:snapToGrid w:val="0"/>
              <w:jc w:val="center"/>
              <w:rPr>
                <w:rFonts w:hint="eastAsia" w:ascii="宋体" w:hAnsi="宋体" w:cs="宋体"/>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25BE8FEC">
            <w:pPr>
              <w:topLinePunct/>
              <w:autoSpaceDE w:val="0"/>
              <w:autoSpaceDN w:val="0"/>
              <w:adjustRightInd w:val="0"/>
              <w:snapToGrid w:val="0"/>
              <w:jc w:val="center"/>
              <w:rPr>
                <w:rFonts w:hint="eastAsia" w:ascii="宋体" w:hAnsi="宋体" w:cs="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776D2096">
            <w:pPr>
              <w:topLinePunct/>
              <w:autoSpaceDE w:val="0"/>
              <w:autoSpaceDN w:val="0"/>
              <w:adjustRightInd w:val="0"/>
              <w:snapToGrid w:val="0"/>
              <w:jc w:val="center"/>
              <w:rPr>
                <w:rFonts w:hint="eastAsia" w:ascii="宋体" w:hAnsi="宋体" w:cs="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CF09FDF">
            <w:pPr>
              <w:topLinePunct/>
              <w:autoSpaceDE w:val="0"/>
              <w:autoSpaceDN w:val="0"/>
              <w:adjustRightInd w:val="0"/>
              <w:snapToGrid w:val="0"/>
              <w:jc w:val="center"/>
              <w:rPr>
                <w:rFonts w:hint="eastAsia" w:ascii="宋体" w:hAnsi="宋体" w:cs="宋体"/>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7785DEE8">
            <w:pPr>
              <w:topLinePunct/>
              <w:autoSpaceDE w:val="0"/>
              <w:autoSpaceDN w:val="0"/>
              <w:adjustRightInd w:val="0"/>
              <w:snapToGrid w:val="0"/>
              <w:jc w:val="center"/>
              <w:rPr>
                <w:rFonts w:hint="eastAsia" w:ascii="宋体" w:hAnsi="宋体" w:cs="宋体"/>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9F7E428">
            <w:pPr>
              <w:topLinePunct/>
              <w:autoSpaceDE w:val="0"/>
              <w:autoSpaceDN w:val="0"/>
              <w:adjustRightInd w:val="0"/>
              <w:snapToGrid w:val="0"/>
              <w:jc w:val="center"/>
              <w:rPr>
                <w:rFonts w:hint="eastAsia" w:ascii="宋体" w:hAnsi="宋体" w:cs="宋体"/>
                <w:color w:val="auto"/>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ign w:val="center"/>
          </w:tcPr>
          <w:p w14:paraId="174213C0">
            <w:pPr>
              <w:topLinePunct/>
              <w:autoSpaceDE w:val="0"/>
              <w:autoSpaceDN w:val="0"/>
              <w:adjustRightInd w:val="0"/>
              <w:snapToGrid w:val="0"/>
              <w:jc w:val="center"/>
              <w:rPr>
                <w:rFonts w:hint="eastAsia" w:ascii="宋体" w:hAnsi="宋体" w:cs="宋体"/>
                <w:color w:val="auto"/>
                <w:szCs w:val="21"/>
                <w:highlight w:val="none"/>
              </w:rPr>
            </w:pPr>
          </w:p>
        </w:tc>
      </w:tr>
    </w:tbl>
    <w:p w14:paraId="4EC69C77">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3743DC0D">
      <w:pPr>
        <w:adjustRightInd w:val="0"/>
        <w:snapToGrid w:val="0"/>
        <w:spacing w:line="360" w:lineRule="auto"/>
        <w:ind w:firstLine="420" w:firstLineChars="200"/>
        <w:rPr>
          <w:rFonts w:hint="eastAsia" w:ascii="宋体" w:hAnsi="宋体" w:eastAsia="宋体" w:cs="宋体"/>
          <w:b/>
          <w:color w:val="auto"/>
          <w:szCs w:val="21"/>
          <w:highlight w:val="none"/>
          <w:lang w:val="en-US" w:eastAsia="zh-CN"/>
        </w:rPr>
      </w:pPr>
      <w:r>
        <w:rPr>
          <w:rFonts w:hint="eastAsia" w:ascii="宋体" w:hAnsi="宋体" w:eastAsia="宋体" w:cs="宋体"/>
          <w:color w:val="auto"/>
          <w:sz w:val="21"/>
          <w:szCs w:val="21"/>
          <w:highlight w:val="none"/>
        </w:rPr>
        <w:t>应提供合同首页、内容页、签字盖章页或中标/成交通知书等证明文件复印件加盖公章，时间认定以合同签订日期或中标/成交通知书签发日期为准。同一用户连续年度签订的同一项目业绩不重复记分</w:t>
      </w:r>
      <w:r>
        <w:rPr>
          <w:rFonts w:hint="eastAsia" w:ascii="宋体" w:hAnsi="宋体" w:cs="宋体"/>
          <w:color w:val="auto"/>
          <w:sz w:val="21"/>
          <w:szCs w:val="21"/>
          <w:highlight w:val="none"/>
          <w:lang w:eastAsia="zh-CN"/>
        </w:rPr>
        <w:t>。</w:t>
      </w:r>
    </w:p>
    <w:p w14:paraId="544847A3">
      <w:pPr>
        <w:adjustRightInd w:val="0"/>
        <w:snapToGrid w:val="0"/>
        <w:spacing w:line="360" w:lineRule="auto"/>
        <w:ind w:firstLine="422" w:firstLineChars="200"/>
        <w:rPr>
          <w:rFonts w:hint="eastAsia" w:ascii="宋体" w:hAnsi="宋体" w:cs="宋体"/>
          <w:b/>
          <w:color w:val="auto"/>
          <w:szCs w:val="21"/>
          <w:highlight w:val="none"/>
        </w:rPr>
      </w:pPr>
    </w:p>
    <w:bookmarkEnd w:id="1472"/>
    <w:p w14:paraId="11FA8E31">
      <w:pPr>
        <w:pStyle w:val="4"/>
        <w:rPr>
          <w:rFonts w:hint="eastAsia" w:ascii="宋体" w:hAnsi="宋体" w:eastAsia="宋体" w:cs="宋体"/>
          <w:b/>
          <w:bCs/>
          <w:color w:val="auto"/>
          <w:sz w:val="28"/>
          <w:szCs w:val="28"/>
          <w:highlight w:val="none"/>
        </w:rPr>
      </w:pPr>
      <w:r>
        <w:rPr>
          <w:rFonts w:hint="eastAsia" w:ascii="宋体" w:hAnsi="宋体" w:cs="宋体"/>
          <w:color w:val="auto"/>
          <w:highlight w:val="none"/>
        </w:rPr>
        <w:br w:type="page"/>
      </w:r>
      <w:bookmarkStart w:id="1601" w:name="_Toc164681335"/>
      <w:bookmarkStart w:id="1602" w:name="_Toc164181789"/>
      <w:bookmarkStart w:id="1603" w:name="_Toc2802"/>
      <w:bookmarkStart w:id="1604" w:name="_Toc25951"/>
      <w:bookmarkStart w:id="1605" w:name="_Toc164182107"/>
      <w:bookmarkStart w:id="1606" w:name="_Toc164182815"/>
      <w:bookmarkStart w:id="1607" w:name="_Toc164182317"/>
      <w:bookmarkStart w:id="1608" w:name="_Toc164680960"/>
      <w:bookmarkStart w:id="1609" w:name="_Toc16688"/>
      <w:bookmarkStart w:id="1610" w:name="_Toc266"/>
      <w:bookmarkStart w:id="1611" w:name="_Toc7418"/>
      <w:r>
        <w:rPr>
          <w:rFonts w:hint="eastAsia" w:ascii="宋体" w:hAnsi="宋体" w:eastAsia="宋体" w:cs="宋体"/>
          <w:b/>
          <w:bCs/>
          <w:color w:val="auto"/>
          <w:sz w:val="28"/>
          <w:szCs w:val="28"/>
          <w:highlight w:val="none"/>
        </w:rPr>
        <w:t>九、服务团队</w:t>
      </w:r>
      <w:bookmarkEnd w:id="1601"/>
      <w:bookmarkEnd w:id="1602"/>
      <w:bookmarkEnd w:id="1603"/>
      <w:bookmarkEnd w:id="1604"/>
      <w:bookmarkEnd w:id="1605"/>
      <w:bookmarkEnd w:id="1606"/>
      <w:bookmarkEnd w:id="1607"/>
      <w:bookmarkEnd w:id="1608"/>
      <w:bookmarkEnd w:id="1609"/>
      <w:bookmarkEnd w:id="1610"/>
      <w:bookmarkEnd w:id="1611"/>
    </w:p>
    <w:p w14:paraId="22411A06">
      <w:pPr>
        <w:pStyle w:val="5"/>
        <w:rPr>
          <w:rFonts w:hint="eastAsia" w:ascii="宋体" w:hAnsi="宋体" w:cs="宋体"/>
          <w:color w:val="auto"/>
          <w:highlight w:val="none"/>
        </w:rPr>
      </w:pPr>
      <w:bookmarkStart w:id="1612" w:name="_Toc164181790"/>
      <w:bookmarkStart w:id="1613" w:name="_Toc16112"/>
      <w:bookmarkStart w:id="1614" w:name="_Toc164681336"/>
      <w:bookmarkStart w:id="1615" w:name="_Toc164182816"/>
      <w:bookmarkStart w:id="1616" w:name="_Toc15332"/>
      <w:bookmarkStart w:id="1617" w:name="_Toc164182318"/>
      <w:bookmarkStart w:id="1618" w:name="_Toc164182108"/>
      <w:bookmarkStart w:id="1619" w:name="_Toc22302"/>
      <w:bookmarkStart w:id="1620" w:name="_Toc8071"/>
      <w:bookmarkStart w:id="1621" w:name="_Toc164680961"/>
      <w:bookmarkStart w:id="1622" w:name="_Toc231801039"/>
      <w:r>
        <w:rPr>
          <w:rFonts w:hint="eastAsia" w:ascii="宋体" w:hAnsi="宋体" w:cs="宋体"/>
          <w:color w:val="auto"/>
          <w:highlight w:val="none"/>
        </w:rPr>
        <w:t>1．服务人员一览表</w:t>
      </w:r>
      <w:bookmarkEnd w:id="1612"/>
      <w:bookmarkEnd w:id="1613"/>
      <w:bookmarkEnd w:id="1614"/>
      <w:bookmarkEnd w:id="1615"/>
      <w:bookmarkEnd w:id="1616"/>
      <w:bookmarkEnd w:id="1617"/>
      <w:bookmarkEnd w:id="1618"/>
      <w:bookmarkEnd w:id="1619"/>
      <w:bookmarkEnd w:id="1620"/>
      <w:bookmarkEnd w:id="1621"/>
    </w:p>
    <w:p w14:paraId="246ACD3C">
      <w:pPr>
        <w:bidi w:val="0"/>
        <w:jc w:val="center"/>
        <w:rPr>
          <w:rFonts w:hint="eastAsia"/>
          <w:b/>
          <w:bCs/>
          <w:sz w:val="32"/>
          <w:szCs w:val="32"/>
        </w:rPr>
      </w:pPr>
      <w:bookmarkStart w:id="1623" w:name="_Toc13253"/>
      <w:bookmarkStart w:id="1624" w:name="_Toc21580"/>
      <w:bookmarkStart w:id="1625" w:name="_Toc24843"/>
      <w:bookmarkStart w:id="1626" w:name="_Toc4057"/>
      <w:r>
        <w:rPr>
          <w:rFonts w:hint="eastAsia"/>
          <w:b/>
          <w:bCs/>
          <w:sz w:val="32"/>
          <w:szCs w:val="32"/>
        </w:rPr>
        <w:t>服务人员一览表</w:t>
      </w:r>
      <w:bookmarkEnd w:id="1623"/>
      <w:bookmarkEnd w:id="1624"/>
      <w:bookmarkEnd w:id="1625"/>
      <w:bookmarkEnd w:id="1626"/>
    </w:p>
    <w:tbl>
      <w:tblPr>
        <w:tblStyle w:val="31"/>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56"/>
        <w:gridCol w:w="1187"/>
        <w:gridCol w:w="1189"/>
        <w:gridCol w:w="1275"/>
        <w:gridCol w:w="1243"/>
        <w:gridCol w:w="1286"/>
      </w:tblGrid>
      <w:tr w14:paraId="09751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21E4744">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356" w:type="dxa"/>
            <w:tcBorders>
              <w:top w:val="single" w:color="auto" w:sz="4" w:space="0"/>
              <w:left w:val="single" w:color="auto" w:sz="4" w:space="0"/>
              <w:bottom w:val="single" w:color="auto" w:sz="4" w:space="0"/>
              <w:right w:val="single" w:color="auto" w:sz="4" w:space="0"/>
            </w:tcBorders>
            <w:noWrap/>
            <w:vAlign w:val="center"/>
          </w:tcPr>
          <w:p w14:paraId="6832CFEF">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姓 名</w:t>
            </w:r>
          </w:p>
        </w:tc>
        <w:tc>
          <w:tcPr>
            <w:tcW w:w="1187" w:type="dxa"/>
            <w:tcBorders>
              <w:top w:val="single" w:color="auto" w:sz="4" w:space="0"/>
              <w:left w:val="single" w:color="auto" w:sz="4" w:space="0"/>
              <w:bottom w:val="single" w:color="auto" w:sz="4" w:space="0"/>
              <w:right w:val="single" w:color="auto" w:sz="4" w:space="0"/>
            </w:tcBorders>
            <w:noWrap/>
            <w:vAlign w:val="center"/>
          </w:tcPr>
          <w:p w14:paraId="37567669">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技术职称</w:t>
            </w:r>
          </w:p>
        </w:tc>
        <w:tc>
          <w:tcPr>
            <w:tcW w:w="1189" w:type="dxa"/>
            <w:tcBorders>
              <w:top w:val="single" w:color="auto" w:sz="4" w:space="0"/>
              <w:left w:val="single" w:color="auto" w:sz="4" w:space="0"/>
              <w:bottom w:val="single" w:color="auto" w:sz="4" w:space="0"/>
              <w:right w:val="single" w:color="auto" w:sz="4" w:space="0"/>
            </w:tcBorders>
            <w:noWrap/>
            <w:vAlign w:val="center"/>
          </w:tcPr>
          <w:p w14:paraId="63540B74">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人员级别</w:t>
            </w:r>
          </w:p>
        </w:tc>
        <w:tc>
          <w:tcPr>
            <w:tcW w:w="1275" w:type="dxa"/>
            <w:tcBorders>
              <w:top w:val="single" w:color="auto" w:sz="4" w:space="0"/>
              <w:left w:val="single" w:color="auto" w:sz="4" w:space="0"/>
              <w:bottom w:val="single" w:color="auto" w:sz="4" w:space="0"/>
              <w:right w:val="single" w:color="auto" w:sz="4" w:space="0"/>
            </w:tcBorders>
            <w:noWrap/>
            <w:vAlign w:val="center"/>
          </w:tcPr>
          <w:p w14:paraId="0704A82E">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工作年限</w:t>
            </w:r>
          </w:p>
        </w:tc>
        <w:tc>
          <w:tcPr>
            <w:tcW w:w="1243" w:type="dxa"/>
            <w:tcBorders>
              <w:top w:val="single" w:color="auto" w:sz="4" w:space="0"/>
              <w:left w:val="single" w:color="auto" w:sz="4" w:space="0"/>
              <w:bottom w:val="single" w:color="auto" w:sz="4" w:space="0"/>
              <w:right w:val="single" w:color="auto" w:sz="4" w:space="0"/>
            </w:tcBorders>
            <w:noWrap/>
            <w:vAlign w:val="center"/>
          </w:tcPr>
          <w:p w14:paraId="51D6E738">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本项目中担任职务</w:t>
            </w:r>
          </w:p>
        </w:tc>
        <w:tc>
          <w:tcPr>
            <w:tcW w:w="1286" w:type="dxa"/>
            <w:tcBorders>
              <w:top w:val="single" w:color="auto" w:sz="4" w:space="0"/>
              <w:left w:val="single" w:color="auto" w:sz="4" w:space="0"/>
              <w:bottom w:val="single" w:color="auto" w:sz="4" w:space="0"/>
              <w:right w:val="single" w:color="auto" w:sz="4" w:space="0"/>
            </w:tcBorders>
            <w:noWrap/>
            <w:vAlign w:val="center"/>
          </w:tcPr>
          <w:p w14:paraId="2172F6A7">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认证情况</w:t>
            </w:r>
          </w:p>
        </w:tc>
      </w:tr>
      <w:tr w14:paraId="0EBB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0" w:type="dxa"/>
            <w:gridSpan w:val="7"/>
            <w:tcBorders>
              <w:top w:val="single" w:color="auto" w:sz="4" w:space="0"/>
              <w:left w:val="single" w:color="auto" w:sz="4" w:space="0"/>
              <w:bottom w:val="single" w:color="auto" w:sz="4" w:space="0"/>
              <w:right w:val="single" w:color="auto" w:sz="4" w:space="0"/>
            </w:tcBorders>
            <w:noWrap/>
            <w:vAlign w:val="center"/>
          </w:tcPr>
          <w:p w14:paraId="182A4165">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（一）项目</w:t>
            </w:r>
            <w:r>
              <w:rPr>
                <w:rFonts w:hint="eastAsia" w:ascii="宋体" w:hAnsi="宋体" w:cs="宋体"/>
                <w:color w:val="auto"/>
                <w:szCs w:val="21"/>
                <w:highlight w:val="none"/>
                <w:lang w:val="en-US" w:eastAsia="zh-CN"/>
              </w:rPr>
              <w:t>经理</w:t>
            </w:r>
          </w:p>
        </w:tc>
      </w:tr>
      <w:tr w14:paraId="4899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0A4025C8">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78D16049">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753D4EE7">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85BBDF8">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C207B81">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66EC21D">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368F57C9">
            <w:pPr>
              <w:adjustRightInd w:val="0"/>
              <w:snapToGrid w:val="0"/>
              <w:jc w:val="center"/>
              <w:rPr>
                <w:rFonts w:hint="eastAsia" w:ascii="宋体" w:hAnsi="宋体" w:cs="宋体"/>
                <w:color w:val="auto"/>
                <w:szCs w:val="21"/>
                <w:highlight w:val="none"/>
              </w:rPr>
            </w:pPr>
          </w:p>
        </w:tc>
      </w:tr>
      <w:tr w14:paraId="2E0B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54B4B328">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43CB2389">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0C58ADD">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4F8C3584">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8A16094">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40D5FA4">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4A2F7EE3">
            <w:pPr>
              <w:adjustRightInd w:val="0"/>
              <w:snapToGrid w:val="0"/>
              <w:jc w:val="center"/>
              <w:rPr>
                <w:rFonts w:hint="eastAsia" w:ascii="宋体" w:hAnsi="宋体" w:cs="宋体"/>
                <w:color w:val="auto"/>
                <w:szCs w:val="21"/>
                <w:highlight w:val="none"/>
              </w:rPr>
            </w:pPr>
          </w:p>
        </w:tc>
      </w:tr>
      <w:tr w14:paraId="4CB7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127EAA7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6D7A73BF">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698E4BD">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CB08CC2">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DC8EBE4">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34BE64D">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66A041FF">
            <w:pPr>
              <w:adjustRightInd w:val="0"/>
              <w:snapToGrid w:val="0"/>
              <w:jc w:val="center"/>
              <w:rPr>
                <w:rFonts w:hint="eastAsia" w:ascii="宋体" w:hAnsi="宋体" w:cs="宋体"/>
                <w:color w:val="auto"/>
                <w:szCs w:val="21"/>
                <w:highlight w:val="none"/>
              </w:rPr>
            </w:pPr>
          </w:p>
        </w:tc>
      </w:tr>
      <w:tr w14:paraId="28667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0" w:type="dxa"/>
            <w:gridSpan w:val="7"/>
            <w:tcBorders>
              <w:top w:val="single" w:color="auto" w:sz="4" w:space="0"/>
              <w:left w:val="single" w:color="auto" w:sz="4" w:space="0"/>
              <w:bottom w:val="single" w:color="auto" w:sz="4" w:space="0"/>
              <w:right w:val="single" w:color="auto" w:sz="4" w:space="0"/>
            </w:tcBorders>
            <w:noWrap/>
            <w:vAlign w:val="center"/>
          </w:tcPr>
          <w:p w14:paraId="6D063DC0">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（二）远程技术支持人员</w:t>
            </w:r>
          </w:p>
        </w:tc>
      </w:tr>
      <w:tr w14:paraId="7741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534C24CE">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035A9B7C">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FCAB966">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603F890">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7578100F">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87C6C2F">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1C17DC89">
            <w:pPr>
              <w:adjustRightInd w:val="0"/>
              <w:snapToGrid w:val="0"/>
              <w:jc w:val="center"/>
              <w:rPr>
                <w:rFonts w:hint="eastAsia" w:ascii="宋体" w:hAnsi="宋体" w:cs="宋体"/>
                <w:color w:val="auto"/>
                <w:szCs w:val="21"/>
                <w:highlight w:val="none"/>
              </w:rPr>
            </w:pPr>
          </w:p>
        </w:tc>
      </w:tr>
      <w:tr w14:paraId="5EFA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4DB1CD1E">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5A48A622">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598B3C1">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AB1973B">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547A1BE">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577E8F5A">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5ABA481B">
            <w:pPr>
              <w:adjustRightInd w:val="0"/>
              <w:snapToGrid w:val="0"/>
              <w:jc w:val="center"/>
              <w:rPr>
                <w:rFonts w:hint="eastAsia" w:ascii="宋体" w:hAnsi="宋体" w:cs="宋体"/>
                <w:color w:val="auto"/>
                <w:szCs w:val="21"/>
                <w:highlight w:val="none"/>
              </w:rPr>
            </w:pPr>
          </w:p>
        </w:tc>
      </w:tr>
      <w:tr w14:paraId="1B1D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06AAA7A">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47B94766">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48726BB4">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C58EC23">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C0CC4DE">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C4970C8">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52E1C6F6">
            <w:pPr>
              <w:adjustRightInd w:val="0"/>
              <w:snapToGrid w:val="0"/>
              <w:jc w:val="center"/>
              <w:rPr>
                <w:rFonts w:hint="eastAsia" w:ascii="宋体" w:hAnsi="宋体" w:cs="宋体"/>
                <w:color w:val="auto"/>
                <w:szCs w:val="21"/>
                <w:highlight w:val="none"/>
              </w:rPr>
            </w:pPr>
          </w:p>
        </w:tc>
      </w:tr>
      <w:tr w14:paraId="2FFD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0" w:type="dxa"/>
            <w:gridSpan w:val="7"/>
            <w:tcBorders>
              <w:top w:val="single" w:color="auto" w:sz="4" w:space="0"/>
              <w:left w:val="single" w:color="auto" w:sz="4" w:space="0"/>
              <w:bottom w:val="single" w:color="auto" w:sz="4" w:space="0"/>
              <w:right w:val="single" w:color="auto" w:sz="4" w:space="0"/>
            </w:tcBorders>
            <w:noWrap/>
            <w:vAlign w:val="center"/>
          </w:tcPr>
          <w:p w14:paraId="55651204">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三</w:t>
            </w:r>
            <w:r>
              <w:rPr>
                <w:rFonts w:hint="eastAsia" w:ascii="宋体" w:hAnsi="宋体" w:cs="宋体"/>
                <w:color w:val="auto"/>
                <w:szCs w:val="21"/>
                <w:highlight w:val="none"/>
                <w:lang w:eastAsia="zh-CN"/>
              </w:rPr>
              <w:t>）</w:t>
            </w:r>
            <w:r>
              <w:rPr>
                <w:rFonts w:hint="eastAsia" w:ascii="宋体" w:hAnsi="宋体" w:cs="宋体"/>
                <w:color w:val="auto"/>
                <w:szCs w:val="21"/>
                <w:highlight w:val="none"/>
              </w:rPr>
              <w:t>驻场运维人员</w:t>
            </w:r>
          </w:p>
        </w:tc>
      </w:tr>
      <w:tr w14:paraId="5A9C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3A6A1B9B">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2FEE15F2">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5E1D0029">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2161CE1">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7688F0F">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877D70F">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72DC4EB8">
            <w:pPr>
              <w:adjustRightInd w:val="0"/>
              <w:snapToGrid w:val="0"/>
              <w:jc w:val="center"/>
              <w:rPr>
                <w:rFonts w:hint="eastAsia" w:ascii="宋体" w:hAnsi="宋体" w:cs="宋体"/>
                <w:color w:val="auto"/>
                <w:szCs w:val="21"/>
                <w:highlight w:val="none"/>
              </w:rPr>
            </w:pPr>
          </w:p>
        </w:tc>
      </w:tr>
      <w:tr w14:paraId="2249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469E33C9">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7970294E">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10FECEF">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74D125B5">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33780A6">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1E39B18E">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1C95562E">
            <w:pPr>
              <w:adjustRightInd w:val="0"/>
              <w:snapToGrid w:val="0"/>
              <w:jc w:val="center"/>
              <w:rPr>
                <w:rFonts w:hint="eastAsia" w:ascii="宋体" w:hAnsi="宋体" w:cs="宋体"/>
                <w:color w:val="auto"/>
                <w:szCs w:val="21"/>
                <w:highlight w:val="none"/>
              </w:rPr>
            </w:pPr>
          </w:p>
        </w:tc>
      </w:tr>
      <w:tr w14:paraId="3F01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5B7DBFAF">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4142574B">
            <w:pPr>
              <w:adjustRightInd w:val="0"/>
              <w:snapToGrid w:val="0"/>
              <w:jc w:val="center"/>
              <w:rPr>
                <w:rFonts w:hint="eastAsia" w:ascii="宋体" w:hAnsi="宋体" w:cs="宋体"/>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57970655">
            <w:pPr>
              <w:adjustRightInd w:val="0"/>
              <w:snapToGrid w:val="0"/>
              <w:jc w:val="center"/>
              <w:rPr>
                <w:rFonts w:hint="eastAsia" w:ascii="宋体" w:hAnsi="宋体" w:cs="宋体"/>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F47D73B">
            <w:pPr>
              <w:adjustRightInd w:val="0"/>
              <w:snapToGrid w:val="0"/>
              <w:jc w:val="center"/>
              <w:rPr>
                <w:rFonts w:hint="eastAsia" w:ascii="宋体" w:hAnsi="宋体" w:cs="宋体"/>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F61E979">
            <w:pPr>
              <w:adjustRightInd w:val="0"/>
              <w:snapToGrid w:val="0"/>
              <w:jc w:val="center"/>
              <w:rPr>
                <w:rFonts w:hint="eastAsia" w:ascii="宋体" w:hAnsi="宋体" w:cs="宋体"/>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50BE793D">
            <w:pPr>
              <w:adjustRightInd w:val="0"/>
              <w:snapToGrid w:val="0"/>
              <w:jc w:val="center"/>
              <w:rPr>
                <w:rFonts w:hint="eastAsia" w:ascii="宋体" w:hAnsi="宋体" w:cs="宋体"/>
                <w:color w:val="auto"/>
                <w:szCs w:val="21"/>
                <w:highlight w:val="none"/>
              </w:rPr>
            </w:pPr>
          </w:p>
        </w:tc>
        <w:tc>
          <w:tcPr>
            <w:tcW w:w="1286" w:type="dxa"/>
            <w:tcBorders>
              <w:top w:val="single" w:color="auto" w:sz="4" w:space="0"/>
              <w:left w:val="single" w:color="auto" w:sz="4" w:space="0"/>
              <w:bottom w:val="single" w:color="auto" w:sz="4" w:space="0"/>
              <w:right w:val="single" w:color="auto" w:sz="4" w:space="0"/>
            </w:tcBorders>
            <w:noWrap/>
            <w:vAlign w:val="center"/>
          </w:tcPr>
          <w:p w14:paraId="3E89A9FE">
            <w:pPr>
              <w:adjustRightInd w:val="0"/>
              <w:snapToGrid w:val="0"/>
              <w:jc w:val="center"/>
              <w:rPr>
                <w:rFonts w:hint="eastAsia" w:ascii="宋体" w:hAnsi="宋体" w:cs="宋体"/>
                <w:color w:val="auto"/>
                <w:szCs w:val="21"/>
                <w:highlight w:val="none"/>
              </w:rPr>
            </w:pPr>
          </w:p>
        </w:tc>
      </w:tr>
      <w:tr w14:paraId="43A5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30" w:type="dxa"/>
            <w:gridSpan w:val="7"/>
            <w:tcBorders>
              <w:top w:val="single" w:color="auto" w:sz="4" w:space="0"/>
              <w:left w:val="single" w:color="auto" w:sz="4" w:space="0"/>
              <w:bottom w:val="single" w:color="auto" w:sz="4" w:space="0"/>
              <w:right w:val="single" w:color="auto" w:sz="4" w:space="0"/>
            </w:tcBorders>
            <w:noWrap/>
            <w:vAlign w:val="center"/>
          </w:tcPr>
          <w:p w14:paraId="31F9CB3F">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lang w:eastAsia="zh-CN"/>
              </w:rPr>
              <w:t>）</w:t>
            </w:r>
            <w:r>
              <w:rPr>
                <w:rFonts w:hint="eastAsia" w:ascii="宋体" w:hAnsi="宋体" w:cs="宋体"/>
                <w:color w:val="auto"/>
                <w:szCs w:val="21"/>
                <w:highlight w:val="none"/>
              </w:rPr>
              <w:t>XX人员</w:t>
            </w:r>
          </w:p>
        </w:tc>
      </w:tr>
      <w:tr w14:paraId="20CF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noWrap w:val="0"/>
            <w:vAlign w:val="center"/>
          </w:tcPr>
          <w:p w14:paraId="10A9E189">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56" w:type="dxa"/>
            <w:noWrap w:val="0"/>
            <w:vAlign w:val="center"/>
          </w:tcPr>
          <w:p w14:paraId="2C6CB9B3">
            <w:pPr>
              <w:adjustRightInd w:val="0"/>
              <w:snapToGrid w:val="0"/>
              <w:jc w:val="center"/>
              <w:rPr>
                <w:rFonts w:hint="eastAsia" w:ascii="宋体" w:hAnsi="宋体" w:cs="宋体"/>
                <w:color w:val="auto"/>
                <w:szCs w:val="21"/>
                <w:highlight w:val="none"/>
              </w:rPr>
            </w:pPr>
          </w:p>
        </w:tc>
        <w:tc>
          <w:tcPr>
            <w:tcW w:w="1187" w:type="dxa"/>
            <w:noWrap w:val="0"/>
            <w:vAlign w:val="center"/>
          </w:tcPr>
          <w:p w14:paraId="12E6C30D">
            <w:pPr>
              <w:adjustRightInd w:val="0"/>
              <w:snapToGrid w:val="0"/>
              <w:jc w:val="center"/>
              <w:rPr>
                <w:rFonts w:hint="eastAsia" w:ascii="宋体" w:hAnsi="宋体" w:cs="宋体"/>
                <w:color w:val="auto"/>
                <w:szCs w:val="21"/>
                <w:highlight w:val="none"/>
              </w:rPr>
            </w:pPr>
          </w:p>
        </w:tc>
        <w:tc>
          <w:tcPr>
            <w:tcW w:w="1189" w:type="dxa"/>
            <w:noWrap w:val="0"/>
            <w:vAlign w:val="center"/>
          </w:tcPr>
          <w:p w14:paraId="036E4738">
            <w:pPr>
              <w:adjustRightInd w:val="0"/>
              <w:snapToGrid w:val="0"/>
              <w:jc w:val="center"/>
              <w:rPr>
                <w:rFonts w:hint="eastAsia" w:ascii="宋体" w:hAnsi="宋体" w:cs="宋体"/>
                <w:color w:val="auto"/>
                <w:szCs w:val="21"/>
                <w:highlight w:val="none"/>
              </w:rPr>
            </w:pPr>
          </w:p>
        </w:tc>
        <w:tc>
          <w:tcPr>
            <w:tcW w:w="1275" w:type="dxa"/>
            <w:noWrap w:val="0"/>
            <w:vAlign w:val="center"/>
          </w:tcPr>
          <w:p w14:paraId="1CF38E5C">
            <w:pPr>
              <w:adjustRightInd w:val="0"/>
              <w:snapToGrid w:val="0"/>
              <w:jc w:val="center"/>
              <w:rPr>
                <w:rFonts w:hint="eastAsia" w:ascii="宋体" w:hAnsi="宋体" w:cs="宋体"/>
                <w:color w:val="auto"/>
                <w:szCs w:val="21"/>
                <w:highlight w:val="none"/>
              </w:rPr>
            </w:pPr>
          </w:p>
        </w:tc>
        <w:tc>
          <w:tcPr>
            <w:tcW w:w="1243" w:type="dxa"/>
            <w:noWrap w:val="0"/>
            <w:vAlign w:val="center"/>
          </w:tcPr>
          <w:p w14:paraId="5C59F6EA">
            <w:pPr>
              <w:adjustRightInd w:val="0"/>
              <w:snapToGrid w:val="0"/>
              <w:jc w:val="center"/>
              <w:rPr>
                <w:rFonts w:hint="eastAsia" w:ascii="宋体" w:hAnsi="宋体" w:cs="宋体"/>
                <w:color w:val="auto"/>
                <w:szCs w:val="21"/>
                <w:highlight w:val="none"/>
              </w:rPr>
            </w:pPr>
          </w:p>
        </w:tc>
        <w:tc>
          <w:tcPr>
            <w:tcW w:w="1286" w:type="dxa"/>
            <w:noWrap w:val="0"/>
            <w:vAlign w:val="center"/>
          </w:tcPr>
          <w:p w14:paraId="3540C527">
            <w:pPr>
              <w:adjustRightInd w:val="0"/>
              <w:snapToGrid w:val="0"/>
              <w:jc w:val="center"/>
              <w:rPr>
                <w:rFonts w:hint="eastAsia" w:ascii="宋体" w:hAnsi="宋体" w:cs="宋体"/>
                <w:color w:val="auto"/>
                <w:szCs w:val="21"/>
                <w:highlight w:val="none"/>
              </w:rPr>
            </w:pPr>
          </w:p>
        </w:tc>
      </w:tr>
      <w:tr w14:paraId="5801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noWrap w:val="0"/>
            <w:vAlign w:val="center"/>
          </w:tcPr>
          <w:p w14:paraId="4C42985E">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356" w:type="dxa"/>
            <w:noWrap w:val="0"/>
            <w:vAlign w:val="center"/>
          </w:tcPr>
          <w:p w14:paraId="504085E5">
            <w:pPr>
              <w:adjustRightInd w:val="0"/>
              <w:snapToGrid w:val="0"/>
              <w:jc w:val="center"/>
              <w:rPr>
                <w:rFonts w:hint="eastAsia" w:ascii="宋体" w:hAnsi="宋体" w:cs="宋体"/>
                <w:color w:val="auto"/>
                <w:szCs w:val="21"/>
                <w:highlight w:val="none"/>
              </w:rPr>
            </w:pPr>
          </w:p>
        </w:tc>
        <w:tc>
          <w:tcPr>
            <w:tcW w:w="1187" w:type="dxa"/>
            <w:noWrap w:val="0"/>
            <w:vAlign w:val="center"/>
          </w:tcPr>
          <w:p w14:paraId="56635110">
            <w:pPr>
              <w:adjustRightInd w:val="0"/>
              <w:snapToGrid w:val="0"/>
              <w:jc w:val="center"/>
              <w:rPr>
                <w:rFonts w:hint="eastAsia" w:ascii="宋体" w:hAnsi="宋体" w:cs="宋体"/>
                <w:color w:val="auto"/>
                <w:szCs w:val="21"/>
                <w:highlight w:val="none"/>
              </w:rPr>
            </w:pPr>
          </w:p>
        </w:tc>
        <w:tc>
          <w:tcPr>
            <w:tcW w:w="1189" w:type="dxa"/>
            <w:noWrap w:val="0"/>
            <w:vAlign w:val="center"/>
          </w:tcPr>
          <w:p w14:paraId="35600B9A">
            <w:pPr>
              <w:adjustRightInd w:val="0"/>
              <w:snapToGrid w:val="0"/>
              <w:jc w:val="center"/>
              <w:rPr>
                <w:rFonts w:hint="eastAsia" w:ascii="宋体" w:hAnsi="宋体" w:cs="宋体"/>
                <w:color w:val="auto"/>
                <w:szCs w:val="21"/>
                <w:highlight w:val="none"/>
              </w:rPr>
            </w:pPr>
          </w:p>
        </w:tc>
        <w:tc>
          <w:tcPr>
            <w:tcW w:w="1275" w:type="dxa"/>
            <w:noWrap w:val="0"/>
            <w:vAlign w:val="center"/>
          </w:tcPr>
          <w:p w14:paraId="20D57E30">
            <w:pPr>
              <w:adjustRightInd w:val="0"/>
              <w:snapToGrid w:val="0"/>
              <w:jc w:val="center"/>
              <w:rPr>
                <w:rFonts w:hint="eastAsia" w:ascii="宋体" w:hAnsi="宋体" w:cs="宋体"/>
                <w:color w:val="auto"/>
                <w:szCs w:val="21"/>
                <w:highlight w:val="none"/>
              </w:rPr>
            </w:pPr>
          </w:p>
        </w:tc>
        <w:tc>
          <w:tcPr>
            <w:tcW w:w="1243" w:type="dxa"/>
            <w:noWrap w:val="0"/>
            <w:vAlign w:val="center"/>
          </w:tcPr>
          <w:p w14:paraId="691045E5">
            <w:pPr>
              <w:adjustRightInd w:val="0"/>
              <w:snapToGrid w:val="0"/>
              <w:jc w:val="center"/>
              <w:rPr>
                <w:rFonts w:hint="eastAsia" w:ascii="宋体" w:hAnsi="宋体" w:cs="宋体"/>
                <w:color w:val="auto"/>
                <w:szCs w:val="21"/>
                <w:highlight w:val="none"/>
              </w:rPr>
            </w:pPr>
          </w:p>
        </w:tc>
        <w:tc>
          <w:tcPr>
            <w:tcW w:w="1286" w:type="dxa"/>
            <w:noWrap w:val="0"/>
            <w:vAlign w:val="center"/>
          </w:tcPr>
          <w:p w14:paraId="2C7B5628">
            <w:pPr>
              <w:adjustRightInd w:val="0"/>
              <w:snapToGrid w:val="0"/>
              <w:jc w:val="center"/>
              <w:rPr>
                <w:rFonts w:hint="eastAsia" w:ascii="宋体" w:hAnsi="宋体" w:cs="宋体"/>
                <w:color w:val="auto"/>
                <w:szCs w:val="21"/>
                <w:highlight w:val="none"/>
              </w:rPr>
            </w:pPr>
          </w:p>
        </w:tc>
      </w:tr>
      <w:tr w14:paraId="396E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94" w:type="dxa"/>
            <w:noWrap w:val="0"/>
            <w:vAlign w:val="center"/>
          </w:tcPr>
          <w:p w14:paraId="0935217B">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356" w:type="dxa"/>
            <w:noWrap w:val="0"/>
            <w:vAlign w:val="center"/>
          </w:tcPr>
          <w:p w14:paraId="0B15AD53">
            <w:pPr>
              <w:adjustRightInd w:val="0"/>
              <w:snapToGrid w:val="0"/>
              <w:jc w:val="center"/>
              <w:rPr>
                <w:rFonts w:hint="eastAsia" w:ascii="宋体" w:hAnsi="宋体" w:cs="宋体"/>
                <w:color w:val="auto"/>
                <w:szCs w:val="21"/>
                <w:highlight w:val="none"/>
              </w:rPr>
            </w:pPr>
          </w:p>
        </w:tc>
        <w:tc>
          <w:tcPr>
            <w:tcW w:w="1187" w:type="dxa"/>
            <w:noWrap w:val="0"/>
            <w:vAlign w:val="center"/>
          </w:tcPr>
          <w:p w14:paraId="0672C0B9">
            <w:pPr>
              <w:adjustRightInd w:val="0"/>
              <w:snapToGrid w:val="0"/>
              <w:jc w:val="center"/>
              <w:rPr>
                <w:rFonts w:hint="eastAsia" w:ascii="宋体" w:hAnsi="宋体" w:cs="宋体"/>
                <w:color w:val="auto"/>
                <w:szCs w:val="21"/>
                <w:highlight w:val="none"/>
              </w:rPr>
            </w:pPr>
          </w:p>
        </w:tc>
        <w:tc>
          <w:tcPr>
            <w:tcW w:w="1189" w:type="dxa"/>
            <w:noWrap w:val="0"/>
            <w:vAlign w:val="center"/>
          </w:tcPr>
          <w:p w14:paraId="7183F3CF">
            <w:pPr>
              <w:adjustRightInd w:val="0"/>
              <w:snapToGrid w:val="0"/>
              <w:jc w:val="center"/>
              <w:rPr>
                <w:rFonts w:hint="eastAsia" w:ascii="宋体" w:hAnsi="宋体" w:cs="宋体"/>
                <w:color w:val="auto"/>
                <w:szCs w:val="21"/>
                <w:highlight w:val="none"/>
              </w:rPr>
            </w:pPr>
          </w:p>
        </w:tc>
        <w:tc>
          <w:tcPr>
            <w:tcW w:w="1275" w:type="dxa"/>
            <w:noWrap w:val="0"/>
            <w:vAlign w:val="center"/>
          </w:tcPr>
          <w:p w14:paraId="0D9A599C">
            <w:pPr>
              <w:adjustRightInd w:val="0"/>
              <w:snapToGrid w:val="0"/>
              <w:jc w:val="center"/>
              <w:rPr>
                <w:rFonts w:hint="eastAsia" w:ascii="宋体" w:hAnsi="宋体" w:cs="宋体"/>
                <w:color w:val="auto"/>
                <w:szCs w:val="21"/>
                <w:highlight w:val="none"/>
              </w:rPr>
            </w:pPr>
          </w:p>
        </w:tc>
        <w:tc>
          <w:tcPr>
            <w:tcW w:w="1243" w:type="dxa"/>
            <w:noWrap w:val="0"/>
            <w:vAlign w:val="center"/>
          </w:tcPr>
          <w:p w14:paraId="1E39AC23">
            <w:pPr>
              <w:adjustRightInd w:val="0"/>
              <w:snapToGrid w:val="0"/>
              <w:jc w:val="center"/>
              <w:rPr>
                <w:rFonts w:hint="eastAsia" w:ascii="宋体" w:hAnsi="宋体" w:cs="宋体"/>
                <w:color w:val="auto"/>
                <w:szCs w:val="21"/>
                <w:highlight w:val="none"/>
              </w:rPr>
            </w:pPr>
          </w:p>
        </w:tc>
        <w:tc>
          <w:tcPr>
            <w:tcW w:w="1286" w:type="dxa"/>
            <w:noWrap w:val="0"/>
            <w:vAlign w:val="center"/>
          </w:tcPr>
          <w:p w14:paraId="00E6D5D8">
            <w:pPr>
              <w:adjustRightInd w:val="0"/>
              <w:snapToGrid w:val="0"/>
              <w:jc w:val="center"/>
              <w:rPr>
                <w:rFonts w:hint="eastAsia" w:ascii="宋体" w:hAnsi="宋体" w:cs="宋体"/>
                <w:color w:val="auto"/>
                <w:szCs w:val="21"/>
                <w:highlight w:val="none"/>
              </w:rPr>
            </w:pPr>
          </w:p>
        </w:tc>
      </w:tr>
      <w:bookmarkEnd w:id="1622"/>
    </w:tbl>
    <w:p w14:paraId="128617D4">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0753DBA5">
      <w:pPr>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投标人须按照上述格式填写投入本项目所有人员的相关信息。</w:t>
      </w:r>
    </w:p>
    <w:p w14:paraId="6D51A7D0">
      <w:pPr>
        <w:topLinePunct/>
        <w:autoSpaceDE w:val="0"/>
        <w:autoSpaceDN w:val="0"/>
        <w:spacing w:line="460" w:lineRule="exact"/>
        <w:rPr>
          <w:rFonts w:hint="eastAsia" w:ascii="宋体" w:hAnsi="宋体" w:cs="宋体"/>
          <w:bCs/>
          <w:color w:val="auto"/>
          <w:w w:val="150"/>
          <w:sz w:val="24"/>
          <w:highlight w:val="none"/>
        </w:rPr>
      </w:pPr>
    </w:p>
    <w:p w14:paraId="7CAEB770">
      <w:pPr>
        <w:widowControl/>
        <w:jc w:val="left"/>
        <w:rPr>
          <w:rFonts w:hint="eastAsia" w:ascii="宋体" w:hAnsi="宋体" w:cs="宋体"/>
          <w:color w:val="auto"/>
          <w:kern w:val="0"/>
          <w:szCs w:val="20"/>
          <w:highlight w:val="none"/>
        </w:rPr>
      </w:pPr>
      <w:r>
        <w:rPr>
          <w:rFonts w:hint="eastAsia" w:ascii="宋体" w:hAnsi="宋体" w:cs="宋体"/>
          <w:color w:val="auto"/>
          <w:highlight w:val="none"/>
        </w:rPr>
        <w:br w:type="page"/>
      </w:r>
    </w:p>
    <w:p w14:paraId="0D4DB880">
      <w:pPr>
        <w:pStyle w:val="5"/>
        <w:rPr>
          <w:rFonts w:hint="eastAsia" w:ascii="宋体" w:hAnsi="宋体" w:cs="宋体"/>
          <w:color w:val="auto"/>
          <w:highlight w:val="none"/>
        </w:rPr>
      </w:pPr>
      <w:bookmarkStart w:id="1627" w:name="_Toc30470"/>
      <w:bookmarkStart w:id="1628" w:name="_Toc164182817"/>
      <w:bookmarkStart w:id="1629" w:name="_Toc164181791"/>
      <w:bookmarkStart w:id="1630" w:name="_Toc30903"/>
      <w:bookmarkStart w:id="1631" w:name="_Toc164680962"/>
      <w:bookmarkStart w:id="1632" w:name="_Toc22591"/>
      <w:bookmarkStart w:id="1633" w:name="_Toc15511"/>
      <w:bookmarkStart w:id="1634" w:name="_Toc164182319"/>
      <w:bookmarkStart w:id="1635" w:name="_Toc164182109"/>
      <w:bookmarkStart w:id="1636" w:name="_Toc164681337"/>
      <w:r>
        <w:rPr>
          <w:rFonts w:hint="eastAsia" w:ascii="宋体" w:hAnsi="宋体" w:cs="宋体"/>
          <w:color w:val="auto"/>
          <w:highlight w:val="none"/>
        </w:rPr>
        <w:t>2．服务人员简历表</w:t>
      </w:r>
      <w:bookmarkEnd w:id="1627"/>
      <w:bookmarkEnd w:id="1628"/>
      <w:bookmarkEnd w:id="1629"/>
      <w:bookmarkEnd w:id="1630"/>
      <w:bookmarkEnd w:id="1631"/>
      <w:bookmarkEnd w:id="1632"/>
      <w:bookmarkEnd w:id="1633"/>
      <w:bookmarkEnd w:id="1634"/>
      <w:bookmarkEnd w:id="1635"/>
      <w:bookmarkEnd w:id="1636"/>
    </w:p>
    <w:p w14:paraId="5640034A">
      <w:pPr>
        <w:bidi w:val="0"/>
        <w:jc w:val="center"/>
        <w:rPr>
          <w:rFonts w:hint="eastAsia" w:ascii="Times New Roman" w:hAnsi="Times New Roman" w:eastAsia="宋体" w:cs="Times New Roman"/>
          <w:b/>
          <w:bCs/>
          <w:sz w:val="32"/>
          <w:szCs w:val="32"/>
        </w:rPr>
      </w:pPr>
      <w:bookmarkStart w:id="1637" w:name="_Toc16887"/>
      <w:bookmarkStart w:id="1638" w:name="_Toc26653"/>
      <w:bookmarkStart w:id="1639" w:name="_Toc31960"/>
      <w:bookmarkStart w:id="1640" w:name="_Toc22651"/>
      <w:r>
        <w:rPr>
          <w:rFonts w:hint="eastAsia" w:ascii="Times New Roman" w:hAnsi="Times New Roman" w:eastAsia="宋体" w:cs="Times New Roman"/>
          <w:b/>
          <w:bCs/>
          <w:sz w:val="32"/>
          <w:szCs w:val="32"/>
        </w:rPr>
        <w:t>服务人员简历表</w:t>
      </w:r>
      <w:bookmarkEnd w:id="1637"/>
      <w:bookmarkEnd w:id="1638"/>
      <w:bookmarkEnd w:id="1639"/>
      <w:bookmarkEnd w:id="1640"/>
    </w:p>
    <w:tbl>
      <w:tblPr>
        <w:tblStyle w:val="31"/>
        <w:tblW w:w="8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1701"/>
        <w:gridCol w:w="1276"/>
        <w:gridCol w:w="1559"/>
        <w:gridCol w:w="1276"/>
        <w:gridCol w:w="1366"/>
      </w:tblGrid>
      <w:tr w14:paraId="48815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40" w:type="dxa"/>
            <w:tcBorders>
              <w:top w:val="single" w:color="auto" w:sz="4" w:space="0"/>
              <w:left w:val="single" w:color="auto" w:sz="4" w:space="0"/>
              <w:bottom w:val="single" w:color="auto" w:sz="4" w:space="0"/>
              <w:right w:val="single" w:color="auto" w:sz="4" w:space="0"/>
            </w:tcBorders>
            <w:noWrap w:val="0"/>
            <w:vAlign w:val="center"/>
          </w:tcPr>
          <w:p w14:paraId="0A2E45A0">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81795B7">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7DEB75F">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6F5BF6B">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3F3019B">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出生日期</w:t>
            </w:r>
          </w:p>
        </w:tc>
        <w:tc>
          <w:tcPr>
            <w:tcW w:w="1366" w:type="dxa"/>
            <w:tcBorders>
              <w:top w:val="single" w:color="auto" w:sz="4" w:space="0"/>
              <w:left w:val="single" w:color="auto" w:sz="4" w:space="0"/>
              <w:bottom w:val="single" w:color="auto" w:sz="4" w:space="0"/>
              <w:right w:val="single" w:color="auto" w:sz="4" w:space="0"/>
            </w:tcBorders>
            <w:noWrap w:val="0"/>
            <w:vAlign w:val="center"/>
          </w:tcPr>
          <w:p w14:paraId="4E0F4061">
            <w:pPr>
              <w:adjustRightInd w:val="0"/>
              <w:jc w:val="center"/>
              <w:rPr>
                <w:rFonts w:hint="eastAsia" w:ascii="宋体" w:hAnsi="宋体" w:cs="宋体"/>
                <w:color w:val="auto"/>
                <w:szCs w:val="21"/>
                <w:highlight w:val="none"/>
              </w:rPr>
            </w:pPr>
          </w:p>
        </w:tc>
      </w:tr>
      <w:tr w14:paraId="4E9E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40" w:type="dxa"/>
            <w:tcBorders>
              <w:top w:val="single" w:color="auto" w:sz="4" w:space="0"/>
              <w:left w:val="single" w:color="auto" w:sz="4" w:space="0"/>
              <w:bottom w:val="single" w:color="auto" w:sz="4" w:space="0"/>
              <w:right w:val="single" w:color="auto" w:sz="4" w:space="0"/>
            </w:tcBorders>
            <w:noWrap w:val="0"/>
            <w:vAlign w:val="center"/>
          </w:tcPr>
          <w:p w14:paraId="0D1E2D3F">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27E6FAD">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DF7C4A1">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毕业学校</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F71CFDC">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336467C">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366" w:type="dxa"/>
            <w:tcBorders>
              <w:top w:val="single" w:color="auto" w:sz="4" w:space="0"/>
              <w:left w:val="single" w:color="auto" w:sz="4" w:space="0"/>
              <w:bottom w:val="single" w:color="auto" w:sz="4" w:space="0"/>
              <w:right w:val="single" w:color="auto" w:sz="4" w:space="0"/>
            </w:tcBorders>
            <w:noWrap w:val="0"/>
            <w:vAlign w:val="center"/>
          </w:tcPr>
          <w:p w14:paraId="21AA018D">
            <w:pPr>
              <w:adjustRightInd w:val="0"/>
              <w:jc w:val="center"/>
              <w:rPr>
                <w:rFonts w:hint="eastAsia" w:ascii="宋体" w:hAnsi="宋体" w:cs="宋体"/>
                <w:color w:val="auto"/>
                <w:szCs w:val="21"/>
                <w:highlight w:val="none"/>
              </w:rPr>
            </w:pPr>
          </w:p>
        </w:tc>
      </w:tr>
      <w:tr w14:paraId="01FE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40" w:type="dxa"/>
            <w:tcBorders>
              <w:top w:val="single" w:color="auto" w:sz="4" w:space="0"/>
              <w:left w:val="single" w:color="auto" w:sz="4" w:space="0"/>
              <w:bottom w:val="single" w:color="auto" w:sz="4" w:space="0"/>
              <w:right w:val="single" w:color="auto" w:sz="4" w:space="0"/>
            </w:tcBorders>
            <w:noWrap w:val="0"/>
            <w:vAlign w:val="center"/>
          </w:tcPr>
          <w:p w14:paraId="0CEE26A9">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公司职务</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76573176">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4608C53">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任职时间</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80DA553">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FEAFC9D">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本项目任职</w:t>
            </w:r>
          </w:p>
        </w:tc>
        <w:tc>
          <w:tcPr>
            <w:tcW w:w="1366" w:type="dxa"/>
            <w:tcBorders>
              <w:top w:val="single" w:color="auto" w:sz="4" w:space="0"/>
              <w:left w:val="single" w:color="auto" w:sz="4" w:space="0"/>
              <w:bottom w:val="single" w:color="auto" w:sz="4" w:space="0"/>
              <w:right w:val="single" w:color="auto" w:sz="4" w:space="0"/>
            </w:tcBorders>
            <w:noWrap w:val="0"/>
            <w:vAlign w:val="center"/>
          </w:tcPr>
          <w:p w14:paraId="78597115">
            <w:pPr>
              <w:adjustRightInd w:val="0"/>
              <w:jc w:val="center"/>
              <w:rPr>
                <w:rFonts w:hint="eastAsia" w:ascii="宋体" w:hAnsi="宋体" w:cs="宋体"/>
                <w:color w:val="auto"/>
                <w:szCs w:val="21"/>
                <w:highlight w:val="none"/>
              </w:rPr>
            </w:pPr>
          </w:p>
        </w:tc>
      </w:tr>
      <w:tr w14:paraId="35DF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140" w:type="dxa"/>
            <w:tcBorders>
              <w:top w:val="single" w:color="auto" w:sz="4" w:space="0"/>
              <w:left w:val="single" w:color="auto" w:sz="4" w:space="0"/>
              <w:bottom w:val="single" w:color="auto" w:sz="4" w:space="0"/>
              <w:right w:val="single" w:color="auto" w:sz="4" w:space="0"/>
            </w:tcBorders>
            <w:noWrap w:val="0"/>
            <w:vAlign w:val="center"/>
          </w:tcPr>
          <w:p w14:paraId="26F78B00">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人员级别</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0C582BB">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7BC2930">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从事XXX</w:t>
            </w:r>
          </w:p>
          <w:p w14:paraId="5CF097D8">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工作年限</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17C2EFD">
            <w:pPr>
              <w:adjustRightInd w:val="0"/>
              <w:jc w:val="center"/>
              <w:rPr>
                <w:rFonts w:hint="eastAsia" w:ascii="宋体" w:hAnsi="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861D803">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从事XXXX年限</w:t>
            </w:r>
          </w:p>
        </w:tc>
        <w:tc>
          <w:tcPr>
            <w:tcW w:w="1366" w:type="dxa"/>
            <w:tcBorders>
              <w:top w:val="single" w:color="auto" w:sz="4" w:space="0"/>
              <w:left w:val="single" w:color="auto" w:sz="4" w:space="0"/>
              <w:bottom w:val="single" w:color="auto" w:sz="4" w:space="0"/>
              <w:right w:val="single" w:color="auto" w:sz="4" w:space="0"/>
            </w:tcBorders>
            <w:noWrap w:val="0"/>
            <w:vAlign w:val="center"/>
          </w:tcPr>
          <w:p w14:paraId="388C7327">
            <w:pPr>
              <w:adjustRightInd w:val="0"/>
              <w:jc w:val="center"/>
              <w:rPr>
                <w:rFonts w:hint="eastAsia" w:ascii="宋体" w:hAnsi="宋体" w:cs="宋体"/>
                <w:color w:val="auto"/>
                <w:szCs w:val="21"/>
                <w:highlight w:val="none"/>
              </w:rPr>
            </w:pPr>
          </w:p>
        </w:tc>
      </w:tr>
      <w:tr w14:paraId="3BEAE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140" w:type="dxa"/>
            <w:tcBorders>
              <w:top w:val="single" w:color="auto" w:sz="4" w:space="0"/>
              <w:left w:val="single" w:color="auto" w:sz="4" w:space="0"/>
              <w:bottom w:val="single" w:color="auto" w:sz="4" w:space="0"/>
              <w:right w:val="single" w:color="auto" w:sz="4" w:space="0"/>
            </w:tcBorders>
            <w:noWrap w:val="0"/>
            <w:vAlign w:val="center"/>
          </w:tcPr>
          <w:p w14:paraId="6CBB0981">
            <w:pPr>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认证证书</w:t>
            </w:r>
          </w:p>
        </w:tc>
        <w:tc>
          <w:tcPr>
            <w:tcW w:w="7178" w:type="dxa"/>
            <w:gridSpan w:val="5"/>
            <w:tcBorders>
              <w:top w:val="single" w:color="auto" w:sz="4" w:space="0"/>
              <w:left w:val="single" w:color="auto" w:sz="4" w:space="0"/>
              <w:bottom w:val="single" w:color="auto" w:sz="4" w:space="0"/>
              <w:right w:val="single" w:color="auto" w:sz="4" w:space="0"/>
            </w:tcBorders>
            <w:noWrap w:val="0"/>
            <w:vAlign w:val="center"/>
          </w:tcPr>
          <w:p w14:paraId="11B09472">
            <w:pPr>
              <w:adjustRightInd w:val="0"/>
              <w:jc w:val="center"/>
              <w:rPr>
                <w:rFonts w:hint="eastAsia" w:ascii="宋体" w:hAnsi="宋体" w:cs="宋体"/>
                <w:color w:val="auto"/>
                <w:szCs w:val="21"/>
                <w:highlight w:val="none"/>
              </w:rPr>
            </w:pPr>
          </w:p>
        </w:tc>
      </w:tr>
      <w:tr w14:paraId="00FC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jc w:val="center"/>
        </w:trPr>
        <w:tc>
          <w:tcPr>
            <w:tcW w:w="8318" w:type="dxa"/>
            <w:gridSpan w:val="6"/>
            <w:tcBorders>
              <w:top w:val="single" w:color="auto" w:sz="4" w:space="0"/>
              <w:left w:val="single" w:color="auto" w:sz="4" w:space="0"/>
              <w:bottom w:val="single" w:color="auto" w:sz="4" w:space="0"/>
              <w:right w:val="single" w:color="auto" w:sz="4" w:space="0"/>
            </w:tcBorders>
            <w:noWrap w:val="0"/>
            <w:vAlign w:val="top"/>
          </w:tcPr>
          <w:p w14:paraId="0AF7EA1D">
            <w:pPr>
              <w:rPr>
                <w:rFonts w:hint="eastAsia" w:ascii="宋体" w:hAnsi="宋体" w:cs="宋体"/>
                <w:color w:val="auto"/>
                <w:szCs w:val="21"/>
                <w:highlight w:val="none"/>
              </w:rPr>
            </w:pPr>
            <w:r>
              <w:rPr>
                <w:rFonts w:hint="eastAsia" w:ascii="宋体" w:hAnsi="宋体" w:cs="宋体"/>
                <w:color w:val="auto"/>
                <w:szCs w:val="21"/>
                <w:highlight w:val="none"/>
              </w:rPr>
              <w:t>工作简历及主要业绩</w:t>
            </w:r>
          </w:p>
          <w:p w14:paraId="0F8480ED">
            <w:pPr>
              <w:adjustRightInd w:val="0"/>
              <w:rPr>
                <w:rFonts w:hint="eastAsia" w:ascii="宋体" w:hAnsi="宋体" w:cs="宋体"/>
                <w:color w:val="auto"/>
                <w:szCs w:val="21"/>
                <w:highlight w:val="none"/>
              </w:rPr>
            </w:pPr>
          </w:p>
        </w:tc>
      </w:tr>
    </w:tbl>
    <w:p w14:paraId="1786A3FD">
      <w:pPr>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71347E65">
      <w:pPr>
        <w:adjustRightInd w:val="0"/>
        <w:snapToGrid w:val="0"/>
        <w:spacing w:line="360" w:lineRule="auto"/>
        <w:ind w:firstLine="422" w:firstLineChars="200"/>
        <w:rPr>
          <w:rFonts w:hint="eastAsia" w:ascii="宋体" w:hAnsi="宋体" w:eastAsia="宋体" w:cs="宋体"/>
          <w:b/>
          <w:color w:val="auto"/>
          <w:szCs w:val="21"/>
          <w:highlight w:val="none"/>
        </w:rPr>
      </w:pPr>
      <w:bookmarkStart w:id="1641" w:name="_Toc8955"/>
      <w:bookmarkStart w:id="1642" w:name="_Toc18465"/>
      <w:bookmarkStart w:id="1643" w:name="_Toc26492"/>
      <w:bookmarkStart w:id="1644" w:name="_Toc21128"/>
      <w:r>
        <w:rPr>
          <w:rFonts w:hint="eastAsia" w:ascii="宋体" w:hAnsi="宋体" w:eastAsia="宋体" w:cs="宋体"/>
          <w:b/>
          <w:color w:val="auto"/>
          <w:szCs w:val="21"/>
          <w:highlight w:val="none"/>
        </w:rPr>
        <w:t>①投标人应提供投入本项目所有人员的简历。</w:t>
      </w:r>
      <w:bookmarkEnd w:id="1641"/>
      <w:bookmarkEnd w:id="1642"/>
      <w:bookmarkEnd w:id="1643"/>
      <w:bookmarkEnd w:id="1644"/>
    </w:p>
    <w:p w14:paraId="7A2F896A">
      <w:pPr>
        <w:adjustRightInd w:val="0"/>
        <w:snapToGrid w:val="0"/>
        <w:spacing w:line="360" w:lineRule="auto"/>
        <w:ind w:firstLine="422" w:firstLineChars="200"/>
        <w:rPr>
          <w:rFonts w:hint="eastAsia" w:ascii="宋体" w:hAnsi="宋体" w:cs="宋体"/>
          <w:b/>
          <w:color w:val="auto"/>
          <w:szCs w:val="21"/>
          <w:highlight w:val="none"/>
          <w:lang w:eastAsia="zh-CN"/>
        </w:rPr>
      </w:pPr>
      <w:r>
        <w:rPr>
          <w:rFonts w:hint="eastAsia" w:ascii="宋体" w:hAnsi="宋体" w:cs="宋体"/>
          <w:b/>
          <w:color w:val="auto"/>
          <w:szCs w:val="21"/>
          <w:highlight w:val="none"/>
        </w:rPr>
        <w:t>②</w:t>
      </w:r>
      <w:r>
        <w:rPr>
          <w:rFonts w:hint="eastAsia" w:ascii="宋体" w:hAnsi="宋体" w:eastAsia="宋体" w:cs="宋体"/>
          <w:b/>
          <w:bCs w:val="0"/>
          <w:color w:val="auto"/>
          <w:sz w:val="21"/>
          <w:szCs w:val="21"/>
          <w:highlight w:val="none"/>
        </w:rPr>
        <w:t>投标文件须提供上述团队成员的相关证书</w:t>
      </w:r>
      <w:r>
        <w:rPr>
          <w:rFonts w:hint="eastAsia" w:ascii="宋体" w:hAnsi="宋体" w:eastAsia="宋体" w:cs="宋体"/>
          <w:b/>
          <w:bCs w:val="0"/>
          <w:color w:val="auto"/>
          <w:sz w:val="21"/>
          <w:szCs w:val="21"/>
          <w:highlight w:val="none"/>
          <w:lang w:val="en-US" w:eastAsia="zh-CN"/>
        </w:rPr>
        <w:t>及</w:t>
      </w:r>
      <w:r>
        <w:rPr>
          <w:rFonts w:hint="eastAsia" w:ascii="宋体" w:hAnsi="宋体" w:eastAsia="宋体" w:cs="宋体"/>
          <w:b/>
          <w:bCs w:val="0"/>
          <w:color w:val="auto"/>
          <w:sz w:val="21"/>
          <w:szCs w:val="21"/>
          <w:highlight w:val="none"/>
        </w:rPr>
        <w:t>投标人距投标截止之日开标日前三个月中任意一个月的团队成员缴纳社保证明等复印件</w:t>
      </w:r>
      <w:r>
        <w:rPr>
          <w:rFonts w:hint="eastAsia" w:ascii="宋体" w:hAnsi="宋体" w:cs="宋体"/>
          <w:b/>
          <w:bCs w:val="0"/>
          <w:color w:val="auto"/>
          <w:sz w:val="21"/>
          <w:szCs w:val="21"/>
          <w:highlight w:val="none"/>
          <w:lang w:val="en-US" w:eastAsia="zh-CN"/>
        </w:rPr>
        <w:t>并</w:t>
      </w:r>
      <w:r>
        <w:rPr>
          <w:rFonts w:hint="eastAsia" w:ascii="宋体" w:hAnsi="宋体" w:eastAsia="宋体" w:cs="宋体"/>
          <w:b/>
          <w:bCs w:val="0"/>
          <w:color w:val="auto"/>
          <w:sz w:val="21"/>
          <w:szCs w:val="21"/>
          <w:highlight w:val="none"/>
        </w:rPr>
        <w:t>加盖投标人公章，</w:t>
      </w:r>
      <w:r>
        <w:rPr>
          <w:rFonts w:hint="eastAsia" w:ascii="宋体" w:hAnsi="宋体" w:eastAsia="宋体" w:cs="宋体"/>
          <w:b/>
          <w:color w:val="auto"/>
          <w:sz w:val="21"/>
          <w:szCs w:val="21"/>
          <w:highlight w:val="none"/>
        </w:rPr>
        <w:t>电子证书须提供显示官方网页地址的截图并加盖投标人公章</w:t>
      </w:r>
      <w:r>
        <w:rPr>
          <w:rFonts w:hint="eastAsia" w:ascii="宋体" w:hAnsi="宋体" w:cs="宋体"/>
          <w:b/>
          <w:color w:val="auto"/>
          <w:szCs w:val="21"/>
          <w:highlight w:val="none"/>
          <w:lang w:eastAsia="zh-CN"/>
        </w:rPr>
        <w:t>。</w:t>
      </w:r>
    </w:p>
    <w:p w14:paraId="2615B4B1">
      <w:pPr>
        <w:pStyle w:val="10"/>
        <w:ind w:left="0" w:leftChars="0" w:firstLine="0" w:firstLineChars="0"/>
        <w:rPr>
          <w:rFonts w:hint="default" w:eastAsia="宋体"/>
          <w:b/>
          <w:bCs/>
          <w:lang w:val="en-US" w:eastAsia="zh-CN"/>
        </w:rPr>
      </w:pPr>
      <w:r>
        <w:rPr>
          <w:rFonts w:hint="eastAsia"/>
          <w:b/>
          <w:bCs/>
          <w:lang w:val="en-US" w:eastAsia="zh-CN"/>
        </w:rPr>
        <w:t>以上人员需提供的其他材料请按照评分标准要求编制。</w:t>
      </w:r>
    </w:p>
    <w:p w14:paraId="1F703B0D">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01EB83EB">
      <w:pPr>
        <w:adjustRightInd w:val="0"/>
        <w:snapToGrid w:val="0"/>
        <w:spacing w:line="360" w:lineRule="auto"/>
        <w:rPr>
          <w:rFonts w:hint="eastAsia" w:ascii="宋体" w:hAnsi="宋体" w:cs="宋体"/>
          <w:color w:val="auto"/>
          <w:sz w:val="24"/>
          <w:szCs w:val="21"/>
          <w:highlight w:val="none"/>
        </w:rPr>
      </w:pPr>
    </w:p>
    <w:p w14:paraId="1A2EC42E">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0EF28778">
      <w:pPr>
        <w:rPr>
          <w:rFonts w:hint="eastAsia" w:ascii="宋体" w:hAnsi="宋体" w:cs="宋体"/>
          <w:color w:val="auto"/>
          <w:highlight w:val="none"/>
        </w:rPr>
      </w:pPr>
    </w:p>
    <w:p w14:paraId="42A1E494">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56017E27">
      <w:pPr>
        <w:pStyle w:val="3"/>
        <w:rPr>
          <w:rFonts w:hint="eastAsia" w:ascii="宋体" w:hAnsi="宋体" w:cs="宋体"/>
          <w:color w:val="auto"/>
          <w:highlight w:val="none"/>
        </w:rPr>
      </w:pPr>
      <w:bookmarkStart w:id="1645" w:name="_Toc29696"/>
      <w:bookmarkStart w:id="1646" w:name="_Toc164681340"/>
      <w:bookmarkStart w:id="1647" w:name="_Toc164182820"/>
      <w:bookmarkStart w:id="1648" w:name="_Toc14798"/>
      <w:bookmarkStart w:id="1649" w:name="_Toc9648"/>
      <w:bookmarkStart w:id="1650" w:name="_Toc164182322"/>
      <w:bookmarkStart w:id="1651" w:name="_Toc4636"/>
      <w:bookmarkStart w:id="1652" w:name="_Toc27808"/>
      <w:bookmarkStart w:id="1653" w:name="_Toc19417"/>
      <w:r>
        <w:rPr>
          <w:rFonts w:hint="eastAsia" w:ascii="宋体" w:hAnsi="宋体" w:cs="宋体"/>
          <w:color w:val="auto"/>
          <w:highlight w:val="none"/>
        </w:rPr>
        <w:t>第二部分  投标文件技术部分格式</w:t>
      </w:r>
      <w:bookmarkEnd w:id="1645"/>
      <w:bookmarkEnd w:id="1646"/>
      <w:bookmarkEnd w:id="1647"/>
      <w:bookmarkEnd w:id="1648"/>
      <w:bookmarkEnd w:id="1649"/>
      <w:bookmarkEnd w:id="1650"/>
      <w:bookmarkEnd w:id="1651"/>
      <w:bookmarkEnd w:id="1652"/>
      <w:bookmarkEnd w:id="1653"/>
    </w:p>
    <w:p w14:paraId="7EA224AD">
      <w:pPr>
        <w:adjustRightInd w:val="0"/>
        <w:snapToGrid w:val="0"/>
        <w:spacing w:line="360" w:lineRule="auto"/>
        <w:ind w:firstLine="480" w:firstLineChars="200"/>
        <w:rPr>
          <w:rFonts w:hint="eastAsia" w:ascii="宋体" w:hAnsi="宋体" w:cs="宋体"/>
          <w:color w:val="auto"/>
          <w:sz w:val="24"/>
          <w:szCs w:val="21"/>
          <w:highlight w:val="none"/>
        </w:rPr>
      </w:pPr>
    </w:p>
    <w:p w14:paraId="38A77D10">
      <w:pPr>
        <w:adjustRightInd w:val="0"/>
        <w:snapToGrid w:val="0"/>
        <w:spacing w:line="360" w:lineRule="auto"/>
        <w:ind w:firstLine="480" w:firstLineChars="200"/>
        <w:rPr>
          <w:rFonts w:hint="eastAsia" w:ascii="宋体" w:hAnsi="宋体" w:cs="宋体"/>
          <w:color w:val="auto"/>
          <w:sz w:val="24"/>
          <w:szCs w:val="21"/>
          <w:highlight w:val="none"/>
        </w:rPr>
      </w:pPr>
    </w:p>
    <w:p w14:paraId="0688E8E8">
      <w:pPr>
        <w:adjustRightInd w:val="0"/>
        <w:snapToGrid w:val="0"/>
        <w:spacing w:line="360" w:lineRule="auto"/>
        <w:ind w:firstLine="480" w:firstLineChars="200"/>
        <w:rPr>
          <w:rFonts w:hint="eastAsia" w:ascii="宋体" w:hAnsi="宋体" w:cs="宋体"/>
          <w:color w:val="auto"/>
          <w:sz w:val="24"/>
          <w:szCs w:val="21"/>
          <w:highlight w:val="none"/>
        </w:rPr>
      </w:pPr>
    </w:p>
    <w:p w14:paraId="180D092A">
      <w:pPr>
        <w:adjustRightInd w:val="0"/>
        <w:snapToGrid w:val="0"/>
        <w:spacing w:line="360" w:lineRule="auto"/>
        <w:ind w:firstLine="480" w:firstLineChars="200"/>
        <w:rPr>
          <w:rFonts w:hint="eastAsia" w:ascii="宋体" w:hAnsi="宋体" w:cs="宋体"/>
          <w:color w:val="auto"/>
          <w:sz w:val="24"/>
          <w:szCs w:val="21"/>
          <w:highlight w:val="none"/>
        </w:rPr>
      </w:pPr>
    </w:p>
    <w:p w14:paraId="3396EEE8">
      <w:pPr>
        <w:adjustRightInd w:val="0"/>
        <w:snapToGrid w:val="0"/>
        <w:spacing w:line="360" w:lineRule="auto"/>
        <w:ind w:firstLine="480" w:firstLineChars="200"/>
        <w:rPr>
          <w:rFonts w:hint="eastAsia" w:ascii="宋体" w:hAnsi="宋体" w:cs="宋体"/>
          <w:color w:val="auto"/>
          <w:sz w:val="24"/>
          <w:szCs w:val="21"/>
          <w:highlight w:val="none"/>
        </w:rPr>
      </w:pPr>
    </w:p>
    <w:p w14:paraId="097116AE">
      <w:pPr>
        <w:adjustRightInd w:val="0"/>
        <w:snapToGrid w:val="0"/>
        <w:spacing w:line="360" w:lineRule="auto"/>
        <w:jc w:val="center"/>
        <w:rPr>
          <w:rFonts w:hint="eastAsia" w:ascii="宋体" w:hAnsi="宋体" w:eastAsia="宋体" w:cs="宋体"/>
          <w:b/>
          <w:caps/>
          <w:color w:val="auto"/>
          <w:sz w:val="72"/>
          <w:szCs w:val="20"/>
          <w:highlight w:val="none"/>
        </w:rPr>
      </w:pPr>
      <w:bookmarkStart w:id="1654" w:name="_Toc23177"/>
      <w:bookmarkStart w:id="1655" w:name="_Toc24120"/>
      <w:bookmarkStart w:id="1656" w:name="_Toc10019"/>
      <w:bookmarkStart w:id="1657" w:name="_Toc6105"/>
      <w:r>
        <w:rPr>
          <w:rFonts w:hint="eastAsia" w:ascii="宋体" w:hAnsi="宋体" w:eastAsia="宋体" w:cs="宋体"/>
          <w:b/>
          <w:caps/>
          <w:color w:val="auto"/>
          <w:sz w:val="72"/>
          <w:szCs w:val="20"/>
          <w:highlight w:val="none"/>
        </w:rPr>
        <w:t>投 标 文 件</w:t>
      </w:r>
      <w:bookmarkEnd w:id="1654"/>
      <w:bookmarkEnd w:id="1655"/>
      <w:bookmarkEnd w:id="1656"/>
      <w:bookmarkEnd w:id="1657"/>
    </w:p>
    <w:p w14:paraId="289BC704">
      <w:pPr>
        <w:adjustRightInd w:val="0"/>
        <w:snapToGrid w:val="0"/>
        <w:spacing w:line="360" w:lineRule="auto"/>
        <w:jc w:val="center"/>
        <w:rPr>
          <w:rFonts w:hint="eastAsia" w:ascii="宋体" w:hAnsi="宋体" w:eastAsia="宋体" w:cs="宋体"/>
          <w:b/>
          <w:caps/>
          <w:color w:val="auto"/>
          <w:sz w:val="44"/>
          <w:szCs w:val="20"/>
          <w:highlight w:val="none"/>
        </w:rPr>
      </w:pPr>
      <w:r>
        <w:rPr>
          <w:rFonts w:hint="eastAsia" w:ascii="宋体" w:hAnsi="宋体" w:eastAsia="宋体" w:cs="宋体"/>
          <w:b/>
          <w:caps/>
          <w:color w:val="auto"/>
          <w:sz w:val="44"/>
          <w:szCs w:val="20"/>
          <w:highlight w:val="none"/>
        </w:rPr>
        <w:t>技术部分</w:t>
      </w:r>
    </w:p>
    <w:p w14:paraId="5826328B">
      <w:pPr>
        <w:adjustRightInd w:val="0"/>
        <w:snapToGrid w:val="0"/>
        <w:spacing w:line="360" w:lineRule="auto"/>
        <w:ind w:firstLine="480" w:firstLineChars="200"/>
        <w:rPr>
          <w:rFonts w:hint="eastAsia" w:ascii="宋体" w:hAnsi="宋体" w:cs="宋体"/>
          <w:color w:val="auto"/>
          <w:sz w:val="24"/>
          <w:szCs w:val="21"/>
          <w:highlight w:val="none"/>
        </w:rPr>
      </w:pPr>
    </w:p>
    <w:p w14:paraId="2A75671C">
      <w:pPr>
        <w:adjustRightInd w:val="0"/>
        <w:snapToGrid w:val="0"/>
        <w:spacing w:line="360" w:lineRule="auto"/>
        <w:ind w:firstLine="480" w:firstLineChars="200"/>
        <w:rPr>
          <w:rFonts w:hint="eastAsia" w:ascii="宋体" w:hAnsi="宋体" w:cs="宋体"/>
          <w:color w:val="auto"/>
          <w:sz w:val="24"/>
          <w:szCs w:val="21"/>
          <w:highlight w:val="none"/>
        </w:rPr>
      </w:pPr>
    </w:p>
    <w:p w14:paraId="1E89A39E">
      <w:pPr>
        <w:adjustRightInd w:val="0"/>
        <w:snapToGrid w:val="0"/>
        <w:spacing w:line="360" w:lineRule="auto"/>
        <w:jc w:val="center"/>
        <w:rPr>
          <w:rFonts w:hint="eastAsia" w:ascii="宋体" w:hAnsi="宋体" w:cs="宋体"/>
          <w:b/>
          <w:caps/>
          <w:snapToGrid w:val="0"/>
          <w:color w:val="auto"/>
          <w:kern w:val="0"/>
          <w:sz w:val="30"/>
          <w:szCs w:val="20"/>
          <w:highlight w:val="none"/>
        </w:rPr>
      </w:pPr>
      <w:r>
        <w:rPr>
          <w:rFonts w:hint="eastAsia" w:ascii="宋体" w:hAnsi="宋体" w:cs="宋体"/>
          <w:b/>
          <w:caps/>
          <w:snapToGrid w:val="0"/>
          <w:color w:val="auto"/>
          <w:kern w:val="0"/>
          <w:sz w:val="30"/>
          <w:szCs w:val="20"/>
          <w:highlight w:val="none"/>
        </w:rPr>
        <w:t>（填写正本或副本）</w:t>
      </w:r>
    </w:p>
    <w:p w14:paraId="3F21A4D0">
      <w:pPr>
        <w:adjustRightInd w:val="0"/>
        <w:snapToGrid w:val="0"/>
        <w:spacing w:line="360" w:lineRule="auto"/>
        <w:ind w:firstLine="480" w:firstLineChars="200"/>
        <w:rPr>
          <w:rFonts w:hint="eastAsia" w:ascii="宋体" w:hAnsi="宋体" w:cs="宋体"/>
          <w:color w:val="auto"/>
          <w:sz w:val="24"/>
          <w:szCs w:val="21"/>
          <w:highlight w:val="none"/>
        </w:rPr>
      </w:pPr>
    </w:p>
    <w:p w14:paraId="6DB355AA">
      <w:pPr>
        <w:adjustRightInd w:val="0"/>
        <w:snapToGrid w:val="0"/>
        <w:spacing w:line="360" w:lineRule="auto"/>
        <w:ind w:firstLine="480" w:firstLineChars="200"/>
        <w:rPr>
          <w:rFonts w:hint="eastAsia" w:ascii="宋体" w:hAnsi="宋体" w:cs="宋体"/>
          <w:color w:val="auto"/>
          <w:sz w:val="24"/>
          <w:szCs w:val="21"/>
          <w:highlight w:val="none"/>
        </w:rPr>
      </w:pPr>
    </w:p>
    <w:p w14:paraId="15A35D99">
      <w:pPr>
        <w:adjustRightInd w:val="0"/>
        <w:snapToGrid w:val="0"/>
        <w:spacing w:line="360" w:lineRule="auto"/>
        <w:ind w:firstLine="480" w:firstLineChars="200"/>
        <w:rPr>
          <w:rFonts w:hint="eastAsia" w:ascii="宋体" w:hAnsi="宋体" w:cs="宋体"/>
          <w:color w:val="auto"/>
          <w:sz w:val="24"/>
          <w:szCs w:val="21"/>
          <w:highlight w:val="none"/>
        </w:rPr>
      </w:pPr>
    </w:p>
    <w:p w14:paraId="69CD12AF">
      <w:pPr>
        <w:adjustRightInd w:val="0"/>
        <w:snapToGrid w:val="0"/>
        <w:spacing w:line="360" w:lineRule="auto"/>
        <w:ind w:left="630" w:leftChars="300" w:right="630" w:rightChars="300"/>
        <w:rPr>
          <w:rFonts w:hint="eastAsia" w:ascii="宋体" w:hAnsi="宋体" w:eastAsia="宋体" w:cs="宋体"/>
          <w:b/>
          <w:caps/>
          <w:color w:val="auto"/>
          <w:sz w:val="30"/>
          <w:szCs w:val="30"/>
          <w:highlight w:val="none"/>
          <w:u w:val="single"/>
          <w:lang w:eastAsia="zh-CN"/>
        </w:rPr>
      </w:pPr>
      <w:r>
        <w:rPr>
          <w:rFonts w:hint="eastAsia" w:ascii="宋体" w:hAnsi="宋体" w:cs="宋体"/>
          <w:b/>
          <w:caps/>
          <w:color w:val="auto"/>
          <w:sz w:val="30"/>
          <w:szCs w:val="30"/>
          <w:highlight w:val="none"/>
        </w:rPr>
        <w:t>项目名称：</w:t>
      </w:r>
      <w:r>
        <w:rPr>
          <w:rFonts w:hint="eastAsia" w:ascii="宋体" w:hAnsi="宋体" w:cs="宋体"/>
          <w:b/>
          <w:caps/>
          <w:color w:val="auto"/>
          <w:sz w:val="30"/>
          <w:szCs w:val="30"/>
          <w:highlight w:val="none"/>
          <w:u w:val="single"/>
          <w:lang w:eastAsia="zh-CN"/>
        </w:rPr>
        <w:t>甘肃税务2026年税收大数据应用平台运维服务项目</w:t>
      </w:r>
    </w:p>
    <w:p w14:paraId="69F6220E">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项目编号：</w:t>
      </w:r>
      <w:r>
        <w:rPr>
          <w:rFonts w:hint="eastAsia" w:ascii="宋体" w:hAnsi="宋体" w:cs="宋体"/>
          <w:b/>
          <w:caps/>
          <w:color w:val="auto"/>
          <w:sz w:val="30"/>
          <w:szCs w:val="30"/>
          <w:highlight w:val="none"/>
          <w:u w:val="single"/>
        </w:rPr>
        <w:t xml:space="preserve"> GS2026-DLGK-C0024-B00 </w:t>
      </w:r>
    </w:p>
    <w:p w14:paraId="562AE224">
      <w:pPr>
        <w:adjustRightInd w:val="0"/>
        <w:snapToGrid w:val="0"/>
        <w:spacing w:line="360" w:lineRule="auto"/>
        <w:ind w:firstLine="480" w:firstLineChars="200"/>
        <w:rPr>
          <w:rFonts w:hint="eastAsia" w:ascii="宋体" w:hAnsi="宋体" w:cs="宋体"/>
          <w:color w:val="auto"/>
          <w:sz w:val="24"/>
          <w:szCs w:val="21"/>
          <w:highlight w:val="none"/>
        </w:rPr>
      </w:pPr>
    </w:p>
    <w:p w14:paraId="4CC6D7A7">
      <w:pPr>
        <w:adjustRightInd w:val="0"/>
        <w:snapToGrid w:val="0"/>
        <w:spacing w:line="360" w:lineRule="auto"/>
        <w:ind w:firstLine="480" w:firstLineChars="200"/>
        <w:rPr>
          <w:rFonts w:hint="eastAsia" w:ascii="宋体" w:hAnsi="宋体" w:cs="宋体"/>
          <w:color w:val="auto"/>
          <w:sz w:val="24"/>
          <w:szCs w:val="21"/>
          <w:highlight w:val="none"/>
        </w:rPr>
      </w:pPr>
    </w:p>
    <w:p w14:paraId="137723F6">
      <w:pPr>
        <w:adjustRightInd w:val="0"/>
        <w:snapToGrid w:val="0"/>
        <w:spacing w:line="360" w:lineRule="auto"/>
        <w:ind w:left="630" w:leftChars="300" w:right="630" w:rightChars="300"/>
        <w:rPr>
          <w:rFonts w:hint="eastAsia" w:ascii="宋体" w:hAnsi="宋体" w:cs="宋体"/>
          <w:b/>
          <w:caps/>
          <w:color w:val="auto"/>
          <w:sz w:val="30"/>
          <w:szCs w:val="30"/>
          <w:highlight w:val="none"/>
        </w:rPr>
      </w:pPr>
      <w:r>
        <w:rPr>
          <w:rFonts w:hint="eastAsia" w:ascii="宋体" w:hAnsi="宋体" w:cs="宋体"/>
          <w:b/>
          <w:caps/>
          <w:color w:val="auto"/>
          <w:sz w:val="30"/>
          <w:szCs w:val="30"/>
          <w:highlight w:val="none"/>
        </w:rPr>
        <w:t>投 标 人：_____________________________________</w:t>
      </w:r>
    </w:p>
    <w:p w14:paraId="17B54F3C">
      <w:pPr>
        <w:adjustRightInd w:val="0"/>
        <w:snapToGrid w:val="0"/>
        <w:spacing w:line="360" w:lineRule="auto"/>
        <w:ind w:left="630" w:leftChars="300" w:right="630" w:rightChars="300"/>
        <w:rPr>
          <w:rFonts w:hint="eastAsia" w:ascii="宋体" w:hAnsi="宋体" w:cs="宋体"/>
          <w:color w:val="auto"/>
          <w:szCs w:val="21"/>
          <w:highlight w:val="none"/>
        </w:rPr>
      </w:pPr>
      <w:r>
        <w:rPr>
          <w:rFonts w:hint="eastAsia" w:ascii="宋体" w:hAnsi="宋体" w:cs="宋体"/>
          <w:b/>
          <w:caps/>
          <w:color w:val="auto"/>
          <w:sz w:val="30"/>
          <w:szCs w:val="30"/>
          <w:highlight w:val="none"/>
        </w:rPr>
        <w:t>日    期：_____________________________________</w:t>
      </w:r>
    </w:p>
    <w:p w14:paraId="020D6362">
      <w:pPr>
        <w:rPr>
          <w:rFonts w:hint="eastAsia" w:ascii="宋体" w:hAnsi="宋体" w:cs="宋体"/>
          <w:color w:val="auto"/>
          <w:szCs w:val="21"/>
          <w:highlight w:val="none"/>
        </w:rPr>
      </w:pPr>
    </w:p>
    <w:p w14:paraId="6099C753">
      <w:pPr>
        <w:pStyle w:val="13"/>
        <w:rPr>
          <w:rFonts w:hint="eastAsia"/>
          <w:color w:val="auto"/>
          <w:highlight w:val="none"/>
          <w:lang w:eastAsia="zh-CN"/>
        </w:rPr>
      </w:pPr>
    </w:p>
    <w:p w14:paraId="6D2A3454">
      <w:pPr>
        <w:rPr>
          <w:rFonts w:hint="eastAsia"/>
          <w:color w:val="auto"/>
          <w:lang w:eastAsia="zh-CN"/>
        </w:rPr>
      </w:pPr>
    </w:p>
    <w:p w14:paraId="50CECD6F">
      <w:pPr>
        <w:rPr>
          <w:rFonts w:hint="eastAsia" w:ascii="宋体" w:hAnsi="宋体" w:eastAsia="宋体" w:cs="宋体"/>
          <w:b/>
          <w:bCs/>
          <w:color w:val="auto"/>
          <w:sz w:val="28"/>
          <w:szCs w:val="28"/>
          <w:highlight w:val="none"/>
        </w:rPr>
      </w:pPr>
      <w:bookmarkStart w:id="1658" w:name="_Toc8437"/>
      <w:bookmarkStart w:id="1659" w:name="_Toc5659"/>
      <w:bookmarkStart w:id="1660" w:name="_Toc1767"/>
      <w:bookmarkStart w:id="1661" w:name="_Toc164680743"/>
      <w:bookmarkStart w:id="1662" w:name="_Toc862"/>
      <w:bookmarkStart w:id="1663" w:name="_Toc164681342"/>
      <w:bookmarkStart w:id="1664" w:name="_Toc164181795"/>
      <w:bookmarkStart w:id="1665" w:name="_Toc3745"/>
      <w:bookmarkStart w:id="1666" w:name="_Toc164182324"/>
      <w:bookmarkStart w:id="1667" w:name="_Toc164182822"/>
      <w:r>
        <w:rPr>
          <w:rFonts w:hint="eastAsia" w:ascii="宋体" w:hAnsi="宋体" w:eastAsia="宋体" w:cs="宋体"/>
          <w:b/>
          <w:bCs/>
          <w:color w:val="auto"/>
          <w:sz w:val="28"/>
          <w:szCs w:val="28"/>
          <w:highlight w:val="none"/>
        </w:rPr>
        <w:br w:type="page"/>
      </w:r>
    </w:p>
    <w:p w14:paraId="5F4EC12B">
      <w:pPr>
        <w:pStyle w:val="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一、服务响应与偏离表</w:t>
      </w:r>
      <w:bookmarkEnd w:id="1658"/>
      <w:bookmarkEnd w:id="1659"/>
      <w:bookmarkEnd w:id="1660"/>
      <w:bookmarkEnd w:id="1661"/>
      <w:bookmarkEnd w:id="1662"/>
      <w:bookmarkEnd w:id="1663"/>
      <w:bookmarkEnd w:id="1664"/>
      <w:bookmarkEnd w:id="1665"/>
      <w:bookmarkEnd w:id="1666"/>
      <w:bookmarkEnd w:id="1667"/>
    </w:p>
    <w:p w14:paraId="436A6879">
      <w:pPr>
        <w:adjustRightInd w:val="0"/>
        <w:snapToGrid w:val="0"/>
        <w:spacing w:line="360" w:lineRule="auto"/>
        <w:jc w:val="center"/>
        <w:rPr>
          <w:rFonts w:hint="eastAsia" w:ascii="宋体" w:hAnsi="宋体" w:cs="宋体"/>
          <w:color w:val="auto"/>
          <w:highlight w:val="none"/>
        </w:rPr>
      </w:pPr>
      <w:bookmarkStart w:id="1668" w:name="_Toc100768086"/>
      <w:bookmarkStart w:id="1669" w:name="_Toc99721593"/>
      <w:bookmarkStart w:id="1670" w:name="_Toc99526823"/>
      <w:bookmarkStart w:id="1671" w:name="_Toc99721230"/>
      <w:r>
        <w:rPr>
          <w:rFonts w:hint="eastAsia" w:ascii="宋体" w:hAnsi="宋体" w:cs="宋体"/>
          <w:b/>
          <w:caps/>
          <w:color w:val="auto"/>
          <w:sz w:val="32"/>
          <w:highlight w:val="none"/>
        </w:rPr>
        <w:t>服务响应与偏离表</w:t>
      </w:r>
      <w:bookmarkEnd w:id="1668"/>
      <w:bookmarkEnd w:id="1669"/>
      <w:bookmarkEnd w:id="1670"/>
      <w:bookmarkEnd w:id="1671"/>
    </w:p>
    <w:tbl>
      <w:tblPr>
        <w:tblStyle w:val="31"/>
        <w:tblW w:w="830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68"/>
        <w:gridCol w:w="2268"/>
        <w:gridCol w:w="2268"/>
        <w:gridCol w:w="1134"/>
        <w:gridCol w:w="1275"/>
        <w:gridCol w:w="794"/>
      </w:tblGrid>
      <w:tr w14:paraId="11879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1DEF44D7">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268" w:type="dxa"/>
            <w:noWrap/>
            <w:vAlign w:val="top"/>
          </w:tcPr>
          <w:p w14:paraId="18E455FB">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招标文件</w:t>
            </w:r>
          </w:p>
          <w:p w14:paraId="063E8228">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技术部分序号</w:t>
            </w:r>
          </w:p>
        </w:tc>
        <w:tc>
          <w:tcPr>
            <w:tcW w:w="2268" w:type="dxa"/>
            <w:noWrap/>
            <w:vAlign w:val="center"/>
          </w:tcPr>
          <w:p w14:paraId="534795A5">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招标文件</w:t>
            </w:r>
          </w:p>
          <w:p w14:paraId="3F3D2D74">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技术部分内容要求</w:t>
            </w:r>
          </w:p>
        </w:tc>
        <w:tc>
          <w:tcPr>
            <w:tcW w:w="1134" w:type="dxa"/>
            <w:noWrap/>
            <w:vAlign w:val="center"/>
          </w:tcPr>
          <w:p w14:paraId="728104F3">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投标文件</w:t>
            </w:r>
          </w:p>
          <w:p w14:paraId="616BF596">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应答情况</w:t>
            </w:r>
          </w:p>
        </w:tc>
        <w:tc>
          <w:tcPr>
            <w:tcW w:w="1275" w:type="dxa"/>
            <w:noWrap/>
            <w:vAlign w:val="center"/>
          </w:tcPr>
          <w:p w14:paraId="65E9CD2F">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偏离</w:t>
            </w:r>
          </w:p>
          <w:p w14:paraId="254C34EE">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（无/正/负）</w:t>
            </w:r>
          </w:p>
        </w:tc>
        <w:tc>
          <w:tcPr>
            <w:tcW w:w="794" w:type="dxa"/>
            <w:noWrap/>
            <w:vAlign w:val="center"/>
          </w:tcPr>
          <w:p w14:paraId="0E52C3CB">
            <w:pPr>
              <w:adjustRightInd w:val="0"/>
              <w:snapToGrid w:val="0"/>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13523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03E01D8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268" w:type="dxa"/>
            <w:noWrap/>
            <w:vAlign w:val="center"/>
          </w:tcPr>
          <w:p w14:paraId="0E3CBEBF">
            <w:pPr>
              <w:adjustRightInd w:val="0"/>
              <w:snapToGrid w:val="0"/>
              <w:ind w:left="50" w:leftChars="24" w:right="55" w:rightChars="26"/>
              <w:jc w:val="center"/>
              <w:rPr>
                <w:rFonts w:hint="eastAsia" w:ascii="宋体" w:hAnsi="宋体" w:cs="宋体"/>
                <w:color w:val="auto"/>
                <w:szCs w:val="21"/>
                <w:highlight w:val="none"/>
              </w:rPr>
            </w:pPr>
          </w:p>
        </w:tc>
        <w:tc>
          <w:tcPr>
            <w:tcW w:w="2268" w:type="dxa"/>
            <w:noWrap/>
            <w:vAlign w:val="center"/>
          </w:tcPr>
          <w:p w14:paraId="6C74F2E7">
            <w:pPr>
              <w:adjustRightInd w:val="0"/>
              <w:snapToGrid w:val="0"/>
              <w:ind w:left="50" w:leftChars="24" w:right="55" w:rightChars="26"/>
              <w:jc w:val="center"/>
              <w:rPr>
                <w:rFonts w:hint="eastAsia" w:ascii="宋体" w:hAnsi="宋体" w:cs="宋体"/>
                <w:color w:val="auto"/>
                <w:szCs w:val="21"/>
                <w:highlight w:val="none"/>
              </w:rPr>
            </w:pPr>
          </w:p>
        </w:tc>
        <w:tc>
          <w:tcPr>
            <w:tcW w:w="1134" w:type="dxa"/>
            <w:noWrap/>
            <w:vAlign w:val="center"/>
          </w:tcPr>
          <w:p w14:paraId="6DB07D17">
            <w:pPr>
              <w:adjustRightInd w:val="0"/>
              <w:snapToGrid w:val="0"/>
              <w:jc w:val="center"/>
              <w:rPr>
                <w:rFonts w:hint="eastAsia" w:ascii="宋体" w:hAnsi="宋体" w:cs="宋体"/>
                <w:color w:val="auto"/>
                <w:szCs w:val="21"/>
                <w:highlight w:val="none"/>
              </w:rPr>
            </w:pPr>
          </w:p>
        </w:tc>
        <w:tc>
          <w:tcPr>
            <w:tcW w:w="1275" w:type="dxa"/>
            <w:noWrap/>
            <w:vAlign w:val="center"/>
          </w:tcPr>
          <w:p w14:paraId="1B20B977">
            <w:pPr>
              <w:adjustRightInd w:val="0"/>
              <w:snapToGrid w:val="0"/>
              <w:jc w:val="center"/>
              <w:rPr>
                <w:rFonts w:hint="eastAsia" w:ascii="宋体" w:hAnsi="宋体" w:cs="宋体"/>
                <w:color w:val="auto"/>
                <w:szCs w:val="21"/>
                <w:highlight w:val="none"/>
              </w:rPr>
            </w:pPr>
          </w:p>
        </w:tc>
        <w:tc>
          <w:tcPr>
            <w:tcW w:w="794" w:type="dxa"/>
            <w:noWrap/>
            <w:vAlign w:val="center"/>
          </w:tcPr>
          <w:p w14:paraId="298A08B9">
            <w:pPr>
              <w:adjustRightInd w:val="0"/>
              <w:snapToGrid w:val="0"/>
              <w:jc w:val="center"/>
              <w:rPr>
                <w:rFonts w:hint="eastAsia" w:ascii="宋体" w:hAnsi="宋体" w:cs="宋体"/>
                <w:color w:val="auto"/>
                <w:szCs w:val="21"/>
                <w:highlight w:val="none"/>
              </w:rPr>
            </w:pPr>
          </w:p>
        </w:tc>
      </w:tr>
      <w:tr w14:paraId="3DCA3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2E7D1754">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268" w:type="dxa"/>
            <w:noWrap/>
            <w:vAlign w:val="center"/>
          </w:tcPr>
          <w:p w14:paraId="76388C31">
            <w:pPr>
              <w:adjustRightInd w:val="0"/>
              <w:snapToGrid w:val="0"/>
              <w:ind w:left="50" w:leftChars="24" w:right="55" w:rightChars="26"/>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tc>
        <w:tc>
          <w:tcPr>
            <w:tcW w:w="2268" w:type="dxa"/>
            <w:noWrap/>
            <w:vAlign w:val="center"/>
          </w:tcPr>
          <w:p w14:paraId="1EE0936B">
            <w:pPr>
              <w:adjustRightInd w:val="0"/>
              <w:snapToGrid w:val="0"/>
              <w:ind w:left="50" w:leftChars="24" w:right="55" w:rightChars="26"/>
              <w:jc w:val="center"/>
              <w:rPr>
                <w:rFonts w:hint="eastAsia" w:ascii="宋体" w:hAnsi="宋体" w:cs="宋体"/>
                <w:color w:val="auto"/>
                <w:szCs w:val="21"/>
                <w:highlight w:val="none"/>
              </w:rPr>
            </w:pPr>
          </w:p>
        </w:tc>
        <w:tc>
          <w:tcPr>
            <w:tcW w:w="1134" w:type="dxa"/>
            <w:noWrap/>
            <w:vAlign w:val="center"/>
          </w:tcPr>
          <w:p w14:paraId="28F452E6">
            <w:pPr>
              <w:adjustRightInd w:val="0"/>
              <w:snapToGrid w:val="0"/>
              <w:jc w:val="center"/>
              <w:rPr>
                <w:rFonts w:hint="eastAsia" w:ascii="宋体" w:hAnsi="宋体" w:cs="宋体"/>
                <w:color w:val="auto"/>
                <w:szCs w:val="21"/>
                <w:highlight w:val="none"/>
              </w:rPr>
            </w:pPr>
          </w:p>
        </w:tc>
        <w:tc>
          <w:tcPr>
            <w:tcW w:w="1275" w:type="dxa"/>
            <w:noWrap/>
            <w:vAlign w:val="center"/>
          </w:tcPr>
          <w:p w14:paraId="668F0F5A">
            <w:pPr>
              <w:adjustRightInd w:val="0"/>
              <w:snapToGrid w:val="0"/>
              <w:jc w:val="center"/>
              <w:rPr>
                <w:rFonts w:hint="eastAsia" w:ascii="宋体" w:hAnsi="宋体" w:cs="宋体"/>
                <w:color w:val="auto"/>
                <w:szCs w:val="21"/>
                <w:highlight w:val="none"/>
              </w:rPr>
            </w:pPr>
          </w:p>
        </w:tc>
        <w:tc>
          <w:tcPr>
            <w:tcW w:w="794" w:type="dxa"/>
            <w:noWrap/>
            <w:vAlign w:val="center"/>
          </w:tcPr>
          <w:p w14:paraId="54F1B8B0">
            <w:pPr>
              <w:adjustRightInd w:val="0"/>
              <w:snapToGrid w:val="0"/>
              <w:jc w:val="center"/>
              <w:rPr>
                <w:rFonts w:hint="eastAsia" w:ascii="宋体" w:hAnsi="宋体" w:cs="宋体"/>
                <w:color w:val="auto"/>
                <w:szCs w:val="21"/>
                <w:highlight w:val="none"/>
              </w:rPr>
            </w:pPr>
          </w:p>
        </w:tc>
      </w:tr>
      <w:tr w14:paraId="4F62C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21AF707A">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268" w:type="dxa"/>
            <w:noWrap/>
            <w:vAlign w:val="center"/>
          </w:tcPr>
          <w:p w14:paraId="470221E9">
            <w:pPr>
              <w:adjustRightInd w:val="0"/>
              <w:snapToGrid w:val="0"/>
              <w:ind w:left="50" w:leftChars="24" w:right="55" w:rightChars="26"/>
              <w:jc w:val="center"/>
              <w:rPr>
                <w:rFonts w:hint="eastAsia" w:ascii="宋体" w:hAnsi="宋体" w:cs="宋体"/>
                <w:color w:val="auto"/>
                <w:szCs w:val="21"/>
                <w:highlight w:val="none"/>
              </w:rPr>
            </w:pPr>
          </w:p>
        </w:tc>
        <w:tc>
          <w:tcPr>
            <w:tcW w:w="2268" w:type="dxa"/>
            <w:noWrap/>
            <w:vAlign w:val="center"/>
          </w:tcPr>
          <w:p w14:paraId="232670F3">
            <w:pPr>
              <w:adjustRightInd w:val="0"/>
              <w:snapToGrid w:val="0"/>
              <w:ind w:left="50" w:leftChars="24" w:right="55" w:rightChars="26"/>
              <w:jc w:val="center"/>
              <w:rPr>
                <w:rFonts w:hint="eastAsia" w:ascii="宋体" w:hAnsi="宋体" w:cs="宋体"/>
                <w:color w:val="auto"/>
                <w:szCs w:val="21"/>
                <w:highlight w:val="none"/>
              </w:rPr>
            </w:pPr>
          </w:p>
        </w:tc>
        <w:tc>
          <w:tcPr>
            <w:tcW w:w="1134" w:type="dxa"/>
            <w:noWrap/>
            <w:vAlign w:val="center"/>
          </w:tcPr>
          <w:p w14:paraId="1ACA1A8A">
            <w:pPr>
              <w:adjustRightInd w:val="0"/>
              <w:snapToGrid w:val="0"/>
              <w:jc w:val="center"/>
              <w:rPr>
                <w:rFonts w:hint="eastAsia" w:ascii="宋体" w:hAnsi="宋体" w:cs="宋体"/>
                <w:color w:val="auto"/>
                <w:szCs w:val="21"/>
                <w:highlight w:val="none"/>
              </w:rPr>
            </w:pPr>
          </w:p>
        </w:tc>
        <w:tc>
          <w:tcPr>
            <w:tcW w:w="1275" w:type="dxa"/>
            <w:noWrap/>
            <w:vAlign w:val="center"/>
          </w:tcPr>
          <w:p w14:paraId="6B2A6B9C">
            <w:pPr>
              <w:adjustRightInd w:val="0"/>
              <w:snapToGrid w:val="0"/>
              <w:jc w:val="center"/>
              <w:rPr>
                <w:rFonts w:hint="eastAsia" w:ascii="宋体" w:hAnsi="宋体" w:cs="宋体"/>
                <w:color w:val="auto"/>
                <w:szCs w:val="21"/>
                <w:highlight w:val="none"/>
              </w:rPr>
            </w:pPr>
          </w:p>
        </w:tc>
        <w:tc>
          <w:tcPr>
            <w:tcW w:w="794" w:type="dxa"/>
            <w:noWrap/>
            <w:vAlign w:val="center"/>
          </w:tcPr>
          <w:p w14:paraId="1F9CC62B">
            <w:pPr>
              <w:adjustRightInd w:val="0"/>
              <w:snapToGrid w:val="0"/>
              <w:jc w:val="center"/>
              <w:rPr>
                <w:rFonts w:hint="eastAsia" w:ascii="宋体" w:hAnsi="宋体" w:cs="宋体"/>
                <w:color w:val="auto"/>
                <w:szCs w:val="21"/>
                <w:highlight w:val="none"/>
              </w:rPr>
            </w:pPr>
          </w:p>
        </w:tc>
      </w:tr>
      <w:tr w14:paraId="5D653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1556C728">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2268" w:type="dxa"/>
            <w:noWrap/>
            <w:vAlign w:val="center"/>
          </w:tcPr>
          <w:p w14:paraId="1B0FF6CA">
            <w:pPr>
              <w:adjustRightInd w:val="0"/>
              <w:snapToGrid w:val="0"/>
              <w:ind w:left="50" w:leftChars="24" w:right="55" w:rightChars="26"/>
              <w:jc w:val="center"/>
              <w:rPr>
                <w:rFonts w:hint="eastAsia" w:ascii="宋体" w:hAnsi="宋体" w:cs="宋体"/>
                <w:color w:val="auto"/>
                <w:szCs w:val="21"/>
                <w:highlight w:val="none"/>
              </w:rPr>
            </w:pPr>
          </w:p>
        </w:tc>
        <w:tc>
          <w:tcPr>
            <w:tcW w:w="2268" w:type="dxa"/>
            <w:noWrap/>
            <w:vAlign w:val="center"/>
          </w:tcPr>
          <w:p w14:paraId="4B1D7072">
            <w:pPr>
              <w:adjustRightInd w:val="0"/>
              <w:snapToGrid w:val="0"/>
              <w:ind w:left="50" w:leftChars="24" w:right="55" w:rightChars="26"/>
              <w:jc w:val="center"/>
              <w:rPr>
                <w:rFonts w:hint="eastAsia" w:ascii="宋体" w:hAnsi="宋体" w:cs="宋体"/>
                <w:color w:val="auto"/>
                <w:szCs w:val="21"/>
                <w:highlight w:val="none"/>
              </w:rPr>
            </w:pPr>
          </w:p>
        </w:tc>
        <w:tc>
          <w:tcPr>
            <w:tcW w:w="1134" w:type="dxa"/>
            <w:noWrap/>
            <w:vAlign w:val="center"/>
          </w:tcPr>
          <w:p w14:paraId="62852374">
            <w:pPr>
              <w:adjustRightInd w:val="0"/>
              <w:snapToGrid w:val="0"/>
              <w:jc w:val="center"/>
              <w:rPr>
                <w:rFonts w:hint="eastAsia" w:ascii="宋体" w:hAnsi="宋体" w:cs="宋体"/>
                <w:color w:val="auto"/>
                <w:szCs w:val="21"/>
                <w:highlight w:val="none"/>
              </w:rPr>
            </w:pPr>
          </w:p>
        </w:tc>
        <w:tc>
          <w:tcPr>
            <w:tcW w:w="1275" w:type="dxa"/>
            <w:noWrap/>
            <w:vAlign w:val="center"/>
          </w:tcPr>
          <w:p w14:paraId="30814E7B">
            <w:pPr>
              <w:adjustRightInd w:val="0"/>
              <w:snapToGrid w:val="0"/>
              <w:jc w:val="center"/>
              <w:rPr>
                <w:rFonts w:hint="eastAsia" w:ascii="宋体" w:hAnsi="宋体" w:cs="宋体"/>
                <w:color w:val="auto"/>
                <w:szCs w:val="21"/>
                <w:highlight w:val="none"/>
              </w:rPr>
            </w:pPr>
          </w:p>
        </w:tc>
        <w:tc>
          <w:tcPr>
            <w:tcW w:w="794" w:type="dxa"/>
            <w:noWrap/>
            <w:vAlign w:val="center"/>
          </w:tcPr>
          <w:p w14:paraId="7332DE90">
            <w:pPr>
              <w:adjustRightInd w:val="0"/>
              <w:snapToGrid w:val="0"/>
              <w:jc w:val="center"/>
              <w:rPr>
                <w:rFonts w:hint="eastAsia" w:ascii="宋体" w:hAnsi="宋体" w:cs="宋体"/>
                <w:color w:val="auto"/>
                <w:szCs w:val="21"/>
                <w:highlight w:val="none"/>
              </w:rPr>
            </w:pPr>
          </w:p>
        </w:tc>
      </w:tr>
      <w:tr w14:paraId="7FA58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5B6600D5">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2268" w:type="dxa"/>
            <w:noWrap/>
            <w:vAlign w:val="center"/>
          </w:tcPr>
          <w:p w14:paraId="77ED30D9">
            <w:pPr>
              <w:adjustRightInd w:val="0"/>
              <w:snapToGrid w:val="0"/>
              <w:jc w:val="center"/>
              <w:rPr>
                <w:rFonts w:hint="eastAsia" w:ascii="宋体" w:hAnsi="宋体" w:cs="宋体"/>
                <w:color w:val="auto"/>
                <w:szCs w:val="21"/>
                <w:highlight w:val="none"/>
              </w:rPr>
            </w:pPr>
          </w:p>
        </w:tc>
        <w:tc>
          <w:tcPr>
            <w:tcW w:w="2268" w:type="dxa"/>
            <w:noWrap/>
            <w:vAlign w:val="center"/>
          </w:tcPr>
          <w:p w14:paraId="5D5422A8">
            <w:pPr>
              <w:adjustRightInd w:val="0"/>
              <w:snapToGrid w:val="0"/>
              <w:jc w:val="center"/>
              <w:rPr>
                <w:rFonts w:hint="eastAsia" w:ascii="宋体" w:hAnsi="宋体" w:cs="宋体"/>
                <w:color w:val="auto"/>
                <w:szCs w:val="21"/>
                <w:highlight w:val="none"/>
              </w:rPr>
            </w:pPr>
          </w:p>
        </w:tc>
        <w:tc>
          <w:tcPr>
            <w:tcW w:w="1134" w:type="dxa"/>
            <w:noWrap/>
            <w:vAlign w:val="center"/>
          </w:tcPr>
          <w:p w14:paraId="3E12191D">
            <w:pPr>
              <w:adjustRightInd w:val="0"/>
              <w:snapToGrid w:val="0"/>
              <w:jc w:val="center"/>
              <w:rPr>
                <w:rFonts w:hint="eastAsia" w:ascii="宋体" w:hAnsi="宋体" w:cs="宋体"/>
                <w:color w:val="auto"/>
                <w:szCs w:val="21"/>
                <w:highlight w:val="none"/>
              </w:rPr>
            </w:pPr>
          </w:p>
        </w:tc>
        <w:tc>
          <w:tcPr>
            <w:tcW w:w="1275" w:type="dxa"/>
            <w:noWrap/>
            <w:vAlign w:val="center"/>
          </w:tcPr>
          <w:p w14:paraId="7FE55F2B">
            <w:pPr>
              <w:adjustRightInd w:val="0"/>
              <w:snapToGrid w:val="0"/>
              <w:jc w:val="center"/>
              <w:rPr>
                <w:rFonts w:hint="eastAsia" w:ascii="宋体" w:hAnsi="宋体" w:cs="宋体"/>
                <w:color w:val="auto"/>
                <w:szCs w:val="21"/>
                <w:highlight w:val="none"/>
              </w:rPr>
            </w:pPr>
          </w:p>
        </w:tc>
        <w:tc>
          <w:tcPr>
            <w:tcW w:w="794" w:type="dxa"/>
            <w:noWrap/>
            <w:vAlign w:val="center"/>
          </w:tcPr>
          <w:p w14:paraId="0A747DC8">
            <w:pPr>
              <w:adjustRightInd w:val="0"/>
              <w:snapToGrid w:val="0"/>
              <w:jc w:val="center"/>
              <w:rPr>
                <w:rFonts w:hint="eastAsia" w:ascii="宋体" w:hAnsi="宋体" w:cs="宋体"/>
                <w:color w:val="auto"/>
                <w:szCs w:val="21"/>
                <w:highlight w:val="none"/>
              </w:rPr>
            </w:pPr>
          </w:p>
        </w:tc>
      </w:tr>
      <w:tr w14:paraId="0F72F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68" w:type="dxa"/>
            <w:noWrap/>
            <w:vAlign w:val="center"/>
          </w:tcPr>
          <w:p w14:paraId="72F68DAB">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268" w:type="dxa"/>
            <w:noWrap/>
            <w:vAlign w:val="center"/>
          </w:tcPr>
          <w:p w14:paraId="5C535477">
            <w:pPr>
              <w:adjustRightInd w:val="0"/>
              <w:snapToGrid w:val="0"/>
              <w:jc w:val="center"/>
              <w:rPr>
                <w:rFonts w:hint="eastAsia" w:ascii="宋体" w:hAnsi="宋体" w:cs="宋体"/>
                <w:color w:val="auto"/>
                <w:szCs w:val="21"/>
                <w:highlight w:val="none"/>
              </w:rPr>
            </w:pPr>
          </w:p>
        </w:tc>
        <w:tc>
          <w:tcPr>
            <w:tcW w:w="2268" w:type="dxa"/>
            <w:noWrap/>
            <w:vAlign w:val="center"/>
          </w:tcPr>
          <w:p w14:paraId="7F3DCA6C">
            <w:pPr>
              <w:adjustRightInd w:val="0"/>
              <w:snapToGrid w:val="0"/>
              <w:jc w:val="center"/>
              <w:rPr>
                <w:rFonts w:hint="eastAsia" w:ascii="宋体" w:hAnsi="宋体" w:cs="宋体"/>
                <w:color w:val="auto"/>
                <w:szCs w:val="21"/>
                <w:highlight w:val="none"/>
              </w:rPr>
            </w:pPr>
          </w:p>
        </w:tc>
        <w:tc>
          <w:tcPr>
            <w:tcW w:w="1134" w:type="dxa"/>
            <w:noWrap/>
            <w:vAlign w:val="center"/>
          </w:tcPr>
          <w:p w14:paraId="19FAB13C">
            <w:pPr>
              <w:adjustRightInd w:val="0"/>
              <w:snapToGrid w:val="0"/>
              <w:jc w:val="center"/>
              <w:rPr>
                <w:rFonts w:hint="eastAsia" w:ascii="宋体" w:hAnsi="宋体" w:cs="宋体"/>
                <w:color w:val="auto"/>
                <w:szCs w:val="21"/>
                <w:highlight w:val="none"/>
              </w:rPr>
            </w:pPr>
          </w:p>
        </w:tc>
        <w:tc>
          <w:tcPr>
            <w:tcW w:w="1275" w:type="dxa"/>
            <w:noWrap/>
            <w:vAlign w:val="center"/>
          </w:tcPr>
          <w:p w14:paraId="2A22E5E1">
            <w:pPr>
              <w:adjustRightInd w:val="0"/>
              <w:snapToGrid w:val="0"/>
              <w:jc w:val="center"/>
              <w:rPr>
                <w:rFonts w:hint="eastAsia" w:ascii="宋体" w:hAnsi="宋体" w:cs="宋体"/>
                <w:color w:val="auto"/>
                <w:szCs w:val="21"/>
                <w:highlight w:val="none"/>
              </w:rPr>
            </w:pPr>
          </w:p>
        </w:tc>
        <w:tc>
          <w:tcPr>
            <w:tcW w:w="794" w:type="dxa"/>
            <w:noWrap/>
            <w:vAlign w:val="center"/>
          </w:tcPr>
          <w:p w14:paraId="466D340F">
            <w:pPr>
              <w:adjustRightInd w:val="0"/>
              <w:snapToGrid w:val="0"/>
              <w:jc w:val="center"/>
              <w:rPr>
                <w:rFonts w:hint="eastAsia" w:ascii="宋体" w:hAnsi="宋体" w:cs="宋体"/>
                <w:color w:val="auto"/>
                <w:szCs w:val="21"/>
                <w:highlight w:val="none"/>
              </w:rPr>
            </w:pPr>
          </w:p>
        </w:tc>
      </w:tr>
    </w:tbl>
    <w:p w14:paraId="27F9138E">
      <w:pPr>
        <w:topLinePunct/>
        <w:autoSpaceDE w:val="0"/>
        <w:autoSpaceDN w:val="0"/>
        <w:adjustRightInd w:val="0"/>
        <w:snapToGrid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特别说明：</w:t>
      </w:r>
    </w:p>
    <w:p w14:paraId="60662563">
      <w:pPr>
        <w:topLinePunct/>
        <w:autoSpaceDE w:val="0"/>
        <w:autoSpaceDN w:val="0"/>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①按照采购需求内容要求，一一对应填写。如果对采购需求内容不做一一响应，而将“投标文件应答情况”简单笼统描述为“无偏离”，则视为无效应答。</w:t>
      </w:r>
    </w:p>
    <w:p w14:paraId="42F7BBCE">
      <w:pPr>
        <w:topLinePunct/>
        <w:autoSpaceDE w:val="0"/>
        <w:autoSpaceDN w:val="0"/>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②采购需求中标注 “服务响应与偏离表响应”的内容须条对条应答，不得遗漏；如有遗漏，则视为无效应答。如无偏离，请在此表中填写“无偏离”。如有偏离，请在此表中应答为“正/负偏离”并说明偏离情况；</w:t>
      </w:r>
    </w:p>
    <w:p w14:paraId="66BE9C70">
      <w:pPr>
        <w:topLinePunct/>
        <w:autoSpaceDE w:val="0"/>
        <w:autoSpaceDN w:val="0"/>
        <w:adjustRightInd w:val="0"/>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③如采购需求中有标注★号的，则为实质性要求，必须满足，如应答为“负偏离”，将导致投标无效。</w:t>
      </w:r>
    </w:p>
    <w:p w14:paraId="6BC6534C">
      <w:pPr>
        <w:topLinePunct/>
        <w:autoSpaceDE w:val="0"/>
        <w:autoSpaceDN w:val="0"/>
        <w:spacing w:line="360" w:lineRule="auto"/>
        <w:ind w:firstLine="420" w:firstLineChars="200"/>
        <w:rPr>
          <w:rFonts w:hint="eastAsia" w:ascii="宋体" w:hAnsi="宋体" w:cs="宋体"/>
          <w:color w:val="auto"/>
          <w:szCs w:val="21"/>
          <w:highlight w:val="none"/>
        </w:rPr>
      </w:pPr>
    </w:p>
    <w:p w14:paraId="08B967BF">
      <w:pPr>
        <w:pStyle w:val="54"/>
        <w:spacing w:after="156"/>
        <w:rPr>
          <w:rFonts w:hint="eastAsia" w:ascii="宋体" w:hAnsi="宋体" w:cs="宋体"/>
          <w:color w:val="auto"/>
          <w:sz w:val="21"/>
          <w:szCs w:val="21"/>
          <w:highlight w:val="none"/>
        </w:rPr>
      </w:pPr>
    </w:p>
    <w:p w14:paraId="50C6276E">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投标人（全称并加盖公章）：______________________________________________</w:t>
      </w:r>
    </w:p>
    <w:p w14:paraId="333DBDD4">
      <w:pPr>
        <w:adjustRightInd w:val="0"/>
        <w:snapToGrid w:val="0"/>
        <w:spacing w:line="360" w:lineRule="auto"/>
        <w:rPr>
          <w:rFonts w:hint="eastAsia" w:ascii="宋体" w:hAnsi="宋体" w:cs="宋体"/>
          <w:color w:val="auto"/>
          <w:sz w:val="24"/>
          <w:szCs w:val="21"/>
          <w:highlight w:val="none"/>
        </w:rPr>
      </w:pPr>
    </w:p>
    <w:p w14:paraId="44A069F0">
      <w:pPr>
        <w:adjustRightInd w:val="0"/>
        <w:snapToGrid w:val="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投标人代表（签字或盖章）：_____________________________________________</w:t>
      </w:r>
    </w:p>
    <w:p w14:paraId="770723EE">
      <w:pPr>
        <w:rPr>
          <w:rFonts w:hint="eastAsia" w:ascii="宋体" w:hAnsi="宋体" w:cs="宋体"/>
          <w:color w:val="auto"/>
          <w:highlight w:val="none"/>
        </w:rPr>
      </w:pPr>
    </w:p>
    <w:p w14:paraId="2B7895ED">
      <w:pPr>
        <w:adjustRightInd w:val="0"/>
        <w:snapToGrid w:val="0"/>
        <w:spacing w:line="360" w:lineRule="auto"/>
        <w:jc w:val="right"/>
        <w:rPr>
          <w:rFonts w:hint="eastAsia" w:ascii="宋体" w:hAnsi="宋体" w:cs="宋体"/>
          <w:color w:val="auto"/>
          <w:sz w:val="24"/>
          <w:szCs w:val="21"/>
          <w:highlight w:val="none"/>
        </w:rPr>
      </w:pPr>
      <w:r>
        <w:rPr>
          <w:rFonts w:hint="eastAsia" w:ascii="宋体" w:hAnsi="宋体" w:cs="宋体"/>
          <w:color w:val="auto"/>
          <w:sz w:val="24"/>
          <w:szCs w:val="21"/>
          <w:highlight w:val="none"/>
        </w:rPr>
        <w:t>日期：______年______月_____日</w:t>
      </w:r>
    </w:p>
    <w:p w14:paraId="7DB1E244">
      <w:pPr>
        <w:widowControl/>
        <w:jc w:val="left"/>
        <w:rPr>
          <w:rFonts w:hint="eastAsia" w:ascii="宋体" w:hAnsi="宋体" w:cs="宋体"/>
          <w:color w:val="auto"/>
          <w:highlight w:val="none"/>
        </w:rPr>
      </w:pPr>
    </w:p>
    <w:p w14:paraId="7A4DB0BB">
      <w:pPr>
        <w:widowControl/>
        <w:jc w:val="left"/>
        <w:rPr>
          <w:rFonts w:hint="eastAsia" w:ascii="宋体" w:hAnsi="宋体" w:cs="宋体"/>
          <w:color w:val="auto"/>
          <w:highlight w:val="none"/>
        </w:rPr>
      </w:pPr>
    </w:p>
    <w:p w14:paraId="61C864C6">
      <w:pPr>
        <w:widowControl/>
        <w:jc w:val="left"/>
        <w:rPr>
          <w:rFonts w:hint="eastAsia" w:ascii="宋体" w:hAnsi="宋体" w:cs="宋体"/>
          <w:color w:val="auto"/>
          <w:highlight w:val="none"/>
        </w:rPr>
      </w:pPr>
    </w:p>
    <w:p w14:paraId="6369CEF6">
      <w:pPr>
        <w:widowControl/>
        <w:jc w:val="left"/>
        <w:rPr>
          <w:rFonts w:hint="eastAsia" w:ascii="宋体" w:hAnsi="宋体" w:cs="宋体"/>
          <w:color w:val="auto"/>
          <w:highlight w:val="none"/>
        </w:rPr>
      </w:pPr>
    </w:p>
    <w:p w14:paraId="08072998">
      <w:pPr>
        <w:widowControl/>
        <w:jc w:val="left"/>
        <w:rPr>
          <w:rFonts w:hint="eastAsia" w:ascii="宋体" w:hAnsi="宋体" w:cs="宋体"/>
          <w:color w:val="auto"/>
          <w:highlight w:val="none"/>
        </w:rPr>
      </w:pPr>
    </w:p>
    <w:p w14:paraId="19D0CF2B">
      <w:pPr>
        <w:widowControl/>
        <w:jc w:val="left"/>
        <w:rPr>
          <w:rFonts w:hint="eastAsia" w:ascii="宋体" w:hAnsi="宋体" w:cs="宋体"/>
          <w:color w:val="auto"/>
          <w:highlight w:val="none"/>
        </w:rPr>
      </w:pPr>
    </w:p>
    <w:p w14:paraId="399DE537">
      <w:pPr>
        <w:pStyle w:val="4"/>
        <w:rPr>
          <w:rFonts w:hint="default" w:ascii="宋体" w:hAnsi="宋体" w:eastAsia="宋体" w:cs="宋体"/>
          <w:b/>
          <w:bCs/>
          <w:color w:val="auto"/>
          <w:sz w:val="28"/>
          <w:szCs w:val="28"/>
          <w:highlight w:val="none"/>
          <w:lang w:val="en-US" w:eastAsia="zh-CN"/>
        </w:rPr>
      </w:pPr>
      <w:bookmarkStart w:id="1672" w:name="_Toc13346"/>
      <w:bookmarkStart w:id="1673" w:name="_Toc21021"/>
      <w:bookmarkStart w:id="1674" w:name="_Toc10882"/>
      <w:bookmarkStart w:id="1675" w:name="_Toc164680744"/>
      <w:bookmarkStart w:id="1676" w:name="_Toc164182328"/>
      <w:bookmarkStart w:id="1677" w:name="_Toc164182837"/>
      <w:bookmarkStart w:id="1678" w:name="_Toc164181810"/>
      <w:bookmarkStart w:id="1679" w:name="_Toc164681343"/>
      <w:bookmarkStart w:id="1680" w:name="_Toc30747"/>
      <w:bookmarkStart w:id="1681" w:name="_Toc28460"/>
      <w:r>
        <w:rPr>
          <w:rFonts w:hint="eastAsia" w:ascii="宋体" w:hAnsi="宋体" w:eastAsia="宋体" w:cs="宋体"/>
          <w:b/>
          <w:bCs/>
          <w:color w:val="auto"/>
          <w:sz w:val="28"/>
          <w:szCs w:val="28"/>
          <w:highlight w:val="none"/>
        </w:rPr>
        <w:t>二、</w:t>
      </w:r>
      <w:bookmarkEnd w:id="1672"/>
      <w:bookmarkEnd w:id="1673"/>
      <w:bookmarkEnd w:id="1674"/>
      <w:bookmarkEnd w:id="1675"/>
      <w:bookmarkEnd w:id="1676"/>
      <w:bookmarkEnd w:id="1677"/>
      <w:bookmarkEnd w:id="1678"/>
      <w:bookmarkEnd w:id="1679"/>
      <w:bookmarkEnd w:id="1680"/>
      <w:bookmarkEnd w:id="1681"/>
      <w:r>
        <w:rPr>
          <w:rFonts w:hint="eastAsia" w:ascii="宋体" w:hAnsi="宋体" w:cs="宋体"/>
          <w:b/>
          <w:bCs/>
          <w:color w:val="auto"/>
          <w:sz w:val="28"/>
          <w:szCs w:val="28"/>
          <w:highlight w:val="none"/>
          <w:lang w:val="en-US" w:eastAsia="zh-CN"/>
        </w:rPr>
        <w:t>技术和服务水平</w:t>
      </w:r>
    </w:p>
    <w:p w14:paraId="4C715353">
      <w:pPr>
        <w:spacing w:line="360" w:lineRule="auto"/>
        <w:rPr>
          <w:rFonts w:hint="eastAsia" w:ascii="宋体" w:hAnsi="宋体" w:cs="宋体"/>
          <w:b w:val="0"/>
          <w:color w:val="auto"/>
          <w:sz w:val="21"/>
          <w:highlight w:val="none"/>
        </w:rPr>
      </w:pPr>
      <w:bookmarkStart w:id="1682" w:name="_Toc22223"/>
      <w:bookmarkStart w:id="1683" w:name="_Toc139474627"/>
      <w:bookmarkStart w:id="1684" w:name="_Toc501047647"/>
      <w:bookmarkStart w:id="1685" w:name="_Toc107941531"/>
      <w:bookmarkStart w:id="1686" w:name="_Toc2264"/>
      <w:bookmarkStart w:id="1687" w:name="_Toc106203179"/>
      <w:bookmarkStart w:id="1688" w:name="_Toc47535734"/>
      <w:bookmarkStart w:id="1689" w:name="_Toc137660360"/>
      <w:bookmarkStart w:id="1690" w:name="_Toc137660680"/>
      <w:bookmarkStart w:id="1691" w:name="_Toc99721243"/>
      <w:bookmarkStart w:id="1692" w:name="_Toc84934882"/>
      <w:bookmarkStart w:id="1693" w:name="_Toc498959735"/>
      <w:bookmarkStart w:id="1694" w:name="_Toc100768099"/>
      <w:bookmarkStart w:id="1695" w:name="_Toc137660300"/>
      <w:bookmarkStart w:id="1696" w:name="_Toc498959563"/>
      <w:bookmarkStart w:id="1697" w:name="_Toc84935275"/>
      <w:bookmarkStart w:id="1698" w:name="_Toc47535796"/>
      <w:bookmarkStart w:id="1699" w:name="_Toc79077716"/>
      <w:bookmarkStart w:id="1700" w:name="_Toc84935346"/>
      <w:bookmarkStart w:id="1701" w:name="_Toc99721606"/>
      <w:bookmarkStart w:id="1702" w:name="_Toc99525799"/>
      <w:bookmarkStart w:id="1703" w:name="_Toc79078799"/>
      <w:bookmarkStart w:id="1704" w:name="_Toc164182336"/>
      <w:bookmarkStart w:id="1705" w:name="_Toc18047"/>
      <w:bookmarkStart w:id="1706" w:name="_Toc22989"/>
      <w:bookmarkStart w:id="1707" w:name="_Toc99526836"/>
      <w:bookmarkStart w:id="1708" w:name="_Toc164681354"/>
      <w:bookmarkStart w:id="1709" w:name="_Toc164182845"/>
      <w:r>
        <w:rPr>
          <w:rFonts w:hint="eastAsia" w:ascii="宋体" w:hAnsi="宋体" w:cs="宋体"/>
          <w:b w:val="0"/>
          <w:color w:val="auto"/>
          <w:sz w:val="21"/>
          <w:highlight w:val="none"/>
        </w:rPr>
        <w:t>1.</w:t>
      </w:r>
      <w:r>
        <w:rPr>
          <w:rFonts w:hint="eastAsia" w:ascii="宋体" w:hAnsi="宋体" w:eastAsia="宋体" w:cs="宋体"/>
          <w:color w:val="auto"/>
          <w:sz w:val="21"/>
          <w:szCs w:val="21"/>
          <w:highlight w:val="none"/>
        </w:rPr>
        <w:t>项目需求理解</w:t>
      </w:r>
    </w:p>
    <w:p w14:paraId="4EBE9DF1">
      <w:pPr>
        <w:spacing w:line="360" w:lineRule="auto"/>
        <w:rPr>
          <w:rFonts w:hint="eastAsia" w:ascii="宋体" w:hAnsi="宋体" w:cs="宋体"/>
          <w:b w:val="0"/>
          <w:color w:val="auto"/>
          <w:sz w:val="21"/>
          <w:highlight w:val="none"/>
        </w:rPr>
      </w:pPr>
      <w:r>
        <w:rPr>
          <w:rFonts w:hint="eastAsia" w:ascii="宋体" w:hAnsi="宋体" w:cs="宋体"/>
          <w:b w:val="0"/>
          <w:color w:val="auto"/>
          <w:sz w:val="21"/>
          <w:highlight w:val="none"/>
        </w:rPr>
        <w:t>2.</w:t>
      </w:r>
      <w:r>
        <w:rPr>
          <w:rFonts w:hint="eastAsia" w:ascii="宋体" w:hAnsi="宋体" w:cs="宋体"/>
          <w:color w:val="auto"/>
          <w:sz w:val="21"/>
          <w:szCs w:val="21"/>
          <w:highlight w:val="none"/>
          <w:lang w:val="en-US" w:eastAsia="zh-CN"/>
        </w:rPr>
        <w:t>服务方案</w:t>
      </w:r>
    </w:p>
    <w:p w14:paraId="6C4ED15A">
      <w:pPr>
        <w:spacing w:line="360" w:lineRule="auto"/>
        <w:rPr>
          <w:rFonts w:hint="eastAsia" w:ascii="宋体" w:hAnsi="宋体" w:cs="宋体"/>
          <w:b w:val="0"/>
          <w:color w:val="auto"/>
          <w:sz w:val="21"/>
          <w:highlight w:val="none"/>
        </w:rPr>
      </w:pPr>
      <w:r>
        <w:rPr>
          <w:rFonts w:hint="eastAsia" w:ascii="宋体" w:hAnsi="宋体" w:cs="宋体"/>
          <w:b w:val="0"/>
          <w:color w:val="auto"/>
          <w:sz w:val="21"/>
          <w:highlight w:val="none"/>
          <w:lang w:val="en-US" w:eastAsia="zh-CN"/>
        </w:rPr>
        <w:t>3</w:t>
      </w:r>
      <w:r>
        <w:rPr>
          <w:rFonts w:hint="eastAsia" w:ascii="宋体" w:hAnsi="宋体" w:cs="宋体"/>
          <w:b w:val="0"/>
          <w:color w:val="auto"/>
          <w:sz w:val="21"/>
          <w:highlight w:val="none"/>
        </w:rPr>
        <w:t>.</w:t>
      </w:r>
      <w:r>
        <w:rPr>
          <w:rFonts w:hint="eastAsia" w:ascii="宋体" w:hAnsi="宋体" w:eastAsia="宋体" w:cs="宋体"/>
          <w:color w:val="auto"/>
          <w:sz w:val="21"/>
          <w:szCs w:val="21"/>
          <w:highlight w:val="none"/>
        </w:rPr>
        <w:t>安全保密方案</w:t>
      </w:r>
    </w:p>
    <w:p w14:paraId="7F679E16">
      <w:pPr>
        <w:spacing w:line="360" w:lineRule="auto"/>
        <w:rPr>
          <w:rFonts w:hint="eastAsia" w:ascii="宋体" w:hAnsi="宋体" w:cs="宋体"/>
          <w:b w:val="0"/>
          <w:color w:val="auto"/>
          <w:sz w:val="21"/>
          <w:highlight w:val="none"/>
        </w:rPr>
      </w:pPr>
      <w:r>
        <w:rPr>
          <w:rFonts w:hint="eastAsia" w:ascii="宋体" w:hAnsi="宋体" w:cs="宋体"/>
          <w:b w:val="0"/>
          <w:color w:val="auto"/>
          <w:sz w:val="21"/>
          <w:highlight w:val="none"/>
          <w:lang w:val="en-US" w:eastAsia="zh-CN"/>
        </w:rPr>
        <w:t>4</w:t>
      </w:r>
      <w:r>
        <w:rPr>
          <w:rFonts w:hint="eastAsia" w:ascii="宋体" w:hAnsi="宋体" w:cs="宋体"/>
          <w:b w:val="0"/>
          <w:color w:val="auto"/>
          <w:sz w:val="21"/>
          <w:highlight w:val="none"/>
        </w:rPr>
        <w:t>.</w:t>
      </w:r>
      <w:r>
        <w:rPr>
          <w:rFonts w:hint="eastAsia" w:ascii="宋体" w:hAnsi="宋体" w:cs="宋体"/>
          <w:color w:val="auto"/>
          <w:sz w:val="21"/>
          <w:szCs w:val="21"/>
          <w:highlight w:val="none"/>
          <w:lang w:val="en-US" w:eastAsia="zh-CN"/>
        </w:rPr>
        <w:t>验收方案</w:t>
      </w:r>
    </w:p>
    <w:p w14:paraId="53C52051">
      <w:pPr>
        <w:spacing w:line="360" w:lineRule="auto"/>
        <w:rPr>
          <w:rFonts w:hint="eastAsia" w:ascii="宋体" w:hAnsi="宋体" w:cs="宋体"/>
          <w:b w:val="0"/>
          <w:color w:val="auto"/>
          <w:sz w:val="21"/>
          <w:highlight w:val="none"/>
          <w:lang w:val="en-US" w:eastAsia="zh-CN"/>
        </w:rPr>
      </w:pPr>
      <w:r>
        <w:rPr>
          <w:rFonts w:hint="eastAsia" w:ascii="宋体" w:hAnsi="宋体" w:cs="宋体"/>
          <w:b w:val="0"/>
          <w:color w:val="auto"/>
          <w:sz w:val="21"/>
          <w:highlight w:val="none"/>
          <w:lang w:val="en-US" w:eastAsia="zh-CN"/>
        </w:rPr>
        <w:t>5.</w:t>
      </w:r>
      <w:r>
        <w:rPr>
          <w:rFonts w:hint="eastAsia" w:ascii="宋体" w:hAnsi="宋体" w:eastAsia="宋体" w:cs="宋体"/>
          <w:color w:val="auto"/>
          <w:sz w:val="21"/>
          <w:szCs w:val="21"/>
          <w:highlight w:val="none"/>
          <w:lang w:val="en-US" w:eastAsia="zh-CN"/>
        </w:rPr>
        <w:t>保密方案</w:t>
      </w:r>
    </w:p>
    <w:p w14:paraId="3CA92125">
      <w:pPr>
        <w:spacing w:line="360" w:lineRule="auto"/>
        <w:rPr>
          <w:rFonts w:hint="eastAsia" w:ascii="宋体" w:hAnsi="宋体" w:cs="宋体"/>
          <w:b w:val="0"/>
          <w:color w:val="auto"/>
          <w:sz w:val="21"/>
          <w:highlight w:val="none"/>
        </w:rPr>
      </w:pPr>
      <w:r>
        <w:rPr>
          <w:rFonts w:hint="eastAsia" w:ascii="宋体" w:hAnsi="宋体" w:cs="宋体"/>
          <w:b w:val="0"/>
          <w:color w:val="auto"/>
          <w:sz w:val="21"/>
          <w:highlight w:val="none"/>
          <w:lang w:val="en-US" w:eastAsia="zh-CN"/>
        </w:rPr>
        <w:t>6</w:t>
      </w:r>
      <w:r>
        <w:rPr>
          <w:rFonts w:hint="eastAsia" w:ascii="宋体" w:hAnsi="宋体" w:cs="宋体"/>
          <w:b w:val="0"/>
          <w:color w:val="auto"/>
          <w:sz w:val="21"/>
          <w:highlight w:val="none"/>
        </w:rPr>
        <w:t>.</w:t>
      </w:r>
      <w:r>
        <w:rPr>
          <w:rFonts w:hint="eastAsia" w:ascii="宋体" w:hAnsi="宋体" w:cs="宋体"/>
          <w:b w:val="0"/>
          <w:color w:val="auto"/>
          <w:sz w:val="21"/>
          <w:highlight w:val="none"/>
          <w:lang w:val="en-US" w:eastAsia="zh-CN"/>
        </w:rPr>
        <w:t>其他</w:t>
      </w:r>
      <w:r>
        <w:rPr>
          <w:rFonts w:hint="eastAsia" w:ascii="宋体" w:hAnsi="宋体" w:cs="宋体"/>
          <w:b w:val="0"/>
          <w:color w:val="auto"/>
          <w:sz w:val="21"/>
          <w:highlight w:val="none"/>
        </w:rPr>
        <w:t>资料</w:t>
      </w:r>
    </w:p>
    <w:p w14:paraId="6BD8EF27">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（格式自拟）</w:t>
      </w:r>
    </w:p>
    <w:p w14:paraId="54A09331">
      <w:pPr>
        <w:pStyle w:val="13"/>
        <w:rPr>
          <w:rFonts w:hint="eastAsia" w:ascii="宋体" w:hAnsi="宋体" w:cs="宋体"/>
          <w:color w:val="auto"/>
          <w:highlight w:val="none"/>
        </w:rPr>
      </w:pPr>
      <w:r>
        <w:rPr>
          <w:rFonts w:hint="eastAsia"/>
          <w:color w:val="auto"/>
          <w:highlight w:val="none"/>
          <w:lang w:eastAsia="zh-CN"/>
        </w:rPr>
        <w:br w:type="page"/>
      </w:r>
    </w:p>
    <w:p w14:paraId="6477A029">
      <w:pPr>
        <w:pStyle w:val="2"/>
        <w:numPr>
          <w:ilvl w:val="0"/>
          <w:numId w:val="1"/>
        </w:numPr>
        <w:rPr>
          <w:rFonts w:hint="eastAsia" w:ascii="宋体" w:hAnsi="宋体" w:eastAsia="宋体" w:cs="宋体"/>
          <w:color w:val="auto"/>
          <w:highlight w:val="none"/>
        </w:rPr>
      </w:pPr>
      <w:bookmarkStart w:id="1710" w:name="_Toc26852"/>
      <w:bookmarkStart w:id="1711" w:name="_Toc29422"/>
      <w:bookmarkStart w:id="1712" w:name="_Toc8918"/>
      <w:bookmarkStart w:id="1713" w:name="_Toc16422"/>
      <w:r>
        <w:rPr>
          <w:rFonts w:hint="eastAsia" w:ascii="宋体" w:hAnsi="宋体" w:eastAsia="宋体" w:cs="宋体"/>
          <w:color w:val="auto"/>
          <w:highlight w:val="none"/>
        </w:rPr>
        <w:t xml:space="preserve"> 项目采购需求</w:t>
      </w:r>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503C25CA">
      <w:pPr>
        <w:spacing w:before="0" w:after="0" w:line="360" w:lineRule="auto"/>
        <w:jc w:val="left"/>
      </w:pPr>
    </w:p>
    <w:p w14:paraId="337D09B1">
      <w:pPr>
        <w:pStyle w:val="2"/>
        <w:keepNext w:val="0"/>
        <w:spacing w:before="0" w:after="0" w:line="360" w:lineRule="auto"/>
        <w:jc w:val="center"/>
        <w:rPr>
          <w:rFonts w:ascii="仿宋_GB2312" w:hAnsi="仿宋_GB2312" w:eastAsia="仿宋_GB2312" w:cs="仿宋_GB2312"/>
          <w:b/>
          <w:bCs/>
          <w:sz w:val="32"/>
          <w:szCs w:val="32"/>
        </w:rPr>
      </w:pPr>
      <w:bookmarkStart w:id="1714" w:name="_Toc256000000"/>
      <w:r>
        <w:rPr>
          <w:rFonts w:ascii="仿宋_GB2312" w:hAnsi="仿宋_GB2312" w:eastAsia="仿宋_GB2312" w:cs="仿宋_GB2312"/>
          <w:kern w:val="36"/>
        </w:rPr>
        <w:t>1项目概述</w:t>
      </w:r>
      <w:bookmarkEnd w:id="1714"/>
    </w:p>
    <w:p w14:paraId="2489F299">
      <w:pPr>
        <w:pStyle w:val="3"/>
        <w:keepNext w:val="0"/>
        <w:spacing w:before="0" w:after="0" w:line="360" w:lineRule="auto"/>
        <w:rPr>
          <w:rFonts w:ascii="仿宋_GB2312" w:hAnsi="仿宋_GB2312" w:eastAsia="仿宋_GB2312" w:cs="仿宋_GB2312"/>
          <w:b/>
          <w:bCs/>
          <w:sz w:val="28"/>
          <w:szCs w:val="28"/>
        </w:rPr>
      </w:pPr>
      <w:bookmarkStart w:id="1715" w:name="_Toc256000001"/>
      <w:r>
        <w:rPr>
          <w:rFonts w:ascii="仿宋_GB2312" w:hAnsi="仿宋_GB2312" w:eastAsia="仿宋_GB2312" w:cs="仿宋_GB2312"/>
          <w:i w:val="0"/>
          <w:iCs w:val="0"/>
        </w:rPr>
        <w:t>1.1项目背景</w:t>
      </w:r>
      <w:bookmarkEnd w:id="1715"/>
    </w:p>
    <w:p w14:paraId="4DD71BEB">
      <w:pPr>
        <w:pStyle w:val="4"/>
        <w:keepNext w:val="0"/>
        <w:spacing w:before="0" w:after="0" w:line="360" w:lineRule="auto"/>
        <w:rPr>
          <w:rFonts w:ascii="仿宋_GB2312" w:hAnsi="仿宋_GB2312" w:eastAsia="仿宋_GB2312" w:cs="仿宋_GB2312"/>
          <w:b/>
          <w:bCs/>
          <w:sz w:val="28"/>
          <w:szCs w:val="28"/>
        </w:rPr>
      </w:pPr>
      <w:bookmarkStart w:id="1716" w:name="_Toc256000002"/>
      <w:r>
        <w:rPr>
          <w:rFonts w:ascii="仿宋_GB2312" w:hAnsi="仿宋_GB2312" w:eastAsia="仿宋_GB2312" w:cs="仿宋_GB2312"/>
          <w:sz w:val="28"/>
          <w:szCs w:val="28"/>
        </w:rPr>
        <w:t>1.1.1项目目的、意义及背景</w:t>
      </w:r>
      <w:bookmarkEnd w:id="1716"/>
    </w:p>
    <w:p w14:paraId="2DB2349B">
      <w:pPr>
        <w:pStyle w:val="70"/>
        <w:spacing w:before="0" w:after="0" w:line="360" w:lineRule="auto"/>
        <w:ind w:right="0" w:firstLine="560"/>
        <w:rPr>
          <w:rFonts w:ascii="Times New Roman" w:hAnsi="Times New Roman" w:eastAsia="Times New Roman" w:cs="Times New Roman"/>
        </w:rPr>
      </w:pPr>
      <w:r>
        <w:rPr>
          <w:rFonts w:ascii="仿宋_GB2312" w:hAnsi="仿宋_GB2312" w:eastAsia="仿宋_GB2312" w:cs="仿宋_GB2312"/>
          <w:spacing w:val="0"/>
          <w:sz w:val="28"/>
          <w:szCs w:val="28"/>
        </w:rPr>
        <w:t>为进一步强化甘肃省税收治理体系与治理能力现代化建设，深入推进“强基工程”在我省落实落细，深化“以数治税”，保障甘肃省税收大数据应用平台（以下简称“大数据平台”）安全、稳定、高效运行，全方位、深层次为全省税收大数据的深度应用与创新发展筑牢坚实的技术支撑基础，现拟开展大数据平台运维服务的采购工作。</w:t>
      </w:r>
    </w:p>
    <w:p w14:paraId="35E6D3BD">
      <w:pPr>
        <w:pStyle w:val="70"/>
        <w:spacing w:before="0" w:after="0" w:line="360" w:lineRule="auto"/>
        <w:ind w:right="0" w:firstLine="560"/>
        <w:rPr>
          <w:rFonts w:ascii="Times New Roman" w:hAnsi="Times New Roman" w:eastAsia="Times New Roman" w:cs="Times New Roman"/>
        </w:rPr>
      </w:pPr>
      <w:r>
        <w:rPr>
          <w:rFonts w:ascii="仿宋_GB2312" w:hAnsi="仿宋_GB2312" w:eastAsia="仿宋_GB2312" w:cs="仿宋_GB2312"/>
          <w:spacing w:val="0"/>
          <w:sz w:val="28"/>
          <w:szCs w:val="28"/>
        </w:rPr>
        <w:t>我省大数据平台自2018年开始建设以来，全面整合、归集全省涉税涉费数据资源，打破信息孤岛，实现税收数据的集约化管理和智能化应用，经过多年持续不断优化完善，平台功能逐步丰富，为全省各级税务局提供数据统计、查询、分析的同时，通过多维度、多层次数据分析，在辅助决策、专项工作开展以及强化税收监管的精准性和时效性方面发挥了重要作用。</w:t>
      </w:r>
    </w:p>
    <w:p w14:paraId="2579A672">
      <w:pPr>
        <w:pStyle w:val="70"/>
        <w:spacing w:before="0" w:after="0" w:line="360" w:lineRule="auto"/>
        <w:ind w:right="0" w:firstLine="560"/>
        <w:rPr>
          <w:rFonts w:ascii="Times New Roman" w:hAnsi="Times New Roman" w:eastAsia="Times New Roman" w:cs="Times New Roman"/>
        </w:rPr>
      </w:pPr>
      <w:r>
        <w:rPr>
          <w:rFonts w:ascii="仿宋_GB2312" w:hAnsi="仿宋_GB2312" w:eastAsia="仿宋_GB2312" w:cs="仿宋_GB2312"/>
          <w:spacing w:val="0"/>
          <w:sz w:val="28"/>
          <w:szCs w:val="28"/>
        </w:rPr>
        <w:t>大数据平台由数据展示、数据加工、数据存储三部分组成。数据展示部分使用了FineReport系统，主要用于数据应用界面开发；数据加工部分使用了睿治系统，主要用于数据抽取和加工；数据存储部分使用了FineDATA分布式数据库和Doris数据库，完成数据存储。</w:t>
      </w:r>
    </w:p>
    <w:p w14:paraId="4E05F54D">
      <w:pPr>
        <w:pStyle w:val="3"/>
        <w:keepNext w:val="0"/>
        <w:spacing w:before="0" w:after="0" w:line="360" w:lineRule="auto"/>
        <w:rPr>
          <w:rFonts w:ascii="仿宋_GB2312" w:hAnsi="仿宋_GB2312" w:eastAsia="仿宋_GB2312" w:cs="仿宋_GB2312"/>
          <w:b/>
          <w:bCs/>
          <w:sz w:val="28"/>
          <w:szCs w:val="28"/>
        </w:rPr>
      </w:pPr>
      <w:bookmarkStart w:id="1717" w:name="_Toc256000003"/>
      <w:r>
        <w:rPr>
          <w:rFonts w:ascii="仿宋_GB2312" w:hAnsi="仿宋_GB2312" w:eastAsia="仿宋_GB2312" w:cs="仿宋_GB2312"/>
          <w:i w:val="0"/>
          <w:iCs w:val="0"/>
        </w:rPr>
        <w:t>1.2项目内容</w:t>
      </w:r>
      <w:bookmarkEnd w:id="1717"/>
    </w:p>
    <w:p w14:paraId="6BC390FD">
      <w:pPr>
        <w:pStyle w:val="4"/>
        <w:keepNext w:val="0"/>
        <w:spacing w:before="0" w:after="0" w:line="360" w:lineRule="auto"/>
        <w:rPr>
          <w:rFonts w:ascii="仿宋_GB2312" w:hAnsi="仿宋_GB2312" w:eastAsia="仿宋_GB2312" w:cs="仿宋_GB2312"/>
          <w:b/>
          <w:bCs/>
          <w:sz w:val="28"/>
          <w:szCs w:val="28"/>
        </w:rPr>
      </w:pPr>
      <w:bookmarkStart w:id="1718" w:name="_Toc256000004"/>
      <w:r>
        <w:rPr>
          <w:rFonts w:ascii="仿宋_GB2312" w:hAnsi="仿宋_GB2312" w:eastAsia="仿宋_GB2312" w:cs="仿宋_GB2312"/>
          <w:sz w:val="28"/>
          <w:szCs w:val="28"/>
        </w:rPr>
        <w:t>1.2.1项目建设思路</w:t>
      </w:r>
      <w:bookmarkEnd w:id="1718"/>
    </w:p>
    <w:p w14:paraId="17582B8D">
      <w:pPr>
        <w:pStyle w:val="70"/>
        <w:spacing w:before="0" w:after="0" w:line="360" w:lineRule="auto"/>
        <w:ind w:right="0" w:firstLine="560"/>
        <w:rPr>
          <w:rFonts w:ascii="仿宋_GB2312" w:hAnsi="仿宋_GB2312" w:eastAsia="仿宋_GB2312" w:cs="仿宋_GB2312"/>
          <w:spacing w:val="0"/>
          <w:sz w:val="28"/>
          <w:szCs w:val="28"/>
        </w:rPr>
      </w:pPr>
      <w:r>
        <w:rPr>
          <w:rFonts w:ascii="仿宋_GB2312" w:hAnsi="仿宋_GB2312" w:eastAsia="仿宋_GB2312" w:cs="仿宋_GB2312"/>
          <w:spacing w:val="0"/>
          <w:sz w:val="28"/>
          <w:szCs w:val="28"/>
        </w:rPr>
        <w:t>围绕全省税务系统年度重点工作安排，完成税费数据归集和管理、系统日常运行维护、数据归集、数据维护等工作，为省局业务处室及各市州税务局开展大数据应用和分析提供技术支持，深化以税资政，切实发挥税收大数据作用。根据涉及系统版本迭代升级情况，完成平台内容升级与年度技术保障。同时，基于现有数据开展加工及可视化看板与业务场景的适配，确保税费数据治理、发票管理、稽查决策相关业务需求精准高效推进。</w:t>
      </w:r>
    </w:p>
    <w:p w14:paraId="1A71CEE6">
      <w:pPr>
        <w:pStyle w:val="4"/>
        <w:keepNext w:val="0"/>
        <w:spacing w:before="0" w:after="0" w:line="360" w:lineRule="auto"/>
        <w:rPr>
          <w:rFonts w:ascii="仿宋_GB2312" w:hAnsi="仿宋_GB2312" w:eastAsia="仿宋_GB2312" w:cs="仿宋_GB2312"/>
          <w:b/>
          <w:bCs/>
          <w:sz w:val="28"/>
          <w:szCs w:val="28"/>
        </w:rPr>
      </w:pPr>
      <w:bookmarkStart w:id="1719" w:name="_Toc256000005"/>
      <w:r>
        <w:rPr>
          <w:rFonts w:ascii="仿宋_GB2312" w:hAnsi="仿宋_GB2312" w:eastAsia="仿宋_GB2312" w:cs="仿宋_GB2312"/>
          <w:sz w:val="28"/>
          <w:szCs w:val="28"/>
        </w:rPr>
        <w:t>1.2.2采购内容</w:t>
      </w:r>
      <w:bookmarkEnd w:id="1719"/>
    </w:p>
    <w:p w14:paraId="378A57C4">
      <w:pPr>
        <w:pStyle w:val="70"/>
        <w:spacing w:before="0" w:after="0" w:line="360" w:lineRule="auto"/>
        <w:ind w:left="0" w:right="0" w:firstLine="560"/>
        <w:rPr>
          <w:rFonts w:ascii="Times New Roman" w:hAnsi="Times New Roman" w:eastAsia="Times New Roman" w:cs="Times New Roman"/>
        </w:rPr>
      </w:pPr>
      <w:r>
        <w:rPr>
          <w:rFonts w:ascii="仿宋_GB2312" w:hAnsi="仿宋_GB2312" w:eastAsia="仿宋_GB2312" w:cs="仿宋_GB2312"/>
          <w:sz w:val="28"/>
          <w:szCs w:val="28"/>
        </w:rPr>
        <w:t>本项目拟采购运维服务的内容包括：BI运行维护服务，BI相关功能展示功能适配实施，FinedataLink运行维护，数据库日常运维服务，</w:t>
      </w:r>
      <w:r>
        <w:rPr>
          <w:rFonts w:ascii="仿宋_GB2312" w:hAnsi="仿宋_GB2312" w:eastAsia="仿宋_GB2312" w:cs="仿宋_GB2312"/>
          <w:spacing w:val="0"/>
          <w:sz w:val="28"/>
          <w:szCs w:val="28"/>
        </w:rPr>
        <w:t>睿治</w:t>
      </w:r>
      <w:r>
        <w:rPr>
          <w:rFonts w:ascii="仿宋_GB2312" w:hAnsi="仿宋_GB2312" w:eastAsia="仿宋_GB2312" w:cs="仿宋_GB2312"/>
          <w:sz w:val="28"/>
          <w:szCs w:val="28"/>
        </w:rPr>
        <w:t>调度任务管理，重大任务保障，项目文档编写等，其中包括2 名驻场运维服务、远程技术服务支持（二线），运维服务期限为一年。</w:t>
      </w:r>
    </w:p>
    <w:p w14:paraId="32593960">
      <w:pPr>
        <w:pStyle w:val="4"/>
        <w:keepNext w:val="0"/>
        <w:spacing w:before="0" w:after="0" w:line="360" w:lineRule="auto"/>
        <w:rPr>
          <w:rFonts w:ascii="仿宋_GB2312" w:hAnsi="仿宋_GB2312" w:eastAsia="仿宋_GB2312" w:cs="仿宋_GB2312"/>
          <w:b/>
          <w:bCs/>
          <w:sz w:val="28"/>
          <w:szCs w:val="28"/>
        </w:rPr>
      </w:pPr>
      <w:bookmarkStart w:id="1720" w:name="_Toc256000006"/>
      <w:r>
        <w:rPr>
          <w:rFonts w:ascii="仿宋_GB2312" w:hAnsi="仿宋_GB2312" w:eastAsia="仿宋_GB2312" w:cs="仿宋_GB2312"/>
          <w:sz w:val="28"/>
          <w:szCs w:val="28"/>
        </w:rPr>
        <w:t>1.2.3项目实施要求</w:t>
      </w:r>
      <w:bookmarkEnd w:id="1720"/>
    </w:p>
    <w:p w14:paraId="6D988AEA">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1.2.3.1实施范围要求</w:t>
      </w:r>
    </w:p>
    <w:p w14:paraId="2127C00A">
      <w:pPr>
        <w:pStyle w:val="70"/>
        <w:spacing w:before="0" w:after="0" w:line="360" w:lineRule="auto"/>
        <w:ind w:left="0" w:right="0" w:firstLine="560"/>
        <w:rPr>
          <w:rFonts w:ascii="Times New Roman" w:hAnsi="Times New Roman" w:eastAsia="Times New Roman" w:cs="Times New Roman"/>
        </w:rPr>
      </w:pPr>
      <w:r>
        <w:rPr>
          <w:rFonts w:ascii="仿宋_GB2312" w:hAnsi="仿宋_GB2312" w:eastAsia="仿宋_GB2312" w:cs="仿宋_GB2312"/>
          <w:sz w:val="28"/>
          <w:szCs w:val="28"/>
        </w:rPr>
        <w:t>对大数据平台平台架构全层级运维，包括对数据层 Finedata 分布式数据库进行日常监控、性能调优、快速故障排查与修复，确保数据稳定运行。治理层 Finedatalink 智能数据治理产品方面，维护数据同步链路正常运行，确保数据同步任务正常执行，及时解决链路故障。应用层做好 FineBI 商业智能产品中报表、图表等基础可视化功能正常运行，持续优化交互体验，配合局方完成 FineBI 深度适配，依据业务变化与新需求，定制个性化可视化看板与数据分析模型。基于现有数据开展数据深度处理和管理工作，保障数据安全可靠和深度应用。完成平台年度技术保障，定期巡检并做好巡检记录、加固安全、修复漏洞，并依据建设思路升级优化平台功能。及时处理使用过程的其他技术与业务问题，保障全省税收大数据应用高效推进。</w:t>
      </w:r>
    </w:p>
    <w:p w14:paraId="5965BDEF">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1.2.3.2实施时间要求</w:t>
      </w:r>
    </w:p>
    <w:p w14:paraId="4997E730">
      <w:pPr>
        <w:pStyle w:val="69"/>
        <w:spacing w:before="0" w:after="0" w:line="360" w:lineRule="auto"/>
        <w:ind w:left="0" w:right="0"/>
        <w:jc w:val="both"/>
        <w:rPr>
          <w:rFonts w:ascii="Times New Roman" w:hAnsi="Times New Roman" w:eastAsia="Times New Roman" w:cs="Times New Roman"/>
          <w:sz w:val="21"/>
          <w:szCs w:val="21"/>
        </w:rPr>
      </w:pPr>
      <w:r>
        <w:rPr>
          <w:rFonts w:ascii="Times New Roman" w:hAnsi="Times New Roman" w:eastAsia="Times New Roman" w:cs="Times New Roman"/>
          <w:sz w:val="28"/>
          <w:szCs w:val="28"/>
        </w:rPr>
        <w:t> </w:t>
      </w:r>
      <w:r>
        <w:rPr>
          <w:rFonts w:ascii="FangSong_GB2312" w:hAnsi="FangSong_GB2312" w:eastAsia="FangSong_GB2312" w:cs="FangSong_GB2312"/>
          <w:sz w:val="28"/>
          <w:szCs w:val="28"/>
        </w:rPr>
        <w:t>自合同签订起一年。</w:t>
      </w:r>
    </w:p>
    <w:p w14:paraId="6BEF06EE">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1.2.3.3实施地点要求</w:t>
      </w:r>
    </w:p>
    <w:p w14:paraId="2B1C53B2">
      <w:pPr>
        <w:pStyle w:val="69"/>
        <w:spacing w:before="0" w:after="0" w:line="360" w:lineRule="auto"/>
        <w:ind w:left="0" w:right="0"/>
        <w:jc w:val="both"/>
        <w:rPr>
          <w:rFonts w:ascii="Times New Roman" w:hAnsi="Times New Roman" w:eastAsia="Times New Roman" w:cs="Times New Roman"/>
          <w:sz w:val="21"/>
          <w:szCs w:val="21"/>
        </w:rPr>
      </w:pPr>
      <w:r>
        <w:rPr>
          <w:rFonts w:ascii="FangSong_GB2312" w:hAnsi="FangSong_GB2312" w:eastAsia="FangSong_GB2312" w:cs="FangSong_GB2312"/>
          <w:sz w:val="28"/>
          <w:szCs w:val="28"/>
        </w:rPr>
        <w:t>国家税务总局甘肃省税务局指定场所。</w:t>
      </w:r>
    </w:p>
    <w:p w14:paraId="6387AC88">
      <w:pPr>
        <w:pStyle w:val="4"/>
        <w:keepNext w:val="0"/>
        <w:spacing w:before="0" w:after="0" w:line="360" w:lineRule="auto"/>
        <w:rPr>
          <w:rFonts w:ascii="仿宋_GB2312" w:hAnsi="仿宋_GB2312" w:eastAsia="仿宋_GB2312" w:cs="仿宋_GB2312"/>
          <w:b/>
          <w:bCs/>
          <w:sz w:val="28"/>
          <w:szCs w:val="28"/>
        </w:rPr>
      </w:pPr>
      <w:bookmarkStart w:id="1721" w:name="_Toc256000007"/>
      <w:r>
        <w:rPr>
          <w:rFonts w:ascii="仿宋_GB2312" w:hAnsi="仿宋_GB2312" w:eastAsia="仿宋_GB2312" w:cs="仿宋_GB2312"/>
          <w:sz w:val="28"/>
          <w:szCs w:val="28"/>
        </w:rPr>
        <w:t>1.2.4系统情况</w:t>
      </w:r>
      <w:bookmarkEnd w:id="1721"/>
    </w:p>
    <w:p w14:paraId="1FE47465">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1.2.4.1现有软件系统的主要功能</w:t>
      </w:r>
    </w:p>
    <w:p w14:paraId="39B9C474">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1.2.4.2业务和技术体系架构及部署</w:t>
      </w:r>
    </w:p>
    <w:p w14:paraId="01F091A8">
      <w:pPr>
        <w:pStyle w:val="3"/>
        <w:keepNext w:val="0"/>
        <w:spacing w:before="0" w:after="0" w:line="360" w:lineRule="auto"/>
        <w:rPr>
          <w:rFonts w:ascii="仿宋_GB2312" w:hAnsi="仿宋_GB2312" w:eastAsia="仿宋_GB2312" w:cs="仿宋_GB2312"/>
          <w:b/>
          <w:bCs/>
          <w:sz w:val="28"/>
          <w:szCs w:val="28"/>
        </w:rPr>
      </w:pPr>
      <w:bookmarkStart w:id="1722" w:name="_Toc256000008"/>
      <w:r>
        <w:rPr>
          <w:rFonts w:ascii="仿宋_GB2312" w:hAnsi="仿宋_GB2312" w:eastAsia="仿宋_GB2312" w:cs="仿宋_GB2312"/>
          <w:i w:val="0"/>
          <w:iCs w:val="0"/>
        </w:rPr>
        <w:t>1.3其他要求</w:t>
      </w:r>
      <w:bookmarkEnd w:id="1722"/>
    </w:p>
    <w:p w14:paraId="7381DEBC">
      <w:pPr>
        <w:pStyle w:val="4"/>
        <w:keepNext w:val="0"/>
        <w:spacing w:before="0" w:after="0" w:line="360" w:lineRule="auto"/>
        <w:rPr>
          <w:rFonts w:ascii="仿宋_GB2312" w:hAnsi="仿宋_GB2312" w:eastAsia="仿宋_GB2312" w:cs="仿宋_GB2312"/>
          <w:b/>
          <w:bCs/>
          <w:sz w:val="28"/>
          <w:szCs w:val="28"/>
        </w:rPr>
      </w:pPr>
      <w:bookmarkStart w:id="1723" w:name="_Toc256000009"/>
      <w:r>
        <w:rPr>
          <w:rFonts w:ascii="仿宋_GB2312" w:hAnsi="仿宋_GB2312" w:eastAsia="仿宋_GB2312" w:cs="仿宋_GB2312"/>
          <w:sz w:val="28"/>
          <w:szCs w:val="28"/>
        </w:rPr>
        <w:t>1.3.1采购标的需执行的相关标准规范</w:t>
      </w:r>
      <w:bookmarkEnd w:id="1723"/>
    </w:p>
    <w:p w14:paraId="564A78FC">
      <w:pPr>
        <w:pStyle w:val="2"/>
        <w:keepNext w:val="0"/>
        <w:spacing w:before="0" w:after="0" w:line="360" w:lineRule="auto"/>
        <w:jc w:val="center"/>
        <w:rPr>
          <w:rFonts w:ascii="仿宋_GB2312" w:hAnsi="仿宋_GB2312" w:eastAsia="仿宋_GB2312" w:cs="仿宋_GB2312"/>
          <w:b/>
          <w:bCs/>
          <w:sz w:val="32"/>
          <w:szCs w:val="32"/>
        </w:rPr>
      </w:pPr>
      <w:bookmarkStart w:id="1724" w:name="_Toc256000010"/>
      <w:r>
        <w:rPr>
          <w:rFonts w:ascii="仿宋_GB2312" w:hAnsi="仿宋_GB2312" w:eastAsia="仿宋_GB2312" w:cs="仿宋_GB2312"/>
          <w:kern w:val="36"/>
        </w:rPr>
        <w:t>2投标/响应要求</w:t>
      </w:r>
      <w:bookmarkEnd w:id="1724"/>
    </w:p>
    <w:p w14:paraId="044FA216">
      <w:pPr>
        <w:pStyle w:val="3"/>
        <w:keepNext w:val="0"/>
        <w:spacing w:before="0" w:after="0" w:line="360" w:lineRule="auto"/>
        <w:rPr>
          <w:rFonts w:ascii="仿宋_GB2312" w:hAnsi="仿宋_GB2312" w:eastAsia="仿宋_GB2312" w:cs="仿宋_GB2312"/>
          <w:b/>
          <w:bCs/>
          <w:sz w:val="28"/>
          <w:szCs w:val="28"/>
        </w:rPr>
      </w:pPr>
      <w:bookmarkStart w:id="1725" w:name="_Toc256000011"/>
      <w:r>
        <w:rPr>
          <w:rFonts w:ascii="仿宋_GB2312" w:hAnsi="仿宋_GB2312" w:eastAsia="仿宋_GB2312" w:cs="仿宋_GB2312"/>
          <w:i w:val="0"/>
          <w:iCs w:val="0"/>
        </w:rPr>
        <w:t>2.1对供应商的要求</w:t>
      </w:r>
      <w:bookmarkEnd w:id="1725"/>
    </w:p>
    <w:p w14:paraId="6459AB0D">
      <w:pPr>
        <w:pStyle w:val="4"/>
        <w:keepNext w:val="0"/>
        <w:spacing w:before="0" w:after="0" w:line="360" w:lineRule="auto"/>
        <w:rPr>
          <w:rFonts w:ascii="仿宋_GB2312" w:hAnsi="仿宋_GB2312" w:eastAsia="仿宋_GB2312" w:cs="仿宋_GB2312"/>
          <w:b/>
          <w:bCs/>
          <w:sz w:val="28"/>
          <w:szCs w:val="28"/>
        </w:rPr>
      </w:pPr>
      <w:bookmarkStart w:id="1726" w:name="_Toc256000012"/>
      <w:r>
        <w:rPr>
          <w:rFonts w:ascii="仿宋_GB2312" w:hAnsi="仿宋_GB2312" w:eastAsia="仿宋_GB2312" w:cs="仿宋_GB2312"/>
          <w:sz w:val="28"/>
          <w:szCs w:val="28"/>
        </w:rPr>
        <w:t>2.1.1必备资质</w:t>
      </w:r>
      <w:bookmarkEnd w:id="1726"/>
    </w:p>
    <w:p w14:paraId="544D9764">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2.1.1.1投标人应遵守有关国家法律、法规和条例,具备《中华人民共和国政府采购法》第二十二条的规定和本文件中规定的条件。</w:t>
      </w:r>
    </w:p>
    <w:p w14:paraId="4DB050F5">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2.1.1.2本项目的特定资格要求</w:t>
      </w:r>
    </w:p>
    <w:p w14:paraId="3D898986">
      <w:pPr>
        <w:spacing w:before="0" w:after="0" w:line="360" w:lineRule="auto"/>
        <w:rPr>
          <w:rFonts w:ascii="仿宋_GB2312" w:hAnsi="仿宋_GB2312" w:eastAsia="仿宋_GB2312" w:cs="仿宋_GB2312"/>
          <w:sz w:val="28"/>
          <w:szCs w:val="28"/>
        </w:rPr>
      </w:pPr>
      <w:r>
        <w:rPr>
          <w:rFonts w:hint="eastAsia" w:ascii="FangSong_GB2312" w:hAnsi="FangSong_GB2312" w:eastAsia="FangSong_GB2312" w:cs="FangSong_GB2312"/>
          <w:color w:val="95A5A6"/>
          <w:sz w:val="28"/>
          <w:szCs w:val="28"/>
          <w:lang w:eastAsia="zh-CN"/>
        </w:rPr>
        <w:t>无</w:t>
      </w:r>
      <w:r>
        <w:rPr>
          <w:rFonts w:ascii="FangSong_GB2312" w:hAnsi="FangSong_GB2312" w:eastAsia="FangSong_GB2312" w:cs="FangSong_GB2312"/>
          <w:color w:val="95A5A6"/>
          <w:sz w:val="28"/>
          <w:szCs w:val="28"/>
        </w:rPr>
        <w:t>。</w:t>
      </w:r>
    </w:p>
    <w:p w14:paraId="116279D0">
      <w:pPr>
        <w:pStyle w:val="4"/>
        <w:keepNext w:val="0"/>
        <w:spacing w:before="0" w:after="0" w:line="360" w:lineRule="auto"/>
        <w:rPr>
          <w:rFonts w:ascii="仿宋_GB2312" w:hAnsi="仿宋_GB2312" w:eastAsia="仿宋_GB2312" w:cs="仿宋_GB2312"/>
          <w:b/>
          <w:bCs/>
          <w:sz w:val="28"/>
          <w:szCs w:val="28"/>
        </w:rPr>
      </w:pPr>
      <w:bookmarkStart w:id="1727" w:name="_Toc256000013"/>
      <w:r>
        <w:rPr>
          <w:rFonts w:ascii="仿宋_GB2312" w:hAnsi="仿宋_GB2312" w:eastAsia="仿宋_GB2312" w:cs="仿宋_GB2312"/>
          <w:sz w:val="28"/>
          <w:szCs w:val="28"/>
        </w:rPr>
        <w:t>2.1.2优选资质/优选指标</w:t>
      </w:r>
      <w:bookmarkEnd w:id="1727"/>
    </w:p>
    <w:p w14:paraId="3DBD8E01">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2.1.2.1相关证书</w:t>
      </w:r>
    </w:p>
    <w:p w14:paraId="42C5C1A8">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2.1.2.2成功案例</w:t>
      </w:r>
    </w:p>
    <w:p w14:paraId="4FCD5C67">
      <w:pPr>
        <w:spacing w:before="0" w:after="0" w:line="360" w:lineRule="auto"/>
        <w:rPr>
          <w:rFonts w:ascii="仿宋_GB2312" w:hAnsi="仿宋_GB2312" w:eastAsia="仿宋_GB2312" w:cs="仿宋_GB2312"/>
          <w:sz w:val="28"/>
          <w:szCs w:val="28"/>
        </w:rPr>
      </w:pPr>
      <w:r>
        <w:rPr>
          <w:rFonts w:ascii="FangSong_GB2312" w:hAnsi="FangSong_GB2312" w:eastAsia="FangSong_GB2312" w:cs="FangSong_GB2312"/>
          <w:color w:val="95A5A6"/>
          <w:sz w:val="28"/>
          <w:szCs w:val="28"/>
        </w:rPr>
        <w:t>有效案例为</w:t>
      </w:r>
      <w:r>
        <w:rPr>
          <w:rFonts w:hint="eastAsia" w:ascii="FangSong_GB2312" w:hAnsi="FangSong_GB2312" w:eastAsia="FangSong_GB2312" w:cs="FangSong_GB2312"/>
          <w:color w:val="95A5A6"/>
          <w:sz w:val="28"/>
          <w:szCs w:val="28"/>
          <w:lang w:val="en-US" w:eastAsia="zh-CN"/>
        </w:rPr>
        <w:t>2023</w:t>
      </w:r>
      <w:r>
        <w:rPr>
          <w:rFonts w:ascii="FangSong_GB2312" w:hAnsi="FangSong_GB2312" w:eastAsia="FangSong_GB2312" w:cs="FangSong_GB2312"/>
          <w:color w:val="95A5A6"/>
          <w:sz w:val="28"/>
          <w:szCs w:val="28"/>
        </w:rPr>
        <w:t>年</w:t>
      </w:r>
      <w:r>
        <w:rPr>
          <w:rFonts w:hint="eastAsia" w:ascii="FangSong_GB2312" w:hAnsi="FangSong_GB2312" w:eastAsia="FangSong_GB2312" w:cs="FangSong_GB2312"/>
          <w:color w:val="95A5A6"/>
          <w:sz w:val="28"/>
          <w:szCs w:val="28"/>
          <w:lang w:val="en-US" w:eastAsia="zh-CN"/>
        </w:rPr>
        <w:t>8</w:t>
      </w:r>
      <w:r>
        <w:rPr>
          <w:rFonts w:ascii="FangSong_GB2312" w:hAnsi="FangSong_GB2312" w:eastAsia="FangSong_GB2312" w:cs="FangSong_GB2312"/>
          <w:color w:val="95A5A6"/>
          <w:sz w:val="28"/>
          <w:szCs w:val="28"/>
        </w:rPr>
        <w:t>月</w:t>
      </w:r>
      <w:r>
        <w:rPr>
          <w:rFonts w:hint="eastAsia" w:ascii="FangSong_GB2312" w:hAnsi="FangSong_GB2312" w:eastAsia="FangSong_GB2312" w:cs="FangSong_GB2312"/>
          <w:color w:val="95A5A6"/>
          <w:sz w:val="28"/>
          <w:szCs w:val="28"/>
          <w:lang w:val="en-US" w:eastAsia="zh-CN"/>
        </w:rPr>
        <w:t>1</w:t>
      </w:r>
      <w:r>
        <w:rPr>
          <w:rFonts w:ascii="FangSong_GB2312" w:hAnsi="FangSong_GB2312" w:eastAsia="FangSong_GB2312" w:cs="FangSong_GB2312"/>
          <w:color w:val="95A5A6"/>
          <w:sz w:val="28"/>
          <w:szCs w:val="28"/>
        </w:rPr>
        <w:t>日以来（以合同签订日期为准）,供应商独立承担的</w:t>
      </w:r>
      <w:r>
        <w:rPr>
          <w:rFonts w:hint="eastAsia" w:ascii="FangSong_GB2312" w:hAnsi="FangSong_GB2312" w:eastAsia="FangSong_GB2312" w:cs="FangSong_GB2312"/>
          <w:color w:val="95A5A6"/>
          <w:sz w:val="28"/>
          <w:szCs w:val="28"/>
          <w:lang w:eastAsia="zh-CN"/>
        </w:rPr>
        <w:t>同类型</w:t>
      </w:r>
      <w:r>
        <w:rPr>
          <w:rFonts w:ascii="FangSong_GB2312" w:hAnsi="FangSong_GB2312" w:eastAsia="FangSong_GB2312" w:cs="FangSong_GB2312"/>
          <w:color w:val="95A5A6"/>
          <w:sz w:val="28"/>
          <w:szCs w:val="28"/>
        </w:rPr>
        <w:t>项目案例。</w:t>
      </w:r>
    </w:p>
    <w:p w14:paraId="06467FE5">
      <w:pPr>
        <w:pStyle w:val="4"/>
        <w:keepNext w:val="0"/>
        <w:spacing w:before="0" w:after="0" w:line="360" w:lineRule="auto"/>
        <w:rPr>
          <w:rFonts w:ascii="仿宋_GB2312" w:hAnsi="仿宋_GB2312" w:eastAsia="仿宋_GB2312" w:cs="仿宋_GB2312"/>
          <w:b/>
          <w:bCs/>
          <w:sz w:val="28"/>
          <w:szCs w:val="28"/>
        </w:rPr>
      </w:pPr>
      <w:bookmarkStart w:id="1728" w:name="_Toc256000014"/>
      <w:r>
        <w:rPr>
          <w:rFonts w:ascii="仿宋_GB2312" w:hAnsi="仿宋_GB2312" w:eastAsia="仿宋_GB2312" w:cs="仿宋_GB2312"/>
          <w:sz w:val="28"/>
          <w:szCs w:val="28"/>
        </w:rPr>
        <w:t>2.1.3是否允许联合体</w:t>
      </w:r>
      <w:bookmarkEnd w:id="1728"/>
    </w:p>
    <w:p w14:paraId="188F4805">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否</w:t>
      </w:r>
    </w:p>
    <w:p w14:paraId="29D50E00">
      <w:pPr>
        <w:pStyle w:val="4"/>
        <w:keepNext w:val="0"/>
        <w:spacing w:before="0" w:after="0" w:line="360" w:lineRule="auto"/>
        <w:rPr>
          <w:rFonts w:ascii="仿宋_GB2312" w:hAnsi="仿宋_GB2312" w:eastAsia="仿宋_GB2312" w:cs="仿宋_GB2312"/>
          <w:b/>
          <w:bCs/>
          <w:sz w:val="28"/>
          <w:szCs w:val="28"/>
        </w:rPr>
      </w:pPr>
      <w:bookmarkStart w:id="1729" w:name="_Toc256000015"/>
      <w:r>
        <w:rPr>
          <w:rFonts w:ascii="仿宋_GB2312" w:hAnsi="仿宋_GB2312" w:eastAsia="仿宋_GB2312" w:cs="仿宋_GB2312"/>
          <w:sz w:val="28"/>
          <w:szCs w:val="28"/>
        </w:rPr>
        <w:t>2.1.4是否专门面向中小企业</w:t>
      </w:r>
      <w:bookmarkEnd w:id="1729"/>
    </w:p>
    <w:p w14:paraId="10F923FC">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本项目不专门面向中小企业采购项目</w:t>
      </w:r>
    </w:p>
    <w:p w14:paraId="0C412634">
      <w:pPr>
        <w:pStyle w:val="4"/>
        <w:keepNext w:val="0"/>
        <w:spacing w:before="0" w:after="0" w:line="360" w:lineRule="auto"/>
        <w:rPr>
          <w:rFonts w:ascii="仿宋_GB2312" w:hAnsi="仿宋_GB2312" w:eastAsia="仿宋_GB2312" w:cs="仿宋_GB2312"/>
          <w:b/>
          <w:bCs/>
          <w:sz w:val="28"/>
          <w:szCs w:val="28"/>
        </w:rPr>
      </w:pPr>
      <w:bookmarkStart w:id="1730" w:name="_Toc256000016"/>
      <w:r>
        <w:rPr>
          <w:rFonts w:ascii="仿宋_GB2312" w:hAnsi="仿宋_GB2312" w:eastAsia="仿宋_GB2312" w:cs="仿宋_GB2312"/>
          <w:sz w:val="28"/>
          <w:szCs w:val="28"/>
        </w:rPr>
        <w:t>2.1.5其他要求</w:t>
      </w:r>
      <w:bookmarkEnd w:id="1730"/>
    </w:p>
    <w:p w14:paraId="2032E804">
      <w:pPr>
        <w:pStyle w:val="3"/>
        <w:keepNext w:val="0"/>
        <w:spacing w:before="0" w:after="0" w:line="360" w:lineRule="auto"/>
        <w:rPr>
          <w:rFonts w:ascii="仿宋_GB2312" w:hAnsi="仿宋_GB2312" w:eastAsia="仿宋_GB2312" w:cs="仿宋_GB2312"/>
          <w:b/>
          <w:bCs/>
          <w:sz w:val="28"/>
          <w:szCs w:val="28"/>
        </w:rPr>
      </w:pPr>
      <w:bookmarkStart w:id="1731" w:name="_Toc256000017"/>
      <w:r>
        <w:rPr>
          <w:rFonts w:ascii="仿宋_GB2312" w:hAnsi="仿宋_GB2312" w:eastAsia="仿宋_GB2312" w:cs="仿宋_GB2312"/>
          <w:i w:val="0"/>
          <w:iCs w:val="0"/>
        </w:rPr>
        <w:t>2.2技术部分投标/响应内容</w:t>
      </w:r>
      <w:bookmarkEnd w:id="1731"/>
    </w:p>
    <w:p w14:paraId="53007CB4">
      <w:pPr>
        <w:pStyle w:val="4"/>
        <w:keepNext w:val="0"/>
        <w:spacing w:before="0" w:after="0" w:line="360" w:lineRule="auto"/>
        <w:rPr>
          <w:rFonts w:ascii="仿宋_GB2312" w:hAnsi="仿宋_GB2312" w:eastAsia="仿宋_GB2312" w:cs="仿宋_GB2312"/>
          <w:b/>
          <w:bCs/>
          <w:sz w:val="28"/>
          <w:szCs w:val="28"/>
        </w:rPr>
      </w:pPr>
      <w:bookmarkStart w:id="1732" w:name="_Toc256000018"/>
      <w:r>
        <w:rPr>
          <w:rFonts w:ascii="仿宋_GB2312" w:hAnsi="仿宋_GB2312" w:eastAsia="仿宋_GB2312" w:cs="仿宋_GB2312"/>
          <w:sz w:val="28"/>
          <w:szCs w:val="28"/>
        </w:rPr>
        <w:t>2.2.1投标/响应方案要求</w:t>
      </w:r>
      <w:bookmarkEnd w:id="1732"/>
    </w:p>
    <w:p w14:paraId="2C4DF53D">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以下相关方案，若作为评审因素，则投标人应在满足★必备指标项要求的前提下，基于对优于★指标项及#、△指标项的应答，根据项目特点和采购需求，制定更为完整、详细、可操作性强的方案。</w:t>
      </w:r>
    </w:p>
    <w:p w14:paraId="24810587">
      <w:pPr>
        <w:pStyle w:val="78"/>
        <w:spacing w:before="0" w:after="0" w:line="360" w:lineRule="auto"/>
        <w:ind w:firstLine="560"/>
        <w:rPr>
          <w:rFonts w:ascii="Times New Roman" w:hAnsi="Times New Roman" w:eastAsia="Times New Roman" w:cs="Times New Roman"/>
        </w:rPr>
      </w:pPr>
      <w:r>
        <w:rPr>
          <w:rFonts w:ascii="仿宋_GB2312" w:hAnsi="仿宋_GB2312" w:eastAsia="仿宋_GB2312" w:cs="仿宋_GB2312"/>
          <w:sz w:val="28"/>
          <w:szCs w:val="28"/>
        </w:rPr>
        <w:t>以下相关方案，若作为评审因素，则投标人应在满足★关键指标项要求的前提下，根据项目特点和采购需求，制定更为完整、详细、可操作性强的方案。</w:t>
      </w:r>
    </w:p>
    <w:p w14:paraId="53B5F137">
      <w:pPr>
        <w:pStyle w:val="78"/>
        <w:spacing w:before="0" w:after="0" w:line="360" w:lineRule="auto"/>
        <w:ind w:firstLine="560"/>
        <w:rPr>
          <w:rFonts w:ascii="Times New Roman" w:hAnsi="Times New Roman" w:eastAsia="Times New Roman" w:cs="Times New Roman"/>
        </w:rPr>
      </w:pPr>
      <w:r>
        <w:rPr>
          <w:rFonts w:ascii="仿宋_GB2312" w:hAnsi="仿宋_GB2312" w:eastAsia="仿宋_GB2312" w:cs="仿宋_GB2312"/>
          <w:sz w:val="28"/>
          <w:szCs w:val="28"/>
        </w:rPr>
        <w:t>税收大数据应用平台目前使用的数据治理工具以及可视化工具已有大量的业务场景，故而对应用的稳定性要求很高，由于历史的运维手段低效，且没有监控预警场景，为了应对此类需求，要求运维流程能自动化、集中化和可视化，降低项目管理成本，加快故障排查和问题解决速度，对运维流程技术部分做如下要求：</w:t>
      </w:r>
    </w:p>
    <w:p w14:paraId="295517E2">
      <w:pPr>
        <w:pStyle w:val="78"/>
        <w:spacing w:before="0" w:after="0" w:line="360" w:lineRule="auto"/>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ascii="仿宋_GB2312" w:hAnsi="仿宋_GB2312" w:eastAsia="仿宋_GB2312" w:cs="仿宋_GB2312"/>
          <w:sz w:val="28"/>
          <w:szCs w:val="28"/>
        </w:rPr>
        <w:t>实时/定时监控检查平台和项目的运行情况，提供记录下载和自动分析，提供可视化的监控界面。</w:t>
      </w:r>
    </w:p>
    <w:p w14:paraId="623C9A60">
      <w:pPr>
        <w:pStyle w:val="78"/>
        <w:spacing w:before="0" w:after="0" w:line="360" w:lineRule="auto"/>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ascii="仿宋_GB2312" w:hAnsi="仿宋_GB2312" w:eastAsia="仿宋_GB2312" w:cs="仿宋_GB2312"/>
          <w:sz w:val="28"/>
          <w:szCs w:val="28"/>
        </w:rPr>
        <w:t>针对平台工具异常宕机的情况，能根据宕机策略自动进行服务自启，并生成记录，以便后续持续排查宕机原因。基于宕机前的预防、宕机时的采集、采集后的恢复、恢复后的分析，实现宕机处理闭环。</w:t>
      </w:r>
    </w:p>
    <w:p w14:paraId="4350DBC8">
      <w:pPr>
        <w:pStyle w:val="78"/>
        <w:spacing w:before="0" w:after="0" w:line="360" w:lineRule="auto"/>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3.</w:t>
      </w:r>
      <w:r>
        <w:rPr>
          <w:rFonts w:ascii="仿宋_GB2312" w:hAnsi="仿宋_GB2312" w:eastAsia="仿宋_GB2312" w:cs="仿宋_GB2312"/>
          <w:sz w:val="28"/>
          <w:szCs w:val="28"/>
        </w:rPr>
        <w:t>支持对关键性能指标的监控和预警，支持自定义告警，在达到监控告警阈值后，主动进行消息推送。</w:t>
      </w:r>
    </w:p>
    <w:p w14:paraId="2D4056A5">
      <w:pPr>
        <w:pStyle w:val="78"/>
        <w:spacing w:before="0" w:after="0" w:line="360" w:lineRule="auto"/>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4.</w:t>
      </w:r>
      <w:r>
        <w:rPr>
          <w:rFonts w:ascii="仿宋_GB2312" w:hAnsi="仿宋_GB2312" w:eastAsia="仿宋_GB2312" w:cs="仿宋_GB2312"/>
          <w:sz w:val="28"/>
          <w:szCs w:val="28"/>
        </w:rPr>
        <w:t>支持进行可视化的运维操作，服务快速启停、工程备份、性能调优能通过可视化页面进行操作，降低运维成本。</w:t>
      </w:r>
    </w:p>
    <w:p w14:paraId="612EEAA3">
      <w:pPr>
        <w:pStyle w:val="78"/>
        <w:spacing w:before="0" w:after="0" w:line="360" w:lineRule="auto"/>
        <w:ind w:firstLine="56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lang w:val="en-US" w:eastAsia="zh-CN"/>
        </w:rPr>
        <w:t>5.</w:t>
      </w:r>
      <w:r>
        <w:rPr>
          <w:rFonts w:ascii="FangSong_GB2312" w:hAnsi="FangSong_GB2312" w:eastAsia="FangSong_GB2312" w:cs="FangSong_GB2312"/>
          <w:sz w:val="28"/>
          <w:szCs w:val="28"/>
        </w:rPr>
        <w:t>问题快速定位，可以基于产品架构，固化业务问题处理流程，例如实时日志采集，实时Java堆栈分析，以便快速定位到异常线程。</w:t>
      </w:r>
    </w:p>
    <w:p w14:paraId="1370D7F9">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投标/响应要求</w:t>
      </w:r>
    </w:p>
    <w:p w14:paraId="36EAEC50">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lang w:val="en-US" w:eastAsia="zh-CN"/>
        </w:rPr>
        <w:t>2.2</w:t>
      </w:r>
      <w:r>
        <w:rPr>
          <w:rFonts w:hint="eastAsia" w:ascii="FangSong_GB2312" w:hAnsi="FangSong_GB2312" w:eastAsia="FangSong_GB2312" w:cs="FangSong_GB2312"/>
          <w:sz w:val="28"/>
          <w:szCs w:val="28"/>
        </w:rPr>
        <w:t>.</w:t>
      </w:r>
      <w:r>
        <w:rPr>
          <w:rFonts w:hint="eastAsia" w:ascii="FangSong_GB2312" w:hAnsi="FangSong_GB2312" w:eastAsia="FangSong_GB2312" w:cs="FangSong_GB2312"/>
          <w:sz w:val="28"/>
          <w:szCs w:val="28"/>
          <w:lang w:val="en-US" w:eastAsia="zh-CN"/>
        </w:rPr>
        <w:t>2</w:t>
      </w:r>
      <w:r>
        <w:rPr>
          <w:rFonts w:hint="eastAsia" w:ascii="FangSong_GB2312" w:hAnsi="FangSong_GB2312" w:eastAsia="FangSong_GB2312" w:cs="FangSong_GB2312"/>
          <w:sz w:val="28"/>
          <w:szCs w:val="28"/>
        </w:rPr>
        <w:t xml:space="preserve"> 响应要求</w:t>
      </w:r>
    </w:p>
    <w:p w14:paraId="0A1CEDB3">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1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未经采购人同意，投标人不得向与此项目无关的任何第三方透露招标文件技术内容部分。</w:t>
      </w:r>
    </w:p>
    <w:p w14:paraId="1A99B349">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2</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 xml:space="preserve"> 标注“★”条款为关键技术指标项，不满足该指标项将导致无效投标。</w:t>
      </w:r>
    </w:p>
    <w:p w14:paraId="33C3C5A2">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3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标注“</w:t>
      </w:r>
      <w:r>
        <w:rPr>
          <w:rFonts w:ascii="仿宋_GB2312" w:hAnsi="仿宋_GB2312" w:eastAsia="仿宋_GB2312" w:cs="仿宋_GB2312"/>
          <w:sz w:val="28"/>
          <w:szCs w:val="28"/>
        </w:rPr>
        <w:t>△</w:t>
      </w:r>
      <w:r>
        <w:rPr>
          <w:rFonts w:hint="eastAsia" w:ascii="FangSong_GB2312" w:hAnsi="FangSong_GB2312" w:eastAsia="FangSong_GB2312" w:cs="FangSong_GB2312"/>
          <w:sz w:val="28"/>
          <w:szCs w:val="28"/>
        </w:rPr>
        <w:t>”条款为重要技术指标项，未标记符号的条款为一般技术指标项，重要指标项或一般指标项，投标人提供的产品或服务应该满足或优于指标项要求，如果不满足，评审时将视为负偏离导致不得分。</w:t>
      </w:r>
    </w:p>
    <w:p w14:paraId="418703C7">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lang w:val="en-US" w:eastAsia="zh-CN"/>
        </w:rPr>
        <w:t>2</w:t>
      </w:r>
      <w:r>
        <w:rPr>
          <w:rFonts w:hint="eastAsia" w:ascii="FangSong_GB2312" w:hAnsi="FangSong_GB2312" w:eastAsia="FangSong_GB2312" w:cs="FangSong_GB2312"/>
          <w:sz w:val="28"/>
          <w:szCs w:val="28"/>
        </w:rPr>
        <w:t>.2</w:t>
      </w:r>
      <w:r>
        <w:rPr>
          <w:rFonts w:hint="eastAsia" w:ascii="FangSong_GB2312" w:hAnsi="FangSong_GB2312" w:eastAsia="FangSong_GB2312" w:cs="FangSong_GB2312"/>
          <w:sz w:val="28"/>
          <w:szCs w:val="28"/>
          <w:lang w:val="en-US" w:eastAsia="zh-CN"/>
        </w:rPr>
        <w:t>.3</w:t>
      </w:r>
      <w:r>
        <w:rPr>
          <w:rFonts w:hint="eastAsia" w:ascii="FangSong_GB2312" w:hAnsi="FangSong_GB2312" w:eastAsia="FangSong_GB2312" w:cs="FangSong_GB2312"/>
          <w:sz w:val="28"/>
          <w:szCs w:val="28"/>
        </w:rPr>
        <w:t xml:space="preserve"> 对投标文件的要求</w:t>
      </w:r>
    </w:p>
    <w:p w14:paraId="78E12566">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投标人必须针对招标文件服务要求中有关章节的需求逐个或分块作出实质性响应，其响应应与招标文件内容采用同样的顺序。对每个需求的响应必须遵循如下规则：</w:t>
      </w:r>
    </w:p>
    <w:p w14:paraId="7F5AD98C">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1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重复该需求。</w:t>
      </w:r>
    </w:p>
    <w:p w14:paraId="10FF15C8">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2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偏离项如满足要求必须注明正偏离、无偏离，如不满足则留空或注明负偏离；如不按要求规范响应，有可能将被视为没有对招标文件的实质性响应，从而可能导致严重后果直至无效投标。</w:t>
      </w:r>
    </w:p>
    <w:p w14:paraId="2323B5FE">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3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简要描述投标文件或投标方案如何满足该需求，如果该响应在投标文件其他部分有详述，可在该处简单应答，但必须给出确切的位置索引。</w:t>
      </w:r>
    </w:p>
    <w:p w14:paraId="0A32C4AF">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4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解释投标文件或投标方案与用户需求之间的偏差；用数量来表示的需求，必须用确切 的数字、单位来响应。</w:t>
      </w:r>
    </w:p>
    <w:p w14:paraId="25DCE150">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5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 xml:space="preserve"> 投标人应提供实质性确切响应，并有详细的文字描述和说明。仅采用“符合”“满足”等无实质内容的简单应答，将可能被视为没有对招标文件的实质性响应，从而导致严重后果直至无效投标。对于采购需求已以“≥”“≤”等方式明确数值门槛的技术指标，投标人以相同方式响应并注明所投产品具体数值的，不视为无效响应。有关表格部分的响应应按招标文件商务部分规定的格式列出。若厂家可以提供需求以外的额外支持，可以在这一部分加以详细说明。提供投标文件中涉及的所有投标软、硬件的产品说明（要求彩页）或相关证明，并最好以中文描述，作为附件。</w:t>
      </w:r>
    </w:p>
    <w:p w14:paraId="17432297">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lang w:val="en-US" w:eastAsia="zh-CN"/>
        </w:rPr>
        <w:t>2.2</w:t>
      </w:r>
      <w:r>
        <w:rPr>
          <w:rFonts w:hint="eastAsia" w:ascii="FangSong_GB2312" w:hAnsi="FangSong_GB2312" w:eastAsia="FangSong_GB2312" w:cs="FangSong_GB2312"/>
          <w:sz w:val="28"/>
          <w:szCs w:val="28"/>
        </w:rPr>
        <w:t>.3 中小企业扶持政策</w:t>
      </w:r>
    </w:p>
    <w:p w14:paraId="08672DCC">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1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根据《政府采购促进中小企业发展管理办法》（财库〔2020〕46号）及《关于进一步加大政府采购支持中小企业力度的通知》（财库〔2022〕19号）的规定，本项目不专门面向中小企业采购，所属行业为“软件和信息技术服务业”。</w:t>
      </w:r>
    </w:p>
    <w:p w14:paraId="0FAA4103">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lang w:val="en-US" w:eastAsia="zh-CN"/>
        </w:rPr>
        <w:t>2.2</w:t>
      </w:r>
      <w:r>
        <w:rPr>
          <w:rFonts w:hint="eastAsia" w:ascii="FangSong_GB2312" w:hAnsi="FangSong_GB2312" w:eastAsia="FangSong_GB2312" w:cs="FangSong_GB2312"/>
          <w:sz w:val="28"/>
          <w:szCs w:val="28"/>
        </w:rPr>
        <w:t>.4 公平竞争审查</w:t>
      </w:r>
    </w:p>
    <w:p w14:paraId="56EAF66A">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1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本项目采购文件已按照《公平竞争审查制度实施细则》（国市监反垄规〔2021〕2号）的要求完成公平竞争审查。</w:t>
      </w:r>
    </w:p>
    <w:p w14:paraId="1DFF34B1">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2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经审查，本项目采购需求、资格条件、评审标准等内容不存在以下情形：</w:t>
      </w:r>
    </w:p>
    <w:p w14:paraId="2703A692">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（一）限定或者指定特定的专利、商标、品牌、零部件、原产地、供应商；</w:t>
      </w:r>
    </w:p>
    <w:p w14:paraId="5444E0F9">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（二）设定与采购项目的具体特点和实际需要不相适应或者与合同履行无关的资格、技术和商务条件；</w:t>
      </w:r>
    </w:p>
    <w:p w14:paraId="2C75039B">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（三）以特定行政区域或者特定行业的业绩、奖项作为加分条件或者中标、成交条件；</w:t>
      </w:r>
    </w:p>
    <w:p w14:paraId="1C82422A">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（四）对供应商采取不同的资格审查或者评审标准；</w:t>
      </w:r>
    </w:p>
    <w:p w14:paraId="3534CE26">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（五）非法限定供应商的所有制形式、组织形式或者所在地；</w:t>
      </w:r>
    </w:p>
    <w:p w14:paraId="1BE937D3">
      <w:pPr>
        <w:pStyle w:val="78"/>
        <w:spacing w:before="0" w:after="0" w:line="360" w:lineRule="auto"/>
        <w:ind w:firstLine="560"/>
        <w:rPr>
          <w:rFonts w:hint="eastAsia" w:ascii="FangSong_GB2312" w:hAnsi="FangSong_GB2312" w:eastAsia="FangSong_GB2312" w:cs="FangSong_GB2312"/>
          <w:sz w:val="28"/>
          <w:szCs w:val="28"/>
        </w:rPr>
      </w:pPr>
      <w:r>
        <w:rPr>
          <w:rFonts w:hint="eastAsia" w:ascii="FangSong_GB2312" w:hAnsi="FangSong_GB2312" w:eastAsia="FangSong_GB2312" w:cs="FangSong_GB2312"/>
          <w:sz w:val="28"/>
          <w:szCs w:val="28"/>
        </w:rPr>
        <w:t>（六）其他妨碍公平竞争的情形。</w:t>
      </w:r>
    </w:p>
    <w:p w14:paraId="27C5A960">
      <w:pPr>
        <w:pStyle w:val="78"/>
        <w:spacing w:before="0" w:after="0" w:line="360" w:lineRule="auto"/>
        <w:ind w:firstLine="560"/>
        <w:rPr>
          <w:rFonts w:ascii="FangSong_GB2312" w:hAnsi="FangSong_GB2312" w:eastAsia="FangSong_GB2312" w:cs="FangSong_GB2312"/>
          <w:sz w:val="28"/>
          <w:szCs w:val="28"/>
        </w:rPr>
      </w:pPr>
      <w:r>
        <w:rPr>
          <w:rFonts w:hint="eastAsia" w:ascii="FangSong_GB2312" w:hAnsi="FangSong_GB2312" w:eastAsia="FangSong_GB2312" w:cs="FangSong_GB2312"/>
          <w:sz w:val="28"/>
          <w:szCs w:val="28"/>
        </w:rPr>
        <w:t xml:space="preserve">3 </w:t>
      </w:r>
      <w:r>
        <w:rPr>
          <w:rFonts w:hint="eastAsia" w:ascii="FangSong_GB2312" w:hAnsi="FangSong_GB2312" w:eastAsia="FangSong_GB2312" w:cs="FangSong_GB2312"/>
          <w:sz w:val="28"/>
          <w:szCs w:val="28"/>
          <w:lang w:val="en-US" w:eastAsia="zh-CN"/>
        </w:rPr>
        <w:t>.</w:t>
      </w:r>
      <w:r>
        <w:rPr>
          <w:rFonts w:hint="eastAsia" w:ascii="FangSong_GB2312" w:hAnsi="FangSong_GB2312" w:eastAsia="FangSong_GB2312" w:cs="FangSong_GB2312"/>
          <w:sz w:val="28"/>
          <w:szCs w:val="28"/>
        </w:rPr>
        <w:t>任何单位和个人发现本项目采购文件存在违反公平竞争审查规定情形的，可依法向采购人或同级财政部门反映。</w:t>
      </w:r>
    </w:p>
    <w:p w14:paraId="09808673">
      <w:pPr>
        <w:pStyle w:val="2"/>
        <w:keepNext w:val="0"/>
        <w:spacing w:before="0" w:after="0" w:line="360" w:lineRule="auto"/>
        <w:jc w:val="center"/>
        <w:rPr>
          <w:rFonts w:ascii="仿宋_GB2312" w:hAnsi="仿宋_GB2312" w:eastAsia="仿宋_GB2312" w:cs="仿宋_GB2312"/>
          <w:b/>
          <w:bCs/>
          <w:sz w:val="32"/>
          <w:szCs w:val="32"/>
        </w:rPr>
      </w:pPr>
      <w:bookmarkStart w:id="1733" w:name="_Toc256000019"/>
      <w:r>
        <w:rPr>
          <w:rFonts w:ascii="仿宋_GB2312" w:hAnsi="仿宋_GB2312" w:eastAsia="仿宋_GB2312" w:cs="仿宋_GB2312"/>
          <w:kern w:val="36"/>
        </w:rPr>
        <w:t>3项目需求</w:t>
      </w:r>
      <w:bookmarkEnd w:id="1733"/>
    </w:p>
    <w:p w14:paraId="005CC974">
      <w:pPr>
        <w:pStyle w:val="3"/>
        <w:keepNext w:val="0"/>
        <w:spacing w:before="0" w:after="0" w:line="360" w:lineRule="auto"/>
        <w:rPr>
          <w:rFonts w:ascii="仿宋_GB2312" w:hAnsi="仿宋_GB2312" w:eastAsia="仿宋_GB2312" w:cs="仿宋_GB2312"/>
          <w:b/>
          <w:bCs/>
          <w:sz w:val="28"/>
          <w:szCs w:val="28"/>
        </w:rPr>
      </w:pPr>
      <w:bookmarkStart w:id="1734" w:name="_Toc256000020"/>
      <w:r>
        <w:rPr>
          <w:rFonts w:ascii="仿宋_GB2312" w:hAnsi="仿宋_GB2312" w:eastAsia="仿宋_GB2312" w:cs="仿宋_GB2312"/>
          <w:i w:val="0"/>
          <w:iCs w:val="0"/>
        </w:rPr>
        <w:t>3.1总体要求</w:t>
      </w:r>
      <w:bookmarkEnd w:id="1734"/>
    </w:p>
    <w:p w14:paraId="7FCD98A5">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(1)针对税收大数据平台的数据层 Finedata 分布式数据库，开展全面的运维管理工作。包括实时监控数据库运行状态，确保数据存储的稳定性与安全性；定期进行性能调优，提升数据读写效率；及时处理数据存储过程中的故障与异常，保障海量税收数据能够可靠、高效地存储与调用。</w:t>
      </w:r>
    </w:p>
    <w:p w14:paraId="3CB501B2">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(2)在治理层，利用 Finedatalink 智能数据治理产品，依据统一的数据标准与规范，对“税智撑”汇聚区数据完成到大数据平台数据库的数据归集，在睿治系统部署定时同步任务，对同步错误、不完整的数据，进行初步整理、优化以及过滤等；实施数据转换，将数据转换为适合分析的格式；进行数据整合，构建统一的数据视图。同时，加强数据质量管控，确保治理后的数据准确、一致、完整。</w:t>
      </w:r>
    </w:p>
    <w:p w14:paraId="355D0F61">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(3)应用层聚焦 FineBI 商业智能产品的深度适配。根据税收业务需求，定制个性化的可视化看板和数据分析模型，将治理后的数据转化为直观、易懂的图表、报表等形式，提供多维度、多形式展示功能，为涉税业务、发票管理、稽查决策等提供有力的数据支持与决策依据，提升业务分析的效率和精准度。</w:t>
      </w:r>
    </w:p>
    <w:p w14:paraId="03C03294">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(4)完成平台的年度技术保障工作，包括系统巡检、安全加固、漏洞修复、应用迁移等；依据甘肃省税收大数据平台建设思路，对平台进行功能升级与优化，确保全省税收大数据应用工作顺利推进。</w:t>
      </w:r>
    </w:p>
    <w:p w14:paraId="65C60356">
      <w:pPr>
        <w:pStyle w:val="3"/>
        <w:keepNext w:val="0"/>
        <w:spacing w:before="0" w:after="0" w:line="360" w:lineRule="auto"/>
        <w:rPr>
          <w:rFonts w:ascii="仿宋_GB2312" w:hAnsi="仿宋_GB2312" w:eastAsia="仿宋_GB2312" w:cs="仿宋_GB2312"/>
          <w:b/>
          <w:bCs/>
          <w:sz w:val="28"/>
          <w:szCs w:val="28"/>
        </w:rPr>
      </w:pPr>
      <w:bookmarkStart w:id="1735" w:name="_Toc256000021"/>
      <w:r>
        <w:rPr>
          <w:rFonts w:ascii="仿宋_GB2312" w:hAnsi="仿宋_GB2312" w:eastAsia="仿宋_GB2312" w:cs="仿宋_GB2312"/>
          <w:i w:val="0"/>
          <w:iCs w:val="0"/>
        </w:rPr>
        <w:t>3.2业务需求</w:t>
      </w:r>
      <w:bookmarkEnd w:id="1735"/>
    </w:p>
    <w:p w14:paraId="636AE4F8">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△（1）产品迭代升级：</w:t>
      </w:r>
    </w:p>
    <w:p w14:paraId="741BDDB6">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为充分适配税收大数据业务发展需求，需对现有平台展开全面且具有前瞻性的升级工作，要求对数据存储层产品Finedata、治理层产品Finedatalink、应用层产品FineBI进行定期升级,以达成如下目的:</w:t>
      </w:r>
    </w:p>
    <w:p w14:paraId="7951F589">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优化产品功能，贴合业务多元需求。税收业务处于持续动态发展之中，新的业务模式、管理要求不断涌现，要求现有平台功能可以不断优化，以应对复杂多变的业务场景</w:t>
      </w:r>
    </w:p>
    <w:p w14:paraId="4A0D9C08">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提升系统稳定性，保障业务连续运行。税收大数据应用平台作为税务部门的核心业务系统，需要定期优化平台架构，并做好性能监控以及预警机制。</w:t>
      </w:r>
    </w:p>
    <w:p w14:paraId="5256CBEF">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修复安全漏洞，筑牢数据安全防线.在数字化时代，数据安全是税收大数据应用平台的核心要务。随着网络攻击手段的不断升级，平台面临着越来越多的安全威胁。因此，必须持续加强安全漏洞修复工作。</w:t>
      </w:r>
    </w:p>
    <w:p w14:paraId="7C9F273C">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并制定完备的升级方案，方案包括但不限于下列内容：</w:t>
      </w:r>
    </w:p>
    <w:p w14:paraId="3B32AB2D">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升级前准备。全面检查数据库、BI、睿治、Finedatalink链路等系统状态，对各类应用资源使用情况进行全面评估，相关数据、应用做好备份，做好应急预案，对可能出现的故障进行预判，对发现的异常或不兼容项进行处理。</w:t>
      </w:r>
    </w:p>
    <w:p w14:paraId="196AD225">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升级实施过程。严格按照升级要求、步骤、流程，稳妥实施升级。</w:t>
      </w:r>
    </w:p>
    <w:p w14:paraId="2F643AB3">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升级结果验证，对升级结果进行有效验证，检查升级日志，并监控系统运行情况，检查应用运行正常，特别是登录重点模块，检查是否数据准确、显示正常。</w:t>
      </w:r>
    </w:p>
    <w:p w14:paraId="23975595">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△（2）基础运维服务</w:t>
      </w:r>
    </w:p>
    <w:p w14:paraId="30495C10">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甘肃省税务局大数据应用平台采用省局统一部署、各地市分局协调人员远程开发的模式，服务器环境的平稳运行成为保障各项业务顺利开展的核心要素。通过构建完善的基础服务体系，能够及时察觉并化解影响环境正常运行的潜在问题，具体服务内容如下：</w:t>
      </w:r>
    </w:p>
    <w:p w14:paraId="603FC962">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FineData 环境清理。整理配置文件，规范配置文件的命名，减少运维过程中的差错率；整理运维脚本、工具，提高运维效率；清理过时的备份数据及日志文件，释放磁盘空间；删除无用的 crontab 任务，降低不必要的系统开销。</w:t>
      </w:r>
    </w:p>
    <w:p w14:paraId="12AF73D4">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定制化Finedata运维工具。根据用户的数据库集群特点通过培训、编写操作指引等方式，提高运维人员的工作效率，达到巡检自动化、标准化的目的，减少在运维过程中的失误，缩短操作时间，将运维人员从简单重复的任务中解放出来，投入更多精力到业务需求转化、任务设计、系统优化等更有价值的工作。</w:t>
      </w:r>
    </w:p>
    <w:p w14:paraId="1E359D2C">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data数据迁移及扩容。大数据平台现有数据库2类，主库为Finedata，同时部分实时性要求较高的业务在Doris数据库，在做好Finedata数据同步的同时，做好Finedata到Doris数据库的数据同步，结合平台改造工作需要，论证数据库迁移可行性、迁移方案等。</w:t>
      </w:r>
    </w:p>
    <w:p w14:paraId="77BFCF81">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FineBI集群维护。对 Nginx+keepalived 的高可用负载均衡服务器进行运维，对Tomcat作为Web 中间件服务器进行升级、配置及运维，对Redis 作为状态服务器进行配置、扩容、管理及运维，对 FTP 共享文件服务器进行管理与运维。</w:t>
      </w:r>
    </w:p>
    <w:p w14:paraId="600CD27C">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FineBI定制化运维工具，可视化呈现资源与组件状态，实时监控关键指标，超阈值即预警通知，保平台稳定运行。</w:t>
      </w:r>
    </w:p>
    <w:p w14:paraId="0DA07F0A">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Finebi应用建设。基于报表模块的复杂报表、图表可视化及FineBI 仪表板的应用设计制作，运维技术人员应根据采购方需求积极参与适配，或者给予技术指导和培训</w:t>
      </w:r>
    </w:p>
    <w:p w14:paraId="5C3DF3EB">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Finedatalink数据整理。协助局方对归集的各类数据初步整理，包括去重、格式转换、调度和数据加工结果核对，分析、修正；监控数据同步、整理任务运行情况。</w:t>
      </w:r>
    </w:p>
    <w:p w14:paraId="650C9097">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datalink数据维护。对系统问题或用户操作失误产生必须在后台进行维护的数据，提出合理的数据方案，经业局方审批同意后进行后台数据维护，数据维护要确保数据安全，保证数据的一致性、及时性、完整性、准确性。</w:t>
      </w:r>
    </w:p>
    <w:p w14:paraId="54D609A2">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Finedatalink数据同步和对账。定期开展数据一致性的核对，确保与源数据完全一致。</w:t>
      </w:r>
    </w:p>
    <w:p w14:paraId="75B4A8BA">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大数据应用平台管理运维。对应用平台运行情况进行日常巡检，监测负载状态、CPU 和内存使用情况；每日检测系统集群健康状况，以及节点运行状态，及时排除节点故障；定期检查系统备份日志，合理设置自动备份参数，关键时间节点应做好手动备份；每日监测平台日志，关注当前系统在线人数、访问次数统计、用户行为、模板热度、系统响应等关键指标，遇到异常情况及时处理。</w:t>
      </w:r>
    </w:p>
    <w:p w14:paraId="0B9B60F6">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系统操作赋能。根据工作需要，适时安排系统使用及运维培训，编制培训课件及操作手册，组织开展操作培训,提升用户操作能力和水平。</w:t>
      </w:r>
    </w:p>
    <w:p w14:paraId="57852D38">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升级管理以及变更说明发布。及时处理各级税务机关通过省局运维平台、征纳互动等渠道提交的工单问题，分析问题原因，及时指导用户解决问题；定期整理常见问题及解决方法，帮助局方搭建大数据平台知识库，优化完善工作指引;系统设计问题，协调二线提供解决方案，对于影响系统稳定运行、数据安全、业务功能使用的重大紧急问题，及时上报局方。</w:t>
      </w:r>
    </w:p>
    <w:p w14:paraId="4A444A0A">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资源动态管控。对计算/存储资源实施实时监控、数据统计及趋势预测，定期向局方信息管理部门提交资源需求规划报告。</w:t>
      </w:r>
    </w:p>
    <w:p w14:paraId="3E82F42E">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应用环境部署。完成网络策略配置申请与连通性验证，执行应用部署、功能校验及生产环境上线操作。</w:t>
      </w:r>
    </w:p>
    <w:p w14:paraId="5F4CF580">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工单全流程处置处理。及时处理各级税务机关通过省局运维平台、征纳互动等渠道提交的工单问题，分析问题原因，及时指导用户解决问题；定期整理常见问题及解决方法，帮助局方搭建大数据平台知识库，优化完善工作指引;系统设计问题，协调二线提供解决方案，对于影响系统稳定运行、数据安全、业务功能使用的重大紧急问题，及时上报局方。</w:t>
      </w:r>
    </w:p>
    <w:p w14:paraId="0DB44E45">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数据安全防护。驻场工程师要严格遵守总局、省局网络安全相关要求，不得随意接入个人笔记本等外带设备，对局方提供的办公设备，按照要求，安装准入及相关安全产品,严格管理工作使用账户的权限，定期做好账户口令修改，口令符合复杂度要求，不得随意将账户借给其他同事，不得用手机等设备对涉税数据进行拍照等违规操作，严防数据泄露风险.</w:t>
      </w:r>
    </w:p>
    <w:p w14:paraId="409E817F">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重大任务和应急故障保障。做好重大工作任务期间保障，如国庆假期、春节等时间节点以及重要系统上线、补丁升级等工作需要，要安排人员并向局方进行报备，系统异常导致非正常业务中断，配合局方启动应急处理响应机制，积极进行故障排查；非工作时间，驻场工程师60分钟到场，二线人员全程在线提供线上支持。</w:t>
      </w:r>
    </w:p>
    <w:p w14:paraId="02F964D5">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△(3) 应用迁移支持</w:t>
      </w:r>
    </w:p>
    <w:p w14:paraId="4CDF087D">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配合将原大数据应用平台中的数据加工任务、应用模块迁移至新建大数据应用平台，确保数据准确、功能完整、运行正常。</w:t>
      </w:r>
    </w:p>
    <w:p w14:paraId="4F05080F">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△(4) 远程技术支持</w:t>
      </w:r>
    </w:p>
    <w:p w14:paraId="3825A2D4">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 保障大数据应用平台持续稳定高效运行，公司应配备二线支持团队，对驻场人员无法解决需要二线支持的故障，能远程指导并协调人力资源快速解决问题，对项目整体服务全流程做监督和持续兜底响应。</w:t>
      </w:r>
    </w:p>
    <w:p w14:paraId="55A92F9A">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专家级远程协同服务。对系统日常运行过程中，发现的疑难问题以及产品BUG，及时协调公司二线专家做细，提供远程专家支撑服务。</w:t>
      </w:r>
    </w:p>
    <w:p w14:paraId="2D1EDC68">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安全漏洞全生命周期管理。对系统日常运行过程中，发现的系统各类漏洞，局方组织的安全演练扫描处的安全漏洞，及时提出永久解决方案。</w:t>
      </w:r>
    </w:p>
    <w:p w14:paraId="496B3296">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紧急问题处理。重大紧急问题，全程提供在线技术支持，积极配合局方恢复受影响业务，高效确保问题及时戒惧额，并保障系统稳定运行。</w:t>
      </w:r>
    </w:p>
    <w:p w14:paraId="75A1B2D4">
      <w:pPr>
        <w:pStyle w:val="3"/>
        <w:keepNext w:val="0"/>
        <w:spacing w:before="0" w:after="0" w:line="360" w:lineRule="auto"/>
        <w:rPr>
          <w:rFonts w:ascii="仿宋_GB2312" w:hAnsi="仿宋_GB2312" w:eastAsia="仿宋_GB2312" w:cs="仿宋_GB2312"/>
          <w:b/>
          <w:bCs/>
          <w:sz w:val="28"/>
          <w:szCs w:val="28"/>
        </w:rPr>
      </w:pPr>
      <w:bookmarkStart w:id="1736" w:name="_Toc256000022"/>
      <w:r>
        <w:rPr>
          <w:rFonts w:ascii="仿宋_GB2312" w:hAnsi="仿宋_GB2312" w:eastAsia="仿宋_GB2312" w:cs="仿宋_GB2312"/>
          <w:i w:val="0"/>
          <w:iCs w:val="0"/>
        </w:rPr>
        <w:t>3.3服务内容和要求</w:t>
      </w:r>
      <w:bookmarkEnd w:id="1736"/>
    </w:p>
    <w:p w14:paraId="7FE5A922">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采购文件（技术部分）中有标注★号的，为必备要求，必须满足，如未作出响应，将导致响应无效；#为重要内容、△为一般内容。</w:t>
      </w:r>
    </w:p>
    <w:p w14:paraId="2E9E4A2F">
      <w:pPr>
        <w:pStyle w:val="4"/>
        <w:keepNext w:val="0"/>
        <w:spacing w:before="0" w:after="0" w:line="360" w:lineRule="auto"/>
        <w:rPr>
          <w:rFonts w:ascii="仿宋_GB2312" w:hAnsi="仿宋_GB2312" w:eastAsia="仿宋_GB2312" w:cs="仿宋_GB2312"/>
          <w:b/>
          <w:bCs/>
          <w:sz w:val="28"/>
          <w:szCs w:val="28"/>
        </w:rPr>
      </w:pPr>
      <w:bookmarkStart w:id="1737" w:name="_Toc256000023"/>
      <w:r>
        <w:rPr>
          <w:rFonts w:ascii="仿宋_GB2312" w:hAnsi="仿宋_GB2312" w:eastAsia="仿宋_GB2312" w:cs="仿宋_GB2312"/>
          <w:sz w:val="28"/>
          <w:szCs w:val="28"/>
        </w:rPr>
        <w:t>3.3.1技术和服务客观指标</w:t>
      </w:r>
      <w:bookmarkEnd w:id="1737"/>
    </w:p>
    <w:p w14:paraId="57F37DC6">
      <w:pPr>
        <w:pStyle w:val="5"/>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rPr>
        <w:t>3.3.1.1服务1</w:t>
      </w:r>
    </w:p>
    <w:p w14:paraId="76CAF7D1">
      <w:pPr>
        <w:pStyle w:val="4"/>
        <w:keepNext w:val="0"/>
        <w:spacing w:before="0" w:after="0" w:line="360" w:lineRule="auto"/>
        <w:rPr>
          <w:rFonts w:ascii="仿宋_GB2312" w:hAnsi="仿宋_GB2312" w:eastAsia="仿宋_GB2312" w:cs="仿宋_GB2312"/>
          <w:b/>
          <w:bCs/>
          <w:sz w:val="28"/>
          <w:szCs w:val="28"/>
        </w:rPr>
      </w:pPr>
      <w:bookmarkStart w:id="1738" w:name="_Toc256000024"/>
      <w:r>
        <w:rPr>
          <w:rFonts w:ascii="仿宋_GB2312" w:hAnsi="仿宋_GB2312" w:eastAsia="仿宋_GB2312" w:cs="仿宋_GB2312"/>
          <w:sz w:val="28"/>
          <w:szCs w:val="28"/>
        </w:rPr>
        <w:t>3.3.2技术和服务其他要求</w:t>
      </w:r>
      <w:bookmarkEnd w:id="1738"/>
    </w:p>
    <w:p w14:paraId="4087CFC9">
      <w:pPr>
        <w:pStyle w:val="2"/>
        <w:keepNext w:val="0"/>
        <w:spacing w:before="0" w:after="0" w:line="360" w:lineRule="auto"/>
        <w:jc w:val="center"/>
        <w:rPr>
          <w:rFonts w:ascii="仿宋_GB2312" w:hAnsi="仿宋_GB2312" w:eastAsia="仿宋_GB2312" w:cs="仿宋_GB2312"/>
          <w:b/>
          <w:bCs/>
          <w:sz w:val="32"/>
          <w:szCs w:val="32"/>
        </w:rPr>
      </w:pPr>
      <w:bookmarkStart w:id="1739" w:name="_Toc256000025"/>
      <w:r>
        <w:rPr>
          <w:rFonts w:ascii="仿宋_GB2312" w:hAnsi="仿宋_GB2312" w:eastAsia="仿宋_GB2312" w:cs="仿宋_GB2312"/>
          <w:kern w:val="36"/>
        </w:rPr>
        <w:t>4人员要求</w:t>
      </w:r>
      <w:bookmarkEnd w:id="1739"/>
    </w:p>
    <w:p w14:paraId="4D05FEDA">
      <w:pPr>
        <w:pStyle w:val="3"/>
        <w:keepNext w:val="0"/>
        <w:spacing w:before="0" w:after="0" w:line="360" w:lineRule="auto"/>
        <w:rPr>
          <w:rFonts w:ascii="仿宋_GB2312" w:hAnsi="仿宋_GB2312" w:eastAsia="仿宋_GB2312" w:cs="仿宋_GB2312"/>
          <w:b/>
          <w:bCs/>
          <w:sz w:val="28"/>
          <w:szCs w:val="28"/>
        </w:rPr>
      </w:pPr>
      <w:bookmarkStart w:id="1740" w:name="_Toc256000026"/>
      <w:r>
        <w:rPr>
          <w:rFonts w:ascii="仿宋_GB2312" w:hAnsi="仿宋_GB2312" w:eastAsia="仿宋_GB2312" w:cs="仿宋_GB2312"/>
          <w:i w:val="0"/>
          <w:iCs w:val="0"/>
        </w:rPr>
        <w:t>4.1总体要求</w:t>
      </w:r>
      <w:bookmarkEnd w:id="1740"/>
    </w:p>
    <w:p w14:paraId="57A84E74">
      <w:pPr>
        <w:pStyle w:val="78"/>
        <w:spacing w:before="0" w:after="0" w:line="360" w:lineRule="auto"/>
        <w:ind w:firstLine="560"/>
        <w:rPr>
          <w:rFonts w:ascii="仿宋_GB2312" w:hAnsi="仿宋_GB2312" w:eastAsia="仿宋_GB2312" w:cs="仿宋_GB2312"/>
          <w:sz w:val="28"/>
          <w:szCs w:val="28"/>
        </w:rPr>
      </w:pPr>
      <w:r>
        <w:rPr>
          <w:rFonts w:ascii="仿宋_GB2312" w:hAnsi="仿宋_GB2312" w:eastAsia="仿宋_GB2312" w:cs="仿宋_GB2312"/>
          <w:sz w:val="28"/>
          <w:szCs w:val="28"/>
        </w:rPr>
        <w:t>（1）项目实施团队需建立清晰的职责分工体系，明确各环节责任人，制定服务质量标准及操作流程规范。</w:t>
      </w:r>
      <w:r>
        <w:rPr>
          <w:rFonts w:ascii="仿宋_GB2312" w:hAnsi="仿宋_GB2312" w:eastAsia="仿宋_GB2312" w:cs="仿宋_GB2312"/>
          <w:sz w:val="28"/>
          <w:szCs w:val="28"/>
        </w:rPr>
        <w:br w:type="textWrapping"/>
      </w:r>
      <w:r>
        <w:rPr>
          <w:rFonts w:hint="eastAsia" w:ascii="仿宋_GB2312" w:hAnsi="仿宋_GB2312" w:eastAsia="仿宋_GB2312" w:cs="仿宋_GB2312"/>
          <w:sz w:val="28"/>
          <w:szCs w:val="28"/>
          <w:lang w:val="en-US" w:eastAsia="zh-CN"/>
        </w:rPr>
        <w:t xml:space="preserve">    </w:t>
      </w:r>
      <w:r>
        <w:rPr>
          <w:rFonts w:ascii="仿宋_GB2312" w:hAnsi="仿宋_GB2312" w:eastAsia="仿宋_GB2312" w:cs="仿宋_GB2312"/>
          <w:sz w:val="28"/>
          <w:szCs w:val="28"/>
        </w:rPr>
        <w:t>（2）项目实施团队应基于采购需求与建设目标，制定科学合理的绩效考核机制，提升服务效能与质量水平。</w:t>
      </w:r>
      <w:r>
        <w:rPr>
          <w:rFonts w:ascii="仿宋_GB2312" w:hAnsi="仿宋_GB2312" w:eastAsia="仿宋_GB2312" w:cs="仿宋_GB2312"/>
          <w:sz w:val="28"/>
          <w:szCs w:val="28"/>
        </w:rPr>
        <w:br w:type="textWrapping"/>
      </w:r>
      <w:r>
        <w:rPr>
          <w:rFonts w:hint="eastAsia" w:ascii="仿宋_GB2312" w:hAnsi="仿宋_GB2312" w:eastAsia="仿宋_GB2312" w:cs="仿宋_GB2312"/>
          <w:sz w:val="28"/>
          <w:szCs w:val="28"/>
          <w:lang w:val="en-US" w:eastAsia="zh-CN"/>
        </w:rPr>
        <w:t xml:space="preserve">    </w:t>
      </w:r>
      <w:r>
        <w:rPr>
          <w:rFonts w:ascii="仿宋_GB2312" w:hAnsi="仿宋_GB2312" w:eastAsia="仿宋_GB2312" w:cs="仿宋_GB2312"/>
          <w:sz w:val="28"/>
          <w:szCs w:val="28"/>
        </w:rPr>
        <w:t>（3）要求项目实施人员保持相对固定，未经允许不得擅自调换人员配置。</w:t>
      </w:r>
    </w:p>
    <w:p w14:paraId="0331F205">
      <w:pPr>
        <w:pStyle w:val="3"/>
        <w:keepNext w:val="0"/>
        <w:spacing w:before="0" w:after="0" w:line="360" w:lineRule="auto"/>
        <w:rPr>
          <w:rFonts w:ascii="仿宋_GB2312" w:hAnsi="仿宋_GB2312" w:eastAsia="仿宋_GB2312" w:cs="仿宋_GB2312"/>
          <w:b/>
          <w:bCs/>
          <w:sz w:val="28"/>
          <w:szCs w:val="28"/>
        </w:rPr>
      </w:pPr>
      <w:bookmarkStart w:id="1741" w:name="_Toc256000027"/>
      <w:r>
        <w:rPr>
          <w:rFonts w:ascii="仿宋_GB2312" w:hAnsi="仿宋_GB2312" w:eastAsia="仿宋_GB2312" w:cs="仿宋_GB2312"/>
          <w:i w:val="0"/>
          <w:iCs w:val="0"/>
        </w:rPr>
        <w:t>4.2管理团队</w:t>
      </w:r>
      <w:bookmarkEnd w:id="1741"/>
    </w:p>
    <w:p w14:paraId="09F1B420">
      <w:pPr>
        <w:pStyle w:val="4"/>
        <w:keepNext w:val="0"/>
        <w:spacing w:before="0" w:after="0" w:line="360" w:lineRule="auto"/>
        <w:rPr>
          <w:rFonts w:ascii="仿宋_GB2312" w:hAnsi="仿宋_GB2312" w:eastAsia="仿宋_GB2312" w:cs="仿宋_GB2312"/>
          <w:b/>
          <w:bCs/>
          <w:sz w:val="28"/>
          <w:szCs w:val="28"/>
        </w:rPr>
      </w:pPr>
      <w:bookmarkStart w:id="1742" w:name="_Toc256000028"/>
      <w:r>
        <w:rPr>
          <w:rFonts w:ascii="仿宋_GB2312" w:hAnsi="仿宋_GB2312" w:eastAsia="仿宋_GB2312" w:cs="仿宋_GB2312"/>
          <w:sz w:val="28"/>
          <w:szCs w:val="28"/>
        </w:rPr>
        <w:t>4.2.1项目总监</w:t>
      </w:r>
      <w:bookmarkEnd w:id="1742"/>
    </w:p>
    <w:p w14:paraId="5163BA09">
      <w:pPr>
        <w:pStyle w:val="4"/>
        <w:keepNext w:val="0"/>
        <w:spacing w:before="0" w:after="0" w:line="360" w:lineRule="auto"/>
        <w:rPr>
          <w:rFonts w:ascii="仿宋_GB2312" w:hAnsi="仿宋_GB2312" w:eastAsia="仿宋_GB2312" w:cs="仿宋_GB2312"/>
          <w:b/>
          <w:bCs/>
          <w:sz w:val="28"/>
          <w:szCs w:val="28"/>
        </w:rPr>
      </w:pPr>
      <w:bookmarkStart w:id="1743" w:name="_Toc256000029"/>
      <w:r>
        <w:rPr>
          <w:rFonts w:ascii="仿宋_GB2312" w:hAnsi="仿宋_GB2312" w:eastAsia="仿宋_GB2312" w:cs="仿宋_GB2312"/>
          <w:sz w:val="28"/>
          <w:szCs w:val="28"/>
        </w:rPr>
        <w:t>4.2.2项目经理</w:t>
      </w:r>
      <w:bookmarkEnd w:id="1743"/>
    </w:p>
    <w:p w14:paraId="74F130C6">
      <w:pPr>
        <w:pStyle w:val="70"/>
        <w:spacing w:before="0" w:after="0" w:line="360" w:lineRule="auto"/>
        <w:ind w:left="0" w:right="0" w:firstLine="420"/>
        <w:jc w:val="both"/>
        <w:rPr>
          <w:rFonts w:ascii="Times New Roman" w:hAnsi="Times New Roman" w:eastAsia="Times New Roman" w:cs="Times New Roman"/>
        </w:rPr>
      </w:pPr>
      <w:r>
        <w:rPr>
          <w:rFonts w:ascii="仿宋" w:hAnsi="仿宋" w:eastAsia="仿宋" w:cs="仿宋"/>
          <w:sz w:val="28"/>
          <w:szCs w:val="28"/>
        </w:rPr>
        <w:t>从项目团队中选派一名专职人员担任项目经理一职，需具备三年以上同类项目管理或项目实施的实际工作经验，能够在项目启动后快速构建起一套科学、有效的监督流程，对项目整体实施质量进行严格把控，确保项目达到预期目标。</w:t>
      </w:r>
    </w:p>
    <w:p w14:paraId="5E27A41F">
      <w:pPr>
        <w:pStyle w:val="3"/>
        <w:keepNext w:val="0"/>
        <w:spacing w:before="0" w:after="0" w:line="360" w:lineRule="auto"/>
        <w:rPr>
          <w:rFonts w:ascii="仿宋_GB2312" w:hAnsi="仿宋_GB2312" w:eastAsia="仿宋_GB2312" w:cs="仿宋_GB2312"/>
          <w:b/>
          <w:bCs/>
          <w:sz w:val="28"/>
          <w:szCs w:val="28"/>
        </w:rPr>
      </w:pPr>
      <w:bookmarkStart w:id="1744" w:name="_Toc256000030"/>
      <w:r>
        <w:rPr>
          <w:rFonts w:ascii="仿宋_GB2312" w:hAnsi="仿宋_GB2312" w:eastAsia="仿宋_GB2312" w:cs="仿宋_GB2312"/>
          <w:i w:val="0"/>
          <w:iCs w:val="0"/>
        </w:rPr>
        <w:t>4.3技术团队</w:t>
      </w:r>
      <w:bookmarkEnd w:id="1744"/>
    </w:p>
    <w:p w14:paraId="483FE798">
      <w:pPr>
        <w:pStyle w:val="69"/>
        <w:spacing w:before="0" w:after="0" w:line="360" w:lineRule="auto"/>
        <w:ind w:left="0" w:right="0"/>
        <w:jc w:val="both"/>
        <w:rPr>
          <w:rFonts w:ascii="仿宋" w:hAnsi="仿宋" w:eastAsia="仿宋" w:cs="仿宋"/>
          <w:sz w:val="28"/>
          <w:szCs w:val="28"/>
          <w:lang w:val="en-US" w:eastAsia="en-US" w:bidi="ar-SA"/>
        </w:rPr>
      </w:pPr>
      <w:r>
        <w:rPr>
          <w:rFonts w:ascii="仿宋" w:hAnsi="仿宋" w:eastAsia="仿宋" w:cs="仿宋"/>
          <w:sz w:val="28"/>
          <w:szCs w:val="28"/>
          <w:lang w:val="en-US" w:eastAsia="en-US" w:bidi="ar-SA"/>
        </w:rPr>
        <w:t>技术团队需要有明确的岗位分工，产品经理、产品测试、产品研发、行业顾问等。技术团队应构建清晰合理的岗位架构体系，明确划分产品经理、产品测试、产品研发、行业顾问等核心岗位的职责边界，确保各岗位人员各司其职、协同高效运作。</w:t>
      </w:r>
    </w:p>
    <w:p w14:paraId="2FE3F05F">
      <w:pPr>
        <w:pStyle w:val="3"/>
        <w:keepNext w:val="0"/>
        <w:spacing w:before="0" w:after="0" w:line="360" w:lineRule="auto"/>
        <w:rPr>
          <w:rFonts w:ascii="仿宋_GB2312" w:hAnsi="仿宋_GB2312" w:eastAsia="仿宋_GB2312" w:cs="仿宋_GB2312"/>
          <w:b/>
          <w:bCs/>
          <w:sz w:val="28"/>
          <w:szCs w:val="28"/>
        </w:rPr>
      </w:pPr>
      <w:bookmarkStart w:id="1745" w:name="_Toc256000031"/>
      <w:r>
        <w:rPr>
          <w:rFonts w:ascii="仿宋_GB2312" w:hAnsi="仿宋_GB2312" w:eastAsia="仿宋_GB2312" w:cs="仿宋_GB2312"/>
          <w:i w:val="0"/>
          <w:iCs w:val="0"/>
        </w:rPr>
        <w:t>4.4优选资质/优选指标</w:t>
      </w:r>
      <w:bookmarkEnd w:id="1745"/>
    </w:p>
    <w:p w14:paraId="3EC7655A">
      <w:pPr>
        <w:pStyle w:val="2"/>
        <w:keepNext w:val="0"/>
        <w:spacing w:before="0" w:after="0" w:line="360" w:lineRule="auto"/>
        <w:jc w:val="center"/>
        <w:rPr>
          <w:rFonts w:ascii="仿宋_GB2312" w:hAnsi="仿宋_GB2312" w:eastAsia="仿宋_GB2312" w:cs="仿宋_GB2312"/>
          <w:b/>
          <w:bCs/>
          <w:sz w:val="32"/>
          <w:szCs w:val="32"/>
        </w:rPr>
      </w:pPr>
      <w:bookmarkStart w:id="1746" w:name="_Toc256000032"/>
      <w:r>
        <w:rPr>
          <w:rFonts w:ascii="仿宋_GB2312" w:hAnsi="仿宋_GB2312" w:eastAsia="仿宋_GB2312" w:cs="仿宋_GB2312"/>
          <w:kern w:val="36"/>
        </w:rPr>
        <w:t>5管理实施要求</w:t>
      </w:r>
      <w:bookmarkEnd w:id="1746"/>
    </w:p>
    <w:p w14:paraId="29DA15AB">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需精心挑选适配的项目实施人员，并组建一支高效协作的项目实施团队，同时明确指定一名项目经理。在投标文件里，要详细提供项目实施人员、保障团队成员以及项目经理的个人介绍资料和准确的联系方式。参与本项目的人员务必具备丰富的项目服务经验和与之匹配的技术能力，并且在服务期间，要保障项目服务人员的相对稳定性。服务期结束后，需开展服务质量考核工作，并制定科学合理的奖惩机制。具体要求如下：</w:t>
      </w:r>
    </w:p>
    <w:p w14:paraId="2AD333C3">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（1）项目实施人员在合同期内因操作不当而造成相关应用系统停机时间超过4小时，采购方有权决定是否终止合同，并拒绝支付服务合同约定的款项。</w:t>
      </w:r>
    </w:p>
    <w:p w14:paraId="12DB8775">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（2）项目实施人员不能如期提供有效实施服务、系统巡检，没有及时发现存在的隐患造成重大影响，采购方有权决定是否终止合同，并拒绝支付服务合同约定的款项。</w:t>
      </w:r>
    </w:p>
    <w:p w14:paraId="14600161">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3）在故障原因尚不明确的情况下，项目实施人员必须依据故障等级，迅速安排相关专业技术人员（二线技术专家）前往现场处理。若未能及时安排现场支持人员，导致故障无法尽快解决，采购方有权自行决定是否终止合同。</w:t>
      </w:r>
    </w:p>
    <w:p w14:paraId="61890790">
      <w:pPr>
        <w:pStyle w:val="69"/>
        <w:spacing w:before="0" w:after="0" w:line="360" w:lineRule="auto"/>
        <w:ind w:firstLine="560" w:firstLineChars="200"/>
        <w:jc w:val="both"/>
        <w:rPr>
          <w:sz w:val="21"/>
          <w:szCs w:val="21"/>
        </w:rPr>
      </w:pPr>
      <w:r>
        <w:rPr>
          <w:rFonts w:ascii="仿宋" w:hAnsi="仿宋" w:eastAsia="仿宋" w:cs="仿宋"/>
          <w:sz w:val="28"/>
          <w:szCs w:val="28"/>
        </w:rPr>
        <w:t>（4）为保证采购方系统稳定运行，避免因系统故障造成的损失，项目实施人员应提供项目实施质量管理及质量保障索赔的承诺。</w:t>
      </w:r>
    </w:p>
    <w:p w14:paraId="36BB1BEC">
      <w:pPr>
        <w:pStyle w:val="2"/>
        <w:keepNext w:val="0"/>
        <w:spacing w:before="0" w:after="0" w:line="360" w:lineRule="auto"/>
        <w:jc w:val="center"/>
        <w:rPr>
          <w:rFonts w:ascii="仿宋_GB2312" w:hAnsi="仿宋_GB2312" w:eastAsia="仿宋_GB2312" w:cs="仿宋_GB2312"/>
          <w:b/>
          <w:bCs/>
          <w:sz w:val="32"/>
          <w:szCs w:val="32"/>
        </w:rPr>
      </w:pPr>
      <w:bookmarkStart w:id="1747" w:name="_Toc256000033"/>
      <w:r>
        <w:rPr>
          <w:rFonts w:ascii="仿宋_GB2312" w:hAnsi="仿宋_GB2312" w:eastAsia="仿宋_GB2312" w:cs="仿宋_GB2312"/>
          <w:kern w:val="36"/>
        </w:rPr>
        <w:t>6保密要求</w:t>
      </w:r>
      <w:bookmarkEnd w:id="1747"/>
    </w:p>
    <w:p w14:paraId="125755AE">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1、投标人派出的人员应严格遵守国家税务总局甘肃省税务局的信息安全保密制度和日常办公规定。严禁擅自操作所负责系统以外的设备，内外网计算机严格隔离，严禁出现内网计算机违规外联情况，出现责任事故国家税务总局国家税务总局甘肃省税务局有权追究投标人的责任。</w:t>
      </w:r>
    </w:p>
    <w:p w14:paraId="76DD3852">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2、投标人确保所提供软件的产品质量（包括稳定性、安全性），因投标人软件的质量问题造成国家税务总局甘肃省税务局或纳税人损失的，投标人应承担赔偿责任。</w:t>
      </w:r>
    </w:p>
    <w:p w14:paraId="48015270">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3、投标人安排的项目实施人员必须与投标人签订正式劳动合同和信息系统安全保密协议。</w:t>
      </w:r>
    </w:p>
    <w:p w14:paraId="0AE5150E">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4、投标人安排的项目实施工作人员的工作成果归国家税务总局甘肃省税务局所有，投标人在未征得国家税务总局甘肃省税务局书面同意的前提下，不得将技术资料泄露给其他人员及单位。如违反上述协议内容，国家税务总局甘肃省税务局将保留追究投标人法律责任的权利。</w:t>
      </w:r>
    </w:p>
    <w:p w14:paraId="26A58B19">
      <w:pPr>
        <w:pStyle w:val="70"/>
        <w:spacing w:before="0" w:after="0" w:line="360" w:lineRule="auto"/>
        <w:ind w:left="0" w:right="0" w:firstLine="560"/>
        <w:jc w:val="both"/>
        <w:rPr>
          <w:rFonts w:ascii="Times New Roman" w:hAnsi="Times New Roman" w:eastAsia="Times New Roman" w:cs="Times New Roman"/>
        </w:rPr>
      </w:pPr>
      <w:r>
        <w:rPr>
          <w:rFonts w:ascii="仿宋" w:hAnsi="仿宋" w:eastAsia="仿宋" w:cs="仿宋"/>
          <w:sz w:val="28"/>
          <w:szCs w:val="28"/>
        </w:rPr>
        <w:t>5、在项目服务期内，投标人安排的项目实施人员应随时监控系统运行状态，做好事件记录，定期出具系统运行报告。出现系统故障应及时处置，遇到影响范围较大的事件或需要调整相关系统参数的问题，应立即通知系统管理员，共同确定解决方案，实施人员不得自行处理。投标人所开发的软件本身如果出现故障，应确保在0.5个工作日内排除。在服务期以外，如果出现突发故障，系统管理员可通知投标人项目实施人员到现场排除故障，技术人员应及时到场。</w:t>
      </w:r>
    </w:p>
    <w:p w14:paraId="597BE9E9">
      <w:pPr>
        <w:pStyle w:val="2"/>
        <w:keepNext w:val="0"/>
        <w:spacing w:before="0" w:after="0" w:line="360" w:lineRule="auto"/>
        <w:jc w:val="center"/>
        <w:rPr>
          <w:rFonts w:ascii="仿宋_GB2312" w:hAnsi="仿宋_GB2312" w:eastAsia="仿宋_GB2312" w:cs="仿宋_GB2312"/>
          <w:b/>
          <w:bCs/>
          <w:sz w:val="32"/>
          <w:szCs w:val="32"/>
        </w:rPr>
      </w:pPr>
      <w:bookmarkStart w:id="1748" w:name="_Toc256000034"/>
      <w:r>
        <w:rPr>
          <w:rFonts w:ascii="仿宋_GB2312" w:hAnsi="仿宋_GB2312" w:eastAsia="仿宋_GB2312" w:cs="仿宋_GB2312"/>
          <w:kern w:val="36"/>
        </w:rPr>
        <w:t>7知识转移要求</w:t>
      </w:r>
      <w:bookmarkEnd w:id="1748"/>
    </w:p>
    <w:p w14:paraId="14EA6430">
      <w:pPr>
        <w:pStyle w:val="70"/>
        <w:spacing w:before="0" w:after="0" w:line="360" w:lineRule="auto"/>
        <w:ind w:left="0" w:right="0" w:firstLine="420"/>
        <w:jc w:val="both"/>
        <w:rPr>
          <w:rFonts w:ascii="Times New Roman" w:hAnsi="Times New Roman" w:eastAsia="Times New Roman" w:cs="Times New Roman"/>
        </w:rPr>
      </w:pPr>
      <w:r>
        <w:rPr>
          <w:rFonts w:ascii="仿宋" w:hAnsi="仿宋" w:eastAsia="仿宋" w:cs="仿宋"/>
          <w:sz w:val="28"/>
          <w:szCs w:val="28"/>
        </w:rPr>
        <w:t>1、投标人需按周期对大数据平台运行期间产生的关键知识点展开收集工作（具体可构成知识点的信息范畴，将由采购人与中标人共同商榷确定）。收集完成后，要对这些知识点进行系统分类与有序整理，逐步构建起完备的知识库。</w:t>
      </w:r>
    </w:p>
    <w:p w14:paraId="50B74EB9">
      <w:pPr>
        <w:pStyle w:val="70"/>
        <w:spacing w:before="0" w:after="0" w:line="360" w:lineRule="auto"/>
        <w:ind w:left="0" w:right="0" w:firstLine="420"/>
        <w:jc w:val="both"/>
        <w:rPr>
          <w:rFonts w:ascii="Times New Roman" w:hAnsi="Times New Roman" w:eastAsia="Times New Roman" w:cs="Times New Roman"/>
        </w:rPr>
      </w:pPr>
      <w:r>
        <w:rPr>
          <w:rFonts w:ascii="仿宋" w:hAnsi="仿宋" w:eastAsia="仿宋" w:cs="仿宋"/>
          <w:sz w:val="28"/>
          <w:szCs w:val="28"/>
        </w:rPr>
        <w:t>2、基于知识库的积累状况，投标人要精心制定知识转移规划，并依照既定周期，将知识有效传递给采购人。此外，项目实施团队成员有责任定期对系统常见问题文档进行更新维护，确保文档内容的时效性与准确性。</w:t>
      </w:r>
    </w:p>
    <w:p w14:paraId="2DFD55A2">
      <w:pPr>
        <w:pStyle w:val="2"/>
        <w:keepNext w:val="0"/>
        <w:spacing w:before="0" w:after="0" w:line="360" w:lineRule="auto"/>
        <w:jc w:val="center"/>
        <w:rPr>
          <w:rFonts w:ascii="仿宋_GB2312" w:hAnsi="仿宋_GB2312" w:eastAsia="仿宋_GB2312" w:cs="仿宋_GB2312"/>
          <w:b/>
          <w:bCs/>
          <w:sz w:val="32"/>
          <w:szCs w:val="32"/>
        </w:rPr>
      </w:pPr>
      <w:bookmarkStart w:id="1749" w:name="_Toc256000035"/>
      <w:r>
        <w:rPr>
          <w:rFonts w:ascii="仿宋_GB2312" w:hAnsi="仿宋_GB2312" w:eastAsia="仿宋_GB2312" w:cs="仿宋_GB2312"/>
          <w:kern w:val="36"/>
        </w:rPr>
        <w:t>8风险管控要求</w:t>
      </w:r>
      <w:bookmarkEnd w:id="1749"/>
    </w:p>
    <w:p w14:paraId="1E0C4EFB">
      <w:pPr>
        <w:pStyle w:val="69"/>
        <w:spacing w:before="0" w:after="0" w:line="360" w:lineRule="auto"/>
        <w:jc w:val="both"/>
        <w:rPr>
          <w:sz w:val="21"/>
          <w:szCs w:val="21"/>
        </w:rPr>
      </w:pPr>
      <w:r>
        <w:rPr>
          <w:rFonts w:ascii="仿宋" w:hAnsi="仿宋" w:eastAsia="仿宋" w:cs="仿宋"/>
          <w:sz w:val="28"/>
          <w:szCs w:val="28"/>
        </w:rPr>
        <w:t>1、打造全方位安全防护堡垒，构建多层次、立体化的数据工具安全管理体系。在数据传输环节，采用数据加密技术，确保数据在传输中的绝对安全；建立动态访问控制机制，根据用户角色、行为模式与实时环境，智能调整访问权限，实现精细化的权限管理；实施全流程安全审计，对数据的每一次操作进行详细记录与分析，及时发现异常行为。</w:t>
      </w:r>
    </w:p>
    <w:p w14:paraId="649BFC28">
      <w:pPr>
        <w:pStyle w:val="69"/>
        <w:spacing w:before="0" w:after="0" w:line="360" w:lineRule="auto"/>
        <w:jc w:val="both"/>
        <w:rPr>
          <w:sz w:val="21"/>
          <w:szCs w:val="21"/>
        </w:rPr>
      </w:pPr>
      <w:r>
        <w:rPr>
          <w:rFonts w:ascii="仿宋" w:hAnsi="仿宋" w:eastAsia="仿宋" w:cs="仿宋"/>
          <w:sz w:val="28"/>
          <w:szCs w:val="28"/>
        </w:rPr>
        <w:t>2、构建极速备份与智能恢复体系，制定灵活的备份策略，根据数据重要性与更新频率，采用全量、增量与差异备份相结合的方式，确保数据的完整性与时效性。</w:t>
      </w:r>
    </w:p>
    <w:p w14:paraId="7096F269">
      <w:pPr>
        <w:pStyle w:val="69"/>
        <w:spacing w:before="0" w:after="0" w:line="360" w:lineRule="auto"/>
        <w:jc w:val="both"/>
        <w:rPr>
          <w:sz w:val="21"/>
          <w:szCs w:val="21"/>
        </w:rPr>
      </w:pPr>
      <w:r>
        <w:rPr>
          <w:rFonts w:ascii="仿宋" w:hAnsi="仿宋" w:eastAsia="仿宋" w:cs="仿宋"/>
          <w:sz w:val="28"/>
          <w:szCs w:val="28"/>
        </w:rPr>
        <w:t>3、打造敏捷应急响应作战体系，针对各类风险事件，制定详细且具有可操作性的应急响应预案，明确各部门职责与响应流程。定期组织实战演练，模拟真实场景，检验与提升团队的应急处置能力。建立应急资源动态调配机制，确保在风险发生时能够迅速调配人力、物力与技术资源，实现快速响应与高效处置。</w:t>
      </w:r>
    </w:p>
    <w:p w14:paraId="71EC84A3">
      <w:pPr>
        <w:pStyle w:val="2"/>
        <w:keepNext w:val="0"/>
        <w:spacing w:before="0" w:after="0" w:line="360" w:lineRule="auto"/>
        <w:jc w:val="center"/>
        <w:rPr>
          <w:rFonts w:ascii="仿宋_GB2312" w:hAnsi="仿宋_GB2312" w:eastAsia="仿宋_GB2312" w:cs="仿宋_GB2312"/>
          <w:b/>
          <w:bCs/>
          <w:sz w:val="32"/>
          <w:szCs w:val="32"/>
        </w:rPr>
      </w:pPr>
      <w:bookmarkStart w:id="1750" w:name="_Toc256000036"/>
      <w:r>
        <w:rPr>
          <w:rFonts w:ascii="仿宋_GB2312" w:hAnsi="仿宋_GB2312" w:eastAsia="仿宋_GB2312" w:cs="仿宋_GB2312"/>
          <w:kern w:val="36"/>
        </w:rPr>
        <w:t>9履约验收要求</w:t>
      </w:r>
      <w:bookmarkEnd w:id="1750"/>
    </w:p>
    <w:p w14:paraId="1CC0C44C">
      <w:pPr>
        <w:pStyle w:val="3"/>
        <w:keepNext w:val="0"/>
        <w:spacing w:before="0" w:after="0" w:line="360" w:lineRule="auto"/>
        <w:rPr>
          <w:rFonts w:ascii="仿宋_GB2312" w:hAnsi="仿宋_GB2312" w:eastAsia="仿宋_GB2312" w:cs="仿宋_GB2312"/>
          <w:b/>
          <w:bCs/>
          <w:sz w:val="28"/>
          <w:szCs w:val="28"/>
        </w:rPr>
      </w:pPr>
      <w:bookmarkStart w:id="1751" w:name="_Toc256000037"/>
      <w:r>
        <w:rPr>
          <w:rFonts w:ascii="仿宋_GB2312" w:hAnsi="仿宋_GB2312" w:eastAsia="仿宋_GB2312" w:cs="仿宋_GB2312"/>
          <w:i w:val="0"/>
          <w:iCs w:val="0"/>
        </w:rPr>
        <w:t>9.1总体要求</w:t>
      </w:r>
      <w:bookmarkEnd w:id="1751"/>
    </w:p>
    <w:tbl>
      <w:tblPr>
        <w:tblStyle w:val="31"/>
        <w:tblW w:w="5000" w:type="pct"/>
        <w:tblInd w:w="30" w:type="dxa"/>
        <w:tblLayout w:type="autofit"/>
        <w:tblCellMar>
          <w:top w:w="15" w:type="dxa"/>
          <w:left w:w="15" w:type="dxa"/>
          <w:bottom w:w="15" w:type="dxa"/>
          <w:right w:w="15" w:type="dxa"/>
        </w:tblCellMar>
      </w:tblPr>
      <w:tblGrid>
        <w:gridCol w:w="4175"/>
        <w:gridCol w:w="4175"/>
      </w:tblGrid>
      <w:tr w14:paraId="38A994AD">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077350F9">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验收名称</w:t>
            </w:r>
          </w:p>
        </w:tc>
        <w:tc>
          <w:tcPr>
            <w:tcW w:w="25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8FCDEE1">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验收要求</w:t>
            </w:r>
          </w:p>
        </w:tc>
      </w:tr>
      <w:tr w14:paraId="77000110">
        <w:tblPrEx>
          <w:tblCellMar>
            <w:top w:w="15" w:type="dxa"/>
            <w:left w:w="15" w:type="dxa"/>
            <w:bottom w:w="15" w:type="dxa"/>
            <w:right w:w="15" w:type="dxa"/>
          </w:tblCellMar>
        </w:tblPrEx>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FDAC5C">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第1次验收</w:t>
            </w:r>
          </w:p>
        </w:tc>
        <w:tc>
          <w:tcPr>
            <w:tcW w:w="2500"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FCA313">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服务</w:t>
            </w:r>
            <w:r>
              <w:rPr>
                <w:rFonts w:hint="eastAsia" w:ascii="仿宋_GB2312" w:hAnsi="仿宋_GB2312" w:eastAsia="仿宋_GB2312" w:cs="仿宋_GB2312"/>
                <w:b w:val="0"/>
                <w:bCs w:val="0"/>
                <w:i w:val="0"/>
                <w:iCs w:val="0"/>
                <w:smallCaps w:val="0"/>
                <w:color w:val="000000"/>
                <w:sz w:val="21"/>
                <w:szCs w:val="21"/>
                <w:lang w:eastAsia="zh-CN"/>
              </w:rPr>
              <w:t>期</w:t>
            </w:r>
            <w:r>
              <w:rPr>
                <w:rFonts w:ascii="仿宋_GB2312" w:hAnsi="仿宋_GB2312" w:eastAsia="仿宋_GB2312" w:cs="仿宋_GB2312"/>
                <w:b w:val="0"/>
                <w:bCs w:val="0"/>
                <w:i w:val="0"/>
                <w:iCs w:val="0"/>
                <w:smallCaps w:val="0"/>
                <w:color w:val="000000"/>
                <w:sz w:val="21"/>
                <w:szCs w:val="21"/>
              </w:rPr>
              <w:t>结束，提供项目实施验收报告</w:t>
            </w:r>
            <w:r>
              <w:rPr>
                <w:rFonts w:hint="eastAsia" w:ascii="仿宋_GB2312" w:hAnsi="仿宋_GB2312" w:eastAsia="仿宋_GB2312" w:cs="仿宋_GB2312"/>
                <w:b w:val="0"/>
                <w:bCs w:val="0"/>
                <w:i w:val="0"/>
                <w:iCs w:val="0"/>
                <w:smallCaps w:val="0"/>
                <w:color w:val="000000"/>
                <w:sz w:val="21"/>
                <w:szCs w:val="21"/>
                <w:lang w:eastAsia="zh-CN"/>
              </w:rPr>
              <w:t>，采购人按照合同要求组织验收</w:t>
            </w:r>
            <w:r>
              <w:rPr>
                <w:rFonts w:ascii="仿宋_GB2312" w:hAnsi="仿宋_GB2312" w:eastAsia="仿宋_GB2312" w:cs="仿宋_GB2312"/>
                <w:b w:val="0"/>
                <w:bCs w:val="0"/>
                <w:i w:val="0"/>
                <w:iCs w:val="0"/>
                <w:smallCaps w:val="0"/>
                <w:color w:val="000000"/>
                <w:sz w:val="21"/>
                <w:szCs w:val="21"/>
              </w:rPr>
              <w:t>。</w:t>
            </w:r>
          </w:p>
        </w:tc>
      </w:tr>
    </w:tbl>
    <w:p w14:paraId="24AF591D">
      <w:pPr>
        <w:pStyle w:val="3"/>
        <w:keepNext w:val="0"/>
        <w:spacing w:before="0" w:after="0" w:line="360" w:lineRule="auto"/>
        <w:rPr>
          <w:rFonts w:ascii="仿宋_GB2312" w:hAnsi="仿宋_GB2312" w:eastAsia="仿宋_GB2312" w:cs="仿宋_GB2312"/>
          <w:b/>
          <w:bCs/>
          <w:sz w:val="28"/>
          <w:szCs w:val="28"/>
        </w:rPr>
      </w:pPr>
      <w:bookmarkStart w:id="1752" w:name="_Toc256000038"/>
      <w:r>
        <w:rPr>
          <w:rFonts w:ascii="仿宋_GB2312" w:hAnsi="仿宋_GB2312" w:eastAsia="仿宋_GB2312" w:cs="仿宋_GB2312"/>
          <w:i w:val="0"/>
          <w:iCs w:val="0"/>
        </w:rPr>
        <w:t>9.2具体要求</w:t>
      </w:r>
      <w:bookmarkEnd w:id="1752"/>
    </w:p>
    <w:p w14:paraId="2C287D4A">
      <w:pPr>
        <w:spacing w:before="0" w:after="0" w:line="360" w:lineRule="auto"/>
        <w:rPr>
          <w:rFonts w:ascii="FangSong_GB2312" w:hAnsi="FangSong_GB2312" w:eastAsia="FangSong_GB2312" w:cs="FangSong_GB2312"/>
          <w:sz w:val="28"/>
          <w:szCs w:val="28"/>
        </w:rPr>
      </w:pPr>
      <w:r>
        <w:rPr>
          <w:rFonts w:ascii="FangSong_GB2312" w:hAnsi="FangSong_GB2312" w:eastAsia="FangSong_GB2312" w:cs="FangSong_GB2312"/>
          <w:sz w:val="28"/>
          <w:szCs w:val="28"/>
        </w:rPr>
        <w:t> </w:t>
      </w:r>
    </w:p>
    <w:p w14:paraId="6948ADD2">
      <w:pPr>
        <w:pStyle w:val="70"/>
        <w:spacing w:before="0" w:after="0" w:line="360" w:lineRule="auto"/>
        <w:ind w:left="0" w:right="0" w:firstLine="420"/>
        <w:jc w:val="both"/>
        <w:rPr>
          <w:rFonts w:ascii="Times New Roman" w:hAnsi="Times New Roman" w:eastAsia="Times New Roman" w:cs="Times New Roman"/>
        </w:rPr>
      </w:pPr>
      <w:r>
        <w:rPr>
          <w:rFonts w:ascii="仿宋" w:hAnsi="仿宋" w:eastAsia="仿宋" w:cs="仿宋"/>
          <w:sz w:val="28"/>
          <w:szCs w:val="28"/>
        </w:rPr>
        <w:t>投标人在年度服务期内未发生违约事故。并提供终验报告，终验报告内容包括：年度巡检报告、运维问题台账、开发文档、产品升级部署文档等。</w:t>
      </w:r>
    </w:p>
    <w:p w14:paraId="7459BA45">
      <w:pPr>
        <w:pStyle w:val="2"/>
        <w:keepNext w:val="0"/>
        <w:spacing w:before="0" w:after="0" w:line="360" w:lineRule="auto"/>
        <w:jc w:val="center"/>
        <w:rPr>
          <w:rFonts w:ascii="仿宋_GB2312" w:hAnsi="仿宋_GB2312" w:eastAsia="仿宋_GB2312" w:cs="仿宋_GB2312"/>
          <w:b/>
          <w:bCs/>
          <w:sz w:val="32"/>
          <w:szCs w:val="32"/>
        </w:rPr>
      </w:pPr>
      <w:bookmarkStart w:id="1753" w:name="_Toc256000039"/>
      <w:r>
        <w:rPr>
          <w:rFonts w:ascii="仿宋_GB2312" w:hAnsi="仿宋_GB2312" w:eastAsia="仿宋_GB2312" w:cs="仿宋_GB2312"/>
          <w:kern w:val="36"/>
        </w:rPr>
        <w:t>10其他要求</w:t>
      </w:r>
      <w:bookmarkEnd w:id="1753"/>
    </w:p>
    <w:p w14:paraId="326A815A">
      <w:pPr>
        <w:pStyle w:val="3"/>
        <w:keepNext w:val="0"/>
        <w:spacing w:before="0" w:after="0" w:line="360" w:lineRule="auto"/>
        <w:rPr>
          <w:rFonts w:ascii="仿宋_GB2312" w:hAnsi="仿宋_GB2312" w:eastAsia="仿宋_GB2312" w:cs="仿宋_GB2312"/>
          <w:b/>
          <w:bCs/>
          <w:sz w:val="28"/>
          <w:szCs w:val="28"/>
        </w:rPr>
      </w:pPr>
      <w:bookmarkStart w:id="1754" w:name="_Toc256000040"/>
      <w:r>
        <w:rPr>
          <w:rFonts w:ascii="仿宋_GB2312" w:hAnsi="仿宋_GB2312" w:eastAsia="仿宋_GB2312" w:cs="仿宋_GB2312"/>
          <w:i w:val="0"/>
          <w:iCs w:val="0"/>
        </w:rPr>
        <w:t>10.1必备要求</w:t>
      </w:r>
      <w:bookmarkEnd w:id="1754"/>
    </w:p>
    <w:p w14:paraId="3EBFE588">
      <w:pPr>
        <w:pStyle w:val="4"/>
        <w:keepNext w:val="0"/>
        <w:spacing w:before="0" w:after="0" w:line="360" w:lineRule="auto"/>
        <w:rPr>
          <w:rFonts w:hint="eastAsia" w:ascii="仿宋_GB2312" w:hAnsi="仿宋_GB2312" w:eastAsia="仿宋_GB2312" w:cs="仿宋_GB2312"/>
          <w:b/>
          <w:bCs/>
          <w:sz w:val="28"/>
          <w:szCs w:val="28"/>
          <w:lang w:eastAsia="zh-CN"/>
        </w:rPr>
      </w:pPr>
      <w:bookmarkStart w:id="1755" w:name="_Toc256000041"/>
      <w:r>
        <w:rPr>
          <w:rFonts w:ascii="仿宋_GB2312" w:hAnsi="仿宋_GB2312" w:eastAsia="仿宋_GB2312" w:cs="仿宋_GB2312"/>
          <w:sz w:val="28"/>
          <w:szCs w:val="28"/>
        </w:rPr>
        <w:t>10.1.1★税收信息化项目开发和应用管理工作要求</w:t>
      </w:r>
      <w:bookmarkEnd w:id="1755"/>
      <w:r>
        <w:rPr>
          <w:rFonts w:hint="eastAsia" w:ascii="仿宋_GB2312" w:hAnsi="仿宋_GB2312" w:eastAsia="仿宋_GB2312" w:cs="仿宋_GB2312"/>
          <w:sz w:val="28"/>
          <w:szCs w:val="28"/>
          <w:lang w:eastAsia="zh-CN"/>
        </w:rPr>
        <w:t>（投标人提供承诺函并加盖公章，格式自拟）</w:t>
      </w:r>
    </w:p>
    <w:p w14:paraId="3E1CF4BD">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供应商在采购以及后续项目实施过程中，应严格遵守税务总局税收信息化项目开发和应用管理工作要求。对于违反合同约定的，依据合同约定及政府采购有关规定，采购人可采取要求限期改正、在应付合同金额中扣除违约金、解除合同等措施；对于存在严重违法失信行为的，由采购人按规定推送财政部纳入政府采购严重违法失信行为记录名单。</w:t>
      </w:r>
    </w:p>
    <w:p w14:paraId="2DBC2990">
      <w:pPr>
        <w:pStyle w:val="78"/>
        <w:spacing w:before="0" w:after="0" w:line="360" w:lineRule="auto"/>
        <w:ind w:firstLine="561"/>
        <w:rPr>
          <w:rFonts w:ascii="Times New Roman" w:hAnsi="Times New Roman" w:eastAsia="Times New Roman" w:cs="Times New Roman"/>
        </w:rPr>
      </w:pPr>
      <w:r>
        <w:rPr>
          <w:rFonts w:ascii="仿宋_GB2312" w:hAnsi="仿宋_GB2312" w:eastAsia="仿宋_GB2312" w:cs="仿宋_GB2312"/>
          <w:sz w:val="28"/>
          <w:szCs w:val="28"/>
        </w:rPr>
        <w:t>供应商在采购以及后续项目实施过程中，应严格遵守国家税务总局税收信息化项目开发和应用管理工作要求。对于因失信行为纳入《税务系统信息化服务商失信行为记录名单》的供应商，存在一般失信行为的，由采购人函告服务商；存在严重失信行为的，由采购人约谈服务商主要负责人；对于违反合同约定的，依据合同约定及政府采购有关规定，采购人可采取要求限期改正、在应付合同金额中扣除违约金、解除合同、拒绝参加税务系统政府采购活动等措施；对于存在影响恶劣的严重违法失信行为的，由采购人按规定推送财政部纳入政府采购严重违法失信行为记录名单。</w:t>
      </w:r>
    </w:p>
    <w:p w14:paraId="48655853">
      <w:pPr>
        <w:pStyle w:val="4"/>
        <w:keepNext w:val="0"/>
        <w:spacing w:before="0" w:after="0" w:line="360" w:lineRule="auto"/>
        <w:rPr>
          <w:rFonts w:ascii="仿宋_GB2312" w:hAnsi="仿宋_GB2312" w:eastAsia="仿宋_GB2312" w:cs="仿宋_GB2312"/>
          <w:b/>
          <w:bCs/>
          <w:sz w:val="28"/>
          <w:szCs w:val="28"/>
        </w:rPr>
      </w:pPr>
      <w:bookmarkStart w:id="1756" w:name="_Toc256000042"/>
      <w:r>
        <w:rPr>
          <w:rFonts w:ascii="仿宋_GB2312" w:hAnsi="仿宋_GB2312" w:eastAsia="仿宋_GB2312" w:cs="仿宋_GB2312"/>
          <w:sz w:val="28"/>
          <w:szCs w:val="28"/>
        </w:rPr>
        <w:t>10.1.2★供应链安全管理要求</w:t>
      </w:r>
      <w:bookmarkEnd w:id="1756"/>
      <w:r>
        <w:rPr>
          <w:rFonts w:hint="eastAsia" w:ascii="仿宋_GB2312" w:hAnsi="仿宋_GB2312" w:eastAsia="仿宋_GB2312" w:cs="仿宋_GB2312"/>
          <w:sz w:val="28"/>
          <w:szCs w:val="28"/>
          <w:lang w:eastAsia="zh-CN"/>
        </w:rPr>
        <w:t>（投标人提供承诺函并加盖公章，格式自拟）</w:t>
      </w:r>
    </w:p>
    <w:p w14:paraId="3DC69AA7">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1、人员资格要求</w:t>
      </w:r>
    </w:p>
    <w:p w14:paraId="428B39BF">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（1）签订承诺书。供应商应严格落实国家税务总局网络安全和保密管理要求，承担技术支持人员的网络安全和保密管理责任，按采购人要求签订协议和承诺书。</w:t>
      </w:r>
    </w:p>
    <w:p w14:paraId="7453C054">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（2）开展背景审查。供应商承担技术支持人员背景审查工作，提供其身份证明、履历、家庭成员及主要社会关系、无犯罪记录证明等材料，并提交采购人进行备案。</w:t>
      </w:r>
    </w:p>
    <w:p w14:paraId="2DE74A90">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（3）设置网络安全负责人（</w:t>
      </w:r>
      <w:r>
        <w:rPr>
          <w:rFonts w:ascii="FangSong_GB2312" w:hAnsi="FangSong_GB2312" w:eastAsia="FangSong_GB2312" w:cs="FangSong_GB2312"/>
          <w:color w:val="FF0000"/>
          <w:sz w:val="28"/>
          <w:szCs w:val="28"/>
        </w:rPr>
        <w:t>由XX人员兼任</w:t>
      </w:r>
      <w:r>
        <w:rPr>
          <w:rFonts w:ascii="FangSong_GB2312" w:hAnsi="FangSong_GB2312" w:eastAsia="FangSong_GB2312" w:cs="FangSong_GB2312"/>
          <w:sz w:val="28"/>
          <w:szCs w:val="28"/>
        </w:rPr>
        <w:t>）。供应商为本项目配备一名网络安全负责人，该负责人具备独立决策能力并保持相对稳定，在项目实施的全过程负责网络安全工作，组织落实各项网络安全要求。</w:t>
      </w:r>
    </w:p>
    <w:p w14:paraId="32B0F726">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2、日常行为规范要求</w:t>
      </w:r>
    </w:p>
    <w:p w14:paraId="30149B76">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1）工作能力要求。供应商负责对技术支持人员进行资格条件、工作胜任力以及网络安全能力评估，对技术支持人员承担的工作进行安全保密风险分析，明确技术支持人员工作范围和边界，重点防范设备和资料失窃、误操作导致的软硬件故障、工作秘密和税费数据等信息泄露、信息系统越权访问和网络攻击等风险。</w:t>
      </w:r>
    </w:p>
    <w:p w14:paraId="7A964720">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（2）教育培训要求。供应商负责对技术支持人员进行网络和数据安全法律法规、网络安全意识、网络安全管理、网络安全技能、保密意识以及网络安全警示教育等培训，上岗前对其进行考核。</w:t>
      </w:r>
    </w:p>
    <w:p w14:paraId="38BAC6EE">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3、违约惩戒措施</w:t>
      </w:r>
    </w:p>
    <w:p w14:paraId="35CB57F7">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供应商对供应链安全管理责任落实不到位，造成安全事件或产生不良影响的，采购人按照法律法规及合同约定进行处理。</w:t>
      </w:r>
    </w:p>
    <w:p w14:paraId="7BCF798B">
      <w:pPr>
        <w:pStyle w:val="4"/>
        <w:keepNext w:val="0"/>
        <w:spacing w:before="0" w:after="0" w:line="360" w:lineRule="auto"/>
        <w:rPr>
          <w:rFonts w:ascii="仿宋_GB2312" w:hAnsi="仿宋_GB2312" w:eastAsia="仿宋_GB2312" w:cs="仿宋_GB2312"/>
          <w:b/>
          <w:bCs/>
          <w:sz w:val="28"/>
          <w:szCs w:val="28"/>
        </w:rPr>
      </w:pPr>
      <w:bookmarkStart w:id="1757" w:name="_Toc256000043"/>
      <w:r>
        <w:rPr>
          <w:rFonts w:ascii="仿宋_GB2312" w:hAnsi="仿宋_GB2312" w:eastAsia="仿宋_GB2312" w:cs="仿宋_GB2312"/>
          <w:sz w:val="28"/>
          <w:szCs w:val="28"/>
        </w:rPr>
        <w:t>10.1.3★信息化服务运维人员要求</w:t>
      </w:r>
      <w:bookmarkEnd w:id="1757"/>
      <w:r>
        <w:rPr>
          <w:rFonts w:hint="eastAsia" w:ascii="仿宋_GB2312" w:hAnsi="仿宋_GB2312" w:eastAsia="仿宋_GB2312" w:cs="仿宋_GB2312"/>
          <w:sz w:val="28"/>
          <w:szCs w:val="28"/>
          <w:lang w:eastAsia="zh-CN"/>
        </w:rPr>
        <w:t>（投标人提供承诺函并加盖公章，格式自拟）</w:t>
      </w:r>
    </w:p>
    <w:p w14:paraId="084BE829">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本项目涉及信息化服务运维人员的，运维人员应当是运维单位的正式人员，或者是与运维单位签订1年以上劳动合同且实际工作满1年的人员，常驻运维人员应当为技术骨干。</w:t>
      </w:r>
    </w:p>
    <w:p w14:paraId="7DD94389">
      <w:pPr>
        <w:pStyle w:val="78"/>
        <w:spacing w:before="0" w:after="0" w:line="360" w:lineRule="auto"/>
        <w:ind w:firstLine="561"/>
        <w:rPr>
          <w:rFonts w:ascii="Times New Roman" w:hAnsi="Times New Roman" w:eastAsia="Times New Roman" w:cs="Times New Roman"/>
        </w:rPr>
      </w:pPr>
      <w:r>
        <w:rPr>
          <w:rFonts w:ascii="仿宋_GB2312" w:hAnsi="仿宋_GB2312" w:eastAsia="仿宋_GB2312" w:cs="仿宋_GB2312"/>
          <w:sz w:val="28"/>
          <w:szCs w:val="28"/>
        </w:rPr>
        <w:t>本项目涉及信息化服务运维人员的，运维人员应当是运维单位的正式人员，或者是与运维单位签订1年以上劳动合同且实际工作满1年的人员，常驻运维人员应当为技术骨干。</w:t>
      </w:r>
    </w:p>
    <w:p w14:paraId="22930B09">
      <w:pPr>
        <w:pStyle w:val="4"/>
        <w:keepNext w:val="0"/>
        <w:spacing w:before="0" w:after="0" w:line="360" w:lineRule="auto"/>
        <w:rPr>
          <w:rFonts w:ascii="仿宋_GB2312" w:hAnsi="仿宋_GB2312" w:eastAsia="仿宋_GB2312" w:cs="仿宋_GB2312"/>
          <w:b/>
          <w:bCs/>
          <w:sz w:val="28"/>
          <w:szCs w:val="28"/>
        </w:rPr>
      </w:pPr>
      <w:bookmarkStart w:id="1758" w:name="_Toc256000044"/>
      <w:r>
        <w:rPr>
          <w:rFonts w:ascii="仿宋_GB2312" w:hAnsi="仿宋_GB2312" w:eastAsia="仿宋_GB2312" w:cs="仿宋_GB2312"/>
          <w:sz w:val="28"/>
          <w:szCs w:val="28"/>
        </w:rPr>
        <w:t>10.1.4其他</w:t>
      </w:r>
      <w:bookmarkEnd w:id="1758"/>
    </w:p>
    <w:p w14:paraId="77931A98">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 xml:space="preserve">1.本项目中如涉及商品包装和快递包装的，其包装需求标准应不低于《关于印发&lt;商品包装政府采购需求标准（试行）&gt;、&lt;快递包装政府采购需求标准（试行）&gt;的通知》（财办库〔2020〕123 号）规定的包装要求，如有其他包装需求，详见采购文件技术部分相关章节。 </w:t>
      </w:r>
    </w:p>
    <w:p w14:paraId="24ABBE4D">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 xml:space="preserve">2.本项目中如涉及网络关键设备或网络安全专用产品的，应严格执行国家互联网信息办公室、工业和信息化部、公安部、财政部和国家认证认可监督管理委员会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 </w:t>
      </w:r>
    </w:p>
    <w:p w14:paraId="357ED44F">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 xml:space="preserve">3.本项目中如涉及国家强制性产品认证证书（CCC 认证证书）、电信设备进网许可证、无线电发射设备核准证等市场准入类资质的，应严格执行国家相关法律法规的要求。 </w:t>
      </w:r>
    </w:p>
    <w:p w14:paraId="4C3A5A38">
      <w:pPr>
        <w:spacing w:before="0" w:after="0" w:line="360" w:lineRule="auto"/>
        <w:ind w:firstLine="561"/>
        <w:rPr>
          <w:rFonts w:ascii="仿宋_GB2312" w:hAnsi="仿宋_GB2312" w:eastAsia="仿宋_GB2312" w:cs="仿宋_GB2312"/>
          <w:sz w:val="28"/>
          <w:szCs w:val="28"/>
        </w:rPr>
      </w:pPr>
      <w:r>
        <w:rPr>
          <w:rFonts w:ascii="仿宋_GB2312" w:hAnsi="仿宋_GB2312" w:eastAsia="仿宋_GB2312" w:cs="仿宋_GB2312"/>
          <w:sz w:val="28"/>
          <w:szCs w:val="28"/>
        </w:rPr>
        <w:t>以上相关要求，由供应商在响应时应答，在履约验收中，采购人将按照采购文件、中标/成交供应商响应文件、采购合同等对中标/成交供应商提供的货物和服务进行验收，必要时依法依规开展相应检测、认证。</w:t>
      </w:r>
    </w:p>
    <w:p w14:paraId="32CD6685">
      <w:pPr>
        <w:pStyle w:val="78"/>
        <w:spacing w:before="0" w:after="0" w:line="360" w:lineRule="auto"/>
        <w:rPr>
          <w:rFonts w:ascii="Times New Roman" w:hAnsi="Times New Roman" w:eastAsia="Times New Roman" w:cs="Times New Roman"/>
        </w:rPr>
      </w:pPr>
      <w:r>
        <w:rPr>
          <w:rFonts w:ascii="Times New Roman" w:hAnsi="Times New Roman" w:eastAsia="Times New Roman" w:cs="Times New Roman"/>
          <w:sz w:val="28"/>
          <w:szCs w:val="28"/>
        </w:rPr>
        <w:t>中标人在中标后需协助采购人做好相应培训工作和售后服务工作。</w:t>
      </w:r>
    </w:p>
    <w:p w14:paraId="649D85DB">
      <w:pPr>
        <w:pStyle w:val="3"/>
        <w:keepNext w:val="0"/>
        <w:spacing w:before="0" w:after="0" w:line="360" w:lineRule="auto"/>
        <w:rPr>
          <w:rFonts w:ascii="仿宋_GB2312" w:hAnsi="仿宋_GB2312" w:eastAsia="仿宋_GB2312" w:cs="仿宋_GB2312"/>
          <w:b/>
          <w:bCs/>
          <w:sz w:val="28"/>
          <w:szCs w:val="28"/>
        </w:rPr>
      </w:pPr>
      <w:bookmarkStart w:id="1759" w:name="_Toc256000045"/>
      <w:r>
        <w:rPr>
          <w:rFonts w:ascii="仿宋_GB2312" w:hAnsi="仿宋_GB2312" w:eastAsia="仿宋_GB2312" w:cs="仿宋_GB2312"/>
          <w:i w:val="0"/>
          <w:iCs w:val="0"/>
        </w:rPr>
        <w:t>10.2知识产权要求</w:t>
      </w:r>
      <w:bookmarkEnd w:id="1759"/>
    </w:p>
    <w:p w14:paraId="2B4F52D4">
      <w:pPr>
        <w:pStyle w:val="78"/>
        <w:spacing w:before="0" w:after="0" w:line="360" w:lineRule="auto"/>
        <w:ind w:firstLine="561"/>
        <w:rPr>
          <w:rFonts w:ascii="Times New Roman" w:hAnsi="Times New Roman" w:eastAsia="Times New Roman" w:cs="Times New Roman"/>
        </w:rPr>
      </w:pPr>
      <w:r>
        <w:rPr>
          <w:rFonts w:ascii="仿宋_GB2312" w:hAnsi="仿宋_GB2312" w:eastAsia="仿宋_GB2312" w:cs="仿宋_GB2312"/>
          <w:sz w:val="28"/>
          <w:szCs w:val="28"/>
        </w:rPr>
        <w:t>1.甲方拥有对开发系统的使用权，并且享有因系统运行使用所产生的全部的数据信息资源和系统运转后的社会及经济效益。</w:t>
      </w:r>
    </w:p>
    <w:p w14:paraId="7F946A5F">
      <w:pPr>
        <w:pStyle w:val="78"/>
        <w:spacing w:before="0" w:after="0" w:line="360" w:lineRule="auto"/>
        <w:ind w:firstLine="561"/>
        <w:rPr>
          <w:rFonts w:ascii="Times New Roman" w:hAnsi="Times New Roman" w:eastAsia="Times New Roman" w:cs="Times New Roman"/>
        </w:rPr>
      </w:pPr>
      <w:r>
        <w:rPr>
          <w:rFonts w:ascii="仿宋_GB2312" w:hAnsi="仿宋_GB2312" w:eastAsia="仿宋_GB2312" w:cs="仿宋_GB2312"/>
          <w:sz w:val="28"/>
          <w:szCs w:val="28"/>
        </w:rPr>
        <w:t>2.乙方应保证所提供的服务免受第三方提出侵犯其知识产权（专利权、商标权、版权等）的起诉。因侵害他人知识产权而产生的法律责任，全部由供应商承担。</w:t>
      </w:r>
    </w:p>
    <w:p w14:paraId="6B4A04D4">
      <w:pPr>
        <w:pStyle w:val="78"/>
        <w:spacing w:before="0" w:after="0" w:line="360" w:lineRule="auto"/>
        <w:ind w:firstLine="561"/>
        <w:rPr>
          <w:rFonts w:ascii="Times New Roman" w:hAnsi="Times New Roman" w:eastAsia="Times New Roman" w:cs="Times New Roman"/>
        </w:rPr>
      </w:pPr>
      <w:r>
        <w:rPr>
          <w:rFonts w:ascii="仿宋_GB2312" w:hAnsi="仿宋_GB2312" w:eastAsia="仿宋_GB2312" w:cs="仿宋_GB2312"/>
          <w:sz w:val="28"/>
          <w:szCs w:val="28"/>
        </w:rPr>
        <w:t>3.甲方委托乙方开发的产品，甲方享有知识产权，未经甲方许可不得转让任何第三人。</w:t>
      </w:r>
    </w:p>
    <w:p w14:paraId="0E9B5571">
      <w:pPr>
        <w:pStyle w:val="3"/>
        <w:keepNext w:val="0"/>
        <w:spacing w:before="0" w:after="0" w:line="360" w:lineRule="auto"/>
        <w:rPr>
          <w:rFonts w:ascii="仿宋_GB2312" w:hAnsi="仿宋_GB2312" w:eastAsia="仿宋_GB2312" w:cs="仿宋_GB2312"/>
          <w:b/>
          <w:bCs/>
          <w:sz w:val="28"/>
          <w:szCs w:val="28"/>
        </w:rPr>
      </w:pPr>
      <w:bookmarkStart w:id="1760" w:name="_Toc256000046"/>
      <w:r>
        <w:rPr>
          <w:rFonts w:ascii="仿宋_GB2312" w:hAnsi="仿宋_GB2312" w:eastAsia="仿宋_GB2312" w:cs="仿宋_GB2312"/>
          <w:i w:val="0"/>
          <w:iCs w:val="0"/>
        </w:rPr>
        <w:t>10.3付款安排建议</w:t>
      </w:r>
      <w:bookmarkEnd w:id="1760"/>
    </w:p>
    <w:tbl>
      <w:tblPr>
        <w:tblStyle w:val="31"/>
        <w:tblW w:w="5000" w:type="pct"/>
        <w:tblInd w:w="30" w:type="dxa"/>
        <w:tblLayout w:type="autofit"/>
        <w:tblCellMar>
          <w:top w:w="15" w:type="dxa"/>
          <w:left w:w="15" w:type="dxa"/>
          <w:bottom w:w="15" w:type="dxa"/>
          <w:right w:w="15" w:type="dxa"/>
        </w:tblCellMar>
      </w:tblPr>
      <w:tblGrid>
        <w:gridCol w:w="1670"/>
        <w:gridCol w:w="5010"/>
        <w:gridCol w:w="1670"/>
      </w:tblGrid>
      <w:tr w14:paraId="42372E81">
        <w:tblPrEx>
          <w:tblCellMar>
            <w:top w:w="15" w:type="dxa"/>
            <w:left w:w="15" w:type="dxa"/>
            <w:bottom w:w="15" w:type="dxa"/>
            <w:right w:w="15" w:type="dxa"/>
          </w:tblCellMar>
        </w:tblPrEx>
        <w:tc>
          <w:tcPr>
            <w:tcW w:w="1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B4BED8E">
            <w:pPr>
              <w:jc w:val="center"/>
              <w:rPr>
                <w:rFonts w:ascii="仿宋_GB2312" w:hAnsi="仿宋_GB2312" w:eastAsia="仿宋_GB2312" w:cs="仿宋_GB2312"/>
                <w:b/>
                <w:bCs/>
                <w:i w:val="0"/>
                <w:iCs w:val="0"/>
                <w:smallCaps w:val="0"/>
                <w:color w:val="000000"/>
                <w:sz w:val="21"/>
                <w:szCs w:val="21"/>
              </w:rPr>
            </w:pPr>
            <w:bookmarkStart w:id="1761" w:name="_Toc256000047"/>
            <w:r>
              <w:rPr>
                <w:rFonts w:ascii="仿宋_GB2312" w:hAnsi="仿宋_GB2312" w:eastAsia="仿宋_GB2312" w:cs="仿宋_GB2312"/>
                <w:b/>
                <w:bCs/>
                <w:i w:val="0"/>
                <w:iCs w:val="0"/>
                <w:smallCaps w:val="0"/>
                <w:color w:val="000000"/>
                <w:sz w:val="21"/>
                <w:szCs w:val="21"/>
              </w:rPr>
              <w:t>付款名称</w:t>
            </w:r>
          </w:p>
        </w:tc>
        <w:tc>
          <w:tcPr>
            <w:tcW w:w="3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7338A42">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付款要求</w:t>
            </w:r>
          </w:p>
        </w:tc>
        <w:tc>
          <w:tcPr>
            <w:tcW w:w="1000"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E96BF2A">
            <w:pPr>
              <w:jc w:val="center"/>
              <w:rPr>
                <w:rFonts w:ascii="仿宋_GB2312" w:hAnsi="仿宋_GB2312" w:eastAsia="仿宋_GB2312" w:cs="仿宋_GB2312"/>
                <w:b/>
                <w:bCs/>
                <w:i w:val="0"/>
                <w:iCs w:val="0"/>
                <w:smallCaps w:val="0"/>
                <w:color w:val="000000"/>
                <w:sz w:val="21"/>
                <w:szCs w:val="21"/>
              </w:rPr>
            </w:pPr>
            <w:r>
              <w:rPr>
                <w:rFonts w:ascii="仿宋_GB2312" w:hAnsi="仿宋_GB2312" w:eastAsia="仿宋_GB2312" w:cs="仿宋_GB2312"/>
                <w:b/>
                <w:bCs/>
                <w:i w:val="0"/>
                <w:iCs w:val="0"/>
                <w:smallCaps w:val="0"/>
                <w:color w:val="000000"/>
                <w:sz w:val="21"/>
                <w:szCs w:val="21"/>
              </w:rPr>
              <w:t>付款比例(%)</w:t>
            </w:r>
          </w:p>
        </w:tc>
      </w:tr>
      <w:tr w14:paraId="78758CAE">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606C3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第1次付款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C6A7B7">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采购合同签订后30日内，中标供应商开具正式发票，采购人在收到发票后，原则上10个工作日内支付合同价款25%。</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898BF8">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25.0</w:t>
            </w:r>
          </w:p>
        </w:tc>
      </w:tr>
      <w:tr w14:paraId="38113BD5">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15BA70">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第2次付款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72D0C2">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在服务满9个月之日起30日内，中标供应商开具正式发票，采购人在收到发票后，原则上10个工作日内支付合同总价款50%。</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8C30EA">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50.0</w:t>
            </w:r>
          </w:p>
        </w:tc>
      </w:tr>
      <w:tr w14:paraId="014F480B">
        <w:tblPrEx>
          <w:tblCellMar>
            <w:top w:w="15" w:type="dxa"/>
            <w:left w:w="15" w:type="dxa"/>
            <w:bottom w:w="15" w:type="dxa"/>
            <w:right w:w="15" w:type="dxa"/>
          </w:tblCellMar>
        </w:tblPrEx>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EB3226">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第3次付款</w:t>
            </w:r>
          </w:p>
        </w:tc>
        <w:tc>
          <w:tcPr>
            <w:tcW w:w="22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D590B5">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在完成全部服务项目并通过验收后30日内，中标供应商开具正式发票，采购人在收到发票后，原则上10个工作日内支付合同剩余款项。</w:t>
            </w:r>
          </w:p>
        </w:tc>
        <w:tc>
          <w:tcPr>
            <w:tcW w:w="79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42EF1F">
            <w:pPr>
              <w:jc w:val="left"/>
              <w:rPr>
                <w:rFonts w:ascii="仿宋_GB2312" w:hAnsi="仿宋_GB2312" w:eastAsia="仿宋_GB2312" w:cs="仿宋_GB2312"/>
                <w:b w:val="0"/>
                <w:bCs w:val="0"/>
                <w:i w:val="0"/>
                <w:iCs w:val="0"/>
                <w:smallCaps w:val="0"/>
                <w:color w:val="000000"/>
                <w:sz w:val="21"/>
                <w:szCs w:val="21"/>
              </w:rPr>
            </w:pPr>
            <w:r>
              <w:rPr>
                <w:rFonts w:ascii="仿宋_GB2312" w:hAnsi="仿宋_GB2312" w:eastAsia="仿宋_GB2312" w:cs="仿宋_GB2312"/>
                <w:b w:val="0"/>
                <w:bCs w:val="0"/>
                <w:i w:val="0"/>
                <w:iCs w:val="0"/>
                <w:smallCaps w:val="0"/>
                <w:color w:val="000000"/>
                <w:sz w:val="21"/>
                <w:szCs w:val="21"/>
              </w:rPr>
              <w:t>25.0</w:t>
            </w:r>
          </w:p>
        </w:tc>
      </w:tr>
    </w:tbl>
    <w:p w14:paraId="6DF5630A">
      <w:pPr>
        <w:pStyle w:val="4"/>
        <w:keepNext w:val="0"/>
        <w:spacing w:before="0" w:after="0" w:line="360" w:lineRule="auto"/>
        <w:rPr>
          <w:rFonts w:ascii="仿宋_GB2312" w:hAnsi="仿宋_GB2312" w:eastAsia="仿宋_GB2312" w:cs="仿宋_GB2312"/>
          <w:b/>
          <w:bCs/>
          <w:sz w:val="28"/>
          <w:szCs w:val="28"/>
        </w:rPr>
      </w:pPr>
      <w:r>
        <w:rPr>
          <w:rFonts w:ascii="仿宋_GB2312" w:hAnsi="仿宋_GB2312" w:eastAsia="仿宋_GB2312" w:cs="仿宋_GB2312"/>
          <w:i w:val="0"/>
          <w:iCs w:val="0"/>
        </w:rPr>
        <w:t>10.4★履行核心技术移交要求</w:t>
      </w:r>
      <w:bookmarkEnd w:id="1761"/>
      <w:r>
        <w:rPr>
          <w:rFonts w:hint="eastAsia" w:ascii="仿宋_GB2312" w:hAnsi="仿宋_GB2312" w:eastAsia="仿宋_GB2312" w:cs="仿宋_GB2312"/>
          <w:sz w:val="28"/>
          <w:szCs w:val="28"/>
          <w:lang w:eastAsia="zh-CN"/>
        </w:rPr>
        <w:t>（投标人提供承诺函并加盖公章，格式自拟）</w:t>
      </w:r>
    </w:p>
    <w:p w14:paraId="38B4DA66">
      <w:pPr>
        <w:spacing w:before="0" w:after="0" w:line="360" w:lineRule="auto"/>
        <w:rPr>
          <w:rFonts w:ascii="FangSong_GB2312" w:hAnsi="FangSong_GB2312" w:eastAsia="FangSong_GB2312" w:cs="FangSong_GB2312"/>
          <w:sz w:val="28"/>
          <w:szCs w:val="28"/>
        </w:rPr>
      </w:pPr>
      <w:r>
        <w:rPr>
          <w:rFonts w:ascii="FangSong_GB2312" w:hAnsi="FangSong_GB2312" w:eastAsia="FangSong_GB2312" w:cs="FangSong_GB2312"/>
          <w:sz w:val="28"/>
          <w:szCs w:val="28"/>
        </w:rPr>
        <w:t>中标人在服务期内应同步向采购人交付运维及升级完善过程中形成的核心技术文档与成果，确保采购人对核心技术具备完整掌控能力。包括但不限于：升级完善部分、运维过程文档、运维技术文档、权限与秘钥。</w:t>
      </w:r>
    </w:p>
    <w:p w14:paraId="6D45716A">
      <w:pPr>
        <w:pStyle w:val="4"/>
        <w:keepNext w:val="0"/>
        <w:spacing w:before="0" w:after="0" w:line="360" w:lineRule="auto"/>
        <w:rPr>
          <w:rFonts w:ascii="仿宋_GB2312" w:hAnsi="仿宋_GB2312" w:eastAsia="仿宋_GB2312" w:cs="仿宋_GB2312"/>
          <w:b/>
          <w:bCs/>
          <w:sz w:val="28"/>
          <w:szCs w:val="28"/>
        </w:rPr>
      </w:pPr>
      <w:bookmarkStart w:id="1762" w:name="_Toc256000048"/>
      <w:r>
        <w:rPr>
          <w:rFonts w:ascii="仿宋_GB2312" w:hAnsi="仿宋_GB2312" w:eastAsia="仿宋_GB2312" w:cs="仿宋_GB2312"/>
          <w:i w:val="0"/>
          <w:iCs w:val="0"/>
        </w:rPr>
        <w:t>10.5★加强技术人员管理培训</w:t>
      </w:r>
      <w:bookmarkEnd w:id="1762"/>
      <w:r>
        <w:rPr>
          <w:rFonts w:hint="eastAsia" w:ascii="仿宋_GB2312" w:hAnsi="仿宋_GB2312" w:eastAsia="仿宋_GB2312" w:cs="仿宋_GB2312"/>
          <w:sz w:val="28"/>
          <w:szCs w:val="28"/>
          <w:lang w:eastAsia="zh-CN"/>
        </w:rPr>
        <w:t>（投标人提供承诺函并加盖公章，格式自拟）</w:t>
      </w:r>
    </w:p>
    <w:p w14:paraId="3AE00CC1">
      <w:pPr>
        <w:pStyle w:val="69"/>
        <w:spacing w:before="0" w:after="0" w:line="360" w:lineRule="auto"/>
        <w:ind w:firstLine="440"/>
        <w:rPr>
          <w:rFonts w:ascii="等线" w:hAnsi="等线" w:eastAsia="等线" w:cs="等线"/>
          <w:sz w:val="22"/>
          <w:szCs w:val="22"/>
        </w:rPr>
      </w:pPr>
      <w:r>
        <w:rPr>
          <w:rFonts w:ascii="FangSong_GB2312" w:hAnsi="FangSong_GB2312" w:eastAsia="FangSong_GB2312" w:cs="FangSong_GB2312"/>
          <w:sz w:val="28"/>
          <w:szCs w:val="28"/>
        </w:rPr>
        <w:t>中标人应选派工作责任心强、技术水平高、业务熟练、管理经验丰富的人员，专职参加本项目运维服务工作。项目实施人员应与投标文件中所提供的人员名单相符，未经采购人许可不得随意变更。投标人应保证项目组成员的稳定性，如特殊情况需要调整的，应提前书面通知采购人并获得确认。</w:t>
      </w:r>
    </w:p>
    <w:p w14:paraId="19D927ED">
      <w:pPr>
        <w:pStyle w:val="69"/>
        <w:spacing w:before="0" w:after="0" w:line="360" w:lineRule="auto"/>
        <w:ind w:firstLine="440"/>
        <w:rPr>
          <w:rFonts w:ascii="等线" w:hAnsi="等线" w:eastAsia="等线" w:cs="等线"/>
          <w:sz w:val="22"/>
          <w:szCs w:val="22"/>
        </w:rPr>
      </w:pPr>
      <w:r>
        <w:rPr>
          <w:rFonts w:ascii="FangSong_GB2312" w:hAnsi="FangSong_GB2312" w:eastAsia="FangSong_GB2312" w:cs="FangSong_GB2312"/>
          <w:sz w:val="28"/>
          <w:szCs w:val="28"/>
        </w:rPr>
        <w:t>为确保服务质量，人员正式提供服务之前，中标人应按照采购人要求组织人员进行前期培训，培训费用由中标人自行承担。</w:t>
      </w:r>
    </w:p>
    <w:p w14:paraId="6DA980E1">
      <w:pPr>
        <w:pStyle w:val="69"/>
        <w:spacing w:before="0" w:after="0" w:line="360" w:lineRule="auto"/>
        <w:ind w:firstLine="440"/>
        <w:rPr>
          <w:rFonts w:ascii="等线" w:hAnsi="等线" w:eastAsia="等线" w:cs="等线"/>
          <w:sz w:val="22"/>
          <w:szCs w:val="22"/>
        </w:rPr>
      </w:pPr>
      <w:r>
        <w:rPr>
          <w:rFonts w:ascii="FangSong_GB2312" w:hAnsi="FangSong_GB2312" w:eastAsia="FangSong_GB2312" w:cs="FangSong_GB2312"/>
          <w:sz w:val="28"/>
          <w:szCs w:val="28"/>
        </w:rPr>
        <w:t>中标人应根据服务具体需求，在服务期内提供日常专业培训和服务培训，并对工作中发现的问题及时处理，不断创新服务举措和提升服务水平。</w:t>
      </w:r>
    </w:p>
    <w:p w14:paraId="06581203">
      <w:pPr>
        <w:pStyle w:val="3"/>
        <w:keepNext w:val="0"/>
        <w:spacing w:before="0" w:after="0" w:line="360" w:lineRule="auto"/>
        <w:rPr>
          <w:rFonts w:ascii="仿宋_GB2312" w:hAnsi="仿宋_GB2312" w:eastAsia="仿宋_GB2312" w:cs="仿宋_GB2312"/>
          <w:b/>
          <w:bCs/>
          <w:sz w:val="28"/>
          <w:szCs w:val="28"/>
        </w:rPr>
      </w:pPr>
      <w:bookmarkStart w:id="1763" w:name="_Toc256000049"/>
      <w:r>
        <w:rPr>
          <w:rFonts w:ascii="仿宋_GB2312" w:hAnsi="仿宋_GB2312" w:eastAsia="仿宋_GB2312" w:cs="仿宋_GB2312"/>
          <w:i w:val="0"/>
          <w:iCs w:val="0"/>
        </w:rPr>
        <w:t>10.6税务信息化服务商廉政相关要求</w:t>
      </w:r>
      <w:bookmarkEnd w:id="1763"/>
    </w:p>
    <w:p w14:paraId="209B7712">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为进一步落实全面从严治党要求，构建亲清新型政商关系，加强税务信息化项目建设过程中的党风廉政建设和反腐败工作，确保项目建设规范、廉洁推进，中标人在参与税务部门信息化项目工作过程中，需严格遵守法律法规、规范履行合同，积极协助税务部门开展廉政风险防控工作。中标人应承诺在项目实施过程中，严格遵守国家法律法规合法、诚信经营，杜绝商业贿赂、规范经营活动、公开透明合作、严格内部管理，并签订《税务信息化项目服务商廉洁承诺书》提交甲方负责项目实施的单位。以下为《税务信息化项目服务商廉洁承诺书》模板。</w:t>
      </w:r>
    </w:p>
    <w:p w14:paraId="3E99A1B5">
      <w:pPr>
        <w:spacing w:before="0" w:after="0" w:line="360" w:lineRule="auto"/>
        <w:jc w:val="center"/>
        <w:rPr>
          <w:rFonts w:ascii="Times New Roman" w:hAnsi="Times New Roman" w:eastAsia="Times New Roman" w:cs="Times New Roman"/>
        </w:rPr>
      </w:pPr>
      <w:r>
        <w:rPr>
          <w:rFonts w:ascii="FangSong_GB2312" w:hAnsi="FangSong_GB2312" w:eastAsia="FangSong_GB2312" w:cs="FangSong_GB2312"/>
          <w:b/>
          <w:bCs/>
          <w:sz w:val="28"/>
          <w:szCs w:val="28"/>
        </w:rPr>
        <w:t>税务信息化服务商廉洁承诺书</w:t>
      </w:r>
    </w:p>
    <w:p w14:paraId="2A6571A3">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为深入贯彻落实党中央关于全面从严治党的决策部署，进一步加强税务信息化项目合作中的廉政建设，防范廉政风险发生，确保项目公开、公平、公正推进，我司郑重承诺如下：</w:t>
      </w:r>
    </w:p>
    <w:p w14:paraId="5ACA35D5">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一、合法合规经营。严格遵守国家法律法规及税务部门的相关规定，坚持廉洁从业、诚信经营的原则。在合作过程中不以任何形式进行利益输送，维护良好的政商关系。</w:t>
      </w:r>
    </w:p>
    <w:p w14:paraId="4762DFCD">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二、杜绝商业贿赂。加强内部管理，我司及我司员工均不对甲方工作人员实施以下行为：</w:t>
      </w:r>
    </w:p>
    <w:p w14:paraId="2E4D10D7">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（一）以各种形式和名义提供礼品、礼金、电子红包、支付凭证、商业预付卡、名贵特产、有价证券、股权、其他金融产品等财物。</w:t>
      </w:r>
    </w:p>
    <w:p w14:paraId="46D962CA">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（二）以各种形式和名义提供宴请、旅游、健身、娱乐、私人会所等活动安排；代付加班餐费、打车费等。</w:t>
      </w:r>
    </w:p>
    <w:p w14:paraId="251494F9">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（三）以讲课费、咨询费等名义，提供或变相提供报酬。</w:t>
      </w:r>
    </w:p>
    <w:p w14:paraId="21E4CA33">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（四）借款、借房、借车，报销应由个人负担的费用。</w:t>
      </w:r>
    </w:p>
    <w:p w14:paraId="11CB889B">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（五）以无偿、象征性地收取费用等方式提供家政、司机等服务劳务。</w:t>
      </w:r>
    </w:p>
    <w:p w14:paraId="5605339A">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（六）其他通过任何形式行贿或输送利益的行为。</w:t>
      </w:r>
    </w:p>
    <w:p w14:paraId="00F553B2">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三、规范经营活动。严格按照合同约定履行义务，保证项目质量，按时完成建设任务；在合作过程中不以任何借口拖延工期、虚报成本或谋取私利。</w:t>
      </w:r>
    </w:p>
    <w:p w14:paraId="7FA125B4">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四、公开透明合作。我司承诺在项目实施过程中保持公开透明，主动接受税务部门及纪检监察机构的全程监督，并积极配合任何有关廉洁从业的调查工作。</w:t>
      </w:r>
    </w:p>
    <w:p w14:paraId="02AE3A52">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五、严格内部管理。加强企业内部廉洁教育，确保员工知晓并遵守相关法律法规及廉洁要求；加强项目实施全过程廉洁监督；对于违反廉洁承诺的员工，将严肃处理，并承担相应责任。</w:t>
      </w:r>
    </w:p>
    <w:p w14:paraId="21EFC952">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六、积极参与监督。在税务信息化项目实施过程中，如发现任何违纪违法行为，将如实反馈问题和意见。</w:t>
      </w:r>
    </w:p>
    <w:p w14:paraId="1826E363">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 </w:t>
      </w:r>
    </w:p>
    <w:p w14:paraId="5607DA0A">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 </w:t>
      </w:r>
    </w:p>
    <w:p w14:paraId="35113142">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承诺单位（盖章）：_________________________</w:t>
      </w:r>
    </w:p>
    <w:p w14:paraId="0293B5BB">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法定代表人或授权代表签字：________________</w:t>
      </w:r>
    </w:p>
    <w:p w14:paraId="55482AE9">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日期：XX年XX月XX日</w:t>
      </w:r>
    </w:p>
    <w:p w14:paraId="5583658C">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 </w:t>
      </w:r>
    </w:p>
    <w:p w14:paraId="7E3B2A59">
      <w:pPr>
        <w:spacing w:before="0" w:after="0" w:line="360" w:lineRule="auto"/>
        <w:ind w:firstLine="480"/>
        <w:rPr>
          <w:rFonts w:ascii="Times New Roman" w:hAnsi="Times New Roman" w:eastAsia="Times New Roman" w:cs="Times New Roman"/>
        </w:rPr>
      </w:pPr>
      <w:r>
        <w:rPr>
          <w:rFonts w:ascii="FangSong_GB2312" w:hAnsi="FangSong_GB2312" w:eastAsia="FangSong_GB2312" w:cs="FangSong_GB2312"/>
          <w:sz w:val="28"/>
          <w:szCs w:val="28"/>
        </w:rPr>
        <w:t>备注：本承诺书一式两份，一份由承诺单位留存，另一份交税务部门备案。各单位可结合自身工作实际予以细化补充。</w:t>
      </w:r>
    </w:p>
    <w:p w14:paraId="1BE33A6A">
      <w:pPr>
        <w:spacing w:before="0" w:after="0" w:line="360" w:lineRule="auto"/>
        <w:ind w:firstLine="561"/>
        <w:rPr>
          <w:rFonts w:ascii="仿宋_GB2312" w:hAnsi="仿宋_GB2312" w:eastAsia="仿宋_GB2312" w:cs="仿宋_GB2312"/>
          <w:sz w:val="28"/>
          <w:szCs w:val="28"/>
        </w:rPr>
      </w:pPr>
    </w:p>
    <w:p w14:paraId="4314CD6E">
      <w:pPr>
        <w:rPr>
          <w:rFonts w:hint="eastAsia"/>
          <w:lang w:val="en-US" w:eastAsia="zh-CN"/>
        </w:rPr>
      </w:pPr>
      <w:r>
        <w:rPr>
          <w:rFonts w:hint="eastAsia"/>
          <w:lang w:val="en-US" w:eastAsia="zh-CN"/>
        </w:rPr>
        <w:br w:type="page"/>
      </w:r>
    </w:p>
    <w:p w14:paraId="51A00EA8">
      <w:pPr>
        <w:numPr>
          <w:ilvl w:val="0"/>
          <w:numId w:val="0"/>
        </w:numPr>
        <w:rPr>
          <w:rFonts w:hint="eastAsia"/>
          <w:lang w:val="en-US" w:eastAsia="zh-CN"/>
        </w:rPr>
      </w:pPr>
    </w:p>
    <w:sectPr>
      <w:footerReference r:id="rId4" w:type="default"/>
      <w:pgSz w:w="11906" w:h="16838"/>
      <w:pgMar w:top="1440" w:right="1800" w:bottom="1440" w:left="1800" w:header="964" w:footer="96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方正大标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小标宋简体">
    <w:altName w:val="方正舒体"/>
    <w:panose1 w:val="02000000000000000000"/>
    <w:charset w:val="86"/>
    <w:family w:val="auto"/>
    <w:pitch w:val="default"/>
    <w:sig w:usb0="00000000" w:usb1="00000000" w:usb2="00000012" w:usb3="00000000" w:csb0="00040001" w:csb1="00000000"/>
  </w:font>
  <w:font w:name="FangSong_GB2312">
    <w:altName w:val="仿宋_GB2312"/>
    <w:panose1 w:val="0201060903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410A6">
    <w:pPr>
      <w:pStyle w:val="2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B0CE23">
                          <w:pPr>
                            <w:pStyle w:val="20"/>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TrQRs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IoSxy0O/PLzx+XXn8vv72S5&#10;zPr0AWpMuw+YmIZ3fsCtmf2Azkx7UNHmLxIiGEd1z1d15ZCIyI/Wq/W6wpDA2HxBfPbwPERI76W3&#10;JBsNjTi+oio/fYQ0ps4puZrzd9qYMkLj/nEgZvaw3PvYY7bSsB8mQnvfnpFPj5NvqMNFp8R8cChs&#10;XpLZiLOxn41jiPrQlS3K9SDcHhM2UXrLFUbYqTCOrLCb1ivvxON7yXr4pb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ROtBGyQEAAJoDAAAOAAAAAAAAAAEAIAAAAB4BAABkcnMvZTJvRG9j&#10;LnhtbFBLBQYAAAAABgAGAFkBAABZBQAAAAA=&#10;">
              <v:fill on="f" focussize="0,0"/>
              <v:stroke on="f"/>
              <v:imagedata o:title=""/>
              <o:lock v:ext="edit" aspectratio="f"/>
              <v:textbox inset="0mm,0mm,0mm,0mm" style="mso-fit-shape-to-text:t;">
                <w:txbxContent>
                  <w:p w14:paraId="14B0CE23">
                    <w:pPr>
                      <w:pStyle w:val="2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462B4">
    <w:pPr>
      <w:pStyle w:val="20"/>
      <w:jc w:val="center"/>
      <w:rPr>
        <w:sz w:val="21"/>
      </w:rPr>
    </w:pPr>
    <w:r>
      <w:rPr>
        <w:sz w:val="21"/>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44D710">
                          <w:pPr>
                            <w:pStyle w:val="20"/>
                          </w:pPr>
                          <w:r>
                            <w:t xml:space="preserve">— </w:t>
                          </w:r>
                          <w:r>
                            <w:fldChar w:fldCharType="begin"/>
                          </w:r>
                          <w:r>
                            <w:instrText xml:space="preserve"> PAGE  \* MERGEFORMAT </w:instrText>
                          </w:r>
                          <w:r>
                            <w:fldChar w:fldCharType="separate"/>
                          </w:r>
                          <w:r>
                            <w:t>78</w:t>
                          </w:r>
                          <w:r>
                            <w:fldChar w:fldCharType="end"/>
                          </w:r>
                          <w:r>
                            <w:t xml:space="preserve"> —</w:t>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OzockBAACa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KuvTB6gx7SFgYhru/IBbM/sBnZn2oKLNXyREMI7qnq/qyiERkR+tV+t1hSGBsfmC+OzxeYiQ3kpv&#10;STYaGnF8RVV+eg9pTJ1TcjXn77UxZYTG/eVAzOxhufexx2ylYT9MhPa+PSOfHiffUIeLTol551DY&#10;vCSzEWdjPxvHEPWhK1uU60G4PSZsovSWK4ywU2EcWWE3rVfeiT/vJevx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707OhyQEAAJoDAAAOAAAAAAAAAAEAIAAAAB4BAABkcnMvZTJvRG9j&#10;LnhtbFBLBQYAAAAABgAGAFkBAABZBQAAAAA=&#10;">
              <v:fill on="f" focussize="0,0"/>
              <v:stroke on="f"/>
              <v:imagedata o:title=""/>
              <o:lock v:ext="edit" aspectratio="f"/>
              <v:textbox inset="0mm,0mm,0mm,0mm" style="mso-fit-shape-to-text:t;">
                <w:txbxContent>
                  <w:p w14:paraId="0344D710">
                    <w:pPr>
                      <w:pStyle w:val="20"/>
                    </w:pPr>
                    <w:r>
                      <w:t xml:space="preserve">— </w:t>
                    </w:r>
                    <w:r>
                      <w:fldChar w:fldCharType="begin"/>
                    </w:r>
                    <w:r>
                      <w:instrText xml:space="preserve"> PAGE  \* MERGEFORMAT </w:instrText>
                    </w:r>
                    <w:r>
                      <w:fldChar w:fldCharType="separate"/>
                    </w:r>
                    <w:r>
                      <w:t>78</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472180"/>
    <w:multiLevelType w:val="singleLevel"/>
    <w:tmpl w:val="9B472180"/>
    <w:lvl w:ilvl="0" w:tentative="0">
      <w:start w:val="6"/>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FjNDNjNzk3MGRiYjc1M2JhMjczYTU5ZjEwZmFmMzAifQ=="/>
  </w:docVars>
  <w:rsids>
    <w:rsidRoot w:val="003B3FDC"/>
    <w:rsid w:val="00014C60"/>
    <w:rsid w:val="00022F4E"/>
    <w:rsid w:val="00024CA0"/>
    <w:rsid w:val="000328A4"/>
    <w:rsid w:val="000563AA"/>
    <w:rsid w:val="00084488"/>
    <w:rsid w:val="00091C2D"/>
    <w:rsid w:val="000A002F"/>
    <w:rsid w:val="000B44D3"/>
    <w:rsid w:val="000B6BC2"/>
    <w:rsid w:val="000C4AA3"/>
    <w:rsid w:val="000E524D"/>
    <w:rsid w:val="001232A2"/>
    <w:rsid w:val="0013189C"/>
    <w:rsid w:val="001325A9"/>
    <w:rsid w:val="00153DAD"/>
    <w:rsid w:val="0019483C"/>
    <w:rsid w:val="001A7CB7"/>
    <w:rsid w:val="001B3ADC"/>
    <w:rsid w:val="001C4207"/>
    <w:rsid w:val="001C678F"/>
    <w:rsid w:val="00263F47"/>
    <w:rsid w:val="002B6923"/>
    <w:rsid w:val="00345CF1"/>
    <w:rsid w:val="00374092"/>
    <w:rsid w:val="00376B40"/>
    <w:rsid w:val="003876AA"/>
    <w:rsid w:val="003A6401"/>
    <w:rsid w:val="003A714D"/>
    <w:rsid w:val="003B3FDC"/>
    <w:rsid w:val="003C0E6D"/>
    <w:rsid w:val="003F6D73"/>
    <w:rsid w:val="00400D1B"/>
    <w:rsid w:val="00416146"/>
    <w:rsid w:val="00442D1C"/>
    <w:rsid w:val="0044679A"/>
    <w:rsid w:val="00446DE1"/>
    <w:rsid w:val="00463A39"/>
    <w:rsid w:val="004830D9"/>
    <w:rsid w:val="004B1BD2"/>
    <w:rsid w:val="00527479"/>
    <w:rsid w:val="00550D69"/>
    <w:rsid w:val="00556E2B"/>
    <w:rsid w:val="005606F1"/>
    <w:rsid w:val="0056339B"/>
    <w:rsid w:val="00593802"/>
    <w:rsid w:val="005A20DA"/>
    <w:rsid w:val="005C74B5"/>
    <w:rsid w:val="00627048"/>
    <w:rsid w:val="006373E4"/>
    <w:rsid w:val="0064638C"/>
    <w:rsid w:val="006562A4"/>
    <w:rsid w:val="006601D5"/>
    <w:rsid w:val="00662F49"/>
    <w:rsid w:val="00670A27"/>
    <w:rsid w:val="006B5903"/>
    <w:rsid w:val="006D2094"/>
    <w:rsid w:val="006E3654"/>
    <w:rsid w:val="006E6E57"/>
    <w:rsid w:val="00724552"/>
    <w:rsid w:val="007679E7"/>
    <w:rsid w:val="007813E3"/>
    <w:rsid w:val="007833D8"/>
    <w:rsid w:val="007A729F"/>
    <w:rsid w:val="007B091D"/>
    <w:rsid w:val="00813646"/>
    <w:rsid w:val="0083589D"/>
    <w:rsid w:val="00851AFC"/>
    <w:rsid w:val="00861D22"/>
    <w:rsid w:val="0089304D"/>
    <w:rsid w:val="00895E97"/>
    <w:rsid w:val="008A569D"/>
    <w:rsid w:val="008D294D"/>
    <w:rsid w:val="008F6EB2"/>
    <w:rsid w:val="00905D08"/>
    <w:rsid w:val="00944D65"/>
    <w:rsid w:val="00970EE2"/>
    <w:rsid w:val="0097167C"/>
    <w:rsid w:val="00972609"/>
    <w:rsid w:val="00972A57"/>
    <w:rsid w:val="009949BE"/>
    <w:rsid w:val="00996303"/>
    <w:rsid w:val="009D78BA"/>
    <w:rsid w:val="00A05A1C"/>
    <w:rsid w:val="00A732F3"/>
    <w:rsid w:val="00AA6ACD"/>
    <w:rsid w:val="00AB78D8"/>
    <w:rsid w:val="00AE59D2"/>
    <w:rsid w:val="00B10786"/>
    <w:rsid w:val="00B22967"/>
    <w:rsid w:val="00B52C88"/>
    <w:rsid w:val="00B65027"/>
    <w:rsid w:val="00B84DAF"/>
    <w:rsid w:val="00BA3FBE"/>
    <w:rsid w:val="00BA5527"/>
    <w:rsid w:val="00BB668D"/>
    <w:rsid w:val="00BB6D7D"/>
    <w:rsid w:val="00BC782E"/>
    <w:rsid w:val="00BD55BF"/>
    <w:rsid w:val="00BD5870"/>
    <w:rsid w:val="00BF3090"/>
    <w:rsid w:val="00C212F7"/>
    <w:rsid w:val="00C233FE"/>
    <w:rsid w:val="00C24C84"/>
    <w:rsid w:val="00C24EF9"/>
    <w:rsid w:val="00C554ED"/>
    <w:rsid w:val="00C836A7"/>
    <w:rsid w:val="00C87634"/>
    <w:rsid w:val="00C97907"/>
    <w:rsid w:val="00CB0B32"/>
    <w:rsid w:val="00CB6847"/>
    <w:rsid w:val="00CD2FA3"/>
    <w:rsid w:val="00CD7C77"/>
    <w:rsid w:val="00CF0D20"/>
    <w:rsid w:val="00CF4C3F"/>
    <w:rsid w:val="00D24FF0"/>
    <w:rsid w:val="00D32503"/>
    <w:rsid w:val="00D33470"/>
    <w:rsid w:val="00D34696"/>
    <w:rsid w:val="00D97F49"/>
    <w:rsid w:val="00DA35BC"/>
    <w:rsid w:val="00DB19AC"/>
    <w:rsid w:val="00E234F2"/>
    <w:rsid w:val="00E64DF2"/>
    <w:rsid w:val="00EC4324"/>
    <w:rsid w:val="00ED7F11"/>
    <w:rsid w:val="00EF29BA"/>
    <w:rsid w:val="00EF53E6"/>
    <w:rsid w:val="00F01AFD"/>
    <w:rsid w:val="00F23A22"/>
    <w:rsid w:val="00F24465"/>
    <w:rsid w:val="00F24605"/>
    <w:rsid w:val="00F344AD"/>
    <w:rsid w:val="00F46AD4"/>
    <w:rsid w:val="00F5130C"/>
    <w:rsid w:val="00F55F5B"/>
    <w:rsid w:val="00F64860"/>
    <w:rsid w:val="00F72ABC"/>
    <w:rsid w:val="00F86AAB"/>
    <w:rsid w:val="00F941D3"/>
    <w:rsid w:val="00FD3132"/>
    <w:rsid w:val="00FE3507"/>
    <w:rsid w:val="00FF65AF"/>
    <w:rsid w:val="011C65E1"/>
    <w:rsid w:val="016E3638"/>
    <w:rsid w:val="016F0A91"/>
    <w:rsid w:val="016F4570"/>
    <w:rsid w:val="017240DE"/>
    <w:rsid w:val="019B3631"/>
    <w:rsid w:val="01CF1530"/>
    <w:rsid w:val="01DE1773"/>
    <w:rsid w:val="01DF5C17"/>
    <w:rsid w:val="01EC5C3E"/>
    <w:rsid w:val="01FD609D"/>
    <w:rsid w:val="02186A33"/>
    <w:rsid w:val="021B1BB1"/>
    <w:rsid w:val="023A109F"/>
    <w:rsid w:val="02473AA8"/>
    <w:rsid w:val="028B798D"/>
    <w:rsid w:val="028E4C8B"/>
    <w:rsid w:val="02906F11"/>
    <w:rsid w:val="029D0783"/>
    <w:rsid w:val="02AF7331"/>
    <w:rsid w:val="02EA57AD"/>
    <w:rsid w:val="031713E0"/>
    <w:rsid w:val="033B4BE7"/>
    <w:rsid w:val="03500416"/>
    <w:rsid w:val="036D2BE5"/>
    <w:rsid w:val="039F41D3"/>
    <w:rsid w:val="03CC1A1D"/>
    <w:rsid w:val="03EE3EEF"/>
    <w:rsid w:val="03FE5CDB"/>
    <w:rsid w:val="04142B7F"/>
    <w:rsid w:val="041D6BCE"/>
    <w:rsid w:val="04212517"/>
    <w:rsid w:val="045F303F"/>
    <w:rsid w:val="0462668B"/>
    <w:rsid w:val="047900FF"/>
    <w:rsid w:val="04874344"/>
    <w:rsid w:val="04AC12A9"/>
    <w:rsid w:val="04E92909"/>
    <w:rsid w:val="04F27C78"/>
    <w:rsid w:val="04F33787"/>
    <w:rsid w:val="04F80D9E"/>
    <w:rsid w:val="05444B47"/>
    <w:rsid w:val="05575083"/>
    <w:rsid w:val="05647814"/>
    <w:rsid w:val="05924D4E"/>
    <w:rsid w:val="05DF3FDF"/>
    <w:rsid w:val="05E704BD"/>
    <w:rsid w:val="06233BF8"/>
    <w:rsid w:val="0627337D"/>
    <w:rsid w:val="062D0413"/>
    <w:rsid w:val="0635675A"/>
    <w:rsid w:val="064C75F3"/>
    <w:rsid w:val="06782461"/>
    <w:rsid w:val="069468A4"/>
    <w:rsid w:val="06E049DD"/>
    <w:rsid w:val="06E31D05"/>
    <w:rsid w:val="06ED4932"/>
    <w:rsid w:val="06FA704F"/>
    <w:rsid w:val="070D72A1"/>
    <w:rsid w:val="07266C48"/>
    <w:rsid w:val="07375BAD"/>
    <w:rsid w:val="07AB5B8C"/>
    <w:rsid w:val="07F86735"/>
    <w:rsid w:val="080C703A"/>
    <w:rsid w:val="08261F6C"/>
    <w:rsid w:val="08331281"/>
    <w:rsid w:val="083D2C8B"/>
    <w:rsid w:val="084A6CA8"/>
    <w:rsid w:val="0894259F"/>
    <w:rsid w:val="08A23809"/>
    <w:rsid w:val="08DC6217"/>
    <w:rsid w:val="08FF211E"/>
    <w:rsid w:val="091927F9"/>
    <w:rsid w:val="09431DE8"/>
    <w:rsid w:val="09526CCE"/>
    <w:rsid w:val="099278CE"/>
    <w:rsid w:val="09C41FE0"/>
    <w:rsid w:val="09D640F0"/>
    <w:rsid w:val="09DF25C2"/>
    <w:rsid w:val="09E83E37"/>
    <w:rsid w:val="09EC7123"/>
    <w:rsid w:val="0A3B59B5"/>
    <w:rsid w:val="0A527505"/>
    <w:rsid w:val="0A647735"/>
    <w:rsid w:val="0A912E49"/>
    <w:rsid w:val="0A9458F8"/>
    <w:rsid w:val="0AB260E0"/>
    <w:rsid w:val="0AE5406E"/>
    <w:rsid w:val="0B163D2C"/>
    <w:rsid w:val="0BA92DF2"/>
    <w:rsid w:val="0BB7550F"/>
    <w:rsid w:val="0C1A784C"/>
    <w:rsid w:val="0C1C2539"/>
    <w:rsid w:val="0C1D16F4"/>
    <w:rsid w:val="0C303756"/>
    <w:rsid w:val="0C5131AA"/>
    <w:rsid w:val="0C7F638D"/>
    <w:rsid w:val="0C8278CB"/>
    <w:rsid w:val="0C85560D"/>
    <w:rsid w:val="0CAA1ACF"/>
    <w:rsid w:val="0CB7642F"/>
    <w:rsid w:val="0CCA74C4"/>
    <w:rsid w:val="0CEF0CD8"/>
    <w:rsid w:val="0CF84031"/>
    <w:rsid w:val="0D0545F2"/>
    <w:rsid w:val="0D197B03"/>
    <w:rsid w:val="0D474670"/>
    <w:rsid w:val="0D4B1AE1"/>
    <w:rsid w:val="0D530400"/>
    <w:rsid w:val="0D5A25F6"/>
    <w:rsid w:val="0D715E1C"/>
    <w:rsid w:val="0D8920C3"/>
    <w:rsid w:val="0D9C4183"/>
    <w:rsid w:val="0DC67C8B"/>
    <w:rsid w:val="0DD95345"/>
    <w:rsid w:val="0DDF724E"/>
    <w:rsid w:val="0E146C48"/>
    <w:rsid w:val="0E3F056D"/>
    <w:rsid w:val="0E444AE1"/>
    <w:rsid w:val="0E7A4ECE"/>
    <w:rsid w:val="0E7B6CC7"/>
    <w:rsid w:val="0E9B4C74"/>
    <w:rsid w:val="0EA004DC"/>
    <w:rsid w:val="0EAC0F21"/>
    <w:rsid w:val="0EB440B5"/>
    <w:rsid w:val="0EBE2240"/>
    <w:rsid w:val="0EFB66AE"/>
    <w:rsid w:val="0EFE3455"/>
    <w:rsid w:val="0F2033CB"/>
    <w:rsid w:val="0F277D6F"/>
    <w:rsid w:val="0F2B249C"/>
    <w:rsid w:val="0F2F360E"/>
    <w:rsid w:val="0F384BB8"/>
    <w:rsid w:val="0F385A5B"/>
    <w:rsid w:val="0F5F2145"/>
    <w:rsid w:val="0F9718DF"/>
    <w:rsid w:val="0FBC7598"/>
    <w:rsid w:val="0FCF9B58"/>
    <w:rsid w:val="0FE4264A"/>
    <w:rsid w:val="0FEC0060"/>
    <w:rsid w:val="0FF92207"/>
    <w:rsid w:val="100D394F"/>
    <w:rsid w:val="100E0B15"/>
    <w:rsid w:val="100E1475"/>
    <w:rsid w:val="1031500F"/>
    <w:rsid w:val="1035036E"/>
    <w:rsid w:val="10562895"/>
    <w:rsid w:val="10596B94"/>
    <w:rsid w:val="106F56DB"/>
    <w:rsid w:val="10703EDE"/>
    <w:rsid w:val="109542C4"/>
    <w:rsid w:val="10B465EC"/>
    <w:rsid w:val="10E24DDC"/>
    <w:rsid w:val="110D16DC"/>
    <w:rsid w:val="116E2B13"/>
    <w:rsid w:val="11963E18"/>
    <w:rsid w:val="11D72467"/>
    <w:rsid w:val="12411D81"/>
    <w:rsid w:val="12477A8D"/>
    <w:rsid w:val="12B66520"/>
    <w:rsid w:val="12DB5F87"/>
    <w:rsid w:val="12DD1CFF"/>
    <w:rsid w:val="12E555D9"/>
    <w:rsid w:val="12EB3CF0"/>
    <w:rsid w:val="12FE14C8"/>
    <w:rsid w:val="132A7513"/>
    <w:rsid w:val="13421B62"/>
    <w:rsid w:val="13660293"/>
    <w:rsid w:val="137455F6"/>
    <w:rsid w:val="13BA5B9C"/>
    <w:rsid w:val="13CF11F9"/>
    <w:rsid w:val="13EC2BEC"/>
    <w:rsid w:val="14067033"/>
    <w:rsid w:val="14134B52"/>
    <w:rsid w:val="144E2788"/>
    <w:rsid w:val="145F3718"/>
    <w:rsid w:val="148646A8"/>
    <w:rsid w:val="148C36EB"/>
    <w:rsid w:val="14D7277E"/>
    <w:rsid w:val="14ED7BAB"/>
    <w:rsid w:val="14F334DA"/>
    <w:rsid w:val="150A53BC"/>
    <w:rsid w:val="15111718"/>
    <w:rsid w:val="15135779"/>
    <w:rsid w:val="1594198A"/>
    <w:rsid w:val="15A85596"/>
    <w:rsid w:val="15C85D34"/>
    <w:rsid w:val="15C94FAC"/>
    <w:rsid w:val="15DD5B72"/>
    <w:rsid w:val="16007AB2"/>
    <w:rsid w:val="164C2CF7"/>
    <w:rsid w:val="16616413"/>
    <w:rsid w:val="16766EE8"/>
    <w:rsid w:val="167801ED"/>
    <w:rsid w:val="1680307B"/>
    <w:rsid w:val="16825630"/>
    <w:rsid w:val="16924BAE"/>
    <w:rsid w:val="16A8689C"/>
    <w:rsid w:val="16B84434"/>
    <w:rsid w:val="16CC4ED4"/>
    <w:rsid w:val="16D23D7F"/>
    <w:rsid w:val="16F75359"/>
    <w:rsid w:val="16FE73A5"/>
    <w:rsid w:val="17141CFC"/>
    <w:rsid w:val="17525FE4"/>
    <w:rsid w:val="1773353F"/>
    <w:rsid w:val="177A3491"/>
    <w:rsid w:val="17832749"/>
    <w:rsid w:val="178E0E48"/>
    <w:rsid w:val="17A96653"/>
    <w:rsid w:val="17B35C58"/>
    <w:rsid w:val="17FF2872"/>
    <w:rsid w:val="1808436B"/>
    <w:rsid w:val="180B7AE6"/>
    <w:rsid w:val="182F1FAD"/>
    <w:rsid w:val="18470F47"/>
    <w:rsid w:val="185A5BA0"/>
    <w:rsid w:val="1881137E"/>
    <w:rsid w:val="189317E1"/>
    <w:rsid w:val="18A24368"/>
    <w:rsid w:val="18AF21DF"/>
    <w:rsid w:val="19024013"/>
    <w:rsid w:val="191129A6"/>
    <w:rsid w:val="19597C05"/>
    <w:rsid w:val="197B254B"/>
    <w:rsid w:val="199A3C4D"/>
    <w:rsid w:val="199E0B12"/>
    <w:rsid w:val="19C319D2"/>
    <w:rsid w:val="19D1065C"/>
    <w:rsid w:val="19DEFB42"/>
    <w:rsid w:val="19EF0110"/>
    <w:rsid w:val="1A3648C5"/>
    <w:rsid w:val="1A4149BF"/>
    <w:rsid w:val="1A7016AA"/>
    <w:rsid w:val="1A7B1DFD"/>
    <w:rsid w:val="1A821AA0"/>
    <w:rsid w:val="1A886E9E"/>
    <w:rsid w:val="1A8962C8"/>
    <w:rsid w:val="1AAD645B"/>
    <w:rsid w:val="1ABC669E"/>
    <w:rsid w:val="1AD14166"/>
    <w:rsid w:val="1AD57D6C"/>
    <w:rsid w:val="1B0F40F3"/>
    <w:rsid w:val="1B1C538E"/>
    <w:rsid w:val="1B1C7F55"/>
    <w:rsid w:val="1B2F50C2"/>
    <w:rsid w:val="1B5A1A13"/>
    <w:rsid w:val="1B5C6744"/>
    <w:rsid w:val="1BCE322D"/>
    <w:rsid w:val="1BE86D80"/>
    <w:rsid w:val="1BF42369"/>
    <w:rsid w:val="1BF467D8"/>
    <w:rsid w:val="1BFD7343"/>
    <w:rsid w:val="1C0302FC"/>
    <w:rsid w:val="1C1307AD"/>
    <w:rsid w:val="1C4E58AE"/>
    <w:rsid w:val="1C737230"/>
    <w:rsid w:val="1C8A06E4"/>
    <w:rsid w:val="1CEC2380"/>
    <w:rsid w:val="1D1744C9"/>
    <w:rsid w:val="1D184A7F"/>
    <w:rsid w:val="1D337F9B"/>
    <w:rsid w:val="1D4D182F"/>
    <w:rsid w:val="1D563605"/>
    <w:rsid w:val="1D662AC8"/>
    <w:rsid w:val="1D880AB9"/>
    <w:rsid w:val="1D921938"/>
    <w:rsid w:val="1D943902"/>
    <w:rsid w:val="1DB95831"/>
    <w:rsid w:val="1DC206E0"/>
    <w:rsid w:val="1DD80D03"/>
    <w:rsid w:val="1E340B2F"/>
    <w:rsid w:val="1E462178"/>
    <w:rsid w:val="1E835989"/>
    <w:rsid w:val="1E845724"/>
    <w:rsid w:val="1EBB2B68"/>
    <w:rsid w:val="1EBC6A7A"/>
    <w:rsid w:val="1EE324BA"/>
    <w:rsid w:val="1EFD7285"/>
    <w:rsid w:val="1F110784"/>
    <w:rsid w:val="1F1C0DD2"/>
    <w:rsid w:val="1F5FD153"/>
    <w:rsid w:val="1F792DAF"/>
    <w:rsid w:val="1F871E12"/>
    <w:rsid w:val="1F960E91"/>
    <w:rsid w:val="1F962B2D"/>
    <w:rsid w:val="1FAD4807"/>
    <w:rsid w:val="1FBB7307"/>
    <w:rsid w:val="1FD72C6D"/>
    <w:rsid w:val="1FDC333E"/>
    <w:rsid w:val="1FDE2C12"/>
    <w:rsid w:val="1FF8ABEC"/>
    <w:rsid w:val="1FFE32B4"/>
    <w:rsid w:val="20093DB2"/>
    <w:rsid w:val="20364B19"/>
    <w:rsid w:val="203D7F66"/>
    <w:rsid w:val="206167E4"/>
    <w:rsid w:val="207C43F8"/>
    <w:rsid w:val="20821001"/>
    <w:rsid w:val="20987597"/>
    <w:rsid w:val="20A75856"/>
    <w:rsid w:val="20E45483"/>
    <w:rsid w:val="21172E10"/>
    <w:rsid w:val="214822D8"/>
    <w:rsid w:val="215F0F70"/>
    <w:rsid w:val="21875B03"/>
    <w:rsid w:val="21A3548A"/>
    <w:rsid w:val="22415BBC"/>
    <w:rsid w:val="22706D3D"/>
    <w:rsid w:val="22772D02"/>
    <w:rsid w:val="228D2462"/>
    <w:rsid w:val="229677D4"/>
    <w:rsid w:val="22C24A14"/>
    <w:rsid w:val="22CF6AB2"/>
    <w:rsid w:val="22D34DBB"/>
    <w:rsid w:val="22FB1D2D"/>
    <w:rsid w:val="23076924"/>
    <w:rsid w:val="233D1CF0"/>
    <w:rsid w:val="2373257F"/>
    <w:rsid w:val="23BE587B"/>
    <w:rsid w:val="23FA22E6"/>
    <w:rsid w:val="24217E53"/>
    <w:rsid w:val="24396554"/>
    <w:rsid w:val="245B6F27"/>
    <w:rsid w:val="246062EC"/>
    <w:rsid w:val="24763CEB"/>
    <w:rsid w:val="24B16B47"/>
    <w:rsid w:val="24C50961"/>
    <w:rsid w:val="24F609FE"/>
    <w:rsid w:val="24FA3A2C"/>
    <w:rsid w:val="25007ACF"/>
    <w:rsid w:val="25273356"/>
    <w:rsid w:val="25661A5B"/>
    <w:rsid w:val="25784C4A"/>
    <w:rsid w:val="257F0682"/>
    <w:rsid w:val="25A93CC2"/>
    <w:rsid w:val="25AC5757"/>
    <w:rsid w:val="25C60ECD"/>
    <w:rsid w:val="25D749E9"/>
    <w:rsid w:val="25DC02A2"/>
    <w:rsid w:val="25F413E1"/>
    <w:rsid w:val="260128E8"/>
    <w:rsid w:val="260462D6"/>
    <w:rsid w:val="262C2FF8"/>
    <w:rsid w:val="266C1575"/>
    <w:rsid w:val="269243D5"/>
    <w:rsid w:val="26A6619D"/>
    <w:rsid w:val="26A83F7A"/>
    <w:rsid w:val="26C751DC"/>
    <w:rsid w:val="26EA4166"/>
    <w:rsid w:val="26F45411"/>
    <w:rsid w:val="271D04C4"/>
    <w:rsid w:val="27356372"/>
    <w:rsid w:val="273A3EB7"/>
    <w:rsid w:val="27781B9E"/>
    <w:rsid w:val="27871DE1"/>
    <w:rsid w:val="27933B14"/>
    <w:rsid w:val="279D33B3"/>
    <w:rsid w:val="279F108F"/>
    <w:rsid w:val="27B0051B"/>
    <w:rsid w:val="284444C1"/>
    <w:rsid w:val="2849353B"/>
    <w:rsid w:val="28553C8E"/>
    <w:rsid w:val="289E73E3"/>
    <w:rsid w:val="28DA5593"/>
    <w:rsid w:val="29022526"/>
    <w:rsid w:val="290C6A42"/>
    <w:rsid w:val="2933089E"/>
    <w:rsid w:val="29346F27"/>
    <w:rsid w:val="293B10D5"/>
    <w:rsid w:val="295108F9"/>
    <w:rsid w:val="295E4DC4"/>
    <w:rsid w:val="29706EB1"/>
    <w:rsid w:val="29945C1B"/>
    <w:rsid w:val="29A3087E"/>
    <w:rsid w:val="29A81CF0"/>
    <w:rsid w:val="29EB0365"/>
    <w:rsid w:val="29F92AA6"/>
    <w:rsid w:val="2A0721CE"/>
    <w:rsid w:val="2A0C35E1"/>
    <w:rsid w:val="2A306760"/>
    <w:rsid w:val="2A477280"/>
    <w:rsid w:val="2A83359C"/>
    <w:rsid w:val="2A8940C2"/>
    <w:rsid w:val="2AB949A8"/>
    <w:rsid w:val="2B0E0B33"/>
    <w:rsid w:val="2B4D4D7A"/>
    <w:rsid w:val="2B59251B"/>
    <w:rsid w:val="2B832E2B"/>
    <w:rsid w:val="2BA80A96"/>
    <w:rsid w:val="2BC01AD4"/>
    <w:rsid w:val="2BC73603"/>
    <w:rsid w:val="2BC9585A"/>
    <w:rsid w:val="2BCD41DB"/>
    <w:rsid w:val="2C4F5EBF"/>
    <w:rsid w:val="2C634B60"/>
    <w:rsid w:val="2C68486B"/>
    <w:rsid w:val="2C762092"/>
    <w:rsid w:val="2C7D2920"/>
    <w:rsid w:val="2CB84FA2"/>
    <w:rsid w:val="2CD94E8D"/>
    <w:rsid w:val="2CE55740"/>
    <w:rsid w:val="2CFE66A2"/>
    <w:rsid w:val="2D50517A"/>
    <w:rsid w:val="2DA971FC"/>
    <w:rsid w:val="2DB92AB1"/>
    <w:rsid w:val="2DD16483"/>
    <w:rsid w:val="2E144AF5"/>
    <w:rsid w:val="2E152297"/>
    <w:rsid w:val="2E175F35"/>
    <w:rsid w:val="2E2D5450"/>
    <w:rsid w:val="2E2E1209"/>
    <w:rsid w:val="2E310CF9"/>
    <w:rsid w:val="2E4647A4"/>
    <w:rsid w:val="2E4D503F"/>
    <w:rsid w:val="2E4E3407"/>
    <w:rsid w:val="2E522D8F"/>
    <w:rsid w:val="2E76495E"/>
    <w:rsid w:val="2E7E7420"/>
    <w:rsid w:val="2ECA1D6B"/>
    <w:rsid w:val="2ED555D3"/>
    <w:rsid w:val="2EE817B0"/>
    <w:rsid w:val="2F0D593E"/>
    <w:rsid w:val="2F0D5BDD"/>
    <w:rsid w:val="2F1A178D"/>
    <w:rsid w:val="2F2067C2"/>
    <w:rsid w:val="2F566C69"/>
    <w:rsid w:val="2F5A4CD1"/>
    <w:rsid w:val="2FA85CB1"/>
    <w:rsid w:val="2FB332AB"/>
    <w:rsid w:val="2FB92D54"/>
    <w:rsid w:val="2FCA4F61"/>
    <w:rsid w:val="2FD61B58"/>
    <w:rsid w:val="2FE22EFD"/>
    <w:rsid w:val="300A420B"/>
    <w:rsid w:val="301F4798"/>
    <w:rsid w:val="30305689"/>
    <w:rsid w:val="307A0735"/>
    <w:rsid w:val="307F31A4"/>
    <w:rsid w:val="3094554C"/>
    <w:rsid w:val="30C1133C"/>
    <w:rsid w:val="30E91417"/>
    <w:rsid w:val="30EE4C54"/>
    <w:rsid w:val="311A1985"/>
    <w:rsid w:val="317B6345"/>
    <w:rsid w:val="318D5BCA"/>
    <w:rsid w:val="319729DA"/>
    <w:rsid w:val="31986B1D"/>
    <w:rsid w:val="31A83080"/>
    <w:rsid w:val="31C12A2E"/>
    <w:rsid w:val="31CC4FC0"/>
    <w:rsid w:val="31DE4CF4"/>
    <w:rsid w:val="31FC7390"/>
    <w:rsid w:val="32096846"/>
    <w:rsid w:val="322C7EDF"/>
    <w:rsid w:val="32496611"/>
    <w:rsid w:val="324F5BF1"/>
    <w:rsid w:val="32515D01"/>
    <w:rsid w:val="32546D64"/>
    <w:rsid w:val="325A374F"/>
    <w:rsid w:val="32904240"/>
    <w:rsid w:val="32C56DD8"/>
    <w:rsid w:val="336456CD"/>
    <w:rsid w:val="337376BE"/>
    <w:rsid w:val="337F42B4"/>
    <w:rsid w:val="33955886"/>
    <w:rsid w:val="33A61841"/>
    <w:rsid w:val="33AD7074"/>
    <w:rsid w:val="33BE4DDD"/>
    <w:rsid w:val="33C30645"/>
    <w:rsid w:val="33DB598F"/>
    <w:rsid w:val="33FE328F"/>
    <w:rsid w:val="340016D5"/>
    <w:rsid w:val="341B40B2"/>
    <w:rsid w:val="34227CB0"/>
    <w:rsid w:val="343E1A7A"/>
    <w:rsid w:val="34733E19"/>
    <w:rsid w:val="347436ED"/>
    <w:rsid w:val="34750972"/>
    <w:rsid w:val="34802932"/>
    <w:rsid w:val="34A264AC"/>
    <w:rsid w:val="34B65FD6"/>
    <w:rsid w:val="34E02B31"/>
    <w:rsid w:val="354E440C"/>
    <w:rsid w:val="35574380"/>
    <w:rsid w:val="35957DBF"/>
    <w:rsid w:val="359C2EFC"/>
    <w:rsid w:val="35BD3753"/>
    <w:rsid w:val="35BF7763"/>
    <w:rsid w:val="35CD25D4"/>
    <w:rsid w:val="35E62E50"/>
    <w:rsid w:val="360D03E6"/>
    <w:rsid w:val="360F18B9"/>
    <w:rsid w:val="36131560"/>
    <w:rsid w:val="363C648D"/>
    <w:rsid w:val="363F6FEE"/>
    <w:rsid w:val="36537B57"/>
    <w:rsid w:val="36581519"/>
    <w:rsid w:val="36653A4C"/>
    <w:rsid w:val="367B337F"/>
    <w:rsid w:val="367E2601"/>
    <w:rsid w:val="36977628"/>
    <w:rsid w:val="36985DB9"/>
    <w:rsid w:val="369B1405"/>
    <w:rsid w:val="369E2844"/>
    <w:rsid w:val="36A24542"/>
    <w:rsid w:val="36A93B22"/>
    <w:rsid w:val="36D34080"/>
    <w:rsid w:val="36D87F64"/>
    <w:rsid w:val="370C5F2A"/>
    <w:rsid w:val="37264D8C"/>
    <w:rsid w:val="3744384B"/>
    <w:rsid w:val="375872F6"/>
    <w:rsid w:val="376161AB"/>
    <w:rsid w:val="37623CD1"/>
    <w:rsid w:val="37695060"/>
    <w:rsid w:val="37711743"/>
    <w:rsid w:val="378D0BC6"/>
    <w:rsid w:val="379A17EF"/>
    <w:rsid w:val="379E11AD"/>
    <w:rsid w:val="37A82F65"/>
    <w:rsid w:val="37B502A5"/>
    <w:rsid w:val="37BE3175"/>
    <w:rsid w:val="37D73B4D"/>
    <w:rsid w:val="38066D52"/>
    <w:rsid w:val="38167642"/>
    <w:rsid w:val="38213B8C"/>
    <w:rsid w:val="383D3EB4"/>
    <w:rsid w:val="38507FCD"/>
    <w:rsid w:val="38595180"/>
    <w:rsid w:val="3899064E"/>
    <w:rsid w:val="38A36879"/>
    <w:rsid w:val="38CA2ACC"/>
    <w:rsid w:val="38DB3D3B"/>
    <w:rsid w:val="391A0D07"/>
    <w:rsid w:val="39255A8C"/>
    <w:rsid w:val="39447584"/>
    <w:rsid w:val="39BE08E0"/>
    <w:rsid w:val="39C3314D"/>
    <w:rsid w:val="39DF3F9F"/>
    <w:rsid w:val="39E6458E"/>
    <w:rsid w:val="39EC66BA"/>
    <w:rsid w:val="3A050F83"/>
    <w:rsid w:val="3A185597"/>
    <w:rsid w:val="3A1C285D"/>
    <w:rsid w:val="3A250F74"/>
    <w:rsid w:val="3A3951BD"/>
    <w:rsid w:val="3A396F6B"/>
    <w:rsid w:val="3A4B6FDC"/>
    <w:rsid w:val="3A4E12FE"/>
    <w:rsid w:val="3A50591E"/>
    <w:rsid w:val="3AA60D3D"/>
    <w:rsid w:val="3AA67BB9"/>
    <w:rsid w:val="3AF37A62"/>
    <w:rsid w:val="3B073DC4"/>
    <w:rsid w:val="3B20302B"/>
    <w:rsid w:val="3B3360B0"/>
    <w:rsid w:val="3B4543B5"/>
    <w:rsid w:val="3B5C31EF"/>
    <w:rsid w:val="3B6C3376"/>
    <w:rsid w:val="3B8159AD"/>
    <w:rsid w:val="3BB900D2"/>
    <w:rsid w:val="3BC35686"/>
    <w:rsid w:val="3C9506A5"/>
    <w:rsid w:val="3CB66F99"/>
    <w:rsid w:val="3CC86905"/>
    <w:rsid w:val="3CFD7D72"/>
    <w:rsid w:val="3D3954D4"/>
    <w:rsid w:val="3D877FA8"/>
    <w:rsid w:val="3D883B84"/>
    <w:rsid w:val="3D8E2C9E"/>
    <w:rsid w:val="3D9C6B61"/>
    <w:rsid w:val="3DAE6F2F"/>
    <w:rsid w:val="3DBD4389"/>
    <w:rsid w:val="3E01686C"/>
    <w:rsid w:val="3E0E01E5"/>
    <w:rsid w:val="3E6E1736"/>
    <w:rsid w:val="3EA644B6"/>
    <w:rsid w:val="3F1B7587"/>
    <w:rsid w:val="3F304187"/>
    <w:rsid w:val="3F542637"/>
    <w:rsid w:val="3F6D494F"/>
    <w:rsid w:val="3F780536"/>
    <w:rsid w:val="3F823162"/>
    <w:rsid w:val="3F982986"/>
    <w:rsid w:val="3FAE3F57"/>
    <w:rsid w:val="3FB3410E"/>
    <w:rsid w:val="3FB56340"/>
    <w:rsid w:val="3FC964D8"/>
    <w:rsid w:val="3FD21C77"/>
    <w:rsid w:val="3FD85478"/>
    <w:rsid w:val="3FE84288"/>
    <w:rsid w:val="3FFE195F"/>
    <w:rsid w:val="400C5122"/>
    <w:rsid w:val="40306F5A"/>
    <w:rsid w:val="404C539D"/>
    <w:rsid w:val="406C65F8"/>
    <w:rsid w:val="407654D0"/>
    <w:rsid w:val="408D72F4"/>
    <w:rsid w:val="409E221E"/>
    <w:rsid w:val="40E13EB9"/>
    <w:rsid w:val="412064C7"/>
    <w:rsid w:val="41263FEF"/>
    <w:rsid w:val="41474664"/>
    <w:rsid w:val="41790595"/>
    <w:rsid w:val="418F600A"/>
    <w:rsid w:val="41990C37"/>
    <w:rsid w:val="41A0118C"/>
    <w:rsid w:val="41B3797C"/>
    <w:rsid w:val="41C061C4"/>
    <w:rsid w:val="41D81760"/>
    <w:rsid w:val="423050F8"/>
    <w:rsid w:val="423A5F76"/>
    <w:rsid w:val="423C0AF9"/>
    <w:rsid w:val="423D15C3"/>
    <w:rsid w:val="424D7D4B"/>
    <w:rsid w:val="42611755"/>
    <w:rsid w:val="4267663F"/>
    <w:rsid w:val="426A3C06"/>
    <w:rsid w:val="426B31C3"/>
    <w:rsid w:val="42785D1A"/>
    <w:rsid w:val="42892A5A"/>
    <w:rsid w:val="42957651"/>
    <w:rsid w:val="42A70C68"/>
    <w:rsid w:val="42AE354F"/>
    <w:rsid w:val="42B06B64"/>
    <w:rsid w:val="42B31885"/>
    <w:rsid w:val="42FF2D1C"/>
    <w:rsid w:val="43071F86"/>
    <w:rsid w:val="431D412A"/>
    <w:rsid w:val="431E45FD"/>
    <w:rsid w:val="4320516C"/>
    <w:rsid w:val="433409E5"/>
    <w:rsid w:val="43543068"/>
    <w:rsid w:val="43544A01"/>
    <w:rsid w:val="438D20D6"/>
    <w:rsid w:val="43A2611A"/>
    <w:rsid w:val="43B14016"/>
    <w:rsid w:val="43C55D14"/>
    <w:rsid w:val="43DE2931"/>
    <w:rsid w:val="43E155C8"/>
    <w:rsid w:val="43E91A02"/>
    <w:rsid w:val="43EA577A"/>
    <w:rsid w:val="43F63FFD"/>
    <w:rsid w:val="43FF5CFA"/>
    <w:rsid w:val="441433BD"/>
    <w:rsid w:val="441A1ED8"/>
    <w:rsid w:val="44354C47"/>
    <w:rsid w:val="44550E45"/>
    <w:rsid w:val="44BC2C73"/>
    <w:rsid w:val="44C27FAA"/>
    <w:rsid w:val="45433394"/>
    <w:rsid w:val="455728DE"/>
    <w:rsid w:val="456357E4"/>
    <w:rsid w:val="456B52BC"/>
    <w:rsid w:val="45726666"/>
    <w:rsid w:val="45852894"/>
    <w:rsid w:val="45A85B92"/>
    <w:rsid w:val="45FE1FE4"/>
    <w:rsid w:val="46354223"/>
    <w:rsid w:val="463D6035"/>
    <w:rsid w:val="463F61A4"/>
    <w:rsid w:val="46413695"/>
    <w:rsid w:val="467B15AE"/>
    <w:rsid w:val="46C027C2"/>
    <w:rsid w:val="46D149CF"/>
    <w:rsid w:val="46F012F9"/>
    <w:rsid w:val="46FC1A4C"/>
    <w:rsid w:val="473B2A24"/>
    <w:rsid w:val="476E221E"/>
    <w:rsid w:val="477261B2"/>
    <w:rsid w:val="47AA14A8"/>
    <w:rsid w:val="47F97336"/>
    <w:rsid w:val="47FE35A2"/>
    <w:rsid w:val="48052B82"/>
    <w:rsid w:val="481334F1"/>
    <w:rsid w:val="4828061F"/>
    <w:rsid w:val="482E20D9"/>
    <w:rsid w:val="484B27F9"/>
    <w:rsid w:val="48643EE8"/>
    <w:rsid w:val="4872512B"/>
    <w:rsid w:val="487600EF"/>
    <w:rsid w:val="48877A3B"/>
    <w:rsid w:val="48B40C1C"/>
    <w:rsid w:val="48C52312"/>
    <w:rsid w:val="490B3DC5"/>
    <w:rsid w:val="49127742"/>
    <w:rsid w:val="491D5404"/>
    <w:rsid w:val="49396F88"/>
    <w:rsid w:val="49415E3C"/>
    <w:rsid w:val="495835FB"/>
    <w:rsid w:val="4981092F"/>
    <w:rsid w:val="49D4280C"/>
    <w:rsid w:val="49E1687C"/>
    <w:rsid w:val="4A121587"/>
    <w:rsid w:val="4A136C16"/>
    <w:rsid w:val="4A2861F7"/>
    <w:rsid w:val="4A3E05CE"/>
    <w:rsid w:val="4A437992"/>
    <w:rsid w:val="4A8F69E9"/>
    <w:rsid w:val="4AAC4DB0"/>
    <w:rsid w:val="4AB17EC3"/>
    <w:rsid w:val="4AE253FD"/>
    <w:rsid w:val="4AF62A8C"/>
    <w:rsid w:val="4B016387"/>
    <w:rsid w:val="4B087C2A"/>
    <w:rsid w:val="4B1F3F5B"/>
    <w:rsid w:val="4B233101"/>
    <w:rsid w:val="4B2E7E8D"/>
    <w:rsid w:val="4B3774F7"/>
    <w:rsid w:val="4B600C9F"/>
    <w:rsid w:val="4B665187"/>
    <w:rsid w:val="4B9304A5"/>
    <w:rsid w:val="4BA74AAE"/>
    <w:rsid w:val="4BB01506"/>
    <w:rsid w:val="4BBE3774"/>
    <w:rsid w:val="4BC72369"/>
    <w:rsid w:val="4BDE3E16"/>
    <w:rsid w:val="4C545E87"/>
    <w:rsid w:val="4C6725C3"/>
    <w:rsid w:val="4C682E5B"/>
    <w:rsid w:val="4C6B7A71"/>
    <w:rsid w:val="4C716573"/>
    <w:rsid w:val="4C756864"/>
    <w:rsid w:val="4C832FA8"/>
    <w:rsid w:val="4CC0176E"/>
    <w:rsid w:val="4CC76658"/>
    <w:rsid w:val="4CD53F68"/>
    <w:rsid w:val="4CD63605"/>
    <w:rsid w:val="4CD755B1"/>
    <w:rsid w:val="4CE0002E"/>
    <w:rsid w:val="4CFA5677"/>
    <w:rsid w:val="4D07739D"/>
    <w:rsid w:val="4D4507B1"/>
    <w:rsid w:val="4D494005"/>
    <w:rsid w:val="4D5F0F87"/>
    <w:rsid w:val="4D6340AF"/>
    <w:rsid w:val="4D8207D1"/>
    <w:rsid w:val="4D962E99"/>
    <w:rsid w:val="4D9E1B5D"/>
    <w:rsid w:val="4D9E63FF"/>
    <w:rsid w:val="4DA3384C"/>
    <w:rsid w:val="4DA62712"/>
    <w:rsid w:val="4DAC7D33"/>
    <w:rsid w:val="4DDE7F7C"/>
    <w:rsid w:val="4E0B6A5B"/>
    <w:rsid w:val="4E162760"/>
    <w:rsid w:val="4E393586"/>
    <w:rsid w:val="4E48135A"/>
    <w:rsid w:val="4E4F2DA9"/>
    <w:rsid w:val="4E850579"/>
    <w:rsid w:val="4E9133C2"/>
    <w:rsid w:val="4EAB1DFB"/>
    <w:rsid w:val="4EC12B91"/>
    <w:rsid w:val="4ED84B4D"/>
    <w:rsid w:val="4EF23735"/>
    <w:rsid w:val="4EF86F9D"/>
    <w:rsid w:val="4EFA772E"/>
    <w:rsid w:val="4F10078B"/>
    <w:rsid w:val="4F350BEE"/>
    <w:rsid w:val="4F4B06D7"/>
    <w:rsid w:val="4F585C8E"/>
    <w:rsid w:val="4FBF5D0D"/>
    <w:rsid w:val="4FE52EC5"/>
    <w:rsid w:val="4FF0236A"/>
    <w:rsid w:val="4FFFAF78"/>
    <w:rsid w:val="5020288E"/>
    <w:rsid w:val="5052066F"/>
    <w:rsid w:val="506441AB"/>
    <w:rsid w:val="506C4D2A"/>
    <w:rsid w:val="50874A7C"/>
    <w:rsid w:val="508F64E1"/>
    <w:rsid w:val="50B27D0C"/>
    <w:rsid w:val="50DE39E2"/>
    <w:rsid w:val="50F9524E"/>
    <w:rsid w:val="51330760"/>
    <w:rsid w:val="51A47BE3"/>
    <w:rsid w:val="51A82BC8"/>
    <w:rsid w:val="51B12C5F"/>
    <w:rsid w:val="51BA2E99"/>
    <w:rsid w:val="51D51818"/>
    <w:rsid w:val="51DA0BDC"/>
    <w:rsid w:val="51E23F34"/>
    <w:rsid w:val="51E658FF"/>
    <w:rsid w:val="51FE5112"/>
    <w:rsid w:val="520E326B"/>
    <w:rsid w:val="525B7B04"/>
    <w:rsid w:val="52880638"/>
    <w:rsid w:val="5288301B"/>
    <w:rsid w:val="528F5286"/>
    <w:rsid w:val="52B14033"/>
    <w:rsid w:val="52D47D21"/>
    <w:rsid w:val="52D8143A"/>
    <w:rsid w:val="52DD4E28"/>
    <w:rsid w:val="52EC6E19"/>
    <w:rsid w:val="52F8213F"/>
    <w:rsid w:val="532D4BB6"/>
    <w:rsid w:val="53403A04"/>
    <w:rsid w:val="5359082F"/>
    <w:rsid w:val="53653760"/>
    <w:rsid w:val="53982AFD"/>
    <w:rsid w:val="53D03CB0"/>
    <w:rsid w:val="53E06252"/>
    <w:rsid w:val="53ED0228"/>
    <w:rsid w:val="53F71F19"/>
    <w:rsid w:val="543C792C"/>
    <w:rsid w:val="544E58B1"/>
    <w:rsid w:val="54660E4D"/>
    <w:rsid w:val="5488491F"/>
    <w:rsid w:val="54947768"/>
    <w:rsid w:val="549A4653"/>
    <w:rsid w:val="54A166CA"/>
    <w:rsid w:val="54BB05F3"/>
    <w:rsid w:val="54D538DD"/>
    <w:rsid w:val="54D92188"/>
    <w:rsid w:val="54DD7C41"/>
    <w:rsid w:val="54F71AA5"/>
    <w:rsid w:val="551D485B"/>
    <w:rsid w:val="552F0D34"/>
    <w:rsid w:val="555B42EF"/>
    <w:rsid w:val="55915A56"/>
    <w:rsid w:val="55945546"/>
    <w:rsid w:val="55DB780D"/>
    <w:rsid w:val="55DF3DC6"/>
    <w:rsid w:val="55F935FB"/>
    <w:rsid w:val="56102E1E"/>
    <w:rsid w:val="56176298"/>
    <w:rsid w:val="565151E5"/>
    <w:rsid w:val="568C571C"/>
    <w:rsid w:val="56A86C06"/>
    <w:rsid w:val="56E66275"/>
    <w:rsid w:val="56E77BB7"/>
    <w:rsid w:val="57325016"/>
    <w:rsid w:val="57B401C5"/>
    <w:rsid w:val="57E654C3"/>
    <w:rsid w:val="58036FF1"/>
    <w:rsid w:val="580C5702"/>
    <w:rsid w:val="58203B3C"/>
    <w:rsid w:val="582726A1"/>
    <w:rsid w:val="583E6411"/>
    <w:rsid w:val="58495567"/>
    <w:rsid w:val="586A351D"/>
    <w:rsid w:val="5875340D"/>
    <w:rsid w:val="589D0DFC"/>
    <w:rsid w:val="589F65B2"/>
    <w:rsid w:val="591D4EEC"/>
    <w:rsid w:val="59555DE9"/>
    <w:rsid w:val="59611BE3"/>
    <w:rsid w:val="5980475F"/>
    <w:rsid w:val="598171C0"/>
    <w:rsid w:val="59CF37CB"/>
    <w:rsid w:val="5A0C741D"/>
    <w:rsid w:val="5A13386E"/>
    <w:rsid w:val="5A1D3D5C"/>
    <w:rsid w:val="5A49264B"/>
    <w:rsid w:val="5AA505A9"/>
    <w:rsid w:val="5AA95FCB"/>
    <w:rsid w:val="5AAF7D22"/>
    <w:rsid w:val="5AC03A07"/>
    <w:rsid w:val="5AC62645"/>
    <w:rsid w:val="5AED64A5"/>
    <w:rsid w:val="5B1038C0"/>
    <w:rsid w:val="5B363630"/>
    <w:rsid w:val="5B4C4145"/>
    <w:rsid w:val="5B4D0671"/>
    <w:rsid w:val="5B4D241F"/>
    <w:rsid w:val="5B5F6776"/>
    <w:rsid w:val="5B995664"/>
    <w:rsid w:val="5C125416"/>
    <w:rsid w:val="5C255D7A"/>
    <w:rsid w:val="5C3D63E1"/>
    <w:rsid w:val="5C5E5907"/>
    <w:rsid w:val="5C71038F"/>
    <w:rsid w:val="5C724FDF"/>
    <w:rsid w:val="5C8D3328"/>
    <w:rsid w:val="5C8E7193"/>
    <w:rsid w:val="5CBB785C"/>
    <w:rsid w:val="5CE448C3"/>
    <w:rsid w:val="5CF27722"/>
    <w:rsid w:val="5D0134C1"/>
    <w:rsid w:val="5D243653"/>
    <w:rsid w:val="5D4F3084"/>
    <w:rsid w:val="5D552D03"/>
    <w:rsid w:val="5D946993"/>
    <w:rsid w:val="5D997B9D"/>
    <w:rsid w:val="5DAC2653"/>
    <w:rsid w:val="5DC80482"/>
    <w:rsid w:val="5E061885"/>
    <w:rsid w:val="5E1611EE"/>
    <w:rsid w:val="5E6C3504"/>
    <w:rsid w:val="5EA731C3"/>
    <w:rsid w:val="5ECF5200"/>
    <w:rsid w:val="5EF64B7B"/>
    <w:rsid w:val="5F122193"/>
    <w:rsid w:val="5F2F6E79"/>
    <w:rsid w:val="5F3F6522"/>
    <w:rsid w:val="5F821A80"/>
    <w:rsid w:val="5F894E73"/>
    <w:rsid w:val="5FB81F93"/>
    <w:rsid w:val="5FBF203E"/>
    <w:rsid w:val="5FC4172C"/>
    <w:rsid w:val="5FFE6B93"/>
    <w:rsid w:val="60170A6B"/>
    <w:rsid w:val="60185F1B"/>
    <w:rsid w:val="602EDDD0"/>
    <w:rsid w:val="6031230F"/>
    <w:rsid w:val="60433DF0"/>
    <w:rsid w:val="6052092E"/>
    <w:rsid w:val="60522285"/>
    <w:rsid w:val="606B5935"/>
    <w:rsid w:val="60791F08"/>
    <w:rsid w:val="607C15BD"/>
    <w:rsid w:val="608F1D38"/>
    <w:rsid w:val="60A30D33"/>
    <w:rsid w:val="60A35B69"/>
    <w:rsid w:val="61420418"/>
    <w:rsid w:val="614B71AC"/>
    <w:rsid w:val="6154171D"/>
    <w:rsid w:val="617B7331"/>
    <w:rsid w:val="61907509"/>
    <w:rsid w:val="61D2220B"/>
    <w:rsid w:val="62145A44"/>
    <w:rsid w:val="622A06E2"/>
    <w:rsid w:val="626D5E0D"/>
    <w:rsid w:val="62737EB7"/>
    <w:rsid w:val="62A53372"/>
    <w:rsid w:val="62B44FFF"/>
    <w:rsid w:val="630879EF"/>
    <w:rsid w:val="63283A59"/>
    <w:rsid w:val="63295FEB"/>
    <w:rsid w:val="63301201"/>
    <w:rsid w:val="63312626"/>
    <w:rsid w:val="633A772C"/>
    <w:rsid w:val="63452E4E"/>
    <w:rsid w:val="6355104B"/>
    <w:rsid w:val="6358588A"/>
    <w:rsid w:val="635A699C"/>
    <w:rsid w:val="63764974"/>
    <w:rsid w:val="637D586B"/>
    <w:rsid w:val="637E4BB6"/>
    <w:rsid w:val="63827325"/>
    <w:rsid w:val="639256A3"/>
    <w:rsid w:val="63943403"/>
    <w:rsid w:val="6397045F"/>
    <w:rsid w:val="63B869CC"/>
    <w:rsid w:val="63B87382"/>
    <w:rsid w:val="63C11229"/>
    <w:rsid w:val="63C11BFC"/>
    <w:rsid w:val="63D538F9"/>
    <w:rsid w:val="63F40F8B"/>
    <w:rsid w:val="63FF4D9E"/>
    <w:rsid w:val="64035508"/>
    <w:rsid w:val="64070298"/>
    <w:rsid w:val="6456161A"/>
    <w:rsid w:val="64811712"/>
    <w:rsid w:val="649B41FB"/>
    <w:rsid w:val="64AF7CA6"/>
    <w:rsid w:val="64C94467"/>
    <w:rsid w:val="65022802"/>
    <w:rsid w:val="651009BE"/>
    <w:rsid w:val="6511318B"/>
    <w:rsid w:val="65206DF6"/>
    <w:rsid w:val="65295CAB"/>
    <w:rsid w:val="656E190F"/>
    <w:rsid w:val="659B022A"/>
    <w:rsid w:val="65C71020"/>
    <w:rsid w:val="65D8322D"/>
    <w:rsid w:val="65E676F8"/>
    <w:rsid w:val="660202AA"/>
    <w:rsid w:val="6635242D"/>
    <w:rsid w:val="664F7AE6"/>
    <w:rsid w:val="665C3E5E"/>
    <w:rsid w:val="666961E6"/>
    <w:rsid w:val="667E2F99"/>
    <w:rsid w:val="6692162D"/>
    <w:rsid w:val="66A6332B"/>
    <w:rsid w:val="66E02E1B"/>
    <w:rsid w:val="670D5158"/>
    <w:rsid w:val="67372FBC"/>
    <w:rsid w:val="673F0D8A"/>
    <w:rsid w:val="6742759E"/>
    <w:rsid w:val="67AC4971"/>
    <w:rsid w:val="67B010BC"/>
    <w:rsid w:val="67C16637"/>
    <w:rsid w:val="67D72265"/>
    <w:rsid w:val="67E84320"/>
    <w:rsid w:val="67F21875"/>
    <w:rsid w:val="680E4244"/>
    <w:rsid w:val="6833299C"/>
    <w:rsid w:val="68355788"/>
    <w:rsid w:val="68621ACF"/>
    <w:rsid w:val="68734580"/>
    <w:rsid w:val="6875280B"/>
    <w:rsid w:val="687F3E33"/>
    <w:rsid w:val="68AD7961"/>
    <w:rsid w:val="68C83A2C"/>
    <w:rsid w:val="69034A64"/>
    <w:rsid w:val="69036813"/>
    <w:rsid w:val="691602F4"/>
    <w:rsid w:val="692F5A17"/>
    <w:rsid w:val="694471C0"/>
    <w:rsid w:val="69680F41"/>
    <w:rsid w:val="696F1F2A"/>
    <w:rsid w:val="697A2F79"/>
    <w:rsid w:val="6980711B"/>
    <w:rsid w:val="69AA3132"/>
    <w:rsid w:val="69C84D7D"/>
    <w:rsid w:val="69CE0126"/>
    <w:rsid w:val="69D01878"/>
    <w:rsid w:val="69F36887"/>
    <w:rsid w:val="69FE4D74"/>
    <w:rsid w:val="6A2325A0"/>
    <w:rsid w:val="6A296154"/>
    <w:rsid w:val="6A5079C7"/>
    <w:rsid w:val="6A5B188A"/>
    <w:rsid w:val="6AB15A99"/>
    <w:rsid w:val="6AC87CC0"/>
    <w:rsid w:val="6ACD0E86"/>
    <w:rsid w:val="6AFD6E95"/>
    <w:rsid w:val="6AFE46C0"/>
    <w:rsid w:val="6B105217"/>
    <w:rsid w:val="6B1F4A75"/>
    <w:rsid w:val="6B38246A"/>
    <w:rsid w:val="6B3B7DB9"/>
    <w:rsid w:val="6B3D425E"/>
    <w:rsid w:val="6B855C05"/>
    <w:rsid w:val="6BAD2501"/>
    <w:rsid w:val="6BD21044"/>
    <w:rsid w:val="6BD66460"/>
    <w:rsid w:val="6BE742BF"/>
    <w:rsid w:val="6C0767E8"/>
    <w:rsid w:val="6C0B3675"/>
    <w:rsid w:val="6C47110C"/>
    <w:rsid w:val="6C7D4B2E"/>
    <w:rsid w:val="6C822514"/>
    <w:rsid w:val="6C8639E2"/>
    <w:rsid w:val="6C953C26"/>
    <w:rsid w:val="6CCA7D73"/>
    <w:rsid w:val="6CDC1854"/>
    <w:rsid w:val="6D3C6797"/>
    <w:rsid w:val="6D5533B5"/>
    <w:rsid w:val="6D5E0586"/>
    <w:rsid w:val="6D5E71F6"/>
    <w:rsid w:val="6D7D4B4A"/>
    <w:rsid w:val="6D91263F"/>
    <w:rsid w:val="6DB14371"/>
    <w:rsid w:val="6DF731E9"/>
    <w:rsid w:val="6DF758F9"/>
    <w:rsid w:val="6E183C9A"/>
    <w:rsid w:val="6E34430C"/>
    <w:rsid w:val="6E40376F"/>
    <w:rsid w:val="6E405E13"/>
    <w:rsid w:val="6E6C605B"/>
    <w:rsid w:val="6E743803"/>
    <w:rsid w:val="6E8C40E8"/>
    <w:rsid w:val="6EA22068"/>
    <w:rsid w:val="6EBE403D"/>
    <w:rsid w:val="6F011A46"/>
    <w:rsid w:val="6F0B4673"/>
    <w:rsid w:val="6F257D2A"/>
    <w:rsid w:val="6F4162E7"/>
    <w:rsid w:val="6F894364"/>
    <w:rsid w:val="6F9817A2"/>
    <w:rsid w:val="6FB46AE8"/>
    <w:rsid w:val="6FB76BAD"/>
    <w:rsid w:val="6FEBE647"/>
    <w:rsid w:val="70023E5F"/>
    <w:rsid w:val="700F024A"/>
    <w:rsid w:val="701632CF"/>
    <w:rsid w:val="70904F00"/>
    <w:rsid w:val="70DC0CFB"/>
    <w:rsid w:val="70FC6E6A"/>
    <w:rsid w:val="70FD48EC"/>
    <w:rsid w:val="710E2608"/>
    <w:rsid w:val="713A2FED"/>
    <w:rsid w:val="714238D8"/>
    <w:rsid w:val="71527F70"/>
    <w:rsid w:val="71A22E1F"/>
    <w:rsid w:val="71C21A16"/>
    <w:rsid w:val="72295B7C"/>
    <w:rsid w:val="724310E1"/>
    <w:rsid w:val="72563E57"/>
    <w:rsid w:val="726F4F19"/>
    <w:rsid w:val="729D6C2C"/>
    <w:rsid w:val="72C47013"/>
    <w:rsid w:val="72CE3441"/>
    <w:rsid w:val="72DD2263"/>
    <w:rsid w:val="72E4155E"/>
    <w:rsid w:val="72EF2AB3"/>
    <w:rsid w:val="72FF629D"/>
    <w:rsid w:val="73092C77"/>
    <w:rsid w:val="732F35F8"/>
    <w:rsid w:val="73333B62"/>
    <w:rsid w:val="73751FD1"/>
    <w:rsid w:val="73823391"/>
    <w:rsid w:val="73CA0659"/>
    <w:rsid w:val="73EFC3D7"/>
    <w:rsid w:val="742D0BE7"/>
    <w:rsid w:val="7435737E"/>
    <w:rsid w:val="74365CEE"/>
    <w:rsid w:val="743C74AE"/>
    <w:rsid w:val="74561667"/>
    <w:rsid w:val="746275E4"/>
    <w:rsid w:val="747D56CB"/>
    <w:rsid w:val="74B535C7"/>
    <w:rsid w:val="74DA0D6F"/>
    <w:rsid w:val="74EC6556"/>
    <w:rsid w:val="75327052"/>
    <w:rsid w:val="75874327"/>
    <w:rsid w:val="75EE7C07"/>
    <w:rsid w:val="760269B5"/>
    <w:rsid w:val="760A7538"/>
    <w:rsid w:val="766052A4"/>
    <w:rsid w:val="766A5753"/>
    <w:rsid w:val="76B015FC"/>
    <w:rsid w:val="76D01D7F"/>
    <w:rsid w:val="76D3506E"/>
    <w:rsid w:val="76E43941"/>
    <w:rsid w:val="76ED2809"/>
    <w:rsid w:val="76FF4D43"/>
    <w:rsid w:val="771E6A9F"/>
    <w:rsid w:val="771F2A69"/>
    <w:rsid w:val="773D67BB"/>
    <w:rsid w:val="776D38FC"/>
    <w:rsid w:val="776F784A"/>
    <w:rsid w:val="77721D03"/>
    <w:rsid w:val="777E4E9B"/>
    <w:rsid w:val="77A0729C"/>
    <w:rsid w:val="77A45F69"/>
    <w:rsid w:val="77AA3C5F"/>
    <w:rsid w:val="77B533CE"/>
    <w:rsid w:val="77C36889"/>
    <w:rsid w:val="77E93077"/>
    <w:rsid w:val="78615304"/>
    <w:rsid w:val="78792B34"/>
    <w:rsid w:val="789F0D89"/>
    <w:rsid w:val="78A31478"/>
    <w:rsid w:val="78B47B29"/>
    <w:rsid w:val="78BB0EB8"/>
    <w:rsid w:val="78C57641"/>
    <w:rsid w:val="78DB50B6"/>
    <w:rsid w:val="78E57CE3"/>
    <w:rsid w:val="78E940ED"/>
    <w:rsid w:val="78FF6FF6"/>
    <w:rsid w:val="79004B1D"/>
    <w:rsid w:val="79667075"/>
    <w:rsid w:val="797B2250"/>
    <w:rsid w:val="79874DEB"/>
    <w:rsid w:val="79B37DE1"/>
    <w:rsid w:val="79B5422E"/>
    <w:rsid w:val="79B84610"/>
    <w:rsid w:val="79D85F74"/>
    <w:rsid w:val="79DE05EC"/>
    <w:rsid w:val="7A1D31E5"/>
    <w:rsid w:val="7A344A7E"/>
    <w:rsid w:val="7A410F49"/>
    <w:rsid w:val="7A704982"/>
    <w:rsid w:val="7A884DCA"/>
    <w:rsid w:val="7A886A8A"/>
    <w:rsid w:val="7A986761"/>
    <w:rsid w:val="7AB05E52"/>
    <w:rsid w:val="7AB55AC5"/>
    <w:rsid w:val="7AB72FB2"/>
    <w:rsid w:val="7AC6E397"/>
    <w:rsid w:val="7AD21A0F"/>
    <w:rsid w:val="7B047C5F"/>
    <w:rsid w:val="7B136D89"/>
    <w:rsid w:val="7B216118"/>
    <w:rsid w:val="7B2E6213"/>
    <w:rsid w:val="7B35029B"/>
    <w:rsid w:val="7B3D3E06"/>
    <w:rsid w:val="7B4C229B"/>
    <w:rsid w:val="7B4F54EE"/>
    <w:rsid w:val="7B6F2B92"/>
    <w:rsid w:val="7B712812"/>
    <w:rsid w:val="7B7A0BB6"/>
    <w:rsid w:val="7BD43517"/>
    <w:rsid w:val="7C0654D7"/>
    <w:rsid w:val="7C1A5229"/>
    <w:rsid w:val="7C2E1CCB"/>
    <w:rsid w:val="7C417667"/>
    <w:rsid w:val="7C4F2043"/>
    <w:rsid w:val="7C501B95"/>
    <w:rsid w:val="7C541A59"/>
    <w:rsid w:val="7C594C70"/>
    <w:rsid w:val="7C5A2796"/>
    <w:rsid w:val="7C5C1516"/>
    <w:rsid w:val="7C727ADF"/>
    <w:rsid w:val="7C745605"/>
    <w:rsid w:val="7C835156"/>
    <w:rsid w:val="7CB54BE3"/>
    <w:rsid w:val="7D0F532E"/>
    <w:rsid w:val="7DA63425"/>
    <w:rsid w:val="7DBB7264"/>
    <w:rsid w:val="7DDD0726"/>
    <w:rsid w:val="7DDFA745"/>
    <w:rsid w:val="7DE048FC"/>
    <w:rsid w:val="7DFF0A3D"/>
    <w:rsid w:val="7E094473"/>
    <w:rsid w:val="7E165985"/>
    <w:rsid w:val="7E196EF9"/>
    <w:rsid w:val="7E3B7A4F"/>
    <w:rsid w:val="7E4159BB"/>
    <w:rsid w:val="7E95590D"/>
    <w:rsid w:val="7EB33A5A"/>
    <w:rsid w:val="7EB63962"/>
    <w:rsid w:val="7F0B0A5C"/>
    <w:rsid w:val="7F0B3250"/>
    <w:rsid w:val="7F1C410C"/>
    <w:rsid w:val="7F437511"/>
    <w:rsid w:val="7F941FDD"/>
    <w:rsid w:val="7FA73EE7"/>
    <w:rsid w:val="7FB126CD"/>
    <w:rsid w:val="7FDF58EF"/>
    <w:rsid w:val="7FE73D61"/>
    <w:rsid w:val="7FFB0A37"/>
    <w:rsid w:val="87EF4BCF"/>
    <w:rsid w:val="8DFF97EE"/>
    <w:rsid w:val="AFDC45B6"/>
    <w:rsid w:val="AFF71BD3"/>
    <w:rsid w:val="B3BE28FF"/>
    <w:rsid w:val="B5EA2BA2"/>
    <w:rsid w:val="B6EBE970"/>
    <w:rsid w:val="B7B200B2"/>
    <w:rsid w:val="D7FFE670"/>
    <w:rsid w:val="DDF3EC57"/>
    <w:rsid w:val="DFFF5695"/>
    <w:rsid w:val="E7EA28E9"/>
    <w:rsid w:val="E9FB2864"/>
    <w:rsid w:val="EDEDEAA3"/>
    <w:rsid w:val="EEC7AC5B"/>
    <w:rsid w:val="F97847E3"/>
    <w:rsid w:val="FBAE5606"/>
    <w:rsid w:val="FD5F18A3"/>
    <w:rsid w:val="FF34C117"/>
    <w:rsid w:val="FFBF027C"/>
    <w:rsid w:val="FFDF2FDC"/>
    <w:rsid w:val="FFFD037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7"/>
    <w:qFormat/>
    <w:uiPriority w:val="99"/>
    <w:pPr>
      <w:adjustRightInd w:val="0"/>
      <w:snapToGrid w:val="0"/>
      <w:spacing w:line="360" w:lineRule="auto"/>
      <w:jc w:val="center"/>
      <w:outlineLvl w:val="0"/>
    </w:pPr>
    <w:rPr>
      <w:rFonts w:ascii="Times New Roman" w:hAnsi="Times New Roman"/>
      <w:b/>
      <w:bCs/>
      <w:caps/>
      <w:snapToGrid w:val="0"/>
      <w:kern w:val="0"/>
      <w:sz w:val="36"/>
      <w:szCs w:val="30"/>
    </w:rPr>
  </w:style>
  <w:style w:type="paragraph" w:styleId="3">
    <w:name w:val="heading 2"/>
    <w:basedOn w:val="1"/>
    <w:next w:val="1"/>
    <w:link w:val="38"/>
    <w:qFormat/>
    <w:uiPriority w:val="0"/>
    <w:pPr>
      <w:jc w:val="center"/>
      <w:outlineLvl w:val="1"/>
    </w:pPr>
    <w:rPr>
      <w:caps/>
      <w:sz w:val="32"/>
    </w:rPr>
  </w:style>
  <w:style w:type="paragraph" w:styleId="4">
    <w:name w:val="heading 3"/>
    <w:basedOn w:val="1"/>
    <w:next w:val="1"/>
    <w:link w:val="39"/>
    <w:qFormat/>
    <w:uiPriority w:val="9"/>
    <w:pPr>
      <w:outlineLvl w:val="2"/>
    </w:pPr>
    <w:rPr>
      <w:sz w:val="28"/>
    </w:rPr>
  </w:style>
  <w:style w:type="paragraph" w:styleId="5">
    <w:name w:val="heading 4"/>
    <w:basedOn w:val="1"/>
    <w:next w:val="1"/>
    <w:link w:val="40"/>
    <w:qFormat/>
    <w:uiPriority w:val="99"/>
    <w:pPr>
      <w:adjustRightInd w:val="0"/>
      <w:snapToGrid w:val="0"/>
      <w:spacing w:line="360" w:lineRule="auto"/>
      <w:outlineLvl w:val="3"/>
    </w:pPr>
    <w:rPr>
      <w:rFonts w:ascii="Times New Roman" w:hAnsi="Times New Roman"/>
      <w:b/>
      <w:sz w:val="24"/>
      <w:szCs w:val="21"/>
    </w:rPr>
  </w:style>
  <w:style w:type="paragraph" w:styleId="6">
    <w:name w:val="heading 5"/>
    <w:basedOn w:val="1"/>
    <w:next w:val="1"/>
    <w:link w:val="41"/>
    <w:qFormat/>
    <w:uiPriority w:val="9"/>
    <w:pPr>
      <w:adjustRightInd w:val="0"/>
      <w:snapToGrid w:val="0"/>
      <w:spacing w:line="360" w:lineRule="auto"/>
      <w:ind w:firstLine="482" w:firstLineChars="200"/>
      <w:outlineLvl w:val="4"/>
    </w:pPr>
    <w:rPr>
      <w:rFonts w:ascii="Times New Roman" w:hAnsi="Times New Roman"/>
      <w:b/>
      <w:sz w:val="24"/>
      <w:szCs w:val="21"/>
    </w:rPr>
  </w:style>
  <w:style w:type="paragraph" w:styleId="7">
    <w:name w:val="heading 6"/>
    <w:basedOn w:val="6"/>
    <w:next w:val="1"/>
    <w:link w:val="42"/>
    <w:qFormat/>
    <w:uiPriority w:val="9"/>
    <w:pPr>
      <w:outlineLvl w:val="5"/>
    </w:pPr>
  </w:style>
  <w:style w:type="paragraph" w:styleId="8">
    <w:name w:val="heading 7"/>
    <w:basedOn w:val="1"/>
    <w:next w:val="1"/>
    <w:link w:val="43"/>
    <w:qFormat/>
    <w:uiPriority w:val="9"/>
    <w:pPr>
      <w:keepNext/>
      <w:keepLines/>
      <w:spacing w:before="240" w:after="64" w:line="320" w:lineRule="auto"/>
      <w:outlineLvl w:val="6"/>
    </w:pPr>
    <w:rPr>
      <w:b/>
      <w:bCs/>
      <w:sz w:val="24"/>
      <w:szCs w:val="24"/>
    </w:rPr>
  </w:style>
  <w:style w:type="character" w:default="1" w:styleId="33">
    <w:name w:val="Default Paragraph Font"/>
    <w:unhideWhenUsed/>
    <w:qFormat/>
    <w:uiPriority w:val="1"/>
  </w:style>
  <w:style w:type="table" w:default="1" w:styleId="31">
    <w:name w:val="Normal Table"/>
    <w:unhideWhenUsed/>
    <w:qFormat/>
    <w:uiPriority w:val="99"/>
    <w:tblPr>
      <w:tblCellMar>
        <w:top w:w="0" w:type="dxa"/>
        <w:left w:w="108" w:type="dxa"/>
        <w:bottom w:w="0" w:type="dxa"/>
        <w:right w:w="108" w:type="dxa"/>
      </w:tblCellMar>
    </w:tblPr>
  </w:style>
  <w:style w:type="paragraph" w:styleId="9">
    <w:name w:val="toc 7"/>
    <w:basedOn w:val="1"/>
    <w:next w:val="1"/>
    <w:unhideWhenUsed/>
    <w:qFormat/>
    <w:uiPriority w:val="39"/>
    <w:pPr>
      <w:ind w:left="2520" w:leftChars="1200"/>
    </w:pPr>
    <w:rPr>
      <w:rFonts w:ascii="Calibri" w:hAnsi="Calibri" w:eastAsia="宋体" w:cs="Times New Roman"/>
    </w:rPr>
  </w:style>
  <w:style w:type="paragraph" w:styleId="10">
    <w:name w:val="index 8"/>
    <w:basedOn w:val="1"/>
    <w:next w:val="1"/>
    <w:qFormat/>
    <w:uiPriority w:val="0"/>
    <w:pPr>
      <w:widowControl/>
      <w:overflowPunct w:val="0"/>
      <w:autoSpaceDE w:val="0"/>
      <w:autoSpaceDN w:val="0"/>
      <w:adjustRightInd w:val="0"/>
      <w:ind w:left="1400" w:leftChars="1400"/>
      <w:textAlignment w:val="baseline"/>
    </w:pPr>
    <w:rPr>
      <w:kern w:val="0"/>
      <w:szCs w:val="20"/>
    </w:rPr>
  </w:style>
  <w:style w:type="paragraph" w:styleId="11">
    <w:name w:val="Normal Indent"/>
    <w:basedOn w:val="1"/>
    <w:qFormat/>
    <w:uiPriority w:val="0"/>
    <w:pPr>
      <w:adjustRightInd w:val="0"/>
      <w:ind w:firstLine="420"/>
      <w:jc w:val="both"/>
      <w:textAlignment w:val="baseline"/>
    </w:pPr>
    <w:rPr>
      <w:rFonts w:ascii="Times New Roman" w:hAnsi="Times New Roman" w:eastAsia="宋体"/>
      <w:kern w:val="2"/>
      <w:sz w:val="21"/>
      <w:szCs w:val="20"/>
      <w:lang w:eastAsia="zh-CN"/>
    </w:rPr>
  </w:style>
  <w:style w:type="paragraph" w:styleId="12">
    <w:name w:val="annotation text"/>
    <w:basedOn w:val="1"/>
    <w:link w:val="44"/>
    <w:unhideWhenUsed/>
    <w:qFormat/>
    <w:uiPriority w:val="99"/>
    <w:pPr>
      <w:jc w:val="left"/>
    </w:pPr>
  </w:style>
  <w:style w:type="paragraph" w:styleId="13">
    <w:name w:val="Body Text"/>
    <w:basedOn w:val="1"/>
    <w:next w:val="1"/>
    <w:link w:val="45"/>
    <w:qFormat/>
    <w:uiPriority w:val="1"/>
    <w:pPr>
      <w:ind w:left="599"/>
      <w:jc w:val="left"/>
    </w:pPr>
    <w:rPr>
      <w:rFonts w:ascii="Arial Unicode MS" w:hAnsi="Arial Unicode MS" w:eastAsia="Times New Roman"/>
      <w:kern w:val="0"/>
      <w:sz w:val="23"/>
      <w:szCs w:val="20"/>
      <w:lang w:eastAsia="en-US"/>
    </w:rPr>
  </w:style>
  <w:style w:type="paragraph" w:styleId="14">
    <w:name w:val="Body Text Indent"/>
    <w:basedOn w:val="1"/>
    <w:qFormat/>
    <w:uiPriority w:val="99"/>
    <w:pPr>
      <w:spacing w:line="360" w:lineRule="auto"/>
      <w:ind w:firstLine="480" w:firstLineChars="200"/>
    </w:pPr>
    <w:rPr>
      <w:sz w:val="24"/>
    </w:rPr>
  </w:style>
  <w:style w:type="paragraph" w:styleId="15">
    <w:name w:val="toc 5"/>
    <w:basedOn w:val="1"/>
    <w:next w:val="1"/>
    <w:unhideWhenUsed/>
    <w:qFormat/>
    <w:uiPriority w:val="39"/>
    <w:pPr>
      <w:ind w:left="1680" w:leftChars="800"/>
    </w:pPr>
  </w:style>
  <w:style w:type="paragraph" w:styleId="16">
    <w:name w:val="toc 3"/>
    <w:basedOn w:val="1"/>
    <w:next w:val="1"/>
    <w:unhideWhenUsed/>
    <w:qFormat/>
    <w:uiPriority w:val="39"/>
    <w:pPr>
      <w:adjustRightInd w:val="0"/>
      <w:snapToGrid w:val="0"/>
      <w:spacing w:line="360" w:lineRule="auto"/>
      <w:ind w:left="200" w:leftChars="200"/>
    </w:pPr>
    <w:rPr>
      <w:sz w:val="24"/>
    </w:rPr>
  </w:style>
  <w:style w:type="paragraph" w:styleId="17">
    <w:name w:val="Plain Text"/>
    <w:basedOn w:val="1"/>
    <w:link w:val="46"/>
    <w:qFormat/>
    <w:uiPriority w:val="0"/>
    <w:rPr>
      <w:rFonts w:ascii="宋体" w:hAnsi="Courier New"/>
      <w:kern w:val="0"/>
      <w:szCs w:val="20"/>
      <w:lang w:eastAsia="en-US"/>
    </w:rPr>
  </w:style>
  <w:style w:type="paragraph" w:styleId="18">
    <w:name w:val="toc 8"/>
    <w:basedOn w:val="1"/>
    <w:next w:val="1"/>
    <w:unhideWhenUsed/>
    <w:qFormat/>
    <w:uiPriority w:val="39"/>
    <w:pPr>
      <w:ind w:left="2940" w:leftChars="1400"/>
    </w:pPr>
    <w:rPr>
      <w:rFonts w:ascii="Calibri" w:hAnsi="Calibri" w:eastAsia="宋体" w:cs="Times New Roman"/>
    </w:rPr>
  </w:style>
  <w:style w:type="paragraph" w:styleId="19">
    <w:name w:val="Balloon Text"/>
    <w:basedOn w:val="1"/>
    <w:link w:val="47"/>
    <w:unhideWhenUsed/>
    <w:qFormat/>
    <w:uiPriority w:val="99"/>
    <w:rPr>
      <w:sz w:val="18"/>
      <w:szCs w:val="18"/>
    </w:rPr>
  </w:style>
  <w:style w:type="paragraph" w:styleId="20">
    <w:name w:val="footer"/>
    <w:basedOn w:val="1"/>
    <w:link w:val="48"/>
    <w:unhideWhenUsed/>
    <w:qFormat/>
    <w:uiPriority w:val="99"/>
    <w:pPr>
      <w:tabs>
        <w:tab w:val="center" w:pos="4153"/>
        <w:tab w:val="right" w:pos="8306"/>
      </w:tabs>
      <w:snapToGrid w:val="0"/>
      <w:jc w:val="left"/>
    </w:pPr>
    <w:rPr>
      <w:sz w:val="18"/>
      <w:szCs w:val="18"/>
    </w:rPr>
  </w:style>
  <w:style w:type="paragraph" w:styleId="21">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unhideWhenUsed/>
    <w:qFormat/>
    <w:uiPriority w:val="39"/>
    <w:pPr>
      <w:spacing w:line="360" w:lineRule="auto"/>
    </w:pPr>
    <w:rPr>
      <w:sz w:val="24"/>
    </w:rPr>
  </w:style>
  <w:style w:type="paragraph" w:styleId="23">
    <w:name w:val="toc 4"/>
    <w:basedOn w:val="1"/>
    <w:next w:val="1"/>
    <w:qFormat/>
    <w:uiPriority w:val="39"/>
    <w:pPr>
      <w:adjustRightInd w:val="0"/>
      <w:snapToGrid w:val="0"/>
      <w:spacing w:line="360" w:lineRule="auto"/>
      <w:ind w:firstLine="300" w:firstLineChars="300"/>
      <w:jc w:val="left"/>
    </w:pPr>
    <w:rPr>
      <w:rFonts w:ascii="Arial Unicode MS" w:hAnsi="Arial Unicode MS"/>
      <w:bCs/>
      <w:kern w:val="0"/>
      <w:sz w:val="24"/>
      <w:lang w:eastAsia="en-US"/>
    </w:rPr>
  </w:style>
  <w:style w:type="paragraph" w:styleId="24">
    <w:name w:val="footnote text"/>
    <w:basedOn w:val="1"/>
    <w:next w:val="13"/>
    <w:unhideWhenUsed/>
    <w:qFormat/>
    <w:uiPriority w:val="99"/>
    <w:pPr>
      <w:snapToGrid w:val="0"/>
      <w:jc w:val="left"/>
    </w:pPr>
    <w:rPr>
      <w:rFonts w:ascii="Times New Roman" w:hAnsi="Times New Roman"/>
      <w:kern w:val="0"/>
      <w:sz w:val="18"/>
      <w:szCs w:val="18"/>
    </w:rPr>
  </w:style>
  <w:style w:type="paragraph" w:styleId="25">
    <w:name w:val="toc 6"/>
    <w:basedOn w:val="1"/>
    <w:next w:val="1"/>
    <w:unhideWhenUsed/>
    <w:qFormat/>
    <w:uiPriority w:val="39"/>
    <w:pPr>
      <w:ind w:left="2100" w:leftChars="1000"/>
    </w:pPr>
  </w:style>
  <w:style w:type="paragraph" w:styleId="26">
    <w:name w:val="toc 2"/>
    <w:basedOn w:val="1"/>
    <w:next w:val="1"/>
    <w:unhideWhenUsed/>
    <w:qFormat/>
    <w:uiPriority w:val="39"/>
    <w:pPr>
      <w:tabs>
        <w:tab w:val="right" w:leader="dot" w:pos="8296"/>
      </w:tabs>
      <w:adjustRightInd w:val="0"/>
      <w:snapToGrid w:val="0"/>
      <w:spacing w:line="360" w:lineRule="auto"/>
      <w:ind w:firstLine="100" w:firstLineChars="100"/>
    </w:pPr>
    <w:rPr>
      <w:sz w:val="24"/>
    </w:rPr>
  </w:style>
  <w:style w:type="paragraph" w:styleId="27">
    <w:name w:val="toc 9"/>
    <w:basedOn w:val="1"/>
    <w:next w:val="1"/>
    <w:unhideWhenUsed/>
    <w:qFormat/>
    <w:uiPriority w:val="39"/>
    <w:pPr>
      <w:ind w:left="3360" w:leftChars="1600"/>
    </w:pPr>
    <w:rPr>
      <w:rFonts w:ascii="Calibri" w:hAnsi="Calibri" w:eastAsia="宋体" w:cs="Times New Roman"/>
    </w:rPr>
  </w:style>
  <w:style w:type="paragraph" w:styleId="28">
    <w:name w:val="annotation subject"/>
    <w:basedOn w:val="12"/>
    <w:next w:val="12"/>
    <w:link w:val="50"/>
    <w:unhideWhenUsed/>
    <w:qFormat/>
    <w:uiPriority w:val="99"/>
    <w:rPr>
      <w:b/>
      <w:bCs/>
    </w:rPr>
  </w:style>
  <w:style w:type="paragraph" w:styleId="29">
    <w:name w:val="Body Text First Indent"/>
    <w:basedOn w:val="13"/>
    <w:next w:val="30"/>
    <w:qFormat/>
    <w:uiPriority w:val="99"/>
    <w:pPr>
      <w:tabs>
        <w:tab w:val="left" w:pos="420"/>
      </w:tabs>
      <w:spacing w:after="120"/>
      <w:ind w:firstLine="420" w:firstLineChars="100"/>
    </w:pPr>
  </w:style>
  <w:style w:type="paragraph" w:styleId="30">
    <w:name w:val="Body Text First Indent 2"/>
    <w:basedOn w:val="14"/>
    <w:unhideWhenUsed/>
    <w:qFormat/>
    <w:uiPriority w:val="99"/>
    <w:pPr>
      <w:ind w:firstLine="420"/>
    </w:pPr>
  </w:style>
  <w:style w:type="table" w:styleId="32">
    <w:name w:val="Table Grid"/>
    <w:basedOn w:val="31"/>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FollowedHyperlink"/>
    <w:unhideWhenUsed/>
    <w:qFormat/>
    <w:uiPriority w:val="99"/>
    <w:rPr>
      <w:color w:val="800080"/>
      <w:u w:val="single"/>
    </w:rPr>
  </w:style>
  <w:style w:type="character" w:styleId="35">
    <w:name w:val="Hyperlink"/>
    <w:qFormat/>
    <w:uiPriority w:val="99"/>
    <w:rPr>
      <w:rFonts w:cs="Times New Roman"/>
      <w:color w:val="0563C1"/>
      <w:u w:val="single"/>
    </w:rPr>
  </w:style>
  <w:style w:type="character" w:styleId="36">
    <w:name w:val="annotation reference"/>
    <w:unhideWhenUsed/>
    <w:qFormat/>
    <w:uiPriority w:val="99"/>
    <w:rPr>
      <w:sz w:val="21"/>
      <w:szCs w:val="21"/>
    </w:rPr>
  </w:style>
  <w:style w:type="character" w:customStyle="1" w:styleId="37">
    <w:name w:val="标题 1 Char"/>
    <w:link w:val="2"/>
    <w:qFormat/>
    <w:uiPriority w:val="99"/>
    <w:rPr>
      <w:rFonts w:ascii="Times New Roman" w:hAnsi="Times New Roman" w:eastAsia="宋体" w:cs="Times New Roman"/>
      <w:b/>
      <w:bCs/>
      <w:caps/>
      <w:snapToGrid w:val="0"/>
      <w:kern w:val="0"/>
      <w:sz w:val="36"/>
      <w:szCs w:val="30"/>
    </w:rPr>
  </w:style>
  <w:style w:type="character" w:customStyle="1" w:styleId="38">
    <w:name w:val="标题 2 Char"/>
    <w:link w:val="3"/>
    <w:qFormat/>
    <w:uiPriority w:val="0"/>
    <w:rPr>
      <w:rFonts w:ascii="Times New Roman" w:hAnsi="Times New Roman" w:eastAsia="宋体" w:cs="Times New Roman"/>
      <w:b/>
      <w:caps/>
      <w:sz w:val="32"/>
      <w:szCs w:val="21"/>
    </w:rPr>
  </w:style>
  <w:style w:type="character" w:customStyle="1" w:styleId="39">
    <w:name w:val="标题 3 Char"/>
    <w:link w:val="4"/>
    <w:qFormat/>
    <w:uiPriority w:val="9"/>
    <w:rPr>
      <w:rFonts w:ascii="Times New Roman" w:hAnsi="Times New Roman" w:eastAsia="宋体" w:cs="Times New Roman"/>
      <w:b/>
      <w:sz w:val="28"/>
      <w:szCs w:val="21"/>
    </w:rPr>
  </w:style>
  <w:style w:type="character" w:customStyle="1" w:styleId="40">
    <w:name w:val="标题 4 Char"/>
    <w:link w:val="5"/>
    <w:qFormat/>
    <w:uiPriority w:val="99"/>
    <w:rPr>
      <w:rFonts w:ascii="Times New Roman" w:hAnsi="Times New Roman" w:eastAsia="宋体" w:cs="Times New Roman"/>
      <w:b/>
      <w:sz w:val="24"/>
      <w:szCs w:val="21"/>
    </w:rPr>
  </w:style>
  <w:style w:type="character" w:customStyle="1" w:styleId="41">
    <w:name w:val="标题 5 Char"/>
    <w:link w:val="6"/>
    <w:qFormat/>
    <w:uiPriority w:val="9"/>
    <w:rPr>
      <w:rFonts w:ascii="Times New Roman" w:hAnsi="Times New Roman" w:eastAsia="宋体" w:cs="Times New Roman"/>
      <w:b/>
      <w:sz w:val="24"/>
      <w:szCs w:val="21"/>
    </w:rPr>
  </w:style>
  <w:style w:type="character" w:customStyle="1" w:styleId="42">
    <w:name w:val="标题 6 Char"/>
    <w:link w:val="7"/>
    <w:qFormat/>
    <w:uiPriority w:val="9"/>
    <w:rPr>
      <w:rFonts w:ascii="Times New Roman" w:hAnsi="Times New Roman" w:eastAsia="宋体" w:cs="Times New Roman"/>
      <w:b/>
      <w:sz w:val="24"/>
      <w:szCs w:val="21"/>
    </w:rPr>
  </w:style>
  <w:style w:type="character" w:customStyle="1" w:styleId="43">
    <w:name w:val="标题 7 Char"/>
    <w:link w:val="8"/>
    <w:semiHidden/>
    <w:qFormat/>
    <w:uiPriority w:val="9"/>
    <w:rPr>
      <w:rFonts w:ascii="Calibri" w:hAnsi="Calibri" w:eastAsia="宋体" w:cs="Times New Roman"/>
      <w:b/>
      <w:bCs/>
      <w:sz w:val="24"/>
      <w:szCs w:val="24"/>
    </w:rPr>
  </w:style>
  <w:style w:type="character" w:customStyle="1" w:styleId="44">
    <w:name w:val="批注文字 Char"/>
    <w:link w:val="12"/>
    <w:semiHidden/>
    <w:qFormat/>
    <w:uiPriority w:val="99"/>
    <w:rPr>
      <w:kern w:val="2"/>
      <w:sz w:val="21"/>
      <w:szCs w:val="22"/>
    </w:rPr>
  </w:style>
  <w:style w:type="character" w:customStyle="1" w:styleId="45">
    <w:name w:val="正文文本 Char"/>
    <w:link w:val="13"/>
    <w:qFormat/>
    <w:uiPriority w:val="1"/>
    <w:rPr>
      <w:rFonts w:ascii="Arial Unicode MS" w:hAnsi="Arial Unicode MS" w:eastAsia="Times New Roman" w:cs="Times New Roman"/>
      <w:kern w:val="0"/>
      <w:sz w:val="23"/>
      <w:szCs w:val="20"/>
      <w:lang w:eastAsia="en-US"/>
    </w:rPr>
  </w:style>
  <w:style w:type="character" w:customStyle="1" w:styleId="46">
    <w:name w:val="纯文本 Char"/>
    <w:link w:val="17"/>
    <w:qFormat/>
    <w:uiPriority w:val="0"/>
    <w:rPr>
      <w:rFonts w:ascii="宋体" w:hAnsi="Courier New" w:eastAsia="宋体" w:cs="Times New Roman"/>
      <w:kern w:val="0"/>
      <w:szCs w:val="20"/>
      <w:lang w:eastAsia="en-US"/>
    </w:rPr>
  </w:style>
  <w:style w:type="character" w:customStyle="1" w:styleId="47">
    <w:name w:val="批注框文本 Char"/>
    <w:link w:val="19"/>
    <w:semiHidden/>
    <w:qFormat/>
    <w:uiPriority w:val="99"/>
    <w:rPr>
      <w:rFonts w:ascii="Calibri" w:hAnsi="Calibri" w:eastAsia="宋体" w:cs="Times New Roman"/>
      <w:sz w:val="18"/>
      <w:szCs w:val="18"/>
    </w:rPr>
  </w:style>
  <w:style w:type="character" w:customStyle="1" w:styleId="48">
    <w:name w:val="页脚 Char"/>
    <w:link w:val="20"/>
    <w:qFormat/>
    <w:uiPriority w:val="99"/>
    <w:rPr>
      <w:rFonts w:ascii="Calibri" w:hAnsi="Calibri" w:eastAsia="宋体" w:cs="Times New Roman"/>
      <w:sz w:val="18"/>
      <w:szCs w:val="18"/>
    </w:rPr>
  </w:style>
  <w:style w:type="character" w:customStyle="1" w:styleId="49">
    <w:name w:val="页眉 Char"/>
    <w:link w:val="21"/>
    <w:qFormat/>
    <w:uiPriority w:val="99"/>
    <w:rPr>
      <w:rFonts w:ascii="Calibri" w:hAnsi="Calibri" w:eastAsia="宋体" w:cs="Times New Roman"/>
      <w:sz w:val="18"/>
      <w:szCs w:val="18"/>
    </w:rPr>
  </w:style>
  <w:style w:type="character" w:customStyle="1" w:styleId="50">
    <w:name w:val="批注主题 Char"/>
    <w:link w:val="28"/>
    <w:semiHidden/>
    <w:qFormat/>
    <w:uiPriority w:val="99"/>
    <w:rPr>
      <w:b/>
      <w:bCs/>
      <w:kern w:val="2"/>
      <w:sz w:val="21"/>
      <w:szCs w:val="22"/>
    </w:rPr>
  </w:style>
  <w:style w:type="paragraph" w:customStyle="1" w:styleId="51">
    <w:name w:val="Table Paragraph"/>
    <w:basedOn w:val="1"/>
    <w:qFormat/>
    <w:uiPriority w:val="1"/>
    <w:pPr>
      <w:jc w:val="left"/>
    </w:pPr>
    <w:rPr>
      <w:kern w:val="0"/>
      <w:sz w:val="22"/>
      <w:lang w:eastAsia="en-US"/>
    </w:rPr>
  </w:style>
  <w:style w:type="paragraph" w:customStyle="1" w:styleId="52">
    <w:name w:val="null3"/>
    <w:qFormat/>
    <w:uiPriority w:val="0"/>
    <w:rPr>
      <w:rFonts w:hint="eastAsia" w:ascii="Times New Roman" w:hAnsi="Times New Roman" w:eastAsia="宋体" w:cs="Times New Roman"/>
      <w:lang w:val="en-US" w:eastAsia="zh-CN" w:bidi="ar-SA"/>
    </w:rPr>
  </w:style>
  <w:style w:type="paragraph" w:customStyle="1" w:styleId="53">
    <w:name w:val="样式1"/>
    <w:basedOn w:val="1"/>
    <w:qFormat/>
    <w:uiPriority w:val="0"/>
    <w:pPr>
      <w:jc w:val="center"/>
    </w:pPr>
    <w:rPr>
      <w:rFonts w:eastAsia="方正大标宋简体"/>
      <w:sz w:val="52"/>
    </w:rPr>
  </w:style>
  <w:style w:type="paragraph" w:customStyle="1" w:styleId="54">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5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56">
    <w:name w:val="font01"/>
    <w:qFormat/>
    <w:uiPriority w:val="0"/>
    <w:rPr>
      <w:rFonts w:hint="eastAsia" w:ascii="宋体" w:hAnsi="宋体" w:eastAsia="宋体" w:cs="宋体"/>
      <w:color w:val="000000"/>
      <w:sz w:val="18"/>
      <w:szCs w:val="18"/>
      <w:u w:val="none"/>
    </w:rPr>
  </w:style>
  <w:style w:type="character" w:customStyle="1" w:styleId="57">
    <w:name w:val="font11"/>
    <w:qFormat/>
    <w:uiPriority w:val="0"/>
    <w:rPr>
      <w:rFonts w:hint="default" w:ascii="等线" w:hAnsi="等线" w:eastAsia="等线" w:cs="等线"/>
      <w:color w:val="000000"/>
      <w:sz w:val="18"/>
      <w:szCs w:val="18"/>
      <w:u w:val="none"/>
    </w:rPr>
  </w:style>
  <w:style w:type="paragraph" w:customStyle="1" w:styleId="58">
    <w:name w:val="WPSOffice手动目录 1"/>
    <w:qFormat/>
    <w:uiPriority w:val="0"/>
    <w:rPr>
      <w:rFonts w:ascii="Times New Roman" w:hAnsi="Times New Roman" w:eastAsia="宋体" w:cs="Times New Roman"/>
      <w:lang w:val="en-US" w:eastAsia="zh-CN" w:bidi="ar-SA"/>
    </w:rPr>
  </w:style>
  <w:style w:type="paragraph" w:customStyle="1" w:styleId="59">
    <w:name w:val="WPSOffice手动目录 2"/>
    <w:qFormat/>
    <w:uiPriority w:val="0"/>
    <w:pPr>
      <w:ind w:leftChars="200"/>
    </w:pPr>
    <w:rPr>
      <w:rFonts w:ascii="Times New Roman" w:hAnsi="Times New Roman" w:eastAsia="宋体" w:cs="Times New Roman"/>
      <w:lang w:val="en-US" w:eastAsia="zh-CN" w:bidi="ar-SA"/>
    </w:rPr>
  </w:style>
  <w:style w:type="paragraph" w:customStyle="1" w:styleId="60">
    <w:name w:val="WPSOffice手动目录 3"/>
    <w:qFormat/>
    <w:uiPriority w:val="0"/>
    <w:pPr>
      <w:ind w:leftChars="400"/>
    </w:pPr>
    <w:rPr>
      <w:rFonts w:ascii="Times New Roman" w:hAnsi="Times New Roman" w:eastAsia="宋体" w:cs="Times New Roman"/>
      <w:lang w:val="en-US" w:eastAsia="zh-CN" w:bidi="ar-SA"/>
    </w:rPr>
  </w:style>
  <w:style w:type="paragraph" w:customStyle="1" w:styleId="61">
    <w:name w:val="_Style 59"/>
    <w:unhideWhenUsed/>
    <w:qFormat/>
    <w:uiPriority w:val="99"/>
    <w:rPr>
      <w:rFonts w:ascii="Times New Roman" w:hAnsi="Times New Roman" w:eastAsia="宋体" w:cs="Times New Roman"/>
      <w:kern w:val="2"/>
      <w:sz w:val="21"/>
      <w:szCs w:val="22"/>
      <w:lang w:val="en-US" w:eastAsia="zh-CN" w:bidi="ar-SA"/>
    </w:rPr>
  </w:style>
  <w:style w:type="paragraph" w:customStyle="1" w:styleId="62">
    <w:name w:val="表格文字"/>
    <w:basedOn w:val="1"/>
    <w:qFormat/>
    <w:uiPriority w:val="99"/>
    <w:pPr>
      <w:spacing w:before="25" w:after="25"/>
      <w:jc w:val="left"/>
    </w:pPr>
    <w:rPr>
      <w:bCs/>
      <w:spacing w:val="10"/>
      <w:kern w:val="0"/>
      <w:sz w:val="24"/>
    </w:rPr>
  </w:style>
  <w:style w:type="paragraph" w:styleId="63">
    <w:name w:val="List Paragraph"/>
    <w:basedOn w:val="1"/>
    <w:qFormat/>
    <w:uiPriority w:val="34"/>
    <w:pPr>
      <w:spacing w:line="360" w:lineRule="auto"/>
      <w:ind w:firstLine="420" w:firstLineChars="200"/>
    </w:pPr>
    <w:rPr>
      <w:rFonts w:ascii="Times New Roman" w:hAnsi="Times New Roman" w:eastAsia="仿宋"/>
      <w:kern w:val="2"/>
      <w:sz w:val="30"/>
    </w:rPr>
  </w:style>
  <w:style w:type="table" w:customStyle="1" w:styleId="64">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65">
    <w:name w:val="Table Text"/>
    <w:basedOn w:val="1"/>
    <w:semiHidden/>
    <w:qFormat/>
    <w:uiPriority w:val="0"/>
    <w:rPr>
      <w:rFonts w:ascii="宋体" w:hAnsi="宋体" w:eastAsia="宋体" w:cs="宋体"/>
      <w:sz w:val="24"/>
      <w:szCs w:val="24"/>
      <w:lang w:val="en-US" w:eastAsia="en-US" w:bidi="ar-SA"/>
    </w:rPr>
  </w:style>
  <w:style w:type="paragraph" w:customStyle="1" w:styleId="66">
    <w:name w:val="纯文本1"/>
    <w:basedOn w:val="1"/>
    <w:qFormat/>
    <w:uiPriority w:val="0"/>
    <w:pPr>
      <w:adjustRightInd w:val="0"/>
      <w:spacing w:line="360" w:lineRule="auto"/>
      <w:jc w:val="both"/>
    </w:pPr>
    <w:rPr>
      <w:rFonts w:ascii="宋体" w:hAnsi="Courier New" w:eastAsia="宋体"/>
      <w:kern w:val="2"/>
      <w:sz w:val="21"/>
      <w:szCs w:val="20"/>
      <w:lang w:eastAsia="zh-CN"/>
    </w:rPr>
  </w:style>
  <w:style w:type="paragraph" w:customStyle="1" w:styleId="67">
    <w:name w:val="投标正文"/>
    <w:basedOn w:val="1"/>
    <w:qFormat/>
    <w:uiPriority w:val="0"/>
    <w:pPr>
      <w:spacing w:line="360" w:lineRule="auto"/>
      <w:ind w:left="102" w:right="105" w:rightChars="50" w:firstLine="480" w:firstLineChars="200"/>
    </w:pPr>
    <w:rPr>
      <w:rFonts w:ascii="Calibri" w:hAnsi="Calibri" w:eastAsia="宋体"/>
      <w:sz w:val="24"/>
      <w:szCs w:val="24"/>
    </w:rPr>
  </w:style>
  <w:style w:type="paragraph" w:customStyle="1" w:styleId="68">
    <w:name w:val="_正文"/>
    <w:basedOn w:val="1"/>
    <w:qFormat/>
    <w:uiPriority w:val="0"/>
    <w:pPr>
      <w:adjustRightInd w:val="0"/>
      <w:snapToGrid w:val="0"/>
      <w:spacing w:line="360" w:lineRule="auto"/>
      <w:ind w:firstLine="200" w:firstLineChars="200"/>
    </w:pPr>
    <w:rPr>
      <w:rFonts w:ascii="Times New Roman" w:hAnsi="Times New Roman" w:eastAsia="宋体" w:cs="Times New Roman"/>
      <w:sz w:val="24"/>
      <w:szCs w:val="24"/>
    </w:rPr>
  </w:style>
  <w:style w:type="paragraph" w:customStyle="1" w:styleId="69">
    <w:name w:val="MsoNormal"/>
    <w:basedOn w:val="1"/>
    <w:qFormat/>
    <w:uiPriority w:val="0"/>
  </w:style>
  <w:style w:type="paragraph" w:customStyle="1" w:styleId="70">
    <w:name w:val="17"/>
    <w:basedOn w:val="1"/>
    <w:qFormat/>
    <w:uiPriority w:val="0"/>
  </w:style>
  <w:style w:type="paragraph" w:customStyle="1" w:styleId="71">
    <w:name w:val="16"/>
    <w:basedOn w:val="1"/>
    <w:qFormat/>
    <w:uiPriority w:val="0"/>
  </w:style>
  <w:style w:type="paragraph" w:customStyle="1" w:styleId="72">
    <w:name w:val="表格1"/>
    <w:basedOn w:val="1"/>
    <w:qFormat/>
    <w:uiPriority w:val="0"/>
    <w:rPr>
      <w:rFonts w:ascii="仿宋_GB2312" w:hAnsi="Times New Roman"/>
      <w:sz w:val="24"/>
      <w:szCs w:val="24"/>
    </w:rPr>
  </w:style>
  <w:style w:type="paragraph" w:customStyle="1" w:styleId="73">
    <w:name w:val="Heading 2_0"/>
    <w:basedOn w:val="1"/>
    <w:next w:val="74"/>
    <w:qFormat/>
    <w:uiPriority w:val="0"/>
    <w:pPr>
      <w:keepNext/>
      <w:widowControl/>
      <w:spacing w:before="240" w:after="60" w:line="240" w:lineRule="auto"/>
      <w:jc w:val="left"/>
      <w:outlineLvl w:val="1"/>
    </w:pPr>
    <w:rPr>
      <w:rFonts w:ascii="Arial" w:hAnsi="Arial" w:eastAsia="Times New Roman" w:cs="Arial"/>
      <w:b/>
      <w:bCs/>
      <w:i/>
      <w:iCs/>
      <w:kern w:val="0"/>
      <w:sz w:val="28"/>
      <w:szCs w:val="28"/>
      <w:lang w:eastAsia="en-US"/>
    </w:rPr>
  </w:style>
  <w:style w:type="paragraph" w:customStyle="1" w:styleId="74">
    <w:name w:val="Normal_0"/>
    <w:qFormat/>
    <w:uiPriority w:val="0"/>
    <w:rPr>
      <w:rFonts w:ascii="Times New Roman" w:hAnsi="Times New Roman" w:eastAsia="Times New Roman" w:cs="Times New Roman"/>
      <w:sz w:val="24"/>
      <w:szCs w:val="24"/>
      <w:lang w:val="en-US" w:eastAsia="en-US" w:bidi="ar-SA"/>
    </w:rPr>
  </w:style>
  <w:style w:type="paragraph" w:customStyle="1" w:styleId="75">
    <w:name w:val="Heading 3_0"/>
    <w:basedOn w:val="1"/>
    <w:next w:val="74"/>
    <w:qFormat/>
    <w:uiPriority w:val="0"/>
    <w:pPr>
      <w:keepNext/>
      <w:widowControl/>
      <w:spacing w:before="240" w:after="60" w:line="240" w:lineRule="auto"/>
      <w:jc w:val="left"/>
      <w:outlineLvl w:val="2"/>
    </w:pPr>
    <w:rPr>
      <w:rFonts w:ascii="Arial" w:hAnsi="Arial" w:eastAsia="Times New Roman" w:cs="Arial"/>
      <w:b/>
      <w:bCs/>
      <w:kern w:val="0"/>
      <w:sz w:val="26"/>
      <w:szCs w:val="26"/>
      <w:lang w:eastAsia="en-US"/>
    </w:rPr>
  </w:style>
  <w:style w:type="paragraph" w:customStyle="1" w:styleId="76">
    <w:name w:val="Heading 4_0"/>
    <w:basedOn w:val="1"/>
    <w:next w:val="74"/>
    <w:qFormat/>
    <w:uiPriority w:val="0"/>
    <w:pPr>
      <w:keepNext/>
      <w:widowControl/>
      <w:spacing w:before="240" w:after="60" w:line="240" w:lineRule="auto"/>
      <w:jc w:val="left"/>
      <w:outlineLvl w:val="3"/>
    </w:pPr>
    <w:rPr>
      <w:rFonts w:eastAsia="Times New Roman"/>
      <w:b/>
      <w:bCs/>
      <w:kern w:val="0"/>
      <w:sz w:val="28"/>
      <w:szCs w:val="28"/>
      <w:lang w:eastAsia="en-US"/>
    </w:rPr>
  </w:style>
  <w:style w:type="paragraph" w:customStyle="1" w:styleId="77">
    <w:name w:val="Heading 1_0"/>
    <w:basedOn w:val="1"/>
    <w:next w:val="74"/>
    <w:qFormat/>
    <w:uiPriority w:val="0"/>
    <w:pPr>
      <w:keepNext/>
      <w:widowControl/>
      <w:spacing w:before="240" w:after="60" w:line="240" w:lineRule="auto"/>
      <w:jc w:val="left"/>
      <w:outlineLvl w:val="0"/>
    </w:pPr>
    <w:rPr>
      <w:rFonts w:ascii="Arial" w:hAnsi="Arial" w:eastAsia="Times New Roman" w:cs="Arial"/>
      <w:b/>
      <w:bCs/>
      <w:kern w:val="32"/>
      <w:sz w:val="32"/>
      <w:szCs w:val="32"/>
      <w:lang w:eastAsia="en-US"/>
    </w:rPr>
  </w:style>
  <w:style w:type="paragraph" w:customStyle="1" w:styleId="78">
    <w:name w:val="15"/>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18078</Words>
  <Characters>19661</Characters>
  <Lines>364</Lines>
  <Paragraphs>102</Paragraphs>
  <TotalTime>34</TotalTime>
  <ScaleCrop>false</ScaleCrop>
  <LinksUpToDate>false</LinksUpToDate>
  <CharactersWithSpaces>19931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2024-04-26T08:31:00Z</dcterms:created>
  <dc:creator>王玥</dc:creator>
  <cp:lastModifiedBy>张文娟</cp:lastModifiedBy>
  <cp:lastPrinted>2024-05-11T17:24:00Z</cp:lastPrinted>
  <dcterms:modified xsi:type="dcterms:W3CDTF">2026-10-08T07:52:56Z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911F4380DA80479A9C00E02258A58CC5_13</vt:lpwstr>
  </property>
  <property fmtid="{D5CDD505-2E9C-101B-9397-08002B2CF9AE}" pid="4" name="KSOTemplateDocerSaveRecord">
    <vt:lpwstr>eyJoZGlkIjoiYTgwOTJjZDUwM2ExNjYyZWZhZGJhNzM1OTUxZmZiMjQiLCJ1c2VySWQiOiI5NDM0NjY5MDIifQ==</vt:lpwstr>
  </property>
</Properties>
</file>