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36"/>
          <w:highlight w:val="none"/>
          <w14:textFill>
            <w14:solidFill>
              <w14:schemeClr w14:val="tx1"/>
            </w14:solidFill>
          </w14:textFill>
        </w:rPr>
        <w:t>第五章 合同文本</w:t>
      </w:r>
    </w:p>
    <w:p>
      <w:pPr>
        <w:ind w:firstLine="480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4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48"/>
          <w:highlight w:val="none"/>
          <w14:textFill>
            <w14:solidFill>
              <w14:schemeClr w14:val="tx1"/>
            </w14:solidFill>
          </w14:textFill>
        </w:rPr>
        <w:t>广东省政府采购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48"/>
          <w:highlight w:val="none"/>
          <w14:textFill>
            <w14:solidFill>
              <w14:schemeClr w14:val="tx1"/>
            </w14:solidFill>
          </w14:textFill>
        </w:rPr>
        <w:t>合　同　书</w:t>
      </w:r>
    </w:p>
    <w:p>
      <w:pPr>
        <w:shd w:val="clear" w:color="auto" w:fill="FFFFFF"/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" w:hAnsi="仿宋" w:eastAsia="仿宋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本合同为中小企业预留合同</w: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  <w:t>采购计划编号：</w:t>
      </w: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                       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  <w:t>项目编号：</w:t>
      </w: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                           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jc w:val="center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  <w:t>项目名称：</w:t>
      </w: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                          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textWrapping"/>
      </w: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甲方： 　　　　　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电话： </w:t>
      </w: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　　　　  </w:t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传真 ： </w:t>
      </w: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　　　  </w:t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地址： </w:t>
      </w: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　　　 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乙方： 　　　　　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电话： </w:t>
      </w: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　　　　   </w:t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传真：</w:t>
      </w: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　　　   </w:t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地址： </w:t>
      </w: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　　　 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 根据          项目 的采购结果，按照《中华人民共和国政府采购法》，《中华人民共和国民法典(合同编)》的规定，经双方协商，本着平等互利和诚实信用的原则，一致同意遵守本合同如下。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一、合同金额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合同金额为（大写）：_____________元（￥_________元）人民币。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二、服务范围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甲方聘请乙方提供以下服务：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1．　　　　　　　　　　　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2．　　　　　　　　　　　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……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三、甲方乙方的权利和义务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1.甲方的权利和义务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2.乙方的权利和义务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四、服务期间（项目完成期限）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1.委托服务期间自______年______月至______年______月止。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五、付款方式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由甲方按下列程序在        内付款：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1.在合同实施及服务人员到达服务地后__天内，甲方应将第一次付　　款总服务费的__(-%)付给乙方。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2.第二次付款额应为总服务费的__(-%)，甲方应在乙方已经准备好，并递交了服务报告及其它相关文件，而这些报告和文件符合合同附件上的要求并被甲方验收后付给乙方。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3.最后一次付款额应为总服务费的__(-%)，甲方应在乙方递交了服务总结报告和说明并完全履行合同完毕_________日内付给乙方。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4.对于满足合同约定支付条件的，甲方应当自收到发票后30日内将资金支付到合同约定的乙方账户，不得以机构变动、人员更替、政策调整等为由延迟付款，不得将采购文件和合同中未规定的义务作为向乙方付款的条件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六、知识产权归属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七、保密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八、违约责任与赔偿损失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1.乙方提供的服务不符合本合同规定的，甲方有权拒收，并且乙方须向甲方方支付本合同总价5%的违约金。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2.乙方未能按本合同规定的交货时间提供服务，从逾期之日起每日按本合同总价3‰的数额向甲方支付违约金；逾期半个月以上的，甲方有权终止合同，由此造成的甲方经济损失由乙方承担。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3.甲方无正当理由拒收接受服务，到期拒付服务款项的，甲方向乙方偿付本合同总的5%的违约金。甲方人逾期付款，则每日按本合同总价的3‰向乙方偿付违约金。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4.对于因甲方原因导致变更、中止或者终止政府采购合同的，甲方应当依照以下合同约定对供应商受到的损失予以赔偿或者补偿：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           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5.其它违约责任按《中华人民共和国民法典(合同编)》处理。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九、争议的解决</w:t>
      </w:r>
    </w:p>
    <w:p>
      <w:pPr>
        <w:shd w:val="clear" w:color="auto" w:fill="FFFFFF"/>
        <w:ind w:firstLine="400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合同执行过程中发生的任何争议，如双方不能通过友好协商解决，按相关法律法规处理。</w:t>
      </w: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 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十、不可抗力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任何一方由于不可抗力原因不能履行合同时，应在不可抗力事件结束后1日内向对方通报，以减轻可能给对方造成的损失，在取得有关机构的不可抗力证明或双方谅解确认后，允许延期履行或修订合同，并根据情况可部分或全部免于承担违约责任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十一、税费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在中国境内、外发生的与本合同执行有关的一切税费均由乙方负担。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十二、其它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1.本合同所有附件、招标文件、投标文件、中标通知书均为合同的有效组成部分，与本合同具有同等法律效力。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2.在执行本合同的过程中，所有经双方签署确认的文件（包括会议纪要、补充协议、往来信函）即成为本合同的有效组成部分。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3.如一方地址、电话、传真号码有变更，应在变更当日内书面通知对方，否则，应承担相应责任。</w:t>
      </w:r>
    </w:p>
    <w:p>
      <w:pPr>
        <w:shd w:val="clear" w:color="auto" w:fill="FFFFFF"/>
        <w:ind w:firstLine="540"/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4.除甲方事先书面同意外，乙方不得部分或全部转让其应履行的合同项下的义务。</w:t>
      </w:r>
    </w:p>
    <w:p>
      <w:pPr>
        <w:pStyle w:val="2"/>
        <w:ind w:firstLine="0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十三、</w: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考核办法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（验收）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采购人采用月度考评和学期考评相结合的方式对中标人进行考核，并作为支付物业管理费和继续履行合同的主要依据。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(一)物业管理费的组成：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(1)月度基本物业管理费(占物业管理费的95%)；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(2)月度考核奖(占物业管理费的5%)。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(二)月度考核及结果应用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1、由采购人按照《物业服务月度考评表》(表1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)的内容，分别对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校园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的物业服务进行考核，并按照一定比例进行加权，得出当月物业服务月度考评分数。考评分数满分100分，80分以上(含80分)为考核达标。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、当月月度考评达标，全额支付基本物业管理费和按比例支付月度考核奖：月度考评分80—89分，支付月度考核奖标准的50%；月度考评分90分及以上，支付月度考核奖标准的100%。其中，月度考核奖的70%，由中标人用于奖励项目组员工，具体由中标人制定发放办法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3、当月月度考评不达标，采购人支付当月100%的基本物业管理费，不支付考核奖，并给与中标人1个月的整改期限，如果在下一月份的考评分数仍不达标的，采购人扣减中标人5%的月度基本物业管理费，直到月度考评达标为止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4、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采购人严格按照合同中设定的岗位数（人数）支付款项，中标人严格按照合同中设定的项目人数到岗，若有缺岗，按当月缺岗人数最多的一次扣罚缺岗人数的一个月工资的总和。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三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)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学期考核及结果应用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、采购人每学期开展一次物业服务满意度调查，结合月度考核评分，按照以下比例进行加权得到学期考核分：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学期考核分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=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本学期平均月度考评分*70%+满意度调查分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*30%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、学期考核分数在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80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分以上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含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80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分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)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为学期考评达标。合同期内，学期考核不合格达到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次，采购人有权单方解除合同。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四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)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发生设备损毁或人员伤亡重大责任事故的，采购人有权单方解除合同。</w:t>
      </w:r>
    </w:p>
    <w:p>
      <w:pPr>
        <w:pStyle w:val="5"/>
        <w:spacing w:line="360" w:lineRule="auto"/>
        <w:ind w:firstLine="240" w:firstLineChars="100"/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(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五</w:t>
      </w:r>
      <w:r>
        <w:rPr>
          <w:rStyle w:val="6"/>
          <w:rFonts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)</w:t>
      </w:r>
      <w:r>
        <w:rPr>
          <w:rStyle w:val="6"/>
          <w:rFonts w:hint="eastAsia" w:asciiTheme="majorEastAsia" w:hAnsiTheme="majorEastAsia" w:eastAsiaTheme="maj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采购人可以根据实际情况修改考核办法。</w:t>
      </w:r>
    </w:p>
    <w:p>
      <w:pPr>
        <w:pStyle w:val="7"/>
        <w:ind w:firstLine="504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表1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 物业服务月度考评表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（采购人可根据需求进行调整）</w:t>
      </w:r>
    </w:p>
    <w:tbl>
      <w:tblPr>
        <w:tblStyle w:val="3"/>
        <w:tblW w:w="8522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1336"/>
        <w:gridCol w:w="2759"/>
        <w:gridCol w:w="767"/>
        <w:gridCol w:w="3168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指标名称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考核标准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考核分值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评分标准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492" w:type="dxa"/>
            <w:vMerge w:val="restart"/>
            <w:tcBorders>
              <w:top w:val="double" w:color="auto" w:sz="4" w:space="0"/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36" w:type="dxa"/>
            <w:vMerge w:val="restart"/>
            <w:tcBorders>
              <w:top w:val="double" w:color="auto" w:sz="4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综合管理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工作有计划和总结</w:t>
            </w:r>
          </w:p>
        </w:tc>
        <w:tc>
          <w:tcPr>
            <w:tcW w:w="767" w:type="dxa"/>
            <w:vMerge w:val="restart"/>
            <w:tcBorders>
              <w:top w:val="double" w:color="auto" w:sz="4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没有月度工作计划和总结的扣1分，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</w:trPr>
        <w:tc>
          <w:tcPr>
            <w:tcW w:w="492" w:type="dxa"/>
            <w:vMerge w:val="continue"/>
            <w:tcBorders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6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各项工作记录规范、档案齐全</w:t>
            </w:r>
          </w:p>
        </w:tc>
        <w:tc>
          <w:tcPr>
            <w:tcW w:w="767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记录或档案不齐全或不符合要求，每一处扣0.5分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492" w:type="dxa"/>
            <w:vMerge w:val="continue"/>
            <w:tcBorders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6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每月开展1-2次员工培训并记录齐全</w:t>
            </w:r>
          </w:p>
        </w:tc>
        <w:tc>
          <w:tcPr>
            <w:tcW w:w="767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没有开展培训的，扣1分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492" w:type="dxa"/>
            <w:vMerge w:val="continue"/>
            <w:tcBorders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6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员工着装规范、遵守采购人规定、文明礼貌</w:t>
            </w:r>
          </w:p>
        </w:tc>
        <w:tc>
          <w:tcPr>
            <w:tcW w:w="767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发现1次不符合要求扣0.5分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</w:trPr>
        <w:tc>
          <w:tcPr>
            <w:tcW w:w="492" w:type="dxa"/>
            <w:vMerge w:val="continue"/>
            <w:tcBorders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6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没有有效投诉，或有有效投诉但已在规定时间整改</w:t>
            </w:r>
          </w:p>
        </w:tc>
        <w:tc>
          <w:tcPr>
            <w:tcW w:w="767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有效投诉且限期未整改的，每次扣2分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492" w:type="dxa"/>
            <w:vMerge w:val="continue"/>
            <w:tcBorders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6" w:type="dxa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工作人员坚守岗位，值班人员没有脱岗现象</w:t>
            </w:r>
          </w:p>
        </w:tc>
        <w:tc>
          <w:tcPr>
            <w:tcW w:w="767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发现值班人员脱岗，一次扣2分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492" w:type="dxa"/>
            <w:vMerge w:val="continue"/>
            <w:tcBorders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无安全事故</w:t>
            </w:r>
          </w:p>
        </w:tc>
        <w:tc>
          <w:tcPr>
            <w:tcW w:w="767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发生安全事故根据情况扣5-15分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3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建筑、道路广场、球场、围墙安全巡查与养护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建筑、道路广场、球场、围墙巡查与维修总体标准及具体标准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每一处不符合质量标准或工作要求的扣1分;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3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供配电及用电设备维护与管理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供配电及用电设备管理与维修总体标准及具体标准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每一处不符合质量标准或工作要求扣1分;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给排水设施设备维护与管理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给排水设施设备管理与维修总体标准及具体标准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每一处不符合质量标准或工作要求扣1分;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空调维修服务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空调运行管理与维护总体标准及具体标准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每一处不符合质量标准或工作要求扣1分;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电梯系统管理服务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电梯系统运行管理与维护总体标准及具体标准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每一处不符合质量标准或工作要求扣1分;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492" w:type="dxa"/>
            <w:tcBorders>
              <w:top w:val="sing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燃气</w:t>
            </w:r>
            <w:r>
              <w:rPr>
                <w:rStyle w:val="6"/>
                <w:rFonts w:asciiTheme="majorEastAsia" w:hAnsiTheme="majorEastAsia" w:eastAsiaTheme="major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系统运行管理与维护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燃气</w:t>
            </w:r>
            <w:r>
              <w:rPr>
                <w:rStyle w:val="6"/>
                <w:rFonts w:asciiTheme="majorEastAsia" w:hAnsiTheme="majorEastAsia" w:eastAsiaTheme="major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系统运行管理与维护服务内容及标准</w:t>
            </w: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每一处不符合质量标准或工作要求扣1分；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物业基础设备设施维护和运行管理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家具及其他设施设备管理与维修总体标准及具体标准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每一处不符合质量标准或工作要求扣1分;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3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清洁保洁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清洁保洁总体标准、各类区域清洁标准、各类区域消杀服务标准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每一处不符合质量标准或工作要求扣1分; 当月</w:t>
            </w:r>
            <w:r>
              <w:rPr>
                <w:rFonts w:hint="eastAsia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交付收集的生活垃圾或公共区域生活垃圾不符合分类标准，受到城市管理综合执法机关处罚的，当月直接扣</w:t>
            </w:r>
            <w:r>
              <w:rPr>
                <w:rFonts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eastAsia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绿化养护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绿化养护总体标准、室外绿化养护标准、室内及公共区域盆栽绿化摆放和养护标准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每一处不符合质量标准或工作要求扣1分;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492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会务接待服务及会议室管理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会务服务及会议室管理总体标准</w:t>
            </w: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每一处未完成工作要求或被投诉扣1分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</w:trPr>
        <w:tc>
          <w:tcPr>
            <w:tcW w:w="492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司机派遣服务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服从学校工作安排，安全完成出车任务</w:t>
            </w: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每一处未完成工作要求扣1分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492" w:type="dxa"/>
            <w:tcBorders>
              <w:top w:val="sing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场室管理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6"/>
                <w:rFonts w:hint="eastAsia" w:asciiTheme="majorEastAsia" w:hAnsiTheme="majorEastAsia" w:eastAsiaTheme="major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预约管理、设施设备管理、会议场室日常保洁</w:t>
            </w: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规范有序</w:t>
            </w: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68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jc w:val="both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每一处未完成工作要求扣1分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492" w:type="dxa"/>
            <w:tcBorders>
              <w:top w:val="double" w:color="auto" w:sz="4" w:space="0"/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336" w:type="dxa"/>
            <w:tcBorders>
              <w:top w:val="double" w:color="auto" w:sz="4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人员配备情况</w:t>
            </w:r>
          </w:p>
        </w:tc>
        <w:tc>
          <w:tcPr>
            <w:tcW w:w="2759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当月实际派驻人员低于合同约定</w:t>
            </w:r>
          </w:p>
        </w:tc>
        <w:tc>
          <w:tcPr>
            <w:tcW w:w="767" w:type="dxa"/>
            <w:tcBorders>
              <w:top w:val="double" w:color="auto" w:sz="4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168" w:type="dxa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每少一人扣2分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6" w:hRule="atLeast"/>
        </w:trPr>
        <w:tc>
          <w:tcPr>
            <w:tcW w:w="492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加分项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较好完成采购人临时交办的任务；抢险、应对突发事件成效显著；获得上级或相关部门嘉奖。</w:t>
            </w: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1-</w:t>
            </w:r>
            <w:r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16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采购人酌情加分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9" w:hRule="atLeast"/>
        </w:trPr>
        <w:tc>
          <w:tcPr>
            <w:tcW w:w="492" w:type="dxa"/>
            <w:tcBorders>
              <w:top w:val="sing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减分项</w:t>
            </w:r>
          </w:p>
        </w:tc>
        <w:tc>
          <w:tcPr>
            <w:tcW w:w="275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无故拒不执行采购人临时交办的任务；在抢险、应对突发事件时不及时采取有效措施造成人员或财产损失；项目骨干人员缺岗超过一周。</w:t>
            </w: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5"/>
              <w:spacing w:line="360" w:lineRule="auto"/>
              <w:jc w:val="center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1-</w:t>
            </w: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168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pStyle w:val="5"/>
              <w:spacing w:line="360" w:lineRule="auto"/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根据执行情况，扣</w:t>
            </w:r>
            <w:r>
              <w:rPr>
                <w:rFonts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1-</w:t>
            </w:r>
            <w:r>
              <w:rPr>
                <w:rFonts w:hint="eastAsia" w:cs="宋体" w:asciiTheme="majorEastAsia" w:hAnsiTheme="majorEastAsia" w:eastAsiaTheme="maj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10分</w:t>
            </w:r>
          </w:p>
        </w:tc>
      </w:tr>
    </w:tbl>
    <w:p>
      <w:pPr>
        <w:pStyle w:val="8"/>
        <w:ind w:firstLine="540"/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十</w:t>
      </w:r>
      <w:r>
        <w:rPr>
          <w:rFonts w:hint="eastAsia" w:ascii="宋体" w:hAnsi="宋体" w:eastAsia="宋体" w:cs="宋体"/>
          <w:b/>
          <w:color w:val="000000" w:themeColor="text1"/>
          <w:sz w:val="27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、合同生效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1.本合同在甲乙双方法人代表或其授权代表签字盖章后生效。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　　2.合同一式    份。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Helvetica" w:hAnsi="Helvetica" w:eastAsia="Helvetica" w:cs="Helvetica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甲方（盖章）：               乙方（盖章）：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代表：                      代表：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签订地点：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签订日期：　　　年　　月　　日 签订日期：　　　年　　月　　日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开户名称：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银行帐号：</w:t>
      </w:r>
    </w:p>
    <w:p>
      <w:pPr>
        <w:shd w:val="clear" w:color="auto" w:fill="FFFFFF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>开</w:t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ascii="宋体" w:hAnsi="宋体" w:eastAsia="宋体" w:cs="宋体"/>
          <w:color w:val="000000" w:themeColor="text1"/>
          <w:sz w:val="27"/>
          <w:highlight w:val="none"/>
          <w14:textFill>
            <w14:solidFill>
              <w14:schemeClr w14:val="tx1"/>
            </w14:solidFill>
          </w14:textFill>
        </w:rPr>
        <w:t xml:space="preserve"> 户 行：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jNzNiNWRhNzBmMmI3ZDZjYzg5YzVmMjc5MDBjNmYifQ=="/>
  </w:docVars>
  <w:rsids>
    <w:rsidRoot w:val="29FA447D"/>
    <w:rsid w:val="29FA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9"/>
    <w:pPr>
      <w:keepNext/>
      <w:keepLines/>
      <w:widowControl/>
      <w:kinsoku w:val="0"/>
      <w:autoSpaceDE w:val="0"/>
      <w:autoSpaceDN w:val="0"/>
      <w:adjustRightInd w:val="0"/>
      <w:snapToGrid w:val="0"/>
      <w:ind w:firstLine="562"/>
      <w:textAlignment w:val="baseline"/>
      <w:outlineLvl w:val="0"/>
    </w:pPr>
    <w:rPr>
      <w:rFonts w:ascii="Arial" w:hAnsi="Arial" w:cs="Arial"/>
      <w:snapToGrid w:val="0"/>
      <w:color w:val="000000"/>
      <w:kern w:val="44"/>
      <w:sz w:val="28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_0_0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6">
    <w:name w:val="10"/>
    <w:qFormat/>
    <w:uiPriority w:val="0"/>
    <w:rPr>
      <w:rFonts w:hint="default" w:ascii="Times New Roman" w:hAnsi="Times New Roman" w:cs="Times New Roman"/>
    </w:rPr>
  </w:style>
  <w:style w:type="paragraph" w:customStyle="1" w:styleId="7">
    <w:name w:val="样式1"/>
    <w:basedOn w:val="1"/>
    <w:qFormat/>
    <w:uiPriority w:val="0"/>
    <w:pPr>
      <w:widowControl/>
      <w:kinsoku w:val="0"/>
      <w:autoSpaceDE w:val="0"/>
      <w:autoSpaceDN w:val="0"/>
      <w:adjustRightInd w:val="0"/>
      <w:snapToGrid w:val="0"/>
      <w:ind w:firstLine="506"/>
      <w:textAlignment w:val="baseline"/>
    </w:pPr>
    <w:rPr>
      <w:rFonts w:ascii="宋体" w:hAnsi="宋体"/>
      <w:snapToGrid w:val="0"/>
      <w:color w:val="000000"/>
      <w:spacing w:val="6"/>
      <w:kern w:val="0"/>
    </w:rPr>
  </w:style>
  <w:style w:type="paragraph" w:customStyle="1" w:styleId="8">
    <w:name w:val="表格文字"/>
    <w:basedOn w:val="1"/>
    <w:qFormat/>
    <w:uiPriority w:val="0"/>
    <w:pPr>
      <w:autoSpaceDE w:val="0"/>
      <w:autoSpaceDN w:val="0"/>
      <w:spacing w:before="25" w:after="25" w:line="300" w:lineRule="auto"/>
    </w:pPr>
    <w:rPr>
      <w:rFonts w:ascii="宋体" w:hAnsi="宋体" w:eastAsia="宋体" w:cs="宋体"/>
      <w:spacing w:val="10"/>
      <w:kern w:val="0"/>
      <w:sz w:val="24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2024-03-29T03:43:00Z</dcterms:created>
  <dc:creator>梁浩华</dc:creator>
  <cp:lastModifiedBy>梁浩华</cp:lastModifiedBy>
  <dcterms:modified xsi:type="dcterms:W3CDTF">2024-03-29T03:43:25Z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ABC1816BCF3F4F39A697E0576130AC78_11</vt:lpwstr>
  </property>
</Properties>
</file>