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3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Bookman Old Style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超导螺线管磁体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ascii="宋体" w:hAnsi="宋体"/>
                <w:sz w:val="24"/>
              </w:rPr>
              <w:t>1</w:t>
            </w:r>
            <w:r>
              <w:rPr>
                <w:rFonts w:hint="eastAsia" w:ascii="宋体" w:hAnsi="宋体"/>
                <w:sz w:val="24"/>
              </w:rPr>
              <w:t>套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合同签订后 240 日内交货并安装完毕。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/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甘肃省兰州市城关区南昌路509号中国科学院近代物理研究所或研究所指定地点。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szCs w:val="21"/>
        </w:rPr>
      </w:pPr>
    </w:p>
    <w:p>
      <w:pPr>
        <w:adjustRightInd w:val="0"/>
        <w:snapToGrid w:val="0"/>
        <w:rPr>
          <w:rFonts w:hint="eastAsia" w:ascii="宋体" w:hAnsi="宋体"/>
          <w:szCs w:val="21"/>
        </w:rPr>
      </w:pPr>
    </w:p>
    <w:p>
      <w:pPr>
        <w:adjustRightInd w:val="0"/>
        <w:snapToGrid w:val="0"/>
        <w:rPr>
          <w:rFonts w:hint="eastAsia" w:ascii="宋体" w:hAnsi="宋体"/>
          <w:szCs w:val="21"/>
        </w:rPr>
      </w:pPr>
    </w:p>
    <w:p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技术规格</w:t>
      </w:r>
    </w:p>
    <w:p>
      <w:pPr>
        <w:spacing w:line="360" w:lineRule="auto"/>
        <w:ind w:left="600" w:hanging="600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一、总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rFonts w:hint="eastAsia"/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sz w:val="24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 xml:space="preserve">6  </w:t>
      </w:r>
      <w:r>
        <w:rPr>
          <w:rFonts w:hint="eastAsia"/>
          <w:sz w:val="24"/>
        </w:rPr>
        <w:t>在评标过程中，买方有权向投标人索取任何与评标有关的资料，投标人务必在接到此类要求后，在规定时间内予以答复。对于无答复的投标人，买方有权拒绝其投标。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kern w:val="44"/>
          <w:sz w:val="24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5、本技术规格书中标注“*”号的为关键技术参数，对这些关键技术参数的任何负偏离将导致废标。</w:t>
      </w:r>
    </w:p>
    <w:p>
      <w:pPr>
        <w:pStyle w:val="2"/>
        <w:spacing w:line="360" w:lineRule="auto"/>
        <w:rPr>
          <w:rFonts w:hint="eastAsia" w:hAnsi="宋体"/>
          <w:b/>
          <w:sz w:val="24"/>
          <w:szCs w:val="24"/>
        </w:rPr>
      </w:pPr>
    </w:p>
    <w:p>
      <w:pPr>
        <w:pStyle w:val="2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ascii="宋体" w:hAnsi="宋体" w:cs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 w:cs="宋体"/>
          <w:b/>
          <w:sz w:val="28"/>
        </w:rPr>
        <w:t>二、具体技术规格</w:t>
      </w:r>
    </w:p>
    <w:p>
      <w:pPr>
        <w:pStyle w:val="5"/>
        <w:spacing w:line="360" w:lineRule="auto"/>
        <w:ind w:firstLine="0" w:firstLineChars="0"/>
        <w:jc w:val="left"/>
        <w:rPr>
          <w:rFonts w:ascii="Times New Roman" w:hAnsi="Times New Roman" w:cs="仿宋"/>
          <w:b/>
          <w:sz w:val="24"/>
          <w:szCs w:val="32"/>
        </w:rPr>
      </w:pPr>
      <w:r>
        <w:rPr>
          <w:rFonts w:hint="eastAsia" w:ascii="Times New Roman" w:hAnsi="Times New Roman" w:cs="仿宋"/>
          <w:b/>
          <w:sz w:val="24"/>
          <w:szCs w:val="32"/>
        </w:rPr>
        <w:t>一、采购项目用途说明：</w:t>
      </w:r>
    </w:p>
    <w:p>
      <w:pPr>
        <w:pStyle w:val="5"/>
        <w:spacing w:line="360" w:lineRule="auto"/>
        <w:ind w:firstLine="480"/>
        <w:jc w:val="left"/>
        <w:rPr>
          <w:rFonts w:ascii="Times New Roman" w:hAnsi="Times New Roman" w:cs="仿宋"/>
          <w:sz w:val="24"/>
          <w:szCs w:val="32"/>
        </w:rPr>
      </w:pPr>
      <w:r>
        <w:rPr>
          <w:rFonts w:hint="eastAsia" w:ascii="Times New Roman" w:hAnsi="Times New Roman" w:cs="仿宋"/>
          <w:sz w:val="24"/>
          <w:szCs w:val="32"/>
        </w:rPr>
        <w:t>重离子打靶后产生次级离子束，超导螺线管磁体位于靶点位置后端，用于传输次级离子束。</w:t>
      </w:r>
    </w:p>
    <w:p>
      <w:pPr>
        <w:pStyle w:val="5"/>
        <w:numPr>
          <w:ilvl w:val="0"/>
          <w:numId w:val="2"/>
        </w:numPr>
        <w:spacing w:line="360" w:lineRule="auto"/>
        <w:ind w:firstLineChars="0"/>
        <w:jc w:val="left"/>
        <w:rPr>
          <w:rFonts w:ascii="Times New Roman" w:hAnsi="Times New Roman" w:cs="仿宋"/>
          <w:b/>
          <w:sz w:val="24"/>
          <w:szCs w:val="32"/>
        </w:rPr>
      </w:pPr>
      <w:r>
        <w:rPr>
          <w:rFonts w:hint="eastAsia" w:ascii="Times New Roman" w:hAnsi="Times New Roman" w:cs="仿宋"/>
          <w:b/>
          <w:sz w:val="24"/>
          <w:szCs w:val="32"/>
        </w:rPr>
        <w:t>工作条件：</w:t>
      </w:r>
    </w:p>
    <w:p>
      <w:pPr>
        <w:pStyle w:val="5"/>
        <w:numPr>
          <w:ilvl w:val="1"/>
          <w:numId w:val="2"/>
        </w:numPr>
        <w:spacing w:line="360" w:lineRule="auto"/>
        <w:ind w:firstLineChars="0"/>
        <w:jc w:val="left"/>
        <w:rPr>
          <w:rFonts w:ascii="Times New Roman" w:hAnsi="Times New Roman" w:cs="仿宋"/>
          <w:sz w:val="24"/>
          <w:szCs w:val="32"/>
        </w:rPr>
      </w:pPr>
      <w:r>
        <w:rPr>
          <w:rFonts w:hint="eastAsia" w:ascii="Times New Roman" w:hAnsi="Times New Roman" w:cs="仿宋"/>
          <w:sz w:val="24"/>
          <w:szCs w:val="32"/>
        </w:rPr>
        <w:t>超导螺线管磁体运行在4.2K液氦中，最大工作磁场为7.0T；</w:t>
      </w:r>
    </w:p>
    <w:p>
      <w:pPr>
        <w:pStyle w:val="5"/>
        <w:numPr>
          <w:ilvl w:val="1"/>
          <w:numId w:val="2"/>
        </w:numPr>
        <w:spacing w:line="360" w:lineRule="auto"/>
        <w:ind w:firstLineChars="0"/>
        <w:jc w:val="left"/>
        <w:rPr>
          <w:rFonts w:ascii="Times New Roman" w:hAnsi="Times New Roman" w:cs="仿宋"/>
          <w:sz w:val="24"/>
          <w:szCs w:val="32"/>
        </w:rPr>
      </w:pPr>
      <w:r>
        <w:rPr>
          <w:rFonts w:hint="eastAsia" w:ascii="Times New Roman" w:hAnsi="Times New Roman" w:cs="仿宋"/>
          <w:sz w:val="24"/>
          <w:szCs w:val="32"/>
        </w:rPr>
        <w:t>低温恒温器需实现</w:t>
      </w:r>
      <w:r>
        <w:rPr>
          <w:rFonts w:ascii="Times New Roman" w:hAnsi="Times New Roman" w:cs="仿宋"/>
          <w:sz w:val="24"/>
          <w:szCs w:val="32"/>
        </w:rPr>
        <w:t>液氦</w:t>
      </w:r>
      <w:r>
        <w:rPr>
          <w:rFonts w:hint="eastAsia" w:ascii="Times New Roman" w:hAnsi="Times New Roman" w:cs="仿宋"/>
          <w:sz w:val="24"/>
          <w:szCs w:val="32"/>
        </w:rPr>
        <w:t>零</w:t>
      </w:r>
      <w:r>
        <w:rPr>
          <w:rFonts w:ascii="Times New Roman" w:hAnsi="Times New Roman" w:cs="仿宋"/>
          <w:sz w:val="24"/>
          <w:szCs w:val="32"/>
        </w:rPr>
        <w:t>挥发储存</w:t>
      </w:r>
      <w:r>
        <w:rPr>
          <w:rFonts w:hint="eastAsia" w:ascii="Times New Roman" w:hAnsi="Times New Roman" w:cs="仿宋"/>
          <w:sz w:val="24"/>
          <w:szCs w:val="32"/>
        </w:rPr>
        <w:t>。</w:t>
      </w:r>
    </w:p>
    <w:p>
      <w:pPr>
        <w:spacing w:line="360" w:lineRule="auto"/>
        <w:jc w:val="left"/>
        <w:rPr>
          <w:rFonts w:cs="仿宋"/>
          <w:sz w:val="24"/>
          <w:szCs w:val="32"/>
        </w:rPr>
      </w:pPr>
    </w:p>
    <w:p>
      <w:pPr>
        <w:numPr>
          <w:ilvl w:val="0"/>
          <w:numId w:val="2"/>
        </w:numPr>
        <w:spacing w:line="360" w:lineRule="auto"/>
        <w:rPr>
          <w:rFonts w:cs="仿宋"/>
          <w:b/>
          <w:sz w:val="24"/>
          <w:szCs w:val="32"/>
        </w:rPr>
      </w:pPr>
      <w:r>
        <w:rPr>
          <w:rFonts w:hint="eastAsia" w:cs="仿宋"/>
          <w:b/>
          <w:sz w:val="24"/>
          <w:szCs w:val="32"/>
        </w:rPr>
        <w:t>规格、技术要求及参数：</w:t>
      </w:r>
    </w:p>
    <w:p>
      <w:pPr>
        <w:spacing w:line="360" w:lineRule="auto"/>
        <w:rPr>
          <w:rFonts w:cs="仿宋"/>
          <w:b/>
          <w:sz w:val="24"/>
          <w:szCs w:val="32"/>
        </w:rPr>
      </w:pPr>
      <w:r>
        <w:rPr>
          <w:rFonts w:hint="eastAsia" w:cs="仿宋"/>
          <w:sz w:val="24"/>
          <w:szCs w:val="32"/>
        </w:rPr>
        <w:t>（需实现的功能或者目标、需满足的质量、安全、技术规格、物理特性等，</w:t>
      </w:r>
      <w:r>
        <w:rPr>
          <w:rFonts w:hint="eastAsia" w:cs="仿宋"/>
          <w:b/>
          <w:bCs/>
          <w:sz w:val="24"/>
          <w:szCs w:val="32"/>
        </w:rPr>
        <w:t>非标产品提供技术方案和设计草图</w:t>
      </w:r>
      <w:r>
        <w:rPr>
          <w:rFonts w:hint="eastAsia" w:cs="仿宋"/>
          <w:sz w:val="24"/>
          <w:szCs w:val="32"/>
        </w:rPr>
        <w:t>）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hint="eastAsia" w:cs="仿宋"/>
          <w:bCs/>
          <w:sz w:val="24"/>
          <w:szCs w:val="32"/>
        </w:rPr>
        <w:t>2.1本采购包括超导螺线管线圈及其低温恒温器。超导螺线管主要由骨架、超导线和铝合金带、端板及失超保护单元组成。低温恒温器主要包括</w:t>
      </w:r>
      <w:r>
        <w:rPr>
          <w:rFonts w:cs="仿宋"/>
          <w:bCs/>
          <w:sz w:val="24"/>
          <w:szCs w:val="32"/>
        </w:rPr>
        <w:t>氦槽、冷屏、外杜瓦、悬挂支撑结构、维护塔</w:t>
      </w:r>
      <w:r>
        <w:rPr>
          <w:rFonts w:hint="eastAsia" w:cs="仿宋"/>
          <w:bCs/>
          <w:sz w:val="24"/>
          <w:szCs w:val="32"/>
        </w:rPr>
        <w:t>、制冷机、二元电流引线</w:t>
      </w:r>
      <w:r>
        <w:rPr>
          <w:rFonts w:cs="仿宋"/>
          <w:bCs/>
          <w:sz w:val="24"/>
          <w:szCs w:val="32"/>
        </w:rPr>
        <w:t>以及相应</w:t>
      </w:r>
      <w:r>
        <w:rPr>
          <w:rFonts w:hint="eastAsia" w:cs="仿宋"/>
          <w:bCs/>
          <w:sz w:val="24"/>
          <w:szCs w:val="32"/>
        </w:rPr>
        <w:t>温度、压力、液位监测系统。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hint="eastAsia" w:cs="仿宋"/>
          <w:bCs/>
          <w:sz w:val="24"/>
          <w:szCs w:val="32"/>
        </w:rPr>
        <w:t>2.2 线圈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# 1）超导螺线管的平方积分磁场达到6</w:t>
      </w:r>
      <w:r>
        <w:rPr>
          <w:rFonts w:ascii="Times New Roman" w:hAnsi="Times New Roman" w:cs="仿宋"/>
          <w:bCs/>
          <w:sz w:val="24"/>
          <w:szCs w:val="32"/>
        </w:rPr>
        <w:t>4.8T</w:t>
      </w:r>
      <w:r>
        <w:rPr>
          <w:rFonts w:ascii="Times New Roman" w:hAnsi="Times New Roman" w:cs="仿宋"/>
          <w:bCs/>
          <w:sz w:val="24"/>
          <w:szCs w:val="32"/>
          <w:vertAlign w:val="superscript"/>
        </w:rPr>
        <w:t>2</w:t>
      </w:r>
      <w:r>
        <w:rPr>
          <w:rFonts w:hint="eastAsia" w:ascii="Times New Roman" w:hAnsi="Times New Roman" w:cs="仿宋"/>
          <w:bCs/>
          <w:sz w:val="24"/>
          <w:szCs w:val="32"/>
        </w:rPr>
        <w:t>﹒m。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# 2）超导螺线管要求尽量减小相邻设备附近的杂散场，距螺线管中心轴向距离1</w:t>
      </w:r>
      <w:r>
        <w:rPr>
          <w:rFonts w:ascii="Times New Roman" w:hAnsi="Times New Roman" w:cs="仿宋"/>
          <w:bCs/>
          <w:sz w:val="24"/>
          <w:szCs w:val="32"/>
        </w:rPr>
        <w:t>.4</w:t>
      </w:r>
      <w:r>
        <w:rPr>
          <w:rFonts w:hint="eastAsia" w:ascii="Times New Roman" w:hAnsi="Times New Roman" w:cs="仿宋"/>
          <w:bCs/>
          <w:sz w:val="24"/>
          <w:szCs w:val="32"/>
        </w:rPr>
        <w:t>m处的轴向漏场小于3</w:t>
      </w:r>
      <w:r>
        <w:rPr>
          <w:rFonts w:ascii="Times New Roman" w:hAnsi="Times New Roman" w:cs="仿宋"/>
          <w:bCs/>
          <w:sz w:val="24"/>
          <w:szCs w:val="32"/>
        </w:rPr>
        <w:t>00</w:t>
      </w:r>
      <w:r>
        <w:rPr>
          <w:rFonts w:hint="eastAsia" w:ascii="Times New Roman" w:hAnsi="Times New Roman" w:cs="仿宋"/>
          <w:bCs/>
          <w:sz w:val="24"/>
          <w:szCs w:val="32"/>
        </w:rPr>
        <w:t>Gs，距中心1</w:t>
      </w:r>
      <w:r>
        <w:rPr>
          <w:rFonts w:ascii="Times New Roman" w:hAnsi="Times New Roman" w:cs="仿宋"/>
          <w:bCs/>
          <w:sz w:val="24"/>
          <w:szCs w:val="32"/>
        </w:rPr>
        <w:t>.6</w:t>
      </w:r>
      <w:r>
        <w:rPr>
          <w:rFonts w:hint="eastAsia" w:ascii="Times New Roman" w:hAnsi="Times New Roman" w:cs="仿宋"/>
          <w:bCs/>
          <w:sz w:val="24"/>
          <w:szCs w:val="32"/>
        </w:rPr>
        <w:t>m处径向漏场小于1</w:t>
      </w:r>
      <w:r>
        <w:rPr>
          <w:rFonts w:ascii="Times New Roman" w:hAnsi="Times New Roman" w:cs="仿宋"/>
          <w:bCs/>
          <w:sz w:val="24"/>
          <w:szCs w:val="32"/>
        </w:rPr>
        <w:t>0</w:t>
      </w:r>
      <w:r>
        <w:rPr>
          <w:rFonts w:hint="eastAsia" w:ascii="Times New Roman" w:hAnsi="Times New Roman" w:cs="仿宋"/>
          <w:bCs/>
          <w:sz w:val="24"/>
          <w:szCs w:val="32"/>
        </w:rPr>
        <w:t>Gs。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3）磁场方向定义：螺线管轴向为Z方向，水平方向为</w:t>
      </w:r>
      <w:r>
        <w:rPr>
          <w:rFonts w:ascii="Times New Roman" w:hAnsi="Times New Roman" w:cs="仿宋"/>
          <w:bCs/>
          <w:sz w:val="24"/>
          <w:szCs w:val="32"/>
        </w:rPr>
        <w:t>X</w:t>
      </w:r>
      <w:r>
        <w:rPr>
          <w:rFonts w:hint="eastAsia" w:ascii="Times New Roman" w:hAnsi="Times New Roman" w:cs="仿宋"/>
          <w:bCs/>
          <w:sz w:val="24"/>
          <w:szCs w:val="32"/>
        </w:rPr>
        <w:t>方向，垂直方向为Y方向。XYZ满足右手螺旋定则。螺线管磁场方向为束流方向。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* 4）线圈绕制前需要对骨架做好绝缘，底部采用聚酰亚胺薄膜，线圈端部采用薄G</w:t>
      </w:r>
      <w:r>
        <w:rPr>
          <w:rFonts w:ascii="Times New Roman" w:hAnsi="Times New Roman" w:cs="仿宋"/>
          <w:bCs/>
          <w:sz w:val="24"/>
          <w:szCs w:val="32"/>
        </w:rPr>
        <w:t>10</w:t>
      </w:r>
      <w:r>
        <w:rPr>
          <w:rFonts w:hint="eastAsia" w:ascii="Times New Roman" w:hAnsi="Times New Roman" w:cs="仿宋"/>
          <w:bCs/>
          <w:sz w:val="24"/>
          <w:szCs w:val="32"/>
        </w:rPr>
        <w:t>板。线圈层间采用玻璃丝布绝缘。线圈对地绝缘要求大于1GΩ</w:t>
      </w:r>
      <w:r>
        <w:rPr>
          <w:rFonts w:ascii="Times New Roman" w:hAnsi="Times New Roman" w:cs="仿宋"/>
          <w:bCs/>
          <w:sz w:val="24"/>
          <w:szCs w:val="32"/>
        </w:rPr>
        <w:t>@</w:t>
      </w:r>
      <w:r>
        <w:rPr>
          <w:rFonts w:hint="eastAsia" w:ascii="Times New Roman" w:hAnsi="Times New Roman" w:cs="仿宋"/>
          <w:bCs/>
          <w:sz w:val="24"/>
          <w:szCs w:val="32"/>
        </w:rPr>
        <w:t>2000V，匝间绝缘大于1000V。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ascii="Times New Roman" w:hAnsi="Times New Roman" w:cs="仿宋"/>
          <w:bCs/>
          <w:sz w:val="24"/>
          <w:szCs w:val="32"/>
        </w:rPr>
        <w:t>*</w:t>
      </w:r>
      <w:r>
        <w:rPr>
          <w:rFonts w:hint="eastAsia" w:ascii="Times New Roman" w:hAnsi="Times New Roman" w:cs="仿宋"/>
          <w:bCs/>
          <w:sz w:val="24"/>
          <w:szCs w:val="32"/>
        </w:rPr>
        <w:t xml:space="preserve"> 5）超导线绕制张力依据设计参数。线圈绕制过程中需要记录线圈绕制参数，包括匝数、张力、线圈尺寸。每个线圈实际绕制匝数与设计匝数差别不大于</w:t>
      </w:r>
      <w:r>
        <w:rPr>
          <w:rFonts w:ascii="Times New Roman" w:hAnsi="Times New Roman" w:cs="仿宋"/>
          <w:bCs/>
          <w:sz w:val="24"/>
          <w:szCs w:val="32"/>
        </w:rPr>
        <w:t>1</w:t>
      </w:r>
      <w:r>
        <w:rPr>
          <w:rFonts w:hint="eastAsia" w:ascii="Times New Roman" w:hAnsi="Times New Roman" w:cs="仿宋"/>
          <w:bCs/>
          <w:sz w:val="24"/>
          <w:szCs w:val="32"/>
        </w:rPr>
        <w:t>匝每层。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6）线圈绕制完成后需在外围绕制一定厚度的铝合金绑扎层</w:t>
      </w:r>
      <w:r>
        <w:rPr>
          <w:rFonts w:ascii="Times New Roman" w:hAnsi="Times New Roman" w:cs="仿宋"/>
          <w:bCs/>
          <w:sz w:val="24"/>
          <w:szCs w:val="32"/>
        </w:rPr>
        <w:t>（1.6mm*0.8mm）</w:t>
      </w:r>
      <w:r>
        <w:rPr>
          <w:rFonts w:hint="eastAsia" w:ascii="Times New Roman" w:hAnsi="Times New Roman" w:cs="仿宋"/>
          <w:bCs/>
          <w:sz w:val="24"/>
          <w:szCs w:val="32"/>
        </w:rPr>
        <w:t>以对线圈提供机械保护和预紧力。铝合金绑扎层的绕制厚度和绕制张力依据设计参数。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# 2.3超导线材采用铜比</w:t>
      </w:r>
      <w:r>
        <w:rPr>
          <w:rFonts w:ascii="Times New Roman" w:hAnsi="Times New Roman" w:cs="仿宋"/>
          <w:bCs/>
          <w:sz w:val="24"/>
          <w:szCs w:val="32"/>
        </w:rPr>
        <w:t>1.3</w:t>
      </w:r>
      <w:r>
        <w:rPr>
          <w:rFonts w:hint="eastAsia" w:ascii="Times New Roman" w:hAnsi="Times New Roman" w:cs="仿宋"/>
          <w:bCs/>
          <w:sz w:val="24"/>
          <w:szCs w:val="32"/>
        </w:rPr>
        <w:t>（6</w:t>
      </w:r>
      <w:r>
        <w:rPr>
          <w:rFonts w:ascii="Times New Roman" w:hAnsi="Times New Roman" w:cs="仿宋"/>
          <w:bCs/>
          <w:sz w:val="24"/>
          <w:szCs w:val="32"/>
        </w:rPr>
        <w:t>30</w:t>
      </w:r>
      <w:r>
        <w:rPr>
          <w:rFonts w:hint="eastAsia" w:ascii="Times New Roman" w:hAnsi="Times New Roman" w:cs="仿宋"/>
          <w:bCs/>
          <w:sz w:val="24"/>
          <w:szCs w:val="32"/>
        </w:rPr>
        <w:t>芯）和铜比4的矩形线，规格1</w:t>
      </w:r>
      <w:r>
        <w:rPr>
          <w:rFonts w:ascii="Times New Roman" w:hAnsi="Times New Roman" w:cs="仿宋"/>
          <w:bCs/>
          <w:sz w:val="24"/>
          <w:szCs w:val="32"/>
        </w:rPr>
        <w:t>.28</w:t>
      </w:r>
      <w:r>
        <w:rPr>
          <w:rFonts w:hint="eastAsia" w:ascii="Times New Roman" w:hAnsi="Times New Roman" w:cs="仿宋"/>
          <w:bCs/>
          <w:sz w:val="24"/>
          <w:szCs w:val="32"/>
        </w:rPr>
        <w:t>mm×</w:t>
      </w:r>
      <w:r>
        <w:rPr>
          <w:rFonts w:ascii="Times New Roman" w:hAnsi="Times New Roman" w:cs="仿宋"/>
          <w:bCs/>
          <w:sz w:val="24"/>
          <w:szCs w:val="32"/>
        </w:rPr>
        <w:t>0.83</w:t>
      </w:r>
      <w:r>
        <w:rPr>
          <w:rFonts w:hint="eastAsia" w:ascii="Times New Roman" w:hAnsi="Times New Roman" w:cs="仿宋"/>
          <w:bCs/>
          <w:sz w:val="24"/>
          <w:szCs w:val="32"/>
        </w:rPr>
        <w:t>mm。临界电流值（铜比1</w:t>
      </w:r>
      <w:r>
        <w:rPr>
          <w:rFonts w:ascii="Times New Roman" w:hAnsi="Times New Roman" w:cs="仿宋"/>
          <w:bCs/>
          <w:sz w:val="24"/>
          <w:szCs w:val="32"/>
        </w:rPr>
        <w:t>.3</w:t>
      </w:r>
      <w:r>
        <w:rPr>
          <w:rFonts w:hint="eastAsia" w:ascii="Times New Roman" w:hAnsi="Times New Roman" w:cs="仿宋"/>
          <w:bCs/>
          <w:sz w:val="24"/>
          <w:szCs w:val="32"/>
        </w:rPr>
        <w:t>）Ic&gt;</w:t>
      </w:r>
      <w:r>
        <w:rPr>
          <w:rFonts w:ascii="Times New Roman" w:hAnsi="Times New Roman" w:cs="仿宋"/>
          <w:bCs/>
          <w:sz w:val="24"/>
          <w:szCs w:val="32"/>
        </w:rPr>
        <w:t>540A@7T</w:t>
      </w:r>
      <w:r>
        <w:rPr>
          <w:rFonts w:hint="eastAsia" w:ascii="Times New Roman" w:hAnsi="Times New Roman" w:cs="仿宋"/>
          <w:bCs/>
          <w:sz w:val="24"/>
          <w:szCs w:val="32"/>
        </w:rPr>
        <w:t>，Ic</w:t>
      </w:r>
      <w:r>
        <w:rPr>
          <w:rFonts w:ascii="Times New Roman" w:hAnsi="Times New Roman" w:cs="仿宋"/>
          <w:bCs/>
          <w:sz w:val="24"/>
          <w:szCs w:val="32"/>
        </w:rPr>
        <w:t>&gt;330</w:t>
      </w:r>
      <w:r>
        <w:rPr>
          <w:rFonts w:hint="eastAsia" w:ascii="Times New Roman" w:hAnsi="Times New Roman" w:cs="仿宋"/>
          <w:bCs/>
          <w:sz w:val="24"/>
          <w:szCs w:val="32"/>
        </w:rPr>
        <w:t>A</w:t>
      </w:r>
      <w:r>
        <w:rPr>
          <w:rFonts w:ascii="Times New Roman" w:hAnsi="Times New Roman" w:cs="仿宋"/>
          <w:bCs/>
          <w:sz w:val="24"/>
          <w:szCs w:val="32"/>
        </w:rPr>
        <w:t>@8</w:t>
      </w:r>
      <w:r>
        <w:rPr>
          <w:rFonts w:hint="eastAsia" w:ascii="Times New Roman" w:hAnsi="Times New Roman" w:cs="仿宋"/>
          <w:bCs/>
          <w:sz w:val="24"/>
          <w:szCs w:val="32"/>
        </w:rPr>
        <w:t>T；（铜比4）Ic</w:t>
      </w:r>
      <w:r>
        <w:rPr>
          <w:rFonts w:ascii="Times New Roman" w:hAnsi="Times New Roman" w:cs="仿宋"/>
          <w:bCs/>
          <w:sz w:val="24"/>
          <w:szCs w:val="32"/>
        </w:rPr>
        <w:t>&gt;500A@4T</w:t>
      </w:r>
      <w:r>
        <w:rPr>
          <w:rFonts w:hint="eastAsia" w:ascii="Times New Roman" w:hAnsi="Times New Roman" w:cs="仿宋"/>
          <w:bCs/>
          <w:sz w:val="24"/>
          <w:szCs w:val="32"/>
        </w:rPr>
        <w:t>，</w:t>
      </w:r>
      <w:r>
        <w:rPr>
          <w:rFonts w:ascii="Times New Roman" w:hAnsi="Times New Roman" w:cs="仿宋"/>
          <w:bCs/>
          <w:sz w:val="24"/>
          <w:szCs w:val="32"/>
        </w:rPr>
        <w:t>&gt;420A@5</w:t>
      </w:r>
      <w:r>
        <w:rPr>
          <w:rFonts w:hint="eastAsia" w:ascii="Times New Roman" w:hAnsi="Times New Roman" w:cs="仿宋"/>
          <w:bCs/>
          <w:sz w:val="24"/>
          <w:szCs w:val="32"/>
        </w:rPr>
        <w:t>T，&gt;</w:t>
      </w:r>
      <w:r>
        <w:rPr>
          <w:rFonts w:ascii="Times New Roman" w:hAnsi="Times New Roman" w:cs="仿宋"/>
          <w:bCs/>
          <w:sz w:val="24"/>
          <w:szCs w:val="32"/>
        </w:rPr>
        <w:t>325A@6</w:t>
      </w:r>
      <w:r>
        <w:rPr>
          <w:rFonts w:hint="eastAsia" w:ascii="Times New Roman" w:hAnsi="Times New Roman" w:cs="仿宋"/>
          <w:bCs/>
          <w:sz w:val="24"/>
          <w:szCs w:val="32"/>
        </w:rPr>
        <w:t>T。</w:t>
      </w:r>
    </w:p>
    <w:p>
      <w:pPr>
        <w:pStyle w:val="5"/>
        <w:tabs>
          <w:tab w:val="left" w:pos="2077"/>
        </w:tabs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2.4加工和装配</w:t>
      </w:r>
      <w:r>
        <w:rPr>
          <w:rFonts w:ascii="Times New Roman" w:hAnsi="Times New Roman" w:cs="仿宋"/>
          <w:bCs/>
          <w:sz w:val="24"/>
          <w:szCs w:val="32"/>
        </w:rPr>
        <w:tab/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1）螺线管磁场的磁轴和机械中心的偏差要求小于0.3mm。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2）螺线管主线圈和匀场线圈分别安装在不同的骨架上，通过两端的不锈钢端板进行连接。主线圈骨架上设置必要的定位轴肩，确保主线圈骨架和不锈钢端板、氦槽端板之间的精准定位。主线圈骨架和屏蔽线圈骨架的同轴度小于0</w:t>
      </w:r>
      <w:r>
        <w:rPr>
          <w:rFonts w:ascii="Times New Roman" w:hAnsi="Times New Roman" w:cs="仿宋"/>
          <w:bCs/>
          <w:sz w:val="24"/>
          <w:szCs w:val="32"/>
        </w:rPr>
        <w:t>.1</w:t>
      </w:r>
      <w:r>
        <w:rPr>
          <w:rFonts w:hint="eastAsia" w:ascii="Times New Roman" w:hAnsi="Times New Roman" w:cs="仿宋"/>
          <w:bCs/>
          <w:sz w:val="24"/>
          <w:szCs w:val="32"/>
        </w:rPr>
        <w:t>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2.5低温恒温器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# 1）温孔尺寸不小于φ300</w:t>
      </w:r>
      <w:r>
        <w:rPr>
          <w:rFonts w:ascii="Times New Roman" w:hAnsi="Times New Roman" w:cs="仿宋"/>
          <w:bCs/>
          <w:sz w:val="24"/>
          <w:szCs w:val="32"/>
          <w:vertAlign w:val="superscript"/>
        </w:rPr>
        <w:t>+0.1</w:t>
      </w:r>
      <w:r>
        <w:rPr>
          <w:rFonts w:ascii="Times New Roman" w:hAnsi="Times New Roman" w:cs="仿宋"/>
          <w:bCs/>
          <w:sz w:val="24"/>
          <w:szCs w:val="32"/>
        </w:rPr>
        <w:t>mm</w:t>
      </w:r>
      <w:r>
        <w:rPr>
          <w:rFonts w:hint="eastAsia" w:ascii="Times New Roman" w:hAnsi="Times New Roman" w:cs="仿宋"/>
          <w:bCs/>
          <w:sz w:val="24"/>
          <w:szCs w:val="32"/>
        </w:rPr>
        <w:t>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# 2）室温孔</w:t>
      </w:r>
      <w:r>
        <w:rPr>
          <w:rFonts w:ascii="Times New Roman" w:hAnsi="Times New Roman" w:cs="仿宋"/>
          <w:bCs/>
          <w:sz w:val="24"/>
          <w:szCs w:val="32"/>
        </w:rPr>
        <w:t>与</w:t>
      </w:r>
      <w:r>
        <w:rPr>
          <w:rFonts w:hint="eastAsia" w:ascii="Times New Roman" w:hAnsi="Times New Roman" w:cs="仿宋"/>
          <w:bCs/>
          <w:sz w:val="24"/>
          <w:szCs w:val="32"/>
        </w:rPr>
        <w:t>螺线管骨架</w:t>
      </w:r>
      <w:r>
        <w:rPr>
          <w:rFonts w:ascii="Times New Roman" w:hAnsi="Times New Roman" w:cs="仿宋"/>
          <w:bCs/>
          <w:sz w:val="24"/>
          <w:szCs w:val="32"/>
        </w:rPr>
        <w:t>同心度</w:t>
      </w:r>
      <w:r>
        <w:rPr>
          <w:rFonts w:hint="eastAsia" w:ascii="Times New Roman" w:hAnsi="Times New Roman" w:cs="仿宋"/>
          <w:bCs/>
          <w:sz w:val="24"/>
          <w:szCs w:val="32"/>
        </w:rPr>
        <w:t>优于±0.1mm。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3）采用制冷机运行的</w:t>
      </w:r>
      <w:r>
        <w:rPr>
          <w:rFonts w:ascii="Times New Roman" w:hAnsi="Times New Roman" w:cs="仿宋"/>
          <w:bCs/>
          <w:sz w:val="24"/>
          <w:szCs w:val="32"/>
        </w:rPr>
        <w:t>液氦</w:t>
      </w:r>
      <w:r>
        <w:rPr>
          <w:rFonts w:hint="eastAsia" w:ascii="Times New Roman" w:hAnsi="Times New Roman" w:cs="仿宋"/>
          <w:bCs/>
          <w:sz w:val="24"/>
          <w:szCs w:val="32"/>
        </w:rPr>
        <w:t>储存模式，可</w:t>
      </w:r>
      <w:r>
        <w:rPr>
          <w:rFonts w:ascii="Times New Roman" w:hAnsi="Times New Roman" w:cs="仿宋"/>
          <w:bCs/>
          <w:sz w:val="24"/>
          <w:szCs w:val="32"/>
        </w:rPr>
        <w:t>实现液氦</w:t>
      </w:r>
      <w:r>
        <w:rPr>
          <w:rFonts w:hint="eastAsia" w:ascii="Times New Roman" w:hAnsi="Times New Roman" w:cs="仿宋"/>
          <w:bCs/>
          <w:sz w:val="24"/>
          <w:szCs w:val="32"/>
        </w:rPr>
        <w:t>零</w:t>
      </w:r>
      <w:r>
        <w:rPr>
          <w:rFonts w:ascii="Times New Roman" w:hAnsi="Times New Roman" w:cs="仿宋"/>
          <w:bCs/>
          <w:sz w:val="24"/>
          <w:szCs w:val="32"/>
        </w:rPr>
        <w:t>挥发储存</w:t>
      </w:r>
      <w:r>
        <w:rPr>
          <w:rFonts w:hint="eastAsia" w:ascii="Times New Roman" w:hAnsi="Times New Roman" w:cs="仿宋"/>
          <w:bCs/>
          <w:sz w:val="24"/>
          <w:szCs w:val="32"/>
        </w:rPr>
        <w:t>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4）磁体励磁运行</w:t>
      </w:r>
      <w:r>
        <w:rPr>
          <w:rFonts w:ascii="Times New Roman" w:hAnsi="Times New Roman" w:cs="仿宋"/>
          <w:bCs/>
          <w:sz w:val="24"/>
          <w:szCs w:val="32"/>
        </w:rPr>
        <w:t>超过12小时后，低温系统运行稳定可靠</w:t>
      </w:r>
      <w:r>
        <w:rPr>
          <w:rFonts w:hint="eastAsia" w:ascii="Times New Roman" w:hAnsi="Times New Roman" w:cs="仿宋"/>
          <w:bCs/>
          <w:sz w:val="24"/>
          <w:szCs w:val="32"/>
        </w:rPr>
        <w:t>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* 5）</w:t>
      </w:r>
      <w:r>
        <w:rPr>
          <w:rFonts w:ascii="Times New Roman" w:hAnsi="Times New Roman" w:cs="仿宋"/>
          <w:bCs/>
          <w:sz w:val="24"/>
          <w:szCs w:val="32"/>
        </w:rPr>
        <w:t>常温外杜瓦漏率优于5.0×10</w:t>
      </w:r>
      <w:r>
        <w:rPr>
          <w:rFonts w:ascii="Times New Roman" w:hAnsi="Times New Roman" w:cs="仿宋"/>
          <w:bCs/>
          <w:sz w:val="24"/>
          <w:szCs w:val="32"/>
          <w:vertAlign w:val="superscript"/>
        </w:rPr>
        <w:t>-9</w:t>
      </w:r>
      <w:r>
        <w:rPr>
          <w:rFonts w:ascii="Times New Roman" w:hAnsi="Times New Roman" w:cs="仿宋"/>
          <w:bCs/>
          <w:sz w:val="24"/>
          <w:szCs w:val="32"/>
        </w:rPr>
        <w:t xml:space="preserve"> Pa·m</w:t>
      </w:r>
      <w:r>
        <w:rPr>
          <w:rFonts w:ascii="Times New Roman" w:hAnsi="Times New Roman" w:cs="Calibri"/>
          <w:bCs/>
          <w:sz w:val="24"/>
          <w:szCs w:val="32"/>
        </w:rPr>
        <w:t>³</w:t>
      </w:r>
      <w:r>
        <w:rPr>
          <w:rFonts w:ascii="Times New Roman" w:hAnsi="Times New Roman" w:cs="仿宋"/>
          <w:bCs/>
          <w:sz w:val="24"/>
          <w:szCs w:val="32"/>
        </w:rPr>
        <w:t>/s</w:t>
      </w:r>
      <w:r>
        <w:rPr>
          <w:rFonts w:hint="eastAsia" w:ascii="Times New Roman" w:hAnsi="Times New Roman" w:cs="仿宋"/>
          <w:bCs/>
          <w:sz w:val="24"/>
          <w:szCs w:val="32"/>
        </w:rPr>
        <w:t>；</w:t>
      </w:r>
      <w:r>
        <w:rPr>
          <w:rFonts w:ascii="Times New Roman" w:hAnsi="Times New Roman" w:cs="仿宋"/>
          <w:bCs/>
          <w:sz w:val="24"/>
          <w:szCs w:val="32"/>
        </w:rPr>
        <w:t>4.2K状态夹层真空度优于2.0×10</w:t>
      </w:r>
      <w:r>
        <w:rPr>
          <w:rFonts w:ascii="Times New Roman" w:hAnsi="Times New Roman" w:cs="仿宋"/>
          <w:bCs/>
          <w:sz w:val="24"/>
          <w:szCs w:val="32"/>
          <w:vertAlign w:val="superscript"/>
        </w:rPr>
        <w:t>-4</w:t>
      </w:r>
      <w:r>
        <w:rPr>
          <w:rFonts w:ascii="Times New Roman" w:hAnsi="Times New Roman" w:cs="仿宋"/>
          <w:bCs/>
          <w:sz w:val="24"/>
          <w:szCs w:val="32"/>
        </w:rPr>
        <w:t xml:space="preserve"> Pa</w:t>
      </w:r>
      <w:r>
        <w:rPr>
          <w:rFonts w:hint="eastAsia" w:ascii="Times New Roman" w:hAnsi="Times New Roman" w:cs="仿宋"/>
          <w:bCs/>
          <w:sz w:val="24"/>
          <w:szCs w:val="32"/>
        </w:rPr>
        <w:t>。</w:t>
      </w:r>
    </w:p>
    <w:p>
      <w:pPr>
        <w:pStyle w:val="5"/>
        <w:spacing w:line="360" w:lineRule="auto"/>
        <w:ind w:firstLine="0" w:firstLineChars="0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2.6失超保护系统采用直流供电与二极管分段被动保护方式。失超保护要求：采用二极管分段被动保护方式，二极管组件需考虑辐照防护；每个保护回路超导接头两端引出电压信号抽头（备份一根），用于失超过程中的电压监测。</w:t>
      </w:r>
    </w:p>
    <w:p>
      <w:pPr>
        <w:pStyle w:val="5"/>
        <w:spacing w:line="360" w:lineRule="auto"/>
        <w:ind w:firstLine="0" w:firstLineChars="0"/>
        <w:jc w:val="left"/>
        <w:rPr>
          <w:rFonts w:ascii="Times New Roman" w:hAnsi="Times New Roman" w:cs="仿宋"/>
          <w:b/>
          <w:sz w:val="24"/>
          <w:szCs w:val="32"/>
        </w:rPr>
      </w:pPr>
      <w:r>
        <w:rPr>
          <w:rFonts w:hint="eastAsia" w:ascii="Times New Roman" w:hAnsi="Times New Roman" w:cs="仿宋"/>
          <w:b/>
          <w:sz w:val="24"/>
          <w:szCs w:val="32"/>
        </w:rPr>
        <w:t>3.技术服务条款：</w:t>
      </w:r>
    </w:p>
    <w:p>
      <w:pPr>
        <w:pStyle w:val="5"/>
        <w:spacing w:line="360" w:lineRule="auto"/>
        <w:ind w:firstLine="0" w:firstLineChars="0"/>
        <w:jc w:val="left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3.1.设计方案确认：设计方案形成word报告，并由甲方组织评审。评审通过后，进行超导螺线管的相关服务。</w:t>
      </w:r>
    </w:p>
    <w:p>
      <w:pPr>
        <w:pStyle w:val="5"/>
        <w:spacing w:line="360" w:lineRule="auto"/>
        <w:ind w:firstLine="0" w:firstLineChars="0"/>
        <w:jc w:val="left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3.2.最终验收：按照以上第2条“规格、技术要求及参数”执行相关验收。</w:t>
      </w:r>
    </w:p>
    <w:p>
      <w:pPr>
        <w:pStyle w:val="5"/>
        <w:spacing w:line="360" w:lineRule="auto"/>
        <w:ind w:firstLine="0" w:firstLineChars="0"/>
        <w:jc w:val="left"/>
        <w:rPr>
          <w:rFonts w:ascii="Times New Roman" w:hAnsi="Times New Roman" w:cs="仿宋"/>
          <w:bCs/>
          <w:sz w:val="24"/>
          <w:szCs w:val="32"/>
        </w:rPr>
      </w:pPr>
      <w:r>
        <w:rPr>
          <w:rFonts w:hint="eastAsia" w:ascii="Times New Roman" w:hAnsi="Times New Roman" w:cs="仿宋"/>
          <w:bCs/>
          <w:sz w:val="24"/>
          <w:szCs w:val="32"/>
        </w:rPr>
        <w:t>3</w:t>
      </w:r>
      <w:r>
        <w:rPr>
          <w:rFonts w:ascii="Times New Roman" w:hAnsi="Times New Roman" w:cs="仿宋"/>
          <w:bCs/>
          <w:sz w:val="24"/>
          <w:szCs w:val="32"/>
        </w:rPr>
        <w:t xml:space="preserve">.3. </w:t>
      </w:r>
      <w:r>
        <w:rPr>
          <w:rFonts w:hint="eastAsia" w:ascii="Times New Roman" w:hAnsi="Times New Roman" w:cs="仿宋"/>
          <w:bCs/>
          <w:sz w:val="24"/>
          <w:szCs w:val="32"/>
        </w:rPr>
        <w:t>验收方法：由甲方组织相关人员进行包装、外观及性能验收，乙方人员可参与。</w:t>
      </w:r>
    </w:p>
    <w:p>
      <w:pPr>
        <w:pStyle w:val="5"/>
        <w:spacing w:line="360" w:lineRule="auto"/>
        <w:ind w:firstLine="0" w:firstLineChars="0"/>
        <w:jc w:val="left"/>
        <w:rPr>
          <w:rFonts w:ascii="Times New Roman" w:hAnsi="Times New Roman" w:cs="仿宋"/>
          <w:b/>
          <w:bCs/>
          <w:sz w:val="24"/>
          <w:szCs w:val="32"/>
        </w:rPr>
      </w:pPr>
    </w:p>
    <w:p>
      <w:pPr>
        <w:numPr>
          <w:ilvl w:val="0"/>
          <w:numId w:val="3"/>
        </w:numPr>
        <w:spacing w:line="360" w:lineRule="auto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采购标的需执行的国家相关标准、行业标准、地方标准或者其他标准、规范：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cs="仿宋"/>
          <w:bCs/>
          <w:sz w:val="24"/>
          <w:szCs w:val="32"/>
        </w:rPr>
        <w:t xml:space="preserve">2.1 GB/T 19867.2-2008 </w:t>
      </w:r>
      <w:r>
        <w:rPr>
          <w:rFonts w:hint="eastAsia" w:cs="仿宋"/>
          <w:bCs/>
          <w:sz w:val="24"/>
          <w:szCs w:val="32"/>
        </w:rPr>
        <w:t>气焊焊接工艺规程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cs="仿宋"/>
          <w:bCs/>
          <w:sz w:val="24"/>
          <w:szCs w:val="32"/>
        </w:rPr>
        <w:t>2.</w:t>
      </w:r>
      <w:r>
        <w:rPr>
          <w:rFonts w:hint="eastAsia" w:cs="仿宋"/>
          <w:bCs/>
          <w:sz w:val="24"/>
          <w:szCs w:val="32"/>
        </w:rPr>
        <w:t>2</w:t>
      </w:r>
      <w:r>
        <w:rPr>
          <w:rFonts w:cs="仿宋"/>
          <w:bCs/>
          <w:sz w:val="24"/>
          <w:szCs w:val="32"/>
        </w:rPr>
        <w:t xml:space="preserve"> GB-150</w:t>
      </w:r>
      <w:r>
        <w:rPr>
          <w:rFonts w:hint="eastAsia" w:cs="仿宋"/>
          <w:bCs/>
          <w:sz w:val="24"/>
          <w:szCs w:val="32"/>
        </w:rPr>
        <w:t>《压力容器》、</w:t>
      </w:r>
      <w:r>
        <w:rPr>
          <w:rFonts w:cs="仿宋"/>
          <w:bCs/>
          <w:sz w:val="24"/>
          <w:szCs w:val="32"/>
        </w:rPr>
        <w:t>GB/T 18442-2019</w:t>
      </w:r>
      <w:r>
        <w:rPr>
          <w:rFonts w:hint="eastAsia" w:cs="仿宋"/>
          <w:bCs/>
          <w:sz w:val="24"/>
          <w:szCs w:val="32"/>
        </w:rPr>
        <w:t>《固定式真空绝热深冷压力容器》、JB</w:t>
      </w:r>
      <w:r>
        <w:rPr>
          <w:rFonts w:cs="仿宋"/>
          <w:bCs/>
          <w:sz w:val="24"/>
          <w:szCs w:val="32"/>
        </w:rPr>
        <w:t>4732-1995</w:t>
      </w:r>
      <w:r>
        <w:rPr>
          <w:rFonts w:hint="eastAsia" w:cs="仿宋"/>
          <w:bCs/>
          <w:sz w:val="24"/>
          <w:szCs w:val="32"/>
        </w:rPr>
        <w:t>（R</w:t>
      </w:r>
      <w:r>
        <w:rPr>
          <w:rFonts w:cs="仿宋"/>
          <w:bCs/>
          <w:sz w:val="24"/>
          <w:szCs w:val="32"/>
        </w:rPr>
        <w:t>2005</w:t>
      </w:r>
      <w:r>
        <w:rPr>
          <w:rFonts w:hint="eastAsia" w:cs="仿宋"/>
          <w:bCs/>
          <w:sz w:val="24"/>
          <w:szCs w:val="32"/>
        </w:rPr>
        <w:t>）钢制压力容器-分析设计标准</w:t>
      </w:r>
    </w:p>
    <w:p>
      <w:pPr>
        <w:numPr>
          <w:ilvl w:val="0"/>
          <w:numId w:val="3"/>
        </w:numPr>
        <w:spacing w:line="360" w:lineRule="auto"/>
        <w:rPr>
          <w:rFonts w:cs="仿宋"/>
          <w:b/>
          <w:bCs/>
          <w:sz w:val="24"/>
          <w:szCs w:val="32"/>
        </w:rPr>
      </w:pPr>
      <w:bookmarkStart w:id="0" w:name="_Toc230357439"/>
      <w:bookmarkStart w:id="1" w:name="_Toc403258042"/>
      <w:bookmarkStart w:id="2" w:name="_Toc289948435"/>
      <w:bookmarkStart w:id="3" w:name="_Toc258264687"/>
      <w:r>
        <w:rPr>
          <w:rFonts w:hint="eastAsia" w:cs="仿宋"/>
          <w:b/>
          <w:bCs/>
          <w:sz w:val="24"/>
          <w:szCs w:val="32"/>
        </w:rPr>
        <w:t>售后服务要求：（其他）</w:t>
      </w:r>
    </w:p>
    <w:p>
      <w:pPr>
        <w:spacing w:line="360" w:lineRule="auto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（应包括采购标的需满足的技术服务条款中所涉要求、标准、期限、效率等要求)：</w:t>
      </w:r>
    </w:p>
    <w:p>
      <w:pPr>
        <w:spacing w:line="360" w:lineRule="auto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3.</w:t>
      </w:r>
      <w:r>
        <w:rPr>
          <w:rFonts w:cs="仿宋"/>
          <w:b/>
          <w:bCs/>
          <w:sz w:val="24"/>
          <w:szCs w:val="32"/>
        </w:rPr>
        <w:t>1</w:t>
      </w:r>
      <w:r>
        <w:rPr>
          <w:rFonts w:hint="eastAsia" w:cs="仿宋"/>
          <w:b/>
          <w:bCs/>
          <w:sz w:val="24"/>
          <w:szCs w:val="32"/>
        </w:rPr>
        <w:t xml:space="preserve">.质保期要求在 </w:t>
      </w:r>
      <w:r>
        <w:rPr>
          <w:rFonts w:cs="仿宋"/>
          <w:b/>
          <w:bCs/>
          <w:sz w:val="24"/>
          <w:szCs w:val="32"/>
        </w:rPr>
        <w:t>1</w:t>
      </w:r>
      <w:r>
        <w:rPr>
          <w:rFonts w:hint="eastAsia" w:cs="仿宋"/>
          <w:b/>
          <w:bCs/>
          <w:sz w:val="24"/>
          <w:szCs w:val="32"/>
        </w:rPr>
        <w:t xml:space="preserve">  年以上。</w:t>
      </w:r>
    </w:p>
    <w:p>
      <w:pPr>
        <w:spacing w:line="360" w:lineRule="auto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质保期内，任何由制造商选材和制造不当引起的质量问题，厂商负责免费维修或更换。质保期自验收完成后签字之日起计算。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hint="eastAsia" w:cs="仿宋"/>
          <w:bCs/>
          <w:sz w:val="24"/>
          <w:szCs w:val="32"/>
        </w:rPr>
        <w:t>3.2.维修响应时间：4</w:t>
      </w:r>
      <w:r>
        <w:rPr>
          <w:rFonts w:cs="仿宋"/>
          <w:bCs/>
          <w:sz w:val="24"/>
          <w:szCs w:val="32"/>
        </w:rPr>
        <w:t>8</w:t>
      </w:r>
      <w:r>
        <w:rPr>
          <w:rFonts w:hint="eastAsia" w:cs="仿宋"/>
          <w:bCs/>
          <w:sz w:val="24"/>
          <w:szCs w:val="32"/>
        </w:rPr>
        <w:t>小时内。</w:t>
      </w:r>
    </w:p>
    <w:p>
      <w:pPr>
        <w:spacing w:line="360" w:lineRule="auto"/>
        <w:rPr>
          <w:rFonts w:cs="仿宋"/>
          <w:bCs/>
          <w:sz w:val="24"/>
          <w:szCs w:val="32"/>
        </w:rPr>
      </w:pPr>
    </w:p>
    <w:p>
      <w:pPr>
        <w:spacing w:line="360" w:lineRule="auto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四、验收标准：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hint="eastAsia" w:cs="仿宋"/>
          <w:bCs/>
          <w:sz w:val="24"/>
          <w:szCs w:val="32"/>
        </w:rPr>
        <w:t>4.1.</w:t>
      </w:r>
      <w:r>
        <w:rPr>
          <w:rFonts w:cs="仿宋"/>
          <w:bCs/>
          <w:sz w:val="24"/>
          <w:szCs w:val="32"/>
        </w:rPr>
        <w:t xml:space="preserve"> </w:t>
      </w:r>
      <w:r>
        <w:rPr>
          <w:rFonts w:hint="eastAsia" w:cs="仿宋"/>
          <w:bCs/>
          <w:sz w:val="24"/>
          <w:szCs w:val="32"/>
        </w:rPr>
        <w:t>设备到货：包装完好，外观无划痕等。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hint="eastAsia" w:cs="仿宋"/>
          <w:bCs/>
          <w:sz w:val="24"/>
          <w:szCs w:val="32"/>
        </w:rPr>
        <w:t>4</w:t>
      </w:r>
      <w:r>
        <w:rPr>
          <w:rFonts w:cs="仿宋"/>
          <w:bCs/>
          <w:sz w:val="24"/>
          <w:szCs w:val="32"/>
        </w:rPr>
        <w:t>.2.</w:t>
      </w:r>
      <w:r>
        <w:rPr>
          <w:rFonts w:hint="eastAsia"/>
          <w:sz w:val="24"/>
        </w:rPr>
        <w:t xml:space="preserve"> </w:t>
      </w:r>
      <w:r>
        <w:rPr>
          <w:rFonts w:hint="eastAsia" w:cs="仿宋"/>
          <w:bCs/>
          <w:sz w:val="24"/>
          <w:szCs w:val="32"/>
        </w:rPr>
        <w:t>依次分别对超导螺线管进行设计验收、过程验收、</w:t>
      </w:r>
      <w:r>
        <w:rPr>
          <w:rFonts w:cs="仿宋"/>
          <w:bCs/>
          <w:sz w:val="24"/>
          <w:szCs w:val="32"/>
        </w:rPr>
        <w:t>出厂试验及现场测试验收</w:t>
      </w:r>
      <w:r>
        <w:rPr>
          <w:rFonts w:hint="eastAsia" w:cs="仿宋"/>
          <w:bCs/>
          <w:sz w:val="24"/>
          <w:szCs w:val="32"/>
        </w:rPr>
        <w:t>。</w:t>
      </w:r>
    </w:p>
    <w:p>
      <w:pPr>
        <w:spacing w:line="360" w:lineRule="auto"/>
        <w:rPr>
          <w:rFonts w:cs="仿宋"/>
          <w:bCs/>
          <w:sz w:val="24"/>
          <w:szCs w:val="32"/>
        </w:rPr>
      </w:pPr>
      <w:r>
        <w:rPr>
          <w:rFonts w:hint="eastAsia" w:cs="仿宋"/>
          <w:bCs/>
          <w:sz w:val="24"/>
          <w:szCs w:val="32"/>
        </w:rPr>
        <w:t>4.3.</w:t>
      </w:r>
      <w:r>
        <w:rPr>
          <w:rFonts w:cs="仿宋"/>
          <w:bCs/>
          <w:sz w:val="24"/>
          <w:szCs w:val="32"/>
        </w:rPr>
        <w:t xml:space="preserve"> </w:t>
      </w:r>
      <w:r>
        <w:rPr>
          <w:rFonts w:hint="eastAsia" w:cs="仿宋"/>
          <w:bCs/>
          <w:sz w:val="24"/>
          <w:szCs w:val="32"/>
        </w:rPr>
        <w:t>到货低温测试验收：</w:t>
      </w:r>
      <w:r>
        <w:rPr>
          <w:rFonts w:cs="仿宋"/>
          <w:bCs/>
          <w:sz w:val="24"/>
          <w:szCs w:val="32"/>
        </w:rPr>
        <w:t xml:space="preserve"> </w:t>
      </w:r>
    </w:p>
    <w:p>
      <w:pPr>
        <w:spacing w:line="360" w:lineRule="auto"/>
        <w:rPr>
          <w:rFonts w:cs="仿宋"/>
          <w:b/>
          <w:bCs/>
          <w:sz w:val="24"/>
          <w:szCs w:val="32"/>
        </w:rPr>
      </w:pPr>
    </w:p>
    <w:bookmarkEnd w:id="0"/>
    <w:bookmarkEnd w:id="1"/>
    <w:bookmarkEnd w:id="2"/>
    <w:bookmarkEnd w:id="3"/>
    <w:p>
      <w:pPr>
        <w:numPr>
          <w:ilvl w:val="0"/>
          <w:numId w:val="4"/>
        </w:numPr>
        <w:spacing w:line="360" w:lineRule="auto"/>
        <w:jc w:val="left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交货地点：</w:t>
      </w:r>
    </w:p>
    <w:p>
      <w:pPr>
        <w:spacing w:line="360" w:lineRule="auto"/>
        <w:ind w:firstLine="480" w:firstLineChars="200"/>
        <w:jc w:val="left"/>
        <w:rPr>
          <w:rFonts w:cs="仿宋"/>
          <w:sz w:val="24"/>
          <w:szCs w:val="32"/>
        </w:rPr>
      </w:pPr>
      <w:r>
        <w:rPr>
          <w:rFonts w:hint="eastAsia" w:cs="仿宋"/>
          <w:sz w:val="24"/>
          <w:szCs w:val="32"/>
        </w:rPr>
        <w:t>甘肃省兰州市城关区南昌路509号中国科学院近代物理研究所或研究所指定地点。</w:t>
      </w:r>
    </w:p>
    <w:p>
      <w:pPr>
        <w:numPr>
          <w:ilvl w:val="0"/>
          <w:numId w:val="4"/>
        </w:numPr>
        <w:spacing w:line="360" w:lineRule="auto"/>
        <w:rPr>
          <w:rFonts w:cs="仿宋"/>
          <w:b/>
          <w:bCs/>
          <w:sz w:val="24"/>
          <w:szCs w:val="32"/>
        </w:rPr>
      </w:pPr>
      <w:r>
        <w:rPr>
          <w:rFonts w:hint="eastAsia" w:cs="仿宋"/>
          <w:b/>
          <w:bCs/>
          <w:sz w:val="24"/>
          <w:szCs w:val="32"/>
        </w:rPr>
        <w:t>交货期：</w:t>
      </w:r>
      <w:r>
        <w:rPr>
          <w:rFonts w:hint="eastAsia" w:cs="仿宋"/>
          <w:sz w:val="24"/>
          <w:szCs w:val="32"/>
        </w:rPr>
        <w:t>合同签订后 240 日内交货并安装完毕。</w:t>
      </w:r>
    </w:p>
    <w:p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2FEB78"/>
    <w:multiLevelType w:val="singleLevel"/>
    <w:tmpl w:val="F52FEB7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754ED2"/>
    <w:multiLevelType w:val="multilevel"/>
    <w:tmpl w:val="24754ED2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69CC3875"/>
    <w:multiLevelType w:val="singleLevel"/>
    <w:tmpl w:val="69CC387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49261565"/>
    <w:rsid w:val="4926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2024-05-07T10:06:00Z</dcterms:created>
  <dc:creator>Robin</dc:creator>
  <cp:lastModifiedBy>Robin</cp:lastModifiedBy>
  <dcterms:modified xsi:type="dcterms:W3CDTF">2024-05-07T10:06:45Z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B4B449AECC294C0D979576A23D3FA7A6_11</vt:lpwstr>
  </property>
</Properties>
</file>