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6" w:beforeLines="300"/>
        <w:jc w:val="center"/>
        <w:rPr>
          <w:rFonts w:hint="eastAsia"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p>
      <w:p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一、货物需求一览表</w:t>
      </w:r>
    </w:p>
    <w:p>
      <w:pPr>
        <w:adjustRightInd w:val="0"/>
        <w:snapToGrid w:val="0"/>
        <w:jc w:val="center"/>
        <w:rPr>
          <w:rFonts w:hint="eastAsia" w:ascii="宋体" w:hAnsi="宋体"/>
          <w:b/>
          <w:color w:val="auto"/>
          <w:sz w:val="30"/>
          <w:szCs w:val="30"/>
          <w:highlight w:val="none"/>
        </w:rPr>
      </w:pPr>
    </w:p>
    <w:tbl>
      <w:tblPr>
        <w:tblStyle w:val="6"/>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包号</w:t>
            </w:r>
          </w:p>
        </w:tc>
        <w:tc>
          <w:tcPr>
            <w:tcW w:w="1878"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指定到货港</w:t>
            </w:r>
          </w:p>
        </w:tc>
        <w:tc>
          <w:tcPr>
            <w:tcW w:w="2459" w:type="dxa"/>
            <w:noWrap w:val="0"/>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noWrap w:val="0"/>
            <w:vAlign w:val="center"/>
          </w:tcPr>
          <w:p>
            <w:pPr>
              <w:jc w:val="center"/>
              <w:rPr>
                <w:rFonts w:ascii="宋体"/>
                <w:color w:val="auto"/>
                <w:sz w:val="24"/>
                <w:highlight w:val="none"/>
              </w:rPr>
            </w:pPr>
            <w:r>
              <w:rPr>
                <w:rFonts w:hint="eastAsia" w:ascii="宋体"/>
                <w:color w:val="auto"/>
                <w:sz w:val="24"/>
                <w:highlight w:val="none"/>
              </w:rPr>
              <w:t>1</w:t>
            </w:r>
          </w:p>
        </w:tc>
        <w:tc>
          <w:tcPr>
            <w:tcW w:w="1878" w:type="dxa"/>
            <w:noWrap w:val="0"/>
            <w:vAlign w:val="center"/>
          </w:tcPr>
          <w:p>
            <w:pPr>
              <w:jc w:val="center"/>
              <w:rPr>
                <w:rFonts w:hint="eastAsia" w:ascii="Bookman Old Style" w:hAnsi="Bookman Old Style"/>
                <w:color w:val="auto"/>
                <w:sz w:val="24"/>
                <w:highlight w:val="none"/>
              </w:rPr>
            </w:pPr>
            <w:r>
              <w:rPr>
                <w:rFonts w:hint="eastAsia" w:ascii="Bookman Old Style" w:hAnsi="Bookman Old Style"/>
                <w:color w:val="auto"/>
                <w:sz w:val="24"/>
                <w:highlight w:val="none"/>
              </w:rPr>
              <w:t>在线固相微萃取-超高效液相色谱三重四极杆质谱联用仪</w:t>
            </w:r>
          </w:p>
        </w:tc>
        <w:tc>
          <w:tcPr>
            <w:tcW w:w="1122" w:type="dxa"/>
            <w:noWrap w:val="0"/>
            <w:vAlign w:val="center"/>
          </w:tcPr>
          <w:p>
            <w:pPr>
              <w:jc w:val="center"/>
              <w:rPr>
                <w:rFonts w:hint="eastAsia" w:ascii="宋体" w:hAnsi="Bookman Old Style"/>
                <w:color w:val="auto"/>
                <w:sz w:val="24"/>
                <w:highlight w:val="none"/>
              </w:rPr>
            </w:pPr>
            <w:r>
              <w:rPr>
                <w:rFonts w:ascii="宋体" w:hAnsi="宋体"/>
                <w:color w:val="auto"/>
                <w:sz w:val="24"/>
                <w:highlight w:val="none"/>
              </w:rPr>
              <w:t>1</w:t>
            </w:r>
            <w:r>
              <w:rPr>
                <w:rFonts w:hint="eastAsia" w:ascii="宋体" w:hAnsi="宋体"/>
                <w:color w:val="auto"/>
                <w:sz w:val="24"/>
                <w:highlight w:val="none"/>
              </w:rPr>
              <w:t>套</w:t>
            </w:r>
          </w:p>
        </w:tc>
        <w:tc>
          <w:tcPr>
            <w:tcW w:w="5037" w:type="dxa"/>
            <w:gridSpan w:val="3"/>
            <w:noWrap w:val="0"/>
            <w:vAlign w:val="center"/>
          </w:tcPr>
          <w:p>
            <w:pPr>
              <w:jc w:val="center"/>
              <w:rPr>
                <w:rFonts w:hint="eastAsia"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adjustRightInd w:val="0"/>
        <w:snapToGrid w:val="0"/>
        <w:jc w:val="center"/>
        <w:rPr>
          <w:rFonts w:hint="eastAsia" w:ascii="宋体" w:hAnsi="宋体"/>
          <w:b/>
          <w:color w:val="auto"/>
          <w:sz w:val="30"/>
          <w:szCs w:val="30"/>
          <w:highlight w:val="none"/>
        </w:rPr>
      </w:pPr>
    </w:p>
    <w:p>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adjustRightInd w:val="0"/>
        <w:snapToGrid w:val="0"/>
        <w:rPr>
          <w:rFonts w:hint="eastAsia" w:ascii="宋体" w:hAnsi="宋体"/>
          <w:color w:val="auto"/>
          <w:szCs w:val="21"/>
          <w:highlight w:val="none"/>
        </w:rPr>
      </w:pPr>
    </w:p>
    <w:p>
      <w:pPr>
        <w:tabs>
          <w:tab w:val="left" w:pos="720"/>
        </w:tabs>
        <w:adjustRightInd w:val="0"/>
        <w:snapToGrid w:val="0"/>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hint="eastAsia" w:eastAsia="黑体"/>
          <w:b/>
          <w:bCs/>
          <w:color w:val="auto"/>
          <w:kern w:val="44"/>
          <w:sz w:val="24"/>
          <w:highlight w:val="none"/>
        </w:rPr>
      </w:pP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color w:val="auto"/>
          <w:sz w:val="24"/>
          <w:szCs w:val="24"/>
          <w:highlight w:val="none"/>
        </w:rPr>
      </w:pPr>
    </w:p>
    <w:p>
      <w:pPr>
        <w:pStyle w:val="2"/>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2"/>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pPr>
        <w:spacing w:after="156" w:afterLines="50"/>
        <w:ind w:left="601" w:hanging="601"/>
        <w:rPr>
          <w:rFonts w:hint="eastAsia" w:ascii="宋体" w:hAnsi="宋体"/>
          <w:b/>
          <w:color w:val="auto"/>
          <w:sz w:val="28"/>
          <w:highlight w:val="none"/>
        </w:rPr>
      </w:pPr>
      <w:r>
        <w:rPr>
          <w:rFonts w:hint="eastAsia" w:ascii="宋体" w:hAnsi="宋体"/>
          <w:b/>
          <w:color w:val="auto"/>
          <w:sz w:val="28"/>
          <w:highlight w:val="none"/>
        </w:rPr>
        <w:t>三、具体技术规格</w:t>
      </w:r>
    </w:p>
    <w:p>
      <w:pPr>
        <w:rPr>
          <w:rFonts w:hint="eastAsia"/>
          <w:color w:val="auto"/>
          <w:sz w:val="24"/>
          <w:highlight w:val="none"/>
        </w:rPr>
      </w:pPr>
    </w:p>
    <w:p>
      <w:pPr>
        <w:jc w:val="center"/>
        <w:rPr>
          <w:rFonts w:hint="eastAsia"/>
          <w:b/>
          <w:color w:val="auto"/>
          <w:sz w:val="24"/>
          <w:highlight w:val="none"/>
        </w:rPr>
      </w:pPr>
      <w:r>
        <w:rPr>
          <w:rFonts w:hint="eastAsia"/>
          <w:b/>
          <w:color w:val="auto"/>
          <w:sz w:val="24"/>
          <w:highlight w:val="none"/>
        </w:rPr>
        <w:t>第1包 在线固相微萃取-超高效液相色谱三重四极杆质谱联用仪</w:t>
      </w:r>
    </w:p>
    <w:p>
      <w:pPr>
        <w:rPr>
          <w:rFonts w:hint="eastAsia"/>
          <w:b/>
          <w:color w:val="auto"/>
          <w:sz w:val="24"/>
          <w:highlight w:val="none"/>
        </w:rPr>
      </w:pPr>
    </w:p>
    <w:p>
      <w:pPr>
        <w:rPr>
          <w:rFonts w:hint="eastAsia"/>
          <w:b/>
          <w:color w:val="auto"/>
          <w:sz w:val="24"/>
          <w:highlight w:val="none"/>
        </w:rPr>
      </w:pPr>
    </w:p>
    <w:p>
      <w:pPr>
        <w:rPr>
          <w:rFonts w:hint="eastAsia"/>
          <w:b/>
          <w:color w:val="auto"/>
          <w:sz w:val="24"/>
          <w:highlight w:val="none"/>
        </w:rPr>
      </w:pPr>
    </w:p>
    <w:p>
      <w:pPr>
        <w:numPr>
          <w:ilvl w:val="0"/>
          <w:numId w:val="1"/>
        </w:numPr>
        <w:rPr>
          <w:rFonts w:hint="eastAsia" w:ascii="宋体" w:hAnsi="宋体" w:cs="宋体"/>
          <w:b/>
          <w:color w:val="auto"/>
          <w:sz w:val="24"/>
          <w:highlight w:val="none"/>
        </w:rPr>
      </w:pPr>
      <w:r>
        <w:rPr>
          <w:rFonts w:hint="eastAsia" w:ascii="宋体" w:hAnsi="宋体" w:cs="宋体"/>
          <w:b/>
          <w:color w:val="auto"/>
          <w:sz w:val="24"/>
          <w:highlight w:val="none"/>
        </w:rPr>
        <w:t>技术要求：</w:t>
      </w:r>
    </w:p>
    <w:p>
      <w:pPr>
        <w:numPr>
          <w:ilvl w:val="0"/>
          <w:numId w:val="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工作条件：</w:t>
      </w:r>
    </w:p>
    <w:p>
      <w:pPr>
        <w:spacing w:line="360" w:lineRule="auto"/>
        <w:rPr>
          <w:rFonts w:ascii="宋体" w:hAnsi="宋体" w:cs="宋体"/>
          <w:color w:val="auto"/>
          <w:sz w:val="24"/>
          <w:highlight w:val="none"/>
        </w:rPr>
      </w:pPr>
      <w:r>
        <w:rPr>
          <w:rFonts w:ascii="宋体" w:hAnsi="宋体" w:cs="宋体"/>
          <w:color w:val="auto"/>
          <w:sz w:val="24"/>
          <w:highlight w:val="none"/>
        </w:rPr>
        <w:t>1.1电源：220V±10﹪,50Hz</w:t>
      </w:r>
    </w:p>
    <w:p>
      <w:pPr>
        <w:spacing w:line="360" w:lineRule="auto"/>
        <w:rPr>
          <w:rFonts w:ascii="宋体" w:hAnsi="宋体" w:cs="宋体"/>
          <w:color w:val="auto"/>
          <w:sz w:val="24"/>
          <w:highlight w:val="none"/>
        </w:rPr>
      </w:pPr>
      <w:r>
        <w:rPr>
          <w:rFonts w:ascii="宋体" w:hAnsi="宋体" w:cs="宋体"/>
          <w:color w:val="auto"/>
          <w:sz w:val="24"/>
          <w:highlight w:val="none"/>
        </w:rPr>
        <w:t xml:space="preserve">1.2 </w:t>
      </w:r>
      <w:r>
        <w:rPr>
          <w:rFonts w:hint="eastAsia" w:ascii="宋体" w:hAnsi="宋体" w:cs="宋体"/>
          <w:color w:val="auto"/>
          <w:sz w:val="24"/>
          <w:highlight w:val="none"/>
        </w:rPr>
        <w:t>温度</w:t>
      </w:r>
      <w:r>
        <w:rPr>
          <w:rFonts w:ascii="宋体" w:hAnsi="宋体" w:cs="宋体"/>
          <w:color w:val="auto"/>
          <w:sz w:val="24"/>
          <w:highlight w:val="none"/>
        </w:rPr>
        <w:t xml:space="preserve">：18 ～ 27℃    </w:t>
      </w:r>
    </w:p>
    <w:p>
      <w:pPr>
        <w:spacing w:line="360" w:lineRule="auto"/>
        <w:rPr>
          <w:rFonts w:ascii="宋体" w:hAnsi="宋体" w:cs="宋体"/>
          <w:color w:val="auto"/>
          <w:sz w:val="24"/>
          <w:highlight w:val="none"/>
        </w:rPr>
      </w:pPr>
      <w:r>
        <w:rPr>
          <w:rFonts w:ascii="宋体" w:hAnsi="宋体" w:cs="宋体"/>
          <w:color w:val="auto"/>
          <w:sz w:val="24"/>
          <w:highlight w:val="none"/>
        </w:rPr>
        <w:t xml:space="preserve">1.3 </w:t>
      </w:r>
      <w:r>
        <w:rPr>
          <w:rFonts w:hint="eastAsia" w:ascii="宋体" w:hAnsi="宋体" w:cs="宋体"/>
          <w:color w:val="auto"/>
          <w:sz w:val="24"/>
          <w:highlight w:val="none"/>
        </w:rPr>
        <w:t>湿度：2</w:t>
      </w:r>
      <w:r>
        <w:rPr>
          <w:rFonts w:ascii="宋体" w:hAnsi="宋体" w:cs="宋体"/>
          <w:color w:val="auto"/>
          <w:sz w:val="24"/>
          <w:highlight w:val="none"/>
        </w:rPr>
        <w:t>0%</w:t>
      </w:r>
      <w:r>
        <w:rPr>
          <w:rFonts w:hint="eastAsia" w:ascii="宋体" w:hAnsi="宋体" w:cs="宋体"/>
          <w:color w:val="auto"/>
          <w:sz w:val="24"/>
          <w:highlight w:val="none"/>
        </w:rPr>
        <w:t>～8</w:t>
      </w:r>
      <w:r>
        <w:rPr>
          <w:rFonts w:ascii="宋体" w:hAnsi="宋体" w:cs="宋体"/>
          <w:color w:val="auto"/>
          <w:sz w:val="24"/>
          <w:highlight w:val="none"/>
        </w:rPr>
        <w:t>5%</w:t>
      </w:r>
    </w:p>
    <w:p>
      <w:pPr>
        <w:spacing w:line="360" w:lineRule="auto"/>
        <w:rPr>
          <w:rFonts w:ascii="宋体" w:hAnsi="宋体" w:cs="宋体"/>
          <w:color w:val="auto"/>
          <w:sz w:val="24"/>
          <w:highlight w:val="none"/>
        </w:rPr>
      </w:pPr>
    </w:p>
    <w:p>
      <w:pPr>
        <w:numPr>
          <w:ilvl w:val="0"/>
          <w:numId w:val="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设备用途：</w:t>
      </w:r>
    </w:p>
    <w:p>
      <w:pPr>
        <w:spacing w:line="360" w:lineRule="auto"/>
        <w:ind w:firstLine="360" w:firstLineChars="150"/>
        <w:rPr>
          <w:color w:val="auto"/>
          <w:sz w:val="24"/>
          <w:highlight w:val="none"/>
        </w:rPr>
      </w:pPr>
      <w:r>
        <w:rPr>
          <w:color w:val="auto"/>
          <w:sz w:val="24"/>
          <w:highlight w:val="none"/>
        </w:rPr>
        <w:t>超高效液相色谱三重串联四级杆质谱联用仪灵敏度高、选择性好，可对多组分进行同时定量，</w:t>
      </w:r>
      <w:r>
        <w:rPr>
          <w:rFonts w:hint="eastAsia"/>
          <w:color w:val="auto"/>
          <w:sz w:val="24"/>
          <w:highlight w:val="none"/>
        </w:rPr>
        <w:t>在线固相萃取可以实现样品的在线净化富集，</w:t>
      </w:r>
      <w:r>
        <w:rPr>
          <w:color w:val="auto"/>
          <w:sz w:val="24"/>
          <w:highlight w:val="none"/>
        </w:rPr>
        <w:t>满足对环境介质中</w:t>
      </w:r>
      <w:r>
        <w:rPr>
          <w:rFonts w:hint="eastAsia"/>
          <w:color w:val="auto"/>
          <w:sz w:val="24"/>
          <w:highlight w:val="none"/>
        </w:rPr>
        <w:t>含量低、</w:t>
      </w:r>
      <w:r>
        <w:rPr>
          <w:color w:val="auto"/>
          <w:sz w:val="24"/>
          <w:highlight w:val="none"/>
        </w:rPr>
        <w:t>分子量大、极性较大、难挥发的有机污染物的定性定量分析。</w:t>
      </w:r>
    </w:p>
    <w:p>
      <w:pPr>
        <w:spacing w:line="360" w:lineRule="auto"/>
        <w:ind w:firstLine="360" w:firstLineChars="150"/>
        <w:rPr>
          <w:color w:val="auto"/>
          <w:sz w:val="24"/>
          <w:highlight w:val="none"/>
        </w:rPr>
      </w:pPr>
    </w:p>
    <w:p>
      <w:pPr>
        <w:numPr>
          <w:ilvl w:val="0"/>
          <w:numId w:val="2"/>
        </w:num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技术规格：</w:t>
      </w:r>
    </w:p>
    <w:p>
      <w:pPr>
        <w:spacing w:line="360" w:lineRule="auto"/>
        <w:ind w:firstLine="360" w:firstLineChars="150"/>
        <w:rPr>
          <w:rFonts w:hint="eastAsia"/>
          <w:b/>
          <w:color w:val="auto"/>
          <w:sz w:val="24"/>
          <w:highlight w:val="none"/>
        </w:rPr>
      </w:pPr>
      <w:r>
        <w:rPr>
          <w:rFonts w:hint="eastAsia"/>
          <w:color w:val="auto"/>
          <w:sz w:val="24"/>
          <w:highlight w:val="none"/>
        </w:rPr>
        <w:t>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w:t>
      </w:r>
      <w:r>
        <w:rPr>
          <w:color w:val="auto"/>
          <w:sz w:val="24"/>
          <w:highlight w:val="none"/>
        </w:rPr>
        <w:t>/并拒绝其投标</w:t>
      </w:r>
      <w:r>
        <w:rPr>
          <w:rFonts w:hint="eastAsia"/>
          <w:color w:val="auto"/>
          <w:sz w:val="24"/>
          <w:highlight w:val="none"/>
        </w:rPr>
        <w:t>。</w:t>
      </w:r>
    </w:p>
    <w:p>
      <w:pPr>
        <w:spacing w:line="360" w:lineRule="auto"/>
        <w:rPr>
          <w:rFonts w:ascii="宋体" w:hAnsi="宋体" w:cs="宋体"/>
          <w:color w:val="auto"/>
          <w:sz w:val="24"/>
          <w:highlight w:val="none"/>
        </w:rPr>
      </w:pPr>
      <w:bookmarkStart w:id="0" w:name="_Hlk168602104"/>
      <w:r>
        <w:rPr>
          <w:rFonts w:ascii="宋体" w:hAnsi="宋体" w:cs="宋体"/>
          <w:color w:val="auto"/>
          <w:sz w:val="24"/>
          <w:highlight w:val="none"/>
        </w:rPr>
        <w:t xml:space="preserve">3.1 </w:t>
      </w:r>
      <w:bookmarkStart w:id="1" w:name="_Hlk168602120"/>
      <w:r>
        <w:rPr>
          <w:rFonts w:ascii="宋体" w:hAnsi="宋体" w:cs="宋体"/>
          <w:color w:val="auto"/>
          <w:sz w:val="24"/>
          <w:highlight w:val="none"/>
        </w:rPr>
        <w:t>在线固相萃取</w:t>
      </w:r>
      <w:r>
        <w:rPr>
          <w:rFonts w:hint="eastAsia" w:ascii="宋体" w:hAnsi="宋体" w:cs="宋体"/>
          <w:color w:val="auto"/>
          <w:sz w:val="24"/>
          <w:highlight w:val="none"/>
        </w:rPr>
        <w:t>（Online</w:t>
      </w:r>
      <w:r>
        <w:rPr>
          <w:rFonts w:ascii="宋体" w:hAnsi="宋体" w:cs="宋体"/>
          <w:color w:val="auto"/>
          <w:sz w:val="24"/>
          <w:highlight w:val="none"/>
        </w:rPr>
        <w:t>-SPE）系统部分（含自动进样器，</w:t>
      </w:r>
      <w:r>
        <w:rPr>
          <w:rFonts w:hint="eastAsia" w:ascii="宋体" w:hAnsi="宋体" w:cs="宋体"/>
          <w:color w:val="auto"/>
          <w:sz w:val="24"/>
          <w:highlight w:val="none"/>
        </w:rPr>
        <w:t>溶剂传输泵、</w:t>
      </w:r>
      <w:r>
        <w:rPr>
          <w:rFonts w:ascii="宋体" w:hAnsi="宋体" w:cs="宋体"/>
          <w:color w:val="auto"/>
          <w:sz w:val="24"/>
          <w:highlight w:val="none"/>
        </w:rPr>
        <w:t>在线固相萃取柱</w:t>
      </w:r>
      <w:r>
        <w:rPr>
          <w:rFonts w:hint="eastAsia" w:ascii="宋体" w:hAnsi="宋体" w:cs="宋体"/>
          <w:color w:val="auto"/>
          <w:sz w:val="24"/>
          <w:highlight w:val="none"/>
        </w:rPr>
        <w:t>，切换阀组件</w:t>
      </w:r>
      <w:r>
        <w:rPr>
          <w:rFonts w:ascii="宋体" w:hAnsi="宋体" w:cs="宋体"/>
          <w:color w:val="auto"/>
          <w:sz w:val="24"/>
          <w:highlight w:val="none"/>
        </w:rPr>
        <w:t>）</w:t>
      </w:r>
      <w:bookmarkEnd w:id="1"/>
    </w:p>
    <w:bookmarkEnd w:id="0"/>
    <w:p>
      <w:pPr>
        <w:spacing w:line="360" w:lineRule="auto"/>
        <w:rPr>
          <w:rFonts w:ascii="宋体" w:hAnsi="宋体" w:cs="宋体"/>
          <w:color w:val="auto"/>
          <w:sz w:val="24"/>
          <w:highlight w:val="none"/>
        </w:rPr>
      </w:pPr>
      <w:r>
        <w:rPr>
          <w:rFonts w:ascii="宋体" w:hAnsi="宋体" w:cs="宋体"/>
          <w:color w:val="auto"/>
          <w:sz w:val="24"/>
          <w:highlight w:val="none"/>
        </w:rPr>
        <w:t xml:space="preserve">3.1.1 </w:t>
      </w:r>
      <w:bookmarkStart w:id="2" w:name="_Hlk168602298"/>
      <w:r>
        <w:rPr>
          <w:rFonts w:ascii="宋体" w:hAnsi="宋体" w:cs="宋体"/>
          <w:color w:val="auto"/>
          <w:sz w:val="24"/>
          <w:highlight w:val="none"/>
        </w:rPr>
        <w:t>流速范围：0.001-8 mL/min</w:t>
      </w:r>
      <w:bookmarkEnd w:id="2"/>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ascii="宋体" w:hAnsi="宋体" w:cs="宋体"/>
          <w:color w:val="auto"/>
          <w:sz w:val="24"/>
          <w:highlight w:val="none"/>
        </w:rPr>
        <w:t>3.1.2 进样体积：1μL-</w:t>
      </w:r>
      <w:r>
        <w:rPr>
          <w:rFonts w:hint="eastAsia" w:ascii="宋体" w:hAnsi="宋体" w:cs="宋体"/>
          <w:color w:val="auto"/>
          <w:sz w:val="24"/>
          <w:highlight w:val="none"/>
        </w:rPr>
        <w:t>5ml；</w:t>
      </w:r>
    </w:p>
    <w:p>
      <w:pPr>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3.1.3</w:t>
      </w:r>
      <w:bookmarkStart w:id="3" w:name="_Hlk168602466"/>
      <w:r>
        <w:rPr>
          <w:rFonts w:hint="eastAsia" w:ascii="宋体" w:hAnsi="宋体" w:cs="宋体"/>
          <w:color w:val="auto"/>
          <w:sz w:val="24"/>
          <w:highlight w:val="none"/>
        </w:rPr>
        <w:t>配备2位1</w:t>
      </w:r>
      <w:r>
        <w:rPr>
          <w:rFonts w:ascii="宋体" w:hAnsi="宋体" w:cs="宋体"/>
          <w:color w:val="auto"/>
          <w:sz w:val="24"/>
          <w:highlight w:val="none"/>
        </w:rPr>
        <w:t>0</w:t>
      </w:r>
      <w:r>
        <w:rPr>
          <w:rFonts w:hint="eastAsia" w:ascii="宋体" w:hAnsi="宋体" w:cs="宋体"/>
          <w:color w:val="auto"/>
          <w:sz w:val="24"/>
          <w:highlight w:val="none"/>
        </w:rPr>
        <w:t>通和2位6通</w:t>
      </w:r>
      <w:r>
        <w:rPr>
          <w:rFonts w:ascii="宋体" w:hAnsi="宋体" w:cs="宋体"/>
          <w:color w:val="auto"/>
          <w:sz w:val="24"/>
          <w:highlight w:val="none"/>
        </w:rPr>
        <w:t>双阀位系统，</w:t>
      </w:r>
      <w:r>
        <w:rPr>
          <w:rFonts w:hint="eastAsia" w:ascii="宋体" w:hAnsi="宋体" w:cs="宋体"/>
          <w:color w:val="auto"/>
          <w:sz w:val="24"/>
          <w:highlight w:val="none"/>
        </w:rPr>
        <w:t>实现单一方法双S</w:t>
      </w:r>
      <w:r>
        <w:rPr>
          <w:rFonts w:ascii="宋体" w:hAnsi="宋体" w:cs="宋体"/>
          <w:color w:val="auto"/>
          <w:sz w:val="24"/>
          <w:highlight w:val="none"/>
        </w:rPr>
        <w:t>PE</w:t>
      </w:r>
      <w:r>
        <w:rPr>
          <w:rFonts w:hint="eastAsia" w:ascii="宋体" w:hAnsi="宋体" w:cs="宋体"/>
          <w:color w:val="auto"/>
          <w:sz w:val="24"/>
          <w:highlight w:val="none"/>
        </w:rPr>
        <w:t>柱</w:t>
      </w:r>
      <w:r>
        <w:rPr>
          <w:rFonts w:ascii="宋体" w:hAnsi="宋体" w:cs="宋体"/>
          <w:color w:val="auto"/>
          <w:sz w:val="24"/>
          <w:highlight w:val="none"/>
        </w:rPr>
        <w:t>交替使用</w:t>
      </w:r>
      <w:r>
        <w:rPr>
          <w:rFonts w:hint="eastAsia" w:ascii="宋体" w:hAnsi="宋体" w:cs="宋体"/>
          <w:color w:val="auto"/>
          <w:sz w:val="24"/>
          <w:highlight w:val="none"/>
        </w:rPr>
        <w:t>，并支持Online</w:t>
      </w:r>
      <w:r>
        <w:rPr>
          <w:rFonts w:ascii="宋体" w:hAnsi="宋体" w:cs="宋体"/>
          <w:color w:val="auto"/>
          <w:sz w:val="24"/>
          <w:highlight w:val="none"/>
        </w:rPr>
        <w:t>-SPE-MS模式</w:t>
      </w:r>
      <w:r>
        <w:rPr>
          <w:rFonts w:hint="eastAsia" w:ascii="宋体" w:hAnsi="宋体" w:cs="宋体"/>
          <w:color w:val="auto"/>
          <w:sz w:val="24"/>
          <w:highlight w:val="none"/>
        </w:rPr>
        <w:t>与</w:t>
      </w:r>
      <w:r>
        <w:rPr>
          <w:rFonts w:ascii="宋体" w:hAnsi="宋体" w:cs="宋体"/>
          <w:color w:val="auto"/>
          <w:sz w:val="24"/>
          <w:highlight w:val="none"/>
        </w:rPr>
        <w:t>直接进样LCMS模式的一键切换，无需</w:t>
      </w:r>
      <w:r>
        <w:rPr>
          <w:rFonts w:hint="eastAsia" w:ascii="宋体" w:hAnsi="宋体" w:cs="宋体"/>
          <w:color w:val="auto"/>
          <w:sz w:val="24"/>
          <w:highlight w:val="none"/>
        </w:rPr>
        <w:t>任何</w:t>
      </w:r>
      <w:r>
        <w:rPr>
          <w:rFonts w:ascii="宋体" w:hAnsi="宋体" w:cs="宋体"/>
          <w:color w:val="auto"/>
          <w:sz w:val="24"/>
          <w:highlight w:val="none"/>
        </w:rPr>
        <w:t>手动切换，直接通过软件进行控制</w:t>
      </w:r>
      <w:bookmarkEnd w:id="3"/>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ascii="宋体" w:hAnsi="宋体" w:cs="宋体"/>
          <w:color w:val="auto"/>
          <w:sz w:val="24"/>
          <w:highlight w:val="none"/>
        </w:rPr>
        <w:t xml:space="preserve">3.2 </w:t>
      </w:r>
      <w:bookmarkStart w:id="4" w:name="_Hlk168602536"/>
      <w:r>
        <w:rPr>
          <w:rFonts w:ascii="宋体" w:hAnsi="宋体" w:cs="宋体"/>
          <w:color w:val="auto"/>
          <w:sz w:val="24"/>
          <w:highlight w:val="none"/>
        </w:rPr>
        <w:t>超高效液相色谱部分（含自动进样器，柱温箱，高压输液泵，液相色谱柱，样品瓶）</w:t>
      </w:r>
      <w:bookmarkEnd w:id="4"/>
    </w:p>
    <w:p>
      <w:pPr>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3.2.1 </w:t>
      </w:r>
      <w:bookmarkStart w:id="5" w:name="_Hlk168602829"/>
      <w:r>
        <w:rPr>
          <w:rFonts w:ascii="宋体" w:hAnsi="宋体" w:cs="宋体"/>
          <w:color w:val="auto"/>
          <w:sz w:val="24"/>
          <w:highlight w:val="none"/>
        </w:rPr>
        <w:t>流量范围：0.001 mL/min-5.0 mL/min</w:t>
      </w:r>
      <w:bookmarkEnd w:id="5"/>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3.2.2</w:t>
      </w:r>
      <w:bookmarkStart w:id="6" w:name="_Hlk168603242"/>
      <w:r>
        <w:rPr>
          <w:rFonts w:ascii="宋体" w:hAnsi="宋体" w:cs="宋体"/>
          <w:color w:val="auto"/>
          <w:sz w:val="24"/>
          <w:highlight w:val="none"/>
        </w:rPr>
        <w:t>压力范围</w:t>
      </w:r>
      <w:r>
        <w:rPr>
          <w:rFonts w:hint="eastAsia" w:ascii="宋体" w:hAnsi="宋体" w:cs="宋体"/>
          <w:color w:val="auto"/>
          <w:sz w:val="24"/>
          <w:highlight w:val="none"/>
        </w:rPr>
        <w:t>：</w:t>
      </w:r>
      <w:r>
        <w:rPr>
          <w:rFonts w:ascii="宋体" w:hAnsi="宋体" w:cs="宋体"/>
          <w:color w:val="auto"/>
          <w:sz w:val="24"/>
          <w:highlight w:val="none"/>
        </w:rPr>
        <w:t>0-1250</w:t>
      </w:r>
      <w:r>
        <w:rPr>
          <w:rFonts w:hint="eastAsia" w:ascii="宋体" w:hAnsi="宋体" w:cs="宋体"/>
          <w:color w:val="auto"/>
          <w:sz w:val="24"/>
          <w:highlight w:val="none"/>
        </w:rPr>
        <w:t>bar</w:t>
      </w:r>
      <w:bookmarkEnd w:id="6"/>
      <w:r>
        <w:rPr>
          <w:rFonts w:hint="eastAsia" w:ascii="宋体" w:hAnsi="宋体" w:cs="宋体"/>
          <w:color w:val="auto"/>
          <w:sz w:val="24"/>
          <w:highlight w:val="none"/>
        </w:rPr>
        <w:t>；</w:t>
      </w:r>
      <w:r>
        <w:rPr>
          <w:rFonts w:ascii="宋体" w:hAnsi="宋体" w:cs="宋体"/>
          <w:color w:val="auto"/>
          <w:sz w:val="24"/>
          <w:highlight w:val="none"/>
        </w:rPr>
        <w:t xml:space="preserve"> </w:t>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w:t>
      </w:r>
      <w:r>
        <w:rPr>
          <w:rFonts w:ascii="宋体" w:hAnsi="宋体" w:cs="宋体"/>
          <w:color w:val="auto"/>
          <w:sz w:val="24"/>
          <w:highlight w:val="none"/>
        </w:rPr>
        <w:t xml:space="preserve">3.2.3 </w:t>
      </w:r>
      <w:bookmarkStart w:id="7" w:name="_Hlk168608169"/>
      <w:r>
        <w:rPr>
          <w:rFonts w:ascii="宋体" w:hAnsi="宋体" w:cs="宋体"/>
          <w:color w:val="auto"/>
          <w:sz w:val="24"/>
          <w:highlight w:val="none"/>
        </w:rPr>
        <w:t>自动进样器：大于200位</w:t>
      </w:r>
      <w:r>
        <w:rPr>
          <w:rFonts w:hint="eastAsia" w:ascii="宋体" w:hAnsi="宋体" w:cs="宋体"/>
          <w:color w:val="auto"/>
          <w:sz w:val="24"/>
          <w:highlight w:val="none"/>
        </w:rPr>
        <w:t>（2ml样品瓶），可扩展到4</w:t>
      </w:r>
      <w:r>
        <w:rPr>
          <w:rFonts w:ascii="宋体" w:hAnsi="宋体" w:cs="宋体"/>
          <w:color w:val="auto"/>
          <w:sz w:val="24"/>
          <w:highlight w:val="none"/>
        </w:rPr>
        <w:t>00</w:t>
      </w:r>
      <w:r>
        <w:rPr>
          <w:rFonts w:hint="eastAsia" w:ascii="宋体" w:hAnsi="宋体" w:cs="宋体"/>
          <w:color w:val="auto"/>
          <w:sz w:val="24"/>
          <w:highlight w:val="none"/>
        </w:rPr>
        <w:t>位</w:t>
      </w:r>
      <w:bookmarkEnd w:id="7"/>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 xml:space="preserve">.2.4 </w:t>
      </w:r>
      <w:bookmarkStart w:id="8" w:name="_Hlk168603397"/>
      <w:r>
        <w:rPr>
          <w:rFonts w:hint="eastAsia" w:ascii="宋体" w:hAnsi="宋体" w:cs="宋体"/>
          <w:color w:val="auto"/>
          <w:sz w:val="24"/>
          <w:highlight w:val="none"/>
        </w:rPr>
        <w:t>直接进样体积：0</w:t>
      </w:r>
      <w:r>
        <w:rPr>
          <w:rFonts w:ascii="宋体" w:hAnsi="宋体" w:cs="宋体"/>
          <w:color w:val="auto"/>
          <w:sz w:val="24"/>
          <w:highlight w:val="none"/>
        </w:rPr>
        <w:t>.1 μL-20 μL</w:t>
      </w:r>
      <w:bookmarkEnd w:id="8"/>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ascii="宋体" w:hAnsi="宋体" w:cs="宋体"/>
          <w:color w:val="auto"/>
          <w:sz w:val="24"/>
          <w:highlight w:val="none"/>
        </w:rPr>
        <w:t>3.2.5</w:t>
      </w:r>
      <w:bookmarkStart w:id="9" w:name="_Hlk168603442"/>
      <w:r>
        <w:rPr>
          <w:rFonts w:ascii="宋体" w:hAnsi="宋体" w:cs="宋体"/>
          <w:color w:val="auto"/>
          <w:sz w:val="24"/>
          <w:highlight w:val="none"/>
        </w:rPr>
        <w:t>柱温箱：具有升降温功能，控温范围为4℃-100℃</w:t>
      </w:r>
      <w:bookmarkEnd w:id="9"/>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.2.6</w:t>
      </w:r>
      <w:bookmarkStart w:id="10" w:name="_Hlk168603600"/>
      <w:r>
        <w:rPr>
          <w:rFonts w:ascii="宋体" w:hAnsi="宋体" w:cs="宋体"/>
          <w:color w:val="auto"/>
          <w:sz w:val="24"/>
          <w:highlight w:val="none"/>
        </w:rPr>
        <w:t>柱容量：可同时放置3根30cm色谱柱，柱温箱内预留切换阀安放位置，可</w:t>
      </w:r>
      <w:r>
        <w:rPr>
          <w:rFonts w:hint="eastAsia" w:ascii="宋体" w:hAnsi="宋体" w:cs="宋体"/>
          <w:color w:val="auto"/>
          <w:sz w:val="24"/>
          <w:highlight w:val="none"/>
        </w:rPr>
        <w:t>升级</w:t>
      </w:r>
      <w:r>
        <w:rPr>
          <w:rFonts w:ascii="宋体" w:hAnsi="宋体" w:cs="宋体"/>
          <w:color w:val="auto"/>
          <w:sz w:val="24"/>
          <w:highlight w:val="none"/>
        </w:rPr>
        <w:t>安装不同种类切换阀实现不同功能</w:t>
      </w:r>
      <w:bookmarkEnd w:id="10"/>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ascii="宋体" w:hAnsi="宋体" w:cs="宋体"/>
          <w:color w:val="auto"/>
          <w:sz w:val="24"/>
          <w:highlight w:val="none"/>
        </w:rPr>
        <w:t xml:space="preserve">3.3 </w:t>
      </w:r>
      <w:bookmarkStart w:id="11" w:name="_Hlk168603641"/>
      <w:r>
        <w:rPr>
          <w:rFonts w:ascii="宋体" w:hAnsi="宋体" w:cs="宋体"/>
          <w:color w:val="auto"/>
          <w:sz w:val="24"/>
          <w:highlight w:val="none"/>
        </w:rPr>
        <w:t>质谱部分（含三重串联四级杆质谱主机，机械泵，泵油，校正液，安装工具包）</w:t>
      </w:r>
      <w:bookmarkEnd w:id="11"/>
    </w:p>
    <w:p>
      <w:pPr>
        <w:spacing w:line="360" w:lineRule="auto"/>
        <w:rPr>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 xml:space="preserve">3.3.1 </w:t>
      </w:r>
      <w:bookmarkStart w:id="12" w:name="_Hlk168603658"/>
      <w:r>
        <w:rPr>
          <w:rFonts w:ascii="宋体" w:hAnsi="宋体" w:cs="宋体"/>
          <w:color w:val="auto"/>
          <w:sz w:val="24"/>
          <w:highlight w:val="none"/>
        </w:rPr>
        <w:t>离子源：采用喷针垂直于质谱入口正交设计的独立ESI源</w:t>
      </w:r>
      <w:bookmarkEnd w:id="12"/>
      <w:r>
        <w:rPr>
          <w:rFonts w:hint="eastAsia" w:ascii="宋体" w:hAnsi="宋体" w:cs="宋体"/>
          <w:color w:val="auto"/>
          <w:sz w:val="24"/>
          <w:highlight w:val="none"/>
        </w:rPr>
        <w:t>；</w:t>
      </w:r>
    </w:p>
    <w:p>
      <w:pPr>
        <w:spacing w:line="360" w:lineRule="auto"/>
        <w:rPr>
          <w:rFonts w:ascii="宋体" w:hAnsi="宋体" w:cs="宋体"/>
          <w:color w:val="auto"/>
          <w:sz w:val="24"/>
          <w:highlight w:val="none"/>
        </w:rPr>
      </w:pPr>
      <w:bookmarkStart w:id="13" w:name="_Hlk168608328"/>
      <w:r>
        <w:rPr>
          <w:rFonts w:hint="eastAsia" w:ascii="宋体" w:hAnsi="宋体" w:cs="宋体"/>
          <w:color w:val="auto"/>
          <w:sz w:val="24"/>
          <w:highlight w:val="none"/>
        </w:rPr>
        <w:t>#</w:t>
      </w:r>
      <w:bookmarkEnd w:id="13"/>
      <w:r>
        <w:rPr>
          <w:rFonts w:hint="eastAsia" w:ascii="宋体" w:hAnsi="宋体" w:cs="宋体"/>
          <w:color w:val="auto"/>
          <w:sz w:val="24"/>
          <w:highlight w:val="none"/>
        </w:rPr>
        <w:t>3</w:t>
      </w:r>
      <w:r>
        <w:rPr>
          <w:rFonts w:ascii="宋体" w:hAnsi="宋体" w:cs="宋体"/>
          <w:color w:val="auto"/>
          <w:sz w:val="24"/>
          <w:highlight w:val="none"/>
        </w:rPr>
        <w:t xml:space="preserve">.3.2 </w:t>
      </w:r>
      <w:bookmarkStart w:id="14" w:name="_Hlk168603735"/>
      <w:r>
        <w:rPr>
          <w:rFonts w:hint="eastAsia" w:ascii="宋体" w:hAnsi="宋体" w:cs="宋体"/>
          <w:color w:val="auto"/>
          <w:sz w:val="24"/>
          <w:highlight w:val="none"/>
        </w:rPr>
        <w:t>质量分析器：四极杆可加热至9</w:t>
      </w:r>
      <w:r>
        <w:rPr>
          <w:rFonts w:ascii="宋体" w:hAnsi="宋体" w:cs="宋体"/>
          <w:color w:val="auto"/>
          <w:sz w:val="24"/>
          <w:highlight w:val="none"/>
        </w:rPr>
        <w:t>0</w:t>
      </w:r>
      <w:r>
        <w:rPr>
          <w:rFonts w:hint="eastAsia" w:ascii="宋体" w:hAnsi="宋体" w:cs="宋体"/>
          <w:color w:val="auto"/>
          <w:sz w:val="24"/>
          <w:highlight w:val="none"/>
        </w:rPr>
        <w:t>度以上，提高其抗污染能力</w:t>
      </w:r>
      <w:bookmarkEnd w:id="14"/>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3.3.3 质量数范围：m/z 5-2050</w:t>
      </w:r>
      <w:r>
        <w:rPr>
          <w:rFonts w:hint="eastAsia" w:ascii="宋体" w:hAnsi="宋体" w:cs="宋体"/>
          <w:color w:val="auto"/>
          <w:sz w:val="24"/>
          <w:highlight w:val="none"/>
        </w:rPr>
        <w:t>；</w:t>
      </w:r>
      <w:r>
        <w:rPr>
          <w:rFonts w:ascii="宋体" w:hAnsi="宋体" w:cs="宋体"/>
          <w:color w:val="auto"/>
          <w:sz w:val="24"/>
          <w:highlight w:val="none"/>
        </w:rPr>
        <w:t xml:space="preserve"> </w:t>
      </w:r>
    </w:p>
    <w:p>
      <w:pPr>
        <w:spacing w:line="360" w:lineRule="auto"/>
        <w:rPr>
          <w:rFonts w:ascii="宋体" w:hAnsi="宋体" w:cs="宋体"/>
          <w:color w:val="auto"/>
          <w:sz w:val="24"/>
          <w:highlight w:val="none"/>
        </w:rPr>
      </w:pPr>
      <w:r>
        <w:rPr>
          <w:rFonts w:ascii="宋体" w:hAnsi="宋体" w:cs="宋体"/>
          <w:color w:val="auto"/>
          <w:sz w:val="24"/>
          <w:highlight w:val="none"/>
        </w:rPr>
        <w:t xml:space="preserve">3.3.4 </w:t>
      </w:r>
      <w:bookmarkStart w:id="15" w:name="_Hlk168603926"/>
      <w:r>
        <w:rPr>
          <w:rFonts w:ascii="宋体" w:hAnsi="宋体" w:cs="宋体"/>
          <w:color w:val="auto"/>
          <w:sz w:val="24"/>
          <w:highlight w:val="none"/>
        </w:rPr>
        <w:t>仪器</w:t>
      </w:r>
      <w:r>
        <w:rPr>
          <w:rFonts w:hint="eastAsia" w:ascii="宋体" w:hAnsi="宋体" w:cs="宋体"/>
          <w:color w:val="auto"/>
          <w:sz w:val="24"/>
          <w:highlight w:val="none"/>
        </w:rPr>
        <w:t>灵敏度</w:t>
      </w:r>
      <w:bookmarkEnd w:id="15"/>
      <w:r>
        <w:rPr>
          <w:rFonts w:ascii="宋体" w:hAnsi="宋体" w:cs="宋体"/>
          <w:color w:val="auto"/>
          <w:sz w:val="24"/>
          <w:highlight w:val="none"/>
        </w:rPr>
        <w:t>：</w:t>
      </w:r>
    </w:p>
    <w:p>
      <w:pPr>
        <w:spacing w:line="360" w:lineRule="auto"/>
        <w:rPr>
          <w:rFonts w:ascii="宋体" w:hAnsi="宋体" w:cs="宋体"/>
          <w:color w:val="auto"/>
          <w:sz w:val="24"/>
          <w:highlight w:val="none"/>
        </w:rPr>
      </w:pPr>
      <w:r>
        <w:rPr>
          <w:rFonts w:ascii="宋体" w:hAnsi="宋体" w:cs="宋体"/>
          <w:color w:val="auto"/>
          <w:sz w:val="24"/>
          <w:highlight w:val="none"/>
        </w:rPr>
        <w:t>3.3.4.1</w:t>
      </w:r>
      <w:bookmarkStart w:id="16" w:name="_Hlk168604002"/>
      <w:r>
        <w:rPr>
          <w:rFonts w:hint="eastAsia" w:ascii="宋体" w:hAnsi="宋体" w:cs="宋体"/>
          <w:color w:val="auto"/>
          <w:sz w:val="24"/>
          <w:highlight w:val="none"/>
        </w:rPr>
        <w:t xml:space="preserve"> </w:t>
      </w:r>
      <w:r>
        <w:rPr>
          <w:rFonts w:ascii="宋体" w:hAnsi="宋体" w:cs="宋体"/>
          <w:color w:val="auto"/>
          <w:sz w:val="24"/>
          <w:highlight w:val="none"/>
        </w:rPr>
        <w:t>ESI+</w:t>
      </w:r>
      <w:r>
        <w:rPr>
          <w:rFonts w:hint="eastAsia" w:ascii="宋体" w:hAnsi="宋体" w:cs="宋体"/>
          <w:color w:val="auto"/>
          <w:sz w:val="24"/>
          <w:highlight w:val="none"/>
        </w:rPr>
        <w:t>信噪比</w:t>
      </w:r>
      <w:r>
        <w:rPr>
          <w:rFonts w:ascii="宋体" w:hAnsi="宋体" w:cs="宋体"/>
          <w:color w:val="auto"/>
          <w:sz w:val="24"/>
          <w:highlight w:val="none"/>
        </w:rPr>
        <w:t>：液质联用柱上进样1 pg利血平，</w:t>
      </w:r>
      <w:r>
        <w:rPr>
          <w:rFonts w:hint="eastAsia" w:ascii="宋体" w:hAnsi="宋体" w:cs="宋体"/>
          <w:color w:val="auto"/>
          <w:sz w:val="24"/>
          <w:highlight w:val="none"/>
        </w:rPr>
        <w:t>检测</w:t>
      </w:r>
      <w:r>
        <w:rPr>
          <w:rFonts w:ascii="宋体" w:hAnsi="宋体" w:cs="宋体"/>
          <w:color w:val="auto"/>
          <w:sz w:val="24"/>
          <w:highlight w:val="none"/>
        </w:rPr>
        <w:t>离子对 m/z 609-&gt;195</w:t>
      </w:r>
      <w:r>
        <w:rPr>
          <w:rFonts w:hint="eastAsia" w:ascii="宋体" w:hAnsi="宋体" w:cs="宋体"/>
          <w:color w:val="auto"/>
          <w:sz w:val="24"/>
          <w:highlight w:val="none"/>
        </w:rPr>
        <w:t>，</w:t>
      </w:r>
      <w:r>
        <w:rPr>
          <w:rFonts w:ascii="宋体" w:hAnsi="宋体" w:cs="宋体"/>
          <w:color w:val="auto"/>
          <w:sz w:val="24"/>
          <w:highlight w:val="none"/>
        </w:rPr>
        <w:t>信噪比大于350,000:1</w:t>
      </w:r>
      <w:bookmarkEnd w:id="16"/>
      <w:r>
        <w:rPr>
          <w:rFonts w:ascii="宋体" w:hAnsi="宋体" w:cs="宋体"/>
          <w:color w:val="auto"/>
          <w:sz w:val="24"/>
          <w:highlight w:val="none"/>
        </w:rPr>
        <w:t>；</w:t>
      </w:r>
    </w:p>
    <w:p>
      <w:pPr>
        <w:spacing w:line="360" w:lineRule="auto"/>
        <w:rPr>
          <w:rFonts w:ascii="宋体" w:hAnsi="宋体" w:cs="宋体"/>
          <w:color w:val="auto"/>
          <w:sz w:val="24"/>
          <w:highlight w:val="none"/>
        </w:rPr>
      </w:pPr>
      <w:r>
        <w:rPr>
          <w:rFonts w:ascii="宋体" w:hAnsi="宋体" w:cs="宋体"/>
          <w:color w:val="auto"/>
          <w:sz w:val="24"/>
          <w:highlight w:val="none"/>
        </w:rPr>
        <w:t>3.3.4.2</w:t>
      </w:r>
      <w:bookmarkStart w:id="17" w:name="_Hlk168604084"/>
      <w:r>
        <w:rPr>
          <w:rFonts w:ascii="宋体" w:hAnsi="宋体" w:cs="宋体"/>
          <w:color w:val="auto"/>
          <w:sz w:val="24"/>
          <w:highlight w:val="none"/>
        </w:rPr>
        <w:t xml:space="preserve"> ESI-</w:t>
      </w:r>
      <w:r>
        <w:rPr>
          <w:rFonts w:hint="eastAsia" w:ascii="宋体" w:hAnsi="宋体" w:cs="宋体"/>
          <w:color w:val="auto"/>
          <w:sz w:val="24"/>
          <w:highlight w:val="none"/>
        </w:rPr>
        <w:t>信噪比</w:t>
      </w:r>
      <w:r>
        <w:rPr>
          <w:rFonts w:ascii="宋体" w:hAnsi="宋体" w:cs="宋体"/>
          <w:color w:val="auto"/>
          <w:sz w:val="24"/>
          <w:highlight w:val="none"/>
        </w:rPr>
        <w:t>：液质联用柱上进样1 pg氯霉素，</w:t>
      </w:r>
      <w:r>
        <w:rPr>
          <w:rFonts w:hint="eastAsia" w:ascii="宋体" w:hAnsi="宋体" w:cs="宋体"/>
          <w:color w:val="auto"/>
          <w:sz w:val="24"/>
          <w:highlight w:val="none"/>
        </w:rPr>
        <w:t>检测</w:t>
      </w:r>
      <w:r>
        <w:rPr>
          <w:rFonts w:ascii="宋体" w:hAnsi="宋体" w:cs="宋体"/>
          <w:color w:val="auto"/>
          <w:sz w:val="24"/>
          <w:highlight w:val="none"/>
        </w:rPr>
        <w:t>离子对 m/z 321-&gt;152</w:t>
      </w:r>
      <w:r>
        <w:rPr>
          <w:rFonts w:hint="eastAsia" w:ascii="宋体" w:hAnsi="宋体" w:cs="宋体"/>
          <w:color w:val="auto"/>
          <w:sz w:val="24"/>
          <w:highlight w:val="none"/>
        </w:rPr>
        <w:t>，</w:t>
      </w:r>
      <w:r>
        <w:rPr>
          <w:rFonts w:ascii="宋体" w:hAnsi="宋体" w:cs="宋体"/>
          <w:color w:val="auto"/>
          <w:sz w:val="24"/>
          <w:highlight w:val="none"/>
        </w:rPr>
        <w:t>信噪比大于350,000:1</w:t>
      </w:r>
      <w:bookmarkEnd w:id="17"/>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.3.5</w:t>
      </w:r>
      <w:bookmarkStart w:id="18" w:name="_Hlk168604136"/>
      <w:r>
        <w:rPr>
          <w:rFonts w:hint="eastAsia" w:ascii="宋体" w:hAnsi="宋体" w:cs="宋体"/>
          <w:color w:val="auto"/>
          <w:sz w:val="24"/>
          <w:highlight w:val="none"/>
        </w:rPr>
        <w:t>检出限</w:t>
      </w:r>
      <w:r>
        <w:rPr>
          <w:rFonts w:ascii="宋体" w:hAnsi="宋体" w:cs="宋体"/>
          <w:color w:val="auto"/>
          <w:sz w:val="24"/>
          <w:highlight w:val="none"/>
        </w:rPr>
        <w:t>：液质联用柱上进样10 fg利血平，</w:t>
      </w:r>
      <w:r>
        <w:rPr>
          <w:rFonts w:hint="eastAsia" w:ascii="宋体" w:hAnsi="宋体" w:cs="宋体"/>
          <w:color w:val="auto"/>
          <w:sz w:val="24"/>
          <w:highlight w:val="none"/>
        </w:rPr>
        <w:t>检测</w:t>
      </w:r>
      <w:r>
        <w:rPr>
          <w:rFonts w:ascii="宋体" w:hAnsi="宋体" w:cs="宋体"/>
          <w:color w:val="auto"/>
          <w:sz w:val="24"/>
          <w:highlight w:val="none"/>
        </w:rPr>
        <w:t>离子对 m/z 609-&gt;195</w:t>
      </w:r>
      <w:r>
        <w:rPr>
          <w:rFonts w:hint="eastAsia" w:ascii="宋体" w:hAnsi="宋体" w:cs="宋体"/>
          <w:color w:val="auto"/>
          <w:sz w:val="24"/>
          <w:highlight w:val="none"/>
        </w:rPr>
        <w:t>，</w:t>
      </w:r>
      <w:r>
        <w:rPr>
          <w:rFonts w:ascii="宋体" w:hAnsi="宋体" w:cs="宋体"/>
          <w:color w:val="auto"/>
          <w:sz w:val="24"/>
          <w:highlight w:val="none"/>
        </w:rPr>
        <w:t>所测得IDL（仪器检测限）小于 4fg；</w:t>
      </w:r>
      <w:r>
        <w:rPr>
          <w:rFonts w:hint="eastAsia"/>
          <w:color w:val="auto"/>
          <w:sz w:val="24"/>
          <w:highlight w:val="none"/>
        </w:rPr>
        <w:t>液质联用柱上进样10 fg氯霉素，离子对 m/z 321-&gt;152 所测得IDL（仪器检测限）小于4 fg；</w:t>
      </w:r>
      <w:bookmarkEnd w:id="18"/>
    </w:p>
    <w:p>
      <w:pPr>
        <w:spacing w:line="360" w:lineRule="auto"/>
        <w:rPr>
          <w:rFonts w:ascii="宋体" w:hAnsi="宋体" w:cs="宋体"/>
          <w:color w:val="auto"/>
          <w:sz w:val="24"/>
          <w:highlight w:val="none"/>
        </w:rPr>
      </w:pPr>
      <w:r>
        <w:rPr>
          <w:rFonts w:ascii="宋体" w:hAnsi="宋体" w:cs="宋体"/>
          <w:color w:val="auto"/>
          <w:sz w:val="24"/>
          <w:highlight w:val="none"/>
        </w:rPr>
        <w:t>3.3.6</w:t>
      </w:r>
      <w:bookmarkStart w:id="19" w:name="_Hlk168604751"/>
      <w:r>
        <w:rPr>
          <w:rFonts w:hint="eastAsia" w:ascii="宋体" w:hAnsi="宋体" w:cs="宋体"/>
          <w:color w:val="auto"/>
          <w:sz w:val="24"/>
          <w:highlight w:val="none"/>
        </w:rPr>
        <w:t>重复性：</w:t>
      </w:r>
      <w:r>
        <w:rPr>
          <w:rFonts w:ascii="宋体" w:hAnsi="宋体" w:cs="宋体"/>
          <w:color w:val="auto"/>
          <w:sz w:val="24"/>
          <w:highlight w:val="none"/>
        </w:rPr>
        <w:t>液质联用柱上进样1 pg利血平，</w:t>
      </w:r>
      <w:r>
        <w:rPr>
          <w:rFonts w:hint="eastAsia" w:ascii="宋体" w:hAnsi="宋体" w:cs="宋体"/>
          <w:color w:val="auto"/>
          <w:sz w:val="24"/>
          <w:highlight w:val="none"/>
        </w:rPr>
        <w:t>连续进样</w:t>
      </w:r>
      <w:r>
        <w:rPr>
          <w:rFonts w:ascii="宋体" w:hAnsi="宋体" w:cs="宋体"/>
          <w:color w:val="auto"/>
          <w:sz w:val="24"/>
          <w:highlight w:val="none"/>
        </w:rPr>
        <w:t>6</w:t>
      </w:r>
      <w:r>
        <w:rPr>
          <w:rFonts w:hint="eastAsia" w:ascii="宋体" w:hAnsi="宋体" w:cs="宋体"/>
          <w:color w:val="auto"/>
          <w:sz w:val="24"/>
          <w:highlight w:val="none"/>
        </w:rPr>
        <w:t>针，</w:t>
      </w:r>
      <w:r>
        <w:rPr>
          <w:rFonts w:ascii="宋体" w:hAnsi="宋体" w:cs="宋体"/>
          <w:color w:val="auto"/>
          <w:sz w:val="24"/>
          <w:highlight w:val="none"/>
        </w:rPr>
        <w:t>峰面积RSD&lt;2%</w:t>
      </w:r>
      <w:bookmarkEnd w:id="19"/>
      <w:r>
        <w:rPr>
          <w:rFonts w:hint="eastAsia" w:ascii="宋体" w:hAnsi="宋体" w:cs="宋体"/>
          <w:color w:val="auto"/>
          <w:sz w:val="24"/>
          <w:highlight w:val="none"/>
        </w:rPr>
        <w:t>；</w:t>
      </w:r>
    </w:p>
    <w:p>
      <w:pPr>
        <w:spacing w:line="360" w:lineRule="auto"/>
        <w:rPr>
          <w:rFonts w:ascii="宋体" w:hAnsi="宋体" w:cs="宋体"/>
          <w:color w:val="auto"/>
          <w:sz w:val="24"/>
          <w:highlight w:val="none"/>
        </w:rPr>
      </w:pPr>
      <w:r>
        <w:rPr>
          <w:rFonts w:hint="eastAsia" w:ascii="宋体" w:hAnsi="宋体" w:cs="宋体"/>
          <w:color w:val="auto"/>
          <w:sz w:val="24"/>
          <w:highlight w:val="none"/>
        </w:rPr>
        <w:t>3</w:t>
      </w:r>
      <w:r>
        <w:rPr>
          <w:rFonts w:ascii="宋体" w:hAnsi="宋体" w:cs="宋体"/>
          <w:color w:val="auto"/>
          <w:sz w:val="24"/>
          <w:highlight w:val="none"/>
        </w:rPr>
        <w:t>.3.7</w:t>
      </w:r>
      <w:bookmarkStart w:id="20" w:name="_Hlk168604774"/>
      <w:r>
        <w:rPr>
          <w:rFonts w:hint="eastAsia" w:ascii="宋体" w:hAnsi="宋体" w:cs="宋体"/>
          <w:color w:val="auto"/>
          <w:sz w:val="24"/>
          <w:highlight w:val="none"/>
        </w:rPr>
        <w:t>分辨率：＜0</w:t>
      </w:r>
      <w:r>
        <w:rPr>
          <w:rFonts w:ascii="宋体" w:hAnsi="宋体" w:cs="宋体"/>
          <w:color w:val="auto"/>
          <w:sz w:val="24"/>
          <w:highlight w:val="none"/>
        </w:rPr>
        <w:t>.5 D</w:t>
      </w:r>
      <w:r>
        <w:rPr>
          <w:rFonts w:hint="eastAsia" w:ascii="宋体" w:hAnsi="宋体" w:cs="宋体"/>
          <w:color w:val="auto"/>
          <w:sz w:val="24"/>
          <w:highlight w:val="none"/>
        </w:rPr>
        <w:t>a</w:t>
      </w:r>
      <w:r>
        <w:rPr>
          <w:rFonts w:ascii="宋体" w:hAnsi="宋体" w:cs="宋体"/>
          <w:color w:val="auto"/>
          <w:sz w:val="24"/>
          <w:highlight w:val="none"/>
        </w:rPr>
        <w:t>FWHM</w:t>
      </w:r>
      <w:bookmarkEnd w:id="20"/>
      <w:r>
        <w:rPr>
          <w:rFonts w:hint="eastAsia" w:ascii="宋体" w:hAnsi="宋体" w:cs="宋体"/>
          <w:color w:val="auto"/>
          <w:sz w:val="24"/>
          <w:highlight w:val="none"/>
        </w:rPr>
        <w:t>；</w:t>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3</w:t>
      </w:r>
      <w:r>
        <w:rPr>
          <w:rFonts w:ascii="宋体" w:hAnsi="宋体" w:cs="宋体"/>
          <w:color w:val="auto"/>
          <w:sz w:val="24"/>
          <w:highlight w:val="none"/>
        </w:rPr>
        <w:t>.3.8</w:t>
      </w:r>
      <w:r>
        <w:rPr>
          <w:rFonts w:hint="eastAsia"/>
          <w:color w:val="auto"/>
          <w:sz w:val="24"/>
          <w:highlight w:val="none"/>
        </w:rPr>
        <w:t xml:space="preserve"> </w:t>
      </w:r>
      <w:bookmarkStart w:id="21" w:name="_Hlk168604833"/>
      <w:r>
        <w:rPr>
          <w:rFonts w:hint="eastAsia"/>
          <w:color w:val="auto"/>
          <w:sz w:val="24"/>
          <w:highlight w:val="none"/>
        </w:rPr>
        <w:t>MRM模式</w:t>
      </w:r>
      <w:r>
        <w:rPr>
          <w:rFonts w:hint="eastAsia" w:ascii="宋体" w:hAnsi="宋体" w:cs="宋体"/>
          <w:color w:val="auto"/>
          <w:sz w:val="24"/>
          <w:highlight w:val="none"/>
        </w:rPr>
        <w:t>最小驻留时间：≤0</w:t>
      </w:r>
      <w:r>
        <w:rPr>
          <w:rFonts w:ascii="宋体" w:hAnsi="宋体" w:cs="宋体"/>
          <w:color w:val="auto"/>
          <w:sz w:val="24"/>
          <w:highlight w:val="none"/>
        </w:rPr>
        <w:t xml:space="preserve">.5 </w:t>
      </w:r>
      <w:r>
        <w:rPr>
          <w:rFonts w:hint="eastAsia" w:ascii="宋体" w:hAnsi="宋体" w:cs="宋体"/>
          <w:color w:val="auto"/>
          <w:sz w:val="24"/>
          <w:highlight w:val="none"/>
        </w:rPr>
        <w:t>ms</w:t>
      </w:r>
      <w:bookmarkEnd w:id="21"/>
      <w:r>
        <w:rPr>
          <w:rFonts w:hint="eastAsia" w:ascii="宋体" w:hAnsi="宋体" w:cs="宋体"/>
          <w:color w:val="auto"/>
          <w:sz w:val="24"/>
          <w:highlight w:val="none"/>
        </w:rPr>
        <w:t>；</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3.3.9 </w:t>
      </w:r>
      <w:bookmarkStart w:id="22" w:name="_Hlk168604806"/>
      <w:r>
        <w:rPr>
          <w:rFonts w:hint="eastAsia" w:ascii="宋体" w:hAnsi="宋体" w:cs="宋体"/>
          <w:color w:val="auto"/>
          <w:sz w:val="24"/>
          <w:highlight w:val="none"/>
        </w:rPr>
        <w:t>真空系统：</w:t>
      </w:r>
      <w:bookmarkEnd w:id="22"/>
      <w:r>
        <w:rPr>
          <w:rFonts w:hint="eastAsia" w:ascii="宋体" w:hAnsi="宋体" w:cs="宋体"/>
          <w:color w:val="auto"/>
          <w:sz w:val="24"/>
          <w:highlight w:val="none"/>
        </w:rPr>
        <w:t>由2个独立的分子涡轮泵和前级机械泵组成。真空系统开机后24小时内，质谱真空度能稳定在5×10</w:t>
      </w:r>
      <w:r>
        <w:rPr>
          <w:rFonts w:hint="eastAsia" w:ascii="宋体" w:hAnsi="宋体" w:cs="宋体"/>
          <w:color w:val="auto"/>
          <w:sz w:val="24"/>
          <w:highlight w:val="none"/>
          <w:vertAlign w:val="superscript"/>
        </w:rPr>
        <w:t>-5</w:t>
      </w:r>
      <w:r>
        <w:rPr>
          <w:rFonts w:hint="eastAsia" w:ascii="宋体" w:hAnsi="宋体" w:cs="宋体"/>
          <w:color w:val="auto"/>
          <w:sz w:val="24"/>
          <w:highlight w:val="none"/>
        </w:rPr>
        <w:t xml:space="preserve"> Torr以内。</w:t>
      </w:r>
    </w:p>
    <w:p>
      <w:pPr>
        <w:spacing w:line="360" w:lineRule="auto"/>
        <w:rPr>
          <w:rFonts w:ascii="宋体" w:hAnsi="宋体" w:cs="宋体"/>
          <w:color w:val="auto"/>
          <w:sz w:val="24"/>
          <w:highlight w:val="none"/>
        </w:rPr>
      </w:pPr>
      <w:r>
        <w:rPr>
          <w:rFonts w:ascii="宋体" w:hAnsi="宋体" w:cs="宋体"/>
          <w:color w:val="auto"/>
          <w:sz w:val="24"/>
          <w:highlight w:val="none"/>
        </w:rPr>
        <w:t>3.4 数据处理系统</w:t>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3.4.1 </w:t>
      </w:r>
      <w:bookmarkStart w:id="23" w:name="_Hlk168604857"/>
      <w:r>
        <w:rPr>
          <w:rFonts w:ascii="宋体" w:hAnsi="宋体" w:cs="宋体"/>
          <w:color w:val="auto"/>
          <w:sz w:val="24"/>
          <w:highlight w:val="none"/>
        </w:rPr>
        <w:t>工作站（i5，32 G内存，1 T固态硬盘）1台</w:t>
      </w:r>
      <w:bookmarkEnd w:id="23"/>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w:t>
      </w:r>
      <w:bookmarkStart w:id="24" w:name="_Hlk168604878"/>
      <w:r>
        <w:rPr>
          <w:rFonts w:hint="eastAsia" w:ascii="宋体" w:hAnsi="宋体" w:cs="宋体"/>
          <w:color w:val="auto"/>
          <w:sz w:val="24"/>
          <w:highlight w:val="none"/>
        </w:rPr>
        <w:t>软件：控制软件可安装1次，数据处理软件可安装在2台电脑上</w:t>
      </w:r>
      <w:bookmarkEnd w:id="24"/>
    </w:p>
    <w:p>
      <w:pPr>
        <w:spacing w:line="360" w:lineRule="auto"/>
        <w:rPr>
          <w:rFonts w:hint="eastAsia" w:ascii="宋体" w:hAnsi="宋体" w:cs="宋体"/>
          <w:color w:val="auto"/>
          <w:sz w:val="24"/>
          <w:highlight w:val="none"/>
        </w:rPr>
      </w:pPr>
    </w:p>
    <w:p>
      <w:pPr>
        <w:spacing w:line="360" w:lineRule="auto"/>
        <w:rPr>
          <w:rFonts w:hint="eastAsia" w:ascii="宋体" w:hAnsi="宋体" w:cs="宋体"/>
          <w:b/>
          <w:bCs/>
          <w:color w:val="auto"/>
          <w:sz w:val="24"/>
          <w:highlight w:val="none"/>
        </w:rPr>
      </w:pPr>
      <w:r>
        <w:rPr>
          <w:rFonts w:ascii="宋体" w:hAnsi="宋体" w:cs="宋体"/>
          <w:b/>
          <w:bCs/>
          <w:color w:val="auto"/>
          <w:sz w:val="24"/>
          <w:highlight w:val="none"/>
        </w:rPr>
        <w:t>4.</w:t>
      </w:r>
      <w:r>
        <w:rPr>
          <w:rFonts w:hint="eastAsia" w:ascii="宋体" w:hAnsi="宋体" w:cs="宋体"/>
          <w:b/>
          <w:bCs/>
          <w:color w:val="auto"/>
          <w:sz w:val="24"/>
          <w:highlight w:val="none"/>
        </w:rPr>
        <w:t>产品配置要求</w:t>
      </w:r>
    </w:p>
    <w:p>
      <w:pPr>
        <w:spacing w:line="360" w:lineRule="auto"/>
        <w:rPr>
          <w:rFonts w:ascii="宋体" w:hAnsi="宋体" w:cs="宋体"/>
          <w:color w:val="auto"/>
          <w:sz w:val="24"/>
          <w:highlight w:val="none"/>
        </w:rPr>
      </w:pPr>
      <w:r>
        <w:rPr>
          <w:rFonts w:ascii="宋体" w:hAnsi="宋体" w:cs="宋体"/>
          <w:color w:val="auto"/>
          <w:sz w:val="24"/>
          <w:highlight w:val="none"/>
        </w:rPr>
        <w:t>4.1</w:t>
      </w:r>
      <w:r>
        <w:rPr>
          <w:rFonts w:ascii="宋体" w:hAnsi="宋体" w:cs="宋体"/>
          <w:color w:val="auto"/>
          <w:sz w:val="24"/>
          <w:highlight w:val="none"/>
        </w:rPr>
        <w:tab/>
      </w:r>
      <w:r>
        <w:rPr>
          <w:rFonts w:ascii="宋体" w:hAnsi="宋体" w:cs="宋体"/>
          <w:color w:val="auto"/>
          <w:sz w:val="24"/>
          <w:highlight w:val="none"/>
        </w:rPr>
        <w:t xml:space="preserve"> 产品主体部分说明</w:t>
      </w:r>
    </w:p>
    <w:p>
      <w:pPr>
        <w:spacing w:line="360" w:lineRule="auto"/>
        <w:rPr>
          <w:rFonts w:ascii="宋体" w:hAnsi="宋体" w:cs="宋体"/>
          <w:color w:val="auto"/>
          <w:sz w:val="24"/>
          <w:highlight w:val="none"/>
        </w:rPr>
      </w:pPr>
      <w:r>
        <w:rPr>
          <w:rFonts w:ascii="宋体" w:hAnsi="宋体" w:cs="宋体"/>
          <w:color w:val="auto"/>
          <w:sz w:val="24"/>
          <w:highlight w:val="none"/>
        </w:rPr>
        <w:t>4.1.1系统整机一套；</w:t>
      </w:r>
    </w:p>
    <w:p>
      <w:pPr>
        <w:spacing w:line="360" w:lineRule="auto"/>
        <w:rPr>
          <w:rFonts w:hint="eastAsia" w:ascii="宋体" w:hAnsi="宋体" w:cs="宋体"/>
          <w:color w:val="auto"/>
          <w:sz w:val="24"/>
          <w:highlight w:val="none"/>
        </w:rPr>
      </w:pPr>
      <w:r>
        <w:rPr>
          <w:rFonts w:ascii="宋体" w:hAnsi="宋体" w:cs="宋体"/>
          <w:color w:val="auto"/>
          <w:sz w:val="24"/>
          <w:highlight w:val="none"/>
        </w:rPr>
        <w:t>4.1.2包括在线固相萃取系统1台，超高效液相色谱仪1台，三重串联四级杆质谱仪1台</w:t>
      </w:r>
      <w:r>
        <w:rPr>
          <w:rFonts w:hint="eastAsia" w:ascii="宋体" w:hAnsi="宋体" w:cs="宋体"/>
          <w:color w:val="auto"/>
          <w:sz w:val="24"/>
          <w:highlight w:val="none"/>
        </w:rPr>
        <w:t>。</w:t>
      </w:r>
    </w:p>
    <w:p>
      <w:pPr>
        <w:spacing w:line="360" w:lineRule="auto"/>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（二）质保及售后服务：</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1.安装调试的要求</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1.2验收由采购人及相关人员依国家有关标准、合同及有关附件要求进行，验收完毕由采购人在验收报告上签名。</w:t>
      </w:r>
    </w:p>
    <w:p>
      <w:pPr>
        <w:spacing w:line="360" w:lineRule="auto"/>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2.技术培训</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2.1现场培训：在安装仪器时由专业工程师进行免费安装调试和现场培训。讲解仪器内部构造、仪器维护保养以及简单的故障排除方法，直至用户技术人员熟练使用仪器以及会应用仪器完成整个分析检测工作。</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2.2现场回访培训。根据用户使用情况及需求，供应商不定期安排专业应用工程师免费对用户的使用情况进行提高培训，帮助客户解决遇到的问题和项目开发，并进行技术提高和方法开发等高级培训。</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2.3厂家培训中心培训：提供2个名额的学习班系统培训，包括仪器原理、操作、维护等。</w:t>
      </w:r>
    </w:p>
    <w:p>
      <w:pPr>
        <w:spacing w:line="360" w:lineRule="auto"/>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3.保修期</w:t>
      </w:r>
      <w:r>
        <w:rPr>
          <w:rFonts w:hint="eastAsia" w:ascii="宋体" w:hAnsi="宋体" w:cs="宋体"/>
          <w:color w:val="auto"/>
          <w:sz w:val="24"/>
          <w:highlight w:val="none"/>
        </w:rPr>
        <w:t xml:space="preserve"> </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提供四年的免费保修服务。包含维修工时费及维修所需的基本耗材，制造商在国内的技术服务中心（包括维修中心）应当提供所有的服务，包括备有零件及易耗品。</w:t>
      </w:r>
    </w:p>
    <w:p>
      <w:pPr>
        <w:spacing w:line="360" w:lineRule="auto"/>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4.售后服务</w:t>
      </w:r>
      <w:r>
        <w:rPr>
          <w:rFonts w:hint="eastAsia" w:ascii="宋体" w:hAnsi="宋体" w:cs="宋体"/>
          <w:color w:val="auto"/>
          <w:sz w:val="24"/>
          <w:highlight w:val="none"/>
        </w:rPr>
        <w:t xml:space="preserve"> </w:t>
      </w:r>
    </w:p>
    <w:p>
      <w:pPr>
        <w:spacing w:line="360" w:lineRule="auto"/>
        <w:rPr>
          <w:rFonts w:hint="eastAsia"/>
          <w:color w:val="auto"/>
          <w:sz w:val="24"/>
          <w:highlight w:val="none"/>
        </w:rPr>
      </w:pPr>
      <w:r>
        <w:rPr>
          <w:rFonts w:hint="eastAsia"/>
          <w:color w:val="auto"/>
          <w:sz w:val="24"/>
          <w:highlight w:val="none"/>
        </w:rPr>
        <w:t>4.1 供应商在中国境内有固定的办事处、维修部及零配件保存仓库。质保期内如设备出现故障，供方应在接到需方通知后的2小时内响应，24小时内确定故障原因和维修方法。如需要到现场维修，供方维修工程师应在48小时内（遇见不可抗拒的因素除外）到达现场，免费更换受损元件和提供免费服务，快速排除故障。</w:t>
      </w:r>
    </w:p>
    <w:p>
      <w:pPr>
        <w:spacing w:line="360" w:lineRule="auto"/>
        <w:rPr>
          <w:rFonts w:hint="eastAsia"/>
          <w:color w:val="auto"/>
          <w:sz w:val="24"/>
          <w:highlight w:val="none"/>
        </w:rPr>
      </w:pPr>
      <w:r>
        <w:rPr>
          <w:rFonts w:hint="eastAsia"/>
          <w:color w:val="auto"/>
          <w:sz w:val="24"/>
          <w:highlight w:val="none"/>
        </w:rPr>
        <w:t>质保期后，供方承诺将为需方提供长期维修服务，对于需方的任何投诉和要求，供方将在4小时内做出相应答复；当仪器出现故障时，供方工程师在接到需方故障通知后24小时内提出处理意见；供方在接到需方维修通知后72小时到达现场修复，维修费用由双方协商解决。</w:t>
      </w:r>
    </w:p>
    <w:p>
      <w:pPr>
        <w:spacing w:line="360" w:lineRule="auto"/>
        <w:rPr>
          <w:rFonts w:hint="eastAsia"/>
          <w:color w:val="auto"/>
          <w:sz w:val="24"/>
          <w:highlight w:val="none"/>
        </w:rPr>
      </w:pPr>
      <w:r>
        <w:rPr>
          <w:rFonts w:hint="eastAsia"/>
          <w:color w:val="auto"/>
          <w:sz w:val="24"/>
          <w:highlight w:val="none"/>
        </w:rPr>
        <w:t>4.2 后期更换配件及易耗品成本价提供。保障投标设备停产后10年的关键零部件（包括易耗品）供应。</w:t>
      </w:r>
    </w:p>
    <w:p>
      <w:pPr>
        <w:spacing w:line="360" w:lineRule="auto"/>
        <w:rPr>
          <w:rFonts w:hint="eastAsia" w:ascii="宋体" w:hAnsi="宋体" w:cs="宋体"/>
          <w:color w:val="auto"/>
          <w:sz w:val="24"/>
          <w:highlight w:val="none"/>
        </w:rPr>
      </w:pP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（三） 订货数量：</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1套</w:t>
      </w:r>
    </w:p>
    <w:p>
      <w:pPr>
        <w:spacing w:line="360" w:lineRule="auto"/>
        <w:ind w:firstLine="480" w:firstLineChars="200"/>
        <w:rPr>
          <w:rFonts w:hint="eastAsia" w:ascii="宋体" w:hAnsi="宋体" w:cs="宋体"/>
          <w:color w:val="auto"/>
          <w:sz w:val="24"/>
          <w:highlight w:val="none"/>
        </w:rPr>
      </w:pP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（四）交货地：</w:t>
      </w:r>
    </w:p>
    <w:p>
      <w:pPr>
        <w:spacing w:line="360" w:lineRule="auto"/>
        <w:ind w:firstLine="470" w:firstLineChars="196"/>
        <w:rPr>
          <w:rFonts w:hint="eastAsia"/>
          <w:color w:val="auto"/>
          <w:sz w:val="24"/>
          <w:highlight w:val="none"/>
        </w:rPr>
      </w:pPr>
      <w:r>
        <w:rPr>
          <w:rFonts w:hint="eastAsia"/>
          <w:color w:val="auto"/>
          <w:sz w:val="24"/>
          <w:highlight w:val="none"/>
        </w:rPr>
        <w:t>用户指定地点</w:t>
      </w:r>
    </w:p>
    <w:p>
      <w:pPr>
        <w:spacing w:line="360" w:lineRule="auto"/>
        <w:ind w:firstLine="470" w:firstLineChars="196"/>
        <w:rPr>
          <w:rFonts w:hint="eastAsia"/>
          <w:color w:val="auto"/>
          <w:sz w:val="24"/>
          <w:highlight w:val="none"/>
        </w:rPr>
      </w:pP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（五）交货日期：</w:t>
      </w:r>
    </w:p>
    <w:p>
      <w:pPr>
        <w:spacing w:line="360" w:lineRule="auto"/>
        <w:ind w:firstLine="470" w:firstLineChars="196"/>
        <w:rPr>
          <w:rFonts w:hint="eastAsia"/>
          <w:color w:val="auto"/>
          <w:sz w:val="24"/>
          <w:highlight w:val="none"/>
        </w:rPr>
      </w:pPr>
      <w:r>
        <w:rPr>
          <w:rFonts w:hint="eastAsia" w:ascii="宋体" w:hAnsi="宋体" w:cs="宋体"/>
          <w:color w:val="auto"/>
          <w:sz w:val="24"/>
          <w:highlight w:val="none"/>
        </w:rPr>
        <w:t xml:space="preserve">合同生效后6个月      </w:t>
      </w:r>
      <w:r>
        <w:rPr>
          <w:rFonts w:hint="eastAsia"/>
          <w:color w:val="auto"/>
          <w:sz w:val="24"/>
          <w:highlight w:val="none"/>
        </w:rPr>
        <w:t xml:space="preserve">     </w:t>
      </w:r>
    </w:p>
    <w:p>
      <w:pPr>
        <w:spacing w:line="360" w:lineRule="auto"/>
        <w:ind w:firstLine="470" w:firstLineChars="196"/>
        <w:rPr>
          <w:color w:val="auto"/>
          <w:sz w:val="24"/>
          <w:highlight w:val="none"/>
        </w:rPr>
      </w:pPr>
      <w:r>
        <w:rPr>
          <w:rFonts w:hint="eastAsia"/>
          <w:color w:val="auto"/>
          <w:sz w:val="24"/>
          <w:highlight w:val="none"/>
        </w:rPr>
        <w:t xml:space="preserve">                                      </w:t>
      </w:r>
    </w:p>
    <w:p>
      <w:pPr>
        <w:spacing w:line="360" w:lineRule="auto"/>
        <w:rPr>
          <w:rFonts w:hint="eastAsia"/>
          <w:b/>
          <w:color w:val="auto"/>
          <w:sz w:val="24"/>
          <w:highlight w:val="none"/>
        </w:rPr>
      </w:pPr>
      <w:r>
        <w:rPr>
          <w:rFonts w:hint="eastAsia"/>
          <w:b/>
          <w:color w:val="auto"/>
          <w:sz w:val="24"/>
          <w:highlight w:val="none"/>
        </w:rPr>
        <w:t>（六）执行的相关标准</w:t>
      </w:r>
    </w:p>
    <w:p>
      <w:pPr>
        <w:spacing w:line="360" w:lineRule="auto"/>
        <w:rPr>
          <w:rFonts w:hint="eastAsia" w:ascii="inherit" w:hAnsi="inherit" w:cs="宋体"/>
          <w:color w:val="auto"/>
          <w:kern w:val="0"/>
          <w:sz w:val="24"/>
          <w:highlight w:val="none"/>
        </w:rPr>
      </w:pPr>
      <w:r>
        <w:rPr>
          <w:rFonts w:hint="eastAsia" w:ascii="inherit" w:hAnsi="inherit" w:cs="宋体"/>
          <w:color w:val="auto"/>
          <w:kern w:val="0"/>
          <w:sz w:val="24"/>
          <w:highlight w:val="none"/>
        </w:rPr>
        <w:t xml:space="preserve">   产品应满足相关国家标准及行业标准。</w:t>
      </w:r>
    </w:p>
    <w:p>
      <w:pPr>
        <w:spacing w:line="360" w:lineRule="auto"/>
        <w:rPr>
          <w:rFonts w:hint="eastAsia" w:ascii="inherit" w:hAnsi="inherit" w:cs="宋体"/>
          <w:color w:val="auto"/>
          <w:kern w:val="0"/>
          <w:sz w:val="24"/>
          <w:highlight w:val="none"/>
        </w:rPr>
      </w:pPr>
    </w:p>
    <w:p>
      <w:pPr>
        <w:spacing w:line="360" w:lineRule="auto"/>
        <w:rPr>
          <w:rFonts w:hint="eastAsia" w:ascii="inherit" w:hAnsi="inherit" w:cs="宋体"/>
          <w:b/>
          <w:bCs/>
          <w:color w:val="auto"/>
          <w:kern w:val="0"/>
          <w:sz w:val="24"/>
          <w:highlight w:val="none"/>
        </w:rPr>
      </w:pPr>
      <w:r>
        <w:rPr>
          <w:rFonts w:hint="eastAsia" w:ascii="inherit" w:hAnsi="inherit" w:cs="宋体"/>
          <w:b/>
          <w:bCs/>
          <w:color w:val="auto"/>
          <w:kern w:val="0"/>
          <w:sz w:val="24"/>
          <w:highlight w:val="none"/>
        </w:rPr>
        <w:t>（七）验收要求：</w:t>
      </w:r>
    </w:p>
    <w:p>
      <w:pPr>
        <w:spacing w:line="360" w:lineRule="auto"/>
        <w:rPr>
          <w:color w:val="auto"/>
          <w:sz w:val="24"/>
          <w:highlight w:val="none"/>
        </w:rPr>
      </w:pPr>
      <w:r>
        <w:rPr>
          <w:color w:val="auto"/>
          <w:sz w:val="24"/>
          <w:highlight w:val="none"/>
        </w:rPr>
        <w:t>*1.</w:t>
      </w:r>
      <w:r>
        <w:rPr>
          <w:color w:val="auto"/>
          <w:sz w:val="24"/>
          <w:highlight w:val="none"/>
        </w:rPr>
        <w:tab/>
      </w:r>
      <w:r>
        <w:rPr>
          <w:color w:val="auto"/>
          <w:sz w:val="24"/>
          <w:highlight w:val="none"/>
        </w:rPr>
        <w:t>设备的配置、功能和技术指标必须满足招标文件要求，所有技术指标必须能够现场验收或提供第三方权威机构的证明材料，投标商需在投标文件中提供完备的现场验收方案，</w:t>
      </w:r>
      <w:r>
        <w:rPr>
          <w:rFonts w:hint="eastAsia"/>
          <w:b/>
          <w:bCs/>
          <w:color w:val="auto"/>
          <w:sz w:val="24"/>
          <w:highlight w:val="none"/>
        </w:rPr>
        <w:t>未提交现场验收方案将作为废标处理</w:t>
      </w:r>
      <w:r>
        <w:rPr>
          <w:color w:val="auto"/>
          <w:sz w:val="24"/>
          <w:highlight w:val="none"/>
        </w:rPr>
        <w:t>。</w:t>
      </w:r>
    </w:p>
    <w:p>
      <w:pPr>
        <w:spacing w:line="360" w:lineRule="auto"/>
        <w:rPr>
          <w:rFonts w:hint="eastAsia" w:ascii="宋体" w:hAnsi="宋体"/>
          <w:b/>
          <w:color w:val="auto"/>
          <w:sz w:val="30"/>
          <w:szCs w:val="30"/>
          <w:highlight w:val="none"/>
        </w:rPr>
      </w:pPr>
      <w:bookmarkStart w:id="25" w:name="_Hlk139638902"/>
      <w:r>
        <w:rPr>
          <w:color w:val="auto"/>
          <w:sz w:val="24"/>
          <w:highlight w:val="none"/>
        </w:rPr>
        <w:t>#2.</w:t>
      </w:r>
      <w:r>
        <w:rPr>
          <w:color w:val="auto"/>
          <w:sz w:val="24"/>
          <w:highlight w:val="none"/>
        </w:rPr>
        <w:tab/>
      </w:r>
      <w:r>
        <w:rPr>
          <w:color w:val="auto"/>
          <w:sz w:val="24"/>
          <w:highlight w:val="none"/>
        </w:rPr>
        <w:t>技术指标现场验收方案科学</w:t>
      </w:r>
      <w:r>
        <w:rPr>
          <w:rFonts w:hint="eastAsia"/>
          <w:color w:val="auto"/>
          <w:sz w:val="24"/>
          <w:highlight w:val="none"/>
        </w:rPr>
        <w:t>、</w:t>
      </w:r>
      <w:r>
        <w:rPr>
          <w:color w:val="auto"/>
          <w:sz w:val="24"/>
          <w:highlight w:val="none"/>
        </w:rPr>
        <w:t>合理</w:t>
      </w:r>
      <w:r>
        <w:rPr>
          <w:rFonts w:hint="eastAsia"/>
          <w:color w:val="auto"/>
          <w:sz w:val="24"/>
          <w:highlight w:val="none"/>
        </w:rPr>
        <w:t>，具有</w:t>
      </w:r>
      <w:r>
        <w:rPr>
          <w:color w:val="auto"/>
          <w:sz w:val="24"/>
          <w:highlight w:val="none"/>
        </w:rPr>
        <w:t>可行性。</w:t>
      </w:r>
      <w:bookmarkEnd w:id="25"/>
      <w:r>
        <w:rPr>
          <w:rFonts w:hint="eastAsia"/>
          <w:color w:val="auto"/>
          <w:sz w:val="24"/>
          <w:highlight w:val="none"/>
        </w:rPr>
        <w:tab/>
      </w:r>
    </w:p>
    <w:p>
      <w:pPr>
        <w:widowControl/>
        <w:spacing w:line="360" w:lineRule="atLeast"/>
        <w:rPr>
          <w:rFonts w:hint="eastAsia" w:ascii="宋体" w:hAnsi="宋体"/>
          <w:b/>
          <w:color w:val="auto"/>
          <w:sz w:val="30"/>
          <w:szCs w:val="30"/>
          <w:highlight w:val="none"/>
        </w:rPr>
      </w:pPr>
    </w:p>
    <w:p>
      <w:bookmarkStart w:id="26" w:name="_GoBack"/>
      <w:bookmarkEnd w:id="26"/>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2ODYzYzNmNmRkMDdkYzE4ODZhOGY0ZjAyYTE4MTgifQ=="/>
  </w:docVars>
  <w:rsids>
    <w:rsidRoot w:val="68921A1A"/>
    <w:rsid w:val="68921A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next w:val="1"/>
    <w:qFormat/>
    <w:uiPriority w:val="0"/>
    <w:pPr>
      <w:tabs>
        <w:tab w:val="center" w:pos="4153"/>
        <w:tab w:val="right" w:pos="8306"/>
      </w:tabs>
      <w:snapToGrid w:val="0"/>
      <w:jc w:val="left"/>
    </w:pPr>
    <w:rPr>
      <w:sz w:val="18"/>
      <w:szCs w:val="18"/>
    </w:rPr>
  </w:style>
  <w:style w:type="paragraph" w:styleId="4">
    <w:name w:val="header"/>
    <w:basedOn w:val="1"/>
    <w:next w:val="5"/>
    <w:qFormat/>
    <w:uiPriority w:val="0"/>
    <w:pPr>
      <w:pBdr>
        <w:bottom w:val="single" w:color="auto" w:sz="6" w:space="1"/>
      </w:pBdr>
      <w:tabs>
        <w:tab w:val="center" w:pos="4153"/>
        <w:tab w:val="right" w:pos="8306"/>
      </w:tabs>
      <w:snapToGrid w:val="0"/>
      <w:jc w:val="center"/>
    </w:pPr>
    <w:rPr>
      <w:sz w:val="18"/>
      <w:szCs w:val="18"/>
    </w:rPr>
  </w:style>
  <w:style w:type="paragraph" w:styleId="5">
    <w:name w:val="toc 4"/>
    <w:basedOn w:val="1"/>
    <w:next w:val="1"/>
    <w:qFormat/>
    <w:uiPriority w:val="99"/>
    <w:pPr>
      <w:ind w:left="1260" w:leftChars="6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2024-06-17T05:46:00Z</dcterms:created>
  <dc:creator>godjiao</dc:creator>
  <cp:lastModifiedBy>godjiao</cp:lastModifiedBy>
  <dcterms:modified xsi:type="dcterms:W3CDTF">2024-06-17T05:46:56Z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0711FF3E6E6743CB880616EF1D2AC261_11</vt:lpwstr>
  </property>
</Properties>
</file>