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210EA">
      <w:pPr>
        <w:pStyle w:val="4"/>
        <w:spacing w:line="360" w:lineRule="auto"/>
        <w:jc w:val="center"/>
        <w:rPr>
          <w:rFonts w:hint="eastAsia" w:ascii="宋体" w:eastAsia="宋体" w:cs="宋体"/>
          <w:color w:val="auto"/>
          <w:kern w:val="2"/>
          <w:sz w:val="21"/>
          <w:szCs w:val="21"/>
          <w:highlight w:val="none"/>
        </w:rPr>
      </w:pPr>
      <w:r>
        <w:rPr>
          <w:rFonts w:hint="eastAsia" w:ascii="宋体" w:eastAsia="宋体" w:cs="宋体"/>
          <w:b/>
          <w:bCs/>
          <w:color w:val="auto"/>
          <w:kern w:val="2"/>
          <w:sz w:val="44"/>
          <w:szCs w:val="44"/>
          <w:highlight w:val="none"/>
        </w:rPr>
        <w:t>项目需求</w:t>
      </w:r>
    </w:p>
    <w:p w14:paraId="0760E18C">
      <w:pPr>
        <w:spacing w:line="360" w:lineRule="auto"/>
        <w:ind w:firstLine="482" w:firstLineChars="200"/>
        <w:rPr>
          <w:rFonts w:hint="eastAsia" w:ascii="宋体" w:cs="宋体"/>
          <w:b/>
          <w:bCs/>
          <w:color w:val="auto"/>
          <w:kern w:val="2"/>
          <w:sz w:val="24"/>
          <w:szCs w:val="24"/>
          <w:highlight w:val="none"/>
          <w:lang w:val="en-US" w:eastAsia="zh-CN" w:bidi="ar-SA"/>
        </w:rPr>
      </w:pPr>
    </w:p>
    <w:p w14:paraId="115EEFD3">
      <w:pPr>
        <w:spacing w:line="360" w:lineRule="auto"/>
        <w:ind w:firstLine="482" w:firstLineChars="200"/>
        <w:rPr>
          <w:rFonts w:hint="eastAsia" w:ascii="宋体" w:eastAsia="宋体" w:cs="宋体"/>
          <w:color w:val="auto"/>
          <w:kern w:val="2"/>
          <w:sz w:val="21"/>
          <w:szCs w:val="21"/>
          <w:highlight w:val="none"/>
          <w:lang w:val="en-US" w:eastAsia="zh-CN" w:bidi="ar-SA"/>
        </w:rPr>
      </w:pPr>
      <w:bookmarkStart w:id="0" w:name="_GoBack"/>
      <w:bookmarkEnd w:id="0"/>
      <w:r>
        <w:rPr>
          <w:rFonts w:hint="eastAsia" w:ascii="宋体" w:cs="宋体"/>
          <w:b/>
          <w:bCs/>
          <w:color w:val="auto"/>
          <w:kern w:val="2"/>
          <w:sz w:val="24"/>
          <w:szCs w:val="24"/>
          <w:highlight w:val="none"/>
          <w:lang w:val="en-US" w:eastAsia="zh-CN" w:bidi="ar-SA"/>
        </w:rPr>
        <w:t>（一）</w:t>
      </w:r>
      <w:r>
        <w:rPr>
          <w:rFonts w:hint="eastAsia" w:ascii="宋体" w:eastAsia="宋体" w:cs="宋体"/>
          <w:b/>
          <w:bCs/>
          <w:color w:val="auto"/>
          <w:kern w:val="2"/>
          <w:sz w:val="24"/>
          <w:szCs w:val="24"/>
          <w:highlight w:val="none"/>
          <w:lang w:val="en-US" w:eastAsia="zh-CN" w:bidi="ar-SA"/>
        </w:rPr>
        <w:t>核心网络技术支持服务需求</w:t>
      </w:r>
    </w:p>
    <w:p w14:paraId="4A2E8613">
      <w:pPr>
        <w:spacing w:line="360" w:lineRule="auto"/>
        <w:ind w:firstLine="422" w:firstLineChars="200"/>
        <w:rPr>
          <w:rFonts w:hint="eastAsia" w:ascii="宋体" w:eastAsia="宋体" w:cs="宋体"/>
          <w:color w:val="auto"/>
          <w:kern w:val="2"/>
          <w:sz w:val="21"/>
          <w:szCs w:val="21"/>
          <w:highlight w:val="none"/>
          <w:lang w:val="en-US" w:eastAsia="zh-CN" w:bidi="ar-SA"/>
        </w:rPr>
      </w:pPr>
      <w:r>
        <w:rPr>
          <w:rFonts w:hint="eastAsia" w:ascii="宋体" w:eastAsia="宋体" w:cs="宋体"/>
          <w:b/>
          <w:bCs/>
          <w:color w:val="auto"/>
          <w:kern w:val="2"/>
          <w:sz w:val="21"/>
          <w:szCs w:val="21"/>
          <w:highlight w:val="none"/>
          <w:lang w:val="en-US" w:eastAsia="zh-CN" w:bidi="ar-SA"/>
        </w:rPr>
        <w:t>（</w:t>
      </w:r>
      <w:r>
        <w:rPr>
          <w:rFonts w:hint="eastAsia" w:ascii="宋体" w:cs="宋体"/>
          <w:b/>
          <w:bCs/>
          <w:color w:val="auto"/>
          <w:kern w:val="2"/>
          <w:sz w:val="21"/>
          <w:szCs w:val="21"/>
          <w:highlight w:val="none"/>
          <w:lang w:val="en-US" w:eastAsia="zh-CN" w:bidi="ar-SA"/>
        </w:rPr>
        <w:t>1</w:t>
      </w:r>
      <w:r>
        <w:rPr>
          <w:rFonts w:hint="eastAsia" w:ascii="宋体" w:eastAsia="宋体" w:cs="宋体"/>
          <w:b/>
          <w:bCs/>
          <w:color w:val="auto"/>
          <w:kern w:val="2"/>
          <w:sz w:val="21"/>
          <w:szCs w:val="21"/>
          <w:highlight w:val="none"/>
          <w:lang w:val="en-US" w:eastAsia="zh-CN" w:bidi="ar-SA"/>
        </w:rPr>
        <w:t>）服务对象</w:t>
      </w:r>
    </w:p>
    <w:p w14:paraId="6F49B520">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天津海关全部业务网、对外接入局域网、互联网、骨干网（天津部分）、视频网等。</w:t>
      </w:r>
    </w:p>
    <w:p w14:paraId="22A7D385">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设备类型包括网络路由器、网络交换机、网络防火墙、VPN网关设备、上网行为管理设备、光电转换设备、网络传输设备、网络加速设备等各型支撑网络通信功能的设备。</w:t>
      </w:r>
    </w:p>
    <w:p w14:paraId="0321B9FD">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3、</w:t>
      </w:r>
      <w:r>
        <w:rPr>
          <w:rFonts w:hint="eastAsia" w:ascii="宋体" w:eastAsia="宋体" w:cs="宋体"/>
          <w:color w:val="auto"/>
          <w:kern w:val="2"/>
          <w:sz w:val="21"/>
          <w:szCs w:val="21"/>
          <w:highlight w:val="none"/>
          <w:lang w:val="en-US" w:eastAsia="zh-CN" w:bidi="ar-SA"/>
        </w:rPr>
        <w:t>设备总数量不超过2000台套。</w:t>
      </w:r>
    </w:p>
    <w:p w14:paraId="14603F62">
      <w:pPr>
        <w:spacing w:line="360" w:lineRule="auto"/>
        <w:ind w:firstLine="422" w:firstLineChars="200"/>
        <w:rPr>
          <w:rFonts w:hint="eastAsia" w:ascii="宋体" w:eastAsia="宋体" w:cs="宋体"/>
          <w:color w:val="auto"/>
          <w:kern w:val="2"/>
          <w:sz w:val="21"/>
          <w:szCs w:val="21"/>
          <w:highlight w:val="none"/>
          <w:lang w:val="en-US" w:eastAsia="zh-CN" w:bidi="ar-SA"/>
        </w:rPr>
      </w:pPr>
      <w:r>
        <w:rPr>
          <w:rFonts w:hint="eastAsia" w:ascii="宋体" w:eastAsia="宋体" w:cs="宋体"/>
          <w:b/>
          <w:bCs/>
          <w:color w:val="auto"/>
          <w:kern w:val="2"/>
          <w:sz w:val="21"/>
          <w:szCs w:val="21"/>
          <w:highlight w:val="none"/>
          <w:lang w:val="en-US" w:eastAsia="zh-CN" w:bidi="ar-SA"/>
        </w:rPr>
        <w:t>（2）服务级别</w:t>
      </w:r>
    </w:p>
    <w:p w14:paraId="3198EB11">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网络节点分为中心节点与分支节点。中心节点：总关机关驻地，包括六纬路、营口道、浦口道；分支节点：其他办公地点，包括但不限于科技大楼、新港海关、机场海关、塘沽海关、东疆海关、保税区海关、南开海关、东丽海关、西青海关、南疆海关、邮局海关、大港海关、北塘海关、宁河海关、北辰海关、静海海关、武清海关、蓟州海关、临港海关等。</w:t>
      </w:r>
    </w:p>
    <w:p w14:paraId="11F3A397">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网络实施分级运维保障，具体时限要求如下表：</w:t>
      </w:r>
    </w:p>
    <w:tbl>
      <w:tblPr>
        <w:tblStyle w:val="2"/>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2410"/>
        <w:gridCol w:w="2126"/>
        <w:gridCol w:w="3012"/>
      </w:tblGrid>
      <w:tr w14:paraId="31F5E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413" w:type="dxa"/>
            <w:vAlign w:val="center"/>
          </w:tcPr>
          <w:p w14:paraId="6D5D89D5">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运维级别</w:t>
            </w:r>
          </w:p>
        </w:tc>
        <w:tc>
          <w:tcPr>
            <w:tcW w:w="2410" w:type="dxa"/>
            <w:vAlign w:val="center"/>
          </w:tcPr>
          <w:p w14:paraId="34344A96">
            <w:pPr>
              <w:spacing w:line="240" w:lineRule="auto"/>
              <w:ind w:firstLine="420" w:firstLineChars="200"/>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到场时限要求</w:t>
            </w:r>
          </w:p>
        </w:tc>
        <w:tc>
          <w:tcPr>
            <w:tcW w:w="2126" w:type="dxa"/>
            <w:vAlign w:val="center"/>
          </w:tcPr>
          <w:p w14:paraId="1ED0249A">
            <w:pPr>
              <w:spacing w:line="240" w:lineRule="auto"/>
              <w:ind w:firstLine="420" w:firstLineChars="200"/>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恢复时限要求</w:t>
            </w:r>
          </w:p>
        </w:tc>
        <w:tc>
          <w:tcPr>
            <w:tcW w:w="3012" w:type="dxa"/>
            <w:vAlign w:val="center"/>
          </w:tcPr>
          <w:p w14:paraId="7E9B67DD">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故障类型</w:t>
            </w:r>
          </w:p>
        </w:tc>
      </w:tr>
      <w:tr w14:paraId="5A9E8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413" w:type="dxa"/>
            <w:vAlign w:val="center"/>
          </w:tcPr>
          <w:p w14:paraId="395C5EDA">
            <w:pPr>
              <w:spacing w:line="240" w:lineRule="auto"/>
              <w:ind w:firstLine="420" w:firstLineChars="200"/>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一级</w:t>
            </w:r>
          </w:p>
        </w:tc>
        <w:tc>
          <w:tcPr>
            <w:tcW w:w="2410" w:type="dxa"/>
            <w:tcBorders>
              <w:top w:val="single" w:color="auto" w:sz="4" w:space="0"/>
              <w:left w:val="single" w:color="auto" w:sz="4" w:space="0"/>
              <w:right w:val="single" w:color="auto" w:sz="4" w:space="0"/>
            </w:tcBorders>
            <w:vAlign w:val="center"/>
          </w:tcPr>
          <w:p w14:paraId="3051308B">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0.5小时</w:t>
            </w:r>
          </w:p>
        </w:tc>
        <w:tc>
          <w:tcPr>
            <w:tcW w:w="2126" w:type="dxa"/>
            <w:tcBorders>
              <w:top w:val="single" w:color="auto" w:sz="4" w:space="0"/>
              <w:left w:val="single" w:color="auto" w:sz="4" w:space="0"/>
              <w:right w:val="single" w:color="auto" w:sz="4" w:space="0"/>
            </w:tcBorders>
            <w:vAlign w:val="center"/>
          </w:tcPr>
          <w:p w14:paraId="62E04A88">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2小时</w:t>
            </w:r>
          </w:p>
        </w:tc>
        <w:tc>
          <w:tcPr>
            <w:tcW w:w="3012" w:type="dxa"/>
            <w:tcBorders>
              <w:top w:val="single" w:color="auto" w:sz="4" w:space="0"/>
              <w:left w:val="single" w:color="auto" w:sz="4" w:space="0"/>
              <w:right w:val="single" w:color="auto" w:sz="4" w:space="0"/>
            </w:tcBorders>
            <w:vAlign w:val="center"/>
          </w:tcPr>
          <w:p w14:paraId="76E89277">
            <w:pPr>
              <w:spacing w:line="240" w:lineRule="auto"/>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中心节点全局性故障</w:t>
            </w:r>
          </w:p>
        </w:tc>
      </w:tr>
      <w:tr w14:paraId="1C5E8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vAlign w:val="center"/>
          </w:tcPr>
          <w:p w14:paraId="5E93E944">
            <w:pPr>
              <w:spacing w:line="240" w:lineRule="auto"/>
              <w:ind w:firstLine="420" w:firstLineChars="200"/>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二级</w:t>
            </w:r>
          </w:p>
        </w:tc>
        <w:tc>
          <w:tcPr>
            <w:tcW w:w="2410" w:type="dxa"/>
            <w:tcBorders>
              <w:top w:val="single" w:color="auto" w:sz="4" w:space="0"/>
              <w:left w:val="single" w:color="auto" w:sz="4" w:space="0"/>
              <w:right w:val="single" w:color="auto" w:sz="4" w:space="0"/>
            </w:tcBorders>
            <w:vAlign w:val="center"/>
          </w:tcPr>
          <w:p w14:paraId="30764714">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市内六区及环城四区2小时，其他区4小时</w:t>
            </w:r>
          </w:p>
        </w:tc>
        <w:tc>
          <w:tcPr>
            <w:tcW w:w="2126" w:type="dxa"/>
            <w:tcBorders>
              <w:top w:val="single" w:color="auto" w:sz="4" w:space="0"/>
              <w:left w:val="single" w:color="auto" w:sz="4" w:space="0"/>
              <w:right w:val="single" w:color="auto" w:sz="4" w:space="0"/>
            </w:tcBorders>
            <w:vAlign w:val="center"/>
          </w:tcPr>
          <w:p w14:paraId="20DF4369">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8小时</w:t>
            </w:r>
          </w:p>
        </w:tc>
        <w:tc>
          <w:tcPr>
            <w:tcW w:w="3012" w:type="dxa"/>
            <w:tcBorders>
              <w:top w:val="single" w:color="auto" w:sz="4" w:space="0"/>
              <w:left w:val="single" w:color="auto" w:sz="4" w:space="0"/>
              <w:right w:val="single" w:color="auto" w:sz="4" w:space="0"/>
            </w:tcBorders>
            <w:vAlign w:val="center"/>
          </w:tcPr>
          <w:p w14:paraId="7B783C3D">
            <w:pPr>
              <w:spacing w:line="240" w:lineRule="auto"/>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中心节点局部故障分支节点全局性故障</w:t>
            </w:r>
          </w:p>
        </w:tc>
      </w:tr>
      <w:tr w14:paraId="7154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413" w:type="dxa"/>
            <w:vAlign w:val="center"/>
          </w:tcPr>
          <w:p w14:paraId="63FCBD39">
            <w:pPr>
              <w:spacing w:line="240" w:lineRule="auto"/>
              <w:ind w:firstLine="420" w:firstLineChars="200"/>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三级</w:t>
            </w:r>
          </w:p>
        </w:tc>
        <w:tc>
          <w:tcPr>
            <w:tcW w:w="2410" w:type="dxa"/>
            <w:tcBorders>
              <w:top w:val="single" w:color="auto" w:sz="4" w:space="0"/>
              <w:left w:val="single" w:color="auto" w:sz="4" w:space="0"/>
              <w:right w:val="single" w:color="auto" w:sz="4" w:space="0"/>
            </w:tcBorders>
            <w:vAlign w:val="center"/>
          </w:tcPr>
          <w:p w14:paraId="420FE0A7">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24小时</w:t>
            </w:r>
          </w:p>
        </w:tc>
        <w:tc>
          <w:tcPr>
            <w:tcW w:w="2126" w:type="dxa"/>
            <w:tcBorders>
              <w:top w:val="single" w:color="auto" w:sz="4" w:space="0"/>
              <w:left w:val="single" w:color="auto" w:sz="4" w:space="0"/>
              <w:right w:val="single" w:color="auto" w:sz="4" w:space="0"/>
            </w:tcBorders>
            <w:vAlign w:val="center"/>
          </w:tcPr>
          <w:p w14:paraId="5EF6FEBD">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2个工作日</w:t>
            </w:r>
          </w:p>
        </w:tc>
        <w:tc>
          <w:tcPr>
            <w:tcW w:w="3012" w:type="dxa"/>
            <w:tcBorders>
              <w:top w:val="single" w:color="auto" w:sz="4" w:space="0"/>
              <w:left w:val="single" w:color="auto" w:sz="4" w:space="0"/>
              <w:right w:val="single" w:color="auto" w:sz="4" w:space="0"/>
            </w:tcBorders>
            <w:vAlign w:val="center"/>
          </w:tcPr>
          <w:p w14:paraId="7D70E9E2">
            <w:pPr>
              <w:spacing w:line="240" w:lineRule="auto"/>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分支节点局部故障</w:t>
            </w:r>
          </w:p>
        </w:tc>
      </w:tr>
      <w:tr w14:paraId="63EF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413" w:type="dxa"/>
            <w:vAlign w:val="center"/>
          </w:tcPr>
          <w:p w14:paraId="763E7542">
            <w:pPr>
              <w:spacing w:line="240" w:lineRule="auto"/>
              <w:ind w:firstLine="420" w:firstLineChars="200"/>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四级</w:t>
            </w:r>
          </w:p>
        </w:tc>
        <w:tc>
          <w:tcPr>
            <w:tcW w:w="2410" w:type="dxa"/>
            <w:tcBorders>
              <w:top w:val="single" w:color="auto" w:sz="4" w:space="0"/>
              <w:left w:val="single" w:color="auto" w:sz="4" w:space="0"/>
              <w:right w:val="single" w:color="auto" w:sz="4" w:space="0"/>
            </w:tcBorders>
            <w:vAlign w:val="center"/>
          </w:tcPr>
          <w:p w14:paraId="2841275D">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2个工作日</w:t>
            </w:r>
          </w:p>
        </w:tc>
        <w:tc>
          <w:tcPr>
            <w:tcW w:w="2126" w:type="dxa"/>
            <w:tcBorders>
              <w:top w:val="single" w:color="auto" w:sz="4" w:space="0"/>
              <w:left w:val="single" w:color="auto" w:sz="4" w:space="0"/>
              <w:right w:val="single" w:color="auto" w:sz="4" w:space="0"/>
            </w:tcBorders>
            <w:vAlign w:val="center"/>
          </w:tcPr>
          <w:p w14:paraId="3FF3EE1F">
            <w:pPr>
              <w:spacing w:line="240" w:lineRule="auto"/>
              <w:jc w:val="center"/>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3个工作日</w:t>
            </w:r>
          </w:p>
        </w:tc>
        <w:tc>
          <w:tcPr>
            <w:tcW w:w="3012" w:type="dxa"/>
            <w:tcBorders>
              <w:top w:val="single" w:color="auto" w:sz="4" w:space="0"/>
              <w:left w:val="single" w:color="auto" w:sz="4" w:space="0"/>
              <w:right w:val="single" w:color="auto" w:sz="4" w:space="0"/>
            </w:tcBorders>
            <w:vAlign w:val="center"/>
          </w:tcPr>
          <w:p w14:paraId="0ABC12CE">
            <w:pPr>
              <w:spacing w:line="240" w:lineRule="auto"/>
              <w:jc w:val="both"/>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不影响业务的情况</w:t>
            </w:r>
          </w:p>
        </w:tc>
      </w:tr>
    </w:tbl>
    <w:p w14:paraId="1F1B9227">
      <w:pPr>
        <w:keepNext w:val="0"/>
        <w:keepLines w:val="0"/>
        <w:pageBreakBefore w:val="0"/>
        <w:widowControl w:val="0"/>
        <w:kinsoku/>
        <w:wordWrap/>
        <w:overflowPunct/>
        <w:topLinePunct w:val="0"/>
        <w:autoSpaceDE/>
        <w:autoSpaceDN/>
        <w:bidi w:val="0"/>
        <w:adjustRightInd/>
        <w:snapToGrid/>
        <w:spacing w:before="157" w:beforeLines="50" w:line="360" w:lineRule="auto"/>
        <w:ind w:firstLine="420" w:firstLineChars="200"/>
        <w:textAlignment w:val="auto"/>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注：遇重大活动或其他特殊情况，甲方可要求在一定时期内升级运维保障级别。</w:t>
      </w:r>
    </w:p>
    <w:p w14:paraId="43240375">
      <w:pPr>
        <w:spacing w:line="360" w:lineRule="auto"/>
        <w:ind w:firstLine="422" w:firstLineChars="200"/>
        <w:rPr>
          <w:rFonts w:hint="eastAsia" w:ascii="宋体" w:cs="宋体"/>
          <w:color w:val="auto"/>
          <w:kern w:val="2"/>
          <w:sz w:val="21"/>
          <w:szCs w:val="21"/>
          <w:highlight w:val="none"/>
          <w:lang w:val="en-US" w:eastAsia="zh-CN" w:bidi="ar-SA"/>
        </w:rPr>
      </w:pPr>
      <w:r>
        <w:rPr>
          <w:rFonts w:hint="eastAsia" w:ascii="宋体" w:eastAsia="宋体" w:cs="宋体"/>
          <w:b/>
          <w:bCs/>
          <w:color w:val="auto"/>
          <w:kern w:val="2"/>
          <w:sz w:val="21"/>
          <w:szCs w:val="21"/>
          <w:highlight w:val="none"/>
          <w:lang w:val="en-US" w:eastAsia="zh-CN" w:bidi="ar-SA"/>
        </w:rPr>
        <w:t>（</w:t>
      </w:r>
      <w:r>
        <w:rPr>
          <w:rFonts w:hint="eastAsia" w:ascii="宋体" w:cs="宋体"/>
          <w:b/>
          <w:bCs/>
          <w:color w:val="auto"/>
          <w:kern w:val="2"/>
          <w:sz w:val="21"/>
          <w:szCs w:val="21"/>
          <w:highlight w:val="none"/>
          <w:lang w:val="en-US" w:eastAsia="zh-CN" w:bidi="ar-SA"/>
        </w:rPr>
        <w:t>3</w:t>
      </w:r>
      <w:r>
        <w:rPr>
          <w:rFonts w:hint="eastAsia" w:ascii="宋体" w:eastAsia="宋体" w:cs="宋体"/>
          <w:b/>
          <w:bCs/>
          <w:color w:val="auto"/>
          <w:kern w:val="2"/>
          <w:sz w:val="21"/>
          <w:szCs w:val="21"/>
          <w:highlight w:val="none"/>
          <w:lang w:val="en-US" w:eastAsia="zh-CN" w:bidi="ar-SA"/>
        </w:rPr>
        <w:t>）服务内容</w:t>
      </w:r>
    </w:p>
    <w:p w14:paraId="46FA41B9">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1、运行维护</w:t>
      </w:r>
    </w:p>
    <w:p w14:paraId="66B79B20">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1.1档案与资产管理。协助甲方进行网络设备资产管理，包括清查、拆装、搬运设备资产等。建立并维护网络档案。包括网络拓扑图、设备清单、IP地址登记表、故障登记表等。要求网络拓扑图每半年核实一次，档案随时更新，内容准确详实，电子版放置在甲方指定网络位置。</w:t>
      </w:r>
    </w:p>
    <w:p w14:paraId="0643001A">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1.2巡检管理。每周进行一级运维关键设备巡检1次。每季度对二级运维关键设备巡检1次。巡检采取现场物理查勘和远程配置巡检结合的方式进行。要求查看并分析设备日志是否存在报警信息并妥善处置。巡检后提交巡检报告。遇重大活动或疫情防控等特殊情况需要，按照甲方要求对相关网络设备和线路流量加强关注，及时发现异常并按要求报告及处置。</w:t>
      </w:r>
    </w:p>
    <w:p w14:paraId="29224032">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1.3服务请求管理。提供7×24小时服务请求热线电话，随时受理用户故障请求和使用需求，随时受理甲方任务要求。确保服务请求被及时受理并协调落实。</w:t>
      </w:r>
    </w:p>
    <w:p w14:paraId="1972BC98">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1.4故障管理。排查网络故障，及时修复并做好故障登记。要求按照甲方提供的分级保障运维时限要求，及时排除故障，恢复网络使用。网络故障包括服务对象中“设备类型”列出的全部设备及其配件的使用异常，还包括通信线路通断检测（但不负责维修），设备供电检查维护（但不负责需经费投入的维修）以及其它网络故障。要求整体故障及时排除率不低于95% ，对于不能在恢复时限内解决的故障，乙方应采取包括但不限于采购原厂技术支持等方式进行解决，相关费用由乙方负责。</w:t>
      </w:r>
    </w:p>
    <w:p w14:paraId="24E942B8">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1.5变更管理。根据业务需求，对网络设备进行配置调试；根据安全要求，对防火墙进行配置调试。要求满足业务使用需要，符合网络配置规范，严格落实安全要求。做好配置变更管理，变更前做好配置备份和回退方案，变更后做好用户确认，确认后做好配置保存和备份更新。一级运维、二级运维变更需经甲方审批同意后方可执行，审批可通过电子任务或纸质形式。</w:t>
      </w:r>
    </w:p>
    <w:p w14:paraId="5E9BA42E">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1.6发布管理。做好工作统计，按照甲方要求格式、时间向甲方报送当周工作情况。</w:t>
      </w:r>
    </w:p>
    <w:p w14:paraId="5E24A531">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1.7配置管理。建立并维护设备配置备份，提供网络三层服务的设备每月进行1次备份，其他设备每季度进行1次备份，配置发生调整时及时备份。要求配置备份可恢复，放置在甲方指定网络位置。</w:t>
      </w:r>
    </w:p>
    <w:p w14:paraId="40AA147E">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1.8服务改进管理。结合工作实际情况，出具网络运维服务报告，提出网络优化改进建议和方案。</w:t>
      </w:r>
    </w:p>
    <w:p w14:paraId="5017A10C">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2、建设优化</w:t>
      </w:r>
    </w:p>
    <w:p w14:paraId="484EB6CF">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2.1网络建设。按照甲方网络建设标准、网络规划和安全要求，完成网络建设。包括但不限于测试、运输、安装、连接、调试等。要求设备规范安装于机柜内部，线缆连接规范整洁且两端贴线缆标签。</w:t>
      </w:r>
    </w:p>
    <w:p w14:paraId="3C4CB801">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2.2网络优化。按照甲方要求完成网络检查和整改工作；按照甲方要求完成网络升级改造实施工作。</w:t>
      </w:r>
    </w:p>
    <w:p w14:paraId="732BE98C">
      <w:pPr>
        <w:spacing w:line="360" w:lineRule="auto"/>
        <w:ind w:firstLine="422" w:firstLineChars="200"/>
        <w:rPr>
          <w:rFonts w:hint="eastAsia" w:ascii="宋体" w:cs="宋体"/>
          <w:color w:val="auto"/>
          <w:kern w:val="2"/>
          <w:sz w:val="21"/>
          <w:szCs w:val="21"/>
          <w:highlight w:val="none"/>
          <w:lang w:val="en-US" w:eastAsia="zh-CN" w:bidi="ar-SA"/>
        </w:rPr>
      </w:pPr>
      <w:r>
        <w:rPr>
          <w:rFonts w:hint="eastAsia" w:ascii="宋体" w:eastAsia="宋体" w:cs="宋体"/>
          <w:b/>
          <w:bCs/>
          <w:color w:val="auto"/>
          <w:kern w:val="2"/>
          <w:sz w:val="21"/>
          <w:szCs w:val="21"/>
          <w:highlight w:val="none"/>
          <w:lang w:val="en-US" w:eastAsia="zh-CN" w:bidi="ar-SA"/>
        </w:rPr>
        <w:t>（</w:t>
      </w:r>
      <w:r>
        <w:rPr>
          <w:rFonts w:hint="eastAsia" w:ascii="宋体" w:cs="宋体"/>
          <w:b/>
          <w:bCs/>
          <w:color w:val="auto"/>
          <w:kern w:val="2"/>
          <w:sz w:val="21"/>
          <w:szCs w:val="21"/>
          <w:highlight w:val="none"/>
          <w:lang w:val="en-US" w:eastAsia="zh-CN" w:bidi="ar-SA"/>
        </w:rPr>
        <w:t>4</w:t>
      </w:r>
      <w:r>
        <w:rPr>
          <w:rFonts w:hint="eastAsia" w:ascii="宋体" w:eastAsia="宋体" w:cs="宋体"/>
          <w:b/>
          <w:bCs/>
          <w:color w:val="auto"/>
          <w:kern w:val="2"/>
          <w:sz w:val="21"/>
          <w:szCs w:val="21"/>
          <w:highlight w:val="none"/>
          <w:lang w:val="en-US" w:eastAsia="zh-CN" w:bidi="ar-SA"/>
        </w:rPr>
        <w:t>）总体要求</w:t>
      </w:r>
    </w:p>
    <w:p w14:paraId="499C6580">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团队要求。建立项目服务团队，团队成员不少于4人且应相对固定，其中至少2人专职驻场并明确驻场人员。指定项目经理，负责服务团队管理调度和工作落实。指定投诉渠道，7×24小时接受甲方服务投诉，及时督促服务团队改进服务，合同期内如服务团队无法单独实施完成支持服务，不能达到服务要求标准，甲方有权中止合同。合同执行期间乙方如需进行驻场人员调整，需自行做好知识转移，乙方需待新驻场人员经甲方考核通过后再进行人员调整工作。</w:t>
      </w:r>
    </w:p>
    <w:p w14:paraId="1A42B05E">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团队人员资质要求。要求服务人员具有做好天津海关规模网络运维服务必要的专业知识和技能，熟悉行业主流网络及安全产品和技术，具备H3CNE或HCIP网络工程师技术认证，应具有相关网络运维和安全设备配置工作经验。</w:t>
      </w:r>
    </w:p>
    <w:p w14:paraId="66E099AE">
      <w:pPr>
        <w:spacing w:line="360" w:lineRule="auto"/>
        <w:ind w:firstLine="420" w:firstLineChars="200"/>
        <w:rPr>
          <w:rFonts w:hint="eastAsia" w:ascii="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3、服务交付地要求。天津海关关区各网点（天津市全域）,乙方需自行解决交通问题。</w:t>
      </w:r>
    </w:p>
    <w:p w14:paraId="3AC9FAFA">
      <w:pPr>
        <w:spacing w:line="360" w:lineRule="auto"/>
        <w:ind w:firstLine="482" w:firstLineChars="200"/>
        <w:rPr>
          <w:rFonts w:hint="eastAsia" w:ascii="宋体" w:eastAsia="宋体" w:cs="宋体"/>
          <w:color w:val="auto"/>
          <w:kern w:val="2"/>
          <w:sz w:val="21"/>
          <w:szCs w:val="21"/>
          <w:highlight w:val="none"/>
          <w:lang w:val="en-US" w:eastAsia="zh-CN" w:bidi="ar-SA"/>
        </w:rPr>
      </w:pPr>
      <w:r>
        <w:rPr>
          <w:rFonts w:hint="eastAsia" w:ascii="宋体" w:cs="宋体"/>
          <w:b/>
          <w:bCs/>
          <w:color w:val="auto"/>
          <w:kern w:val="2"/>
          <w:sz w:val="24"/>
          <w:szCs w:val="24"/>
          <w:highlight w:val="none"/>
          <w:lang w:val="en-US" w:eastAsia="zh-CN" w:bidi="ar-SA"/>
        </w:rPr>
        <w:t>（二）</w:t>
      </w:r>
      <w:r>
        <w:rPr>
          <w:rFonts w:hint="eastAsia" w:ascii="宋体" w:eastAsia="宋体" w:cs="宋体"/>
          <w:b/>
          <w:bCs/>
          <w:color w:val="auto"/>
          <w:kern w:val="2"/>
          <w:sz w:val="24"/>
          <w:szCs w:val="24"/>
          <w:highlight w:val="none"/>
          <w:lang w:val="en-US" w:eastAsia="zh-CN" w:bidi="ar-SA"/>
        </w:rPr>
        <w:t>总关机房巡检值守和系统监控运维服务需求</w:t>
      </w:r>
    </w:p>
    <w:p w14:paraId="3C9A3360">
      <w:pPr>
        <w:spacing w:line="360" w:lineRule="auto"/>
        <w:ind w:firstLine="422" w:firstLineChars="200"/>
        <w:rPr>
          <w:rFonts w:hint="eastAsia" w:ascii="宋体" w:eastAsia="宋体" w:cs="宋体"/>
          <w:color w:val="auto"/>
          <w:kern w:val="2"/>
          <w:sz w:val="21"/>
          <w:szCs w:val="21"/>
          <w:highlight w:val="none"/>
          <w:lang w:val="en-US" w:eastAsia="zh-CN" w:bidi="ar-SA"/>
        </w:rPr>
      </w:pPr>
      <w:r>
        <w:rPr>
          <w:rFonts w:hint="eastAsia" w:ascii="宋体" w:eastAsia="宋体" w:cs="宋体"/>
          <w:b/>
          <w:bCs/>
          <w:color w:val="auto"/>
          <w:kern w:val="2"/>
          <w:sz w:val="21"/>
          <w:szCs w:val="21"/>
          <w:highlight w:val="none"/>
          <w:lang w:val="en-US" w:eastAsia="zh-CN" w:bidi="ar-SA"/>
        </w:rPr>
        <w:t>（</w:t>
      </w:r>
      <w:r>
        <w:rPr>
          <w:rFonts w:hint="eastAsia" w:ascii="宋体" w:cs="宋体"/>
          <w:b/>
          <w:bCs/>
          <w:color w:val="auto"/>
          <w:kern w:val="2"/>
          <w:sz w:val="21"/>
          <w:szCs w:val="21"/>
          <w:highlight w:val="none"/>
          <w:lang w:val="en-US" w:eastAsia="zh-CN" w:bidi="ar-SA"/>
        </w:rPr>
        <w:t>1</w:t>
      </w:r>
      <w:r>
        <w:rPr>
          <w:rFonts w:hint="eastAsia" w:ascii="宋体" w:eastAsia="宋体" w:cs="宋体"/>
          <w:b/>
          <w:bCs/>
          <w:color w:val="auto"/>
          <w:kern w:val="2"/>
          <w:sz w:val="21"/>
          <w:szCs w:val="21"/>
          <w:highlight w:val="none"/>
          <w:lang w:val="en-US" w:eastAsia="zh-CN" w:bidi="ar-SA"/>
        </w:rPr>
        <w:t>）总关机房值守、巡检服务内容</w:t>
      </w:r>
    </w:p>
    <w:p w14:paraId="2B137194">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1、总关机房人工值守</w:t>
      </w:r>
    </w:p>
    <w:p w14:paraId="3188AAD7">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1总关机房7×24小时日常安全值守，机房告警信息的及时上报和紧急处置等。</w:t>
      </w:r>
    </w:p>
    <w:p w14:paraId="7D0D0820">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2总关机房7×24小时值班电话值守，电话接听，应急联系等。</w:t>
      </w:r>
    </w:p>
    <w:p w14:paraId="319C7D88">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3关区机房监控系统中心端7×24小时值守，告警及时上报。</w:t>
      </w:r>
    </w:p>
    <w:p w14:paraId="64B5772D">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4总关机房的7×24小时出入管理，包括但不限于人员出入检查登记、设备出入检查登记等。</w:t>
      </w:r>
    </w:p>
    <w:p w14:paraId="47D21169">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5节假日和工作日非工作时段按管理员要求执行故障处置工作。</w:t>
      </w:r>
    </w:p>
    <w:p w14:paraId="4847DD5C">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6协助甲方完成总关机房设备登记、清查等档案整理工作及安装、调试等运维工作。</w:t>
      </w:r>
    </w:p>
    <w:p w14:paraId="0BED8FF4">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7配合甲方完成总关机房应急演练、技术交流等运维相关工作。</w:t>
      </w:r>
    </w:p>
    <w:p w14:paraId="2E039CA5">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2、总关机房巡检</w:t>
      </w:r>
    </w:p>
    <w:p w14:paraId="5525DFAB">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1总关机房基础设施日常人工巡检，日均3次。</w:t>
      </w:r>
    </w:p>
    <w:p w14:paraId="674EE67E">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2总关机房IT设备状态日常人工巡检，日均3次。</w:t>
      </w:r>
    </w:p>
    <w:p w14:paraId="0E5E7272">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3总关机房卫生维护，在每次巡检时及时清理地面及整理机房环境。</w:t>
      </w:r>
    </w:p>
    <w:p w14:paraId="434199FB">
      <w:pPr>
        <w:spacing w:line="360" w:lineRule="auto"/>
        <w:ind w:firstLine="422" w:firstLineChars="200"/>
        <w:rPr>
          <w:rFonts w:hint="eastAsia" w:ascii="宋体" w:eastAsia="宋体" w:cs="宋体"/>
          <w:color w:val="auto"/>
          <w:kern w:val="2"/>
          <w:sz w:val="21"/>
          <w:szCs w:val="21"/>
          <w:highlight w:val="none"/>
          <w:lang w:val="en-US" w:eastAsia="zh-CN" w:bidi="ar-SA"/>
        </w:rPr>
      </w:pPr>
      <w:r>
        <w:rPr>
          <w:rFonts w:hint="eastAsia" w:ascii="宋体" w:eastAsia="宋体" w:cs="宋体"/>
          <w:b/>
          <w:bCs/>
          <w:color w:val="auto"/>
          <w:kern w:val="2"/>
          <w:sz w:val="21"/>
          <w:szCs w:val="21"/>
          <w:highlight w:val="none"/>
          <w:lang w:val="en-US" w:eastAsia="zh-CN" w:bidi="ar-SA"/>
        </w:rPr>
        <w:t>（</w:t>
      </w:r>
      <w:r>
        <w:rPr>
          <w:rFonts w:hint="eastAsia" w:ascii="宋体" w:cs="宋体"/>
          <w:b/>
          <w:bCs/>
          <w:color w:val="auto"/>
          <w:kern w:val="2"/>
          <w:sz w:val="21"/>
          <w:szCs w:val="21"/>
          <w:highlight w:val="none"/>
          <w:lang w:val="en-US" w:eastAsia="zh-CN" w:bidi="ar-SA"/>
        </w:rPr>
        <w:t>2</w:t>
      </w:r>
      <w:r>
        <w:rPr>
          <w:rFonts w:hint="eastAsia" w:ascii="宋体" w:eastAsia="宋体" w:cs="宋体"/>
          <w:b/>
          <w:bCs/>
          <w:color w:val="auto"/>
          <w:kern w:val="2"/>
          <w:sz w:val="21"/>
          <w:szCs w:val="21"/>
          <w:highlight w:val="none"/>
          <w:lang w:val="en-US" w:eastAsia="zh-CN" w:bidi="ar-SA"/>
        </w:rPr>
        <w:t>）总关中心端系统运维和运行监控服务内容</w:t>
      </w:r>
    </w:p>
    <w:p w14:paraId="2F289667">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1、总关中心端系统日常运维工作</w:t>
      </w:r>
    </w:p>
    <w:p w14:paraId="5C287AFA">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1协助管理员进行操作系统日常运维操作：具体包括但不限于系统安装、启停、升级，系统状态检查，服务安装、启停，服务状态检查，中间件安装、启停，中间件状态检查，操作系统备份、加固等；涉及操作系统总量不超过1000台套。</w:t>
      </w:r>
    </w:p>
    <w:p w14:paraId="562CBFB5">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2协助管理员进行文件和数据库备份操作：具体包括但不限于数据库人工备份工作，数据文件人工备份工作，数据文件清理工作，自动备份任务检查工作；涉及数据库总量不超过500个。</w:t>
      </w:r>
    </w:p>
    <w:p w14:paraId="20E7546C">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3协助管理员进行虚拟化平台日常运维操作：具体包括但不限于虚拟化平台虚拟机创建、删除、启停、备份，日常运行状态检查、故障协助排查等。涉及虚拟化平台不超过50个。</w:t>
      </w:r>
    </w:p>
    <w:p w14:paraId="64BF511B">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4协助管理员进行用户帐号运维操作：具体包括但不限于按照系统管理员的授权和要求，完成关区普通用户帐号、应用运维帐号的帐号运维工作，包括但不限于登记、建立、启用、延期、解锁、重置、停用等。涉及帐号总量不超过20000个。</w:t>
      </w:r>
    </w:p>
    <w:p w14:paraId="5866601B">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5其他总关中心端运维相关工作：在甲方要求的时限内，处置中心端系统突发事件，敏感特殊时段的值守保障。提供系统运维相关前沿技术介绍，知识培训和技术咨询，结合运维工作提出运维改进建议和系统建设创新建议等。</w:t>
      </w:r>
    </w:p>
    <w:p w14:paraId="188C07B3">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2.总关中心端运行日常监控工作（人工监控部分）</w:t>
      </w:r>
    </w:p>
    <w:p w14:paraId="3F2A512C">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1</w:t>
      </w:r>
      <w:r>
        <w:rPr>
          <w:rFonts w:hint="eastAsia" w:ascii="宋体" w:cs="宋体"/>
          <w:color w:val="auto"/>
          <w:kern w:val="2"/>
          <w:sz w:val="21"/>
          <w:szCs w:val="21"/>
          <w:highlight w:val="none"/>
          <w:lang w:val="en-US" w:eastAsia="zh-CN" w:bidi="ar-SA"/>
        </w:rPr>
        <w:t>）</w:t>
      </w:r>
      <w:r>
        <w:rPr>
          <w:rFonts w:hint="eastAsia" w:ascii="宋体" w:eastAsia="宋体" w:cs="宋体"/>
          <w:color w:val="auto"/>
          <w:kern w:val="2"/>
          <w:sz w:val="21"/>
          <w:szCs w:val="21"/>
          <w:highlight w:val="none"/>
          <w:lang w:val="en-US" w:eastAsia="zh-CN" w:bidi="ar-SA"/>
        </w:rPr>
        <w:t>7×24小时运管平台监控工作，按照监控预案完成对相关监控指标日常监控，承担运管平台信息录入、修改、工单办理等日常操作。</w:t>
      </w:r>
    </w:p>
    <w:p w14:paraId="792A9D04">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2</w:t>
      </w:r>
      <w:r>
        <w:rPr>
          <w:rFonts w:hint="eastAsia" w:ascii="宋体" w:cs="宋体"/>
          <w:color w:val="auto"/>
          <w:kern w:val="2"/>
          <w:sz w:val="21"/>
          <w:szCs w:val="21"/>
          <w:highlight w:val="none"/>
          <w:lang w:val="en-US" w:eastAsia="zh-CN" w:bidi="ar-SA"/>
        </w:rPr>
        <w:t>）</w:t>
      </w:r>
      <w:r>
        <w:rPr>
          <w:rFonts w:hint="eastAsia" w:ascii="宋体" w:eastAsia="宋体" w:cs="宋体"/>
          <w:color w:val="auto"/>
          <w:kern w:val="2"/>
          <w:sz w:val="21"/>
          <w:szCs w:val="21"/>
          <w:highlight w:val="none"/>
          <w:lang w:val="en-US" w:eastAsia="zh-CN" w:bidi="ar-SA"/>
        </w:rPr>
        <w:t>7×24小时关区信息系统监控预案实施工作，按照监控预案完成对相关监控指标日常监控，承担告警预审和上报工作。</w:t>
      </w:r>
    </w:p>
    <w:p w14:paraId="71235912">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3</w:t>
      </w:r>
      <w:r>
        <w:rPr>
          <w:rFonts w:hint="eastAsia" w:ascii="宋体" w:cs="宋体"/>
          <w:color w:val="auto"/>
          <w:kern w:val="2"/>
          <w:sz w:val="21"/>
          <w:szCs w:val="21"/>
          <w:highlight w:val="none"/>
          <w:lang w:val="en-US" w:eastAsia="zh-CN" w:bidi="ar-SA"/>
        </w:rPr>
        <w:t>）</w:t>
      </w:r>
      <w:r>
        <w:rPr>
          <w:rFonts w:hint="eastAsia" w:ascii="宋体" w:eastAsia="宋体" w:cs="宋体"/>
          <w:color w:val="auto"/>
          <w:kern w:val="2"/>
          <w:sz w:val="21"/>
          <w:szCs w:val="21"/>
          <w:highlight w:val="none"/>
          <w:lang w:val="en-US" w:eastAsia="zh-CN" w:bidi="ar-SA"/>
        </w:rPr>
        <w:t>7×24小时快速通报系统任务监控，及时上报和回复任务。</w:t>
      </w:r>
    </w:p>
    <w:p w14:paraId="07549167">
      <w:pPr>
        <w:spacing w:line="360" w:lineRule="auto"/>
        <w:ind w:firstLine="422" w:firstLineChars="200"/>
        <w:rPr>
          <w:rFonts w:hint="eastAsia" w:ascii="宋体" w:eastAsia="宋体" w:cs="宋体"/>
          <w:color w:val="auto"/>
          <w:kern w:val="2"/>
          <w:sz w:val="21"/>
          <w:szCs w:val="21"/>
          <w:highlight w:val="none"/>
          <w:lang w:val="en-US" w:eastAsia="zh-CN" w:bidi="ar-SA"/>
        </w:rPr>
      </w:pPr>
      <w:r>
        <w:rPr>
          <w:rFonts w:hint="eastAsia" w:ascii="宋体" w:eastAsia="宋体" w:cs="宋体"/>
          <w:b/>
          <w:bCs/>
          <w:color w:val="auto"/>
          <w:kern w:val="2"/>
          <w:sz w:val="21"/>
          <w:szCs w:val="21"/>
          <w:highlight w:val="none"/>
          <w:lang w:val="en-US" w:eastAsia="zh-CN" w:bidi="ar-SA"/>
        </w:rPr>
        <w:t>（</w:t>
      </w:r>
      <w:r>
        <w:rPr>
          <w:rFonts w:hint="eastAsia" w:ascii="宋体" w:cs="宋体"/>
          <w:b/>
          <w:bCs/>
          <w:color w:val="auto"/>
          <w:kern w:val="2"/>
          <w:sz w:val="21"/>
          <w:szCs w:val="21"/>
          <w:highlight w:val="none"/>
          <w:lang w:val="en-US" w:eastAsia="zh-CN" w:bidi="ar-SA"/>
        </w:rPr>
        <w:t>3</w:t>
      </w:r>
      <w:r>
        <w:rPr>
          <w:rFonts w:hint="eastAsia" w:ascii="宋体" w:eastAsia="宋体" w:cs="宋体"/>
          <w:b/>
          <w:bCs/>
          <w:color w:val="auto"/>
          <w:kern w:val="2"/>
          <w:sz w:val="21"/>
          <w:szCs w:val="21"/>
          <w:highlight w:val="none"/>
          <w:lang w:val="en-US" w:eastAsia="zh-CN" w:bidi="ar-SA"/>
        </w:rPr>
        <w:t>）服务要求</w:t>
      </w:r>
    </w:p>
    <w:p w14:paraId="14688061">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1.专业资质要求</w:t>
      </w:r>
    </w:p>
    <w:p w14:paraId="0377557E">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建立项目服务团队，至少5人专职驻场。指定项目经理，负责服务团队管理调度和工作落实。指定投诉渠道，7×24小时接受甲方服务投诉，及时督促服务团队改进服务，合同期内如服务团队无法单独实施完成支持服务，不能达到服务要求标准，甲方有权中止合同。合同执行期间乙方如需进行驻场人员调整，需自行做好知识转移，乙方需待新驻场人员经甲方考核通过后再进行人员调整工作。要求服务人员具有做好相关服务必要的专业知识和技能，应具有相关知识背景。</w:t>
      </w:r>
    </w:p>
    <w:p w14:paraId="64F4BE89">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2.响应时限要求</w:t>
      </w:r>
    </w:p>
    <w:p w14:paraId="55D8B477">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要求7×24小时的服务须保证服务持续性，人员交接岗无缝衔接；要求运维人员在甲方下达任务后，5分钟内响应，10分钟内到场处置，重要故障任务2小时内完成，日常运维任务当日完成。</w:t>
      </w:r>
    </w:p>
    <w:p w14:paraId="46E677CB">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3</w:t>
      </w:r>
      <w:r>
        <w:rPr>
          <w:rFonts w:hint="eastAsia" w:ascii="宋体" w:eastAsia="宋体" w:cs="宋体"/>
          <w:color w:val="auto"/>
          <w:kern w:val="2"/>
          <w:sz w:val="21"/>
          <w:szCs w:val="21"/>
          <w:highlight w:val="none"/>
          <w:lang w:val="en-US" w:eastAsia="zh-CN" w:bidi="ar-SA"/>
        </w:rPr>
        <w:t>、服务交付地要求</w:t>
      </w:r>
    </w:p>
    <w:p w14:paraId="5689C0FD">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eastAsia="宋体" w:cs="宋体"/>
          <w:color w:val="auto"/>
          <w:kern w:val="2"/>
          <w:sz w:val="21"/>
          <w:szCs w:val="21"/>
          <w:highlight w:val="none"/>
          <w:lang w:val="en-US" w:eastAsia="zh-CN" w:bidi="ar-SA"/>
        </w:rPr>
        <w:t>天津海关总关机房坐落地（河东区六纬路2号）</w:t>
      </w:r>
    </w:p>
    <w:p w14:paraId="7E1E020F">
      <w:pPr>
        <w:spacing w:line="360" w:lineRule="auto"/>
        <w:ind w:firstLine="482" w:firstLineChars="200"/>
        <w:rPr>
          <w:rFonts w:hint="eastAsia" w:ascii="宋体" w:eastAsia="宋体" w:cs="宋体"/>
          <w:color w:val="auto"/>
          <w:kern w:val="2"/>
          <w:sz w:val="21"/>
          <w:szCs w:val="21"/>
          <w:highlight w:val="none"/>
          <w:lang w:val="en-US" w:eastAsia="zh-CN" w:bidi="ar-SA"/>
        </w:rPr>
      </w:pPr>
      <w:r>
        <w:rPr>
          <w:rFonts w:hint="eastAsia" w:ascii="宋体" w:cs="宋体"/>
          <w:b/>
          <w:bCs/>
          <w:color w:val="auto"/>
          <w:kern w:val="2"/>
          <w:sz w:val="24"/>
          <w:szCs w:val="24"/>
          <w:highlight w:val="none"/>
          <w:lang w:val="en-US" w:eastAsia="zh-CN" w:bidi="ar-SA"/>
        </w:rPr>
        <w:t>（三）</w:t>
      </w:r>
      <w:r>
        <w:rPr>
          <w:rFonts w:hint="eastAsia" w:ascii="宋体" w:eastAsia="宋体" w:cs="宋体"/>
          <w:b/>
          <w:bCs/>
          <w:color w:val="auto"/>
          <w:kern w:val="2"/>
          <w:sz w:val="24"/>
          <w:szCs w:val="24"/>
          <w:highlight w:val="none"/>
          <w:lang w:val="en-US" w:eastAsia="zh-CN" w:bidi="ar-SA"/>
        </w:rPr>
        <w:t>保密责任要求及其它要求：</w:t>
      </w:r>
    </w:p>
    <w:p w14:paraId="3134E929">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1、</w:t>
      </w:r>
      <w:r>
        <w:rPr>
          <w:rFonts w:hint="eastAsia" w:ascii="宋体" w:eastAsia="宋体" w:cs="宋体"/>
          <w:color w:val="auto"/>
          <w:kern w:val="2"/>
          <w:sz w:val="21"/>
          <w:szCs w:val="21"/>
          <w:highlight w:val="none"/>
          <w:lang w:val="en-US" w:eastAsia="zh-CN" w:bidi="ar-SA"/>
        </w:rPr>
        <w:t>要求服务人员签署保密协议，明确保密责任，保密责任期为长期。</w:t>
      </w:r>
    </w:p>
    <w:p w14:paraId="58383C01">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2、</w:t>
      </w:r>
      <w:r>
        <w:rPr>
          <w:rFonts w:hint="eastAsia" w:ascii="宋体" w:eastAsia="宋体" w:cs="宋体"/>
          <w:color w:val="auto"/>
          <w:kern w:val="2"/>
          <w:sz w:val="21"/>
          <w:szCs w:val="21"/>
          <w:highlight w:val="none"/>
          <w:lang w:val="en-US" w:eastAsia="zh-CN" w:bidi="ar-SA"/>
        </w:rPr>
        <w:t>服务方承担实施服务过程中的安全生产相关责任，应提前准备应急预案，提高现场运维安全。服务期间，运维人员的人身安全、运维实施相关安全问题均由服务方承担全部责任，需求方不承担任何责任。</w:t>
      </w:r>
    </w:p>
    <w:p w14:paraId="0D418CC5">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3、</w:t>
      </w:r>
      <w:r>
        <w:rPr>
          <w:rFonts w:hint="eastAsia" w:ascii="宋体" w:eastAsia="宋体" w:cs="宋体"/>
          <w:color w:val="auto"/>
          <w:kern w:val="2"/>
          <w:sz w:val="21"/>
          <w:szCs w:val="21"/>
          <w:highlight w:val="none"/>
          <w:lang w:val="en-US" w:eastAsia="zh-CN" w:bidi="ar-SA"/>
        </w:rPr>
        <w:t>服务方承担运维人员的政治、廉洁、保密方面管理和教育责任，动态掌握运维人员及主要社会关系背景信息；负责运维人员工作纪律约束教育，做好运维人员工作时间以外社交情况监督管理。因运维人员的政治、廉洁、保密等导致事故，由服务方承担全部责任，需求方不承担任何责任。</w:t>
      </w:r>
    </w:p>
    <w:p w14:paraId="01376B3A">
      <w:pPr>
        <w:spacing w:line="360" w:lineRule="auto"/>
        <w:ind w:firstLine="420" w:firstLineChars="200"/>
        <w:rPr>
          <w:rFonts w:hint="eastAsia" w:ascii="宋体" w:eastAsia="宋体" w:cs="宋体"/>
          <w:color w:val="auto"/>
          <w:kern w:val="2"/>
          <w:sz w:val="21"/>
          <w:szCs w:val="21"/>
          <w:highlight w:val="none"/>
          <w:lang w:val="en-US" w:eastAsia="zh-CN" w:bidi="ar-SA"/>
        </w:rPr>
      </w:pPr>
      <w:r>
        <w:rPr>
          <w:rFonts w:hint="eastAsia" w:ascii="宋体" w:cs="宋体"/>
          <w:color w:val="auto"/>
          <w:kern w:val="2"/>
          <w:sz w:val="21"/>
          <w:szCs w:val="21"/>
          <w:highlight w:val="none"/>
          <w:lang w:val="en-US" w:eastAsia="zh-CN" w:bidi="ar-SA"/>
        </w:rPr>
        <w:t>4、</w:t>
      </w:r>
      <w:r>
        <w:rPr>
          <w:rFonts w:hint="eastAsia" w:ascii="宋体" w:eastAsia="宋体" w:cs="宋体"/>
          <w:color w:val="auto"/>
          <w:kern w:val="2"/>
          <w:sz w:val="21"/>
          <w:szCs w:val="21"/>
          <w:highlight w:val="none"/>
          <w:lang w:val="en-US" w:eastAsia="zh-CN" w:bidi="ar-SA"/>
        </w:rPr>
        <w:t>服务方需提供运维人员在服务方单位近一年以来的依法缴纳社会保险费的相关证明材料复印件并加盖公章。</w:t>
      </w:r>
    </w:p>
    <w:p w14:paraId="521B0093">
      <w:pPr>
        <w:pStyle w:val="4"/>
        <w:numPr>
          <w:ilvl w:val="0"/>
          <w:numId w:val="0"/>
        </w:numPr>
        <w:spacing w:line="360" w:lineRule="auto"/>
        <w:ind w:leftChars="200"/>
        <w:rPr>
          <w:rFonts w:hint="eastAsia" w:ascii="宋体" w:eastAsia="宋体" w:cs="宋体"/>
          <w:b/>
          <w:bCs/>
          <w:color w:val="auto"/>
          <w:kern w:val="2"/>
          <w:sz w:val="21"/>
          <w:szCs w:val="21"/>
          <w:highlight w:val="none"/>
        </w:rPr>
      </w:pPr>
      <w:r>
        <w:rPr>
          <w:rFonts w:hint="eastAsia" w:ascii="宋体" w:eastAsia="宋体" w:cs="宋体"/>
          <w:b/>
          <w:bCs/>
          <w:color w:val="auto"/>
          <w:kern w:val="2"/>
          <w:sz w:val="24"/>
          <w:szCs w:val="24"/>
          <w:highlight w:val="none"/>
          <w:lang w:val="en-US" w:eastAsia="zh-CN"/>
        </w:rPr>
        <w:t>（四）</w:t>
      </w:r>
      <w:r>
        <w:rPr>
          <w:rFonts w:ascii="宋体" w:eastAsia="宋体" w:cs="宋体"/>
          <w:b/>
          <w:bCs/>
          <w:color w:val="auto"/>
          <w:kern w:val="2"/>
          <w:sz w:val="24"/>
          <w:szCs w:val="24"/>
          <w:highlight w:val="none"/>
          <w:lang w:val="en-US" w:eastAsia="zh-CN"/>
        </w:rPr>
        <w:t>验收方法及标准</w:t>
      </w:r>
    </w:p>
    <w:p w14:paraId="2D266956">
      <w:pPr>
        <w:pStyle w:val="4"/>
        <w:spacing w:line="360" w:lineRule="auto"/>
        <w:ind w:left="0" w:firstLine="420" w:firstLineChars="200"/>
        <w:rPr>
          <w:rFonts w:ascii="宋体" w:eastAsia="宋体" w:cs="宋体"/>
          <w:b w:val="0"/>
          <w:bCs w:val="0"/>
          <w:color w:val="auto"/>
          <w:kern w:val="2"/>
          <w:sz w:val="21"/>
          <w:szCs w:val="21"/>
          <w:highlight w:val="none"/>
          <w:lang w:val="en-US" w:eastAsia="zh-CN"/>
        </w:rPr>
      </w:pPr>
      <w:r>
        <w:rPr>
          <w:rFonts w:ascii="宋体" w:eastAsia="宋体" w:cs="宋体"/>
          <w:b w:val="0"/>
          <w:bCs w:val="0"/>
          <w:color w:val="auto"/>
          <w:kern w:val="2"/>
          <w:sz w:val="21"/>
          <w:szCs w:val="21"/>
          <w:highlight w:val="none"/>
          <w:lang w:val="en-US" w:eastAsia="zh-CN"/>
        </w:rPr>
        <w:t>按照采购合同的约定和现行国家标准、行业标准或企业标准，服务环节、安全标准的履约情况进行考核与验收。验收质量需达到本项目技术需求相关参数标准。必要时，采购人有权邀请参加本项目的其他供应商或者第三方机构参与验收。参与验收的供应商或者第三方机构的意见作为验收书的参考资料一并存档。验收结束后，应出具验收报告，列明服务的考核验收情况及项目总体评价，由验收双方共同签署，验收的相关费用由成交单位承担。</w:t>
      </w:r>
    </w:p>
    <w:p w14:paraId="31AC8E17">
      <w:r>
        <w:rPr>
          <w:rFonts w:hint="eastAsia" w:ascii="宋体" w:eastAsia="宋体" w:cs="宋体"/>
          <w:b/>
          <w:bCs/>
          <w:color w:val="auto"/>
          <w:kern w:val="2"/>
          <w:sz w:val="21"/>
          <w:szCs w:val="21"/>
          <w:highlight w:val="none"/>
          <w:lang w:eastAsia="zh-CN"/>
        </w:rPr>
        <w:t>（</w:t>
      </w:r>
      <w:r>
        <w:rPr>
          <w:rFonts w:hint="eastAsia" w:ascii="宋体" w:eastAsia="宋体" w:cs="宋体"/>
          <w:b/>
          <w:bCs/>
          <w:color w:val="auto"/>
          <w:kern w:val="2"/>
          <w:sz w:val="21"/>
          <w:szCs w:val="21"/>
          <w:highlight w:val="none"/>
          <w:lang w:val="en-US" w:eastAsia="zh-CN"/>
        </w:rPr>
        <w:t>五</w:t>
      </w:r>
      <w:r>
        <w:rPr>
          <w:rFonts w:hint="eastAsia" w:ascii="宋体" w:eastAsia="宋体" w:cs="宋体"/>
          <w:b/>
          <w:bCs/>
          <w:color w:val="auto"/>
          <w:kern w:val="2"/>
          <w:sz w:val="21"/>
          <w:szCs w:val="21"/>
          <w:highlight w:val="none"/>
          <w:lang w:eastAsia="zh-CN"/>
        </w:rPr>
        <w:t>）</w:t>
      </w:r>
      <w:r>
        <w:rPr>
          <w:rFonts w:hint="eastAsia" w:ascii="宋体" w:eastAsia="宋体" w:cs="宋体"/>
          <w:b/>
          <w:bCs/>
          <w:color w:val="auto"/>
          <w:kern w:val="2"/>
          <w:sz w:val="21"/>
          <w:szCs w:val="21"/>
          <w:highlight w:val="none"/>
        </w:rPr>
        <w:t>本项目全部采购标的对应《中小企业划型标准规定》所属行业为“</w:t>
      </w:r>
      <w:r>
        <w:rPr>
          <w:rFonts w:hint="eastAsia" w:ascii="宋体" w:eastAsia="宋体" w:cs="宋体"/>
          <w:b/>
          <w:bCs/>
          <w:color w:val="auto"/>
          <w:kern w:val="2"/>
          <w:sz w:val="21"/>
          <w:szCs w:val="21"/>
          <w:highlight w:val="none"/>
          <w:lang w:val="en-US" w:eastAsia="zh-CN"/>
        </w:rPr>
        <w:t>其他未列明行业</w:t>
      </w:r>
      <w:r>
        <w:rPr>
          <w:rFonts w:hint="eastAsia" w:ascii="宋体" w:eastAsia="宋体" w:cs="宋体"/>
          <w:b/>
          <w:bCs/>
          <w:color w:val="auto"/>
          <w:kern w:val="2"/>
          <w:sz w:val="21"/>
          <w:szCs w:val="21"/>
          <w:highlight w:val="none"/>
        </w:rPr>
        <w:t>”</w:t>
      </w:r>
      <w:r>
        <w:rPr>
          <w:rFonts w:hint="eastAsia" w:ascii="宋体" w:eastAsia="宋体" w:cs="宋体"/>
          <w:b/>
          <w:bCs/>
          <w:color w:val="auto"/>
          <w:kern w:val="2"/>
          <w:sz w:val="21"/>
          <w:szCs w:val="21"/>
          <w:highlight w:val="none"/>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091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Default"/>
    <w:uiPriority w:val="0"/>
    <w:pPr>
      <w:widowControl w:val="0"/>
      <w:autoSpaceDE w:val="0"/>
      <w:autoSpaceDN w:val="0"/>
      <w:adjustRightInd w:val="0"/>
    </w:pPr>
    <w:rPr>
      <w:rFonts w:ascii="......." w:hAnsi="......." w:eastAsia="......."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2026-05-28T06:19:35Z</dcterms:created>
  <dc:creator>WIN10</dc:creator>
  <cp:lastModifiedBy>DM</cp:lastModifiedBy>
  <dcterms:modified xsi:type="dcterms:W3CDTF">2026-05-28T06:20:11Z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eyJoZGlkIjoiOGI1MmFhOGM5N2M3MWNjOWI5YWYzY2E1NjNhZDgxZTUiLCJ1c2VySWQiOiIxNjE2MTIxMDg2In0=</vt:lpwstr>
  </property>
  <property fmtid="{D5CDD505-2E9C-101B-9397-08002B2CF9AE}" pid="4" name="ICV">
    <vt:lpwstr>4B773AF83ACA48AB8DB5ADB8BE297785_12</vt:lpwstr>
  </property>
</Properties>
</file>