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widowControl/>
        <w:spacing w:before="60" w:beforeLines="0" w:after="60" w:afterLines="0" w:line="580" w:lineRule="exact"/>
        <w:ind w:firstLine="0" w:firstLineChars="0"/>
        <w:jc w:val="center"/>
        <w:outlineLvl w:val="0"/>
        <w:rPr>
          <w:rFonts w:hint="eastAsia" w:ascii="仿宋" w:hAnsi="仿宋" w:eastAsia="仿宋" w:cs="仿宋"/>
          <w:b/>
          <w:kern w:val="44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kern w:val="44"/>
          <w:sz w:val="32"/>
          <w:szCs w:val="32"/>
          <w:lang w:val="en-US" w:eastAsia="zh-CN" w:bidi="ar-SA"/>
        </w:rPr>
        <w:t>济宁医学院附属医院消杀服务项目</w:t>
      </w:r>
    </w:p>
    <w:p>
      <w:pPr>
        <w:keepNext/>
        <w:keepLines/>
        <w:widowControl/>
        <w:spacing w:before="60" w:beforeLines="0" w:after="60" w:afterLines="0" w:line="580" w:lineRule="exact"/>
        <w:ind w:firstLine="0" w:firstLineChars="0"/>
        <w:jc w:val="center"/>
        <w:outlineLvl w:val="0"/>
        <w:rPr>
          <w:rFonts w:hint="eastAsia" w:ascii="仿宋" w:hAnsi="仿宋" w:eastAsia="仿宋" w:cs="仿宋"/>
          <w:b/>
          <w:kern w:val="44"/>
          <w:sz w:val="32"/>
          <w:szCs w:val="32"/>
          <w:lang w:val="en-US" w:eastAsia="zh-CN" w:bidi="ar-SA"/>
        </w:rPr>
      </w:pPr>
      <w:bookmarkStart w:id="2" w:name="_GoBack"/>
      <w:bookmarkEnd w:id="2"/>
      <w:r>
        <w:rPr>
          <w:rFonts w:hint="eastAsia" w:ascii="仿宋" w:hAnsi="仿宋" w:eastAsia="仿宋" w:cs="仿宋"/>
          <w:b/>
          <w:kern w:val="44"/>
          <w:sz w:val="32"/>
          <w:szCs w:val="32"/>
          <w:lang w:val="en-US" w:eastAsia="zh-CN" w:bidi="ar-SA"/>
        </w:rPr>
        <w:t>项</w:t>
      </w:r>
      <w:r>
        <w:rPr>
          <w:rFonts w:hint="eastAsia" w:ascii="仿宋" w:hAnsi="仿宋" w:eastAsia="仿宋" w:cs="仿宋"/>
          <w:b/>
          <w:kern w:val="44"/>
          <w:sz w:val="32"/>
          <w:szCs w:val="32"/>
          <w:lang w:val="en-US" w:eastAsia="zh-CN" w:bidi="ar-SA"/>
        </w:rPr>
        <w:t>目说明及技术规定</w:t>
      </w:r>
    </w:p>
    <w:p>
      <w:pPr>
        <w:widowControl w:val="0"/>
        <w:spacing w:line="400" w:lineRule="exact"/>
        <w:ind w:left="720" w:firstLine="0" w:firstLineChars="0"/>
        <w:rPr>
          <w:rFonts w:hint="eastAsia" w:ascii="仿宋" w:hAnsi="仿宋" w:eastAsia="仿宋" w:cs="仿宋"/>
          <w:kern w:val="0"/>
          <w:sz w:val="24"/>
          <w:szCs w:val="24"/>
          <w:lang w:val="en-US" w:eastAsia="zh-CN" w:bidi="ar-SA"/>
        </w:rPr>
      </w:pPr>
    </w:p>
    <w:p>
      <w:pPr>
        <w:spacing w:line="360" w:lineRule="auto"/>
        <w:ind w:firstLine="0" w:firstLineChars="0"/>
        <w:jc w:val="both"/>
        <w:rPr>
          <w:rFonts w:hint="eastAsia" w:ascii="仿宋" w:hAnsi="仿宋" w:eastAsia="仿宋" w:cs="仿宋"/>
          <w:b/>
          <w:bCs/>
          <w:kern w:val="200"/>
        </w:rPr>
      </w:pPr>
      <w:r>
        <w:rPr>
          <w:rFonts w:hint="eastAsia" w:ascii="仿宋" w:hAnsi="仿宋" w:eastAsia="仿宋" w:cs="仿宋"/>
          <w:b/>
          <w:bCs/>
          <w:kern w:val="200"/>
        </w:rPr>
        <w:t>一、服务内容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消杀服务面积包括本部院内全部建筑20万平方米、院区环境面积约8000㎡及院外（租赁）房产面积约1万平方米；任城校区（土门子街）学生公寓1至6楼及约定区域约7000平方米；太白湖院区全部建筑23.5万㎡、院区环境面积约3万㎡，蚊、蝇、鼠、蟑螂为主的害虫及病媒生物预防控制工作。</w:t>
      </w:r>
    </w:p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bookmarkStart w:id="0" w:name="_Hlt508095576"/>
      <w:bookmarkStart w:id="1" w:name="_Hlt508095575"/>
      <w:r>
        <w:rPr>
          <w:rFonts w:hint="eastAsia" w:ascii="仿宋" w:hAnsi="仿宋" w:eastAsia="仿宋" w:cs="仿宋"/>
          <w:b/>
          <w:bCs/>
        </w:rPr>
        <w:t>二、消杀服务防治对象：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蚊、蝇、鼠、蟑螂为主的害虫及病媒生物预防控制工作</w:t>
      </w:r>
    </w:p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三、消杀项目、地点范围、消杀时间及服务频次：</w:t>
      </w:r>
    </w:p>
    <w:tbl>
      <w:tblPr>
        <w:tblStyle w:val="12"/>
        <w:tblW w:w="94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7"/>
        <w:gridCol w:w="2208"/>
        <w:gridCol w:w="2055"/>
        <w:gridCol w:w="2073"/>
        <w:gridCol w:w="2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12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消杀服务地点</w:t>
            </w: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消杀项目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消杀地点及范围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消杀时间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服务期内消杀服务频次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  <w:jc w:val="center"/>
        </w:trPr>
        <w:tc>
          <w:tcPr>
            <w:tcW w:w="1127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济宁医学院附属医院本部</w:t>
            </w: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蚊蝇（含清理灭蚊蝇灯等）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全部科室、院区及院外租赁房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按照蚊蝇消杀计划进行每日、每周、每月巡查及消杀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详见蚊蝇消杀计划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鼠（含整理毒饵站、布药等）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全部科室、院区及院外租赁房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按照鼠类消杀计划进行每周、每月、每季度巡查及消杀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详见鼠类消杀计划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蟑螂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全部科室、院区及院外租赁房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按照蟑螂消杀计划进行每周、每月巡查及消杀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详见蟑螂消杀计划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消毒服务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感染疾病科外围环境、临时指定区域环境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根据院感办要求随时安排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根据院感办要求随时安排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</w:p>
        </w:tc>
        <w:tc>
          <w:tcPr>
            <w:tcW w:w="8370" w:type="dxa"/>
            <w:gridSpan w:val="4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备注：按计划服务进行消杀后，并随时接科室服务报告电话，按约定时间提供消杀服务。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任城校区土门子街学生公寓</w:t>
            </w: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蚊蝇鼠蟑螂全面消杀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学生公寓全部房间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每年5月—7月学生实习结束时分批次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共2次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蚊蝇鼠蟑螂全面消杀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学生公寓公共区域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根据采购人要求及安排确定消杀时间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共2次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鼠蟑</w:t>
            </w:r>
            <w:r>
              <w:rPr>
                <w:rFonts w:hint="eastAsia" w:ascii="仿宋" w:hAnsi="仿宋" w:eastAsia="仿宋" w:cs="仿宋"/>
                <w:bCs/>
                <w:kern w:val="200"/>
              </w:rPr>
              <w:t>消杀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学生公寓全部房间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根据采购人要求及安排确定消杀时间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每季度一次，共4次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消毒服务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学生公寓公共区域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根据采购人要求及安排确定消杀时间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每季度一次，共4次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蚊、蝇、臭虫及其他类害虫消杀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学生公寓全部房间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根据采购人要求及安排确定消杀时间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每周一次，共50次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任城校区1-4号公寓蚊蝇鼠蟑螂全面消杀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Cs/>
                <w:kern w:val="200"/>
              </w:rPr>
              <w:t>学生公寓公共区域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根据采购人要求及安排确定消杀时间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全年共10次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kern w:val="200"/>
              </w:rPr>
            </w:pPr>
          </w:p>
        </w:tc>
        <w:tc>
          <w:tcPr>
            <w:tcW w:w="8370" w:type="dxa"/>
            <w:gridSpan w:val="4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备注：1、根据工作需要由采购人统一安排消杀工作。</w:t>
            </w:r>
          </w:p>
          <w:p>
            <w:pPr>
              <w:spacing w:line="240" w:lineRule="auto"/>
              <w:ind w:firstLine="720" w:firstLineChars="300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2、如果公寓出现特殊情况急需消杀时，能及时到达现场进行消杀。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  <w:jc w:val="center"/>
        </w:trPr>
        <w:tc>
          <w:tcPr>
            <w:tcW w:w="1127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济宁医学院附属医院太白湖院区</w:t>
            </w: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蚊蝇（含清理灭蚊蝇灯）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全部科室、院区外环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按照蚊蝇消杀计划进行每日、每周、每月巡查及消杀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Cs/>
              </w:rPr>
              <w:t>详见蚊蝇消杀计划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鼠（含整理毒饵站、布药等）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全部科室、院区院区外环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按照鼠类消杀计划进行每周、每月、每季度巡查及消杀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Cs/>
              </w:rPr>
              <w:t>详见鼠类消杀计划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蟑螂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全部科室、院区院区外环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按照蟑螂消杀计划进行每周、每月巡查及消杀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Cs/>
              </w:rPr>
              <w:t>详见蟑螂消杀计划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</w:p>
        </w:tc>
        <w:tc>
          <w:tcPr>
            <w:tcW w:w="220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</w:rPr>
              <w:t>消毒服务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感染疾病科外围环境、临时指定区域环境</w:t>
            </w:r>
          </w:p>
        </w:tc>
        <w:tc>
          <w:tcPr>
            <w:tcW w:w="20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根据院感办要求随时安排</w:t>
            </w:r>
          </w:p>
        </w:tc>
        <w:tc>
          <w:tcPr>
            <w:tcW w:w="203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Cs/>
              </w:rPr>
              <w:t>根据院感办要求随时安排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112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</w:p>
        </w:tc>
        <w:tc>
          <w:tcPr>
            <w:tcW w:w="8370" w:type="dxa"/>
            <w:gridSpan w:val="4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备注：1、按计划服务进行消杀后，并随时接科室服务报告电话，按约定时间提供消杀服务。</w:t>
            </w:r>
          </w:p>
          <w:p>
            <w:pPr>
              <w:spacing w:line="240" w:lineRule="auto"/>
              <w:ind w:firstLine="720" w:firstLineChars="30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2、如果出现特殊情况急需消杀时，能及时到达现场进行消杀。</w:t>
            </w:r>
          </w:p>
        </w:tc>
      </w:tr>
    </w:tbl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四、预期防治效果：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达到济宁市任城区爱国卫生运动委员会文件 济爱卫办发〔2020〕1号标准及要求。</w:t>
      </w:r>
    </w:p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五、防治方法：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滞留喷洒、贴布毒饵胶饵等，使用适合采购人环境的合格药品用具。</w:t>
      </w:r>
    </w:p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六、使用的主要部分药品及器械要求：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主要药品及要求：</w:t>
      </w:r>
    </w:p>
    <w:tbl>
      <w:tblPr>
        <w:tblStyle w:val="12"/>
        <w:tblW w:w="91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3"/>
        <w:gridCol w:w="1880"/>
        <w:gridCol w:w="2820"/>
        <w:gridCol w:w="1732"/>
        <w:gridCol w:w="1373"/>
        <w:gridCol w:w="7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  <w:jc w:val="center"/>
        </w:trPr>
        <w:tc>
          <w:tcPr>
            <w:tcW w:w="61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1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药品需求</w:t>
            </w:r>
          </w:p>
        </w:tc>
        <w:tc>
          <w:tcPr>
            <w:tcW w:w="282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有效成分及其含量</w:t>
            </w:r>
          </w:p>
        </w:tc>
        <w:tc>
          <w:tcPr>
            <w:tcW w:w="173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灭治对象</w:t>
            </w:r>
          </w:p>
        </w:tc>
        <w:tc>
          <w:tcPr>
            <w:tcW w:w="137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使用方法</w:t>
            </w:r>
          </w:p>
        </w:tc>
        <w:tc>
          <w:tcPr>
            <w:tcW w:w="72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毒性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  <w:jc w:val="center"/>
        </w:trPr>
        <w:tc>
          <w:tcPr>
            <w:tcW w:w="61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1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灭蟑饵剂或饵粒</w:t>
            </w:r>
          </w:p>
        </w:tc>
        <w:tc>
          <w:tcPr>
            <w:tcW w:w="282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毒死蜱≥1%</w:t>
            </w:r>
          </w:p>
        </w:tc>
        <w:tc>
          <w:tcPr>
            <w:tcW w:w="173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蜚蠊</w:t>
            </w:r>
          </w:p>
        </w:tc>
        <w:tc>
          <w:tcPr>
            <w:tcW w:w="137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投放</w:t>
            </w:r>
          </w:p>
        </w:tc>
        <w:tc>
          <w:tcPr>
            <w:tcW w:w="72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低毒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  <w:jc w:val="center"/>
        </w:trPr>
        <w:tc>
          <w:tcPr>
            <w:tcW w:w="61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</w:t>
            </w:r>
          </w:p>
        </w:tc>
        <w:tc>
          <w:tcPr>
            <w:tcW w:w="1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氯菊·烯丙菊乳油</w:t>
            </w:r>
          </w:p>
        </w:tc>
        <w:tc>
          <w:tcPr>
            <w:tcW w:w="282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氯菊酯≥16.15 %+S-生物烯丙菊酯≥0.71%</w:t>
            </w:r>
          </w:p>
        </w:tc>
        <w:tc>
          <w:tcPr>
            <w:tcW w:w="173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蚊、蝇、蜚蠊</w:t>
            </w:r>
          </w:p>
        </w:tc>
        <w:tc>
          <w:tcPr>
            <w:tcW w:w="137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超低容喷雾</w:t>
            </w:r>
          </w:p>
        </w:tc>
        <w:tc>
          <w:tcPr>
            <w:tcW w:w="72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低毒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  <w:jc w:val="center"/>
        </w:trPr>
        <w:tc>
          <w:tcPr>
            <w:tcW w:w="61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</w:t>
            </w:r>
          </w:p>
        </w:tc>
        <w:tc>
          <w:tcPr>
            <w:tcW w:w="1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氯菊酯·右旋烯丙菊酯乳油</w:t>
            </w:r>
          </w:p>
        </w:tc>
        <w:tc>
          <w:tcPr>
            <w:tcW w:w="282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右旋烯丙菊酯≥4% +氯菊酯≥6%</w:t>
            </w:r>
          </w:p>
        </w:tc>
        <w:tc>
          <w:tcPr>
            <w:tcW w:w="173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蚊、蝇、蜚蠊</w:t>
            </w:r>
          </w:p>
        </w:tc>
        <w:tc>
          <w:tcPr>
            <w:tcW w:w="137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超低容量喷雾</w:t>
            </w:r>
          </w:p>
        </w:tc>
        <w:tc>
          <w:tcPr>
            <w:tcW w:w="72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低毒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  <w:jc w:val="center"/>
        </w:trPr>
        <w:tc>
          <w:tcPr>
            <w:tcW w:w="61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</w:t>
            </w:r>
          </w:p>
        </w:tc>
        <w:tc>
          <w:tcPr>
            <w:tcW w:w="188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顺氯·残杀威悬浮剂</w:t>
            </w:r>
          </w:p>
        </w:tc>
        <w:tc>
          <w:tcPr>
            <w:tcW w:w="282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残杀威≥ 6.5%+ 顺式氯氰菊酯≥8.5%</w:t>
            </w:r>
          </w:p>
        </w:tc>
        <w:tc>
          <w:tcPr>
            <w:tcW w:w="173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蚊、蜚蠊</w:t>
            </w:r>
          </w:p>
        </w:tc>
        <w:tc>
          <w:tcPr>
            <w:tcW w:w="137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滞留</w:t>
            </w:r>
            <w:r>
              <w:rPr>
                <w:rFonts w:hint="eastAsia" w:ascii="仿宋" w:hAnsi="仿宋" w:eastAsia="仿宋" w:cs="仿宋"/>
              </w:rPr>
              <w:t>喷洒</w:t>
            </w:r>
          </w:p>
        </w:tc>
        <w:tc>
          <w:tcPr>
            <w:tcW w:w="722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</w:rPr>
              <w:t>低毒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  <w:jc w:val="center"/>
        </w:trPr>
        <w:tc>
          <w:tcPr>
            <w:tcW w:w="61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</w:t>
            </w:r>
          </w:p>
        </w:tc>
        <w:tc>
          <w:tcPr>
            <w:tcW w:w="188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溴敌隆蜡块及毒饵</w:t>
            </w:r>
          </w:p>
        </w:tc>
        <w:tc>
          <w:tcPr>
            <w:tcW w:w="282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0.005%</w:t>
            </w:r>
          </w:p>
        </w:tc>
        <w:tc>
          <w:tcPr>
            <w:tcW w:w="173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蜡块、毒饵</w:t>
            </w:r>
          </w:p>
        </w:tc>
        <w:tc>
          <w:tcPr>
            <w:tcW w:w="13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投放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</w:rPr>
              <w:t>低毒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  <w:jc w:val="center"/>
        </w:trPr>
        <w:tc>
          <w:tcPr>
            <w:tcW w:w="613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</w:t>
            </w:r>
          </w:p>
        </w:tc>
        <w:tc>
          <w:tcPr>
            <w:tcW w:w="188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安备杀虫颗粒剂</w:t>
            </w:r>
          </w:p>
        </w:tc>
        <w:tc>
          <w:tcPr>
            <w:tcW w:w="282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双硫磷含量：1%</w:t>
            </w:r>
          </w:p>
        </w:tc>
        <w:tc>
          <w:tcPr>
            <w:tcW w:w="173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幼虫期</w:t>
            </w:r>
          </w:p>
        </w:tc>
        <w:tc>
          <w:tcPr>
            <w:tcW w:w="1373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投放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低毒</w:t>
            </w:r>
          </w:p>
        </w:tc>
      </w:tr>
    </w:tbl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注：供应商使用药品应为合格产品，并在报价文件中写明药品生产厂家及品牌，因产生耐药性更换药品需取得采购人同意，供应商不得擅自更换，药品使用剂量严格按照说明书执行。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供应商应具备的主要设备器械、工具及材料要求（每个消杀地点基础配置）：</w:t>
      </w:r>
    </w:p>
    <w:tbl>
      <w:tblPr>
        <w:tblStyle w:val="12"/>
        <w:tblW w:w="891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0"/>
        <w:gridCol w:w="2816"/>
        <w:gridCol w:w="1702"/>
        <w:gridCol w:w="18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设备、工具或材料名称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最低配置数量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作用方式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使用区域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充电背负式喷雾器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1台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空间及滞留消杀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外环境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电动超低容量喷雾器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2台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喷洒消杀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几乎所有区域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粘鼠板（屋）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根据实际情况足量配置，需满足采购人使用需求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粘捕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所有区域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鼠夹、鼠笼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根据实际情况足量配置，需满足采购人使用需求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抓捕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所有区域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鼠饵站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根据实际情况足量配置，需满足采购人使用需求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投诱饵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外环境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各种捕捉笼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根据实际情况足量配置，需满足采购人使用需求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诱捕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所有区域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蟑螂屋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根据实际情况足量配置，需满足采购人使用需求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诱捕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内环境</w:t>
            </w:r>
          </w:p>
        </w:tc>
      </w:tr>
    </w:tbl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七、服务内容及要求：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1、供应商按济宁市任城区爱国卫生运动委员会 济爱卫办发〔2020〕1号文件标准及要求科学合理地实施消杀服务，接受采购人及各级爱卫办监督检查和考核。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2、供应商提供工作人员个人防护及消杀、消毒器械工具，消杀（含消毒）防制药品、药具，并提供所使用药品的合格农药登记证、生产许可证与相关的合法证件，所使用药品用具与合同和报价文件相一致。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3、供应商需进行全面细致的消杀防治服务调查，制定切实有效的消杀防治服务方案、计划，进一步增加全院科室消杀服务力度和频次，保障消杀服务不留空白区域，保障消杀服务全面细致、安全高效地进行，达到济宁市任城区爱国卫生运动委员会 济爱卫办发〔2020〕1号文件标准及要求和采购人消杀管理制度要求。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4、供应商需提高消杀服务人员培训考核标准，保障服务人员能熟悉科室情况、具有良好的服务意识，掌握合理合规的服务技术，并能与科室人员进行有效沟通，不断改进提高服务水平。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5、供应商开始工作后需达到国家规定控制标准。每季度对蟑螂全面消杀防制一遍，其余时间进入维护期，维护期内中标方需随即检查灭蟑效果，发现问题或应科室要求及时处理解决，并填写防制服务表，存档备查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6、供应商入场前要进行前期考察，制定出消杀方案及人员配备，由采购人审定同意后再进行实施。接采购人临时消杀通知后当天到位对通知区域进行消杀。所有消杀工作由供应商承担进行，采购人只对工作提供支持、配合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7、服务期内，供应商派员到医院及任城校区对技术、服务质量进行检查，对防治对象进行监测并听取采购人的意见和建议，以便提高工作质量。在合同规定的防治范围内，采购人若发现有防治对象危害，须及时通知供应商，供应商要在20分钟内到达现场并进行服务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8、供应商设立专线服务电话，消杀人员全年24小时值班接听，及时按要求处理。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9、3月15日—11月15日为消杀繁忙季节，如有需要供应商应及时增加力量或改进消杀方案;其它时间供应商应检查反馈情况或随时接受采购人通知，及时到位服务。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10、供应商须根据消杀计划，每季度进行密度检测并出具密度检测报告，要求格式如下：</w:t>
      </w:r>
    </w:p>
    <w:tbl>
      <w:tblPr>
        <w:tblStyle w:val="12"/>
        <w:tblW w:w="0" w:type="auto"/>
        <w:tblInd w:w="3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4"/>
        <w:gridCol w:w="2614"/>
        <w:gridCol w:w="32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20" w:type="dxa"/>
            <w:gridSpan w:val="3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密度控制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90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室内鼠密度</w:t>
            </w:r>
          </w:p>
        </w:tc>
        <w:tc>
          <w:tcPr>
            <w:tcW w:w="261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鼠迹阳性率</w:t>
            </w:r>
          </w:p>
        </w:tc>
        <w:tc>
          <w:tcPr>
            <w:tcW w:w="3202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90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外环境鼠密度</w:t>
            </w:r>
          </w:p>
        </w:tc>
        <w:tc>
          <w:tcPr>
            <w:tcW w:w="261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路径指数</w:t>
            </w:r>
          </w:p>
        </w:tc>
        <w:tc>
          <w:tcPr>
            <w:tcW w:w="3202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90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外环境蚊密度</w:t>
            </w:r>
          </w:p>
        </w:tc>
        <w:tc>
          <w:tcPr>
            <w:tcW w:w="261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停落指数</w:t>
            </w:r>
          </w:p>
        </w:tc>
        <w:tc>
          <w:tcPr>
            <w:tcW w:w="3202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90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室内成蝇密度</w:t>
            </w:r>
          </w:p>
        </w:tc>
        <w:tc>
          <w:tcPr>
            <w:tcW w:w="261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阳性间蝇密度</w:t>
            </w:r>
          </w:p>
        </w:tc>
        <w:tc>
          <w:tcPr>
            <w:tcW w:w="3202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90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室外蝇类孳生地密度</w:t>
            </w:r>
          </w:p>
        </w:tc>
        <w:tc>
          <w:tcPr>
            <w:tcW w:w="261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阳性率</w:t>
            </w:r>
          </w:p>
        </w:tc>
        <w:tc>
          <w:tcPr>
            <w:tcW w:w="3202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290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蟑迹</w:t>
            </w:r>
          </w:p>
        </w:tc>
        <w:tc>
          <w:tcPr>
            <w:tcW w:w="2614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查获率</w:t>
            </w:r>
          </w:p>
        </w:tc>
        <w:tc>
          <w:tcPr>
            <w:tcW w:w="3202" w:type="dxa"/>
            <w:noWrap w:val="0"/>
            <w:vAlign w:val="top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</w:tbl>
    <w:p>
      <w:pPr>
        <w:spacing w:line="360" w:lineRule="auto"/>
        <w:ind w:firstLine="48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八、服务人员配置及数量要求：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消杀服务人员具备有害生物防制协会或县区级（含县区级）以上爱卫办培训合格证书，并能根据需要随时提供人员技术支持。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本部及太白湖院区各驻消杀点人员配置要求：3月15日—11月15日驻院消杀服务人员在岗至少2人（含夜间1人值班），24小时服务，11月16日-3月14日驻院消杀人员在岗至少1人，24小时服务（含夜间值班），周六、周日与节假日正常上班。保障人员编制满员，在岗在位，不得因其他地方有消杀任务离岗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根据疫情等工作需要，必要时成立3-4人应急消杀队伍，人员费用包含在本次报价中，消毒用品由采购人提供。</w:t>
      </w:r>
    </w:p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九、其他要求</w:t>
      </w:r>
    </w:p>
    <w:p>
      <w:pPr>
        <w:numPr>
          <w:ilvl w:val="0"/>
          <w:numId w:val="2"/>
        </w:num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供应商应使用符合国家规定的药物及工具进行灭杀服务，对于因使用药械造成人员中毒及伤害事件或对医院建筑物造成损坏（经双方确认或权威部门鉴定确认），由供应商承担全部责任，并进行赔偿。</w:t>
      </w:r>
    </w:p>
    <w:p>
      <w:pPr>
        <w:numPr>
          <w:ilvl w:val="0"/>
          <w:numId w:val="2"/>
        </w:num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如供应商在合同期内不能达到国家标准及合同相关要求，对采购人造成重大不良社会影响，严重纠纷或损失的，采购人有权终止合同。如给采购人造成损失，供应商应给予采购人经济赔偿。</w:t>
      </w:r>
    </w:p>
    <w:p>
      <w:pPr>
        <w:numPr>
          <w:ilvl w:val="0"/>
          <w:numId w:val="2"/>
        </w:num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应提供优良服务，避免干扰，如有需要事先向采购人声明，由采购人管理部门协调配合进行。工作中不能损害物品及改变建筑物的正常结构。消杀作业人员应服从采购人管理，搞好岗位培训及安全教育，文明作业；遵守采购人规定，不与职工、学生发生矛盾冲突。爱护建筑物及医院各项设施，注意节水、节电。</w:t>
      </w:r>
    </w:p>
    <w:p>
      <w:pPr>
        <w:numPr>
          <w:ilvl w:val="0"/>
          <w:numId w:val="2"/>
        </w:num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本项目供应商不得以任何形式向他人进行转包或分包，如发现有转包或分包情况，采购人有权立即终止合同，并拒付费用。</w:t>
      </w:r>
    </w:p>
    <w:p>
      <w:pPr>
        <w:numPr>
          <w:ilvl w:val="0"/>
          <w:numId w:val="2"/>
        </w:num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供应商必须确保相关消杀项目满足采购人消杀服务监控指标要求，并符合采购人消杀管理制度要求。</w:t>
      </w:r>
    </w:p>
    <w:p>
      <w:pPr>
        <w:numPr>
          <w:ilvl w:val="0"/>
          <w:numId w:val="2"/>
        </w:num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接通知后如不能按时到达处理、值班电话无法接通或发生投诉，采购人有权每次扣除供应商200元服务费作为违约金。如有供应商责任造成达不到合同规定的消杀标准，采购人有权每次扣除供应商500元服务费作为违约金。供应商作业人员与医院职工、学生发生矛盾冲突的，采购人有权每次扣除供应商500元服务费作为违约金。供应商作业人员未经培训上岗或空岗的，采购人有权每次扣除供应商200元服务费作为违约金。</w:t>
      </w:r>
    </w:p>
    <w:p>
      <w:pPr>
        <w:numPr>
          <w:ilvl w:val="0"/>
          <w:numId w:val="2"/>
        </w:num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如果没有违背以上条款，非经双方同意，服务期满前不得单方面撤销。如果一方单面终止合同须向对方赔偿损失，赔偿金额等同于尚未付讫的合同金额。</w:t>
      </w:r>
    </w:p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十、服务期和地点：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服务地点：济宁医学院附属医院本部，服务期：一年，具体起止时间以采购人要求为准。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服务地点：任城校区，服务期：13个月，具体起止时间以采购人要求为准。</w:t>
      </w:r>
    </w:p>
    <w:p>
      <w:pPr>
        <w:spacing w:line="360" w:lineRule="auto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服务地点：济宁医学院附属医院太白湖院区，服务期：1</w:t>
      </w:r>
      <w:r>
        <w:rPr>
          <w:rFonts w:hint="eastAsia" w:ascii="仿宋" w:hAnsi="仿宋" w:eastAsia="仿宋" w:cs="仿宋"/>
          <w:lang w:val="en-US" w:eastAsia="zh-CN"/>
        </w:rPr>
        <w:t>3</w:t>
      </w:r>
      <w:r>
        <w:rPr>
          <w:rFonts w:hint="eastAsia" w:ascii="仿宋" w:hAnsi="仿宋" w:eastAsia="仿宋" w:cs="仿宋"/>
        </w:rPr>
        <w:t>个月，具体起止时间以采购人要求为准。</w:t>
      </w:r>
    </w:p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十一、消杀服务监控指标要求：</w:t>
      </w:r>
    </w:p>
    <w:tbl>
      <w:tblPr>
        <w:tblStyle w:val="12"/>
        <w:tblW w:w="887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1"/>
        <w:gridCol w:w="1612"/>
        <w:gridCol w:w="1137"/>
        <w:gridCol w:w="1565"/>
        <w:gridCol w:w="1370"/>
        <w:gridCol w:w="128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监控指标名称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分子</w:t>
            </w:r>
          </w:p>
        </w:tc>
        <w:tc>
          <w:tcPr>
            <w:tcW w:w="11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分母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年度目标值</w:t>
            </w:r>
          </w:p>
        </w:tc>
        <w:tc>
          <w:tcPr>
            <w:tcW w:w="1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数据来源</w:t>
            </w:r>
          </w:p>
        </w:tc>
        <w:tc>
          <w:tcPr>
            <w:tcW w:w="12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kern w:val="20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00"/>
              </w:rPr>
              <w:t>频率计划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9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防鼠设施合格率</w:t>
            </w:r>
          </w:p>
        </w:tc>
        <w:tc>
          <w:tcPr>
            <w:tcW w:w="16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实际完成有效毒饵站数量</w:t>
            </w:r>
          </w:p>
        </w:tc>
        <w:tc>
          <w:tcPr>
            <w:tcW w:w="1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毒饵站总数</w:t>
            </w:r>
          </w:p>
        </w:tc>
        <w:tc>
          <w:tcPr>
            <w:tcW w:w="15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≥95%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毒饵站巡查记录</w:t>
            </w:r>
          </w:p>
        </w:tc>
        <w:tc>
          <w:tcPr>
            <w:tcW w:w="12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kern w:val="200"/>
              </w:rPr>
            </w:pPr>
            <w:r>
              <w:rPr>
                <w:rFonts w:hint="eastAsia" w:ascii="仿宋" w:hAnsi="仿宋" w:eastAsia="仿宋" w:cs="仿宋"/>
                <w:kern w:val="200"/>
              </w:rPr>
              <w:t>每月</w:t>
            </w:r>
          </w:p>
        </w:tc>
      </w:tr>
    </w:tbl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十二、密度控制要求：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8"/>
        <w:gridCol w:w="2626"/>
        <w:gridCol w:w="3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8760" w:type="dxa"/>
            <w:gridSpan w:val="3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密度控制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2918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室内鼠密度</w:t>
            </w:r>
          </w:p>
        </w:tc>
        <w:tc>
          <w:tcPr>
            <w:tcW w:w="262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鼠迹阳性率</w:t>
            </w:r>
          </w:p>
        </w:tc>
        <w:tc>
          <w:tcPr>
            <w:tcW w:w="321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2918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外环境鼠密度</w:t>
            </w:r>
          </w:p>
        </w:tc>
        <w:tc>
          <w:tcPr>
            <w:tcW w:w="262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路径指数</w:t>
            </w:r>
          </w:p>
        </w:tc>
        <w:tc>
          <w:tcPr>
            <w:tcW w:w="321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2918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外环境蚊密度</w:t>
            </w:r>
          </w:p>
        </w:tc>
        <w:tc>
          <w:tcPr>
            <w:tcW w:w="262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停落指数</w:t>
            </w:r>
          </w:p>
        </w:tc>
        <w:tc>
          <w:tcPr>
            <w:tcW w:w="321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2918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室内成蝇密度</w:t>
            </w:r>
          </w:p>
        </w:tc>
        <w:tc>
          <w:tcPr>
            <w:tcW w:w="262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阳性间蝇密度</w:t>
            </w:r>
          </w:p>
        </w:tc>
        <w:tc>
          <w:tcPr>
            <w:tcW w:w="321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2918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室外蝇类孳生地密度</w:t>
            </w:r>
          </w:p>
        </w:tc>
        <w:tc>
          <w:tcPr>
            <w:tcW w:w="262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阳性率</w:t>
            </w:r>
          </w:p>
        </w:tc>
        <w:tc>
          <w:tcPr>
            <w:tcW w:w="321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918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蟑迹</w:t>
            </w:r>
          </w:p>
        </w:tc>
        <w:tc>
          <w:tcPr>
            <w:tcW w:w="262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查获率</w:t>
            </w:r>
          </w:p>
        </w:tc>
        <w:tc>
          <w:tcPr>
            <w:tcW w:w="3216" w:type="dxa"/>
            <w:noWrap w:val="0"/>
            <w:vAlign w:val="top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＜3%</w:t>
            </w:r>
          </w:p>
        </w:tc>
      </w:tr>
    </w:tbl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十三、消杀计划：</w:t>
      </w:r>
    </w:p>
    <w:p>
      <w:pPr>
        <w:spacing w:line="360" w:lineRule="auto"/>
        <w:ind w:firstLine="482"/>
        <w:jc w:val="both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（一）</w:t>
      </w:r>
      <w:r>
        <w:rPr>
          <w:rFonts w:hint="eastAsia" w:ascii="仿宋" w:hAnsi="仿宋" w:eastAsia="仿宋" w:cs="仿宋"/>
          <w:b/>
          <w:bCs/>
          <w:lang w:eastAsia="zh-CN"/>
        </w:rPr>
        <w:t>医院本部</w:t>
      </w:r>
      <w:r>
        <w:rPr>
          <w:rFonts w:hint="eastAsia" w:ascii="仿宋" w:hAnsi="仿宋" w:eastAsia="仿宋" w:cs="仿宋"/>
          <w:b/>
          <w:bCs/>
        </w:rPr>
        <w:t>消杀计划</w:t>
      </w:r>
    </w:p>
    <w:p>
      <w:pPr>
        <w:spacing w:line="360" w:lineRule="auto"/>
        <w:ind w:firstLine="0" w:firstLineChars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蚊蝇消杀计划</w:t>
      </w:r>
    </w:p>
    <w:tbl>
      <w:tblPr>
        <w:tblStyle w:val="12"/>
        <w:tblW w:w="98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4"/>
        <w:gridCol w:w="1621"/>
        <w:gridCol w:w="1776"/>
        <w:gridCol w:w="1067"/>
        <w:gridCol w:w="1089"/>
        <w:gridCol w:w="1022"/>
        <w:gridCol w:w="1284"/>
        <w:gridCol w:w="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1224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靶标虫害</w:t>
            </w:r>
          </w:p>
        </w:tc>
        <w:tc>
          <w:tcPr>
            <w:tcW w:w="1621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消杀地点</w:t>
            </w:r>
          </w:p>
        </w:tc>
        <w:tc>
          <w:tcPr>
            <w:tcW w:w="1776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消杀区域</w:t>
            </w:r>
          </w:p>
        </w:tc>
        <w:tc>
          <w:tcPr>
            <w:tcW w:w="4462" w:type="dxa"/>
            <w:gridSpan w:val="4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消杀频次</w:t>
            </w:r>
          </w:p>
        </w:tc>
        <w:tc>
          <w:tcPr>
            <w:tcW w:w="815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76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每日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每周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每月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时间安排</w:t>
            </w:r>
          </w:p>
        </w:tc>
        <w:tc>
          <w:tcPr>
            <w:tcW w:w="81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6" w:hRule="atLeast"/>
          <w:jc w:val="center"/>
        </w:trPr>
        <w:tc>
          <w:tcPr>
            <w:tcW w:w="1224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蚊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蝇</w:t>
            </w: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1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①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2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②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3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③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号楼、④号楼、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5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⑤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7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⑦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10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⑩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病室、走廊、卫生间等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消杀走廊、公共卫生间1次，病房接通知后消杀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公共区域卫生间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急诊、医保处、东病房北等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门诊区域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2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②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3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③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急诊监护、走廊、急诊观察室等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门诊区域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2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②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3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③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门诊诊区大厅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晚上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公共区灭蚊蝇灯的清理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检查、清理1次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院区绿化带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草坪、树木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消杀2次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医疗废物暂存处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医疗废物桶、墙面、地面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消杀2次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生活垃圾站次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垃圾周转箱、地面、下水道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消杀2次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院区下水井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院区雨水、污水井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投放安倍1次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室内车库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国教楼负一层、二层、，综合楼负二层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行政办公区⑥、⑨号楼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国交楼、图书室、物流中心、院外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设备间、设备层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3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③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8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⑧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配电室、高压氧、空调室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手术室、ICU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综合楼、妇儿楼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周六、周日消杀1次</w:t>
            </w:r>
          </w:p>
        </w:tc>
        <w:tc>
          <w:tcPr>
            <w:tcW w:w="1022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具体根据当日手术安排联系消杀</w:t>
            </w:r>
          </w:p>
        </w:tc>
        <w:tc>
          <w:tcPr>
            <w:tcW w:w="815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介入手术室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周三、周六各1次</w:t>
            </w:r>
          </w:p>
        </w:tc>
        <w:tc>
          <w:tcPr>
            <w:tcW w:w="1022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1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餐厅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各区域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2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集体宿舍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院外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1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  <w:jc w:val="center"/>
        </w:trPr>
        <w:tc>
          <w:tcPr>
            <w:tcW w:w="9898" w:type="dxa"/>
            <w:gridSpan w:val="8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注意事项：</w:t>
            </w:r>
          </w:p>
          <w:p>
            <w:pPr>
              <w:numPr>
                <w:ilvl w:val="0"/>
                <w:numId w:val="3"/>
              </w:numPr>
              <w:tabs>
                <w:tab w:val="clear" w:pos="312"/>
              </w:tabs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如遇特殊情况按照采购人要求执行，合理更变处理时间。喷洒药剂建议定期更换一次，以免产生耐药性，影响消杀效果。</w:t>
            </w:r>
          </w:p>
          <w:p>
            <w:pPr>
              <w:numPr>
                <w:ilvl w:val="0"/>
                <w:numId w:val="3"/>
              </w:numPr>
              <w:tabs>
                <w:tab w:val="clear" w:pos="312"/>
              </w:tabs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喷洒时段应尽量选择在人少的时段进行，手术室等特殊区域喷洒时间按照采购人要求执行。</w:t>
            </w:r>
          </w:p>
          <w:p>
            <w:pPr>
              <w:numPr>
                <w:ilvl w:val="0"/>
                <w:numId w:val="3"/>
              </w:numPr>
              <w:tabs>
                <w:tab w:val="clear" w:pos="312"/>
              </w:tabs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蚊虫多发季，应以治理为主、喷洒为辅，排查蚊蝇孳生点尤为重要。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</w:rPr>
              <w:t>日常巡查中如发现可改善的基础防虫问题，应及时汇总在《消杀服务报告总结》中，定期提交给采购人负责人。</w:t>
            </w:r>
          </w:p>
        </w:tc>
      </w:tr>
    </w:tbl>
    <w:p>
      <w:pPr>
        <w:spacing w:line="360" w:lineRule="auto"/>
        <w:ind w:firstLine="0" w:firstLineChars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鼠类消杀计划</w:t>
      </w:r>
    </w:p>
    <w:tbl>
      <w:tblPr>
        <w:tblStyle w:val="12"/>
        <w:tblW w:w="95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5"/>
        <w:gridCol w:w="1833"/>
        <w:gridCol w:w="1474"/>
        <w:gridCol w:w="880"/>
        <w:gridCol w:w="957"/>
        <w:gridCol w:w="1355"/>
        <w:gridCol w:w="971"/>
        <w:gridCol w:w="10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1095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靶标虫害</w:t>
            </w:r>
          </w:p>
        </w:tc>
        <w:tc>
          <w:tcPr>
            <w:tcW w:w="1833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消杀地点</w:t>
            </w:r>
          </w:p>
        </w:tc>
        <w:tc>
          <w:tcPr>
            <w:tcW w:w="1474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消杀区域</w:t>
            </w:r>
          </w:p>
        </w:tc>
        <w:tc>
          <w:tcPr>
            <w:tcW w:w="4163" w:type="dxa"/>
            <w:gridSpan w:val="4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消杀频次</w:t>
            </w:r>
          </w:p>
        </w:tc>
        <w:tc>
          <w:tcPr>
            <w:tcW w:w="1012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7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每日</w:t>
            </w: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每周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每月</w:t>
            </w: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每季</w:t>
            </w:r>
          </w:p>
        </w:tc>
        <w:tc>
          <w:tcPr>
            <w:tcW w:w="1012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1095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鼠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类</w:t>
            </w: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1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①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2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②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3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③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号楼、⑤号楼、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7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⑦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10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⑩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病室、走廊、卫生间等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公共区域卫生间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急诊、医保处、东病房北等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门诊区域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急诊监护、走廊、儿童输液室、急诊观察室等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院区绿化带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草坪、树木、毒饵站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巡视毒饵站，补鼠药1次。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巡视毒饵站，更换鼠药1次。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医疗废物暂存处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医疗废物桶 旁、墙角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巡视毒饵站，补鼠药1次。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巡视毒饵站，更换鼠药1次。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生活垃圾站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垃圾周转箱、地面、下水道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巡视毒饵站，补鼠药1次。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巡视毒饵站，更换鼠药1次。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室内车库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国教楼负一层、二层、，综合楼负二层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巡视毒饵站，补鼠药1次。</w:t>
            </w: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巡视毒饵站，更换鼠药1次。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3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行政办公区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国交楼、图书室、物流中心、院外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排查1次，如发现鼠粪、鼠迹采用粘鼠板灭鼠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设备间、设备层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配电室、高压氧、空调室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手术室、ICU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综合楼、妇儿楼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排查1次，如发现鼠粪、鼠迹采用粘鼠板灭鼠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餐饮、公共区域</w:t>
            </w:r>
          </w:p>
        </w:tc>
        <w:tc>
          <w:tcPr>
            <w:tcW w:w="14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食堂、餐厅、咖啡厅、各楼大厅、楼道、护士站</w:t>
            </w:r>
          </w:p>
        </w:tc>
        <w:tc>
          <w:tcPr>
            <w:tcW w:w="88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97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9" w:hRule="atLeast"/>
          <w:jc w:val="center"/>
        </w:trPr>
        <w:tc>
          <w:tcPr>
            <w:tcW w:w="9577" w:type="dxa"/>
            <w:gridSpan w:val="8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注意事项：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1.工作人员需严格按照防治计划更换粘板、鼠药，如室内发现鼠迹需第一时间向采购人负责人汇报，并采用物理方法及时灭鼠，捕获的鼠类应第一时间清理。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2.鼠药应严格按照吃多少补多少，吃光加倍投放。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</w:rPr>
              <w:t>巡视时消杀工作人员应根据检测标准中的要求对院区内存在的鼠洞、建筑物与外界联通的孔洞、下水口等重点位置进行排查，如有鼠类入侵风险，应做好相关位置的记录，汇总在《消杀服务报告总结 》中，定期提交给采购人负责人。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9577" w:type="dxa"/>
            <w:gridSpan w:val="8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灭鼠标准：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用粉迹法监测鼠密度不超过1%。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老鼠防制方法：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1.地沟、下水道、排风口安装挡鼠网，网孔直径应小于0.6厘米.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2.外围如发现鼠洞应及时填补、封堵。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3.食堂、餐厅、杂物间、管道间、超市使用粘鼠板。</w:t>
            </w:r>
          </w:p>
        </w:tc>
      </w:tr>
    </w:tbl>
    <w:p>
      <w:pPr>
        <w:spacing w:line="360" w:lineRule="auto"/>
        <w:ind w:firstLine="0" w:firstLineChars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蟑螂消杀计划</w:t>
      </w:r>
    </w:p>
    <w:tbl>
      <w:tblPr>
        <w:tblStyle w:val="12"/>
        <w:tblW w:w="98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3"/>
        <w:gridCol w:w="1621"/>
        <w:gridCol w:w="1776"/>
        <w:gridCol w:w="1067"/>
        <w:gridCol w:w="1556"/>
        <w:gridCol w:w="1482"/>
        <w:gridCol w:w="11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223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靶标虫害</w:t>
            </w:r>
          </w:p>
        </w:tc>
        <w:tc>
          <w:tcPr>
            <w:tcW w:w="1621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消杀地点</w:t>
            </w:r>
          </w:p>
        </w:tc>
        <w:tc>
          <w:tcPr>
            <w:tcW w:w="1776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消杀区域</w:t>
            </w:r>
          </w:p>
        </w:tc>
        <w:tc>
          <w:tcPr>
            <w:tcW w:w="4105" w:type="dxa"/>
            <w:gridSpan w:val="3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消杀频次</w:t>
            </w:r>
          </w:p>
        </w:tc>
        <w:tc>
          <w:tcPr>
            <w:tcW w:w="1172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76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每日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每周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每月</w:t>
            </w:r>
          </w:p>
        </w:tc>
        <w:tc>
          <w:tcPr>
            <w:tcW w:w="1172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23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蟑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螂</w:t>
            </w: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全院构建筑物内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每季度全面布置灭蟑药1次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临床科室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1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①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2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②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3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③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5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⑤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7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⑦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10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⑩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病室、走廊、卫生间等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公共区域卫生间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急诊、医保处、东病房北等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门诊区域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2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②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3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③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急诊监护、走廊、急诊观察室等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集体宿舍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集体宿舍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巡视/布置灭蟑胶饵或颗粒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医疗废物暂存处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医疗废物桶旁、墙角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生活垃圾站次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垃圾周转箱、墙角、下水道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行政办公区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国交楼、图书室、物流中心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设备间、设备层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3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③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号楼、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= 8 \* GB3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⑧</w:t>
            </w:r>
            <w:r>
              <w:rPr>
                <w:rFonts w:hint="eastAsia" w:ascii="仿宋" w:hAnsi="仿宋" w:eastAsia="仿宋" w:cs="仿宋"/>
              </w:rPr>
              <w:fldChar w:fldCharType="end"/>
            </w:r>
            <w:r>
              <w:rPr>
                <w:rFonts w:hint="eastAsia" w:ascii="仿宋" w:hAnsi="仿宋" w:eastAsia="仿宋" w:cs="仿宋"/>
              </w:rPr>
              <w:t>号楼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配电室、高压氧、空调室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巡视/布置灭蟑胶饵或颗粒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手术室、ICU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综合楼、妇儿楼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122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2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餐饮、公共区域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食堂、餐厅、咖啡厅、各楼大厅、楼道、护士站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6" w:hRule="atLeast"/>
          <w:jc w:val="center"/>
        </w:trPr>
        <w:tc>
          <w:tcPr>
            <w:tcW w:w="9897" w:type="dxa"/>
            <w:gridSpan w:val="7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注意事项：</w:t>
            </w:r>
          </w:p>
          <w:p>
            <w:pPr>
              <w:numPr>
                <w:ilvl w:val="0"/>
                <w:numId w:val="4"/>
              </w:num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灭蟑工作的重点是营造良好的卫生环境，保持室内清洁、干燥是防治蟑螂的根本。</w:t>
            </w:r>
          </w:p>
          <w:p>
            <w:pPr>
              <w:numPr>
                <w:ilvl w:val="0"/>
                <w:numId w:val="4"/>
              </w:num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在日常巡查中如发现蟑迹，应仔细排查该区域，确定蟑螂孳生点，采用灭蟑胶饵进行灭杀。</w:t>
            </w:r>
          </w:p>
          <w:p>
            <w:pPr>
              <w:numPr>
                <w:ilvl w:val="0"/>
                <w:numId w:val="4"/>
              </w:num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胶饵布点以点小、点密为优，布点位置多选择隐蔽的角落、缝隙。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灭杀后应及时清理蟑尸、卵夹，卵夹应进行破坏，防止成熟的卵夹继续孳生蟑螂幼虫。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4.根据实际消杀情况及时调整药剂，以免产生耐药性，影响消杀效果。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9897" w:type="dxa"/>
            <w:gridSpan w:val="7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灭蟑标准：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</w:rPr>
              <w:t>蟑螂查获率不超过3%。</w:t>
            </w:r>
          </w:p>
        </w:tc>
      </w:tr>
      <w:bookmarkEnd w:id="0"/>
      <w:bookmarkEnd w:id="1"/>
    </w:tbl>
    <w:p>
      <w:pPr>
        <w:spacing w:line="360" w:lineRule="auto"/>
        <w:ind w:firstLine="482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（二）太白湖院区消杀计划</w:t>
      </w:r>
    </w:p>
    <w:p>
      <w:pPr>
        <w:spacing w:line="360" w:lineRule="auto"/>
        <w:ind w:firstLine="0" w:firstLineChars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蚊蝇消杀计划</w:t>
      </w:r>
    </w:p>
    <w:tbl>
      <w:tblPr>
        <w:tblStyle w:val="12"/>
        <w:tblW w:w="96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1507"/>
        <w:gridCol w:w="1869"/>
        <w:gridCol w:w="1241"/>
        <w:gridCol w:w="1175"/>
        <w:gridCol w:w="990"/>
        <w:gridCol w:w="1254"/>
        <w:gridCol w:w="6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000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靶标虫害</w:t>
            </w:r>
          </w:p>
        </w:tc>
        <w:tc>
          <w:tcPr>
            <w:tcW w:w="1507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消杀地点</w:t>
            </w:r>
          </w:p>
        </w:tc>
        <w:tc>
          <w:tcPr>
            <w:tcW w:w="1869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消杀区域</w:t>
            </w:r>
          </w:p>
        </w:tc>
        <w:tc>
          <w:tcPr>
            <w:tcW w:w="4660" w:type="dxa"/>
            <w:gridSpan w:val="4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消杀频次</w:t>
            </w:r>
          </w:p>
        </w:tc>
        <w:tc>
          <w:tcPr>
            <w:tcW w:w="633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69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每日</w:t>
            </w: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每周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每月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时间安排</w:t>
            </w:r>
          </w:p>
        </w:tc>
        <w:tc>
          <w:tcPr>
            <w:tcW w:w="63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8" w:hRule="atLeast"/>
          <w:jc w:val="center"/>
        </w:trPr>
        <w:tc>
          <w:tcPr>
            <w:tcW w:w="1000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蚊蝇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1号楼、2号楼、3号楼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病室、走廊、卫生间及公共区域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1号楼消杀走廊、公共卫生间、公共区域1次，病房接通知后消杀</w:t>
            </w: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2号3号病房楼电梯厅、步梯间消杀2次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公共卫生间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生态停车场、正负压站房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门诊大厅区域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急诊大厅、入院中心大厅、3号楼入院体检中心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晚上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公共区灭蚊蝇灯的清理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检查、清理1次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外环境及地上停车区、化粪池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绿化带、院区及地上停车区、化粪池周边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消杀2次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医疗废物暂存处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医疗废物桶、墙面、地面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消杀2次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生活垃圾站、洗涤房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垃圾周转箱、地面、下水道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院区下水井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院区雨水、污水井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投放安倍1次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室内车库、负一负二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负一层、负二层、公共区及楼道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消杀2次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发热门诊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病室、走廊、卫生间及公共区域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消杀2次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设备间、设备层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配电室、空调室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选择人少的时段进行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手术室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生活区、走廊、手术室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周三、周日各1次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具体根据当日手术安排联系消杀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介入、ICU、PICU、NICU、消毒供应室、产房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生活区、走廊、手术室、工作区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污水处理站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各区域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消杀1次</w:t>
            </w: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0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餐厅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各区域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消杀2次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63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8" w:hRule="atLeast"/>
          <w:jc w:val="center"/>
        </w:trPr>
        <w:tc>
          <w:tcPr>
            <w:tcW w:w="9669" w:type="dxa"/>
            <w:gridSpan w:val="8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注意事项：</w:t>
            </w:r>
          </w:p>
          <w:p>
            <w:pPr>
              <w:numPr>
                <w:ilvl w:val="0"/>
                <w:numId w:val="3"/>
              </w:numPr>
              <w:tabs>
                <w:tab w:val="clear" w:pos="312"/>
              </w:tabs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如遇特殊情况按照采购人要求执行，合理更变处理时间。喷洒药剂建议定期更换一次，以免产生耐药性，影响消杀效果。</w:t>
            </w:r>
          </w:p>
          <w:p>
            <w:pPr>
              <w:numPr>
                <w:ilvl w:val="0"/>
                <w:numId w:val="3"/>
              </w:numPr>
              <w:tabs>
                <w:tab w:val="clear" w:pos="312"/>
              </w:tabs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喷洒时段应尽量选择在人少的时段进行，手术室等特殊区域喷洒时间按照采购人要求执行。</w:t>
            </w:r>
          </w:p>
          <w:p>
            <w:pPr>
              <w:numPr>
                <w:ilvl w:val="0"/>
                <w:numId w:val="3"/>
              </w:numPr>
              <w:tabs>
                <w:tab w:val="clear" w:pos="312"/>
              </w:tabs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蚊虫多发季，应以治理为主、喷洒为辅，排查蚊蝇孳生点尤为重要。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</w:rPr>
              <w:t>日常巡查中如发现可改善的基础防虫问题，应及时汇总在《消杀服务报告总结》中，定期提交给采购人负责人。</w:t>
            </w:r>
          </w:p>
        </w:tc>
      </w:tr>
    </w:tbl>
    <w:p>
      <w:pPr>
        <w:spacing w:line="360" w:lineRule="auto"/>
        <w:ind w:firstLine="0" w:firstLineChars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鼠类消杀计划</w:t>
      </w:r>
    </w:p>
    <w:tbl>
      <w:tblPr>
        <w:tblStyle w:val="12"/>
        <w:tblW w:w="94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1830"/>
        <w:gridCol w:w="1473"/>
        <w:gridCol w:w="878"/>
        <w:gridCol w:w="1017"/>
        <w:gridCol w:w="1363"/>
        <w:gridCol w:w="1043"/>
        <w:gridCol w:w="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" w:hRule="atLeast"/>
          <w:jc w:val="center"/>
        </w:trPr>
        <w:tc>
          <w:tcPr>
            <w:tcW w:w="1100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靶标虫害</w:t>
            </w:r>
          </w:p>
        </w:tc>
        <w:tc>
          <w:tcPr>
            <w:tcW w:w="1830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消杀地点</w:t>
            </w:r>
          </w:p>
        </w:tc>
        <w:tc>
          <w:tcPr>
            <w:tcW w:w="1473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消杀区域</w:t>
            </w:r>
          </w:p>
        </w:tc>
        <w:tc>
          <w:tcPr>
            <w:tcW w:w="4301" w:type="dxa"/>
            <w:gridSpan w:val="4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消杀频次</w:t>
            </w:r>
          </w:p>
        </w:tc>
        <w:tc>
          <w:tcPr>
            <w:tcW w:w="774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</w:p>
        </w:tc>
        <w:tc>
          <w:tcPr>
            <w:tcW w:w="183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</w:p>
        </w:tc>
        <w:tc>
          <w:tcPr>
            <w:tcW w:w="1473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每日</w:t>
            </w: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每周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每月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每季</w:t>
            </w:r>
          </w:p>
        </w:tc>
        <w:tc>
          <w:tcPr>
            <w:tcW w:w="77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100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鼠类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1号楼、2号楼、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3号楼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病室、走廊、卫生间及公共区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发热门诊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（成人）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正负压站房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各区域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门诊大厅、入院中心大厅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公共区及卫生间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门诊区域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儿童急诊、儿童发热门诊、儿童输液室、急诊等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院区外环境、地上停车场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绿化带、院区及停车场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巡视毒饵站，补鼠药1次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巡视毒饵站，更换鼠药1次</w:t>
            </w: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医疗废物暂存处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医疗废物桶 旁、墙角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巡视毒饵站，补鼠药1次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巡视毒饵站，更换鼠药1次</w:t>
            </w: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生活垃圾站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垃圾周转箱、地面、下水道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巡视毒饵站，补鼠药1次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巡视毒饵站，更换鼠药1次</w:t>
            </w: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负一负二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负一层、负二层车库、公共区域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巡视毒饵站，补鼠药1次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巡视毒饵站，更换鼠药1次</w:t>
            </w: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设备间、设备层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配电室、空调室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1号楼4层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手术室、ICU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1100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餐饮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各区域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排查2次，如发现鼠粪、鼠迹采用粘鼠板灭鼠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7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  <w:jc w:val="center"/>
        </w:trPr>
        <w:tc>
          <w:tcPr>
            <w:tcW w:w="9478" w:type="dxa"/>
            <w:gridSpan w:val="8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注意事项：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1.工作人员需严格按照防治计划更换粘板、鼠药，如室内发现鼠迹需第一时间向采购人负责人汇报，并采用物理方法及时灭鼠，捕获的鼠类应第一时间清理。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2.鼠药应严格按照吃多少补多少，吃光加倍投放。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</w:rPr>
              <w:t>巡视时消杀工作人员应根据检测标准中的要求对院区内存在的鼠洞、建筑物与外界联通的孔洞、下水口等重点位置进行排查，如有鼠类入侵风险，应做好相关位置的记录，汇总在《消杀服务报告总结 》中，定期提交给采购人负责人。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  <w:jc w:val="center"/>
        </w:trPr>
        <w:tc>
          <w:tcPr>
            <w:tcW w:w="9478" w:type="dxa"/>
            <w:gridSpan w:val="8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灭鼠标准：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用粉迹法监测鼠密度不超过1%。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老鼠防制方法：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1.地沟、下水道、排风口安装挡鼠网，网孔直径应小于0.6厘米.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2.外围如发现鼠洞应及时填补、封堵。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3.餐厅、水吧、杂物间、管道间、超市使用粘鼠板。</w:t>
            </w:r>
          </w:p>
        </w:tc>
      </w:tr>
    </w:tbl>
    <w:p>
      <w:pPr>
        <w:spacing w:line="360" w:lineRule="auto"/>
        <w:ind w:firstLine="0" w:firstLineChars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蟑螂消杀计划</w:t>
      </w:r>
    </w:p>
    <w:tbl>
      <w:tblPr>
        <w:tblStyle w:val="12"/>
        <w:tblW w:w="95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"/>
        <w:gridCol w:w="1605"/>
        <w:gridCol w:w="1759"/>
        <w:gridCol w:w="784"/>
        <w:gridCol w:w="1485"/>
        <w:gridCol w:w="1557"/>
        <w:gridCol w:w="996"/>
        <w:gridCol w:w="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24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靶标虫害</w:t>
            </w:r>
          </w:p>
        </w:tc>
        <w:tc>
          <w:tcPr>
            <w:tcW w:w="1605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消杀地点</w:t>
            </w:r>
          </w:p>
        </w:tc>
        <w:tc>
          <w:tcPr>
            <w:tcW w:w="1759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消杀区域</w:t>
            </w:r>
          </w:p>
        </w:tc>
        <w:tc>
          <w:tcPr>
            <w:tcW w:w="4822" w:type="dxa"/>
            <w:gridSpan w:val="4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消杀频次</w:t>
            </w:r>
          </w:p>
        </w:tc>
        <w:tc>
          <w:tcPr>
            <w:tcW w:w="448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9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</w:p>
        </w:tc>
        <w:tc>
          <w:tcPr>
            <w:tcW w:w="1605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</w:p>
        </w:tc>
        <w:tc>
          <w:tcPr>
            <w:tcW w:w="1759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每日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每周</w:t>
            </w: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每月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每季度</w:t>
            </w:r>
          </w:p>
        </w:tc>
        <w:tc>
          <w:tcPr>
            <w:tcW w:w="448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924" w:type="dxa"/>
            <w:vMerge w:val="restart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蟑螂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全院建构筑物内</w:t>
            </w:r>
          </w:p>
        </w:tc>
        <w:tc>
          <w:tcPr>
            <w:tcW w:w="175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全院区</w:t>
            </w: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全面布置灭蟑药1次</w:t>
            </w:r>
          </w:p>
        </w:tc>
        <w:tc>
          <w:tcPr>
            <w:tcW w:w="44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9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负一负二</w:t>
            </w:r>
          </w:p>
        </w:tc>
        <w:tc>
          <w:tcPr>
            <w:tcW w:w="175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负一负二公共区及楼道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医学装备处</w:t>
            </w: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44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9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1号楼、2号楼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3号楼</w:t>
            </w:r>
          </w:p>
        </w:tc>
        <w:tc>
          <w:tcPr>
            <w:tcW w:w="175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病室、走廊、卫生间、门急诊及公共区域</w:t>
            </w: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44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9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公共区及卫生间</w:t>
            </w:r>
          </w:p>
        </w:tc>
        <w:tc>
          <w:tcPr>
            <w:tcW w:w="175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正负压站房、发热门诊</w:t>
            </w: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44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9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医疗废物暂存处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5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医疗废物桶旁、墙角</w:t>
            </w: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44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9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生活垃圾站</w:t>
            </w:r>
          </w:p>
        </w:tc>
        <w:tc>
          <w:tcPr>
            <w:tcW w:w="175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垃圾周转箱、墙角、下水道</w:t>
            </w: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44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9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设备间、设备层</w:t>
            </w:r>
          </w:p>
        </w:tc>
        <w:tc>
          <w:tcPr>
            <w:tcW w:w="175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配电室、空调室</w:t>
            </w: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巡视/布置灭蟑胶饵或颗粒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44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9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手术室、ICU、NICU、PICU</w:t>
            </w:r>
          </w:p>
        </w:tc>
        <w:tc>
          <w:tcPr>
            <w:tcW w:w="175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1号楼（4层）</w:t>
            </w: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44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924" w:type="dxa"/>
            <w:vMerge w:val="continue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餐饮</w:t>
            </w:r>
          </w:p>
        </w:tc>
        <w:tc>
          <w:tcPr>
            <w:tcW w:w="1759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各区域</w:t>
            </w:r>
          </w:p>
        </w:tc>
        <w:tc>
          <w:tcPr>
            <w:tcW w:w="784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巡视发现及时布置灭蟑胶饵或颗粒</w:t>
            </w: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448" w:type="dxa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3" w:hRule="atLeast"/>
          <w:jc w:val="center"/>
        </w:trPr>
        <w:tc>
          <w:tcPr>
            <w:tcW w:w="9558" w:type="dxa"/>
            <w:gridSpan w:val="8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注意事项：</w:t>
            </w:r>
          </w:p>
          <w:p>
            <w:pPr>
              <w:numPr>
                <w:ilvl w:val="0"/>
                <w:numId w:val="4"/>
              </w:num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灭蟑工作的重点是营造良好的卫生环境，保持室内清洁、干燥是防治蟑螂的根本。</w:t>
            </w:r>
          </w:p>
          <w:p>
            <w:pPr>
              <w:numPr>
                <w:ilvl w:val="0"/>
                <w:numId w:val="4"/>
              </w:num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在日常巡查中如发现蟑迹，应仔细排查该区域，确定蟑螂孳生点，采用灭蟑胶饵进行灭杀。</w:t>
            </w:r>
          </w:p>
          <w:p>
            <w:pPr>
              <w:numPr>
                <w:ilvl w:val="0"/>
                <w:numId w:val="4"/>
              </w:num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胶饵布点以点小、点密为优，布点位置多选择隐蔽的角落、缝隙。灭杀后应及时清理蟑尸、卵夹，卵夹应进行破坏，防止成熟的卵夹继续孳生蟑螂幼虫。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4.根据实际消杀情况及时调整药剂，以免产生耐药性，影响消杀效果。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9558" w:type="dxa"/>
            <w:gridSpan w:val="8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灭蟑标准：</w:t>
            </w:r>
          </w:p>
          <w:p>
            <w:pPr>
              <w:spacing w:line="240" w:lineRule="auto"/>
              <w:ind w:firstLine="0" w:firstLineChars="0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</w:rPr>
              <w:t>蟑螂查获率不超过3%。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93889E"/>
    <w:multiLevelType w:val="multilevel"/>
    <w:tmpl w:val="D593889E"/>
    <w:lvl w:ilvl="0" w:tentative="0">
      <w:start w:val="1"/>
      <w:numFmt w:val="decimal"/>
      <w:pStyle w:val="3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4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5"/>
      <w:suff w:val="space"/>
      <w:lvlText w:val="%1.%2.%3."/>
      <w:lvlJc w:val="left"/>
      <w:pPr>
        <w:tabs>
          <w:tab w:val="left" w:pos="420"/>
        </w:tabs>
        <w:ind w:left="720" w:hanging="720"/>
      </w:pPr>
      <w:rPr>
        <w:rFonts w:hint="default"/>
      </w:rPr>
    </w:lvl>
    <w:lvl w:ilvl="3" w:tentative="0">
      <w:start w:val="1"/>
      <w:numFmt w:val="decimal"/>
      <w:pStyle w:val="2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010E3818"/>
    <w:multiLevelType w:val="singleLevel"/>
    <w:tmpl w:val="010E3818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E433E37"/>
    <w:multiLevelType w:val="singleLevel"/>
    <w:tmpl w:val="2E433E3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56874420"/>
    <w:multiLevelType w:val="singleLevel"/>
    <w:tmpl w:val="5687442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4YjgxZjAxYmU0Mzk1YTU0NzczOWI2N2I3NWIzY2EifQ=="/>
  </w:docVars>
  <w:rsids>
    <w:rsidRoot w:val="21485A6C"/>
    <w:rsid w:val="21485A6C"/>
    <w:rsid w:val="23A05B96"/>
    <w:rsid w:val="5521784F"/>
    <w:rsid w:val="5D65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00" w:lineRule="exact"/>
      <w:ind w:firstLine="200" w:firstLineChars="200"/>
    </w:pPr>
    <w:rPr>
      <w:rFonts w:ascii="Times New Roman" w:hAnsi="Times New Roman" w:eastAsia="仿宋_GB2312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 w:firstLineChars="0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link w:val="15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after="260" w:afterLines="0"/>
      <w:ind w:left="575" w:hanging="575" w:firstLineChars="0"/>
      <w:jc w:val="left"/>
      <w:outlineLvl w:val="1"/>
    </w:pPr>
    <w:rPr>
      <w:rFonts w:ascii="Arial" w:hAnsi="Arial" w:eastAsia="宋体"/>
      <w:b/>
      <w:kern w:val="2"/>
      <w:sz w:val="24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adjustRightInd w:val="0"/>
      <w:spacing w:before="240" w:beforeLines="0" w:after="120" w:afterLines="0" w:line="300" w:lineRule="auto"/>
      <w:ind w:left="720" w:hanging="720"/>
      <w:jc w:val="left"/>
      <w:textAlignment w:val="baseline"/>
      <w:outlineLvl w:val="2"/>
    </w:pPr>
    <w:rPr>
      <w:rFonts w:ascii="宋体" w:hAnsi="宋体" w:eastAsia="宋体" w:cs="Times New Roman"/>
      <w:b/>
      <w:kern w:val="0"/>
      <w:sz w:val="32"/>
      <w:szCs w:val="24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 w:firstLineChars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 w:firstLineChars="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 w:firstLineChars="0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 w:firstLineChars="0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link w:val="14"/>
    <w:uiPriority w:val="0"/>
    <w:rPr>
      <w:kern w:val="0"/>
      <w:sz w:val="24"/>
    </w:rPr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2"/>
    <w:basedOn w:val="1"/>
    <w:uiPriority w:val="0"/>
    <w:pPr>
      <w:spacing w:after="120" w:afterLines="0" w:line="480" w:lineRule="auto"/>
      <w:ind w:firstLine="0" w:firstLineChars="0"/>
    </w:pPr>
    <w:rPr>
      <w:szCs w:val="24"/>
    </w:rPr>
  </w:style>
  <w:style w:type="paragraph" w:customStyle="1" w:styleId="14">
    <w:name w:val=" Char"/>
    <w:basedOn w:val="1"/>
    <w:link w:val="13"/>
    <w:qFormat/>
    <w:uiPriority w:val="0"/>
    <w:pPr>
      <w:adjustRightInd w:val="0"/>
      <w:ind w:firstLine="0" w:firstLineChars="0"/>
    </w:pPr>
    <w:rPr>
      <w:kern w:val="0"/>
      <w:sz w:val="24"/>
    </w:rPr>
  </w:style>
  <w:style w:type="character" w:customStyle="1" w:styleId="15">
    <w:name w:val=" Char Char Char Char Char"/>
    <w:basedOn w:val="13"/>
    <w:link w:val="4"/>
    <w:qFormat/>
    <w:uiPriority w:val="0"/>
    <w:rPr>
      <w:rFonts w:ascii="Arial" w:hAnsi="Arial" w:eastAsia="宋体"/>
      <w:b/>
      <w:kern w:val="2"/>
      <w:sz w:val="24"/>
      <w:lang w:val="en-US" w:eastAsia="zh-CN" w:bidi="ar-SA"/>
    </w:rPr>
  </w:style>
  <w:style w:type="paragraph" w:customStyle="1" w:styleId="16">
    <w:name w:val="样式 首行缩进:  2 字符"/>
    <w:basedOn w:val="1"/>
    <w:qFormat/>
    <w:uiPriority w:val="0"/>
    <w:pPr>
      <w:spacing w:line="360" w:lineRule="auto"/>
      <w:ind w:firstLine="560" w:firstLineChars="200"/>
    </w:pPr>
    <w:rPr>
      <w:rFonts w:eastAsia="仿宋_GB2312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2024-06-05T08:59:00Z</dcterms:created>
  <dc:creator>zyw</dc:creator>
  <cp:lastModifiedBy>zyw</cp:lastModifiedBy>
  <dcterms:modified xsi:type="dcterms:W3CDTF">2024-06-05T08:59:47Z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C4B0A38162A249B2A892DA84E784C07F_11</vt:lpwstr>
  </property>
</Properties>
</file>