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D87A4AE">
      <w:pPr>
        <w:adjustRightInd w:val="0"/>
        <w:snapToGrid w:val="0"/>
        <w:spacing w:after="156" w:afterLines="50" w:line="360" w:lineRule="auto"/>
        <w:jc w:val="center"/>
        <w:outlineLvl w:val="0"/>
        <w:rPr>
          <w:rFonts w:ascii="黑体" w:eastAsia="黑体"/>
          <w:b/>
          <w:kern w:val="44"/>
          <w:sz w:val="48"/>
          <w:szCs w:val="20"/>
        </w:rPr>
      </w:pPr>
      <w:bookmarkStart w:id="2" w:name="_GoBack"/>
      <w:bookmarkEnd w:id="2"/>
      <w:bookmarkStart w:id="0" w:name="_Toc129880039"/>
      <w:bookmarkStart w:id="1" w:name="_Toc512937852"/>
      <w:r>
        <w:rPr>
          <w:rFonts w:hint="eastAsia" w:ascii="宋体" w:hAnsi="宋体"/>
          <w:b/>
          <w:sz w:val="30"/>
          <w:szCs w:val="30"/>
        </w:rPr>
        <w:t>第八部分 采购需求</w:t>
      </w:r>
      <w:bookmarkEnd w:id="0"/>
    </w:p>
    <w:bookmarkEnd w:id="1"/>
    <w:p w14:paraId="37C58266">
      <w:pPr>
        <w:adjustRightInd w:val="0"/>
        <w:snapToGrid w:val="0"/>
        <w:spacing w:before="156" w:beforeLines="50" w:after="156" w:afterLines="50" w:line="360" w:lineRule="auto"/>
        <w:jc w:val="center"/>
        <w:rPr>
          <w:rFonts w:hint="eastAsia" w:ascii="宋体" w:hAnsi="宋体"/>
          <w:b/>
          <w:sz w:val="24"/>
        </w:rPr>
      </w:pPr>
      <w:r>
        <w:rPr>
          <w:rFonts w:hint="eastAsia" w:ascii="宋体" w:hAnsi="宋体"/>
          <w:b/>
          <w:sz w:val="24"/>
        </w:rPr>
        <w:t>货物需求一览表</w:t>
      </w:r>
    </w:p>
    <w:p w14:paraId="2F285F11">
      <w:pPr>
        <w:adjustRightInd w:val="0"/>
        <w:snapToGrid w:val="0"/>
        <w:jc w:val="center"/>
        <w:rPr>
          <w:rFonts w:hint="eastAsia" w:ascii="宋体" w:hAnsi="宋体"/>
          <w:b/>
          <w:sz w:val="30"/>
          <w:szCs w:val="30"/>
        </w:rPr>
      </w:pPr>
    </w:p>
    <w:tbl>
      <w:tblPr>
        <w:tblStyle w:val="38"/>
        <w:tblW w:w="7596"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28" w:type="dxa"/>
          <w:bottom w:w="0" w:type="dxa"/>
          <w:right w:w="28" w:type="dxa"/>
        </w:tblCellMar>
      </w:tblPr>
      <w:tblGrid>
        <w:gridCol w:w="843"/>
        <w:gridCol w:w="3544"/>
        <w:gridCol w:w="1417"/>
        <w:gridCol w:w="1792"/>
      </w:tblGrid>
      <w:tr w14:paraId="263095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602" w:hRule="atLeast"/>
          <w:jc w:val="center"/>
        </w:trPr>
        <w:tc>
          <w:tcPr>
            <w:tcW w:w="843" w:type="dxa"/>
            <w:vAlign w:val="center"/>
          </w:tcPr>
          <w:p w14:paraId="3AD3EB1D">
            <w:pPr>
              <w:jc w:val="center"/>
              <w:rPr>
                <w:rFonts w:ascii="宋体" w:hAnsi="Bookman Old Style"/>
                <w:sz w:val="24"/>
              </w:rPr>
            </w:pPr>
            <w:r>
              <w:rPr>
                <w:rFonts w:hint="eastAsia" w:ascii="宋体" w:hAnsi="Bookman Old Style"/>
                <w:sz w:val="24"/>
              </w:rPr>
              <w:t>包号</w:t>
            </w:r>
          </w:p>
        </w:tc>
        <w:tc>
          <w:tcPr>
            <w:tcW w:w="3544" w:type="dxa"/>
            <w:vAlign w:val="center"/>
          </w:tcPr>
          <w:p w14:paraId="6EEF8C80">
            <w:pPr>
              <w:jc w:val="center"/>
              <w:rPr>
                <w:rFonts w:ascii="宋体" w:hAnsi="Bookman Old Style"/>
                <w:sz w:val="24"/>
              </w:rPr>
            </w:pPr>
            <w:r>
              <w:rPr>
                <w:rFonts w:hint="eastAsia" w:ascii="宋体" w:hAnsi="Bookman Old Style"/>
                <w:sz w:val="24"/>
              </w:rPr>
              <w:t>货物名称</w:t>
            </w:r>
          </w:p>
        </w:tc>
        <w:tc>
          <w:tcPr>
            <w:tcW w:w="1417" w:type="dxa"/>
            <w:vAlign w:val="center"/>
          </w:tcPr>
          <w:p w14:paraId="76EE09F3">
            <w:pPr>
              <w:jc w:val="center"/>
              <w:rPr>
                <w:rFonts w:ascii="宋体" w:hAnsi="Bookman Old Style"/>
                <w:sz w:val="24"/>
              </w:rPr>
            </w:pPr>
            <w:r>
              <w:rPr>
                <w:rFonts w:hint="eastAsia" w:ascii="宋体" w:hAnsi="Bookman Old Style"/>
                <w:sz w:val="24"/>
              </w:rPr>
              <w:t>数量</w:t>
            </w:r>
          </w:p>
        </w:tc>
        <w:tc>
          <w:tcPr>
            <w:tcW w:w="1792" w:type="dxa"/>
            <w:vAlign w:val="center"/>
          </w:tcPr>
          <w:p w14:paraId="2500AE6F">
            <w:pPr>
              <w:jc w:val="center"/>
              <w:rPr>
                <w:rFonts w:ascii="宋体" w:hAnsi="Bookman Old Style"/>
                <w:sz w:val="24"/>
              </w:rPr>
            </w:pPr>
            <w:r>
              <w:rPr>
                <w:rFonts w:hint="eastAsia" w:ascii="宋体" w:hAnsi="Bookman Old Style"/>
                <w:sz w:val="24"/>
              </w:rPr>
              <w:t>是否接受进口</w:t>
            </w:r>
          </w:p>
        </w:tc>
      </w:tr>
      <w:tr w14:paraId="13A2DC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881" w:hRule="atLeast"/>
          <w:jc w:val="center"/>
        </w:trPr>
        <w:tc>
          <w:tcPr>
            <w:tcW w:w="843" w:type="dxa"/>
            <w:vAlign w:val="center"/>
          </w:tcPr>
          <w:p w14:paraId="30DA38DA">
            <w:pPr>
              <w:jc w:val="center"/>
              <w:rPr>
                <w:rFonts w:ascii="宋体"/>
                <w:sz w:val="24"/>
              </w:rPr>
            </w:pPr>
            <w:r>
              <w:rPr>
                <w:rFonts w:hint="eastAsia" w:ascii="宋体"/>
                <w:sz w:val="24"/>
              </w:rPr>
              <w:t>1</w:t>
            </w:r>
          </w:p>
        </w:tc>
        <w:tc>
          <w:tcPr>
            <w:tcW w:w="3544" w:type="dxa"/>
            <w:vAlign w:val="center"/>
          </w:tcPr>
          <w:p w14:paraId="3EC3C80E">
            <w:pPr>
              <w:jc w:val="center"/>
              <w:rPr>
                <w:rFonts w:ascii="Bookman Old Style" w:hAnsi="Bookman Old Style"/>
                <w:sz w:val="24"/>
              </w:rPr>
            </w:pPr>
            <w:r>
              <w:rPr>
                <w:rFonts w:hint="eastAsia" w:ascii="宋体" w:hAnsi="宋体" w:cs="等线"/>
                <w:color w:val="000000"/>
                <w:kern w:val="0"/>
                <w:sz w:val="24"/>
                <w:lang w:bidi="ar"/>
              </w:rPr>
              <w:t>全自动萃取浓缩系统</w:t>
            </w:r>
          </w:p>
        </w:tc>
        <w:tc>
          <w:tcPr>
            <w:tcW w:w="1417" w:type="dxa"/>
            <w:vAlign w:val="center"/>
          </w:tcPr>
          <w:p w14:paraId="77DE9826">
            <w:pPr>
              <w:jc w:val="center"/>
              <w:rPr>
                <w:rFonts w:ascii="宋体" w:hAnsi="Bookman Old Style"/>
                <w:sz w:val="24"/>
              </w:rPr>
            </w:pPr>
            <w:r>
              <w:rPr>
                <w:rFonts w:hint="eastAsia" w:ascii="宋体" w:hAnsi="宋体"/>
                <w:sz w:val="24"/>
              </w:rPr>
              <w:t>1套</w:t>
            </w:r>
          </w:p>
        </w:tc>
        <w:tc>
          <w:tcPr>
            <w:tcW w:w="1792" w:type="dxa"/>
            <w:vAlign w:val="center"/>
          </w:tcPr>
          <w:p w14:paraId="317FEC8E">
            <w:pPr>
              <w:jc w:val="center"/>
              <w:rPr>
                <w:rFonts w:ascii="宋体" w:hAnsi="Bookman Old Style"/>
                <w:sz w:val="24"/>
              </w:rPr>
            </w:pPr>
            <w:r>
              <w:rPr>
                <w:rFonts w:hint="eastAsia" w:ascii="宋体" w:hAnsi="Bookman Old Style"/>
                <w:sz w:val="24"/>
              </w:rPr>
              <w:t>否</w:t>
            </w:r>
          </w:p>
        </w:tc>
      </w:tr>
    </w:tbl>
    <w:p w14:paraId="69E1B298">
      <w:pPr>
        <w:adjustRightInd w:val="0"/>
        <w:snapToGrid w:val="0"/>
        <w:jc w:val="center"/>
        <w:rPr>
          <w:rFonts w:hint="eastAsia" w:ascii="宋体" w:hAnsi="宋体"/>
          <w:b/>
          <w:sz w:val="30"/>
          <w:szCs w:val="30"/>
        </w:rPr>
      </w:pPr>
    </w:p>
    <w:p w14:paraId="128D6E6D">
      <w:pPr>
        <w:adjustRightInd w:val="0"/>
        <w:snapToGrid w:val="0"/>
        <w:jc w:val="center"/>
        <w:rPr>
          <w:rFonts w:hint="eastAsia" w:ascii="宋体" w:hAnsi="宋体"/>
          <w:b/>
          <w:sz w:val="30"/>
          <w:szCs w:val="30"/>
        </w:rPr>
      </w:pPr>
    </w:p>
    <w:p w14:paraId="56D21314">
      <w:pPr>
        <w:rPr>
          <w:rFonts w:ascii="Bookman Old Style" w:hAnsi="Bookman Old Style"/>
          <w:sz w:val="24"/>
        </w:rPr>
      </w:pPr>
      <w:r>
        <w:rPr>
          <w:rFonts w:hint="eastAsia"/>
          <w:sz w:val="24"/>
        </w:rPr>
        <w:t>注：投标人须对上述投标内容中完整的一包或几包进行投标，</w:t>
      </w:r>
      <w:r>
        <w:rPr>
          <w:rFonts w:hint="eastAsia" w:ascii="Bookman Old Style" w:hAnsi="Bookman Old Style"/>
          <w:sz w:val="24"/>
        </w:rPr>
        <w:t>不完整的投标将视为非响应性投标予以拒绝。</w:t>
      </w:r>
    </w:p>
    <w:p w14:paraId="5432CB0B">
      <w:pPr>
        <w:adjustRightInd w:val="0"/>
        <w:snapToGrid w:val="0"/>
        <w:rPr>
          <w:rFonts w:hint="eastAsia" w:ascii="宋体" w:hAnsi="宋体"/>
          <w:szCs w:val="21"/>
        </w:rPr>
      </w:pPr>
    </w:p>
    <w:p w14:paraId="3BA44A99">
      <w:pPr>
        <w:adjustRightInd w:val="0"/>
        <w:snapToGrid w:val="0"/>
        <w:rPr>
          <w:rFonts w:hint="eastAsia" w:ascii="宋体" w:hAnsi="宋体"/>
          <w:szCs w:val="21"/>
        </w:rPr>
      </w:pPr>
    </w:p>
    <w:p w14:paraId="28CEB51D">
      <w:pPr>
        <w:adjustRightInd w:val="0"/>
        <w:snapToGrid w:val="0"/>
        <w:rPr>
          <w:rFonts w:hint="eastAsia" w:ascii="宋体" w:hAnsi="宋体"/>
          <w:szCs w:val="21"/>
        </w:rPr>
      </w:pPr>
    </w:p>
    <w:p w14:paraId="1D06D1BC">
      <w:pPr>
        <w:adjustRightInd w:val="0"/>
        <w:snapToGrid w:val="0"/>
        <w:spacing w:line="360" w:lineRule="auto"/>
        <w:rPr>
          <w:rFonts w:hint="eastAsia" w:ascii="宋体" w:hAnsi="宋体"/>
          <w:b/>
          <w:sz w:val="28"/>
          <w:szCs w:val="28"/>
        </w:rPr>
      </w:pPr>
      <w:r>
        <w:rPr>
          <w:rFonts w:ascii="宋体" w:hAnsi="宋体"/>
          <w:b/>
          <w:sz w:val="30"/>
          <w:szCs w:val="30"/>
        </w:rPr>
        <w:br w:type="page"/>
      </w:r>
      <w:r>
        <w:rPr>
          <w:rFonts w:hint="eastAsia" w:ascii="宋体" w:hAnsi="宋体"/>
          <w:b/>
          <w:sz w:val="28"/>
          <w:szCs w:val="28"/>
        </w:rPr>
        <w:t>一、总则</w:t>
      </w:r>
    </w:p>
    <w:p w14:paraId="29A8D59E">
      <w:pPr>
        <w:adjustRightInd w:val="0"/>
        <w:snapToGrid w:val="0"/>
        <w:spacing w:line="360" w:lineRule="auto"/>
        <w:rPr>
          <w:rFonts w:hint="eastAsia" w:ascii="宋体" w:hAnsi="宋体"/>
          <w:b/>
          <w:sz w:val="28"/>
          <w:szCs w:val="28"/>
        </w:rPr>
      </w:pPr>
      <w:r>
        <w:rPr>
          <w:rFonts w:ascii="宋体" w:hAnsi="宋体"/>
          <w:b/>
          <w:sz w:val="28"/>
          <w:szCs w:val="28"/>
        </w:rPr>
        <w:t>1</w:t>
      </w:r>
      <w:r>
        <w:rPr>
          <w:rFonts w:hint="eastAsia" w:ascii="宋体" w:hAnsi="宋体"/>
          <w:b/>
          <w:sz w:val="28"/>
          <w:szCs w:val="28"/>
        </w:rPr>
        <w:t>、投标要求</w:t>
      </w:r>
    </w:p>
    <w:p w14:paraId="4D17CA57">
      <w:pPr>
        <w:spacing w:line="360" w:lineRule="auto"/>
        <w:ind w:left="554" w:hanging="554" w:hangingChars="231"/>
        <w:rPr>
          <w:rFonts w:hint="eastAsia" w:ascii="宋体" w:hAnsi="宋体"/>
          <w:sz w:val="24"/>
        </w:rPr>
      </w:pPr>
      <w:r>
        <w:rPr>
          <w:rFonts w:ascii="宋体" w:hAnsi="宋体"/>
          <w:sz w:val="24"/>
        </w:rPr>
        <w:t xml:space="preserve">1.1 </w:t>
      </w:r>
      <w:r>
        <w:rPr>
          <w:rFonts w:hint="eastAsia" w:ascii="宋体" w:hAnsi="宋体"/>
          <w:sz w:val="24"/>
        </w:rPr>
        <w:t xml:space="preserve"> 投标人在准备投标书时，务必在所提供的商品的技术规格文件中，标明型号、商标名称、目录号。</w:t>
      </w:r>
    </w:p>
    <w:p w14:paraId="24BA516F">
      <w:pPr>
        <w:spacing w:line="360" w:lineRule="auto"/>
        <w:ind w:left="554" w:hanging="554" w:hangingChars="231"/>
        <w:rPr>
          <w:rFonts w:hint="eastAsia" w:ascii="宋体" w:hAnsi="宋体"/>
          <w:sz w:val="24"/>
        </w:rPr>
      </w:pPr>
      <w:r>
        <w:rPr>
          <w:rFonts w:hint="eastAsia" w:ascii="宋体" w:hAnsi="宋体"/>
          <w:sz w:val="24"/>
        </w:rPr>
        <w:t>1.2  投标人提供的货物须是成熟的全新的产品，其技术规格应符合招标文件的要求。如与招标文件的技术规格有偏差，应提供技术规格偏差的量值或说明（偏离表）。如投标人有意隐瞒对规格要求的偏差或在开标后提出新的偏差，买方有权扣留其投标保证金或/并拒绝其投标。</w:t>
      </w:r>
    </w:p>
    <w:p w14:paraId="1AD2E365">
      <w:pPr>
        <w:spacing w:line="360" w:lineRule="auto"/>
        <w:ind w:left="554" w:hanging="554" w:hangingChars="231"/>
        <w:rPr>
          <w:rFonts w:ascii="宋体"/>
          <w:sz w:val="24"/>
        </w:rPr>
      </w:pPr>
      <w:r>
        <w:rPr>
          <w:rFonts w:hint="eastAsia" w:ascii="宋体" w:hAnsi="宋体"/>
          <w:sz w:val="24"/>
        </w:rPr>
        <w:t xml:space="preserve">1.3  </w:t>
      </w:r>
      <w:r>
        <w:rPr>
          <w:rFonts w:hint="eastAsia"/>
          <w:sz w:val="24"/>
        </w:rPr>
        <w:t>投标人提供的</w:t>
      </w:r>
      <w:r>
        <w:rPr>
          <w:rFonts w:hint="eastAsia" w:ascii="宋体"/>
          <w:sz w:val="24"/>
        </w:rPr>
        <w:t>产品</w:t>
      </w:r>
      <w:r>
        <w:rPr>
          <w:rFonts w:hint="eastAsia"/>
          <w:sz w:val="24"/>
        </w:rPr>
        <w:t>样本，必须是“原件”而非复印件，</w:t>
      </w:r>
      <w:r>
        <w:rPr>
          <w:rFonts w:hint="eastAsia" w:ascii="宋体"/>
          <w:sz w:val="24"/>
        </w:rPr>
        <w:t>图表、简图、电路图以及印刷电路板图等都应</w:t>
      </w:r>
      <w:r>
        <w:rPr>
          <w:rFonts w:hint="eastAsia"/>
          <w:sz w:val="24"/>
        </w:rPr>
        <w:t>清晰易读。买方有权</w:t>
      </w:r>
      <w:r>
        <w:rPr>
          <w:rFonts w:hint="eastAsia" w:ascii="宋体"/>
          <w:sz w:val="24"/>
        </w:rPr>
        <w:t>不付任何附加费用</w:t>
      </w:r>
      <w:r>
        <w:rPr>
          <w:rFonts w:hint="eastAsia"/>
          <w:sz w:val="24"/>
        </w:rPr>
        <w:t>复制这些资料</w:t>
      </w:r>
      <w:r>
        <w:rPr>
          <w:rFonts w:hint="eastAsia" w:ascii="宋体"/>
          <w:sz w:val="24"/>
        </w:rPr>
        <w:t>以供参考。</w:t>
      </w:r>
    </w:p>
    <w:p w14:paraId="276A6BE4">
      <w:pPr>
        <w:spacing w:line="360" w:lineRule="auto"/>
        <w:ind w:left="554" w:hanging="554" w:hangingChars="231"/>
        <w:rPr>
          <w:rFonts w:ascii="宋体"/>
          <w:sz w:val="24"/>
        </w:rPr>
      </w:pPr>
      <w:r>
        <w:rPr>
          <w:rFonts w:hint="eastAsia" w:ascii="宋体"/>
          <w:sz w:val="24"/>
        </w:rPr>
        <w:t>1.4  投标人的投标产品应符合国家有关部门规定的相应技术、计量、节能、安全和环保法规及标准；如国家有关部门对投标人的投标产品有强制性规定或要求的，则投标人的投标产品必须符合相应规定或要求，投标人须提供相关证明文件的复印件。</w:t>
      </w:r>
    </w:p>
    <w:p w14:paraId="38B9C745">
      <w:pPr>
        <w:adjustRightInd w:val="0"/>
        <w:snapToGrid w:val="0"/>
        <w:spacing w:line="360" w:lineRule="auto"/>
        <w:rPr>
          <w:rFonts w:hint="eastAsia" w:ascii="宋体" w:hAnsi="宋体"/>
          <w:b/>
          <w:sz w:val="28"/>
          <w:szCs w:val="28"/>
        </w:rPr>
      </w:pPr>
      <w:r>
        <w:rPr>
          <w:rFonts w:hint="eastAsia" w:ascii="宋体" w:hAnsi="宋体"/>
          <w:b/>
          <w:sz w:val="28"/>
          <w:szCs w:val="28"/>
        </w:rPr>
        <w:t>2、评标标准</w:t>
      </w:r>
    </w:p>
    <w:p w14:paraId="4A1E79CF">
      <w:pPr>
        <w:spacing w:line="360" w:lineRule="auto"/>
        <w:ind w:left="554" w:hanging="554" w:hangingChars="231"/>
        <w:rPr>
          <w:rFonts w:ascii="宋体"/>
          <w:sz w:val="24"/>
        </w:rPr>
      </w:pPr>
      <w:r>
        <w:rPr>
          <w:rFonts w:ascii="宋体" w:hAnsi="宋体"/>
          <w:sz w:val="24"/>
        </w:rPr>
        <w:t>2.</w:t>
      </w:r>
      <w:r>
        <w:rPr>
          <w:rFonts w:hint="eastAsia" w:ascii="宋体" w:hAnsi="宋体"/>
          <w:sz w:val="24"/>
        </w:rPr>
        <w:t xml:space="preserve">1  </w:t>
      </w:r>
      <w:r>
        <w:rPr>
          <w:rFonts w:hint="eastAsia"/>
          <w:sz w:val="24"/>
        </w:rPr>
        <w:t>除招标文件中指定的附件和专用工具外，</w:t>
      </w:r>
      <w:r>
        <w:rPr>
          <w:rFonts w:hint="eastAsia" w:ascii="宋体"/>
          <w:sz w:val="24"/>
        </w:rPr>
        <w:t>投标人应提供仪器设备的正常运行和常规保养所需的全套标准附件、专用工具</w:t>
      </w:r>
      <w:r>
        <w:rPr>
          <w:rFonts w:hint="eastAsia"/>
          <w:sz w:val="24"/>
        </w:rPr>
        <w:t>和消耗品</w:t>
      </w:r>
      <w:r>
        <w:rPr>
          <w:rFonts w:hint="eastAsia" w:ascii="宋体"/>
          <w:sz w:val="24"/>
        </w:rPr>
        <w:t>。投标人在投标书中需列出这些附件和工具的数量和单价的清单，这些附件和工具的报价的总值需计入投标价中。</w:t>
      </w:r>
    </w:p>
    <w:p w14:paraId="0E33C894">
      <w:pPr>
        <w:spacing w:line="360" w:lineRule="auto"/>
        <w:ind w:left="554" w:hanging="554" w:hangingChars="231"/>
        <w:rPr>
          <w:sz w:val="24"/>
        </w:rPr>
      </w:pPr>
      <w:r>
        <w:rPr>
          <w:rFonts w:hint="eastAsia" w:ascii="宋体" w:hAnsi="宋体"/>
          <w:sz w:val="24"/>
        </w:rPr>
        <w:t xml:space="preserve">2.2  </w:t>
      </w:r>
      <w:r>
        <w:rPr>
          <w:rFonts w:hint="eastAsia"/>
          <w:sz w:val="24"/>
        </w:rPr>
        <w:t>对于标书</w:t>
      </w:r>
      <w:r>
        <w:rPr>
          <w:rFonts w:hint="eastAsia" w:ascii="宋体"/>
          <w:sz w:val="24"/>
        </w:rPr>
        <w:t>技术规范中已列</w:t>
      </w:r>
      <w:r>
        <w:rPr>
          <w:rFonts w:hint="eastAsia"/>
          <w:sz w:val="24"/>
        </w:rPr>
        <w:t>出的作为查询选件的附件、零配件、专用工具和消耗品，投标书中</w:t>
      </w:r>
      <w:r>
        <w:rPr>
          <w:rFonts w:hint="eastAsia" w:ascii="宋体"/>
          <w:sz w:val="24"/>
        </w:rPr>
        <w:t>应列明其数量、单价、总价供买方参考。投标人也可推荐买方没有要求的附件或专用工具作为选件，并列明其数量、单价、总价供买方参考。选件价格不计入评标价中。</w:t>
      </w:r>
    </w:p>
    <w:p w14:paraId="73A28917">
      <w:pPr>
        <w:spacing w:line="360" w:lineRule="auto"/>
        <w:ind w:left="554" w:hanging="554" w:hangingChars="231"/>
        <w:rPr>
          <w:rFonts w:hint="eastAsia" w:ascii="宋体" w:hAnsi="宋体"/>
          <w:sz w:val="24"/>
        </w:rPr>
      </w:pPr>
      <w:r>
        <w:rPr>
          <w:rFonts w:hint="eastAsia" w:ascii="宋体" w:hAnsi="宋体"/>
          <w:sz w:val="24"/>
        </w:rPr>
        <w:t>2.3  为便于用户进行接收仪器的准备工作，卖方应在合同生效后</w:t>
      </w:r>
      <w:r>
        <w:rPr>
          <w:rFonts w:hint="eastAsia" w:ascii="宋体" w:hAnsi="宋体"/>
          <w:b/>
          <w:sz w:val="24"/>
        </w:rPr>
        <w:t>60</w:t>
      </w:r>
      <w:r>
        <w:rPr>
          <w:rFonts w:hint="eastAsia" w:ascii="宋体" w:hAnsi="宋体"/>
          <w:sz w:val="24"/>
        </w:rPr>
        <w:t>天内向用户提供一套完整的使用说明书、操作手册、维修及安装说明等文件。另一套完整上述资料应在交货时随货包装提供给用户，这些费用应计入投标价中。</w:t>
      </w:r>
    </w:p>
    <w:p w14:paraId="3D722174">
      <w:pPr>
        <w:spacing w:line="360" w:lineRule="auto"/>
        <w:ind w:left="554" w:hanging="554" w:hangingChars="231"/>
        <w:rPr>
          <w:rFonts w:hint="eastAsia" w:ascii="宋体" w:hAnsi="宋体"/>
          <w:sz w:val="24"/>
        </w:rPr>
      </w:pPr>
      <w:r>
        <w:rPr>
          <w:rFonts w:hint="eastAsia" w:ascii="宋体" w:hAnsi="宋体"/>
          <w:sz w:val="24"/>
        </w:rPr>
        <w:t>2</w:t>
      </w:r>
      <w:r>
        <w:rPr>
          <w:rFonts w:ascii="宋体" w:hAnsi="宋体"/>
          <w:sz w:val="24"/>
        </w:rPr>
        <w:t>.</w:t>
      </w:r>
      <w:r>
        <w:rPr>
          <w:rFonts w:hint="eastAsia" w:ascii="宋体" w:hAnsi="宋体"/>
          <w:sz w:val="24"/>
        </w:rPr>
        <w:t>4</w:t>
      </w:r>
      <w:r>
        <w:rPr>
          <w:rFonts w:ascii="宋体" w:hAnsi="宋体"/>
          <w:sz w:val="24"/>
        </w:rPr>
        <w:t xml:space="preserve"> </w:t>
      </w:r>
      <w:r>
        <w:rPr>
          <w:rFonts w:hint="eastAsia" w:ascii="宋体" w:hAnsi="宋体"/>
          <w:sz w:val="24"/>
        </w:rPr>
        <w:t xml:space="preserve"> 关于设备的安装调试，如果有必要的安装准备条件，卖方应在合同生效后一个月内向买方提出详细的要求或计划。安装调试的费用应计入投标价中，并应单独列出，供评标使用。</w:t>
      </w:r>
    </w:p>
    <w:p w14:paraId="5E7A40C5">
      <w:pPr>
        <w:spacing w:line="360" w:lineRule="auto"/>
        <w:ind w:left="554" w:hanging="554" w:hangingChars="231"/>
        <w:rPr>
          <w:rFonts w:hint="eastAsia" w:ascii="宋体" w:hAnsi="宋体"/>
          <w:sz w:val="24"/>
        </w:rPr>
      </w:pPr>
      <w:r>
        <w:rPr>
          <w:rFonts w:ascii="宋体" w:hAnsi="宋体"/>
          <w:sz w:val="24"/>
        </w:rPr>
        <w:t>2.</w:t>
      </w:r>
      <w:r>
        <w:rPr>
          <w:rFonts w:hint="eastAsia" w:ascii="宋体" w:hAnsi="宋体"/>
          <w:sz w:val="24"/>
        </w:rPr>
        <w:t>5  制造厂家提供的培训指的是涉及货物的基本原理、操作使用和保养维修等有关内容的培训。培训教员的培训费、旅费、食宿费等费用和培训场地费及培训资料费均应由卖方支付。</w:t>
      </w:r>
    </w:p>
    <w:p w14:paraId="1313B969">
      <w:pPr>
        <w:adjustRightInd w:val="0"/>
        <w:snapToGrid w:val="0"/>
        <w:spacing w:line="360" w:lineRule="auto"/>
        <w:rPr>
          <w:rFonts w:hint="eastAsia" w:ascii="宋体" w:hAnsi="宋体"/>
          <w:b/>
          <w:sz w:val="28"/>
          <w:szCs w:val="28"/>
        </w:rPr>
      </w:pPr>
      <w:r>
        <w:rPr>
          <w:rFonts w:hint="eastAsia" w:ascii="宋体" w:hAnsi="宋体"/>
          <w:b/>
          <w:sz w:val="28"/>
          <w:szCs w:val="28"/>
        </w:rPr>
        <w:t>3、工作条件</w:t>
      </w:r>
    </w:p>
    <w:p w14:paraId="76BC9D93">
      <w:pPr>
        <w:spacing w:after="312" w:afterLines="100" w:line="360" w:lineRule="auto"/>
        <w:rPr>
          <w:rFonts w:hint="eastAsia" w:ascii="宋体" w:hAnsi="宋体"/>
          <w:sz w:val="24"/>
        </w:rPr>
      </w:pPr>
      <w:r>
        <w:rPr>
          <w:rFonts w:hint="eastAsia" w:ascii="宋体" w:hAnsi="宋体"/>
          <w:sz w:val="24"/>
        </w:rPr>
        <w:t>除非在技术规格中另有说明，所有仪器、设备和系统都应符合下列要求：</w:t>
      </w:r>
      <w:r>
        <w:rPr>
          <w:rFonts w:ascii="宋体" w:hAnsi="宋体"/>
          <w:sz w:val="24"/>
        </w:rPr>
        <w:t xml:space="preserve"> </w:t>
      </w:r>
    </w:p>
    <w:p w14:paraId="3CF60597">
      <w:pPr>
        <w:spacing w:line="360" w:lineRule="auto"/>
        <w:ind w:left="554" w:hanging="554" w:hangingChars="231"/>
        <w:rPr>
          <w:rFonts w:hint="eastAsia" w:ascii="宋体" w:hAnsi="宋体"/>
          <w:sz w:val="24"/>
        </w:rPr>
      </w:pPr>
      <w:r>
        <w:rPr>
          <w:rFonts w:hint="eastAsia" w:ascii="宋体" w:hAnsi="宋体"/>
          <w:sz w:val="24"/>
        </w:rPr>
        <w:t>3.1  适于在气温为摄氏</w:t>
      </w:r>
      <w:r>
        <w:rPr>
          <w:rFonts w:ascii="宋体" w:hAnsi="宋体"/>
          <w:b/>
          <w:sz w:val="24"/>
        </w:rPr>
        <w:t>-</w:t>
      </w:r>
      <w:r>
        <w:rPr>
          <w:rFonts w:hint="eastAsia" w:ascii="宋体" w:hAnsi="宋体"/>
          <w:b/>
          <w:sz w:val="24"/>
        </w:rPr>
        <w:t>2</w:t>
      </w:r>
      <w:r>
        <w:rPr>
          <w:rFonts w:ascii="宋体" w:hAnsi="宋体"/>
          <w:b/>
          <w:sz w:val="24"/>
        </w:rPr>
        <w:t>0</w:t>
      </w:r>
      <w:r>
        <w:rPr>
          <w:rFonts w:hint="eastAsia" w:ascii="宋体" w:hAnsi="宋体"/>
          <w:b/>
          <w:sz w:val="24"/>
        </w:rPr>
        <w:t>℃～＋</w:t>
      </w:r>
      <w:r>
        <w:rPr>
          <w:rFonts w:ascii="宋体" w:hAnsi="宋体"/>
          <w:b/>
          <w:sz w:val="24"/>
        </w:rPr>
        <w:t>50</w:t>
      </w:r>
      <w:r>
        <w:rPr>
          <w:rFonts w:hint="eastAsia" w:ascii="宋体" w:hAnsi="宋体"/>
          <w:b/>
          <w:sz w:val="24"/>
        </w:rPr>
        <w:t>℃</w:t>
      </w:r>
      <w:r>
        <w:rPr>
          <w:rFonts w:hint="eastAsia" w:ascii="宋体" w:hAnsi="宋体"/>
          <w:sz w:val="24"/>
        </w:rPr>
        <w:t>和相对湿度为</w:t>
      </w:r>
      <w:r>
        <w:rPr>
          <w:rFonts w:ascii="宋体" w:hAnsi="宋体"/>
          <w:b/>
          <w:sz w:val="24"/>
        </w:rPr>
        <w:t>90</w:t>
      </w:r>
      <w:r>
        <w:rPr>
          <w:rFonts w:hint="eastAsia" w:ascii="宋体" w:hAnsi="宋体"/>
          <w:b/>
          <w:sz w:val="24"/>
        </w:rPr>
        <w:t>％</w:t>
      </w:r>
      <w:r>
        <w:rPr>
          <w:rFonts w:hint="eastAsia" w:ascii="宋体" w:hAnsi="宋体"/>
          <w:sz w:val="24"/>
        </w:rPr>
        <w:t>的环境条件下运输和贮存。</w:t>
      </w:r>
    </w:p>
    <w:p w14:paraId="45414EFE">
      <w:pPr>
        <w:spacing w:line="360" w:lineRule="auto"/>
        <w:ind w:left="554" w:hanging="554" w:hangingChars="231"/>
        <w:rPr>
          <w:rFonts w:hint="eastAsia" w:ascii="宋体" w:hAnsi="宋体"/>
          <w:sz w:val="24"/>
        </w:rPr>
      </w:pPr>
      <w:r>
        <w:rPr>
          <w:rFonts w:hint="eastAsia" w:ascii="宋体" w:hAnsi="宋体"/>
          <w:sz w:val="24"/>
        </w:rPr>
        <w:t>3.2  适于在电源</w:t>
      </w:r>
      <w:r>
        <w:rPr>
          <w:rFonts w:ascii="宋体" w:hAnsi="宋体"/>
          <w:b/>
          <w:sz w:val="24"/>
        </w:rPr>
        <w:t>220V</w:t>
      </w:r>
      <w:r>
        <w:rPr>
          <w:rFonts w:hint="eastAsia" w:ascii="宋体" w:hAnsi="宋体"/>
          <w:b/>
          <w:sz w:val="24"/>
        </w:rPr>
        <w:t>（</w:t>
      </w:r>
      <w:r>
        <w:rPr>
          <w:rFonts w:ascii="宋体" w:hAnsi="宋体"/>
          <w:b/>
          <w:sz w:val="24"/>
        </w:rPr>
        <w:sym w:font="Symbol" w:char="F0B1"/>
      </w:r>
      <w:r>
        <w:rPr>
          <w:rFonts w:ascii="宋体" w:hAnsi="宋体"/>
          <w:b/>
          <w:sz w:val="24"/>
        </w:rPr>
        <w:t>10</w:t>
      </w:r>
      <w:r>
        <w:rPr>
          <w:rFonts w:hint="eastAsia" w:ascii="宋体" w:hAnsi="宋体"/>
          <w:b/>
          <w:sz w:val="24"/>
        </w:rPr>
        <w:t>％）</w:t>
      </w:r>
      <w:r>
        <w:rPr>
          <w:rFonts w:ascii="宋体" w:hAnsi="宋体"/>
          <w:b/>
          <w:sz w:val="24"/>
        </w:rPr>
        <w:t>/50Hz</w:t>
      </w:r>
      <w:r>
        <w:rPr>
          <w:rFonts w:hint="eastAsia" w:ascii="宋体" w:hAnsi="宋体"/>
          <w:sz w:val="24"/>
        </w:rPr>
        <w:t>、气温摄氏</w:t>
      </w:r>
      <w:r>
        <w:rPr>
          <w:rFonts w:hint="eastAsia" w:ascii="宋体" w:hAnsi="宋体"/>
          <w:b/>
          <w:sz w:val="24"/>
        </w:rPr>
        <w:t>+1</w:t>
      </w:r>
      <w:r>
        <w:rPr>
          <w:rFonts w:ascii="宋体" w:hAnsi="宋体"/>
          <w:b/>
          <w:sz w:val="24"/>
        </w:rPr>
        <w:t>5</w:t>
      </w:r>
      <w:r>
        <w:rPr>
          <w:rFonts w:hint="eastAsia" w:ascii="宋体" w:hAnsi="宋体"/>
          <w:b/>
          <w:sz w:val="24"/>
        </w:rPr>
        <w:t>℃～＋3</w:t>
      </w:r>
      <w:r>
        <w:rPr>
          <w:rFonts w:ascii="宋体" w:hAnsi="宋体"/>
          <w:b/>
          <w:sz w:val="24"/>
        </w:rPr>
        <w:t>0</w:t>
      </w:r>
      <w:r>
        <w:rPr>
          <w:rFonts w:hint="eastAsia" w:ascii="宋体" w:hAnsi="宋体"/>
          <w:b/>
          <w:sz w:val="24"/>
        </w:rPr>
        <w:t>℃</w:t>
      </w:r>
      <w:r>
        <w:rPr>
          <w:rFonts w:hint="eastAsia" w:ascii="宋体" w:hAnsi="宋体"/>
          <w:sz w:val="24"/>
        </w:rPr>
        <w:t>和相对湿度小于</w:t>
      </w:r>
      <w:r>
        <w:rPr>
          <w:rFonts w:ascii="宋体" w:hAnsi="宋体"/>
          <w:b/>
          <w:sz w:val="24"/>
        </w:rPr>
        <w:t>8</w:t>
      </w:r>
      <w:r>
        <w:rPr>
          <w:rFonts w:hint="eastAsia" w:ascii="宋体" w:hAnsi="宋体"/>
          <w:b/>
          <w:sz w:val="24"/>
        </w:rPr>
        <w:t>0％</w:t>
      </w:r>
      <w:r>
        <w:rPr>
          <w:rFonts w:hint="eastAsia" w:ascii="宋体" w:hAnsi="宋体"/>
          <w:sz w:val="24"/>
        </w:rPr>
        <w:t>的环境条件下运行。</w:t>
      </w:r>
      <w:r>
        <w:rPr>
          <w:rFonts w:hint="eastAsia" w:ascii="宋体" w:hAnsi="宋体"/>
          <w:b/>
          <w:sz w:val="24"/>
        </w:rPr>
        <w:t>能够连续正常工作。</w:t>
      </w:r>
    </w:p>
    <w:p w14:paraId="758037A5">
      <w:pPr>
        <w:spacing w:line="360" w:lineRule="auto"/>
        <w:ind w:left="554" w:hanging="554" w:hangingChars="231"/>
        <w:rPr>
          <w:rFonts w:hint="eastAsia" w:ascii="宋体" w:hAnsi="宋体"/>
          <w:sz w:val="24"/>
        </w:rPr>
      </w:pPr>
      <w:r>
        <w:rPr>
          <w:rFonts w:hint="eastAsia" w:ascii="宋体" w:hAnsi="宋体"/>
          <w:sz w:val="24"/>
        </w:rPr>
        <w:t>3.3  配置符合中国有关标准要求的插头，如果没有这样的插头，则需</w:t>
      </w:r>
      <w:r>
        <w:rPr>
          <w:rFonts w:hint="eastAsia" w:ascii="宋体"/>
          <w:sz w:val="24"/>
        </w:rPr>
        <w:t>提供适当的转</w:t>
      </w:r>
      <w:r>
        <w:rPr>
          <w:rFonts w:hint="eastAsia" w:ascii="宋体" w:hAnsi="宋体"/>
          <w:sz w:val="24"/>
        </w:rPr>
        <w:t>换插座。</w:t>
      </w:r>
    </w:p>
    <w:p w14:paraId="52E398D2">
      <w:pPr>
        <w:spacing w:line="360" w:lineRule="auto"/>
        <w:ind w:left="554" w:hanging="554" w:hangingChars="231"/>
        <w:rPr>
          <w:rFonts w:hint="eastAsia" w:ascii="宋体" w:hAnsi="宋体"/>
          <w:sz w:val="24"/>
        </w:rPr>
      </w:pPr>
      <w:r>
        <w:rPr>
          <w:rFonts w:hint="eastAsia" w:ascii="宋体" w:hAnsi="宋体"/>
          <w:sz w:val="24"/>
        </w:rPr>
        <w:t>3.4  如产品达不到上述要求，投标人应注明其偏差。如仪器设备需要特殊工作条件（如水、电源、磁场强度、温度、湿度、动强度等）投标人应在投标书中加以说明。</w:t>
      </w:r>
    </w:p>
    <w:p w14:paraId="006A8F14">
      <w:pPr>
        <w:rPr>
          <w:rFonts w:eastAsia="黑体"/>
          <w:b/>
          <w:bCs/>
          <w:kern w:val="44"/>
          <w:sz w:val="24"/>
        </w:rPr>
      </w:pPr>
    </w:p>
    <w:p w14:paraId="12FF9D21">
      <w:pPr>
        <w:adjustRightInd w:val="0"/>
        <w:snapToGrid w:val="0"/>
        <w:spacing w:line="360" w:lineRule="auto"/>
        <w:rPr>
          <w:rFonts w:hint="eastAsia" w:ascii="宋体" w:hAnsi="宋体"/>
          <w:b/>
          <w:sz w:val="28"/>
          <w:szCs w:val="28"/>
        </w:rPr>
      </w:pPr>
      <w:r>
        <w:rPr>
          <w:rFonts w:hint="eastAsia" w:ascii="宋体" w:hAnsi="宋体"/>
          <w:b/>
          <w:sz w:val="28"/>
          <w:szCs w:val="28"/>
        </w:rPr>
        <w:t>4、验收标准</w:t>
      </w:r>
    </w:p>
    <w:p w14:paraId="733BAA91">
      <w:pPr>
        <w:spacing w:after="312" w:afterLines="100" w:line="360" w:lineRule="auto"/>
        <w:rPr>
          <w:rFonts w:hint="eastAsia" w:ascii="宋体" w:hAnsi="宋体"/>
          <w:sz w:val="24"/>
        </w:rPr>
      </w:pPr>
      <w:r>
        <w:rPr>
          <w:rFonts w:hint="eastAsia" w:ascii="宋体" w:hAnsi="宋体"/>
          <w:sz w:val="24"/>
        </w:rPr>
        <w:t>除非在技术规格中另有说明，所有仪器、设备和系统按下列要求进行验收：</w:t>
      </w:r>
      <w:r>
        <w:rPr>
          <w:rFonts w:ascii="宋体" w:hAnsi="宋体"/>
          <w:sz w:val="24"/>
        </w:rPr>
        <w:t xml:space="preserve"> </w:t>
      </w:r>
    </w:p>
    <w:p w14:paraId="530B6F21">
      <w:pPr>
        <w:spacing w:line="360" w:lineRule="auto"/>
        <w:ind w:left="554" w:hanging="554" w:hangingChars="231"/>
        <w:rPr>
          <w:rFonts w:hint="eastAsia" w:ascii="宋体" w:hAnsi="宋体"/>
          <w:sz w:val="24"/>
        </w:rPr>
      </w:pPr>
      <w:r>
        <w:rPr>
          <w:rFonts w:hint="eastAsia" w:ascii="宋体" w:hAnsi="宋体"/>
          <w:sz w:val="24"/>
        </w:rPr>
        <w:t>4.1  仪器设备运抵安装现场后，买方将与卖方共同开箱验收</w:t>
      </w:r>
      <w:r>
        <w:rPr>
          <w:rFonts w:ascii="宋体" w:hAnsi="宋体"/>
          <w:sz w:val="24"/>
        </w:rPr>
        <w:t xml:space="preserve">, </w:t>
      </w:r>
      <w:r>
        <w:rPr>
          <w:rFonts w:hint="eastAsia" w:ascii="宋体" w:hAnsi="宋体"/>
          <w:sz w:val="24"/>
        </w:rPr>
        <w:t>如卖方届时不派人来</w:t>
      </w:r>
      <w:r>
        <w:rPr>
          <w:rFonts w:ascii="宋体" w:hAnsi="宋体"/>
          <w:sz w:val="24"/>
        </w:rPr>
        <w:t xml:space="preserve">, </w:t>
      </w:r>
      <w:r>
        <w:rPr>
          <w:rFonts w:hint="eastAsia" w:ascii="宋体" w:hAnsi="宋体"/>
          <w:sz w:val="24"/>
        </w:rPr>
        <w:t>则验收结果应以买方的验收报告为最终验收结果。验收时发现短缺、破损</w:t>
      </w:r>
      <w:r>
        <w:rPr>
          <w:rFonts w:ascii="宋体" w:hAnsi="宋体"/>
          <w:sz w:val="24"/>
        </w:rPr>
        <w:t xml:space="preserve">, </w:t>
      </w:r>
      <w:r>
        <w:rPr>
          <w:rFonts w:hint="eastAsia" w:ascii="宋体" w:hAnsi="宋体"/>
          <w:sz w:val="24"/>
        </w:rPr>
        <w:t>买方有权要求卖方负责更换。</w:t>
      </w:r>
    </w:p>
    <w:p w14:paraId="78B31D2D">
      <w:pPr>
        <w:spacing w:line="360" w:lineRule="auto"/>
        <w:ind w:left="554" w:hanging="554" w:hangingChars="231"/>
        <w:rPr>
          <w:rFonts w:hint="eastAsia" w:ascii="宋体" w:hAnsi="宋体"/>
          <w:sz w:val="24"/>
        </w:rPr>
      </w:pPr>
      <w:r>
        <w:rPr>
          <w:rFonts w:hint="eastAsia" w:ascii="宋体" w:hAnsi="宋体"/>
          <w:sz w:val="24"/>
        </w:rPr>
        <w:t xml:space="preserve">4.2  </w:t>
      </w:r>
      <w:r>
        <w:rPr>
          <w:rFonts w:hint="eastAsia"/>
          <w:sz w:val="24"/>
        </w:rPr>
        <w:t>验收标准以中标人提供的投标文件中所列的指标为准（该指标应不低于招标文件所要求的指标）。任何虚假指标响应一经发现即作废标，卖方必须承担由此给买方带来的一切经济损失和其它相关责任。</w:t>
      </w:r>
    </w:p>
    <w:p w14:paraId="0A733F89">
      <w:pPr>
        <w:spacing w:line="360" w:lineRule="auto"/>
        <w:ind w:left="554" w:hanging="554" w:hangingChars="231"/>
        <w:rPr>
          <w:rFonts w:hint="eastAsia" w:ascii="宋体" w:hAnsi="宋体"/>
          <w:sz w:val="24"/>
        </w:rPr>
      </w:pPr>
      <w:r>
        <w:rPr>
          <w:rFonts w:hint="eastAsia" w:ascii="宋体" w:hAnsi="宋体"/>
          <w:sz w:val="24"/>
        </w:rPr>
        <w:t xml:space="preserve">4.3  </w:t>
      </w:r>
      <w:r>
        <w:rPr>
          <w:rFonts w:ascii="宋体" w:hAnsi="宋体"/>
          <w:sz w:val="24"/>
        </w:rPr>
        <w:t>验收由采购人、中标人及相关人员依国家有关标准、合同及有关附件要求进行，验收完毕由采购人及中标人在验收报告上签名。</w:t>
      </w:r>
    </w:p>
    <w:p w14:paraId="02592BBD">
      <w:pPr>
        <w:pStyle w:val="20"/>
        <w:spacing w:line="360" w:lineRule="auto"/>
        <w:ind w:left="410" w:hanging="410" w:hangingChars="170"/>
        <w:rPr>
          <w:rFonts w:hint="eastAsia" w:hAnsi="宋体"/>
          <w:b/>
          <w:sz w:val="24"/>
          <w:szCs w:val="24"/>
        </w:rPr>
      </w:pPr>
    </w:p>
    <w:p w14:paraId="31EF9148">
      <w:pPr>
        <w:adjustRightInd w:val="0"/>
        <w:snapToGrid w:val="0"/>
        <w:spacing w:line="360" w:lineRule="auto"/>
        <w:rPr>
          <w:rFonts w:hint="eastAsia" w:hAnsi="宋体"/>
          <w:b/>
          <w:sz w:val="24"/>
        </w:rPr>
      </w:pPr>
      <w:r>
        <w:rPr>
          <w:rFonts w:hint="eastAsia"/>
          <w:b/>
          <w:bCs/>
          <w:sz w:val="24"/>
        </w:rPr>
        <w:t>5、本采购需求书中标注“★”号技术条款的为实质性要求，不满足其投标将视为无效投标被拒绝。</w:t>
      </w:r>
    </w:p>
    <w:p w14:paraId="4EA543A9">
      <w:pPr>
        <w:adjustRightInd w:val="0"/>
        <w:snapToGrid w:val="0"/>
        <w:spacing w:line="360" w:lineRule="auto"/>
        <w:rPr>
          <w:rFonts w:hint="eastAsia" w:ascii="宋体" w:hAnsi="宋体"/>
          <w:b/>
          <w:sz w:val="24"/>
        </w:rPr>
      </w:pPr>
    </w:p>
    <w:p w14:paraId="35218655">
      <w:pPr>
        <w:adjustRightInd w:val="0"/>
        <w:snapToGrid w:val="0"/>
        <w:spacing w:line="360" w:lineRule="auto"/>
        <w:rPr>
          <w:rFonts w:hint="eastAsia" w:ascii="宋体" w:hAnsi="宋体"/>
          <w:b/>
          <w:sz w:val="24"/>
        </w:rPr>
      </w:pPr>
      <w:r>
        <w:rPr>
          <w:rFonts w:hint="eastAsia" w:ascii="宋体" w:hAnsi="宋体"/>
          <w:b/>
          <w:sz w:val="24"/>
        </w:rPr>
        <w:t>6、如在具体技术规格中有本总则不一致之处，以具体技术规格中的要求为准。</w:t>
      </w:r>
    </w:p>
    <w:p w14:paraId="622B3FD9">
      <w:pPr>
        <w:adjustRightInd w:val="0"/>
        <w:snapToGrid w:val="0"/>
        <w:spacing w:line="360" w:lineRule="auto"/>
        <w:rPr>
          <w:rFonts w:hint="eastAsia" w:ascii="宋体" w:hAnsi="宋体"/>
          <w:b/>
          <w:sz w:val="28"/>
          <w:szCs w:val="28"/>
        </w:rPr>
      </w:pPr>
      <w:r>
        <w:rPr>
          <w:rFonts w:ascii="宋体" w:hAnsi="宋体"/>
          <w:b/>
          <w:sz w:val="28"/>
        </w:rPr>
        <w:br w:type="page"/>
      </w:r>
      <w:r>
        <w:rPr>
          <w:rFonts w:hint="eastAsia" w:ascii="宋体" w:hAnsi="宋体"/>
          <w:b/>
          <w:sz w:val="28"/>
          <w:szCs w:val="28"/>
        </w:rPr>
        <w:t>二、具体技术规格</w:t>
      </w:r>
    </w:p>
    <w:p w14:paraId="303D40EC">
      <w:pPr>
        <w:jc w:val="center"/>
        <w:rPr>
          <w:b/>
          <w:sz w:val="24"/>
        </w:rPr>
      </w:pPr>
      <w:r>
        <w:rPr>
          <w:rFonts w:hint="eastAsia"/>
          <w:b/>
          <w:sz w:val="24"/>
        </w:rPr>
        <w:t>第1包 全自动萃取浓缩系统</w:t>
      </w:r>
    </w:p>
    <w:p w14:paraId="38F07673">
      <w:pPr>
        <w:rPr>
          <w:b/>
          <w:sz w:val="24"/>
        </w:rPr>
      </w:pPr>
    </w:p>
    <w:p w14:paraId="7BFCF603">
      <w:pPr>
        <w:adjustRightInd w:val="0"/>
        <w:snapToGrid w:val="0"/>
        <w:spacing w:line="360" w:lineRule="auto"/>
        <w:rPr>
          <w:rFonts w:cs="宋体"/>
          <w:b/>
          <w:bCs/>
          <w:sz w:val="24"/>
        </w:rPr>
      </w:pPr>
      <w:r>
        <w:rPr>
          <w:rFonts w:hint="eastAsia" w:cs="宋体"/>
          <w:b/>
          <w:bCs/>
          <w:sz w:val="24"/>
        </w:rPr>
        <w:t>（一）技术要求：</w:t>
      </w:r>
    </w:p>
    <w:p w14:paraId="3276C1EF">
      <w:pPr>
        <w:adjustRightInd w:val="0"/>
        <w:snapToGrid w:val="0"/>
        <w:spacing w:line="360" w:lineRule="auto"/>
        <w:rPr>
          <w:rFonts w:cs="宋体"/>
          <w:b/>
          <w:bCs/>
          <w:sz w:val="24"/>
        </w:rPr>
      </w:pPr>
      <w:r>
        <w:rPr>
          <w:rFonts w:hint="eastAsia" w:cs="宋体"/>
          <w:b/>
          <w:bCs/>
          <w:sz w:val="24"/>
        </w:rPr>
        <w:t>1.设备名称：</w:t>
      </w:r>
    </w:p>
    <w:p w14:paraId="10FAB695">
      <w:pPr>
        <w:adjustRightInd w:val="0"/>
        <w:snapToGrid w:val="0"/>
        <w:spacing w:line="360" w:lineRule="auto"/>
        <w:rPr>
          <w:rFonts w:cs="宋体"/>
          <w:sz w:val="24"/>
        </w:rPr>
      </w:pPr>
      <w:r>
        <w:rPr>
          <w:rFonts w:hint="eastAsia" w:cs="宋体"/>
          <w:sz w:val="24"/>
        </w:rPr>
        <w:t>全自动萃取浓缩系统</w:t>
      </w:r>
    </w:p>
    <w:p w14:paraId="7D3B33EA">
      <w:pPr>
        <w:adjustRightInd w:val="0"/>
        <w:snapToGrid w:val="0"/>
        <w:spacing w:line="360" w:lineRule="auto"/>
        <w:rPr>
          <w:rFonts w:cs="宋体"/>
          <w:sz w:val="24"/>
        </w:rPr>
      </w:pPr>
    </w:p>
    <w:p w14:paraId="63438447">
      <w:pPr>
        <w:adjustRightInd w:val="0"/>
        <w:snapToGrid w:val="0"/>
        <w:spacing w:line="360" w:lineRule="auto"/>
        <w:rPr>
          <w:rFonts w:cs="宋体"/>
          <w:b/>
          <w:bCs/>
          <w:sz w:val="24"/>
        </w:rPr>
      </w:pPr>
      <w:r>
        <w:rPr>
          <w:rFonts w:hint="eastAsia" w:cs="宋体"/>
          <w:b/>
          <w:bCs/>
          <w:sz w:val="24"/>
        </w:rPr>
        <w:t>2.设备用途：</w:t>
      </w:r>
    </w:p>
    <w:p w14:paraId="303683C4">
      <w:pPr>
        <w:adjustRightInd w:val="0"/>
        <w:snapToGrid w:val="0"/>
        <w:spacing w:line="360" w:lineRule="auto"/>
        <w:rPr>
          <w:rFonts w:cs="宋体"/>
          <w:sz w:val="24"/>
        </w:rPr>
      </w:pPr>
      <w:r>
        <w:rPr>
          <w:rFonts w:hint="eastAsia" w:cs="宋体"/>
          <w:sz w:val="24"/>
        </w:rPr>
        <w:t>全自动萃取浓缩系统可以实现土壤中有机物的萃取和浓缩</w:t>
      </w:r>
    </w:p>
    <w:p w14:paraId="3669C63A">
      <w:pPr>
        <w:adjustRightInd w:val="0"/>
        <w:snapToGrid w:val="0"/>
        <w:spacing w:line="360" w:lineRule="auto"/>
        <w:rPr>
          <w:rFonts w:cs="宋体"/>
          <w:sz w:val="24"/>
        </w:rPr>
      </w:pPr>
    </w:p>
    <w:p w14:paraId="1FF368A9">
      <w:pPr>
        <w:adjustRightInd w:val="0"/>
        <w:snapToGrid w:val="0"/>
        <w:spacing w:line="360" w:lineRule="auto"/>
        <w:rPr>
          <w:rFonts w:cs="宋体"/>
          <w:b/>
          <w:bCs/>
          <w:sz w:val="24"/>
        </w:rPr>
      </w:pPr>
      <w:r>
        <w:rPr>
          <w:rFonts w:cs="宋体"/>
          <w:b/>
          <w:bCs/>
          <w:sz w:val="24"/>
        </w:rPr>
        <w:t>3.技术规格：</w:t>
      </w:r>
    </w:p>
    <w:p w14:paraId="2EADD4D6">
      <w:pPr>
        <w:adjustRightInd w:val="0"/>
        <w:snapToGrid w:val="0"/>
        <w:spacing w:line="360" w:lineRule="auto"/>
        <w:ind w:firstLine="420"/>
        <w:rPr>
          <w:rFonts w:cs="宋体"/>
          <w:sz w:val="24"/>
        </w:rPr>
      </w:pPr>
      <w:r>
        <w:rPr>
          <w:rFonts w:hint="eastAsia" w:cs="宋体"/>
          <w:sz w:val="24"/>
        </w:rPr>
        <w:t>投标人提供的货物须是成熟的全新的产品，其技术规格应符合招标文件的要求。如与招标文件的技术规格有偏差，应提供技术规格偏差的量值或说明（偏离表）。</w:t>
      </w:r>
    </w:p>
    <w:p w14:paraId="49FD5F57">
      <w:pPr>
        <w:adjustRightInd w:val="0"/>
        <w:snapToGrid w:val="0"/>
        <w:spacing w:line="360" w:lineRule="auto"/>
        <w:rPr>
          <w:rFonts w:cs="宋体"/>
          <w:sz w:val="24"/>
        </w:rPr>
      </w:pPr>
      <w:r>
        <w:rPr>
          <w:rFonts w:hint="eastAsia" w:cs="宋体"/>
          <w:sz w:val="24"/>
        </w:rPr>
        <w:t>3.</w:t>
      </w:r>
      <w:r>
        <w:rPr>
          <w:rFonts w:cs="宋体"/>
          <w:sz w:val="24"/>
        </w:rPr>
        <w:t>1</w:t>
      </w:r>
      <w:r>
        <w:rPr>
          <w:rFonts w:hint="eastAsia" w:cs="宋体"/>
          <w:sz w:val="24"/>
        </w:rPr>
        <w:t xml:space="preserve"> </w:t>
      </w:r>
      <w:r>
        <w:rPr>
          <w:rFonts w:cs="宋体"/>
          <w:sz w:val="24"/>
        </w:rPr>
        <w:t>溶剂控制器：4个溶剂通道，由多通阀进行溶剂切换，含有独立的溶剂管路，溶剂添加比例可进行设定</w:t>
      </w:r>
    </w:p>
    <w:p w14:paraId="183F6672">
      <w:pPr>
        <w:adjustRightInd w:val="0"/>
        <w:snapToGrid w:val="0"/>
        <w:spacing w:line="360" w:lineRule="auto"/>
        <w:rPr>
          <w:rFonts w:cs="宋体"/>
          <w:sz w:val="24"/>
        </w:rPr>
      </w:pPr>
      <w:r>
        <w:rPr>
          <w:rFonts w:hint="eastAsia" w:cs="宋体"/>
          <w:sz w:val="24"/>
        </w:rPr>
        <w:t>3.</w:t>
      </w:r>
      <w:r>
        <w:rPr>
          <w:rFonts w:cs="宋体"/>
          <w:sz w:val="24"/>
        </w:rPr>
        <w:t>2</w:t>
      </w:r>
      <w:r>
        <w:rPr>
          <w:rFonts w:hint="eastAsia" w:cs="宋体"/>
          <w:sz w:val="24"/>
        </w:rPr>
        <w:t xml:space="preserve"> </w:t>
      </w:r>
      <w:r>
        <w:rPr>
          <w:rFonts w:cs="宋体"/>
          <w:sz w:val="24"/>
        </w:rPr>
        <w:t>反应温度：室温~200℃，控温精度±1℃。</w:t>
      </w:r>
    </w:p>
    <w:p w14:paraId="5349F516">
      <w:pPr>
        <w:adjustRightInd w:val="0"/>
        <w:snapToGrid w:val="0"/>
        <w:spacing w:line="360" w:lineRule="auto"/>
        <w:rPr>
          <w:rFonts w:cs="宋体"/>
          <w:sz w:val="24"/>
        </w:rPr>
      </w:pPr>
      <w:r>
        <w:rPr>
          <w:rFonts w:ascii="Segoe UI Symbol" w:hAnsi="Segoe UI Symbol" w:cs="Segoe UI Symbol"/>
          <w:b/>
          <w:bCs/>
          <w:sz w:val="24"/>
        </w:rPr>
        <w:t>★</w:t>
      </w:r>
      <w:r>
        <w:rPr>
          <w:rFonts w:hint="eastAsia" w:cs="宋体"/>
          <w:sz w:val="24"/>
        </w:rPr>
        <w:t>3.</w:t>
      </w:r>
      <w:r>
        <w:rPr>
          <w:rFonts w:cs="宋体"/>
          <w:sz w:val="24"/>
        </w:rPr>
        <w:t>3</w:t>
      </w:r>
      <w:r>
        <w:rPr>
          <w:rFonts w:hint="eastAsia" w:cs="宋体"/>
          <w:sz w:val="24"/>
        </w:rPr>
        <w:t xml:space="preserve"> </w:t>
      </w:r>
      <w:r>
        <w:rPr>
          <w:rFonts w:cs="宋体"/>
          <w:sz w:val="24"/>
        </w:rPr>
        <w:t>样品通量：可同时处理6个样品，同步完成6个样品的反应全过程。</w:t>
      </w:r>
    </w:p>
    <w:p w14:paraId="574C2661">
      <w:pPr>
        <w:adjustRightInd w:val="0"/>
        <w:snapToGrid w:val="0"/>
        <w:spacing w:line="360" w:lineRule="auto"/>
        <w:rPr>
          <w:rFonts w:cs="宋体"/>
          <w:sz w:val="24"/>
        </w:rPr>
      </w:pPr>
      <w:r>
        <w:rPr>
          <w:rFonts w:hint="eastAsia" w:ascii="Segoe UI Symbol" w:hAnsi="Segoe UI Symbol" w:cs="Segoe UI Symbol"/>
          <w:b/>
          <w:bCs/>
          <w:sz w:val="24"/>
          <w:highlight w:val="yellow"/>
        </w:rPr>
        <w:t>#</w:t>
      </w:r>
      <w:r>
        <w:rPr>
          <w:rFonts w:hint="eastAsia" w:cs="宋体"/>
          <w:sz w:val="24"/>
          <w:highlight w:val="yellow"/>
        </w:rPr>
        <w:t>3.</w:t>
      </w:r>
      <w:r>
        <w:rPr>
          <w:rFonts w:cs="宋体"/>
          <w:sz w:val="24"/>
          <w:highlight w:val="yellow"/>
        </w:rPr>
        <w:t>4</w:t>
      </w:r>
      <w:r>
        <w:rPr>
          <w:rFonts w:hint="eastAsia" w:cs="宋体"/>
          <w:sz w:val="24"/>
        </w:rPr>
        <w:t xml:space="preserve"> </w:t>
      </w:r>
      <w:r>
        <w:rPr>
          <w:rFonts w:cs="宋体"/>
          <w:sz w:val="24"/>
        </w:rPr>
        <w:t>设备具有使用计次功能，6个通道独立计数，当使用超过一定次数，仪器自动提醒进行设备维护，避免因使用情况未知导致样品处理过程中发生漏液现象。</w:t>
      </w:r>
    </w:p>
    <w:p w14:paraId="1F694BD4">
      <w:pPr>
        <w:adjustRightInd w:val="0"/>
        <w:snapToGrid w:val="0"/>
        <w:spacing w:line="360" w:lineRule="auto"/>
        <w:rPr>
          <w:rFonts w:cs="宋体"/>
          <w:sz w:val="24"/>
        </w:rPr>
      </w:pPr>
      <w:r>
        <w:rPr>
          <w:rFonts w:hint="eastAsia" w:cs="宋体"/>
          <w:sz w:val="24"/>
        </w:rPr>
        <w:t>3.</w:t>
      </w:r>
      <w:r>
        <w:rPr>
          <w:rFonts w:cs="宋体"/>
          <w:sz w:val="24"/>
        </w:rPr>
        <w:t>5</w:t>
      </w:r>
      <w:r>
        <w:rPr>
          <w:rFonts w:hint="eastAsia" w:cs="宋体"/>
          <w:sz w:val="24"/>
        </w:rPr>
        <w:t xml:space="preserve"> </w:t>
      </w:r>
      <w:r>
        <w:rPr>
          <w:rFonts w:cs="宋体"/>
          <w:sz w:val="24"/>
        </w:rPr>
        <w:t>具备废液排放和报警模块，废液到达所设定液面高度，自动报警，同时能够高效的对挥发性有害气体进行过滤，同时带有无接触液位检测声光报警，防止液体溢出。</w:t>
      </w:r>
    </w:p>
    <w:p w14:paraId="258ECFC5">
      <w:pPr>
        <w:adjustRightInd w:val="0"/>
        <w:snapToGrid w:val="0"/>
        <w:spacing w:line="360" w:lineRule="auto"/>
        <w:rPr>
          <w:rFonts w:cs="宋体"/>
          <w:sz w:val="24"/>
        </w:rPr>
      </w:pPr>
      <w:r>
        <w:rPr>
          <w:rFonts w:hint="eastAsia" w:cs="宋体"/>
          <w:sz w:val="24"/>
        </w:rPr>
        <w:t>3.</w:t>
      </w:r>
      <w:r>
        <w:rPr>
          <w:rFonts w:cs="宋体"/>
          <w:sz w:val="24"/>
        </w:rPr>
        <w:t>6</w:t>
      </w:r>
      <w:r>
        <w:rPr>
          <w:rFonts w:hint="eastAsia" w:cs="宋体"/>
          <w:sz w:val="24"/>
        </w:rPr>
        <w:t xml:space="preserve"> </w:t>
      </w:r>
      <w:r>
        <w:rPr>
          <w:rFonts w:cs="宋体"/>
          <w:sz w:val="24"/>
        </w:rPr>
        <w:t>配套溶剂系统模块，实时监控溶剂状态，溶剂不足时及时报警，避免溶剂不足导致样品浪费。</w:t>
      </w:r>
    </w:p>
    <w:p w14:paraId="72C5848A">
      <w:pPr>
        <w:adjustRightInd w:val="0"/>
        <w:snapToGrid w:val="0"/>
        <w:spacing w:line="360" w:lineRule="auto"/>
        <w:rPr>
          <w:rFonts w:cs="宋体"/>
          <w:sz w:val="24"/>
        </w:rPr>
      </w:pPr>
      <w:r>
        <w:rPr>
          <w:rFonts w:ascii="Segoe UI Symbol" w:hAnsi="Segoe UI Symbol" w:cs="Segoe UI Symbol"/>
          <w:b/>
          <w:bCs/>
          <w:sz w:val="24"/>
        </w:rPr>
        <w:t>★</w:t>
      </w:r>
      <w:r>
        <w:rPr>
          <w:rFonts w:hint="eastAsia" w:cs="宋体"/>
          <w:sz w:val="24"/>
        </w:rPr>
        <w:t>3.</w:t>
      </w:r>
      <w:r>
        <w:rPr>
          <w:rFonts w:cs="宋体"/>
          <w:sz w:val="24"/>
        </w:rPr>
        <w:t>7</w:t>
      </w:r>
      <w:r>
        <w:rPr>
          <w:rFonts w:hint="eastAsia" w:cs="宋体"/>
          <w:sz w:val="24"/>
        </w:rPr>
        <w:t xml:space="preserve"> </w:t>
      </w:r>
      <w:r>
        <w:rPr>
          <w:rFonts w:cs="宋体"/>
          <w:sz w:val="24"/>
        </w:rPr>
        <w:t>设备收集架具备自动抬升功能，设备运行中，收集架自动抬升方便接受萃取液。</w:t>
      </w:r>
    </w:p>
    <w:p w14:paraId="1E7AA961">
      <w:pPr>
        <w:adjustRightInd w:val="0"/>
        <w:snapToGrid w:val="0"/>
        <w:spacing w:line="360" w:lineRule="auto"/>
        <w:rPr>
          <w:rFonts w:cs="宋体"/>
          <w:sz w:val="24"/>
        </w:rPr>
      </w:pPr>
      <w:r>
        <w:rPr>
          <w:rFonts w:ascii="Segoe UI Symbol" w:hAnsi="Segoe UI Symbol" w:cs="Segoe UI Symbol"/>
          <w:b/>
          <w:bCs/>
          <w:sz w:val="24"/>
        </w:rPr>
        <w:t>★</w:t>
      </w:r>
      <w:r>
        <w:rPr>
          <w:rFonts w:hint="eastAsia" w:cs="宋体"/>
          <w:sz w:val="24"/>
        </w:rPr>
        <w:t>3.</w:t>
      </w:r>
      <w:r>
        <w:rPr>
          <w:rFonts w:cs="宋体"/>
          <w:sz w:val="24"/>
        </w:rPr>
        <w:t>8</w:t>
      </w:r>
      <w:r>
        <w:rPr>
          <w:rFonts w:hint="eastAsia" w:cs="宋体"/>
          <w:sz w:val="24"/>
        </w:rPr>
        <w:t xml:space="preserve"> </w:t>
      </w:r>
      <w:r>
        <w:rPr>
          <w:rFonts w:cs="宋体"/>
          <w:sz w:val="24"/>
        </w:rPr>
        <w:t>样品在真空负压、加热和振荡的多重作用下，进行样品浓缩。</w:t>
      </w:r>
    </w:p>
    <w:p w14:paraId="62C0C2D5">
      <w:pPr>
        <w:adjustRightInd w:val="0"/>
        <w:snapToGrid w:val="0"/>
        <w:spacing w:line="360" w:lineRule="auto"/>
        <w:rPr>
          <w:rFonts w:cs="宋体"/>
          <w:sz w:val="24"/>
        </w:rPr>
      </w:pPr>
      <w:r>
        <w:rPr>
          <w:rFonts w:hint="eastAsia" w:ascii="Segoe UI Symbol" w:hAnsi="Segoe UI Symbol" w:cs="Segoe UI Symbol"/>
          <w:b/>
          <w:bCs/>
          <w:sz w:val="24"/>
          <w:highlight w:val="yellow"/>
        </w:rPr>
        <w:t>#</w:t>
      </w:r>
      <w:r>
        <w:rPr>
          <w:rFonts w:hint="eastAsia" w:cs="宋体"/>
          <w:sz w:val="24"/>
          <w:highlight w:val="yellow"/>
        </w:rPr>
        <w:t>3.9</w:t>
      </w:r>
      <w:r>
        <w:rPr>
          <w:rFonts w:hint="eastAsia" w:cs="宋体"/>
          <w:sz w:val="24"/>
        </w:rPr>
        <w:t xml:space="preserve"> </w:t>
      </w:r>
      <w:r>
        <w:rPr>
          <w:rFonts w:cs="宋体"/>
          <w:sz w:val="24"/>
        </w:rPr>
        <w:t>批处理能力：可20个250ml</w:t>
      </w:r>
      <w:r>
        <w:rPr>
          <w:rFonts w:hint="eastAsia" w:cs="宋体"/>
          <w:sz w:val="24"/>
        </w:rPr>
        <w:t>及</w:t>
      </w:r>
      <w:r>
        <w:rPr>
          <w:rFonts w:cs="宋体"/>
          <w:sz w:val="24"/>
        </w:rPr>
        <w:t>以上的样品同时处理。</w:t>
      </w:r>
    </w:p>
    <w:p w14:paraId="17FF41FE">
      <w:pPr>
        <w:adjustRightInd w:val="0"/>
        <w:snapToGrid w:val="0"/>
        <w:spacing w:line="360" w:lineRule="auto"/>
        <w:rPr>
          <w:rFonts w:cs="宋体"/>
          <w:sz w:val="24"/>
        </w:rPr>
      </w:pPr>
      <w:r>
        <w:rPr>
          <w:rFonts w:hint="eastAsia" w:cs="宋体"/>
          <w:sz w:val="24"/>
        </w:rPr>
        <w:t>3.</w:t>
      </w:r>
      <w:r>
        <w:rPr>
          <w:rFonts w:cs="宋体"/>
          <w:sz w:val="24"/>
        </w:rPr>
        <w:t>1</w:t>
      </w:r>
      <w:r>
        <w:rPr>
          <w:rFonts w:hint="eastAsia" w:cs="宋体"/>
          <w:sz w:val="24"/>
        </w:rPr>
        <w:t xml:space="preserve">0 </w:t>
      </w:r>
      <w:r>
        <w:rPr>
          <w:rFonts w:cs="宋体"/>
          <w:sz w:val="24"/>
        </w:rPr>
        <w:t>每个浓缩杯位置均含有独立的真空管路密封，真空管路可拆卸清洗，所有管路汇集到一条主管路内，避免交叉污染。</w:t>
      </w:r>
    </w:p>
    <w:p w14:paraId="3693743B">
      <w:pPr>
        <w:adjustRightInd w:val="0"/>
        <w:snapToGrid w:val="0"/>
        <w:spacing w:line="360" w:lineRule="auto"/>
        <w:rPr>
          <w:rFonts w:cs="宋体"/>
          <w:sz w:val="24"/>
        </w:rPr>
      </w:pPr>
      <w:r>
        <w:rPr>
          <w:rFonts w:ascii="Segoe UI Symbol" w:hAnsi="Segoe UI Symbol" w:cs="Segoe UI Symbol"/>
          <w:b/>
          <w:bCs/>
          <w:sz w:val="24"/>
        </w:rPr>
        <w:t>★</w:t>
      </w:r>
      <w:r>
        <w:rPr>
          <w:rFonts w:hint="eastAsia" w:cs="宋体"/>
          <w:sz w:val="24"/>
        </w:rPr>
        <w:t>3.</w:t>
      </w:r>
      <w:r>
        <w:rPr>
          <w:rFonts w:cs="宋体"/>
          <w:sz w:val="24"/>
        </w:rPr>
        <w:t>1</w:t>
      </w:r>
      <w:r>
        <w:rPr>
          <w:rFonts w:hint="eastAsia" w:cs="宋体"/>
          <w:sz w:val="24"/>
        </w:rPr>
        <w:t xml:space="preserve">1 </w:t>
      </w:r>
      <w:r>
        <w:rPr>
          <w:rFonts w:cs="宋体"/>
          <w:sz w:val="24"/>
        </w:rPr>
        <w:t>可加热防腐蚀盖板，防止样品冷凝溶剂冷凝回流，加热电压24V，独立控温，温控范围：室温</w:t>
      </w:r>
      <w:r>
        <w:rPr>
          <w:rFonts w:hint="eastAsia" w:cs="宋体"/>
          <w:sz w:val="24"/>
        </w:rPr>
        <w:t>+10</w:t>
      </w:r>
      <w:r>
        <w:rPr>
          <w:rFonts w:cs="宋体"/>
          <w:sz w:val="24"/>
        </w:rPr>
        <w:t>℃-70℃。</w:t>
      </w:r>
    </w:p>
    <w:p w14:paraId="51DED5CC">
      <w:pPr>
        <w:adjustRightInd w:val="0"/>
        <w:snapToGrid w:val="0"/>
        <w:spacing w:line="360" w:lineRule="auto"/>
        <w:rPr>
          <w:rFonts w:cs="宋体"/>
          <w:sz w:val="24"/>
        </w:rPr>
      </w:pPr>
      <w:r>
        <w:rPr>
          <w:rFonts w:ascii="Segoe UI Symbol" w:hAnsi="Segoe UI Symbol" w:cs="Segoe UI Symbol"/>
          <w:b/>
          <w:bCs/>
          <w:sz w:val="24"/>
        </w:rPr>
        <w:t>★</w:t>
      </w:r>
      <w:r>
        <w:rPr>
          <w:rFonts w:hint="eastAsia" w:cs="宋体"/>
          <w:sz w:val="24"/>
        </w:rPr>
        <w:t>3.</w:t>
      </w:r>
      <w:r>
        <w:rPr>
          <w:rFonts w:cs="宋体"/>
          <w:sz w:val="24"/>
        </w:rPr>
        <w:t>1</w:t>
      </w:r>
      <w:r>
        <w:rPr>
          <w:rFonts w:hint="eastAsia" w:cs="宋体"/>
          <w:sz w:val="24"/>
        </w:rPr>
        <w:t xml:space="preserve">2 </w:t>
      </w:r>
      <w:r>
        <w:rPr>
          <w:rFonts w:cs="宋体"/>
          <w:sz w:val="24"/>
        </w:rPr>
        <w:t>水平振荡程序阶梯式控制：≥10段振荡梯度设置，方法运行过程中自动进行振荡梯度的变换。</w:t>
      </w:r>
    </w:p>
    <w:p w14:paraId="6CBCCF32">
      <w:pPr>
        <w:adjustRightInd w:val="0"/>
        <w:snapToGrid w:val="0"/>
        <w:spacing w:line="360" w:lineRule="auto"/>
        <w:rPr>
          <w:rFonts w:cs="宋体"/>
          <w:sz w:val="24"/>
        </w:rPr>
      </w:pPr>
      <w:r>
        <w:rPr>
          <w:rFonts w:hint="eastAsia" w:ascii="Segoe UI Symbol" w:hAnsi="Segoe UI Symbol" w:cs="Segoe UI Symbol"/>
          <w:b/>
          <w:bCs/>
          <w:sz w:val="24"/>
          <w:highlight w:val="yellow"/>
        </w:rPr>
        <w:t>#</w:t>
      </w:r>
      <w:r>
        <w:rPr>
          <w:rFonts w:hint="eastAsia" w:cs="宋体"/>
          <w:sz w:val="24"/>
          <w:highlight w:val="yellow"/>
        </w:rPr>
        <w:t>3.</w:t>
      </w:r>
      <w:r>
        <w:rPr>
          <w:rFonts w:cs="宋体"/>
          <w:sz w:val="24"/>
          <w:highlight w:val="yellow"/>
        </w:rPr>
        <w:t>1</w:t>
      </w:r>
      <w:r>
        <w:rPr>
          <w:rFonts w:hint="eastAsia" w:cs="宋体"/>
          <w:sz w:val="24"/>
          <w:highlight w:val="yellow"/>
        </w:rPr>
        <w:t>3</w:t>
      </w:r>
      <w:r>
        <w:rPr>
          <w:rFonts w:hint="eastAsia" w:cs="宋体"/>
          <w:sz w:val="24"/>
        </w:rPr>
        <w:t xml:space="preserve"> </w:t>
      </w:r>
      <w:r>
        <w:rPr>
          <w:rFonts w:cs="宋体"/>
          <w:sz w:val="24"/>
        </w:rPr>
        <w:t>真空盖板密封方式：自动磁吸密封，≥2个磁吸块，运行过程中自动对真空盖板进行磁吸锁定。</w:t>
      </w:r>
    </w:p>
    <w:p w14:paraId="22659412">
      <w:pPr>
        <w:adjustRightInd w:val="0"/>
        <w:snapToGrid w:val="0"/>
        <w:spacing w:line="360" w:lineRule="auto"/>
        <w:rPr>
          <w:rFonts w:cs="宋体"/>
          <w:sz w:val="24"/>
        </w:rPr>
      </w:pPr>
      <w:r>
        <w:rPr>
          <w:rFonts w:hint="eastAsia" w:cs="宋体"/>
          <w:sz w:val="24"/>
        </w:rPr>
        <w:t>3.</w:t>
      </w:r>
      <w:r>
        <w:rPr>
          <w:rFonts w:cs="宋体"/>
          <w:sz w:val="24"/>
        </w:rPr>
        <w:t>1</w:t>
      </w:r>
      <w:r>
        <w:rPr>
          <w:rFonts w:hint="eastAsia" w:cs="宋体"/>
          <w:sz w:val="24"/>
        </w:rPr>
        <w:t xml:space="preserve">4 </w:t>
      </w:r>
      <w:r>
        <w:rPr>
          <w:rFonts w:cs="宋体"/>
          <w:sz w:val="24"/>
        </w:rPr>
        <w:t>浓缩腔体设计为全透明模式，可视性强，配备LED灯可实时观察浓缩状态。</w:t>
      </w:r>
    </w:p>
    <w:p w14:paraId="2DEE4763">
      <w:pPr>
        <w:adjustRightInd w:val="0"/>
        <w:snapToGrid w:val="0"/>
        <w:spacing w:line="360" w:lineRule="auto"/>
        <w:rPr>
          <w:rFonts w:cs="宋体"/>
          <w:sz w:val="24"/>
        </w:rPr>
      </w:pPr>
      <w:r>
        <w:rPr>
          <w:rFonts w:hint="eastAsia" w:cs="宋体"/>
          <w:sz w:val="24"/>
        </w:rPr>
        <w:t>3.</w:t>
      </w:r>
      <w:r>
        <w:rPr>
          <w:rFonts w:cs="宋体"/>
          <w:sz w:val="24"/>
        </w:rPr>
        <w:t>1</w:t>
      </w:r>
      <w:r>
        <w:rPr>
          <w:rFonts w:hint="eastAsia" w:cs="宋体"/>
          <w:sz w:val="24"/>
        </w:rPr>
        <w:t xml:space="preserve">5 </w:t>
      </w:r>
      <w:r>
        <w:rPr>
          <w:rFonts w:cs="宋体"/>
          <w:sz w:val="24"/>
        </w:rPr>
        <w:t>具有大体积重力排废功能，将放置于台面上仪器产生的回收溶剂通过大体积排废到地面的收集瓶中。</w:t>
      </w:r>
    </w:p>
    <w:p w14:paraId="29357A6E">
      <w:pPr>
        <w:adjustRightInd w:val="0"/>
        <w:snapToGrid w:val="0"/>
        <w:spacing w:line="360" w:lineRule="auto"/>
        <w:rPr>
          <w:rFonts w:cs="宋体"/>
          <w:sz w:val="24"/>
        </w:rPr>
      </w:pPr>
      <w:r>
        <w:rPr>
          <w:rFonts w:hint="eastAsia" w:cs="宋体"/>
          <w:sz w:val="24"/>
        </w:rPr>
        <w:t>3.</w:t>
      </w:r>
      <w:r>
        <w:rPr>
          <w:rFonts w:cs="宋体"/>
          <w:sz w:val="24"/>
        </w:rPr>
        <w:t>1</w:t>
      </w:r>
      <w:r>
        <w:rPr>
          <w:rFonts w:hint="eastAsia" w:cs="宋体"/>
          <w:sz w:val="24"/>
        </w:rPr>
        <w:t xml:space="preserve">6 </w:t>
      </w:r>
      <w:r>
        <w:rPr>
          <w:rFonts w:cs="宋体"/>
          <w:sz w:val="24"/>
        </w:rPr>
        <w:t>主机集成自控，主机中集成多种模块温度、震荡、真空度的参数梯度曲线，可实时显示当前模块的参数情况。</w:t>
      </w:r>
    </w:p>
    <w:p w14:paraId="03A6A329">
      <w:pPr>
        <w:adjustRightInd w:val="0"/>
        <w:snapToGrid w:val="0"/>
        <w:spacing w:line="360" w:lineRule="auto"/>
        <w:rPr>
          <w:rFonts w:cs="宋体"/>
          <w:sz w:val="24"/>
        </w:rPr>
      </w:pPr>
      <w:r>
        <w:rPr>
          <w:rFonts w:hint="eastAsia" w:ascii="Segoe UI Symbol" w:hAnsi="Segoe UI Symbol" w:cs="Segoe UI Symbol"/>
          <w:b/>
          <w:bCs/>
          <w:sz w:val="24"/>
          <w:highlight w:val="yellow"/>
        </w:rPr>
        <w:t>#</w:t>
      </w:r>
      <w:r>
        <w:rPr>
          <w:rFonts w:hint="eastAsia" w:cs="宋体"/>
          <w:sz w:val="24"/>
          <w:highlight w:val="yellow"/>
        </w:rPr>
        <w:t>3.</w:t>
      </w:r>
      <w:r>
        <w:rPr>
          <w:rFonts w:cs="宋体"/>
          <w:sz w:val="24"/>
          <w:highlight w:val="yellow"/>
        </w:rPr>
        <w:t>1</w:t>
      </w:r>
      <w:r>
        <w:rPr>
          <w:rFonts w:hint="eastAsia" w:cs="宋体"/>
          <w:sz w:val="24"/>
          <w:highlight w:val="yellow"/>
        </w:rPr>
        <w:t>7</w:t>
      </w:r>
      <w:r>
        <w:rPr>
          <w:rFonts w:hint="eastAsia" w:cs="宋体"/>
          <w:sz w:val="24"/>
        </w:rPr>
        <w:t xml:space="preserve"> </w:t>
      </w:r>
      <w:r>
        <w:rPr>
          <w:rFonts w:cs="宋体"/>
          <w:sz w:val="24"/>
        </w:rPr>
        <w:t>连续常压排放模组：冷凝回收系统可对的收集的溶剂进行常压排放，回收溶液可排入外部常压废液桶中。</w:t>
      </w:r>
    </w:p>
    <w:p w14:paraId="2ACDFD2A">
      <w:pPr>
        <w:adjustRightInd w:val="0"/>
        <w:snapToGrid w:val="0"/>
        <w:spacing w:line="360" w:lineRule="auto"/>
        <w:rPr>
          <w:rFonts w:cs="宋体"/>
          <w:sz w:val="24"/>
        </w:rPr>
      </w:pPr>
      <w:r>
        <w:rPr>
          <w:rFonts w:hint="eastAsia" w:cs="宋体"/>
          <w:sz w:val="24"/>
        </w:rPr>
        <w:t xml:space="preserve">3.18 </w:t>
      </w:r>
      <w:r>
        <w:rPr>
          <w:rFonts w:cs="宋体"/>
          <w:sz w:val="24"/>
        </w:rPr>
        <w:t>连续常压排放模组：具备联机控制功能，主机控制方法可直接同步至模组，实现自动化数据同步，废液连续常压排放。</w:t>
      </w:r>
    </w:p>
    <w:p w14:paraId="3B76009C">
      <w:pPr>
        <w:adjustRightInd w:val="0"/>
        <w:snapToGrid w:val="0"/>
        <w:spacing w:line="360" w:lineRule="auto"/>
        <w:rPr>
          <w:rFonts w:cs="宋体"/>
          <w:sz w:val="24"/>
        </w:rPr>
      </w:pPr>
    </w:p>
    <w:p w14:paraId="39023E09">
      <w:pPr>
        <w:adjustRightInd w:val="0"/>
        <w:snapToGrid w:val="0"/>
        <w:spacing w:line="360" w:lineRule="auto"/>
        <w:rPr>
          <w:rFonts w:cs="宋体"/>
          <w:b/>
          <w:bCs/>
          <w:sz w:val="24"/>
        </w:rPr>
      </w:pPr>
      <w:r>
        <w:rPr>
          <w:rFonts w:hint="eastAsia" w:cs="宋体"/>
          <w:b/>
          <w:bCs/>
          <w:sz w:val="24"/>
        </w:rPr>
        <w:t>4、配置清单</w:t>
      </w:r>
    </w:p>
    <w:p w14:paraId="26129F2F">
      <w:pPr>
        <w:adjustRightInd w:val="0"/>
        <w:snapToGrid w:val="0"/>
        <w:spacing w:line="360" w:lineRule="auto"/>
        <w:rPr>
          <w:rFonts w:cs="宋体"/>
          <w:sz w:val="24"/>
          <w:szCs w:val="22"/>
        </w:rPr>
      </w:pPr>
      <w:r>
        <w:rPr>
          <w:rFonts w:hint="eastAsia" w:cs="宋体"/>
          <w:sz w:val="24"/>
          <w:szCs w:val="22"/>
        </w:rPr>
        <w:t>4.1 萃取主机                       1套</w:t>
      </w:r>
    </w:p>
    <w:p w14:paraId="3371A597">
      <w:pPr>
        <w:adjustRightInd w:val="0"/>
        <w:snapToGrid w:val="0"/>
        <w:spacing w:line="360" w:lineRule="auto"/>
        <w:rPr>
          <w:rFonts w:cs="宋体"/>
          <w:sz w:val="24"/>
          <w:szCs w:val="22"/>
        </w:rPr>
      </w:pPr>
      <w:r>
        <w:rPr>
          <w:rFonts w:hint="eastAsia" w:cs="宋体"/>
          <w:sz w:val="24"/>
          <w:szCs w:val="22"/>
        </w:rPr>
        <w:t>4.2</w:t>
      </w:r>
      <w:r>
        <w:rPr>
          <w:rFonts w:hint="eastAsia" w:cs="宋体" w:asciiTheme="minorEastAsia" w:hAnsiTheme="minorEastAsia" w:eastAsiaTheme="minorEastAsia"/>
          <w:sz w:val="24"/>
          <w:szCs w:val="22"/>
        </w:rPr>
        <w:t xml:space="preserve"> </w:t>
      </w:r>
      <w:r>
        <w:rPr>
          <w:rFonts w:hint="eastAsia" w:cs="宋体"/>
          <w:sz w:val="24"/>
          <w:szCs w:val="22"/>
        </w:rPr>
        <w:t xml:space="preserve">34mL萃取釜（06S专用）        </w:t>
      </w:r>
      <w:r>
        <w:rPr>
          <w:rFonts w:cs="宋体"/>
          <w:sz w:val="24"/>
          <w:szCs w:val="22"/>
        </w:rPr>
        <w:t>24</w:t>
      </w:r>
      <w:r>
        <w:rPr>
          <w:rFonts w:hint="eastAsia" w:cs="宋体"/>
          <w:sz w:val="24"/>
          <w:szCs w:val="22"/>
        </w:rPr>
        <w:t>个</w:t>
      </w:r>
    </w:p>
    <w:p w14:paraId="29EA71B1">
      <w:pPr>
        <w:adjustRightInd w:val="0"/>
        <w:snapToGrid w:val="0"/>
        <w:spacing w:line="360" w:lineRule="auto"/>
        <w:rPr>
          <w:rFonts w:cs="宋体"/>
          <w:sz w:val="24"/>
          <w:szCs w:val="22"/>
        </w:rPr>
      </w:pPr>
      <w:r>
        <w:rPr>
          <w:rFonts w:hint="eastAsia" w:cs="宋体"/>
          <w:sz w:val="24"/>
          <w:szCs w:val="22"/>
        </w:rPr>
        <w:t>4.3 上下泛封塞（06S专用）         各48个</w:t>
      </w:r>
    </w:p>
    <w:p w14:paraId="221852FE">
      <w:pPr>
        <w:adjustRightInd w:val="0"/>
        <w:snapToGrid w:val="0"/>
        <w:spacing w:line="360" w:lineRule="auto"/>
        <w:rPr>
          <w:rFonts w:cs="宋体"/>
          <w:sz w:val="24"/>
          <w:szCs w:val="22"/>
        </w:rPr>
      </w:pPr>
      <w:r>
        <w:rPr>
          <w:rFonts w:hint="eastAsia" w:cs="宋体"/>
          <w:sz w:val="24"/>
          <w:szCs w:val="22"/>
        </w:rPr>
        <w:t>4.4 溶剂瓶套件                     4套</w:t>
      </w:r>
    </w:p>
    <w:p w14:paraId="1A349CE3">
      <w:pPr>
        <w:adjustRightInd w:val="0"/>
        <w:snapToGrid w:val="0"/>
        <w:spacing w:line="360" w:lineRule="auto"/>
        <w:rPr>
          <w:rFonts w:cs="宋体"/>
          <w:sz w:val="24"/>
          <w:szCs w:val="22"/>
        </w:rPr>
      </w:pPr>
      <w:r>
        <w:rPr>
          <w:rFonts w:hint="eastAsia" w:cs="宋体"/>
          <w:sz w:val="24"/>
          <w:szCs w:val="22"/>
        </w:rPr>
        <w:t xml:space="preserve">4.5 接收试管                       </w:t>
      </w:r>
      <w:r>
        <w:rPr>
          <w:rFonts w:cs="宋体"/>
          <w:sz w:val="24"/>
          <w:szCs w:val="22"/>
        </w:rPr>
        <w:t>24</w:t>
      </w:r>
      <w:r>
        <w:rPr>
          <w:rFonts w:hint="eastAsia" w:cs="宋体"/>
          <w:sz w:val="24"/>
          <w:szCs w:val="22"/>
        </w:rPr>
        <w:t>根</w:t>
      </w:r>
    </w:p>
    <w:p w14:paraId="6F73764C">
      <w:pPr>
        <w:adjustRightInd w:val="0"/>
        <w:snapToGrid w:val="0"/>
        <w:spacing w:line="360" w:lineRule="auto"/>
        <w:rPr>
          <w:rFonts w:cs="宋体"/>
          <w:sz w:val="24"/>
          <w:szCs w:val="22"/>
        </w:rPr>
      </w:pPr>
      <w:r>
        <w:rPr>
          <w:rFonts w:hint="eastAsia" w:cs="宋体"/>
          <w:sz w:val="24"/>
          <w:szCs w:val="22"/>
        </w:rPr>
        <w:t>4.6 萃取釜 置放架【12位】          3个</w:t>
      </w:r>
    </w:p>
    <w:p w14:paraId="3B8E268A">
      <w:pPr>
        <w:adjustRightInd w:val="0"/>
        <w:snapToGrid w:val="0"/>
        <w:spacing w:line="360" w:lineRule="auto"/>
        <w:rPr>
          <w:rFonts w:cs="宋体"/>
          <w:sz w:val="24"/>
          <w:szCs w:val="22"/>
        </w:rPr>
      </w:pPr>
      <w:r>
        <w:rPr>
          <w:rFonts w:hint="eastAsia" w:cs="宋体"/>
          <w:sz w:val="24"/>
          <w:szCs w:val="22"/>
        </w:rPr>
        <w:t>4.7 浓缩主机                       1套</w:t>
      </w:r>
    </w:p>
    <w:p w14:paraId="57694962">
      <w:pPr>
        <w:adjustRightInd w:val="0"/>
        <w:snapToGrid w:val="0"/>
        <w:spacing w:line="360" w:lineRule="auto"/>
        <w:rPr>
          <w:rFonts w:cs="宋体"/>
          <w:sz w:val="24"/>
          <w:szCs w:val="22"/>
        </w:rPr>
      </w:pPr>
      <w:r>
        <w:rPr>
          <w:rFonts w:hint="eastAsia" w:cs="宋体"/>
          <w:sz w:val="24"/>
          <w:szCs w:val="22"/>
        </w:rPr>
        <w:t>4.8 浓缩管                         20根</w:t>
      </w:r>
    </w:p>
    <w:p w14:paraId="7D3118DA">
      <w:pPr>
        <w:adjustRightInd w:val="0"/>
        <w:snapToGrid w:val="0"/>
        <w:spacing w:line="360" w:lineRule="auto"/>
        <w:rPr>
          <w:rFonts w:cs="宋体"/>
          <w:sz w:val="24"/>
          <w:szCs w:val="22"/>
        </w:rPr>
      </w:pPr>
      <w:r>
        <w:rPr>
          <w:rFonts w:hint="eastAsia" w:cs="宋体"/>
          <w:sz w:val="24"/>
          <w:szCs w:val="22"/>
        </w:rPr>
        <w:t>4.9 冷却循环水机                   1台</w:t>
      </w:r>
    </w:p>
    <w:p w14:paraId="5F9364BF">
      <w:pPr>
        <w:adjustRightInd w:val="0"/>
        <w:snapToGrid w:val="0"/>
        <w:spacing w:line="360" w:lineRule="auto"/>
        <w:rPr>
          <w:rFonts w:cs="宋体"/>
          <w:sz w:val="24"/>
          <w:szCs w:val="22"/>
        </w:rPr>
      </w:pPr>
      <w:r>
        <w:rPr>
          <w:rFonts w:hint="eastAsia" w:cs="宋体"/>
          <w:sz w:val="24"/>
          <w:szCs w:val="22"/>
        </w:rPr>
        <w:t>4.10 智能连续溶剂回收真空控制系统  1套</w:t>
      </w:r>
    </w:p>
    <w:p w14:paraId="348CCF7A">
      <w:pPr>
        <w:adjustRightInd w:val="0"/>
        <w:snapToGrid w:val="0"/>
        <w:spacing w:line="360" w:lineRule="auto"/>
        <w:rPr>
          <w:rFonts w:cs="宋体"/>
          <w:sz w:val="24"/>
          <w:szCs w:val="22"/>
        </w:rPr>
      </w:pPr>
      <w:r>
        <w:rPr>
          <w:rFonts w:hint="eastAsia" w:cs="宋体"/>
          <w:sz w:val="24"/>
          <w:szCs w:val="22"/>
        </w:rPr>
        <w:t>4.11 搁置架（20位）                3 个</w:t>
      </w:r>
    </w:p>
    <w:p w14:paraId="190037DD">
      <w:pPr>
        <w:adjustRightInd w:val="0"/>
        <w:snapToGrid w:val="0"/>
        <w:spacing w:line="360" w:lineRule="auto"/>
        <w:rPr>
          <w:rFonts w:cs="宋体"/>
          <w:sz w:val="24"/>
          <w:szCs w:val="22"/>
        </w:rPr>
      </w:pPr>
      <w:r>
        <w:rPr>
          <w:rFonts w:hint="eastAsia" w:cs="宋体"/>
          <w:sz w:val="24"/>
          <w:szCs w:val="22"/>
        </w:rPr>
        <w:t>4.12</w:t>
      </w:r>
      <w:r>
        <w:rPr>
          <w:rFonts w:hint="eastAsia" w:ascii="宋体" w:hAnsi="宋体" w:cs="宋体"/>
          <w:sz w:val="24"/>
          <w:szCs w:val="22"/>
        </w:rPr>
        <w:t xml:space="preserve"> </w:t>
      </w:r>
      <w:r>
        <w:rPr>
          <w:rFonts w:hint="eastAsia" w:cs="宋体"/>
          <w:sz w:val="24"/>
          <w:szCs w:val="22"/>
        </w:rPr>
        <w:t>10L废液收集系统               1套</w:t>
      </w:r>
    </w:p>
    <w:p w14:paraId="386BEA22">
      <w:pPr>
        <w:adjustRightInd w:val="0"/>
        <w:snapToGrid w:val="0"/>
        <w:spacing w:line="360" w:lineRule="auto"/>
        <w:rPr>
          <w:rFonts w:cs="宋体"/>
          <w:sz w:val="24"/>
        </w:rPr>
      </w:pPr>
    </w:p>
    <w:p w14:paraId="1F01F3D1">
      <w:pPr>
        <w:adjustRightInd w:val="0"/>
        <w:snapToGrid w:val="0"/>
        <w:spacing w:line="360" w:lineRule="auto"/>
        <w:rPr>
          <w:rFonts w:cs="宋体"/>
          <w:sz w:val="24"/>
        </w:rPr>
      </w:pPr>
      <w:r>
        <w:rPr>
          <w:rFonts w:hint="eastAsia" w:cs="宋体"/>
          <w:b/>
          <w:sz w:val="24"/>
        </w:rPr>
        <w:t>（二）质保及售后服务：</w:t>
      </w:r>
    </w:p>
    <w:p w14:paraId="28F36E1F">
      <w:pPr>
        <w:adjustRightInd w:val="0"/>
        <w:snapToGrid w:val="0"/>
        <w:spacing w:line="360" w:lineRule="auto"/>
        <w:rPr>
          <w:rFonts w:cs="宋体"/>
          <w:b/>
          <w:bCs/>
          <w:sz w:val="24"/>
        </w:rPr>
      </w:pPr>
      <w:r>
        <w:rPr>
          <w:rFonts w:hint="eastAsia" w:cs="宋体"/>
          <w:b/>
          <w:bCs/>
          <w:sz w:val="24"/>
        </w:rPr>
        <w:t>1.安装调试的要求</w:t>
      </w:r>
    </w:p>
    <w:p w14:paraId="1DD462E5">
      <w:pPr>
        <w:adjustRightInd w:val="0"/>
        <w:snapToGrid w:val="0"/>
        <w:spacing w:line="360" w:lineRule="auto"/>
        <w:rPr>
          <w:rFonts w:cs="宋体"/>
          <w:sz w:val="24"/>
        </w:rPr>
      </w:pPr>
      <w:r>
        <w:rPr>
          <w:rFonts w:hint="eastAsia" w:cs="宋体"/>
          <w:sz w:val="24"/>
        </w:rPr>
        <w:t>1.1仪器设备运抵安装现场后，在七个工作日内，工程师前往设备使用现场，免费安装调试设备。买方发现所提供的仪器品质和技术规范不符合合同要求时，或有明显损坏，买方有权要求卖方负责更换。卖方应承担相应责任并负责赔偿全部损失，并承担由此给买方带来延期使用等方面造成的损失。</w:t>
      </w:r>
    </w:p>
    <w:p w14:paraId="77E2B78A">
      <w:pPr>
        <w:adjustRightInd w:val="0"/>
        <w:snapToGrid w:val="0"/>
        <w:spacing w:line="360" w:lineRule="auto"/>
        <w:rPr>
          <w:rFonts w:cs="宋体"/>
          <w:sz w:val="24"/>
        </w:rPr>
      </w:pPr>
      <w:r>
        <w:rPr>
          <w:rFonts w:hint="eastAsia" w:cs="宋体"/>
          <w:sz w:val="24"/>
        </w:rPr>
        <w:t>1.2验收由采购人及相关人员依国家有关标准、合同及有关附件要求进行，验收完毕由采购人在验收报告上签名。</w:t>
      </w:r>
    </w:p>
    <w:p w14:paraId="4FA82CDB">
      <w:pPr>
        <w:adjustRightInd w:val="0"/>
        <w:snapToGrid w:val="0"/>
        <w:spacing w:line="360" w:lineRule="auto"/>
        <w:rPr>
          <w:rFonts w:cs="宋体"/>
          <w:sz w:val="24"/>
        </w:rPr>
      </w:pPr>
    </w:p>
    <w:p w14:paraId="01CDB3FD">
      <w:pPr>
        <w:adjustRightInd w:val="0"/>
        <w:snapToGrid w:val="0"/>
        <w:spacing w:line="360" w:lineRule="auto"/>
        <w:rPr>
          <w:rFonts w:cs="宋体"/>
          <w:sz w:val="24"/>
        </w:rPr>
      </w:pPr>
      <w:r>
        <w:rPr>
          <w:rFonts w:hint="eastAsia" w:cs="宋体"/>
          <w:b/>
          <w:bCs/>
          <w:sz w:val="24"/>
        </w:rPr>
        <w:t>2.技术培训</w:t>
      </w:r>
    </w:p>
    <w:p w14:paraId="4B7EB000">
      <w:pPr>
        <w:adjustRightInd w:val="0"/>
        <w:snapToGrid w:val="0"/>
        <w:spacing w:line="360" w:lineRule="auto"/>
        <w:rPr>
          <w:rFonts w:cs="宋体"/>
          <w:sz w:val="24"/>
        </w:rPr>
      </w:pPr>
      <w:r>
        <w:rPr>
          <w:rFonts w:hint="eastAsia" w:cs="宋体"/>
          <w:sz w:val="24"/>
        </w:rPr>
        <w:t>2.1现场培训：在安装仪器时由专业工程师进行免费安装调试和现场培训。讲解仪器内部构造、仪器维护保养以及简单的故障排除方法，直至用户技术人员熟练使用仪器以及会应用仪器完成整个分析检测工作。</w:t>
      </w:r>
    </w:p>
    <w:p w14:paraId="5632C798">
      <w:pPr>
        <w:adjustRightInd w:val="0"/>
        <w:snapToGrid w:val="0"/>
        <w:spacing w:line="360" w:lineRule="auto"/>
        <w:rPr>
          <w:rFonts w:cs="宋体"/>
          <w:sz w:val="24"/>
        </w:rPr>
      </w:pPr>
      <w:r>
        <w:rPr>
          <w:rFonts w:hint="eastAsia" w:cs="宋体"/>
          <w:sz w:val="24"/>
        </w:rPr>
        <w:t>2.2现场回访培训。根据用户使用情况及需求，供应商不定期安排专业应用工程师免费对用户的使用情况进行提高培训，帮助客户解决遇到的问题和项目开发，并进行技术提高和方法开发等高级培训。</w:t>
      </w:r>
    </w:p>
    <w:p w14:paraId="751FE9A8">
      <w:pPr>
        <w:adjustRightInd w:val="0"/>
        <w:snapToGrid w:val="0"/>
        <w:spacing w:line="360" w:lineRule="auto"/>
        <w:rPr>
          <w:rFonts w:cs="宋体"/>
          <w:sz w:val="24"/>
        </w:rPr>
      </w:pPr>
    </w:p>
    <w:p w14:paraId="6453D142">
      <w:pPr>
        <w:adjustRightInd w:val="0"/>
        <w:snapToGrid w:val="0"/>
        <w:spacing w:line="360" w:lineRule="auto"/>
        <w:rPr>
          <w:rFonts w:cs="宋体"/>
          <w:sz w:val="24"/>
        </w:rPr>
      </w:pPr>
      <w:r>
        <w:rPr>
          <w:rFonts w:hint="eastAsia" w:cs="宋体"/>
          <w:b/>
          <w:bCs/>
          <w:sz w:val="24"/>
        </w:rPr>
        <w:t>3.保修期</w:t>
      </w:r>
    </w:p>
    <w:p w14:paraId="7E8FBB4C">
      <w:pPr>
        <w:adjustRightInd w:val="0"/>
        <w:snapToGrid w:val="0"/>
        <w:spacing w:line="360" w:lineRule="auto"/>
        <w:rPr>
          <w:rFonts w:cs="宋体"/>
          <w:sz w:val="24"/>
        </w:rPr>
      </w:pPr>
      <w:r>
        <w:rPr>
          <w:rFonts w:hint="eastAsia" w:cs="宋体"/>
          <w:sz w:val="24"/>
          <w:highlight w:val="yellow"/>
        </w:rPr>
        <w:t>提供</w:t>
      </w:r>
      <w:r>
        <w:rPr>
          <w:rFonts w:cs="宋体"/>
          <w:sz w:val="24"/>
          <w:highlight w:val="yellow"/>
        </w:rPr>
        <w:t>3</w:t>
      </w:r>
      <w:r>
        <w:rPr>
          <w:rFonts w:hint="eastAsia" w:cs="宋体"/>
          <w:sz w:val="24"/>
          <w:highlight w:val="yellow"/>
        </w:rPr>
        <w:t>年的免费保修服务</w:t>
      </w:r>
      <w:r>
        <w:rPr>
          <w:rFonts w:hint="eastAsia" w:cs="宋体"/>
          <w:sz w:val="24"/>
        </w:rPr>
        <w:t>。包含维修工时费及维修所需的基本耗材，制造商在国内的技术服务中心（包括维修中心）应当提供所有的服务，包括备有零件及易耗品。</w:t>
      </w:r>
    </w:p>
    <w:p w14:paraId="6B114925">
      <w:pPr>
        <w:adjustRightInd w:val="0"/>
        <w:snapToGrid w:val="0"/>
        <w:spacing w:line="360" w:lineRule="auto"/>
        <w:rPr>
          <w:rFonts w:cs="宋体"/>
          <w:sz w:val="24"/>
        </w:rPr>
      </w:pPr>
    </w:p>
    <w:p w14:paraId="112FF812">
      <w:pPr>
        <w:adjustRightInd w:val="0"/>
        <w:snapToGrid w:val="0"/>
        <w:spacing w:line="360" w:lineRule="auto"/>
        <w:rPr>
          <w:rFonts w:cs="宋体"/>
          <w:sz w:val="24"/>
        </w:rPr>
      </w:pPr>
      <w:r>
        <w:rPr>
          <w:rFonts w:hint="eastAsia" w:cs="宋体"/>
          <w:b/>
          <w:bCs/>
          <w:sz w:val="24"/>
        </w:rPr>
        <w:t>4.售后服务</w:t>
      </w:r>
    </w:p>
    <w:p w14:paraId="784C861B">
      <w:pPr>
        <w:adjustRightInd w:val="0"/>
        <w:snapToGrid w:val="0"/>
        <w:spacing w:line="360" w:lineRule="auto"/>
        <w:rPr>
          <w:sz w:val="24"/>
        </w:rPr>
      </w:pPr>
      <w:r>
        <w:rPr>
          <w:rFonts w:hint="eastAsia"/>
          <w:sz w:val="24"/>
        </w:rPr>
        <w:t>4.1 供应商在中国境内有固定的办事处、维修部及零配件保存仓库。质保期内如设备出现故障，供方应在接到需方通知后的2小时内响应，24小时内确定故障原因和维修方法。如需要到现场维修，供方维修工程师应在48小时内（遇见不可抗拒的因素除外）到达现场，免费更换受损元件和提供免费服务，快速排除故障。</w:t>
      </w:r>
    </w:p>
    <w:p w14:paraId="2AC1A329">
      <w:pPr>
        <w:adjustRightInd w:val="0"/>
        <w:snapToGrid w:val="0"/>
        <w:spacing w:line="360" w:lineRule="auto"/>
        <w:rPr>
          <w:sz w:val="24"/>
        </w:rPr>
      </w:pPr>
      <w:r>
        <w:rPr>
          <w:rFonts w:hint="eastAsia"/>
          <w:sz w:val="24"/>
        </w:rPr>
        <w:t>质保期后，供方承诺将为需方提供长期维修服务，对于需方的任何投诉和要求，供方将在4小时内做出相应答复；当仪器出现故障时，供方工程师在接到需方故障通知后24小时内提出处理意见；供方在接到需方维修通知后72小时到达现场修复，维修费用由双方协商解决。</w:t>
      </w:r>
    </w:p>
    <w:p w14:paraId="619D1E5B">
      <w:pPr>
        <w:adjustRightInd w:val="0"/>
        <w:snapToGrid w:val="0"/>
        <w:spacing w:line="360" w:lineRule="auto"/>
        <w:rPr>
          <w:sz w:val="24"/>
        </w:rPr>
      </w:pPr>
      <w:r>
        <w:rPr>
          <w:rFonts w:hint="eastAsia"/>
          <w:sz w:val="24"/>
        </w:rPr>
        <w:t>4.2 后期更换配件及易耗品成本价提供。保障投标设备停产后10年的关键零部件（包括易耗品）供应。</w:t>
      </w:r>
    </w:p>
    <w:p w14:paraId="63A26751">
      <w:pPr>
        <w:adjustRightInd w:val="0"/>
        <w:snapToGrid w:val="0"/>
        <w:spacing w:line="360" w:lineRule="auto"/>
        <w:rPr>
          <w:rFonts w:cs="宋体"/>
          <w:sz w:val="24"/>
        </w:rPr>
      </w:pPr>
    </w:p>
    <w:p w14:paraId="68627B98">
      <w:pPr>
        <w:adjustRightInd w:val="0"/>
        <w:snapToGrid w:val="0"/>
        <w:spacing w:line="360" w:lineRule="auto"/>
        <w:rPr>
          <w:rFonts w:cs="宋体"/>
          <w:b/>
          <w:sz w:val="24"/>
        </w:rPr>
      </w:pPr>
      <w:r>
        <w:rPr>
          <w:rFonts w:hint="eastAsia" w:cs="宋体"/>
          <w:b/>
          <w:sz w:val="24"/>
        </w:rPr>
        <w:t>（三） 订货数量：</w:t>
      </w:r>
    </w:p>
    <w:p w14:paraId="252C6903">
      <w:pPr>
        <w:adjustRightInd w:val="0"/>
        <w:snapToGrid w:val="0"/>
        <w:spacing w:line="360" w:lineRule="auto"/>
        <w:ind w:firstLine="480" w:firstLineChars="200"/>
        <w:rPr>
          <w:rFonts w:cs="宋体"/>
          <w:sz w:val="24"/>
        </w:rPr>
      </w:pPr>
      <w:r>
        <w:rPr>
          <w:rFonts w:hint="eastAsia" w:cs="宋体"/>
          <w:sz w:val="24"/>
        </w:rPr>
        <w:t>1套</w:t>
      </w:r>
    </w:p>
    <w:p w14:paraId="33C5560E">
      <w:pPr>
        <w:adjustRightInd w:val="0"/>
        <w:snapToGrid w:val="0"/>
        <w:spacing w:line="360" w:lineRule="auto"/>
        <w:rPr>
          <w:rFonts w:cs="宋体"/>
          <w:sz w:val="24"/>
        </w:rPr>
      </w:pPr>
    </w:p>
    <w:p w14:paraId="3483393E">
      <w:pPr>
        <w:adjustRightInd w:val="0"/>
        <w:snapToGrid w:val="0"/>
        <w:spacing w:line="360" w:lineRule="auto"/>
        <w:rPr>
          <w:rFonts w:cs="宋体"/>
          <w:b/>
          <w:sz w:val="24"/>
        </w:rPr>
      </w:pPr>
      <w:r>
        <w:rPr>
          <w:rFonts w:hint="eastAsia" w:cs="宋体"/>
          <w:b/>
          <w:sz w:val="24"/>
        </w:rPr>
        <w:t>（四）交货地：</w:t>
      </w:r>
    </w:p>
    <w:p w14:paraId="2937D76B">
      <w:pPr>
        <w:adjustRightInd w:val="0"/>
        <w:snapToGrid w:val="0"/>
        <w:spacing w:line="360" w:lineRule="auto"/>
        <w:ind w:firstLine="470" w:firstLineChars="196"/>
        <w:rPr>
          <w:sz w:val="24"/>
        </w:rPr>
      </w:pPr>
      <w:r>
        <w:rPr>
          <w:rFonts w:hint="eastAsia"/>
          <w:sz w:val="24"/>
        </w:rPr>
        <w:t>用户指定地点</w:t>
      </w:r>
    </w:p>
    <w:p w14:paraId="5E4FD9D1">
      <w:pPr>
        <w:adjustRightInd w:val="0"/>
        <w:snapToGrid w:val="0"/>
        <w:spacing w:line="360" w:lineRule="auto"/>
        <w:rPr>
          <w:sz w:val="24"/>
        </w:rPr>
      </w:pPr>
    </w:p>
    <w:p w14:paraId="38641EBD">
      <w:pPr>
        <w:adjustRightInd w:val="0"/>
        <w:snapToGrid w:val="0"/>
        <w:spacing w:line="360" w:lineRule="auto"/>
        <w:rPr>
          <w:rFonts w:cs="宋体"/>
          <w:b/>
          <w:sz w:val="24"/>
        </w:rPr>
      </w:pPr>
      <w:r>
        <w:rPr>
          <w:rFonts w:hint="eastAsia" w:cs="宋体"/>
          <w:b/>
          <w:sz w:val="24"/>
        </w:rPr>
        <w:t>（五）交货日期：</w:t>
      </w:r>
    </w:p>
    <w:p w14:paraId="73FBFD24">
      <w:pPr>
        <w:adjustRightInd w:val="0"/>
        <w:snapToGrid w:val="0"/>
        <w:spacing w:line="360" w:lineRule="auto"/>
        <w:ind w:firstLine="470" w:firstLineChars="196"/>
        <w:rPr>
          <w:rFonts w:cs="宋体"/>
          <w:sz w:val="24"/>
        </w:rPr>
      </w:pPr>
      <w:r>
        <w:rPr>
          <w:rFonts w:hint="eastAsia" w:cs="宋体"/>
          <w:sz w:val="24"/>
        </w:rPr>
        <w:t>合同生效后2个月</w:t>
      </w:r>
    </w:p>
    <w:p w14:paraId="252B4F08">
      <w:pPr>
        <w:adjustRightInd w:val="0"/>
        <w:snapToGrid w:val="0"/>
        <w:spacing w:line="360" w:lineRule="auto"/>
        <w:rPr>
          <w:rFonts w:cs="宋体"/>
          <w:sz w:val="24"/>
        </w:rPr>
      </w:pPr>
    </w:p>
    <w:p w14:paraId="0983B09D">
      <w:pPr>
        <w:adjustRightInd w:val="0"/>
        <w:snapToGrid w:val="0"/>
        <w:spacing w:line="360" w:lineRule="auto"/>
        <w:rPr>
          <w:b/>
          <w:sz w:val="24"/>
        </w:rPr>
      </w:pPr>
      <w:r>
        <w:rPr>
          <w:rFonts w:hint="eastAsia"/>
          <w:b/>
          <w:sz w:val="24"/>
        </w:rPr>
        <w:t>（六）执行的相关标准</w:t>
      </w:r>
    </w:p>
    <w:p w14:paraId="1C1B2E2F">
      <w:pPr>
        <w:adjustRightInd w:val="0"/>
        <w:snapToGrid w:val="0"/>
        <w:spacing w:line="360" w:lineRule="auto"/>
        <w:rPr>
          <w:rFonts w:cs="宋体"/>
          <w:kern w:val="0"/>
          <w:sz w:val="24"/>
        </w:rPr>
      </w:pPr>
      <w:r>
        <w:rPr>
          <w:rFonts w:hint="eastAsia" w:cs="宋体"/>
          <w:kern w:val="0"/>
          <w:sz w:val="24"/>
        </w:rPr>
        <w:t xml:space="preserve">   产品应满足相关国家标准及行业标准。</w:t>
      </w:r>
    </w:p>
    <w:p w14:paraId="59C78EEC">
      <w:pPr>
        <w:adjustRightInd w:val="0"/>
        <w:snapToGrid w:val="0"/>
        <w:spacing w:line="360" w:lineRule="auto"/>
        <w:rPr>
          <w:rFonts w:cs="宋体"/>
          <w:kern w:val="0"/>
          <w:sz w:val="24"/>
        </w:rPr>
      </w:pPr>
    </w:p>
    <w:p w14:paraId="57C2E95F">
      <w:pPr>
        <w:adjustRightInd w:val="0"/>
        <w:snapToGrid w:val="0"/>
        <w:spacing w:line="360" w:lineRule="auto"/>
        <w:rPr>
          <w:rFonts w:cs="宋体"/>
          <w:b/>
          <w:bCs/>
          <w:kern w:val="0"/>
          <w:sz w:val="24"/>
        </w:rPr>
      </w:pPr>
      <w:r>
        <w:rPr>
          <w:rFonts w:hint="eastAsia" w:cs="宋体"/>
          <w:b/>
          <w:bCs/>
          <w:kern w:val="0"/>
          <w:sz w:val="24"/>
        </w:rPr>
        <w:t>（七）验收要求：</w:t>
      </w:r>
    </w:p>
    <w:p w14:paraId="6310DCC3">
      <w:pPr>
        <w:adjustRightInd w:val="0"/>
        <w:snapToGrid w:val="0"/>
        <w:spacing w:line="360" w:lineRule="auto"/>
        <w:rPr>
          <w:sz w:val="24"/>
        </w:rPr>
      </w:pPr>
      <w:r>
        <w:rPr>
          <w:rFonts w:hint="eastAsia"/>
          <w:sz w:val="24"/>
          <w:szCs w:val="21"/>
        </w:rPr>
        <w:t>★</w:t>
      </w:r>
      <w:r>
        <w:rPr>
          <w:rFonts w:hint="eastAsia"/>
          <w:sz w:val="24"/>
        </w:rPr>
        <w:t>1. 设备的配置、功能和技术实质性指标必须满足招标文件要求，所有技术指标必须能够现场验收或提供第三方权威机构的证明材料，投标商需在投标文件中提供完备的现场验收方案，</w:t>
      </w:r>
      <w:r>
        <w:rPr>
          <w:rFonts w:hint="eastAsia"/>
          <w:b/>
          <w:bCs/>
          <w:sz w:val="24"/>
        </w:rPr>
        <w:t>未提交现场验收方案将作为废标处理。</w:t>
      </w:r>
    </w:p>
    <w:p w14:paraId="1F45F1BB">
      <w:pPr>
        <w:adjustRightInd w:val="0"/>
        <w:snapToGrid w:val="0"/>
        <w:spacing w:line="360" w:lineRule="auto"/>
        <w:rPr>
          <w:sz w:val="24"/>
        </w:rPr>
      </w:pPr>
      <w:r>
        <w:rPr>
          <w:sz w:val="24"/>
        </w:rPr>
        <w:t>2.</w:t>
      </w:r>
      <w:r>
        <w:rPr>
          <w:rFonts w:hint="eastAsia"/>
          <w:sz w:val="24"/>
        </w:rPr>
        <w:t xml:space="preserve"> </w:t>
      </w:r>
      <w:r>
        <w:rPr>
          <w:sz w:val="24"/>
        </w:rPr>
        <w:t>技术指标现场验收方案科学</w:t>
      </w:r>
      <w:r>
        <w:rPr>
          <w:rFonts w:hint="eastAsia"/>
          <w:sz w:val="24"/>
        </w:rPr>
        <w:t>、</w:t>
      </w:r>
      <w:r>
        <w:rPr>
          <w:sz w:val="24"/>
        </w:rPr>
        <w:t>合理</w:t>
      </w:r>
      <w:r>
        <w:rPr>
          <w:rFonts w:hint="eastAsia"/>
          <w:sz w:val="24"/>
        </w:rPr>
        <w:t>，具有</w:t>
      </w:r>
      <w:r>
        <w:rPr>
          <w:sz w:val="24"/>
        </w:rPr>
        <w:t>可行性。</w:t>
      </w:r>
    </w:p>
    <w:p w14:paraId="595752B2">
      <w:pPr>
        <w:adjustRightInd w:val="0"/>
        <w:snapToGrid w:val="0"/>
        <w:spacing w:line="360" w:lineRule="auto"/>
        <w:rPr>
          <w:sz w:val="24"/>
        </w:rPr>
      </w:pPr>
    </w:p>
    <w:p w14:paraId="060C669C">
      <w:pPr>
        <w:adjustRightInd w:val="0"/>
        <w:snapToGrid w:val="0"/>
        <w:spacing w:line="360" w:lineRule="auto"/>
        <w:rPr>
          <w:rFonts w:cs="宋体"/>
          <w:b/>
          <w:bCs/>
          <w:kern w:val="0"/>
          <w:sz w:val="24"/>
        </w:rPr>
      </w:pPr>
      <w:r>
        <w:rPr>
          <w:rFonts w:hint="eastAsia" w:cs="宋体"/>
          <w:b/>
          <w:bCs/>
          <w:kern w:val="0"/>
          <w:sz w:val="24"/>
        </w:rPr>
        <w:t>（八）付款方式：</w:t>
      </w:r>
    </w:p>
    <w:p w14:paraId="24C93063">
      <w:pPr>
        <w:adjustRightInd w:val="0"/>
        <w:snapToGrid w:val="0"/>
        <w:spacing w:line="360" w:lineRule="auto"/>
        <w:ind w:firstLine="480" w:firstLineChars="200"/>
        <w:rPr>
          <w:rFonts w:cs="宋体"/>
          <w:kern w:val="0"/>
          <w:sz w:val="24"/>
        </w:rPr>
      </w:pPr>
      <w:r>
        <w:rPr>
          <w:rFonts w:hint="eastAsia" w:cs="宋体"/>
          <w:kern w:val="0"/>
          <w:sz w:val="24"/>
        </w:rPr>
        <w:t>100%凭用户代表签字并加盖单位公章后的验收报告支付。</w:t>
      </w:r>
    </w:p>
    <w:p w14:paraId="555204E7">
      <w:pPr>
        <w:adjustRightInd w:val="0"/>
        <w:snapToGrid w:val="0"/>
        <w:spacing w:line="360" w:lineRule="auto"/>
        <w:ind w:firstLine="241" w:firstLineChars="100"/>
        <w:rPr>
          <w:b/>
          <w:sz w:val="24"/>
          <w:szCs w:val="30"/>
        </w:rPr>
      </w:pPr>
    </w:p>
    <w:sectPr>
      <w:headerReference r:id="rId3" w:type="first"/>
      <w:footerReference r:id="rId5" w:type="first"/>
      <w:footerReference r:id="rId4" w:type="default"/>
      <w:pgSz w:w="11906" w:h="16838"/>
      <w:pgMar w:top="1418" w:right="1418" w:bottom="1418" w:left="1418" w:header="851" w:footer="992" w:gutter="0"/>
      <w:cols w:space="720"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1"/>
    <w:family w:val="swiss"/>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Arial">
    <w:panose1 w:val="020B0604020202020204"/>
    <w:charset w:val="00"/>
    <w:family w:val="swiss"/>
    <w:pitch w:val="default"/>
    <w:sig w:usb0="E0002EFF" w:usb1="C000785B" w:usb2="00000009" w:usb3="00000000" w:csb0="400001FF" w:csb1="FFFF0000"/>
  </w:font>
  <w:font w:name="Cambria">
    <w:panose1 w:val="02040503050406030204"/>
    <w:charset w:val="00"/>
    <w:family w:val="roman"/>
    <w:pitch w:val="default"/>
    <w:sig w:usb0="E00006FF" w:usb1="420024FF" w:usb2="02000000" w:usb3="00000000" w:csb0="2000019F" w:csb1="00000000"/>
  </w:font>
  <w:font w:name="Courier New">
    <w:panose1 w:val="02070309020205020404"/>
    <w:charset w:val="00"/>
    <w:family w:val="modern"/>
    <w:pitch w:val="default"/>
    <w:sig w:usb0="E0002EFF" w:usb1="C0007843" w:usb2="00000009" w:usb3="00000000" w:csb0="400001FF" w:csb1="FFFF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Arial Unicode MS">
    <w:altName w:val="Arial"/>
    <w:panose1 w:val="020B0604020202020204"/>
    <w:charset w:val="80"/>
    <w:family w:val="swiss"/>
    <w:pitch w:val="default"/>
    <w:sig w:usb0="00000000" w:usb1="00000000" w:usb2="0000003F" w:usb3="00000000" w:csb0="003F01FF" w:csb1="00000000"/>
  </w:font>
  <w:font w:name="Tahoma">
    <w:panose1 w:val="020B0604030504040204"/>
    <w:charset w:val="00"/>
    <w:family w:val="swiss"/>
    <w:pitch w:val="default"/>
    <w:sig w:usb0="E1002EFF" w:usb1="C000605B" w:usb2="00000029" w:usb3="00000000" w:csb0="200101FF" w:csb1="20280000"/>
  </w:font>
  <w:font w:name="长城仿宋">
    <w:altName w:val="仿宋"/>
    <w:panose1 w:val="00000000000000000000"/>
    <w:charset w:val="86"/>
    <w:family w:val="auto"/>
    <w:pitch w:val="default"/>
    <w:sig w:usb0="00000000" w:usb1="00000000" w:usb2="00000010" w:usb3="00000000" w:csb0="00040000" w:csb1="00000000"/>
  </w:font>
  <w:font w:name="Bookman Old Style">
    <w:panose1 w:val="02050604050505020204"/>
    <w:charset w:val="00"/>
    <w:family w:val="roman"/>
    <w:pitch w:val="default"/>
    <w:sig w:usb0="00000287" w:usb1="00000000" w:usb2="00000000" w:usb3="00000000" w:csb0="2000009F" w:csb1="DFD70000"/>
  </w:font>
  <w:font w:name="等线">
    <w:panose1 w:val="02010600030101010101"/>
    <w:charset w:val="86"/>
    <w:family w:val="auto"/>
    <w:pitch w:val="default"/>
    <w:sig w:usb0="A00002BF" w:usb1="38CF7CFA" w:usb2="00000016" w:usb3="00000000" w:csb0="0004000F" w:csb1="00000000"/>
  </w:font>
  <w:font w:name="FZShuSong-Z01">
    <w:altName w:val="Segoe Print"/>
    <w:panose1 w:val="00000000000000000000"/>
    <w:charset w:val="00"/>
    <w:family w:val="auto"/>
    <w:pitch w:val="default"/>
    <w:sig w:usb0="00000000" w:usb1="00000000" w:usb2="00000000" w:usb3="00000000" w:csb0="00040001" w:csb1="00000000"/>
  </w:font>
  <w:font w:name="Segoe Print">
    <w:panose1 w:val="02000600000000000000"/>
    <w:charset w:val="00"/>
    <w:family w:val="auto"/>
    <w:pitch w:val="default"/>
    <w:sig w:usb0="0000028F" w:usb1="00000000" w:usb2="00000000" w:usb3="00000000" w:csb0="2000009F" w:csb1="47010000"/>
  </w:font>
  <w:font w:name="DejaVuSans-Bold">
    <w:altName w:val="Segoe Print"/>
    <w:panose1 w:val="00000000000000000000"/>
    <w:charset w:val="00"/>
    <w:family w:val="auto"/>
    <w:pitch w:val="default"/>
    <w:sig w:usb0="00000000" w:usb1="00000000" w:usb2="00000000" w:usb3="00000000" w:csb0="00040001" w:csb1="00000000"/>
  </w:font>
  <w:font w:name="TimesNewRomanPSMT">
    <w:altName w:val="Times New Roman"/>
    <w:panose1 w:val="00000000000000000000"/>
    <w:charset w:val="00"/>
    <w:family w:val="swiss"/>
    <w:pitch w:val="default"/>
    <w:sig w:usb0="00000000" w:usb1="00000000" w:usb2="00000000" w:usb3="00000000" w:csb0="00000001" w:csb1="00000000"/>
  </w:font>
  <w:font w:name="DejaVuSans">
    <w:altName w:val="Segoe Print"/>
    <w:panose1 w:val="00000000000000000000"/>
    <w:charset w:val="00"/>
    <w:family w:val="auto"/>
    <w:pitch w:val="default"/>
    <w:sig w:usb0="00000000" w:usb1="00000000" w:usb2="00000000" w:usb3="00000000" w:csb0="00040001" w:csb1="00000000"/>
  </w:font>
  <w:font w:name="FZSONGS--GB1-5">
    <w:altName w:val="Segoe Print"/>
    <w:panose1 w:val="00000000000000000000"/>
    <w:charset w:val="00"/>
    <w:family w:val="auto"/>
    <w:pitch w:val="default"/>
    <w:sig w:usb0="00000000" w:usb1="00000000" w:usb2="00000000" w:usb3="00000000" w:csb0="00040001" w:csb1="00000000"/>
  </w:font>
  <w:font w:name="inherit">
    <w:altName w:val="宋体"/>
    <w:panose1 w:val="00000000000000000000"/>
    <w:charset w:val="00"/>
    <w:family w:val="roman"/>
    <w:pitch w:val="default"/>
    <w:sig w:usb0="00000000" w:usb1="00000000" w:usb2="00000000" w:usb3="00000000" w:csb0="00040001" w:csb1="00000000"/>
  </w:font>
  <w:font w:name="time of new roman">
    <w:altName w:val="宋体"/>
    <w:panose1 w:val="00000000000000000000"/>
    <w:charset w:val="00"/>
    <w:family w:val="roman"/>
    <w:pitch w:val="default"/>
    <w:sig w:usb0="00000000" w:usb1="00000000" w:usb2="00000000" w:usb3="00000000" w:csb0="00040001" w:csb1="00000000"/>
  </w:font>
  <w:font w:name="Segoe UI Symbol">
    <w:panose1 w:val="020B0502040204020203"/>
    <w:charset w:val="00"/>
    <w:family w:val="swiss"/>
    <w:pitch w:val="default"/>
    <w:sig w:usb0="800001E3" w:usb1="1200FFEF" w:usb2="00040000" w:usb3="04000000" w:csb0="00000001" w:csb1="4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038082">
    <w:pPr>
      <w:pStyle w:val="25"/>
      <w:jc w:val="center"/>
    </w:pPr>
    <w:r>
      <w:fldChar w:fldCharType="begin"/>
    </w:r>
    <w:r>
      <w:instrText xml:space="preserve">PAGE   \* MERGEFORMAT</w:instrText>
    </w:r>
    <w:r>
      <w:fldChar w:fldCharType="separate"/>
    </w:r>
    <w:r>
      <w:rPr>
        <w:lang w:val="zh-CN"/>
      </w:rPr>
      <w:t>86</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E764A17">
    <w:pPr>
      <w:pStyle w:val="25"/>
      <w:jc w:val="center"/>
    </w:pPr>
    <w:r>
      <w:fldChar w:fldCharType="begin"/>
    </w:r>
    <w:r>
      <w:instrText xml:space="preserve">PAGE   \* MERGEFORMAT</w:instrText>
    </w:r>
    <w:r>
      <w:fldChar w:fldCharType="separate"/>
    </w:r>
    <w:r>
      <w:rPr>
        <w:lang w:val="zh-CN"/>
      </w:rPr>
      <w:t>62</w:t>
    </w:r>
    <w:r>
      <w:fldChar w:fldCharType="end"/>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8380A8"/>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mQ2ODBlYzc0NjRkMTZiZDAzOTQwZmVlNGQ5MmQwMDMifQ=="/>
  </w:docVars>
  <w:rsids>
    <w:rsidRoot w:val="00FA3835"/>
    <w:rsid w:val="000050A2"/>
    <w:rsid w:val="0001523F"/>
    <w:rsid w:val="00027C8D"/>
    <w:rsid w:val="0003766C"/>
    <w:rsid w:val="00040005"/>
    <w:rsid w:val="0005063A"/>
    <w:rsid w:val="000543E7"/>
    <w:rsid w:val="0006010D"/>
    <w:rsid w:val="000668DC"/>
    <w:rsid w:val="000678B4"/>
    <w:rsid w:val="00071927"/>
    <w:rsid w:val="00081ADD"/>
    <w:rsid w:val="00092A30"/>
    <w:rsid w:val="000933C0"/>
    <w:rsid w:val="000969BB"/>
    <w:rsid w:val="000973D2"/>
    <w:rsid w:val="000B0D1B"/>
    <w:rsid w:val="000B12EC"/>
    <w:rsid w:val="000B636A"/>
    <w:rsid w:val="000C1F98"/>
    <w:rsid w:val="000C325D"/>
    <w:rsid w:val="000C505C"/>
    <w:rsid w:val="000D1A3C"/>
    <w:rsid w:val="000D6611"/>
    <w:rsid w:val="000E0B0C"/>
    <w:rsid w:val="000E17D4"/>
    <w:rsid w:val="000E4DA9"/>
    <w:rsid w:val="000E651F"/>
    <w:rsid w:val="000F0512"/>
    <w:rsid w:val="000F4571"/>
    <w:rsid w:val="00103352"/>
    <w:rsid w:val="00105333"/>
    <w:rsid w:val="00107AF4"/>
    <w:rsid w:val="001140D0"/>
    <w:rsid w:val="00116159"/>
    <w:rsid w:val="001235CA"/>
    <w:rsid w:val="00123DC4"/>
    <w:rsid w:val="00137D93"/>
    <w:rsid w:val="001437EA"/>
    <w:rsid w:val="001444BD"/>
    <w:rsid w:val="00144505"/>
    <w:rsid w:val="00144DDA"/>
    <w:rsid w:val="0014761F"/>
    <w:rsid w:val="00153F11"/>
    <w:rsid w:val="00154F47"/>
    <w:rsid w:val="00155A34"/>
    <w:rsid w:val="00157F37"/>
    <w:rsid w:val="00164E27"/>
    <w:rsid w:val="001660EA"/>
    <w:rsid w:val="001773D2"/>
    <w:rsid w:val="00191AAE"/>
    <w:rsid w:val="001921CA"/>
    <w:rsid w:val="00194900"/>
    <w:rsid w:val="001A0E56"/>
    <w:rsid w:val="001A6E63"/>
    <w:rsid w:val="001B195C"/>
    <w:rsid w:val="001B62CC"/>
    <w:rsid w:val="001B66E1"/>
    <w:rsid w:val="001B6E57"/>
    <w:rsid w:val="001D7301"/>
    <w:rsid w:val="001E1467"/>
    <w:rsid w:val="001E152C"/>
    <w:rsid w:val="001E3480"/>
    <w:rsid w:val="001F18B7"/>
    <w:rsid w:val="001F1D2B"/>
    <w:rsid w:val="001F5FAD"/>
    <w:rsid w:val="001F6147"/>
    <w:rsid w:val="001F79B6"/>
    <w:rsid w:val="002024C7"/>
    <w:rsid w:val="00204352"/>
    <w:rsid w:val="00206639"/>
    <w:rsid w:val="00207E43"/>
    <w:rsid w:val="0021259E"/>
    <w:rsid w:val="00213C28"/>
    <w:rsid w:val="00224FE7"/>
    <w:rsid w:val="00233C8A"/>
    <w:rsid w:val="0024086B"/>
    <w:rsid w:val="00240E7B"/>
    <w:rsid w:val="00241551"/>
    <w:rsid w:val="00247ED0"/>
    <w:rsid w:val="00251DB7"/>
    <w:rsid w:val="00256309"/>
    <w:rsid w:val="00265D68"/>
    <w:rsid w:val="002672D1"/>
    <w:rsid w:val="00275598"/>
    <w:rsid w:val="002761A3"/>
    <w:rsid w:val="0028124D"/>
    <w:rsid w:val="00282A80"/>
    <w:rsid w:val="00282F14"/>
    <w:rsid w:val="00292E0B"/>
    <w:rsid w:val="002B3C13"/>
    <w:rsid w:val="002B44BD"/>
    <w:rsid w:val="002B6E7A"/>
    <w:rsid w:val="002B7380"/>
    <w:rsid w:val="002C1FB1"/>
    <w:rsid w:val="002C47B5"/>
    <w:rsid w:val="002D5C47"/>
    <w:rsid w:val="002E03AA"/>
    <w:rsid w:val="002E6A76"/>
    <w:rsid w:val="002F1704"/>
    <w:rsid w:val="002F6DE0"/>
    <w:rsid w:val="002F6FCA"/>
    <w:rsid w:val="002F7EF8"/>
    <w:rsid w:val="00301191"/>
    <w:rsid w:val="00312431"/>
    <w:rsid w:val="00322611"/>
    <w:rsid w:val="003248D5"/>
    <w:rsid w:val="00326D72"/>
    <w:rsid w:val="0033189B"/>
    <w:rsid w:val="003442AE"/>
    <w:rsid w:val="0034443A"/>
    <w:rsid w:val="003474B8"/>
    <w:rsid w:val="00353E66"/>
    <w:rsid w:val="00357C16"/>
    <w:rsid w:val="003637C6"/>
    <w:rsid w:val="003732CC"/>
    <w:rsid w:val="00373B63"/>
    <w:rsid w:val="00374F9A"/>
    <w:rsid w:val="00377372"/>
    <w:rsid w:val="00382C0C"/>
    <w:rsid w:val="00397F24"/>
    <w:rsid w:val="003A18B5"/>
    <w:rsid w:val="003A298A"/>
    <w:rsid w:val="003A3939"/>
    <w:rsid w:val="003B4F45"/>
    <w:rsid w:val="003B6193"/>
    <w:rsid w:val="003C172D"/>
    <w:rsid w:val="003C7092"/>
    <w:rsid w:val="003C785A"/>
    <w:rsid w:val="003D2B81"/>
    <w:rsid w:val="003E410D"/>
    <w:rsid w:val="003E49F5"/>
    <w:rsid w:val="003F5F7A"/>
    <w:rsid w:val="004003D8"/>
    <w:rsid w:val="004043A2"/>
    <w:rsid w:val="00404EA5"/>
    <w:rsid w:val="00406CE3"/>
    <w:rsid w:val="00415144"/>
    <w:rsid w:val="00420D92"/>
    <w:rsid w:val="0042297A"/>
    <w:rsid w:val="004248D5"/>
    <w:rsid w:val="00433B32"/>
    <w:rsid w:val="004362C7"/>
    <w:rsid w:val="00437D39"/>
    <w:rsid w:val="0044106E"/>
    <w:rsid w:val="00446E68"/>
    <w:rsid w:val="00447503"/>
    <w:rsid w:val="00454AF1"/>
    <w:rsid w:val="00457522"/>
    <w:rsid w:val="0046038A"/>
    <w:rsid w:val="00460CF2"/>
    <w:rsid w:val="00471176"/>
    <w:rsid w:val="00484FF8"/>
    <w:rsid w:val="004A0EB1"/>
    <w:rsid w:val="004A3B49"/>
    <w:rsid w:val="004A5C14"/>
    <w:rsid w:val="004B3476"/>
    <w:rsid w:val="004B36B8"/>
    <w:rsid w:val="004C19CC"/>
    <w:rsid w:val="004C387C"/>
    <w:rsid w:val="004D0AB9"/>
    <w:rsid w:val="004E042A"/>
    <w:rsid w:val="004E4504"/>
    <w:rsid w:val="004F0FDE"/>
    <w:rsid w:val="004F3E07"/>
    <w:rsid w:val="00504FD3"/>
    <w:rsid w:val="00512882"/>
    <w:rsid w:val="005143FF"/>
    <w:rsid w:val="00516FEB"/>
    <w:rsid w:val="005244F5"/>
    <w:rsid w:val="00524665"/>
    <w:rsid w:val="00543C0A"/>
    <w:rsid w:val="0054699B"/>
    <w:rsid w:val="005515EB"/>
    <w:rsid w:val="0055226E"/>
    <w:rsid w:val="00552E7C"/>
    <w:rsid w:val="005601D0"/>
    <w:rsid w:val="005613B2"/>
    <w:rsid w:val="0056304A"/>
    <w:rsid w:val="00565357"/>
    <w:rsid w:val="00565B93"/>
    <w:rsid w:val="0057066D"/>
    <w:rsid w:val="00572671"/>
    <w:rsid w:val="00573E7D"/>
    <w:rsid w:val="0059014A"/>
    <w:rsid w:val="00591688"/>
    <w:rsid w:val="005916DF"/>
    <w:rsid w:val="00593C8E"/>
    <w:rsid w:val="00595627"/>
    <w:rsid w:val="00595D3F"/>
    <w:rsid w:val="00595EAC"/>
    <w:rsid w:val="005A2F5B"/>
    <w:rsid w:val="005A52D6"/>
    <w:rsid w:val="005C574A"/>
    <w:rsid w:val="005C7CA3"/>
    <w:rsid w:val="005D09A0"/>
    <w:rsid w:val="005D479D"/>
    <w:rsid w:val="005E416B"/>
    <w:rsid w:val="005E7A21"/>
    <w:rsid w:val="005F24B2"/>
    <w:rsid w:val="0060103A"/>
    <w:rsid w:val="00602911"/>
    <w:rsid w:val="00602A7A"/>
    <w:rsid w:val="0060509A"/>
    <w:rsid w:val="006125F5"/>
    <w:rsid w:val="00612A9B"/>
    <w:rsid w:val="00613CB3"/>
    <w:rsid w:val="00614D00"/>
    <w:rsid w:val="006225E2"/>
    <w:rsid w:val="0062676A"/>
    <w:rsid w:val="00640DB1"/>
    <w:rsid w:val="006416E9"/>
    <w:rsid w:val="00641A29"/>
    <w:rsid w:val="0064545D"/>
    <w:rsid w:val="00646C82"/>
    <w:rsid w:val="00647CD5"/>
    <w:rsid w:val="006548A6"/>
    <w:rsid w:val="00655478"/>
    <w:rsid w:val="00664D7F"/>
    <w:rsid w:val="00673641"/>
    <w:rsid w:val="006858B6"/>
    <w:rsid w:val="006859BC"/>
    <w:rsid w:val="006942DE"/>
    <w:rsid w:val="0069730F"/>
    <w:rsid w:val="006A377B"/>
    <w:rsid w:val="006B0930"/>
    <w:rsid w:val="006C4384"/>
    <w:rsid w:val="006C5135"/>
    <w:rsid w:val="006C546E"/>
    <w:rsid w:val="006D29F2"/>
    <w:rsid w:val="006E2DE0"/>
    <w:rsid w:val="006E4080"/>
    <w:rsid w:val="006E5A8E"/>
    <w:rsid w:val="0070081C"/>
    <w:rsid w:val="0071653B"/>
    <w:rsid w:val="00721985"/>
    <w:rsid w:val="00724C84"/>
    <w:rsid w:val="007252A8"/>
    <w:rsid w:val="00725C0A"/>
    <w:rsid w:val="0073119D"/>
    <w:rsid w:val="0073199C"/>
    <w:rsid w:val="007376B0"/>
    <w:rsid w:val="00740508"/>
    <w:rsid w:val="00743776"/>
    <w:rsid w:val="00751428"/>
    <w:rsid w:val="0075674B"/>
    <w:rsid w:val="00761F2B"/>
    <w:rsid w:val="00763B74"/>
    <w:rsid w:val="007731D0"/>
    <w:rsid w:val="00775B16"/>
    <w:rsid w:val="00783049"/>
    <w:rsid w:val="00785A0A"/>
    <w:rsid w:val="00787CED"/>
    <w:rsid w:val="007967F8"/>
    <w:rsid w:val="007A3772"/>
    <w:rsid w:val="007C023B"/>
    <w:rsid w:val="007C2696"/>
    <w:rsid w:val="007C4C31"/>
    <w:rsid w:val="007C5EA5"/>
    <w:rsid w:val="007D381E"/>
    <w:rsid w:val="007D3EE2"/>
    <w:rsid w:val="007D489D"/>
    <w:rsid w:val="007E03CA"/>
    <w:rsid w:val="007E6193"/>
    <w:rsid w:val="007F2F97"/>
    <w:rsid w:val="007F387D"/>
    <w:rsid w:val="007F6A74"/>
    <w:rsid w:val="007F7152"/>
    <w:rsid w:val="0081061E"/>
    <w:rsid w:val="00815919"/>
    <w:rsid w:val="008203E6"/>
    <w:rsid w:val="00822633"/>
    <w:rsid w:val="00830107"/>
    <w:rsid w:val="00831B02"/>
    <w:rsid w:val="00833174"/>
    <w:rsid w:val="00846609"/>
    <w:rsid w:val="00852958"/>
    <w:rsid w:val="0085467F"/>
    <w:rsid w:val="00864F77"/>
    <w:rsid w:val="008661F8"/>
    <w:rsid w:val="008712FA"/>
    <w:rsid w:val="00876AA9"/>
    <w:rsid w:val="00876EFF"/>
    <w:rsid w:val="00882892"/>
    <w:rsid w:val="00883AB2"/>
    <w:rsid w:val="008861B2"/>
    <w:rsid w:val="00887A5A"/>
    <w:rsid w:val="00890D3E"/>
    <w:rsid w:val="00892868"/>
    <w:rsid w:val="00896377"/>
    <w:rsid w:val="008A09F5"/>
    <w:rsid w:val="008A4B18"/>
    <w:rsid w:val="008A738C"/>
    <w:rsid w:val="008B2645"/>
    <w:rsid w:val="008C3362"/>
    <w:rsid w:val="008C36D3"/>
    <w:rsid w:val="008C6252"/>
    <w:rsid w:val="008D0675"/>
    <w:rsid w:val="008D1425"/>
    <w:rsid w:val="008D3BC8"/>
    <w:rsid w:val="008D6F23"/>
    <w:rsid w:val="008E5EB5"/>
    <w:rsid w:val="008E745A"/>
    <w:rsid w:val="008F04C7"/>
    <w:rsid w:val="008F21A5"/>
    <w:rsid w:val="008F2440"/>
    <w:rsid w:val="008F7526"/>
    <w:rsid w:val="00914619"/>
    <w:rsid w:val="009202C8"/>
    <w:rsid w:val="009246BA"/>
    <w:rsid w:val="00930CDE"/>
    <w:rsid w:val="00935AA1"/>
    <w:rsid w:val="009451DC"/>
    <w:rsid w:val="00945B5F"/>
    <w:rsid w:val="009467F2"/>
    <w:rsid w:val="00952E72"/>
    <w:rsid w:val="0095655E"/>
    <w:rsid w:val="0095732B"/>
    <w:rsid w:val="009718ED"/>
    <w:rsid w:val="0097297B"/>
    <w:rsid w:val="00974E8F"/>
    <w:rsid w:val="0098154C"/>
    <w:rsid w:val="0098549E"/>
    <w:rsid w:val="009857EF"/>
    <w:rsid w:val="009941D8"/>
    <w:rsid w:val="009963B1"/>
    <w:rsid w:val="009A2C18"/>
    <w:rsid w:val="009C0A0B"/>
    <w:rsid w:val="009C14BD"/>
    <w:rsid w:val="009D1AF8"/>
    <w:rsid w:val="009D32B1"/>
    <w:rsid w:val="009E1C84"/>
    <w:rsid w:val="009E2388"/>
    <w:rsid w:val="009E32D4"/>
    <w:rsid w:val="009E4080"/>
    <w:rsid w:val="009E4DCB"/>
    <w:rsid w:val="009E55AF"/>
    <w:rsid w:val="009E580F"/>
    <w:rsid w:val="009E5981"/>
    <w:rsid w:val="009E686B"/>
    <w:rsid w:val="009F5A6A"/>
    <w:rsid w:val="009F716E"/>
    <w:rsid w:val="00A01B3A"/>
    <w:rsid w:val="00A0205F"/>
    <w:rsid w:val="00A03914"/>
    <w:rsid w:val="00A04E9D"/>
    <w:rsid w:val="00A06893"/>
    <w:rsid w:val="00A21886"/>
    <w:rsid w:val="00A25682"/>
    <w:rsid w:val="00A2638C"/>
    <w:rsid w:val="00A27417"/>
    <w:rsid w:val="00A27AFD"/>
    <w:rsid w:val="00A354A8"/>
    <w:rsid w:val="00A4031E"/>
    <w:rsid w:val="00A44A2B"/>
    <w:rsid w:val="00A46F60"/>
    <w:rsid w:val="00A47E73"/>
    <w:rsid w:val="00A507A2"/>
    <w:rsid w:val="00A53234"/>
    <w:rsid w:val="00A57F47"/>
    <w:rsid w:val="00A87CFF"/>
    <w:rsid w:val="00A90B20"/>
    <w:rsid w:val="00A94490"/>
    <w:rsid w:val="00AA7A0D"/>
    <w:rsid w:val="00AB113B"/>
    <w:rsid w:val="00AD2FD2"/>
    <w:rsid w:val="00AD41E6"/>
    <w:rsid w:val="00AD4ECF"/>
    <w:rsid w:val="00AD70C8"/>
    <w:rsid w:val="00AF6067"/>
    <w:rsid w:val="00B02352"/>
    <w:rsid w:val="00B0375A"/>
    <w:rsid w:val="00B04039"/>
    <w:rsid w:val="00B05C1F"/>
    <w:rsid w:val="00B07AAD"/>
    <w:rsid w:val="00B11B97"/>
    <w:rsid w:val="00B15273"/>
    <w:rsid w:val="00B16887"/>
    <w:rsid w:val="00B1746F"/>
    <w:rsid w:val="00B27A2B"/>
    <w:rsid w:val="00B30A24"/>
    <w:rsid w:val="00B31F00"/>
    <w:rsid w:val="00B351A2"/>
    <w:rsid w:val="00B403FA"/>
    <w:rsid w:val="00B41959"/>
    <w:rsid w:val="00B42C18"/>
    <w:rsid w:val="00B43CF7"/>
    <w:rsid w:val="00B44327"/>
    <w:rsid w:val="00B53944"/>
    <w:rsid w:val="00B61FDD"/>
    <w:rsid w:val="00B657D8"/>
    <w:rsid w:val="00B758E7"/>
    <w:rsid w:val="00B75B80"/>
    <w:rsid w:val="00B81149"/>
    <w:rsid w:val="00B83CEC"/>
    <w:rsid w:val="00B8672D"/>
    <w:rsid w:val="00B94FB1"/>
    <w:rsid w:val="00BC179B"/>
    <w:rsid w:val="00BC47F8"/>
    <w:rsid w:val="00BC7FBC"/>
    <w:rsid w:val="00BD11D6"/>
    <w:rsid w:val="00BD2A3B"/>
    <w:rsid w:val="00BD5325"/>
    <w:rsid w:val="00BD646D"/>
    <w:rsid w:val="00BD6A33"/>
    <w:rsid w:val="00BD7ED0"/>
    <w:rsid w:val="00BE5E06"/>
    <w:rsid w:val="00BE643E"/>
    <w:rsid w:val="00BE7CED"/>
    <w:rsid w:val="00BF59BF"/>
    <w:rsid w:val="00C056B5"/>
    <w:rsid w:val="00C10630"/>
    <w:rsid w:val="00C12939"/>
    <w:rsid w:val="00C14E3B"/>
    <w:rsid w:val="00C21567"/>
    <w:rsid w:val="00C23BA4"/>
    <w:rsid w:val="00C241B2"/>
    <w:rsid w:val="00C34485"/>
    <w:rsid w:val="00C40AB3"/>
    <w:rsid w:val="00C43805"/>
    <w:rsid w:val="00C43E24"/>
    <w:rsid w:val="00C45235"/>
    <w:rsid w:val="00C60EF2"/>
    <w:rsid w:val="00C615B2"/>
    <w:rsid w:val="00C702F0"/>
    <w:rsid w:val="00C74553"/>
    <w:rsid w:val="00C75753"/>
    <w:rsid w:val="00C8112C"/>
    <w:rsid w:val="00C87EF4"/>
    <w:rsid w:val="00C954A4"/>
    <w:rsid w:val="00CA25D1"/>
    <w:rsid w:val="00CA623E"/>
    <w:rsid w:val="00CA630F"/>
    <w:rsid w:val="00CB4C32"/>
    <w:rsid w:val="00CB4EB2"/>
    <w:rsid w:val="00CB7A41"/>
    <w:rsid w:val="00CC7A0B"/>
    <w:rsid w:val="00CD0A52"/>
    <w:rsid w:val="00CD0EEF"/>
    <w:rsid w:val="00CD26E8"/>
    <w:rsid w:val="00CD64CD"/>
    <w:rsid w:val="00CE2041"/>
    <w:rsid w:val="00CE3059"/>
    <w:rsid w:val="00CE4960"/>
    <w:rsid w:val="00CE56FA"/>
    <w:rsid w:val="00CF0912"/>
    <w:rsid w:val="00CF414A"/>
    <w:rsid w:val="00D0060C"/>
    <w:rsid w:val="00D027B8"/>
    <w:rsid w:val="00D0409D"/>
    <w:rsid w:val="00D04134"/>
    <w:rsid w:val="00D0571C"/>
    <w:rsid w:val="00D0679B"/>
    <w:rsid w:val="00D11879"/>
    <w:rsid w:val="00D12547"/>
    <w:rsid w:val="00D15AAB"/>
    <w:rsid w:val="00D22D44"/>
    <w:rsid w:val="00D23040"/>
    <w:rsid w:val="00D37801"/>
    <w:rsid w:val="00D378BA"/>
    <w:rsid w:val="00D40668"/>
    <w:rsid w:val="00D51C13"/>
    <w:rsid w:val="00D54CDF"/>
    <w:rsid w:val="00D6263A"/>
    <w:rsid w:val="00D778D7"/>
    <w:rsid w:val="00D83934"/>
    <w:rsid w:val="00D861C3"/>
    <w:rsid w:val="00D901A8"/>
    <w:rsid w:val="00D91A0C"/>
    <w:rsid w:val="00D9239C"/>
    <w:rsid w:val="00D95955"/>
    <w:rsid w:val="00D979AB"/>
    <w:rsid w:val="00DA590C"/>
    <w:rsid w:val="00DA703D"/>
    <w:rsid w:val="00DB2FD0"/>
    <w:rsid w:val="00DB54CF"/>
    <w:rsid w:val="00DB7BA5"/>
    <w:rsid w:val="00DC1546"/>
    <w:rsid w:val="00DC7B14"/>
    <w:rsid w:val="00DD2172"/>
    <w:rsid w:val="00DD4A09"/>
    <w:rsid w:val="00DD4C25"/>
    <w:rsid w:val="00DD6A1F"/>
    <w:rsid w:val="00DE4C00"/>
    <w:rsid w:val="00DE5C67"/>
    <w:rsid w:val="00DF2449"/>
    <w:rsid w:val="00DF7ACF"/>
    <w:rsid w:val="00E004CA"/>
    <w:rsid w:val="00E03391"/>
    <w:rsid w:val="00E0373B"/>
    <w:rsid w:val="00E07308"/>
    <w:rsid w:val="00E14474"/>
    <w:rsid w:val="00E179B5"/>
    <w:rsid w:val="00E26286"/>
    <w:rsid w:val="00E30AC2"/>
    <w:rsid w:val="00E33D84"/>
    <w:rsid w:val="00E34813"/>
    <w:rsid w:val="00E356D2"/>
    <w:rsid w:val="00E401B3"/>
    <w:rsid w:val="00E458DA"/>
    <w:rsid w:val="00E5272A"/>
    <w:rsid w:val="00E5687E"/>
    <w:rsid w:val="00E639CC"/>
    <w:rsid w:val="00E63D5B"/>
    <w:rsid w:val="00E671AD"/>
    <w:rsid w:val="00E83E40"/>
    <w:rsid w:val="00E857B8"/>
    <w:rsid w:val="00E907E5"/>
    <w:rsid w:val="00E92DC9"/>
    <w:rsid w:val="00E943B8"/>
    <w:rsid w:val="00EA11F7"/>
    <w:rsid w:val="00EA20B9"/>
    <w:rsid w:val="00EA4549"/>
    <w:rsid w:val="00EB6E5D"/>
    <w:rsid w:val="00ED04E8"/>
    <w:rsid w:val="00ED0B37"/>
    <w:rsid w:val="00ED22DF"/>
    <w:rsid w:val="00ED4C66"/>
    <w:rsid w:val="00ED6781"/>
    <w:rsid w:val="00EE3B36"/>
    <w:rsid w:val="00EE4BD8"/>
    <w:rsid w:val="00EF5BA0"/>
    <w:rsid w:val="00F11BF1"/>
    <w:rsid w:val="00F13600"/>
    <w:rsid w:val="00F15FC0"/>
    <w:rsid w:val="00F17042"/>
    <w:rsid w:val="00F175D1"/>
    <w:rsid w:val="00F21DA9"/>
    <w:rsid w:val="00F22A75"/>
    <w:rsid w:val="00F24E27"/>
    <w:rsid w:val="00F30C1E"/>
    <w:rsid w:val="00F3185D"/>
    <w:rsid w:val="00F33DCE"/>
    <w:rsid w:val="00F35217"/>
    <w:rsid w:val="00F35C50"/>
    <w:rsid w:val="00F42D68"/>
    <w:rsid w:val="00F436FE"/>
    <w:rsid w:val="00F500D2"/>
    <w:rsid w:val="00F51A9D"/>
    <w:rsid w:val="00F57792"/>
    <w:rsid w:val="00F60048"/>
    <w:rsid w:val="00F6185A"/>
    <w:rsid w:val="00F73FE2"/>
    <w:rsid w:val="00F74944"/>
    <w:rsid w:val="00F8497C"/>
    <w:rsid w:val="00F91E41"/>
    <w:rsid w:val="00FA238D"/>
    <w:rsid w:val="00FA3835"/>
    <w:rsid w:val="00FA6816"/>
    <w:rsid w:val="00FB5D79"/>
    <w:rsid w:val="00FD0031"/>
    <w:rsid w:val="00FE3C4D"/>
    <w:rsid w:val="00FE3D91"/>
    <w:rsid w:val="00FE55D2"/>
    <w:rsid w:val="00FF16D1"/>
    <w:rsid w:val="00FF5179"/>
    <w:rsid w:val="00FF728E"/>
    <w:rsid w:val="020B291A"/>
    <w:rsid w:val="02111A30"/>
    <w:rsid w:val="0538200B"/>
    <w:rsid w:val="053E2C54"/>
    <w:rsid w:val="0762073E"/>
    <w:rsid w:val="08A04AF6"/>
    <w:rsid w:val="09120680"/>
    <w:rsid w:val="09A45050"/>
    <w:rsid w:val="09FA1199"/>
    <w:rsid w:val="0A182626"/>
    <w:rsid w:val="0A5B05D9"/>
    <w:rsid w:val="0A7730A6"/>
    <w:rsid w:val="0AE0030A"/>
    <w:rsid w:val="0D6B0DE4"/>
    <w:rsid w:val="0D8A6F81"/>
    <w:rsid w:val="0DFB64CD"/>
    <w:rsid w:val="0E39045D"/>
    <w:rsid w:val="0E865ECE"/>
    <w:rsid w:val="0E936CC2"/>
    <w:rsid w:val="0EE967FA"/>
    <w:rsid w:val="0F4075C9"/>
    <w:rsid w:val="0F4672D5"/>
    <w:rsid w:val="0F4E40DD"/>
    <w:rsid w:val="0F6F4465"/>
    <w:rsid w:val="10E279BE"/>
    <w:rsid w:val="11F50142"/>
    <w:rsid w:val="122E6778"/>
    <w:rsid w:val="124949E7"/>
    <w:rsid w:val="14655C3C"/>
    <w:rsid w:val="154649B5"/>
    <w:rsid w:val="15D708BB"/>
    <w:rsid w:val="15F52619"/>
    <w:rsid w:val="17CB6513"/>
    <w:rsid w:val="17E30B5F"/>
    <w:rsid w:val="17E30CEE"/>
    <w:rsid w:val="185D6BC0"/>
    <w:rsid w:val="195E346D"/>
    <w:rsid w:val="19A5164A"/>
    <w:rsid w:val="19AE7309"/>
    <w:rsid w:val="19BA4B96"/>
    <w:rsid w:val="1A18361C"/>
    <w:rsid w:val="1A902BB0"/>
    <w:rsid w:val="1B9E3D36"/>
    <w:rsid w:val="1BA06E8C"/>
    <w:rsid w:val="1BBA3A2F"/>
    <w:rsid w:val="1C686EB5"/>
    <w:rsid w:val="1C8F2A04"/>
    <w:rsid w:val="1D8B6157"/>
    <w:rsid w:val="20365C75"/>
    <w:rsid w:val="20863AF3"/>
    <w:rsid w:val="20FD3BD3"/>
    <w:rsid w:val="218B2C39"/>
    <w:rsid w:val="22597BF6"/>
    <w:rsid w:val="227819CB"/>
    <w:rsid w:val="22811364"/>
    <w:rsid w:val="23256975"/>
    <w:rsid w:val="23423424"/>
    <w:rsid w:val="240C4724"/>
    <w:rsid w:val="243F7370"/>
    <w:rsid w:val="2473547F"/>
    <w:rsid w:val="2488030D"/>
    <w:rsid w:val="2547125A"/>
    <w:rsid w:val="26053E04"/>
    <w:rsid w:val="26DD3CEE"/>
    <w:rsid w:val="270359EC"/>
    <w:rsid w:val="2734580E"/>
    <w:rsid w:val="27F05BD9"/>
    <w:rsid w:val="27F12816"/>
    <w:rsid w:val="28862099"/>
    <w:rsid w:val="2A03029E"/>
    <w:rsid w:val="2A8E004C"/>
    <w:rsid w:val="2ACC7B67"/>
    <w:rsid w:val="2B6A1BE2"/>
    <w:rsid w:val="2C425EFD"/>
    <w:rsid w:val="2CB90995"/>
    <w:rsid w:val="2D5179CF"/>
    <w:rsid w:val="2ED5581D"/>
    <w:rsid w:val="2F0A0AC9"/>
    <w:rsid w:val="2F25260C"/>
    <w:rsid w:val="2F633FA7"/>
    <w:rsid w:val="308A097E"/>
    <w:rsid w:val="30EF7EC2"/>
    <w:rsid w:val="319039E6"/>
    <w:rsid w:val="32085AE3"/>
    <w:rsid w:val="327F0D3B"/>
    <w:rsid w:val="331A4758"/>
    <w:rsid w:val="3369385E"/>
    <w:rsid w:val="33CA23C6"/>
    <w:rsid w:val="348B64F9"/>
    <w:rsid w:val="35C0542C"/>
    <w:rsid w:val="36483084"/>
    <w:rsid w:val="372B2789"/>
    <w:rsid w:val="384F06F9"/>
    <w:rsid w:val="395026E3"/>
    <w:rsid w:val="39904B26"/>
    <w:rsid w:val="39A43A9C"/>
    <w:rsid w:val="3AE72E6B"/>
    <w:rsid w:val="3AFF33E8"/>
    <w:rsid w:val="3B3E4CD7"/>
    <w:rsid w:val="3C1B2370"/>
    <w:rsid w:val="3C2D3B80"/>
    <w:rsid w:val="3D467226"/>
    <w:rsid w:val="3D476359"/>
    <w:rsid w:val="3D9A658C"/>
    <w:rsid w:val="3DE10046"/>
    <w:rsid w:val="3DEE1D80"/>
    <w:rsid w:val="3DF338D5"/>
    <w:rsid w:val="3EA378DA"/>
    <w:rsid w:val="3EF73899"/>
    <w:rsid w:val="3F651E10"/>
    <w:rsid w:val="41B16896"/>
    <w:rsid w:val="42380887"/>
    <w:rsid w:val="426C16E4"/>
    <w:rsid w:val="427A5EEA"/>
    <w:rsid w:val="42C41CE4"/>
    <w:rsid w:val="42D51FF3"/>
    <w:rsid w:val="43D85920"/>
    <w:rsid w:val="442742D8"/>
    <w:rsid w:val="442F62DC"/>
    <w:rsid w:val="443B5FD6"/>
    <w:rsid w:val="450779FD"/>
    <w:rsid w:val="459220B9"/>
    <w:rsid w:val="46DB7A17"/>
    <w:rsid w:val="48333FF5"/>
    <w:rsid w:val="485E6BC5"/>
    <w:rsid w:val="493D6FFD"/>
    <w:rsid w:val="49430615"/>
    <w:rsid w:val="49B72972"/>
    <w:rsid w:val="49FA5FEB"/>
    <w:rsid w:val="4A3E0C6F"/>
    <w:rsid w:val="4A4A7513"/>
    <w:rsid w:val="4ADE0F37"/>
    <w:rsid w:val="4B914BF5"/>
    <w:rsid w:val="4C3C2346"/>
    <w:rsid w:val="4C7D3400"/>
    <w:rsid w:val="4CB171D5"/>
    <w:rsid w:val="4CB230FF"/>
    <w:rsid w:val="4D180705"/>
    <w:rsid w:val="4D413CB4"/>
    <w:rsid w:val="4EE564B0"/>
    <w:rsid w:val="4FFC159D"/>
    <w:rsid w:val="50ED0658"/>
    <w:rsid w:val="50FC37C6"/>
    <w:rsid w:val="51832493"/>
    <w:rsid w:val="51CD3614"/>
    <w:rsid w:val="522400A9"/>
    <w:rsid w:val="529E0D9A"/>
    <w:rsid w:val="531539E5"/>
    <w:rsid w:val="53513FEC"/>
    <w:rsid w:val="53D55AFF"/>
    <w:rsid w:val="53FC6986"/>
    <w:rsid w:val="542F0A3D"/>
    <w:rsid w:val="54A038A5"/>
    <w:rsid w:val="54A60BE9"/>
    <w:rsid w:val="54E3684D"/>
    <w:rsid w:val="559A7000"/>
    <w:rsid w:val="5628185A"/>
    <w:rsid w:val="56770AFB"/>
    <w:rsid w:val="573C6F55"/>
    <w:rsid w:val="57D63A28"/>
    <w:rsid w:val="57F95C42"/>
    <w:rsid w:val="581B6CF3"/>
    <w:rsid w:val="583E0F9F"/>
    <w:rsid w:val="58527420"/>
    <w:rsid w:val="585F0652"/>
    <w:rsid w:val="591A5625"/>
    <w:rsid w:val="5978102D"/>
    <w:rsid w:val="5980136F"/>
    <w:rsid w:val="59DD58A1"/>
    <w:rsid w:val="5A8F0516"/>
    <w:rsid w:val="5AE900E2"/>
    <w:rsid w:val="5AE92129"/>
    <w:rsid w:val="5C7F1F93"/>
    <w:rsid w:val="5CFE2534"/>
    <w:rsid w:val="5E72647F"/>
    <w:rsid w:val="5E834DD9"/>
    <w:rsid w:val="5F236DE7"/>
    <w:rsid w:val="5F9D42E7"/>
    <w:rsid w:val="5FE76832"/>
    <w:rsid w:val="604D2EC1"/>
    <w:rsid w:val="608E3660"/>
    <w:rsid w:val="60A5089F"/>
    <w:rsid w:val="61201EA9"/>
    <w:rsid w:val="617B7B59"/>
    <w:rsid w:val="620B4DE2"/>
    <w:rsid w:val="621505DC"/>
    <w:rsid w:val="62307304"/>
    <w:rsid w:val="625D22A8"/>
    <w:rsid w:val="62881679"/>
    <w:rsid w:val="63025693"/>
    <w:rsid w:val="648D7D30"/>
    <w:rsid w:val="64C764C7"/>
    <w:rsid w:val="64FD5243"/>
    <w:rsid w:val="657340D8"/>
    <w:rsid w:val="65C0401D"/>
    <w:rsid w:val="65C45F55"/>
    <w:rsid w:val="662648F8"/>
    <w:rsid w:val="665F1537"/>
    <w:rsid w:val="678F4E88"/>
    <w:rsid w:val="67D85B6C"/>
    <w:rsid w:val="68203EB1"/>
    <w:rsid w:val="682616CA"/>
    <w:rsid w:val="68ED6A71"/>
    <w:rsid w:val="69317B0A"/>
    <w:rsid w:val="69F67FAD"/>
    <w:rsid w:val="6A3D2C1C"/>
    <w:rsid w:val="6ABE40FE"/>
    <w:rsid w:val="6BC009EB"/>
    <w:rsid w:val="6C67192F"/>
    <w:rsid w:val="6CE60189"/>
    <w:rsid w:val="6E04301E"/>
    <w:rsid w:val="6E1C5389"/>
    <w:rsid w:val="6F135C55"/>
    <w:rsid w:val="6F215C44"/>
    <w:rsid w:val="6F5A2F04"/>
    <w:rsid w:val="6FDB37E3"/>
    <w:rsid w:val="705D3AFA"/>
    <w:rsid w:val="72757F8D"/>
    <w:rsid w:val="732820F7"/>
    <w:rsid w:val="734D446A"/>
    <w:rsid w:val="73FD389D"/>
    <w:rsid w:val="740972B4"/>
    <w:rsid w:val="74C80B12"/>
    <w:rsid w:val="75F011DC"/>
    <w:rsid w:val="77FE4FE3"/>
    <w:rsid w:val="78617CDA"/>
    <w:rsid w:val="78C830A0"/>
    <w:rsid w:val="78D36201"/>
    <w:rsid w:val="792F1A3C"/>
    <w:rsid w:val="79B5177D"/>
    <w:rsid w:val="7A1643C2"/>
    <w:rsid w:val="7A463EB9"/>
    <w:rsid w:val="7A8377B3"/>
    <w:rsid w:val="7B8216EB"/>
    <w:rsid w:val="7D9D4043"/>
    <w:rsid w:val="7DE54E45"/>
    <w:rsid w:val="7E9D0BC6"/>
    <w:rsid w:val="7F8942DD"/>
    <w:rsid w:val="7FD20CF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0"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unhideWhenUsed="0" w:uiPriority="0" w:semiHidden="0" w:name="footnote text"/>
    <w:lsdException w:qFormat="1" w:unhideWhenUsed="0" w:uiPriority="99"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99"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22" w:semiHidden="0" w:name="Strong"/>
    <w:lsdException w:qFormat="1" w:unhideWhenUsed="0" w:uiPriority="20" w:semiHidden="0" w:name="Emphasis"/>
    <w:lsdException w:qFormat="1" w:unhideWhenUsed="0" w:uiPriority="0" w:name="Document Map"/>
    <w:lsdException w:qFormat="1" w:unhideWhenUsed="0" w:uiPriority="99"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qFormat/>
    <w:uiPriority w:val="0"/>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3">
    <w:name w:val="heading 2"/>
    <w:basedOn w:val="1"/>
    <w:next w:val="4"/>
    <w:qFormat/>
    <w:uiPriority w:val="0"/>
    <w:pPr>
      <w:keepNext/>
      <w:keepLines/>
      <w:autoSpaceDE w:val="0"/>
      <w:autoSpaceDN w:val="0"/>
      <w:adjustRightInd w:val="0"/>
      <w:spacing w:before="120" w:line="300" w:lineRule="auto"/>
      <w:jc w:val="center"/>
      <w:outlineLvl w:val="1"/>
    </w:pPr>
    <w:rPr>
      <w:rFonts w:ascii="Arial" w:hAnsi="Arial" w:eastAsia="黑体"/>
      <w:b/>
      <w:kern w:val="0"/>
      <w:sz w:val="30"/>
      <w:szCs w:val="20"/>
    </w:rPr>
  </w:style>
  <w:style w:type="paragraph" w:styleId="5">
    <w:name w:val="heading 3"/>
    <w:basedOn w:val="1"/>
    <w:next w:val="1"/>
    <w:qFormat/>
    <w:uiPriority w:val="0"/>
    <w:pPr>
      <w:keepNext/>
      <w:keepLines/>
      <w:spacing w:before="260" w:after="260" w:line="416" w:lineRule="auto"/>
      <w:outlineLvl w:val="2"/>
    </w:pPr>
    <w:rPr>
      <w:b/>
      <w:bCs/>
      <w:sz w:val="32"/>
      <w:szCs w:val="32"/>
    </w:rPr>
  </w:style>
  <w:style w:type="paragraph" w:styleId="6">
    <w:name w:val="heading 4"/>
    <w:basedOn w:val="1"/>
    <w:next w:val="1"/>
    <w:qFormat/>
    <w:uiPriority w:val="0"/>
    <w:pPr>
      <w:keepNext/>
      <w:keepLines/>
      <w:spacing w:before="280" w:after="290" w:line="376" w:lineRule="auto"/>
      <w:outlineLvl w:val="3"/>
    </w:pPr>
    <w:rPr>
      <w:rFonts w:ascii="Arial" w:hAnsi="Arial" w:eastAsia="黑体"/>
      <w:b/>
      <w:bCs/>
      <w:sz w:val="28"/>
      <w:szCs w:val="28"/>
    </w:rPr>
  </w:style>
  <w:style w:type="paragraph" w:styleId="7">
    <w:name w:val="heading 5"/>
    <w:basedOn w:val="1"/>
    <w:next w:val="4"/>
    <w:qFormat/>
    <w:uiPriority w:val="0"/>
    <w:pPr>
      <w:keepNext/>
      <w:keepLines/>
      <w:spacing w:before="280" w:after="290" w:line="376" w:lineRule="auto"/>
      <w:outlineLvl w:val="4"/>
    </w:pPr>
    <w:rPr>
      <w:b/>
      <w:sz w:val="28"/>
      <w:szCs w:val="20"/>
    </w:rPr>
  </w:style>
  <w:style w:type="paragraph" w:styleId="8">
    <w:name w:val="heading 6"/>
    <w:basedOn w:val="1"/>
    <w:next w:val="4"/>
    <w:qFormat/>
    <w:uiPriority w:val="0"/>
    <w:pPr>
      <w:keepNext/>
      <w:keepLines/>
      <w:spacing w:before="240" w:after="64" w:line="320" w:lineRule="auto"/>
      <w:outlineLvl w:val="5"/>
    </w:pPr>
    <w:rPr>
      <w:rFonts w:ascii="Arial" w:hAnsi="Arial" w:eastAsia="黑体"/>
      <w:b/>
      <w:sz w:val="24"/>
      <w:szCs w:val="20"/>
    </w:rPr>
  </w:style>
  <w:style w:type="paragraph" w:styleId="9">
    <w:name w:val="heading 7"/>
    <w:basedOn w:val="1"/>
    <w:next w:val="4"/>
    <w:qFormat/>
    <w:uiPriority w:val="0"/>
    <w:pPr>
      <w:keepNext/>
      <w:keepLines/>
      <w:spacing w:before="240" w:after="64" w:line="320" w:lineRule="auto"/>
      <w:outlineLvl w:val="6"/>
    </w:pPr>
    <w:rPr>
      <w:b/>
      <w:sz w:val="24"/>
      <w:szCs w:val="20"/>
    </w:rPr>
  </w:style>
  <w:style w:type="paragraph" w:styleId="10">
    <w:name w:val="heading 8"/>
    <w:basedOn w:val="1"/>
    <w:next w:val="4"/>
    <w:qFormat/>
    <w:uiPriority w:val="0"/>
    <w:pPr>
      <w:keepNext/>
      <w:keepLines/>
      <w:spacing w:before="240" w:after="64" w:line="320" w:lineRule="auto"/>
      <w:outlineLvl w:val="7"/>
    </w:pPr>
    <w:rPr>
      <w:rFonts w:ascii="Arial" w:hAnsi="Arial" w:eastAsia="黑体"/>
      <w:sz w:val="24"/>
      <w:szCs w:val="20"/>
    </w:rPr>
  </w:style>
  <w:style w:type="paragraph" w:styleId="11">
    <w:name w:val="heading 9"/>
    <w:basedOn w:val="1"/>
    <w:next w:val="4"/>
    <w:qFormat/>
    <w:uiPriority w:val="0"/>
    <w:pPr>
      <w:keepNext/>
      <w:keepLines/>
      <w:spacing w:before="240" w:after="64" w:line="320" w:lineRule="auto"/>
      <w:outlineLvl w:val="8"/>
    </w:pPr>
    <w:rPr>
      <w:rFonts w:ascii="Arial" w:hAnsi="Arial" w:eastAsia="黑体"/>
      <w:szCs w:val="20"/>
    </w:rPr>
  </w:style>
  <w:style w:type="character" w:default="1" w:styleId="40">
    <w:name w:val="Default Paragraph Font"/>
    <w:semiHidden/>
    <w:unhideWhenUsed/>
    <w:qFormat/>
    <w:uiPriority w:val="1"/>
  </w:style>
  <w:style w:type="table" w:default="1" w:styleId="38">
    <w:name w:val="Normal Table"/>
    <w:semiHidden/>
    <w:unhideWhenUsed/>
    <w:uiPriority w:val="99"/>
    <w:tblPr>
      <w:tblCellMar>
        <w:top w:w="0" w:type="dxa"/>
        <w:left w:w="108" w:type="dxa"/>
        <w:bottom w:w="0" w:type="dxa"/>
        <w:right w:w="108" w:type="dxa"/>
      </w:tblCellMar>
    </w:tblPr>
  </w:style>
  <w:style w:type="paragraph" w:styleId="4">
    <w:name w:val="Normal Indent"/>
    <w:basedOn w:val="1"/>
    <w:next w:val="1"/>
    <w:qFormat/>
    <w:uiPriority w:val="0"/>
    <w:pPr>
      <w:autoSpaceDE w:val="0"/>
      <w:autoSpaceDN w:val="0"/>
      <w:adjustRightInd w:val="0"/>
      <w:ind w:firstLine="420"/>
      <w:jc w:val="left"/>
    </w:pPr>
    <w:rPr>
      <w:rFonts w:ascii="宋体"/>
      <w:kern w:val="0"/>
      <w:sz w:val="24"/>
      <w:szCs w:val="20"/>
    </w:rPr>
  </w:style>
  <w:style w:type="paragraph" w:styleId="12">
    <w:name w:val="toc 7"/>
    <w:basedOn w:val="1"/>
    <w:next w:val="1"/>
    <w:qFormat/>
    <w:uiPriority w:val="0"/>
    <w:pPr>
      <w:ind w:left="2520" w:leftChars="1200"/>
    </w:pPr>
    <w:rPr>
      <w:rFonts w:ascii="Cambria" w:hAnsi="Cambria"/>
      <w:szCs w:val="21"/>
    </w:rPr>
  </w:style>
  <w:style w:type="paragraph" w:styleId="13">
    <w:name w:val="Document Map"/>
    <w:basedOn w:val="1"/>
    <w:semiHidden/>
    <w:qFormat/>
    <w:uiPriority w:val="0"/>
    <w:pPr>
      <w:shd w:val="clear" w:color="auto" w:fill="000080"/>
    </w:pPr>
  </w:style>
  <w:style w:type="paragraph" w:styleId="14">
    <w:name w:val="annotation text"/>
    <w:basedOn w:val="1"/>
    <w:link w:val="47"/>
    <w:qFormat/>
    <w:uiPriority w:val="99"/>
    <w:pPr>
      <w:jc w:val="left"/>
    </w:pPr>
    <w:rPr>
      <w:rFonts w:ascii="Cambria" w:hAnsi="Cambria"/>
      <w:szCs w:val="21"/>
    </w:rPr>
  </w:style>
  <w:style w:type="paragraph" w:styleId="15">
    <w:name w:val="Body Text 3"/>
    <w:basedOn w:val="1"/>
    <w:qFormat/>
    <w:uiPriority w:val="0"/>
    <w:pPr>
      <w:widowControl/>
      <w:ind w:right="720"/>
      <w:jc w:val="left"/>
    </w:pPr>
    <w:rPr>
      <w:kern w:val="0"/>
      <w:sz w:val="20"/>
      <w:szCs w:val="20"/>
      <w:lang w:eastAsia="en-US"/>
    </w:rPr>
  </w:style>
  <w:style w:type="paragraph" w:styleId="16">
    <w:name w:val="Body Text"/>
    <w:basedOn w:val="1"/>
    <w:qFormat/>
    <w:uiPriority w:val="0"/>
    <w:pPr>
      <w:tabs>
        <w:tab w:val="left" w:pos="567"/>
      </w:tabs>
      <w:spacing w:before="120" w:line="22" w:lineRule="atLeast"/>
    </w:pPr>
    <w:rPr>
      <w:rFonts w:ascii="宋体" w:hAnsi="宋体"/>
      <w:sz w:val="24"/>
    </w:rPr>
  </w:style>
  <w:style w:type="paragraph" w:styleId="17">
    <w:name w:val="Body Text Indent"/>
    <w:basedOn w:val="1"/>
    <w:qFormat/>
    <w:uiPriority w:val="0"/>
    <w:pPr>
      <w:spacing w:after="120"/>
      <w:ind w:left="420" w:leftChars="200"/>
    </w:pPr>
  </w:style>
  <w:style w:type="paragraph" w:styleId="18">
    <w:name w:val="toc 5"/>
    <w:basedOn w:val="1"/>
    <w:next w:val="1"/>
    <w:qFormat/>
    <w:uiPriority w:val="0"/>
    <w:pPr>
      <w:ind w:left="1680" w:leftChars="800"/>
    </w:pPr>
    <w:rPr>
      <w:rFonts w:ascii="Cambria" w:hAnsi="Cambria"/>
      <w:szCs w:val="21"/>
    </w:rPr>
  </w:style>
  <w:style w:type="paragraph" w:styleId="19">
    <w:name w:val="toc 3"/>
    <w:basedOn w:val="1"/>
    <w:next w:val="1"/>
    <w:qFormat/>
    <w:uiPriority w:val="0"/>
    <w:pPr>
      <w:ind w:left="840" w:leftChars="400"/>
    </w:pPr>
    <w:rPr>
      <w:rFonts w:ascii="Cambria" w:hAnsi="Cambria"/>
      <w:szCs w:val="21"/>
    </w:rPr>
  </w:style>
  <w:style w:type="paragraph" w:styleId="20">
    <w:name w:val="Plain Text"/>
    <w:basedOn w:val="1"/>
    <w:link w:val="48"/>
    <w:qFormat/>
    <w:uiPriority w:val="99"/>
    <w:rPr>
      <w:rFonts w:ascii="宋体" w:hAnsi="Courier New"/>
      <w:szCs w:val="20"/>
    </w:rPr>
  </w:style>
  <w:style w:type="paragraph" w:styleId="21">
    <w:name w:val="toc 8"/>
    <w:basedOn w:val="1"/>
    <w:next w:val="1"/>
    <w:qFormat/>
    <w:uiPriority w:val="0"/>
    <w:pPr>
      <w:ind w:left="2940" w:leftChars="1400"/>
    </w:pPr>
    <w:rPr>
      <w:rFonts w:ascii="Cambria" w:hAnsi="Cambria"/>
      <w:szCs w:val="21"/>
    </w:rPr>
  </w:style>
  <w:style w:type="paragraph" w:styleId="22">
    <w:name w:val="Date"/>
    <w:basedOn w:val="1"/>
    <w:next w:val="1"/>
    <w:link w:val="49"/>
    <w:qFormat/>
    <w:uiPriority w:val="0"/>
    <w:rPr>
      <w:szCs w:val="20"/>
    </w:rPr>
  </w:style>
  <w:style w:type="paragraph" w:styleId="23">
    <w:name w:val="Body Text Indent 2"/>
    <w:basedOn w:val="1"/>
    <w:qFormat/>
    <w:uiPriority w:val="0"/>
    <w:pPr>
      <w:ind w:firstLine="480" w:firstLineChars="200"/>
    </w:pPr>
    <w:rPr>
      <w:rFonts w:ascii="仿宋_GB2312" w:eastAsia="仿宋_GB2312"/>
      <w:sz w:val="24"/>
    </w:rPr>
  </w:style>
  <w:style w:type="paragraph" w:styleId="24">
    <w:name w:val="Balloon Text"/>
    <w:basedOn w:val="1"/>
    <w:semiHidden/>
    <w:qFormat/>
    <w:uiPriority w:val="0"/>
    <w:rPr>
      <w:sz w:val="18"/>
      <w:szCs w:val="18"/>
    </w:rPr>
  </w:style>
  <w:style w:type="paragraph" w:styleId="25">
    <w:name w:val="footer"/>
    <w:basedOn w:val="1"/>
    <w:link w:val="50"/>
    <w:qFormat/>
    <w:uiPriority w:val="99"/>
    <w:pPr>
      <w:tabs>
        <w:tab w:val="center" w:pos="4153"/>
        <w:tab w:val="right" w:pos="8306"/>
      </w:tabs>
      <w:snapToGrid w:val="0"/>
      <w:jc w:val="left"/>
    </w:pPr>
    <w:rPr>
      <w:sz w:val="18"/>
      <w:szCs w:val="18"/>
    </w:rPr>
  </w:style>
  <w:style w:type="paragraph" w:styleId="26">
    <w:name w:val="header"/>
    <w:basedOn w:val="1"/>
    <w:link w:val="51"/>
    <w:qFormat/>
    <w:uiPriority w:val="0"/>
    <w:pPr>
      <w:pBdr>
        <w:bottom w:val="single" w:color="auto" w:sz="6" w:space="1"/>
      </w:pBdr>
      <w:tabs>
        <w:tab w:val="center" w:pos="4153"/>
        <w:tab w:val="right" w:pos="8306"/>
      </w:tabs>
      <w:snapToGrid w:val="0"/>
      <w:jc w:val="center"/>
    </w:pPr>
    <w:rPr>
      <w:sz w:val="18"/>
      <w:szCs w:val="18"/>
    </w:rPr>
  </w:style>
  <w:style w:type="paragraph" w:styleId="27">
    <w:name w:val="toc 1"/>
    <w:basedOn w:val="1"/>
    <w:next w:val="1"/>
    <w:qFormat/>
    <w:uiPriority w:val="39"/>
    <w:pPr>
      <w:tabs>
        <w:tab w:val="right" w:leader="dot" w:pos="9061"/>
      </w:tabs>
    </w:pPr>
    <w:rPr>
      <w:rFonts w:ascii="仿宋_GB2312" w:hAnsi="宋体" w:eastAsia="仿宋_GB2312" w:cs="仿宋_GB2312"/>
      <w:color w:val="000000"/>
      <w:szCs w:val="21"/>
    </w:rPr>
  </w:style>
  <w:style w:type="paragraph" w:styleId="28">
    <w:name w:val="toc 4"/>
    <w:basedOn w:val="1"/>
    <w:next w:val="1"/>
    <w:qFormat/>
    <w:uiPriority w:val="0"/>
    <w:pPr>
      <w:ind w:left="1260" w:leftChars="600"/>
    </w:pPr>
    <w:rPr>
      <w:rFonts w:ascii="Cambria" w:hAnsi="Cambria"/>
      <w:szCs w:val="21"/>
    </w:rPr>
  </w:style>
  <w:style w:type="paragraph" w:styleId="29">
    <w:name w:val="toc 6"/>
    <w:basedOn w:val="1"/>
    <w:next w:val="1"/>
    <w:qFormat/>
    <w:uiPriority w:val="0"/>
    <w:pPr>
      <w:ind w:left="2100" w:leftChars="1000"/>
    </w:pPr>
    <w:rPr>
      <w:rFonts w:ascii="Cambria" w:hAnsi="Cambria"/>
      <w:szCs w:val="21"/>
    </w:rPr>
  </w:style>
  <w:style w:type="paragraph" w:styleId="30">
    <w:name w:val="Body Text Indent 3"/>
    <w:basedOn w:val="1"/>
    <w:link w:val="52"/>
    <w:qFormat/>
    <w:uiPriority w:val="0"/>
    <w:pPr>
      <w:autoSpaceDE w:val="0"/>
      <w:autoSpaceDN w:val="0"/>
      <w:adjustRightInd w:val="0"/>
      <w:spacing w:before="120" w:line="22" w:lineRule="atLeast"/>
      <w:ind w:left="720" w:firstLine="480"/>
      <w:jc w:val="left"/>
    </w:pPr>
    <w:rPr>
      <w:rFonts w:ascii="宋体" w:hAnsi="Cambria" w:cs="宋体"/>
      <w:kern w:val="0"/>
      <w:sz w:val="24"/>
    </w:rPr>
  </w:style>
  <w:style w:type="paragraph" w:styleId="31">
    <w:name w:val="toc 2"/>
    <w:basedOn w:val="1"/>
    <w:next w:val="1"/>
    <w:qFormat/>
    <w:uiPriority w:val="0"/>
    <w:pPr>
      <w:spacing w:before="120" w:line="360" w:lineRule="auto"/>
    </w:pPr>
    <w:rPr>
      <w:rFonts w:ascii="仿宋_GB2312" w:hAnsi="宋体" w:eastAsia="仿宋_GB2312" w:cs="仿宋_GB2312"/>
      <w:b/>
      <w:bCs/>
      <w:sz w:val="24"/>
    </w:rPr>
  </w:style>
  <w:style w:type="paragraph" w:styleId="32">
    <w:name w:val="toc 9"/>
    <w:basedOn w:val="1"/>
    <w:next w:val="1"/>
    <w:qFormat/>
    <w:uiPriority w:val="0"/>
    <w:pPr>
      <w:ind w:left="3360" w:leftChars="1600"/>
    </w:pPr>
    <w:rPr>
      <w:rFonts w:ascii="Cambria" w:hAnsi="Cambria"/>
      <w:szCs w:val="21"/>
    </w:rPr>
  </w:style>
  <w:style w:type="paragraph" w:styleId="33">
    <w:name w:val="Body Text 2"/>
    <w:basedOn w:val="1"/>
    <w:qFormat/>
    <w:uiPriority w:val="0"/>
    <w:pPr>
      <w:widowControl/>
    </w:pPr>
    <w:rPr>
      <w:kern w:val="0"/>
      <w:sz w:val="20"/>
      <w:szCs w:val="20"/>
      <w:lang w:eastAsia="en-US"/>
    </w:rPr>
  </w:style>
  <w:style w:type="paragraph" w:styleId="34">
    <w:name w:val="Normal (Web)"/>
    <w:basedOn w:val="1"/>
    <w:qFormat/>
    <w:uiPriority w:val="99"/>
    <w:pPr>
      <w:widowControl/>
      <w:spacing w:before="100" w:beforeAutospacing="1" w:after="100" w:afterAutospacing="1"/>
      <w:jc w:val="left"/>
    </w:pPr>
    <w:rPr>
      <w:rFonts w:ascii="Arial Unicode MS" w:hAnsi="Arial Unicode MS" w:eastAsia="Arial Unicode MS" w:cs="Arial Unicode MS"/>
      <w:kern w:val="0"/>
      <w:sz w:val="24"/>
    </w:rPr>
  </w:style>
  <w:style w:type="paragraph" w:styleId="35">
    <w:name w:val="index 1"/>
    <w:basedOn w:val="1"/>
    <w:next w:val="1"/>
    <w:qFormat/>
    <w:uiPriority w:val="0"/>
    <w:rPr>
      <w:rFonts w:ascii="Cambria" w:hAnsi="Cambria"/>
      <w:szCs w:val="21"/>
    </w:rPr>
  </w:style>
  <w:style w:type="paragraph" w:styleId="36">
    <w:name w:val="Title"/>
    <w:basedOn w:val="1"/>
    <w:qFormat/>
    <w:uiPriority w:val="0"/>
    <w:pPr>
      <w:jc w:val="center"/>
    </w:pPr>
    <w:rPr>
      <w:sz w:val="30"/>
    </w:rPr>
  </w:style>
  <w:style w:type="paragraph" w:styleId="37">
    <w:name w:val="annotation subject"/>
    <w:basedOn w:val="14"/>
    <w:next w:val="14"/>
    <w:link w:val="71"/>
    <w:qFormat/>
    <w:uiPriority w:val="0"/>
    <w:rPr>
      <w:rFonts w:ascii="Times New Roman" w:hAnsi="Times New Roman"/>
      <w:b/>
      <w:bCs/>
      <w:szCs w:val="24"/>
    </w:rPr>
  </w:style>
  <w:style w:type="table" w:styleId="39">
    <w:name w:val="Table Grid"/>
    <w:basedOn w:val="3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41">
    <w:name w:val="Strong"/>
    <w:qFormat/>
    <w:uiPriority w:val="22"/>
    <w:rPr>
      <w:b/>
      <w:bCs/>
    </w:rPr>
  </w:style>
  <w:style w:type="character" w:styleId="42">
    <w:name w:val="page number"/>
    <w:qFormat/>
    <w:uiPriority w:val="0"/>
  </w:style>
  <w:style w:type="character" w:styleId="43">
    <w:name w:val="FollowedHyperlink"/>
    <w:qFormat/>
    <w:uiPriority w:val="0"/>
    <w:rPr>
      <w:color w:val="800080"/>
      <w:u w:val="single"/>
    </w:rPr>
  </w:style>
  <w:style w:type="character" w:styleId="44">
    <w:name w:val="Emphasis"/>
    <w:qFormat/>
    <w:uiPriority w:val="20"/>
    <w:rPr>
      <w:i/>
      <w:iCs/>
    </w:rPr>
  </w:style>
  <w:style w:type="character" w:styleId="45">
    <w:name w:val="Hyperlink"/>
    <w:qFormat/>
    <w:uiPriority w:val="99"/>
    <w:rPr>
      <w:color w:val="0000FF"/>
      <w:u w:val="single"/>
    </w:rPr>
  </w:style>
  <w:style w:type="character" w:styleId="46">
    <w:name w:val="annotation reference"/>
    <w:basedOn w:val="40"/>
    <w:qFormat/>
    <w:uiPriority w:val="99"/>
    <w:rPr>
      <w:sz w:val="21"/>
      <w:szCs w:val="21"/>
    </w:rPr>
  </w:style>
  <w:style w:type="character" w:customStyle="1" w:styleId="47">
    <w:name w:val="批注文字 字符"/>
    <w:link w:val="14"/>
    <w:qFormat/>
    <w:uiPriority w:val="99"/>
    <w:rPr>
      <w:rFonts w:ascii="Cambria" w:hAnsi="Cambria"/>
      <w:kern w:val="2"/>
      <w:sz w:val="21"/>
      <w:szCs w:val="21"/>
    </w:rPr>
  </w:style>
  <w:style w:type="character" w:customStyle="1" w:styleId="48">
    <w:name w:val="纯文本 字符"/>
    <w:link w:val="20"/>
    <w:qFormat/>
    <w:uiPriority w:val="99"/>
    <w:rPr>
      <w:rFonts w:ascii="宋体" w:hAnsi="Courier New"/>
      <w:kern w:val="2"/>
      <w:sz w:val="21"/>
    </w:rPr>
  </w:style>
  <w:style w:type="character" w:customStyle="1" w:styleId="49">
    <w:name w:val="日期 字符"/>
    <w:link w:val="22"/>
    <w:qFormat/>
    <w:uiPriority w:val="0"/>
    <w:rPr>
      <w:rFonts w:eastAsia="宋体"/>
      <w:kern w:val="2"/>
      <w:sz w:val="21"/>
      <w:lang w:val="en-US" w:eastAsia="zh-CN" w:bidi="ar-SA"/>
    </w:rPr>
  </w:style>
  <w:style w:type="character" w:customStyle="1" w:styleId="50">
    <w:name w:val="页脚 字符"/>
    <w:link w:val="25"/>
    <w:qFormat/>
    <w:uiPriority w:val="99"/>
    <w:rPr>
      <w:kern w:val="2"/>
      <w:sz w:val="18"/>
      <w:szCs w:val="18"/>
    </w:rPr>
  </w:style>
  <w:style w:type="character" w:customStyle="1" w:styleId="51">
    <w:name w:val="页眉 字符"/>
    <w:link w:val="26"/>
    <w:qFormat/>
    <w:uiPriority w:val="0"/>
    <w:rPr>
      <w:kern w:val="2"/>
      <w:sz w:val="18"/>
      <w:szCs w:val="18"/>
    </w:rPr>
  </w:style>
  <w:style w:type="character" w:customStyle="1" w:styleId="52">
    <w:name w:val="正文文本缩进 3 字符"/>
    <w:link w:val="30"/>
    <w:qFormat/>
    <w:uiPriority w:val="0"/>
    <w:rPr>
      <w:rFonts w:ascii="宋体" w:hAnsi="Cambria" w:cs="宋体"/>
      <w:sz w:val="24"/>
      <w:szCs w:val="24"/>
    </w:rPr>
  </w:style>
  <w:style w:type="character" w:customStyle="1" w:styleId="53">
    <w:name w:val="Char"/>
    <w:qFormat/>
    <w:uiPriority w:val="0"/>
    <w:rPr>
      <w:rFonts w:ascii="宋体" w:hAnsi="Courier New" w:eastAsia="宋体"/>
      <w:kern w:val="2"/>
      <w:sz w:val="21"/>
      <w:lang w:val="en-US" w:eastAsia="zh-CN" w:bidi="ar-SA"/>
    </w:rPr>
  </w:style>
  <w:style w:type="paragraph" w:customStyle="1" w:styleId="54">
    <w:name w:val="Char1"/>
    <w:basedOn w:val="1"/>
    <w:qFormat/>
    <w:uiPriority w:val="0"/>
    <w:rPr>
      <w:rFonts w:ascii="Tahoma" w:hAnsi="Tahoma"/>
      <w:sz w:val="24"/>
      <w:szCs w:val="20"/>
    </w:rPr>
  </w:style>
  <w:style w:type="paragraph" w:customStyle="1" w:styleId="55">
    <w:name w:val="彩色列表 - 强调文字颜色 11"/>
    <w:basedOn w:val="1"/>
    <w:qFormat/>
    <w:uiPriority w:val="34"/>
    <w:pPr>
      <w:ind w:firstLine="420" w:firstLineChars="200"/>
    </w:pPr>
    <w:rPr>
      <w:rFonts w:ascii="Calibri" w:hAnsi="Calibri"/>
      <w:szCs w:val="22"/>
    </w:rPr>
  </w:style>
  <w:style w:type="paragraph" w:customStyle="1" w:styleId="56">
    <w:name w:val="正文文本 21"/>
    <w:basedOn w:val="1"/>
    <w:qFormat/>
    <w:uiPriority w:val="0"/>
    <w:pPr>
      <w:adjustRightInd w:val="0"/>
      <w:spacing w:before="120" w:line="360" w:lineRule="auto"/>
      <w:ind w:firstLine="480"/>
      <w:textAlignment w:val="baseline"/>
    </w:pPr>
    <w:rPr>
      <w:sz w:val="24"/>
      <w:szCs w:val="20"/>
    </w:rPr>
  </w:style>
  <w:style w:type="paragraph" w:customStyle="1" w:styleId="57">
    <w:name w:val="文档正文"/>
    <w:basedOn w:val="1"/>
    <w:qFormat/>
    <w:uiPriority w:val="0"/>
    <w:pPr>
      <w:adjustRightInd w:val="0"/>
      <w:spacing w:line="480" w:lineRule="atLeast"/>
      <w:ind w:firstLine="567"/>
      <w:textAlignment w:val="baseline"/>
    </w:pPr>
    <w:rPr>
      <w:rFonts w:ascii="长城仿宋"/>
      <w:kern w:val="0"/>
      <w:sz w:val="24"/>
      <w:szCs w:val="20"/>
    </w:rPr>
  </w:style>
  <w:style w:type="paragraph" w:customStyle="1" w:styleId="58">
    <w:name w:val="正文文本缩进 21"/>
    <w:basedOn w:val="1"/>
    <w:qFormat/>
    <w:uiPriority w:val="0"/>
    <w:pPr>
      <w:adjustRightInd w:val="0"/>
      <w:spacing w:before="120"/>
      <w:ind w:firstLine="420"/>
      <w:textAlignment w:val="baseline"/>
    </w:pPr>
    <w:rPr>
      <w:sz w:val="24"/>
      <w:szCs w:val="20"/>
    </w:rPr>
  </w:style>
  <w:style w:type="character" w:customStyle="1" w:styleId="59">
    <w:name w:val="Char2"/>
    <w:qFormat/>
    <w:uiPriority w:val="0"/>
    <w:rPr>
      <w:rFonts w:ascii="宋体" w:hAnsi="Courier New" w:eastAsia="宋体" w:cs="宋体"/>
      <w:kern w:val="2"/>
      <w:sz w:val="21"/>
      <w:szCs w:val="21"/>
      <w:lang w:val="en-US" w:eastAsia="zh-CN"/>
    </w:rPr>
  </w:style>
  <w:style w:type="paragraph" w:customStyle="1" w:styleId="60">
    <w:name w:val="标题1"/>
    <w:basedOn w:val="36"/>
    <w:qFormat/>
    <w:uiPriority w:val="0"/>
    <w:pPr>
      <w:spacing w:before="240" w:after="240"/>
      <w:outlineLvl w:val="0"/>
    </w:pPr>
    <w:rPr>
      <w:rFonts w:ascii="Arial" w:hAnsi="Arial" w:cs="Arial"/>
      <w:b/>
      <w:bCs/>
      <w:spacing w:val="2"/>
      <w:sz w:val="44"/>
      <w:szCs w:val="44"/>
    </w:rPr>
  </w:style>
  <w:style w:type="paragraph" w:customStyle="1" w:styleId="61">
    <w:name w:val="附录标题3"/>
    <w:basedOn w:val="1"/>
    <w:next w:val="4"/>
    <w:qFormat/>
    <w:uiPriority w:val="0"/>
    <w:pPr>
      <w:tabs>
        <w:tab w:val="left" w:pos="1080"/>
        <w:tab w:val="left" w:pos="2880"/>
      </w:tabs>
      <w:ind w:left="2880" w:hanging="720"/>
      <w:outlineLvl w:val="0"/>
    </w:pPr>
    <w:rPr>
      <w:rFonts w:ascii="Arial" w:hAnsi="Arial" w:cs="Arial"/>
      <w:sz w:val="24"/>
    </w:rPr>
  </w:style>
  <w:style w:type="paragraph" w:customStyle="1" w:styleId="62">
    <w:name w:val="样式"/>
    <w:basedOn w:val="1"/>
    <w:next w:val="20"/>
    <w:qFormat/>
    <w:uiPriority w:val="0"/>
    <w:rPr>
      <w:rFonts w:ascii="宋体" w:hAnsi="Courier New" w:cs="宋体"/>
      <w:szCs w:val="21"/>
    </w:rPr>
  </w:style>
  <w:style w:type="paragraph" w:customStyle="1" w:styleId="63">
    <w:name w:val="Char11"/>
    <w:basedOn w:val="1"/>
    <w:qFormat/>
    <w:uiPriority w:val="0"/>
    <w:rPr>
      <w:rFonts w:ascii="Tahoma" w:hAnsi="Tahoma"/>
      <w:sz w:val="24"/>
      <w:szCs w:val="20"/>
    </w:rPr>
  </w:style>
  <w:style w:type="paragraph" w:customStyle="1" w:styleId="64">
    <w:name w:val="Char Char Char Char"/>
    <w:basedOn w:val="1"/>
    <w:qFormat/>
    <w:uiPriority w:val="0"/>
    <w:pPr>
      <w:spacing w:after="160" w:line="240" w:lineRule="exact"/>
    </w:pPr>
    <w:rPr>
      <w:rFonts w:ascii="Cambria" w:hAnsi="Cambria"/>
      <w:szCs w:val="21"/>
    </w:rPr>
  </w:style>
  <w:style w:type="paragraph" w:customStyle="1" w:styleId="65">
    <w:name w:val="trs_editor"/>
    <w:basedOn w:val="1"/>
    <w:qFormat/>
    <w:uiPriority w:val="0"/>
    <w:pPr>
      <w:widowControl/>
      <w:spacing w:before="100" w:beforeAutospacing="1" w:after="100" w:afterAutospacing="1"/>
      <w:jc w:val="left"/>
    </w:pPr>
    <w:rPr>
      <w:rFonts w:ascii="宋体" w:hAnsi="宋体" w:cs="宋体"/>
      <w:kern w:val="0"/>
      <w:sz w:val="24"/>
    </w:rPr>
  </w:style>
  <w:style w:type="paragraph" w:styleId="66">
    <w:name w:val="List Paragraph"/>
    <w:basedOn w:val="1"/>
    <w:qFormat/>
    <w:uiPriority w:val="34"/>
    <w:pPr>
      <w:ind w:left="205" w:right="169" w:firstLine="655"/>
    </w:pPr>
    <w:rPr>
      <w:rFonts w:ascii="Cambria" w:hAnsi="Cambria"/>
      <w:szCs w:val="21"/>
    </w:rPr>
  </w:style>
  <w:style w:type="table" w:customStyle="1" w:styleId="67">
    <w:name w:val="Table Normal"/>
    <w:unhideWhenUsed/>
    <w:qFormat/>
    <w:uiPriority w:val="2"/>
    <w:pPr>
      <w:widowControl w:val="0"/>
      <w:autoSpaceDE w:val="0"/>
      <w:autoSpaceDN w:val="0"/>
    </w:pPr>
    <w:rPr>
      <w:rFonts w:ascii="Cambria" w:hAnsi="Cambria"/>
      <w:sz w:val="22"/>
      <w:szCs w:val="22"/>
      <w:lang w:eastAsia="en-US"/>
    </w:rPr>
    <w:tblPr>
      <w:tblCellMar>
        <w:top w:w="0" w:type="dxa"/>
        <w:left w:w="0" w:type="dxa"/>
        <w:bottom w:w="0" w:type="dxa"/>
        <w:right w:w="0" w:type="dxa"/>
      </w:tblCellMar>
    </w:tblPr>
  </w:style>
  <w:style w:type="paragraph" w:customStyle="1" w:styleId="68">
    <w:name w:val="Table Paragraph"/>
    <w:basedOn w:val="1"/>
    <w:qFormat/>
    <w:uiPriority w:val="1"/>
    <w:pPr>
      <w:autoSpaceDE w:val="0"/>
      <w:autoSpaceDN w:val="0"/>
      <w:jc w:val="left"/>
    </w:pPr>
    <w:rPr>
      <w:rFonts w:ascii="宋体" w:hAnsi="宋体" w:cs="宋体"/>
      <w:kern w:val="0"/>
      <w:sz w:val="22"/>
      <w:szCs w:val="22"/>
      <w:lang w:eastAsia="en-US"/>
    </w:rPr>
  </w:style>
  <w:style w:type="paragraph" w:customStyle="1" w:styleId="69">
    <w:name w:val="xl25"/>
    <w:basedOn w:val="1"/>
    <w:qFormat/>
    <w:uiPriority w:val="0"/>
    <w:pPr>
      <w:widowControl/>
      <w:pBdr>
        <w:bottom w:val="single" w:color="auto" w:sz="4" w:space="0"/>
        <w:right w:val="single" w:color="auto" w:sz="4" w:space="0"/>
      </w:pBdr>
      <w:spacing w:before="100" w:beforeAutospacing="1" w:after="100" w:afterAutospacing="1"/>
      <w:jc w:val="center"/>
    </w:pPr>
    <w:rPr>
      <w:rFonts w:ascii="宋体" w:hAnsi="宋体"/>
      <w:kern w:val="0"/>
      <w:szCs w:val="21"/>
    </w:rPr>
  </w:style>
  <w:style w:type="paragraph" w:customStyle="1" w:styleId="70">
    <w:name w:val="修订1"/>
    <w:hidden/>
    <w:unhideWhenUsed/>
    <w:qFormat/>
    <w:uiPriority w:val="99"/>
    <w:rPr>
      <w:rFonts w:ascii="Times New Roman" w:hAnsi="Times New Roman" w:eastAsia="宋体" w:cs="Times New Roman"/>
      <w:kern w:val="2"/>
      <w:sz w:val="21"/>
      <w:szCs w:val="24"/>
      <w:lang w:val="en-US" w:eastAsia="zh-CN" w:bidi="ar-SA"/>
    </w:rPr>
  </w:style>
  <w:style w:type="character" w:customStyle="1" w:styleId="71">
    <w:name w:val="批注主题 字符"/>
    <w:basedOn w:val="47"/>
    <w:link w:val="37"/>
    <w:qFormat/>
    <w:uiPriority w:val="0"/>
    <w:rPr>
      <w:rFonts w:ascii="Cambria" w:hAnsi="Cambria"/>
      <w:b/>
      <w:bCs/>
      <w:kern w:val="2"/>
      <w:sz w:val="21"/>
      <w:szCs w:val="24"/>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FA8A548-4BD4-4622-BD58-797A2B90048B}">
  <ds:schemaRefs/>
</ds:datastoreItem>
</file>

<file path=docProps/app.xml><?xml version="1.0" encoding="utf-8"?>
<Properties xmlns="http://schemas.openxmlformats.org/officeDocument/2006/extended-properties" xmlns:vt="http://schemas.openxmlformats.org/officeDocument/2006/docPropsVTypes">
  <Template>Normal</Template>
  <Company>Lenovo</Company>
  <Pages>7</Pages>
  <Words>25322</Words>
  <Characters>26972</Characters>
  <Lines>1455</Lines>
  <Paragraphs>1371</Paragraphs>
  <TotalTime>22</TotalTime>
  <ScaleCrop>false</ScaleCrop>
  <LinksUpToDate>false</LinksUpToDate>
  <CharactersWithSpaces>27987</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2025-11-30T02:22:00Z</dcterms:created>
  <dc:creator>caowuning</dc:creator>
  <cp:lastModifiedBy>C.X.F</cp:lastModifiedBy>
  <cp:lastPrinted>2009-04-21T09:03:00Z</cp:lastPrinted>
  <dcterms:modified xsi:type="dcterms:W3CDTF">2025-12-01T10:28:52Z</dcterms:modified>
  <dc:title>北 京 市 政 府 采 购</dc:title>
  <cp:revision>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0659BEE0549A4B1A958E2050D51CA531_13</vt:lpwstr>
  </property>
  <property fmtid="{D5CDD505-2E9C-101B-9397-08002B2CF9AE}" pid="4" name="KSOTemplateDocerSaveRecord">
    <vt:lpwstr>eyJoZGlkIjoiNTI5ZmZjMjA2MjdiMDFiYzZmZWIzNjQ5YThhMzQxMzIiLCJ1c2VySWQiOiI3MTgzNDAyNjIifQ==</vt:lpwstr>
  </property>
</Properties>
</file>