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napToGrid w:val="0"/>
        <w:spacing w:after="156" w:afterLines="50"/>
        <w:jc w:val="center"/>
        <w:outlineLvl w:val="0"/>
        <w:rPr>
          <w:rFonts w:hint="eastAsia" w:ascii="宋体" w:hAnsi="宋体" w:eastAsia="宋体" w:cs="黑体"/>
          <w:kern w:val="0"/>
          <w:sz w:val="32"/>
          <w:szCs w:val="32"/>
          <w:lang w:val="en-US" w:eastAsia="zh-CN"/>
        </w:rPr>
      </w:pPr>
      <w:r>
        <w:rPr>
          <w:rFonts w:hint="eastAsia" w:ascii="宋体" w:hAnsi="宋体" w:cs="黑体"/>
          <w:kern w:val="0"/>
          <w:sz w:val="32"/>
          <w:szCs w:val="32"/>
        </w:rPr>
        <w:t>中国地质环境监测院张承地区自然资源综合监测项目专业监测材料采购</w:t>
      </w:r>
      <w:r>
        <w:rPr>
          <w:rFonts w:hint="eastAsia" w:ascii="宋体" w:hAnsi="宋体" w:cs="黑体"/>
          <w:kern w:val="0"/>
          <w:sz w:val="32"/>
          <w:szCs w:val="32"/>
          <w:lang w:val="en-US" w:eastAsia="zh-CN"/>
        </w:rPr>
        <w:t>招标公告</w:t>
      </w:r>
      <w:bookmarkStart w:id="2" w:name="_GoBack"/>
      <w:bookmarkEnd w:id="2"/>
    </w:p>
    <w:p>
      <w:pPr>
        <w:jc w:val="center"/>
        <w:rPr>
          <w:sz w:val="24"/>
        </w:rPr>
      </w:pPr>
    </w:p>
    <w:p>
      <w:pPr>
        <w:numPr>
          <w:ilvl w:val="0"/>
          <w:numId w:val="1"/>
        </w:numPr>
        <w:tabs>
          <w:tab w:val="left" w:pos="709"/>
        </w:tabs>
        <w:autoSpaceDE w:val="0"/>
        <w:autoSpaceDN w:val="0"/>
        <w:adjustRightInd w:val="0"/>
        <w:snapToGrid w:val="0"/>
        <w:spacing w:after="156" w:afterLines="50"/>
        <w:ind w:left="709" w:hanging="709"/>
        <w:rPr>
          <w:rFonts w:ascii="宋体" w:hAnsi="宋体" w:cs="黑体"/>
          <w:kern w:val="0"/>
          <w:sz w:val="24"/>
        </w:rPr>
      </w:pPr>
      <w:r>
        <w:rPr>
          <w:rFonts w:hint="eastAsia" w:ascii="宋体" w:hAnsi="宋体" w:cs="黑体"/>
          <w:kern w:val="0"/>
          <w:sz w:val="24"/>
        </w:rPr>
        <w:t>受中国地质环境监测院委托，国信国采（北京）招标咨询有限责任公司对    中国地质环境监测院张承地区</w:t>
      </w:r>
      <w:r>
        <w:rPr>
          <w:rFonts w:ascii="宋体" w:hAnsi="宋体" w:cs="黑体"/>
          <w:kern w:val="0"/>
          <w:sz w:val="24"/>
        </w:rPr>
        <w:t>自然资源综合监测</w:t>
      </w:r>
      <w:r>
        <w:rPr>
          <w:rFonts w:hint="eastAsia"/>
          <w:sz w:val="24"/>
        </w:rPr>
        <w:t>项目</w:t>
      </w:r>
      <w:r>
        <w:rPr>
          <w:rFonts w:hint="eastAsia" w:ascii="宋体" w:hAnsi="宋体" w:cs="黑体"/>
          <w:kern w:val="0"/>
          <w:sz w:val="24"/>
        </w:rPr>
        <w:t>专业监测材料采购的货物（项目编号：GXTC-D-20700023）进行国内公开招标。欢迎国内合格的投标人参加投标。</w:t>
      </w:r>
    </w:p>
    <w:p>
      <w:pPr>
        <w:numPr>
          <w:ilvl w:val="0"/>
          <w:numId w:val="1"/>
        </w:numPr>
        <w:tabs>
          <w:tab w:val="left" w:pos="709"/>
        </w:tabs>
        <w:autoSpaceDE w:val="0"/>
        <w:autoSpaceDN w:val="0"/>
        <w:adjustRightInd w:val="0"/>
        <w:snapToGrid w:val="0"/>
        <w:spacing w:after="156" w:afterLines="50"/>
        <w:ind w:left="709" w:hanging="709"/>
        <w:rPr>
          <w:rFonts w:ascii="宋体" w:hAnsi="宋体" w:cs="黑体"/>
          <w:kern w:val="0"/>
          <w:sz w:val="24"/>
        </w:rPr>
      </w:pPr>
      <w:r>
        <w:rPr>
          <w:rFonts w:hint="eastAsia" w:ascii="宋体" w:hAnsi="宋体" w:cs="黑体"/>
          <w:kern w:val="0"/>
          <w:sz w:val="24"/>
        </w:rPr>
        <w:t>采购项目的名称、预算金额（或最高限价）</w:t>
      </w:r>
    </w:p>
    <w:p>
      <w:pPr>
        <w:spacing w:line="360" w:lineRule="auto"/>
        <w:ind w:left="2301" w:leftChars="338" w:hanging="1591" w:hangingChars="663"/>
        <w:rPr>
          <w:rFonts w:ascii="宋体" w:hAnsi="宋体" w:cs="黑体"/>
          <w:i/>
          <w:kern w:val="0"/>
          <w:sz w:val="24"/>
        </w:rPr>
      </w:pPr>
      <w:r>
        <w:rPr>
          <w:rFonts w:hint="eastAsia"/>
          <w:sz w:val="24"/>
        </w:rPr>
        <w:t>采购项目名称：中国地质环境监测院</w:t>
      </w:r>
      <w:r>
        <w:rPr>
          <w:rFonts w:hint="eastAsia" w:ascii="宋体" w:hAnsi="宋体" w:cs="黑体"/>
          <w:kern w:val="0"/>
          <w:sz w:val="24"/>
        </w:rPr>
        <w:t>张承地区</w:t>
      </w:r>
      <w:r>
        <w:rPr>
          <w:rFonts w:ascii="宋体" w:hAnsi="宋体" w:cs="黑体"/>
          <w:kern w:val="0"/>
          <w:sz w:val="24"/>
        </w:rPr>
        <w:t>自然资源综合监测</w:t>
      </w:r>
      <w:r>
        <w:rPr>
          <w:rFonts w:hint="eastAsia"/>
          <w:sz w:val="24"/>
        </w:rPr>
        <w:t>项目专业监测材料采购</w:t>
      </w:r>
    </w:p>
    <w:p>
      <w:pPr>
        <w:spacing w:line="360" w:lineRule="auto"/>
        <w:ind w:left="420" w:leftChars="200" w:firstLine="290" w:firstLineChars="121"/>
        <w:rPr>
          <w:rFonts w:ascii="宋体" w:hAnsi="宋体" w:cs="宋体"/>
          <w:sz w:val="24"/>
        </w:rPr>
      </w:pPr>
      <w:r>
        <w:rPr>
          <w:rFonts w:hint="eastAsia" w:ascii="宋体" w:hAnsi="宋体" w:cs="宋体"/>
          <w:sz w:val="24"/>
        </w:rPr>
        <w:t>预算金额：</w:t>
      </w:r>
      <w:r>
        <w:rPr>
          <w:rFonts w:ascii="宋体" w:hAnsi="宋体" w:cs="宋体"/>
          <w:sz w:val="24"/>
        </w:rPr>
        <w:t>60</w:t>
      </w:r>
      <w:r>
        <w:rPr>
          <w:rFonts w:hint="eastAsia" w:ascii="宋体" w:hAnsi="宋体" w:cs="宋体"/>
          <w:sz w:val="24"/>
        </w:rPr>
        <w:t>万元</w:t>
      </w:r>
    </w:p>
    <w:p>
      <w:pPr>
        <w:spacing w:line="360" w:lineRule="auto"/>
        <w:ind w:left="420" w:leftChars="200" w:firstLine="290" w:firstLineChars="121"/>
        <w:rPr>
          <w:rFonts w:ascii="宋体" w:hAnsi="宋体" w:cs="宋体"/>
          <w:sz w:val="24"/>
        </w:rPr>
      </w:pPr>
      <w:r>
        <w:rPr>
          <w:rFonts w:hint="eastAsia" w:ascii="宋体" w:hAnsi="宋体" w:cs="宋体"/>
          <w:sz w:val="24"/>
        </w:rPr>
        <w:t>最高限价：</w:t>
      </w:r>
      <w:r>
        <w:rPr>
          <w:rFonts w:ascii="宋体" w:hAnsi="宋体" w:cs="宋体"/>
          <w:sz w:val="24"/>
        </w:rPr>
        <w:t>60</w:t>
      </w:r>
      <w:r>
        <w:rPr>
          <w:rFonts w:hint="eastAsia" w:ascii="宋体" w:hAnsi="宋体" w:cs="宋体"/>
          <w:sz w:val="24"/>
        </w:rPr>
        <w:t>万元</w:t>
      </w:r>
    </w:p>
    <w:p>
      <w:pPr>
        <w:numPr>
          <w:ilvl w:val="0"/>
          <w:numId w:val="1"/>
        </w:numPr>
        <w:tabs>
          <w:tab w:val="left" w:pos="709"/>
        </w:tabs>
        <w:autoSpaceDE w:val="0"/>
        <w:autoSpaceDN w:val="0"/>
        <w:adjustRightInd w:val="0"/>
        <w:snapToGrid w:val="0"/>
        <w:spacing w:after="156" w:afterLines="50"/>
        <w:ind w:left="709" w:hanging="709"/>
        <w:rPr>
          <w:rFonts w:ascii="宋体" w:hAnsi="宋体" w:cs="黑体"/>
          <w:kern w:val="0"/>
          <w:sz w:val="24"/>
        </w:rPr>
      </w:pPr>
      <w:r>
        <w:rPr>
          <w:rFonts w:hint="eastAsia" w:ascii="宋体" w:hAnsi="宋体" w:cs="黑体"/>
          <w:kern w:val="0"/>
          <w:sz w:val="24"/>
        </w:rPr>
        <w:t>采购人的采购需求</w:t>
      </w:r>
    </w:p>
    <w:tbl>
      <w:tblPr>
        <w:tblStyle w:val="4"/>
        <w:tblW w:w="821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9"/>
        <w:gridCol w:w="885"/>
        <w:gridCol w:w="1155"/>
        <w:gridCol w:w="4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389" w:type="dxa"/>
            <w:vAlign w:val="center"/>
          </w:tcPr>
          <w:p>
            <w:pPr>
              <w:jc w:val="center"/>
              <w:rPr>
                <w:rFonts w:hint="eastAsia" w:ascii="宋体" w:hAnsi="宋体" w:eastAsia="宋体" w:cs="宋体"/>
                <w:b/>
                <w:color w:val="auto"/>
                <w:szCs w:val="21"/>
                <w:highlight w:val="none"/>
              </w:rPr>
            </w:pPr>
            <w:bookmarkStart w:id="0" w:name="_Hlk41910444"/>
            <w:r>
              <w:rPr>
                <w:rFonts w:hint="eastAsia" w:ascii="宋体" w:hAnsi="宋体" w:eastAsia="宋体" w:cs="宋体"/>
                <w:b/>
                <w:color w:val="auto"/>
                <w:szCs w:val="21"/>
                <w:highlight w:val="none"/>
              </w:rPr>
              <w:t>采购内容</w:t>
            </w:r>
          </w:p>
        </w:tc>
        <w:tc>
          <w:tcPr>
            <w:tcW w:w="885" w:type="dxa"/>
            <w:vAlign w:val="center"/>
          </w:tcPr>
          <w:p>
            <w:pPr>
              <w:widowControl/>
              <w:jc w:val="center"/>
              <w:rPr>
                <w:rFonts w:hint="eastAsia" w:ascii="宋体" w:hAnsi="宋体" w:eastAsia="宋体" w:cs="宋体"/>
                <w:b/>
                <w:color w:val="auto"/>
                <w:szCs w:val="21"/>
                <w:highlight w:val="none"/>
              </w:rPr>
            </w:pPr>
            <w:r>
              <w:rPr>
                <w:rFonts w:hint="eastAsia" w:ascii="宋体" w:hAnsi="宋体" w:eastAsia="宋体" w:cs="宋体"/>
                <w:b/>
                <w:color w:val="auto"/>
                <w:kern w:val="0"/>
                <w:szCs w:val="21"/>
                <w:highlight w:val="none"/>
              </w:rPr>
              <w:t>单位</w:t>
            </w:r>
          </w:p>
        </w:tc>
        <w:tc>
          <w:tcPr>
            <w:tcW w:w="1155" w:type="dxa"/>
            <w:vAlign w:val="center"/>
          </w:tcPr>
          <w:p>
            <w:pPr>
              <w:widowControl/>
              <w:jc w:val="center"/>
              <w:rPr>
                <w:rFonts w:hint="eastAsia" w:ascii="宋体" w:hAnsi="宋体" w:eastAsia="宋体" w:cs="宋体"/>
                <w:b/>
                <w:color w:val="auto"/>
                <w:szCs w:val="21"/>
                <w:highlight w:val="none"/>
              </w:rPr>
            </w:pPr>
            <w:r>
              <w:rPr>
                <w:rFonts w:hint="eastAsia" w:ascii="宋体" w:hAnsi="宋体" w:eastAsia="宋体" w:cs="宋体"/>
                <w:b/>
                <w:color w:val="auto"/>
                <w:kern w:val="0"/>
                <w:szCs w:val="21"/>
                <w:highlight w:val="none"/>
              </w:rPr>
              <w:t>数量</w:t>
            </w:r>
          </w:p>
        </w:tc>
        <w:tc>
          <w:tcPr>
            <w:tcW w:w="4783" w:type="dxa"/>
            <w:vAlign w:val="center"/>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简要技术要求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389" w:type="dxa"/>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包裹式植物茎流计</w:t>
            </w:r>
          </w:p>
        </w:tc>
        <w:tc>
          <w:tcPr>
            <w:tcW w:w="885" w:type="dxa"/>
            <w:vAlign w:val="center"/>
          </w:tcPr>
          <w:p>
            <w:pPr>
              <w:widowControl/>
              <w:jc w:val="center"/>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套</w:t>
            </w:r>
          </w:p>
        </w:tc>
        <w:tc>
          <w:tcPr>
            <w:tcW w:w="1155" w:type="dxa"/>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w:t>
            </w:r>
          </w:p>
        </w:tc>
        <w:tc>
          <w:tcPr>
            <w:tcW w:w="4783" w:type="dxa"/>
            <w:vAlign w:val="center"/>
          </w:tcPr>
          <w:p>
            <w:pPr>
              <w:rPr>
                <w:rFonts w:hint="eastAsia" w:ascii="宋体" w:hAnsi="宋体" w:eastAsia="宋体" w:cs="宋体"/>
                <w:color w:val="auto"/>
                <w:szCs w:val="21"/>
                <w:highlight w:val="none"/>
              </w:rPr>
            </w:pPr>
            <w:bookmarkStart w:id="1" w:name="OLE_LINK8"/>
            <w:r>
              <w:rPr>
                <w:rFonts w:hint="eastAsia" w:ascii="宋体" w:hAnsi="宋体" w:eastAsia="宋体" w:cs="宋体"/>
                <w:color w:val="auto"/>
                <w:szCs w:val="21"/>
                <w:highlight w:val="none"/>
              </w:rPr>
              <w:t>数据采集器，可记录原始数据，通过公式计算茎流数据；</w:t>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基本输入端口：≥5个模拟通道，SDI-12；</w:t>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传感器数量：标准配置≥8个 ，可扩展到32个；</w:t>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量程&amp;分辨率：不大于3mV &amp; 不大于0.4μV；</w:t>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电压调节：调压范围0~10 V；</w:t>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存储器：至少64MB（至少1000000个数据点）；</w:t>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数据传输：USB；RS-232接口等多个接口 </w:t>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充电电池：至少7 Ahr/12V 铅酸电池</w:t>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太阳能板：≥50W，带支架</w:t>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传感器电缆：8根，每根至少5米，带接头</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密封箱：采用耐腐蚀材质，带支架，可锁坚固耐用安装墩、围栏、标识标志牌1套。</w:t>
            </w:r>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389" w:type="dxa"/>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土壤水分监测系统</w:t>
            </w:r>
          </w:p>
        </w:tc>
        <w:tc>
          <w:tcPr>
            <w:tcW w:w="885" w:type="dxa"/>
            <w:vAlign w:val="center"/>
          </w:tcPr>
          <w:p>
            <w:pPr>
              <w:widowControl/>
              <w:jc w:val="center"/>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套</w:t>
            </w:r>
          </w:p>
        </w:tc>
        <w:tc>
          <w:tcPr>
            <w:tcW w:w="1155" w:type="dxa"/>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3</w:t>
            </w:r>
          </w:p>
        </w:tc>
        <w:tc>
          <w:tcPr>
            <w:tcW w:w="4783" w:type="dxa"/>
            <w:vAlign w:val="center"/>
          </w:tcPr>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数据采集通道：至少5通道；</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数据采集存储：4M以上，至少40,000个读数；</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数据采集采集间隔：5min 到 12h可调；</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运行软件：windows界面软件；</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数据传输：无线传输；</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运行环境：-40～60 ℃；0～100% RH；防雨防紫外线包装盒；</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电源：碱性电池或太阳能供电；</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数据采集接口：立体声标准接口或SDI-12接口；</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传感器线缆：至少5米</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土壤含水量范围：</w:t>
            </w:r>
            <w:r>
              <w:rPr>
                <w:rFonts w:hint="eastAsia" w:ascii="宋体" w:hAnsi="宋体" w:eastAsia="宋体" w:cs="宋体"/>
                <w:color w:val="auto"/>
                <w:highlight w:val="none"/>
              </w:rPr>
              <w:t xml:space="preserve"> </w:t>
            </w:r>
            <w:r>
              <w:rPr>
                <w:rFonts w:hint="eastAsia" w:ascii="宋体" w:hAnsi="宋体" w:eastAsia="宋体" w:cs="宋体"/>
                <w:color w:val="auto"/>
                <w:szCs w:val="21"/>
                <w:highlight w:val="none"/>
              </w:rPr>
              <w:t>1 %(空气) ~ 80 %(水) ，准确度±3%或更优</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温度范围：-20~60℃；分辨率：0.1℃或更优；准确度：1℃或更优</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电导率范围：0 - 10 dS/m ；分辨率：不大于0.01dS/m；准确度：不大于± 5% </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安装墩及围栏、标识标志牌3套。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389" w:type="dxa"/>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植物根系生长监测系统</w:t>
            </w:r>
          </w:p>
        </w:tc>
        <w:tc>
          <w:tcPr>
            <w:tcW w:w="885" w:type="dxa"/>
            <w:vAlign w:val="center"/>
          </w:tcPr>
          <w:p>
            <w:pPr>
              <w:widowControl/>
              <w:jc w:val="center"/>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套</w:t>
            </w:r>
          </w:p>
        </w:tc>
        <w:tc>
          <w:tcPr>
            <w:tcW w:w="1155" w:type="dxa"/>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w:t>
            </w:r>
          </w:p>
        </w:tc>
        <w:tc>
          <w:tcPr>
            <w:tcW w:w="4783" w:type="dxa"/>
            <w:vAlign w:val="center"/>
          </w:tcPr>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工作环境：0℃～50℃,相对湿度0～100%RH（没有水汽凝结）</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*主机特点：柱型设计的360度旋转光电耦合主机，可对根系和土壤状态进行不变形的线性数据获取</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Ø 最高可获得1200Dpi高清图像</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Ø 无损线性扫描</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Ø 光学分辨率可选100、300、600、1200Dpi </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Ø 电源：操作终端供电和软件控制</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Ø 接口：USB、WiFi或蓝牙</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Ø 数据存贮：直接存贮到数据处理终端</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*一次获取数据尺寸：≥380</w:t>
            </w:r>
            <w:r>
              <w:rPr>
                <w:rFonts w:hint="eastAsia" w:ascii="宋体" w:hAnsi="宋体" w:eastAsia="宋体" w:cs="宋体"/>
                <w:color w:val="auto"/>
                <w:highlight w:val="none"/>
              </w:rPr>
              <w:t xml:space="preserve"> </w:t>
            </w:r>
            <w:r>
              <w:rPr>
                <w:rFonts w:hint="eastAsia" w:ascii="宋体" w:hAnsi="宋体" w:eastAsia="宋体" w:cs="宋体"/>
                <w:color w:val="auto"/>
                <w:szCs w:val="21"/>
                <w:highlight w:val="none"/>
              </w:rPr>
              <w:t>cm2</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Ø 主机获取速率：≤40秒（300Dpi时）</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主机探头尺寸：≤5cm</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Ø 主机：≤500g</w:t>
            </w:r>
          </w:p>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系统主机1个，标定管、图像分析软件、根系生长动态分析软件，扫描图象，USB数据连接线、1米的根管（20根），土钻，可折叠的拉杆和仪器箱。安装墩及围栏、标识标志牌1套。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389" w:type="dxa"/>
            <w:vAlign w:val="center"/>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软件平台、通讯及安装维护服务</w:t>
            </w:r>
          </w:p>
        </w:tc>
        <w:tc>
          <w:tcPr>
            <w:tcW w:w="885" w:type="dxa"/>
            <w:vAlign w:val="center"/>
          </w:tcPr>
          <w:p>
            <w:pPr>
              <w:widowControl/>
              <w:jc w:val="center"/>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套</w:t>
            </w:r>
          </w:p>
        </w:tc>
        <w:tc>
          <w:tcPr>
            <w:tcW w:w="1155" w:type="dxa"/>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w:t>
            </w:r>
          </w:p>
        </w:tc>
        <w:tc>
          <w:tcPr>
            <w:tcW w:w="4783" w:type="dxa"/>
            <w:vAlign w:val="center"/>
          </w:tcPr>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提供无线监测数据平台，实现动态监测及数据报告等服务。</w:t>
            </w:r>
          </w:p>
          <w:p>
            <w:pPr>
              <w:widowControl/>
              <w:jc w:val="left"/>
              <w:textAlignment w:val="center"/>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至少包含3年运行通讯服务费和维修维护费用。</w:t>
            </w:r>
          </w:p>
        </w:tc>
      </w:tr>
      <w:bookmarkEnd w:id="0"/>
    </w:tbl>
    <w:p>
      <w:pPr>
        <w:tabs>
          <w:tab w:val="left" w:pos="709"/>
        </w:tabs>
        <w:autoSpaceDE w:val="0"/>
        <w:autoSpaceDN w:val="0"/>
        <w:adjustRightInd w:val="0"/>
        <w:snapToGrid w:val="0"/>
        <w:spacing w:after="156" w:afterLines="50"/>
        <w:ind w:left="710" w:leftChars="338"/>
        <w:rPr>
          <w:rFonts w:ascii="宋体" w:hAnsi="宋体" w:cs="黑体"/>
          <w:kern w:val="0"/>
          <w:sz w:val="24"/>
        </w:rPr>
      </w:pPr>
      <w:r>
        <w:rPr>
          <w:rFonts w:hint="eastAsia" w:ascii="宋体" w:hAnsi="宋体" w:cs="黑体"/>
          <w:kern w:val="0"/>
          <w:sz w:val="24"/>
        </w:rPr>
        <w:t>交货期：合同签订后</w:t>
      </w:r>
      <w:r>
        <w:rPr>
          <w:rFonts w:ascii="宋体" w:hAnsi="宋体" w:cs="黑体"/>
          <w:kern w:val="0"/>
          <w:sz w:val="24"/>
        </w:rPr>
        <w:t>50</w:t>
      </w:r>
      <w:r>
        <w:rPr>
          <w:rFonts w:hint="eastAsia" w:ascii="宋体" w:hAnsi="宋体" w:cs="黑体"/>
          <w:kern w:val="0"/>
          <w:sz w:val="24"/>
        </w:rPr>
        <w:t>天内</w:t>
      </w:r>
    </w:p>
    <w:p>
      <w:pPr>
        <w:shd w:val="clear"/>
        <w:tabs>
          <w:tab w:val="left" w:pos="709"/>
        </w:tabs>
        <w:autoSpaceDE w:val="0"/>
        <w:autoSpaceDN w:val="0"/>
        <w:adjustRightInd w:val="0"/>
        <w:snapToGrid w:val="0"/>
        <w:spacing w:after="156" w:afterLines="50"/>
        <w:ind w:left="710" w:leftChars="338"/>
        <w:rPr>
          <w:rFonts w:ascii="宋体" w:hAnsi="宋体" w:cs="黑体"/>
          <w:kern w:val="0"/>
          <w:sz w:val="24"/>
          <w:highlight w:val="none"/>
        </w:rPr>
      </w:pPr>
      <w:r>
        <w:rPr>
          <w:rFonts w:hint="eastAsia" w:ascii="宋体" w:hAnsi="宋体" w:cs="黑体"/>
          <w:kern w:val="0"/>
          <w:sz w:val="24"/>
          <w:highlight w:val="none"/>
        </w:rPr>
        <w:t>交货地点：交付地点为采购人指定地点</w:t>
      </w:r>
    </w:p>
    <w:p>
      <w:pPr>
        <w:shd w:val="clear"/>
        <w:tabs>
          <w:tab w:val="left" w:pos="709"/>
        </w:tabs>
        <w:autoSpaceDE w:val="0"/>
        <w:autoSpaceDN w:val="0"/>
        <w:adjustRightInd w:val="0"/>
        <w:snapToGrid w:val="0"/>
        <w:spacing w:after="156" w:afterLines="50"/>
        <w:ind w:left="710" w:leftChars="338"/>
        <w:rPr>
          <w:rFonts w:ascii="宋体" w:hAnsi="宋体" w:cs="黑体"/>
          <w:kern w:val="0"/>
          <w:sz w:val="24"/>
          <w:highlight w:val="none"/>
        </w:rPr>
      </w:pPr>
      <w:r>
        <w:rPr>
          <w:rFonts w:hint="eastAsia" w:ascii="宋体" w:hAnsi="宋体" w:cs="黑体"/>
          <w:kern w:val="0"/>
          <w:sz w:val="24"/>
          <w:highlight w:val="none"/>
        </w:rPr>
        <w:t>是否接受进口产品投标：否</w:t>
      </w:r>
    </w:p>
    <w:p>
      <w:pPr>
        <w:tabs>
          <w:tab w:val="left" w:pos="709"/>
        </w:tabs>
        <w:autoSpaceDE w:val="0"/>
        <w:autoSpaceDN w:val="0"/>
        <w:adjustRightInd w:val="0"/>
        <w:snapToGrid w:val="0"/>
        <w:spacing w:after="156" w:afterLines="50"/>
        <w:ind w:left="710" w:leftChars="338"/>
        <w:rPr>
          <w:rFonts w:ascii="宋体" w:hAnsi="宋体" w:cs="黑体"/>
          <w:kern w:val="0"/>
          <w:sz w:val="24"/>
        </w:rPr>
      </w:pPr>
      <w:r>
        <w:rPr>
          <w:rFonts w:hint="eastAsia" w:ascii="宋体" w:hAnsi="宋体" w:cs="黑体"/>
          <w:kern w:val="0"/>
          <w:sz w:val="24"/>
        </w:rPr>
        <w:t>投标人必须对招标货物内所有货物进行投标，不允许只投标其中的一部分，否则作为无效标处理。</w:t>
      </w:r>
    </w:p>
    <w:p>
      <w:pPr>
        <w:numPr>
          <w:ilvl w:val="0"/>
          <w:numId w:val="1"/>
        </w:numPr>
        <w:tabs>
          <w:tab w:val="left" w:pos="709"/>
        </w:tabs>
        <w:autoSpaceDE w:val="0"/>
        <w:autoSpaceDN w:val="0"/>
        <w:adjustRightInd w:val="0"/>
        <w:snapToGrid w:val="0"/>
        <w:spacing w:after="156" w:afterLines="50"/>
        <w:ind w:left="709" w:hanging="709"/>
        <w:rPr>
          <w:rFonts w:ascii="宋体" w:hAnsi="宋体" w:cs="黑体"/>
          <w:kern w:val="0"/>
          <w:sz w:val="24"/>
        </w:rPr>
      </w:pPr>
      <w:r>
        <w:rPr>
          <w:rFonts w:hint="eastAsia" w:ascii="宋体" w:hAnsi="宋体" w:cs="黑体"/>
          <w:kern w:val="0"/>
          <w:sz w:val="24"/>
        </w:rPr>
        <w:t>采购项目执行政府采购政策</w:t>
      </w:r>
    </w:p>
    <w:p>
      <w:pPr>
        <w:numPr>
          <w:ilvl w:val="0"/>
          <w:numId w:val="2"/>
        </w:numPr>
        <w:spacing w:line="360" w:lineRule="auto"/>
        <w:ind w:left="1029" w:leftChars="338" w:hanging="319" w:hangingChars="133"/>
        <w:rPr>
          <w:rFonts w:ascii="宋体" w:hAnsi="宋体" w:cs="宋体"/>
          <w:sz w:val="24"/>
        </w:rPr>
      </w:pPr>
      <w:r>
        <w:rPr>
          <w:rFonts w:hint="eastAsia" w:ascii="宋体" w:hAnsi="宋体" w:cs="宋体"/>
          <w:sz w:val="24"/>
        </w:rPr>
        <w:t>对小微企业的产品给予价格扣除（监狱企业、残疾人福利性单位视同小微企业；残疾人福利性单位属于小型、微型企业的，不重复享受政策）；</w:t>
      </w:r>
    </w:p>
    <w:p>
      <w:pPr>
        <w:numPr>
          <w:ilvl w:val="0"/>
          <w:numId w:val="2"/>
        </w:numPr>
        <w:spacing w:line="360" w:lineRule="auto"/>
        <w:ind w:left="1029" w:leftChars="338" w:hanging="319" w:hangingChars="133"/>
        <w:rPr>
          <w:rFonts w:ascii="宋体" w:hAnsi="宋体" w:cs="宋体"/>
          <w:sz w:val="24"/>
        </w:rPr>
      </w:pPr>
      <w:r>
        <w:rPr>
          <w:rFonts w:hint="eastAsia" w:ascii="宋体" w:hAnsi="宋体" w:cs="宋体"/>
          <w:sz w:val="24"/>
        </w:rPr>
        <w:t>优先采购节能环保产品（注：所采购的货物在政府采购节能产品、环境标志产品实施品目清单范围内，且具有国家确定的认证机构出具的、处于有效期之内的节能产品、环境标志产品认证证书）。</w:t>
      </w:r>
    </w:p>
    <w:p>
      <w:pPr>
        <w:numPr>
          <w:ilvl w:val="0"/>
          <w:numId w:val="1"/>
        </w:numPr>
        <w:tabs>
          <w:tab w:val="left" w:pos="709"/>
        </w:tabs>
        <w:autoSpaceDE w:val="0"/>
        <w:autoSpaceDN w:val="0"/>
        <w:adjustRightInd w:val="0"/>
        <w:snapToGrid w:val="0"/>
        <w:spacing w:after="156" w:afterLines="50" w:line="360" w:lineRule="auto"/>
        <w:ind w:left="709" w:hanging="709"/>
        <w:rPr>
          <w:rFonts w:ascii="宋体" w:hAnsi="宋体" w:cs="黑体"/>
          <w:kern w:val="0"/>
          <w:sz w:val="24"/>
        </w:rPr>
      </w:pPr>
      <w:r>
        <w:rPr>
          <w:rFonts w:hint="eastAsia" w:ascii="宋体" w:hAnsi="宋体" w:cs="黑体"/>
          <w:kern w:val="0"/>
          <w:sz w:val="24"/>
        </w:rPr>
        <w:t>投标人的资格要求</w:t>
      </w:r>
    </w:p>
    <w:p>
      <w:pPr>
        <w:pStyle w:val="5"/>
        <w:numPr>
          <w:ilvl w:val="0"/>
          <w:numId w:val="3"/>
        </w:numPr>
        <w:autoSpaceDE w:val="0"/>
        <w:autoSpaceDN w:val="0"/>
        <w:adjustRightInd w:val="0"/>
        <w:snapToGrid w:val="0"/>
        <w:spacing w:after="156" w:afterLines="50" w:line="360" w:lineRule="auto"/>
        <w:ind w:left="1276" w:hanging="567" w:firstLineChars="0"/>
        <w:rPr>
          <w:rFonts w:ascii="宋体" w:hAnsi="宋体" w:cs="黑体"/>
          <w:kern w:val="0"/>
          <w:sz w:val="24"/>
        </w:rPr>
      </w:pPr>
      <w:r>
        <w:rPr>
          <w:rFonts w:hint="eastAsia" w:ascii="宋体" w:hAnsi="宋体"/>
          <w:sz w:val="24"/>
        </w:rPr>
        <w:t>符合《中华人民共和国政府采购法》第二十二条（一）至（六）的规定，即：</w:t>
      </w:r>
    </w:p>
    <w:p>
      <w:pPr>
        <w:pStyle w:val="6"/>
        <w:spacing w:after="156" w:afterLines="50" w:line="360" w:lineRule="auto"/>
        <w:ind w:left="1466" w:leftChars="698" w:firstLine="93" w:firstLineChars="39"/>
        <w:rPr>
          <w:rFonts w:hAnsi="宋体"/>
          <w:sz w:val="24"/>
        </w:rPr>
      </w:pPr>
      <w:r>
        <w:rPr>
          <w:rFonts w:hint="eastAsia" w:hAnsi="宋体"/>
          <w:sz w:val="24"/>
        </w:rPr>
        <w:t xml:space="preserve">1）具有独立承担民事责任的能力； </w:t>
      </w:r>
    </w:p>
    <w:p>
      <w:pPr>
        <w:pStyle w:val="6"/>
        <w:spacing w:after="156" w:afterLines="50" w:line="360" w:lineRule="auto"/>
        <w:ind w:left="1466" w:leftChars="698" w:firstLine="93" w:firstLineChars="39"/>
        <w:rPr>
          <w:rFonts w:hAnsi="宋体"/>
          <w:sz w:val="24"/>
        </w:rPr>
      </w:pPr>
      <w:r>
        <w:rPr>
          <w:rFonts w:hint="eastAsia" w:hAnsi="宋体"/>
          <w:sz w:val="24"/>
        </w:rPr>
        <w:t xml:space="preserve">2）具有良好的商业信誉和健全的财务会计制度； </w:t>
      </w:r>
    </w:p>
    <w:p>
      <w:pPr>
        <w:pStyle w:val="6"/>
        <w:spacing w:after="156" w:afterLines="50" w:line="360" w:lineRule="auto"/>
        <w:ind w:left="1466" w:leftChars="698" w:firstLine="93" w:firstLineChars="39"/>
        <w:rPr>
          <w:rFonts w:hAnsi="宋体"/>
          <w:sz w:val="24"/>
        </w:rPr>
      </w:pPr>
      <w:r>
        <w:rPr>
          <w:rFonts w:hint="eastAsia" w:hAnsi="宋体"/>
          <w:sz w:val="24"/>
        </w:rPr>
        <w:t xml:space="preserve">3）具有履行合同所必需的设备和专业技术能力； </w:t>
      </w:r>
    </w:p>
    <w:p>
      <w:pPr>
        <w:pStyle w:val="6"/>
        <w:spacing w:after="156" w:afterLines="50" w:line="360" w:lineRule="auto"/>
        <w:ind w:left="1466" w:leftChars="698" w:firstLine="93" w:firstLineChars="39"/>
        <w:rPr>
          <w:rFonts w:hAnsi="宋体"/>
          <w:sz w:val="24"/>
        </w:rPr>
      </w:pPr>
      <w:r>
        <w:rPr>
          <w:rFonts w:hint="eastAsia" w:hAnsi="宋体"/>
          <w:sz w:val="24"/>
        </w:rPr>
        <w:t xml:space="preserve">4）有依法缴纳税收和社会保障资金的良好记录； </w:t>
      </w:r>
    </w:p>
    <w:p>
      <w:pPr>
        <w:pStyle w:val="6"/>
        <w:spacing w:after="156" w:afterLines="50" w:line="360" w:lineRule="auto"/>
        <w:ind w:left="1560" w:leftChars="743" w:firstLine="0" w:firstLineChars="0"/>
        <w:rPr>
          <w:rFonts w:hAnsi="宋体" w:cs="宋体"/>
          <w:sz w:val="24"/>
        </w:rPr>
      </w:pPr>
      <w:r>
        <w:rPr>
          <w:rFonts w:hint="eastAsia" w:hAnsi="宋体" w:cs="宋体"/>
          <w:sz w:val="24"/>
        </w:rPr>
        <w:t>5）参加政府采购活动前三年内，在经营活动中没有重大违法记录（重大违法记录是指供应商因违法经营受到刑事处罚或者</w:t>
      </w:r>
      <w:r>
        <w:rPr>
          <w:rFonts w:hint="eastAsia" w:hAnsi="宋体"/>
          <w:sz w:val="24"/>
        </w:rPr>
        <w:t>责令</w:t>
      </w:r>
      <w:r>
        <w:rPr>
          <w:rFonts w:hint="eastAsia" w:hAnsi="宋体" w:cs="宋体"/>
          <w:sz w:val="24"/>
        </w:rPr>
        <w:t xml:space="preserve">停产停业、吊销许可证或者执照、较大数额罚款等行政处罚）； </w:t>
      </w:r>
    </w:p>
    <w:p>
      <w:pPr>
        <w:pStyle w:val="6"/>
        <w:spacing w:after="156" w:afterLines="50" w:line="360" w:lineRule="auto"/>
        <w:ind w:left="1466" w:leftChars="698" w:firstLine="93" w:firstLineChars="39"/>
        <w:rPr>
          <w:rFonts w:hAnsi="宋体"/>
          <w:sz w:val="24"/>
        </w:rPr>
      </w:pPr>
      <w:r>
        <w:rPr>
          <w:rFonts w:hint="eastAsia" w:hAnsi="宋体"/>
          <w:sz w:val="24"/>
        </w:rPr>
        <w:t>6）法律、行政法规规定的其他条件。</w:t>
      </w:r>
    </w:p>
    <w:p>
      <w:pPr>
        <w:pStyle w:val="5"/>
        <w:numPr>
          <w:ilvl w:val="0"/>
          <w:numId w:val="3"/>
        </w:numPr>
        <w:tabs>
          <w:tab w:val="left" w:pos="709"/>
        </w:tabs>
        <w:autoSpaceDE w:val="0"/>
        <w:autoSpaceDN w:val="0"/>
        <w:adjustRightInd w:val="0"/>
        <w:snapToGrid w:val="0"/>
        <w:spacing w:after="156" w:afterLines="50" w:line="360" w:lineRule="auto"/>
        <w:ind w:left="1276" w:hanging="567" w:firstLineChars="0"/>
        <w:rPr>
          <w:rFonts w:ascii="宋体" w:hAnsi="宋体"/>
          <w:sz w:val="24"/>
        </w:rPr>
      </w:pPr>
      <w:r>
        <w:rPr>
          <w:rFonts w:hint="eastAsia" w:cs="宋体"/>
          <w:kern w:val="0"/>
          <w:sz w:val="24"/>
          <w:szCs w:val="24"/>
        </w:rPr>
        <w:t>本项目投标截止期前</w:t>
      </w:r>
      <w:r>
        <w:rPr>
          <w:rFonts w:hint="eastAsia" w:ascii="宋体" w:hAnsi="宋体" w:cs="宋体"/>
          <w:kern w:val="0"/>
          <w:sz w:val="24"/>
          <w:szCs w:val="24"/>
        </w:rPr>
        <w:t>被“信用中国”网站（</w:t>
      </w:r>
      <w:r>
        <w:fldChar w:fldCharType="begin"/>
      </w:r>
      <w:r>
        <w:instrText xml:space="preserve"> HYPERLINK "http://www.creditchina.gov.cn）中列入失信被执行人和/" </w:instrText>
      </w:r>
      <w:r>
        <w:fldChar w:fldCharType="separate"/>
      </w:r>
      <w:r>
        <w:rPr>
          <w:rStyle w:val="3"/>
          <w:rFonts w:hint="eastAsia" w:ascii="宋体" w:hAnsi="宋体" w:cs="宋体"/>
          <w:color w:val="auto"/>
          <w:kern w:val="0"/>
          <w:sz w:val="24"/>
          <w:szCs w:val="24"/>
        </w:rPr>
        <w:t>www.creditchina.gov.cn）中列入失信被执行人和/</w:t>
      </w:r>
      <w:r>
        <w:rPr>
          <w:rStyle w:val="3"/>
          <w:rFonts w:hint="eastAsia" w:ascii="宋体" w:hAnsi="宋体" w:cs="宋体"/>
          <w:color w:val="auto"/>
          <w:kern w:val="0"/>
          <w:sz w:val="24"/>
          <w:szCs w:val="24"/>
        </w:rPr>
        <w:fldChar w:fldCharType="end"/>
      </w:r>
      <w:r>
        <w:rPr>
          <w:rFonts w:hint="eastAsia" w:ascii="宋体" w:hAnsi="宋体" w:cs="宋体"/>
          <w:kern w:val="0"/>
          <w:sz w:val="24"/>
          <w:szCs w:val="24"/>
        </w:rPr>
        <w:t>或重大税收违法案件当事人名单的供应商、被中国政府采购网（www.ccgp.gov.cn）列入政府采购严重违法失信行为记录名单中被财政部门禁止参加政府采购活动的供应商（处罚决定规定的时间和地域范围内），无资格</w:t>
      </w:r>
      <w:r>
        <w:rPr>
          <w:rFonts w:hint="eastAsia" w:ascii="宋体" w:hAnsi="宋体" w:cs="宋体"/>
          <w:sz w:val="24"/>
          <w:szCs w:val="24"/>
        </w:rPr>
        <w:t>参加本项目的采购活动。</w:t>
      </w:r>
    </w:p>
    <w:p>
      <w:pPr>
        <w:pStyle w:val="5"/>
        <w:numPr>
          <w:ilvl w:val="0"/>
          <w:numId w:val="3"/>
        </w:numPr>
        <w:tabs>
          <w:tab w:val="left" w:pos="709"/>
        </w:tabs>
        <w:autoSpaceDE w:val="0"/>
        <w:autoSpaceDN w:val="0"/>
        <w:adjustRightInd w:val="0"/>
        <w:snapToGrid w:val="0"/>
        <w:spacing w:after="156" w:afterLines="50" w:line="360" w:lineRule="auto"/>
        <w:ind w:left="1276" w:hanging="567" w:firstLineChars="0"/>
        <w:rPr>
          <w:rFonts w:ascii="宋体" w:hAnsi="宋体"/>
          <w:sz w:val="24"/>
        </w:rPr>
      </w:pPr>
      <w:r>
        <w:rPr>
          <w:rFonts w:hint="eastAsia" w:ascii="宋体" w:hAnsi="宋体"/>
          <w:sz w:val="24"/>
        </w:rPr>
        <w:t>单位负责人为同一人或者存在控股、管理关系的不同单位，不得同时参加本项目的投标。为本项目提供整体设计、规范编制或者项目管理、监理、检测等服务的投标人，不得再参加本项目投标。</w:t>
      </w:r>
    </w:p>
    <w:p>
      <w:pPr>
        <w:pStyle w:val="5"/>
        <w:numPr>
          <w:ilvl w:val="0"/>
          <w:numId w:val="3"/>
        </w:numPr>
        <w:tabs>
          <w:tab w:val="left" w:pos="709"/>
        </w:tabs>
        <w:autoSpaceDE w:val="0"/>
        <w:autoSpaceDN w:val="0"/>
        <w:adjustRightInd w:val="0"/>
        <w:snapToGrid w:val="0"/>
        <w:spacing w:after="156" w:afterLines="50" w:line="360" w:lineRule="auto"/>
        <w:ind w:left="1276" w:hanging="567" w:firstLineChars="0"/>
        <w:rPr>
          <w:rFonts w:ascii="宋体" w:hAnsi="宋体"/>
          <w:sz w:val="24"/>
        </w:rPr>
      </w:pPr>
      <w:r>
        <w:rPr>
          <w:rFonts w:hint="eastAsia" w:ascii="宋体" w:hAnsi="宋体"/>
          <w:sz w:val="24"/>
        </w:rPr>
        <w:t>本项目不接受联合体投标。</w:t>
      </w:r>
    </w:p>
    <w:p>
      <w:pPr>
        <w:pStyle w:val="5"/>
        <w:numPr>
          <w:ilvl w:val="0"/>
          <w:numId w:val="3"/>
        </w:numPr>
        <w:tabs>
          <w:tab w:val="left" w:pos="709"/>
        </w:tabs>
        <w:autoSpaceDE w:val="0"/>
        <w:autoSpaceDN w:val="0"/>
        <w:adjustRightInd w:val="0"/>
        <w:snapToGrid w:val="0"/>
        <w:spacing w:after="156" w:afterLines="50" w:line="360" w:lineRule="auto"/>
        <w:ind w:left="1276" w:hanging="567" w:firstLineChars="0"/>
        <w:rPr>
          <w:rFonts w:ascii="宋体" w:hAnsi="宋体"/>
          <w:sz w:val="24"/>
        </w:rPr>
      </w:pPr>
      <w:r>
        <w:rPr>
          <w:rFonts w:hint="eastAsia" w:ascii="宋体" w:hAnsi="宋体"/>
          <w:sz w:val="24"/>
        </w:rPr>
        <w:t>向采购代理机构购买了招标文件并登记备案。</w:t>
      </w:r>
    </w:p>
    <w:p>
      <w:pPr>
        <w:numPr>
          <w:ilvl w:val="0"/>
          <w:numId w:val="1"/>
        </w:numPr>
        <w:tabs>
          <w:tab w:val="left" w:pos="709"/>
        </w:tabs>
        <w:autoSpaceDE w:val="0"/>
        <w:autoSpaceDN w:val="0"/>
        <w:adjustRightInd w:val="0"/>
        <w:snapToGrid w:val="0"/>
        <w:spacing w:after="156" w:afterLines="50" w:line="360" w:lineRule="auto"/>
        <w:ind w:left="709" w:hanging="709"/>
        <w:rPr>
          <w:rFonts w:ascii="宋体" w:hAnsi="宋体" w:cs="黑体"/>
          <w:kern w:val="0"/>
          <w:sz w:val="24"/>
        </w:rPr>
      </w:pPr>
      <w:r>
        <w:rPr>
          <w:rFonts w:hint="eastAsia" w:ascii="宋体" w:hAnsi="宋体" w:cs="黑体"/>
          <w:kern w:val="0"/>
          <w:sz w:val="24"/>
        </w:rPr>
        <w:t>获取招标文件的时间期限、地点、方式及招标文件售价</w:t>
      </w:r>
    </w:p>
    <w:p>
      <w:pPr>
        <w:spacing w:line="360" w:lineRule="auto"/>
        <w:ind w:left="420" w:leftChars="200"/>
        <w:rPr>
          <w:rFonts w:ascii="宋体" w:hAnsi="宋体" w:cs="宋体"/>
          <w:sz w:val="24"/>
        </w:rPr>
      </w:pPr>
      <w:r>
        <w:rPr>
          <w:rFonts w:hint="eastAsia"/>
          <w:sz w:val="24"/>
        </w:rPr>
        <w:t xml:space="preserve">  </w:t>
      </w:r>
      <w:r>
        <w:rPr>
          <w:rFonts w:hint="eastAsia" w:ascii="宋体" w:hAnsi="宋体" w:cs="宋体"/>
          <w:sz w:val="24"/>
        </w:rPr>
        <w:t xml:space="preserve">  凡有意参加投标者，请于</w:t>
      </w:r>
      <w:r>
        <w:rPr>
          <w:rFonts w:hint="eastAsia" w:ascii="宋体" w:hAnsi="宋体" w:cs="宋体"/>
          <w:sz w:val="24"/>
          <w:highlight w:val="none"/>
        </w:rPr>
        <w:t>2020年</w:t>
      </w:r>
      <w:r>
        <w:rPr>
          <w:rFonts w:hint="eastAsia" w:ascii="宋体" w:hAnsi="宋体" w:cs="宋体"/>
          <w:sz w:val="24"/>
          <w:highlight w:val="none"/>
          <w:lang w:val="en-US" w:eastAsia="zh-CN"/>
        </w:rPr>
        <w:t>6</w:t>
      </w:r>
      <w:r>
        <w:rPr>
          <w:rFonts w:hint="eastAsia" w:ascii="宋体" w:hAnsi="宋体" w:cs="宋体"/>
          <w:sz w:val="24"/>
          <w:highlight w:val="none"/>
        </w:rPr>
        <w:t>月</w:t>
      </w:r>
      <w:r>
        <w:rPr>
          <w:rFonts w:hint="eastAsia" w:ascii="宋体" w:hAnsi="宋体" w:cs="宋体"/>
          <w:sz w:val="24"/>
          <w:highlight w:val="none"/>
          <w:lang w:val="en-US" w:eastAsia="zh-CN"/>
        </w:rPr>
        <w:t>11</w:t>
      </w:r>
      <w:r>
        <w:rPr>
          <w:rFonts w:hint="eastAsia" w:ascii="宋体" w:hAnsi="宋体" w:cs="宋体"/>
          <w:sz w:val="24"/>
          <w:highlight w:val="none"/>
        </w:rPr>
        <w:t>日至2020年</w:t>
      </w:r>
      <w:r>
        <w:rPr>
          <w:rFonts w:hint="eastAsia" w:ascii="宋体" w:hAnsi="宋体" w:cs="宋体"/>
          <w:sz w:val="24"/>
          <w:highlight w:val="none"/>
          <w:lang w:val="en-US" w:eastAsia="zh-CN"/>
        </w:rPr>
        <w:t>6</w:t>
      </w:r>
      <w:r>
        <w:rPr>
          <w:rFonts w:hint="eastAsia" w:ascii="宋体" w:hAnsi="宋体" w:cs="宋体"/>
          <w:sz w:val="24"/>
          <w:highlight w:val="none"/>
        </w:rPr>
        <w:t>月</w:t>
      </w:r>
      <w:r>
        <w:rPr>
          <w:rFonts w:hint="eastAsia" w:ascii="宋体" w:hAnsi="宋体" w:cs="宋体"/>
          <w:sz w:val="24"/>
          <w:highlight w:val="none"/>
          <w:lang w:val="en-US" w:eastAsia="zh-CN"/>
        </w:rPr>
        <w:t>18</w:t>
      </w:r>
      <w:r>
        <w:rPr>
          <w:rFonts w:hint="eastAsia" w:ascii="宋体" w:hAnsi="宋体" w:cs="宋体"/>
          <w:sz w:val="24"/>
          <w:highlight w:val="none"/>
        </w:rPr>
        <w:t>日（</w:t>
      </w:r>
      <w:r>
        <w:rPr>
          <w:rFonts w:hint="eastAsia" w:ascii="宋体" w:hAnsi="宋体" w:cs="宋体"/>
          <w:sz w:val="24"/>
        </w:rPr>
        <w:t xml:space="preserve">每天9:00-11:30，13:30-16:00，周六、周日及法定节假日除外），持投标人法人代表证明及法人代表授权及被授权人的有效身份证明原件及复印件（加盖公章），至北京市海淀区首体南路22号国兴大厦11层 </w:t>
      </w:r>
      <w:r>
        <w:rPr>
          <w:rFonts w:hint="eastAsia" w:ascii="宋体" w:hAnsi="宋体" w:cs="宋体"/>
          <w:sz w:val="24"/>
          <w:lang w:val="en-US" w:eastAsia="zh-CN"/>
        </w:rPr>
        <w:t xml:space="preserve"> </w:t>
      </w:r>
      <w:r>
        <w:rPr>
          <w:rFonts w:hint="eastAsia" w:ascii="宋体" w:hAnsi="宋体" w:cs="宋体"/>
          <w:sz w:val="24"/>
        </w:rPr>
        <w:t xml:space="preserve">国信国采（北京）招标咨询有限责任公司 </w:t>
      </w:r>
      <w:r>
        <w:rPr>
          <w:rFonts w:hint="eastAsia" w:ascii="宋体" w:hAnsi="宋体" w:cs="宋体"/>
          <w:sz w:val="24"/>
          <w:lang w:val="en-US" w:eastAsia="zh-CN"/>
        </w:rPr>
        <w:t xml:space="preserve"> </w:t>
      </w:r>
      <w:r>
        <w:rPr>
          <w:rFonts w:hint="eastAsia" w:ascii="宋体" w:hAnsi="宋体" w:cs="宋体"/>
          <w:sz w:val="24"/>
        </w:rPr>
        <w:t>运营二部办理报名并获取招标文件。</w:t>
      </w:r>
    </w:p>
    <w:p>
      <w:pPr>
        <w:spacing w:line="360" w:lineRule="auto"/>
        <w:ind w:left="420" w:leftChars="200"/>
        <w:rPr>
          <w:rFonts w:ascii="宋体" w:hAnsi="宋体" w:cs="宋体"/>
          <w:sz w:val="24"/>
        </w:rPr>
      </w:pPr>
      <w:r>
        <w:rPr>
          <w:rFonts w:hint="eastAsia" w:ascii="宋体" w:hAnsi="宋体" w:cs="宋体"/>
          <w:sz w:val="24"/>
        </w:rPr>
        <w:t>招标文件售价：人民币500元，售后不退。</w:t>
      </w:r>
    </w:p>
    <w:p>
      <w:pPr>
        <w:numPr>
          <w:ilvl w:val="0"/>
          <w:numId w:val="1"/>
        </w:numPr>
        <w:tabs>
          <w:tab w:val="left" w:pos="709"/>
        </w:tabs>
        <w:autoSpaceDE w:val="0"/>
        <w:autoSpaceDN w:val="0"/>
        <w:adjustRightInd w:val="0"/>
        <w:snapToGrid w:val="0"/>
        <w:spacing w:after="156" w:afterLines="50"/>
        <w:ind w:left="709" w:hanging="709"/>
        <w:rPr>
          <w:rFonts w:ascii="宋体" w:hAnsi="宋体" w:cs="宋体"/>
          <w:kern w:val="0"/>
          <w:sz w:val="24"/>
        </w:rPr>
      </w:pPr>
      <w:r>
        <w:rPr>
          <w:rFonts w:hint="eastAsia" w:ascii="宋体" w:hAnsi="宋体" w:cs="宋体"/>
          <w:kern w:val="0"/>
          <w:sz w:val="24"/>
        </w:rPr>
        <w:t>公告发布媒介及公告期限</w:t>
      </w:r>
    </w:p>
    <w:p>
      <w:pPr>
        <w:autoSpaceDE w:val="0"/>
        <w:autoSpaceDN w:val="0"/>
        <w:adjustRightInd w:val="0"/>
        <w:snapToGrid w:val="0"/>
        <w:spacing w:after="156" w:afterLines="50" w:line="360" w:lineRule="auto"/>
        <w:ind w:firstLine="480"/>
        <w:rPr>
          <w:rFonts w:ascii="宋体" w:hAnsi="宋体" w:cs="黑体"/>
          <w:kern w:val="0"/>
          <w:sz w:val="24"/>
        </w:rPr>
      </w:pPr>
      <w:r>
        <w:rPr>
          <w:rFonts w:hint="eastAsia" w:ascii="宋体" w:hAnsi="宋体" w:cs="黑体"/>
          <w:kern w:val="0"/>
          <w:sz w:val="24"/>
        </w:rPr>
        <w:t>本招标公告在中国政府采购网（www.ccgp.gov.cn）上发布。</w:t>
      </w:r>
    </w:p>
    <w:p>
      <w:pPr>
        <w:autoSpaceDE w:val="0"/>
        <w:autoSpaceDN w:val="0"/>
        <w:adjustRightInd w:val="0"/>
        <w:snapToGrid w:val="0"/>
        <w:spacing w:after="156" w:afterLines="50" w:line="360" w:lineRule="auto"/>
        <w:ind w:firstLine="480"/>
        <w:rPr>
          <w:rFonts w:ascii="宋体" w:hAnsi="宋体" w:cs="黑体"/>
          <w:kern w:val="0"/>
          <w:sz w:val="24"/>
        </w:rPr>
      </w:pPr>
      <w:r>
        <w:rPr>
          <w:rFonts w:hint="eastAsia" w:ascii="宋体" w:hAnsi="宋体"/>
          <w:sz w:val="24"/>
        </w:rPr>
        <w:t>公告期限：自</w:t>
      </w:r>
      <w:r>
        <w:rPr>
          <w:rFonts w:hint="eastAsia" w:ascii="宋体" w:hAnsi="宋体" w:cs="黑体"/>
          <w:kern w:val="0"/>
          <w:sz w:val="24"/>
        </w:rPr>
        <w:t>中国政府采购网</w:t>
      </w:r>
      <w:r>
        <w:rPr>
          <w:rFonts w:hint="eastAsia" w:ascii="宋体" w:hAnsi="宋体"/>
          <w:sz w:val="24"/>
        </w:rPr>
        <w:t>发布公告之日起5个工作日。</w:t>
      </w:r>
    </w:p>
    <w:p>
      <w:pPr>
        <w:numPr>
          <w:ilvl w:val="0"/>
          <w:numId w:val="1"/>
        </w:numPr>
        <w:tabs>
          <w:tab w:val="left" w:pos="709"/>
        </w:tabs>
        <w:autoSpaceDE w:val="0"/>
        <w:autoSpaceDN w:val="0"/>
        <w:adjustRightInd w:val="0"/>
        <w:snapToGrid w:val="0"/>
        <w:spacing w:after="156" w:afterLines="50"/>
        <w:ind w:left="709" w:hanging="709"/>
        <w:rPr>
          <w:rFonts w:ascii="宋体" w:hAnsi="宋体" w:cs="黑体"/>
          <w:kern w:val="0"/>
          <w:sz w:val="24"/>
        </w:rPr>
      </w:pPr>
      <w:r>
        <w:rPr>
          <w:rFonts w:hint="eastAsia" w:ascii="宋体" w:hAnsi="宋体" w:cs="黑体"/>
          <w:kern w:val="0"/>
          <w:sz w:val="24"/>
        </w:rPr>
        <w:t>投标截止时间、开标时间及地点</w:t>
      </w:r>
    </w:p>
    <w:p>
      <w:pPr>
        <w:spacing w:line="360" w:lineRule="auto"/>
        <w:ind w:left="420" w:leftChars="0" w:firstLine="289" w:firstLineChars="0"/>
        <w:rPr>
          <w:rFonts w:hint="eastAsia" w:ascii="宋体" w:hAnsi="宋体" w:eastAsia="宋体" w:cs="宋体"/>
          <w:sz w:val="24"/>
          <w:highlight w:val="none"/>
          <w:shd w:val="clear"/>
        </w:rPr>
      </w:pPr>
      <w:r>
        <w:rPr>
          <w:rFonts w:hint="eastAsia"/>
          <w:sz w:val="24"/>
        </w:rPr>
        <w:t>投标截止时间、开标时</w:t>
      </w:r>
      <w:r>
        <w:rPr>
          <w:rFonts w:hint="eastAsia" w:ascii="宋体" w:hAnsi="宋体" w:eastAsia="宋体" w:cs="宋体"/>
          <w:sz w:val="24"/>
          <w:highlight w:val="none"/>
          <w:shd w:val="clear"/>
        </w:rPr>
        <w:t>间：2020年</w:t>
      </w:r>
      <w:r>
        <w:rPr>
          <w:rFonts w:hint="eastAsia" w:ascii="宋体" w:hAnsi="宋体" w:eastAsia="宋体" w:cs="宋体"/>
          <w:sz w:val="24"/>
          <w:highlight w:val="none"/>
          <w:shd w:val="clear"/>
          <w:lang w:val="en-US" w:eastAsia="zh-CN"/>
        </w:rPr>
        <w:t>7</w:t>
      </w:r>
      <w:r>
        <w:rPr>
          <w:rFonts w:hint="eastAsia" w:ascii="宋体" w:hAnsi="宋体" w:eastAsia="宋体" w:cs="宋体"/>
          <w:sz w:val="24"/>
          <w:highlight w:val="none"/>
          <w:shd w:val="clear"/>
        </w:rPr>
        <w:t>月</w:t>
      </w:r>
      <w:r>
        <w:rPr>
          <w:rFonts w:hint="eastAsia" w:ascii="宋体" w:hAnsi="宋体" w:cs="宋体"/>
          <w:sz w:val="24"/>
          <w:highlight w:val="none"/>
          <w:shd w:val="clear"/>
          <w:lang w:val="en-US" w:eastAsia="zh-CN"/>
        </w:rPr>
        <w:t>13</w:t>
      </w:r>
      <w:r>
        <w:rPr>
          <w:rFonts w:hint="eastAsia" w:ascii="宋体" w:hAnsi="宋体" w:eastAsia="宋体" w:cs="宋体"/>
          <w:sz w:val="24"/>
          <w:highlight w:val="none"/>
          <w:shd w:val="clear"/>
        </w:rPr>
        <w:t>日9时30分</w:t>
      </w:r>
    </w:p>
    <w:p>
      <w:pPr>
        <w:spacing w:line="360" w:lineRule="auto"/>
        <w:ind w:left="420" w:leftChars="0" w:firstLine="289" w:firstLineChars="0"/>
        <w:rPr>
          <w:rFonts w:hint="eastAsia" w:ascii="宋体" w:hAnsi="宋体" w:eastAsia="宋体" w:cs="宋体"/>
          <w:sz w:val="24"/>
        </w:rPr>
      </w:pPr>
      <w:r>
        <w:rPr>
          <w:rFonts w:hint="eastAsia"/>
          <w:sz w:val="24"/>
        </w:rPr>
        <w:t>投标文件递交和开标地点：北</w:t>
      </w:r>
      <w:r>
        <w:rPr>
          <w:rFonts w:hint="eastAsia" w:ascii="宋体" w:hAnsi="宋体" w:eastAsia="宋体" w:cs="宋体"/>
          <w:sz w:val="24"/>
        </w:rPr>
        <w:t xml:space="preserve">京市海淀区首体南路22号国兴大厦11层 </w:t>
      </w:r>
    </w:p>
    <w:p>
      <w:pPr>
        <w:spacing w:line="360" w:lineRule="auto"/>
        <w:ind w:left="420" w:leftChars="200" w:firstLine="288" w:firstLineChars="120"/>
        <w:rPr>
          <w:rFonts w:hint="eastAsia" w:ascii="宋体" w:hAnsi="宋体" w:eastAsia="宋体" w:cs="宋体"/>
          <w:sz w:val="24"/>
        </w:rPr>
      </w:pPr>
      <w:r>
        <w:rPr>
          <w:rFonts w:hint="eastAsia" w:ascii="宋体" w:hAnsi="宋体" w:eastAsia="宋体" w:cs="宋体"/>
          <w:sz w:val="24"/>
        </w:rPr>
        <w:t>国信国采（北京）招标咨询有限责任公司 第</w:t>
      </w:r>
      <w:r>
        <w:rPr>
          <w:rFonts w:hint="eastAsia" w:ascii="宋体" w:hAnsi="宋体" w:eastAsia="宋体" w:cs="宋体"/>
          <w:sz w:val="24"/>
          <w:lang w:val="en-US" w:eastAsia="zh-CN"/>
        </w:rPr>
        <w:t>二</w:t>
      </w:r>
      <w:r>
        <w:rPr>
          <w:rFonts w:hint="eastAsia" w:ascii="宋体" w:hAnsi="宋体" w:eastAsia="宋体" w:cs="宋体"/>
          <w:sz w:val="24"/>
        </w:rPr>
        <w:t>会议室</w:t>
      </w:r>
    </w:p>
    <w:p>
      <w:pPr>
        <w:numPr>
          <w:ilvl w:val="0"/>
          <w:numId w:val="1"/>
        </w:numPr>
        <w:tabs>
          <w:tab w:val="left" w:pos="709"/>
        </w:tabs>
        <w:autoSpaceDE w:val="0"/>
        <w:autoSpaceDN w:val="0"/>
        <w:adjustRightInd w:val="0"/>
        <w:snapToGrid w:val="0"/>
        <w:spacing w:after="156" w:afterLines="50"/>
        <w:ind w:left="709" w:hanging="709"/>
        <w:rPr>
          <w:rFonts w:ascii="宋体" w:hAnsi="宋体" w:cs="黑体"/>
          <w:kern w:val="0"/>
          <w:sz w:val="24"/>
        </w:rPr>
      </w:pPr>
      <w:r>
        <w:rPr>
          <w:rFonts w:hint="eastAsia" w:ascii="宋体" w:hAnsi="宋体" w:cs="黑体"/>
          <w:kern w:val="0"/>
          <w:sz w:val="24"/>
        </w:rPr>
        <w:t>采购人及其委托的采购代理机构的名称、地址和联系方法</w:t>
      </w:r>
    </w:p>
    <w:p>
      <w:pPr>
        <w:spacing w:line="360" w:lineRule="auto"/>
        <w:ind w:left="420" w:leftChars="200"/>
        <w:rPr>
          <w:sz w:val="24"/>
        </w:rPr>
      </w:pPr>
      <w:r>
        <w:rPr>
          <w:rFonts w:hint="eastAsia"/>
          <w:sz w:val="24"/>
        </w:rPr>
        <w:t xml:space="preserve"> 采 购 人： 中国地质环境监测院</w:t>
      </w:r>
    </w:p>
    <w:p>
      <w:pPr>
        <w:spacing w:line="360" w:lineRule="auto"/>
        <w:ind w:left="420" w:firstLine="739" w:firstLineChars="308"/>
        <w:rPr>
          <w:rFonts w:ascii="宋体" w:hAnsi="宋体" w:cs="宋体"/>
          <w:sz w:val="24"/>
        </w:rPr>
      </w:pPr>
      <w:r>
        <w:rPr>
          <w:rFonts w:hint="eastAsia"/>
          <w:sz w:val="24"/>
        </w:rPr>
        <w:t>地    址</w:t>
      </w:r>
      <w:r>
        <w:rPr>
          <w:rFonts w:hint="eastAsia" w:ascii="宋体" w:hAnsi="宋体" w:cs="宋体"/>
          <w:sz w:val="24"/>
        </w:rPr>
        <w:t>：北京市海淀区大慧寺路20号</w:t>
      </w:r>
    </w:p>
    <w:p>
      <w:pPr>
        <w:spacing w:line="360" w:lineRule="auto"/>
        <w:ind w:left="420" w:firstLine="739" w:firstLineChars="308"/>
        <w:rPr>
          <w:rFonts w:hint="eastAsia" w:ascii="宋体" w:hAnsi="宋体" w:eastAsia="宋体" w:cs="宋体"/>
          <w:sz w:val="24"/>
          <w:lang w:eastAsia="zh-CN"/>
        </w:rPr>
      </w:pPr>
      <w:r>
        <w:rPr>
          <w:rFonts w:hint="eastAsia" w:ascii="宋体" w:hAnsi="宋体" w:cs="宋体"/>
          <w:sz w:val="24"/>
        </w:rPr>
        <w:t>联 系 人：</w:t>
      </w:r>
      <w:r>
        <w:rPr>
          <w:rFonts w:hint="eastAsia" w:ascii="宋体" w:hAnsi="宋体" w:cs="宋体"/>
          <w:sz w:val="24"/>
          <w:lang w:val="en-US" w:eastAsia="zh-CN"/>
        </w:rPr>
        <w:t>刘鹏</w:t>
      </w:r>
    </w:p>
    <w:p>
      <w:pPr>
        <w:spacing w:line="360" w:lineRule="auto"/>
        <w:ind w:left="420" w:firstLine="739" w:firstLineChars="308"/>
        <w:rPr>
          <w:rFonts w:ascii="宋体" w:hAnsi="宋体" w:cs="宋体"/>
          <w:sz w:val="24"/>
        </w:rPr>
      </w:pPr>
      <w:r>
        <w:rPr>
          <w:rFonts w:hint="eastAsia" w:ascii="宋体" w:hAnsi="宋体" w:cs="宋体"/>
          <w:sz w:val="24"/>
        </w:rPr>
        <w:t>电    话：010-62131648</w:t>
      </w:r>
    </w:p>
    <w:p>
      <w:pPr>
        <w:spacing w:line="360" w:lineRule="auto"/>
        <w:rPr>
          <w:rFonts w:ascii="宋体" w:hAnsi="宋体" w:cs="宋体"/>
          <w:sz w:val="24"/>
        </w:rPr>
      </w:pPr>
      <w:r>
        <w:rPr>
          <w:rFonts w:hint="eastAsia" w:ascii="宋体" w:hAnsi="宋体" w:cs="宋体"/>
          <w:sz w:val="24"/>
        </w:rPr>
        <w:t xml:space="preserve">    采购代理机构：国信国采（北京）招标咨询有限责任公司 </w:t>
      </w:r>
    </w:p>
    <w:p>
      <w:pPr>
        <w:spacing w:line="360" w:lineRule="auto"/>
        <w:rPr>
          <w:rFonts w:ascii="宋体" w:hAnsi="宋体" w:cs="宋体"/>
          <w:sz w:val="24"/>
        </w:rPr>
      </w:pPr>
      <w:r>
        <w:rPr>
          <w:rFonts w:hint="eastAsia" w:ascii="宋体" w:hAnsi="宋体" w:cs="宋体"/>
          <w:sz w:val="24"/>
        </w:rPr>
        <w:t xml:space="preserve">         地        址：北京市海淀区首体南路22号国兴大厦11层  </w:t>
      </w:r>
    </w:p>
    <w:p>
      <w:pPr>
        <w:spacing w:line="360" w:lineRule="auto"/>
        <w:rPr>
          <w:rFonts w:ascii="宋体" w:hAnsi="宋体" w:cs="宋体"/>
          <w:sz w:val="24"/>
        </w:rPr>
      </w:pPr>
      <w:r>
        <w:rPr>
          <w:rFonts w:hint="eastAsia" w:ascii="宋体" w:hAnsi="宋体" w:cs="宋体"/>
          <w:sz w:val="24"/>
        </w:rPr>
        <w:t xml:space="preserve">         联 系 人： 辛颖、韩博  </w:t>
      </w:r>
    </w:p>
    <w:p>
      <w:pPr>
        <w:spacing w:line="360" w:lineRule="auto"/>
        <w:rPr>
          <w:rFonts w:ascii="宋体" w:hAnsi="宋体" w:cs="宋体"/>
          <w:sz w:val="24"/>
        </w:rPr>
      </w:pPr>
      <w:r>
        <w:rPr>
          <w:rFonts w:hint="eastAsia" w:ascii="宋体" w:hAnsi="宋体" w:cs="宋体"/>
          <w:sz w:val="24"/>
        </w:rPr>
        <w:t xml:space="preserve">         电    话：  010-88354433转368、281</w:t>
      </w:r>
    </w:p>
    <w:p>
      <w:pPr>
        <w:spacing w:line="360" w:lineRule="auto"/>
        <w:rPr>
          <w:rFonts w:ascii="宋体" w:hAnsi="宋体" w:cs="宋体"/>
          <w:sz w:val="24"/>
        </w:rPr>
      </w:pPr>
      <w:r>
        <w:rPr>
          <w:rFonts w:hint="eastAsia" w:ascii="宋体" w:hAnsi="宋体" w:cs="宋体"/>
          <w:sz w:val="24"/>
        </w:rPr>
        <w:t xml:space="preserve">         邮    编：100044   </w:t>
      </w:r>
    </w:p>
    <w:p>
      <w:pPr>
        <w:spacing w:line="360" w:lineRule="auto"/>
        <w:rPr>
          <w:rFonts w:ascii="宋体" w:hAnsi="宋体" w:cs="宋体"/>
          <w:sz w:val="24"/>
        </w:rPr>
      </w:pPr>
      <w:r>
        <w:rPr>
          <w:rFonts w:hint="eastAsia" w:ascii="宋体" w:hAnsi="宋体" w:cs="宋体"/>
          <w:sz w:val="24"/>
        </w:rPr>
        <w:t xml:space="preserve">         电子信箱：2004-xinying@163.com </w:t>
      </w:r>
    </w:p>
    <w:p>
      <w:pPr>
        <w:spacing w:line="360" w:lineRule="auto"/>
        <w:rPr>
          <w:sz w:val="24"/>
        </w:rPr>
      </w:pPr>
      <w:r>
        <w:rPr>
          <w:rFonts w:hint="eastAsia"/>
          <w:sz w:val="24"/>
        </w:rPr>
        <w:t xml:space="preserve">         开户信息：</w:t>
      </w:r>
    </w:p>
    <w:p>
      <w:pPr>
        <w:spacing w:line="360" w:lineRule="auto"/>
        <w:rPr>
          <w:sz w:val="24"/>
        </w:rPr>
      </w:pPr>
      <w:r>
        <w:rPr>
          <w:rFonts w:hint="eastAsia"/>
          <w:sz w:val="24"/>
        </w:rPr>
        <w:t xml:space="preserve">         账户名称：国信国采（北京）招标咨询有限责任公司</w:t>
      </w:r>
    </w:p>
    <w:p>
      <w:pPr>
        <w:spacing w:line="360" w:lineRule="auto"/>
        <w:rPr>
          <w:sz w:val="24"/>
        </w:rPr>
      </w:pPr>
      <w:r>
        <w:rPr>
          <w:rFonts w:hint="eastAsia"/>
          <w:sz w:val="24"/>
        </w:rPr>
        <w:t xml:space="preserve">         开户银行：平安银行北京神华支行</w:t>
      </w:r>
    </w:p>
    <w:p>
      <w:pPr>
        <w:spacing w:line="360" w:lineRule="auto"/>
        <w:rPr>
          <w:rFonts w:hint="eastAsia" w:ascii="宋体" w:hAnsi="宋体" w:eastAsia="宋体" w:cs="宋体"/>
          <w:sz w:val="24"/>
        </w:rPr>
      </w:pPr>
      <w:r>
        <w:rPr>
          <w:rFonts w:hint="eastAsia"/>
          <w:sz w:val="24"/>
        </w:rPr>
        <w:t xml:space="preserve">         </w:t>
      </w:r>
      <w:r>
        <w:rPr>
          <w:rFonts w:hint="eastAsia" w:ascii="宋体" w:hAnsi="宋体" w:eastAsia="宋体" w:cs="宋体"/>
          <w:sz w:val="24"/>
        </w:rPr>
        <w:t>账    号：</w:t>
      </w:r>
      <w:r>
        <w:rPr>
          <w:rFonts w:hint="eastAsia" w:ascii="宋体" w:hAnsi="宋体" w:eastAsia="宋体" w:cs="宋体"/>
          <w:sz w:val="24"/>
        </w:rPr>
        <w:tab/>
      </w:r>
      <w:r>
        <w:rPr>
          <w:rFonts w:hint="eastAsia" w:ascii="宋体" w:hAnsi="宋体" w:eastAsia="宋体" w:cs="宋体"/>
          <w:sz w:val="24"/>
        </w:rPr>
        <w:t>30206095007145</w:t>
      </w:r>
    </w:p>
    <w:p>
      <w:pPr>
        <w:spacing w:line="360" w:lineRule="auto"/>
        <w:ind w:left="420" w:leftChars="200"/>
        <w:rPr>
          <w:sz w:val="24"/>
        </w:rPr>
      </w:pPr>
    </w:p>
    <w:p>
      <w:pPr>
        <w:spacing w:line="360" w:lineRule="auto"/>
        <w:ind w:left="420" w:leftChars="200"/>
        <w:rPr>
          <w:sz w:val="24"/>
        </w:rPr>
      </w:pPr>
      <w:r>
        <w:rPr>
          <w:rFonts w:hint="eastAsia"/>
          <w:sz w:val="24"/>
        </w:rPr>
        <w:t xml:space="preserve">    请投标人在汇款时务必注明所投标项目的项目编号及款项用途，否则，因款项用途不明导致投标无效等后果由投标人自行承担。 </w:t>
      </w:r>
    </w:p>
    <w:p>
      <w:pPr>
        <w:tabs>
          <w:tab w:val="left" w:pos="709"/>
        </w:tabs>
        <w:autoSpaceDE w:val="0"/>
        <w:autoSpaceDN w:val="0"/>
        <w:adjustRightInd w:val="0"/>
        <w:snapToGrid w:val="0"/>
        <w:spacing w:after="156" w:afterLines="50" w:line="360" w:lineRule="auto"/>
        <w:rPr>
          <w:rFonts w:ascii="宋体" w:hAnsi="宋体" w:cs="黑体"/>
          <w:kern w:val="0"/>
          <w:sz w:val="24"/>
        </w:rPr>
      </w:pPr>
    </w:p>
    <w:p>
      <w:pPr>
        <w:jc w:val="righ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2020年6月11日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F"/>
    <w:multiLevelType w:val="multilevel"/>
    <w:tmpl w:val="0000000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10"/>
    <w:multiLevelType w:val="singleLevel"/>
    <w:tmpl w:val="00000010"/>
    <w:lvl w:ilvl="0" w:tentative="0">
      <w:start w:val="1"/>
      <w:numFmt w:val="decimal"/>
      <w:suff w:val="nothing"/>
      <w:lvlText w:val="%1．"/>
      <w:lvlJc w:val="left"/>
      <w:pPr>
        <w:ind w:left="0" w:firstLine="400"/>
      </w:pPr>
      <w:rPr>
        <w:rFonts w:hint="default"/>
      </w:rPr>
    </w:lvl>
  </w:abstractNum>
  <w:abstractNum w:abstractNumId="2">
    <w:nsid w:val="00000019"/>
    <w:multiLevelType w:val="multilevel"/>
    <w:tmpl w:val="0000001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9D0B9D"/>
    <w:rsid w:val="2E9D0B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2">
    <w:name w:val="Default Paragraph Font"/>
    <w:semiHidden/>
    <w:qFormat/>
    <w:uiPriority w:val="0"/>
  </w:style>
  <w:style w:type="table" w:default="1" w:styleId="4">
    <w:name w:val="Normal Table"/>
    <w:semiHidden/>
    <w:uiPriority w:val="0"/>
    <w:tblPr>
      <w:tblLayout w:type="fixed"/>
      <w:tblCellMar>
        <w:top w:w="0" w:type="dxa"/>
        <w:left w:w="108" w:type="dxa"/>
        <w:bottom w:w="0" w:type="dxa"/>
        <w:right w:w="108" w:type="dxa"/>
      </w:tblCellMar>
    </w:tblPr>
  </w:style>
  <w:style w:type="character" w:styleId="3">
    <w:name w:val="Hyperlink"/>
    <w:basedOn w:val="2"/>
    <w:qFormat/>
    <w:uiPriority w:val="0"/>
    <w:rPr>
      <w:color w:val="0000FF"/>
      <w:u w:val="single"/>
    </w:rPr>
  </w:style>
  <w:style w:type="paragraph" w:customStyle="1" w:styleId="5">
    <w:name w:val="列出段落1"/>
    <w:basedOn w:val="1"/>
    <w:qFormat/>
    <w:uiPriority w:val="0"/>
    <w:pPr>
      <w:ind w:firstLine="420" w:firstLineChars="200"/>
    </w:pPr>
    <w:rPr>
      <w:szCs w:val="20"/>
    </w:rPr>
  </w:style>
  <w:style w:type="paragraph" w:customStyle="1" w:styleId="6">
    <w:name w:val="纯文本1"/>
    <w:basedOn w:val="1"/>
    <w:qFormat/>
    <w:uiPriority w:val="0"/>
    <w:rPr>
      <w:rFonts w:ascii="宋体" w:hAnsi="Courier New" w:cs="Courier New"/>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国信招标集团股份有限公司</Company>
  <Pages>1</Pages>
  <Words>0</Words>
  <Characters>0</Characters>
  <Lines>0</Lines>
  <Paragraphs>0</Paragraphs>
  <TotalTime>1</TotalTime>
  <ScaleCrop>false</ScaleCrop>
  <LinksUpToDate>false</LinksUpToDate>
  <CharactersWithSpaces>0</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2020-06-11T05:06:00Z</dcterms:created>
  <dc:creator>辛颖</dc:creator>
  <cp:lastModifiedBy>辛颖</cp:lastModifiedBy>
  <dcterms:modified xsi:type="dcterms:W3CDTF">2020-06-11T05:07:43Z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