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441301-2026-02375</w:t>
      </w:r>
    </w:p>
    <w:p>
      <w:pPr>
        <w:pStyle w:val="null3"/>
        <w:jc w:val="center"/>
        <w:outlineLvl w:val="3"/>
      </w:pPr>
      <w:r>
        <w:rPr>
          <w:sz w:val="24"/>
          <w:b/>
        </w:rPr>
        <w:t>采购项目编号：</w:t>
      </w:r>
      <w:r>
        <w:rPr>
          <w:sz w:val="24"/>
          <w:b/>
        </w:rPr>
        <w:t>HZLT2026SZ05038</w:t>
      </w:r>
    </w:p>
    <w:p>
      <w:pPr>
        <w:pStyle w:val="null3"/>
        <w:jc w:val="center"/>
        <w:outlineLvl w:val="3"/>
      </w:pPr>
      <w:r>
        <w:rPr>
          <w:sz w:val="24"/>
          <w:b/>
        </w:rPr>
        <w:t>项目名称：</w:t>
      </w:r>
      <w:r>
        <w:rPr>
          <w:sz w:val="24"/>
          <w:b/>
        </w:rPr>
        <w:t>惠州市全国文明城市创建大数据管理平台运营维护项目</w:t>
      </w:r>
    </w:p>
    <w:p>
      <w:pPr>
        <w:pStyle w:val="null3"/>
        <w:jc w:val="center"/>
        <w:outlineLvl w:val="3"/>
      </w:pPr>
      <w:r>
        <w:rPr>
          <w:sz w:val="24"/>
          <w:b/>
        </w:rPr>
        <w:t>采购人：</w:t>
      </w:r>
      <w:r>
        <w:rPr>
          <w:sz w:val="24"/>
          <w:b/>
        </w:rPr>
        <w:t>中共惠州市委宣传部</w:t>
      </w:r>
    </w:p>
    <w:p>
      <w:pPr>
        <w:pStyle w:val="null3"/>
        <w:jc w:val="center"/>
        <w:outlineLvl w:val="3"/>
      </w:pPr>
      <w:r>
        <w:rPr>
          <w:sz w:val="24"/>
          <w:b/>
        </w:rPr>
        <w:t>采购代理机构：</w:t>
      </w:r>
      <w:r>
        <w:rPr>
          <w:sz w:val="24"/>
          <w:b/>
        </w:rPr>
        <w:t>惠州市联拓招标代理有限公司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惠州市联拓招标代理有限公司</w:t>
      </w:r>
      <w:r>
        <w:rPr/>
        <w:t>受</w:t>
      </w:r>
      <w:r>
        <w:rPr/>
        <w:t>中共惠州市委宣传部</w:t>
      </w:r>
      <w:r>
        <w:rPr/>
        <w:t>的委托，采用</w:t>
      </w:r>
      <w:r>
        <w:rPr/>
        <w:t>公开招标</w:t>
      </w:r>
      <w:r>
        <w:rPr/>
        <w:t>方式组织采购</w:t>
      </w:r>
      <w:r>
        <w:rPr/>
        <w:t>惠州市全国文明城市创建大数据管理平台运营维护项目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惠州市全国文明城市创建大数据管理平台运营维护项目</w:t>
      </w:r>
    </w:p>
    <w:p>
      <w:pPr>
        <w:pStyle w:val="null3"/>
        <w:ind w:firstLine="480"/>
      </w:pPr>
      <w:r>
        <w:rPr/>
        <w:t>采购计划编号：</w:t>
      </w:r>
      <w:r>
        <w:rPr/>
        <w:t>441301-2026-02375</w:t>
      </w:r>
    </w:p>
    <w:p>
      <w:pPr>
        <w:pStyle w:val="null3"/>
        <w:ind w:firstLine="480"/>
      </w:pPr>
      <w:r>
        <w:rPr/>
        <w:t>采购项目编号：</w:t>
      </w:r>
      <w:r>
        <w:rPr/>
        <w:t>HZLT2026SZ05038</w:t>
      </w:r>
    </w:p>
    <w:p>
      <w:pPr>
        <w:pStyle w:val="null3"/>
        <w:ind w:firstLine="480"/>
      </w:pPr>
      <w:r>
        <w:rPr/>
        <w:t>采购方式：</w:t>
      </w:r>
      <w:r>
        <w:rPr/>
        <w:t>公开招标</w:t>
      </w:r>
    </w:p>
    <w:p>
      <w:pPr>
        <w:pStyle w:val="null3"/>
        <w:ind w:firstLine="480"/>
      </w:pPr>
      <w:r>
        <w:rPr/>
        <w:t>预算金额：</w:t>
      </w:r>
      <w:r>
        <w:rPr/>
        <w:t>1,271,240.00</w:t>
      </w:r>
      <w:r>
        <w:rPr/>
        <w:t>元</w:t>
      </w:r>
    </w:p>
    <w:p>
      <w:pPr>
        <w:pStyle w:val="null3"/>
        <w:outlineLvl w:val="3"/>
      </w:pPr>
      <w:r>
        <w:rPr>
          <w:sz w:val="24"/>
          <w:b/>
        </w:rPr>
        <w:t>2.项目内容及需求情况（采购项目技术规格、参数及要求）</w:t>
      </w:r>
    </w:p>
    <w:p>
      <w:pPr>
        <w:pStyle w:val="null3"/>
      </w:pPr>
      <w:r>
        <w:rPr/>
        <w:t>采购包1(惠州市全国文明城市创建大数据管理平台运营维护项目):</w:t>
      </w:r>
    </w:p>
    <w:p>
      <w:pPr>
        <w:pStyle w:val="null3"/>
      </w:pPr>
      <w:r>
        <w:rPr/>
        <w:t>采购包预算金额：1,271,240.00元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平台运营服务</w:t>
            </w:r>
          </w:p>
        </w:tc>
        <w:tc>
          <w:tcPr>
            <w:tcW w:type="dxa" w:w="2052"/>
          </w:tcPr>
          <w:p>
            <w:pPr>
              <w:pStyle w:val="null3"/>
            </w:pPr>
            <w:r>
              <w:rPr/>
              <w:t>平台运营服务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1,121,070.00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软件运维服务</w:t>
            </w:r>
          </w:p>
        </w:tc>
        <w:tc>
          <w:tcPr>
            <w:tcW w:type="dxa" w:w="2052"/>
          </w:tcPr>
          <w:p>
            <w:pPr>
              <w:pStyle w:val="null3"/>
            </w:pPr>
            <w:r>
              <w:rPr/>
              <w:t>软件运维服务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150,170.00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合同履行期限：签订合同后，其中运营服务从2026年9月起，服务期满1年，运维服务从2026年10月起，服务期满1年。具体时间以合同明确时间为准。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3）具有良好的商业信誉和健全的财务会计制度：供应商必须具有良好的商业信誉和健全的财务会计制度（提供2025年度财务状况报告或基本开户行出具的资信证明） 。</w:t>
      </w:r>
    </w:p>
    <w:p>
      <w:pPr>
        <w:pStyle w:val="null3"/>
      </w:pPr>
      <w:r>
        <w:rPr/>
        <w:t>4）履行合同所必需的设备和专业技术能力：提供具备履行合同所必需的设备和专业技术能力证明资料或声明函，格式自拟。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采购包1（惠州市全国文明城市创建大数据管理平台运营维护项目）：</w:t>
      </w:r>
      <w:r>
        <w:rPr/>
        <w:t>采购包整体不专门面向中小企业。</w:t>
      </w:r>
    </w:p>
    <w:p>
      <w:pPr>
        <w:pStyle w:val="null3"/>
        <w:outlineLvl w:val="3"/>
      </w:pPr>
      <w:r>
        <w:rPr>
          <w:sz w:val="24"/>
          <w:b/>
        </w:rPr>
        <w:t>3.本项目特定的资格要求：</w:t>
      </w:r>
    </w:p>
    <w:p>
      <w:pPr>
        <w:pStyle w:val="null3"/>
      </w:pPr>
      <w:r>
        <w:rPr/>
        <w:t>采购包1（惠州市全国文明城市创建大数据管理平台运营维护项目）：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中共惠州市委宣传部</w:t>
      </w:r>
    </w:p>
    <w:p>
      <w:pPr>
        <w:pStyle w:val="null3"/>
        <w:ind w:firstLine="480"/>
      </w:pPr>
      <w:r>
        <w:rPr/>
        <w:t xml:space="preserve"> 地址：</w:t>
      </w:r>
      <w:r>
        <w:rPr/>
        <w:t>惠州市江北行政中心一号楼13楼</w:t>
      </w:r>
    </w:p>
    <w:p>
      <w:pPr>
        <w:pStyle w:val="null3"/>
        <w:ind w:firstLine="480"/>
      </w:pPr>
      <w:r>
        <w:rPr/>
        <w:t xml:space="preserve"> 联系方式：</w:t>
      </w:r>
      <w:r>
        <w:rPr/>
        <w:t>0752-2816910</w:t>
      </w:r>
    </w:p>
    <w:p>
      <w:pPr>
        <w:pStyle w:val="null3"/>
        <w:outlineLvl w:val="3"/>
      </w:pPr>
      <w:r>
        <w:rPr>
          <w:sz w:val="24"/>
          <w:b/>
        </w:rPr>
        <w:t xml:space="preserve"> 2.采购代理机构信息</w:t>
      </w:r>
    </w:p>
    <w:p>
      <w:pPr>
        <w:pStyle w:val="null3"/>
        <w:ind w:firstLine="480"/>
      </w:pPr>
      <w:r>
        <w:rPr/>
        <w:t xml:space="preserve"> 名称：</w:t>
      </w:r>
      <w:r>
        <w:rPr/>
        <w:t>惠州市联拓招标代理有限公司</w:t>
      </w:r>
    </w:p>
    <w:p>
      <w:pPr>
        <w:pStyle w:val="null3"/>
        <w:ind w:firstLine="480"/>
      </w:pPr>
      <w:r>
        <w:rPr/>
        <w:t xml:space="preserve"> 地址：</w:t>
      </w:r>
      <w:r>
        <w:rPr/>
        <w:t>广东省惠州市惠城区惠州市云山西路10号投资大厦八楼</w:t>
      </w:r>
    </w:p>
    <w:p>
      <w:pPr>
        <w:pStyle w:val="null3"/>
        <w:ind w:firstLine="480"/>
      </w:pPr>
      <w:r>
        <w:rPr/>
        <w:t xml:space="preserve"> 联系方式：</w:t>
      </w:r>
      <w:r>
        <w:rPr/>
        <w:t>0752-2818033</w:t>
      </w:r>
    </w:p>
    <w:p>
      <w:pPr>
        <w:pStyle w:val="null3"/>
        <w:outlineLvl w:val="3"/>
      </w:pPr>
      <w:r>
        <w:rPr>
          <w:sz w:val="24"/>
          <w:b/>
        </w:rPr>
        <w:t xml:space="preserve"> 3.项目联系方式</w:t>
      </w:r>
    </w:p>
    <w:p>
      <w:pPr>
        <w:pStyle w:val="null3"/>
        <w:ind w:firstLine="480"/>
      </w:pPr>
      <w:r>
        <w:rPr/>
        <w:t xml:space="preserve"> 项目联系人：</w:t>
      </w:r>
      <w:r>
        <w:rPr/>
        <w:t>石小姐</w:t>
      </w:r>
    </w:p>
    <w:p>
      <w:pPr>
        <w:pStyle w:val="null3"/>
        <w:ind w:firstLine="480"/>
      </w:pPr>
      <w:r>
        <w:rPr/>
        <w:t xml:space="preserve"> 电话：</w:t>
      </w:r>
      <w:r>
        <w:rPr/>
        <w:t>0752-2818033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惠州市联拓招标代理有限公司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w:t>
      </w:r>
    </w:p>
    <w:p>
      <w:pPr>
        <w:pStyle w:val="null3"/>
      </w:pPr>
      <w:r>
        <w:rPr/>
        <w:t>采购包1（惠州市全国文明城市创建大数据管理平台运营维护项目）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签订合同后，其中运营服务从2026年9月起，服务期满1年，运维服务从2026年10月起，服务期满1年。具体时间以合同明确时间为准。</w:t>
            </w:r>
          </w:p>
        </w:tc>
      </w:tr>
      <w:tr>
        <w:tc>
          <w:tcPr>
            <w:tcW w:type="dxa" w:w="4153"/>
          </w:tcPr>
          <w:p>
            <w:pPr>
              <w:pStyle w:val="null3"/>
            </w:pPr>
            <w:r>
              <w:rPr/>
              <w:t>标的提供的地点</w:t>
            </w:r>
          </w:p>
        </w:tc>
        <w:tc>
          <w:tcPr>
            <w:tcW w:type="dxa" w:w="4153"/>
          </w:tcPr>
          <w:p>
            <w:pPr>
              <w:pStyle w:val="null3"/>
            </w:pPr>
            <w:r>
              <w:rPr/>
              <w:t>采购人指定。</w:t>
            </w:r>
          </w:p>
        </w:tc>
      </w:tr>
      <w:tr>
        <w:tc>
          <w:tcPr>
            <w:tcW w:type="dxa" w:w="4153"/>
          </w:tcPr>
          <w:p>
            <w:pPr>
              <w:pStyle w:val="null3"/>
            </w:pPr>
            <w:r>
              <w:rPr/>
              <w:t>付款方式</w:t>
            </w:r>
          </w:p>
        </w:tc>
        <w:tc>
          <w:tcPr>
            <w:tcW w:type="dxa" w:w="4153"/>
          </w:tcPr>
          <w:p>
            <w:pPr>
              <w:pStyle w:val="null3"/>
            </w:pPr>
            <w:r>
              <w:rPr/>
              <w:t>1期：支付比例40%,合同签订且中标供应商提供发票后10个工作日内，采购人向中标供应商支付项目总金额的40%。</w:t>
            </w:r>
          </w:p>
          <w:p>
            <w:pPr>
              <w:pStyle w:val="null3"/>
            </w:pPr>
            <w:r>
              <w:rPr/>
              <w:t>2期：支付比例40%,运营服务满3个月且中标供应商提供发票后10个工作日内，支付项目总金额的40%。</w:t>
            </w:r>
          </w:p>
          <w:p>
            <w:pPr>
              <w:pStyle w:val="null3"/>
            </w:pPr>
            <w:r>
              <w:rPr/>
              <w:t>3期：支付比例20%,中标供应商完成惠州市全国文明城市创建大数据管理平台适配改造，获得由相关适配中心出具的部署确认报告，本项目服务满并通过采购人验收，且中标供应商提供发票后10个工作日内，支付项目总金额的20%。 2期、3期支付款项要同步符合以下要求：采购人每月依据《运营服务质量考核评分表》、《运维服务质量考核评分表》开展月考核，每月考核分大于或等于85分（含）的符合拨款要求；每月考核分低于85分（不含）高于70分（含）的按合同总金额的1%扣除，并要求整改；月度考核低于70分（不含）高于60分（含）的按合同总金额的2%扣除，并要求整改；月度考核得分低于60分（不含）的，视为中标供应商根本违约，按照合同违约条款处理（考核成绩不重复计算，扣除金额从当期支付款中扣除）。</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1期：（1）符合招标文件和投标响应承诺中采购人认可的服务标准及各项要求。（2）符合合同约定的服务要求。（3）双方约定的其他验收标准。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其他，（一）投标人为履行本项目义务所形成的服务成果的知识产权归采购人所有。 （二）本项目所涉及的数据信息所有权归采购人所有，投标人只能用于履行本项目之义务。 ★（三）保密要求（提供承诺函，格式自拟） 投标人应承诺：1.对投标人因履行本项目而知悉的采购人商业秘密和党政机关保密信息应严格保守，保证不被披露或使用，包括意外或过失。2.投标人对在履行本项目过程中所接触的政府信息及工作秘密（包括但不限于项目履行过程中涉及的数据、源代码、技术文档、商业秘密、任何技术性资料、以及投标人为完成本项目提供的任何其他信息资料并且在提供时未说明是公开信息的）承担保密义务。3.未经采购人书面许可，投标人（包括但不限于投标人员工、代理人、顾问等）不得将从采购人获取的一切资料和信息超出本项目范围之外使用。4.投标人需制定采购人认可的安全保密管理方案。5.保密义务不因本项目履行完毕或解除而终止，除非保密信息已经对外披露或已经为公众所知。 （四）本采购项目运营运维护所涉及的数据内容等知识产权均归属采购人所有，本采购合同履行结束后中标供应商应将管理使用平台涉及的权限、数据或其他知识产权内容无条件移交给采购人。</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1.总价报价。 2.报价包含但不限于系统内点位外业巡查、工单流转处置、数据处理汇总、报告撰写、项目管理及税费（全额含税发票）以及项目实施过程中其它应预见和不可预见费用等完成本采购项目、达到采购人目的的一切费用及企业利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平台运营服务</w:t>
            </w:r>
          </w:p>
        </w:tc>
        <w:tc>
          <w:tcPr>
            <w:tcW w:type="dxa" w:w="933"/>
          </w:tcPr>
          <w:p>
            <w:pPr>
              <w:pStyle w:val="null3"/>
              <w:jc w:val="left"/>
            </w:pPr>
            <w:r>
              <w:rPr/>
              <w:t>平台运营服务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1,121,070.00</w:t>
            </w:r>
          </w:p>
        </w:tc>
        <w:tc>
          <w:tcPr>
            <w:tcW w:type="dxa" w:w="933"/>
          </w:tcPr>
          <w:p>
            <w:pPr>
              <w:pStyle w:val="null3"/>
              <w:jc w:val="right"/>
            </w:pPr>
            <w:r>
              <w:rPr/>
              <w:t>1,121,070.00</w:t>
            </w:r>
          </w:p>
        </w:tc>
        <w:tc>
          <w:tcPr>
            <w:tcW w:type="dxa" w:w="840"/>
          </w:tcPr>
          <w:p>
            <w:pPr>
              <w:pStyle w:val="null3"/>
            </w:pPr>
            <w:r>
              <w:rPr/>
              <w:t>软件和信息技术服务业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软件运维服务</w:t>
            </w:r>
          </w:p>
        </w:tc>
        <w:tc>
          <w:tcPr>
            <w:tcW w:type="dxa" w:w="933"/>
          </w:tcPr>
          <w:p>
            <w:pPr>
              <w:pStyle w:val="null3"/>
              <w:jc w:val="left"/>
            </w:pPr>
            <w:r>
              <w:rPr/>
              <w:t>软件运维服务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150,170.00</w:t>
            </w:r>
          </w:p>
        </w:tc>
        <w:tc>
          <w:tcPr>
            <w:tcW w:type="dxa" w:w="933"/>
          </w:tcPr>
          <w:p>
            <w:pPr>
              <w:pStyle w:val="null3"/>
              <w:jc w:val="right"/>
            </w:pPr>
            <w:r>
              <w:rPr/>
              <w:t>150,170.00</w:t>
            </w:r>
          </w:p>
        </w:tc>
        <w:tc>
          <w:tcPr>
            <w:tcW w:type="dxa" w:w="840"/>
          </w:tcPr>
          <w:p>
            <w:pPr>
              <w:pStyle w:val="null3"/>
            </w:pPr>
            <w:r>
              <w:rPr/>
              <w:t>软件和信息技术服务业</w:t>
            </w:r>
          </w:p>
        </w:tc>
        <w:tc>
          <w:tcPr>
            <w:tcW w:type="dxa" w:w="933"/>
          </w:tcPr>
          <w:p>
            <w:pPr>
              <w:pStyle w:val="null3"/>
            </w:pPr>
            <w:r>
              <w:rPr/>
              <w:t>详见附表二</w:t>
            </w:r>
          </w:p>
        </w:tc>
      </w:tr>
    </w:tbl>
    <w:p>
      <w:pPr>
        <w:pStyle w:val="null3"/>
      </w:pPr>
      <w:r>
        <w:rPr>
          <w:b/>
        </w:rPr>
        <w:t>附表</w:t>
      </w:r>
      <w:r>
        <w:rPr>
          <w:b/>
        </w:rPr>
        <w:t>一</w:t>
      </w:r>
      <w:r>
        <w:rPr>
          <w:b/>
        </w:rPr>
        <w:t>：</w:t>
      </w:r>
      <w:r>
        <w:rPr>
          <w:b/>
        </w:rPr>
        <w:t>平台运营服务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255" w:after="255"/>
              <w:jc w:val="both"/>
              <w:outlineLvl w:val="1"/>
            </w:pPr>
            <w:r>
              <w:rPr>
                <w:sz w:val="24"/>
                <w:b/>
              </w:rPr>
              <w:t>1.</w:t>
            </w:r>
            <w:r>
              <w:rPr>
                <w:sz w:val="24"/>
                <w:b/>
              </w:rPr>
              <w:t>惠州市全国文明城市创建大数据管理平台运营服务内容</w:t>
            </w:r>
          </w:p>
          <w:p>
            <w:pPr>
              <w:pStyle w:val="null3"/>
              <w:ind w:firstLine="480"/>
              <w:jc w:val="both"/>
            </w:pPr>
            <w:r>
              <w:rPr>
                <w:sz w:val="24"/>
              </w:rPr>
              <w:t>系统平台将惠州市惠城区约</w:t>
            </w:r>
            <w:r>
              <w:rPr>
                <w:sz w:val="24"/>
              </w:rPr>
              <w:t>737</w:t>
            </w:r>
            <w:r>
              <w:rPr>
                <w:sz w:val="24"/>
              </w:rPr>
              <w:t>个实地考察点位（考察点位数量会依据中央文明办全国文明城市</w:t>
            </w:r>
            <w:r>
              <w:rPr>
                <w:sz w:val="24"/>
              </w:rPr>
              <w:t>创建评估</w:t>
            </w:r>
            <w:r>
              <w:rPr>
                <w:sz w:val="24"/>
              </w:rPr>
              <w:t>要求</w:t>
            </w:r>
            <w:r>
              <w:rPr>
                <w:sz w:val="24"/>
              </w:rPr>
              <w:t>或城市文明建设需求</w:t>
            </w:r>
            <w:r>
              <w:rPr>
                <w:sz w:val="24"/>
              </w:rPr>
              <w:t>，适时调整）纳入</w:t>
            </w:r>
            <w:r>
              <w:rPr>
                <w:sz w:val="24"/>
              </w:rPr>
              <w:t>“文明创建一张图”，动态掌握</w:t>
            </w:r>
            <w:r>
              <w:rPr>
                <w:sz w:val="24"/>
              </w:rPr>
              <w:t>点位</w:t>
            </w:r>
            <w:r>
              <w:rPr>
                <w:sz w:val="24"/>
              </w:rPr>
              <w:t>情况，及时判断优秀、薄弱的项目、指标，定向、精准发力，</w:t>
            </w:r>
            <w:r>
              <w:rPr>
                <w:sz w:val="24"/>
              </w:rPr>
              <w:t>提升城市文明建设</w:t>
            </w:r>
            <w:r>
              <w:rPr>
                <w:sz w:val="24"/>
              </w:rPr>
              <w:t>成效。同时工作人员定期巡查发现问题，上传系统，核准并生成工单，分发职能部门，</w:t>
            </w:r>
            <w:r>
              <w:rPr>
                <w:sz w:val="24"/>
              </w:rPr>
              <w:t>并指导</w:t>
            </w:r>
            <w:r>
              <w:rPr>
                <w:sz w:val="24"/>
              </w:rPr>
              <w:t>职能部门及时处置并反馈结果，确保各项</w:t>
            </w:r>
            <w:r>
              <w:rPr>
                <w:sz w:val="24"/>
              </w:rPr>
              <w:t>工作</w:t>
            </w:r>
            <w:r>
              <w:rPr>
                <w:sz w:val="24"/>
              </w:rPr>
              <w:t>落实到位，形成</w:t>
            </w:r>
            <w:r>
              <w:rPr>
                <w:sz w:val="24"/>
              </w:rPr>
              <w:t>城市文明建设实地问题处理</w:t>
            </w:r>
            <w:r>
              <w:rPr>
                <w:sz w:val="24"/>
              </w:rPr>
              <w:t>的闭环。</w:t>
            </w:r>
          </w:p>
          <w:p>
            <w:pPr>
              <w:pStyle w:val="null3"/>
              <w:ind w:firstLine="480"/>
              <w:jc w:val="both"/>
            </w:pPr>
            <w:r>
              <w:rPr>
                <w:sz w:val="24"/>
              </w:rPr>
              <w:t>1.</w:t>
            </w:r>
            <w:r>
              <w:rPr>
                <w:sz w:val="24"/>
              </w:rPr>
              <w:t>针对惠城区河南岸街道、江北街道、江南街道、龙丰街道、桥东街道、桥西街道、水口街道和小金口街道</w:t>
            </w:r>
            <w:r>
              <w:rPr>
                <w:sz w:val="24"/>
              </w:rPr>
              <w:t>8个街道</w:t>
            </w:r>
            <w:r>
              <w:rPr>
                <w:sz w:val="24"/>
              </w:rPr>
              <w:t>区域内</w:t>
            </w:r>
            <w:r>
              <w:rPr>
                <w:sz w:val="24"/>
              </w:rPr>
              <w:t>约</w:t>
            </w:r>
            <w:r>
              <w:rPr>
                <w:sz w:val="24"/>
              </w:rPr>
              <w:t>737</w:t>
            </w:r>
            <w:r>
              <w:rPr>
                <w:sz w:val="24"/>
              </w:rPr>
              <w:t>个实地巡查点位个（具体</w:t>
            </w:r>
            <w:r>
              <w:rPr>
                <w:sz w:val="24"/>
              </w:rPr>
              <w:t>点位类别及</w:t>
            </w:r>
            <w:r>
              <w:rPr>
                <w:sz w:val="24"/>
              </w:rPr>
              <w:t>数量，依据中央文明办全国文明城市</w:t>
            </w:r>
            <w:r>
              <w:rPr>
                <w:sz w:val="24"/>
              </w:rPr>
              <w:t>创建评估</w:t>
            </w:r>
            <w:r>
              <w:rPr>
                <w:sz w:val="24"/>
              </w:rPr>
              <w:t>要求</w:t>
            </w:r>
            <w:r>
              <w:rPr>
                <w:sz w:val="24"/>
              </w:rPr>
              <w:t>或城市文明建设需求</w:t>
            </w:r>
            <w:r>
              <w:rPr>
                <w:sz w:val="24"/>
              </w:rPr>
              <w:t>，适时调整），每月</w:t>
            </w:r>
            <w:r>
              <w:rPr>
                <w:sz w:val="24"/>
              </w:rPr>
              <w:t>原则上</w:t>
            </w:r>
            <w:r>
              <w:rPr>
                <w:sz w:val="24"/>
              </w:rPr>
              <w:t>按照</w:t>
            </w:r>
            <w:r>
              <w:rPr>
                <w:sz w:val="24"/>
              </w:rPr>
              <w:t>1900次实施巡查的规模，通过“惠创文”小程序开展现场巡查，根据系统设定的考核标准，如实填写巡查情况，并上传巡查问题照片</w:t>
            </w:r>
            <w:r>
              <w:rPr>
                <w:sz w:val="24"/>
              </w:rPr>
              <w:t>。</w:t>
            </w:r>
            <w:r>
              <w:rPr>
                <w:sz w:val="24"/>
              </w:rPr>
              <w:t>其中城市社区、新时代文明实践中心（站）、公共文化设施、景区景点、校外未成年人心里健康辅导中心等</w:t>
            </w:r>
            <w:r>
              <w:rPr>
                <w:sz w:val="24"/>
              </w:rPr>
              <w:t>5类静态指标类点位，按照每月1次频次开展巡查；农贸市场、背街小巷、小区、主要交通路口、公园、主要商业大街等其他动态指标类点位，按照每月多频次开展巡查</w:t>
            </w:r>
            <w:r>
              <w:rPr>
                <w:sz w:val="24"/>
              </w:rPr>
              <w:t>。</w:t>
            </w:r>
            <w:r>
              <w:rPr>
                <w:sz w:val="24"/>
              </w:rPr>
              <w:t>每月实施巡查规模在全年保持总量不减情况下，结合年度重点工作，每月巡查工作量进行动态调整。巡查点位清单详见附件</w:t>
            </w:r>
            <w:r>
              <w:rPr>
                <w:sz w:val="24"/>
              </w:rPr>
              <w:t>1。</w:t>
            </w:r>
          </w:p>
          <w:p>
            <w:pPr>
              <w:pStyle w:val="null3"/>
              <w:ind w:firstLine="480"/>
              <w:jc w:val="both"/>
            </w:pPr>
            <w:r>
              <w:rPr>
                <w:sz w:val="24"/>
              </w:rPr>
              <w:t>2.</w:t>
            </w:r>
            <w:r>
              <w:rPr>
                <w:sz w:val="24"/>
              </w:rPr>
              <w:t>对信息采集员采集产生的文明城市创建点位信息工单进行核实，并转派对应职能部门，做好跟踪催办、审核结案等闭环调处管理工作。</w:t>
            </w:r>
          </w:p>
          <w:p>
            <w:pPr>
              <w:pStyle w:val="null3"/>
              <w:ind w:firstLine="480"/>
              <w:jc w:val="both"/>
            </w:pPr>
            <w:r>
              <w:rPr>
                <w:sz w:val="24"/>
              </w:rPr>
              <w:t>3.</w:t>
            </w:r>
            <w:r>
              <w:rPr>
                <w:sz w:val="24"/>
              </w:rPr>
              <w:t>根据巡查情况，收集统计、汇总分析各类工单数据、问卷调查数据，科学利用相关数学知识建立数据分析模型，出具文明城市创建巡查月报、季度报告及年度</w:t>
            </w:r>
            <w:r>
              <w:rPr>
                <w:sz w:val="24"/>
              </w:rPr>
              <w:t>报告</w:t>
            </w:r>
            <w:r>
              <w:rPr>
                <w:sz w:val="24"/>
              </w:rPr>
              <w:t>等各类数据分析报告。</w:t>
            </w:r>
          </w:p>
          <w:p>
            <w:pPr>
              <w:pStyle w:val="null3"/>
              <w:ind w:firstLine="480"/>
              <w:jc w:val="both"/>
            </w:pPr>
            <w:r>
              <w:rPr>
                <w:sz w:val="24"/>
              </w:rPr>
              <w:t>4.</w:t>
            </w:r>
            <w:r>
              <w:rPr>
                <w:sz w:val="24"/>
              </w:rPr>
              <w:t>做好中央、省、市全国文明城市创建</w:t>
            </w:r>
            <w:r>
              <w:rPr>
                <w:sz w:val="24"/>
              </w:rPr>
              <w:t>评估</w:t>
            </w:r>
            <w:r>
              <w:rPr>
                <w:sz w:val="24"/>
              </w:rPr>
              <w:t>期间各类突发应急事件的响应，按要求做好人员值守排班、应急事件处置、应急培训和演练工作。</w:t>
            </w:r>
          </w:p>
          <w:p>
            <w:pPr>
              <w:pStyle w:val="null3"/>
              <w:ind w:firstLine="480"/>
              <w:jc w:val="both"/>
            </w:pPr>
            <w:r>
              <w:rPr>
                <w:sz w:val="24"/>
              </w:rPr>
              <w:t>5.</w:t>
            </w:r>
            <w:r>
              <w:rPr>
                <w:sz w:val="24"/>
              </w:rPr>
              <w:t>出具文明城市创建巡查月报、季度报告及年度</w:t>
            </w:r>
            <w:r>
              <w:rPr>
                <w:sz w:val="24"/>
              </w:rPr>
              <w:t>报告</w:t>
            </w:r>
            <w:r>
              <w:rPr>
                <w:sz w:val="24"/>
              </w:rPr>
              <w:t>等各类数据分析报告。</w:t>
            </w:r>
          </w:p>
          <w:p>
            <w:pPr>
              <w:pStyle w:val="null3"/>
              <w:ind w:firstLine="480"/>
              <w:jc w:val="both"/>
            </w:pPr>
            <w:r>
              <w:rPr>
                <w:sz w:val="24"/>
              </w:rPr>
              <w:t>6.开展</w:t>
            </w:r>
            <w:r>
              <w:rPr>
                <w:sz w:val="24"/>
              </w:rPr>
              <w:t>问卷调查服务</w:t>
            </w:r>
            <w:r>
              <w:rPr>
                <w:sz w:val="24"/>
              </w:rPr>
              <w:t>。</w:t>
            </w:r>
            <w:r>
              <w:rPr>
                <w:sz w:val="24"/>
              </w:rPr>
              <w:t>依托惠州市全国文明城市创建大数据管理平台，在惠州市范围内开展问卷调查工作，</w:t>
            </w:r>
            <w:r>
              <w:rPr>
                <w:sz w:val="24"/>
              </w:rPr>
              <w:t>了解和掌握</w:t>
            </w:r>
            <w:r>
              <w:rPr>
                <w:sz w:val="24"/>
              </w:rPr>
              <w:t>城市文明建设</w:t>
            </w:r>
            <w:r>
              <w:rPr>
                <w:sz w:val="24"/>
              </w:rPr>
              <w:t>的成效情况。</w:t>
            </w:r>
            <w:r>
              <w:rPr>
                <w:sz w:val="24"/>
              </w:rPr>
              <w:t>问卷调查服务采用随机抽选实施的方式，采用手机终端和小程序方式实施，每季度问卷调查访问次数不少于</w:t>
            </w:r>
            <w:r>
              <w:rPr>
                <w:sz w:val="24"/>
              </w:rPr>
              <w:t>300单，每年问卷调查访问次数不少于1200单。</w:t>
            </w:r>
          </w:p>
          <w:p>
            <w:pPr>
              <w:pStyle w:val="null3"/>
              <w:ind w:firstLine="480"/>
              <w:jc w:val="both"/>
            </w:pPr>
            <w:r>
              <w:rPr>
                <w:sz w:val="24"/>
              </w:rPr>
              <w:t>实地考察问题处理流程：</w:t>
            </w:r>
          </w:p>
          <w:p>
            <w:pPr>
              <w:pStyle w:val="null3"/>
              <w:ind w:firstLine="480"/>
              <w:jc w:val="both"/>
            </w:pPr>
            <w:r>
              <w:drawing>
                <wp:inline distT="0" distR="0" distB="0" distL="0">
                  <wp:extent cx="3554730" cy="248124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2481240"/>
                          </a:xfrm>
                          <a:prstGeom prst="rect">
                            <a:avLst/>
                          </a:prstGeom>
                        </pic:spPr>
                      </pic:pic>
                    </a:graphicData>
                  </a:graphic>
                </wp:inline>
              </w:drawing>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sz w:val="24"/>
                <w:b/>
              </w:rPr>
              <w:t>2.惠州市全国文明城市创建大数据管理平台运维服务内容</w:t>
            </w:r>
          </w:p>
          <w:p>
            <w:pPr>
              <w:pStyle w:val="null3"/>
              <w:ind w:firstLine="480"/>
            </w:pPr>
            <w:r>
              <w:rPr>
                <w:sz w:val="24"/>
              </w:rPr>
              <w:t>1.安排运维团队负责系统全面运维工作，负责数据处理及故障排查定位、修复及校验。在服务期内，</w:t>
            </w:r>
            <w:r>
              <w:rPr>
                <w:sz w:val="24"/>
              </w:rPr>
              <w:t>对系统进行日常维护，保证系统的正常运行</w:t>
            </w:r>
            <w:r>
              <w:rPr>
                <w:sz w:val="24"/>
              </w:rPr>
              <w:t>，日常的维护工作包括：</w:t>
            </w:r>
            <w:r>
              <w:rPr>
                <w:sz w:val="24"/>
              </w:rPr>
              <w:t>1.系统优化，定期对系统进行性能评估和优化，改正在以往测试过程中没有发现的程序错误和缺陷；2.系统监控与维护，监控操作系统、中间件、数据库、应用程序的运行状态，确保软件系统的正常运行；3.故障处理，对系统出现的故障进行快速诊断，找出问题根源并解决，</w:t>
            </w:r>
            <w:r>
              <w:rPr>
                <w:sz w:val="24"/>
              </w:rPr>
              <w:t>每月故障</w:t>
            </w:r>
            <w:r>
              <w:rPr>
                <w:sz w:val="24"/>
              </w:rPr>
              <w:t>12小时内解决率</w:t>
            </w:r>
            <w:r>
              <w:rPr>
                <w:sz w:val="24"/>
              </w:rPr>
              <w:t>≥90%，全年重大故障（四级故障）次数小于等于1次。4.数据维护，开展系统数据导入、导出、统计，基础数据调整，异常数据修正等维护；5.系统备份，每天对系统数据进行备份，保留7天以上，保证数据的安全性和完整性；6.安全管理，定期检查操作系统漏洞情况并更新补丁，检查更新安全组件，定期检查应用程序漏洞情况并更新补丁，定期检查系统分配访问权限；7.日志管理，收集系统运行过程中产生的日志信息，记录操作记录和系统事件，对日志进行分析，发现潜在问题并进行预防性维护；8.配置管理，</w:t>
            </w:r>
            <w:r>
              <w:rPr>
                <w:sz w:val="24"/>
              </w:rPr>
              <w:t>对系统配置进行统一管理和控制，确保配置的一致性和正确性；</w:t>
            </w:r>
            <w:r>
              <w:rPr>
                <w:sz w:val="24"/>
              </w:rPr>
              <w:t>9.运维巡检报告，提供系统月度、半年、年度运维巡检报告</w:t>
            </w:r>
            <w:r>
              <w:rPr>
                <w:sz w:val="24"/>
              </w:rPr>
              <w:t>。</w:t>
            </w:r>
          </w:p>
          <w:p>
            <w:pPr>
              <w:pStyle w:val="null3"/>
              <w:spacing w:after="120"/>
              <w:ind w:firstLine="480"/>
              <w:jc w:val="both"/>
            </w:pPr>
            <w:r>
              <w:rPr>
                <w:sz w:val="24"/>
              </w:rPr>
              <w:t>2.安排团</w:t>
            </w:r>
            <w:r>
              <w:rPr>
                <w:sz w:val="24"/>
              </w:rPr>
              <w:t>队结合实</w:t>
            </w:r>
            <w:r>
              <w:rPr>
                <w:sz w:val="24"/>
              </w:rPr>
              <w:t>际和</w:t>
            </w:r>
            <w:r>
              <w:rPr>
                <w:sz w:val="24"/>
              </w:rPr>
              <w:t>惠州市非涉密领域政务信息系统</w:t>
            </w:r>
            <w:r>
              <w:rPr>
                <w:sz w:val="24"/>
              </w:rPr>
              <w:t>适配改造工作有关要求，</w:t>
            </w:r>
            <w:r>
              <w:rPr>
                <w:sz w:val="24"/>
              </w:rPr>
              <w:t>制定</w:t>
            </w:r>
            <w:r>
              <w:rPr>
                <w:sz w:val="24"/>
              </w:rPr>
              <w:t>适配改造方案，对</w:t>
            </w:r>
            <w:r>
              <w:rPr>
                <w:sz w:val="24"/>
              </w:rPr>
              <w:t>“惠州市全国文明城市创建大数据管理平台”进行</w:t>
            </w:r>
            <w:r>
              <w:rPr>
                <w:sz w:val="24"/>
              </w:rPr>
              <w:t>适配改造</w:t>
            </w:r>
            <w:r>
              <w:rPr>
                <w:sz w:val="24"/>
              </w:rPr>
              <w:t>工作，主要改造技术路线可在</w:t>
            </w:r>
            <w:r>
              <w:rPr>
                <w:sz w:val="24"/>
              </w:rPr>
              <w:t>“</w:t>
            </w:r>
            <w:r>
              <w:rPr>
                <w:sz w:val="24"/>
              </w:rPr>
              <w:t>源代码改造、系统重构</w:t>
            </w:r>
            <w:r>
              <w:rPr>
                <w:sz w:val="24"/>
              </w:rPr>
              <w:t>”等</w:t>
            </w:r>
            <w:r>
              <w:rPr>
                <w:sz w:val="24"/>
              </w:rPr>
              <w:t>改造技术路线中任选其一</w:t>
            </w:r>
            <w:r>
              <w:rPr>
                <w:sz w:val="24"/>
              </w:rPr>
              <w:t>。协助市委宣传部申请进行</w:t>
            </w:r>
            <w:r>
              <w:rPr>
                <w:sz w:val="24"/>
              </w:rPr>
              <w:t>适配</w:t>
            </w:r>
            <w:r>
              <w:rPr>
                <w:sz w:val="24"/>
              </w:rPr>
              <w:t>符合性测试，获得相关</w:t>
            </w:r>
            <w:r>
              <w:rPr>
                <w:sz w:val="24"/>
              </w:rPr>
              <w:t>适配中心出具的《信息技术应用创新符合性测试证书》。组织实施</w:t>
            </w:r>
            <w:r>
              <w:rPr>
                <w:sz w:val="24"/>
              </w:rPr>
              <w:t>适配</w:t>
            </w:r>
            <w:r>
              <w:rPr>
                <w:sz w:val="24"/>
              </w:rPr>
              <w:t>改造系统割接，独立稳定运行，协助市委宣传部申请项目产品部署确认，确保</w:t>
            </w:r>
            <w:r>
              <w:rPr>
                <w:sz w:val="24"/>
              </w:rPr>
              <w:t>2027年6月底前获得由相关</w:t>
            </w:r>
            <w:r>
              <w:rPr>
                <w:sz w:val="24"/>
              </w:rPr>
              <w:t>适配中心出具的项目产品部署确认报告。惠州市全国文明城市创建大数据管理平台有关配置情况详见附件</w:t>
            </w:r>
            <w:r>
              <w:rPr>
                <w:sz w:val="24"/>
              </w:rPr>
              <w:t>2。</w:t>
            </w:r>
          </w:p>
          <w:p>
            <w:pPr>
              <w:pStyle w:val="null3"/>
              <w:jc w:val="both"/>
            </w:pPr>
            <w:r>
              <w:rPr>
                <w:sz w:val="24"/>
                <w:b/>
              </w:rPr>
              <w:t>运维服务要求</w:t>
            </w:r>
          </w:p>
          <w:tbl>
            <w:tblPr>
              <w:tblBorders>
                <w:top w:val="none" w:color="000000" w:sz="4"/>
                <w:left w:val="none" w:color="000000" w:sz="4"/>
                <w:bottom w:val="none" w:color="000000" w:sz="4"/>
                <w:right w:val="none" w:color="000000" w:sz="4"/>
                <w:insideH w:val="none"/>
                <w:insideV w:val="none"/>
              </w:tblBorders>
            </w:tblPr>
            <w:tblGrid>
              <w:gridCol w:w="551"/>
              <w:gridCol w:w="1222"/>
              <w:gridCol w:w="1261"/>
              <w:gridCol w:w="2552"/>
            </w:tblGrid>
            <w:tr>
              <w:tc>
                <w:tcPr>
                  <w:tcW w:type="dxa" w:w="551"/>
                  <w:tcBorders>
                    <w:top w:val="double" w:color="000000" w:sz="4"/>
                    <w:left w:val="doub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编号</w:t>
                  </w:r>
                </w:p>
              </w:tc>
              <w:tc>
                <w:tcPr>
                  <w:tcW w:type="dxa" w:w="1222"/>
                  <w:tcBorders>
                    <w:top w:val="doub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1"/>
                    </w:rPr>
                    <w:t>项目</w:t>
                  </w:r>
                </w:p>
              </w:tc>
              <w:tc>
                <w:tcPr>
                  <w:tcW w:type="dxa" w:w="1261"/>
                  <w:tcBorders>
                    <w:top w:val="doub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1"/>
                    </w:rPr>
                    <w:t>服务内容</w:t>
                  </w:r>
                </w:p>
              </w:tc>
              <w:tc>
                <w:tcPr>
                  <w:tcW w:type="dxa" w:w="2552"/>
                  <w:tcBorders>
                    <w:top w:val="double" w:color="000000" w:sz="4"/>
                    <w:left w:val="single" w:color="000000" w:sz="4"/>
                    <w:bottom w:val="single" w:color="000000" w:sz="4"/>
                    <w:right w:val="double" w:color="000000" w:sz="4"/>
                  </w:tcBorders>
                  <w:shd w:fill="D9D9D9"/>
                  <w:tcMar>
                    <w:top w:type="dxa" w:w="0"/>
                    <w:left w:type="dxa" w:w="105"/>
                    <w:bottom w:type="dxa" w:w="0"/>
                    <w:right w:type="dxa" w:w="105"/>
                  </w:tcMar>
                  <w:vAlign w:val="top"/>
                </w:tcPr>
                <w:p>
                  <w:pPr>
                    <w:pStyle w:val="null3"/>
                    <w:jc w:val="both"/>
                  </w:pPr>
                  <w:r>
                    <w:rPr>
                      <w:sz w:val="21"/>
                    </w:rPr>
                    <w:t>计算方法</w:t>
                  </w:r>
                </w:p>
              </w:tc>
            </w:tr>
            <w:tr>
              <w:tc>
                <w:tcPr>
                  <w:tcW w:type="dxa" w:w="5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服务时间</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日常运维</w:t>
                  </w:r>
                  <w:r>
                    <w:rPr>
                      <w:sz w:val="21"/>
                    </w:rPr>
                    <w:t>5×8小时</w:t>
                  </w:r>
                </w:p>
                <w:p>
                  <w:pPr>
                    <w:pStyle w:val="null3"/>
                    <w:jc w:val="both"/>
                  </w:pPr>
                  <w:r>
                    <w:rPr>
                      <w:sz w:val="21"/>
                    </w:rPr>
                    <w:t>应急响应</w:t>
                  </w:r>
                  <w:r>
                    <w:rPr>
                      <w:sz w:val="21"/>
                    </w:rPr>
                    <w:t>7×24小时</w:t>
                  </w:r>
                </w:p>
              </w:tc>
              <w:tc>
                <w:tcPr>
                  <w:tcW w:type="dxa" w:w="2552"/>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日常运维服务时间为正常工作日周一到周五。</w:t>
                  </w:r>
                </w:p>
                <w:p>
                  <w:pPr>
                    <w:pStyle w:val="null3"/>
                    <w:jc w:val="both"/>
                  </w:pPr>
                  <w:r>
                    <w:rPr>
                      <w:sz w:val="21"/>
                    </w:rPr>
                    <w:t>提供</w:t>
                  </w:r>
                  <w:r>
                    <w:rPr>
                      <w:sz w:val="21"/>
                    </w:rPr>
                    <w:t>7×24小时应急响应服务。</w:t>
                  </w:r>
                </w:p>
              </w:tc>
            </w:tr>
            <w:tr>
              <w:tc>
                <w:tcPr>
                  <w:tcW w:type="dxa" w:w="551"/>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故障</w:t>
                  </w:r>
                  <w:r>
                    <w:rPr>
                      <w:sz w:val="21"/>
                    </w:rPr>
                    <w:t>12</w:t>
                  </w:r>
                  <w:r>
                    <w:rPr>
                      <w:sz w:val="21"/>
                    </w:rPr>
                    <w:t>小时内解决率</w:t>
                  </w:r>
                </w:p>
              </w:tc>
              <w:tc>
                <w:tcPr>
                  <w:tcW w:type="dxa" w:w="1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≥90%  每月</w:t>
                  </w:r>
                </w:p>
              </w:tc>
              <w:tc>
                <w:tcPr>
                  <w:tcW w:type="dxa" w:w="255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12</w:t>
                  </w:r>
                  <w:r>
                    <w:rPr>
                      <w:sz w:val="21"/>
                    </w:rPr>
                    <w:t>小时内解决故障的个数</w:t>
                  </w:r>
                  <w:r>
                    <w:rPr>
                      <w:sz w:val="21"/>
                    </w:rPr>
                    <w:t>/事件总个数×100%</w:t>
                  </w:r>
                  <w:r>
                    <w:br/>
                  </w:r>
                  <w:r>
                    <w:rPr>
                      <w:sz w:val="21"/>
                    </w:rPr>
                    <w:t>注：事件处理记录</w:t>
                  </w:r>
                </w:p>
              </w:tc>
            </w:tr>
            <w:tr>
              <w:tc>
                <w:tcPr>
                  <w:tcW w:type="dxa" w:w="551"/>
                  <w:vMerge w:val="restart"/>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2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服务响应时间</w:t>
                  </w:r>
                </w:p>
              </w:tc>
              <w:tc>
                <w:tcPr>
                  <w:tcW w:type="dxa" w:w="1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5×8小时内，及时响应；</w:t>
                  </w:r>
                </w:p>
              </w:tc>
              <w:tc>
                <w:tcPr>
                  <w:tcW w:type="dxa" w:w="2552"/>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发现故障后立即进行响应</w:t>
                  </w:r>
                </w:p>
              </w:tc>
            </w:tr>
            <w:tr>
              <w:tc>
                <w:tcPr>
                  <w:tcW w:type="dxa" w:w="551"/>
                  <w:vMerge/>
                  <w:tcBorders>
                    <w:top w:val="single" w:color="000000" w:sz="4"/>
                    <w:left w:val="double" w:color="000000" w:sz="4"/>
                    <w:bottom w:val="single" w:color="000000" w:sz="4"/>
                    <w:right w:val="single" w:color="000000" w:sz="4"/>
                  </w:tcBorders>
                </w:tcPr>
                <w:p/>
              </w:tc>
              <w:tc>
                <w:tcPr>
                  <w:tcW w:type="dxa" w:w="1222"/>
                  <w:vMerge/>
                  <w:tcBorders>
                    <w:top w:val="single" w:color="000000" w:sz="4"/>
                    <w:left w:val="single" w:color="000000" w:sz="4"/>
                    <w:bottom w:val="single" w:color="000000" w:sz="4"/>
                    <w:right w:val="single" w:color="000000" w:sz="4"/>
                  </w:tcBorders>
                </w:tcP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5×8小时外，15分钟内响应。</w:t>
                  </w:r>
                </w:p>
              </w:tc>
              <w:tc>
                <w:tcPr>
                  <w:tcW w:type="dxa" w:w="2552"/>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5×8小时外，15分钟内响应。</w:t>
                  </w:r>
                </w:p>
              </w:tc>
            </w:tr>
            <w:tr>
              <w:tc>
                <w:tcPr>
                  <w:tcW w:type="dxa" w:w="551"/>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重大故障次数</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小于等于</w:t>
                  </w:r>
                  <w:r>
                    <w:rPr>
                      <w:sz w:val="21"/>
                    </w:rPr>
                    <w:t>1次。</w:t>
                  </w:r>
                </w:p>
              </w:tc>
              <w:tc>
                <w:tcPr>
                  <w:tcW w:type="dxa" w:w="2552"/>
                  <w:tcBorders>
                    <w:top w:val="non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1"/>
                    </w:rPr>
                    <w:t>全年重大故障即四级故障次数小于等于</w:t>
                  </w:r>
                  <w:r>
                    <w:rPr>
                      <w:sz w:val="21"/>
                    </w:rPr>
                    <w:t>1次。</w:t>
                  </w:r>
                </w:p>
              </w:tc>
            </w:tr>
            <w:tr>
              <w:tc>
                <w:tcPr>
                  <w:tcW w:type="dxa" w:w="551"/>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22"/>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both"/>
                  </w:pPr>
                  <w:r>
                    <w:rPr>
                      <w:sz w:val="21"/>
                    </w:rPr>
                    <w:t>信息准确性</w:t>
                  </w:r>
                </w:p>
              </w:tc>
              <w:tc>
                <w:tcPr>
                  <w:tcW w:type="dxa" w:w="1261"/>
                  <w:tcBorders>
                    <w:top w:val="non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both"/>
                  </w:pPr>
                  <w:r>
                    <w:rPr>
                      <w:sz w:val="21"/>
                    </w:rPr>
                    <w:t>≥95％。</w:t>
                  </w:r>
                </w:p>
              </w:tc>
              <w:tc>
                <w:tcPr>
                  <w:tcW w:type="dxa" w:w="2552"/>
                  <w:tcBorders>
                    <w:top w:val="non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所有系统软硬件信息资料库准确性</w:t>
                  </w:r>
                  <w:r>
                    <w:rPr>
                      <w:sz w:val="21"/>
                    </w:rPr>
                    <w:t>95％以上。</w:t>
                  </w:r>
                </w:p>
              </w:tc>
            </w:tr>
          </w:tbl>
          <w:p/>
        </w:tc>
      </w:tr>
      <w:tr>
        <w:tc>
          <w:tcPr>
            <w:tcW w:type="dxa" w:w="2076"/>
          </w:tcPr>
          <w:p/>
        </w:tc>
        <w:tc>
          <w:tcPr>
            <w:tcW w:type="dxa" w:w="415"/>
          </w:tcPr>
          <w:p>
            <w:pPr>
              <w:pStyle w:val="null3"/>
            </w:pPr>
            <w:r>
              <w:rPr/>
              <w:t>3</w:t>
            </w:r>
          </w:p>
        </w:tc>
        <w:tc>
          <w:tcPr>
            <w:tcW w:type="dxa" w:w="5814"/>
          </w:tcPr>
          <w:p>
            <w:pPr>
              <w:pStyle w:val="null3"/>
              <w:spacing w:before="255" w:after="255"/>
              <w:jc w:val="both"/>
              <w:outlineLvl w:val="2"/>
            </w:pPr>
            <w:r>
              <w:rPr>
                <w:sz w:val="28"/>
                <w:b/>
              </w:rPr>
              <w:t>3</w:t>
            </w:r>
            <w:r>
              <w:rPr>
                <w:sz w:val="28"/>
                <w:b/>
              </w:rPr>
              <w:t>.</w:t>
            </w:r>
            <w:r>
              <w:rPr>
                <w:sz w:val="28"/>
                <w:b/>
              </w:rPr>
              <w:t>组建</w:t>
            </w:r>
            <w:r>
              <w:rPr>
                <w:sz w:val="28"/>
                <w:b/>
              </w:rPr>
              <w:t>运营、运维维护</w:t>
            </w:r>
            <w:r>
              <w:rPr>
                <w:sz w:val="28"/>
                <w:b/>
              </w:rPr>
              <w:t>服务</w:t>
            </w:r>
            <w:r>
              <w:rPr>
                <w:sz w:val="28"/>
                <w:b/>
              </w:rPr>
              <w:t>团队</w:t>
            </w:r>
          </w:p>
          <w:p>
            <w:pPr>
              <w:pStyle w:val="null3"/>
              <w:ind w:firstLine="480"/>
              <w:jc w:val="left"/>
            </w:pPr>
            <w:r>
              <w:rPr>
                <w:sz w:val="24"/>
              </w:rPr>
              <w:t>组建专业</w:t>
            </w:r>
            <w:r>
              <w:rPr>
                <w:sz w:val="24"/>
              </w:rPr>
              <w:t>项目</w:t>
            </w:r>
            <w:r>
              <w:rPr>
                <w:sz w:val="24"/>
              </w:rPr>
              <w:t>服务</w:t>
            </w:r>
            <w:r>
              <w:rPr>
                <w:sz w:val="24"/>
              </w:rPr>
              <w:t>团队</w:t>
            </w:r>
            <w:r>
              <w:rPr>
                <w:sz w:val="24"/>
              </w:rPr>
              <w:t>，指派项目经理负责统筹整体运营、队伍组建、日常管理和统筹沟通、项目成本管理以及项目履约审核等工作。按运营</w:t>
            </w:r>
            <w:r>
              <w:rPr>
                <w:sz w:val="24"/>
              </w:rPr>
              <w:t>维护</w:t>
            </w:r>
            <w:r>
              <w:rPr>
                <w:sz w:val="24"/>
              </w:rPr>
              <w:t>实际工作以及信息处置业务需求，</w:t>
            </w:r>
            <w:r>
              <w:rPr>
                <w:sz w:val="24"/>
              </w:rPr>
              <w:t>设置运营服务小组、运维服务小组。</w:t>
            </w:r>
          </w:p>
          <w:p>
            <w:pPr>
              <w:pStyle w:val="null3"/>
              <w:spacing w:before="255" w:after="255"/>
              <w:jc w:val="both"/>
              <w:outlineLvl w:val="2"/>
            </w:pPr>
            <w:r>
              <w:rPr>
                <w:sz w:val="28"/>
                <w:b/>
              </w:rPr>
              <w:t>3.1</w:t>
            </w:r>
            <w:r>
              <w:rPr>
                <w:sz w:val="28"/>
                <w:b/>
              </w:rPr>
              <w:t>运营服务小组</w:t>
            </w:r>
            <w:r>
              <w:rPr>
                <w:sz w:val="28"/>
                <w:b/>
              </w:rPr>
              <w:t>组建</w:t>
            </w:r>
          </w:p>
          <w:p>
            <w:pPr>
              <w:pStyle w:val="null3"/>
              <w:ind w:firstLine="480"/>
              <w:jc w:val="left"/>
            </w:pPr>
            <w:r>
              <w:rPr>
                <w:sz w:val="39"/>
              </w:rPr>
              <w:t>★</w:t>
            </w:r>
            <w:r>
              <w:rPr>
                <w:sz w:val="24"/>
              </w:rPr>
              <w:t>（</w:t>
            </w:r>
            <w:r>
              <w:rPr>
                <w:sz w:val="24"/>
              </w:rPr>
              <w:t>1）</w:t>
            </w:r>
            <w:r>
              <w:rPr>
                <w:sz w:val="24"/>
              </w:rPr>
              <w:t>在惠城区范围内应组建一支全国文明城市实地测评点位巡查处置队伍驻点市委宣传部全国文明城市大数据管理平台指挥中心开展工作，并且中标供应商需对团队管理制度、业务培训等进行建设保障，确保指挥中心、全国文明城市创建大数据管理平台以及相关系统有序运作，及时响应各项工作任务。</w:t>
            </w:r>
            <w:r>
              <w:rPr>
                <w:sz w:val="24"/>
              </w:rPr>
              <w:t>（提供承诺函，格式自拟）</w:t>
            </w:r>
          </w:p>
          <w:p>
            <w:pPr>
              <w:pStyle w:val="null3"/>
              <w:ind w:firstLine="480"/>
              <w:jc w:val="left"/>
            </w:pPr>
            <w:r>
              <w:rPr>
                <w:sz w:val="24"/>
              </w:rPr>
              <w:t>（</w:t>
            </w:r>
            <w:r>
              <w:rPr>
                <w:sz w:val="24"/>
              </w:rPr>
              <w:t>2）根据工作内容，运营服务小组</w:t>
            </w:r>
            <w:r>
              <w:rPr>
                <w:sz w:val="24"/>
              </w:rPr>
              <w:t>设置两类岗位。</w:t>
            </w:r>
          </w:p>
          <w:p>
            <w:pPr>
              <w:pStyle w:val="null3"/>
              <w:ind w:firstLine="480"/>
              <w:jc w:val="left"/>
            </w:pPr>
            <w:r>
              <w:rPr>
                <w:sz w:val="24"/>
              </w:rPr>
              <w:t>①信息采集岗，主要负责全国文明城市实地测评点位信息巡查采集和测评突发应急事件的响应。</w:t>
            </w:r>
          </w:p>
          <w:p>
            <w:pPr>
              <w:pStyle w:val="null3"/>
              <w:ind w:firstLine="480"/>
              <w:jc w:val="left"/>
            </w:pPr>
            <w:r>
              <w:rPr>
                <w:sz w:val="24"/>
              </w:rPr>
              <w:t>②信息处置岗，负责工单协调处置、数据汇总分析、应急指挥调度等。</w:t>
            </w:r>
          </w:p>
          <w:p>
            <w:pPr>
              <w:pStyle w:val="null3"/>
              <w:spacing w:before="255" w:after="255"/>
              <w:jc w:val="both"/>
              <w:outlineLvl w:val="2"/>
            </w:pPr>
            <w:r>
              <w:rPr>
                <w:sz w:val="39"/>
                <w:b/>
              </w:rPr>
              <w:t>▲</w:t>
            </w:r>
            <w:r>
              <w:rPr>
                <w:sz w:val="28"/>
                <w:b/>
              </w:rPr>
              <w:t>3.1.1</w:t>
            </w:r>
            <w:r>
              <w:rPr>
                <w:sz w:val="28"/>
                <w:b/>
              </w:rPr>
              <w:t>岗位要求</w:t>
            </w:r>
          </w:p>
          <w:p>
            <w:pPr>
              <w:pStyle w:val="null3"/>
              <w:ind w:firstLine="480"/>
              <w:jc w:val="left"/>
            </w:pPr>
            <w:r>
              <w:rPr>
                <w:sz w:val="24"/>
              </w:rPr>
              <w:t>①信息采集岗。统称为网格员，岗位设置不低于</w:t>
            </w:r>
            <w:r>
              <w:rPr>
                <w:sz w:val="24"/>
              </w:rPr>
              <w:t>8</w:t>
            </w:r>
            <w:r>
              <w:rPr>
                <w:sz w:val="24"/>
              </w:rPr>
              <w:t>个，主要负责全国文明城市实地测评点位信息巡查采集，按照点位采集巡查要求，通过地图展示底图和考察巡查点位规划线路，完成实地测评点位信息的采集与巡查，以及智慧指挥调度系统里的手机端信息接收与业务处理、</w:t>
            </w:r>
            <w:r>
              <w:rPr>
                <w:sz w:val="24"/>
              </w:rPr>
              <w:t>开展问卷调查</w:t>
            </w:r>
            <w:r>
              <w:rPr>
                <w:sz w:val="24"/>
              </w:rPr>
              <w:t>；做好中央、省、市创建全国文明城市测评期间各类突发应急事件的响应，按要求做好人员值守排班、应急事件处置、应急培训和演练工作。要求能熟练使用采集终端、熟悉全国文明城市实地测评指标要求、熟悉全国文明城市实地测评点位分布；该岗位需长期在户外环境作业，对突发情况需快速反应和灵活处置。信息采集岗主要使用</w:t>
            </w:r>
            <w:r>
              <w:rPr>
                <w:sz w:val="24"/>
              </w:rPr>
              <w:t>信息</w:t>
            </w:r>
            <w:r>
              <w:rPr>
                <w:sz w:val="24"/>
              </w:rPr>
              <w:t>终端：</w:t>
            </w:r>
            <w:r>
              <w:rPr>
                <w:sz w:val="24"/>
              </w:rPr>
              <w:t>1）地图展示系统；2）实地考察巡查系统；3）公益广告点位采集系统；4）公益广告巡查系统；5）智慧指挥调度系统。熟悉城市管理相关工作职责及有相关岗位经验的人员优先。</w:t>
            </w:r>
          </w:p>
          <w:p>
            <w:pPr>
              <w:pStyle w:val="null3"/>
              <w:ind w:firstLine="480"/>
              <w:jc w:val="left"/>
            </w:pPr>
            <w:r>
              <w:rPr>
                <w:sz w:val="24"/>
              </w:rPr>
              <w:t>②信息处置岗。岗位设置不低于3个，主要负责工单协调处置、数据汇总分析、应急指挥调度。主要使用数据后台管理与维护功能，对采集产生的文明城市创建点位信息工单进行核实转派、跟踪催办、审核结案等闭环调处管理工作；收集统计、汇总分析各类工单数据、问卷调查数据，科学利用相关数学知识建立数据分析模型，</w:t>
            </w:r>
            <w:r>
              <w:rPr>
                <w:sz w:val="24"/>
              </w:rPr>
              <w:t>做好每日工作梳理汇总，</w:t>
            </w:r>
            <w:r>
              <w:rPr>
                <w:sz w:val="24"/>
              </w:rPr>
              <w:t>出具文明城市创建大数据平台运行月报、季度报告及年度</w:t>
            </w:r>
            <w:r>
              <w:rPr>
                <w:sz w:val="24"/>
              </w:rPr>
              <w:t>报告</w:t>
            </w:r>
            <w:r>
              <w:rPr>
                <w:sz w:val="24"/>
              </w:rPr>
              <w:t>等各类数据分析报告，</w:t>
            </w:r>
            <w:r>
              <w:rPr>
                <w:sz w:val="24"/>
              </w:rPr>
              <w:t>组织开展问卷调查</w:t>
            </w:r>
            <w:r>
              <w:rPr>
                <w:sz w:val="24"/>
              </w:rPr>
              <w:t>；做好中央、省、</w:t>
            </w:r>
            <w:r>
              <w:rPr>
                <w:sz w:val="24"/>
              </w:rPr>
              <w:t>市创建全国文明城市测评期间各类突发应急事件的响应，按要求做好人员值守排班、应急事件处置、应急培训和演练工作。要求熟悉市、区两级政府相关部门职责，熟练使用采集终端、熟悉全国文明城市实地测评指标要求、熟悉全国文明城市实地测评点位分布，具有一定业务沟通协调能力，具有数据汇总梳理分析能力以及一定的公文写作能力。主要涉及使用桌面端应用的后台管理系统：</w:t>
            </w:r>
            <w:r>
              <w:rPr>
                <w:sz w:val="24"/>
              </w:rPr>
              <w:t>1）实地考察系统；2）问卷调查系统；3）公益广告管理系统；4）材料上报系统；5）流程控制管理系统。大屏端的后台管理系统：1）实地考察系统；2）视频监控系统；3）问卷调查系统；4）公益广告系统；5）市民随手拍系统；6）智慧指挥调度系统。能熟练使用各类office 软件、应用数学或数据统计应用类相关专业人员优先。</w:t>
            </w:r>
          </w:p>
          <w:p>
            <w:pPr>
              <w:pStyle w:val="null3"/>
              <w:spacing w:before="255" w:after="255"/>
              <w:jc w:val="both"/>
              <w:outlineLvl w:val="2"/>
            </w:pPr>
            <w:r>
              <w:rPr>
                <w:sz w:val="28"/>
                <w:b/>
              </w:rPr>
              <w:t>3.1.2运营服务</w:t>
            </w:r>
            <w:r>
              <w:rPr>
                <w:sz w:val="28"/>
                <w:b/>
              </w:rPr>
              <w:t>团队的相关要求</w:t>
            </w:r>
            <w:r>
              <w:rPr>
                <w:sz w:val="28"/>
                <w:b/>
              </w:rPr>
              <w:t xml:space="preserve">  </w:t>
            </w:r>
          </w:p>
          <w:p>
            <w:pPr>
              <w:pStyle w:val="null3"/>
              <w:ind w:firstLine="480"/>
              <w:jc w:val="left"/>
            </w:pPr>
            <w:r>
              <w:rPr>
                <w:sz w:val="24"/>
              </w:rPr>
              <w:t>①为确保工作稳定延续性，中标供应商对信息处置岗的人事调整需征得采购人同意。如人员素质无法达到采购人要求，采购人有权要求中标供应商更换人员。</w:t>
            </w:r>
          </w:p>
          <w:p>
            <w:pPr>
              <w:pStyle w:val="null3"/>
              <w:ind w:firstLine="480"/>
              <w:jc w:val="left"/>
            </w:pPr>
            <w:r>
              <w:rPr>
                <w:sz w:val="24"/>
              </w:rPr>
              <w:t>②中标供应商必须按有关法规与投标承诺要求为采集处置队伍人员按时、合规、足额发放工资，按照国家规定购买社保、公积金，并承诺队伍人员享有意外伤害保险、高温补贴、员工体检等其他福利。</w:t>
            </w:r>
          </w:p>
          <w:p>
            <w:pPr>
              <w:pStyle w:val="null3"/>
              <w:ind w:firstLine="480"/>
              <w:jc w:val="left"/>
            </w:pPr>
            <w:r>
              <w:rPr>
                <w:sz w:val="24"/>
              </w:rPr>
              <w:t>③中标供应商需根据采购人相关纪律要求制定队伍管理规章制度，包括但不限于考勤管理、业务规范、信息保密以及组织纪律要求等，中标供应商在符合国家规定以及采购人相关要求下对人员负有用工管理义务。采集处置队伍所有人员需签署保密协议，由项目驻点负责人对人员进行有效管理，采购人不直接参与人员管理，劳资纠纷、工伤赔偿等用工风险均由中标供应商负责，采购人不承担任何用工责任。</w:t>
            </w:r>
          </w:p>
          <w:p>
            <w:pPr>
              <w:pStyle w:val="null3"/>
              <w:spacing w:before="255" w:after="255"/>
              <w:jc w:val="both"/>
              <w:outlineLvl w:val="2"/>
            </w:pPr>
            <w:r>
              <w:rPr>
                <w:sz w:val="28"/>
                <w:b/>
              </w:rPr>
              <w:t>3.</w:t>
            </w:r>
            <w:r>
              <w:rPr>
                <w:sz w:val="28"/>
                <w:b/>
              </w:rPr>
              <w:t>2运维服务小组</w:t>
            </w:r>
            <w:r>
              <w:rPr>
                <w:sz w:val="28"/>
                <w:b/>
              </w:rPr>
              <w:t>组建</w:t>
            </w:r>
          </w:p>
          <w:p>
            <w:pPr>
              <w:pStyle w:val="null3"/>
              <w:ind w:firstLine="480"/>
              <w:jc w:val="left"/>
            </w:pPr>
            <w:r>
              <w:rPr>
                <w:sz w:val="24"/>
              </w:rPr>
              <w:t>3.2.1 成立不少于3人的运维服务小组，小组内技术人员不少于2人，负责运维执行工作。运维服务小组不驻场工作。</w:t>
            </w:r>
          </w:p>
          <w:p>
            <w:pPr>
              <w:pStyle w:val="null3"/>
              <w:ind w:firstLine="480"/>
              <w:jc w:val="left"/>
            </w:pPr>
            <w:r>
              <w:rPr>
                <w:sz w:val="39"/>
              </w:rPr>
              <w:t>★</w:t>
            </w:r>
            <w:r>
              <w:rPr>
                <w:sz w:val="24"/>
              </w:rPr>
              <w:t>3.2.2 根据政务信息系统</w:t>
            </w:r>
            <w:r>
              <w:rPr>
                <w:sz w:val="24"/>
              </w:rPr>
              <w:t>适配改造工作需要和惠州市非涉密领域政务信息系统</w:t>
            </w:r>
            <w:r>
              <w:rPr>
                <w:sz w:val="24"/>
              </w:rPr>
              <w:t>适配改造工作有关要求，安排团队对</w:t>
            </w:r>
            <w:r>
              <w:rPr>
                <w:sz w:val="24"/>
              </w:rPr>
              <w:t>“惠州市全国文明城市创建大数据管理平台”进行政务信息系统</w:t>
            </w:r>
            <w:r>
              <w:rPr>
                <w:sz w:val="24"/>
              </w:rPr>
              <w:t>适配改造工作，制定</w:t>
            </w:r>
            <w:r>
              <w:rPr>
                <w:sz w:val="24"/>
              </w:rPr>
              <w:t>适配改造方案并组织实施，</w:t>
            </w:r>
            <w:r>
              <w:rPr>
                <w:sz w:val="24"/>
              </w:rPr>
              <w:t>确保该系统</w:t>
            </w:r>
            <w:r>
              <w:rPr>
                <w:sz w:val="24"/>
              </w:rPr>
              <w:t>2027年6月底前获得由相关</w:t>
            </w:r>
            <w:r>
              <w:rPr>
                <w:sz w:val="24"/>
              </w:rPr>
              <w:t>适配中心出具的项目产品部署确认报告</w:t>
            </w:r>
            <w:r>
              <w:rPr>
                <w:sz w:val="24"/>
              </w:rPr>
              <w:t>。</w:t>
            </w:r>
            <w:r>
              <w:rPr>
                <w:sz w:val="24"/>
              </w:rPr>
              <w:t>（提供承诺函，格式自拟）</w:t>
            </w:r>
          </w:p>
        </w:tc>
      </w:tr>
      <w:tr>
        <w:tc>
          <w:tcPr>
            <w:tcW w:type="dxa" w:w="2076"/>
          </w:tcPr>
          <w:p>
            <w:pPr>
              <w:pStyle w:val="null3"/>
            </w:pPr>
            <w:r>
              <w:rPr/>
              <w:t>▲</w:t>
            </w:r>
          </w:p>
        </w:tc>
        <w:tc>
          <w:tcPr>
            <w:tcW w:type="dxa" w:w="415"/>
          </w:tcPr>
          <w:p>
            <w:pPr>
              <w:pStyle w:val="null3"/>
            </w:pPr>
            <w:r>
              <w:rPr/>
              <w:t>4</w:t>
            </w:r>
          </w:p>
        </w:tc>
        <w:tc>
          <w:tcPr>
            <w:tcW w:type="dxa" w:w="5814"/>
          </w:tcPr>
          <w:p>
            <w:pPr>
              <w:pStyle w:val="null3"/>
              <w:spacing w:before="255" w:after="255"/>
              <w:jc w:val="both"/>
              <w:outlineLvl w:val="2"/>
            </w:pPr>
            <w:r>
              <w:rPr>
                <w:sz w:val="28"/>
                <w:b/>
              </w:rPr>
              <w:t>4.</w:t>
            </w:r>
            <w:r>
              <w:rPr>
                <w:sz w:val="24"/>
                <w:b/>
              </w:rPr>
              <w:t>运营服务</w:t>
            </w:r>
            <w:r>
              <w:rPr>
                <w:sz w:val="24"/>
                <w:b/>
              </w:rPr>
              <w:t>培训需求</w:t>
            </w:r>
          </w:p>
          <w:p>
            <w:pPr>
              <w:pStyle w:val="null3"/>
            </w:pPr>
            <w:r>
              <w:rPr>
                <w:sz w:val="24"/>
              </w:rPr>
              <w:t>为全面推动全国文明城市创建大数据管理平台指挥调度工作，</w:t>
            </w:r>
            <w:r>
              <w:rPr>
                <w:sz w:val="24"/>
              </w:rPr>
              <w:t>中标供应商</w:t>
            </w:r>
            <w:r>
              <w:rPr>
                <w:sz w:val="24"/>
              </w:rPr>
              <w:t>每季度需要组织</w:t>
            </w:r>
            <w:r>
              <w:rPr>
                <w:sz w:val="24"/>
              </w:rPr>
              <w:t>运营团队</w:t>
            </w:r>
            <w:r>
              <w:rPr>
                <w:sz w:val="24"/>
              </w:rPr>
              <w:t>人员开展业务培训不低于</w:t>
            </w:r>
            <w:r>
              <w:rPr>
                <w:sz w:val="24"/>
              </w:rPr>
              <w:t>1次。</w:t>
            </w:r>
          </w:p>
        </w:tc>
      </w:tr>
      <w:tr>
        <w:tc>
          <w:tcPr>
            <w:tcW w:type="dxa" w:w="2076"/>
          </w:tcPr>
          <w:p>
            <w:pPr>
              <w:pStyle w:val="null3"/>
            </w:pPr>
            <w:r>
              <w:rPr/>
              <w:t>▲</w:t>
            </w:r>
          </w:p>
        </w:tc>
        <w:tc>
          <w:tcPr>
            <w:tcW w:type="dxa" w:w="415"/>
          </w:tcPr>
          <w:p>
            <w:pPr>
              <w:pStyle w:val="null3"/>
            </w:pPr>
            <w:r>
              <w:rPr/>
              <w:t>5</w:t>
            </w:r>
          </w:p>
        </w:tc>
        <w:tc>
          <w:tcPr>
            <w:tcW w:type="dxa" w:w="5814"/>
          </w:tcPr>
          <w:p>
            <w:pPr>
              <w:pStyle w:val="null3"/>
              <w:spacing w:before="255" w:after="255"/>
              <w:jc w:val="both"/>
              <w:outlineLvl w:val="2"/>
            </w:pPr>
            <w:r>
              <w:rPr>
                <w:sz w:val="28"/>
                <w:b/>
              </w:rPr>
              <w:t>5.</w:t>
            </w:r>
            <w:r>
              <w:rPr>
                <w:sz w:val="24"/>
                <w:b/>
              </w:rPr>
              <w:t>本项目信息安全服务能力的需求</w:t>
            </w:r>
          </w:p>
          <w:p>
            <w:pPr>
              <w:pStyle w:val="null3"/>
            </w:pPr>
            <w:r>
              <w:rPr>
                <w:sz w:val="24"/>
              </w:rPr>
              <w:t>由于本项目业务内容涉及城市管理、城市视频监控、</w:t>
            </w:r>
            <w:r>
              <w:rPr>
                <w:sz w:val="24"/>
              </w:rPr>
              <w:t>群众诉求等大量数据的采集、筛选、处置以及政府重要信息化系统运营等管理工作，为了保障信息安全，要求投标人拥有较强的信息安全管理服务能力，提供由国家认证认可监督管理部门批准设立的认证机构颁发并在有效期内信息安全管理体系认证证书（投标人提供相关证明材料</w:t>
            </w:r>
            <w:r>
              <w:rPr>
                <w:sz w:val="24"/>
              </w:rPr>
              <w:t>和全国认证认可信息公共服务平台</w:t>
            </w:r>
            <w:r>
              <w:rPr>
                <w:sz w:val="24"/>
              </w:rPr>
              <w:t>(http://cx.cnca.cn/)查询的认证截</w:t>
            </w:r>
            <w:r>
              <w:rPr>
                <w:sz w:val="24"/>
              </w:rPr>
              <w:t>图</w:t>
            </w:r>
            <w:r>
              <w:rPr>
                <w:sz w:val="24"/>
              </w:rPr>
              <w:t>）。</w:t>
            </w:r>
          </w:p>
        </w:tc>
      </w:tr>
      <w:tr>
        <w:tc>
          <w:tcPr>
            <w:tcW w:type="dxa" w:w="2076"/>
          </w:tcPr>
          <w:p/>
        </w:tc>
        <w:tc>
          <w:tcPr>
            <w:tcW w:type="dxa" w:w="415"/>
          </w:tcPr>
          <w:p>
            <w:pPr>
              <w:pStyle w:val="null3"/>
            </w:pPr>
            <w:r>
              <w:rPr/>
              <w:t>6</w:t>
            </w:r>
          </w:p>
        </w:tc>
        <w:tc>
          <w:tcPr>
            <w:tcW w:type="dxa" w:w="5814"/>
          </w:tcPr>
          <w:p>
            <w:pPr>
              <w:pStyle w:val="null3"/>
            </w:pPr>
            <w:r>
              <w:rPr>
                <w:sz w:val="24"/>
                <w:b/>
              </w:rPr>
              <w:t>6.采购人对中标供应商的质量考核要求</w:t>
            </w:r>
          </w:p>
          <w:p>
            <w:pPr>
              <w:pStyle w:val="null3"/>
              <w:jc w:val="both"/>
            </w:pPr>
            <w:r>
              <w:rPr>
                <w:sz w:val="21"/>
              </w:rPr>
              <w:t>(1)</w:t>
            </w:r>
            <w:r>
              <w:rPr>
                <w:sz w:val="21"/>
              </w:rPr>
              <w:t>运营服务质量考核评分表</w:t>
            </w:r>
          </w:p>
          <w:tbl>
            <w:tblPr>
              <w:tblBorders>
                <w:top w:val="none" w:color="000000" w:sz="4"/>
                <w:left w:val="none" w:color="000000" w:sz="4"/>
                <w:bottom w:val="none" w:color="000000" w:sz="4"/>
                <w:right w:val="none" w:color="000000" w:sz="4"/>
                <w:insideH w:val="none"/>
                <w:insideV w:val="none"/>
              </w:tblBorders>
            </w:tblPr>
            <w:tblGrid>
              <w:gridCol w:w="509"/>
              <w:gridCol w:w="575"/>
              <w:gridCol w:w="631"/>
              <w:gridCol w:w="1225"/>
              <w:gridCol w:w="2658"/>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2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4"/>
                    </w:rPr>
                    <w:t>考核项目</w:t>
                  </w:r>
                </w:p>
              </w:tc>
              <w:tc>
                <w:tcPr>
                  <w:tcW w:type="dxa" w:w="1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4"/>
                    </w:rPr>
                    <w:t>考核内容</w:t>
                  </w:r>
                </w:p>
              </w:tc>
              <w:tc>
                <w:tcPr>
                  <w:tcW w:type="dxa" w:w="2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4"/>
                    </w:rPr>
                    <w:t>考核标准</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1</w:t>
                  </w:r>
                </w:p>
              </w:tc>
              <w:tc>
                <w:tcPr>
                  <w:tcW w:type="dxa" w:w="5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运营服务质量考核（</w:t>
                  </w:r>
                  <w:r>
                    <w:rPr>
                      <w:sz w:val="21"/>
                    </w:rPr>
                    <w:t>100分）</w:t>
                  </w:r>
                </w:p>
              </w:tc>
              <w:tc>
                <w:tcPr>
                  <w:tcW w:type="dxa" w:w="6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人员管理（</w:t>
                  </w:r>
                  <w:r>
                    <w:rPr>
                      <w:sz w:val="21"/>
                    </w:rPr>
                    <w:t>42）</w:t>
                  </w:r>
                </w:p>
              </w:tc>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制度、人员岗位、职责设置完成情况（</w:t>
                  </w:r>
                  <w:r>
                    <w:rPr>
                      <w:sz w:val="21"/>
                    </w:rPr>
                    <w:t>3分）</w:t>
                  </w:r>
                </w:p>
              </w:tc>
              <w:tc>
                <w:tcPr>
                  <w:tcW w:type="dxa" w:w="2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明确各岗位人员职责，建立相应工作制度；</w:t>
                  </w:r>
                </w:p>
                <w:p>
                  <w:pPr>
                    <w:pStyle w:val="null3"/>
                    <w:jc w:val="both"/>
                  </w:pPr>
                  <w:r>
                    <w:rPr>
                      <w:sz w:val="21"/>
                    </w:rPr>
                    <w:t>2</w:t>
                  </w:r>
                  <w:r>
                    <w:rPr>
                      <w:sz w:val="21"/>
                    </w:rPr>
                    <w:t>.</w:t>
                  </w:r>
                  <w:r>
                    <w:rPr>
                      <w:sz w:val="21"/>
                    </w:rPr>
                    <w:t>人员岗位、职责装订成册，发给每位工作人员；</w:t>
                  </w:r>
                </w:p>
                <w:p>
                  <w:pPr>
                    <w:pStyle w:val="null3"/>
                    <w:jc w:val="both"/>
                  </w:pPr>
                  <w:r>
                    <w:rPr>
                      <w:sz w:val="21"/>
                    </w:rPr>
                    <w:t>以上</w:t>
                  </w:r>
                  <w:r>
                    <w:rPr>
                      <w:sz w:val="21"/>
                    </w:rPr>
                    <w:t>2</w:t>
                  </w:r>
                  <w:r>
                    <w:rPr>
                      <w:sz w:val="21"/>
                    </w:rPr>
                    <w:t>项有一项不满足要求扣</w:t>
                  </w:r>
                  <w:r>
                    <w:rPr>
                      <w:sz w:val="21"/>
                    </w:rPr>
                    <w:t>3</w:t>
                  </w:r>
                  <w:r>
                    <w:rPr>
                      <w:sz w:val="21"/>
                    </w:rPr>
                    <w:t>分。</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2</w:t>
                  </w:r>
                </w:p>
              </w:tc>
              <w:tc>
                <w:tcPr>
                  <w:tcW w:type="dxa" w:w="575"/>
                  <w:vMerge/>
                  <w:tcBorders>
                    <w:top w:val="none" w:color="000000" w:sz="4"/>
                    <w:left w:val="single" w:color="000000" w:sz="4"/>
                    <w:bottom w:val="single" w:color="000000" w:sz="4"/>
                    <w:right w:val="single" w:color="000000" w:sz="4"/>
                  </w:tcBorders>
                </w:tcPr>
                <w:p/>
              </w:tc>
              <w:tc>
                <w:tcPr>
                  <w:tcW w:type="dxa" w:w="631"/>
                  <w:vMerge/>
                  <w:tcBorders>
                    <w:top w:val="none" w:color="000000" w:sz="4"/>
                    <w:left w:val="single" w:color="000000" w:sz="4"/>
                    <w:bottom w:val="single" w:color="000000" w:sz="4"/>
                    <w:right w:val="single" w:color="000000" w:sz="4"/>
                  </w:tcBorders>
                </w:tcPr>
                <w:p/>
              </w:tc>
              <w:tc>
                <w:tcPr>
                  <w:tcW w:type="dxa" w:w="1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重大纪律管理（</w:t>
                  </w:r>
                  <w:r>
                    <w:rPr>
                      <w:sz w:val="21"/>
                    </w:rPr>
                    <w:t>18分）</w:t>
                  </w:r>
                </w:p>
              </w:tc>
              <w:tc>
                <w:tcPr>
                  <w:tcW w:type="dxa" w:w="2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不得发生与工作相关的吃、拿、卡、要等问题，每发现一次，扣</w:t>
                  </w:r>
                  <w:r>
                    <w:rPr>
                      <w:sz w:val="21"/>
                    </w:rPr>
                    <w:t>18</w:t>
                  </w:r>
                  <w:r>
                    <w:rPr>
                      <w:sz w:val="21"/>
                    </w:rPr>
                    <w:t>分。</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3</w:t>
                  </w:r>
                </w:p>
              </w:tc>
              <w:tc>
                <w:tcPr>
                  <w:tcW w:type="dxa" w:w="575"/>
                  <w:vMerge/>
                  <w:tcBorders>
                    <w:top w:val="none" w:color="000000" w:sz="4"/>
                    <w:left w:val="single" w:color="000000" w:sz="4"/>
                    <w:bottom w:val="single" w:color="000000" w:sz="4"/>
                    <w:right w:val="single" w:color="000000" w:sz="4"/>
                  </w:tcBorders>
                </w:tcPr>
                <w:p/>
              </w:tc>
              <w:tc>
                <w:tcPr>
                  <w:tcW w:type="dxa" w:w="631"/>
                  <w:vMerge/>
                  <w:tcBorders>
                    <w:top w:val="none" w:color="000000" w:sz="4"/>
                    <w:left w:val="single" w:color="000000" w:sz="4"/>
                    <w:bottom w:val="single" w:color="000000" w:sz="4"/>
                    <w:right w:val="single" w:color="000000" w:sz="4"/>
                  </w:tcBorders>
                </w:tcPr>
                <w:p/>
              </w:tc>
              <w:tc>
                <w:tcPr>
                  <w:tcW w:type="dxa" w:w="1225"/>
                  <w:vMerge/>
                  <w:tcBorders>
                    <w:top w:val="none" w:color="000000" w:sz="4"/>
                    <w:left w:val="single" w:color="000000" w:sz="4"/>
                    <w:bottom w:val="single" w:color="000000" w:sz="4"/>
                    <w:right w:val="single" w:color="000000" w:sz="4"/>
                  </w:tcBorders>
                </w:tcPr>
                <w:p/>
              </w:tc>
              <w:tc>
                <w:tcPr>
                  <w:tcW w:type="dxa" w:w="2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对工作内容做好保密培训，实施相应保密措施，并与岗位人员签订保密协议，不得向</w:t>
                  </w:r>
                  <w:r>
                    <w:rPr>
                      <w:sz w:val="21"/>
                    </w:rPr>
                    <w:t>私自向外泄露</w:t>
                  </w:r>
                  <w:r>
                    <w:rPr>
                      <w:sz w:val="21"/>
                    </w:rPr>
                    <w:t>工作计划及内容，不得与被检查</w:t>
                  </w:r>
                  <w:r>
                    <w:rPr>
                      <w:sz w:val="21"/>
                    </w:rPr>
                    <w:t>或暗访</w:t>
                  </w:r>
                  <w:r>
                    <w:rPr>
                      <w:sz w:val="21"/>
                    </w:rPr>
                    <w:t>对象进行串通。每发现一次，扣</w:t>
                  </w:r>
                  <w:r>
                    <w:rPr>
                      <w:sz w:val="21"/>
                    </w:rPr>
                    <w:t>18</w:t>
                  </w:r>
                  <w:r>
                    <w:rPr>
                      <w:sz w:val="21"/>
                    </w:rPr>
                    <w:t>分。</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4</w:t>
                  </w:r>
                </w:p>
              </w:tc>
              <w:tc>
                <w:tcPr>
                  <w:tcW w:type="dxa" w:w="575"/>
                  <w:vMerge/>
                  <w:tcBorders>
                    <w:top w:val="none" w:color="000000" w:sz="4"/>
                    <w:left w:val="single" w:color="000000" w:sz="4"/>
                    <w:bottom w:val="single" w:color="000000" w:sz="4"/>
                    <w:right w:val="single" w:color="000000" w:sz="4"/>
                  </w:tcBorders>
                </w:tcPr>
                <w:p/>
              </w:tc>
              <w:tc>
                <w:tcPr>
                  <w:tcW w:type="dxa" w:w="631"/>
                  <w:vMerge/>
                  <w:tcBorders>
                    <w:top w:val="none" w:color="000000" w:sz="4"/>
                    <w:left w:val="single" w:color="000000" w:sz="4"/>
                    <w:bottom w:val="single" w:color="000000" w:sz="4"/>
                    <w:right w:val="single" w:color="000000" w:sz="4"/>
                  </w:tcBorders>
                </w:tcPr>
                <w:p/>
              </w:tc>
              <w:tc>
                <w:tcPr>
                  <w:tcW w:type="dxa" w:w="1225"/>
                  <w:vMerge/>
                  <w:tcBorders>
                    <w:top w:val="none" w:color="000000" w:sz="4"/>
                    <w:left w:val="single" w:color="000000" w:sz="4"/>
                    <w:bottom w:val="single" w:color="000000" w:sz="4"/>
                    <w:right w:val="single" w:color="000000" w:sz="4"/>
                  </w:tcBorders>
                </w:tcPr>
                <w:p/>
              </w:tc>
              <w:tc>
                <w:tcPr>
                  <w:tcW w:type="dxa" w:w="2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采集虚假信息或人为捏造的信息，每发现一次，扣</w:t>
                  </w:r>
                  <w:r>
                    <w:rPr>
                      <w:sz w:val="21"/>
                    </w:rPr>
                    <w:t>3分。</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5</w:t>
                  </w:r>
                </w:p>
              </w:tc>
              <w:tc>
                <w:tcPr>
                  <w:tcW w:type="dxa" w:w="575"/>
                  <w:vMerge/>
                  <w:tcBorders>
                    <w:top w:val="none" w:color="000000" w:sz="4"/>
                    <w:left w:val="single" w:color="000000" w:sz="4"/>
                    <w:bottom w:val="single" w:color="000000" w:sz="4"/>
                    <w:right w:val="single" w:color="000000" w:sz="4"/>
                  </w:tcBorders>
                </w:tcPr>
                <w:p/>
              </w:tc>
              <w:tc>
                <w:tcPr>
                  <w:tcW w:type="dxa" w:w="631"/>
                  <w:vMerge/>
                  <w:tcBorders>
                    <w:top w:val="none" w:color="000000" w:sz="4"/>
                    <w:left w:val="single" w:color="000000" w:sz="4"/>
                    <w:bottom w:val="single" w:color="000000" w:sz="4"/>
                    <w:right w:val="single" w:color="000000" w:sz="4"/>
                  </w:tcBorders>
                </w:tcPr>
                <w:p/>
              </w:tc>
              <w:tc>
                <w:tcPr>
                  <w:tcW w:type="dxa" w:w="1225"/>
                  <w:vMerge/>
                  <w:tcBorders>
                    <w:top w:val="none" w:color="000000" w:sz="4"/>
                    <w:left w:val="single" w:color="000000" w:sz="4"/>
                    <w:bottom w:val="single" w:color="000000" w:sz="4"/>
                    <w:right w:val="single" w:color="000000" w:sz="4"/>
                  </w:tcBorders>
                </w:tcPr>
                <w:p/>
              </w:tc>
              <w:tc>
                <w:tcPr>
                  <w:tcW w:type="dxa" w:w="2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因服务态度、服务质量、言行举止等受到公众和新闻媒体负面评价，出现影响</w:t>
                  </w:r>
                  <w:r>
                    <w:rPr>
                      <w:sz w:val="21"/>
                    </w:rPr>
                    <w:t>采购人</w:t>
                  </w:r>
                  <w:r>
                    <w:rPr>
                      <w:sz w:val="21"/>
                    </w:rPr>
                    <w:t>形象的人或事，每发生一次，扣</w:t>
                  </w:r>
                  <w:r>
                    <w:rPr>
                      <w:sz w:val="21"/>
                    </w:rPr>
                    <w:t>6分。</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6</w:t>
                  </w:r>
                </w:p>
              </w:tc>
              <w:tc>
                <w:tcPr>
                  <w:tcW w:type="dxa" w:w="575"/>
                  <w:vMerge/>
                  <w:tcBorders>
                    <w:top w:val="none" w:color="000000" w:sz="4"/>
                    <w:left w:val="single" w:color="000000" w:sz="4"/>
                    <w:bottom w:val="single" w:color="000000" w:sz="4"/>
                    <w:right w:val="single" w:color="000000" w:sz="4"/>
                  </w:tcBorders>
                </w:tcPr>
                <w:p/>
              </w:tc>
              <w:tc>
                <w:tcPr>
                  <w:tcW w:type="dxa" w:w="631"/>
                  <w:vMerge/>
                  <w:tcBorders>
                    <w:top w:val="none" w:color="000000" w:sz="4"/>
                    <w:left w:val="single" w:color="000000" w:sz="4"/>
                    <w:bottom w:val="single" w:color="000000" w:sz="4"/>
                    <w:right w:val="single" w:color="000000" w:sz="4"/>
                  </w:tcBorders>
                </w:tcPr>
                <w:p/>
              </w:tc>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考勤出勤情况</w:t>
                  </w:r>
                  <w:r>
                    <w:rPr>
                      <w:sz w:val="21"/>
                    </w:rPr>
                    <w:t>（</w:t>
                  </w:r>
                  <w:r>
                    <w:rPr>
                      <w:sz w:val="21"/>
                    </w:rPr>
                    <w:t>10分</w:t>
                  </w:r>
                  <w:r>
                    <w:rPr>
                      <w:sz w:val="21"/>
                    </w:rPr>
                    <w:t>）</w:t>
                  </w:r>
                </w:p>
              </w:tc>
              <w:tc>
                <w:tcPr>
                  <w:tcW w:type="dxa" w:w="2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工作人员按照工作制度要求按时上下班，严格落实考勤要求。应急服务工作时间由采购人根据工作实际提出要求，中标供应商应当无条件接受。</w:t>
                  </w:r>
                </w:p>
                <w:p>
                  <w:pPr>
                    <w:pStyle w:val="null3"/>
                    <w:jc w:val="both"/>
                  </w:pPr>
                  <w:r>
                    <w:rPr>
                      <w:sz w:val="21"/>
                    </w:rPr>
                    <w:t>工作人员无故迟到、早退、脱岗</w:t>
                  </w:r>
                  <w:r>
                    <w:rPr>
                      <w:sz w:val="21"/>
                    </w:rPr>
                    <w:t>(或旷工)30分钟以上，每人每次扣1分；无故不接受应急服务工作要求的每次扣2分，最高10分。</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7</w:t>
                  </w:r>
                </w:p>
              </w:tc>
              <w:tc>
                <w:tcPr>
                  <w:tcW w:type="dxa" w:w="575"/>
                  <w:vMerge/>
                  <w:tcBorders>
                    <w:top w:val="none" w:color="000000" w:sz="4"/>
                    <w:left w:val="single" w:color="000000" w:sz="4"/>
                    <w:bottom w:val="single" w:color="000000" w:sz="4"/>
                    <w:right w:val="single" w:color="000000" w:sz="4"/>
                  </w:tcBorders>
                </w:tcPr>
                <w:p/>
              </w:tc>
              <w:tc>
                <w:tcPr>
                  <w:tcW w:type="dxa" w:w="631"/>
                  <w:vMerge/>
                  <w:tcBorders>
                    <w:top w:val="none" w:color="000000" w:sz="4"/>
                    <w:left w:val="single" w:color="000000" w:sz="4"/>
                    <w:bottom w:val="single" w:color="000000" w:sz="4"/>
                    <w:right w:val="single" w:color="000000" w:sz="4"/>
                  </w:tcBorders>
                </w:tcPr>
                <w:p/>
              </w:tc>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个人及</w:t>
                  </w:r>
                  <w:r>
                    <w:rPr>
                      <w:sz w:val="21"/>
                    </w:rPr>
                    <w:t>着装形象（</w:t>
                  </w:r>
                  <w:r>
                    <w:rPr>
                      <w:sz w:val="21"/>
                    </w:rPr>
                    <w:t>3分</w:t>
                  </w:r>
                  <w:r>
                    <w:rPr>
                      <w:sz w:val="21"/>
                    </w:rPr>
                    <w:t>）</w:t>
                  </w:r>
                </w:p>
              </w:tc>
              <w:tc>
                <w:tcPr>
                  <w:tcW w:type="dxa" w:w="2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工作人员</w:t>
                  </w:r>
                  <w:r>
                    <w:rPr>
                      <w:sz w:val="21"/>
                    </w:rPr>
                    <w:t>着装整洁，</w:t>
                  </w:r>
                  <w:r>
                    <w:rPr>
                      <w:sz w:val="21"/>
                    </w:rPr>
                    <w:t>形象良好，工作</w:t>
                  </w:r>
                  <w:r>
                    <w:rPr>
                      <w:sz w:val="21"/>
                    </w:rPr>
                    <w:t>热情</w:t>
                  </w:r>
                  <w:r>
                    <w:rPr>
                      <w:sz w:val="21"/>
                    </w:rPr>
                    <w:t>，</w:t>
                  </w:r>
                  <w:r>
                    <w:rPr>
                      <w:sz w:val="21"/>
                    </w:rPr>
                    <w:t>认真负责</w:t>
                  </w:r>
                  <w:r>
                    <w:rPr>
                      <w:sz w:val="21"/>
                    </w:rPr>
                    <w:t>，</w:t>
                  </w:r>
                  <w:r>
                    <w:rPr>
                      <w:sz w:val="21"/>
                    </w:rPr>
                    <w:t>举止文明、礼貌。</w:t>
                  </w:r>
                </w:p>
                <w:p>
                  <w:pPr>
                    <w:pStyle w:val="null3"/>
                    <w:jc w:val="both"/>
                  </w:pPr>
                  <w:r>
                    <w:rPr>
                      <w:sz w:val="21"/>
                    </w:rPr>
                    <w:t>每发现一起个人及着装形象差的</w:t>
                  </w:r>
                  <w:r>
                    <w:rPr>
                      <w:sz w:val="21"/>
                    </w:rPr>
                    <w:t>扣</w:t>
                  </w:r>
                  <w:r>
                    <w:rPr>
                      <w:sz w:val="21"/>
                    </w:rPr>
                    <w:t>1分。</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8</w:t>
                  </w:r>
                </w:p>
              </w:tc>
              <w:tc>
                <w:tcPr>
                  <w:tcW w:type="dxa" w:w="575"/>
                  <w:vMerge/>
                  <w:tcBorders>
                    <w:top w:val="none" w:color="000000" w:sz="4"/>
                    <w:left w:val="single" w:color="000000" w:sz="4"/>
                    <w:bottom w:val="single" w:color="000000" w:sz="4"/>
                    <w:right w:val="single" w:color="000000" w:sz="4"/>
                  </w:tcBorders>
                </w:tcPr>
                <w:p/>
              </w:tc>
              <w:tc>
                <w:tcPr>
                  <w:tcW w:type="dxa" w:w="631"/>
                  <w:vMerge/>
                  <w:tcBorders>
                    <w:top w:val="none" w:color="000000" w:sz="4"/>
                    <w:left w:val="single" w:color="000000" w:sz="4"/>
                    <w:bottom w:val="single" w:color="000000" w:sz="4"/>
                    <w:right w:val="single" w:color="000000" w:sz="4"/>
                  </w:tcBorders>
                </w:tcPr>
                <w:p/>
              </w:tc>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培训情况（</w:t>
                  </w:r>
                  <w:r>
                    <w:rPr>
                      <w:sz w:val="21"/>
                    </w:rPr>
                    <w:t>8</w:t>
                  </w:r>
                  <w:r>
                    <w:rPr>
                      <w:sz w:val="21"/>
                    </w:rPr>
                    <w:t>分）</w:t>
                  </w:r>
                </w:p>
              </w:tc>
              <w:tc>
                <w:tcPr>
                  <w:tcW w:type="dxa" w:w="2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每季度至少组织</w:t>
                  </w:r>
                  <w:r>
                    <w:rPr>
                      <w:sz w:val="21"/>
                    </w:rPr>
                    <w:t>1次员工业务培训，每名员工每季度至少参加1次业务培训。新员工入职必须参加1次业务培训。</w:t>
                  </w:r>
                </w:p>
                <w:p>
                  <w:pPr>
                    <w:pStyle w:val="null3"/>
                    <w:jc w:val="both"/>
                  </w:pPr>
                  <w:r>
                    <w:rPr>
                      <w:sz w:val="21"/>
                    </w:rPr>
                    <w:t>每月对培训情况及员工参加培训情况进行统计，发现</w:t>
                  </w:r>
                  <w:r>
                    <w:rPr>
                      <w:sz w:val="21"/>
                    </w:rPr>
                    <w:t>1人未达到要求或培训次数未达到要求扣4分</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9</w:t>
                  </w:r>
                </w:p>
              </w:tc>
              <w:tc>
                <w:tcPr>
                  <w:tcW w:type="dxa" w:w="575"/>
                  <w:vMerge/>
                  <w:tcBorders>
                    <w:top w:val="none" w:color="000000" w:sz="4"/>
                    <w:left w:val="single" w:color="000000" w:sz="4"/>
                    <w:bottom w:val="single" w:color="000000" w:sz="4"/>
                    <w:right w:val="single" w:color="000000" w:sz="4"/>
                  </w:tcBorders>
                </w:tcPr>
                <w:p/>
              </w:tc>
              <w:tc>
                <w:tcPr>
                  <w:tcW w:type="dxa" w:w="6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业务</w:t>
                  </w:r>
                  <w:r>
                    <w:rPr>
                      <w:sz w:val="21"/>
                    </w:rPr>
                    <w:t>管理</w:t>
                  </w:r>
                  <w:r>
                    <w:rPr>
                      <w:sz w:val="21"/>
                    </w:rPr>
                    <w:t>（</w:t>
                  </w:r>
                  <w:r>
                    <w:rPr>
                      <w:sz w:val="21"/>
                    </w:rPr>
                    <w:t>42</w:t>
                  </w:r>
                  <w:r>
                    <w:rPr>
                      <w:sz w:val="21"/>
                    </w:rPr>
                    <w:t>分）</w:t>
                  </w:r>
                </w:p>
              </w:tc>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实地考察点位巡查情况</w:t>
                  </w:r>
                  <w:r>
                    <w:rPr>
                      <w:sz w:val="21"/>
                    </w:rPr>
                    <w:t>（</w:t>
                  </w:r>
                  <w:r>
                    <w:rPr>
                      <w:sz w:val="21"/>
                    </w:rPr>
                    <w:t>15分）</w:t>
                  </w:r>
                </w:p>
              </w:tc>
              <w:tc>
                <w:tcPr>
                  <w:tcW w:type="dxa" w:w="2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当月信息采集员通过</w:t>
                  </w:r>
                  <w:r>
                    <w:rPr>
                      <w:sz w:val="21"/>
                    </w:rPr>
                    <w:t>“惠创文”小程序完成现场巡查工作。巡查工作量以点位巡查总量计算，由采购人当月制定，每少1%扣1分，不足1%按1%计算。（巡查点位数量会根据城市文明建设需求和全国文明城市创建评估要求进行调整。如有特殊情况，巡查范围及点位由采购人根据实际业务情况指定）</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10</w:t>
                  </w:r>
                </w:p>
              </w:tc>
              <w:tc>
                <w:tcPr>
                  <w:tcW w:type="dxa" w:w="575"/>
                  <w:vMerge/>
                  <w:tcBorders>
                    <w:top w:val="none" w:color="000000" w:sz="4"/>
                    <w:left w:val="single" w:color="000000" w:sz="4"/>
                    <w:bottom w:val="single" w:color="000000" w:sz="4"/>
                    <w:right w:val="single" w:color="000000" w:sz="4"/>
                  </w:tcBorders>
                </w:tcPr>
                <w:p/>
              </w:tc>
              <w:tc>
                <w:tcPr>
                  <w:tcW w:type="dxa" w:w="631"/>
                  <w:vMerge/>
                  <w:tcBorders>
                    <w:top w:val="none" w:color="000000" w:sz="4"/>
                    <w:left w:val="single" w:color="000000" w:sz="4"/>
                    <w:bottom w:val="single" w:color="000000" w:sz="4"/>
                    <w:right w:val="single" w:color="000000" w:sz="4"/>
                  </w:tcBorders>
                </w:tcPr>
                <w:p/>
              </w:tc>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工单处置情况（</w:t>
                  </w:r>
                  <w:r>
                    <w:rPr>
                      <w:sz w:val="21"/>
                    </w:rPr>
                    <w:t>15分）</w:t>
                  </w:r>
                </w:p>
              </w:tc>
              <w:tc>
                <w:tcPr>
                  <w:tcW w:type="dxa" w:w="2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对巡查</w:t>
                  </w:r>
                  <w:r>
                    <w:rPr>
                      <w:sz w:val="21"/>
                    </w:rPr>
                    <w:t>产生的文明城市创建点位信息工单进行核实转派、跟踪催办、审核结案等闭环调处管理工作</w:t>
                  </w:r>
                  <w:r>
                    <w:rPr>
                      <w:sz w:val="21"/>
                    </w:rPr>
                    <w:t>。</w:t>
                  </w:r>
                  <w:r>
                    <w:rPr>
                      <w:sz w:val="21"/>
                    </w:rPr>
                    <w:t>工单无故未及时处置，超过</w:t>
                  </w:r>
                  <w:r>
                    <w:rPr>
                      <w:sz w:val="21"/>
                    </w:rPr>
                    <w:t>24小时，每1宗工单扣1分。</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11</w:t>
                  </w:r>
                </w:p>
              </w:tc>
              <w:tc>
                <w:tcPr>
                  <w:tcW w:type="dxa" w:w="575"/>
                  <w:vMerge/>
                  <w:tcBorders>
                    <w:top w:val="none" w:color="000000" w:sz="4"/>
                    <w:left w:val="single" w:color="000000" w:sz="4"/>
                    <w:bottom w:val="single" w:color="000000" w:sz="4"/>
                    <w:right w:val="single" w:color="000000" w:sz="4"/>
                  </w:tcBorders>
                </w:tcPr>
                <w:p/>
              </w:tc>
              <w:tc>
                <w:tcPr>
                  <w:tcW w:type="dxa" w:w="631"/>
                  <w:vMerge/>
                  <w:tcBorders>
                    <w:top w:val="none" w:color="000000" w:sz="4"/>
                    <w:left w:val="single" w:color="000000" w:sz="4"/>
                    <w:bottom w:val="single" w:color="000000" w:sz="4"/>
                    <w:right w:val="single" w:color="000000" w:sz="4"/>
                  </w:tcBorders>
                </w:tcPr>
                <w:p/>
              </w:tc>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突发事件处置情况（</w:t>
                  </w:r>
                  <w:r>
                    <w:rPr>
                      <w:sz w:val="21"/>
                    </w:rPr>
                    <w:t>12）</w:t>
                  </w:r>
                </w:p>
              </w:tc>
              <w:tc>
                <w:tcPr>
                  <w:tcW w:type="dxa" w:w="2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w:t>
                  </w:r>
                  <w:r>
                    <w:rPr>
                      <w:sz w:val="21"/>
                    </w:rPr>
                    <w:t>经理</w:t>
                  </w:r>
                  <w:r>
                    <w:rPr>
                      <w:sz w:val="21"/>
                    </w:rPr>
                    <w:t>、</w:t>
                  </w:r>
                  <w:r>
                    <w:rPr>
                      <w:sz w:val="21"/>
                    </w:rPr>
                    <w:t>运营团队工作</w:t>
                  </w:r>
                  <w:r>
                    <w:rPr>
                      <w:sz w:val="21"/>
                    </w:rPr>
                    <w:t>人员应保持通讯畅通，确保发生</w:t>
                  </w:r>
                  <w:r>
                    <w:rPr>
                      <w:sz w:val="21"/>
                    </w:rPr>
                    <w:t>应急</w:t>
                  </w:r>
                  <w:r>
                    <w:rPr>
                      <w:sz w:val="21"/>
                    </w:rPr>
                    <w:t>事件时能迅速接收调度通知并及时开展应急响应工作。</w:t>
                  </w:r>
                  <w:r>
                    <w:rPr>
                      <w:sz w:val="21"/>
                    </w:rPr>
                    <w:t>突发事件应急服务</w:t>
                  </w:r>
                  <w:r>
                    <w:rPr>
                      <w:sz w:val="21"/>
                    </w:rPr>
                    <w:t>未能及时响应的，每次扣</w:t>
                  </w:r>
                  <w:r>
                    <w:rPr>
                      <w:sz w:val="21"/>
                    </w:rPr>
                    <w:t>10</w:t>
                  </w:r>
                  <w:r>
                    <w:rPr>
                      <w:sz w:val="21"/>
                    </w:rPr>
                    <w:t>分；未按要求做好</w:t>
                  </w:r>
                  <w:r>
                    <w:rPr>
                      <w:sz w:val="21"/>
                    </w:rPr>
                    <w:t>应急服务</w:t>
                  </w:r>
                  <w:r>
                    <w:rPr>
                      <w:sz w:val="21"/>
                    </w:rPr>
                    <w:t>值勤的，视情况每次扣</w:t>
                  </w:r>
                  <w:r>
                    <w:rPr>
                      <w:sz w:val="21"/>
                    </w:rPr>
                    <w:t>5-10</w:t>
                  </w:r>
                  <w:r>
                    <w:rPr>
                      <w:sz w:val="21"/>
                    </w:rPr>
                    <w:t>分。</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12</w:t>
                  </w:r>
                </w:p>
              </w:tc>
              <w:tc>
                <w:tcPr>
                  <w:tcW w:type="dxa" w:w="575"/>
                  <w:vMerge/>
                  <w:tcBorders>
                    <w:top w:val="none" w:color="000000" w:sz="4"/>
                    <w:left w:val="single" w:color="000000" w:sz="4"/>
                    <w:bottom w:val="single" w:color="000000" w:sz="4"/>
                    <w:right w:val="single" w:color="000000" w:sz="4"/>
                  </w:tcBorders>
                </w:tcP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工作台账与工作总工结情况（</w:t>
                  </w:r>
                  <w:r>
                    <w:rPr>
                      <w:sz w:val="21"/>
                    </w:rPr>
                    <w:t>16</w:t>
                  </w:r>
                  <w:r>
                    <w:rPr>
                      <w:sz w:val="21"/>
                    </w:rPr>
                    <w:t>分）</w:t>
                  </w:r>
                </w:p>
              </w:tc>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总结报告等各类数据分析报告（</w:t>
                  </w:r>
                  <w:r>
                    <w:rPr>
                      <w:sz w:val="21"/>
                    </w:rPr>
                    <w:t>16</w:t>
                  </w:r>
                  <w:r>
                    <w:rPr>
                      <w:sz w:val="21"/>
                    </w:rPr>
                    <w:t>分）</w:t>
                  </w:r>
                </w:p>
              </w:tc>
              <w:tc>
                <w:tcPr>
                  <w:tcW w:type="dxa" w:w="2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做好每日工作梳理汇总，出具文明城市创建巡查月报、季度报告及年度总结报告等各类数据分析报告</w:t>
                  </w:r>
                  <w:r>
                    <w:rPr>
                      <w:sz w:val="21"/>
                    </w:rPr>
                    <w:t>，</w:t>
                  </w:r>
                  <w:r>
                    <w:rPr>
                      <w:sz w:val="21"/>
                    </w:rPr>
                    <w:t>报告出具时间以采购人要求为准。未按时完成的每次扣</w:t>
                  </w:r>
                  <w:r>
                    <w:rPr>
                      <w:sz w:val="21"/>
                    </w:rPr>
                    <w:t>8分</w:t>
                  </w:r>
                  <w:r>
                    <w:rPr>
                      <w:sz w:val="21"/>
                    </w:rPr>
                    <w:t>。</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210"/>
                    <w:jc w:val="both"/>
                  </w:pPr>
                  <w:r>
                    <w:rPr>
                      <w:sz w:val="21"/>
                    </w:rPr>
                    <w:t>13</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加分指标（</w:t>
                  </w:r>
                  <w:r>
                    <w:rPr>
                      <w:sz w:val="21"/>
                    </w:rPr>
                    <w:t>10</w:t>
                  </w:r>
                  <w:r>
                    <w:rPr>
                      <w:sz w:val="21"/>
                    </w:rPr>
                    <w:t>分）</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加分指标（</w:t>
                  </w:r>
                  <w:r>
                    <w:rPr>
                      <w:sz w:val="21"/>
                    </w:rPr>
                    <w:t>10</w:t>
                  </w:r>
                  <w:r>
                    <w:rPr>
                      <w:sz w:val="21"/>
                    </w:rPr>
                    <w:t>分）</w:t>
                  </w:r>
                </w:p>
              </w:tc>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工作获得表扬（</w:t>
                  </w:r>
                  <w:r>
                    <w:rPr>
                      <w:sz w:val="21"/>
                    </w:rPr>
                    <w:t>10分）</w:t>
                  </w:r>
                </w:p>
              </w:tc>
              <w:tc>
                <w:tcPr>
                  <w:tcW w:type="dxa" w:w="2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运营</w:t>
                  </w:r>
                  <w:r>
                    <w:rPr>
                      <w:sz w:val="21"/>
                    </w:rPr>
                    <w:t>人员</w:t>
                  </w:r>
                  <w:r>
                    <w:rPr>
                      <w:sz w:val="21"/>
                    </w:rPr>
                    <w:t>当月</w:t>
                  </w:r>
                  <w:r>
                    <w:rPr>
                      <w:sz w:val="21"/>
                    </w:rPr>
                    <w:t>在</w:t>
                  </w:r>
                  <w:r>
                    <w:rPr>
                      <w:sz w:val="21"/>
                    </w:rPr>
                    <w:t>运营</w:t>
                  </w:r>
                  <w:r>
                    <w:rPr>
                      <w:sz w:val="21"/>
                    </w:rPr>
                    <w:t>期间</w:t>
                  </w:r>
                  <w:r>
                    <w:rPr>
                      <w:sz w:val="21"/>
                    </w:rPr>
                    <w:t>或重大任务保障期间</w:t>
                  </w:r>
                  <w:r>
                    <w:rPr>
                      <w:sz w:val="21"/>
                    </w:rPr>
                    <w:t>得到相关部门或业务科室</w:t>
                  </w:r>
                  <w:r>
                    <w:rPr>
                      <w:sz w:val="21"/>
                    </w:rPr>
                    <w:t>公开点名表扬</w:t>
                  </w:r>
                  <w:r>
                    <w:rPr>
                      <w:sz w:val="21"/>
                    </w:rPr>
                    <w:t>，</w:t>
                  </w:r>
                  <w:r>
                    <w:rPr>
                      <w:sz w:val="21"/>
                    </w:rPr>
                    <w:t>每次</w:t>
                  </w:r>
                  <w:r>
                    <w:rPr>
                      <w:sz w:val="21"/>
                    </w:rPr>
                    <w:t>加</w:t>
                  </w:r>
                  <w:r>
                    <w:rPr>
                      <w:sz w:val="21"/>
                    </w:rPr>
                    <w:t>5分。</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p>
              </w:tc>
              <w:tc>
                <w:tcPr>
                  <w:tcW w:type="dxa" w:w="12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合计分值</w:t>
                  </w:r>
                </w:p>
              </w:tc>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center"/>
                  </w:pPr>
                  <w:r>
                    <w:rPr>
                      <w:sz w:val="21"/>
                    </w:rPr>
                    <w:t>（</w:t>
                  </w:r>
                  <w:r>
                    <w:rPr>
                      <w:sz w:val="22"/>
                    </w:rPr>
                    <w:t xml:space="preserve">   </w:t>
                  </w:r>
                  <w:r>
                    <w:rPr>
                      <w:sz w:val="21"/>
                    </w:rPr>
                    <w:t>）</w:t>
                  </w:r>
                  <w:r>
                    <w:rPr>
                      <w:sz w:val="21"/>
                    </w:rPr>
                    <w:t>分</w:t>
                  </w:r>
                </w:p>
              </w:tc>
              <w:tc>
                <w:tcPr>
                  <w:tcW w:type="dxa" w:w="2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r>
            <w:tr>
              <w:tc>
                <w:tcPr>
                  <w:tcW w:type="dxa" w:w="294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w:t>
                  </w:r>
                </w:p>
                <w:p>
                  <w:pPr>
                    <w:pStyle w:val="null3"/>
                    <w:spacing w:after="120"/>
                    <w:ind w:firstLine="420"/>
                    <w:jc w:val="both"/>
                  </w:pPr>
                  <w:r>
                    <w:rPr>
                      <w:sz w:val="21"/>
                    </w:rPr>
                    <w:t>年</w:t>
                  </w:r>
                  <w:r>
                    <w:rPr>
                      <w:sz w:val="21"/>
                    </w:rPr>
                    <w:t xml:space="preserve">   </w:t>
                  </w:r>
                  <w:r>
                    <w:rPr>
                      <w:sz w:val="21"/>
                    </w:rPr>
                    <w:t>月</w:t>
                  </w:r>
                  <w:r>
                    <w:rPr>
                      <w:sz w:val="21"/>
                    </w:rPr>
                    <w:t xml:space="preserve">    </w:t>
                  </w:r>
                  <w:r>
                    <w:rPr>
                      <w:sz w:val="21"/>
                    </w:rPr>
                    <w:t>日</w:t>
                  </w:r>
                </w:p>
              </w:tc>
              <w:tc>
                <w:tcPr>
                  <w:tcW w:type="dxa" w:w="2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中标供应商：</w:t>
                  </w:r>
                </w:p>
                <w:p>
                  <w:pPr>
                    <w:pStyle w:val="null3"/>
                    <w:spacing w:after="120"/>
                    <w:ind w:firstLine="420"/>
                    <w:jc w:val="both"/>
                  </w:pP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1"/>
              </w:rPr>
              <w:t>(2)</w:t>
            </w:r>
            <w:r>
              <w:rPr>
                <w:sz w:val="21"/>
              </w:rPr>
              <w:t>运维服务质量考核评分表</w:t>
            </w:r>
          </w:p>
          <w:tbl>
            <w:tblPr>
              <w:tblBorders>
                <w:top w:val="none" w:color="000000" w:sz="4"/>
                <w:left w:val="none" w:color="000000" w:sz="4"/>
                <w:bottom w:val="none" w:color="000000" w:sz="4"/>
                <w:right w:val="none" w:color="000000" w:sz="4"/>
                <w:insideH w:val="none"/>
                <w:insideV w:val="none"/>
              </w:tblBorders>
            </w:tblPr>
            <w:tblGrid>
              <w:gridCol w:w="508"/>
              <w:gridCol w:w="480"/>
              <w:gridCol w:w="574"/>
              <w:gridCol w:w="1703"/>
              <w:gridCol w:w="2333"/>
            </w:tblGrid>
            <w:tr>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5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4"/>
                    </w:rPr>
                    <w:t>考核项目</w:t>
                  </w:r>
                </w:p>
              </w:tc>
              <w:tc>
                <w:tcPr>
                  <w:tcW w:type="dxa" w:w="1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4"/>
                    </w:rPr>
                    <w:t>考核内容</w:t>
                  </w:r>
                </w:p>
              </w:tc>
              <w:tc>
                <w:tcPr>
                  <w:tcW w:type="dxa" w:w="2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4"/>
                    </w:rPr>
                    <w:t>考核标准</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1</w:t>
                  </w:r>
                </w:p>
              </w:tc>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运维服务质量考核（</w:t>
                  </w:r>
                  <w:r>
                    <w:rPr>
                      <w:sz w:val="21"/>
                    </w:rPr>
                    <w:t>100分）</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系统优化（</w:t>
                  </w:r>
                  <w:r>
                    <w:rPr>
                      <w:sz w:val="21"/>
                    </w:rPr>
                    <w:t>15分）</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定期对系统进行性能评估和优化，改正在以往测试过程中没有发现的程序错误和缺陷，确保系统的高效运行。</w:t>
                  </w:r>
                </w:p>
              </w:tc>
              <w:tc>
                <w:tcPr>
                  <w:tcW w:type="dxa" w:w="2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1.每季度进行操作系统性能、中间件转发、数据库查询、应用程序处理、网络请求响应等的性能评估，并根据评估结果进行优化。</w:t>
                  </w:r>
                  <w:r>
                    <w:br/>
                  </w:r>
                  <w:r>
                    <w:rPr>
                      <w:sz w:val="21"/>
                    </w:rPr>
                    <w:t>2.每季度进行系统功能测试，检查用户交互过程是否出现未发现的异常事件。</w:t>
                  </w:r>
                  <w:r>
                    <w:br/>
                  </w:r>
                  <w:r>
                    <w:rPr>
                      <w:sz w:val="21"/>
                    </w:rPr>
                    <w:t>3.对每季度发现的问题进改正并发布常规版本。</w:t>
                  </w:r>
                  <w:r>
                    <w:br/>
                  </w:r>
                  <w:r>
                    <w:rPr>
                      <w:sz w:val="21"/>
                    </w:rPr>
                    <w:t>第</w:t>
                  </w:r>
                  <w:r>
                    <w:rPr>
                      <w:sz w:val="21"/>
                    </w:rPr>
                    <w:t>1、2项提供工作记录。第3项根据实际落实。1项未按要求完成扣5分。</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2</w:t>
                  </w:r>
                </w:p>
              </w:tc>
              <w:tc>
                <w:tcPr>
                  <w:tcW w:type="dxa" w:w="480"/>
                  <w:vMerge/>
                  <w:tcBorders>
                    <w:top w:val="none" w:color="000000" w:sz="4"/>
                    <w:left w:val="single" w:color="000000" w:sz="4"/>
                    <w:bottom w:val="single" w:color="000000" w:sz="4"/>
                    <w:right w:val="single" w:color="000000" w:sz="4"/>
                  </w:tcBorders>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系统监控与维护（</w:t>
                  </w:r>
                  <w:r>
                    <w:rPr>
                      <w:sz w:val="21"/>
                    </w:rPr>
                    <w:t>10）</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监控惠州市全国文明城市创建大数据管理平台操作系统、中间件、数据库、应用程序的运行状态，确保软件系统的正常运行</w:t>
                  </w:r>
                </w:p>
              </w:tc>
              <w:tc>
                <w:tcPr>
                  <w:tcW w:type="dxa" w:w="2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1"/>
                    </w:rPr>
                    <w:t>每月提供工作记录。未开展扣</w:t>
                  </w:r>
                  <w:r>
                    <w:rPr>
                      <w:sz w:val="21"/>
                    </w:rPr>
                    <w:t>10分</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3</w:t>
                  </w:r>
                </w:p>
              </w:tc>
              <w:tc>
                <w:tcPr>
                  <w:tcW w:type="dxa" w:w="480"/>
                  <w:vMerge/>
                  <w:tcBorders>
                    <w:top w:val="none" w:color="000000" w:sz="4"/>
                    <w:left w:val="single" w:color="000000" w:sz="4"/>
                    <w:bottom w:val="single" w:color="000000" w:sz="4"/>
                    <w:right w:val="single" w:color="000000" w:sz="4"/>
                  </w:tcBorders>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数据维护（</w:t>
                  </w:r>
                  <w:r>
                    <w:rPr>
                      <w:sz w:val="21"/>
                    </w:rPr>
                    <w:t>10）</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系统数据导入、导出、统计，基础数据调整，异常数据修正等维护活动</w:t>
                  </w:r>
                </w:p>
              </w:tc>
              <w:tc>
                <w:tcPr>
                  <w:tcW w:type="dxa" w:w="2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每月根据采购人的工作要求完成数据维护。未完成</w:t>
                  </w:r>
                  <w:r>
                    <w:rPr>
                      <w:sz w:val="21"/>
                    </w:rPr>
                    <w:t>1次扣5分</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4</w:t>
                  </w:r>
                </w:p>
              </w:tc>
              <w:tc>
                <w:tcPr>
                  <w:tcW w:type="dxa" w:w="480"/>
                  <w:vMerge/>
                  <w:tcBorders>
                    <w:top w:val="none" w:color="000000" w:sz="4"/>
                    <w:left w:val="single" w:color="000000" w:sz="4"/>
                    <w:bottom w:val="single" w:color="000000" w:sz="4"/>
                    <w:right w:val="single" w:color="000000" w:sz="4"/>
                  </w:tcBorders>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系统备份（</w:t>
                  </w:r>
                  <w:r>
                    <w:rPr>
                      <w:sz w:val="21"/>
                    </w:rPr>
                    <w:t>20分）</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定期对系统数据进行备份，保证数据的安全性和完整性，确保在灾难发生后能够快速恢复系统和数据。</w:t>
                  </w:r>
                </w:p>
              </w:tc>
              <w:tc>
                <w:tcPr>
                  <w:tcW w:type="dxa" w:w="2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每天对业务数据、应用程序等留痕数据，对操作系统、中间件、数据库、应用程序的配置数据、日志数据进行全量备份并保留</w:t>
                  </w:r>
                  <w:r>
                    <w:rPr>
                      <w:sz w:val="21"/>
                    </w:rPr>
                    <w:t>7天。</w:t>
                  </w:r>
                </w:p>
                <w:p>
                  <w:pPr>
                    <w:pStyle w:val="null3"/>
                    <w:jc w:val="both"/>
                  </w:pPr>
                  <w:r>
                    <w:rPr>
                      <w:sz w:val="21"/>
                    </w:rPr>
                    <w:t>提供工作记录。超出时间未备份，</w:t>
                  </w:r>
                  <w:r>
                    <w:rPr>
                      <w:sz w:val="21"/>
                    </w:rPr>
                    <w:t>1次扣5分。</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5</w:t>
                  </w:r>
                </w:p>
              </w:tc>
              <w:tc>
                <w:tcPr>
                  <w:tcW w:type="dxa" w:w="480"/>
                  <w:vMerge/>
                  <w:tcBorders>
                    <w:top w:val="none" w:color="000000" w:sz="4"/>
                    <w:left w:val="single" w:color="000000" w:sz="4"/>
                    <w:bottom w:val="single" w:color="000000" w:sz="4"/>
                    <w:right w:val="single" w:color="000000" w:sz="4"/>
                  </w:tcBorders>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安全管理（</w:t>
                  </w:r>
                  <w:r>
                    <w:rPr>
                      <w:sz w:val="21"/>
                    </w:rPr>
                    <w:t>10分）</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每月检查惠州市全国文明城市创建大数据管理平台操作系统漏洞并更新补丁，更新检查安全组件，检查应用程序漏洞情况并更新补丁，检查系统分配访问权限，防止黑客攻击和数据泄露。</w:t>
                  </w:r>
                </w:p>
              </w:tc>
              <w:tc>
                <w:tcPr>
                  <w:tcW w:type="dxa" w:w="2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提供工作记录，未开展扣</w:t>
                  </w:r>
                  <w:r>
                    <w:rPr>
                      <w:sz w:val="21"/>
                    </w:rPr>
                    <w:t>10分</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6</w:t>
                  </w:r>
                </w:p>
              </w:tc>
              <w:tc>
                <w:tcPr>
                  <w:tcW w:type="dxa" w:w="480"/>
                  <w:vMerge/>
                  <w:tcBorders>
                    <w:top w:val="none" w:color="000000" w:sz="4"/>
                    <w:left w:val="single" w:color="000000" w:sz="4"/>
                    <w:bottom w:val="single" w:color="000000" w:sz="4"/>
                    <w:right w:val="single" w:color="000000" w:sz="4"/>
                  </w:tcBorders>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日志管理和配置管理（</w:t>
                  </w:r>
                  <w:r>
                    <w:rPr>
                      <w:sz w:val="21"/>
                    </w:rPr>
                    <w:t>10分）</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1.收集系统运行过程中产生的日志信息，记录操作记录和系统事件，对日志进行分析，发现潜在问题并进行预防性维护；</w:t>
                  </w:r>
                </w:p>
                <w:p>
                  <w:pPr>
                    <w:pStyle w:val="null3"/>
                    <w:jc w:val="both"/>
                  </w:pPr>
                  <w:r>
                    <w:rPr>
                      <w:sz w:val="21"/>
                    </w:rPr>
                    <w:t>2.对平台系统配置进行统一管理和控制，确保配置的一致性和正确性，以适应新的网络环境、硬件环境。记录和管理系统配置的变更情况，确保变更过程的可控性。</w:t>
                  </w:r>
                </w:p>
              </w:tc>
              <w:tc>
                <w:tcPr>
                  <w:tcW w:type="dxa" w:w="2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1项提供工作记录，第2项根据平台配置变更需要按实际落实。1项工作未按要求完成扣5分。</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7</w:t>
                  </w:r>
                </w:p>
              </w:tc>
              <w:tc>
                <w:tcPr>
                  <w:tcW w:type="dxa" w:w="480"/>
                  <w:vMerge/>
                  <w:tcBorders>
                    <w:top w:val="none" w:color="000000" w:sz="4"/>
                    <w:left w:val="single" w:color="000000" w:sz="4"/>
                    <w:bottom w:val="single" w:color="000000" w:sz="4"/>
                    <w:right w:val="single" w:color="000000" w:sz="4"/>
                  </w:tcBorders>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运维巡检报告（</w:t>
                  </w:r>
                  <w:r>
                    <w:rPr>
                      <w:sz w:val="21"/>
                    </w:rPr>
                    <w:t>10分）</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输出系统月度、半年度、年度运维巡检报告。</w:t>
                  </w:r>
                </w:p>
              </w:tc>
              <w:tc>
                <w:tcPr>
                  <w:tcW w:type="dxa" w:w="2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做好工作记录，出具运维巡检报告月度、半年及年度运维巡检报告，报告出具时间以采购人要求为准。未按时完成的每次扣</w:t>
                  </w:r>
                  <w:r>
                    <w:rPr>
                      <w:sz w:val="21"/>
                    </w:rPr>
                    <w:t>5分.</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8</w:t>
                  </w:r>
                </w:p>
              </w:tc>
              <w:tc>
                <w:tcPr>
                  <w:tcW w:type="dxa" w:w="480"/>
                  <w:vMerge/>
                  <w:tcBorders>
                    <w:top w:val="none" w:color="000000" w:sz="4"/>
                    <w:left w:val="single" w:color="000000" w:sz="4"/>
                    <w:bottom w:val="single" w:color="000000" w:sz="4"/>
                    <w:right w:val="single" w:color="000000" w:sz="4"/>
                  </w:tcBorders>
                </w:tcPr>
                <w:p/>
              </w:tc>
              <w:tc>
                <w:tcPr>
                  <w:tcW w:type="dxa" w:w="5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故障处理（</w:t>
                  </w:r>
                  <w:r>
                    <w:rPr>
                      <w:sz w:val="21"/>
                    </w:rPr>
                    <w:t>15分）</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服务时间：日常运维</w:t>
                  </w:r>
                  <w:r>
                    <w:rPr>
                      <w:sz w:val="21"/>
                    </w:rPr>
                    <w:t>5×8小时，应急响应7×24小时（日常运维服务时间为正常工作日周一到周五。提供7×24小时应急响应服务）；</w:t>
                  </w:r>
                </w:p>
              </w:tc>
              <w:tc>
                <w:tcPr>
                  <w:tcW w:type="dxa" w:w="2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以有关事件为准，出现</w:t>
                  </w:r>
                  <w:r>
                    <w:rPr>
                      <w:sz w:val="21"/>
                    </w:rPr>
                    <w:t>1次未达到标准，扣3分。</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9</w:t>
                  </w:r>
                </w:p>
              </w:tc>
              <w:tc>
                <w:tcPr>
                  <w:tcW w:type="dxa" w:w="480"/>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每月故障</w:t>
                  </w:r>
                  <w:r>
                    <w:rPr>
                      <w:sz w:val="21"/>
                    </w:rPr>
                    <w:t>12小时内解决率≥90%（12小时内解决故障的个数/事件总个数×100%，附事件处理记录）</w:t>
                  </w:r>
                </w:p>
              </w:tc>
              <w:tc>
                <w:tcPr>
                  <w:tcW w:type="dxa" w:w="2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故障</w:t>
                  </w:r>
                  <w:r>
                    <w:rPr>
                      <w:sz w:val="21"/>
                    </w:rPr>
                    <w:t>12小时内解决率每月&lt;90%，扣5分。</w:t>
                  </w:r>
                </w:p>
              </w:tc>
            </w:tr>
            <w:tr>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10</w:t>
                  </w:r>
                </w:p>
              </w:tc>
              <w:tc>
                <w:tcPr>
                  <w:tcW w:type="dxa" w:w="480"/>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服务响应时间：</w:t>
                  </w:r>
                  <w:r>
                    <w:rPr>
                      <w:sz w:val="21"/>
                    </w:rPr>
                    <w:t>5×8小时内，及时响应；5×8小时外，15分钟内响应；</w:t>
                  </w:r>
                </w:p>
              </w:tc>
              <w:tc>
                <w:tcPr>
                  <w:tcW w:type="dxa" w:w="2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以有关事件为准，出现</w:t>
                  </w:r>
                  <w:r>
                    <w:rPr>
                      <w:sz w:val="21"/>
                    </w:rPr>
                    <w:t>1次未达到标准，扣3分。</w:t>
                  </w:r>
                </w:p>
              </w:tc>
            </w:tr>
            <w:tr>
              <w:tc>
                <w:tcPr>
                  <w:tcW w:type="dxa" w:w="508"/>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574"/>
                  <w:vMerge/>
                  <w:tcBorders>
                    <w:top w:val="none" w:color="000000" w:sz="4"/>
                    <w:left w:val="single" w:color="000000" w:sz="4"/>
                    <w:bottom w:val="single" w:color="000000" w:sz="4"/>
                    <w:right w:val="single" w:color="000000" w:sz="4"/>
                  </w:tcBorders>
                </w:tcP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重大故障次数小于等于</w:t>
                  </w:r>
                  <w:r>
                    <w:rPr>
                      <w:sz w:val="21"/>
                    </w:rPr>
                    <w:t>1次</w:t>
                  </w:r>
                </w:p>
              </w:tc>
              <w:tc>
                <w:tcPr>
                  <w:tcW w:type="dxa" w:w="2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重大故障次数大于</w:t>
                  </w:r>
                  <w:r>
                    <w:rPr>
                      <w:sz w:val="21"/>
                    </w:rPr>
                    <w:t>1次，扣15分。</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p>
              </w:tc>
              <w:tc>
                <w:tcPr>
                  <w:tcW w:type="dxa" w:w="10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合计分值</w:t>
                  </w:r>
                </w:p>
              </w:tc>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w:t>
                  </w:r>
                  <w:r>
                    <w:rPr>
                      <w:sz w:val="22"/>
                    </w:rPr>
                    <w:t xml:space="preserve">   </w:t>
                  </w:r>
                  <w:r>
                    <w:rPr>
                      <w:sz w:val="21"/>
                    </w:rPr>
                    <w:t>）</w:t>
                  </w:r>
                  <w:r>
                    <w:rPr>
                      <w:sz w:val="21"/>
                    </w:rPr>
                    <w:t>分</w:t>
                  </w:r>
                </w:p>
              </w:tc>
              <w:tc>
                <w:tcPr>
                  <w:tcW w:type="dxa" w:w="2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p>
              </w:tc>
            </w:tr>
            <w:tr>
              <w:tc>
                <w:tcPr>
                  <w:tcW w:type="dxa" w:w="326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w:t>
                  </w:r>
                </w:p>
                <w:p>
                  <w:pPr>
                    <w:pStyle w:val="null3"/>
                    <w:spacing w:after="120"/>
                    <w:ind w:firstLine="420"/>
                    <w:jc w:val="both"/>
                  </w:pPr>
                  <w:r>
                    <w:rPr>
                      <w:sz w:val="21"/>
                    </w:rPr>
                    <w:t>年</w:t>
                  </w:r>
                  <w:r>
                    <w:rPr>
                      <w:sz w:val="21"/>
                    </w:rPr>
                    <w:t xml:space="preserve">   </w:t>
                  </w:r>
                  <w:r>
                    <w:rPr>
                      <w:sz w:val="21"/>
                    </w:rPr>
                    <w:t>月</w:t>
                  </w:r>
                  <w:r>
                    <w:rPr>
                      <w:sz w:val="21"/>
                    </w:rPr>
                    <w:t xml:space="preserve">    </w:t>
                  </w:r>
                  <w:r>
                    <w:rPr>
                      <w:sz w:val="21"/>
                    </w:rPr>
                    <w:t>日</w:t>
                  </w:r>
                </w:p>
              </w:tc>
              <w:tc>
                <w:tcPr>
                  <w:tcW w:type="dxa" w:w="2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420"/>
                    <w:jc w:val="both"/>
                  </w:pPr>
                  <w:r>
                    <w:rPr>
                      <w:sz w:val="21"/>
                    </w:rPr>
                    <w:t>中标供应商：</w:t>
                  </w:r>
                </w:p>
                <w:p>
                  <w:pPr>
                    <w:pStyle w:val="null3"/>
                    <w:spacing w:after="120"/>
                    <w:ind w:firstLine="420"/>
                    <w:jc w:val="both"/>
                  </w:pPr>
                  <w:r>
                    <w:rPr>
                      <w:sz w:val="21"/>
                    </w:rPr>
                    <w:t>年</w:t>
                  </w:r>
                  <w:r>
                    <w:rPr>
                      <w:sz w:val="21"/>
                    </w:rPr>
                    <w:t xml:space="preserve">   </w:t>
                  </w:r>
                  <w:r>
                    <w:rPr>
                      <w:sz w:val="21"/>
                    </w:rPr>
                    <w:t>月</w:t>
                  </w:r>
                  <w:r>
                    <w:rPr>
                      <w:sz w:val="21"/>
                    </w:rPr>
                    <w:t xml:space="preserve">    </w:t>
                  </w:r>
                  <w:r>
                    <w:rPr>
                      <w:sz w:val="21"/>
                    </w:rPr>
                    <w:t>日</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软件运维服务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详见附表一</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1.采购代理机构：本项目是指惠州市联拓招标代理有限公司，负责整个采购活动的组织，依法负责编制和发布招标文件，对招标文件拥有最终的解释权，不以任何身份出任评标委员会成员。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中共惠州市委宣传部</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计划委员会颁发的[2002]1980号文《招标代理服务收费管理暂行办法》向中标供应商收取招标代理服务费。招标代理服务费收取金额计算方式：项目招标（采购）完成后，以中标价为基数，代理服务费=总金额（计价格[2002]1980号文标准计费）*（1-20%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惠州市联拓招标代理有限公司</w:t>
      </w:r>
      <w:r>
        <w:rPr/>
        <w:t>代收。具体操作要求详见</w:t>
      </w:r>
      <w:r>
        <w:rPr/>
        <w:t>惠州市联拓招标代理有限公司</w:t>
      </w:r>
      <w:r>
        <w:rPr/>
        <w:t>有关指引，递交事宜请自行咨询</w:t>
      </w:r>
      <w:r>
        <w:rPr/>
        <w:t>惠州市联拓招标代理有限公司</w:t>
      </w:r>
      <w:r>
        <w:rPr/>
        <w:t>；请各投标人在投标文件递交截止时间前按须知前附表规定的金额递交至</w:t>
      </w:r>
      <w:r>
        <w:rPr/>
        <w:t>惠州市联拓招标代理有限公司</w:t>
      </w:r>
      <w:r>
        <w:rPr/>
        <w:t>，到账情况以开标时</w:t>
      </w:r>
      <w:r>
        <w:rPr/>
        <w:t>惠州市联拓招标代理有限公司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石小姐</w:t>
      </w:r>
    </w:p>
    <w:p>
      <w:pPr>
        <w:pStyle w:val="null3"/>
        <w:ind w:firstLine="480"/>
      </w:pPr>
      <w:r>
        <w:rPr/>
        <w:t>电话：</w:t>
      </w:r>
      <w:r>
        <w:rPr/>
        <w:t>0752-2818033</w:t>
      </w:r>
    </w:p>
    <w:p>
      <w:pPr>
        <w:pStyle w:val="null3"/>
        <w:ind w:firstLine="480"/>
      </w:pPr>
      <w:r>
        <w:rPr/>
        <w:t>传真：</w:t>
      </w:r>
      <w:r>
        <w:rPr/>
        <w:t>/</w:t>
      </w:r>
    </w:p>
    <w:p>
      <w:pPr>
        <w:pStyle w:val="null3"/>
        <w:ind w:firstLine="480"/>
      </w:pPr>
      <w:r>
        <w:rPr/>
        <w:t>邮箱：</w:t>
      </w:r>
      <w:r>
        <w:rPr/>
        <w:t>HZCGH88@163.com</w:t>
      </w:r>
    </w:p>
    <w:p>
      <w:pPr>
        <w:pStyle w:val="null3"/>
        <w:ind w:firstLine="480"/>
      </w:pPr>
      <w:r>
        <w:rPr/>
        <w:t>地址：</w:t>
      </w:r>
      <w:r>
        <w:rPr/>
        <w:t>惠州市云山西路10号投资大厦八楼</w:t>
      </w:r>
    </w:p>
    <w:p>
      <w:pPr>
        <w:pStyle w:val="null3"/>
        <w:ind w:firstLine="480"/>
      </w:pPr>
      <w:r>
        <w:rPr/>
        <w:t>邮编：</w:t>
      </w:r>
      <w:r>
        <w:rPr/>
        <w:t>516001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政府采购监督管理机构名称：惠州市财政局</w:t>
      </w:r>
    </w:p>
    <w:p>
      <w:pPr>
        <w:pStyle w:val="null3"/>
      </w:pPr>
      <w:r>
        <w:rPr/>
        <w:t>地 址：广东省惠州市江北文华一路6号市财政局9楼903室政府采购监管科</w:t>
      </w:r>
    </w:p>
    <w:p>
      <w:pPr>
        <w:pStyle w:val="null3"/>
      </w:pPr>
      <w:r>
        <w:rPr/>
        <w:t>电 话：0752-2881711、2881716</w:t>
      </w:r>
    </w:p>
    <w:p>
      <w:pPr>
        <w:pStyle w:val="null3"/>
      </w:pPr>
      <w:r>
        <w:rPr/>
        <w:t>邮 编：516001</w:t>
      </w:r>
    </w:p>
    <w:p>
      <w:pPr>
        <w:pStyle w:val="null3"/>
      </w:pPr>
      <w:r>
        <w:rPr/>
        <w:t>传 真：无</w:t>
      </w:r>
      <w:r>
        <w:br/>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惠州市全国文明城市创建大数据管理平台运营维护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惠州市联拓招标代理有限公司</w:t>
      </w:r>
      <w:r>
        <w:rPr/>
        <w:t>统一对外发布。</w:t>
      </w:r>
    </w:p>
    <w:p>
      <w:pPr>
        <w:pStyle w:val="null3"/>
        <w:ind w:firstLine="480"/>
      </w:pPr>
      <w:r>
        <w:rPr/>
        <w:t>（2）对</w:t>
      </w:r>
      <w:r>
        <w:rPr/>
        <w:t>惠州市联拓招标代理有限公司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采购包1（惠州市全国文明城市创建大数据管理平台运营维护项目）：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采购包1（惠州市全国文明城市创建大数据管理平台运营维护项目）：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供应商必须具有良好的商业信誉和健全的财务会计制度（提供2025年度财务状况报告或基本开户行出具的资信证明）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采购包整体不专门面向中小企业。</w:t>
            </w:r>
          </w:p>
        </w:tc>
      </w:tr>
    </w:tbl>
    <w:p>
      <w:pPr>
        <w:pStyle w:val="null3"/>
        <w:ind w:firstLine="480"/>
      </w:pPr>
      <w:r>
        <w:rPr/>
        <w:t>表二符合性审查表：</w:t>
      </w:r>
    </w:p>
    <w:p>
      <w:pPr>
        <w:pStyle w:val="null3"/>
      </w:pPr>
      <w:r>
        <w:rPr/>
        <w:t>采购包1（惠州市全国文明城市创建大数据管理平台运营维护项目）：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投标有效期是否满足招标文件要求</w:t>
            </w:r>
          </w:p>
        </w:tc>
      </w:tr>
      <w:tr>
        <w:tc>
          <w:tcPr>
            <w:tcW w:type="dxa" w:w="890"/>
          </w:tcPr>
          <w:p>
            <w:pPr>
              <w:pStyle w:val="null3"/>
            </w:pPr>
            <w:r>
              <w:rPr/>
              <w:t>2</w:t>
            </w:r>
          </w:p>
        </w:tc>
        <w:tc>
          <w:tcPr>
            <w:tcW w:type="dxa" w:w="3178"/>
          </w:tcPr>
          <w:p>
            <w:pPr>
              <w:pStyle w:val="null3"/>
            </w:pPr>
            <w:r>
              <w:rPr/>
              <w:t>式样和签署要求</w:t>
            </w:r>
          </w:p>
        </w:tc>
        <w:tc>
          <w:tcPr>
            <w:tcW w:type="dxa" w:w="4238"/>
          </w:tcPr>
          <w:p>
            <w:pPr>
              <w:pStyle w:val="null3"/>
            </w:pPr>
            <w:r>
              <w:rPr/>
              <w:t>投标文件符合招标文件的式样和签署要求</w:t>
            </w:r>
          </w:p>
        </w:tc>
      </w:tr>
      <w:tr>
        <w:tc>
          <w:tcPr>
            <w:tcW w:type="dxa" w:w="890"/>
          </w:tcPr>
          <w:p>
            <w:pPr>
              <w:pStyle w:val="null3"/>
            </w:pPr>
            <w:r>
              <w:rPr/>
              <w:t>3</w:t>
            </w:r>
          </w:p>
        </w:tc>
        <w:tc>
          <w:tcPr>
            <w:tcW w:type="dxa" w:w="3178"/>
          </w:tcPr>
          <w:p>
            <w:pPr>
              <w:pStyle w:val="null3"/>
            </w:pPr>
            <w:r>
              <w:rPr/>
              <w:t>技术规格</w:t>
            </w:r>
          </w:p>
        </w:tc>
        <w:tc>
          <w:tcPr>
            <w:tcW w:type="dxa" w:w="4238"/>
          </w:tcPr>
          <w:p>
            <w:pPr>
              <w:pStyle w:val="null3"/>
            </w:pPr>
            <w:r>
              <w:rPr/>
              <w:t>技术规格无偏离“采购需求”的★要求</w:t>
            </w:r>
          </w:p>
        </w:tc>
      </w:tr>
      <w:tr>
        <w:tc>
          <w:tcPr>
            <w:tcW w:type="dxa" w:w="890"/>
          </w:tcPr>
          <w:p>
            <w:pPr>
              <w:pStyle w:val="null3"/>
            </w:pPr>
            <w:r>
              <w:rPr/>
              <w:t>4</w:t>
            </w:r>
          </w:p>
        </w:tc>
        <w:tc>
          <w:tcPr>
            <w:tcW w:type="dxa" w:w="3178"/>
          </w:tcPr>
          <w:p>
            <w:pPr>
              <w:pStyle w:val="null3"/>
            </w:pPr>
            <w:r>
              <w:rPr/>
              <w:t>商务内容</w:t>
            </w:r>
          </w:p>
        </w:tc>
        <w:tc>
          <w:tcPr>
            <w:tcW w:type="dxa" w:w="4238"/>
          </w:tcPr>
          <w:p>
            <w:pPr>
              <w:pStyle w:val="null3"/>
            </w:pPr>
            <w:r>
              <w:rPr/>
              <w:t>商务内容无偏离“采购需求”的★要求</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投标报价是固定唯一价且无超出采购预算或最高限价</w:t>
            </w:r>
          </w:p>
        </w:tc>
      </w:tr>
      <w:tr>
        <w:tc>
          <w:tcPr>
            <w:tcW w:type="dxa" w:w="890"/>
          </w:tcPr>
          <w:p>
            <w:pPr>
              <w:pStyle w:val="null3"/>
            </w:pPr>
            <w:r>
              <w:rPr/>
              <w:t>6</w:t>
            </w:r>
          </w:p>
        </w:tc>
        <w:tc>
          <w:tcPr>
            <w:tcW w:type="dxa" w:w="3178"/>
          </w:tcPr>
          <w:p>
            <w:pPr>
              <w:pStyle w:val="null3"/>
            </w:pPr>
            <w:r>
              <w:rPr/>
              <w:t>实质性响应招标文件要求</w:t>
            </w:r>
          </w:p>
        </w:tc>
        <w:tc>
          <w:tcPr>
            <w:tcW w:type="dxa" w:w="4238"/>
          </w:tcPr>
          <w:p>
            <w:pPr>
              <w:pStyle w:val="null3"/>
            </w:pPr>
            <w:r>
              <w:rPr/>
              <w:t>投标文件实质性响应招标文件要求，且无经评委认定为无效标的内容和条款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惠州市全国文明城市创建大数据管理平台运营维护项目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标识▲符号的主要技术要求 (3.0分)</w:t>
            </w:r>
          </w:p>
        </w:tc>
        <w:tc>
          <w:tcPr>
            <w:tcW w:type="dxa" w:w="5076"/>
          </w:tcPr>
          <w:p>
            <w:pPr>
              <w:pStyle w:val="null3"/>
              <w:jc w:val="left"/>
            </w:pPr>
            <w:r>
              <w:rPr/>
              <w:t>根据投标人响应“具体技术(参数)要求”的响应情况进行评审打分，满足本项目招标要求中标识▲的主要技术要求（共3项）的，每提供一项满足“▲”要求的得1分，满分3.0分。 （投标文件需要提供有效的证明文件或承诺函来予以佐证主要技术符合招标要求。）</w:t>
            </w:r>
          </w:p>
        </w:tc>
      </w:tr>
      <w:tr>
        <w:tc>
          <w:tcPr>
            <w:tcW w:type="dxa" w:w="922"/>
            <w:gridSpan w:val="2"/>
            <w:vMerge/>
          </w:tcPr>
          <w:p/>
        </w:tc>
        <w:tc>
          <w:tcPr>
            <w:tcW w:type="dxa" w:w="2307"/>
          </w:tcPr>
          <w:p>
            <w:pPr>
              <w:pStyle w:val="null3"/>
              <w:jc w:val="left"/>
            </w:pPr>
            <w:r>
              <w:rPr/>
              <w:t>对项目业务运营背景的理解与运营现状的分析 (6.0分)</w:t>
            </w:r>
          </w:p>
        </w:tc>
        <w:tc>
          <w:tcPr>
            <w:tcW w:type="dxa" w:w="5076"/>
          </w:tcPr>
          <w:p>
            <w:pPr>
              <w:pStyle w:val="null3"/>
              <w:jc w:val="left"/>
            </w:pPr>
            <w:r>
              <w:rPr/>
              <w:t>根据投标人提供的对项目业务运营背景的理解与运营现状的分析进行综合评审，内容包括但不限于：项目业务运营背景的理解；运营现状的分析；可能出现的困难及对策建议。 ①涵盖上述所有内容且对上述各项内容描述全面、详细，困难及对策建议合理可行，得6分； ②涵盖上述所有内容且对上述各项内容描述基本全面、详细，能预测到困难，对策建议基本合理，得4分； ③涵盖上述所有内容但对上述各项内容描述不够全面、不够具体，对困难预估不足，得2分； ④无提供不得分。</w:t>
            </w:r>
          </w:p>
        </w:tc>
      </w:tr>
      <w:tr>
        <w:tc>
          <w:tcPr>
            <w:tcW w:type="dxa" w:w="922"/>
            <w:gridSpan w:val="2"/>
            <w:vMerge/>
          </w:tcPr>
          <w:p/>
        </w:tc>
        <w:tc>
          <w:tcPr>
            <w:tcW w:type="dxa" w:w="2307"/>
          </w:tcPr>
          <w:p>
            <w:pPr>
              <w:pStyle w:val="null3"/>
              <w:jc w:val="left"/>
            </w:pPr>
            <w:r>
              <w:rPr/>
              <w:t>项目实施方案（运营服务） (12.0分)</w:t>
            </w:r>
          </w:p>
        </w:tc>
        <w:tc>
          <w:tcPr>
            <w:tcW w:type="dxa" w:w="5076"/>
          </w:tcPr>
          <w:p>
            <w:pPr>
              <w:pStyle w:val="null3"/>
              <w:jc w:val="left"/>
            </w:pPr>
            <w:r>
              <w:rPr/>
              <w:t>根据投标人编制的项目实施方案（运营服务）进行综合评审，内容包括但不限于：内部组织管理方式及人员配置方案、进度安排方案、成果交付方案： ①涵盖上述所有内容且对上述各项内容描述全面、详细，可行性高，完全满足且优于“惠州市全国文明城市创建大数据管理平台运营服务内容”、“运营服务小组组建”需求的，得12分； ②涵盖上述所有内容且对上述各项内容描述基本全面、基本具体，具有可行性，基本满足“惠州市全国文明城市创建大数据管理平台运营服务内容”、“运营服务小组组建”需求的，得8分； ③涵盖上述所有内容但对上述各项内容描述不够全面、不够具体，可行性低，基本满足“惠州市全国文明城市创建大数据管理平台运营服务内容”、“运营服务小组组建”需求的，得4分； ④无提供不得分。</w:t>
            </w:r>
          </w:p>
        </w:tc>
      </w:tr>
      <w:tr>
        <w:tc>
          <w:tcPr>
            <w:tcW w:type="dxa" w:w="922"/>
            <w:gridSpan w:val="2"/>
            <w:vMerge/>
          </w:tcPr>
          <w:p/>
        </w:tc>
        <w:tc>
          <w:tcPr>
            <w:tcW w:type="dxa" w:w="2307"/>
          </w:tcPr>
          <w:p>
            <w:pPr>
              <w:pStyle w:val="null3"/>
              <w:jc w:val="left"/>
            </w:pPr>
            <w:r>
              <w:rPr/>
              <w:t>项目实施方案（运维服务不含适配改造内容） (7.0分)</w:t>
            </w:r>
          </w:p>
        </w:tc>
        <w:tc>
          <w:tcPr>
            <w:tcW w:type="dxa" w:w="5076"/>
          </w:tcPr>
          <w:p>
            <w:pPr>
              <w:pStyle w:val="null3"/>
              <w:jc w:val="left"/>
            </w:pPr>
            <w:r>
              <w:rPr/>
              <w:t>根据投标人编制的项目实施方案（运维服务，不含适配改造有关内容）进行综合评审，内容包括但不限于：响应和处理时限、维护维修响应方式、运维质量保障等： ①涵盖上述所有内容且对上述各项内容描述全面、详细，可行性高，完全满足且优于“惠州市全国文明城市创建大数据管理平台运维服务内容”、“运维服务小组组建”需求的，得7分； ②涵盖上述所有内容且对上述各项内容描述基本全面、基本具体，具有可行性，基本满足“惠州市全国文明城市创建大数据管理平台运维服务内容”、“运维服务小组组建”需求的，得5分； ③涵盖上述所有内容但对上述各项内容描述不够全面、不够具体，可行性低，基本满足“惠州市全国文明城市创建大数据管理平台运维服务内容”、“运维服务小组组建”需求的，得2分； ④无提供不得分。</w:t>
            </w:r>
          </w:p>
        </w:tc>
      </w:tr>
      <w:tr>
        <w:tc>
          <w:tcPr>
            <w:tcW w:type="dxa" w:w="922"/>
            <w:gridSpan w:val="2"/>
            <w:vMerge/>
          </w:tcPr>
          <w:p/>
        </w:tc>
        <w:tc>
          <w:tcPr>
            <w:tcW w:type="dxa" w:w="2307"/>
          </w:tcPr>
          <w:p>
            <w:pPr>
              <w:pStyle w:val="null3"/>
              <w:jc w:val="left"/>
            </w:pPr>
            <w:r>
              <w:rPr/>
              <w:t>项目实施方案（政务信息系统适配改造） (12.0分)</w:t>
            </w:r>
          </w:p>
        </w:tc>
        <w:tc>
          <w:tcPr>
            <w:tcW w:type="dxa" w:w="5076"/>
          </w:tcPr>
          <w:p>
            <w:pPr>
              <w:pStyle w:val="null3"/>
              <w:jc w:val="left"/>
            </w:pPr>
            <w:r>
              <w:rPr/>
              <w:t>根据投标人编制的惠州市全国文明城市创建大数据管理平台适配改造方案进行综合评审： ①方案完整详实，对系统功能理解清晰，适配改造实施路径清晰明确，方案内容覆盖代码分析、代码改造、依赖组件替代、测试验证、提供近5年1个以上适配改造案例分析等全部关键环节；系统改造后的测试验证、迁移过渡、风险控制方案完备，得12分。 ②方案较完整，适配改造实施路径基本清晰，方案覆盖近5年1个以上适配改造案例分析、主要技术要点但部分细节不够深入，系统改造后的测试验证、迁移过渡、风险控制方案基本具备，得6分。 ③方案内容简略，适配改造实施路径简略，实施方案笼统，缺少关键技术细节，测试或风险控制方案不完整的，得2分。 ④无提供不得分。 （适配改造案例证明文件提供该案例有关合同、及该案例验收合格报告关键页，并加盖投标人公章）</w:t>
            </w:r>
          </w:p>
        </w:tc>
      </w:tr>
      <w:tr>
        <w:tc>
          <w:tcPr>
            <w:tcW w:type="dxa" w:w="922"/>
            <w:gridSpan w:val="2"/>
            <w:vMerge/>
          </w:tcPr>
          <w:p/>
        </w:tc>
        <w:tc>
          <w:tcPr>
            <w:tcW w:type="dxa" w:w="2307"/>
          </w:tcPr>
          <w:p>
            <w:pPr>
              <w:pStyle w:val="null3"/>
              <w:jc w:val="left"/>
            </w:pPr>
            <w:r>
              <w:rPr/>
              <w:t>管理方案及内部机制能力 (10.0分)</w:t>
            </w:r>
          </w:p>
        </w:tc>
        <w:tc>
          <w:tcPr>
            <w:tcW w:type="dxa" w:w="5076"/>
          </w:tcPr>
          <w:p>
            <w:pPr>
              <w:pStyle w:val="null3"/>
              <w:jc w:val="left"/>
            </w:pPr>
            <w:r>
              <w:rPr/>
              <w:t>根据投标人所提供管理方案及内部机制能力进行综合评审： ①投标人有建立科学、完善、周密且具有特色的管理方案，其中包含人员各项纪律管理制度、业务质量管理流程等，对信息采集、数据整理、报表统计等问题有科学合理的质量检测制度并设置质量问题处罚机制，能在机制设定上杜绝虚假信息、巡察区域遗漏、数据采集质量等问题的发生，得10分； ②投标人有建立合理、可行、较完善的管理方案，其中包含对人员各项纪律管理制度、质量管理流程等，对信息采集、数据整理、报表统计等问题有合理可行的质量检测制度并设置质量问题处罚机制，能在机制设定上基本杜绝虚假信息、巡察区域遗漏、数据采集质量等问题的发生，得7分； ③投标人仅编制简略版管理制度，仅列明基础纪律条款与简易质量核查、处罚条文，制度条款笼统粗放，未细化采集、整理、报表各分段管控细则，管控手段单一，得4分； ④无提供不得分。</w:t>
            </w:r>
          </w:p>
        </w:tc>
      </w:tr>
      <w:tr>
        <w:tc>
          <w:tcPr>
            <w:tcW w:type="dxa" w:w="922"/>
            <w:gridSpan w:val="2"/>
            <w:vMerge/>
          </w:tcPr>
          <w:p/>
        </w:tc>
        <w:tc>
          <w:tcPr>
            <w:tcW w:type="dxa" w:w="2307"/>
          </w:tcPr>
          <w:p>
            <w:pPr>
              <w:pStyle w:val="null3"/>
              <w:jc w:val="left"/>
            </w:pPr>
            <w:r>
              <w:rPr/>
              <w:t>培训措施 (4.0分)</w:t>
            </w:r>
          </w:p>
        </w:tc>
        <w:tc>
          <w:tcPr>
            <w:tcW w:type="dxa" w:w="5076"/>
          </w:tcPr>
          <w:p>
            <w:pPr>
              <w:pStyle w:val="null3"/>
              <w:jc w:val="left"/>
            </w:pPr>
            <w:r>
              <w:rPr/>
              <w:t>根据投标人的培训措施进行综合评审： ①投标人提供详细科学、全面、快速有效的培训方案，包括培训内容、培训计划、培训方式和考试制度等，培训内容中含有岗位标准、采集处置知识、职业道德规范、管理知识等培训教材和考试内容等，内容全面详细，得4分； ②投标人提供基本科学、基本可行的培训方案，包括培训内容、培训计划、培训方式和考试制度，培训内容中含可行的培训教程等，得2分； ③投标人提供的培训方案仅简单罗列培训内容、计划、授课形式、考试制度及简易培训资料，仅形式上满足文件组成要件，实操指导性不足，得1分； ④无提供不得分。</w:t>
            </w:r>
          </w:p>
        </w:tc>
      </w:tr>
      <w:tr>
        <w:tc>
          <w:tcPr>
            <w:tcW w:type="dxa" w:w="922"/>
            <w:gridSpan w:val="2"/>
            <w:vMerge/>
          </w:tcPr>
          <w:p/>
        </w:tc>
        <w:tc>
          <w:tcPr>
            <w:tcW w:type="dxa" w:w="2307"/>
          </w:tcPr>
          <w:p>
            <w:pPr>
              <w:pStyle w:val="null3"/>
              <w:jc w:val="left"/>
            </w:pPr>
            <w:r>
              <w:rPr/>
              <w:t>应急服务能力 (6.0分)</w:t>
            </w:r>
          </w:p>
        </w:tc>
        <w:tc>
          <w:tcPr>
            <w:tcW w:type="dxa" w:w="5076"/>
          </w:tcPr>
          <w:p>
            <w:pPr>
              <w:pStyle w:val="null3"/>
              <w:jc w:val="left"/>
            </w:pPr>
            <w:r>
              <w:rPr/>
              <w:t>根据各投标人为采购人提供突发事件应急处理服务综合评审应急响应能力： ①投标人提供科学、合理的应急响应方案，对项目业务相关应急事件有正确的定义，并包含响应时间、人员调配及可执行的处置流程，得6分； ②投标人提供基本合理的应急响应方案，仅有对项目业务相关应急事件定义，包含响应时间、人员调配及处置流程，得4分； ③投标人提供应急响应方案，内容表述笼统、描述模糊，关键保障内容缺失，得2分； ④无提供不得分。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 (6.0分)</w:t>
            </w:r>
          </w:p>
        </w:tc>
        <w:tc>
          <w:tcPr>
            <w:tcW w:type="dxa" w:w="5076"/>
          </w:tcPr>
          <w:p>
            <w:pPr>
              <w:pStyle w:val="null3"/>
              <w:jc w:val="left"/>
            </w:pPr>
            <w:r>
              <w:rPr/>
              <w:t>根据本项目采购需求内容，要求投标人对本项目配备项目经理，满足以下条件： ①具备中级以上人力管理相关职称证书，得3分； ②具备5年（含）以上与本项目运营服务内容相关的工作经验和管理经验，得3分；具备2年（含）以上5年以下与本项目运营服务内容相关的工作经验和管理经验，得2分；相关工作经验少于2年或不提供不得分。 ③未提供不得分；本项满分6分。 注：投标文件提供投标人为派出项目经理购买开标当月之前半年内任意一个月的社保记录和相关证书（或证明材料）才能得分。（①证明材料为投标人提供相关证书材料，并加盖投标人公章；②证明材料为提供人员与本项目运营服务内容相关的工作经验和项目管理经验，经验证明须提供人员履历表（含与本项目运营服务内容相关工作经验和项目管理经验信息，并加盖投标人公章），不同企业的工作经验年限可累计。）</w:t>
            </w:r>
          </w:p>
        </w:tc>
      </w:tr>
      <w:tr>
        <w:tc>
          <w:tcPr>
            <w:tcW w:type="dxa" w:w="922"/>
            <w:gridSpan w:val="2"/>
            <w:vMerge/>
          </w:tcPr>
          <w:p/>
        </w:tc>
        <w:tc>
          <w:tcPr>
            <w:tcW w:type="dxa" w:w="2307"/>
          </w:tcPr>
          <w:p>
            <w:pPr>
              <w:pStyle w:val="null3"/>
              <w:jc w:val="left"/>
            </w:pPr>
            <w:r>
              <w:rPr/>
              <w:t>项目服务团队（运营服务小组）（运营服务小组与运维服务小组人员不重复计分） (8.0分)</w:t>
            </w:r>
          </w:p>
        </w:tc>
        <w:tc>
          <w:tcPr>
            <w:tcW w:type="dxa" w:w="5076"/>
          </w:tcPr>
          <w:p>
            <w:pPr>
              <w:pStyle w:val="null3"/>
              <w:jc w:val="left"/>
            </w:pPr>
            <w:r>
              <w:rPr/>
              <w:t>根据本项目采购需求内容，平台运营服务部分重要工作岗位人员需具备以下条件及能力素质要求。 ①承诺配置本项目的服务团队成员（不含项目经理）不低于11人（含），得4分；（投标文件提供投标人盖章的承诺函。） ②服务团队具有数据统计应用等相关专业人员，提供人员专业资质证明材料，得0.5分；服务团队人员具有计算机相关专业人员，提供人员专业资质证明材料，得0.5分；最高得2分；（证明文件为人员专业资质证明材料。投标文件提供投标人为派出项目服务团队购买开标当月之前半年内任意一个月的社保记录和相对应证明文件，未提供证明材料不得分。） ③服务团队具有数据采集服务行业工作经验大于1年的人员，每提供1人得0.5分，最高得2分。（人员数据采集服务行业工作经验，经验证明须提供人员履历表（含与本项目服务内容相关的数据采集服务行业工作经验，并加盖投标人公章），不同企业的工作经验年限可累计。投标文件提供投标人为派出项目服务团队购买开标当月之前半年内任意一个月的社保记录和相对应证明文件，未提供证明材料不得分。）</w:t>
            </w:r>
          </w:p>
        </w:tc>
      </w:tr>
      <w:tr>
        <w:tc>
          <w:tcPr>
            <w:tcW w:type="dxa" w:w="922"/>
            <w:gridSpan w:val="2"/>
            <w:vMerge/>
          </w:tcPr>
          <w:p/>
        </w:tc>
        <w:tc>
          <w:tcPr>
            <w:tcW w:type="dxa" w:w="2307"/>
          </w:tcPr>
          <w:p>
            <w:pPr>
              <w:pStyle w:val="null3"/>
              <w:jc w:val="left"/>
            </w:pPr>
            <w:r>
              <w:rPr/>
              <w:t>项目服务团队（运维服务小组）（运营服务小组与运维服务小组人员不重复计分） (4.0分)</w:t>
            </w:r>
          </w:p>
        </w:tc>
        <w:tc>
          <w:tcPr>
            <w:tcW w:type="dxa" w:w="5076"/>
          </w:tcPr>
          <w:p>
            <w:pPr>
              <w:pStyle w:val="null3"/>
              <w:jc w:val="left"/>
            </w:pPr>
            <w:r>
              <w:rPr/>
              <w:t>根据本项目采购需求内容，平台运维服务部分系统维护人员需具备以下条件及能力素质要求。 ①运维服务小组成员具有信息系统项目管理师证书，得2分； ②运维服务小组成员具有网络与信息安全管理师证书，得2分； ③未提供不得分；本项最高得4分。 （注：一人具有多证不累计得分，投标文件提供投标人为派出项目服务团队购买开标当月之前半年内任意一个月的社保记录和相关证书，未提供证明材料不得分。)</w:t>
            </w:r>
          </w:p>
        </w:tc>
      </w:tr>
      <w:tr>
        <w:tc>
          <w:tcPr>
            <w:tcW w:type="dxa" w:w="922"/>
            <w:gridSpan w:val="2"/>
            <w:vMerge/>
          </w:tcPr>
          <w:p/>
        </w:tc>
        <w:tc>
          <w:tcPr>
            <w:tcW w:type="dxa" w:w="2307"/>
          </w:tcPr>
          <w:p>
            <w:pPr>
              <w:pStyle w:val="null3"/>
              <w:jc w:val="left"/>
            </w:pPr>
            <w:r>
              <w:rPr/>
              <w:t>适配改造工作技术负责人(该技术负责人与运营服务小组、运维服务小组人员不重复) (6.0分)</w:t>
            </w:r>
          </w:p>
        </w:tc>
        <w:tc>
          <w:tcPr>
            <w:tcW w:type="dxa" w:w="5076"/>
          </w:tcPr>
          <w:p>
            <w:pPr>
              <w:pStyle w:val="null3"/>
              <w:jc w:val="left"/>
            </w:pPr>
            <w:r>
              <w:rPr/>
              <w:t>根据本项目系统适配改造工作需求，要求投标人对系统适配改造工作配备技术负责人，满足以下条件：①具有信息与通信相关专业本科（或以上）学历证书，得2分；②具有工业和信息部门或人力资源或社会保障部门颁发的信息系统项目管理师证书，得2分；③具有工业和信息部门或人力资源和社会保障部门颁发的网络安全技术（高级）证书得2分；本项满分6分。 （注：投标文件提供投标人为派出技术负责人购买开标当月之前半年内任意一个月的社保记录和相关证书（或证明材料）才能得分。（证明材料为投标人提供相关证书材料，并加盖投标人公章））</w:t>
            </w:r>
          </w:p>
        </w:tc>
      </w:tr>
      <w:tr>
        <w:tc>
          <w:tcPr>
            <w:tcW w:type="dxa" w:w="922"/>
            <w:gridSpan w:val="2"/>
            <w:vMerge/>
          </w:tcPr>
          <w:p/>
        </w:tc>
        <w:tc>
          <w:tcPr>
            <w:tcW w:type="dxa" w:w="2307"/>
          </w:tcPr>
          <w:p>
            <w:pPr>
              <w:pStyle w:val="null3"/>
              <w:jc w:val="left"/>
            </w:pPr>
            <w:r>
              <w:rPr/>
              <w:t>同类项目业绩情况 (6.0分)</w:t>
            </w:r>
          </w:p>
        </w:tc>
        <w:tc>
          <w:tcPr>
            <w:tcW w:type="dxa" w:w="5076"/>
          </w:tcPr>
          <w:p>
            <w:pPr>
              <w:pStyle w:val="null3"/>
              <w:jc w:val="left"/>
            </w:pPr>
            <w:r>
              <w:rPr/>
              <w:t>投标人在投标文件中提供自2023年至今（以合同签订时间为准）同类业绩证明文件，系统运营服务类业绩每个得1分，最高得4分；系统运维服务类业绩每个得0.5分，最高得2分；本项最高6分。 （注：同一份业绩不重复计分。同类业绩证明文件是指中标通知书或合同关键页的复印件。中标通知书是指组织招标投标活动的代理机构依据《招投标法》或《政府采购法》的有关规定，按照公开透明原则，在招标投标活动的政府行政监督管理部门指定的发布媒体上发布了招标公告或中标公告，然后采购人或代理机构向中标的投标人发出的告知其中标的书面通知文件。)</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7"/>
        </w:rPr>
        <w:t>惠州市政府采购项目</w:t>
      </w:r>
    </w:p>
    <w:p>
      <w:pPr>
        <w:pStyle w:val="null3"/>
        <w:jc w:val="center"/>
      </w:pPr>
      <w:r>
        <w:rPr/>
        <w:t xml:space="preserve"> </w:t>
      </w:r>
    </w:p>
    <w:p>
      <w:pPr>
        <w:pStyle w:val="null3"/>
        <w:jc w:val="center"/>
      </w:pPr>
      <w:r>
        <w:rPr>
          <w:sz w:val="67"/>
        </w:rPr>
        <w:t>合</w:t>
      </w:r>
      <w:r>
        <w:rPr>
          <w:sz w:val="67"/>
        </w:rPr>
        <w:t>同</w:t>
      </w:r>
      <w:r>
        <w:rPr>
          <w:sz w:val="67"/>
        </w:rPr>
        <w:t>书</w:t>
      </w:r>
    </w:p>
    <w:p>
      <w:pPr>
        <w:pStyle w:val="null3"/>
        <w:spacing w:before="180"/>
        <w:ind w:right="375"/>
        <w:jc w:val="center"/>
      </w:pPr>
      <w:r>
        <w:rPr>
          <w:sz w:val="24"/>
          <w:b/>
        </w:rPr>
        <w:t xml:space="preserve">          采购</w:t>
      </w:r>
      <w:r>
        <w:rPr>
          <w:sz w:val="24"/>
          <w:b/>
        </w:rPr>
        <w:t>项目</w:t>
      </w:r>
      <w:r>
        <w:rPr>
          <w:sz w:val="24"/>
          <w:b/>
        </w:rPr>
        <w:t>编号：</w:t>
      </w:r>
    </w:p>
    <w:p>
      <w:pPr>
        <w:pStyle w:val="null3"/>
        <w:spacing w:before="15"/>
        <w:jc w:val="both"/>
      </w:pPr>
      <w:r>
        <w:rPr>
          <w:sz w:val="24"/>
          <w:b/>
        </w:rPr>
        <w:t xml:space="preserve">      </w:t>
      </w:r>
      <w:r>
        <w:rPr>
          <w:sz w:val="24"/>
          <w:b/>
        </w:rPr>
        <w:t>项目名称：</w:t>
      </w:r>
      <w:r>
        <w:rPr>
          <w:sz w:val="24"/>
          <w:b/>
          <w:u w:val="single"/>
        </w:rPr>
        <w:t>惠州市全国文明城市创建大数据管理平台运营</w:t>
      </w:r>
      <w:r>
        <w:rPr>
          <w:sz w:val="24"/>
          <w:b/>
          <w:u w:val="single"/>
        </w:rPr>
        <w:t>维护</w:t>
      </w:r>
      <w:r>
        <w:rPr>
          <w:sz w:val="24"/>
          <w:b/>
          <w:u w:val="single"/>
        </w:rPr>
        <w:t>项目</w:t>
      </w:r>
    </w:p>
    <w:p>
      <w:pPr>
        <w:pStyle w:val="null3"/>
        <w:spacing w:before="30"/>
        <w:ind w:right="375"/>
        <w:jc w:val="center"/>
      </w:pPr>
      <w:r>
        <w:rPr>
          <w:sz w:val="24"/>
          <w:b/>
        </w:rPr>
        <w:t>甲方：</w:t>
      </w:r>
      <w:r>
        <w:rPr>
          <w:sz w:val="21"/>
          <w:b/>
          <w:u w:val="single"/>
        </w:rPr>
        <w:t xml:space="preserve"> </w:t>
      </w:r>
      <w:r>
        <w:rPr>
          <w:sz w:val="21"/>
          <w:b/>
          <w:u w:val="single"/>
        </w:rPr>
        <w:t xml:space="preserve">                 </w:t>
      </w:r>
      <w:r>
        <w:rPr>
          <w:sz w:val="21"/>
          <w:b/>
          <w:u w:val="single"/>
        </w:rPr>
        <w:t xml:space="preserve"> </w:t>
      </w:r>
    </w:p>
    <w:p>
      <w:pPr>
        <w:pStyle w:val="null3"/>
        <w:ind w:firstLine="1807"/>
        <w:jc w:val="both"/>
      </w:pPr>
      <w:r>
        <w:rPr>
          <w:sz w:val="24"/>
          <w:b/>
        </w:rPr>
        <w:t>乙方：</w:t>
      </w:r>
      <w:r>
        <w:rPr>
          <w:sz w:val="21"/>
          <w:b/>
          <w:u w:val="single"/>
        </w:rPr>
        <w:t xml:space="preserve"> </w:t>
      </w:r>
      <w:r>
        <w:rPr>
          <w:sz w:val="21"/>
          <w:b/>
          <w:u w:val="single"/>
        </w:rPr>
        <w:t xml:space="preserve">                     </w:t>
      </w:r>
      <w:r>
        <w:rPr>
          <w:sz w:val="21"/>
          <w:b/>
          <w:u w:val="single"/>
        </w:rPr>
        <w:t xml:space="preserve"> </w:t>
      </w:r>
    </w:p>
    <w:p>
      <w:pPr>
        <w:pStyle w:val="null3"/>
        <w:ind w:firstLine="1807"/>
        <w:jc w:val="both"/>
      </w:pPr>
      <w:r>
        <w:rPr>
          <w:sz w:val="24"/>
          <w:b/>
        </w:rPr>
        <w:t>签订日期：</w:t>
      </w:r>
      <w:r>
        <w:rPr>
          <w:sz w:val="24"/>
          <w:b/>
        </w:rPr>
        <w:t>202</w:t>
      </w:r>
      <w:r>
        <w:rPr>
          <w:sz w:val="24"/>
          <w:b/>
        </w:rPr>
        <w:t>6</w:t>
      </w:r>
      <w:r>
        <w:rPr>
          <w:sz w:val="24"/>
          <w:b/>
        </w:rPr>
        <w:t>年</w:t>
      </w:r>
      <w:r>
        <w:rPr>
          <w:sz w:val="24"/>
          <w:b/>
        </w:rPr>
        <w:t xml:space="preserve">  </w:t>
      </w:r>
      <w:r>
        <w:rPr>
          <w:sz w:val="24"/>
          <w:b/>
        </w:rPr>
        <w:t>月</w:t>
      </w:r>
      <w:r>
        <w:rPr>
          <w:sz w:val="24"/>
          <w:b/>
        </w:rPr>
        <w:t xml:space="preserve">  </w:t>
      </w:r>
      <w:r>
        <w:rPr>
          <w:sz w:val="24"/>
          <w:b/>
        </w:rPr>
        <w:t>日</w:t>
      </w:r>
    </w:p>
    <w:p>
      <w:pPr>
        <w:pStyle w:val="null3"/>
        <w:jc w:val="both"/>
      </w:pPr>
      <w:r>
        <w:rPr/>
        <w:t xml:space="preserve"> </w:t>
      </w:r>
    </w:p>
    <w:p>
      <w:pPr>
        <w:pStyle w:val="null3"/>
        <w:jc w:val="center"/>
      </w:pPr>
      <w:r>
        <w:rPr>
          <w:sz w:val="16"/>
          <w:b/>
        </w:rPr>
        <w:t>本合同仅为合同的参考文本，合同签订双方可根据项目的具体要求进行修订。</w:t>
      </w:r>
    </w:p>
    <w:p>
      <w:pPr>
        <w:pStyle w:val="null3"/>
      </w:pPr>
      <w:r>
        <w:rPr/>
        <w:t xml:space="preserve"> </w:t>
      </w:r>
    </w:p>
    <w:p>
      <w:pPr>
        <w:pStyle w:val="null3"/>
        <w:ind w:firstLine="480"/>
        <w:jc w:val="left"/>
      </w:pPr>
      <w:r>
        <w:rPr/>
        <w:t xml:space="preserve"> </w:t>
      </w:r>
    </w:p>
    <w:p>
      <w:pPr>
        <w:pStyle w:val="null3"/>
        <w:ind w:firstLine="480"/>
        <w:jc w:val="left"/>
      </w:pPr>
      <w:r>
        <w:rPr>
          <w:sz w:val="24"/>
        </w:rPr>
        <w:t>委托方（甲方）：</w:t>
      </w:r>
      <w:r>
        <w:rPr>
          <w:sz w:val="24"/>
        </w:rPr>
        <w:t>[      ]</w:t>
      </w:r>
    </w:p>
    <w:p>
      <w:pPr>
        <w:pStyle w:val="null3"/>
        <w:ind w:firstLine="480"/>
        <w:jc w:val="left"/>
      </w:pPr>
      <w:r>
        <w:rPr>
          <w:sz w:val="24"/>
        </w:rPr>
        <w:t>地址：</w:t>
      </w:r>
      <w:r>
        <w:rPr>
          <w:sz w:val="24"/>
        </w:rPr>
        <w:t xml:space="preserve">[         ]     </w:t>
      </w:r>
    </w:p>
    <w:p>
      <w:pPr>
        <w:pStyle w:val="null3"/>
        <w:ind w:firstLine="480"/>
        <w:jc w:val="left"/>
      </w:pPr>
      <w:r>
        <w:rPr>
          <w:sz w:val="24"/>
        </w:rPr>
        <w:t>法定代表人：</w:t>
      </w:r>
      <w:r>
        <w:rPr>
          <w:sz w:val="24"/>
        </w:rPr>
        <w:t>[   ]</w:t>
      </w:r>
    </w:p>
    <w:p>
      <w:pPr>
        <w:pStyle w:val="null3"/>
        <w:ind w:firstLine="480"/>
        <w:jc w:val="left"/>
      </w:pPr>
      <w:r>
        <w:rPr>
          <w:sz w:val="24"/>
        </w:rPr>
        <w:t>授权代表人：</w:t>
      </w:r>
      <w:r>
        <w:rPr>
          <w:sz w:val="24"/>
        </w:rPr>
        <w:t xml:space="preserve">[   ]        </w:t>
      </w:r>
    </w:p>
    <w:p>
      <w:pPr>
        <w:pStyle w:val="null3"/>
        <w:ind w:firstLine="480"/>
        <w:jc w:val="left"/>
      </w:pPr>
      <w:r>
        <w:rPr>
          <w:sz w:val="24"/>
        </w:rPr>
        <w:t>项目联系人：</w:t>
      </w:r>
      <w:r>
        <w:rPr>
          <w:sz w:val="24"/>
        </w:rPr>
        <w:t xml:space="preserve">[   ]           </w:t>
      </w:r>
    </w:p>
    <w:p>
      <w:pPr>
        <w:pStyle w:val="null3"/>
        <w:ind w:firstLine="480"/>
        <w:jc w:val="left"/>
      </w:pPr>
      <w:r>
        <w:rPr>
          <w:sz w:val="24"/>
        </w:rPr>
        <w:t>通讯地址：</w:t>
      </w:r>
      <w:r>
        <w:rPr>
          <w:sz w:val="24"/>
        </w:rPr>
        <w:t xml:space="preserve">[     ]                                     </w:t>
      </w:r>
    </w:p>
    <w:p>
      <w:pPr>
        <w:pStyle w:val="null3"/>
        <w:ind w:firstLine="480"/>
        <w:jc w:val="left"/>
      </w:pPr>
      <w:r>
        <w:rPr>
          <w:sz w:val="24"/>
        </w:rPr>
        <w:t>电</w:t>
      </w:r>
      <w:r>
        <w:rPr>
          <w:sz w:val="24"/>
        </w:rPr>
        <w:t xml:space="preserve">    </w:t>
      </w:r>
      <w:r>
        <w:rPr>
          <w:sz w:val="24"/>
        </w:rPr>
        <w:t>话：</w:t>
      </w:r>
      <w:r>
        <w:rPr>
          <w:sz w:val="24"/>
        </w:rPr>
        <w:t xml:space="preserve">[     ]                    传    真：[/]            </w:t>
      </w:r>
    </w:p>
    <w:p>
      <w:pPr>
        <w:pStyle w:val="null3"/>
        <w:ind w:firstLine="480"/>
        <w:jc w:val="left"/>
      </w:pPr>
      <w:r>
        <w:rPr>
          <w:sz w:val="24"/>
        </w:rPr>
        <w:t>电子邮箱：</w:t>
      </w:r>
      <w:r>
        <w:rPr>
          <w:sz w:val="24"/>
        </w:rPr>
        <w:t xml:space="preserve">[/]                                          </w:t>
      </w:r>
    </w:p>
    <w:p>
      <w:pPr>
        <w:pStyle w:val="null3"/>
        <w:ind w:firstLine="480"/>
        <w:jc w:val="left"/>
      </w:pPr>
      <w:r>
        <w:rPr>
          <w:sz w:val="24"/>
        </w:rPr>
        <w:t>受托方（乙方）：</w:t>
      </w:r>
      <w:r>
        <w:rPr>
          <w:sz w:val="24"/>
        </w:rPr>
        <w:t xml:space="preserve">[      ]                        </w:t>
      </w:r>
    </w:p>
    <w:p>
      <w:pPr>
        <w:pStyle w:val="null3"/>
        <w:ind w:firstLine="480"/>
        <w:jc w:val="left"/>
      </w:pPr>
      <w:r>
        <w:rPr>
          <w:sz w:val="24"/>
        </w:rPr>
        <w:t>地址：</w:t>
      </w:r>
      <w:r>
        <w:rPr>
          <w:sz w:val="24"/>
        </w:rPr>
        <w:t>[                ]</w:t>
      </w:r>
    </w:p>
    <w:p>
      <w:pPr>
        <w:pStyle w:val="null3"/>
        <w:ind w:firstLine="480"/>
        <w:jc w:val="left"/>
      </w:pPr>
      <w:r>
        <w:rPr>
          <w:sz w:val="24"/>
        </w:rPr>
        <w:t>法定代表人：</w:t>
      </w:r>
      <w:r>
        <w:rPr>
          <w:sz w:val="24"/>
        </w:rPr>
        <w:t>[      ]</w:t>
      </w:r>
    </w:p>
    <w:p>
      <w:pPr>
        <w:pStyle w:val="null3"/>
        <w:ind w:firstLine="480"/>
        <w:jc w:val="left"/>
      </w:pPr>
      <w:r>
        <w:rPr>
          <w:sz w:val="24"/>
        </w:rPr>
        <w:t>授权代表人：</w:t>
      </w:r>
      <w:r>
        <w:rPr>
          <w:sz w:val="24"/>
        </w:rPr>
        <w:t xml:space="preserve">[      ]        </w:t>
      </w:r>
    </w:p>
    <w:p>
      <w:pPr>
        <w:pStyle w:val="null3"/>
        <w:ind w:firstLine="480"/>
        <w:jc w:val="left"/>
      </w:pPr>
      <w:r>
        <w:rPr>
          <w:sz w:val="24"/>
        </w:rPr>
        <w:t>项目联系人：</w:t>
      </w:r>
      <w:r>
        <w:rPr>
          <w:sz w:val="24"/>
        </w:rPr>
        <w:t xml:space="preserve">[      ]           </w:t>
      </w:r>
    </w:p>
    <w:p>
      <w:pPr>
        <w:pStyle w:val="null3"/>
        <w:ind w:firstLine="480"/>
        <w:jc w:val="left"/>
      </w:pPr>
      <w:r>
        <w:rPr>
          <w:sz w:val="24"/>
        </w:rPr>
        <w:t>通讯地址：</w:t>
      </w:r>
      <w:r>
        <w:rPr>
          <w:sz w:val="24"/>
        </w:rPr>
        <w:t xml:space="preserve">[            ]                                     </w:t>
      </w:r>
    </w:p>
    <w:p>
      <w:pPr>
        <w:pStyle w:val="null3"/>
        <w:ind w:firstLine="480"/>
        <w:jc w:val="left"/>
      </w:pPr>
      <w:r>
        <w:rPr>
          <w:sz w:val="24"/>
        </w:rPr>
        <w:t>电</w:t>
      </w:r>
      <w:r>
        <w:rPr>
          <w:sz w:val="24"/>
        </w:rPr>
        <w:t xml:space="preserve">    </w:t>
      </w:r>
      <w:r>
        <w:rPr>
          <w:sz w:val="24"/>
        </w:rPr>
        <w:t>话：</w:t>
      </w:r>
      <w:r>
        <w:rPr>
          <w:sz w:val="24"/>
        </w:rPr>
        <w:t xml:space="preserve">[            ]                    传    真：[/]            </w:t>
      </w:r>
    </w:p>
    <w:p>
      <w:pPr>
        <w:pStyle w:val="null3"/>
        <w:spacing w:before="30"/>
        <w:ind w:left="120" w:firstLine="480"/>
        <w:jc w:val="both"/>
      </w:pPr>
      <w:r>
        <w:rPr>
          <w:sz w:val="24"/>
        </w:rPr>
        <w:t>电子邮箱：</w:t>
      </w:r>
      <w:r>
        <w:rPr>
          <w:sz w:val="24"/>
        </w:rPr>
        <w:t xml:space="preserve">[/]                             </w:t>
      </w:r>
    </w:p>
    <w:p>
      <w:pPr>
        <w:pStyle w:val="null3"/>
        <w:spacing w:before="30"/>
        <w:ind w:firstLine="468"/>
        <w:jc w:val="both"/>
      </w:pPr>
      <w:r>
        <w:rPr>
          <w:sz w:val="24"/>
        </w:rPr>
        <w:t>根据惠州市全国文明城市创建大数据管理平台运营</w:t>
      </w:r>
      <w:r>
        <w:rPr>
          <w:sz w:val="24"/>
        </w:rPr>
        <w:t>维护</w:t>
      </w:r>
      <w:r>
        <w:rPr>
          <w:sz w:val="24"/>
        </w:rPr>
        <w:t>项目的采购结果，按照《中华人民共和国政</w:t>
      </w:r>
      <w:r>
        <w:rPr>
          <w:sz w:val="24"/>
        </w:rPr>
        <w:t>府采购法》《中华人民共和国民法典》、招标文件的要求，经双方协商，本着平等</w:t>
      </w:r>
      <w:r>
        <w:rPr>
          <w:sz w:val="21"/>
        </w:rPr>
        <w:t xml:space="preserve"> </w:t>
      </w:r>
      <w:r>
        <w:rPr>
          <w:sz w:val="24"/>
        </w:rPr>
        <w:t>互利和诚实信用的原则，一致同意签订本合同如下。</w:t>
      </w:r>
    </w:p>
    <w:p>
      <w:pPr>
        <w:pStyle w:val="null3"/>
        <w:ind w:firstLine="482"/>
        <w:jc w:val="both"/>
      </w:pPr>
      <w:r>
        <w:rPr>
          <w:sz w:val="24"/>
          <w:b/>
        </w:rPr>
        <w:t>一、</w:t>
      </w:r>
      <w:r>
        <w:rPr>
          <w:sz w:val="24"/>
          <w:b/>
        </w:rPr>
        <w:t>项目名称及编号</w:t>
      </w:r>
    </w:p>
    <w:p>
      <w:pPr>
        <w:pStyle w:val="null3"/>
        <w:spacing w:before="30"/>
        <w:ind w:firstLine="468"/>
        <w:jc w:val="both"/>
      </w:pPr>
      <w:r>
        <w:rPr>
          <w:sz w:val="24"/>
        </w:rPr>
        <w:t>(一) 项目名称：惠州市全国文明城市创建大数据管理平台运营</w:t>
      </w:r>
      <w:r>
        <w:rPr>
          <w:sz w:val="24"/>
        </w:rPr>
        <w:t>维护</w:t>
      </w:r>
      <w:r>
        <w:rPr>
          <w:sz w:val="24"/>
        </w:rPr>
        <w:t>项目</w:t>
      </w:r>
    </w:p>
    <w:p>
      <w:pPr>
        <w:pStyle w:val="null3"/>
        <w:spacing w:before="30"/>
        <w:ind w:firstLine="468"/>
        <w:jc w:val="both"/>
      </w:pPr>
      <w:r>
        <w:rPr>
          <w:sz w:val="24"/>
        </w:rPr>
        <w:t>(二) 采购</w:t>
      </w:r>
      <w:r>
        <w:rPr>
          <w:sz w:val="24"/>
        </w:rPr>
        <w:t>项目</w:t>
      </w:r>
      <w:r>
        <w:rPr>
          <w:sz w:val="24"/>
        </w:rPr>
        <w:t>编号：</w:t>
      </w:r>
      <w:r>
        <w:rPr>
          <w:sz w:val="21"/>
        </w:rPr>
        <w:t xml:space="preserve">           </w:t>
      </w:r>
    </w:p>
    <w:p>
      <w:pPr>
        <w:pStyle w:val="null3"/>
        <w:ind w:firstLine="482"/>
        <w:jc w:val="both"/>
      </w:pPr>
      <w:r>
        <w:rPr>
          <w:sz w:val="24"/>
          <w:b/>
        </w:rPr>
        <w:t>二、</w:t>
      </w:r>
      <w:r>
        <w:rPr>
          <w:sz w:val="24"/>
          <w:b/>
        </w:rPr>
        <w:t>项目</w:t>
      </w:r>
      <w:r>
        <w:rPr>
          <w:sz w:val="24"/>
          <w:b/>
        </w:rPr>
        <w:t>服务</w:t>
      </w:r>
      <w:r>
        <w:rPr>
          <w:sz w:val="24"/>
          <w:b/>
        </w:rPr>
        <w:t>内容</w:t>
      </w:r>
    </w:p>
    <w:p>
      <w:pPr>
        <w:pStyle w:val="null3"/>
        <w:ind w:firstLine="468"/>
        <w:jc w:val="both"/>
      </w:pPr>
      <w:r>
        <w:rPr>
          <w:sz w:val="22"/>
          <w:u w:val="single"/>
        </w:rPr>
        <w:t xml:space="preserve">                                       </w:t>
      </w:r>
      <w:r>
        <w:rPr>
          <w:sz w:val="24"/>
        </w:rPr>
        <w:t>。</w:t>
      </w:r>
    </w:p>
    <w:p>
      <w:pPr>
        <w:pStyle w:val="null3"/>
        <w:ind w:firstLine="480"/>
        <w:jc w:val="both"/>
      </w:pPr>
      <w:r>
        <w:rPr>
          <w:sz w:val="24"/>
        </w:rPr>
        <w:t>三、</w:t>
      </w:r>
      <w:r>
        <w:rPr>
          <w:sz w:val="24"/>
          <w:b/>
        </w:rPr>
        <w:t>合同金额</w:t>
      </w:r>
    </w:p>
    <w:p>
      <w:pPr>
        <w:pStyle w:val="null3"/>
        <w:spacing w:before="30"/>
        <w:ind w:firstLine="468"/>
        <w:jc w:val="both"/>
      </w:pPr>
      <w:r>
        <w:rPr>
          <w:sz w:val="24"/>
        </w:rPr>
        <w:t>(一)</w:t>
      </w:r>
      <w:r>
        <w:rPr>
          <w:sz w:val="24"/>
        </w:rPr>
        <w:t>合同价为：</w:t>
      </w:r>
    </w:p>
    <w:p>
      <w:pPr>
        <w:pStyle w:val="null3"/>
        <w:spacing w:before="30"/>
        <w:ind w:firstLine="468"/>
        <w:jc w:val="both"/>
      </w:pPr>
      <w:r>
        <w:rPr>
          <w:sz w:val="24"/>
        </w:rPr>
        <w:t>(二)</w:t>
      </w:r>
      <w:r>
        <w:rPr>
          <w:sz w:val="24"/>
        </w:rPr>
        <w:t>小写：</w:t>
      </w:r>
      <w:r>
        <w:rPr>
          <w:sz w:val="24"/>
        </w:rPr>
        <w:t>¥</w:t>
      </w:r>
      <w:r>
        <w:rPr>
          <w:sz w:val="21"/>
          <w:u w:val="single"/>
        </w:rPr>
        <w:t xml:space="preserve"> </w:t>
      </w:r>
      <w:r>
        <w:rPr>
          <w:sz w:val="21"/>
          <w:u w:val="single"/>
        </w:rPr>
        <w:t xml:space="preserve">             </w:t>
      </w:r>
      <w:r>
        <w:rPr>
          <w:sz w:val="24"/>
        </w:rPr>
        <w:t>元；</w:t>
      </w:r>
    </w:p>
    <w:p>
      <w:pPr>
        <w:pStyle w:val="null3"/>
        <w:spacing w:before="30"/>
        <w:ind w:firstLine="468"/>
        <w:jc w:val="both"/>
      </w:pPr>
      <w:r>
        <w:rPr>
          <w:sz w:val="24"/>
        </w:rPr>
        <w:t>大写：人民币</w:t>
      </w:r>
      <w:r>
        <w:rPr>
          <w:sz w:val="21"/>
          <w:u w:val="single"/>
        </w:rPr>
        <w:t xml:space="preserve"> </w:t>
      </w:r>
      <w:r>
        <w:rPr>
          <w:sz w:val="21"/>
          <w:u w:val="single"/>
        </w:rPr>
        <w:t xml:space="preserve">                     </w:t>
      </w:r>
      <w:r>
        <w:rPr>
          <w:sz w:val="24"/>
        </w:rPr>
        <w:t>元整。</w:t>
      </w:r>
    </w:p>
    <w:p>
      <w:pPr>
        <w:pStyle w:val="null3"/>
        <w:spacing w:before="30"/>
        <w:ind w:firstLine="468"/>
        <w:jc w:val="both"/>
      </w:pPr>
      <w:r>
        <w:rPr>
          <w:sz w:val="24"/>
        </w:rPr>
        <w:t>(三)</w:t>
      </w:r>
      <w:r>
        <w:rPr>
          <w:sz w:val="24"/>
        </w:rPr>
        <w:t>合同价为广东省惠州市目的地交付价。</w:t>
      </w:r>
    </w:p>
    <w:p>
      <w:pPr>
        <w:pStyle w:val="null3"/>
        <w:spacing w:before="30"/>
        <w:ind w:firstLine="468"/>
        <w:jc w:val="both"/>
      </w:pPr>
      <w:r>
        <w:rPr>
          <w:sz w:val="24"/>
        </w:rPr>
        <w:t>(四)</w:t>
      </w:r>
      <w:r>
        <w:rPr>
          <w:sz w:val="24"/>
        </w:rPr>
        <w:t>合同价为乙方为完成本项目所收取的全部费用，包含但不限于以下费用：</w:t>
      </w:r>
      <w:r>
        <w:rPr>
          <w:sz w:val="24"/>
        </w:rPr>
        <w:t>系统内点位外业巡查</w:t>
      </w:r>
      <w:r>
        <w:rPr>
          <w:sz w:val="24"/>
        </w:rPr>
        <w:t>、</w:t>
      </w:r>
      <w:r>
        <w:rPr>
          <w:sz w:val="24"/>
        </w:rPr>
        <w:t>工单流转处置</w:t>
      </w:r>
      <w:r>
        <w:rPr>
          <w:sz w:val="24"/>
        </w:rPr>
        <w:t>、</w:t>
      </w:r>
      <w:r>
        <w:rPr>
          <w:sz w:val="24"/>
        </w:rPr>
        <w:t>数据处理汇总</w:t>
      </w:r>
      <w:r>
        <w:rPr>
          <w:sz w:val="24"/>
        </w:rPr>
        <w:t>、</w:t>
      </w:r>
      <w:r>
        <w:rPr>
          <w:sz w:val="24"/>
        </w:rPr>
        <w:t>报告撰写</w:t>
      </w:r>
      <w:r>
        <w:rPr>
          <w:sz w:val="24"/>
        </w:rPr>
        <w:t>、</w:t>
      </w:r>
      <w:r>
        <w:rPr>
          <w:sz w:val="24"/>
        </w:rPr>
        <w:t>项目管理及税费</w:t>
      </w:r>
      <w:r>
        <w:rPr>
          <w:sz w:val="24"/>
        </w:rPr>
        <w:t>（全额含税发票）以及项目实施过程中其它应预见和不可预见费用等完成本采购项目、达到甲方目的的一切费用及企业利润。</w:t>
      </w:r>
    </w:p>
    <w:p>
      <w:pPr>
        <w:pStyle w:val="null3"/>
        <w:ind w:firstLine="542"/>
        <w:jc w:val="both"/>
      </w:pPr>
      <w:r>
        <w:rPr>
          <w:sz w:val="24"/>
          <w:b/>
        </w:rPr>
        <w:t>四、</w:t>
      </w:r>
      <w:r>
        <w:rPr>
          <w:sz w:val="24"/>
          <w:b/>
        </w:rPr>
        <w:t>项目</w:t>
      </w:r>
      <w:r>
        <w:rPr>
          <w:sz w:val="24"/>
          <w:b/>
        </w:rPr>
        <w:t>服务时间</w:t>
      </w:r>
    </w:p>
    <w:p>
      <w:pPr>
        <w:pStyle w:val="null3"/>
        <w:ind w:firstLine="468"/>
        <w:jc w:val="both"/>
      </w:pPr>
      <w:r>
        <w:rPr>
          <w:sz w:val="24"/>
        </w:rPr>
        <w:t>签订合同后，其中运营服务从</w:t>
      </w:r>
      <w:r>
        <w:rPr>
          <w:sz w:val="24"/>
        </w:rPr>
        <w:t>2026年9月起，服务期满1年，运维服务从2026年10月起，服务期满1年。具体时间以合同明确时间为准。</w:t>
      </w:r>
      <w:r>
        <w:rPr>
          <w:sz w:val="21"/>
          <w:b/>
        </w:rPr>
        <w:t xml:space="preserve"> </w:t>
      </w:r>
    </w:p>
    <w:p>
      <w:pPr>
        <w:pStyle w:val="null3"/>
        <w:ind w:firstLine="542"/>
        <w:jc w:val="both"/>
      </w:pPr>
      <w:r>
        <w:rPr>
          <w:sz w:val="24"/>
          <w:b/>
        </w:rPr>
        <w:t>五、</w:t>
      </w:r>
      <w:r>
        <w:rPr>
          <w:sz w:val="24"/>
          <w:b/>
        </w:rPr>
        <w:t>交付使用地点</w:t>
      </w:r>
    </w:p>
    <w:p>
      <w:pPr>
        <w:pStyle w:val="null3"/>
        <w:spacing w:before="30"/>
        <w:ind w:firstLine="468"/>
        <w:jc w:val="both"/>
      </w:pPr>
      <w:r>
        <w:rPr>
          <w:sz w:val="24"/>
        </w:rPr>
        <w:t>(一)</w:t>
      </w:r>
      <w:r>
        <w:rPr>
          <w:sz w:val="24"/>
        </w:rPr>
        <w:t>惠州</w:t>
      </w:r>
    </w:p>
    <w:p>
      <w:pPr>
        <w:pStyle w:val="null3"/>
        <w:ind w:firstLine="542"/>
        <w:jc w:val="both"/>
      </w:pPr>
      <w:r>
        <w:rPr>
          <w:sz w:val="24"/>
          <w:b/>
        </w:rPr>
        <w:t>六、</w:t>
      </w:r>
      <w:r>
        <w:rPr>
          <w:sz w:val="24"/>
          <w:b/>
        </w:rPr>
        <w:t>付款</w:t>
      </w:r>
      <w:r>
        <w:rPr>
          <w:sz w:val="24"/>
          <w:b/>
        </w:rPr>
        <w:t>办法</w:t>
      </w:r>
    </w:p>
    <w:p>
      <w:pPr>
        <w:pStyle w:val="null3"/>
        <w:spacing w:before="30"/>
        <w:ind w:firstLine="468"/>
        <w:jc w:val="both"/>
      </w:pPr>
      <w:r>
        <w:rPr>
          <w:sz w:val="24"/>
        </w:rPr>
        <w:t>(二)</w:t>
      </w:r>
      <w:r>
        <w:rPr>
          <w:sz w:val="24"/>
        </w:rPr>
        <w:t>合同款项支付阶段和比例如下：</w:t>
      </w:r>
    </w:p>
    <w:p>
      <w:pPr>
        <w:pStyle w:val="null3"/>
        <w:spacing w:before="150"/>
        <w:ind w:firstLine="480"/>
        <w:jc w:val="both"/>
      </w:pPr>
      <w:r>
        <w:rPr>
          <w:sz w:val="24"/>
        </w:rPr>
        <w:t>（</w:t>
      </w:r>
      <w:r>
        <w:rPr>
          <w:sz w:val="24"/>
        </w:rPr>
        <w:t>1）</w:t>
      </w:r>
      <w:r>
        <w:rPr>
          <w:sz w:val="24"/>
        </w:rPr>
        <w:t>合同签订且中标供应商提供发票后</w:t>
      </w:r>
      <w:r>
        <w:rPr>
          <w:sz w:val="24"/>
        </w:rPr>
        <w:t>10</w:t>
      </w:r>
      <w:r>
        <w:rPr>
          <w:sz w:val="24"/>
        </w:rPr>
        <w:t>个工作日内，采购人向中标供应商支付项目总金额的</w:t>
      </w:r>
      <w:r>
        <w:rPr>
          <w:sz w:val="24"/>
        </w:rPr>
        <w:t>40</w:t>
      </w:r>
      <w:r>
        <w:rPr>
          <w:sz w:val="24"/>
        </w:rPr>
        <w:t>%，即人民币</w:t>
      </w:r>
      <w:r>
        <w:rPr>
          <w:sz w:val="24"/>
        </w:rPr>
        <w:t>¥</w:t>
      </w:r>
      <w:r>
        <w:rPr>
          <w:sz w:val="21"/>
          <w:u w:val="single"/>
        </w:rPr>
        <w:t xml:space="preserve"> </w:t>
      </w:r>
      <w:r>
        <w:rPr>
          <w:sz w:val="21"/>
          <w:u w:val="single"/>
        </w:rPr>
        <w:t xml:space="preserve">         </w:t>
      </w:r>
      <w:r>
        <w:rPr>
          <w:sz w:val="24"/>
        </w:rPr>
        <w:t>元；</w:t>
      </w:r>
    </w:p>
    <w:p>
      <w:pPr>
        <w:pStyle w:val="null3"/>
        <w:spacing w:before="150"/>
        <w:ind w:firstLine="460"/>
        <w:jc w:val="both"/>
      </w:pPr>
      <w:r>
        <w:rPr>
          <w:sz w:val="24"/>
        </w:rPr>
        <w:t>（</w:t>
      </w:r>
      <w:r>
        <w:rPr>
          <w:sz w:val="24"/>
        </w:rPr>
        <w:t>2）</w:t>
      </w:r>
      <w:r>
        <w:rPr>
          <w:sz w:val="24"/>
        </w:rPr>
        <w:t>运营服务满</w:t>
      </w:r>
      <w:r>
        <w:rPr>
          <w:sz w:val="24"/>
        </w:rPr>
        <w:t>X</w:t>
      </w:r>
      <w:r>
        <w:rPr>
          <w:sz w:val="24"/>
        </w:rPr>
        <w:t>个月且中标供应商提供发票后</w:t>
      </w:r>
      <w:r>
        <w:rPr>
          <w:sz w:val="24"/>
        </w:rPr>
        <w:t>10</w:t>
      </w:r>
      <w:r>
        <w:rPr>
          <w:sz w:val="24"/>
        </w:rPr>
        <w:t>个工作日内，支付项目总金额的</w:t>
      </w:r>
      <w:r>
        <w:rPr>
          <w:sz w:val="24"/>
        </w:rPr>
        <w:t>40</w:t>
      </w:r>
      <w:r>
        <w:rPr>
          <w:sz w:val="24"/>
        </w:rPr>
        <w:t>%，即人民币</w:t>
      </w:r>
      <w:r>
        <w:rPr>
          <w:sz w:val="24"/>
        </w:rPr>
        <w:t>¥</w:t>
      </w:r>
      <w:r>
        <w:rPr>
          <w:sz w:val="21"/>
          <w:u w:val="single"/>
        </w:rPr>
        <w:t xml:space="preserve"> </w:t>
      </w:r>
      <w:r>
        <w:rPr>
          <w:sz w:val="21"/>
          <w:u w:val="single"/>
        </w:rPr>
        <w:t xml:space="preserve">         </w:t>
      </w:r>
      <w:r>
        <w:rPr>
          <w:sz w:val="24"/>
        </w:rPr>
        <w:t>元；</w:t>
      </w:r>
    </w:p>
    <w:p>
      <w:pPr>
        <w:pStyle w:val="null3"/>
        <w:spacing w:before="150"/>
        <w:ind w:firstLine="480"/>
        <w:jc w:val="both"/>
      </w:pPr>
      <w:r>
        <w:rPr>
          <w:sz w:val="24"/>
        </w:rPr>
        <w:t>（</w:t>
      </w:r>
      <w:r>
        <w:rPr>
          <w:sz w:val="24"/>
        </w:rPr>
        <w:t>3）</w:t>
      </w:r>
      <w:r>
        <w:rPr>
          <w:sz w:val="24"/>
        </w:rPr>
        <w:t>中标供应商完成惠州市全国文明城市创建大数据管理平台适配改造，获得由相关适配中心出具的部署确认报告，本项目服务满并通过采购人验收，且中标供应商提供发票后</w:t>
      </w:r>
      <w:r>
        <w:rPr>
          <w:sz w:val="24"/>
        </w:rPr>
        <w:t>10</w:t>
      </w:r>
      <w:r>
        <w:rPr>
          <w:sz w:val="24"/>
        </w:rPr>
        <w:t>个工作日内，支付项目总金额的</w:t>
      </w:r>
      <w:r>
        <w:rPr>
          <w:sz w:val="24"/>
        </w:rPr>
        <w:t>20</w:t>
      </w:r>
      <w:r>
        <w:rPr>
          <w:sz w:val="24"/>
        </w:rPr>
        <w:t>%,即人民币</w:t>
      </w:r>
      <w:r>
        <w:rPr>
          <w:sz w:val="24"/>
        </w:rPr>
        <w:t>¥</w:t>
      </w:r>
      <w:r>
        <w:rPr>
          <w:sz w:val="21"/>
          <w:u w:val="single"/>
        </w:rPr>
        <w:t xml:space="preserve"> </w:t>
      </w:r>
      <w:r>
        <w:rPr>
          <w:sz w:val="21"/>
          <w:u w:val="single"/>
        </w:rPr>
        <w:t xml:space="preserve">      </w:t>
      </w:r>
      <w:r>
        <w:rPr>
          <w:sz w:val="21"/>
          <w:u w:val="single"/>
        </w:rPr>
        <w:t xml:space="preserve"> </w:t>
      </w:r>
      <w:r>
        <w:rPr>
          <w:sz w:val="24"/>
        </w:rPr>
        <w:t>元。</w:t>
      </w:r>
    </w:p>
    <w:p>
      <w:pPr>
        <w:pStyle w:val="null3"/>
        <w:spacing w:before="30"/>
        <w:ind w:firstLine="480"/>
        <w:jc w:val="both"/>
      </w:pPr>
      <w:r>
        <w:rPr>
          <w:sz w:val="24"/>
        </w:rPr>
        <w:t>（</w:t>
      </w:r>
      <w:r>
        <w:rPr>
          <w:sz w:val="24"/>
        </w:rPr>
        <w:t>4）</w:t>
      </w:r>
      <w:r>
        <w:rPr>
          <w:sz w:val="24"/>
        </w:rPr>
        <w:t>支付款项要同步符合以下要求：采购人每月依据《运营服务质量考核评分表》、《运维服务质量考核评分表》开展月考核，每月考核分大于或等于</w:t>
      </w:r>
      <w:r>
        <w:rPr>
          <w:sz w:val="24"/>
        </w:rPr>
        <w:t>85</w:t>
      </w:r>
      <w:r>
        <w:rPr>
          <w:sz w:val="24"/>
        </w:rPr>
        <w:t>分（含）的符合拨款要求；每月考核分低于</w:t>
      </w:r>
      <w:r>
        <w:rPr>
          <w:sz w:val="24"/>
        </w:rPr>
        <w:t>85</w:t>
      </w:r>
      <w:r>
        <w:rPr>
          <w:sz w:val="24"/>
        </w:rPr>
        <w:t>分（不含）高于</w:t>
      </w:r>
      <w:r>
        <w:rPr>
          <w:sz w:val="24"/>
        </w:rPr>
        <w:t>70</w:t>
      </w:r>
      <w:r>
        <w:rPr>
          <w:sz w:val="24"/>
        </w:rPr>
        <w:t>分（含）的按合同总金额的</w:t>
      </w:r>
      <w:r>
        <w:rPr>
          <w:sz w:val="24"/>
        </w:rPr>
        <w:t>1</w:t>
      </w:r>
      <w:r>
        <w:rPr>
          <w:sz w:val="24"/>
        </w:rPr>
        <w:t>%扣除，并要求整改；月度考核低于</w:t>
      </w:r>
      <w:r>
        <w:rPr>
          <w:sz w:val="24"/>
        </w:rPr>
        <w:t>70</w:t>
      </w:r>
      <w:r>
        <w:rPr>
          <w:sz w:val="24"/>
        </w:rPr>
        <w:t>分（不含）高于</w:t>
      </w:r>
      <w:r>
        <w:rPr>
          <w:sz w:val="24"/>
        </w:rPr>
        <w:t>60</w:t>
      </w:r>
      <w:r>
        <w:rPr>
          <w:sz w:val="24"/>
        </w:rPr>
        <w:t>分（含）的按合同总金额</w:t>
      </w:r>
      <w:r>
        <w:rPr>
          <w:sz w:val="24"/>
        </w:rPr>
        <w:t>的</w:t>
      </w:r>
      <w:r>
        <w:rPr>
          <w:sz w:val="24"/>
        </w:rPr>
        <w:t>2%扣除，并要求整改；月度考核得分低于60分（不含）的，视为中标供应商根本违约，按照合同违约条款处理（考核成绩不重复计算，扣除金额从当期支付款中扣除）。</w:t>
      </w:r>
    </w:p>
    <w:p>
      <w:pPr>
        <w:pStyle w:val="null3"/>
        <w:spacing w:before="30"/>
        <w:ind w:firstLine="468"/>
        <w:jc w:val="both"/>
      </w:pPr>
      <w:r>
        <w:rPr>
          <w:sz w:val="24"/>
        </w:rPr>
        <w:t>(三)</w:t>
      </w:r>
      <w:r>
        <w:rPr>
          <w:sz w:val="24"/>
        </w:rPr>
        <w:t>结算方式：转账结算（银行转账）。</w:t>
      </w:r>
    </w:p>
    <w:p>
      <w:pPr>
        <w:pStyle w:val="null3"/>
        <w:spacing w:before="30"/>
        <w:ind w:firstLine="468"/>
        <w:jc w:val="both"/>
      </w:pPr>
      <w:r>
        <w:rPr>
          <w:sz w:val="24"/>
        </w:rPr>
        <w:t>(四)</w:t>
      </w:r>
      <w:r>
        <w:rPr>
          <w:sz w:val="24"/>
        </w:rPr>
        <w:t>付款方：甲方；收款方：乙方。</w:t>
      </w:r>
    </w:p>
    <w:p>
      <w:pPr>
        <w:pStyle w:val="null3"/>
        <w:spacing w:before="30"/>
        <w:ind w:firstLine="468"/>
        <w:jc w:val="both"/>
      </w:pPr>
      <w:r>
        <w:rPr>
          <w:sz w:val="24"/>
        </w:rPr>
        <w:t>(五)</w:t>
      </w:r>
      <w:r>
        <w:rPr>
          <w:sz w:val="24"/>
        </w:rPr>
        <w:t>开具发票：乙方收款时必须持有效发票。收款方、出具发票方、合同乙方均必须与乙方名称一致。</w:t>
      </w:r>
    </w:p>
    <w:p>
      <w:pPr>
        <w:pStyle w:val="null3"/>
        <w:ind w:firstLine="482"/>
        <w:jc w:val="both"/>
      </w:pPr>
      <w:r>
        <w:rPr>
          <w:sz w:val="24"/>
          <w:b/>
        </w:rPr>
        <w:t>七、</w:t>
      </w:r>
      <w:r>
        <w:rPr>
          <w:sz w:val="24"/>
          <w:b/>
        </w:rPr>
        <w:t>人员管理</w:t>
      </w:r>
    </w:p>
    <w:p>
      <w:pPr>
        <w:pStyle w:val="null3"/>
        <w:spacing w:before="30"/>
        <w:ind w:firstLine="468"/>
        <w:jc w:val="both"/>
      </w:pPr>
      <w:r>
        <w:rPr>
          <w:sz w:val="24"/>
        </w:rPr>
        <w:t>(一)</w:t>
      </w:r>
      <w:r>
        <w:rPr>
          <w:sz w:val="24"/>
        </w:rPr>
        <w:t>乙方须按其响应文件中承诺提供的项目组人员必须按要求投入到本项目中，在合同期内不得擅自更换。乙方如因工作安排或其它原因，需要更换项目组人员时，应事前向甲方提出书面申请，未经甲方同意，不得更换人员。</w:t>
      </w:r>
    </w:p>
    <w:p>
      <w:pPr>
        <w:pStyle w:val="null3"/>
        <w:spacing w:before="30"/>
        <w:ind w:firstLine="468"/>
        <w:jc w:val="both"/>
      </w:pPr>
      <w:r>
        <w:rPr>
          <w:sz w:val="24"/>
        </w:rPr>
        <w:t>(二)</w:t>
      </w:r>
      <w:r>
        <w:rPr>
          <w:sz w:val="24"/>
        </w:rPr>
        <w:t>如乙方未经甲方书面同意擅自更换项目组人员，除须按甲方的要求对人员作出调整外，还须交纳违约金。累计达</w:t>
      </w:r>
      <w:r>
        <w:rPr>
          <w:sz w:val="24"/>
        </w:rPr>
        <w:t>4</w:t>
      </w:r>
      <w:r>
        <w:rPr>
          <w:sz w:val="24"/>
        </w:rPr>
        <w:t xml:space="preserve"> </w:t>
      </w:r>
      <w:r>
        <w:rPr>
          <w:sz w:val="24"/>
        </w:rPr>
        <w:t>次后，甲方有权终止合同，由此引致的经济损失，乙方须全额赔偿，甲方保留追究乙方相关责任的权利。</w:t>
      </w:r>
    </w:p>
    <w:p>
      <w:pPr>
        <w:pStyle w:val="null3"/>
        <w:spacing w:before="30"/>
        <w:ind w:firstLine="468"/>
        <w:jc w:val="both"/>
      </w:pPr>
      <w:r>
        <w:rPr>
          <w:sz w:val="24"/>
        </w:rPr>
        <w:t>(三)</w:t>
      </w:r>
      <w:r>
        <w:rPr>
          <w:sz w:val="24"/>
        </w:rPr>
        <w:t>甲方有权以书面形式要求乙方更换不能按规定履行合同的人员。</w:t>
      </w:r>
    </w:p>
    <w:p>
      <w:pPr>
        <w:pStyle w:val="null3"/>
        <w:spacing w:before="30"/>
        <w:ind w:firstLine="468"/>
        <w:jc w:val="both"/>
      </w:pPr>
      <w:r>
        <w:rPr>
          <w:sz w:val="24"/>
        </w:rPr>
        <w:t>(四)</w:t>
      </w:r>
      <w:r>
        <w:rPr>
          <w:sz w:val="24"/>
        </w:rPr>
        <w:t>即使是甲方要求或同意更换的人员，其代替人员的资质仍应得到甲方的认可，且其资历和经验均不低于被更换人员。由此而产生的费用由乙方承担。</w:t>
      </w:r>
    </w:p>
    <w:p>
      <w:pPr>
        <w:pStyle w:val="null3"/>
        <w:spacing w:before="30"/>
        <w:ind w:firstLine="468"/>
        <w:jc w:val="both"/>
      </w:pPr>
      <w:r>
        <w:rPr>
          <w:sz w:val="24"/>
        </w:rPr>
        <w:t>(五)</w:t>
      </w:r>
      <w:r>
        <w:rPr>
          <w:sz w:val="24"/>
        </w:rPr>
        <w:t>乙方对其雇员的人身安全负全部责任。</w:t>
      </w:r>
    </w:p>
    <w:p>
      <w:pPr>
        <w:pStyle w:val="null3"/>
        <w:ind w:firstLine="482"/>
        <w:jc w:val="both"/>
      </w:pPr>
      <w:r>
        <w:rPr>
          <w:sz w:val="24"/>
          <w:b/>
        </w:rPr>
        <w:t>八、</w:t>
      </w:r>
      <w:r>
        <w:rPr>
          <w:sz w:val="24"/>
          <w:b/>
        </w:rPr>
        <w:t>培训</w:t>
      </w:r>
    </w:p>
    <w:p>
      <w:pPr>
        <w:pStyle w:val="null3"/>
        <w:spacing w:before="30"/>
        <w:ind w:firstLine="468"/>
        <w:jc w:val="both"/>
      </w:pPr>
      <w:r>
        <w:rPr>
          <w:sz w:val="24"/>
        </w:rPr>
        <w:t>(一)</w:t>
      </w:r>
      <w:r>
        <w:rPr>
          <w:sz w:val="24"/>
        </w:rPr>
        <w:t>基本要求：乙方须根据甲方的要求，安排熟悉本项目的专业技术人员在甲方指定的地点（惠州市内）向平台运营</w:t>
      </w:r>
      <w:r>
        <w:rPr>
          <w:sz w:val="24"/>
        </w:rPr>
        <w:t>服务团队</w:t>
      </w:r>
      <w:r>
        <w:rPr>
          <w:sz w:val="24"/>
        </w:rPr>
        <w:t>人员提供完备、全面的产品使用培训。目的：确保平台运营</w:t>
      </w:r>
      <w:r>
        <w:rPr>
          <w:sz w:val="24"/>
        </w:rPr>
        <w:t>团队</w:t>
      </w:r>
      <w:r>
        <w:rPr>
          <w:sz w:val="24"/>
        </w:rPr>
        <w:t>人员能够对设备、系统有足够的了解，能够独立进行日常操作、管理和</w:t>
      </w:r>
      <w:r>
        <w:rPr>
          <w:sz w:val="24"/>
        </w:rPr>
        <w:t>运营</w:t>
      </w:r>
      <w:r>
        <w:rPr>
          <w:sz w:val="24"/>
        </w:rPr>
        <w:t>。</w:t>
      </w:r>
    </w:p>
    <w:p>
      <w:pPr>
        <w:pStyle w:val="null3"/>
        <w:spacing w:before="30"/>
        <w:ind w:firstLine="468"/>
        <w:jc w:val="both"/>
      </w:pPr>
      <w:r>
        <w:rPr>
          <w:sz w:val="24"/>
        </w:rPr>
        <w:t>(二)</w:t>
      </w:r>
      <w:r>
        <w:rPr>
          <w:sz w:val="24"/>
        </w:rPr>
        <w:t>培训资料：乙方必须为所有被培训人员提供培训用文字资料和讲义等相关用品。所有的资料必须是中文书写。</w:t>
      </w:r>
    </w:p>
    <w:p>
      <w:pPr>
        <w:pStyle w:val="null3"/>
        <w:ind w:firstLine="482"/>
        <w:jc w:val="both"/>
      </w:pPr>
      <w:r>
        <w:rPr>
          <w:sz w:val="24"/>
          <w:b/>
        </w:rPr>
        <w:t>九、</w:t>
      </w:r>
      <w:r>
        <w:rPr>
          <w:sz w:val="24"/>
          <w:b/>
        </w:rPr>
        <w:t>保密要求</w:t>
      </w:r>
    </w:p>
    <w:p>
      <w:pPr>
        <w:pStyle w:val="null3"/>
        <w:ind w:firstLine="480"/>
        <w:jc w:val="both"/>
      </w:pPr>
      <w:r>
        <w:rPr>
          <w:sz w:val="24"/>
        </w:rPr>
        <w:t>乙方因履行本项目而知悉的甲方商业秘密和党政机关保密信息应严格保守，保证不被披露或使用，包括意外或过失。</w:t>
      </w:r>
      <w:r>
        <w:rPr>
          <w:sz w:val="24"/>
        </w:rPr>
        <w:t>2.乙方对在履行本项目过程中所接触的政府信息及工作秘密（包括但不限于项目履行过程中涉及的数据、源代码、技术文档、商业秘密、任何技术性资料、以及投标人为完成本项目提供的任何其他信息资料并且在提供时未说明是公开信息的）承担保密义务。3.未经甲方书面许可，乙方（包括但不限于乙方员工、代理人、顾问等）不得将从甲方获取的一切资料和信息超出本项目范围之外使用。4.乙方需制定甲方认可的安全保密管理方案。5.保密义务不因本项目履行完毕或解除而终止，除非保密信息已经对外披露或已经为公众所知。</w:t>
      </w:r>
    </w:p>
    <w:p>
      <w:pPr>
        <w:pStyle w:val="null3"/>
        <w:ind w:firstLine="420"/>
        <w:jc w:val="both"/>
      </w:pPr>
      <w:r>
        <w:rPr>
          <w:sz w:val="24"/>
          <w:b/>
        </w:rPr>
        <w:t>十、</w:t>
      </w:r>
      <w:r>
        <w:rPr>
          <w:sz w:val="24"/>
          <w:b/>
        </w:rPr>
        <w:t>违约责任</w:t>
      </w:r>
    </w:p>
    <w:p>
      <w:pPr>
        <w:pStyle w:val="null3"/>
        <w:spacing w:before="30"/>
        <w:ind w:firstLine="468"/>
        <w:jc w:val="both"/>
      </w:pPr>
      <w:r>
        <w:rPr>
          <w:sz w:val="24"/>
        </w:rPr>
        <w:t>(一)</w:t>
      </w:r>
      <w:r>
        <w:rPr>
          <w:sz w:val="24"/>
        </w:rPr>
        <w:t>乙方未按要求履行合同义务时，甲方有权拒绝验收，且对逾期交付的服务，乙方从逾期之日起每日按合同总额的</w:t>
      </w:r>
      <w:r>
        <w:rPr>
          <w:sz w:val="24"/>
        </w:rPr>
        <w:t>万分之三</w:t>
      </w:r>
      <w:r>
        <w:rPr>
          <w:sz w:val="24"/>
        </w:rPr>
        <w:t>比例向甲方支付违约金；</w:t>
      </w:r>
      <w:r>
        <w:rPr>
          <w:sz w:val="24"/>
        </w:rPr>
        <w:t>逾期</w:t>
      </w:r>
      <w:r>
        <w:rPr>
          <w:sz w:val="24"/>
        </w:rPr>
        <w:t>20</w:t>
      </w:r>
      <w:r>
        <w:rPr>
          <w:sz w:val="24"/>
        </w:rPr>
        <w:t xml:space="preserve"> </w:t>
      </w:r>
      <w:r>
        <w:rPr>
          <w:sz w:val="24"/>
        </w:rPr>
        <w:t>日以上时，甲方有权终止合同，由此造成甲方的经济损失由乙方承担。</w:t>
      </w:r>
      <w:r>
        <w:rPr>
          <w:sz w:val="24"/>
        </w:rPr>
        <w:t>违约金不足以弥补直接经济损失的</w:t>
      </w:r>
      <w:r>
        <w:rPr>
          <w:sz w:val="24"/>
        </w:rPr>
        <w:t>，乙方应按全额赔偿。</w:t>
      </w:r>
    </w:p>
    <w:p>
      <w:pPr>
        <w:pStyle w:val="null3"/>
        <w:ind w:firstLine="482"/>
        <w:jc w:val="both"/>
      </w:pPr>
      <w:r>
        <w:rPr>
          <w:sz w:val="24"/>
          <w:b/>
        </w:rPr>
        <w:t>十一、</w:t>
      </w:r>
      <w:r>
        <w:rPr>
          <w:sz w:val="24"/>
          <w:b/>
        </w:rPr>
        <w:t>合同生效、变更与终止</w:t>
      </w:r>
    </w:p>
    <w:p>
      <w:pPr>
        <w:pStyle w:val="null3"/>
        <w:spacing w:before="30"/>
        <w:ind w:firstLine="468"/>
        <w:jc w:val="both"/>
      </w:pPr>
      <w:r>
        <w:rPr>
          <w:sz w:val="24"/>
        </w:rPr>
        <w:t>(一)</w:t>
      </w:r>
      <w:r>
        <w:rPr>
          <w:sz w:val="24"/>
        </w:rPr>
        <w:t>由于甲方的原因使本项目的工作受到阻碍或延误，以致延长了完成时间，</w:t>
      </w:r>
      <w:r>
        <w:rPr>
          <w:sz w:val="24"/>
        </w:rPr>
        <w:t>则乙方应当将此情况与可能产生的影响及时通知甲方，经甲方书面确认后，</w:t>
      </w:r>
      <w:r>
        <w:rPr>
          <w:sz w:val="24"/>
        </w:rPr>
        <w:t>完成时间可以相应延长。</w:t>
      </w:r>
    </w:p>
    <w:p>
      <w:pPr>
        <w:pStyle w:val="null3"/>
        <w:spacing w:before="30"/>
        <w:ind w:firstLine="468"/>
        <w:jc w:val="both"/>
      </w:pPr>
      <w:r>
        <w:rPr>
          <w:sz w:val="24"/>
        </w:rPr>
        <w:t>(二)</w:t>
      </w:r>
      <w:r>
        <w:rPr>
          <w:sz w:val="24"/>
        </w:rPr>
        <w:t>在项目实施过程中，如出现内容的变更，由当事各方协商解决。</w:t>
      </w:r>
    </w:p>
    <w:p>
      <w:pPr>
        <w:pStyle w:val="null3"/>
        <w:spacing w:before="30"/>
        <w:ind w:firstLine="468"/>
        <w:jc w:val="both"/>
      </w:pPr>
      <w:r>
        <w:rPr>
          <w:sz w:val="24"/>
        </w:rPr>
        <w:t>(三)</w:t>
      </w:r>
      <w:r>
        <w:rPr>
          <w:sz w:val="24"/>
        </w:rPr>
        <w:t>本合同有效期自生效之日起，至乙方履行完毕全部合同义务止。</w:t>
      </w:r>
    </w:p>
    <w:p>
      <w:pPr>
        <w:pStyle w:val="null3"/>
        <w:spacing w:before="30"/>
        <w:ind w:firstLine="468"/>
        <w:jc w:val="both"/>
      </w:pPr>
      <w:r>
        <w:rPr>
          <w:sz w:val="24"/>
        </w:rPr>
        <w:t>(四)</w:t>
      </w:r>
      <w:r>
        <w:rPr>
          <w:sz w:val="24"/>
        </w:rPr>
        <w:t>当事人一方要求变更或解除合同时，应当在</w:t>
      </w:r>
      <w:r>
        <w:rPr>
          <w:sz w:val="24"/>
        </w:rPr>
        <w:t>10</w:t>
      </w:r>
      <w:r>
        <w:rPr>
          <w:sz w:val="24"/>
        </w:rPr>
        <w:t xml:space="preserve"> </w:t>
      </w:r>
      <w:r>
        <w:rPr>
          <w:sz w:val="24"/>
        </w:rPr>
        <w:t>个工作日前书面通知对方，</w:t>
      </w:r>
      <w:r>
        <w:rPr>
          <w:sz w:val="24"/>
        </w:rPr>
        <w:t>因解除合同使其他方遭受损失的，除依法可以免除的责任外，应由责任方负责赔偿。</w:t>
      </w:r>
    </w:p>
    <w:p>
      <w:pPr>
        <w:pStyle w:val="null3"/>
        <w:spacing w:before="30"/>
        <w:ind w:firstLine="468"/>
        <w:jc w:val="both"/>
      </w:pPr>
      <w:r>
        <w:rPr>
          <w:sz w:val="24"/>
        </w:rPr>
        <w:t>(五)</w:t>
      </w:r>
      <w:r>
        <w:rPr>
          <w:sz w:val="24"/>
        </w:rPr>
        <w:t>变更或解除合同的通知或协议必须采取书面形式，协议未达成之前，原合同仍然有效。</w:t>
      </w:r>
    </w:p>
    <w:p>
      <w:pPr>
        <w:pStyle w:val="null3"/>
        <w:spacing w:before="30"/>
        <w:ind w:firstLine="468"/>
        <w:jc w:val="both"/>
      </w:pPr>
      <w:r>
        <w:rPr>
          <w:sz w:val="24"/>
        </w:rPr>
        <w:t>(六)</w:t>
      </w:r>
      <w:r>
        <w:rPr>
          <w:sz w:val="24"/>
        </w:rPr>
        <w:t>本合同的终止并不影响各方应有的权利和应当承担的责任。</w:t>
      </w:r>
    </w:p>
    <w:p>
      <w:pPr>
        <w:pStyle w:val="null3"/>
        <w:ind w:firstLine="482"/>
        <w:jc w:val="both"/>
      </w:pPr>
      <w:r>
        <w:rPr>
          <w:sz w:val="24"/>
          <w:b/>
        </w:rPr>
        <w:t>十二、</w:t>
      </w:r>
      <w:r>
        <w:rPr>
          <w:sz w:val="24"/>
          <w:b/>
        </w:rPr>
        <w:t>不可抗力</w:t>
      </w:r>
    </w:p>
    <w:p>
      <w:pPr>
        <w:pStyle w:val="null3"/>
        <w:spacing w:before="30"/>
        <w:ind w:firstLine="468"/>
        <w:jc w:val="both"/>
      </w:pPr>
      <w:r>
        <w:rPr>
          <w:sz w:val="24"/>
        </w:rPr>
        <w:t>(一)</w:t>
      </w:r>
      <w:r>
        <w:rPr>
          <w:sz w:val="24"/>
        </w:rPr>
        <w:t>由于地震、台风、水灾、战争、以及其它不能预见并且对其发生和后果不能防止或避免的不可抗力事故，致使直接影响本合同的履行或者不能按约定的条件履行时，遇有上述不可抗力事故的一方，应在不可抗力事故发生后立即将事故情况电传通知对方，并应在</w:t>
      </w:r>
      <w:r>
        <w:rPr>
          <w:sz w:val="24"/>
        </w:rPr>
        <w:t>15</w:t>
      </w:r>
      <w:r>
        <w:rPr>
          <w:sz w:val="24"/>
        </w:rPr>
        <w:t xml:space="preserve"> </w:t>
      </w:r>
      <w:r>
        <w:rPr>
          <w:sz w:val="24"/>
        </w:rPr>
        <w:t>天内提供事故详情及合同不能履行，或者部分不能履行，或者需要延期履行的理由的有效证明文件。此项证明文件应由事故发生地区的公证机构出具。按照事故对履行合同的影响程度，由合同各方协商决定是否解除合同，或者部分免除履行合同的责任，或者延期履行合同。</w:t>
      </w:r>
    </w:p>
    <w:p>
      <w:pPr>
        <w:pStyle w:val="null3"/>
        <w:ind w:firstLine="482"/>
        <w:jc w:val="both"/>
      </w:pPr>
      <w:r>
        <w:rPr>
          <w:sz w:val="24"/>
          <w:b/>
        </w:rPr>
        <w:t>十三、</w:t>
      </w:r>
      <w:r>
        <w:rPr>
          <w:sz w:val="24"/>
          <w:b/>
        </w:rPr>
        <w:t>争议解决</w:t>
      </w:r>
    </w:p>
    <w:p>
      <w:pPr>
        <w:pStyle w:val="null3"/>
        <w:spacing w:before="30"/>
        <w:ind w:firstLine="468"/>
        <w:jc w:val="both"/>
      </w:pPr>
      <w:r>
        <w:rPr>
          <w:sz w:val="24"/>
        </w:rPr>
        <w:t>(一)</w:t>
      </w:r>
      <w:r>
        <w:rPr>
          <w:sz w:val="24"/>
        </w:rPr>
        <w:t>因履行本合同而引起的一切争议或与本合同有关的争议，应由当事各方通过友好协商解决。协商不成时，当事各方</w:t>
      </w:r>
      <w:r>
        <w:rPr>
          <w:sz w:val="24"/>
        </w:rPr>
        <w:t>统一</w:t>
      </w:r>
      <w:r>
        <w:rPr>
          <w:sz w:val="24"/>
        </w:rPr>
        <w:t>提交甲方所在地的人民法院进行诉讼。</w:t>
      </w:r>
    </w:p>
    <w:p>
      <w:pPr>
        <w:pStyle w:val="null3"/>
        <w:ind w:firstLine="482"/>
        <w:jc w:val="both"/>
      </w:pPr>
      <w:r>
        <w:rPr>
          <w:sz w:val="24"/>
          <w:b/>
        </w:rPr>
        <w:t>十四、</w:t>
      </w:r>
      <w:r>
        <w:rPr>
          <w:sz w:val="24"/>
          <w:b/>
        </w:rPr>
        <w:t>税费</w:t>
      </w:r>
    </w:p>
    <w:p>
      <w:pPr>
        <w:pStyle w:val="null3"/>
        <w:spacing w:before="30"/>
        <w:ind w:firstLine="468"/>
        <w:jc w:val="both"/>
      </w:pPr>
      <w:r>
        <w:rPr>
          <w:sz w:val="24"/>
        </w:rPr>
        <w:t>中国政府根据现行税法所征收的一切税费均由各缴税责任方独立承担。在中国境外发生的与本合同相关的一切税费及不可预见费均由乙方负担。</w:t>
      </w:r>
    </w:p>
    <w:p>
      <w:pPr>
        <w:pStyle w:val="null3"/>
        <w:ind w:firstLine="482"/>
        <w:jc w:val="both"/>
      </w:pPr>
      <w:r>
        <w:rPr>
          <w:sz w:val="24"/>
          <w:b/>
        </w:rPr>
        <w:t>十五、</w:t>
      </w:r>
      <w:r>
        <w:rPr>
          <w:sz w:val="24"/>
          <w:b/>
        </w:rPr>
        <w:t>其它</w:t>
      </w:r>
    </w:p>
    <w:p>
      <w:pPr>
        <w:pStyle w:val="null3"/>
        <w:spacing w:before="30"/>
        <w:ind w:firstLine="468"/>
        <w:jc w:val="both"/>
      </w:pPr>
      <w:r>
        <w:rPr>
          <w:sz w:val="24"/>
        </w:rPr>
        <w:t>(一)</w:t>
      </w:r>
      <w:r>
        <w:rPr>
          <w:sz w:val="24"/>
        </w:rPr>
        <w:t>本项目合同由下列文件组成，均为本合同不可分割的部分，下列文件的优先解释顺序如下：</w:t>
      </w:r>
    </w:p>
    <w:p>
      <w:pPr>
        <w:pStyle w:val="null3"/>
        <w:ind w:left="420" w:firstLine="480"/>
        <w:jc w:val="both"/>
      </w:pPr>
      <w:r>
        <w:rPr>
          <w:sz w:val="24"/>
        </w:rPr>
        <w:t>1.</w:t>
      </w:r>
      <w:r>
        <w:rPr>
          <w:sz w:val="24"/>
        </w:rPr>
        <w:t>本合同执行期间甲、乙双方签署确认的合同补充文件；</w:t>
      </w:r>
    </w:p>
    <w:p>
      <w:pPr>
        <w:pStyle w:val="null3"/>
        <w:ind w:left="420" w:firstLine="480"/>
        <w:jc w:val="both"/>
      </w:pPr>
      <w:r>
        <w:rPr>
          <w:sz w:val="24"/>
        </w:rPr>
        <w:t>2.</w:t>
      </w:r>
      <w:r>
        <w:rPr>
          <w:sz w:val="24"/>
        </w:rPr>
        <w:t>本采购合同；</w:t>
      </w:r>
    </w:p>
    <w:p>
      <w:pPr>
        <w:pStyle w:val="null3"/>
        <w:ind w:left="420" w:firstLine="480"/>
        <w:jc w:val="both"/>
      </w:pPr>
      <w:r>
        <w:rPr>
          <w:sz w:val="24"/>
        </w:rPr>
        <w:t>3.</w:t>
      </w:r>
      <w:r>
        <w:rPr>
          <w:sz w:val="24"/>
        </w:rPr>
        <w:t>成交通知书；</w:t>
      </w:r>
    </w:p>
    <w:p>
      <w:pPr>
        <w:pStyle w:val="null3"/>
        <w:ind w:left="420" w:firstLine="480"/>
        <w:jc w:val="both"/>
      </w:pPr>
      <w:r>
        <w:rPr>
          <w:sz w:val="24"/>
        </w:rPr>
        <w:t>4.</w:t>
      </w:r>
      <w:r>
        <w:rPr>
          <w:sz w:val="24"/>
        </w:rPr>
        <w:t>响应文件及其相关承诺附件（含响应文件澄清）；</w:t>
      </w:r>
    </w:p>
    <w:p>
      <w:pPr>
        <w:pStyle w:val="null3"/>
        <w:ind w:left="420" w:firstLine="480"/>
        <w:jc w:val="both"/>
      </w:pPr>
      <w:r>
        <w:rPr>
          <w:sz w:val="24"/>
        </w:rPr>
        <w:t>5.</w:t>
      </w:r>
      <w:r>
        <w:rPr>
          <w:sz w:val="24"/>
        </w:rPr>
        <w:t>招标文件及答疑补遗文件（含招标文件澄清或修正内容、答疑会议纪要等）；</w:t>
      </w:r>
    </w:p>
    <w:p>
      <w:pPr>
        <w:pStyle w:val="null3"/>
        <w:ind w:left="420" w:firstLine="480"/>
        <w:jc w:val="both"/>
      </w:pPr>
      <w:r>
        <w:rPr>
          <w:sz w:val="24"/>
        </w:rPr>
        <w:t>6.</w:t>
      </w:r>
      <w:r>
        <w:rPr>
          <w:sz w:val="24"/>
        </w:rPr>
        <w:t>标准、规范及有关技术文件；</w:t>
      </w:r>
    </w:p>
    <w:p>
      <w:pPr>
        <w:pStyle w:val="null3"/>
        <w:ind w:left="420" w:firstLine="480"/>
        <w:jc w:val="both"/>
      </w:pPr>
      <w:r>
        <w:rPr>
          <w:sz w:val="24"/>
        </w:rPr>
        <w:t>7.</w:t>
      </w:r>
      <w:r>
        <w:rPr>
          <w:sz w:val="24"/>
        </w:rPr>
        <w:t>组成合同的其他文件。</w:t>
      </w:r>
    </w:p>
    <w:p>
      <w:pPr>
        <w:pStyle w:val="null3"/>
        <w:ind w:firstLine="482"/>
        <w:jc w:val="both"/>
      </w:pPr>
      <w:r>
        <w:rPr>
          <w:sz w:val="24"/>
          <w:b/>
        </w:rPr>
        <w:t>注：</w:t>
      </w:r>
      <w:r>
        <w:rPr>
          <w:sz w:val="24"/>
        </w:rPr>
        <w:t>如乙方在响应文件及其相关承诺附件中作出有比招标文件及答疑补遗文件和本合同更有利于甲方的响应（该是否有利于甲方的解释权双方同意最终归甲方所有），则乙方响应文件及其相关承诺附件中更有利于甲方的相关条款内容的解释顺序优于招标文件及答疑补遗文件和本合同，乙方须按这些响应承诺履行。</w:t>
      </w:r>
    </w:p>
    <w:p>
      <w:pPr>
        <w:pStyle w:val="null3"/>
        <w:spacing w:before="30"/>
        <w:ind w:firstLine="468"/>
        <w:jc w:val="both"/>
      </w:pPr>
      <w:r>
        <w:rPr>
          <w:sz w:val="24"/>
        </w:rPr>
        <w:t>(二)</w:t>
      </w:r>
      <w:r>
        <w:rPr>
          <w:sz w:val="24"/>
        </w:rPr>
        <w:t>所有经双方签署确认的文件（包括会议纪要、补充协议、变更协议等）、招标文件、响应文件和响应承诺文件、合同附件及成交通知书均为本合同不可分割的有效组成部分，与本合同具有同等的法律效力和履约义务，其缔约生效日期为有效签署或盖章确认之日期。</w:t>
      </w:r>
    </w:p>
    <w:p>
      <w:pPr>
        <w:pStyle w:val="null3"/>
        <w:spacing w:before="30"/>
        <w:ind w:firstLine="468"/>
        <w:jc w:val="both"/>
      </w:pPr>
      <w:r>
        <w:rPr>
          <w:sz w:val="24"/>
        </w:rPr>
        <w:t>(三)</w:t>
      </w:r>
      <w:r>
        <w:rPr>
          <w:sz w:val="24"/>
        </w:rPr>
        <w:t>乙方在合同服务期内，自费办理派驻到项目所在地人员人身和自备财产的有关保险，保险时间应随服务时间的延长而顺延，并在出险后自行办理索赔。如果乙方不办理上述保险，则应对有关风险及后果自负其责。</w:t>
      </w:r>
    </w:p>
    <w:p>
      <w:pPr>
        <w:pStyle w:val="null3"/>
        <w:spacing w:before="30"/>
        <w:ind w:firstLine="468"/>
        <w:jc w:val="both"/>
      </w:pPr>
      <w:r>
        <w:rPr>
          <w:sz w:val="24"/>
        </w:rPr>
        <w:t>(四)</w:t>
      </w:r>
      <w:r>
        <w:rPr>
          <w:sz w:val="24"/>
        </w:rPr>
        <w:t>未经对方的书面同意，无论甲方或乙方均不得转让本合同约定的权利和义务。未经甲方书面同意，乙方不得将甲方提供的基础资料用作与本项目无关的任何其他用途。未经甲方同意，乙方不得将工作成果自行使用或向第三方转让、泄露。如发生以上情况，甲方有权索赔。</w:t>
      </w:r>
    </w:p>
    <w:p>
      <w:pPr>
        <w:pStyle w:val="null3"/>
        <w:spacing w:before="30"/>
        <w:ind w:firstLine="468"/>
        <w:jc w:val="both"/>
      </w:pPr>
      <w:r>
        <w:rPr>
          <w:sz w:val="24"/>
        </w:rPr>
        <w:t>(五)</w:t>
      </w:r>
      <w:r>
        <w:rPr>
          <w:sz w:val="24"/>
        </w:rPr>
        <w:t>乙方按照本项目招标文件要求和响应文件承诺向甲方提交成果（以下统称</w:t>
      </w:r>
      <w:r>
        <w:rPr>
          <w:sz w:val="24"/>
        </w:rPr>
        <w:t>“工作成果”）。受制于以下条款，乙方所提交的全部工作成果的所有权及使用权归甲方所有。甲方有权使用所有成果的权利。</w:t>
      </w:r>
    </w:p>
    <w:p>
      <w:pPr>
        <w:pStyle w:val="null3"/>
        <w:spacing w:before="30"/>
        <w:ind w:firstLine="468"/>
        <w:jc w:val="both"/>
      </w:pPr>
      <w:r>
        <w:rPr>
          <w:sz w:val="24"/>
        </w:rPr>
        <w:t>(六)</w:t>
      </w:r>
      <w:r>
        <w:rPr>
          <w:sz w:val="24"/>
        </w:rPr>
        <w:t>各方都应保护对签署和履行本合同而取得的所有任何有关对方的非公开资料，任何一方均有义务限制其员工、代理人等仅在为适当履行本合同义务所必须且承诺严守保密义务时方可获得和使用上述资料。因一方未尽到此项义务而使另一方受到损失的，应赔偿另一方因此受到的损失。本合同终止后，双方仍负有上述保密义务。</w:t>
      </w:r>
    </w:p>
    <w:p>
      <w:pPr>
        <w:pStyle w:val="null3"/>
        <w:spacing w:before="30"/>
        <w:ind w:firstLine="468"/>
        <w:jc w:val="both"/>
      </w:pPr>
      <w:r>
        <w:rPr>
          <w:sz w:val="24"/>
        </w:rPr>
        <w:t>(七)</w:t>
      </w:r>
      <w:r>
        <w:rPr>
          <w:sz w:val="24"/>
        </w:rPr>
        <w:t>各方应保证向对方提供的资料和数据不侵犯第三方的知识产权或其他权利，因一方提供的资料虚假、错误、或侵犯第三方权利而造成误工、赔偿</w:t>
      </w:r>
      <w:r>
        <w:rPr>
          <w:sz w:val="24"/>
        </w:rPr>
        <w:t>等损失（包括律师费）的，应当给予充分有效的赔偿。</w:t>
      </w:r>
    </w:p>
    <w:p>
      <w:pPr>
        <w:pStyle w:val="null3"/>
        <w:spacing w:before="30"/>
        <w:ind w:firstLine="468"/>
        <w:jc w:val="both"/>
      </w:pPr>
      <w:r>
        <w:rPr>
          <w:sz w:val="24"/>
        </w:rPr>
        <w:t>(八)</w:t>
      </w:r>
      <w:r>
        <w:rPr>
          <w:sz w:val="24"/>
        </w:rPr>
        <w:t>本合同未尽事宜，合同各方另行商定，必要时签定补充合同协议。补充协议经合同各方签字盖章后作为本合同补充文件。</w:t>
      </w:r>
    </w:p>
    <w:p>
      <w:pPr>
        <w:pStyle w:val="null3"/>
        <w:spacing w:before="30"/>
        <w:ind w:firstLine="480"/>
        <w:jc w:val="both"/>
      </w:pPr>
      <w:r>
        <w:rPr>
          <w:sz w:val="24"/>
        </w:rPr>
        <w:t>(九)</w:t>
      </w:r>
      <w:r>
        <w:rPr>
          <w:sz w:val="24"/>
        </w:rPr>
        <w:t>甲、乙双方法定代表人或授权代表在合同协议书签字，并分别加盖各单位的公章，并经见证单位见证后合同生效。</w:t>
      </w:r>
    </w:p>
    <w:p>
      <w:pPr>
        <w:pStyle w:val="null3"/>
        <w:spacing w:before="30"/>
        <w:ind w:firstLine="468"/>
        <w:jc w:val="both"/>
      </w:pPr>
      <w:r>
        <w:rPr>
          <w:sz w:val="24"/>
        </w:rPr>
        <w:t>(十)</w:t>
      </w:r>
      <w:r>
        <w:rPr>
          <w:sz w:val="24"/>
        </w:rPr>
        <w:t>本合同壹式</w:t>
      </w:r>
      <w:r>
        <w:rPr>
          <w:sz w:val="24"/>
          <w:u w:val="single"/>
        </w:rPr>
        <w:t>肆</w:t>
      </w:r>
      <w:r>
        <w:rPr>
          <w:sz w:val="24"/>
        </w:rPr>
        <w:t>份，甲方执</w:t>
      </w:r>
      <w:r>
        <w:rPr>
          <w:sz w:val="24"/>
          <w:u w:val="single"/>
        </w:rPr>
        <w:t>贰</w:t>
      </w:r>
      <w:r>
        <w:rPr>
          <w:sz w:val="24"/>
        </w:rPr>
        <w:t>份，乙方执</w:t>
      </w:r>
      <w:r>
        <w:rPr>
          <w:sz w:val="24"/>
          <w:u w:val="single"/>
        </w:rPr>
        <w:t>贰</w:t>
      </w:r>
      <w:r>
        <w:rPr>
          <w:sz w:val="24"/>
        </w:rPr>
        <w:t>份。</w:t>
      </w:r>
    </w:p>
    <w:p>
      <w:pPr>
        <w:pStyle w:val="null3"/>
        <w:ind w:firstLine="482"/>
        <w:jc w:val="both"/>
      </w:pPr>
      <w:r>
        <w:rPr>
          <w:sz w:val="24"/>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79"/>
        <w:gridCol w:w="4126"/>
      </w:tblGrid>
      <w:tr>
        <w:tc>
          <w:tcPr>
            <w:tcW w:type="dxa" w:w="417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rPr>
              <w:t>甲方（盖章）：</w:t>
            </w:r>
            <w:r>
              <w:rPr>
                <w:sz w:val="21"/>
                <w:b/>
              </w:rPr>
              <w:t xml:space="preserve">     </w:t>
            </w:r>
          </w:p>
        </w:tc>
        <w:tc>
          <w:tcPr>
            <w:tcW w:type="dxa" w:w="41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r>
              <w:rPr>
                <w:sz w:val="21"/>
                <w:b/>
              </w:rPr>
              <w:t xml:space="preserve">    </w:t>
            </w:r>
          </w:p>
        </w:tc>
      </w:tr>
      <w:tr>
        <w:tc>
          <w:tcPr>
            <w:tcW w:type="dxa" w:w="417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rPr>
              <w:t>代表：</w:t>
            </w:r>
          </w:p>
        </w:tc>
        <w:tc>
          <w:tcPr>
            <w:tcW w:type="dxa" w:w="41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w:t>
            </w:r>
          </w:p>
        </w:tc>
      </w:tr>
      <w:tr>
        <w:tc>
          <w:tcPr>
            <w:tcW w:type="dxa" w:w="417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rPr>
              <w:t>地址：</w:t>
            </w:r>
          </w:p>
        </w:tc>
        <w:tc>
          <w:tcPr>
            <w:tcW w:type="dxa" w:w="41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17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rPr>
              <w:t>电话：</w:t>
            </w:r>
          </w:p>
        </w:tc>
        <w:tc>
          <w:tcPr>
            <w:tcW w:type="dxa" w:w="41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r>
      <w:tr>
        <w:tc>
          <w:tcPr>
            <w:tcW w:type="dxa" w:w="417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rPr>
              <w:t>传真：</w:t>
            </w:r>
          </w:p>
        </w:tc>
        <w:tc>
          <w:tcPr>
            <w:tcW w:type="dxa" w:w="41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rPr>
              <w:t>：</w:t>
            </w:r>
          </w:p>
        </w:tc>
      </w:tr>
      <w:tr>
        <w:tc>
          <w:tcPr>
            <w:tcW w:type="dxa" w:w="417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日期</w:t>
            </w:r>
            <w:r>
              <w:rPr>
                <w:sz w:val="21"/>
              </w:rPr>
              <w:t>:      年</w:t>
            </w:r>
            <w:r>
              <w:rPr>
                <w:sz w:val="21"/>
              </w:rPr>
              <w:t xml:space="preserve">   </w:t>
            </w:r>
            <w:r>
              <w:rPr>
                <w:sz w:val="21"/>
              </w:rPr>
              <w:t>月</w:t>
            </w:r>
            <w:r>
              <w:rPr>
                <w:sz w:val="21"/>
              </w:rPr>
              <w:t xml:space="preserve">    </w:t>
            </w:r>
            <w:r>
              <w:rPr>
                <w:sz w:val="21"/>
              </w:rPr>
              <w:t>日</w:t>
            </w:r>
          </w:p>
        </w:tc>
      </w:tr>
      <w:tr>
        <w:tc>
          <w:tcPr>
            <w:tcW w:type="dxa" w:w="417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1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tc>
      </w:tr>
      <w:tr>
        <w:tc>
          <w:tcPr>
            <w:tcW w:type="dxa" w:w="417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1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银行帐号：</w:t>
            </w:r>
          </w:p>
        </w:tc>
      </w:tr>
    </w:tbl>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441301-2026-02375</w:t>
      </w:r>
    </w:p>
    <w:p>
      <w:pPr>
        <w:pStyle w:val="null3"/>
        <w:jc w:val="center"/>
        <w:outlineLvl w:val="3"/>
      </w:pPr>
      <w:r>
        <w:rPr>
          <w:sz w:val="24"/>
          <w:b/>
        </w:rPr>
        <w:t>采购项目编号：</w:t>
      </w:r>
      <w:r>
        <w:rPr>
          <w:sz w:val="24"/>
          <w:b/>
        </w:rPr>
        <w:t>HZLT2026SZ05038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惠州市联拓招标代理有限公司</w:t>
      </w:r>
    </w:p>
    <w:p>
      <w:pPr>
        <w:pStyle w:val="null3"/>
        <w:ind w:firstLine="480"/>
      </w:pPr>
      <w:r>
        <w:rPr/>
        <w:t xml:space="preserve"> 你方组织的</w:t>
      </w:r>
      <w:r>
        <w:rPr>
          <w:u w:val="single"/>
        </w:rPr>
        <w:t>“</w:t>
      </w:r>
      <w:r>
        <w:rPr>
          <w:u w:val="single"/>
        </w:rPr>
        <w:t>惠州市全国文明城市创建大数据管理平台运营维护项目</w:t>
      </w:r>
      <w:r>
        <w:rPr>
          <w:u w:val="single"/>
        </w:rPr>
        <w:t>”</w:t>
      </w:r>
      <w:r>
        <w:rPr/>
        <w:t>项目的招标[采购项目编号为：</w:t>
      </w:r>
      <w:r>
        <w:rPr>
          <w:u w:val="single"/>
        </w:rPr>
        <w:t>HZLT2026SZ05038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惠州市全国文明城市创建大数据管理平台运营维护项目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惠州市联拓招标代理有限公司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惠州市全国文明城市创建大数据管理平台运营维护项目</w:t>
      </w:r>
      <w:r>
        <w:rPr/>
        <w:t>”项目采购[采购项目编号为</w:t>
      </w:r>
      <w:r>
        <w:rPr/>
        <w:t>HZLT2026SZ05038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中共惠州市委宣传部</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惠州市联拓招标代理有限公司</w:t>
      </w:r>
    </w:p>
    <w:p>
      <w:pPr>
        <w:pStyle w:val="null3"/>
        <w:ind w:firstLine="480"/>
      </w:pPr>
      <w:r>
        <w:rPr/>
        <w:t xml:space="preserve"> 如果我方在贵采购代理机构组织的</w:t>
      </w:r>
      <w:r>
        <w:rPr/>
        <w:t>惠州市全国文明城市创建大数据管理平台运营维护项目</w:t>
      </w:r>
      <w:r>
        <w:rPr/>
        <w:t>招标中获中标（采购项目编号：</w:t>
      </w:r>
      <w:r>
        <w:rPr/>
        <w:t>HZLT2026SZ05038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惠州市联拓招标代理有限公司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惠州市联拓招标代理有限公司</w:t>
      </w:r>
    </w:p>
    <w:p>
      <w:pPr>
        <w:pStyle w:val="null3"/>
        <w:ind w:firstLine="480"/>
      </w:pPr>
      <w:r>
        <w:rPr/>
        <w:t>我单位已登记并准备参与“</w:t>
      </w:r>
      <w:r>
        <w:rPr/>
        <w:t>惠州市全国文明城市创建大数据管理平台运营维护项目</w:t>
      </w:r>
      <w:r>
        <w:rPr/>
        <w:t>”项目（采购项目编号：</w:t>
      </w:r>
      <w:r>
        <w:rPr/>
        <w:t>HZLT2026SZ05038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