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版本号：N511401202500031320251028002</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2026年机关食堂食材配送采购项目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N5114012025000313</w:t>
      </w:r>
    </w:p>
    <w:p>
      <w:pPr>
        <w:pStyle w:val="null3"/>
        <w:jc w:val="left"/>
        <w:outlineLvl w:val="2"/>
      </w:pPr>
      <w:r>
        <w:rPr>
          <w:rFonts w:ascii="仿宋_GB2312" w:hAnsi="仿宋_GB2312" w:cs="仿宋_GB2312" w:eastAsia="仿宋_GB2312"/>
          <w:sz w:val="28"/>
          <w:b/>
        </w:rPr>
        <w:t>眉山市公安局交通管理支队</w:t>
      </w:r>
    </w:p>
    <w:p>
      <w:pPr>
        <w:pStyle w:val="null3"/>
        <w:jc w:val="center"/>
        <w:outlineLvl w:val="2"/>
      </w:pPr>
      <w:r>
        <w:rPr>
          <w:rFonts w:ascii="仿宋_GB2312" w:hAnsi="仿宋_GB2312" w:cs="仿宋_GB2312" w:eastAsia="仿宋_GB2312"/>
          <w:sz w:val="28"/>
          <w:b/>
        </w:rPr>
        <w:t>四川欧凌商务服务有限公司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2025年10月22日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四川欧凌商务服务有限公司</w:t>
      </w:r>
      <w:r>
        <w:rPr>
          <w:rFonts w:ascii="仿宋_GB2312" w:hAnsi="仿宋_GB2312" w:cs="仿宋_GB2312" w:eastAsia="仿宋_GB2312"/>
        </w:rPr>
        <w:t xml:space="preserve"> （以下简称“代理机构”）受 </w:t>
      </w:r>
      <w:r>
        <w:rPr>
          <w:rFonts w:ascii="仿宋_GB2312" w:hAnsi="仿宋_GB2312" w:cs="仿宋_GB2312" w:eastAsia="仿宋_GB2312"/>
        </w:rPr>
        <w:t>眉山市公安局交通管理支队</w:t>
      </w:r>
      <w:r>
        <w:rPr>
          <w:rFonts w:ascii="仿宋_GB2312" w:hAnsi="仿宋_GB2312" w:cs="仿宋_GB2312" w:eastAsia="仿宋_GB2312"/>
        </w:rPr>
        <w:t xml:space="preserve"> 委托，拟对 </w:t>
      </w:r>
      <w:r>
        <w:rPr>
          <w:rFonts w:ascii="仿宋_GB2312" w:hAnsi="仿宋_GB2312" w:cs="仿宋_GB2312" w:eastAsia="仿宋_GB2312"/>
        </w:rPr>
        <w:t>2026年机关食堂食材配送采购项目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眉山市市本级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N5114012025000313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2026年机关食堂食材配送采购项目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为保障眉山市公安局交通警察支队正常业务开展需要，拟采购食堂大宗物资配送服务供应商，本项目分为3个包：第一包（肉类、家禽、水产品）；第二包（粮油、干杂、调味品类）;第三包（水果、蔬菜类）</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采购包2：专门面向中小企业采购。</w:t>
      </w:r>
    </w:p>
    <w:p>
      <w:pPr>
        <w:pStyle w:val="null3"/>
        <w:jc w:val="left"/>
      </w:pPr>
      <w:r>
        <w:rPr>
          <w:rFonts w:ascii="仿宋_GB2312" w:hAnsi="仿宋_GB2312" w:cs="仿宋_GB2312" w:eastAsia="仿宋_GB2312"/>
        </w:rPr>
        <w:t>采购包3：专门面向中小企业采购。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具有有效的《食品生产许可证》或《食品生产许可电子证书》或《食品经营许可证》或《食品经营许可电子证书》（备注：根据第十三届全国人民代表大会常务委员会第二十八次会议对《中华人民共和国食品安全法》作出的修改规定，仅销售预包装食品的，不需取得许可，应当提供向所在地县级以上地方人民政府食品安全监督管理部门备案的证明材料）（描述：供应商提供有效的《食品生产许可证》或《食品生产许可电子证书》或《食品经营许可证》或《食品经营许可电子证书》（备注：根据第十三届全国人民代表大会常务委员会第二十八次会议对《中华人民共和国食品安全法》作出的修改规定，仅销售预包装食品的，不需取得许可，应当提供向所在地县级以上地方人民政府食品安全监督管理部门备案的证明材料））</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供应商具有有效的《食品生产许可证》或《食品生产许可电子证书》或《食品经营许可证》或《食品经营许可电子证书》（备注：根据第十三届全国人民代表大会常务委员会第二十八次会议对《中华人民共和国食品安全法》作出的修改规定，仅销售预包装食品的，不需取得许可，应当提供向所在地县级以上地方人民政府食品安全监督管理部门备案的证明材料）（描述：供应商提供有效的《食品生产许可证》或《食品生产许可电子证书》或《食品经营许可证》或《食品经营许可电子证书》（备注：根据第十三届全国人民代表大会常务委员会第二十八次会议对《中华人民共和国食品安全法》作出的修改规定，仅销售预包装食品的，不需取得许可，应当提供向所在地县级以上地方人民政府食品安全监督管理部门备案的证明材料））</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供应商具有有效的《食品生产许可证》或《食品生产许可电子证书》或《食品经营许可证》或《食品经营许可电子证书》（备注：根据第十三届全国人民代表大会常务委员会第二十八次会议对《中华人民共和国食品安全法》作出的修改规定，仅销售预包装食品的，不需取得许可，应当提供向所在地县级以上地方人民政府食品安全监督管理部门备案的证明材料）（描述：供应商提供有效的《食品生产许可证》或《食品生产许可电子证书》或《食品经营许可证》或《食品经营许可电子证书》（备注：根据第十三届全国人民代表大会常务委员会第二十八次会议对《中华人民共和国食品安全法》作出的修改规定，仅销售预包装食品的，不需取得许可，应当提供向所在地县级以上地方人民政府食品安全监督管理部门备案的证明材料））</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眉山市公安局交通管理支队</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眉山市东坡区眉州大道东三段221号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620010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13568300800</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四川欧凌商务服务有限公司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四川省眉山市东坡区湖滨路南四段212号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620010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何女士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028-38290066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采购包1：735,000.00元</w:t>
            </w:r>
          </w:p>
          <w:p>
            <w:pPr>
              <w:pStyle w:val="null3"/>
              <w:jc w:val="left"/>
            </w:pPr>
            <w:r>
              <w:rPr>
                <w:rFonts w:ascii="仿宋_GB2312" w:hAnsi="仿宋_GB2312" w:cs="仿宋_GB2312" w:eastAsia="仿宋_GB2312"/>
              </w:rPr>
              <w:t>采购包2：330,000.00元</w:t>
            </w:r>
          </w:p>
          <w:p>
            <w:pPr>
              <w:pStyle w:val="null3"/>
              <w:jc w:val="left"/>
            </w:pPr>
            <w:r>
              <w:rPr>
                <w:rFonts w:ascii="仿宋_GB2312" w:hAnsi="仿宋_GB2312" w:cs="仿宋_GB2312" w:eastAsia="仿宋_GB2312"/>
              </w:rPr>
              <w:t>采购包3：415,000.00元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采购包2：不接受联合体</w:t>
            </w:r>
          </w:p>
          <w:p>
            <w:pPr>
              <w:pStyle w:val="null3"/>
              <w:jc w:val="left"/>
            </w:pPr>
            <w:r>
              <w:rPr>
                <w:rFonts w:ascii="仿宋_GB2312" w:hAnsi="仿宋_GB2312" w:cs="仿宋_GB2312" w:eastAsia="仿宋_GB2312"/>
              </w:rPr>
              <w:t>采购包3：不接受联合体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政府购买服务项目（含政府和社会资本合作项目）：是/否</w:t>
            </w:r>
          </w:p>
          <w:p>
            <w:pPr>
              <w:pStyle w:val="null3"/>
              <w:jc w:val="left"/>
            </w:pPr>
            <w:r>
              <w:rPr>
                <w:rFonts w:ascii="仿宋_GB2312" w:hAnsi="仿宋_GB2312" w:cs="仿宋_GB2312" w:eastAsia="仿宋_GB2312"/>
              </w:rPr>
              <w:t xml:space="preserve"> 市场竞争不充分的科研项目：是/否</w:t>
            </w:r>
            <w:r>
              <w:rPr>
                <w:rFonts w:ascii="仿宋_GB2312" w:hAnsi="仿宋_GB2312" w:cs="仿宋_GB2312" w:eastAsia="仿宋_GB2312"/>
              </w:rPr>
              <w:t xml:space="preserve"> 需要扶持的科技成果转化项目：是/否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p>
            <w:pPr>
              <w:pStyle w:val="null3"/>
              <w:jc w:val="left"/>
            </w:pPr>
            <w:r>
              <w:rPr>
                <w:rFonts w:ascii="仿宋_GB2312" w:hAnsi="仿宋_GB2312" w:cs="仿宋_GB2312" w:eastAsia="仿宋_GB2312"/>
              </w:rPr>
              <w:t>采购包2：不收取</w:t>
            </w:r>
          </w:p>
          <w:p>
            <w:pPr>
              <w:pStyle w:val="null3"/>
              <w:jc w:val="left"/>
            </w:pPr>
            <w:r>
              <w:rPr>
                <w:rFonts w:ascii="仿宋_GB2312" w:hAnsi="仿宋_GB2312" w:cs="仿宋_GB2312" w:eastAsia="仿宋_GB2312"/>
              </w:rPr>
              <w:t>采购包3：不收取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代理服务费收费标准：参照《招标代理服务收费管理暂行办法》计价格[2002]1980号文和发改价格[2011]534号，按照中标价的0.8%计取。</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p>
            <w:pPr>
              <w:pStyle w:val="null3"/>
              <w:jc w:val="left"/>
            </w:pPr>
            <w:r>
              <w:rPr>
                <w:rFonts w:ascii="仿宋_GB2312" w:hAnsi="仿宋_GB2312" w:cs="仿宋_GB2312" w:eastAsia="仿宋_GB2312"/>
              </w:rPr>
              <w:t>采购包3：否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眉山市公安局交通管理支队</w:t>
      </w:r>
      <w:r>
        <w:rPr>
          <w:rFonts w:ascii="仿宋_GB2312" w:hAnsi="仿宋_GB2312" w:cs="仿宋_GB2312" w:eastAsia="仿宋_GB2312"/>
        </w:rPr>
        <w:t xml:space="preserve"> 和 </w:t>
      </w:r>
      <w:r>
        <w:rPr>
          <w:rFonts w:ascii="仿宋_GB2312" w:hAnsi="仿宋_GB2312" w:cs="仿宋_GB2312" w:eastAsia="仿宋_GB2312"/>
        </w:rPr>
        <w:t>四川欧凌商务服务有限公司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眉山市公安局交通管理支队</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四川欧凌商务服务有限公司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每日食材送到采购人食堂后，出具验收合格单并签字确认，月末统一结算</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每日食材送到采购人食堂后，出具验收合格单并签字确认，月末统一结算</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采购包3：</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每日食材送到采购人食堂后，出具验收合格单并签字确认，月末统一结算</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jc w:val="left"/>
      </w:pPr>
      <w:r>
        <w:rPr>
          <w:rFonts w:ascii="仿宋_GB2312" w:hAnsi="仿宋_GB2312" w:cs="仿宋_GB2312" w:eastAsia="仿宋_GB2312"/>
        </w:rPr>
        <w:t>采购包3：</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根据采购文件内容要求和合同约定进行技术履约验收。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根据采购文件内容要求和合同约定进行技术履约验收。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根据采购文件内容要求和合同约定进行技术履约验收。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根据采购文件内容要求和合同约定进行商务履约验收。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根据采购文件内容要求和合同约定进行商务履约验收。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根据采购文件内容要求和合同约定进行商务履约验收。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1、供应商配送的所有物资必须保质保量、保鲜、无污染、无发霉、无变质、无不适宜民辅警 职工食用的食品，同时必须提供相关检疫、检测等相关报告，若不能提供，验收人员有权拒绝接收 并可视为本次配送货品质量不合格，可要求供应商在一个小时内重新配送有报告的物资。若供应商无法及时供给，食堂采购人员有权自行到市场采购所需货物，若价格高于询价，差价损失由供应商自行承担。 2、配送货物除必须提供相关检测报告和证书外，还应以职工食堂验收人员、验收监督小组和厨师长等的综合意见为准，不符合要求则无条件退换。 3、供应商应按采购人的要求，提供产品的检疫（或检测）报告、相关许可证等。供应商应必须积极配合相关部门的监督检查。供应商应建立严格的管理记录档案，详细记载进货渠道、种类、数量和时间。 4、供应链必须明确，所有食材来源必须清晰，来源应当是自有基地、商品菜基地、生产厂家或受地方政府部门监管的流通市场。 5、采购人有权聘请专业检测机构对供应商所送产品随机进行检测，检测费用由供应商据实承担，检测结果不合格的按考核办法配送质量不合格处理。</w:t>
      </w:r>
    </w:p>
    <w:p>
      <w:pPr>
        <w:pStyle w:val="null3"/>
        <w:jc w:val="left"/>
      </w:pPr>
      <w:r>
        <w:rPr>
          <w:rFonts w:ascii="仿宋_GB2312" w:hAnsi="仿宋_GB2312" w:cs="仿宋_GB2312" w:eastAsia="仿宋_GB2312"/>
        </w:rPr>
        <w:t>采购包2：</w:t>
      </w:r>
      <w:r>
        <w:rPr>
          <w:rFonts w:ascii="仿宋_GB2312" w:hAnsi="仿宋_GB2312" w:cs="仿宋_GB2312" w:eastAsia="仿宋_GB2312"/>
        </w:rPr>
        <w:t>1、供应商配送的所有物资必须保质保量、保鲜、无污染、无发霉、无变质、无不适宜民辅警职工食用的食品，同时必须提供相关检疫、检测等相关报告，若不能提供，验收人员有权拒绝接收 并可视为本次配送货品质量不合格，可要求供应商在一个小时内重新配送有报告的物资。若供应商无法及时供给，食堂采购人员有权自行到市场采购所需货物，若价格高于询价，差价损失由供应商自行承担。 2、配送货物除必须提供相关检测报告和证书外，还应以职工食堂验收人员、验收监督小组和厨师长等的综合意见为准，不符合要求则无条件退换。 3、供应商应按采购人的要求，提供产品的检疫（或检测）报告、相关许可证等。供应商应必须积极配合相关部门的监督检查。供应商应建立严格的管理记录档案，详细记载进货渠道、种类、数量和时间。 4、供应链必须明确，所有食材来源必须清晰，来源应当是自有基地、商品菜基地、生产厂家或受地方政府部门监管的流通市场。 5、采购人有权聘请专业检测机构对供应商所送产品随机进行检测，检测费用由供应商据实承担，检测结果不合格的按考核办法配送质量不合格处理。</w:t>
      </w:r>
    </w:p>
    <w:p>
      <w:pPr>
        <w:pStyle w:val="null3"/>
        <w:jc w:val="left"/>
      </w:pPr>
      <w:r>
        <w:rPr>
          <w:rFonts w:ascii="仿宋_GB2312" w:hAnsi="仿宋_GB2312" w:cs="仿宋_GB2312" w:eastAsia="仿宋_GB2312"/>
        </w:rPr>
        <w:t>采购包3：</w:t>
      </w:r>
      <w:r>
        <w:rPr>
          <w:rFonts w:ascii="仿宋_GB2312" w:hAnsi="仿宋_GB2312" w:cs="仿宋_GB2312" w:eastAsia="仿宋_GB2312"/>
        </w:rPr>
        <w:t>1、供应商配送的所有物资必须保质保量、保鲜、无污染、无发霉、无变质、无不适宜民辅警职工食用的食品，同时必须提供相关检疫、检测等相关报告，若不能提供，验收人员有权拒绝接收 并可视为本次配送货品质量不合格，可要求供应商在一个小时内重新配送有报告的物资。若供应商无法及时供给，食堂采购人员有权自行到市场采购所需货物，若价格高于询价，差价损失由供应商自行承担。 2、配送货物除必须提供相关检测报告和证书外，还应以职工食堂验收人员、验收监督小组和厨师长等的综合意见为准，不符合要求则无条件退换。 3、供应商应按采购人的要求，提供产品的检疫（或检测）报告、相关许可证等。供应商应必须积极配合相关部门的监督检查。供应商应建立严格的管理记录档案，详细记载进货渠道、种类、数量和时间。 4、供应链必须明确，所有食材来源必须清晰，来源应当是自有基地、商品菜基地、生产厂家或受地方政府部门监管的流通市场。 5、采购人有权聘请专业检测机构对供应商所送产品随机进行检测，检测费用由供应商据实承担，检测结果不合格的按考核办法配送质量不合格处理。</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jc w:val="left"/>
      </w:pPr>
      <w:r>
        <w:rPr>
          <w:rFonts w:ascii="仿宋_GB2312" w:hAnsi="仿宋_GB2312" w:cs="仿宋_GB2312" w:eastAsia="仿宋_GB2312"/>
        </w:rPr>
        <w:t>采购包3：</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眉山市公安局交通管理支队</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四川欧凌商务服务有限公司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四川欧凌商务服务有限公司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联系人：何女士</w:t>
      </w:r>
    </w:p>
    <w:p>
      <w:pPr>
        <w:pStyle w:val="null3"/>
        <w:jc w:val="left"/>
      </w:pPr>
      <w:r>
        <w:rPr>
          <w:rFonts w:ascii="仿宋_GB2312" w:hAnsi="仿宋_GB2312" w:cs="仿宋_GB2312" w:eastAsia="仿宋_GB2312"/>
        </w:rPr>
        <w:t>联系电话：028-38290066</w:t>
      </w:r>
    </w:p>
    <w:p>
      <w:pPr>
        <w:pStyle w:val="null3"/>
        <w:jc w:val="left"/>
      </w:pPr>
      <w:r>
        <w:rPr>
          <w:rFonts w:ascii="仿宋_GB2312" w:hAnsi="仿宋_GB2312" w:cs="仿宋_GB2312" w:eastAsia="仿宋_GB2312"/>
        </w:rPr>
        <w:t>地址：眉山市东坡区湖滨路南四段212号</w:t>
      </w:r>
    </w:p>
    <w:p>
      <w:pPr>
        <w:pStyle w:val="null3"/>
        <w:jc w:val="left"/>
      </w:pPr>
      <w:r>
        <w:rPr>
          <w:rFonts w:ascii="仿宋_GB2312" w:hAnsi="仿宋_GB2312" w:cs="仿宋_GB2312" w:eastAsia="仿宋_GB2312"/>
        </w:rPr>
        <w:t>邮编：620010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jc w:val="left"/>
      </w:pPr>
      <w:r>
        <w:rPr>
          <w:rFonts w:ascii="仿宋_GB2312" w:hAnsi="仿宋_GB2312" w:cs="仿宋_GB2312" w:eastAsia="仿宋_GB2312"/>
        </w:rPr>
        <w:t>采购包3：不需要样品评审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735,000.00</w:t>
      </w:r>
    </w:p>
    <w:p>
      <w:pPr>
        <w:pStyle w:val="null3"/>
        <w:jc w:val="left"/>
      </w:pPr>
      <w:r>
        <w:rPr>
          <w:rFonts w:ascii="仿宋_GB2312" w:hAnsi="仿宋_GB2312" w:cs="仿宋_GB2312" w:eastAsia="仿宋_GB2312"/>
        </w:rPr>
        <w:t>采购包最高限价（元）: 735,000.00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C23130100 农畜产品批发服务</w:t>
            </w:r>
          </w:p>
        </w:tc>
        <w:tc>
          <w:tcPr>
            <w:tcW w:type="dxa" w:w="821"/>
          </w:tcPr>
          <w:p>
            <w:pPr>
              <w:pStyle w:val="null3"/>
              <w:jc w:val="left"/>
            </w:pPr>
            <w:r>
              <w:rPr>
                <w:rFonts w:ascii="仿宋_GB2312" w:hAnsi="仿宋_GB2312" w:cs="仿宋_GB2312" w:eastAsia="仿宋_GB2312"/>
              </w:rPr>
              <w:t>肉类、家禽、水产品</w:t>
            </w:r>
          </w:p>
        </w:tc>
        <w:tc>
          <w:tcPr>
            <w:tcW w:type="dxa" w:w="821"/>
          </w:tcPr>
          <w:p>
            <w:pPr>
              <w:pStyle w:val="null3"/>
              <w:jc w:val="right"/>
            </w:pPr>
            <w:r>
              <w:rPr>
                <w:rFonts w:ascii="仿宋_GB2312" w:hAnsi="仿宋_GB2312" w:cs="仿宋_GB2312" w:eastAsia="仿宋_GB2312"/>
              </w:rPr>
              <w:t>1.00（年）</w:t>
            </w:r>
          </w:p>
        </w:tc>
        <w:tc>
          <w:tcPr>
            <w:tcW w:type="dxa" w:w="821"/>
          </w:tcPr>
          <w:p>
            <w:pPr>
              <w:pStyle w:val="null3"/>
              <w:jc w:val="right"/>
            </w:pPr>
            <w:r>
              <w:rPr>
                <w:rFonts w:ascii="仿宋_GB2312" w:hAnsi="仿宋_GB2312" w:cs="仿宋_GB2312" w:eastAsia="仿宋_GB2312"/>
              </w:rPr>
              <w:t>735,000.00</w:t>
            </w:r>
          </w:p>
        </w:tc>
        <w:tc>
          <w:tcPr>
            <w:tcW w:type="dxa" w:w="821"/>
          </w:tcPr>
          <w:p>
            <w:pPr>
              <w:pStyle w:val="null3"/>
              <w:jc w:val="left"/>
            </w:pPr>
            <w:r>
              <w:rPr>
                <w:rFonts w:ascii="仿宋_GB2312" w:hAnsi="仿宋_GB2312" w:cs="仿宋_GB2312" w:eastAsia="仿宋_GB2312"/>
              </w:rPr>
              <w:t>批发业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330,000.00</w:t>
      </w:r>
    </w:p>
    <w:p>
      <w:pPr>
        <w:pStyle w:val="null3"/>
        <w:jc w:val="left"/>
      </w:pPr>
      <w:r>
        <w:rPr>
          <w:rFonts w:ascii="仿宋_GB2312" w:hAnsi="仿宋_GB2312" w:cs="仿宋_GB2312" w:eastAsia="仿宋_GB2312"/>
        </w:rPr>
        <w:t>采购包最高限价（元）: 330,000.00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C23130100 农畜产品批发服务</w:t>
            </w:r>
          </w:p>
        </w:tc>
        <w:tc>
          <w:tcPr>
            <w:tcW w:type="dxa" w:w="821"/>
          </w:tcPr>
          <w:p>
            <w:pPr>
              <w:pStyle w:val="null3"/>
              <w:jc w:val="left"/>
            </w:pPr>
            <w:r>
              <w:rPr>
                <w:rFonts w:ascii="仿宋_GB2312" w:hAnsi="仿宋_GB2312" w:cs="仿宋_GB2312" w:eastAsia="仿宋_GB2312"/>
              </w:rPr>
              <w:t>粮油、干杂、调味品类</w:t>
            </w:r>
          </w:p>
        </w:tc>
        <w:tc>
          <w:tcPr>
            <w:tcW w:type="dxa" w:w="821"/>
          </w:tcPr>
          <w:p>
            <w:pPr>
              <w:pStyle w:val="null3"/>
              <w:jc w:val="right"/>
            </w:pPr>
            <w:r>
              <w:rPr>
                <w:rFonts w:ascii="仿宋_GB2312" w:hAnsi="仿宋_GB2312" w:cs="仿宋_GB2312" w:eastAsia="仿宋_GB2312"/>
              </w:rPr>
              <w:t>1.00（年）</w:t>
            </w:r>
          </w:p>
        </w:tc>
        <w:tc>
          <w:tcPr>
            <w:tcW w:type="dxa" w:w="821"/>
          </w:tcPr>
          <w:p>
            <w:pPr>
              <w:pStyle w:val="null3"/>
              <w:jc w:val="right"/>
            </w:pPr>
            <w:r>
              <w:rPr>
                <w:rFonts w:ascii="仿宋_GB2312" w:hAnsi="仿宋_GB2312" w:cs="仿宋_GB2312" w:eastAsia="仿宋_GB2312"/>
              </w:rPr>
              <w:t>330,000.00</w:t>
            </w:r>
          </w:p>
        </w:tc>
        <w:tc>
          <w:tcPr>
            <w:tcW w:type="dxa" w:w="821"/>
          </w:tcPr>
          <w:p>
            <w:pPr>
              <w:pStyle w:val="null3"/>
              <w:jc w:val="left"/>
            </w:pPr>
            <w:r>
              <w:rPr>
                <w:rFonts w:ascii="仿宋_GB2312" w:hAnsi="仿宋_GB2312" w:cs="仿宋_GB2312" w:eastAsia="仿宋_GB2312"/>
              </w:rPr>
              <w:t>批发业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采购包预算金额（元）: 415,000.00</w:t>
      </w:r>
    </w:p>
    <w:p>
      <w:pPr>
        <w:pStyle w:val="null3"/>
        <w:jc w:val="left"/>
      </w:pPr>
      <w:r>
        <w:rPr>
          <w:rFonts w:ascii="仿宋_GB2312" w:hAnsi="仿宋_GB2312" w:cs="仿宋_GB2312" w:eastAsia="仿宋_GB2312"/>
        </w:rPr>
        <w:t>采购包最高限价（元）: 415,000.00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C23130100 农畜产品批发服务</w:t>
            </w:r>
          </w:p>
        </w:tc>
        <w:tc>
          <w:tcPr>
            <w:tcW w:type="dxa" w:w="821"/>
          </w:tcPr>
          <w:p>
            <w:pPr>
              <w:pStyle w:val="null3"/>
              <w:jc w:val="left"/>
            </w:pPr>
            <w:r>
              <w:rPr>
                <w:rFonts w:ascii="仿宋_GB2312" w:hAnsi="仿宋_GB2312" w:cs="仿宋_GB2312" w:eastAsia="仿宋_GB2312"/>
              </w:rPr>
              <w:t>水果、蔬菜类</w:t>
            </w:r>
          </w:p>
        </w:tc>
        <w:tc>
          <w:tcPr>
            <w:tcW w:type="dxa" w:w="821"/>
          </w:tcPr>
          <w:p>
            <w:pPr>
              <w:pStyle w:val="null3"/>
              <w:jc w:val="right"/>
            </w:pPr>
            <w:r>
              <w:rPr>
                <w:rFonts w:ascii="仿宋_GB2312" w:hAnsi="仿宋_GB2312" w:cs="仿宋_GB2312" w:eastAsia="仿宋_GB2312"/>
              </w:rPr>
              <w:t>1.00（年）</w:t>
            </w:r>
          </w:p>
        </w:tc>
        <w:tc>
          <w:tcPr>
            <w:tcW w:type="dxa" w:w="821"/>
          </w:tcPr>
          <w:p>
            <w:pPr>
              <w:pStyle w:val="null3"/>
              <w:jc w:val="right"/>
            </w:pPr>
            <w:r>
              <w:rPr>
                <w:rFonts w:ascii="仿宋_GB2312" w:hAnsi="仿宋_GB2312" w:cs="仿宋_GB2312" w:eastAsia="仿宋_GB2312"/>
              </w:rPr>
              <w:t>415,000.00</w:t>
            </w:r>
          </w:p>
        </w:tc>
        <w:tc>
          <w:tcPr>
            <w:tcW w:type="dxa" w:w="821"/>
          </w:tcPr>
          <w:p>
            <w:pPr>
              <w:pStyle w:val="null3"/>
              <w:jc w:val="left"/>
            </w:pPr>
            <w:r>
              <w:rPr>
                <w:rFonts w:ascii="仿宋_GB2312" w:hAnsi="仿宋_GB2312" w:cs="仿宋_GB2312" w:eastAsia="仿宋_GB2312"/>
              </w:rPr>
              <w:t>批发业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肉类、家禽、水产品</w:t>
            </w:r>
          </w:p>
        </w:tc>
        <w:tc>
          <w:tcPr>
            <w:tcW w:type="dxa" w:w="977"/>
          </w:tcPr>
          <w:p>
            <w:pPr>
              <w:pStyle w:val="null3"/>
              <w:jc w:val="center"/>
            </w:pPr>
            <w:r>
              <w:rPr>
                <w:rFonts w:ascii="仿宋_GB2312" w:hAnsi="仿宋_GB2312" w:cs="仿宋_GB2312" w:eastAsia="仿宋_GB2312"/>
              </w:rPr>
              <w:t>年</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不设定</w:t>
            </w:r>
          </w:p>
        </w:tc>
        <w:tc>
          <w:tcPr>
            <w:tcW w:type="dxa" w:w="977"/>
          </w:tcPr>
          <w:p>
            <w:pPr>
              <w:pStyle w:val="null3"/>
              <w:jc w:val="center"/>
            </w:pPr>
            <w:r>
              <w:rPr>
                <w:rFonts w:ascii="仿宋_GB2312" w:hAnsi="仿宋_GB2312" w:cs="仿宋_GB2312" w:eastAsia="仿宋_GB2312"/>
              </w:rPr>
              <w:t>统一 下浮比例</w:t>
            </w:r>
          </w:p>
        </w:tc>
        <w:tc>
          <w:tcPr>
            <w:tcW w:type="dxa" w:w="1466"/>
          </w:tcPr>
          <w:p>
            <w:pPr>
              <w:pStyle w:val="null3"/>
              <w:jc w:val="left"/>
            </w:pPr>
            <w:r>
              <w:rPr>
                <w:rFonts w:ascii="仿宋_GB2312" w:hAnsi="仿宋_GB2312" w:cs="仿宋_GB2312" w:eastAsia="仿宋_GB2312"/>
              </w:rPr>
              <w:t>供应商报价在采购人市场询价基准价的基础上报统一下浮比例</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粮油、干杂、调味品类</w:t>
            </w:r>
          </w:p>
        </w:tc>
        <w:tc>
          <w:tcPr>
            <w:tcW w:type="dxa" w:w="977"/>
          </w:tcPr>
          <w:p>
            <w:pPr>
              <w:pStyle w:val="null3"/>
              <w:jc w:val="center"/>
            </w:pPr>
            <w:r>
              <w:rPr>
                <w:rFonts w:ascii="仿宋_GB2312" w:hAnsi="仿宋_GB2312" w:cs="仿宋_GB2312" w:eastAsia="仿宋_GB2312"/>
              </w:rPr>
              <w:t>年</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不设定</w:t>
            </w:r>
          </w:p>
        </w:tc>
        <w:tc>
          <w:tcPr>
            <w:tcW w:type="dxa" w:w="977"/>
          </w:tcPr>
          <w:p>
            <w:pPr>
              <w:pStyle w:val="null3"/>
              <w:jc w:val="center"/>
            </w:pPr>
            <w:r>
              <w:rPr>
                <w:rFonts w:ascii="仿宋_GB2312" w:hAnsi="仿宋_GB2312" w:cs="仿宋_GB2312" w:eastAsia="仿宋_GB2312"/>
              </w:rPr>
              <w:t>统一下浮比例</w:t>
            </w:r>
          </w:p>
        </w:tc>
        <w:tc>
          <w:tcPr>
            <w:tcW w:type="dxa" w:w="1466"/>
          </w:tcPr>
          <w:p>
            <w:pPr>
              <w:pStyle w:val="null3"/>
              <w:jc w:val="left"/>
            </w:pPr>
            <w:r>
              <w:rPr>
                <w:rFonts w:ascii="仿宋_GB2312" w:hAnsi="仿宋_GB2312" w:cs="仿宋_GB2312" w:eastAsia="仿宋_GB2312"/>
              </w:rPr>
              <w:t>供应商报价在采购人市场询价基准价的基础上报统一下浮比例</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水果、蔬菜类</w:t>
            </w:r>
          </w:p>
        </w:tc>
        <w:tc>
          <w:tcPr>
            <w:tcW w:type="dxa" w:w="977"/>
          </w:tcPr>
          <w:p>
            <w:pPr>
              <w:pStyle w:val="null3"/>
              <w:jc w:val="center"/>
            </w:pPr>
            <w:r>
              <w:rPr>
                <w:rFonts w:ascii="仿宋_GB2312" w:hAnsi="仿宋_GB2312" w:cs="仿宋_GB2312" w:eastAsia="仿宋_GB2312"/>
              </w:rPr>
              <w:t>年</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不设定</w:t>
            </w:r>
          </w:p>
        </w:tc>
        <w:tc>
          <w:tcPr>
            <w:tcW w:type="dxa" w:w="977"/>
          </w:tcPr>
          <w:p>
            <w:pPr>
              <w:pStyle w:val="null3"/>
              <w:jc w:val="center"/>
            </w:pPr>
            <w:r>
              <w:rPr>
                <w:rFonts w:ascii="仿宋_GB2312" w:hAnsi="仿宋_GB2312" w:cs="仿宋_GB2312" w:eastAsia="仿宋_GB2312"/>
              </w:rPr>
              <w:t>统一下浮比例</w:t>
            </w:r>
          </w:p>
        </w:tc>
        <w:tc>
          <w:tcPr>
            <w:tcW w:type="dxa" w:w="1466"/>
          </w:tcPr>
          <w:p>
            <w:pPr>
              <w:pStyle w:val="null3"/>
              <w:jc w:val="left"/>
            </w:pPr>
            <w:r>
              <w:rPr>
                <w:rFonts w:ascii="仿宋_GB2312" w:hAnsi="仿宋_GB2312" w:cs="仿宋_GB2312" w:eastAsia="仿宋_GB2312"/>
              </w:rPr>
              <w:t>供应商报价在采购人市场询价基准价的基础上报统一下浮比例</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标的名称：肉类、家禽、水产品</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一、配送食材标准及要求</w:t>
            </w:r>
          </w:p>
        </w:tc>
        <w:tc>
          <w:tcPr>
            <w:tcW w:type="dxa" w:w="5814"/>
          </w:tcPr>
          <w:p>
            <w:pPr>
              <w:pStyle w:val="null3"/>
              <w:jc w:val="both"/>
            </w:pPr>
            <w:r>
              <w:rPr>
                <w:rFonts w:ascii="仿宋_GB2312" w:hAnsi="仿宋_GB2312" w:cs="仿宋_GB2312" w:eastAsia="仿宋_GB2312"/>
                <w:sz w:val="21"/>
              </w:rPr>
              <w:t>供应商应在当月根据采购人的采购需求，提供下一个月采购需求的报价清单。采购人每月对市场零售价作一次市场询价，以此作为基准价。基准价格的询价以采购人单位周边综合市场（新区大市场、眉东大市场、宝华寺大市场等）平均价格为准，供货价格＝基准价</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下浮比例），当月询价后市场价格升降超过基准价</w:t>
            </w:r>
            <w:r>
              <w:rPr>
                <w:rFonts w:ascii="仿宋_GB2312" w:hAnsi="仿宋_GB2312" w:cs="仿宋_GB2312" w:eastAsia="仿宋_GB2312"/>
                <w:sz w:val="21"/>
              </w:rPr>
              <w:t>10%</w:t>
            </w:r>
            <w:r>
              <w:rPr>
                <w:rFonts w:ascii="仿宋_GB2312" w:hAnsi="仿宋_GB2312" w:cs="仿宋_GB2312" w:eastAsia="仿宋_GB2312"/>
                <w:sz w:val="21"/>
              </w:rPr>
              <w:t>重新询价定价，价格波动在</w:t>
            </w:r>
            <w:r>
              <w:rPr>
                <w:rFonts w:ascii="仿宋_GB2312" w:hAnsi="仿宋_GB2312" w:cs="仿宋_GB2312" w:eastAsia="仿宋_GB2312"/>
                <w:sz w:val="21"/>
              </w:rPr>
              <w:t>10%</w:t>
            </w:r>
            <w:r>
              <w:rPr>
                <w:rFonts w:ascii="仿宋_GB2312" w:hAnsi="仿宋_GB2312" w:cs="仿宋_GB2312" w:eastAsia="仿宋_GB2312"/>
                <w:sz w:val="21"/>
              </w:rPr>
              <w:t>及以内不作调整。</w:t>
            </w:r>
          </w:p>
          <w:p>
            <w:pPr>
              <w:pStyle w:val="null3"/>
              <w:jc w:val="both"/>
            </w:pPr>
            <w:r>
              <w:rPr>
                <w:rFonts w:ascii="仿宋_GB2312" w:hAnsi="仿宋_GB2312" w:cs="仿宋_GB2312" w:eastAsia="仿宋_GB2312"/>
                <w:sz w:val="21"/>
              </w:rPr>
              <w:t>本项目最高限价：供应商统一填报下浮比例，供货期内（每周），结算价格</w:t>
            </w:r>
            <w:r>
              <w:rPr>
                <w:rFonts w:ascii="仿宋_GB2312" w:hAnsi="仿宋_GB2312" w:cs="仿宋_GB2312" w:eastAsia="仿宋_GB2312"/>
                <w:sz w:val="21"/>
              </w:rPr>
              <w:t>=</w:t>
            </w:r>
            <w:r>
              <w:rPr>
                <w:rFonts w:ascii="仿宋_GB2312" w:hAnsi="仿宋_GB2312" w:cs="仿宋_GB2312" w:eastAsia="仿宋_GB2312"/>
                <w:sz w:val="21"/>
              </w:rPr>
              <w:t>实际数量</w:t>
            </w:r>
            <w:r>
              <w:rPr>
                <w:rFonts w:ascii="仿宋_GB2312" w:hAnsi="仿宋_GB2312" w:cs="仿宋_GB2312" w:eastAsia="仿宋_GB2312"/>
                <w:sz w:val="21"/>
              </w:rPr>
              <w:t>×</w:t>
            </w:r>
            <w:r>
              <w:rPr>
                <w:rFonts w:ascii="仿宋_GB2312" w:hAnsi="仿宋_GB2312" w:cs="仿宋_GB2312" w:eastAsia="仿宋_GB2312"/>
                <w:sz w:val="21"/>
              </w:rPr>
              <w:t>货物单价</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下浮比例）</w:t>
            </w:r>
          </w:p>
          <w:p>
            <w:pPr>
              <w:pStyle w:val="null3"/>
              <w:jc w:val="both"/>
            </w:pPr>
            <w:r>
              <w:rPr>
                <w:rFonts w:ascii="仿宋_GB2312" w:hAnsi="仿宋_GB2312" w:cs="仿宋_GB2312" w:eastAsia="仿宋_GB2312"/>
                <w:sz w:val="21"/>
              </w:rPr>
              <w:t>定标原则：供应商以包为单位参加采购</w:t>
            </w:r>
            <w:r>
              <w:rPr>
                <w:rFonts w:ascii="仿宋_GB2312" w:hAnsi="仿宋_GB2312" w:cs="仿宋_GB2312" w:eastAsia="仿宋_GB2312"/>
                <w:sz w:val="21"/>
              </w:rPr>
              <w:t>,</w:t>
            </w:r>
            <w:r>
              <w:rPr>
                <w:rFonts w:ascii="仿宋_GB2312" w:hAnsi="仿宋_GB2312" w:cs="仿宋_GB2312" w:eastAsia="仿宋_GB2312"/>
                <w:sz w:val="21"/>
              </w:rPr>
              <w:t>可以参加多个包采购。供应商在多个包中排名第一成交候选人时，每个供应商最多只能成交二个包，并且由供应商选择。剩余采购包由采购人按候选供应商排序顺延成交供应商。</w:t>
            </w:r>
          </w:p>
          <w:p>
            <w:pPr>
              <w:pStyle w:val="null3"/>
              <w:jc w:val="both"/>
            </w:pPr>
            <w:r>
              <w:rPr>
                <w:rFonts w:ascii="仿宋_GB2312" w:hAnsi="仿宋_GB2312" w:cs="仿宋_GB2312" w:eastAsia="仿宋_GB2312"/>
                <w:sz w:val="21"/>
              </w:rPr>
              <w:t>（一）质量要求</w:t>
            </w:r>
          </w:p>
          <w:p>
            <w:pPr>
              <w:pStyle w:val="null3"/>
              <w:jc w:val="both"/>
            </w:pPr>
            <w:r>
              <w:rPr>
                <w:rFonts w:ascii="仿宋_GB2312" w:hAnsi="仿宋_GB2312" w:cs="仿宋_GB2312" w:eastAsia="仿宋_GB2312"/>
                <w:sz w:val="21"/>
              </w:rPr>
              <w:t>第一包：肉类、家禽、水产品</w:t>
            </w:r>
          </w:p>
          <w:tbl>
            <w:tblPr>
              <w:tblInd w:type="dxa" w:w="405"/>
              <w:tblBorders>
                <w:top w:val="none" w:color="000000" w:sz="4"/>
                <w:left w:val="none" w:color="000000" w:sz="4"/>
                <w:bottom w:val="none" w:color="000000" w:sz="4"/>
                <w:right w:val="none" w:color="000000" w:sz="4"/>
                <w:insideH w:val="none"/>
                <w:insideV w:val="none"/>
              </w:tblBorders>
            </w:tblPr>
            <w:tblGrid>
              <w:gridCol w:w="712"/>
              <w:gridCol w:w="4444"/>
              <w:gridCol w:w="429"/>
            </w:tblGrid>
            <w:tr>
              <w:tc>
                <w:tcPr>
                  <w:tcW w:type="dxa" w:w="71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采购内容</w:t>
                  </w:r>
                </w:p>
              </w:tc>
              <w:tc>
                <w:tcPr>
                  <w:tcW w:type="dxa" w:w="444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采购标准</w:t>
                  </w:r>
                </w:p>
              </w:tc>
              <w:tc>
                <w:tcPr>
                  <w:tcW w:type="dxa" w:w="42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备注</w:t>
                  </w:r>
                </w:p>
              </w:tc>
            </w:tr>
            <w:tr>
              <w:tc>
                <w:tcPr>
                  <w:tcW w:type="dxa" w:w="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猪肉类</w:t>
                  </w:r>
                </w:p>
              </w:tc>
              <w:tc>
                <w:tcPr>
                  <w:tcW w:type="dxa" w:w="44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①</w:t>
                  </w:r>
                  <w:r>
                    <w:rPr>
                      <w:rFonts w:ascii="仿宋_GB2312" w:hAnsi="仿宋_GB2312" w:cs="仿宋_GB2312" w:eastAsia="仿宋_GB2312"/>
                      <w:sz w:val="21"/>
                    </w:rPr>
                    <w:t>猪肉必须为当日屠宰的新鲜肉品，肌肉红色均匀，有光泽，脂肪洁白，外表微干或微湿润，不沾手，弹性良好，压后凹陷立即恢复，无血污</w:t>
                  </w:r>
                  <w:r>
                    <w:rPr>
                      <w:rFonts w:ascii="仿宋_GB2312" w:hAnsi="仿宋_GB2312" w:cs="仿宋_GB2312" w:eastAsia="仿宋_GB2312"/>
                      <w:sz w:val="21"/>
                    </w:rPr>
                    <w:t>,</w:t>
                  </w:r>
                  <w:r>
                    <w:rPr>
                      <w:rFonts w:ascii="仿宋_GB2312" w:hAnsi="仿宋_GB2312" w:cs="仿宋_GB2312" w:eastAsia="仿宋_GB2312"/>
                      <w:sz w:val="21"/>
                    </w:rPr>
                    <w:t>肉边整齐，无碎肉、碎骨、无泥污，无毒无害、新鲜、色泽鲜亮、无任何异味、无毛、按压无水迹；符合国家产品质量标准及有关规定，严禁提供注水、注胶、病猪、死猪或种猪猪肉（老母猪或公猪），品质要求应符合现行有效的食品安全国家标准。</w:t>
                  </w:r>
                </w:p>
                <w:p>
                  <w:pPr>
                    <w:pStyle w:val="null3"/>
                    <w:jc w:val="both"/>
                  </w:pPr>
                  <w:r>
                    <w:rPr>
                      <w:rFonts w:ascii="仿宋_GB2312" w:hAnsi="仿宋_GB2312" w:cs="仿宋_GB2312" w:eastAsia="仿宋_GB2312"/>
                      <w:sz w:val="21"/>
                    </w:rPr>
                    <w:t>②</w:t>
                  </w:r>
                  <w:r>
                    <w:rPr>
                      <w:rFonts w:ascii="仿宋_GB2312" w:hAnsi="仿宋_GB2312" w:cs="仿宋_GB2312" w:eastAsia="仿宋_GB2312"/>
                      <w:sz w:val="21"/>
                    </w:rPr>
                    <w:t>猪肉：排骨（精排去头尾与背骨，整排去里脊，排骨中排长度不得低于</w:t>
                  </w:r>
                  <w:r>
                    <w:rPr>
                      <w:rFonts w:ascii="仿宋_GB2312" w:hAnsi="仿宋_GB2312" w:cs="仿宋_GB2312" w:eastAsia="仿宋_GB2312"/>
                      <w:sz w:val="21"/>
                    </w:rPr>
                    <w:t>35cm</w:t>
                  </w:r>
                  <w:r>
                    <w:rPr>
                      <w:rFonts w:ascii="仿宋_GB2312" w:hAnsi="仿宋_GB2312" w:cs="仿宋_GB2312" w:eastAsia="仿宋_GB2312"/>
                      <w:sz w:val="21"/>
                    </w:rPr>
                    <w:t>）、猪头</w:t>
                  </w:r>
                  <w:r>
                    <w:rPr>
                      <w:rFonts w:ascii="仿宋_GB2312" w:hAnsi="仿宋_GB2312" w:cs="仿宋_GB2312" w:eastAsia="仿宋_GB2312"/>
                      <w:sz w:val="21"/>
                    </w:rPr>
                    <w:t>(</w:t>
                  </w:r>
                  <w:r>
                    <w:rPr>
                      <w:rFonts w:ascii="仿宋_GB2312" w:hAnsi="仿宋_GB2312" w:cs="仿宋_GB2312" w:eastAsia="仿宋_GB2312"/>
                      <w:sz w:val="21"/>
                    </w:rPr>
                    <w:t>去毛、去骨后半个不得低于</w:t>
                  </w:r>
                  <w:r>
                    <w:rPr>
                      <w:rFonts w:ascii="仿宋_GB2312" w:hAnsi="仿宋_GB2312" w:cs="仿宋_GB2312" w:eastAsia="仿宋_GB2312"/>
                      <w:sz w:val="21"/>
                    </w:rPr>
                    <w:t>2</w:t>
                  </w:r>
                  <w:r>
                    <w:rPr>
                      <w:rFonts w:ascii="仿宋_GB2312" w:hAnsi="仿宋_GB2312" w:cs="仿宋_GB2312" w:eastAsia="仿宋_GB2312"/>
                      <w:sz w:val="21"/>
                    </w:rPr>
                    <w:t>斤</w:t>
                  </w:r>
                  <w:r>
                    <w:rPr>
                      <w:rFonts w:ascii="仿宋_GB2312" w:hAnsi="仿宋_GB2312" w:cs="仿宋_GB2312" w:eastAsia="仿宋_GB2312"/>
                      <w:sz w:val="21"/>
                    </w:rPr>
                    <w:t>(1000</w:t>
                  </w:r>
                  <w:r>
                    <w:rPr>
                      <w:rFonts w:ascii="仿宋_GB2312" w:hAnsi="仿宋_GB2312" w:cs="仿宋_GB2312" w:eastAsia="仿宋_GB2312"/>
                      <w:sz w:val="21"/>
                    </w:rPr>
                    <w:t>克</w:t>
                  </w:r>
                  <w:r>
                    <w:rPr>
                      <w:rFonts w:ascii="仿宋_GB2312" w:hAnsi="仿宋_GB2312" w:cs="仿宋_GB2312" w:eastAsia="仿宋_GB2312"/>
                      <w:sz w:val="21"/>
                    </w:rPr>
                    <w:t>)</w:t>
                  </w:r>
                  <w:r>
                    <w:rPr>
                      <w:rFonts w:ascii="仿宋_GB2312" w:hAnsi="仿宋_GB2312" w:cs="仿宋_GB2312" w:eastAsia="仿宋_GB2312"/>
                      <w:sz w:val="21"/>
                    </w:rPr>
                    <w:t>、不得送冻货、冷鲜货</w:t>
                  </w:r>
                  <w:r>
                    <w:rPr>
                      <w:rFonts w:ascii="仿宋_GB2312" w:hAnsi="仿宋_GB2312" w:cs="仿宋_GB2312" w:eastAsia="仿宋_GB2312"/>
                      <w:sz w:val="21"/>
                    </w:rPr>
                    <w:t>)</w:t>
                  </w:r>
                  <w:r>
                    <w:rPr>
                      <w:rFonts w:ascii="仿宋_GB2312" w:hAnsi="仿宋_GB2312" w:cs="仿宋_GB2312" w:eastAsia="仿宋_GB2312"/>
                      <w:sz w:val="21"/>
                    </w:rPr>
                    <w:t>、猪蹄</w:t>
                  </w:r>
                  <w:r>
                    <w:rPr>
                      <w:rFonts w:ascii="仿宋_GB2312" w:hAnsi="仿宋_GB2312" w:cs="仿宋_GB2312" w:eastAsia="仿宋_GB2312"/>
                      <w:sz w:val="21"/>
                    </w:rPr>
                    <w:t>(</w:t>
                  </w:r>
                  <w:r>
                    <w:rPr>
                      <w:rFonts w:ascii="仿宋_GB2312" w:hAnsi="仿宋_GB2312" w:cs="仿宋_GB2312" w:eastAsia="仿宋_GB2312"/>
                      <w:sz w:val="21"/>
                    </w:rPr>
                    <w:t>去毛后不得低于</w:t>
                  </w:r>
                  <w:r>
                    <w:rPr>
                      <w:rFonts w:ascii="仿宋_GB2312" w:hAnsi="仿宋_GB2312" w:cs="仿宋_GB2312" w:eastAsia="仿宋_GB2312"/>
                      <w:sz w:val="21"/>
                    </w:rPr>
                    <w:t>3</w:t>
                  </w:r>
                  <w:r>
                    <w:rPr>
                      <w:rFonts w:ascii="仿宋_GB2312" w:hAnsi="仿宋_GB2312" w:cs="仿宋_GB2312" w:eastAsia="仿宋_GB2312"/>
                      <w:sz w:val="21"/>
                    </w:rPr>
                    <w:t>斤单根</w:t>
                  </w:r>
                  <w:r>
                    <w:rPr>
                      <w:rFonts w:ascii="仿宋_GB2312" w:hAnsi="仿宋_GB2312" w:cs="仿宋_GB2312" w:eastAsia="仿宋_GB2312"/>
                      <w:sz w:val="21"/>
                    </w:rPr>
                    <w:t>)</w:t>
                  </w:r>
                  <w:r>
                    <w:rPr>
                      <w:rFonts w:ascii="仿宋_GB2312" w:hAnsi="仿宋_GB2312" w:cs="仿宋_GB2312" w:eastAsia="仿宋_GB2312"/>
                      <w:sz w:val="21"/>
                    </w:rPr>
                    <w:t>、五花</w:t>
                  </w:r>
                  <w:r>
                    <w:rPr>
                      <w:rFonts w:ascii="仿宋_GB2312" w:hAnsi="仿宋_GB2312" w:cs="仿宋_GB2312" w:eastAsia="仿宋_GB2312"/>
                      <w:sz w:val="21"/>
                    </w:rPr>
                    <w:t>(</w:t>
                  </w:r>
                  <w:r>
                    <w:rPr>
                      <w:rFonts w:ascii="仿宋_GB2312" w:hAnsi="仿宋_GB2312" w:cs="仿宋_GB2312" w:eastAsia="仿宋_GB2312"/>
                      <w:sz w:val="21"/>
                    </w:rPr>
                    <w:t>必须保证三线以上肉质，厚度不得低于</w:t>
                  </w:r>
                  <w:r>
                    <w:rPr>
                      <w:rFonts w:ascii="仿宋_GB2312" w:hAnsi="仿宋_GB2312" w:cs="仿宋_GB2312" w:eastAsia="仿宋_GB2312"/>
                      <w:sz w:val="21"/>
                    </w:rPr>
                    <w:t>4cm)</w:t>
                  </w:r>
                  <w:r>
                    <w:rPr>
                      <w:rFonts w:ascii="仿宋_GB2312" w:hAnsi="仿宋_GB2312" w:cs="仿宋_GB2312" w:eastAsia="仿宋_GB2312"/>
                      <w:sz w:val="21"/>
                    </w:rPr>
                    <w:t>、瘦肉</w:t>
                  </w:r>
                  <w:r>
                    <w:rPr>
                      <w:rFonts w:ascii="仿宋_GB2312" w:hAnsi="仿宋_GB2312" w:cs="仿宋_GB2312" w:eastAsia="仿宋_GB2312"/>
                      <w:sz w:val="21"/>
                    </w:rPr>
                    <w:t>(</w:t>
                  </w:r>
                  <w:r>
                    <w:rPr>
                      <w:rFonts w:ascii="仿宋_GB2312" w:hAnsi="仿宋_GB2312" w:cs="仿宋_GB2312" w:eastAsia="仿宋_GB2312"/>
                      <w:sz w:val="21"/>
                    </w:rPr>
                    <w:t>按市场调查对比图验收</w:t>
                  </w:r>
                  <w:r>
                    <w:rPr>
                      <w:rFonts w:ascii="仿宋_GB2312" w:hAnsi="仿宋_GB2312" w:cs="仿宋_GB2312" w:eastAsia="仿宋_GB2312"/>
                      <w:sz w:val="21"/>
                    </w:rPr>
                    <w:t>)</w:t>
                  </w:r>
                  <w:r>
                    <w:rPr>
                      <w:rFonts w:ascii="仿宋_GB2312" w:hAnsi="仿宋_GB2312" w:cs="仿宋_GB2312" w:eastAsia="仿宋_GB2312"/>
                      <w:sz w:val="21"/>
                    </w:rPr>
                    <w:t>、猪内脏</w:t>
                  </w:r>
                  <w:r>
                    <w:rPr>
                      <w:rFonts w:ascii="仿宋_GB2312" w:hAnsi="仿宋_GB2312" w:cs="仿宋_GB2312" w:eastAsia="仿宋_GB2312"/>
                      <w:sz w:val="21"/>
                    </w:rPr>
                    <w:t>(</w:t>
                  </w:r>
                  <w:r>
                    <w:rPr>
                      <w:rFonts w:ascii="仿宋_GB2312" w:hAnsi="仿宋_GB2312" w:cs="仿宋_GB2312" w:eastAsia="仿宋_GB2312"/>
                      <w:sz w:val="21"/>
                    </w:rPr>
                    <w:t>猪肝、猪心、猪舌、猪肠、猪腰确保无油、无水、无脏东西</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③</w:t>
                  </w:r>
                  <w:r>
                    <w:rPr>
                      <w:rFonts w:ascii="仿宋_GB2312" w:hAnsi="仿宋_GB2312" w:cs="仿宋_GB2312" w:eastAsia="仿宋_GB2312"/>
                      <w:sz w:val="21"/>
                    </w:rPr>
                    <w:t>所配送猪肉有</w:t>
                  </w:r>
                  <w:r>
                    <w:rPr>
                      <w:rFonts w:ascii="仿宋_GB2312" w:hAnsi="仿宋_GB2312" w:cs="仿宋_GB2312" w:eastAsia="仿宋_GB2312"/>
                      <w:sz w:val="21"/>
                    </w:rPr>
                    <w:t>“</w:t>
                  </w:r>
                  <w:r>
                    <w:rPr>
                      <w:rFonts w:ascii="仿宋_GB2312" w:hAnsi="仿宋_GB2312" w:cs="仿宋_GB2312" w:eastAsia="仿宋_GB2312"/>
                      <w:sz w:val="21"/>
                    </w:rPr>
                    <w:t xml:space="preserve">两证两章 </w:t>
                  </w:r>
                  <w:r>
                    <w:rPr>
                      <w:rFonts w:ascii="仿宋_GB2312" w:hAnsi="仿宋_GB2312" w:cs="仿宋_GB2312" w:eastAsia="仿宋_GB2312"/>
                      <w:sz w:val="21"/>
                    </w:rPr>
                    <w:t>”</w:t>
                  </w:r>
                  <w:r>
                    <w:rPr>
                      <w:rFonts w:ascii="仿宋_GB2312" w:hAnsi="仿宋_GB2312" w:cs="仿宋_GB2312" w:eastAsia="仿宋_GB2312"/>
                      <w:sz w:val="21"/>
                    </w:rPr>
                    <w:t>（出场的动物产品必须经屠宰企业肉品品质和动物卫生监督机构检疫合格，对胴体加盖肉品品质检验合格验讫印章和检疫验讫印章，并附有《肉品品质检验合格证》和《动物检疫合格证明》）。</w:t>
                  </w:r>
                </w:p>
                <w:p>
                  <w:pPr>
                    <w:pStyle w:val="null3"/>
                    <w:jc w:val="both"/>
                  </w:pPr>
                  <w:r>
                    <w:rPr>
                      <w:rFonts w:ascii="仿宋_GB2312" w:hAnsi="仿宋_GB2312" w:cs="仿宋_GB2312" w:eastAsia="仿宋_GB2312"/>
                      <w:sz w:val="21"/>
                    </w:rPr>
                    <w:t>④</w:t>
                  </w:r>
                  <w:r>
                    <w:rPr>
                      <w:rFonts w:ascii="仿宋_GB2312" w:hAnsi="仿宋_GB2312" w:cs="仿宋_GB2312" w:eastAsia="仿宋_GB2312"/>
                      <w:sz w:val="21"/>
                    </w:rPr>
                    <w:t>规格要求：产品出厂应按采购人实际需求进行分割包装或不包装，供应商可根据采购人实际需求对产品进行二次分装，但应标明相关供应商信息及产品信息。</w:t>
                  </w:r>
                </w:p>
              </w:tc>
              <w:tc>
                <w:tcPr>
                  <w:tcW w:type="dxa" w:w="42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牛肉类</w:t>
                  </w:r>
                </w:p>
              </w:tc>
              <w:tc>
                <w:tcPr>
                  <w:tcW w:type="dxa" w:w="44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肌肉红色均匀，有光泽，脂肪淡黄色（牛）；外表微干或有刚干膜，无泥泞、血污、病变、异味、渗水；肉边整齐，无碎肉、碎骨；按标准部分分割，无多余脂肪及血管；具有新鲜肉类正常气味；肉体上盖有专业检验机构</w:t>
                  </w:r>
                  <w:r>
                    <w:rPr>
                      <w:rFonts w:ascii="仿宋_GB2312" w:hAnsi="仿宋_GB2312" w:cs="仿宋_GB2312" w:eastAsia="仿宋_GB2312"/>
                      <w:sz w:val="21"/>
                    </w:rPr>
                    <w:t>“</w:t>
                  </w:r>
                  <w:r>
                    <w:rPr>
                      <w:rFonts w:ascii="仿宋_GB2312" w:hAnsi="仿宋_GB2312" w:cs="仿宋_GB2312" w:eastAsia="仿宋_GB2312"/>
                      <w:sz w:val="21"/>
                    </w:rPr>
                    <w:t xml:space="preserve">检验合格 </w:t>
                  </w:r>
                  <w:r>
                    <w:rPr>
                      <w:rFonts w:ascii="仿宋_GB2312" w:hAnsi="仿宋_GB2312" w:cs="仿宋_GB2312" w:eastAsia="仿宋_GB2312"/>
                      <w:sz w:val="21"/>
                    </w:rPr>
                    <w:t>”</w:t>
                  </w:r>
                  <w:r>
                    <w:rPr>
                      <w:rFonts w:ascii="仿宋_GB2312" w:hAnsi="仿宋_GB2312" w:cs="仿宋_GB2312" w:eastAsia="仿宋_GB2312"/>
                      <w:sz w:val="21"/>
                    </w:rPr>
                    <w:t>印章，不接受冻制品。配送时需要出具</w:t>
                  </w:r>
                  <w:r>
                    <w:rPr>
                      <w:rFonts w:ascii="仿宋_GB2312" w:hAnsi="仿宋_GB2312" w:cs="仿宋_GB2312" w:eastAsia="仿宋_GB2312"/>
                      <w:sz w:val="21"/>
                    </w:rPr>
                    <w:t xml:space="preserve">“ </w:t>
                  </w:r>
                  <w:r>
                    <w:rPr>
                      <w:rFonts w:ascii="仿宋_GB2312" w:hAnsi="仿宋_GB2312" w:cs="仿宋_GB2312" w:eastAsia="仿宋_GB2312"/>
                      <w:sz w:val="21"/>
                    </w:rPr>
                    <w:t>肉品品质合格证</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禽类动物检验合格证</w:t>
                  </w:r>
                  <w:r>
                    <w:rPr>
                      <w:rFonts w:ascii="仿宋_GB2312" w:hAnsi="仿宋_GB2312" w:cs="仿宋_GB2312" w:eastAsia="仿宋_GB2312"/>
                      <w:sz w:val="21"/>
                    </w:rPr>
                    <w:t>”</w:t>
                  </w:r>
                  <w:r>
                    <w:rPr>
                      <w:rFonts w:ascii="仿宋_GB2312" w:hAnsi="仿宋_GB2312" w:cs="仿宋_GB2312" w:eastAsia="仿宋_GB2312"/>
                      <w:sz w:val="21"/>
                    </w:rPr>
                    <w:t>和运输车辆的</w:t>
                  </w:r>
                  <w:r>
                    <w:rPr>
                      <w:rFonts w:ascii="仿宋_GB2312" w:hAnsi="仿宋_GB2312" w:cs="仿宋_GB2312" w:eastAsia="仿宋_GB2312"/>
                      <w:sz w:val="21"/>
                    </w:rPr>
                    <w:t>“</w:t>
                  </w:r>
                  <w:r>
                    <w:rPr>
                      <w:rFonts w:ascii="仿宋_GB2312" w:hAnsi="仿宋_GB2312" w:cs="仿宋_GB2312" w:eastAsia="仿宋_GB2312"/>
                      <w:sz w:val="21"/>
                    </w:rPr>
                    <w:t>消毒证</w:t>
                  </w:r>
                  <w:r>
                    <w:rPr>
                      <w:rFonts w:ascii="仿宋_GB2312" w:hAnsi="仿宋_GB2312" w:cs="仿宋_GB2312" w:eastAsia="仿宋_GB2312"/>
                      <w:sz w:val="21"/>
                    </w:rPr>
                    <w:t>”</w:t>
                  </w:r>
                  <w:r>
                    <w:rPr>
                      <w:rFonts w:ascii="仿宋_GB2312" w:hAnsi="仿宋_GB2312" w:cs="仿宋_GB2312" w:eastAsia="仿宋_GB2312"/>
                      <w:sz w:val="21"/>
                    </w:rPr>
                    <w:t>。</w:t>
                  </w:r>
                </w:p>
              </w:tc>
              <w:tc>
                <w:tcPr>
                  <w:tcW w:type="dxa" w:w="42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禽类及其他肉类</w:t>
                  </w:r>
                </w:p>
              </w:tc>
              <w:tc>
                <w:tcPr>
                  <w:tcW w:type="dxa" w:w="44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 xml:space="preserve">① </w:t>
                  </w:r>
                  <w:r>
                    <w:rPr>
                      <w:rFonts w:ascii="仿宋_GB2312" w:hAnsi="仿宋_GB2312" w:cs="仿宋_GB2312" w:eastAsia="仿宋_GB2312"/>
                      <w:sz w:val="21"/>
                    </w:rPr>
                    <w:t>禽类 ：鸡（母鸡、土鸡、跑山鸡、三黄鸡）、鹅（老鹅、仔鹅）、鸭（老鸭、仔鸭）必须把毛和内脏去干净，保证新鲜，按照市场调查对比图送货。</w:t>
                  </w:r>
                </w:p>
                <w:p>
                  <w:pPr>
                    <w:pStyle w:val="null3"/>
                    <w:jc w:val="both"/>
                  </w:pPr>
                  <w:r>
                    <w:rPr>
                      <w:rFonts w:ascii="仿宋_GB2312" w:hAnsi="仿宋_GB2312" w:cs="仿宋_GB2312" w:eastAsia="仿宋_GB2312"/>
                      <w:sz w:val="21"/>
                    </w:rPr>
                    <w:t>鸡肉：眼球饱满或平坦，皮肤有光泽，因品种不同而呈黄、浅黄、淡红、灰白等色，肌肉切面有光泽，外表微湿润，不粘手。具有鸡的正常气味。针对采购人不同的烹饪具体要求提供不同类型（凉拌、红烧、干煸等）鸡肉品种。</w:t>
                  </w:r>
                </w:p>
                <w:p>
                  <w:pPr>
                    <w:pStyle w:val="null3"/>
                    <w:jc w:val="both"/>
                  </w:pPr>
                  <w:r>
                    <w:rPr>
                      <w:rFonts w:ascii="仿宋_GB2312" w:hAnsi="仿宋_GB2312" w:cs="仿宋_GB2312" w:eastAsia="仿宋_GB2312"/>
                      <w:sz w:val="21"/>
                    </w:rPr>
                    <w:t>鸭肉、鹅肉：眼球饱满或平坦，表皮光滑，新鲜肥嫩，外表微湿润，不粘手，具有鸭、鹅的正常气味。</w:t>
                  </w:r>
                </w:p>
                <w:p>
                  <w:pPr>
                    <w:pStyle w:val="null3"/>
                    <w:jc w:val="both"/>
                  </w:pPr>
                  <w:r>
                    <w:rPr>
                      <w:rFonts w:ascii="仿宋_GB2312" w:hAnsi="仿宋_GB2312" w:cs="仿宋_GB2312" w:eastAsia="仿宋_GB2312"/>
                      <w:sz w:val="21"/>
                    </w:rPr>
                    <w:t>②</w:t>
                  </w:r>
                  <w:r>
                    <w:rPr>
                      <w:rFonts w:ascii="仿宋_GB2312" w:hAnsi="仿宋_GB2312" w:cs="仿宋_GB2312" w:eastAsia="仿宋_GB2312"/>
                      <w:sz w:val="21"/>
                    </w:rPr>
                    <w:t>禽蛋类：颜色正常，外形协调；干净无残留土、泥、草等污物；新鲜，清黄分开，不浑浊，无受精蛋，外壳完整，无破损，如有包装，应整洁够分量。</w:t>
                  </w:r>
                </w:p>
                <w:p>
                  <w:pPr>
                    <w:pStyle w:val="null3"/>
                    <w:jc w:val="both"/>
                  </w:pPr>
                  <w:r>
                    <w:rPr>
                      <w:rFonts w:ascii="仿宋_GB2312" w:hAnsi="仿宋_GB2312" w:cs="仿宋_GB2312" w:eastAsia="仿宋_GB2312"/>
                      <w:sz w:val="21"/>
                    </w:rPr>
                    <w:t>③</w:t>
                  </w:r>
                  <w:r>
                    <w:rPr>
                      <w:rFonts w:ascii="仿宋_GB2312" w:hAnsi="仿宋_GB2312" w:cs="仿宋_GB2312" w:eastAsia="仿宋_GB2312"/>
                      <w:sz w:val="21"/>
                    </w:rPr>
                    <w:t>兔肉及其他肉类：肉类切面有光泽，肉质紧密，有坚实感； 肉的外表及切面微湿润，不粘手，气味正常。</w:t>
                  </w:r>
                </w:p>
              </w:tc>
              <w:tc>
                <w:tcPr>
                  <w:tcW w:type="dxa" w:w="42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水产类</w:t>
                  </w:r>
                </w:p>
              </w:tc>
              <w:tc>
                <w:tcPr>
                  <w:tcW w:type="dxa" w:w="44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包含但不限于鲤鱼、鲫鱼、鲢鱼等水产品（当日定点宰杀新鲜产品）</w:t>
                  </w:r>
                </w:p>
                <w:p>
                  <w:pPr>
                    <w:pStyle w:val="null3"/>
                    <w:jc w:val="both"/>
                  </w:pPr>
                  <w:r>
                    <w:rPr>
                      <w:rFonts w:ascii="仿宋_GB2312" w:hAnsi="仿宋_GB2312" w:cs="仿宋_GB2312" w:eastAsia="仿宋_GB2312"/>
                      <w:sz w:val="21"/>
                    </w:rPr>
                    <w:t>①</w:t>
                  </w:r>
                  <w:r>
                    <w:rPr>
                      <w:rFonts w:ascii="仿宋_GB2312" w:hAnsi="仿宋_GB2312" w:cs="仿宋_GB2312" w:eastAsia="仿宋_GB2312"/>
                      <w:sz w:val="21"/>
                    </w:rPr>
                    <w:t>鱼体健康，体态匀称，体色鲜明，体表光滑，鳞片鳍条完好，鱼体饱满结实、肉精密有弹性、无离骨脱刺现象、肛门凹陷、腹无胀气、肛门无异物流出。针对采购人不同的烹饪具体要求提供不同大小及种类的品种活鱼，针对采购人不同的烹饪具体要求提供不同大小及种类的品种活鱼，采购人验收完成后做好宰杀、除鳞、去鳃、去内脏、切片等基本工作。</w:t>
                  </w:r>
                </w:p>
              </w:tc>
              <w:tc>
                <w:tcPr>
                  <w:tcW w:type="dxa" w:w="42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bl>
          <w:p>
            <w:pPr>
              <w:pStyle w:val="null3"/>
              <w:jc w:val="both"/>
            </w:pPr>
            <w:r>
              <w:rPr>
                <w:rFonts w:ascii="仿宋_GB2312" w:hAnsi="仿宋_GB2312" w:cs="仿宋_GB2312" w:eastAsia="仿宋_GB2312"/>
                <w:sz w:val="21"/>
              </w:rPr>
              <w:t>注：以上肉类、家禽、水产品须符合国家相关食品安全质量标准；各种肉类、家禽、水产品均须出具</w:t>
            </w:r>
            <w:r>
              <w:rPr>
                <w:rFonts w:ascii="仿宋_GB2312" w:hAnsi="仿宋_GB2312" w:cs="仿宋_GB2312" w:eastAsia="仿宋_GB2312"/>
                <w:sz w:val="21"/>
              </w:rPr>
              <w:t>“</w:t>
            </w:r>
            <w:r>
              <w:rPr>
                <w:rFonts w:ascii="仿宋_GB2312" w:hAnsi="仿宋_GB2312" w:cs="仿宋_GB2312" w:eastAsia="仿宋_GB2312"/>
                <w:sz w:val="21"/>
              </w:rPr>
              <w:t>肉品品质合格证</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禽类动物检验合格证</w:t>
            </w:r>
            <w:r>
              <w:rPr>
                <w:rFonts w:ascii="仿宋_GB2312" w:hAnsi="仿宋_GB2312" w:cs="仿宋_GB2312" w:eastAsia="仿宋_GB2312"/>
                <w:sz w:val="21"/>
              </w:rPr>
              <w:t>”</w:t>
            </w:r>
            <w:r>
              <w:rPr>
                <w:rFonts w:ascii="仿宋_GB2312" w:hAnsi="仿宋_GB2312" w:cs="仿宋_GB2312" w:eastAsia="仿宋_GB2312"/>
                <w:sz w:val="21"/>
              </w:rPr>
              <w:t>、运输车辆的</w:t>
            </w:r>
            <w:r>
              <w:rPr>
                <w:rFonts w:ascii="仿宋_GB2312" w:hAnsi="仿宋_GB2312" w:cs="仿宋_GB2312" w:eastAsia="仿宋_GB2312"/>
                <w:sz w:val="21"/>
              </w:rPr>
              <w:t>“</w:t>
            </w:r>
            <w:r>
              <w:rPr>
                <w:rFonts w:ascii="仿宋_GB2312" w:hAnsi="仿宋_GB2312" w:cs="仿宋_GB2312" w:eastAsia="仿宋_GB2312"/>
                <w:sz w:val="21"/>
              </w:rPr>
              <w:t>消毒证</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（二）包装、标识要求</w:t>
            </w:r>
          </w:p>
          <w:p>
            <w:pPr>
              <w:pStyle w:val="null3"/>
              <w:jc w:val="both"/>
            </w:pPr>
            <w:r>
              <w:rPr>
                <w:rFonts w:ascii="仿宋_GB2312" w:hAnsi="仿宋_GB2312" w:cs="仿宋_GB2312" w:eastAsia="仿宋_GB2312"/>
                <w:sz w:val="21"/>
              </w:rPr>
              <w:t>经确认的品牌和包装，内外包装应完整卫生，无受潮，无破漏，真空包装无漏气</w:t>
            </w:r>
            <w:r>
              <w:rPr>
                <w:rFonts w:ascii="仿宋_GB2312" w:hAnsi="仿宋_GB2312" w:cs="仿宋_GB2312" w:eastAsia="仿宋_GB2312"/>
                <w:sz w:val="21"/>
              </w:rPr>
              <w:t>/</w:t>
            </w:r>
            <w:r>
              <w:rPr>
                <w:rFonts w:ascii="仿宋_GB2312" w:hAnsi="仿宋_GB2312" w:cs="仿宋_GB2312" w:eastAsia="仿宋_GB2312"/>
                <w:sz w:val="21"/>
              </w:rPr>
              <w:t>膨胀情况，内包装物应无破损，货品形状完好无损。包装材料应符合相应的国家标准。容器（框、箱、袋）要 求清洁、干燥、牢固、透气无污染、无异味、无霉变现象。包装容器不得使用玻璃、金属等可能存在安全隐患的材质。预包装商品需标示产品名称、配料表、净含量、生产商名称和地址、生产许可证编号（许可商品），执行标准，生产日期、储存条件、保质期，有质量等级也需标示。</w:t>
            </w:r>
          </w:p>
          <w:p>
            <w:pPr>
              <w:pStyle w:val="null3"/>
              <w:jc w:val="both"/>
            </w:pPr>
            <w:r>
              <w:rPr>
                <w:rFonts w:ascii="仿宋_GB2312" w:hAnsi="仿宋_GB2312" w:cs="仿宋_GB2312" w:eastAsia="仿宋_GB2312"/>
                <w:sz w:val="21"/>
              </w:rPr>
              <w:t>（三）运输要求</w:t>
            </w:r>
          </w:p>
          <w:p>
            <w:pPr>
              <w:pStyle w:val="null3"/>
              <w:jc w:val="both"/>
            </w:pPr>
            <w:r>
              <w:rPr>
                <w:rFonts w:ascii="仿宋_GB2312" w:hAnsi="仿宋_GB2312" w:cs="仿宋_GB2312" w:eastAsia="仿宋_GB2312"/>
                <w:sz w:val="21"/>
              </w:rPr>
              <w:t>整个运输过程应科学合理，运输必须采用符合卫生要求的外包装和运载工具，并且要保持清洁和定期消毒，车厢内无不良气味、异味。运输工具应清洁卫生无污染；运输途中严防日晒、雨淋，注意通风散热；供应商品应小心轻卸，严防机械损伤。</w:t>
            </w:r>
          </w:p>
          <w:p>
            <w:pPr>
              <w:pStyle w:val="null3"/>
              <w:jc w:val="both"/>
            </w:pPr>
            <w:r>
              <w:rPr>
                <w:rFonts w:ascii="仿宋_GB2312" w:hAnsi="仿宋_GB2312" w:cs="仿宋_GB2312" w:eastAsia="仿宋_GB2312"/>
                <w:sz w:val="21"/>
              </w:rPr>
              <w:t>（四）货物溯源要求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、肉类供应链必须明确，所有食品的来源必须清晰，来源应当是生产厂家或受地方政府部门监管的流通市场。</w:t>
            </w:r>
            <w:r>
              <w:rPr>
                <w:rFonts w:ascii="仿宋_GB2312" w:hAnsi="仿宋_GB2312" w:cs="仿宋_GB2312" w:eastAsia="仿宋_GB2312"/>
                <w:sz w:val="21"/>
              </w:rPr>
              <w:t>2</w:t>
            </w:r>
            <w:r>
              <w:rPr>
                <w:rFonts w:ascii="仿宋_GB2312" w:hAnsi="仿宋_GB2312" w:cs="仿宋_GB2312" w:eastAsia="仿宋_GB2312"/>
                <w:sz w:val="21"/>
              </w:rPr>
              <w:t>、保质期：猪肉、牛肉、羊肉类和禽肉、兔肉及水产品类必须是鲜货，不得使用冷冻肉类。每月提供</w:t>
            </w:r>
            <w:r>
              <w:rPr>
                <w:rFonts w:ascii="仿宋_GB2312" w:hAnsi="仿宋_GB2312" w:cs="仿宋_GB2312" w:eastAsia="仿宋_GB2312"/>
                <w:sz w:val="21"/>
              </w:rPr>
              <w:t>1</w:t>
            </w:r>
            <w:r>
              <w:rPr>
                <w:rFonts w:ascii="仿宋_GB2312" w:hAnsi="仿宋_GB2312" w:cs="仿宋_GB2312" w:eastAsia="仿宋_GB2312"/>
                <w:sz w:val="21"/>
              </w:rPr>
              <w:t>次书面溯源材料。</w:t>
            </w:r>
          </w:p>
          <w:p>
            <w:pPr>
              <w:pStyle w:val="null3"/>
              <w:jc w:val="both"/>
            </w:pP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二、服务要求</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、供应商必须自行提供配送服务，不得将配送项目进行任何方式的分包、转包。供应商配送人员需提供有效期内的健康证以及应对新冠肺炎等类似疫情的相关防疫措施。</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、由成交供应商按照采购人的采购计划要求，及时进行配送，并送货至采购人食堂指定的仓库，配送物资价格应包含乙方所有税费、成本、利润、包装、运输、装卸、各类劳保、保险等一切费用。</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首次供应时，应提供成交供应商的《营业执照》、《食品经营许可证》或《食品流通许可证》、配送人员有效期内的健康证等复印件交采购人存档。每次供应时应向采购人提供货物清单（送货单），提供后需由采购人确定。</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送货时间：按合同约定的配送时间（包含早中晚餐，以食堂加工需要为准），将采购人当日所需配送的品种足量送到食堂，不得无故更改和延误。如遇采购人有紧急采购需求而供应商不能按时、按质、按量供货的，采购人有权自行采购，产生的费用由供应商据实承担。</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、供应商保证配送的商品质量、数量、送货时间等均符合采购人要求。如遇不可抗拒因素造成送货延误的，经采购人同意后，供应商应按采购人另行制定的地点和时间及时送达。</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采购人将建立本次项目的价格监测、供应商管理机制；对供应商的价格进行实时监控，对所供产品的质量进行检验检疫（或检测）。供应商应按采购人的要求，提供产品的价格、检疫（或检测）报告、相关许可证等。根据市场情况及指导价格，及时调整产品的供货价，积极配合相关部门的监督检查。</w:t>
            </w:r>
          </w:p>
          <w:p>
            <w:pPr>
              <w:pStyle w:val="null3"/>
              <w:jc w:val="both"/>
            </w:pPr>
            <w:r>
              <w:rPr>
                <w:rFonts w:ascii="仿宋_GB2312" w:hAnsi="仿宋_GB2312" w:cs="仿宋_GB2312" w:eastAsia="仿宋_GB2312"/>
                <w:sz w:val="21"/>
              </w:rPr>
              <w:t xml:space="preserve">   7</w:t>
            </w:r>
            <w:r>
              <w:rPr>
                <w:rFonts w:ascii="仿宋_GB2312" w:hAnsi="仿宋_GB2312" w:cs="仿宋_GB2312" w:eastAsia="仿宋_GB2312"/>
                <w:sz w:val="21"/>
              </w:rPr>
              <w:t>、供应商应自行承担所供产品的全部安全责任。一旦供应商发生违约情况造成经济损失的，采购人有权从当月货款中扣除。若发生食品安全责任事故或供应商故意不按采购人要求供货达二次，供应商除应承担相关民事和刑事责任外，采购人有权终止合同另行采购。</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三、商务要求</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、供应商必须自行提供配送服务，不得将配送项目进行任何方式的分包、转包。供应商配送人员需提供有效期内的健康证以及应对新冠肺炎等类似疫情的相关防疫措施。</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、由成交供应商按照采购人的采购计划要求，及时进行配送，并送货至采购人食堂指定的仓库，配送物资价格应包含乙方所有税费、成本、利润、包装、运输、装卸、各类劳保、保险等一切费用。</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首次供应时，应提供成交供应商的《营业执照》、《食品经营许可证》或《食品流通许可证》、配送人员有效期内的健康证等复印件交采购人存档。每次供应时应向采购人提供货物清单（送货单），提供后需由采购人确定。</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送货时间：按合同约定的配送时间（包含早中晚餐，以食堂加工需要为准），将采购人当日所需配送的品种足量送到食堂，不得无故更改和延误。如遇采购人有紧急采购需求而供应商不能按时、按质、按量供货的，采购人有权自行采购，产生的费用由供应商据实承担。</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、供应商保证配送的商品质量、数量、送货时间等均符合采购人要求。如遇不可抗拒因素造成送货延误的，经采购人同意后，供应商应按采购人另行制定的地点和时间及时送达。</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采购人将建立本次项目的价格监测、供应商管理机制；对供应商的价格进行实时监控，对所供产品的质量进行检验检疫（或检测）。供应商应按采购人的要求，提供产品的价格、检疫（或检测）报告、相关许可证等。根据市场情况及指导价格，及时调整产品的供货价，积极配合相关部门的监督检查。</w:t>
            </w:r>
          </w:p>
          <w:p>
            <w:pPr>
              <w:pStyle w:val="null3"/>
              <w:jc w:val="both"/>
            </w:pPr>
            <w:r>
              <w:rPr>
                <w:rFonts w:ascii="仿宋_GB2312" w:hAnsi="仿宋_GB2312" w:cs="仿宋_GB2312" w:eastAsia="仿宋_GB2312"/>
                <w:sz w:val="21"/>
              </w:rPr>
              <w:t xml:space="preserve">   7</w:t>
            </w:r>
            <w:r>
              <w:rPr>
                <w:rFonts w:ascii="仿宋_GB2312" w:hAnsi="仿宋_GB2312" w:cs="仿宋_GB2312" w:eastAsia="仿宋_GB2312"/>
                <w:sz w:val="21"/>
              </w:rPr>
              <w:t>、供应商应自行承担所供产品的全部安全责任。一旦供应商发生违约情况造成经济损失的，采购人有权从当月货款中扣除。若发生食品安全责任事故或供应商故意不按采购人要求供货达二次，供应商除应承担相关民事和刑事责任外，采购人有权终止合同另行采购。</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四、售后服务要求</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、采购人出现紧急供货情况，成交供应商应无条件的及时电话响应，</w:t>
            </w:r>
            <w:r>
              <w:rPr>
                <w:rFonts w:ascii="仿宋_GB2312" w:hAnsi="仿宋_GB2312" w:cs="仿宋_GB2312" w:eastAsia="仿宋_GB2312"/>
                <w:sz w:val="21"/>
              </w:rPr>
              <w:t>1</w:t>
            </w:r>
            <w:r>
              <w:rPr>
                <w:rFonts w:ascii="仿宋_GB2312" w:hAnsi="仿宋_GB2312" w:cs="仿宋_GB2312" w:eastAsia="仿宋_GB2312"/>
                <w:sz w:val="21"/>
              </w:rPr>
              <w:t>小时内到达采购人处并解决货品需求。</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、采购人对于临时性的散货或少量需要，成交供应商应满足采购人需求无条件的及时供货。</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、成交供应商应严格按照采购人货物验收标准及质量考核办法，</w:t>
            </w:r>
            <w:r>
              <w:rPr>
                <w:rFonts w:ascii="仿宋_GB2312" w:hAnsi="仿宋_GB2312" w:cs="仿宋_GB2312" w:eastAsia="仿宋_GB2312"/>
                <w:sz w:val="21"/>
              </w:rPr>
              <w:t>2</w:t>
            </w:r>
            <w:r>
              <w:rPr>
                <w:rFonts w:ascii="仿宋_GB2312" w:hAnsi="仿宋_GB2312" w:cs="仿宋_GB2312" w:eastAsia="仿宋_GB2312"/>
                <w:sz w:val="21"/>
              </w:rPr>
              <w:t>次考核未达标采取自动退出机制，成交供应商应服从采购人供货安排，因供应商质量、服务、考核等原因采购人有权单方面同成交供应商解除合同。</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、成交供应商应严格按照货物质量标准进行供货，若经国家行政部门查实因原材料出现的质量问题一切责任由供应商承担，并自行承担相关法律责任及经济赔偿。</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、如遇不可抗力因素导致采购人食堂无法正常运转时，如停电、停水、停气等，成交供应商需无条件配合采购人解决民辅警、职工等人员就餐问题。</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五、验收要求</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供应商配送的所有物资必须保质保量、保鲜、无污染、无发霉、无变质、无不适宜民辅警职工食用的食品，同时必须提供相关检疫、检测等相关报告，若不能提供，验收人员有权拒绝接收并可视为本次配送货品质量不合格，可要求供应商在一个小时内重新配送有报告的物资。若供应商无法及时供给，食堂采购人员有权自行到市场采购所需货物，若价格高于询价，差价损失由供应商自行承担。</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、配送货物除必须提供相关检测报告和证书外，还应以职工食堂验收人员、验收监督小组和厨师长等的综合意见为准，不符合要求则无条件退换。</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、供应商应按采购人的要求，提供产品的检疫（或检测）报告、相关许可证等。供应商应必须积极配合相关部门的监督检查。供应商应建立严格的管理记录档案，详细记载进货渠道、种类、数量和时间。</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、供应链必须明确，所有食材来源必须清晰，来源应当是自有基地、商品菜基地、生产厂家或受地方政府部门监管的流通市场。</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、采购人有权聘请专业检测机构对供应商所送产品随机进行检测，检测费用由供应商据实承担，检测结果不合格的按考核办法配送质量不合格处理。</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六、考核要求及退出机制</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违约追责：在服务期限内供应商有严重违约行为、价格欺诈、因产品质量问题导致食品卫生事件、被采购人书面告知整改但拒不改正等行为，采购人有权中止采购合同，并另行赔偿采购人损失，追究供货商相关法律责任。</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、如遇不可抗拒因素（如自然灾害、政策变化或单位主体发生变化等）导致合同相关主体不能履行采购合同，本合同立即自动终止。</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、考核要求：配送服务质量评议制度。对配送过程中的产品质量、产品价格、服务质量、合同执行情况、承诺兑现等方面进行综合评议。（后附考核细则）</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、退出机制</w:t>
            </w:r>
            <w:r>
              <w:rPr>
                <w:rFonts w:ascii="仿宋_GB2312" w:hAnsi="仿宋_GB2312" w:cs="仿宋_GB2312" w:eastAsia="仿宋_GB2312"/>
                <w:sz w:val="21"/>
              </w:rPr>
              <w:t>:</w:t>
            </w:r>
            <w:r>
              <w:rPr>
                <w:rFonts w:ascii="仿宋_GB2312" w:hAnsi="仿宋_GB2312" w:cs="仿宋_GB2312" w:eastAsia="仿宋_GB2312"/>
                <w:sz w:val="21"/>
              </w:rPr>
              <w:t>在合同期内，发生下述任一条件，则采购人有权认为供应商在实际配送中无法满足采购人对于食品原材料的安全要求，可单方面终止合同另行采购，由此而引起的经济损失由供应商独自承担。</w:t>
            </w:r>
          </w:p>
          <w:p>
            <w:pPr>
              <w:pStyle w:val="null3"/>
              <w:jc w:val="both"/>
            </w:pPr>
            <w:r>
              <w:rPr>
                <w:rFonts w:ascii="仿宋_GB2312" w:hAnsi="仿宋_GB2312" w:cs="仿宋_GB2312" w:eastAsia="仿宋_GB2312"/>
                <w:sz w:val="21"/>
              </w:rPr>
              <w:t>①</w:t>
            </w:r>
            <w:r>
              <w:rPr>
                <w:rFonts w:ascii="仿宋_GB2312" w:hAnsi="仿宋_GB2312" w:cs="仿宋_GB2312" w:eastAsia="仿宋_GB2312"/>
                <w:sz w:val="21"/>
              </w:rPr>
              <w:t>因配送产品问题引发了任意食品安全问题（包括市场监管局抽检不合格两次及以上的）；</w:t>
            </w:r>
          </w:p>
          <w:p>
            <w:pPr>
              <w:pStyle w:val="null3"/>
              <w:jc w:val="both"/>
            </w:pPr>
            <w:r>
              <w:rPr>
                <w:rFonts w:ascii="仿宋_GB2312" w:hAnsi="仿宋_GB2312" w:cs="仿宋_GB2312" w:eastAsia="仿宋_GB2312"/>
                <w:sz w:val="21"/>
              </w:rPr>
              <w:t>②</w:t>
            </w:r>
            <w:r>
              <w:rPr>
                <w:rFonts w:ascii="仿宋_GB2312" w:hAnsi="仿宋_GB2312" w:cs="仿宋_GB2312" w:eastAsia="仿宋_GB2312"/>
                <w:sz w:val="21"/>
              </w:rPr>
              <w:t>在服务期限内提供不合格产品或者不按要求配送影响正常就餐累计</w:t>
            </w:r>
            <w:r>
              <w:rPr>
                <w:rFonts w:ascii="仿宋_GB2312" w:hAnsi="仿宋_GB2312" w:cs="仿宋_GB2312" w:eastAsia="仿宋_GB2312"/>
                <w:sz w:val="21"/>
              </w:rPr>
              <w:t>2</w:t>
            </w:r>
            <w:r>
              <w:rPr>
                <w:rFonts w:ascii="仿宋_GB2312" w:hAnsi="仿宋_GB2312" w:cs="仿宋_GB2312" w:eastAsia="仿宋_GB2312"/>
                <w:sz w:val="21"/>
              </w:rPr>
              <w:t>次的；</w:t>
            </w:r>
          </w:p>
          <w:p>
            <w:pPr>
              <w:pStyle w:val="null3"/>
              <w:jc w:val="both"/>
            </w:pPr>
            <w:r>
              <w:rPr>
                <w:rFonts w:ascii="仿宋_GB2312" w:hAnsi="仿宋_GB2312" w:cs="仿宋_GB2312" w:eastAsia="仿宋_GB2312"/>
                <w:sz w:val="21"/>
              </w:rPr>
              <w:t>③</w:t>
            </w:r>
            <w:r>
              <w:rPr>
                <w:rFonts w:ascii="仿宋_GB2312" w:hAnsi="仿宋_GB2312" w:cs="仿宋_GB2312" w:eastAsia="仿宋_GB2312"/>
                <w:sz w:val="21"/>
              </w:rPr>
              <w:t>连续</w:t>
            </w:r>
            <w:r>
              <w:rPr>
                <w:rFonts w:ascii="仿宋_GB2312" w:hAnsi="仿宋_GB2312" w:cs="仿宋_GB2312" w:eastAsia="仿宋_GB2312"/>
                <w:sz w:val="21"/>
              </w:rPr>
              <w:t>2</w:t>
            </w:r>
            <w:r>
              <w:rPr>
                <w:rFonts w:ascii="仿宋_GB2312" w:hAnsi="仿宋_GB2312" w:cs="仿宋_GB2312" w:eastAsia="仿宋_GB2312"/>
                <w:sz w:val="21"/>
              </w:rPr>
              <w:t>个月考核低于</w:t>
            </w:r>
            <w:r>
              <w:rPr>
                <w:rFonts w:ascii="仿宋_GB2312" w:hAnsi="仿宋_GB2312" w:cs="仿宋_GB2312" w:eastAsia="仿宋_GB2312"/>
                <w:sz w:val="21"/>
              </w:rPr>
              <w:t>90</w:t>
            </w:r>
            <w:r>
              <w:rPr>
                <w:rFonts w:ascii="仿宋_GB2312" w:hAnsi="仿宋_GB2312" w:cs="仿宋_GB2312" w:eastAsia="仿宋_GB2312"/>
                <w:sz w:val="21"/>
              </w:rPr>
              <w:t>分。</w:t>
            </w:r>
          </w:p>
          <w:p>
            <w:pPr>
              <w:pStyle w:val="null3"/>
              <w:jc w:val="center"/>
            </w:pPr>
            <w:r>
              <w:rPr>
                <w:rFonts w:ascii="仿宋_GB2312" w:hAnsi="仿宋_GB2312" w:cs="仿宋_GB2312" w:eastAsia="仿宋_GB2312"/>
                <w:sz w:val="21"/>
              </w:rPr>
              <w:t>食堂供应商配送考核表</w:t>
            </w:r>
          </w:p>
          <w:p>
            <w:pPr>
              <w:pStyle w:val="null3"/>
              <w:jc w:val="right"/>
            </w:pPr>
            <w:r>
              <w:rPr>
                <w:rFonts w:ascii="仿宋_GB2312" w:hAnsi="仿宋_GB2312" w:cs="仿宋_GB2312" w:eastAsia="仿宋_GB2312"/>
                <w:sz w:val="21"/>
              </w:rPr>
              <w:t>年</w:t>
            </w:r>
            <w:r>
              <w:rPr>
                <w:rFonts w:ascii="仿宋_GB2312" w:hAnsi="仿宋_GB2312" w:cs="仿宋_GB2312" w:eastAsia="仿宋_GB2312"/>
                <w:sz w:val="21"/>
              </w:rPr>
              <w:t xml:space="preserve">  </w:t>
            </w:r>
            <w:r>
              <w:rPr>
                <w:rFonts w:ascii="仿宋_GB2312" w:hAnsi="仿宋_GB2312" w:cs="仿宋_GB2312" w:eastAsia="仿宋_GB2312"/>
                <w:sz w:val="21"/>
              </w:rPr>
              <w:t>月</w:t>
            </w:r>
          </w:p>
          <w:tbl>
            <w:tblPr>
              <w:tblInd w:type="dxa" w:w="105"/>
              <w:tblBorders>
                <w:top w:val="none" w:color="000000" w:sz="4"/>
                <w:left w:val="none" w:color="000000" w:sz="4"/>
                <w:bottom w:val="none" w:color="000000" w:sz="4"/>
                <w:right w:val="none" w:color="000000" w:sz="4"/>
                <w:insideH w:val="none"/>
                <w:insideV w:val="none"/>
              </w:tblBorders>
            </w:tblPr>
            <w:tblGrid>
              <w:gridCol w:w="684"/>
              <w:gridCol w:w="609"/>
              <w:gridCol w:w="684"/>
              <w:gridCol w:w="2818"/>
              <w:gridCol w:w="800"/>
            </w:tblGrid>
            <w:tr>
              <w:tc>
                <w:tcPr>
                  <w:tcW w:type="dxa" w:w="1293"/>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评分因素</w:t>
                  </w:r>
                </w:p>
              </w:tc>
              <w:tc>
                <w:tcPr>
                  <w:tcW w:type="dxa" w:w="68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分值</w:t>
                  </w:r>
                </w:p>
              </w:tc>
              <w:tc>
                <w:tcPr>
                  <w:tcW w:type="dxa" w:w="28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扣分标准</w:t>
                  </w:r>
                </w:p>
              </w:tc>
              <w:tc>
                <w:tcPr>
                  <w:tcW w:type="dxa" w:w="80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得分</w:t>
                  </w:r>
                </w:p>
              </w:tc>
            </w:tr>
            <w:tr>
              <w:tc>
                <w:tcPr>
                  <w:tcW w:type="dxa" w:w="68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配送服务</w:t>
                  </w:r>
                </w:p>
                <w:p>
                  <w:pPr>
                    <w:pStyle w:val="null3"/>
                    <w:jc w:val="center"/>
                  </w:pPr>
                  <w:r>
                    <w:rPr>
                      <w:rFonts w:ascii="仿宋_GB2312" w:hAnsi="仿宋_GB2312" w:cs="仿宋_GB2312" w:eastAsia="仿宋_GB2312"/>
                      <w:sz w:val="21"/>
                    </w:rPr>
                    <w:t>80</w:t>
                  </w:r>
                  <w:r>
                    <w:rPr>
                      <w:rFonts w:ascii="仿宋_GB2312" w:hAnsi="仿宋_GB2312" w:cs="仿宋_GB2312" w:eastAsia="仿宋_GB2312"/>
                      <w:sz w:val="21"/>
                    </w:rPr>
                    <w:t>分</w:t>
                  </w:r>
                </w:p>
              </w:tc>
              <w:tc>
                <w:tcPr>
                  <w:tcW w:type="dxa" w:w="6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质量要求</w:t>
                  </w:r>
                </w:p>
              </w:tc>
              <w:tc>
                <w:tcPr>
                  <w:tcW w:type="dxa" w:w="6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30</w:t>
                  </w:r>
                  <w:r>
                    <w:rPr>
                      <w:rFonts w:ascii="仿宋_GB2312" w:hAnsi="仿宋_GB2312" w:cs="仿宋_GB2312" w:eastAsia="仿宋_GB2312"/>
                      <w:sz w:val="21"/>
                    </w:rPr>
                    <w:t>分</w:t>
                  </w:r>
                </w:p>
              </w:tc>
              <w:tc>
                <w:tcPr>
                  <w:tcW w:type="dxa" w:w="28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因质量不符合要求退货一次扣</w:t>
                  </w:r>
                  <w:r>
                    <w:rPr>
                      <w:rFonts w:ascii="仿宋_GB2312" w:hAnsi="仿宋_GB2312" w:cs="仿宋_GB2312" w:eastAsia="仿宋_GB2312"/>
                      <w:sz w:val="21"/>
                    </w:rPr>
                    <w:t>5</w:t>
                  </w:r>
                  <w:r>
                    <w:rPr>
                      <w:rFonts w:ascii="仿宋_GB2312" w:hAnsi="仿宋_GB2312" w:cs="仿宋_GB2312" w:eastAsia="仿宋_GB2312"/>
                      <w:sz w:val="21"/>
                    </w:rPr>
                    <w:t>分</w:t>
                  </w:r>
                </w:p>
              </w:tc>
              <w:tc>
                <w:tcPr>
                  <w:tcW w:type="dxa" w:w="80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84"/>
                  <w:vMerge/>
                  <w:tcBorders>
                    <w:top w:val="none" w:color="000000" w:sz="4"/>
                    <w:left w:val="single" w:color="000000" w:sz="4"/>
                    <w:bottom w:val="single" w:color="000000" w:sz="4"/>
                    <w:right w:val="single" w:color="000000" w:sz="4"/>
                  </w:tcBorders>
                </w:tcPr>
                <w:p/>
              </w:tc>
              <w:tc>
                <w:tcPr>
                  <w:tcW w:type="dxa" w:w="6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健康证</w:t>
                  </w:r>
                </w:p>
              </w:tc>
              <w:tc>
                <w:tcPr>
                  <w:tcW w:type="dxa" w:w="6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w:t>
                  </w:r>
                  <w:r>
                    <w:rPr>
                      <w:rFonts w:ascii="仿宋_GB2312" w:hAnsi="仿宋_GB2312" w:cs="仿宋_GB2312" w:eastAsia="仿宋_GB2312"/>
                      <w:sz w:val="21"/>
                    </w:rPr>
                    <w:t>分</w:t>
                  </w:r>
                </w:p>
              </w:tc>
              <w:tc>
                <w:tcPr>
                  <w:tcW w:type="dxa" w:w="28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供应商原材料操作员和配送员必须持健康证上岗，无条件接受采购人的监督检查。若无法出示有效健康证一次扣</w:t>
                  </w:r>
                  <w:r>
                    <w:rPr>
                      <w:rFonts w:ascii="仿宋_GB2312" w:hAnsi="仿宋_GB2312" w:cs="仿宋_GB2312" w:eastAsia="仿宋_GB2312"/>
                      <w:sz w:val="21"/>
                    </w:rPr>
                    <w:t>5</w:t>
                  </w:r>
                  <w:r>
                    <w:rPr>
                      <w:rFonts w:ascii="仿宋_GB2312" w:hAnsi="仿宋_GB2312" w:cs="仿宋_GB2312" w:eastAsia="仿宋_GB2312"/>
                      <w:sz w:val="21"/>
                    </w:rPr>
                    <w:t>分。</w:t>
                  </w:r>
                </w:p>
              </w:tc>
              <w:tc>
                <w:tcPr>
                  <w:tcW w:type="dxa" w:w="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84"/>
                  <w:vMerge/>
                  <w:tcBorders>
                    <w:top w:val="none" w:color="000000" w:sz="4"/>
                    <w:left w:val="single" w:color="000000" w:sz="4"/>
                    <w:bottom w:val="single" w:color="000000" w:sz="4"/>
                    <w:right w:val="single" w:color="000000" w:sz="4"/>
                  </w:tcBorders>
                </w:tcPr>
                <w:p/>
              </w:tc>
              <w:tc>
                <w:tcPr>
                  <w:tcW w:type="dxa" w:w="6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形象整洁</w:t>
                  </w:r>
                </w:p>
              </w:tc>
              <w:tc>
                <w:tcPr>
                  <w:tcW w:type="dxa" w:w="6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w:t>
                  </w:r>
                  <w:r>
                    <w:rPr>
                      <w:rFonts w:ascii="仿宋_GB2312" w:hAnsi="仿宋_GB2312" w:cs="仿宋_GB2312" w:eastAsia="仿宋_GB2312"/>
                      <w:sz w:val="21"/>
                    </w:rPr>
                    <w:t>分</w:t>
                  </w:r>
                </w:p>
              </w:tc>
              <w:tc>
                <w:tcPr>
                  <w:tcW w:type="dxa" w:w="28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供应商原材料操作员和配送员应当着干净工作服，穿戴整洁，身体健康无外伤，指甲干净卫生。若有上述一项不符者扣一次扣</w:t>
                  </w:r>
                  <w:r>
                    <w:rPr>
                      <w:rFonts w:ascii="仿宋_GB2312" w:hAnsi="仿宋_GB2312" w:cs="仿宋_GB2312" w:eastAsia="仿宋_GB2312"/>
                      <w:sz w:val="21"/>
                    </w:rPr>
                    <w:t>2</w:t>
                  </w:r>
                  <w:r>
                    <w:rPr>
                      <w:rFonts w:ascii="仿宋_GB2312" w:hAnsi="仿宋_GB2312" w:cs="仿宋_GB2312" w:eastAsia="仿宋_GB2312"/>
                      <w:sz w:val="21"/>
                    </w:rPr>
                    <w:t>分。</w:t>
                  </w:r>
                </w:p>
              </w:tc>
              <w:tc>
                <w:tcPr>
                  <w:tcW w:type="dxa" w:w="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84"/>
                  <w:vMerge/>
                  <w:tcBorders>
                    <w:top w:val="none" w:color="000000" w:sz="4"/>
                    <w:left w:val="single" w:color="000000" w:sz="4"/>
                    <w:bottom w:val="single" w:color="000000" w:sz="4"/>
                    <w:right w:val="single" w:color="000000" w:sz="4"/>
                  </w:tcBorders>
                </w:tcPr>
                <w:p/>
              </w:tc>
              <w:tc>
                <w:tcPr>
                  <w:tcW w:type="dxa" w:w="6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配送及时</w:t>
                  </w:r>
                </w:p>
              </w:tc>
              <w:tc>
                <w:tcPr>
                  <w:tcW w:type="dxa" w:w="6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w:t>
                  </w:r>
                  <w:r>
                    <w:rPr>
                      <w:rFonts w:ascii="仿宋_GB2312" w:hAnsi="仿宋_GB2312" w:cs="仿宋_GB2312" w:eastAsia="仿宋_GB2312"/>
                      <w:sz w:val="21"/>
                    </w:rPr>
                    <w:t>分</w:t>
                  </w:r>
                </w:p>
              </w:tc>
              <w:tc>
                <w:tcPr>
                  <w:tcW w:type="dxa" w:w="28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出现迟到</w:t>
                  </w:r>
                  <w:r>
                    <w:rPr>
                      <w:rFonts w:ascii="仿宋_GB2312" w:hAnsi="仿宋_GB2312" w:cs="仿宋_GB2312" w:eastAsia="仿宋_GB2312"/>
                      <w:sz w:val="21"/>
                    </w:rPr>
                    <w:t>(</w:t>
                  </w:r>
                  <w:r>
                    <w:rPr>
                      <w:rFonts w:ascii="仿宋_GB2312" w:hAnsi="仿宋_GB2312" w:cs="仿宋_GB2312" w:eastAsia="仿宋_GB2312"/>
                      <w:sz w:val="21"/>
                    </w:rPr>
                    <w:t>漏送）现象一次扣</w:t>
                  </w:r>
                  <w:r>
                    <w:rPr>
                      <w:rFonts w:ascii="仿宋_GB2312" w:hAnsi="仿宋_GB2312" w:cs="仿宋_GB2312" w:eastAsia="仿宋_GB2312"/>
                      <w:sz w:val="21"/>
                    </w:rPr>
                    <w:t>5</w:t>
                  </w:r>
                  <w:r>
                    <w:rPr>
                      <w:rFonts w:ascii="仿宋_GB2312" w:hAnsi="仿宋_GB2312" w:cs="仿宋_GB2312" w:eastAsia="仿宋_GB2312"/>
                      <w:sz w:val="21"/>
                    </w:rPr>
                    <w:t>分。</w:t>
                  </w:r>
                </w:p>
              </w:tc>
              <w:tc>
                <w:tcPr>
                  <w:tcW w:type="dxa" w:w="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84"/>
                  <w:vMerge/>
                  <w:tcBorders>
                    <w:top w:val="none" w:color="000000" w:sz="4"/>
                    <w:left w:val="single" w:color="000000" w:sz="4"/>
                    <w:bottom w:val="single" w:color="000000" w:sz="4"/>
                    <w:right w:val="single" w:color="000000" w:sz="4"/>
                  </w:tcBorders>
                </w:tcPr>
                <w:p/>
              </w:tc>
              <w:tc>
                <w:tcPr>
                  <w:tcW w:type="dxa" w:w="6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服务态度</w:t>
                  </w:r>
                </w:p>
              </w:tc>
              <w:tc>
                <w:tcPr>
                  <w:tcW w:type="dxa" w:w="6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r>
                    <w:rPr>
                      <w:rFonts w:ascii="仿宋_GB2312" w:hAnsi="仿宋_GB2312" w:cs="仿宋_GB2312" w:eastAsia="仿宋_GB2312"/>
                      <w:sz w:val="21"/>
                    </w:rPr>
                    <w:t>分</w:t>
                  </w:r>
                </w:p>
              </w:tc>
              <w:tc>
                <w:tcPr>
                  <w:tcW w:type="dxa" w:w="28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对验收人员态度恶劣或故意回避验收人员提问的，一次扣</w:t>
                  </w:r>
                  <w:r>
                    <w:rPr>
                      <w:rFonts w:ascii="仿宋_GB2312" w:hAnsi="仿宋_GB2312" w:cs="仿宋_GB2312" w:eastAsia="仿宋_GB2312"/>
                      <w:sz w:val="21"/>
                    </w:rPr>
                    <w:t>2.5</w:t>
                  </w:r>
                  <w:r>
                    <w:rPr>
                      <w:rFonts w:ascii="仿宋_GB2312" w:hAnsi="仿宋_GB2312" w:cs="仿宋_GB2312" w:eastAsia="仿宋_GB2312"/>
                      <w:sz w:val="21"/>
                    </w:rPr>
                    <w:t>分</w:t>
                  </w:r>
                </w:p>
              </w:tc>
              <w:tc>
                <w:tcPr>
                  <w:tcW w:type="dxa" w:w="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84"/>
                  <w:vMerge/>
                  <w:tcBorders>
                    <w:top w:val="none" w:color="000000" w:sz="4"/>
                    <w:left w:val="single" w:color="000000" w:sz="4"/>
                    <w:bottom w:val="single" w:color="000000" w:sz="4"/>
                    <w:right w:val="single" w:color="000000" w:sz="4"/>
                  </w:tcBorders>
                </w:tcPr>
                <w:p/>
              </w:tc>
              <w:tc>
                <w:tcPr>
                  <w:tcW w:type="dxa" w:w="6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文件资料报送</w:t>
                  </w:r>
                </w:p>
              </w:tc>
              <w:tc>
                <w:tcPr>
                  <w:tcW w:type="dxa" w:w="6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r>
                    <w:rPr>
                      <w:rFonts w:ascii="仿宋_GB2312" w:hAnsi="仿宋_GB2312" w:cs="仿宋_GB2312" w:eastAsia="仿宋_GB2312"/>
                      <w:sz w:val="21"/>
                    </w:rPr>
                    <w:t>分</w:t>
                  </w:r>
                </w:p>
              </w:tc>
              <w:tc>
                <w:tcPr>
                  <w:tcW w:type="dxa" w:w="28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文件资料和检测报告不及时报送每次扣</w:t>
                  </w:r>
                  <w:r>
                    <w:rPr>
                      <w:rFonts w:ascii="仿宋_GB2312" w:hAnsi="仿宋_GB2312" w:cs="仿宋_GB2312" w:eastAsia="仿宋_GB2312"/>
                      <w:sz w:val="21"/>
                    </w:rPr>
                    <w:t>1</w:t>
                  </w:r>
                  <w:r>
                    <w:rPr>
                      <w:rFonts w:ascii="仿宋_GB2312" w:hAnsi="仿宋_GB2312" w:cs="仿宋_GB2312" w:eastAsia="仿宋_GB2312"/>
                      <w:sz w:val="21"/>
                    </w:rPr>
                    <w:t>分。</w:t>
                  </w:r>
                </w:p>
              </w:tc>
              <w:tc>
                <w:tcPr>
                  <w:tcW w:type="dxa" w:w="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8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售后服务</w:t>
                  </w:r>
                  <w:r>
                    <w:rPr>
                      <w:rFonts w:ascii="仿宋_GB2312" w:hAnsi="仿宋_GB2312" w:cs="仿宋_GB2312" w:eastAsia="仿宋_GB2312"/>
                      <w:sz w:val="21"/>
                    </w:rPr>
                    <w:t>20</w:t>
                  </w:r>
                  <w:r>
                    <w:rPr>
                      <w:rFonts w:ascii="仿宋_GB2312" w:hAnsi="仿宋_GB2312" w:cs="仿宋_GB2312" w:eastAsia="仿宋_GB2312"/>
                      <w:sz w:val="21"/>
                    </w:rPr>
                    <w:t>分</w:t>
                  </w:r>
                </w:p>
              </w:tc>
              <w:tc>
                <w:tcPr>
                  <w:tcW w:type="dxa" w:w="6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服务电话</w:t>
                  </w:r>
                </w:p>
              </w:tc>
              <w:tc>
                <w:tcPr>
                  <w:tcW w:type="dxa" w:w="6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r>
                    <w:rPr>
                      <w:rFonts w:ascii="仿宋_GB2312" w:hAnsi="仿宋_GB2312" w:cs="仿宋_GB2312" w:eastAsia="仿宋_GB2312"/>
                      <w:sz w:val="21"/>
                    </w:rPr>
                    <w:t>分</w:t>
                  </w:r>
                </w:p>
              </w:tc>
              <w:tc>
                <w:tcPr>
                  <w:tcW w:type="dxa" w:w="28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采购人能随时联系到供应商。无服务电话扣</w:t>
                  </w:r>
                  <w:r>
                    <w:rPr>
                      <w:rFonts w:ascii="仿宋_GB2312" w:hAnsi="仿宋_GB2312" w:cs="仿宋_GB2312" w:eastAsia="仿宋_GB2312"/>
                      <w:sz w:val="21"/>
                    </w:rPr>
                    <w:t>5</w:t>
                  </w:r>
                  <w:r>
                    <w:rPr>
                      <w:rFonts w:ascii="仿宋_GB2312" w:hAnsi="仿宋_GB2312" w:cs="仿宋_GB2312" w:eastAsia="仿宋_GB2312"/>
                      <w:sz w:val="21"/>
                    </w:rPr>
                    <w:t>分，无人接听电话一次扣</w:t>
                  </w:r>
                  <w:r>
                    <w:rPr>
                      <w:rFonts w:ascii="仿宋_GB2312" w:hAnsi="仿宋_GB2312" w:cs="仿宋_GB2312" w:eastAsia="仿宋_GB2312"/>
                      <w:sz w:val="21"/>
                    </w:rPr>
                    <w:t>2.5</w:t>
                  </w:r>
                  <w:r>
                    <w:rPr>
                      <w:rFonts w:ascii="仿宋_GB2312" w:hAnsi="仿宋_GB2312" w:cs="仿宋_GB2312" w:eastAsia="仿宋_GB2312"/>
                      <w:sz w:val="21"/>
                    </w:rPr>
                    <w:t>分。</w:t>
                  </w:r>
                </w:p>
              </w:tc>
              <w:tc>
                <w:tcPr>
                  <w:tcW w:type="dxa" w:w="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84"/>
                  <w:vMerge/>
                  <w:tcBorders>
                    <w:top w:val="none" w:color="000000" w:sz="4"/>
                    <w:left w:val="single" w:color="000000" w:sz="4"/>
                    <w:bottom w:val="single" w:color="000000" w:sz="4"/>
                    <w:right w:val="single" w:color="000000" w:sz="4"/>
                  </w:tcBorders>
                </w:tcPr>
                <w:p/>
              </w:tc>
              <w:tc>
                <w:tcPr>
                  <w:tcW w:type="dxa" w:w="6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存货盘点</w:t>
                  </w:r>
                </w:p>
              </w:tc>
              <w:tc>
                <w:tcPr>
                  <w:tcW w:type="dxa" w:w="6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w:t>
                  </w:r>
                  <w:r>
                    <w:rPr>
                      <w:rFonts w:ascii="仿宋_GB2312" w:hAnsi="仿宋_GB2312" w:cs="仿宋_GB2312" w:eastAsia="仿宋_GB2312"/>
                      <w:sz w:val="21"/>
                    </w:rPr>
                    <w:t>分</w:t>
                  </w:r>
                </w:p>
              </w:tc>
              <w:tc>
                <w:tcPr>
                  <w:tcW w:type="dxa" w:w="28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供应商每月定期巡检、盘点已送达采购人食材的库存情况，并建立台账，及时调换临期食材，得</w:t>
                  </w:r>
                  <w:r>
                    <w:rPr>
                      <w:rFonts w:ascii="仿宋_GB2312" w:hAnsi="仿宋_GB2312" w:cs="仿宋_GB2312" w:eastAsia="仿宋_GB2312"/>
                      <w:sz w:val="21"/>
                    </w:rPr>
                    <w:t>5</w:t>
                  </w:r>
                  <w:r>
                    <w:rPr>
                      <w:rFonts w:ascii="仿宋_GB2312" w:hAnsi="仿宋_GB2312" w:cs="仿宋_GB2312" w:eastAsia="仿宋_GB2312"/>
                      <w:sz w:val="21"/>
                    </w:rPr>
                    <w:t>分。不得出现过期、变质食材，否则扣</w:t>
                  </w:r>
                  <w:r>
                    <w:rPr>
                      <w:rFonts w:ascii="仿宋_GB2312" w:hAnsi="仿宋_GB2312" w:cs="仿宋_GB2312" w:eastAsia="仿宋_GB2312"/>
                      <w:sz w:val="21"/>
                    </w:rPr>
                    <w:t>5</w:t>
                  </w:r>
                  <w:r>
                    <w:rPr>
                      <w:rFonts w:ascii="仿宋_GB2312" w:hAnsi="仿宋_GB2312" w:cs="仿宋_GB2312" w:eastAsia="仿宋_GB2312"/>
                      <w:sz w:val="21"/>
                    </w:rPr>
                    <w:t>分。</w:t>
                  </w:r>
                </w:p>
              </w:tc>
              <w:tc>
                <w:tcPr>
                  <w:tcW w:type="dxa" w:w="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84"/>
                  <w:vMerge/>
                  <w:tcBorders>
                    <w:top w:val="none" w:color="000000" w:sz="4"/>
                    <w:left w:val="single" w:color="000000" w:sz="4"/>
                    <w:bottom w:val="single" w:color="000000" w:sz="4"/>
                    <w:right w:val="single" w:color="000000" w:sz="4"/>
                  </w:tcBorders>
                </w:tcPr>
                <w:p/>
              </w:tc>
              <w:tc>
                <w:tcPr>
                  <w:tcW w:type="dxa" w:w="6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征求意见表</w:t>
                  </w:r>
                </w:p>
              </w:tc>
              <w:tc>
                <w:tcPr>
                  <w:tcW w:type="dxa" w:w="6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r>
                    <w:rPr>
                      <w:rFonts w:ascii="仿宋_GB2312" w:hAnsi="仿宋_GB2312" w:cs="仿宋_GB2312" w:eastAsia="仿宋_GB2312"/>
                      <w:sz w:val="21"/>
                    </w:rPr>
                    <w:t>分</w:t>
                  </w:r>
                </w:p>
              </w:tc>
              <w:tc>
                <w:tcPr>
                  <w:tcW w:type="dxa" w:w="28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每月发放服务工作征求意见表，及时采纳合理建议，改进存在问题，不断提高管理与服务质量，未征求意见不得分</w:t>
                  </w:r>
                </w:p>
              </w:tc>
              <w:tc>
                <w:tcPr>
                  <w:tcW w:type="dxa" w:w="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合计</w:t>
                  </w:r>
                </w:p>
              </w:tc>
              <w:tc>
                <w:tcPr>
                  <w:tcW w:type="dxa" w:w="6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6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标的名称：粮油、干杂、调味品类</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一、配送食材标准及要求</w:t>
            </w:r>
          </w:p>
        </w:tc>
        <w:tc>
          <w:tcPr>
            <w:tcW w:type="dxa" w:w="5814"/>
          </w:tcPr>
          <w:p>
            <w:pPr>
              <w:pStyle w:val="null3"/>
              <w:jc w:val="both"/>
            </w:pPr>
            <w:r>
              <w:rPr>
                <w:rFonts w:ascii="仿宋_GB2312" w:hAnsi="仿宋_GB2312" w:cs="仿宋_GB2312" w:eastAsia="仿宋_GB2312"/>
                <w:sz w:val="21"/>
              </w:rPr>
              <w:t>本包包含</w:t>
            </w:r>
            <w:r>
              <w:rPr>
                <w:rFonts w:ascii="仿宋_GB2312" w:hAnsi="仿宋_GB2312" w:cs="仿宋_GB2312" w:eastAsia="仿宋_GB2312"/>
                <w:sz w:val="21"/>
              </w:rPr>
              <w:t>3.5</w:t>
            </w:r>
            <w:r>
              <w:rPr>
                <w:rFonts w:ascii="仿宋_GB2312" w:hAnsi="仿宋_GB2312" w:cs="仿宋_GB2312" w:eastAsia="仿宋_GB2312"/>
                <w:sz w:val="21"/>
              </w:rPr>
              <w:t>万元扶贫产品，成交供应商需按采购人要求在指定平台购买。供应商应在当月根据采购人的采购需求，提供下一个月采购需求的报价清单。采购人每月对市场零售价作一次市场询价，以此作为基准价。基准价格的询价以采购人单位周边综合市场（新区大市场、眉东大市场、宝华寺大市场等）平均价格为准，供货价格＝基准价</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下浮比例），当月询价后市场价格升降超过基准价</w:t>
            </w:r>
            <w:r>
              <w:rPr>
                <w:rFonts w:ascii="仿宋_GB2312" w:hAnsi="仿宋_GB2312" w:cs="仿宋_GB2312" w:eastAsia="仿宋_GB2312"/>
                <w:sz w:val="21"/>
              </w:rPr>
              <w:t>10%</w:t>
            </w:r>
            <w:r>
              <w:rPr>
                <w:rFonts w:ascii="仿宋_GB2312" w:hAnsi="仿宋_GB2312" w:cs="仿宋_GB2312" w:eastAsia="仿宋_GB2312"/>
                <w:sz w:val="21"/>
              </w:rPr>
              <w:t>重新询价定价，价格波动在</w:t>
            </w:r>
            <w:r>
              <w:rPr>
                <w:rFonts w:ascii="仿宋_GB2312" w:hAnsi="仿宋_GB2312" w:cs="仿宋_GB2312" w:eastAsia="仿宋_GB2312"/>
                <w:sz w:val="21"/>
              </w:rPr>
              <w:t>10%</w:t>
            </w:r>
            <w:r>
              <w:rPr>
                <w:rFonts w:ascii="仿宋_GB2312" w:hAnsi="仿宋_GB2312" w:cs="仿宋_GB2312" w:eastAsia="仿宋_GB2312"/>
                <w:sz w:val="21"/>
              </w:rPr>
              <w:t>及以内不作调整。</w:t>
            </w:r>
          </w:p>
          <w:p>
            <w:pPr>
              <w:pStyle w:val="null3"/>
              <w:jc w:val="both"/>
            </w:pPr>
            <w:r>
              <w:rPr>
                <w:rFonts w:ascii="仿宋_GB2312" w:hAnsi="仿宋_GB2312" w:cs="仿宋_GB2312" w:eastAsia="仿宋_GB2312"/>
                <w:sz w:val="21"/>
              </w:rPr>
              <w:t>本项目最高限价：供应商统一填报下浮比例，供货期内（每周），结算价格</w:t>
            </w:r>
            <w:r>
              <w:rPr>
                <w:rFonts w:ascii="仿宋_GB2312" w:hAnsi="仿宋_GB2312" w:cs="仿宋_GB2312" w:eastAsia="仿宋_GB2312"/>
                <w:sz w:val="21"/>
              </w:rPr>
              <w:t>=</w:t>
            </w:r>
            <w:r>
              <w:rPr>
                <w:rFonts w:ascii="仿宋_GB2312" w:hAnsi="仿宋_GB2312" w:cs="仿宋_GB2312" w:eastAsia="仿宋_GB2312"/>
                <w:sz w:val="21"/>
              </w:rPr>
              <w:t>实际数量</w:t>
            </w:r>
            <w:r>
              <w:rPr>
                <w:rFonts w:ascii="仿宋_GB2312" w:hAnsi="仿宋_GB2312" w:cs="仿宋_GB2312" w:eastAsia="仿宋_GB2312"/>
                <w:sz w:val="21"/>
              </w:rPr>
              <w:t>×</w:t>
            </w:r>
            <w:r>
              <w:rPr>
                <w:rFonts w:ascii="仿宋_GB2312" w:hAnsi="仿宋_GB2312" w:cs="仿宋_GB2312" w:eastAsia="仿宋_GB2312"/>
                <w:sz w:val="21"/>
              </w:rPr>
              <w:t>货物单价</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下浮比例）。</w:t>
            </w:r>
          </w:p>
          <w:p>
            <w:pPr>
              <w:pStyle w:val="null3"/>
              <w:jc w:val="both"/>
            </w:pPr>
            <w:r>
              <w:rPr>
                <w:rFonts w:ascii="仿宋_GB2312" w:hAnsi="仿宋_GB2312" w:cs="仿宋_GB2312" w:eastAsia="仿宋_GB2312"/>
                <w:sz w:val="21"/>
              </w:rPr>
              <w:t>定标原则：供应商以包为单位参加采购</w:t>
            </w:r>
            <w:r>
              <w:rPr>
                <w:rFonts w:ascii="仿宋_GB2312" w:hAnsi="仿宋_GB2312" w:cs="仿宋_GB2312" w:eastAsia="仿宋_GB2312"/>
                <w:sz w:val="21"/>
              </w:rPr>
              <w:t>,</w:t>
            </w:r>
            <w:r>
              <w:rPr>
                <w:rFonts w:ascii="仿宋_GB2312" w:hAnsi="仿宋_GB2312" w:cs="仿宋_GB2312" w:eastAsia="仿宋_GB2312"/>
                <w:sz w:val="21"/>
              </w:rPr>
              <w:t>可以参加多个包采购。供应商在多个包中排名第一成交候选人时，每个供应商最多只能成交二个包，并且由供应商选择。剩余采购包由采购人按候选供应商排序顺延成交供应商。</w:t>
            </w:r>
          </w:p>
          <w:p>
            <w:pPr>
              <w:pStyle w:val="null3"/>
              <w:jc w:val="both"/>
            </w:pPr>
            <w:r>
              <w:rPr>
                <w:rFonts w:ascii="仿宋_GB2312" w:hAnsi="仿宋_GB2312" w:cs="仿宋_GB2312" w:eastAsia="仿宋_GB2312"/>
                <w:sz w:val="21"/>
              </w:rPr>
              <w:t>（一）质量要求</w:t>
            </w:r>
          </w:p>
          <w:p>
            <w:pPr>
              <w:pStyle w:val="null3"/>
              <w:jc w:val="both"/>
            </w:pPr>
            <w:r>
              <w:rPr>
                <w:rFonts w:ascii="仿宋_GB2312" w:hAnsi="仿宋_GB2312" w:cs="仿宋_GB2312" w:eastAsia="仿宋_GB2312"/>
                <w:sz w:val="21"/>
              </w:rPr>
              <w:t>第二包：粮油、干杂</w:t>
            </w:r>
            <w:r>
              <w:rPr>
                <w:rFonts w:ascii="仿宋_GB2312" w:hAnsi="仿宋_GB2312" w:cs="仿宋_GB2312" w:eastAsia="仿宋_GB2312"/>
                <w:sz w:val="21"/>
              </w:rPr>
              <w:t>、</w:t>
            </w:r>
            <w:r>
              <w:rPr>
                <w:rFonts w:ascii="仿宋_GB2312" w:hAnsi="仿宋_GB2312" w:cs="仿宋_GB2312" w:eastAsia="仿宋_GB2312"/>
                <w:sz w:val="21"/>
              </w:rPr>
              <w:t>调味品类</w:t>
            </w:r>
          </w:p>
          <w:tbl>
            <w:tblPr>
              <w:tblInd w:type="dxa" w:w="105"/>
              <w:tblBorders>
                <w:top w:val="none" w:color="000000" w:sz="4"/>
                <w:left w:val="none" w:color="000000" w:sz="4"/>
                <w:bottom w:val="none" w:color="000000" w:sz="4"/>
                <w:right w:val="none" w:color="000000" w:sz="4"/>
                <w:insideH w:val="none"/>
                <w:insideV w:val="none"/>
              </w:tblBorders>
            </w:tblPr>
            <w:tblGrid>
              <w:gridCol w:w="1409"/>
              <w:gridCol w:w="3469"/>
              <w:gridCol w:w="719"/>
            </w:tblGrid>
            <w:tr>
              <w:tc>
                <w:tcPr>
                  <w:tcW w:type="dxa" w:w="140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采购内容</w:t>
                  </w:r>
                </w:p>
              </w:tc>
              <w:tc>
                <w:tcPr>
                  <w:tcW w:type="dxa" w:w="346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采购标准</w:t>
                  </w:r>
                </w:p>
              </w:tc>
              <w:tc>
                <w:tcPr>
                  <w:tcW w:type="dxa" w:w="71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备注</w:t>
                  </w:r>
                </w:p>
              </w:tc>
            </w:tr>
            <w:tr>
              <w:tc>
                <w:tcPr>
                  <w:tcW w:type="dxa" w:w="14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大米类</w:t>
                  </w:r>
                </w:p>
              </w:tc>
              <w:tc>
                <w:tcPr>
                  <w:tcW w:type="dxa" w:w="34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①</w:t>
                  </w:r>
                  <w:r>
                    <w:rPr>
                      <w:rFonts w:ascii="仿宋_GB2312" w:hAnsi="仿宋_GB2312" w:cs="仿宋_GB2312" w:eastAsia="仿宋_GB2312"/>
                      <w:sz w:val="21"/>
                    </w:rPr>
                    <w:t>规格：非转基因东北大米，米粒饱满，无生霉，无杂质、无异味、无虫、无碎米等。每一批次应有检测报告。符合国家标准二级及以上。</w:t>
                  </w:r>
                </w:p>
                <w:p>
                  <w:pPr>
                    <w:pStyle w:val="null3"/>
                    <w:jc w:val="both"/>
                  </w:pPr>
                  <w:r>
                    <w:rPr>
                      <w:rFonts w:ascii="仿宋_GB2312" w:hAnsi="仿宋_GB2312" w:cs="仿宋_GB2312" w:eastAsia="仿宋_GB2312"/>
                      <w:sz w:val="21"/>
                    </w:rPr>
                    <w:t>②</w:t>
                  </w:r>
                  <w:r>
                    <w:rPr>
                      <w:rFonts w:ascii="仿宋_GB2312" w:hAnsi="仿宋_GB2312" w:cs="仿宋_GB2312" w:eastAsia="仿宋_GB2312"/>
                      <w:sz w:val="21"/>
                    </w:rPr>
                    <w:t>符合国家大米国家最新标准。</w:t>
                  </w:r>
                </w:p>
                <w:p>
                  <w:pPr>
                    <w:pStyle w:val="null3"/>
                    <w:jc w:val="both"/>
                  </w:pPr>
                  <w:r>
                    <w:rPr>
                      <w:rFonts w:ascii="仿宋_GB2312" w:hAnsi="仿宋_GB2312" w:cs="仿宋_GB2312" w:eastAsia="仿宋_GB2312"/>
                      <w:sz w:val="21"/>
                    </w:rPr>
                    <w:t>③</w:t>
                  </w:r>
                  <w:r>
                    <w:rPr>
                      <w:rFonts w:ascii="仿宋_GB2312" w:hAnsi="仿宋_GB2312" w:cs="仿宋_GB2312" w:eastAsia="仿宋_GB2312"/>
                      <w:sz w:val="21"/>
                    </w:rPr>
                    <w:t>包装袋应当符合国家食品相关标准，包装袋无破损。包装上注明产品 名称、配料表、净含量、厂名、厂址、生产日期、保质期、产品标准号、生产许可证。规格由双方协商确定，以便于运输存储使用为原则。</w:t>
                  </w:r>
                </w:p>
                <w:p>
                  <w:pPr>
                    <w:pStyle w:val="null3"/>
                    <w:jc w:val="both"/>
                  </w:pPr>
                  <w:r>
                    <w:rPr>
                      <w:rFonts w:ascii="仿宋_GB2312" w:hAnsi="仿宋_GB2312" w:cs="仿宋_GB2312" w:eastAsia="仿宋_GB2312"/>
                      <w:sz w:val="21"/>
                    </w:rPr>
                    <w:t>④</w:t>
                  </w:r>
                  <w:r>
                    <w:rPr>
                      <w:rFonts w:ascii="仿宋_GB2312" w:hAnsi="仿宋_GB2312" w:cs="仿宋_GB2312" w:eastAsia="仿宋_GB2312"/>
                      <w:sz w:val="21"/>
                    </w:rPr>
                    <w:t>每批货提供给采购人时质保期有效期须在</w:t>
                  </w:r>
                  <w:r>
                    <w:rPr>
                      <w:rFonts w:ascii="仿宋_GB2312" w:hAnsi="仿宋_GB2312" w:cs="仿宋_GB2312" w:eastAsia="仿宋_GB2312"/>
                      <w:sz w:val="21"/>
                    </w:rPr>
                    <w:t>6</w:t>
                  </w:r>
                  <w:r>
                    <w:rPr>
                      <w:rFonts w:ascii="仿宋_GB2312" w:hAnsi="仿宋_GB2312" w:cs="仿宋_GB2312" w:eastAsia="仿宋_GB2312"/>
                      <w:sz w:val="21"/>
                    </w:rPr>
                    <w:t>个月（含）以上。</w:t>
                  </w:r>
                </w:p>
              </w:tc>
              <w:tc>
                <w:tcPr>
                  <w:tcW w:type="dxa" w:w="7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14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面粉类</w:t>
                  </w:r>
                </w:p>
              </w:tc>
              <w:tc>
                <w:tcPr>
                  <w:tcW w:type="dxa" w:w="34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①</w:t>
                  </w:r>
                  <w:r>
                    <w:rPr>
                      <w:rFonts w:ascii="仿宋_GB2312" w:hAnsi="仿宋_GB2312" w:cs="仿宋_GB2312" w:eastAsia="仿宋_GB2312"/>
                      <w:sz w:val="21"/>
                    </w:rPr>
                    <w:t>非转基因产品。普通小麦粉，色泽正常，干爽无异味。符合国家最新标准，特一粉及以上等级要求。</w:t>
                  </w:r>
                </w:p>
                <w:p>
                  <w:pPr>
                    <w:pStyle w:val="null3"/>
                    <w:jc w:val="both"/>
                  </w:pPr>
                  <w:r>
                    <w:rPr>
                      <w:rFonts w:ascii="仿宋_GB2312" w:hAnsi="仿宋_GB2312" w:cs="仿宋_GB2312" w:eastAsia="仿宋_GB2312"/>
                      <w:sz w:val="21"/>
                    </w:rPr>
                    <w:t>②</w:t>
                  </w:r>
                  <w:r>
                    <w:rPr>
                      <w:rFonts w:ascii="仿宋_GB2312" w:hAnsi="仿宋_GB2312" w:cs="仿宋_GB2312" w:eastAsia="仿宋_GB2312"/>
                      <w:sz w:val="21"/>
                    </w:rPr>
                    <w:t>包装应符合《预包装食品标签通则》国家最新标准要求。包装袋应当 符合国家食品相关标准，包装袋无破损。包装上注明产品名称、配料表、净含量、厂名、厂址、生产日期、保质期、产品标准号。规格由双方协商确定，以便于运输存储使用为原则。</w:t>
                  </w:r>
                </w:p>
                <w:p>
                  <w:pPr>
                    <w:pStyle w:val="null3"/>
                    <w:jc w:val="both"/>
                  </w:pPr>
                  <w:r>
                    <w:rPr>
                      <w:rFonts w:ascii="仿宋_GB2312" w:hAnsi="仿宋_GB2312" w:cs="仿宋_GB2312" w:eastAsia="仿宋_GB2312"/>
                      <w:sz w:val="21"/>
                    </w:rPr>
                    <w:t>③</w:t>
                  </w:r>
                  <w:r>
                    <w:rPr>
                      <w:rFonts w:ascii="仿宋_GB2312" w:hAnsi="仿宋_GB2312" w:cs="仿宋_GB2312" w:eastAsia="仿宋_GB2312"/>
                      <w:sz w:val="21"/>
                    </w:rPr>
                    <w:t>每批货提供给采购人时质保期有效期须在</w:t>
                  </w:r>
                  <w:r>
                    <w:rPr>
                      <w:rFonts w:ascii="仿宋_GB2312" w:hAnsi="仿宋_GB2312" w:cs="仿宋_GB2312" w:eastAsia="仿宋_GB2312"/>
                      <w:sz w:val="21"/>
                    </w:rPr>
                    <w:t>6</w:t>
                  </w:r>
                  <w:r>
                    <w:rPr>
                      <w:rFonts w:ascii="仿宋_GB2312" w:hAnsi="仿宋_GB2312" w:cs="仿宋_GB2312" w:eastAsia="仿宋_GB2312"/>
                      <w:sz w:val="21"/>
                    </w:rPr>
                    <w:t>个月（含）以上。</w:t>
                  </w:r>
                </w:p>
              </w:tc>
              <w:tc>
                <w:tcPr>
                  <w:tcW w:type="dxa" w:w="7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14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菜籽油类</w:t>
                  </w:r>
                </w:p>
              </w:tc>
              <w:tc>
                <w:tcPr>
                  <w:tcW w:type="dxa" w:w="34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①</w:t>
                  </w:r>
                  <w:r>
                    <w:rPr>
                      <w:rFonts w:ascii="仿宋_GB2312" w:hAnsi="仿宋_GB2312" w:cs="仿宋_GB2312" w:eastAsia="仿宋_GB2312"/>
                      <w:sz w:val="21"/>
                    </w:rPr>
                    <w:t>菜籽油等级为四级压榨非转基因及以上，油质清澈明亮，无异味，不得有沉淀污物等。色泽鲜亮，清澈透明、无杂质、无沉淀物、无任何异味，经</w:t>
                  </w:r>
                  <w:r>
                    <w:rPr>
                      <w:rFonts w:ascii="仿宋_GB2312" w:hAnsi="仿宋_GB2312" w:cs="仿宋_GB2312" w:eastAsia="仿宋_GB2312"/>
                      <w:sz w:val="21"/>
                    </w:rPr>
                    <w:t>250℃</w:t>
                  </w:r>
                  <w:r>
                    <w:rPr>
                      <w:rFonts w:ascii="仿宋_GB2312" w:hAnsi="仿宋_GB2312" w:cs="仿宋_GB2312" w:eastAsia="仿宋_GB2312"/>
                      <w:sz w:val="21"/>
                    </w:rPr>
                    <w:t>加热油色不变黑，有预包装并应符合国家的有关规定和要求，有明确的计量，并标识</w:t>
                  </w:r>
                  <w:r>
                    <w:rPr>
                      <w:rFonts w:ascii="仿宋_GB2312" w:hAnsi="仿宋_GB2312" w:cs="仿宋_GB2312" w:eastAsia="仿宋_GB2312"/>
                      <w:sz w:val="21"/>
                    </w:rPr>
                    <w:t>“</w:t>
                  </w:r>
                  <w:r>
                    <w:rPr>
                      <w:rFonts w:ascii="仿宋_GB2312" w:hAnsi="仿宋_GB2312" w:cs="仿宋_GB2312" w:eastAsia="仿宋_GB2312"/>
                      <w:sz w:val="21"/>
                    </w:rPr>
                    <w:t>压榨</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②</w:t>
                  </w:r>
                  <w:r>
                    <w:rPr>
                      <w:rFonts w:ascii="仿宋_GB2312" w:hAnsi="仿宋_GB2312" w:cs="仿宋_GB2312" w:eastAsia="仿宋_GB2312"/>
                      <w:sz w:val="21"/>
                    </w:rPr>
                    <w:t>包装完整，无污染，无渗漏，产品品质好，外观色泽正常，具有该种油固有的气味和滋味。无酸败、焦糊及其它异味，色泽均匀，不含异物；</w:t>
                  </w:r>
                </w:p>
                <w:p>
                  <w:pPr>
                    <w:pStyle w:val="null3"/>
                    <w:jc w:val="both"/>
                  </w:pPr>
                  <w:r>
                    <w:rPr>
                      <w:rFonts w:ascii="仿宋_GB2312" w:hAnsi="仿宋_GB2312" w:cs="仿宋_GB2312" w:eastAsia="仿宋_GB2312"/>
                      <w:sz w:val="21"/>
                    </w:rPr>
                    <w:t>③</w:t>
                  </w:r>
                  <w:r>
                    <w:rPr>
                      <w:rFonts w:ascii="仿宋_GB2312" w:hAnsi="仿宋_GB2312" w:cs="仿宋_GB2312" w:eastAsia="仿宋_GB2312"/>
                      <w:sz w:val="21"/>
                    </w:rPr>
                    <w:t>每批货提供给采购人时质保期有效期须在</w:t>
                  </w:r>
                  <w:r>
                    <w:rPr>
                      <w:rFonts w:ascii="仿宋_GB2312" w:hAnsi="仿宋_GB2312" w:cs="仿宋_GB2312" w:eastAsia="仿宋_GB2312"/>
                      <w:sz w:val="21"/>
                    </w:rPr>
                    <w:t>6</w:t>
                  </w:r>
                  <w:r>
                    <w:rPr>
                      <w:rFonts w:ascii="仿宋_GB2312" w:hAnsi="仿宋_GB2312" w:cs="仿宋_GB2312" w:eastAsia="仿宋_GB2312"/>
                      <w:sz w:val="21"/>
                    </w:rPr>
                    <w:t>个月（含）以上。</w:t>
                  </w:r>
                </w:p>
                <w:p>
                  <w:pPr>
                    <w:pStyle w:val="null3"/>
                    <w:jc w:val="both"/>
                  </w:pPr>
                  <w:r>
                    <w:rPr>
                      <w:rFonts w:ascii="仿宋_GB2312" w:hAnsi="仿宋_GB2312" w:cs="仿宋_GB2312" w:eastAsia="仿宋_GB2312"/>
                      <w:sz w:val="21"/>
                    </w:rPr>
                    <w:t>④</w:t>
                  </w:r>
                  <w:r>
                    <w:rPr>
                      <w:rFonts w:ascii="仿宋_GB2312" w:hAnsi="仿宋_GB2312" w:cs="仿宋_GB2312" w:eastAsia="仿宋_GB2312"/>
                      <w:sz w:val="21"/>
                    </w:rPr>
                    <w:t>包装要求：包装标识清楚，印有生产日期、保质期、生产厂家、电话等。规格由双方协商确定，以便于运输存储使用为原则。</w:t>
                  </w:r>
                </w:p>
              </w:tc>
              <w:tc>
                <w:tcPr>
                  <w:tcW w:type="dxa" w:w="7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14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干杂调味品类（散装、预包装均可）。</w:t>
                  </w:r>
                </w:p>
              </w:tc>
              <w:tc>
                <w:tcPr>
                  <w:tcW w:type="dxa" w:w="34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包括但不限于豆瓣、味精、盐、花椒、干海椒、胡椒、香料等干杂调料等食堂所需的其他调味品；</w:t>
                  </w:r>
                </w:p>
                <w:p>
                  <w:pPr>
                    <w:pStyle w:val="null3"/>
                    <w:jc w:val="both"/>
                  </w:pPr>
                  <w:r>
                    <w:rPr>
                      <w:rFonts w:ascii="仿宋_GB2312" w:hAnsi="仿宋_GB2312" w:cs="仿宋_GB2312" w:eastAsia="仿宋_GB2312"/>
                      <w:sz w:val="21"/>
                    </w:rPr>
                    <w:t>酱油：颜色比较红、亮，有光泽、透明，把这酱油倒在瓶子里后，摇一下，产生的泡沫非常细腻，保持持久，挂碗现象非常好，有一种发黏的感觉；</w:t>
                  </w:r>
                </w:p>
                <w:p>
                  <w:pPr>
                    <w:pStyle w:val="null3"/>
                    <w:jc w:val="both"/>
                  </w:pPr>
                  <w:r>
                    <w:rPr>
                      <w:rFonts w:ascii="仿宋_GB2312" w:hAnsi="仿宋_GB2312" w:cs="仿宋_GB2312" w:eastAsia="仿宋_GB2312"/>
                      <w:sz w:val="21"/>
                    </w:rPr>
                    <w:t>味精：无色至白色结晶或粉末，具有特殊的鲜味，无异味，无肉眼可见杂质。</w:t>
                  </w:r>
                </w:p>
                <w:p>
                  <w:pPr>
                    <w:pStyle w:val="null3"/>
                    <w:jc w:val="both"/>
                  </w:pPr>
                  <w:r>
                    <w:rPr>
                      <w:rFonts w:ascii="仿宋_GB2312" w:hAnsi="仿宋_GB2312" w:cs="仿宋_GB2312" w:eastAsia="仿宋_GB2312"/>
                      <w:sz w:val="21"/>
                    </w:rPr>
                    <w:t>食醋：具有正常食醋的色泽、气味和滋味，不涩，无其他不良气味与异味，无浮物，不浑浊，无沉淀，无异物，无醋鳗、醋虱。</w:t>
                  </w:r>
                </w:p>
                <w:p>
                  <w:pPr>
                    <w:pStyle w:val="null3"/>
                    <w:jc w:val="both"/>
                  </w:pPr>
                  <w:r>
                    <w:rPr>
                      <w:rFonts w:ascii="仿宋_GB2312" w:hAnsi="仿宋_GB2312" w:cs="仿宋_GB2312" w:eastAsia="仿宋_GB2312"/>
                      <w:sz w:val="21"/>
                    </w:rPr>
                    <w:t>酱腌菜：具有酱腌菜固有的色、香、味，无杂质，无其他不良气味，不得有霉斑白膜。</w:t>
                  </w:r>
                </w:p>
                <w:p>
                  <w:pPr>
                    <w:pStyle w:val="null3"/>
                    <w:jc w:val="both"/>
                  </w:pPr>
                  <w:r>
                    <w:rPr>
                      <w:rFonts w:ascii="仿宋_GB2312" w:hAnsi="仿宋_GB2312" w:cs="仿宋_GB2312" w:eastAsia="仿宋_GB2312"/>
                      <w:sz w:val="21"/>
                    </w:rPr>
                    <w:t>豆瓣：具有正常酿造酱的色泽、气味和滋味，不涩，无其他不良气味，不得有酸、苦、焦糊及其它异味、异物。</w:t>
                  </w:r>
                </w:p>
                <w:p>
                  <w:pPr>
                    <w:pStyle w:val="null3"/>
                    <w:jc w:val="both"/>
                  </w:pPr>
                  <w:r>
                    <w:rPr>
                      <w:rFonts w:ascii="仿宋_GB2312" w:hAnsi="仿宋_GB2312" w:cs="仿宋_GB2312" w:eastAsia="仿宋_GB2312"/>
                      <w:sz w:val="21"/>
                    </w:rPr>
                    <w:t>淀粉制品：具有各自品种固有的形态和色泽，不酸、不粘、不发霉，无变质，无异味，无杂质，口尝无砂质。</w:t>
                  </w:r>
                </w:p>
                <w:p>
                  <w:pPr>
                    <w:pStyle w:val="null3"/>
                    <w:jc w:val="both"/>
                  </w:pPr>
                  <w:r>
                    <w:rPr>
                      <w:rFonts w:ascii="仿宋_GB2312" w:hAnsi="仿宋_GB2312" w:cs="仿宋_GB2312" w:eastAsia="仿宋_GB2312"/>
                      <w:sz w:val="21"/>
                    </w:rPr>
                    <w:t>食盐：结晶整齐一致，坚硬光滑，呈透明或半透明，不结块，无反卤吸潮现象，无杂质，沾取少许尝试具有纯正的咸味。</w:t>
                  </w:r>
                </w:p>
                <w:p>
                  <w:pPr>
                    <w:pStyle w:val="null3"/>
                    <w:jc w:val="both"/>
                  </w:pPr>
                  <w:r>
                    <w:rPr>
                      <w:rFonts w:ascii="仿宋_GB2312" w:hAnsi="仿宋_GB2312" w:cs="仿宋_GB2312" w:eastAsia="仿宋_GB2312"/>
                      <w:sz w:val="21"/>
                    </w:rPr>
                    <w:t>大豆：大豆根据其种皮颜色和粒形可分为黄大豆、青大豆、黑大豆、其他大豆</w:t>
                  </w:r>
                  <w:r>
                    <w:rPr>
                      <w:rFonts w:ascii="仿宋_GB2312" w:hAnsi="仿宋_GB2312" w:cs="仿宋_GB2312" w:eastAsia="仿宋_GB2312"/>
                      <w:sz w:val="21"/>
                    </w:rPr>
                    <w:t>(</w:t>
                  </w:r>
                  <w:r>
                    <w:rPr>
                      <w:rFonts w:ascii="仿宋_GB2312" w:hAnsi="仿宋_GB2312" w:cs="仿宋_GB2312" w:eastAsia="仿宋_GB2312"/>
                      <w:sz w:val="21"/>
                    </w:rPr>
                    <w:t>赤色、褐色、棕色等</w:t>
                  </w:r>
                  <w:r>
                    <w:rPr>
                      <w:rFonts w:ascii="仿宋_GB2312" w:hAnsi="仿宋_GB2312" w:cs="仿宋_GB2312" w:eastAsia="仿宋_GB2312"/>
                      <w:sz w:val="21"/>
                    </w:rPr>
                    <w:t>)</w:t>
                  </w:r>
                  <w:r>
                    <w:rPr>
                      <w:rFonts w:ascii="仿宋_GB2312" w:hAnsi="仿宋_GB2312" w:cs="仿宋_GB2312" w:eastAsia="仿宋_GB2312"/>
                      <w:sz w:val="21"/>
                    </w:rPr>
                    <w:t>和饲料豆</w:t>
                  </w:r>
                  <w:r>
                    <w:rPr>
                      <w:rFonts w:ascii="仿宋_GB2312" w:hAnsi="仿宋_GB2312" w:cs="仿宋_GB2312" w:eastAsia="仿宋_GB2312"/>
                      <w:sz w:val="21"/>
                    </w:rPr>
                    <w:t>(</w:t>
                  </w:r>
                  <w:r>
                    <w:rPr>
                      <w:rFonts w:ascii="仿宋_GB2312" w:hAnsi="仿宋_GB2312" w:cs="仿宋_GB2312" w:eastAsia="仿宋_GB2312"/>
                      <w:sz w:val="21"/>
                    </w:rPr>
                    <w:t>秣食豆</w:t>
                  </w:r>
                  <w:r>
                    <w:rPr>
                      <w:rFonts w:ascii="仿宋_GB2312" w:hAnsi="仿宋_GB2312" w:cs="仿宋_GB2312" w:eastAsia="仿宋_GB2312"/>
                      <w:sz w:val="21"/>
                    </w:rPr>
                    <w:t>)</w:t>
                  </w:r>
                  <w:r>
                    <w:rPr>
                      <w:rFonts w:ascii="仿宋_GB2312" w:hAnsi="仿宋_GB2312" w:cs="仿宋_GB2312" w:eastAsia="仿宋_GB2312"/>
                      <w:sz w:val="21"/>
                    </w:rPr>
                    <w:t>五类。大豆皮色呈各种大豆固有的颜色，光彩油亮，洁净而有光泽，颗粒饱满，整齐均匀，无虫蛀粒，无杂质，无霉变。</w:t>
                  </w:r>
                </w:p>
                <w:p>
                  <w:pPr>
                    <w:pStyle w:val="null3"/>
                    <w:jc w:val="both"/>
                  </w:pPr>
                  <w:r>
                    <w:rPr>
                      <w:rFonts w:ascii="仿宋_GB2312" w:hAnsi="仿宋_GB2312" w:cs="仿宋_GB2312" w:eastAsia="仿宋_GB2312"/>
                      <w:sz w:val="21"/>
                    </w:rPr>
                    <w:t>花生：果荚呈土黄色或白色，果仁呈各不同品种所特有的颜色，色泽分布均匀一致，带荚花生和去荚果仁均颗粒饱满、形态完整、大小均匀，子叶肥厚而有光泽，无杂质，具有花生特有的气味、香味，无任何异味。</w:t>
                  </w:r>
                </w:p>
                <w:p>
                  <w:pPr>
                    <w:pStyle w:val="null3"/>
                    <w:jc w:val="both"/>
                  </w:pPr>
                  <w:r>
                    <w:rPr>
                      <w:rFonts w:ascii="仿宋_GB2312" w:hAnsi="仿宋_GB2312" w:cs="仿宋_GB2312" w:eastAsia="仿宋_GB2312"/>
                      <w:sz w:val="21"/>
                    </w:rPr>
                    <w:t>食糖：食糖根据经营习惯分为白糖、红糖、冰糖、方糖等。</w:t>
                  </w:r>
                </w:p>
                <w:p>
                  <w:pPr>
                    <w:pStyle w:val="null3"/>
                    <w:jc w:val="both"/>
                  </w:pPr>
                  <w:r>
                    <w:rPr>
                      <w:rFonts w:ascii="仿宋_GB2312" w:hAnsi="仿宋_GB2312" w:cs="仿宋_GB2312" w:eastAsia="仿宋_GB2312"/>
                      <w:sz w:val="21"/>
                    </w:rPr>
                    <w:t>①</w:t>
                  </w:r>
                  <w:r>
                    <w:rPr>
                      <w:rFonts w:ascii="仿宋_GB2312" w:hAnsi="仿宋_GB2312" w:cs="仿宋_GB2312" w:eastAsia="仿宋_GB2312"/>
                      <w:sz w:val="21"/>
                    </w:rPr>
                    <w:t>白糖的感官鉴别：色泽洁白明亮，有光泽，具有白糖的正常气味，无酸味、酒味或其他外来气味。</w:t>
                  </w:r>
                </w:p>
                <w:p>
                  <w:pPr>
                    <w:pStyle w:val="null3"/>
                    <w:jc w:val="both"/>
                  </w:pPr>
                  <w:r>
                    <w:rPr>
                      <w:rFonts w:ascii="仿宋_GB2312" w:hAnsi="仿宋_GB2312" w:cs="仿宋_GB2312" w:eastAsia="仿宋_GB2312"/>
                      <w:sz w:val="21"/>
                    </w:rPr>
                    <w:t>白砂糖：颗粒大如砂粒，晶粒均匀整齐，晶面明显，无碎末，糖质坚硬。</w:t>
                  </w:r>
                </w:p>
                <w:p>
                  <w:pPr>
                    <w:pStyle w:val="null3"/>
                    <w:jc w:val="both"/>
                  </w:pPr>
                  <w:r>
                    <w:rPr>
                      <w:rFonts w:ascii="仿宋_GB2312" w:hAnsi="仿宋_GB2312" w:cs="仿宋_GB2312" w:eastAsia="仿宋_GB2312"/>
                      <w:sz w:val="21"/>
                    </w:rPr>
                    <w:t>绵白糖：颗粒细小而均匀，质地绵软、潮润。</w:t>
                  </w:r>
                </w:p>
                <w:p>
                  <w:pPr>
                    <w:pStyle w:val="null3"/>
                    <w:jc w:val="both"/>
                  </w:pPr>
                  <w:r>
                    <w:rPr>
                      <w:rFonts w:ascii="仿宋_GB2312" w:hAnsi="仿宋_GB2312" w:cs="仿宋_GB2312" w:eastAsia="仿宋_GB2312"/>
                      <w:sz w:val="21"/>
                    </w:rPr>
                    <w:t>冰糖：块形完整，个粒均匀，结晶组织严密，透明或半透明，无破碎。方糖：呈正六面体状，表面平整，无裂纹，铁边，断角，无突出砂粒，无霉斑。</w:t>
                  </w:r>
                </w:p>
                <w:p>
                  <w:pPr>
                    <w:pStyle w:val="null3"/>
                    <w:jc w:val="both"/>
                  </w:pPr>
                  <w:r>
                    <w:rPr>
                      <w:rFonts w:ascii="仿宋_GB2312" w:hAnsi="仿宋_GB2312" w:cs="仿宋_GB2312" w:eastAsia="仿宋_GB2312"/>
                      <w:sz w:val="21"/>
                    </w:rPr>
                    <w:t>凡是白糖都应干燥，晶粒松散，不粘手，不结块，无肉眼可见的杂质，白糖的水溶液应清晰透明无杂质。</w:t>
                  </w:r>
                </w:p>
                <w:p>
                  <w:pPr>
                    <w:pStyle w:val="null3"/>
                    <w:jc w:val="both"/>
                  </w:pPr>
                  <w:r>
                    <w:rPr>
                      <w:rFonts w:ascii="仿宋_GB2312" w:hAnsi="仿宋_GB2312" w:cs="仿宋_GB2312" w:eastAsia="仿宋_GB2312"/>
                      <w:sz w:val="21"/>
                    </w:rPr>
                    <w:t>②</w:t>
                  </w:r>
                  <w:r>
                    <w:rPr>
                      <w:rFonts w:ascii="仿宋_GB2312" w:hAnsi="仿宋_GB2312" w:cs="仿宋_GB2312" w:eastAsia="仿宋_GB2312"/>
                      <w:sz w:val="21"/>
                    </w:rPr>
                    <w:t>红糖的感官鉴别：红糖可细分为赤砂糖和红糖两种，其中赤砂糖是机制未经洗蜜的糖，红糖是用手工制成的土糖。</w:t>
                  </w:r>
                </w:p>
                <w:p>
                  <w:pPr>
                    <w:pStyle w:val="null3"/>
                    <w:jc w:val="both"/>
                  </w:pPr>
                  <w:r>
                    <w:rPr>
                      <w:rFonts w:ascii="仿宋_GB2312" w:hAnsi="仿宋_GB2312" w:cs="仿宋_GB2312" w:eastAsia="仿宋_GB2312"/>
                      <w:sz w:val="21"/>
                    </w:rPr>
                    <w:t>因红糖的颜色有红褐、青褐、黄褐、赤红、金黄、淡黄、枣红等多种，很不一致，故凭色泽难以识别红糖的质量，应将感官鉴别的侧重点放在组织状态、气味、滋味三个指标上。呈晶粒状或粉末状，干燥而松散，不结块，不成团，杂质，其水溶液清晰，无沉淀，无悬浮物，具有甘蔗汁的清香味，无有酒味、酸味或其他外来不良气味，味浓甜带鲜，微有糖蜜味，无焦苦味或其他外来异味。</w:t>
                  </w:r>
                </w:p>
                <w:p>
                  <w:pPr>
                    <w:pStyle w:val="null3"/>
                    <w:jc w:val="both"/>
                  </w:pPr>
                  <w:r>
                    <w:rPr>
                      <w:rFonts w:ascii="仿宋_GB2312" w:hAnsi="仿宋_GB2312" w:cs="仿宋_GB2312" w:eastAsia="仿宋_GB2312"/>
                      <w:sz w:val="21"/>
                    </w:rPr>
                    <w:t>辛辣料：辛辣料是采用植物果实和种子粉碎而配制成的天然植物香料，如五香粉、胡椒粉、花椒粉、咖喱粉、芥末粉等，辛辣料的主要原料有八角、花椒、胡椒、桂皮、小茴香、大茴香、辣椒、孜然等。辛辣料呈干燥状，具有该种香料植物所特有的色、香、味，没有不纯正的气味和味道，无发霉味或其他异味。</w:t>
                  </w:r>
                </w:p>
                <w:p>
                  <w:pPr>
                    <w:pStyle w:val="null3"/>
                    <w:jc w:val="both"/>
                  </w:pPr>
                  <w:r>
                    <w:rPr>
                      <w:rFonts w:ascii="仿宋_GB2312" w:hAnsi="仿宋_GB2312" w:cs="仿宋_GB2312" w:eastAsia="仿宋_GB2312"/>
                      <w:sz w:val="21"/>
                    </w:rPr>
                    <w:t>粮食类：米粒饱满，豆粒完整，洁净有光泽，无杂质，无发霉、生虫等变质现象。</w:t>
                  </w:r>
                </w:p>
                <w:p>
                  <w:pPr>
                    <w:pStyle w:val="null3"/>
                    <w:jc w:val="both"/>
                  </w:pPr>
                  <w:r>
                    <w:rPr>
                      <w:rFonts w:ascii="仿宋_GB2312" w:hAnsi="仿宋_GB2312" w:cs="仿宋_GB2312" w:eastAsia="仿宋_GB2312"/>
                      <w:sz w:val="21"/>
                    </w:rPr>
                    <w:t>注：</w:t>
                  </w:r>
                  <w:r>
                    <w:rPr>
                      <w:rFonts w:ascii="仿宋_GB2312" w:hAnsi="仿宋_GB2312" w:cs="仿宋_GB2312" w:eastAsia="仿宋_GB2312"/>
                      <w:sz w:val="21"/>
                    </w:rPr>
                    <w:t>①</w:t>
                  </w:r>
                  <w:r>
                    <w:rPr>
                      <w:rFonts w:ascii="仿宋_GB2312" w:hAnsi="仿宋_GB2312" w:cs="仿宋_GB2312" w:eastAsia="仿宋_GB2312"/>
                      <w:sz w:val="21"/>
                    </w:rPr>
                    <w:t>食品原料必须符合国家最新质量、卫生、安全标准或行业质量要求；定型包装类食品原料必须符合食品安全国家标准要求，商品的包装须符合</w:t>
                  </w:r>
                  <w:r>
                    <w:rPr>
                      <w:rFonts w:ascii="仿宋_GB2312" w:hAnsi="仿宋_GB2312" w:cs="仿宋_GB2312" w:eastAsia="仿宋_GB2312"/>
                      <w:sz w:val="21"/>
                    </w:rPr>
                    <w:t>GB7718</w:t>
                  </w:r>
                  <w:r>
                    <w:rPr>
                      <w:rFonts w:ascii="仿宋_GB2312" w:hAnsi="仿宋_GB2312" w:cs="仿宋_GB2312" w:eastAsia="仿宋_GB2312"/>
                      <w:sz w:val="21"/>
                    </w:rPr>
                    <w:t>《预包装食品标签通则》标准要求，具备产品合格证，不变质，不过期。包装袋无破损，包装上注明产品名称、对原材料产地、用途、使用方法、规格、质量、等级、配料表、净含量、厂名、厂址、生产日期、保质期、产品标准号、生产许可证编号等商品使用属性密切相关的内容须有清晰的标示。</w:t>
                  </w:r>
                </w:p>
                <w:p>
                  <w:pPr>
                    <w:pStyle w:val="null3"/>
                    <w:jc w:val="both"/>
                  </w:pPr>
                  <w:r>
                    <w:rPr>
                      <w:rFonts w:ascii="仿宋_GB2312" w:hAnsi="仿宋_GB2312" w:cs="仿宋_GB2312" w:eastAsia="仿宋_GB2312"/>
                      <w:sz w:val="21"/>
                    </w:rPr>
                    <w:t>②</w:t>
                  </w:r>
                  <w:r>
                    <w:rPr>
                      <w:rFonts w:ascii="仿宋_GB2312" w:hAnsi="仿宋_GB2312" w:cs="仿宋_GB2312" w:eastAsia="仿宋_GB2312"/>
                      <w:sz w:val="21"/>
                    </w:rPr>
                    <w:t>每批货提供给采购人时质保期有效期须在</w:t>
                  </w:r>
                  <w:r>
                    <w:rPr>
                      <w:rFonts w:ascii="仿宋_GB2312" w:hAnsi="仿宋_GB2312" w:cs="仿宋_GB2312" w:eastAsia="仿宋_GB2312"/>
                      <w:sz w:val="21"/>
                    </w:rPr>
                    <w:t>6</w:t>
                  </w:r>
                  <w:r>
                    <w:rPr>
                      <w:rFonts w:ascii="仿宋_GB2312" w:hAnsi="仿宋_GB2312" w:cs="仿宋_GB2312" w:eastAsia="仿宋_GB2312"/>
                      <w:sz w:val="21"/>
                    </w:rPr>
                    <w:t>个月（含）以上。</w:t>
                  </w:r>
                </w:p>
              </w:tc>
              <w:tc>
                <w:tcPr>
                  <w:tcW w:type="dxa" w:w="7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bl>
          <w:p>
            <w:pPr>
              <w:pStyle w:val="null3"/>
              <w:jc w:val="both"/>
            </w:pPr>
            <w:r>
              <w:rPr>
                <w:rFonts w:ascii="仿宋_GB2312" w:hAnsi="仿宋_GB2312" w:cs="仿宋_GB2312" w:eastAsia="仿宋_GB2312"/>
                <w:sz w:val="21"/>
              </w:rPr>
              <w:t>（二）包装、标识要求</w:t>
            </w:r>
          </w:p>
          <w:p>
            <w:pPr>
              <w:pStyle w:val="null3"/>
              <w:jc w:val="both"/>
            </w:pPr>
            <w:r>
              <w:rPr>
                <w:rFonts w:ascii="仿宋_GB2312" w:hAnsi="仿宋_GB2312" w:cs="仿宋_GB2312" w:eastAsia="仿宋_GB2312"/>
                <w:sz w:val="21"/>
              </w:rPr>
              <w:t>经确认的品牌和包装，内外包装应完整卫生，无受潮，无破漏，真空包装无漏气</w:t>
            </w:r>
            <w:r>
              <w:rPr>
                <w:rFonts w:ascii="仿宋_GB2312" w:hAnsi="仿宋_GB2312" w:cs="仿宋_GB2312" w:eastAsia="仿宋_GB2312"/>
                <w:sz w:val="21"/>
              </w:rPr>
              <w:t>/</w:t>
            </w:r>
            <w:r>
              <w:rPr>
                <w:rFonts w:ascii="仿宋_GB2312" w:hAnsi="仿宋_GB2312" w:cs="仿宋_GB2312" w:eastAsia="仿宋_GB2312"/>
                <w:sz w:val="21"/>
              </w:rPr>
              <w:t>膨胀情况，内包装物应无破损，货品形状完好无损。包装材料应符合相应的国家标准。容器（框、箱、袋）要求清洁、干燥、牢固、透气无污染、无异味、无霉变现象。包装容器不得使用玻璃、金属等可能存在安全隐患的材质。预包装商品需标示产品名称、配料表、净含量、生产商名称和地址、生产许可证编号（许可商品），执行标准，生产日期、储存条件、保质期，有质量等级也需标示。</w:t>
            </w:r>
          </w:p>
          <w:p>
            <w:pPr>
              <w:pStyle w:val="null3"/>
              <w:jc w:val="both"/>
            </w:pPr>
            <w:r>
              <w:rPr>
                <w:rFonts w:ascii="仿宋_GB2312" w:hAnsi="仿宋_GB2312" w:cs="仿宋_GB2312" w:eastAsia="仿宋_GB2312"/>
                <w:sz w:val="21"/>
              </w:rPr>
              <w:t>（三）运输要求</w:t>
            </w:r>
          </w:p>
          <w:p>
            <w:pPr>
              <w:pStyle w:val="null3"/>
              <w:jc w:val="both"/>
            </w:pPr>
            <w:r>
              <w:rPr>
                <w:rFonts w:ascii="仿宋_GB2312" w:hAnsi="仿宋_GB2312" w:cs="仿宋_GB2312" w:eastAsia="仿宋_GB2312"/>
                <w:sz w:val="21"/>
              </w:rPr>
              <w:t>整个运输过程应科学合理，运输必须采用符合卫生要求的外包装和运载工具，并且要保持清洁和定期消毒，车厢内无不良气味、异味。运输工具应清洁卫生无污染；运输途中严防日晒、雨淋，注意通风散热；供应商品应小心轻卸，严防机械损伤。</w:t>
            </w:r>
          </w:p>
          <w:p>
            <w:pPr>
              <w:pStyle w:val="null3"/>
              <w:jc w:val="both"/>
            </w:pPr>
            <w:r>
              <w:rPr>
                <w:rFonts w:ascii="仿宋_GB2312" w:hAnsi="仿宋_GB2312" w:cs="仿宋_GB2312" w:eastAsia="仿宋_GB2312"/>
                <w:sz w:val="21"/>
              </w:rPr>
              <w:t>（四）货物溯源要求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、食品供应链必须明确，所有食品的来源必须清晰，来源应当是生产厂家或受地方政府部门监管的流通市场。</w:t>
            </w:r>
            <w:r>
              <w:rPr>
                <w:rFonts w:ascii="仿宋_GB2312" w:hAnsi="仿宋_GB2312" w:cs="仿宋_GB2312" w:eastAsia="仿宋_GB2312"/>
                <w:sz w:val="21"/>
              </w:rPr>
              <w:t>2</w:t>
            </w:r>
            <w:r>
              <w:rPr>
                <w:rFonts w:ascii="仿宋_GB2312" w:hAnsi="仿宋_GB2312" w:cs="仿宋_GB2312" w:eastAsia="仿宋_GB2312"/>
                <w:sz w:val="21"/>
              </w:rPr>
              <w:t>、保质期：保质期在</w:t>
            </w:r>
            <w:r>
              <w:rPr>
                <w:rFonts w:ascii="仿宋_GB2312" w:hAnsi="仿宋_GB2312" w:cs="仿宋_GB2312" w:eastAsia="仿宋_GB2312"/>
                <w:sz w:val="21"/>
              </w:rPr>
              <w:t>2</w:t>
            </w:r>
            <w:r>
              <w:rPr>
                <w:rFonts w:ascii="仿宋_GB2312" w:hAnsi="仿宋_GB2312" w:cs="仿宋_GB2312" w:eastAsia="仿宋_GB2312"/>
                <w:sz w:val="21"/>
              </w:rPr>
              <w:t>个月以上，收货日期距保质期仍有</w:t>
            </w:r>
            <w:r>
              <w:rPr>
                <w:rFonts w:ascii="仿宋_GB2312" w:hAnsi="仿宋_GB2312" w:cs="仿宋_GB2312" w:eastAsia="仿宋_GB2312"/>
                <w:sz w:val="21"/>
              </w:rPr>
              <w:t>2/3</w:t>
            </w:r>
            <w:r>
              <w:rPr>
                <w:rFonts w:ascii="仿宋_GB2312" w:hAnsi="仿宋_GB2312" w:cs="仿宋_GB2312" w:eastAsia="仿宋_GB2312"/>
                <w:sz w:val="21"/>
              </w:rPr>
              <w:t>或以上。每月提供</w:t>
            </w:r>
            <w:r>
              <w:rPr>
                <w:rFonts w:ascii="仿宋_GB2312" w:hAnsi="仿宋_GB2312" w:cs="仿宋_GB2312" w:eastAsia="仿宋_GB2312"/>
                <w:sz w:val="21"/>
              </w:rPr>
              <w:t>1</w:t>
            </w:r>
            <w:r>
              <w:rPr>
                <w:rFonts w:ascii="仿宋_GB2312" w:hAnsi="仿宋_GB2312" w:cs="仿宋_GB2312" w:eastAsia="仿宋_GB2312"/>
                <w:sz w:val="21"/>
              </w:rPr>
              <w:t>次书面溯源材料。</w:t>
            </w:r>
          </w:p>
          <w:p>
            <w:pPr>
              <w:pStyle w:val="null3"/>
              <w:jc w:val="left"/>
            </w:pPr>
            <w:r>
              <w:rPr>
                <w:rFonts w:ascii="仿宋_GB2312" w:hAnsi="仿宋_GB2312" w:cs="仿宋_GB2312" w:eastAsia="仿宋_GB2312"/>
              </w:rPr>
              <w:t xml:space="preserve"> </w:t>
            </w:r>
          </w:p>
          <w:p>
            <w:pPr>
              <w:pStyle w:val="null3"/>
              <w:jc w:val="both"/>
            </w:pP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二、服务要求</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、供应商必须自行提供配送服务，不得将配送项目进行任何方式的分包、转包。供应商配送人员需提供有效期内的健康证以及应对新冠肺炎等类似疫情的相关防疫措施。</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 由成交供应商按照采购人的采购计划要求，及时进行配送，并送货至采购人食堂指定的仓库，配送物资价格应包含乙方所有税费、成本、利润、包装、运输、装卸、各类劳保、保险等一切费用。</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首次供应时，应提供成交供应商的《营业执照》、《食品经营许可证》或《食品流通许可证》、配送人员有效期内的健康证等复印件交采购人存档。每次供应时应向采购人提供货物清单（送货单），提供后需由采购人确定。</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送货时间：按合同约定的配送时间（包含早中晚餐，以食堂加工需要为准），将采购人当日所需配送的品种足量送到食堂，不得无故更改和延误。如遇采购人有紧急采购需求而供应商不能按时、按质、按量供货的，采购人有权自行采购，产生的费用由供应商据实承担。</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、供应商保证配送的商品质量、数量、送货时间等均符合采购人要求。如遇不可抗拒因素造成送货延误的，经采购人同意后，供应商应按采购人另行制定的地点和时间及时送达。</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、采购人将建立本次项目的价格监测、供应商管理机制；对供应商的价格进行实时监控，对所供产品的质量进行检验检疫（或检测）。供应商应按采购人的要求，提供产品的价格、检疫（或 检测）报告、相关许可证等。根据市场情况及指导价格，及时调整产品的供货价，积极配合相关部门的监督检查。</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供应商应自行承担所供产品的全部安全责任。一旦供应商发生违约情况造成经济损失的，采购人有权从当月货款中扣除。若发生食品安全责任事故或供应商故意不按采购人要求供货达二次，供应商除应承担相关民事和刑事责任外，采购人有权终止合同另行采购。</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三、商务要求</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、配送地点：眉山市公安局交通警察支队食堂。运输方式由成交供应商自行选择。在组织货物供应过程中发生的运输费、搬运费、税金等一切费用由成交供应商负担。</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、货款按月支付，当月货款要待到月末财务结算后通知供应商提供符合采购人要求的付款凭证，采购人在收到有效的支付票据后在</w:t>
            </w:r>
            <w:r>
              <w:rPr>
                <w:rFonts w:ascii="仿宋_GB2312" w:hAnsi="仿宋_GB2312" w:cs="仿宋_GB2312" w:eastAsia="仿宋_GB2312"/>
                <w:sz w:val="21"/>
              </w:rPr>
              <w:t>10</w:t>
            </w:r>
            <w:r>
              <w:rPr>
                <w:rFonts w:ascii="仿宋_GB2312" w:hAnsi="仿宋_GB2312" w:cs="仿宋_GB2312" w:eastAsia="仿宋_GB2312"/>
                <w:sz w:val="21"/>
              </w:rPr>
              <w:t>个工作日内根据考核情况支付上月费用。每月考核得分</w:t>
            </w:r>
            <w:r>
              <w:rPr>
                <w:rFonts w:ascii="仿宋_GB2312" w:hAnsi="仿宋_GB2312" w:cs="仿宋_GB2312" w:eastAsia="仿宋_GB2312"/>
                <w:sz w:val="21"/>
              </w:rPr>
              <w:t>≥ 90</w:t>
            </w:r>
            <w:r>
              <w:rPr>
                <w:rFonts w:ascii="仿宋_GB2312" w:hAnsi="仿宋_GB2312" w:cs="仿宋_GB2312" w:eastAsia="仿宋_GB2312"/>
                <w:sz w:val="21"/>
              </w:rPr>
              <w:t>分的支付考核当月全部费用，</w:t>
            </w:r>
            <w:r>
              <w:rPr>
                <w:rFonts w:ascii="仿宋_GB2312" w:hAnsi="仿宋_GB2312" w:cs="仿宋_GB2312" w:eastAsia="仿宋_GB2312"/>
                <w:sz w:val="21"/>
              </w:rPr>
              <w:t>80≤</w:t>
            </w:r>
            <w:r>
              <w:rPr>
                <w:rFonts w:ascii="仿宋_GB2312" w:hAnsi="仿宋_GB2312" w:cs="仿宋_GB2312" w:eastAsia="仿宋_GB2312"/>
                <w:sz w:val="21"/>
              </w:rPr>
              <w:t>考核得分＜</w:t>
            </w:r>
            <w:r>
              <w:rPr>
                <w:rFonts w:ascii="仿宋_GB2312" w:hAnsi="仿宋_GB2312" w:cs="仿宋_GB2312" w:eastAsia="仿宋_GB2312"/>
                <w:sz w:val="21"/>
              </w:rPr>
              <w:t>90</w:t>
            </w:r>
            <w:r>
              <w:rPr>
                <w:rFonts w:ascii="仿宋_GB2312" w:hAnsi="仿宋_GB2312" w:cs="仿宋_GB2312" w:eastAsia="仿宋_GB2312"/>
                <w:sz w:val="21"/>
              </w:rPr>
              <w:t>分的按考核当月费用的</w:t>
            </w:r>
            <w:r>
              <w:rPr>
                <w:rFonts w:ascii="仿宋_GB2312" w:hAnsi="仿宋_GB2312" w:cs="仿宋_GB2312" w:eastAsia="仿宋_GB2312"/>
                <w:sz w:val="21"/>
              </w:rPr>
              <w:t>90%</w:t>
            </w:r>
            <w:r>
              <w:rPr>
                <w:rFonts w:ascii="仿宋_GB2312" w:hAnsi="仿宋_GB2312" w:cs="仿宋_GB2312" w:eastAsia="仿宋_GB2312"/>
                <w:sz w:val="21"/>
              </w:rPr>
              <w:t>结算支付，</w:t>
            </w:r>
            <w:r>
              <w:rPr>
                <w:rFonts w:ascii="仿宋_GB2312" w:hAnsi="仿宋_GB2312" w:cs="仿宋_GB2312" w:eastAsia="仿宋_GB2312"/>
                <w:sz w:val="21"/>
              </w:rPr>
              <w:t>70≤</w:t>
            </w:r>
            <w:r>
              <w:rPr>
                <w:rFonts w:ascii="仿宋_GB2312" w:hAnsi="仿宋_GB2312" w:cs="仿宋_GB2312" w:eastAsia="仿宋_GB2312"/>
                <w:sz w:val="21"/>
              </w:rPr>
              <w:t>考核 得分＜</w:t>
            </w:r>
            <w:r>
              <w:rPr>
                <w:rFonts w:ascii="仿宋_GB2312" w:hAnsi="仿宋_GB2312" w:cs="仿宋_GB2312" w:eastAsia="仿宋_GB2312"/>
                <w:sz w:val="21"/>
              </w:rPr>
              <w:t>80</w:t>
            </w:r>
            <w:r>
              <w:rPr>
                <w:rFonts w:ascii="仿宋_GB2312" w:hAnsi="仿宋_GB2312" w:cs="仿宋_GB2312" w:eastAsia="仿宋_GB2312"/>
                <w:sz w:val="21"/>
              </w:rPr>
              <w:t>分的按考核当月费用的</w:t>
            </w:r>
            <w:r>
              <w:rPr>
                <w:rFonts w:ascii="仿宋_GB2312" w:hAnsi="仿宋_GB2312" w:cs="仿宋_GB2312" w:eastAsia="仿宋_GB2312"/>
                <w:sz w:val="21"/>
              </w:rPr>
              <w:t>80%</w:t>
            </w:r>
            <w:r>
              <w:rPr>
                <w:rFonts w:ascii="仿宋_GB2312" w:hAnsi="仿宋_GB2312" w:cs="仿宋_GB2312" w:eastAsia="仿宋_GB2312"/>
                <w:sz w:val="21"/>
              </w:rPr>
              <w:t>结算支付，</w:t>
            </w:r>
            <w:r>
              <w:rPr>
                <w:rFonts w:ascii="仿宋_GB2312" w:hAnsi="仿宋_GB2312" w:cs="仿宋_GB2312" w:eastAsia="仿宋_GB2312"/>
                <w:sz w:val="21"/>
              </w:rPr>
              <w:t>60≤</w:t>
            </w:r>
            <w:r>
              <w:rPr>
                <w:rFonts w:ascii="仿宋_GB2312" w:hAnsi="仿宋_GB2312" w:cs="仿宋_GB2312" w:eastAsia="仿宋_GB2312"/>
                <w:sz w:val="21"/>
              </w:rPr>
              <w:t>考核得分＜</w:t>
            </w:r>
            <w:r>
              <w:rPr>
                <w:rFonts w:ascii="仿宋_GB2312" w:hAnsi="仿宋_GB2312" w:cs="仿宋_GB2312" w:eastAsia="仿宋_GB2312"/>
                <w:sz w:val="21"/>
              </w:rPr>
              <w:t>70</w:t>
            </w:r>
            <w:r>
              <w:rPr>
                <w:rFonts w:ascii="仿宋_GB2312" w:hAnsi="仿宋_GB2312" w:cs="仿宋_GB2312" w:eastAsia="仿宋_GB2312"/>
                <w:sz w:val="21"/>
              </w:rPr>
              <w:t>分的按考核当月费用的</w:t>
            </w:r>
            <w:r>
              <w:rPr>
                <w:rFonts w:ascii="仿宋_GB2312" w:hAnsi="仿宋_GB2312" w:cs="仿宋_GB2312" w:eastAsia="仿宋_GB2312"/>
                <w:sz w:val="21"/>
              </w:rPr>
              <w:t>70%</w:t>
            </w:r>
            <w:r>
              <w:rPr>
                <w:rFonts w:ascii="仿宋_GB2312" w:hAnsi="仿宋_GB2312" w:cs="仿宋_GB2312" w:eastAsia="仿宋_GB2312"/>
                <w:sz w:val="21"/>
              </w:rPr>
              <w:t>结算支付，低于</w:t>
            </w:r>
            <w:r>
              <w:rPr>
                <w:rFonts w:ascii="仿宋_GB2312" w:hAnsi="仿宋_GB2312" w:cs="仿宋_GB2312" w:eastAsia="仿宋_GB2312"/>
                <w:sz w:val="21"/>
              </w:rPr>
              <w:t>60</w:t>
            </w:r>
            <w:r>
              <w:rPr>
                <w:rFonts w:ascii="仿宋_GB2312" w:hAnsi="仿宋_GB2312" w:cs="仿宋_GB2312" w:eastAsia="仿宋_GB2312"/>
                <w:sz w:val="21"/>
              </w:rPr>
              <w:t>分的考核当月服务费全部扣除。（付款方式与后不一致，以此款为准）</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、成交供应商每日提供食材应提供当日的票据，每月按约定进行食材货款结算。</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、商品货物应为含税价格，供应商应提供等额有效、符合采购人的税务专用发票。</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四、售后服务要求</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、采购人出现紧急供货情况，成交供应商应无条件的及时电话响应，</w:t>
            </w:r>
            <w:r>
              <w:rPr>
                <w:rFonts w:ascii="仿宋_GB2312" w:hAnsi="仿宋_GB2312" w:cs="仿宋_GB2312" w:eastAsia="仿宋_GB2312"/>
                <w:sz w:val="21"/>
              </w:rPr>
              <w:t>1</w:t>
            </w:r>
            <w:r>
              <w:rPr>
                <w:rFonts w:ascii="仿宋_GB2312" w:hAnsi="仿宋_GB2312" w:cs="仿宋_GB2312" w:eastAsia="仿宋_GB2312"/>
                <w:sz w:val="21"/>
              </w:rPr>
              <w:t>小时内到达采购人处并解决货品需求。</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、采购人对于临时性的散货或少量需要，成交供应商应满足采购人需求无条件的及时供货。</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、成交供应商应严格按照采购人货物验收标准及质量考核办法，</w:t>
            </w:r>
            <w:r>
              <w:rPr>
                <w:rFonts w:ascii="仿宋_GB2312" w:hAnsi="仿宋_GB2312" w:cs="仿宋_GB2312" w:eastAsia="仿宋_GB2312"/>
                <w:sz w:val="21"/>
              </w:rPr>
              <w:t>2</w:t>
            </w:r>
            <w:r>
              <w:rPr>
                <w:rFonts w:ascii="仿宋_GB2312" w:hAnsi="仿宋_GB2312" w:cs="仿宋_GB2312" w:eastAsia="仿宋_GB2312"/>
                <w:sz w:val="21"/>
              </w:rPr>
              <w:t>次考核未达标采取自动退出机制，成交供应商应服从采购人供货安排，因供应商质量、服务、考核等原因采购人有权单方面同成交供应商解除合同。</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、成交供应商应严格按照货物质量标准进行供货，若经国家行政部门查实因原材料出现的质量问题一切责任由供应商承担，并自行承担相关法律责任及经济赔偿。</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、如遇不可抗力因素导致采购人食堂无法正常运转时，如停电、停水、停气等，成交供应商需无条件配合采购人解决民辅警、职工等人员就餐问题。</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五、验收要求</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供应商配送的所有物资必须保质保量、保鲜、无污染、无发霉、无变质、无不适宜民辅警职工食用的食品，同时必须提供相关检疫、检测等相关报告，若不能提供，验收人员有权拒绝接收并可视为本次配送货品质量不合格，可要求供应商在一个小时内重新配送有报告的物资。若供应商 无法及时供给，食堂采购人员有权自行到市场采购所需货物，若价格高于询价，差价损失由供应商自行承担。</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、配送货物除必须提供相关检测报告和证书外，还应以职工食堂验收人员、验收监督小组和厨师长等的综合意见为准，不符合要求则无条件退换。</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、供应商应按采购人的要求，提供产品的检疫（或检测）报告、相关许可证等。供应商应必须积极配合相关部门的监督检查。供应商应建立严格的管理记录档案，详细记载进货渠道、种类、数量和时间。</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、供应链必须明确，所有食材来源必须清晰，来源应当是自有基地、商品菜基地、生产厂家或受地方政府部门监管的流通市场。</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、采购人有权聘请专业检测机构对供应商所送产品随机进行检测，检测费用由供应商据实承担，检测结果不合格的按考核办法配送质量不合格处理。</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六、考核要求及退出机制</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违约追责：在服务期限内供应商有严重违约行为、价格欺诈、因产品质量问题导致食品卫生事件、被采购人书面告知整改但拒不改正等行为，采购人有权中止采购合同，并另行赔偿采购人损失，追究供货商相关法律责任。</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、如遇不可抗拒因素（如自然灾害、政策变化或单位主体发生变化等）导致合同相关主体不能履行采购合同，本合同立即自动终止。</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、考核要求：配送服务质量评议制度。对配送过程中的产品质量、产品价格、服务质量、合同执行情况、承诺兑现等方面进行综合评议。（后附考核细则）</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、退出机制。在合同期内，发生下述任一条件，则采购人有权认为供应商在实际配送中无法 满足采购人对于食品原材料的安全要求，可单方面终止合同另行采购，由此而引起的经济损失由供应商独自承担。</w:t>
            </w:r>
          </w:p>
          <w:p>
            <w:pPr>
              <w:pStyle w:val="null3"/>
              <w:jc w:val="both"/>
            </w:pPr>
            <w:r>
              <w:rPr>
                <w:rFonts w:ascii="仿宋_GB2312" w:hAnsi="仿宋_GB2312" w:cs="仿宋_GB2312" w:eastAsia="仿宋_GB2312"/>
                <w:sz w:val="21"/>
              </w:rPr>
              <w:t>①</w:t>
            </w:r>
            <w:r>
              <w:rPr>
                <w:rFonts w:ascii="仿宋_GB2312" w:hAnsi="仿宋_GB2312" w:cs="仿宋_GB2312" w:eastAsia="仿宋_GB2312"/>
                <w:sz w:val="21"/>
              </w:rPr>
              <w:t>因配送产品问题引发了任意食品安全问题（包括市场监管局抽检不合格两次及以上的）；</w:t>
            </w:r>
          </w:p>
          <w:p>
            <w:pPr>
              <w:pStyle w:val="null3"/>
              <w:jc w:val="both"/>
            </w:pPr>
            <w:r>
              <w:rPr>
                <w:rFonts w:ascii="仿宋_GB2312" w:hAnsi="仿宋_GB2312" w:cs="仿宋_GB2312" w:eastAsia="仿宋_GB2312"/>
                <w:sz w:val="21"/>
              </w:rPr>
              <w:t>②</w:t>
            </w:r>
            <w:r>
              <w:rPr>
                <w:rFonts w:ascii="仿宋_GB2312" w:hAnsi="仿宋_GB2312" w:cs="仿宋_GB2312" w:eastAsia="仿宋_GB2312"/>
                <w:sz w:val="21"/>
              </w:rPr>
              <w:t>在服务期限内提供不合格产品或者不按要求配送影响正常就餐累计</w:t>
            </w:r>
            <w:r>
              <w:rPr>
                <w:rFonts w:ascii="仿宋_GB2312" w:hAnsi="仿宋_GB2312" w:cs="仿宋_GB2312" w:eastAsia="仿宋_GB2312"/>
                <w:sz w:val="21"/>
              </w:rPr>
              <w:t>2</w:t>
            </w:r>
            <w:r>
              <w:rPr>
                <w:rFonts w:ascii="仿宋_GB2312" w:hAnsi="仿宋_GB2312" w:cs="仿宋_GB2312" w:eastAsia="仿宋_GB2312"/>
                <w:sz w:val="21"/>
              </w:rPr>
              <w:t>次的；</w:t>
            </w:r>
          </w:p>
          <w:p>
            <w:pPr>
              <w:pStyle w:val="null3"/>
              <w:jc w:val="both"/>
            </w:pPr>
            <w:r>
              <w:rPr>
                <w:rFonts w:ascii="仿宋_GB2312" w:hAnsi="仿宋_GB2312" w:cs="仿宋_GB2312" w:eastAsia="仿宋_GB2312"/>
                <w:sz w:val="21"/>
              </w:rPr>
              <w:t>③</w:t>
            </w:r>
            <w:r>
              <w:rPr>
                <w:rFonts w:ascii="仿宋_GB2312" w:hAnsi="仿宋_GB2312" w:cs="仿宋_GB2312" w:eastAsia="仿宋_GB2312"/>
                <w:sz w:val="21"/>
              </w:rPr>
              <w:t>连续</w:t>
            </w:r>
            <w:r>
              <w:rPr>
                <w:rFonts w:ascii="仿宋_GB2312" w:hAnsi="仿宋_GB2312" w:cs="仿宋_GB2312" w:eastAsia="仿宋_GB2312"/>
                <w:sz w:val="21"/>
              </w:rPr>
              <w:t>2</w:t>
            </w:r>
            <w:r>
              <w:rPr>
                <w:rFonts w:ascii="仿宋_GB2312" w:hAnsi="仿宋_GB2312" w:cs="仿宋_GB2312" w:eastAsia="仿宋_GB2312"/>
                <w:sz w:val="21"/>
              </w:rPr>
              <w:t>个月考核低于</w:t>
            </w:r>
            <w:r>
              <w:rPr>
                <w:rFonts w:ascii="仿宋_GB2312" w:hAnsi="仿宋_GB2312" w:cs="仿宋_GB2312" w:eastAsia="仿宋_GB2312"/>
                <w:sz w:val="21"/>
              </w:rPr>
              <w:t>90</w:t>
            </w:r>
            <w:r>
              <w:rPr>
                <w:rFonts w:ascii="仿宋_GB2312" w:hAnsi="仿宋_GB2312" w:cs="仿宋_GB2312" w:eastAsia="仿宋_GB2312"/>
                <w:sz w:val="21"/>
              </w:rPr>
              <w:t>分。</w:t>
            </w:r>
          </w:p>
          <w:p>
            <w:pPr>
              <w:pStyle w:val="null3"/>
              <w:jc w:val="center"/>
            </w:pPr>
            <w:r>
              <w:rPr>
                <w:rFonts w:ascii="仿宋_GB2312" w:hAnsi="仿宋_GB2312" w:cs="仿宋_GB2312" w:eastAsia="仿宋_GB2312"/>
                <w:sz w:val="21"/>
              </w:rPr>
              <w:t>食堂供应商配送考核表</w:t>
            </w:r>
          </w:p>
          <w:p>
            <w:pPr>
              <w:pStyle w:val="null3"/>
              <w:jc w:val="right"/>
            </w:pPr>
            <w:r>
              <w:rPr>
                <w:rFonts w:ascii="仿宋_GB2312" w:hAnsi="仿宋_GB2312" w:cs="仿宋_GB2312" w:eastAsia="仿宋_GB2312"/>
                <w:sz w:val="21"/>
              </w:rPr>
              <w:t>年</w:t>
            </w:r>
            <w:r>
              <w:rPr>
                <w:rFonts w:ascii="仿宋_GB2312" w:hAnsi="仿宋_GB2312" w:cs="仿宋_GB2312" w:eastAsia="仿宋_GB2312"/>
                <w:sz w:val="21"/>
              </w:rPr>
              <w:t xml:space="preserve">  </w:t>
            </w:r>
            <w:r>
              <w:rPr>
                <w:rFonts w:ascii="仿宋_GB2312" w:hAnsi="仿宋_GB2312" w:cs="仿宋_GB2312" w:eastAsia="仿宋_GB2312"/>
                <w:sz w:val="21"/>
              </w:rPr>
              <w:t>月</w:t>
            </w:r>
          </w:p>
          <w:tbl>
            <w:tblPr>
              <w:tblInd w:type="dxa" w:w="105"/>
              <w:tblBorders>
                <w:top w:val="none" w:color="000000" w:sz="4"/>
                <w:left w:val="none" w:color="000000" w:sz="4"/>
                <w:bottom w:val="none" w:color="000000" w:sz="4"/>
                <w:right w:val="none" w:color="000000" w:sz="4"/>
                <w:insideH w:val="none"/>
                <w:insideV w:val="none"/>
              </w:tblBorders>
            </w:tblPr>
            <w:tblGrid>
              <w:gridCol w:w="694"/>
              <w:gridCol w:w="618"/>
              <w:gridCol w:w="694"/>
              <w:gridCol w:w="2779"/>
              <w:gridCol w:w="810"/>
            </w:tblGrid>
            <w:tr>
              <w:tc>
                <w:tcPr>
                  <w:tcW w:type="dxa" w:w="1312"/>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评分因素</w:t>
                  </w:r>
                </w:p>
              </w:tc>
              <w:tc>
                <w:tcPr>
                  <w:tcW w:type="dxa" w:w="69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分值</w:t>
                  </w:r>
                </w:p>
              </w:tc>
              <w:tc>
                <w:tcPr>
                  <w:tcW w:type="dxa" w:w="277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扣分标准</w:t>
                  </w:r>
                </w:p>
              </w:tc>
              <w:tc>
                <w:tcPr>
                  <w:tcW w:type="dxa" w:w="81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得分</w:t>
                  </w:r>
                </w:p>
              </w:tc>
            </w:tr>
            <w:tr>
              <w:tc>
                <w:tcPr>
                  <w:tcW w:type="dxa" w:w="69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配送服务</w:t>
                  </w:r>
                </w:p>
                <w:p>
                  <w:pPr>
                    <w:pStyle w:val="null3"/>
                    <w:jc w:val="center"/>
                  </w:pPr>
                  <w:r>
                    <w:rPr>
                      <w:rFonts w:ascii="仿宋_GB2312" w:hAnsi="仿宋_GB2312" w:cs="仿宋_GB2312" w:eastAsia="仿宋_GB2312"/>
                      <w:sz w:val="21"/>
                    </w:rPr>
                    <w:t>80</w:t>
                  </w:r>
                  <w:r>
                    <w:rPr>
                      <w:rFonts w:ascii="仿宋_GB2312" w:hAnsi="仿宋_GB2312" w:cs="仿宋_GB2312" w:eastAsia="仿宋_GB2312"/>
                      <w:sz w:val="21"/>
                    </w:rPr>
                    <w:t>分</w:t>
                  </w:r>
                </w:p>
              </w:tc>
              <w:tc>
                <w:tcPr>
                  <w:tcW w:type="dxa" w:w="6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质量要求</w:t>
                  </w:r>
                </w:p>
              </w:tc>
              <w:tc>
                <w:tcPr>
                  <w:tcW w:type="dxa" w:w="69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30</w:t>
                  </w:r>
                  <w:r>
                    <w:rPr>
                      <w:rFonts w:ascii="仿宋_GB2312" w:hAnsi="仿宋_GB2312" w:cs="仿宋_GB2312" w:eastAsia="仿宋_GB2312"/>
                      <w:sz w:val="21"/>
                    </w:rPr>
                    <w:t>分</w:t>
                  </w:r>
                </w:p>
              </w:tc>
              <w:tc>
                <w:tcPr>
                  <w:tcW w:type="dxa" w:w="2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因质量不符合要求退货一次扣</w:t>
                  </w:r>
                  <w:r>
                    <w:rPr>
                      <w:rFonts w:ascii="仿宋_GB2312" w:hAnsi="仿宋_GB2312" w:cs="仿宋_GB2312" w:eastAsia="仿宋_GB2312"/>
                      <w:sz w:val="21"/>
                    </w:rPr>
                    <w:t>5</w:t>
                  </w:r>
                  <w:r>
                    <w:rPr>
                      <w:rFonts w:ascii="仿宋_GB2312" w:hAnsi="仿宋_GB2312" w:cs="仿宋_GB2312" w:eastAsia="仿宋_GB2312"/>
                      <w:sz w:val="21"/>
                    </w:rPr>
                    <w:t>分</w:t>
                  </w:r>
                </w:p>
              </w:tc>
              <w:tc>
                <w:tcPr>
                  <w:tcW w:type="dxa" w:w="81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94"/>
                  <w:vMerge/>
                  <w:tcBorders>
                    <w:top w:val="none" w:color="000000" w:sz="4"/>
                    <w:left w:val="single" w:color="000000" w:sz="4"/>
                    <w:bottom w:val="single" w:color="000000" w:sz="4"/>
                    <w:right w:val="single" w:color="000000" w:sz="4"/>
                  </w:tcBorders>
                </w:tcPr>
                <w:p/>
              </w:tc>
              <w:tc>
                <w:tcPr>
                  <w:tcW w:type="dxa" w:w="6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健康证</w:t>
                  </w:r>
                </w:p>
              </w:tc>
              <w:tc>
                <w:tcPr>
                  <w:tcW w:type="dxa" w:w="69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w:t>
                  </w:r>
                  <w:r>
                    <w:rPr>
                      <w:rFonts w:ascii="仿宋_GB2312" w:hAnsi="仿宋_GB2312" w:cs="仿宋_GB2312" w:eastAsia="仿宋_GB2312"/>
                      <w:sz w:val="21"/>
                    </w:rPr>
                    <w:t>分</w:t>
                  </w:r>
                </w:p>
              </w:tc>
              <w:tc>
                <w:tcPr>
                  <w:tcW w:type="dxa" w:w="2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供应商原材料操作员和配送员必须持健康证上岗，无条件接受采购人的监督检查。若无法出示有效健康证一次扣</w:t>
                  </w:r>
                  <w:r>
                    <w:rPr>
                      <w:rFonts w:ascii="仿宋_GB2312" w:hAnsi="仿宋_GB2312" w:cs="仿宋_GB2312" w:eastAsia="仿宋_GB2312"/>
                      <w:sz w:val="21"/>
                    </w:rPr>
                    <w:t>5</w:t>
                  </w:r>
                  <w:r>
                    <w:rPr>
                      <w:rFonts w:ascii="仿宋_GB2312" w:hAnsi="仿宋_GB2312" w:cs="仿宋_GB2312" w:eastAsia="仿宋_GB2312"/>
                      <w:sz w:val="21"/>
                    </w:rPr>
                    <w:t>分。</w:t>
                  </w:r>
                </w:p>
              </w:tc>
              <w:tc>
                <w:tcPr>
                  <w:tcW w:type="dxa" w:w="8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94"/>
                  <w:vMerge/>
                  <w:tcBorders>
                    <w:top w:val="none" w:color="000000" w:sz="4"/>
                    <w:left w:val="single" w:color="000000" w:sz="4"/>
                    <w:bottom w:val="single" w:color="000000" w:sz="4"/>
                    <w:right w:val="single" w:color="000000" w:sz="4"/>
                  </w:tcBorders>
                </w:tcPr>
                <w:p/>
              </w:tc>
              <w:tc>
                <w:tcPr>
                  <w:tcW w:type="dxa" w:w="6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形象整洁</w:t>
                  </w:r>
                </w:p>
              </w:tc>
              <w:tc>
                <w:tcPr>
                  <w:tcW w:type="dxa" w:w="69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w:t>
                  </w:r>
                  <w:r>
                    <w:rPr>
                      <w:rFonts w:ascii="仿宋_GB2312" w:hAnsi="仿宋_GB2312" w:cs="仿宋_GB2312" w:eastAsia="仿宋_GB2312"/>
                      <w:sz w:val="21"/>
                    </w:rPr>
                    <w:t>分</w:t>
                  </w:r>
                </w:p>
              </w:tc>
              <w:tc>
                <w:tcPr>
                  <w:tcW w:type="dxa" w:w="2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供应商原材料操作员和配送员应当着干净工作服，穿戴整洁，身体健康无外伤，指甲干净卫生。若有上述一项不符者扣一次扣</w:t>
                  </w:r>
                  <w:r>
                    <w:rPr>
                      <w:rFonts w:ascii="仿宋_GB2312" w:hAnsi="仿宋_GB2312" w:cs="仿宋_GB2312" w:eastAsia="仿宋_GB2312"/>
                      <w:sz w:val="21"/>
                    </w:rPr>
                    <w:t>2</w:t>
                  </w:r>
                  <w:r>
                    <w:rPr>
                      <w:rFonts w:ascii="仿宋_GB2312" w:hAnsi="仿宋_GB2312" w:cs="仿宋_GB2312" w:eastAsia="仿宋_GB2312"/>
                      <w:sz w:val="21"/>
                    </w:rPr>
                    <w:t>分。</w:t>
                  </w:r>
                </w:p>
              </w:tc>
              <w:tc>
                <w:tcPr>
                  <w:tcW w:type="dxa" w:w="8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94"/>
                  <w:vMerge/>
                  <w:tcBorders>
                    <w:top w:val="none" w:color="000000" w:sz="4"/>
                    <w:left w:val="single" w:color="000000" w:sz="4"/>
                    <w:bottom w:val="single" w:color="000000" w:sz="4"/>
                    <w:right w:val="single" w:color="000000" w:sz="4"/>
                  </w:tcBorders>
                </w:tcPr>
                <w:p/>
              </w:tc>
              <w:tc>
                <w:tcPr>
                  <w:tcW w:type="dxa" w:w="6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配送及时</w:t>
                  </w:r>
                </w:p>
              </w:tc>
              <w:tc>
                <w:tcPr>
                  <w:tcW w:type="dxa" w:w="69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w:t>
                  </w:r>
                  <w:r>
                    <w:rPr>
                      <w:rFonts w:ascii="仿宋_GB2312" w:hAnsi="仿宋_GB2312" w:cs="仿宋_GB2312" w:eastAsia="仿宋_GB2312"/>
                      <w:sz w:val="21"/>
                    </w:rPr>
                    <w:t>分</w:t>
                  </w:r>
                </w:p>
              </w:tc>
              <w:tc>
                <w:tcPr>
                  <w:tcW w:type="dxa" w:w="2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出现迟到（漏送）现象一次扣</w:t>
                  </w:r>
                  <w:r>
                    <w:rPr>
                      <w:rFonts w:ascii="仿宋_GB2312" w:hAnsi="仿宋_GB2312" w:cs="仿宋_GB2312" w:eastAsia="仿宋_GB2312"/>
                      <w:sz w:val="21"/>
                    </w:rPr>
                    <w:t>5</w:t>
                  </w:r>
                  <w:r>
                    <w:rPr>
                      <w:rFonts w:ascii="仿宋_GB2312" w:hAnsi="仿宋_GB2312" w:cs="仿宋_GB2312" w:eastAsia="仿宋_GB2312"/>
                      <w:sz w:val="21"/>
                    </w:rPr>
                    <w:t>分。</w:t>
                  </w:r>
                </w:p>
              </w:tc>
              <w:tc>
                <w:tcPr>
                  <w:tcW w:type="dxa" w:w="8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94"/>
                  <w:vMerge/>
                  <w:tcBorders>
                    <w:top w:val="none" w:color="000000" w:sz="4"/>
                    <w:left w:val="single" w:color="000000" w:sz="4"/>
                    <w:bottom w:val="single" w:color="000000" w:sz="4"/>
                    <w:right w:val="single" w:color="000000" w:sz="4"/>
                  </w:tcBorders>
                </w:tcPr>
                <w:p/>
              </w:tc>
              <w:tc>
                <w:tcPr>
                  <w:tcW w:type="dxa" w:w="6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服务态度</w:t>
                  </w:r>
                </w:p>
              </w:tc>
              <w:tc>
                <w:tcPr>
                  <w:tcW w:type="dxa" w:w="69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r>
                    <w:rPr>
                      <w:rFonts w:ascii="仿宋_GB2312" w:hAnsi="仿宋_GB2312" w:cs="仿宋_GB2312" w:eastAsia="仿宋_GB2312"/>
                      <w:sz w:val="21"/>
                    </w:rPr>
                    <w:t>分</w:t>
                  </w:r>
                </w:p>
              </w:tc>
              <w:tc>
                <w:tcPr>
                  <w:tcW w:type="dxa" w:w="2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对验收人员态度恶劣或故意回避验收人员提问的，一次扣</w:t>
                  </w:r>
                  <w:r>
                    <w:rPr>
                      <w:rFonts w:ascii="仿宋_GB2312" w:hAnsi="仿宋_GB2312" w:cs="仿宋_GB2312" w:eastAsia="仿宋_GB2312"/>
                      <w:sz w:val="21"/>
                    </w:rPr>
                    <w:t>2.5</w:t>
                  </w:r>
                  <w:r>
                    <w:rPr>
                      <w:rFonts w:ascii="仿宋_GB2312" w:hAnsi="仿宋_GB2312" w:cs="仿宋_GB2312" w:eastAsia="仿宋_GB2312"/>
                      <w:sz w:val="21"/>
                    </w:rPr>
                    <w:t>分</w:t>
                  </w:r>
                </w:p>
              </w:tc>
              <w:tc>
                <w:tcPr>
                  <w:tcW w:type="dxa" w:w="8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94"/>
                  <w:vMerge/>
                  <w:tcBorders>
                    <w:top w:val="none" w:color="000000" w:sz="4"/>
                    <w:left w:val="single" w:color="000000" w:sz="4"/>
                    <w:bottom w:val="single" w:color="000000" w:sz="4"/>
                    <w:right w:val="single" w:color="000000" w:sz="4"/>
                  </w:tcBorders>
                </w:tcPr>
                <w:p/>
              </w:tc>
              <w:tc>
                <w:tcPr>
                  <w:tcW w:type="dxa" w:w="6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文件资料报送</w:t>
                  </w:r>
                </w:p>
              </w:tc>
              <w:tc>
                <w:tcPr>
                  <w:tcW w:type="dxa" w:w="69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r>
                    <w:rPr>
                      <w:rFonts w:ascii="仿宋_GB2312" w:hAnsi="仿宋_GB2312" w:cs="仿宋_GB2312" w:eastAsia="仿宋_GB2312"/>
                      <w:sz w:val="21"/>
                    </w:rPr>
                    <w:t>分</w:t>
                  </w:r>
                </w:p>
              </w:tc>
              <w:tc>
                <w:tcPr>
                  <w:tcW w:type="dxa" w:w="2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文件资料和检测报告不及时报送每次扣</w:t>
                  </w:r>
                  <w:r>
                    <w:rPr>
                      <w:rFonts w:ascii="仿宋_GB2312" w:hAnsi="仿宋_GB2312" w:cs="仿宋_GB2312" w:eastAsia="仿宋_GB2312"/>
                      <w:sz w:val="21"/>
                    </w:rPr>
                    <w:t>1</w:t>
                  </w:r>
                  <w:r>
                    <w:rPr>
                      <w:rFonts w:ascii="仿宋_GB2312" w:hAnsi="仿宋_GB2312" w:cs="仿宋_GB2312" w:eastAsia="仿宋_GB2312"/>
                      <w:sz w:val="21"/>
                    </w:rPr>
                    <w:t>分。</w:t>
                  </w:r>
                </w:p>
              </w:tc>
              <w:tc>
                <w:tcPr>
                  <w:tcW w:type="dxa" w:w="8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9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售后服务</w:t>
                  </w:r>
                  <w:r>
                    <w:rPr>
                      <w:rFonts w:ascii="仿宋_GB2312" w:hAnsi="仿宋_GB2312" w:cs="仿宋_GB2312" w:eastAsia="仿宋_GB2312"/>
                      <w:sz w:val="21"/>
                    </w:rPr>
                    <w:t>20</w:t>
                  </w:r>
                  <w:r>
                    <w:rPr>
                      <w:rFonts w:ascii="仿宋_GB2312" w:hAnsi="仿宋_GB2312" w:cs="仿宋_GB2312" w:eastAsia="仿宋_GB2312"/>
                      <w:sz w:val="21"/>
                    </w:rPr>
                    <w:t>分</w:t>
                  </w:r>
                </w:p>
              </w:tc>
              <w:tc>
                <w:tcPr>
                  <w:tcW w:type="dxa" w:w="6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服务电话</w:t>
                  </w:r>
                </w:p>
              </w:tc>
              <w:tc>
                <w:tcPr>
                  <w:tcW w:type="dxa" w:w="69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r>
                    <w:rPr>
                      <w:rFonts w:ascii="仿宋_GB2312" w:hAnsi="仿宋_GB2312" w:cs="仿宋_GB2312" w:eastAsia="仿宋_GB2312"/>
                      <w:sz w:val="21"/>
                    </w:rPr>
                    <w:t>分</w:t>
                  </w:r>
                </w:p>
              </w:tc>
              <w:tc>
                <w:tcPr>
                  <w:tcW w:type="dxa" w:w="2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采购人能随时联系到供应商。无服务电话扣</w:t>
                  </w:r>
                  <w:r>
                    <w:rPr>
                      <w:rFonts w:ascii="仿宋_GB2312" w:hAnsi="仿宋_GB2312" w:cs="仿宋_GB2312" w:eastAsia="仿宋_GB2312"/>
                      <w:sz w:val="21"/>
                    </w:rPr>
                    <w:t>5</w:t>
                  </w:r>
                  <w:r>
                    <w:rPr>
                      <w:rFonts w:ascii="仿宋_GB2312" w:hAnsi="仿宋_GB2312" w:cs="仿宋_GB2312" w:eastAsia="仿宋_GB2312"/>
                      <w:sz w:val="21"/>
                    </w:rPr>
                    <w:t>分，无人接听电话一次扣</w:t>
                  </w:r>
                  <w:r>
                    <w:rPr>
                      <w:rFonts w:ascii="仿宋_GB2312" w:hAnsi="仿宋_GB2312" w:cs="仿宋_GB2312" w:eastAsia="仿宋_GB2312"/>
                      <w:sz w:val="21"/>
                    </w:rPr>
                    <w:t>2.5</w:t>
                  </w:r>
                  <w:r>
                    <w:rPr>
                      <w:rFonts w:ascii="仿宋_GB2312" w:hAnsi="仿宋_GB2312" w:cs="仿宋_GB2312" w:eastAsia="仿宋_GB2312"/>
                      <w:sz w:val="21"/>
                    </w:rPr>
                    <w:t>分。</w:t>
                  </w:r>
                </w:p>
              </w:tc>
              <w:tc>
                <w:tcPr>
                  <w:tcW w:type="dxa" w:w="8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94"/>
                  <w:vMerge/>
                  <w:tcBorders>
                    <w:top w:val="none" w:color="000000" w:sz="4"/>
                    <w:left w:val="single" w:color="000000" w:sz="4"/>
                    <w:bottom w:val="single" w:color="000000" w:sz="4"/>
                    <w:right w:val="single" w:color="000000" w:sz="4"/>
                  </w:tcBorders>
                </w:tcPr>
                <w:p/>
              </w:tc>
              <w:tc>
                <w:tcPr>
                  <w:tcW w:type="dxa" w:w="6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存货盘点</w:t>
                  </w:r>
                </w:p>
              </w:tc>
              <w:tc>
                <w:tcPr>
                  <w:tcW w:type="dxa" w:w="69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w:t>
                  </w:r>
                  <w:r>
                    <w:rPr>
                      <w:rFonts w:ascii="仿宋_GB2312" w:hAnsi="仿宋_GB2312" w:cs="仿宋_GB2312" w:eastAsia="仿宋_GB2312"/>
                      <w:sz w:val="21"/>
                    </w:rPr>
                    <w:t>分</w:t>
                  </w:r>
                </w:p>
              </w:tc>
              <w:tc>
                <w:tcPr>
                  <w:tcW w:type="dxa" w:w="2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供应商每月定期巡检、盘点已送达采购人食材的库存情况，并建立台账，及时调换临期食材，得</w:t>
                  </w:r>
                  <w:r>
                    <w:rPr>
                      <w:rFonts w:ascii="仿宋_GB2312" w:hAnsi="仿宋_GB2312" w:cs="仿宋_GB2312" w:eastAsia="仿宋_GB2312"/>
                      <w:sz w:val="21"/>
                    </w:rPr>
                    <w:t>5</w:t>
                  </w:r>
                  <w:r>
                    <w:rPr>
                      <w:rFonts w:ascii="仿宋_GB2312" w:hAnsi="仿宋_GB2312" w:cs="仿宋_GB2312" w:eastAsia="仿宋_GB2312"/>
                      <w:sz w:val="21"/>
                    </w:rPr>
                    <w:t>分。不得出现过期、变质食材，否则扣</w:t>
                  </w:r>
                  <w:r>
                    <w:rPr>
                      <w:rFonts w:ascii="仿宋_GB2312" w:hAnsi="仿宋_GB2312" w:cs="仿宋_GB2312" w:eastAsia="仿宋_GB2312"/>
                      <w:sz w:val="21"/>
                    </w:rPr>
                    <w:t>5</w:t>
                  </w:r>
                  <w:r>
                    <w:rPr>
                      <w:rFonts w:ascii="仿宋_GB2312" w:hAnsi="仿宋_GB2312" w:cs="仿宋_GB2312" w:eastAsia="仿宋_GB2312"/>
                      <w:sz w:val="21"/>
                    </w:rPr>
                    <w:t>分。</w:t>
                  </w:r>
                </w:p>
              </w:tc>
              <w:tc>
                <w:tcPr>
                  <w:tcW w:type="dxa" w:w="8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94"/>
                  <w:vMerge/>
                  <w:tcBorders>
                    <w:top w:val="none" w:color="000000" w:sz="4"/>
                    <w:left w:val="single" w:color="000000" w:sz="4"/>
                    <w:bottom w:val="single" w:color="000000" w:sz="4"/>
                    <w:right w:val="single" w:color="000000" w:sz="4"/>
                  </w:tcBorders>
                </w:tcPr>
                <w:p/>
              </w:tc>
              <w:tc>
                <w:tcPr>
                  <w:tcW w:type="dxa" w:w="6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征求意见表</w:t>
                  </w:r>
                </w:p>
              </w:tc>
              <w:tc>
                <w:tcPr>
                  <w:tcW w:type="dxa" w:w="69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r>
                    <w:rPr>
                      <w:rFonts w:ascii="仿宋_GB2312" w:hAnsi="仿宋_GB2312" w:cs="仿宋_GB2312" w:eastAsia="仿宋_GB2312"/>
                      <w:sz w:val="21"/>
                    </w:rPr>
                    <w:t>分</w:t>
                  </w:r>
                </w:p>
              </w:tc>
              <w:tc>
                <w:tcPr>
                  <w:tcW w:type="dxa" w:w="2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每月发放服务工作征求意见表，及时采纳合理建议，改进存在问题，不断提高管理与服务质量，未征求意见不得分</w:t>
                  </w:r>
                </w:p>
              </w:tc>
              <w:tc>
                <w:tcPr>
                  <w:tcW w:type="dxa" w:w="8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006"/>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合计</w:t>
                  </w:r>
                </w:p>
              </w:tc>
              <w:tc>
                <w:tcPr>
                  <w:tcW w:type="dxa" w:w="2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8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bl>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标的名称：水果、蔬菜类</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一、配送食材标准及要求</w:t>
            </w:r>
          </w:p>
        </w:tc>
        <w:tc>
          <w:tcPr>
            <w:tcW w:type="dxa" w:w="5814"/>
          </w:tcPr>
          <w:p>
            <w:pPr>
              <w:pStyle w:val="null3"/>
              <w:jc w:val="both"/>
            </w:pPr>
            <w:r>
              <w:rPr>
                <w:rFonts w:ascii="仿宋_GB2312" w:hAnsi="仿宋_GB2312" w:cs="仿宋_GB2312" w:eastAsia="仿宋_GB2312"/>
                <w:sz w:val="21"/>
              </w:rPr>
              <w:t>供应商应在当月根据采购人的采购需求，提供下一个月采购需求的报价清单。采购人每月对市场零售价作一次市场询价，以此作为基准价。基准价格的询价以采购人单位周边综合市场（新区大市场、眉东大市场、宝华寺大市场等）平均价格为准，供货价格＝基准价</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下浮比例），当月询价后市场价格升降超过基准价</w:t>
            </w:r>
            <w:r>
              <w:rPr>
                <w:rFonts w:ascii="仿宋_GB2312" w:hAnsi="仿宋_GB2312" w:cs="仿宋_GB2312" w:eastAsia="仿宋_GB2312"/>
                <w:sz w:val="21"/>
              </w:rPr>
              <w:t>10%</w:t>
            </w:r>
            <w:r>
              <w:rPr>
                <w:rFonts w:ascii="仿宋_GB2312" w:hAnsi="仿宋_GB2312" w:cs="仿宋_GB2312" w:eastAsia="仿宋_GB2312"/>
                <w:sz w:val="21"/>
              </w:rPr>
              <w:t>重新询价定价，价格波动在</w:t>
            </w:r>
            <w:r>
              <w:rPr>
                <w:rFonts w:ascii="仿宋_GB2312" w:hAnsi="仿宋_GB2312" w:cs="仿宋_GB2312" w:eastAsia="仿宋_GB2312"/>
                <w:sz w:val="21"/>
              </w:rPr>
              <w:t>10%</w:t>
            </w:r>
            <w:r>
              <w:rPr>
                <w:rFonts w:ascii="仿宋_GB2312" w:hAnsi="仿宋_GB2312" w:cs="仿宋_GB2312" w:eastAsia="仿宋_GB2312"/>
                <w:sz w:val="21"/>
              </w:rPr>
              <w:t>及以内不作调整。</w:t>
            </w:r>
          </w:p>
          <w:p>
            <w:pPr>
              <w:pStyle w:val="null3"/>
              <w:jc w:val="both"/>
            </w:pPr>
            <w:r>
              <w:rPr>
                <w:rFonts w:ascii="仿宋_GB2312" w:hAnsi="仿宋_GB2312" w:cs="仿宋_GB2312" w:eastAsia="仿宋_GB2312"/>
                <w:sz w:val="21"/>
              </w:rPr>
              <w:t>本项目最高限价：供应商统一填报下浮比例，供货期内（每周），结算价格</w:t>
            </w:r>
            <w:r>
              <w:rPr>
                <w:rFonts w:ascii="仿宋_GB2312" w:hAnsi="仿宋_GB2312" w:cs="仿宋_GB2312" w:eastAsia="仿宋_GB2312"/>
                <w:sz w:val="21"/>
              </w:rPr>
              <w:t>=</w:t>
            </w:r>
            <w:r>
              <w:rPr>
                <w:rFonts w:ascii="仿宋_GB2312" w:hAnsi="仿宋_GB2312" w:cs="仿宋_GB2312" w:eastAsia="仿宋_GB2312"/>
                <w:sz w:val="21"/>
              </w:rPr>
              <w:t>实际数量</w:t>
            </w:r>
            <w:r>
              <w:rPr>
                <w:rFonts w:ascii="仿宋_GB2312" w:hAnsi="仿宋_GB2312" w:cs="仿宋_GB2312" w:eastAsia="仿宋_GB2312"/>
                <w:sz w:val="21"/>
              </w:rPr>
              <w:t>×</w:t>
            </w:r>
            <w:r>
              <w:rPr>
                <w:rFonts w:ascii="仿宋_GB2312" w:hAnsi="仿宋_GB2312" w:cs="仿宋_GB2312" w:eastAsia="仿宋_GB2312"/>
                <w:sz w:val="21"/>
              </w:rPr>
              <w:t>货物单价</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下浮比例）。</w:t>
            </w:r>
          </w:p>
          <w:p>
            <w:pPr>
              <w:pStyle w:val="null3"/>
              <w:jc w:val="both"/>
            </w:pPr>
            <w:r>
              <w:rPr>
                <w:rFonts w:ascii="仿宋_GB2312" w:hAnsi="仿宋_GB2312" w:cs="仿宋_GB2312" w:eastAsia="仿宋_GB2312"/>
                <w:sz w:val="21"/>
              </w:rPr>
              <w:t>定标原则：供应商以包为单位参加采购</w:t>
            </w:r>
            <w:r>
              <w:rPr>
                <w:rFonts w:ascii="仿宋_GB2312" w:hAnsi="仿宋_GB2312" w:cs="仿宋_GB2312" w:eastAsia="仿宋_GB2312"/>
                <w:sz w:val="21"/>
              </w:rPr>
              <w:t>,</w:t>
            </w:r>
            <w:r>
              <w:rPr>
                <w:rFonts w:ascii="仿宋_GB2312" w:hAnsi="仿宋_GB2312" w:cs="仿宋_GB2312" w:eastAsia="仿宋_GB2312"/>
                <w:sz w:val="21"/>
              </w:rPr>
              <w:t>可以参加多个包采购。供应商在多个包中排名第一成交候选人时，每个供应商最多只能成交二个包，并且由供应商选择。剩余采购包由采购人按候选供应商排序顺延成交供应商。</w:t>
            </w:r>
          </w:p>
          <w:p>
            <w:pPr>
              <w:pStyle w:val="null3"/>
              <w:jc w:val="both"/>
            </w:pPr>
            <w:r>
              <w:rPr>
                <w:rFonts w:ascii="仿宋_GB2312" w:hAnsi="仿宋_GB2312" w:cs="仿宋_GB2312" w:eastAsia="仿宋_GB2312"/>
                <w:sz w:val="21"/>
              </w:rPr>
              <w:t>（一）质量要求</w:t>
            </w:r>
          </w:p>
          <w:p>
            <w:pPr>
              <w:pStyle w:val="null3"/>
              <w:jc w:val="both"/>
            </w:pPr>
            <w:r>
              <w:rPr>
                <w:rFonts w:ascii="仿宋_GB2312" w:hAnsi="仿宋_GB2312" w:cs="仿宋_GB2312" w:eastAsia="仿宋_GB2312"/>
                <w:sz w:val="21"/>
              </w:rPr>
              <w:t>第</w:t>
            </w:r>
            <w:r>
              <w:rPr>
                <w:rFonts w:ascii="仿宋_GB2312" w:hAnsi="仿宋_GB2312" w:cs="仿宋_GB2312" w:eastAsia="仿宋_GB2312"/>
                <w:sz w:val="21"/>
              </w:rPr>
              <w:t>3</w:t>
            </w:r>
            <w:r>
              <w:rPr>
                <w:rFonts w:ascii="仿宋_GB2312" w:hAnsi="仿宋_GB2312" w:cs="仿宋_GB2312" w:eastAsia="仿宋_GB2312"/>
                <w:sz w:val="21"/>
              </w:rPr>
              <w:t>包： 水果</w:t>
            </w:r>
            <w:r>
              <w:rPr>
                <w:rFonts w:ascii="仿宋_GB2312" w:hAnsi="仿宋_GB2312" w:cs="仿宋_GB2312" w:eastAsia="仿宋_GB2312"/>
                <w:sz w:val="21"/>
              </w:rPr>
              <w:t>、</w:t>
            </w:r>
            <w:r>
              <w:rPr>
                <w:rFonts w:ascii="仿宋_GB2312" w:hAnsi="仿宋_GB2312" w:cs="仿宋_GB2312" w:eastAsia="仿宋_GB2312"/>
                <w:sz w:val="21"/>
              </w:rPr>
              <w:t>蔬菜类</w:t>
            </w:r>
          </w:p>
          <w:tbl>
            <w:tblPr>
              <w:tblInd w:type="dxa" w:w="105"/>
              <w:tblBorders>
                <w:top w:val="none" w:color="000000" w:sz="4"/>
                <w:left w:val="none" w:color="000000" w:sz="4"/>
                <w:bottom w:val="none" w:color="000000" w:sz="4"/>
                <w:right w:val="none" w:color="000000" w:sz="4"/>
                <w:insideH w:val="none"/>
                <w:insideV w:val="none"/>
              </w:tblBorders>
            </w:tblPr>
            <w:tblGrid>
              <w:gridCol w:w="755"/>
              <w:gridCol w:w="3882"/>
              <w:gridCol w:w="960"/>
            </w:tblGrid>
            <w:tr>
              <w:tc>
                <w:tcPr>
                  <w:tcW w:type="dxa" w:w="75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采购内容</w:t>
                  </w:r>
                </w:p>
              </w:tc>
              <w:tc>
                <w:tcPr>
                  <w:tcW w:type="dxa" w:w="388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采购标准</w:t>
                  </w:r>
                </w:p>
              </w:tc>
              <w:tc>
                <w:tcPr>
                  <w:tcW w:type="dxa" w:w="96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备注</w:t>
                  </w:r>
                </w:p>
              </w:tc>
            </w:tr>
            <w:tr>
              <w:tc>
                <w:tcPr>
                  <w:tcW w:type="dxa" w:w="7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水果类</w:t>
                  </w:r>
                </w:p>
              </w:tc>
              <w:tc>
                <w:tcPr>
                  <w:tcW w:type="dxa" w:w="38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按采购人要求提供各类应季水果；果皮完整、色泽鲜亮、果实饱满、蒂部不干枯，成熟适度。果实坚实，水分足，皮不干缩、形态完整。表皮无斑点、腐烂，无虫咬、破伤及霉点。有瓜果的自然香味，无异味。水果农药残留检测须符合国家相关食用农产品安全质量标准。</w:t>
                  </w:r>
                </w:p>
              </w:tc>
              <w:tc>
                <w:tcPr>
                  <w:tcW w:type="dxa" w:w="9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7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蔬菜类</w:t>
                  </w:r>
                </w:p>
              </w:tc>
              <w:tc>
                <w:tcPr>
                  <w:tcW w:type="dxa" w:w="38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从蔬菜色泽看，各种蔬菜都应具有本品种固有的颜色，大多数有发亮的光泽，以此显示蔬菜的成熟度及鲜嫩程度；</w:t>
                  </w:r>
                </w:p>
                <w:p>
                  <w:pPr>
                    <w:pStyle w:val="null3"/>
                    <w:jc w:val="both"/>
                  </w:pPr>
                  <w:r>
                    <w:rPr>
                      <w:rFonts w:ascii="仿宋_GB2312" w:hAnsi="仿宋_GB2312" w:cs="仿宋_GB2312" w:eastAsia="仿宋_GB2312"/>
                      <w:sz w:val="21"/>
                    </w:rPr>
                    <w:t>从蔬菜气味看，多数蔬菜具有清馨、甘辛香、甜酸香等气味，可凭嗅觉识别不同品种的质量，不允许有腐烂变质的亚硝酸盐味和其他异常气味；</w:t>
                  </w:r>
                </w:p>
                <w:p>
                  <w:pPr>
                    <w:pStyle w:val="null3"/>
                    <w:jc w:val="both"/>
                  </w:pPr>
                  <w:r>
                    <w:rPr>
                      <w:rFonts w:ascii="仿宋_GB2312" w:hAnsi="仿宋_GB2312" w:cs="仿宋_GB2312" w:eastAsia="仿宋_GB2312"/>
                      <w:sz w:val="21"/>
                    </w:rPr>
                    <w:t>从蔬菜滋味看，因品种不同而各异，多数蔬菜滋味甘淡、甜酸、清爽鲜美，少数具有辛酸、苦涩等特殊风味以刺激食欲，如失去本品种原有的滋味即为异常；</w:t>
                  </w:r>
                </w:p>
                <w:p>
                  <w:pPr>
                    <w:pStyle w:val="null3"/>
                    <w:jc w:val="both"/>
                  </w:pPr>
                  <w:r>
                    <w:rPr>
                      <w:rFonts w:ascii="仿宋_GB2312" w:hAnsi="仿宋_GB2312" w:cs="仿宋_GB2312" w:eastAsia="仿宋_GB2312"/>
                      <w:sz w:val="21"/>
                    </w:rPr>
                    <w:t>从蔬菜形态看，应尽量避免由于客观因素而造成的各种非正常、不新鲜的蔬菜，例如萎蔫、枯塌、损伤、病变、虫害侵蚀等引起的形态异常等。</w:t>
                  </w:r>
                </w:p>
                <w:p>
                  <w:pPr>
                    <w:pStyle w:val="null3"/>
                    <w:jc w:val="both"/>
                  </w:pPr>
                  <w:r>
                    <w:rPr>
                      <w:rFonts w:ascii="仿宋_GB2312" w:hAnsi="仿宋_GB2312" w:cs="仿宋_GB2312" w:eastAsia="仿宋_GB2312"/>
                      <w:sz w:val="21"/>
                    </w:rPr>
                    <w:t>叶菜类：生菜、白菜、通心菜、苋菜等绿叶菜类及大白菜、椰菜等普通叶菜。</w:t>
                  </w:r>
                </w:p>
                <w:p>
                  <w:pPr>
                    <w:pStyle w:val="null3"/>
                    <w:jc w:val="both"/>
                  </w:pPr>
                  <w:r>
                    <w:rPr>
                      <w:rFonts w:ascii="仿宋_GB2312" w:hAnsi="仿宋_GB2312" w:cs="仿宋_GB2312" w:eastAsia="仿宋_GB2312"/>
                      <w:sz w:val="21"/>
                    </w:rPr>
                    <w:t>属同一品种规格，肉质鲜嫩形态好，色泽正常，茎基部削平，无枯黄叶、病叶、泥土、明显机械伤和病虫害伤，无烧心焦边、腐烂等现象，无异味，结球叶菜要结球适度。</w:t>
                  </w:r>
                </w:p>
                <w:p>
                  <w:pPr>
                    <w:pStyle w:val="null3"/>
                    <w:jc w:val="both"/>
                  </w:pPr>
                  <w:r>
                    <w:rPr>
                      <w:rFonts w:ascii="仿宋_GB2312" w:hAnsi="仿宋_GB2312" w:cs="仿宋_GB2312" w:eastAsia="仿宋_GB2312"/>
                      <w:sz w:val="21"/>
                    </w:rPr>
                    <w:t>茄果类：西红柿、茄瓜、圆椒、尖椒等。</w:t>
                  </w:r>
                </w:p>
                <w:p>
                  <w:pPr>
                    <w:pStyle w:val="null3"/>
                    <w:jc w:val="both"/>
                  </w:pPr>
                  <w:r>
                    <w:rPr>
                      <w:rFonts w:ascii="仿宋_GB2312" w:hAnsi="仿宋_GB2312" w:cs="仿宋_GB2312" w:eastAsia="仿宋_GB2312"/>
                      <w:sz w:val="21"/>
                    </w:rPr>
                    <w:t>属同一品种规格，果实整洁，成熟度适中，无裂果及空洞现象，茄果不能有裂蒂及果皮变硬现象，无腐烂、异味，无明显机械伤。</w:t>
                  </w:r>
                </w:p>
                <w:p>
                  <w:pPr>
                    <w:pStyle w:val="null3"/>
                    <w:jc w:val="both"/>
                  </w:pPr>
                  <w:r>
                    <w:rPr>
                      <w:rFonts w:ascii="仿宋_GB2312" w:hAnsi="仿宋_GB2312" w:cs="仿宋_GB2312" w:eastAsia="仿宋_GB2312"/>
                      <w:sz w:val="21"/>
                    </w:rPr>
                    <w:t>瓜果类：黄瓜、冬瓜、丝瓜、苦瓜、南瓜、节瓜等。</w:t>
                  </w:r>
                </w:p>
                <w:p>
                  <w:pPr>
                    <w:pStyle w:val="null3"/>
                    <w:jc w:val="both"/>
                  </w:pPr>
                  <w:r>
                    <w:rPr>
                      <w:rFonts w:ascii="仿宋_GB2312" w:hAnsi="仿宋_GB2312" w:cs="仿宋_GB2312" w:eastAsia="仿宋_GB2312"/>
                      <w:sz w:val="21"/>
                    </w:rPr>
                    <w:t>属同一品种规格，色泽一致，无疤点，无断裂，无腐烂、异味、明显机械伤，不带泥土。</w:t>
                  </w:r>
                </w:p>
                <w:p>
                  <w:pPr>
                    <w:pStyle w:val="null3"/>
                    <w:jc w:val="both"/>
                  </w:pPr>
                  <w:r>
                    <w:rPr>
                      <w:rFonts w:ascii="仿宋_GB2312" w:hAnsi="仿宋_GB2312" w:cs="仿宋_GB2312" w:eastAsia="仿宋_GB2312"/>
                      <w:sz w:val="21"/>
                    </w:rPr>
                    <w:t>根菜类：萝卜、胡萝卜等。</w:t>
                  </w:r>
                </w:p>
                <w:p>
                  <w:pPr>
                    <w:pStyle w:val="null3"/>
                    <w:jc w:val="both"/>
                  </w:pPr>
                  <w:r>
                    <w:rPr>
                      <w:rFonts w:ascii="仿宋_GB2312" w:hAnsi="仿宋_GB2312" w:cs="仿宋_GB2312" w:eastAsia="仿宋_GB2312"/>
                      <w:sz w:val="21"/>
                    </w:rPr>
                    <w:t>属同一品种规格，皮细光滑，肉质脆嫩致密新鲜，无腐烂、裂痕、糠心、异味，不带泥沙，不带茎叶和须根。</w:t>
                  </w:r>
                </w:p>
                <w:p>
                  <w:pPr>
                    <w:pStyle w:val="null3"/>
                    <w:jc w:val="both"/>
                  </w:pPr>
                  <w:r>
                    <w:rPr>
                      <w:rFonts w:ascii="仿宋_GB2312" w:hAnsi="仿宋_GB2312" w:cs="仿宋_GB2312" w:eastAsia="仿宋_GB2312"/>
                      <w:sz w:val="21"/>
                    </w:rPr>
                    <w:t>薯芋类：马铃薯、芋、姜等。</w:t>
                  </w:r>
                </w:p>
                <w:p>
                  <w:pPr>
                    <w:pStyle w:val="null3"/>
                    <w:jc w:val="both"/>
                  </w:pPr>
                  <w:r>
                    <w:rPr>
                      <w:rFonts w:ascii="仿宋_GB2312" w:hAnsi="仿宋_GB2312" w:cs="仿宋_GB2312" w:eastAsia="仿宋_GB2312"/>
                      <w:sz w:val="21"/>
                    </w:rPr>
                    <w:t>属同一品种规格，色泽一致，不带泥沙，不带须根、茎叶，不干瘪，无腐烂、异味、明显机械伤、病虫害斑，马铃薯无发芽，皮不变绿。</w:t>
                  </w:r>
                </w:p>
                <w:p>
                  <w:pPr>
                    <w:pStyle w:val="null3"/>
                    <w:jc w:val="both"/>
                  </w:pPr>
                  <w:r>
                    <w:rPr>
                      <w:rFonts w:ascii="仿宋_GB2312" w:hAnsi="仿宋_GB2312" w:cs="仿宋_GB2312" w:eastAsia="仿宋_GB2312"/>
                      <w:sz w:val="21"/>
                    </w:rPr>
                    <w:t>葱蒜类：葱、蒜、韭菜、洋葱等。</w:t>
                  </w:r>
                </w:p>
                <w:p>
                  <w:pPr>
                    <w:pStyle w:val="null3"/>
                    <w:jc w:val="both"/>
                  </w:pPr>
                  <w:r>
                    <w:rPr>
                      <w:rFonts w:ascii="仿宋_GB2312" w:hAnsi="仿宋_GB2312" w:cs="仿宋_GB2312" w:eastAsia="仿宋_GB2312"/>
                      <w:sz w:val="21"/>
                    </w:rPr>
                    <w:t>属同一品种规格，允许葱、青蒜类保留干净须根，葱、蒜、韭菜不带老叶，蒜头、洋葱去根去枯叶，可食部分新鲜幼嫩，无腐烂、异味。</w:t>
                  </w:r>
                </w:p>
                <w:p>
                  <w:pPr>
                    <w:pStyle w:val="null3"/>
                    <w:jc w:val="both"/>
                  </w:pPr>
                  <w:r>
                    <w:rPr>
                      <w:rFonts w:ascii="仿宋_GB2312" w:hAnsi="仿宋_GB2312" w:cs="仿宋_GB2312" w:eastAsia="仿宋_GB2312"/>
                      <w:sz w:val="21"/>
                    </w:rPr>
                    <w:t>水生菜类：藕等。</w:t>
                  </w:r>
                </w:p>
                <w:p>
                  <w:pPr>
                    <w:pStyle w:val="null3"/>
                    <w:jc w:val="both"/>
                  </w:pPr>
                  <w:r>
                    <w:rPr>
                      <w:rFonts w:ascii="仿宋_GB2312" w:hAnsi="仿宋_GB2312" w:cs="仿宋_GB2312" w:eastAsia="仿宋_GB2312"/>
                      <w:sz w:val="21"/>
                    </w:rPr>
                    <w:t>属同一品种规格，肉质嫩，成熟度适中，无腐烂、异味，无明显机械伤，不带泥土和杂质，不干瘪，茭白不黑心。</w:t>
                  </w:r>
                </w:p>
                <w:p>
                  <w:pPr>
                    <w:pStyle w:val="null3"/>
                    <w:jc w:val="both"/>
                  </w:pPr>
                  <w:r>
                    <w:rPr>
                      <w:rFonts w:ascii="仿宋_GB2312" w:hAnsi="仿宋_GB2312" w:cs="仿宋_GB2312" w:eastAsia="仿宋_GB2312"/>
                      <w:sz w:val="21"/>
                    </w:rPr>
                    <w:t>芽苗类：绿豆芽、黄豆芽等。芽苗幼嫩，不带豆壳杂质，新鲜，不浸水，无腐烂、异味。</w:t>
                  </w:r>
                </w:p>
                <w:p>
                  <w:pPr>
                    <w:pStyle w:val="null3"/>
                    <w:jc w:val="both"/>
                  </w:pPr>
                  <w:r>
                    <w:rPr>
                      <w:rFonts w:ascii="仿宋_GB2312" w:hAnsi="仿宋_GB2312" w:cs="仿宋_GB2312" w:eastAsia="仿宋_GB2312"/>
                      <w:sz w:val="21"/>
                    </w:rPr>
                    <w:t>香辛类：西芹、芹菜、香菜等。</w:t>
                  </w:r>
                </w:p>
                <w:p>
                  <w:pPr>
                    <w:pStyle w:val="null3"/>
                    <w:jc w:val="both"/>
                  </w:pPr>
                  <w:r>
                    <w:rPr>
                      <w:rFonts w:ascii="仿宋_GB2312" w:hAnsi="仿宋_GB2312" w:cs="仿宋_GB2312" w:eastAsia="仿宋_GB2312"/>
                      <w:sz w:val="21"/>
                    </w:rPr>
                    <w:t>属同一品种规格，肉质鲜嫩形态好，色泽正常，无枯黄叶、病叶、泥土、明显机械伤和病虫害伤，无烧心焦边、腐烂等现象，具有该品种应有的味道。</w:t>
                  </w:r>
                </w:p>
                <w:p>
                  <w:pPr>
                    <w:pStyle w:val="null3"/>
                    <w:jc w:val="both"/>
                  </w:pPr>
                  <w:r>
                    <w:rPr>
                      <w:rFonts w:ascii="仿宋_GB2312" w:hAnsi="仿宋_GB2312" w:cs="仿宋_GB2312" w:eastAsia="仿宋_GB2312"/>
                      <w:sz w:val="21"/>
                    </w:rPr>
                    <w:t>水果类：西瓜、苹果、梨、香蕉等。</w:t>
                  </w:r>
                </w:p>
                <w:p>
                  <w:pPr>
                    <w:pStyle w:val="null3"/>
                    <w:jc w:val="both"/>
                  </w:pPr>
                  <w:r>
                    <w:rPr>
                      <w:rFonts w:ascii="仿宋_GB2312" w:hAnsi="仿宋_GB2312" w:cs="仿宋_GB2312" w:eastAsia="仿宋_GB2312"/>
                      <w:sz w:val="21"/>
                    </w:rPr>
                    <w:t>属同一品种规格，肉质嫩，成熟度适中，无腐烂、异味，无明显机械伤，不带泥土和杂质，不干瘪，茭白不黑心。</w:t>
                  </w:r>
                </w:p>
                <w:p>
                  <w:pPr>
                    <w:pStyle w:val="null3"/>
                    <w:jc w:val="both"/>
                  </w:pPr>
                  <w:r>
                    <w:rPr>
                      <w:rFonts w:ascii="仿宋_GB2312" w:hAnsi="仿宋_GB2312" w:cs="仿宋_GB2312" w:eastAsia="仿宋_GB2312"/>
                      <w:sz w:val="21"/>
                    </w:rPr>
                    <w:t>所供蔬菜符合上述质量要求及农药残留不超过国家限量标准，若不符合，无条件接受退货处理并承担违约责任。</w:t>
                  </w:r>
                </w:p>
              </w:tc>
              <w:tc>
                <w:tcPr>
                  <w:tcW w:type="dxa" w:w="9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7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牛奶类（纯牛奶、酸奶均可）</w:t>
                  </w:r>
                </w:p>
              </w:tc>
              <w:tc>
                <w:tcPr>
                  <w:tcW w:type="dxa" w:w="38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①</w:t>
                  </w:r>
                  <w:r>
                    <w:rPr>
                      <w:rFonts w:ascii="仿宋_GB2312" w:hAnsi="仿宋_GB2312" w:cs="仿宋_GB2312" w:eastAsia="仿宋_GB2312"/>
                      <w:sz w:val="21"/>
                    </w:rPr>
                    <w:t>按采购人要求提供鲜奶、纯牛奶或酸奶等，不含有添加剂、防腐剂，必须符合食品安全国家标准。</w:t>
                  </w:r>
                </w:p>
                <w:p>
                  <w:pPr>
                    <w:pStyle w:val="null3"/>
                    <w:jc w:val="both"/>
                  </w:pPr>
                  <w:r>
                    <w:rPr>
                      <w:rFonts w:ascii="仿宋_GB2312" w:hAnsi="仿宋_GB2312" w:cs="仿宋_GB2312" w:eastAsia="仿宋_GB2312"/>
                      <w:sz w:val="21"/>
                    </w:rPr>
                    <w:t xml:space="preserve">② </w:t>
                  </w:r>
                  <w:r>
                    <w:rPr>
                      <w:rFonts w:ascii="仿宋_GB2312" w:hAnsi="仿宋_GB2312" w:cs="仿宋_GB2312" w:eastAsia="仿宋_GB2312"/>
                      <w:sz w:val="21"/>
                    </w:rPr>
                    <w:t>应呈均匀一致的乳白色或稍带微黄色，无沉淀、无凝块、无杂质。</w:t>
                  </w:r>
                </w:p>
              </w:tc>
              <w:tc>
                <w:tcPr>
                  <w:tcW w:type="dxa" w:w="9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7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其他食品类</w:t>
                  </w:r>
                </w:p>
              </w:tc>
              <w:tc>
                <w:tcPr>
                  <w:tcW w:type="dxa" w:w="38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①</w:t>
                  </w:r>
                  <w:r>
                    <w:rPr>
                      <w:rFonts w:ascii="仿宋_GB2312" w:hAnsi="仿宋_GB2312" w:cs="仿宋_GB2312" w:eastAsia="仿宋_GB2312"/>
                      <w:sz w:val="21"/>
                    </w:rPr>
                    <w:t>按采购人要求提供豆浆、面条、包子、馒头、米糕、油条、黑米浆、 花生浆类、面包、蛋糕等早餐，不含有添加剂，防腐剂，必须符合食品安全国家标准。</w:t>
                  </w:r>
                </w:p>
                <w:p>
                  <w:pPr>
                    <w:pStyle w:val="null3"/>
                    <w:jc w:val="both"/>
                  </w:pPr>
                  <w:r>
                    <w:rPr>
                      <w:rFonts w:ascii="仿宋_GB2312" w:hAnsi="仿宋_GB2312" w:cs="仿宋_GB2312" w:eastAsia="仿宋_GB2312"/>
                      <w:sz w:val="21"/>
                    </w:rPr>
                    <w:t>②</w:t>
                  </w:r>
                  <w:r>
                    <w:rPr>
                      <w:rFonts w:ascii="仿宋_GB2312" w:hAnsi="仿宋_GB2312" w:cs="仿宋_GB2312" w:eastAsia="仿宋_GB2312"/>
                      <w:sz w:val="21"/>
                    </w:rPr>
                    <w:t>应呈均匀一致的乳白色或稍带微黄色</w:t>
                  </w:r>
                  <w:r>
                    <w:rPr>
                      <w:rFonts w:ascii="仿宋_GB2312" w:hAnsi="仿宋_GB2312" w:cs="仿宋_GB2312" w:eastAsia="仿宋_GB2312"/>
                      <w:sz w:val="21"/>
                    </w:rPr>
                    <w:t>,</w:t>
                  </w:r>
                  <w:r>
                    <w:rPr>
                      <w:rFonts w:ascii="仿宋_GB2312" w:hAnsi="仿宋_GB2312" w:cs="仿宋_GB2312" w:eastAsia="仿宋_GB2312"/>
                      <w:sz w:val="21"/>
                    </w:rPr>
                    <w:t>无沉淀、无凝块、无杂质。</w:t>
                  </w:r>
                </w:p>
              </w:tc>
              <w:tc>
                <w:tcPr>
                  <w:tcW w:type="dxa" w:w="9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bl>
          <w:p>
            <w:pPr>
              <w:pStyle w:val="null3"/>
              <w:jc w:val="both"/>
            </w:pPr>
            <w:r>
              <w:rPr>
                <w:rFonts w:ascii="仿宋_GB2312" w:hAnsi="仿宋_GB2312" w:cs="仿宋_GB2312" w:eastAsia="仿宋_GB2312"/>
                <w:sz w:val="21"/>
              </w:rPr>
              <w:t>（二）包装、标识要求</w:t>
            </w:r>
          </w:p>
          <w:p>
            <w:pPr>
              <w:pStyle w:val="null3"/>
              <w:jc w:val="both"/>
            </w:pPr>
            <w:r>
              <w:rPr>
                <w:rFonts w:ascii="仿宋_GB2312" w:hAnsi="仿宋_GB2312" w:cs="仿宋_GB2312" w:eastAsia="仿宋_GB2312"/>
                <w:sz w:val="21"/>
              </w:rPr>
              <w:t>经确认的品牌和包装，内外包装应完整卫生，无受潮，无破漏，真空包装无漏气</w:t>
            </w:r>
            <w:r>
              <w:rPr>
                <w:rFonts w:ascii="仿宋_GB2312" w:hAnsi="仿宋_GB2312" w:cs="仿宋_GB2312" w:eastAsia="仿宋_GB2312"/>
                <w:sz w:val="21"/>
              </w:rPr>
              <w:t>/</w:t>
            </w:r>
            <w:r>
              <w:rPr>
                <w:rFonts w:ascii="仿宋_GB2312" w:hAnsi="仿宋_GB2312" w:cs="仿宋_GB2312" w:eastAsia="仿宋_GB2312"/>
                <w:sz w:val="21"/>
              </w:rPr>
              <w:t>膨胀情况，内包装物应无破损，货品形状完好无损。包装材料应符合相应的国家标准。容器（框、箱、袋）要 求清洁、干燥、牢固、透气无污染、无异味、无霉变现象。包装容器不得使用玻璃、金属等可能存在安全隐患的材质。预包装商品需标示产品名称、配料表、净含量、生产商名称和地址、生产许可证编号（许可商品），执行标准，生产日期、储存条件、保质期，有质量等级也需标示。</w:t>
            </w:r>
          </w:p>
          <w:p>
            <w:pPr>
              <w:pStyle w:val="null3"/>
              <w:jc w:val="both"/>
            </w:pPr>
            <w:r>
              <w:rPr>
                <w:rFonts w:ascii="仿宋_GB2312" w:hAnsi="仿宋_GB2312" w:cs="仿宋_GB2312" w:eastAsia="仿宋_GB2312"/>
                <w:sz w:val="21"/>
              </w:rPr>
              <w:t>（三）运输要求</w:t>
            </w:r>
          </w:p>
          <w:p>
            <w:pPr>
              <w:pStyle w:val="null3"/>
              <w:jc w:val="both"/>
            </w:pPr>
            <w:r>
              <w:rPr>
                <w:rFonts w:ascii="仿宋_GB2312" w:hAnsi="仿宋_GB2312" w:cs="仿宋_GB2312" w:eastAsia="仿宋_GB2312"/>
                <w:sz w:val="21"/>
              </w:rPr>
              <w:t>整个运输过程应科学合理，运输必须采用符合卫生要求的外包装和运载工具，并且要保持清洁和定期消毒，车厢内无不良气味、异味。运输工具应清洁卫生无污染；运输途中严防日晒、雨淋，注意通风散热；供应商品应小心轻卸，严防机械损伤。</w:t>
            </w:r>
          </w:p>
          <w:p>
            <w:pPr>
              <w:pStyle w:val="null3"/>
              <w:jc w:val="both"/>
            </w:pPr>
            <w:r>
              <w:rPr>
                <w:rFonts w:ascii="仿宋_GB2312" w:hAnsi="仿宋_GB2312" w:cs="仿宋_GB2312" w:eastAsia="仿宋_GB2312"/>
                <w:sz w:val="21"/>
              </w:rPr>
              <w:t>（四）货物溯源要求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、蔬菜供应链必须明确，所有蔬菜的来源必须清晰，来源应当是自有基地、商品菜基地或受地方政府部门监管的流通市场。</w:t>
            </w:r>
            <w:r>
              <w:rPr>
                <w:rFonts w:ascii="仿宋_GB2312" w:hAnsi="仿宋_GB2312" w:cs="仿宋_GB2312" w:eastAsia="仿宋_GB2312"/>
                <w:sz w:val="21"/>
              </w:rPr>
              <w:t>2</w:t>
            </w:r>
            <w:r>
              <w:rPr>
                <w:rFonts w:ascii="仿宋_GB2312" w:hAnsi="仿宋_GB2312" w:cs="仿宋_GB2312" w:eastAsia="仿宋_GB2312"/>
                <w:sz w:val="21"/>
              </w:rPr>
              <w:t>、保质期：必须是当日新鲜蔬菜、水果。每月提供</w:t>
            </w:r>
            <w:r>
              <w:rPr>
                <w:rFonts w:ascii="仿宋_GB2312" w:hAnsi="仿宋_GB2312" w:cs="仿宋_GB2312" w:eastAsia="仿宋_GB2312"/>
                <w:sz w:val="21"/>
              </w:rPr>
              <w:t xml:space="preserve">1 </w:t>
            </w:r>
            <w:r>
              <w:rPr>
                <w:rFonts w:ascii="仿宋_GB2312" w:hAnsi="仿宋_GB2312" w:cs="仿宋_GB2312" w:eastAsia="仿宋_GB2312"/>
                <w:sz w:val="21"/>
              </w:rPr>
              <w:t>次书面溯源材料。</w:t>
            </w:r>
          </w:p>
          <w:p>
            <w:pPr>
              <w:pStyle w:val="null3"/>
              <w:jc w:val="left"/>
            </w:pPr>
            <w:r>
              <w:rPr>
                <w:rFonts w:ascii="仿宋_GB2312" w:hAnsi="仿宋_GB2312" w:cs="仿宋_GB2312" w:eastAsia="仿宋_GB2312"/>
              </w:rPr>
              <w:t xml:space="preserve"> </w:t>
            </w:r>
          </w:p>
          <w:p>
            <w:pPr>
              <w:pStyle w:val="null3"/>
              <w:jc w:val="both"/>
            </w:pP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二、服务要求</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、供应商必须自行提供配送服务，不得将配送项目进行任何方式的分包、转包。供应商配送人员需提供有效期内的健康证以及应对新冠肺炎等类似疫情的相关防疫措施。</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 由成交供应商按照采购人的采购计划要求，及时进行配送，并送货至采购人食堂指定的仓库，配送物资价格应包含乙方所有税费、成本、利润、包装、运输、装卸、各类劳保、保险等一切费用。</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首次供应时，应提供成交供应商的《营业执照》、《食品经营许可证》或《食品流通许可证》、配送人员有效期内的健康证等复印件交采购人存档。每次供应时应向采购人提供货物清单（送货单），提供后需由采购人确定。</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送货时间：按合同约定的配送时间（包含早中晚餐，以食堂加工需要为准），将采购人当日所需配送的品种足量送到食堂，不得无故更改和延误。如遇采购人有紧急采购需求而供应商不能按时、按质、按量供货的，采购人有权自行采购，产生的费用由供应商据实承担。</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、供应商保证配送的商品质量、数量、送货时间等均符合采购人要求。如遇不可抗拒因素造成送货延误的，经采购人同意后，供应商应按采购人另行制定的地点和时间及时送达。</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采购人将建立本次项目的价格监测、供应商管理机制；对供应商的价格进行实时监控，对所供产品的质量进行检验检疫（或检测）。供应商应按采购人的要求，提供产品的价格、检疫（或检测）报告、相关许可证等。根据市场情况及指导价格，及时调整产品的供货价，积极配合相关部门的监督检查。</w:t>
            </w:r>
          </w:p>
          <w:p>
            <w:pPr>
              <w:pStyle w:val="null3"/>
              <w:jc w:val="both"/>
            </w:pPr>
            <w:r>
              <w:rPr>
                <w:rFonts w:ascii="仿宋_GB2312" w:hAnsi="仿宋_GB2312" w:cs="仿宋_GB2312" w:eastAsia="仿宋_GB2312"/>
                <w:sz w:val="21"/>
              </w:rPr>
              <w:t xml:space="preserve">   7</w:t>
            </w:r>
            <w:r>
              <w:rPr>
                <w:rFonts w:ascii="仿宋_GB2312" w:hAnsi="仿宋_GB2312" w:cs="仿宋_GB2312" w:eastAsia="仿宋_GB2312"/>
                <w:sz w:val="21"/>
              </w:rPr>
              <w:t>、供应商应自行承担所供产品的全部安全责任。一旦供应商发生违约情况造成经济损失的，采购人有权从当月货款中扣除。若发生食品安全责任事故或供应商故意不按采购人要求供货达二次，供应商除应承担相关民事和刑事责任外，采购人有权终止合同另行采购。</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三、商务要求</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、配送地点：眉山市公安局交通警察支队食堂。运输方式由成交供应商自行选择。在组织货物供应过程中发生的运输费、搬运费、税金等一切费用由成交供应商负担。</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、货款按月支付，当月货款要待到月末财务结算后通知供应商提供符合采购人要求的付款凭证，采购人在收到有效的支付票据后在</w:t>
            </w:r>
            <w:r>
              <w:rPr>
                <w:rFonts w:ascii="仿宋_GB2312" w:hAnsi="仿宋_GB2312" w:cs="仿宋_GB2312" w:eastAsia="仿宋_GB2312"/>
                <w:sz w:val="21"/>
              </w:rPr>
              <w:t>10</w:t>
            </w:r>
            <w:r>
              <w:rPr>
                <w:rFonts w:ascii="仿宋_GB2312" w:hAnsi="仿宋_GB2312" w:cs="仿宋_GB2312" w:eastAsia="仿宋_GB2312"/>
                <w:sz w:val="21"/>
              </w:rPr>
              <w:t>个工作日内根据考核情况支付上月费用。每月考核得分</w:t>
            </w:r>
            <w:r>
              <w:rPr>
                <w:rFonts w:ascii="仿宋_GB2312" w:hAnsi="仿宋_GB2312" w:cs="仿宋_GB2312" w:eastAsia="仿宋_GB2312"/>
                <w:sz w:val="21"/>
              </w:rPr>
              <w:t>≥90</w:t>
            </w:r>
            <w:r>
              <w:rPr>
                <w:rFonts w:ascii="仿宋_GB2312" w:hAnsi="仿宋_GB2312" w:cs="仿宋_GB2312" w:eastAsia="仿宋_GB2312"/>
                <w:sz w:val="21"/>
              </w:rPr>
              <w:t>分的支付考核当月全部费用，</w:t>
            </w:r>
            <w:r>
              <w:rPr>
                <w:rFonts w:ascii="仿宋_GB2312" w:hAnsi="仿宋_GB2312" w:cs="仿宋_GB2312" w:eastAsia="仿宋_GB2312"/>
                <w:sz w:val="21"/>
              </w:rPr>
              <w:t>80≤</w:t>
            </w:r>
            <w:r>
              <w:rPr>
                <w:rFonts w:ascii="仿宋_GB2312" w:hAnsi="仿宋_GB2312" w:cs="仿宋_GB2312" w:eastAsia="仿宋_GB2312"/>
                <w:sz w:val="21"/>
              </w:rPr>
              <w:t>考核得分＜</w:t>
            </w:r>
            <w:r>
              <w:rPr>
                <w:rFonts w:ascii="仿宋_GB2312" w:hAnsi="仿宋_GB2312" w:cs="仿宋_GB2312" w:eastAsia="仿宋_GB2312"/>
                <w:sz w:val="21"/>
              </w:rPr>
              <w:t>90</w:t>
            </w:r>
            <w:r>
              <w:rPr>
                <w:rFonts w:ascii="仿宋_GB2312" w:hAnsi="仿宋_GB2312" w:cs="仿宋_GB2312" w:eastAsia="仿宋_GB2312"/>
                <w:sz w:val="21"/>
              </w:rPr>
              <w:t>分的按考核当月费用的</w:t>
            </w:r>
            <w:r>
              <w:rPr>
                <w:rFonts w:ascii="仿宋_GB2312" w:hAnsi="仿宋_GB2312" w:cs="仿宋_GB2312" w:eastAsia="仿宋_GB2312"/>
                <w:sz w:val="21"/>
              </w:rPr>
              <w:t>90%</w:t>
            </w:r>
            <w:r>
              <w:rPr>
                <w:rFonts w:ascii="仿宋_GB2312" w:hAnsi="仿宋_GB2312" w:cs="仿宋_GB2312" w:eastAsia="仿宋_GB2312"/>
                <w:sz w:val="21"/>
              </w:rPr>
              <w:t>结算支付，</w:t>
            </w:r>
            <w:r>
              <w:rPr>
                <w:rFonts w:ascii="仿宋_GB2312" w:hAnsi="仿宋_GB2312" w:cs="仿宋_GB2312" w:eastAsia="仿宋_GB2312"/>
                <w:sz w:val="21"/>
              </w:rPr>
              <w:t>70≤</w:t>
            </w:r>
            <w:r>
              <w:rPr>
                <w:rFonts w:ascii="仿宋_GB2312" w:hAnsi="仿宋_GB2312" w:cs="仿宋_GB2312" w:eastAsia="仿宋_GB2312"/>
                <w:sz w:val="21"/>
              </w:rPr>
              <w:t>考核 得分＜</w:t>
            </w:r>
            <w:r>
              <w:rPr>
                <w:rFonts w:ascii="仿宋_GB2312" w:hAnsi="仿宋_GB2312" w:cs="仿宋_GB2312" w:eastAsia="仿宋_GB2312"/>
                <w:sz w:val="21"/>
              </w:rPr>
              <w:t>80</w:t>
            </w:r>
            <w:r>
              <w:rPr>
                <w:rFonts w:ascii="仿宋_GB2312" w:hAnsi="仿宋_GB2312" w:cs="仿宋_GB2312" w:eastAsia="仿宋_GB2312"/>
                <w:sz w:val="21"/>
              </w:rPr>
              <w:t>分的按考核当月费用的</w:t>
            </w:r>
            <w:r>
              <w:rPr>
                <w:rFonts w:ascii="仿宋_GB2312" w:hAnsi="仿宋_GB2312" w:cs="仿宋_GB2312" w:eastAsia="仿宋_GB2312"/>
                <w:sz w:val="21"/>
              </w:rPr>
              <w:t>80%</w:t>
            </w:r>
            <w:r>
              <w:rPr>
                <w:rFonts w:ascii="仿宋_GB2312" w:hAnsi="仿宋_GB2312" w:cs="仿宋_GB2312" w:eastAsia="仿宋_GB2312"/>
                <w:sz w:val="21"/>
              </w:rPr>
              <w:t>结算支付，</w:t>
            </w:r>
            <w:r>
              <w:rPr>
                <w:rFonts w:ascii="仿宋_GB2312" w:hAnsi="仿宋_GB2312" w:cs="仿宋_GB2312" w:eastAsia="仿宋_GB2312"/>
                <w:sz w:val="21"/>
              </w:rPr>
              <w:t>60≤</w:t>
            </w:r>
            <w:r>
              <w:rPr>
                <w:rFonts w:ascii="仿宋_GB2312" w:hAnsi="仿宋_GB2312" w:cs="仿宋_GB2312" w:eastAsia="仿宋_GB2312"/>
                <w:sz w:val="21"/>
              </w:rPr>
              <w:t>考核得分＜</w:t>
            </w:r>
            <w:r>
              <w:rPr>
                <w:rFonts w:ascii="仿宋_GB2312" w:hAnsi="仿宋_GB2312" w:cs="仿宋_GB2312" w:eastAsia="仿宋_GB2312"/>
                <w:sz w:val="21"/>
              </w:rPr>
              <w:t>70</w:t>
            </w:r>
            <w:r>
              <w:rPr>
                <w:rFonts w:ascii="仿宋_GB2312" w:hAnsi="仿宋_GB2312" w:cs="仿宋_GB2312" w:eastAsia="仿宋_GB2312"/>
                <w:sz w:val="21"/>
              </w:rPr>
              <w:t>分的按考核当月费用的</w:t>
            </w:r>
            <w:r>
              <w:rPr>
                <w:rFonts w:ascii="仿宋_GB2312" w:hAnsi="仿宋_GB2312" w:cs="仿宋_GB2312" w:eastAsia="仿宋_GB2312"/>
                <w:sz w:val="21"/>
              </w:rPr>
              <w:t>70%</w:t>
            </w:r>
            <w:r>
              <w:rPr>
                <w:rFonts w:ascii="仿宋_GB2312" w:hAnsi="仿宋_GB2312" w:cs="仿宋_GB2312" w:eastAsia="仿宋_GB2312"/>
                <w:sz w:val="21"/>
              </w:rPr>
              <w:t>结算支付，低于</w:t>
            </w:r>
            <w:r>
              <w:rPr>
                <w:rFonts w:ascii="仿宋_GB2312" w:hAnsi="仿宋_GB2312" w:cs="仿宋_GB2312" w:eastAsia="仿宋_GB2312"/>
                <w:sz w:val="21"/>
              </w:rPr>
              <w:t>60</w:t>
            </w:r>
            <w:r>
              <w:rPr>
                <w:rFonts w:ascii="仿宋_GB2312" w:hAnsi="仿宋_GB2312" w:cs="仿宋_GB2312" w:eastAsia="仿宋_GB2312"/>
                <w:sz w:val="21"/>
              </w:rPr>
              <w:t>分的考核当月服务费全部扣除。（付款方式与后不一致，以此款为准）</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、成交供应商每日提供食材应提供当日的票据，每月按约定进行食材货款结算。</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、商品货物应为含税价格，供应商应提供等额有效、符合采购人的税务专用发票。</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四、售后服务要求</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、采购人出现紧急供货情况，成交供应商应无条件的及时电话响应，</w:t>
            </w:r>
            <w:r>
              <w:rPr>
                <w:rFonts w:ascii="仿宋_GB2312" w:hAnsi="仿宋_GB2312" w:cs="仿宋_GB2312" w:eastAsia="仿宋_GB2312"/>
                <w:sz w:val="21"/>
              </w:rPr>
              <w:t>1</w:t>
            </w:r>
            <w:r>
              <w:rPr>
                <w:rFonts w:ascii="仿宋_GB2312" w:hAnsi="仿宋_GB2312" w:cs="仿宋_GB2312" w:eastAsia="仿宋_GB2312"/>
                <w:sz w:val="21"/>
              </w:rPr>
              <w:t>小时内到达采购人处并解决货品需求。</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、采购人对于临时性的散货或少量需要，成交供应商应满足采购人需求无条件的及时供货。</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、成交供应商应严格按照采购人货物验收标准及质量考核办法，</w:t>
            </w:r>
            <w:r>
              <w:rPr>
                <w:rFonts w:ascii="仿宋_GB2312" w:hAnsi="仿宋_GB2312" w:cs="仿宋_GB2312" w:eastAsia="仿宋_GB2312"/>
                <w:sz w:val="21"/>
              </w:rPr>
              <w:t>2</w:t>
            </w:r>
            <w:r>
              <w:rPr>
                <w:rFonts w:ascii="仿宋_GB2312" w:hAnsi="仿宋_GB2312" w:cs="仿宋_GB2312" w:eastAsia="仿宋_GB2312"/>
                <w:sz w:val="21"/>
              </w:rPr>
              <w:t>次考核未达标采取自动退出机制，成交供应商应服从采购人供货安排，因供应商质量、服务、考核等原因采购人有权单方面同成交供应商解除合同。</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、成交供应商应严格按照货物质量标准进行供货，若经国家行政部门查实因原材料出现的质量问题一切责任由供应商承担，并自行承担相关法律责任及经济赔偿。</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、如遇不可抗力因素导致采购人食堂无法正常运转时，如停电、停水、停气等，成交供应商需无条件配合采购人解决民辅警、职工等人员就餐问题。</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五、验收要求</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供应商配送的所有物资必须保质保量、保鲜、无污染、无发霉、无变质、无不适宜民辅警职工食用的食品，同时必须提供相关检疫、检测等相关报告，若不能提供，验收人员有权拒绝接收并可视为本次配送货品质量不合格，可要求供应商在一个小时内重新配送有报告的物资。若供应商无法及时供给，食堂采购人员有权自行到市场采购所需货物，若价格高于询价，差价损失由供应商自行承担。</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、配送货物除必须提供相关检测报告和证书外，还应以职工食堂验收人员、验收监督小组和厨师长等的综合意见为准，不符合要求则无条件退换。</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、供应商应按采购人的要求，提供产品的检疫（或检测）报告、相关许可证等。供应商应必须积极配合相关部门的监督检查。供应商应建立严格的管理记录档案，详细记载进货渠道、种类、数量和时间。</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、供应链必须明确，所有食材来源必须清晰，来源应当是自有基地、商品菜基地、生产厂家或受地方政府部门监管的流通市场。</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、采购人有权聘请专业检测机构对供应商所送产品随机进行检测，检测费用由供应商据实承担，检测结果不合格的按考核办法配送质量不合格处理。</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六、考核要求及退出机制</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违约追责：在服务期限内供应商有严重违约行为、价格欺诈、因产品质量问题导致食品卫生事件、被采购人书面告知整改但拒不改正等行为，采购人有权中止采购合同，并另行赔偿采购人损失，追究供货商相关法律责任。</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、如遇不可抗拒因素（如自然灾害、政策变化或单位主体发生变化等）导致合同相关主体不能履行采购合同，本合同立即自动终止。</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、考核要求：配送服务质量评议制度。对配送过程中的产品质量、产品价格、服务质量、合同执行情况、承诺兑现等方面进行综合评议。（后附考核细则）</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、退出机制。在合同期内，发生下述任一条件，则采购人有权认为供应商在实际配送中无法 满足采购人对于食品原材料的安全要求，可单方面终止合同另行采购，由此而引起的经济损失由供应商独自承担。</w:t>
            </w:r>
          </w:p>
          <w:p>
            <w:pPr>
              <w:pStyle w:val="null3"/>
              <w:jc w:val="both"/>
            </w:pPr>
            <w:r>
              <w:rPr>
                <w:rFonts w:ascii="仿宋_GB2312" w:hAnsi="仿宋_GB2312" w:cs="仿宋_GB2312" w:eastAsia="仿宋_GB2312"/>
                <w:sz w:val="21"/>
              </w:rPr>
              <w:t>①</w:t>
            </w:r>
            <w:r>
              <w:rPr>
                <w:rFonts w:ascii="仿宋_GB2312" w:hAnsi="仿宋_GB2312" w:cs="仿宋_GB2312" w:eastAsia="仿宋_GB2312"/>
                <w:sz w:val="21"/>
              </w:rPr>
              <w:t>因配送产品问题引发了任意食品安全问题（包括市场监管局抽检不合格两次及以上的）；</w:t>
            </w:r>
          </w:p>
          <w:p>
            <w:pPr>
              <w:pStyle w:val="null3"/>
              <w:jc w:val="both"/>
            </w:pPr>
            <w:r>
              <w:rPr>
                <w:rFonts w:ascii="仿宋_GB2312" w:hAnsi="仿宋_GB2312" w:cs="仿宋_GB2312" w:eastAsia="仿宋_GB2312"/>
                <w:sz w:val="21"/>
              </w:rPr>
              <w:t>②</w:t>
            </w:r>
            <w:r>
              <w:rPr>
                <w:rFonts w:ascii="仿宋_GB2312" w:hAnsi="仿宋_GB2312" w:cs="仿宋_GB2312" w:eastAsia="仿宋_GB2312"/>
                <w:sz w:val="21"/>
              </w:rPr>
              <w:t>在服务期限内提供不合格产品或者不按要求配送影响正常就餐累计</w:t>
            </w:r>
            <w:r>
              <w:rPr>
                <w:rFonts w:ascii="仿宋_GB2312" w:hAnsi="仿宋_GB2312" w:cs="仿宋_GB2312" w:eastAsia="仿宋_GB2312"/>
                <w:sz w:val="21"/>
              </w:rPr>
              <w:t>2</w:t>
            </w:r>
            <w:r>
              <w:rPr>
                <w:rFonts w:ascii="仿宋_GB2312" w:hAnsi="仿宋_GB2312" w:cs="仿宋_GB2312" w:eastAsia="仿宋_GB2312"/>
                <w:sz w:val="21"/>
              </w:rPr>
              <w:t>次的；</w:t>
            </w:r>
          </w:p>
          <w:p>
            <w:pPr>
              <w:pStyle w:val="null3"/>
              <w:jc w:val="both"/>
            </w:pPr>
            <w:r>
              <w:rPr>
                <w:rFonts w:ascii="仿宋_GB2312" w:hAnsi="仿宋_GB2312" w:cs="仿宋_GB2312" w:eastAsia="仿宋_GB2312"/>
                <w:sz w:val="21"/>
              </w:rPr>
              <w:t>③</w:t>
            </w:r>
            <w:r>
              <w:rPr>
                <w:rFonts w:ascii="仿宋_GB2312" w:hAnsi="仿宋_GB2312" w:cs="仿宋_GB2312" w:eastAsia="仿宋_GB2312"/>
                <w:sz w:val="21"/>
              </w:rPr>
              <w:t>连续</w:t>
            </w:r>
            <w:r>
              <w:rPr>
                <w:rFonts w:ascii="仿宋_GB2312" w:hAnsi="仿宋_GB2312" w:cs="仿宋_GB2312" w:eastAsia="仿宋_GB2312"/>
                <w:sz w:val="21"/>
              </w:rPr>
              <w:t>2</w:t>
            </w:r>
            <w:r>
              <w:rPr>
                <w:rFonts w:ascii="仿宋_GB2312" w:hAnsi="仿宋_GB2312" w:cs="仿宋_GB2312" w:eastAsia="仿宋_GB2312"/>
                <w:sz w:val="21"/>
              </w:rPr>
              <w:t>个月考核低于</w:t>
            </w:r>
            <w:r>
              <w:rPr>
                <w:rFonts w:ascii="仿宋_GB2312" w:hAnsi="仿宋_GB2312" w:cs="仿宋_GB2312" w:eastAsia="仿宋_GB2312"/>
                <w:sz w:val="21"/>
              </w:rPr>
              <w:t>90</w:t>
            </w:r>
            <w:r>
              <w:rPr>
                <w:rFonts w:ascii="仿宋_GB2312" w:hAnsi="仿宋_GB2312" w:cs="仿宋_GB2312" w:eastAsia="仿宋_GB2312"/>
                <w:sz w:val="21"/>
              </w:rPr>
              <w:t>分。</w:t>
            </w:r>
          </w:p>
          <w:p>
            <w:pPr>
              <w:pStyle w:val="null3"/>
              <w:jc w:val="center"/>
            </w:pPr>
            <w:r>
              <w:rPr>
                <w:rFonts w:ascii="仿宋_GB2312" w:hAnsi="仿宋_GB2312" w:cs="仿宋_GB2312" w:eastAsia="仿宋_GB2312"/>
                <w:sz w:val="21"/>
              </w:rPr>
              <w:t>食堂供应商配送考核表</w:t>
            </w:r>
          </w:p>
          <w:p>
            <w:pPr>
              <w:pStyle w:val="null3"/>
              <w:jc w:val="right"/>
            </w:pPr>
            <w:r>
              <w:rPr>
                <w:rFonts w:ascii="仿宋_GB2312" w:hAnsi="仿宋_GB2312" w:cs="仿宋_GB2312" w:eastAsia="仿宋_GB2312"/>
                <w:sz w:val="21"/>
              </w:rPr>
              <w:t>年</w:t>
            </w:r>
            <w:r>
              <w:rPr>
                <w:rFonts w:ascii="仿宋_GB2312" w:hAnsi="仿宋_GB2312" w:cs="仿宋_GB2312" w:eastAsia="仿宋_GB2312"/>
                <w:sz w:val="21"/>
              </w:rPr>
              <w:t xml:space="preserve">  </w:t>
            </w:r>
            <w:r>
              <w:rPr>
                <w:rFonts w:ascii="仿宋_GB2312" w:hAnsi="仿宋_GB2312" w:cs="仿宋_GB2312" w:eastAsia="仿宋_GB2312"/>
                <w:sz w:val="21"/>
              </w:rPr>
              <w:t>月</w:t>
            </w:r>
          </w:p>
          <w:tbl>
            <w:tblPr>
              <w:tblInd w:type="dxa" w:w="105"/>
              <w:tblBorders>
                <w:top w:val="none" w:color="000000" w:sz="4"/>
                <w:left w:val="none" w:color="000000" w:sz="4"/>
                <w:bottom w:val="none" w:color="000000" w:sz="4"/>
                <w:right w:val="none" w:color="000000" w:sz="4"/>
                <w:insideH w:val="none"/>
                <w:insideV w:val="none"/>
              </w:tblBorders>
            </w:tblPr>
            <w:tblGrid>
              <w:gridCol w:w="684"/>
              <w:gridCol w:w="609"/>
              <w:gridCol w:w="684"/>
              <w:gridCol w:w="2818"/>
              <w:gridCol w:w="800"/>
            </w:tblGrid>
            <w:tr>
              <w:tc>
                <w:tcPr>
                  <w:tcW w:type="dxa" w:w="1293"/>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评分因素</w:t>
                  </w:r>
                </w:p>
              </w:tc>
              <w:tc>
                <w:tcPr>
                  <w:tcW w:type="dxa" w:w="68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分值</w:t>
                  </w:r>
                </w:p>
              </w:tc>
              <w:tc>
                <w:tcPr>
                  <w:tcW w:type="dxa" w:w="281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扣分标准</w:t>
                  </w:r>
                </w:p>
              </w:tc>
              <w:tc>
                <w:tcPr>
                  <w:tcW w:type="dxa" w:w="80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得分</w:t>
                  </w:r>
                </w:p>
              </w:tc>
            </w:tr>
            <w:tr>
              <w:tc>
                <w:tcPr>
                  <w:tcW w:type="dxa" w:w="68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配送服务</w:t>
                  </w:r>
                </w:p>
                <w:p>
                  <w:pPr>
                    <w:pStyle w:val="null3"/>
                    <w:jc w:val="center"/>
                  </w:pPr>
                  <w:r>
                    <w:rPr>
                      <w:rFonts w:ascii="仿宋_GB2312" w:hAnsi="仿宋_GB2312" w:cs="仿宋_GB2312" w:eastAsia="仿宋_GB2312"/>
                      <w:sz w:val="21"/>
                    </w:rPr>
                    <w:t>80</w:t>
                  </w:r>
                  <w:r>
                    <w:rPr>
                      <w:rFonts w:ascii="仿宋_GB2312" w:hAnsi="仿宋_GB2312" w:cs="仿宋_GB2312" w:eastAsia="仿宋_GB2312"/>
                      <w:sz w:val="21"/>
                    </w:rPr>
                    <w:t>分</w:t>
                  </w:r>
                </w:p>
              </w:tc>
              <w:tc>
                <w:tcPr>
                  <w:tcW w:type="dxa" w:w="6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质量要求</w:t>
                  </w:r>
                </w:p>
              </w:tc>
              <w:tc>
                <w:tcPr>
                  <w:tcW w:type="dxa" w:w="6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30</w:t>
                  </w:r>
                  <w:r>
                    <w:rPr>
                      <w:rFonts w:ascii="仿宋_GB2312" w:hAnsi="仿宋_GB2312" w:cs="仿宋_GB2312" w:eastAsia="仿宋_GB2312"/>
                      <w:sz w:val="21"/>
                    </w:rPr>
                    <w:t>分</w:t>
                  </w:r>
                </w:p>
              </w:tc>
              <w:tc>
                <w:tcPr>
                  <w:tcW w:type="dxa" w:w="28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因质量不符合要求退货一次扣</w:t>
                  </w:r>
                  <w:r>
                    <w:rPr>
                      <w:rFonts w:ascii="仿宋_GB2312" w:hAnsi="仿宋_GB2312" w:cs="仿宋_GB2312" w:eastAsia="仿宋_GB2312"/>
                      <w:sz w:val="21"/>
                    </w:rPr>
                    <w:t>5</w:t>
                  </w:r>
                  <w:r>
                    <w:rPr>
                      <w:rFonts w:ascii="仿宋_GB2312" w:hAnsi="仿宋_GB2312" w:cs="仿宋_GB2312" w:eastAsia="仿宋_GB2312"/>
                      <w:sz w:val="21"/>
                    </w:rPr>
                    <w:t>分</w:t>
                  </w:r>
                </w:p>
              </w:tc>
              <w:tc>
                <w:tcPr>
                  <w:tcW w:type="dxa" w:w="80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84"/>
                  <w:vMerge/>
                  <w:tcBorders>
                    <w:top w:val="none" w:color="000000" w:sz="4"/>
                    <w:left w:val="single" w:color="000000" w:sz="4"/>
                    <w:bottom w:val="single" w:color="000000" w:sz="4"/>
                    <w:right w:val="single" w:color="000000" w:sz="4"/>
                  </w:tcBorders>
                </w:tcPr>
                <w:p/>
              </w:tc>
              <w:tc>
                <w:tcPr>
                  <w:tcW w:type="dxa" w:w="6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健康证</w:t>
                  </w:r>
                </w:p>
              </w:tc>
              <w:tc>
                <w:tcPr>
                  <w:tcW w:type="dxa" w:w="6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w:t>
                  </w:r>
                  <w:r>
                    <w:rPr>
                      <w:rFonts w:ascii="仿宋_GB2312" w:hAnsi="仿宋_GB2312" w:cs="仿宋_GB2312" w:eastAsia="仿宋_GB2312"/>
                      <w:sz w:val="21"/>
                    </w:rPr>
                    <w:t>分</w:t>
                  </w:r>
                </w:p>
              </w:tc>
              <w:tc>
                <w:tcPr>
                  <w:tcW w:type="dxa" w:w="28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供应商原材料操作员和配送员必须持健康证上岗，无条件接受采购人的监督检查。若无法出示有效健康证一次扣</w:t>
                  </w:r>
                  <w:r>
                    <w:rPr>
                      <w:rFonts w:ascii="仿宋_GB2312" w:hAnsi="仿宋_GB2312" w:cs="仿宋_GB2312" w:eastAsia="仿宋_GB2312"/>
                      <w:sz w:val="21"/>
                    </w:rPr>
                    <w:t>5</w:t>
                  </w:r>
                  <w:r>
                    <w:rPr>
                      <w:rFonts w:ascii="仿宋_GB2312" w:hAnsi="仿宋_GB2312" w:cs="仿宋_GB2312" w:eastAsia="仿宋_GB2312"/>
                      <w:sz w:val="21"/>
                    </w:rPr>
                    <w:t>分。</w:t>
                  </w:r>
                </w:p>
              </w:tc>
              <w:tc>
                <w:tcPr>
                  <w:tcW w:type="dxa" w:w="8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84"/>
                  <w:vMerge/>
                  <w:tcBorders>
                    <w:top w:val="none" w:color="000000" w:sz="4"/>
                    <w:left w:val="single" w:color="000000" w:sz="4"/>
                    <w:bottom w:val="single" w:color="000000" w:sz="4"/>
                    <w:right w:val="single" w:color="000000" w:sz="4"/>
                  </w:tcBorders>
                </w:tcPr>
                <w:p/>
              </w:tc>
              <w:tc>
                <w:tcPr>
                  <w:tcW w:type="dxa" w:w="6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形象整洁</w:t>
                  </w:r>
                </w:p>
              </w:tc>
              <w:tc>
                <w:tcPr>
                  <w:tcW w:type="dxa" w:w="6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w:t>
                  </w:r>
                  <w:r>
                    <w:rPr>
                      <w:rFonts w:ascii="仿宋_GB2312" w:hAnsi="仿宋_GB2312" w:cs="仿宋_GB2312" w:eastAsia="仿宋_GB2312"/>
                      <w:sz w:val="21"/>
                    </w:rPr>
                    <w:t>分</w:t>
                  </w:r>
                </w:p>
              </w:tc>
              <w:tc>
                <w:tcPr>
                  <w:tcW w:type="dxa" w:w="28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供应商原材料操作员和配送员应当着干净工作服，穿戴整洁，身体健康无外伤，指甲干净卫生。若有上述一项不符者扣一次扣</w:t>
                  </w:r>
                  <w:r>
                    <w:rPr>
                      <w:rFonts w:ascii="仿宋_GB2312" w:hAnsi="仿宋_GB2312" w:cs="仿宋_GB2312" w:eastAsia="仿宋_GB2312"/>
                      <w:sz w:val="21"/>
                    </w:rPr>
                    <w:t>2</w:t>
                  </w:r>
                  <w:r>
                    <w:rPr>
                      <w:rFonts w:ascii="仿宋_GB2312" w:hAnsi="仿宋_GB2312" w:cs="仿宋_GB2312" w:eastAsia="仿宋_GB2312"/>
                      <w:sz w:val="21"/>
                    </w:rPr>
                    <w:t>分。</w:t>
                  </w:r>
                </w:p>
              </w:tc>
              <w:tc>
                <w:tcPr>
                  <w:tcW w:type="dxa" w:w="8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84"/>
                  <w:vMerge/>
                  <w:tcBorders>
                    <w:top w:val="none" w:color="000000" w:sz="4"/>
                    <w:left w:val="single" w:color="000000" w:sz="4"/>
                    <w:bottom w:val="single" w:color="000000" w:sz="4"/>
                    <w:right w:val="single" w:color="000000" w:sz="4"/>
                  </w:tcBorders>
                </w:tcPr>
                <w:p/>
              </w:tc>
              <w:tc>
                <w:tcPr>
                  <w:tcW w:type="dxa" w:w="6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配送及时</w:t>
                  </w:r>
                </w:p>
              </w:tc>
              <w:tc>
                <w:tcPr>
                  <w:tcW w:type="dxa" w:w="6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w:t>
                  </w:r>
                  <w:r>
                    <w:rPr>
                      <w:rFonts w:ascii="仿宋_GB2312" w:hAnsi="仿宋_GB2312" w:cs="仿宋_GB2312" w:eastAsia="仿宋_GB2312"/>
                      <w:sz w:val="21"/>
                    </w:rPr>
                    <w:t>分</w:t>
                  </w:r>
                </w:p>
              </w:tc>
              <w:tc>
                <w:tcPr>
                  <w:tcW w:type="dxa" w:w="28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出现迟到（漏送）现象一次扣</w:t>
                  </w:r>
                  <w:r>
                    <w:rPr>
                      <w:rFonts w:ascii="仿宋_GB2312" w:hAnsi="仿宋_GB2312" w:cs="仿宋_GB2312" w:eastAsia="仿宋_GB2312"/>
                      <w:sz w:val="21"/>
                    </w:rPr>
                    <w:t>5</w:t>
                  </w:r>
                  <w:r>
                    <w:rPr>
                      <w:rFonts w:ascii="仿宋_GB2312" w:hAnsi="仿宋_GB2312" w:cs="仿宋_GB2312" w:eastAsia="仿宋_GB2312"/>
                      <w:sz w:val="21"/>
                    </w:rPr>
                    <w:t>分。</w:t>
                  </w:r>
                </w:p>
              </w:tc>
              <w:tc>
                <w:tcPr>
                  <w:tcW w:type="dxa" w:w="8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84"/>
                  <w:vMerge/>
                  <w:tcBorders>
                    <w:top w:val="none" w:color="000000" w:sz="4"/>
                    <w:left w:val="single" w:color="000000" w:sz="4"/>
                    <w:bottom w:val="single" w:color="000000" w:sz="4"/>
                    <w:right w:val="single" w:color="000000" w:sz="4"/>
                  </w:tcBorders>
                </w:tcPr>
                <w:p/>
              </w:tc>
              <w:tc>
                <w:tcPr>
                  <w:tcW w:type="dxa" w:w="6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服务态度</w:t>
                  </w:r>
                </w:p>
              </w:tc>
              <w:tc>
                <w:tcPr>
                  <w:tcW w:type="dxa" w:w="6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r>
                    <w:rPr>
                      <w:rFonts w:ascii="仿宋_GB2312" w:hAnsi="仿宋_GB2312" w:cs="仿宋_GB2312" w:eastAsia="仿宋_GB2312"/>
                      <w:sz w:val="21"/>
                    </w:rPr>
                    <w:t>分</w:t>
                  </w:r>
                </w:p>
              </w:tc>
              <w:tc>
                <w:tcPr>
                  <w:tcW w:type="dxa" w:w="28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对验收人员态度恶劣或故意回避验收人员提问的，一次扣</w:t>
                  </w:r>
                  <w:r>
                    <w:rPr>
                      <w:rFonts w:ascii="仿宋_GB2312" w:hAnsi="仿宋_GB2312" w:cs="仿宋_GB2312" w:eastAsia="仿宋_GB2312"/>
                      <w:sz w:val="21"/>
                    </w:rPr>
                    <w:t>2.5</w:t>
                  </w:r>
                  <w:r>
                    <w:rPr>
                      <w:rFonts w:ascii="仿宋_GB2312" w:hAnsi="仿宋_GB2312" w:cs="仿宋_GB2312" w:eastAsia="仿宋_GB2312"/>
                      <w:sz w:val="21"/>
                    </w:rPr>
                    <w:t>分</w:t>
                  </w:r>
                </w:p>
              </w:tc>
              <w:tc>
                <w:tcPr>
                  <w:tcW w:type="dxa" w:w="8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84"/>
                  <w:vMerge/>
                  <w:tcBorders>
                    <w:top w:val="none" w:color="000000" w:sz="4"/>
                    <w:left w:val="single" w:color="000000" w:sz="4"/>
                    <w:bottom w:val="single" w:color="000000" w:sz="4"/>
                    <w:right w:val="single" w:color="000000" w:sz="4"/>
                  </w:tcBorders>
                </w:tcPr>
                <w:p/>
              </w:tc>
              <w:tc>
                <w:tcPr>
                  <w:tcW w:type="dxa" w:w="6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文件资料报送</w:t>
                  </w:r>
                </w:p>
              </w:tc>
              <w:tc>
                <w:tcPr>
                  <w:tcW w:type="dxa" w:w="6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r>
                    <w:rPr>
                      <w:rFonts w:ascii="仿宋_GB2312" w:hAnsi="仿宋_GB2312" w:cs="仿宋_GB2312" w:eastAsia="仿宋_GB2312"/>
                      <w:sz w:val="21"/>
                    </w:rPr>
                    <w:t>分</w:t>
                  </w:r>
                </w:p>
              </w:tc>
              <w:tc>
                <w:tcPr>
                  <w:tcW w:type="dxa" w:w="28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文件资料和检测报告不及时报送每次扣</w:t>
                  </w:r>
                  <w:r>
                    <w:rPr>
                      <w:rFonts w:ascii="仿宋_GB2312" w:hAnsi="仿宋_GB2312" w:cs="仿宋_GB2312" w:eastAsia="仿宋_GB2312"/>
                      <w:sz w:val="21"/>
                    </w:rPr>
                    <w:t>1</w:t>
                  </w:r>
                  <w:r>
                    <w:rPr>
                      <w:rFonts w:ascii="仿宋_GB2312" w:hAnsi="仿宋_GB2312" w:cs="仿宋_GB2312" w:eastAsia="仿宋_GB2312"/>
                      <w:sz w:val="21"/>
                    </w:rPr>
                    <w:t>分。</w:t>
                  </w:r>
                </w:p>
              </w:tc>
              <w:tc>
                <w:tcPr>
                  <w:tcW w:type="dxa" w:w="8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8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售后服务</w:t>
                  </w:r>
                  <w:r>
                    <w:rPr>
                      <w:rFonts w:ascii="仿宋_GB2312" w:hAnsi="仿宋_GB2312" w:cs="仿宋_GB2312" w:eastAsia="仿宋_GB2312"/>
                      <w:sz w:val="21"/>
                    </w:rPr>
                    <w:t>20</w:t>
                  </w:r>
                  <w:r>
                    <w:rPr>
                      <w:rFonts w:ascii="仿宋_GB2312" w:hAnsi="仿宋_GB2312" w:cs="仿宋_GB2312" w:eastAsia="仿宋_GB2312"/>
                      <w:sz w:val="21"/>
                    </w:rPr>
                    <w:t>分</w:t>
                  </w:r>
                </w:p>
              </w:tc>
              <w:tc>
                <w:tcPr>
                  <w:tcW w:type="dxa" w:w="6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服务电话</w:t>
                  </w:r>
                </w:p>
              </w:tc>
              <w:tc>
                <w:tcPr>
                  <w:tcW w:type="dxa" w:w="6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r>
                    <w:rPr>
                      <w:rFonts w:ascii="仿宋_GB2312" w:hAnsi="仿宋_GB2312" w:cs="仿宋_GB2312" w:eastAsia="仿宋_GB2312"/>
                      <w:sz w:val="21"/>
                    </w:rPr>
                    <w:t>分</w:t>
                  </w:r>
                </w:p>
              </w:tc>
              <w:tc>
                <w:tcPr>
                  <w:tcW w:type="dxa" w:w="28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采购人能随时联系到供应商。无服务电话扣</w:t>
                  </w:r>
                  <w:r>
                    <w:rPr>
                      <w:rFonts w:ascii="仿宋_GB2312" w:hAnsi="仿宋_GB2312" w:cs="仿宋_GB2312" w:eastAsia="仿宋_GB2312"/>
                      <w:sz w:val="21"/>
                    </w:rPr>
                    <w:t>5</w:t>
                  </w:r>
                  <w:r>
                    <w:rPr>
                      <w:rFonts w:ascii="仿宋_GB2312" w:hAnsi="仿宋_GB2312" w:cs="仿宋_GB2312" w:eastAsia="仿宋_GB2312"/>
                      <w:sz w:val="21"/>
                    </w:rPr>
                    <w:t>分，无人接听电话一次扣</w:t>
                  </w:r>
                  <w:r>
                    <w:rPr>
                      <w:rFonts w:ascii="仿宋_GB2312" w:hAnsi="仿宋_GB2312" w:cs="仿宋_GB2312" w:eastAsia="仿宋_GB2312"/>
                      <w:sz w:val="21"/>
                    </w:rPr>
                    <w:t>2.5</w:t>
                  </w:r>
                  <w:r>
                    <w:rPr>
                      <w:rFonts w:ascii="仿宋_GB2312" w:hAnsi="仿宋_GB2312" w:cs="仿宋_GB2312" w:eastAsia="仿宋_GB2312"/>
                      <w:sz w:val="21"/>
                    </w:rPr>
                    <w:t>分。</w:t>
                  </w:r>
                </w:p>
              </w:tc>
              <w:tc>
                <w:tcPr>
                  <w:tcW w:type="dxa" w:w="8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84"/>
                  <w:vMerge/>
                  <w:tcBorders>
                    <w:top w:val="none" w:color="000000" w:sz="4"/>
                    <w:left w:val="single" w:color="000000" w:sz="4"/>
                    <w:bottom w:val="single" w:color="000000" w:sz="4"/>
                    <w:right w:val="single" w:color="000000" w:sz="4"/>
                  </w:tcBorders>
                </w:tcPr>
                <w:p/>
              </w:tc>
              <w:tc>
                <w:tcPr>
                  <w:tcW w:type="dxa" w:w="6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存货盘点</w:t>
                  </w:r>
                </w:p>
              </w:tc>
              <w:tc>
                <w:tcPr>
                  <w:tcW w:type="dxa" w:w="6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w:t>
                  </w:r>
                  <w:r>
                    <w:rPr>
                      <w:rFonts w:ascii="仿宋_GB2312" w:hAnsi="仿宋_GB2312" w:cs="仿宋_GB2312" w:eastAsia="仿宋_GB2312"/>
                      <w:sz w:val="21"/>
                    </w:rPr>
                    <w:t>分</w:t>
                  </w:r>
                </w:p>
              </w:tc>
              <w:tc>
                <w:tcPr>
                  <w:tcW w:type="dxa" w:w="28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供应商每月定期巡检、盘点已送达采购人食材的库存情况，并建立台账，及时调换临期食材，得</w:t>
                  </w:r>
                  <w:r>
                    <w:rPr>
                      <w:rFonts w:ascii="仿宋_GB2312" w:hAnsi="仿宋_GB2312" w:cs="仿宋_GB2312" w:eastAsia="仿宋_GB2312"/>
                      <w:sz w:val="21"/>
                    </w:rPr>
                    <w:t>5</w:t>
                  </w:r>
                  <w:r>
                    <w:rPr>
                      <w:rFonts w:ascii="仿宋_GB2312" w:hAnsi="仿宋_GB2312" w:cs="仿宋_GB2312" w:eastAsia="仿宋_GB2312"/>
                      <w:sz w:val="21"/>
                    </w:rPr>
                    <w:t>分。不得出现过期、变质食材，否则扣</w:t>
                  </w:r>
                  <w:r>
                    <w:rPr>
                      <w:rFonts w:ascii="仿宋_GB2312" w:hAnsi="仿宋_GB2312" w:cs="仿宋_GB2312" w:eastAsia="仿宋_GB2312"/>
                      <w:sz w:val="21"/>
                    </w:rPr>
                    <w:t>5</w:t>
                  </w:r>
                  <w:r>
                    <w:rPr>
                      <w:rFonts w:ascii="仿宋_GB2312" w:hAnsi="仿宋_GB2312" w:cs="仿宋_GB2312" w:eastAsia="仿宋_GB2312"/>
                      <w:sz w:val="21"/>
                    </w:rPr>
                    <w:t>分。</w:t>
                  </w:r>
                </w:p>
              </w:tc>
              <w:tc>
                <w:tcPr>
                  <w:tcW w:type="dxa" w:w="8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84"/>
                  <w:vMerge/>
                  <w:tcBorders>
                    <w:top w:val="none" w:color="000000" w:sz="4"/>
                    <w:left w:val="single" w:color="000000" w:sz="4"/>
                    <w:bottom w:val="single" w:color="000000" w:sz="4"/>
                    <w:right w:val="single" w:color="000000" w:sz="4"/>
                  </w:tcBorders>
                </w:tcPr>
                <w:p/>
              </w:tc>
              <w:tc>
                <w:tcPr>
                  <w:tcW w:type="dxa" w:w="6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征求意见表</w:t>
                  </w:r>
                </w:p>
              </w:tc>
              <w:tc>
                <w:tcPr>
                  <w:tcW w:type="dxa" w:w="6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r>
                    <w:rPr>
                      <w:rFonts w:ascii="仿宋_GB2312" w:hAnsi="仿宋_GB2312" w:cs="仿宋_GB2312" w:eastAsia="仿宋_GB2312"/>
                      <w:sz w:val="21"/>
                    </w:rPr>
                    <w:t>分</w:t>
                  </w:r>
                </w:p>
              </w:tc>
              <w:tc>
                <w:tcPr>
                  <w:tcW w:type="dxa" w:w="28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每月发放服务工作征求意见表，及时采纳合理建议，改进存在问题，不断提高管理与服务质量，未征求意见不得分</w:t>
                  </w:r>
                </w:p>
              </w:tc>
              <w:tc>
                <w:tcPr>
                  <w:tcW w:type="dxa" w:w="8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1977"/>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合计</w:t>
                  </w:r>
                </w:p>
              </w:tc>
              <w:tc>
                <w:tcPr>
                  <w:tcW w:type="dxa" w:w="28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8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365</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眉山市公安局交通警察支队食堂</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1、供应商配送的所有物资必须保质保量、保鲜、无污染、无发霉、无变质、无不适宜民辅警职工食用的食品，同时必须提供相关检疫、检测等相关报告，若不能提供，验收人员有权拒绝接收 并可视为本次配送货品质量不合格，可要求供应商在一个小时内重新配送有报告的物资。若供应商无法及时供给，食堂采购人员有权自行到市场采购所需货物，若价格高于询价，差价损失由供应商自行承担。 2、配送货物除必须提供相关检测报告和证书外，还应以职工食堂验收人员、验收监督小组和厨师长等的综合意见为准，不符合要求则无条件退换。 3、供应商应按采购人的要求，提供产品的检疫（或检测）报告、相关许可证等。供应商应必须积极配合相关部门的监督检查。供应商应建立严格的管理记录档案，详细记载进货渠道、种类、数量和时间。 4、供应链必须明确，所有食材来源必须清晰，来源应当是自有基地、商品菜基地、生产厂家或受地方政府部门监管的流通市场。 5、采购人有权聘请专业检测机构对供应商所送产品随机进行检测，检测费用由供应商据实承担，检测结果不合格的按考核办法配送质量不合格处理。</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1、货款按月支付，当月货款要待到月末财务结算后通知供应商提供符合采购人要求的付款凭证，采购人在收到有效的支付票据后在10个工作日内根据考核情况支付上月费用。每月考核得分≥ 90分的支付考核当月全部费用，80≤考核得分＜90分的按考核当月费用的90%结算支付，70≤考核 得分＜80分的按考核当月费用的80%结算支付，60≤考核得分＜70分的按考核当月费用的70%结算支付，低于60分的考核当月服务费全部扣除，达到付款条件起10日内，据实情况说明为货款按月支付，当月货款要待到月末财务结算后通知供应商提供符合采购人要求的付款凭证，采购人在收到有效的支付票据后在10个工作日内根据考核情况支付上月费用</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在服务期限内供应商有严重违约行为、价格欺诈、因产品质量问题导致食品卫生事件、被采购人书面告知整改但拒不改正等行为，采购人有权中止采购合同，并另行赔偿采购人损失，追究供货商相关法律责任。</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365</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眉山市公安局交通警察支队食堂</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1、供应商配送的所有物资必须保质保量、保鲜、无污染、无发霉、无变质、无不适宜民辅警 职工食用的食品，同时必须提供相关检疫、检测等相关报告，若不能提供，验收人员有权拒绝接收 并可视为本次配送货品质量不合格，可要求供应商在一个小时内重新配送有报告的物资。若供应商无法及时供给，食堂采购人员有权自行到市场采购所需货物，若价格高于询价，差价损失由供应商自行承担。 2、配送货物除必须提供相关检测报告和证书外，还应以职工食堂验收人员、验收监督小组和厨师长等的综合意见为准，不符合要求则无条件退换。 3、供应商应按采购人的要求，提供产品的检疫（或检测）报告、相关许可证等。供应商应必须积极配合相关部门的监督检查。供应商应建立严格的管理记录档案，详细记载进货渠道、种类、数量和时间。 4、供应链必须明确，所有食材来源必须清晰，来源应当是自有基地、商品菜基地、生产厂家或受地方政府部门监管的流通市场。 5、采购人有权聘请专业检测机构对供应商所送产品随机进行检测，检测费用由供应商据实承担，检测结果不合格的按考核办法配送质量不合格处理。</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1、货款按月支付，当月货款要待到月末财务结算后通知供应商提供符合采购人要求的付款凭证，采购人在收到有效的支付票据后在10个工作日内根据考核情况支付上月费用。每月考核得分≥ 90分的支付考核当月全部费用，80≤考核得分＜90分的按考核当月费用的90%结算支付，70≤考核 得分＜80分的按考核当月费用的80%结算支付，60≤考核得分＜70分的按考核当月费用的70%结算支付，低于60分的考核当月服务费全部扣除，达到付款条件起10日内，据实情况说明为货款按月支付，当月货款要待到月末财务结算后通知供应商提供符合采购人要求的付款凭证，采购人在收到有效的支付票据后在10个工作日内根据考核情况支付上月费用</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在服务期限内供应商有严重违约行为、价格欺诈、因产品质量问题导致食品卫生事件、被采购人书面告知整改但拒不改正等行为，采购人有权中止采购合同，并另行赔偿采购人损失，追究供货商相关法律责任。</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365</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眉山市公安局交通警察支队食堂</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1、供应商配送的所有物资必须保质保量、保鲜、无污染、无发霉、无变质、无不适宜民辅警职工食用的食品，同时必须提供相关检疫、检测等相关报告，若不能提供，验收人员有权拒绝接收 并可视为本次配送货品质量不合格，可要求供应商在一个小时内重新配送有报告的物资。若供应商无法及时供给，食堂采购人员有权自行到市场采购所需货物，若价格高于询价，差价损失由供应商自行承担。 2、配送货物除必须提供相关检测报告和证书外，还应以职工食堂验收人员、验收监督小组和厨师长等的综合意见为准，不符合要求则无条件退换。 3、供应商应按采购人的要求，提供产品的检疫（或检测）报告、相关许可证等。供应商应必须积极配合相关部门的监督检查。供应商应建立严格的管理记录档案，详细记载进货渠道、种类、数量和时间。 4、供应链必须明确，所有食材来源必须清晰，来源应当是自有基地、商品菜基地、生产厂家或受地方政府部门监管的流通市场。 5、采购人有权聘请专业检测机构对供应商所送产品随机进行检测，检测费用由供应商据实承担，检测结果不合格的按考核办法配送质量不合格处理。</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1、货款按月支付，当月货款要待到月末财务结算后通知供应商提供符合采购人要求的付款凭证，采购人在收到有效的支付票据后在10个工作日内根据考核情况支付上月费用。每月考核得分≥ 90分的支付考核当月全部费用，80≤考核得分＜90分的按考核当月费用的90%结算支付，70≤考核 得分＜80分的按考核当月费用的80%结算支付，60≤考核得分＜70分的按考核当月费用的70%结算支付，低于60分的考核当月服务费全部扣除，达到付款条件起10日内，据实情况说明为货款按月支付，当月货款要待到月末财务结算后通知供应商提供符合采购人要求的付款凭证，采购人在收到有效的支付票据后在10个工作日内根据考核情况支付上月费用</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在服务期限内供应商有严重违约行为、价格欺诈、因产品质量问题导致食品卫生事件、被采购人书面告知整改但拒不改正等行为，采购人有权中止采购合同，并另行赔偿采购人损失，追究供货商相关法律责任。</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1、本包将对食材质量保障方案、售后服务方案、食材配送方案、车辆配置、食品安全保障方案、食品安全责任险、食材配送距离、履约能力进行评审，详见综合评分表； 2、技术要求中所涉及的标准如有更新，则以最新标准实施为准。</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1、本包将对食材质量保障方案、售后服务方案、食材配送方案、车辆配置、食品安全保障方案、食品安全责任险、食材配送距离、履约能力进行评审，详见综合评分表； 2、技术要求中所涉及的标准如有更新，则以最新标准实施为准。</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1、本包将对食材质量保障方案、售后服务方案、食材配送方案、车辆配置、食品安全保障方案、食品安全责任险、食材配送距离、履约能力进行评审，详见综合评分表； 2、技术要求中所涉及的标准如有更新，则以最新标准实施为准。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供应商需在使用投标(响应)客户端编制响应文件时，1、按要求填写《投标（响应）函》完成承诺并进行电子签章；2、提供营业执照复印件并电子签章。</w:t>
            </w:r>
          </w:p>
        </w:tc>
        <w:tc>
          <w:tcPr>
            <w:tcW w:type="dxa" w:w="1910"/>
          </w:tcPr>
          <w:p>
            <w:pPr>
              <w:pStyle w:val="null3"/>
              <w:jc w:val="left"/>
            </w:pPr>
            <w:r>
              <w:rPr>
                <w:rFonts w:ascii="仿宋_GB2312" w:hAnsi="仿宋_GB2312" w:cs="仿宋_GB2312" w:eastAsia="仿宋_GB2312"/>
              </w:rPr>
              <w:t>响应文件封面,供应商应提交的相关证明材料,投标（响应）函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910"/>
          </w:tcPr>
          <w:p>
            <w:pPr>
              <w:pStyle w:val="null3"/>
              <w:jc w:val="left"/>
            </w:pPr>
            <w:r>
              <w:rPr>
                <w:rFonts w:ascii="仿宋_GB2312" w:hAnsi="仿宋_GB2312" w:cs="仿宋_GB2312" w:eastAsia="仿宋_GB2312"/>
              </w:rPr>
              <w:t>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910"/>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供应商需在使用投标(响应)客户端编制响应文件时，1、按要求填写《投标（响应）函》完成承诺并进行电子签章；2、提供营业执照复印件并电子签章。</w:t>
            </w:r>
          </w:p>
        </w:tc>
        <w:tc>
          <w:tcPr>
            <w:tcW w:type="dxa" w:w="1910"/>
          </w:tcPr>
          <w:p>
            <w:pPr>
              <w:pStyle w:val="null3"/>
              <w:jc w:val="left"/>
            </w:pPr>
            <w:r>
              <w:rPr>
                <w:rFonts w:ascii="仿宋_GB2312" w:hAnsi="仿宋_GB2312" w:cs="仿宋_GB2312" w:eastAsia="仿宋_GB2312"/>
              </w:rPr>
              <w:t>响应文件封面,供应商应提交的相关证明材料,投标（响应）函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910"/>
          </w:tcPr>
          <w:p>
            <w:pPr>
              <w:pStyle w:val="null3"/>
              <w:jc w:val="left"/>
            </w:pPr>
            <w:r>
              <w:rPr>
                <w:rFonts w:ascii="仿宋_GB2312" w:hAnsi="仿宋_GB2312" w:cs="仿宋_GB2312" w:eastAsia="仿宋_GB2312"/>
              </w:rPr>
              <w:t>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910"/>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供应商需在使用投标(响应)客户端编制响应文件时，1、按要求填写《投标（响应）函》完成承诺并进行电子签章；2、提供营业执照复印件并电子签章。</w:t>
            </w:r>
          </w:p>
        </w:tc>
        <w:tc>
          <w:tcPr>
            <w:tcW w:type="dxa" w:w="1910"/>
          </w:tcPr>
          <w:p>
            <w:pPr>
              <w:pStyle w:val="null3"/>
              <w:jc w:val="left"/>
            </w:pPr>
            <w:r>
              <w:rPr>
                <w:rFonts w:ascii="仿宋_GB2312" w:hAnsi="仿宋_GB2312" w:cs="仿宋_GB2312" w:eastAsia="仿宋_GB2312"/>
              </w:rPr>
              <w:t>响应文件封面,供应商应提交的相关证明材料,投标（响应）函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910"/>
          </w:tcPr>
          <w:p>
            <w:pPr>
              <w:pStyle w:val="null3"/>
              <w:jc w:val="left"/>
            </w:pPr>
            <w:r>
              <w:rPr>
                <w:rFonts w:ascii="仿宋_GB2312" w:hAnsi="仿宋_GB2312" w:cs="仿宋_GB2312" w:eastAsia="仿宋_GB2312"/>
              </w:rPr>
              <w:t>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具有有效的《食品生产许可证》或《食品生产许可电子证书》或《食品经营许可证》或《食品经营许可电子证书》（备注：根据第十三届全国人民代表大会常务委员会第二十八次会议对《中华人民共和国食品安全法》作出的修改规定，仅销售预包装食品的，不需取得许可，应当提供向所在地县级以上地方人民政府食品安全监督管理部门备案的证明材料）</w:t>
            </w:r>
          </w:p>
        </w:tc>
        <w:tc>
          <w:tcPr>
            <w:tcW w:type="dxa" w:w="3322"/>
          </w:tcPr>
          <w:p>
            <w:pPr>
              <w:pStyle w:val="null3"/>
              <w:jc w:val="left"/>
            </w:pPr>
            <w:r>
              <w:rPr>
                <w:rFonts w:ascii="仿宋_GB2312" w:hAnsi="仿宋_GB2312" w:cs="仿宋_GB2312" w:eastAsia="仿宋_GB2312"/>
              </w:rPr>
              <w:t>供应商提供有效的《食品生产许可证》或《食品生产许可电子证书》或《食品经营许可证》或《食品经营许可电子证书》（备注：根据第十三届全国人民代表大会常务委员会第二十八次会议对《中华人民共和国食品安全法》作出的修改规定，仅销售预包装食品的，不需取得许可，应当提供向所在地县级以上地方人民政府食品安全监督管理部门备案的证明材料）</w:t>
            </w:r>
          </w:p>
        </w:tc>
        <w:tc>
          <w:tcPr>
            <w:tcW w:type="dxa" w:w="1910"/>
          </w:tcPr>
          <w:p>
            <w:pPr>
              <w:pStyle w:val="null3"/>
              <w:jc w:val="left"/>
            </w:pPr>
            <w:r>
              <w:rPr>
                <w:rFonts w:ascii="仿宋_GB2312" w:hAnsi="仿宋_GB2312" w:cs="仿宋_GB2312" w:eastAsia="仿宋_GB2312"/>
              </w:rPr>
              <w:t>供应商应提交的相关证明材料,投标（响应）函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具有有效的《食品生产许可证》或《食品生产许可电子证书》或《食品经营许可证》或《食品经营许可电子证书》（备注：根据第十三届全国人民代表大会常务委员会第二十八次会议对《中华人民共和国食品安全法》作出的修改规定，仅销售预包装食品的，不需取得许可，应当提供向所在地县级以上地方人民政府食品安全监督管理部门备案的证明材料）</w:t>
            </w:r>
          </w:p>
        </w:tc>
        <w:tc>
          <w:tcPr>
            <w:tcW w:type="dxa" w:w="3322"/>
          </w:tcPr>
          <w:p>
            <w:pPr>
              <w:pStyle w:val="null3"/>
              <w:jc w:val="left"/>
            </w:pPr>
            <w:r>
              <w:rPr>
                <w:rFonts w:ascii="仿宋_GB2312" w:hAnsi="仿宋_GB2312" w:cs="仿宋_GB2312" w:eastAsia="仿宋_GB2312"/>
              </w:rPr>
              <w:t>供应商提供有效的《食品生产许可证》或《食品生产许可电子证书》或《食品经营许可证》或《食品经营许可电子证书》（备注：根据第十三届全国人民代表大会常务委员会第二十八次会议对《中华人民共和国食品安全法》作出的修改规定，仅销售预包装食品的，不需取得许可，应当提供向所在地县级以上地方人民政府食品安全监督管理部门备案的证明材料）</w:t>
            </w:r>
          </w:p>
        </w:tc>
        <w:tc>
          <w:tcPr>
            <w:tcW w:type="dxa" w:w="1910"/>
          </w:tcPr>
          <w:p>
            <w:pPr>
              <w:pStyle w:val="null3"/>
              <w:jc w:val="left"/>
            </w:pPr>
            <w:r>
              <w:rPr>
                <w:rFonts w:ascii="仿宋_GB2312" w:hAnsi="仿宋_GB2312" w:cs="仿宋_GB2312" w:eastAsia="仿宋_GB2312"/>
              </w:rPr>
              <w:t>供应商应提交的相关证明材料,投标（响应）函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具有有效的《食品生产许可证》或《食品生产许可电子证书》或《食品经营许可证》或《食品经营许可电子证书》（备注：根据第十三届全国人民代表大会常务委员会第二十八次会议对《中华人民共和国食品安全法》作出的修改规定，仅销售预包装食品的，不需取得许可，应当提供向所在地县级以上地方人民政府食品安全监督管理部门备案的证明材料）</w:t>
            </w:r>
          </w:p>
        </w:tc>
        <w:tc>
          <w:tcPr>
            <w:tcW w:type="dxa" w:w="3322"/>
          </w:tcPr>
          <w:p>
            <w:pPr>
              <w:pStyle w:val="null3"/>
              <w:jc w:val="left"/>
            </w:pPr>
            <w:r>
              <w:rPr>
                <w:rFonts w:ascii="仿宋_GB2312" w:hAnsi="仿宋_GB2312" w:cs="仿宋_GB2312" w:eastAsia="仿宋_GB2312"/>
              </w:rPr>
              <w:t>供应商提供有效的《食品生产许可证》或《食品生产许可电子证书》或《食品经营许可证》或《食品经营许可电子证书》（备注：根据第十三届全国人民代表大会常务委员会第二十八次会议对《中华人民共和国食品安全法》作出的修改规定，仅销售预包装食品的，不需取得许可，应当提供向所在地县级以上地方人民政府食品安全监督管理部门备案的证明材料）</w:t>
            </w:r>
          </w:p>
        </w:tc>
        <w:tc>
          <w:tcPr>
            <w:tcW w:type="dxa" w:w="1910"/>
          </w:tcPr>
          <w:p>
            <w:pPr>
              <w:pStyle w:val="null3"/>
              <w:jc w:val="left"/>
            </w:pPr>
            <w:r>
              <w:rPr>
                <w:rFonts w:ascii="仿宋_GB2312" w:hAnsi="仿宋_GB2312" w:cs="仿宋_GB2312" w:eastAsia="仿宋_GB2312"/>
              </w:rPr>
              <w:t>供应商应提交的相关证明材料,投标（响应）函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符合性审查</w:t>
            </w:r>
          </w:p>
        </w:tc>
        <w:tc>
          <w:tcPr>
            <w:tcW w:type="dxa" w:w="3322"/>
          </w:tcPr>
          <w:p>
            <w:pPr>
              <w:pStyle w:val="null3"/>
              <w:jc w:val="left"/>
            </w:pPr>
            <w:r>
              <w:rPr>
                <w:rFonts w:ascii="仿宋_GB2312" w:hAnsi="仿宋_GB2312" w:cs="仿宋_GB2312" w:eastAsia="仿宋_GB2312"/>
              </w:rPr>
              <w:t>供应商按照采购文件实质性要求制作并上传响应文件</w:t>
            </w:r>
          </w:p>
        </w:tc>
        <w:tc>
          <w:tcPr>
            <w:tcW w:type="dxa" w:w="1910"/>
          </w:tcPr>
          <w:p>
            <w:pPr>
              <w:pStyle w:val="null3"/>
              <w:jc w:val="left"/>
            </w:pPr>
            <w:r>
              <w:rPr>
                <w:rFonts w:ascii="仿宋_GB2312" w:hAnsi="仿宋_GB2312" w:cs="仿宋_GB2312" w:eastAsia="仿宋_GB2312"/>
              </w:rPr>
              <w:t>响应文件封面,中小企业声明函,残疾人福利性单位声明函,供应商应提交的相关证明材料,具有健全财务会计制度的证明材料,服务应答表,报价表,投标（响应）函,监狱企业的证明文件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符合性审查</w:t>
            </w:r>
          </w:p>
        </w:tc>
        <w:tc>
          <w:tcPr>
            <w:tcW w:type="dxa" w:w="3322"/>
          </w:tcPr>
          <w:p>
            <w:pPr>
              <w:pStyle w:val="null3"/>
              <w:jc w:val="left"/>
            </w:pPr>
            <w:r>
              <w:rPr>
                <w:rFonts w:ascii="仿宋_GB2312" w:hAnsi="仿宋_GB2312" w:cs="仿宋_GB2312" w:eastAsia="仿宋_GB2312"/>
              </w:rPr>
              <w:t>供应商按照采购文件实质性要求制作并上传响应文件</w:t>
            </w:r>
          </w:p>
        </w:tc>
        <w:tc>
          <w:tcPr>
            <w:tcW w:type="dxa" w:w="1910"/>
          </w:tcPr>
          <w:p>
            <w:pPr>
              <w:pStyle w:val="null3"/>
              <w:jc w:val="left"/>
            </w:pPr>
            <w:r>
              <w:rPr>
                <w:rFonts w:ascii="仿宋_GB2312" w:hAnsi="仿宋_GB2312" w:cs="仿宋_GB2312" w:eastAsia="仿宋_GB2312"/>
              </w:rPr>
              <w:t>响应文件封面,中小企业声明函,残疾人福利性单位声明函,供应商应提交的相关证明材料,具有健全财务会计制度的证明材料,服务应答表,报价表,投标（响应）函,监狱企业的证明文件</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符合性审查</w:t>
            </w:r>
          </w:p>
        </w:tc>
        <w:tc>
          <w:tcPr>
            <w:tcW w:type="dxa" w:w="3322"/>
          </w:tcPr>
          <w:p>
            <w:pPr>
              <w:pStyle w:val="null3"/>
              <w:jc w:val="left"/>
            </w:pPr>
            <w:r>
              <w:rPr>
                <w:rFonts w:ascii="仿宋_GB2312" w:hAnsi="仿宋_GB2312" w:cs="仿宋_GB2312" w:eastAsia="仿宋_GB2312"/>
              </w:rPr>
              <w:t>供应商按照采购文件实质性要求制作并上传响应文件</w:t>
            </w:r>
          </w:p>
        </w:tc>
        <w:tc>
          <w:tcPr>
            <w:tcW w:type="dxa" w:w="1910"/>
          </w:tcPr>
          <w:p>
            <w:pPr>
              <w:pStyle w:val="null3"/>
              <w:jc w:val="left"/>
            </w:pPr>
            <w:r>
              <w:rPr>
                <w:rFonts w:ascii="仿宋_GB2312" w:hAnsi="仿宋_GB2312" w:cs="仿宋_GB2312" w:eastAsia="仿宋_GB2312"/>
              </w:rPr>
              <w:t>响应文件封面,中小企业声明函,残疾人福利性单位声明函,供应商应提交的相关证明材料,具有健全财务会计制度的证明材料,服务应答表,报价表,投标（响应）函,监狱企业的证明文件</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jc w:val="left"/>
      </w:pPr>
      <w:r>
        <w:rPr>
          <w:rFonts w:ascii="仿宋_GB2312" w:hAnsi="仿宋_GB2312" w:cs="仿宋_GB2312" w:eastAsia="仿宋_GB2312"/>
        </w:rPr>
        <w:t>采购包2：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jc w:val="left"/>
      </w:pPr>
      <w:r>
        <w:rPr>
          <w:rFonts w:ascii="仿宋_GB2312" w:hAnsi="仿宋_GB2312" w:cs="仿宋_GB2312" w:eastAsia="仿宋_GB2312"/>
        </w:rPr>
        <w:t>采购包3：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jc w:val="left"/>
      </w:pPr>
      <w:r>
        <w:rPr>
          <w:rFonts w:ascii="仿宋_GB2312" w:hAnsi="仿宋_GB2312" w:cs="仿宋_GB2312" w:eastAsia="仿宋_GB2312"/>
        </w:rPr>
        <w:t>采购包2：</w:t>
      </w:r>
      <w:r>
        <w:rPr>
          <w:rFonts w:ascii="仿宋_GB2312" w:hAnsi="仿宋_GB2312" w:cs="仿宋_GB2312" w:eastAsia="仿宋_GB2312"/>
        </w:rPr>
        <w:t>确定3名成交候选供应商。</w:t>
      </w:r>
    </w:p>
    <w:p>
      <w:pPr>
        <w:pStyle w:val="null3"/>
        <w:jc w:val="left"/>
      </w:pPr>
      <w:r>
        <w:rPr>
          <w:rFonts w:ascii="仿宋_GB2312" w:hAnsi="仿宋_GB2312" w:cs="仿宋_GB2312" w:eastAsia="仿宋_GB2312"/>
        </w:rPr>
        <w:t>采购包3：</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食材质量保障方案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食材质量保障方案</w:t>
            </w:r>
          </w:p>
        </w:tc>
        <w:tc>
          <w:tcPr>
            <w:tcW w:type="dxa" w:w="2575"/>
          </w:tcPr>
          <w:p>
            <w:pPr>
              <w:pStyle w:val="null3"/>
              <w:jc w:val="left"/>
            </w:pPr>
            <w:r>
              <w:rPr>
                <w:rFonts w:ascii="仿宋_GB2312" w:hAnsi="仿宋_GB2312" w:cs="仿宋_GB2312" w:eastAsia="仿宋_GB2312"/>
              </w:rPr>
              <w:t>根据供应商提供的食材质量保障方案包括但不限于:①食材采买环节、②食材包装环节、③食材配送环节、④食材放置存储环节、⑤食材卫生安全控制实施方案、⑥兽药或农药残留检测机制、⑦食材溯源方案、⑧食材新鲜度保障方案内容进行评审；方案完全符合采购项目需求且内容无缺失的得32分；每有一项缺失扣4分，每有一项方案内容有缺陷扣2分（缺陷是指：①方案内容与本项目无关；②方案内容前后表述矛盾；③项目名称、实施地点、涉及的规范、标准与本项目要求不一致等。）直到扣完为止。</w:t>
            </w:r>
          </w:p>
        </w:tc>
        <w:tc>
          <w:tcPr>
            <w:tcW w:type="dxa" w:w="831"/>
          </w:tcPr>
          <w:p>
            <w:pPr>
              <w:pStyle w:val="null3"/>
              <w:jc w:val="center"/>
            </w:pPr>
            <w:r>
              <w:rPr>
                <w:rFonts w:ascii="仿宋_GB2312" w:hAnsi="仿宋_GB2312" w:cs="仿宋_GB2312" w:eastAsia="仿宋_GB2312"/>
              </w:rPr>
              <w:t>32.0000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供应商提供的售后服务方案包含但不限于：①售后服务人员安排；②售后服务响应时间；③售后服务工作机制等内容进行评审；方案完全符合采购项目需求且内容无缺失的得12分；每有一项缺失扣4分，每有一项方案内容有缺陷扣2分（缺陷是指：①方案内容与本项目无关；②方案内容前后表述矛盾；③项目名称、实施地点、涉及的规范、标准与本项目要求不一致等。）直到扣完为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食材配送方案</w:t>
            </w:r>
          </w:p>
        </w:tc>
        <w:tc>
          <w:tcPr>
            <w:tcW w:type="dxa" w:w="2575"/>
          </w:tcPr>
          <w:p>
            <w:pPr>
              <w:pStyle w:val="null3"/>
              <w:jc w:val="left"/>
            </w:pPr>
            <w:r>
              <w:rPr>
                <w:rFonts w:ascii="仿宋_GB2312" w:hAnsi="仿宋_GB2312" w:cs="仿宋_GB2312" w:eastAsia="仿宋_GB2312"/>
              </w:rPr>
              <w:t>根据供应商提供的食材配送方案包含但不限于：①配送服务人员配置②配送时间响应机制③应急响应配送制度④退换货机制等内容进行评审；方案完全符合采购项目需求且内容无缺失的得16分；每有一项缺失扣4分，每有一项方案内容有缺陷2分（缺陷是指：①方案内容与本项目无关；②方案内容前后表述矛盾；③项目名称、实施地点、涉及的规范、标准与本项目要求不一致等。）直到扣完为止。</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车辆配置</w:t>
            </w:r>
          </w:p>
        </w:tc>
        <w:tc>
          <w:tcPr>
            <w:tcW w:type="dxa" w:w="2575"/>
          </w:tcPr>
          <w:p>
            <w:pPr>
              <w:pStyle w:val="null3"/>
              <w:jc w:val="left"/>
            </w:pPr>
            <w:r>
              <w:rPr>
                <w:rFonts w:ascii="仿宋_GB2312" w:hAnsi="仿宋_GB2312" w:cs="仿宋_GB2312" w:eastAsia="仿宋_GB2312"/>
              </w:rPr>
              <w:t>供应商能为本项目提供至少一辆封闭式专用冷藏运输车辆的得5分。注：如车辆为自有的需提供机动车辆行驶证、车辆图片等证明材料加盖供应商鲜章，如为租赁车辆还需提供租赁合同复印件并加盖供应商公章。</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食品安全保障方案</w:t>
            </w:r>
          </w:p>
        </w:tc>
        <w:tc>
          <w:tcPr>
            <w:tcW w:type="dxa" w:w="2575"/>
          </w:tcPr>
          <w:p>
            <w:pPr>
              <w:pStyle w:val="null3"/>
              <w:jc w:val="left"/>
            </w:pPr>
            <w:r>
              <w:rPr>
                <w:rFonts w:ascii="仿宋_GB2312" w:hAnsi="仿宋_GB2312" w:cs="仿宋_GB2312" w:eastAsia="仿宋_GB2312"/>
              </w:rPr>
              <w:t>供应商提供的供针对本项目食品安全保障方案得2分，不提供不得分，方案内容有缺陷扣1分。（缺陷是指：①方案内容与本项目无关；②方案内容前后表述矛盾；③项目名称、实施地点、涉及的规范、标准与本项目要求不一致等。）直到扣完为止。</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食品安全责任险</w:t>
            </w:r>
          </w:p>
        </w:tc>
        <w:tc>
          <w:tcPr>
            <w:tcW w:type="dxa" w:w="2575"/>
          </w:tcPr>
          <w:p>
            <w:pPr>
              <w:pStyle w:val="null3"/>
              <w:jc w:val="left"/>
            </w:pPr>
            <w:r>
              <w:rPr>
                <w:rFonts w:ascii="仿宋_GB2312" w:hAnsi="仿宋_GB2312" w:cs="仿宋_GB2312" w:eastAsia="仿宋_GB2312"/>
              </w:rPr>
              <w:t>供应商已购买且在保险期包含本项目服务期保额不低于500万元食品安全责任险的或者承诺中标后为本项目购买食品安全责任险的且保额不低于500万元的得5分。（提供保单复印件或承诺函原件，签订合同时提供食品安全责任险保单原件及发票核验）</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食材配送距离</w:t>
            </w:r>
          </w:p>
        </w:tc>
        <w:tc>
          <w:tcPr>
            <w:tcW w:type="dxa" w:w="2575"/>
          </w:tcPr>
          <w:p>
            <w:pPr>
              <w:pStyle w:val="null3"/>
              <w:jc w:val="left"/>
            </w:pPr>
            <w:r>
              <w:rPr>
                <w:rFonts w:ascii="仿宋_GB2312" w:hAnsi="仿宋_GB2312" w:cs="仿宋_GB2312" w:eastAsia="仿宋_GB2312"/>
              </w:rPr>
              <w:t>为保证食材新鲜和食品安全，以及食材配送的及时性，根据供应商配送站点离采购人单位的距离或承诺函进行评审：1、已有配送站点且最短驾车距离10公里以下的得8分；10公里以上的得4分（以下含本数，以上不含本数）；2、承诺在中标后签订合同前，在眉山市中心城区内设立配送站点的得8分；在眉山市非中心城区（配送距离10公里以上）设立配送站点得4分，配送站点需具备冷藏保鲜和冷冻设施；。注：1、已有配送站点需提供相应证明材料 （腾讯或百度或高德等地图软件截图，以最短驾车路线距离为准），距离以配送站点地址为起点。2、已有配送站点且配送站点为自有的需提供产权证明和场地照片，租赁场地还需提供租赁合同；3、承诺中标后签订合同前设立配送站点的需提供承诺函；4、已有配送站点需提供冷藏保鲜和冷冻设施照片。</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近年来（2022年1月1日至今），每提供一个类似项目业绩的得5分，最多得10分； 注：提供合同复印件或中标通知书并加盖供应商鲜章，未提供不得分。</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肉类、家禽、水产品</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食材质量保障方案</w:t>
            </w:r>
          </w:p>
        </w:tc>
        <w:tc>
          <w:tcPr>
            <w:tcW w:type="dxa" w:w="2575"/>
          </w:tcPr>
          <w:p>
            <w:pPr>
              <w:pStyle w:val="null3"/>
              <w:jc w:val="left"/>
            </w:pPr>
            <w:r>
              <w:rPr>
                <w:rFonts w:ascii="仿宋_GB2312" w:hAnsi="仿宋_GB2312" w:cs="仿宋_GB2312" w:eastAsia="仿宋_GB2312"/>
              </w:rPr>
              <w:t>根据供应商提供的食材质量保障方案包括但不限于:①食材采买环节、②食材包装环节、③食材配送环节、④食材放置存储环节、⑤食材卫生安全控制实施方案、⑥兽药或农药残留检测机制、⑦食材溯源方案、⑧食材新鲜度保障方案内容进行评审；方案完全符合采购项目需求且内容无缺失的得32分；每有一项缺失扣4分，每有一项方案内容有缺陷扣2分（缺陷是指：①方案内容与本项目无关；②方案内容前后表述矛盾；③项目名称、实施地点、涉及的规范、标准与本项目要求不一致等。）直到扣完为止。</w:t>
            </w:r>
          </w:p>
        </w:tc>
        <w:tc>
          <w:tcPr>
            <w:tcW w:type="dxa" w:w="831"/>
          </w:tcPr>
          <w:p>
            <w:pPr>
              <w:pStyle w:val="null3"/>
              <w:jc w:val="center"/>
            </w:pPr>
            <w:r>
              <w:rPr>
                <w:rFonts w:ascii="仿宋_GB2312" w:hAnsi="仿宋_GB2312" w:cs="仿宋_GB2312" w:eastAsia="仿宋_GB2312"/>
              </w:rPr>
              <w:t>32.0000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供应商提供的售后服务方案包含但不限于：①售后服务人员安排；②售后服务响应时间；③售后服务工作机制等内容进行评审；方案完全符合采购项目需求且内容无缺失的得12分；每有一项缺失扣4分，每有一项方案内容有缺陷扣2分（缺陷是指：①方案内容与本项目无关；②方案内容前后表述矛盾；③项目名称、实施地点、涉及的规范、标准与本项目要求不一致等。）直到扣完为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食材配送方案</w:t>
            </w:r>
          </w:p>
        </w:tc>
        <w:tc>
          <w:tcPr>
            <w:tcW w:type="dxa" w:w="2575"/>
          </w:tcPr>
          <w:p>
            <w:pPr>
              <w:pStyle w:val="null3"/>
              <w:jc w:val="left"/>
            </w:pPr>
            <w:r>
              <w:rPr>
                <w:rFonts w:ascii="仿宋_GB2312" w:hAnsi="仿宋_GB2312" w:cs="仿宋_GB2312" w:eastAsia="仿宋_GB2312"/>
              </w:rPr>
              <w:t>根据供应商提供的食材配送方案包含但不限于：①配送服务人员配置②配送时间响应机制③应急响应配送制度④退换货机制等内容进行评审；方案完全符合采购项目需求且内容无缺失的得16分；每有一项缺失扣4分，每有一项方案内容有缺陷2分（缺陷是指：①方案内容与本项目无关；②方案内容前后表述矛盾；③项目名称、实施地点、涉及的规范、标准与本项目要求不一致等。）直到扣完为止。</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车辆配置</w:t>
            </w:r>
          </w:p>
        </w:tc>
        <w:tc>
          <w:tcPr>
            <w:tcW w:type="dxa" w:w="2575"/>
          </w:tcPr>
          <w:p>
            <w:pPr>
              <w:pStyle w:val="null3"/>
              <w:jc w:val="left"/>
            </w:pPr>
            <w:r>
              <w:rPr>
                <w:rFonts w:ascii="仿宋_GB2312" w:hAnsi="仿宋_GB2312" w:cs="仿宋_GB2312" w:eastAsia="仿宋_GB2312"/>
              </w:rPr>
              <w:t>供应商能为本项目提供至少一辆封闭式专用冷藏运输车辆的得5分。注：如车辆为自有的需提供机动车辆行驶证、车辆图片等证明材料加盖供应商鲜章，如为租赁车辆还需提供租赁合同复印件并加盖供应商公章。</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食品安全保障方案</w:t>
            </w:r>
          </w:p>
        </w:tc>
        <w:tc>
          <w:tcPr>
            <w:tcW w:type="dxa" w:w="2575"/>
          </w:tcPr>
          <w:p>
            <w:pPr>
              <w:pStyle w:val="null3"/>
              <w:jc w:val="left"/>
            </w:pPr>
            <w:r>
              <w:rPr>
                <w:rFonts w:ascii="仿宋_GB2312" w:hAnsi="仿宋_GB2312" w:cs="仿宋_GB2312" w:eastAsia="仿宋_GB2312"/>
              </w:rPr>
              <w:t>供应商提供的供针对本项目食品安全保障方案得2分，不提供不得分，方案内容有缺陷扣1分。（缺陷是指：①方案内容与本项目无关；②方案内容前后表述矛盾；③项目名称、实施地点、涉及的规范、标准与本项目要求不一致等。）直到扣完为止。</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食品安全责任险</w:t>
            </w:r>
          </w:p>
        </w:tc>
        <w:tc>
          <w:tcPr>
            <w:tcW w:type="dxa" w:w="2575"/>
          </w:tcPr>
          <w:p>
            <w:pPr>
              <w:pStyle w:val="null3"/>
              <w:jc w:val="left"/>
            </w:pPr>
            <w:r>
              <w:rPr>
                <w:rFonts w:ascii="仿宋_GB2312" w:hAnsi="仿宋_GB2312" w:cs="仿宋_GB2312" w:eastAsia="仿宋_GB2312"/>
              </w:rPr>
              <w:t>供应商已购买且在保险期包含本项目服务期保额不低于200万元食品安全责任险的或者承诺中标后为本项目购买食品安全责任险的且保额不低于200万元的得5分。（提供保单复印件或承诺函原件，签订合同时提供食品安全责任险保单原件及发票核验）</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食材配送距离</w:t>
            </w:r>
          </w:p>
        </w:tc>
        <w:tc>
          <w:tcPr>
            <w:tcW w:type="dxa" w:w="2575"/>
          </w:tcPr>
          <w:p>
            <w:pPr>
              <w:pStyle w:val="null3"/>
              <w:jc w:val="left"/>
            </w:pPr>
            <w:r>
              <w:rPr>
                <w:rFonts w:ascii="仿宋_GB2312" w:hAnsi="仿宋_GB2312" w:cs="仿宋_GB2312" w:eastAsia="仿宋_GB2312"/>
              </w:rPr>
              <w:t>为保证食材新鲜和食品安全，以及食材配送的及时性，根据供应商配送站点离采购人单位的距离或承诺函进行评审：1、已有配送站点且最短驾车距离10公里以下的得8分；10公里以上的得4分（以下含本数，以上不含本数）；2、承诺在中标后签订合同前，在眉山市中心城区内设立配送站点的得8分；在眉山市非中心城区（配送距离10公里以上）设立配送站点得4分，配送站点需具备冷藏保鲜和冷冻设施；。注：1、已有配送站点需提供相应证明材料 （腾讯或百度或高德等地图软件截图，以最短驾车路线距离为准），距离以配送站点地址为起点。2、已有配送站点且配送站点为自有的需提供产权证明和场地照片，租赁场地还需提供租赁合同；3、承诺中标后签订合同前设立配送站点的需提供承诺函；4、已有配送站点需提供冷藏保鲜和冷冻设施照片。</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近年来（2022年1月1日至今），每提供一个类似项目业绩的得5分，最多得10分； 注：提供合同复印件或中标通知书并加盖供应商鲜章，未提供不得分。</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粮油、干杂、调味品类</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食材质量保障方案</w:t>
            </w:r>
          </w:p>
        </w:tc>
        <w:tc>
          <w:tcPr>
            <w:tcW w:type="dxa" w:w="2575"/>
          </w:tcPr>
          <w:p>
            <w:pPr>
              <w:pStyle w:val="null3"/>
              <w:jc w:val="left"/>
            </w:pPr>
            <w:r>
              <w:rPr>
                <w:rFonts w:ascii="仿宋_GB2312" w:hAnsi="仿宋_GB2312" w:cs="仿宋_GB2312" w:eastAsia="仿宋_GB2312"/>
              </w:rPr>
              <w:t>根据供应商提供的食材质量保障方案包括但不限于:①食材采买环节、②食材包装环节、③食材配送环节、④食材放置存储环节、⑤食材卫生安全控制实施方案、⑥兽药或农药残留检测机制、⑦食材溯源方案、⑧食材新鲜度保障方案内容进行评审；方案完全符合采购项目需求且内容无缺失的得32分；每有一项缺失扣4分，每有一项方案内容有缺陷扣2分（缺陷是指：①方案内容与本项目无关；②方案内容前后表述矛盾；③项目名称、实施地点、涉及的规范、标准与本项目要求不一致等。）直到扣完为止。</w:t>
            </w:r>
          </w:p>
        </w:tc>
        <w:tc>
          <w:tcPr>
            <w:tcW w:type="dxa" w:w="831"/>
          </w:tcPr>
          <w:p>
            <w:pPr>
              <w:pStyle w:val="null3"/>
              <w:jc w:val="center"/>
            </w:pPr>
            <w:r>
              <w:rPr>
                <w:rFonts w:ascii="仿宋_GB2312" w:hAnsi="仿宋_GB2312" w:cs="仿宋_GB2312" w:eastAsia="仿宋_GB2312"/>
              </w:rPr>
              <w:t>32.0000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供应商提供的售后服务方案包含但不限于：①售后服务人员安排；②售后服务响应时间；③售后服务工作机制等内容进行评审；方案完全符合采购项目需求且内容无缺失的得12分；每有一项缺失扣4分，每有一项方案内容有缺陷扣2分（缺陷是指：①方案内容与本项目无关；②方案内容前后表述矛盾；③项目名称、实施地点、涉及的规范、标准与本项目要求不一致等。）直到扣完为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食材配送方案</w:t>
            </w:r>
          </w:p>
        </w:tc>
        <w:tc>
          <w:tcPr>
            <w:tcW w:type="dxa" w:w="2575"/>
          </w:tcPr>
          <w:p>
            <w:pPr>
              <w:pStyle w:val="null3"/>
              <w:jc w:val="left"/>
            </w:pPr>
            <w:r>
              <w:rPr>
                <w:rFonts w:ascii="仿宋_GB2312" w:hAnsi="仿宋_GB2312" w:cs="仿宋_GB2312" w:eastAsia="仿宋_GB2312"/>
              </w:rPr>
              <w:t>根据供应商提供的食材配送方案包含但不限于：①配送服务人员配置②配送时间响应机制③应急响应配送制度④退换货机制等内容进行评审；方案完全符合采购项目需求且内容无缺失的得16分；每有一项缺失扣4分，每有一项方案内容有缺陷2分（缺陷是指：①方案内容与本项目无关；②方案内容前后表述矛盾；③项目名称、实施地点、涉及的规范、标准与本项目要求不一致等。）直到扣完为止。</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车辆配置</w:t>
            </w:r>
          </w:p>
        </w:tc>
        <w:tc>
          <w:tcPr>
            <w:tcW w:type="dxa" w:w="2575"/>
          </w:tcPr>
          <w:p>
            <w:pPr>
              <w:pStyle w:val="null3"/>
              <w:jc w:val="left"/>
            </w:pPr>
            <w:r>
              <w:rPr>
                <w:rFonts w:ascii="仿宋_GB2312" w:hAnsi="仿宋_GB2312" w:cs="仿宋_GB2312" w:eastAsia="仿宋_GB2312"/>
              </w:rPr>
              <w:t>供应商能为本项目提供至少一辆封闭式专用冷藏运输车辆的得5分。注：如车辆为自有的需提供机动车辆行驶证、车辆图片等证明材料加盖供应商鲜章，如为租赁车辆还需提供租赁合同复印件并加盖供应商公章。</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食品安全保障方案</w:t>
            </w:r>
          </w:p>
        </w:tc>
        <w:tc>
          <w:tcPr>
            <w:tcW w:type="dxa" w:w="2575"/>
          </w:tcPr>
          <w:p>
            <w:pPr>
              <w:pStyle w:val="null3"/>
              <w:jc w:val="left"/>
            </w:pPr>
            <w:r>
              <w:rPr>
                <w:rFonts w:ascii="仿宋_GB2312" w:hAnsi="仿宋_GB2312" w:cs="仿宋_GB2312" w:eastAsia="仿宋_GB2312"/>
              </w:rPr>
              <w:t>供应商提供的供针对本项目食品安全保障方案得2分，不提供不得分，方案内容有缺陷扣1分。（缺陷是指：①方案内容与本项目无关；②方案内容前后表述矛盾；③项目名称、实施地点、涉及的规范、标准与本项目要求不一致等。）直到扣完为止。</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食品安全责任险</w:t>
            </w:r>
          </w:p>
        </w:tc>
        <w:tc>
          <w:tcPr>
            <w:tcW w:type="dxa" w:w="2575"/>
          </w:tcPr>
          <w:p>
            <w:pPr>
              <w:pStyle w:val="null3"/>
              <w:jc w:val="left"/>
            </w:pPr>
            <w:r>
              <w:rPr>
                <w:rFonts w:ascii="仿宋_GB2312" w:hAnsi="仿宋_GB2312" w:cs="仿宋_GB2312" w:eastAsia="仿宋_GB2312"/>
              </w:rPr>
              <w:t>供应商已购买且在保险期包含本项目服务期保额不低于300万元食品安全责任险的或者承诺中标后为本项目购买食品安全责任险的且保额不低于300万元的得5分。（提供保单复印件或承诺函原件，签订合同时提供食品安全责任险保单原件及发票核验）</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食材配送距离</w:t>
            </w:r>
          </w:p>
        </w:tc>
        <w:tc>
          <w:tcPr>
            <w:tcW w:type="dxa" w:w="2575"/>
          </w:tcPr>
          <w:p>
            <w:pPr>
              <w:pStyle w:val="null3"/>
              <w:jc w:val="left"/>
            </w:pPr>
            <w:r>
              <w:rPr>
                <w:rFonts w:ascii="仿宋_GB2312" w:hAnsi="仿宋_GB2312" w:cs="仿宋_GB2312" w:eastAsia="仿宋_GB2312"/>
              </w:rPr>
              <w:t>为保证食材新鲜和食品安全，以及食材配送的及时性，根据供应商配送站点离采购人单位的距离或承诺函进行评审：1、已有配送站点且最短驾车距离10公里以下的得8分；10公里以上的得4分（以下含本数，以上不含本数）；2、承诺在中标后签订合同前，在眉山市中心城区内设立配送站点的得8分；在眉山市非中心城区（配送距离10公里以上）设立配送站点得4分，配送站点需具备冷藏保鲜和冷冻设施；。注：1、已有配送站点需提供相应证明材料 （腾讯或百度或高德等地图软件截图，以最短驾车路线距离为准），距离以配送站点地址为起点。2、已有配送站点且配送站点为自有的需提供产权证明和场地照片，租赁场地还需提供租赁合同；3、承诺中标后签订合同前设立配送站点的需提供承诺函；4、已有配送站点需提供冷藏保鲜和冷冻设施照片。</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近年来（2022年1月1日至今），每提供一个类似项目业绩的得5分，最多得10分； 注：提供合同复印件或中标通知书并加盖供应商鲜章，未提供不得分。</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水果、蔬菜类</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《磋商文件》</w:t>
      </w:r>
      <w:r>
        <w:rPr>
          <w:rFonts w:ascii="仿宋_GB2312" w:hAnsi="仿宋_GB2312" w:cs="仿宋_GB2312" w:eastAsia="仿宋_GB2312"/>
        </w:rPr>
        <w:t>，乙方的《投标（响应）文件》及《中标（成交）通知书》，甲乙双方同意签订本合同。具体情况及要求如下：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