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AF06D6">
      <w:pPr>
        <w:pStyle w:val="11"/>
        <w:jc w:val="center"/>
        <w:rPr>
          <w:rFonts w:hint="eastAsia" w:ascii="宋体" w:hAnsi="宋体" w:eastAsia="宋体"/>
          <w:b/>
          <w:bCs/>
          <w:sz w:val="52"/>
          <w:szCs w:val="52"/>
          <w:highlight w:val="none"/>
          <w:lang w:eastAsia="zh-CN"/>
        </w:rPr>
      </w:pPr>
      <w:r>
        <w:rPr>
          <w:rFonts w:hint="eastAsia" w:ascii="宋体" w:hAnsi="宋体"/>
          <w:b/>
          <w:bCs/>
          <w:sz w:val="60"/>
          <w:szCs w:val="60"/>
          <w:highlight w:val="none"/>
          <w:lang w:eastAsia="zh-CN"/>
        </w:rPr>
        <w:t>沪滇协作香格里拉市人民医院粪便工作站、儿童肺功能仪等设备采购项目</w:t>
      </w:r>
    </w:p>
    <w:p w14:paraId="3B507D01">
      <w:pPr>
        <w:pStyle w:val="11"/>
        <w:jc w:val="center"/>
        <w:rPr>
          <w:rFonts w:hint="eastAsia" w:ascii="宋体" w:hAnsi="宋体"/>
          <w:b/>
          <w:bCs/>
          <w:sz w:val="40"/>
          <w:szCs w:val="40"/>
          <w:highlight w:val="none"/>
          <w:lang w:val="en-US" w:eastAsia="zh-CN"/>
        </w:rPr>
      </w:pPr>
    </w:p>
    <w:p w14:paraId="1CAACB15">
      <w:pPr>
        <w:pStyle w:val="11"/>
        <w:jc w:val="center"/>
        <w:rPr>
          <w:rFonts w:hint="eastAsia" w:ascii="宋体" w:hAnsi="宋体" w:eastAsia="宋体"/>
          <w:b/>
          <w:bCs/>
          <w:sz w:val="40"/>
          <w:szCs w:val="40"/>
          <w:highlight w:val="none"/>
          <w:lang w:val="en-US" w:eastAsia="zh-CN"/>
        </w:rPr>
      </w:pPr>
      <w:r>
        <w:rPr>
          <w:rFonts w:hint="eastAsia" w:ascii="宋体" w:hAnsi="宋体"/>
          <w:b/>
          <w:bCs/>
          <w:sz w:val="40"/>
          <w:szCs w:val="40"/>
          <w:highlight w:val="none"/>
          <w:lang w:val="en-US" w:eastAsia="zh-CN"/>
        </w:rPr>
        <w:t>项目编号：DQZC2025-G1-00161-YNYZ-0018</w:t>
      </w:r>
    </w:p>
    <w:p w14:paraId="067629A2">
      <w:pPr>
        <w:ind w:firstLine="3012" w:firstLineChars="500"/>
        <w:jc w:val="both"/>
        <w:rPr>
          <w:rFonts w:hint="eastAsia" w:ascii="宋体" w:hAnsi="宋体"/>
          <w:sz w:val="28"/>
          <w:szCs w:val="28"/>
          <w:highlight w:val="none"/>
        </w:rPr>
      </w:pPr>
      <w:r>
        <w:rPr>
          <w:rFonts w:hint="eastAsia"/>
          <w:b/>
          <w:bCs/>
          <w:sz w:val="60"/>
          <w:szCs w:val="60"/>
          <w:highlight w:val="none"/>
        </w:rPr>
        <w:t>招</w:t>
      </w:r>
      <w:r>
        <w:rPr>
          <w:rFonts w:hint="eastAsia"/>
          <w:b/>
          <w:bCs/>
          <w:sz w:val="60"/>
          <w:szCs w:val="60"/>
          <w:highlight w:val="none"/>
          <w:lang w:val="en-US" w:eastAsia="zh-CN"/>
        </w:rPr>
        <w:t xml:space="preserve"> </w:t>
      </w:r>
      <w:r>
        <w:rPr>
          <w:rFonts w:hint="eastAsia"/>
          <w:b/>
          <w:bCs/>
          <w:sz w:val="60"/>
          <w:szCs w:val="60"/>
          <w:highlight w:val="none"/>
        </w:rPr>
        <w:t>标</w:t>
      </w:r>
      <w:r>
        <w:rPr>
          <w:rFonts w:hint="eastAsia"/>
          <w:b/>
          <w:bCs/>
          <w:sz w:val="60"/>
          <w:szCs w:val="60"/>
          <w:highlight w:val="none"/>
          <w:lang w:val="en-US" w:eastAsia="zh-CN"/>
        </w:rPr>
        <w:t xml:space="preserve"> </w:t>
      </w:r>
      <w:r>
        <w:rPr>
          <w:rFonts w:hint="eastAsia"/>
          <w:b/>
          <w:bCs/>
          <w:sz w:val="60"/>
          <w:szCs w:val="60"/>
          <w:highlight w:val="none"/>
        </w:rPr>
        <w:t>文</w:t>
      </w:r>
      <w:r>
        <w:rPr>
          <w:rFonts w:hint="eastAsia"/>
          <w:b/>
          <w:bCs/>
          <w:sz w:val="60"/>
          <w:szCs w:val="60"/>
          <w:highlight w:val="none"/>
          <w:lang w:val="en-US" w:eastAsia="zh-CN"/>
        </w:rPr>
        <w:t xml:space="preserve"> </w:t>
      </w:r>
      <w:r>
        <w:rPr>
          <w:rFonts w:hint="eastAsia"/>
          <w:b/>
          <w:bCs/>
          <w:sz w:val="60"/>
          <w:szCs w:val="60"/>
          <w:highlight w:val="none"/>
        </w:rPr>
        <w:t>件</w:t>
      </w:r>
      <w:r>
        <w:rPr>
          <w:rFonts w:hint="eastAsia" w:ascii="宋体" w:hAnsi="宋体"/>
          <w:sz w:val="28"/>
          <w:szCs w:val="28"/>
          <w:highlight w:val="none"/>
        </w:rPr>
        <w:t xml:space="preserve">  </w:t>
      </w:r>
    </w:p>
    <w:p w14:paraId="190ABAD3">
      <w:pPr>
        <w:pStyle w:val="11"/>
        <w:rPr>
          <w:rFonts w:hint="eastAsia" w:ascii="宋体" w:hAnsi="宋体"/>
          <w:sz w:val="28"/>
          <w:szCs w:val="28"/>
          <w:highlight w:val="none"/>
        </w:rPr>
      </w:pPr>
      <w:r>
        <w:rPr>
          <w:rFonts w:hint="eastAsia" w:ascii="宋体" w:hAnsi="宋体" w:eastAsia="宋体" w:cs="宋体"/>
          <w:highlight w:val="none"/>
          <w:lang w:eastAsia="zh-CN"/>
        </w:rPr>
        <w:drawing>
          <wp:anchor distT="0" distB="0" distL="114300" distR="114300" simplePos="0" relativeHeight="251659264" behindDoc="0" locked="0" layoutInCell="1" allowOverlap="1">
            <wp:simplePos x="0" y="0"/>
            <wp:positionH relativeFrom="column">
              <wp:posOffset>606425</wp:posOffset>
            </wp:positionH>
            <wp:positionV relativeFrom="paragraph">
              <wp:posOffset>382270</wp:posOffset>
            </wp:positionV>
            <wp:extent cx="4743450" cy="3721100"/>
            <wp:effectExtent l="0" t="0" r="6350" b="0"/>
            <wp:wrapNone/>
            <wp:docPr id="1"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图片1"/>
                    <pic:cNvPicPr>
                      <a:picLocks noChangeAspect="1"/>
                    </pic:cNvPicPr>
                  </pic:nvPicPr>
                  <pic:blipFill>
                    <a:blip r:embed="rId15"/>
                    <a:stretch>
                      <a:fillRect/>
                    </a:stretch>
                  </pic:blipFill>
                  <pic:spPr>
                    <a:xfrm>
                      <a:off x="0" y="0"/>
                      <a:ext cx="4743450" cy="3721100"/>
                    </a:xfrm>
                    <a:prstGeom prst="rect">
                      <a:avLst/>
                    </a:prstGeom>
                    <a:noFill/>
                    <a:ln>
                      <a:noFill/>
                    </a:ln>
                  </pic:spPr>
                </pic:pic>
              </a:graphicData>
            </a:graphic>
          </wp:anchor>
        </w:drawing>
      </w:r>
    </w:p>
    <w:p w14:paraId="71895935">
      <w:pPr>
        <w:pStyle w:val="11"/>
        <w:rPr>
          <w:rFonts w:hint="eastAsia" w:ascii="宋体" w:hAnsi="宋体"/>
          <w:sz w:val="28"/>
          <w:szCs w:val="28"/>
          <w:highlight w:val="none"/>
        </w:rPr>
      </w:pPr>
    </w:p>
    <w:p w14:paraId="64144EB0">
      <w:pPr>
        <w:pStyle w:val="11"/>
        <w:rPr>
          <w:rFonts w:hint="eastAsia" w:ascii="宋体" w:hAnsi="宋体"/>
          <w:sz w:val="28"/>
          <w:szCs w:val="28"/>
          <w:highlight w:val="none"/>
        </w:rPr>
      </w:pPr>
    </w:p>
    <w:p w14:paraId="192284F9">
      <w:pPr>
        <w:pStyle w:val="11"/>
        <w:ind w:firstLine="2327" w:firstLineChars="644"/>
        <w:rPr>
          <w:rFonts w:hint="eastAsia" w:ascii="宋体" w:hAnsi="宋体"/>
          <w:b/>
          <w:sz w:val="36"/>
          <w:szCs w:val="36"/>
          <w:highlight w:val="none"/>
        </w:rPr>
      </w:pPr>
    </w:p>
    <w:p w14:paraId="1829E1AF">
      <w:pPr>
        <w:pStyle w:val="11"/>
        <w:ind w:firstLine="2327" w:firstLineChars="644"/>
        <w:rPr>
          <w:rFonts w:hint="eastAsia" w:ascii="宋体" w:hAnsi="宋体"/>
          <w:b/>
          <w:sz w:val="36"/>
          <w:szCs w:val="36"/>
          <w:highlight w:val="none"/>
        </w:rPr>
      </w:pPr>
    </w:p>
    <w:p w14:paraId="3C3492CC">
      <w:pPr>
        <w:pStyle w:val="11"/>
        <w:ind w:firstLine="2327" w:firstLineChars="644"/>
        <w:rPr>
          <w:rFonts w:hint="eastAsia" w:ascii="宋体" w:hAnsi="宋体"/>
          <w:b/>
          <w:sz w:val="36"/>
          <w:szCs w:val="36"/>
          <w:highlight w:val="none"/>
        </w:rPr>
      </w:pPr>
    </w:p>
    <w:p w14:paraId="7FDB796B">
      <w:pPr>
        <w:pStyle w:val="11"/>
        <w:ind w:left="1898" w:leftChars="904" w:firstLine="0" w:firstLineChars="0"/>
        <w:rPr>
          <w:rFonts w:hint="eastAsia" w:ascii="宋体" w:hAnsi="宋体"/>
          <w:b/>
          <w:sz w:val="36"/>
          <w:szCs w:val="36"/>
          <w:highlight w:val="none"/>
          <w:lang w:eastAsia="zh-CN"/>
        </w:rPr>
      </w:pPr>
      <w:r>
        <w:rPr>
          <w:rFonts w:hint="eastAsia" w:ascii="宋体" w:hAnsi="宋体"/>
          <w:b/>
          <w:sz w:val="36"/>
          <w:szCs w:val="36"/>
          <w:highlight w:val="none"/>
        </w:rPr>
        <w:t>采购人：</w:t>
      </w:r>
      <w:r>
        <w:rPr>
          <w:rFonts w:hint="eastAsia" w:ascii="宋体" w:hAnsi="宋体"/>
          <w:b/>
          <w:sz w:val="36"/>
          <w:szCs w:val="36"/>
          <w:highlight w:val="none"/>
          <w:lang w:eastAsia="zh-CN"/>
        </w:rPr>
        <w:t>香格里拉市人民医院</w:t>
      </w:r>
    </w:p>
    <w:p w14:paraId="5B27EFFB">
      <w:pPr>
        <w:pStyle w:val="11"/>
        <w:ind w:left="1898" w:leftChars="904" w:firstLine="0" w:firstLineChars="0"/>
        <w:rPr>
          <w:rFonts w:hint="eastAsia" w:ascii="宋体" w:hAnsi="宋体"/>
          <w:b/>
          <w:sz w:val="36"/>
          <w:szCs w:val="36"/>
          <w:highlight w:val="none"/>
          <w:lang w:eastAsia="zh-CN"/>
        </w:rPr>
      </w:pPr>
    </w:p>
    <w:p w14:paraId="6FD8C75B">
      <w:pPr>
        <w:pStyle w:val="11"/>
        <w:spacing w:line="900" w:lineRule="exact"/>
        <w:jc w:val="both"/>
        <w:rPr>
          <w:rFonts w:hint="eastAsia" w:ascii="宋体" w:hAnsi="宋体" w:eastAsia="宋体" w:cs="宋体"/>
          <w:b/>
          <w:w w:val="90"/>
          <w:sz w:val="32"/>
          <w:szCs w:val="32"/>
          <w:highlight w:val="none"/>
        </w:rPr>
      </w:pPr>
    </w:p>
    <w:p w14:paraId="5DD5F726">
      <w:pPr>
        <w:pStyle w:val="11"/>
        <w:spacing w:line="900" w:lineRule="exact"/>
        <w:jc w:val="both"/>
        <w:rPr>
          <w:rFonts w:hint="eastAsia" w:ascii="宋体" w:hAnsi="宋体" w:eastAsia="宋体" w:cs="宋体"/>
          <w:b/>
          <w:w w:val="90"/>
          <w:sz w:val="32"/>
          <w:szCs w:val="32"/>
          <w:highlight w:val="none"/>
        </w:rPr>
      </w:pPr>
    </w:p>
    <w:p w14:paraId="5097A69F">
      <w:pPr>
        <w:pStyle w:val="11"/>
        <w:spacing w:line="900" w:lineRule="exact"/>
        <w:jc w:val="center"/>
        <w:rPr>
          <w:rFonts w:hint="eastAsia" w:ascii="宋体" w:hAnsi="宋体" w:eastAsia="宋体" w:cs="宋体"/>
          <w:b/>
          <w:w w:val="90"/>
          <w:sz w:val="32"/>
          <w:szCs w:val="32"/>
          <w:highlight w:val="none"/>
          <w:lang w:val="en-US" w:eastAsia="zh-CN"/>
        </w:rPr>
      </w:pPr>
      <w:r>
        <w:rPr>
          <w:rFonts w:hint="eastAsia" w:ascii="宋体" w:hAnsi="宋体" w:eastAsia="宋体" w:cs="宋体"/>
          <w:b/>
          <w:w w:val="90"/>
          <w:sz w:val="32"/>
          <w:szCs w:val="32"/>
          <w:highlight w:val="none"/>
        </w:rPr>
        <w:t>采购人：</w:t>
      </w:r>
      <w:bookmarkStart w:id="0" w:name="OLE_LINK12"/>
      <w:r>
        <w:rPr>
          <w:rFonts w:hint="eastAsia" w:ascii="宋体" w:hAnsi="宋体" w:eastAsia="宋体" w:cs="宋体"/>
          <w:b/>
          <w:w w:val="90"/>
          <w:sz w:val="32"/>
          <w:szCs w:val="32"/>
          <w:highlight w:val="none"/>
          <w:lang w:eastAsia="zh-CN"/>
        </w:rPr>
        <w:t>香格里拉市人民医院</w:t>
      </w:r>
    </w:p>
    <w:bookmarkEnd w:id="0"/>
    <w:p w14:paraId="2E45A6B4">
      <w:pPr>
        <w:pStyle w:val="11"/>
        <w:spacing w:line="900" w:lineRule="exact"/>
        <w:jc w:val="center"/>
        <w:rPr>
          <w:rFonts w:hint="eastAsia" w:ascii="宋体" w:hAnsi="宋体" w:eastAsia="宋体" w:cs="宋体"/>
          <w:b/>
          <w:w w:val="90"/>
          <w:sz w:val="32"/>
          <w:szCs w:val="32"/>
          <w:highlight w:val="none"/>
          <w:lang w:eastAsia="zh-CN"/>
        </w:rPr>
      </w:pPr>
      <w:r>
        <w:rPr>
          <w:rFonts w:hint="eastAsia" w:ascii="宋体" w:hAnsi="宋体" w:eastAsia="宋体" w:cs="宋体"/>
          <w:b/>
          <w:w w:val="90"/>
          <w:sz w:val="32"/>
          <w:szCs w:val="32"/>
          <w:highlight w:val="none"/>
        </w:rPr>
        <w:t>采购代理机构：</w:t>
      </w:r>
      <w:r>
        <w:rPr>
          <w:rFonts w:hint="eastAsia" w:ascii="宋体" w:hAnsi="宋体" w:eastAsia="宋体" w:cs="宋体"/>
          <w:b/>
          <w:w w:val="90"/>
          <w:sz w:val="32"/>
          <w:szCs w:val="32"/>
          <w:highlight w:val="none"/>
          <w:lang w:eastAsia="zh-CN"/>
        </w:rPr>
        <w:t>云南玉昭工程咨询有限公司</w:t>
      </w:r>
    </w:p>
    <w:p w14:paraId="3006CC29">
      <w:pPr>
        <w:keepNext w:val="0"/>
        <w:keepLines w:val="0"/>
        <w:pageBreakBefore w:val="0"/>
        <w:widowControl/>
        <w:kinsoku/>
        <w:wordWrap/>
        <w:overflowPunct/>
        <w:topLinePunct w:val="0"/>
        <w:autoSpaceDE/>
        <w:autoSpaceDN/>
        <w:bidi w:val="0"/>
        <w:adjustRightInd/>
        <w:snapToGrid/>
        <w:spacing w:line="500" w:lineRule="exact"/>
        <w:ind w:firstLine="4339" w:firstLineChars="1500"/>
        <w:jc w:val="both"/>
        <w:textAlignment w:val="auto"/>
        <w:rPr>
          <w:rFonts w:hint="eastAsia" w:ascii="宋体" w:hAnsi="宋体" w:eastAsia="宋体" w:cs="宋体"/>
          <w:b/>
          <w:w w:val="90"/>
          <w:sz w:val="32"/>
          <w:szCs w:val="32"/>
          <w:highlight w:val="none"/>
        </w:rPr>
      </w:pPr>
    </w:p>
    <w:p w14:paraId="5DF63881">
      <w:pPr>
        <w:keepNext w:val="0"/>
        <w:keepLines w:val="0"/>
        <w:pageBreakBefore w:val="0"/>
        <w:widowControl/>
        <w:kinsoku/>
        <w:wordWrap/>
        <w:overflowPunct/>
        <w:topLinePunct w:val="0"/>
        <w:autoSpaceDE/>
        <w:autoSpaceDN/>
        <w:bidi w:val="0"/>
        <w:adjustRightInd/>
        <w:snapToGrid/>
        <w:spacing w:line="500" w:lineRule="exact"/>
        <w:ind w:firstLine="4339" w:firstLineChars="1500"/>
        <w:jc w:val="both"/>
        <w:textAlignment w:val="auto"/>
        <w:rPr>
          <w:rFonts w:hint="eastAsia" w:ascii="宋体" w:hAnsi="宋体" w:cs="宋体"/>
          <w:bCs/>
          <w:caps/>
          <w:sz w:val="22"/>
          <w:szCs w:val="22"/>
          <w:highlight w:val="none"/>
          <w:lang w:val="en-US" w:eastAsia="zh-CN" w:bidi="ar-SA"/>
        </w:rPr>
      </w:pPr>
      <w:r>
        <w:rPr>
          <w:rFonts w:hint="eastAsia" w:ascii="宋体" w:hAnsi="宋体" w:eastAsia="宋体" w:cs="宋体"/>
          <w:b/>
          <w:w w:val="90"/>
          <w:sz w:val="32"/>
          <w:szCs w:val="32"/>
          <w:highlight w:val="none"/>
        </w:rPr>
        <w:t>202</w:t>
      </w:r>
      <w:r>
        <w:rPr>
          <w:rFonts w:hint="eastAsia" w:ascii="宋体" w:hAnsi="宋体" w:eastAsia="宋体" w:cs="宋体"/>
          <w:b/>
          <w:w w:val="90"/>
          <w:sz w:val="32"/>
          <w:szCs w:val="32"/>
          <w:highlight w:val="none"/>
          <w:lang w:val="en-US" w:eastAsia="zh-CN"/>
        </w:rPr>
        <w:t>5</w:t>
      </w:r>
      <w:r>
        <w:rPr>
          <w:rFonts w:hint="eastAsia" w:ascii="宋体" w:hAnsi="宋体" w:eastAsia="宋体" w:cs="宋体"/>
          <w:b/>
          <w:w w:val="90"/>
          <w:sz w:val="32"/>
          <w:szCs w:val="32"/>
          <w:highlight w:val="none"/>
        </w:rPr>
        <w:t>年</w:t>
      </w:r>
      <w:r>
        <w:rPr>
          <w:rFonts w:hint="eastAsia" w:ascii="宋体" w:hAnsi="宋体" w:eastAsia="宋体" w:cs="宋体"/>
          <w:b/>
          <w:w w:val="90"/>
          <w:sz w:val="32"/>
          <w:szCs w:val="32"/>
          <w:highlight w:val="none"/>
          <w:lang w:val="en-US" w:eastAsia="zh-CN"/>
        </w:rPr>
        <w:t>6</w:t>
      </w:r>
      <w:r>
        <w:rPr>
          <w:rFonts w:hint="eastAsia" w:ascii="宋体" w:hAnsi="宋体" w:eastAsia="宋体" w:cs="宋体"/>
          <w:b/>
          <w:w w:val="90"/>
          <w:sz w:val="32"/>
          <w:szCs w:val="32"/>
          <w:highlight w:val="none"/>
        </w:rPr>
        <w:t>月</w:t>
      </w:r>
      <w:r>
        <w:rPr>
          <w:rFonts w:hint="eastAsia" w:ascii="宋体" w:hAnsi="宋体"/>
          <w:b/>
          <w:bCs/>
          <w:sz w:val="44"/>
          <w:szCs w:val="44"/>
          <w:highlight w:val="none"/>
        </w:rPr>
        <w:br w:type="page"/>
      </w:r>
      <w:r>
        <w:rPr>
          <w:rFonts w:hint="eastAsia" w:ascii="宋体" w:hAnsi="宋体"/>
          <w:b/>
          <w:bCs/>
          <w:sz w:val="44"/>
          <w:szCs w:val="44"/>
          <w:highlight w:val="none"/>
          <w:lang w:val="en-US" w:eastAsia="zh-CN"/>
        </w:rPr>
        <w:t xml:space="preserve">                   </w:t>
      </w:r>
      <w:r>
        <w:rPr>
          <w:rFonts w:hint="eastAsia" w:ascii="宋体" w:hAnsi="宋体"/>
          <w:b/>
          <w:bCs/>
          <w:sz w:val="44"/>
          <w:szCs w:val="44"/>
          <w:highlight w:val="none"/>
        </w:rPr>
        <w:t>目  录</w:t>
      </w:r>
      <w:r>
        <w:rPr>
          <w:rFonts w:hint="eastAsia" w:ascii="宋体" w:hAnsi="宋体" w:cs="宋体"/>
          <w:b/>
          <w:bCs/>
          <w:caps/>
          <w:sz w:val="22"/>
          <w:szCs w:val="22"/>
          <w:highlight w:val="none"/>
        </w:rPr>
        <w:fldChar w:fldCharType="begin"/>
      </w:r>
      <w:r>
        <w:rPr>
          <w:rFonts w:hint="eastAsia" w:ascii="宋体" w:hAnsi="宋体" w:cs="宋体"/>
          <w:b/>
          <w:bCs/>
          <w:caps/>
          <w:sz w:val="22"/>
          <w:szCs w:val="22"/>
          <w:highlight w:val="none"/>
        </w:rPr>
        <w:instrText xml:space="preserve"> TOC \o "1-3" \h \z \u </w:instrText>
      </w:r>
      <w:r>
        <w:rPr>
          <w:rFonts w:hint="eastAsia" w:ascii="宋体" w:hAnsi="宋体" w:cs="宋体"/>
          <w:b/>
          <w:bCs/>
          <w:caps/>
          <w:sz w:val="22"/>
          <w:szCs w:val="22"/>
          <w:highlight w:val="none"/>
        </w:rPr>
        <w:fldChar w:fldCharType="separate"/>
      </w:r>
    </w:p>
    <w:p w14:paraId="73D0F174">
      <w:pPr>
        <w:pStyle w:val="20"/>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val="0"/>
          <w:i w:val="0"/>
          <w:iCs w:val="0"/>
          <w:caps w:val="0"/>
          <w:sz w:val="24"/>
          <w:szCs w:val="24"/>
          <w:highlight w:val="none"/>
        </w:rPr>
        <w:fldChar w:fldCharType="begin"/>
      </w:r>
      <w:r>
        <w:rPr>
          <w:rFonts w:hint="eastAsia" w:ascii="宋体" w:hAnsi="宋体" w:eastAsia="宋体" w:cs="宋体"/>
          <w:bCs w:val="0"/>
          <w:i w:val="0"/>
          <w:iCs w:val="0"/>
          <w:caps w:val="0"/>
          <w:sz w:val="24"/>
          <w:szCs w:val="24"/>
          <w:highlight w:val="none"/>
        </w:rPr>
        <w:instrText xml:space="preserve"> HYPERLINK \l _Toc26822 </w:instrText>
      </w:r>
      <w:r>
        <w:rPr>
          <w:rFonts w:hint="eastAsia" w:ascii="宋体" w:hAnsi="宋体" w:eastAsia="宋体" w:cs="宋体"/>
          <w:bCs w:val="0"/>
          <w:i w:val="0"/>
          <w:iCs w:val="0"/>
          <w:caps w:val="0"/>
          <w:sz w:val="24"/>
          <w:szCs w:val="24"/>
          <w:highlight w:val="none"/>
        </w:rPr>
        <w:fldChar w:fldCharType="separate"/>
      </w:r>
      <w:r>
        <w:rPr>
          <w:rFonts w:hint="eastAsia" w:ascii="宋体" w:hAnsi="宋体" w:eastAsia="宋体" w:cs="宋体"/>
          <w:i w:val="0"/>
          <w:iCs w:val="0"/>
          <w:sz w:val="24"/>
          <w:szCs w:val="24"/>
          <w:highlight w:val="none"/>
        </w:rPr>
        <w:t>第一章 招标公告</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_Toc26822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val="0"/>
          <w:sz w:val="24"/>
          <w:szCs w:val="24"/>
          <w:highlight w:val="none"/>
        </w:rPr>
        <w:fldChar w:fldCharType="end"/>
      </w:r>
    </w:p>
    <w:p w14:paraId="3DE24FFE">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_Toc23453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val="0"/>
          <w:i w:val="0"/>
          <w:iCs w:val="0"/>
          <w:sz w:val="24"/>
          <w:szCs w:val="24"/>
          <w:highlight w:val="none"/>
          <w:lang w:eastAsia="zh-CN"/>
        </w:rPr>
        <w:t>一、项目基本情况</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_Toc23453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5F6E8DA2">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_Toc11222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val="0"/>
          <w:i w:val="0"/>
          <w:iCs w:val="0"/>
          <w:sz w:val="24"/>
          <w:szCs w:val="24"/>
          <w:lang w:eastAsia="zh-CN"/>
        </w:rPr>
        <w:t>二、申请人的资格要求</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_Toc11222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583BB5D2">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_Toc25951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val="0"/>
          <w:i w:val="0"/>
          <w:iCs w:val="0"/>
          <w:sz w:val="24"/>
          <w:szCs w:val="24"/>
          <w:lang w:eastAsia="zh-CN"/>
        </w:rPr>
        <w:t>三、获</w:t>
      </w:r>
      <w:r>
        <w:rPr>
          <w:rFonts w:hint="eastAsia" w:ascii="宋体" w:hAnsi="宋体" w:eastAsia="宋体" w:cs="宋体"/>
          <w:bCs w:val="0"/>
          <w:i w:val="0"/>
          <w:iCs w:val="0"/>
          <w:sz w:val="24"/>
          <w:szCs w:val="24"/>
          <w:highlight w:val="none"/>
          <w:lang w:eastAsia="zh-CN"/>
        </w:rPr>
        <w:t>取招标文件</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_Toc25951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2</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6E4CEE97">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_Toc3285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val="0"/>
          <w:i w:val="0"/>
          <w:iCs w:val="0"/>
          <w:sz w:val="24"/>
          <w:szCs w:val="24"/>
          <w:highlight w:val="none"/>
          <w:lang w:eastAsia="zh-CN"/>
        </w:rPr>
        <w:t>四、提交投标文件截止时间、开标时间和地点</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_Toc3285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3</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18C615C7">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_Toc25135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val="0"/>
          <w:i w:val="0"/>
          <w:iCs w:val="0"/>
          <w:sz w:val="24"/>
          <w:szCs w:val="24"/>
          <w:highlight w:val="none"/>
          <w:lang w:eastAsia="zh-CN"/>
        </w:rPr>
        <w:t>五、公告期限</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_Toc25135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3</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3E277F36">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_Toc26398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val="0"/>
          <w:i w:val="0"/>
          <w:iCs w:val="0"/>
          <w:sz w:val="24"/>
          <w:szCs w:val="24"/>
          <w:highlight w:val="none"/>
          <w:lang w:eastAsia="zh-CN"/>
        </w:rPr>
        <w:t>六、其他补充事宜</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_Toc26398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3</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51CA98CA">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_Toc20688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val="0"/>
          <w:i w:val="0"/>
          <w:iCs w:val="0"/>
          <w:sz w:val="24"/>
          <w:szCs w:val="24"/>
          <w:lang w:eastAsia="zh-CN"/>
        </w:rPr>
        <w:t>七、对本次招标提出询问，请按以下方式联系</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_Toc20688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4</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56D0E13E">
      <w:pPr>
        <w:pStyle w:val="20"/>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val="0"/>
          <w:i w:val="0"/>
          <w:iCs w:val="0"/>
          <w:caps w:val="0"/>
          <w:sz w:val="24"/>
          <w:szCs w:val="24"/>
          <w:highlight w:val="none"/>
        </w:rPr>
        <w:fldChar w:fldCharType="begin"/>
      </w:r>
      <w:r>
        <w:rPr>
          <w:rFonts w:hint="eastAsia" w:ascii="宋体" w:hAnsi="宋体" w:eastAsia="宋体" w:cs="宋体"/>
          <w:bCs w:val="0"/>
          <w:i w:val="0"/>
          <w:iCs w:val="0"/>
          <w:caps w:val="0"/>
          <w:sz w:val="24"/>
          <w:szCs w:val="24"/>
          <w:highlight w:val="none"/>
        </w:rPr>
        <w:instrText xml:space="preserve"> HYPERLINK \l _Toc21485 </w:instrText>
      </w:r>
      <w:r>
        <w:rPr>
          <w:rFonts w:hint="eastAsia" w:ascii="宋体" w:hAnsi="宋体" w:eastAsia="宋体" w:cs="宋体"/>
          <w:bCs w:val="0"/>
          <w:i w:val="0"/>
          <w:iCs w:val="0"/>
          <w:caps w:val="0"/>
          <w:sz w:val="24"/>
          <w:szCs w:val="24"/>
          <w:highlight w:val="none"/>
        </w:rPr>
        <w:fldChar w:fldCharType="separate"/>
      </w:r>
      <w:r>
        <w:rPr>
          <w:rFonts w:hint="eastAsia" w:ascii="宋体" w:hAnsi="宋体" w:eastAsia="宋体" w:cs="宋体"/>
          <w:bCs/>
          <w:i w:val="0"/>
          <w:iCs w:val="0"/>
          <w:sz w:val="24"/>
          <w:szCs w:val="24"/>
          <w:highlight w:val="none"/>
        </w:rPr>
        <w:t>第二章 投标人须知</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_Toc21485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val="0"/>
          <w:sz w:val="24"/>
          <w:szCs w:val="24"/>
          <w:highlight w:val="none"/>
        </w:rPr>
        <w:fldChar w:fldCharType="end"/>
      </w:r>
    </w:p>
    <w:p w14:paraId="7F493651">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_Toc19689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投标人须知前附表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_Toc19689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744CDF40">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_Toc21034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1. 总则</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_Toc21034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11</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100B5AF7">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_Toc19514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2. 招标文件</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_Toc19514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12</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5CBD3B97">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_Toc28991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3. 投标文件</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_Toc28991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13</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7113A27E">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_Toc30344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4. 投标</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_Toc30344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14</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6FE375FE">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_Toc16340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5. 开标</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_Toc16340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15</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27DF8396">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_Toc30183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6. 资格审查</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_Toc30183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15</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730D839E">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_Toc1404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7. 评标</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_Toc1404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15</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7DB33287">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_Toc19012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8. 中标和合同</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_Toc19012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16</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525EE403">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_Toc18054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9. 询问与答复</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_Toc18054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17</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7E1EE86A">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_Toc16995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10. 质疑接收、回复</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_Toc16995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17</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57862A7D">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_Toc19343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11. 纪律和监督</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_Toc19343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18</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71F0E8F2">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_Toc3503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12.需要补充的其他内容</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_Toc3503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19</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2FDDB49C">
      <w:pPr>
        <w:pStyle w:val="20"/>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val="0"/>
          <w:i w:val="0"/>
          <w:iCs w:val="0"/>
          <w:caps w:val="0"/>
          <w:sz w:val="24"/>
          <w:szCs w:val="24"/>
          <w:highlight w:val="none"/>
        </w:rPr>
        <w:fldChar w:fldCharType="begin"/>
      </w:r>
      <w:r>
        <w:rPr>
          <w:rFonts w:hint="eastAsia" w:ascii="宋体" w:hAnsi="宋体" w:eastAsia="宋体" w:cs="宋体"/>
          <w:bCs w:val="0"/>
          <w:i w:val="0"/>
          <w:iCs w:val="0"/>
          <w:caps w:val="0"/>
          <w:sz w:val="24"/>
          <w:szCs w:val="24"/>
          <w:highlight w:val="none"/>
        </w:rPr>
        <w:instrText xml:space="preserve"> HYPERLINK \l _Toc29332 </w:instrText>
      </w:r>
      <w:r>
        <w:rPr>
          <w:rFonts w:hint="eastAsia" w:ascii="宋体" w:hAnsi="宋体" w:eastAsia="宋体" w:cs="宋体"/>
          <w:bCs w:val="0"/>
          <w:i w:val="0"/>
          <w:iCs w:val="0"/>
          <w:caps w:val="0"/>
          <w:sz w:val="24"/>
          <w:szCs w:val="24"/>
          <w:highlight w:val="none"/>
        </w:rPr>
        <w:fldChar w:fldCharType="separate"/>
      </w:r>
      <w:r>
        <w:rPr>
          <w:rFonts w:hint="eastAsia" w:ascii="宋体" w:hAnsi="宋体" w:eastAsia="宋体" w:cs="宋体"/>
          <w:bCs/>
          <w:i w:val="0"/>
          <w:iCs w:val="0"/>
          <w:sz w:val="24"/>
          <w:szCs w:val="24"/>
          <w:highlight w:val="none"/>
        </w:rPr>
        <w:t>第三章 资格审查</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_Toc29332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20</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val="0"/>
          <w:sz w:val="24"/>
          <w:szCs w:val="24"/>
          <w:highlight w:val="none"/>
        </w:rPr>
        <w:fldChar w:fldCharType="end"/>
      </w:r>
    </w:p>
    <w:p w14:paraId="7B9416EE">
      <w:pPr>
        <w:pStyle w:val="20"/>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val="0"/>
          <w:i w:val="0"/>
          <w:iCs w:val="0"/>
          <w:caps w:val="0"/>
          <w:sz w:val="24"/>
          <w:szCs w:val="24"/>
          <w:highlight w:val="none"/>
        </w:rPr>
        <w:fldChar w:fldCharType="begin"/>
      </w:r>
      <w:r>
        <w:rPr>
          <w:rFonts w:hint="eastAsia" w:ascii="宋体" w:hAnsi="宋体" w:eastAsia="宋体" w:cs="宋体"/>
          <w:bCs w:val="0"/>
          <w:i w:val="0"/>
          <w:iCs w:val="0"/>
          <w:caps w:val="0"/>
          <w:sz w:val="24"/>
          <w:szCs w:val="24"/>
          <w:highlight w:val="none"/>
        </w:rPr>
        <w:instrText xml:space="preserve"> HYPERLINK \l _Toc13700 </w:instrText>
      </w:r>
      <w:r>
        <w:rPr>
          <w:rFonts w:hint="eastAsia" w:ascii="宋体" w:hAnsi="宋体" w:eastAsia="宋体" w:cs="宋体"/>
          <w:bCs w:val="0"/>
          <w:i w:val="0"/>
          <w:iCs w:val="0"/>
          <w:caps w:val="0"/>
          <w:sz w:val="24"/>
          <w:szCs w:val="24"/>
          <w:highlight w:val="none"/>
        </w:rPr>
        <w:fldChar w:fldCharType="separate"/>
      </w:r>
      <w:r>
        <w:rPr>
          <w:rFonts w:hint="eastAsia" w:ascii="宋体" w:hAnsi="宋体" w:eastAsia="宋体" w:cs="宋体"/>
          <w:i w:val="0"/>
          <w:iCs w:val="0"/>
          <w:sz w:val="24"/>
          <w:szCs w:val="24"/>
          <w:highlight w:val="none"/>
        </w:rPr>
        <w:t>第四章 评标办法(综合评分法)</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_Toc13700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22</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val="0"/>
          <w:sz w:val="24"/>
          <w:szCs w:val="24"/>
          <w:highlight w:val="none"/>
        </w:rPr>
        <w:fldChar w:fldCharType="end"/>
      </w:r>
    </w:p>
    <w:p w14:paraId="674B85F6">
      <w:pPr>
        <w:pStyle w:val="20"/>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val="0"/>
          <w:i w:val="0"/>
          <w:iCs w:val="0"/>
          <w:caps w:val="0"/>
          <w:sz w:val="24"/>
          <w:szCs w:val="24"/>
          <w:highlight w:val="none"/>
        </w:rPr>
        <w:fldChar w:fldCharType="begin"/>
      </w:r>
      <w:r>
        <w:rPr>
          <w:rFonts w:hint="eastAsia" w:ascii="宋体" w:hAnsi="宋体" w:eastAsia="宋体" w:cs="宋体"/>
          <w:bCs w:val="0"/>
          <w:i w:val="0"/>
          <w:iCs w:val="0"/>
          <w:caps w:val="0"/>
          <w:sz w:val="24"/>
          <w:szCs w:val="24"/>
          <w:highlight w:val="none"/>
        </w:rPr>
        <w:instrText xml:space="preserve"> HYPERLINK \l _Toc32139 </w:instrText>
      </w:r>
      <w:r>
        <w:rPr>
          <w:rFonts w:hint="eastAsia" w:ascii="宋体" w:hAnsi="宋体" w:eastAsia="宋体" w:cs="宋体"/>
          <w:bCs w:val="0"/>
          <w:i w:val="0"/>
          <w:iCs w:val="0"/>
          <w:caps w:val="0"/>
          <w:sz w:val="24"/>
          <w:szCs w:val="24"/>
          <w:highlight w:val="none"/>
        </w:rPr>
        <w:fldChar w:fldCharType="separate"/>
      </w:r>
      <w:r>
        <w:rPr>
          <w:rFonts w:hint="eastAsia" w:ascii="宋体" w:hAnsi="宋体" w:eastAsia="宋体" w:cs="宋体"/>
          <w:i w:val="0"/>
          <w:iCs w:val="0"/>
          <w:sz w:val="24"/>
          <w:szCs w:val="24"/>
          <w:highlight w:val="none"/>
        </w:rPr>
        <w:t>第五章 合同条款及格式</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_Toc32139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31</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val="0"/>
          <w:sz w:val="24"/>
          <w:szCs w:val="24"/>
          <w:highlight w:val="none"/>
        </w:rPr>
        <w:fldChar w:fldCharType="end"/>
      </w:r>
    </w:p>
    <w:p w14:paraId="0967CDCF">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_Toc481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val="0"/>
          <w:i w:val="0"/>
          <w:iCs w:val="0"/>
          <w:sz w:val="24"/>
          <w:szCs w:val="24"/>
        </w:rPr>
        <w:t>第一节 政府采购合同协议书</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_Toc481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33</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0F7A0B24">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_Toc29391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val="0"/>
          <w:i w:val="0"/>
          <w:iCs w:val="0"/>
          <w:sz w:val="24"/>
          <w:szCs w:val="24"/>
        </w:rPr>
        <w:t>第二节 政府采购合同通用条款</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_Toc29391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39</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6AAB4F5F">
      <w:pPr>
        <w:pStyle w:val="2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_Toc11432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val="0"/>
          <w:i w:val="0"/>
          <w:iCs w:val="0"/>
          <w:sz w:val="24"/>
          <w:szCs w:val="24"/>
        </w:rPr>
        <w:t>第三节 政府采购合同专用条款</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_Toc11432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45</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14704959">
      <w:pPr>
        <w:pStyle w:val="20"/>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val="0"/>
          <w:i w:val="0"/>
          <w:iCs w:val="0"/>
          <w:caps w:val="0"/>
          <w:sz w:val="24"/>
          <w:szCs w:val="24"/>
          <w:highlight w:val="none"/>
        </w:rPr>
        <w:fldChar w:fldCharType="begin"/>
      </w:r>
      <w:r>
        <w:rPr>
          <w:rFonts w:hint="eastAsia" w:ascii="宋体" w:hAnsi="宋体" w:eastAsia="宋体" w:cs="宋体"/>
          <w:bCs w:val="0"/>
          <w:i w:val="0"/>
          <w:iCs w:val="0"/>
          <w:caps w:val="0"/>
          <w:sz w:val="24"/>
          <w:szCs w:val="24"/>
          <w:highlight w:val="none"/>
        </w:rPr>
        <w:instrText xml:space="preserve"> HYPERLINK \l _Toc1506 </w:instrText>
      </w:r>
      <w:r>
        <w:rPr>
          <w:rFonts w:hint="eastAsia" w:ascii="宋体" w:hAnsi="宋体" w:eastAsia="宋体" w:cs="宋体"/>
          <w:bCs w:val="0"/>
          <w:i w:val="0"/>
          <w:iCs w:val="0"/>
          <w:caps w:val="0"/>
          <w:sz w:val="24"/>
          <w:szCs w:val="24"/>
          <w:highlight w:val="none"/>
        </w:rPr>
        <w:fldChar w:fldCharType="separate"/>
      </w:r>
      <w:r>
        <w:rPr>
          <w:rFonts w:hint="eastAsia" w:ascii="宋体" w:hAnsi="宋体" w:eastAsia="宋体" w:cs="宋体"/>
          <w:i w:val="0"/>
          <w:iCs w:val="0"/>
          <w:sz w:val="24"/>
          <w:szCs w:val="24"/>
          <w:highlight w:val="none"/>
        </w:rPr>
        <w:t xml:space="preserve">第六章 </w:t>
      </w:r>
      <w:r>
        <w:rPr>
          <w:rFonts w:hint="eastAsia" w:ascii="宋体" w:hAnsi="宋体" w:eastAsia="宋体" w:cs="宋体"/>
          <w:i w:val="0"/>
          <w:iCs w:val="0"/>
          <w:sz w:val="24"/>
          <w:szCs w:val="24"/>
          <w:highlight w:val="none"/>
          <w:lang w:eastAsia="zh-CN"/>
        </w:rPr>
        <w:t>招标内容及要求</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_Toc1506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46</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val="0"/>
          <w:sz w:val="24"/>
          <w:szCs w:val="24"/>
          <w:highlight w:val="none"/>
        </w:rPr>
        <w:fldChar w:fldCharType="end"/>
      </w:r>
    </w:p>
    <w:p w14:paraId="3544564D">
      <w:pPr>
        <w:pStyle w:val="20"/>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val="0"/>
          <w:i w:val="0"/>
          <w:iCs w:val="0"/>
          <w:caps w:val="0"/>
          <w:sz w:val="24"/>
          <w:szCs w:val="24"/>
          <w:highlight w:val="none"/>
        </w:rPr>
        <w:fldChar w:fldCharType="begin"/>
      </w:r>
      <w:r>
        <w:rPr>
          <w:rFonts w:hint="eastAsia" w:ascii="宋体" w:hAnsi="宋体" w:eastAsia="宋体" w:cs="宋体"/>
          <w:bCs w:val="0"/>
          <w:i w:val="0"/>
          <w:iCs w:val="0"/>
          <w:caps w:val="0"/>
          <w:sz w:val="24"/>
          <w:szCs w:val="24"/>
          <w:highlight w:val="none"/>
        </w:rPr>
        <w:instrText xml:space="preserve"> HYPERLINK \l _Toc8146 </w:instrText>
      </w:r>
      <w:r>
        <w:rPr>
          <w:rFonts w:hint="eastAsia" w:ascii="宋体" w:hAnsi="宋体" w:eastAsia="宋体" w:cs="宋体"/>
          <w:bCs w:val="0"/>
          <w:i w:val="0"/>
          <w:iCs w:val="0"/>
          <w:caps w:val="0"/>
          <w:sz w:val="24"/>
          <w:szCs w:val="24"/>
          <w:highlight w:val="none"/>
        </w:rPr>
        <w:fldChar w:fldCharType="separate"/>
      </w:r>
      <w:r>
        <w:rPr>
          <w:rFonts w:hint="eastAsia" w:ascii="宋体" w:hAnsi="宋体" w:eastAsia="宋体" w:cs="宋体"/>
          <w:i w:val="0"/>
          <w:iCs w:val="0"/>
          <w:sz w:val="24"/>
          <w:szCs w:val="24"/>
          <w:highlight w:val="none"/>
        </w:rPr>
        <w:t>第七章 投标文件格式</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_Toc8146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53</w:t>
      </w:r>
      <w:r>
        <w:rPr>
          <w:rFonts w:hint="eastAsia" w:ascii="宋体" w:hAnsi="宋体" w:eastAsia="宋体" w:cs="宋体"/>
          <w:i w:val="0"/>
          <w:iCs w:val="0"/>
          <w:sz w:val="24"/>
          <w:szCs w:val="24"/>
        </w:rPr>
        <w:fldChar w:fldCharType="end"/>
      </w:r>
      <w:r>
        <w:rPr>
          <w:rFonts w:hint="eastAsia" w:ascii="宋体" w:hAnsi="宋体" w:eastAsia="宋体" w:cs="宋体"/>
          <w:bCs w:val="0"/>
          <w:i w:val="0"/>
          <w:iCs w:val="0"/>
          <w:caps w:val="0"/>
          <w:sz w:val="24"/>
          <w:szCs w:val="24"/>
          <w:highlight w:val="none"/>
        </w:rPr>
        <w:fldChar w:fldCharType="end"/>
      </w:r>
    </w:p>
    <w:p w14:paraId="4D07416F">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_Toc29527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i w:val="0"/>
          <w:iCs w:val="0"/>
          <w:sz w:val="24"/>
          <w:szCs w:val="24"/>
          <w:highlight w:val="none"/>
        </w:rPr>
        <w:t>资格审查部分</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_Toc29527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53</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384C89FE">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_Toc7742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一、具有独立承担民事责任的能力</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_Toc7742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54</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76A092EF">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_Toc20697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二、具有良好的商业信誉和健全的财务会计制度</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_Toc20697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54</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5E428F04">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_Toc29703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三、</w:t>
      </w:r>
      <w:r>
        <w:rPr>
          <w:rFonts w:hint="eastAsia" w:ascii="宋体" w:hAnsi="宋体" w:eastAsia="宋体" w:cs="宋体"/>
          <w:i w:val="0"/>
          <w:iCs w:val="0"/>
          <w:sz w:val="24"/>
          <w:szCs w:val="24"/>
          <w:highlight w:val="none"/>
          <w:lang w:eastAsia="zh-CN"/>
        </w:rPr>
        <w:t>具有履行合同所必需的设备和专业技术能力</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_Toc29703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54</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05344581">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_Toc6832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四、</w:t>
      </w:r>
      <w:r>
        <w:rPr>
          <w:rFonts w:hint="eastAsia" w:ascii="宋体" w:hAnsi="宋体" w:eastAsia="宋体" w:cs="宋体"/>
          <w:i w:val="0"/>
          <w:iCs w:val="0"/>
          <w:sz w:val="24"/>
          <w:szCs w:val="24"/>
          <w:highlight w:val="none"/>
          <w:lang w:eastAsia="zh-CN"/>
        </w:rPr>
        <w:t>有依法缴纳税收和社会保障资金的良好记录</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_Toc6832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54</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3FE66AD6">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_Toc29320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五、参加政府采购活动前三年内，在经营活动中没有重大违法记录</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_Toc29320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55</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27004C08">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_Toc21048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六</w:t>
      </w:r>
      <w:r>
        <w:rPr>
          <w:rFonts w:hint="eastAsia" w:ascii="宋体" w:hAnsi="宋体" w:eastAsia="宋体" w:cs="宋体"/>
          <w:i w:val="0"/>
          <w:iCs w:val="0"/>
          <w:sz w:val="24"/>
          <w:szCs w:val="24"/>
          <w:highlight w:val="none"/>
        </w:rPr>
        <w:t>、其他</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_Toc21048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56</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1B957025">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_Toc23921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i w:val="0"/>
          <w:iCs w:val="0"/>
          <w:sz w:val="24"/>
          <w:szCs w:val="24"/>
          <w:highlight w:val="none"/>
        </w:rPr>
        <w:t>商务技术部分</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_Toc23921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57</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07E62FD4">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_Toc23832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一、开标一览表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_Toc23832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58</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5A51C9B9">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_Toc22942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二、投标函</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_Toc22942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59</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580646C0">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_Toc4934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i w:val="0"/>
          <w:iCs w:val="0"/>
          <w:sz w:val="24"/>
          <w:szCs w:val="24"/>
          <w:highlight w:val="none"/>
        </w:rPr>
        <w:t>三、法定代表人(单位负责人)身份证明书</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_Toc4934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60</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68011140">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_Toc13202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rPr>
        <w:t>四、授权委托书</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_Toc13202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61</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0ACA2A99">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_Toc6680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rPr>
        <w:t>五、投标人基本情况表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_Toc6680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62</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67FE6291">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_Toc17079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六</w:t>
      </w:r>
      <w:r>
        <w:rPr>
          <w:rFonts w:hint="eastAsia" w:ascii="宋体" w:hAnsi="宋体" w:eastAsia="宋体" w:cs="宋体"/>
          <w:i w:val="0"/>
          <w:iCs w:val="0"/>
          <w:sz w:val="24"/>
          <w:szCs w:val="24"/>
          <w:highlight w:val="none"/>
        </w:rPr>
        <w:t>、投标保证金</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_Toc17079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63</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35E3E8C1">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_Toc23796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七</w:t>
      </w:r>
      <w:r>
        <w:rPr>
          <w:rFonts w:hint="eastAsia" w:ascii="宋体" w:hAnsi="宋体" w:eastAsia="宋体" w:cs="宋体"/>
          <w:i w:val="0"/>
          <w:iCs w:val="0"/>
          <w:sz w:val="24"/>
          <w:szCs w:val="24"/>
          <w:highlight w:val="none"/>
        </w:rPr>
        <w:t>、商务条款偏离表和技术规格偏离表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_Toc23796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64</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68D7E9E8">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_Toc6113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八</w:t>
      </w:r>
      <w:r>
        <w:rPr>
          <w:rFonts w:hint="eastAsia" w:ascii="宋体" w:hAnsi="宋体" w:eastAsia="宋体" w:cs="宋体"/>
          <w:i w:val="0"/>
          <w:iCs w:val="0"/>
          <w:sz w:val="24"/>
          <w:szCs w:val="24"/>
          <w:highlight w:val="none"/>
        </w:rPr>
        <w:t>、分项报价表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_Toc6113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66</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32035C3F">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_Toc14426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九</w:t>
      </w:r>
      <w:r>
        <w:rPr>
          <w:rFonts w:hint="eastAsia" w:ascii="宋体" w:hAnsi="宋体" w:eastAsia="宋体" w:cs="宋体"/>
          <w:i w:val="0"/>
          <w:iCs w:val="0"/>
          <w:sz w:val="24"/>
          <w:szCs w:val="24"/>
          <w:highlight w:val="none"/>
          <w:lang w:eastAsia="zh-CN"/>
        </w:rPr>
        <w:t>、交货方案及时间进度计划安排</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_Toc14426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67</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76F10E05">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_Toc22692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bCs/>
          <w:i w:val="0"/>
          <w:iCs w:val="0"/>
          <w:sz w:val="24"/>
          <w:szCs w:val="24"/>
          <w:highlight w:val="none"/>
          <w:lang w:val="en-US" w:eastAsia="zh-CN"/>
        </w:rPr>
        <w:t>十、</w:t>
      </w:r>
      <w:r>
        <w:rPr>
          <w:rFonts w:hint="eastAsia" w:ascii="宋体" w:hAnsi="宋体" w:eastAsia="宋体" w:cs="宋体"/>
          <w:bCs/>
          <w:i w:val="0"/>
          <w:iCs w:val="0"/>
          <w:sz w:val="24"/>
          <w:szCs w:val="24"/>
          <w:highlight w:val="none"/>
          <w:lang w:eastAsia="zh-CN"/>
        </w:rPr>
        <w:t>质量保证及保障承诺</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_Toc22692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67</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2693A1E4">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_Toc21081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十一、售后服务方案</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_Toc21081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67</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2E405FF4">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_Toc30320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十二、故障响应时间及应急措施</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_Toc30320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67</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5D3290DC">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_Toc13242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lang w:val="en-US" w:eastAsia="zh-CN"/>
        </w:rPr>
        <w:t>十三、培训方案</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_Toc13242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67</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5B8EF970">
      <w:pPr>
        <w:pStyle w:val="14"/>
        <w:keepNext w:val="0"/>
        <w:keepLines w:val="0"/>
        <w:pageBreakBefore w:val="0"/>
        <w:widowControl/>
        <w:tabs>
          <w:tab w:val="right" w:leader="dot" w:pos="9740"/>
        </w:tabs>
        <w:kinsoku/>
        <w:wordWrap/>
        <w:overflowPunct/>
        <w:topLinePunct w:val="0"/>
        <w:autoSpaceDE/>
        <w:autoSpaceDN/>
        <w:bidi w:val="0"/>
        <w:adjustRightInd/>
        <w:snapToGrid/>
        <w:spacing w:line="360" w:lineRule="auto"/>
        <w:textAlignment w:val="auto"/>
        <w:rPr>
          <w:rFonts w:hint="eastAsia" w:ascii="宋体" w:hAnsi="宋体" w:eastAsia="宋体" w:cs="宋体"/>
          <w:i w:val="0"/>
          <w:iCs w:val="0"/>
          <w:sz w:val="24"/>
          <w:szCs w:val="24"/>
        </w:rPr>
      </w:pPr>
      <w:r>
        <w:rPr>
          <w:rFonts w:hint="eastAsia" w:ascii="宋体" w:hAnsi="宋体" w:eastAsia="宋体" w:cs="宋体"/>
          <w:bCs/>
          <w:i w:val="0"/>
          <w:iCs w:val="0"/>
          <w:caps/>
          <w:sz w:val="24"/>
          <w:szCs w:val="24"/>
          <w:highlight w:val="none"/>
        </w:rPr>
        <w:fldChar w:fldCharType="begin"/>
      </w:r>
      <w:r>
        <w:rPr>
          <w:rFonts w:hint="eastAsia" w:ascii="宋体" w:hAnsi="宋体" w:eastAsia="宋体" w:cs="宋体"/>
          <w:bCs/>
          <w:i w:val="0"/>
          <w:iCs w:val="0"/>
          <w:caps/>
          <w:sz w:val="24"/>
          <w:szCs w:val="24"/>
          <w:highlight w:val="none"/>
        </w:rPr>
        <w:instrText xml:space="preserve"> HYPERLINK \l _Toc10141 </w:instrText>
      </w:r>
      <w:r>
        <w:rPr>
          <w:rFonts w:hint="eastAsia" w:ascii="宋体" w:hAnsi="宋体" w:eastAsia="宋体" w:cs="宋体"/>
          <w:bCs/>
          <w:i w:val="0"/>
          <w:iCs w:val="0"/>
          <w:caps/>
          <w:sz w:val="24"/>
          <w:szCs w:val="24"/>
          <w:highlight w:val="none"/>
        </w:rPr>
        <w:fldChar w:fldCharType="separate"/>
      </w:r>
      <w:r>
        <w:rPr>
          <w:rFonts w:hint="eastAsia" w:ascii="宋体" w:hAnsi="宋体" w:eastAsia="宋体" w:cs="宋体"/>
          <w:i w:val="0"/>
          <w:iCs w:val="0"/>
          <w:sz w:val="24"/>
          <w:szCs w:val="24"/>
          <w:highlight w:val="none"/>
          <w:lang w:eastAsia="zh-CN"/>
        </w:rPr>
        <w:t>十</w:t>
      </w:r>
      <w:r>
        <w:rPr>
          <w:rFonts w:hint="eastAsia" w:ascii="宋体" w:hAnsi="宋体" w:eastAsia="宋体" w:cs="宋体"/>
          <w:i w:val="0"/>
          <w:iCs w:val="0"/>
          <w:sz w:val="24"/>
          <w:szCs w:val="24"/>
          <w:highlight w:val="none"/>
          <w:lang w:val="en-US" w:eastAsia="zh-CN"/>
        </w:rPr>
        <w:t>四</w:t>
      </w:r>
      <w:r>
        <w:rPr>
          <w:rFonts w:hint="eastAsia" w:ascii="宋体" w:hAnsi="宋体" w:eastAsia="宋体" w:cs="宋体"/>
          <w:i w:val="0"/>
          <w:iCs w:val="0"/>
          <w:sz w:val="24"/>
          <w:szCs w:val="24"/>
          <w:highlight w:val="none"/>
          <w:lang w:eastAsia="zh-CN"/>
        </w:rPr>
        <w:t>、</w:t>
      </w:r>
      <w:r>
        <w:rPr>
          <w:rFonts w:hint="eastAsia" w:ascii="宋体" w:hAnsi="宋体" w:eastAsia="宋体" w:cs="宋体"/>
          <w:i w:val="0"/>
          <w:iCs w:val="0"/>
          <w:sz w:val="24"/>
          <w:szCs w:val="24"/>
          <w:highlight w:val="none"/>
        </w:rPr>
        <w:t>其他资料</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_Toc10141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68</w:t>
      </w:r>
      <w:r>
        <w:rPr>
          <w:rFonts w:hint="eastAsia" w:ascii="宋体" w:hAnsi="宋体" w:eastAsia="宋体" w:cs="宋体"/>
          <w:i w:val="0"/>
          <w:iCs w:val="0"/>
          <w:sz w:val="24"/>
          <w:szCs w:val="24"/>
        </w:rPr>
        <w:fldChar w:fldCharType="end"/>
      </w:r>
      <w:r>
        <w:rPr>
          <w:rFonts w:hint="eastAsia" w:ascii="宋体" w:hAnsi="宋体" w:eastAsia="宋体" w:cs="宋体"/>
          <w:bCs/>
          <w:i w:val="0"/>
          <w:iCs w:val="0"/>
          <w:caps/>
          <w:sz w:val="24"/>
          <w:szCs w:val="24"/>
          <w:highlight w:val="none"/>
        </w:rPr>
        <w:fldChar w:fldCharType="end"/>
      </w:r>
    </w:p>
    <w:p w14:paraId="242D636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cs="宋体"/>
          <w:sz w:val="24"/>
          <w:szCs w:val="24"/>
          <w:highlight w:val="none"/>
        </w:rPr>
      </w:pPr>
      <w:r>
        <w:rPr>
          <w:rFonts w:hint="eastAsia" w:ascii="宋体" w:hAnsi="宋体" w:cs="宋体"/>
          <w:bCs/>
          <w:caps/>
          <w:sz w:val="22"/>
          <w:szCs w:val="22"/>
          <w:highlight w:val="none"/>
        </w:rPr>
        <w:fldChar w:fldCharType="end"/>
      </w:r>
      <w:bookmarkStart w:id="1" w:name="_Toc29067"/>
      <w:bookmarkEnd w:id="1"/>
      <w:bookmarkStart w:id="2" w:name="_Toc25108"/>
      <w:bookmarkEnd w:id="2"/>
      <w:r>
        <w:rPr>
          <w:rFonts w:hint="eastAsia" w:ascii="宋体" w:hAnsi="宋体" w:cs="宋体"/>
          <w:sz w:val="24"/>
          <w:szCs w:val="24"/>
          <w:highlight w:val="none"/>
        </w:rPr>
        <w:t xml:space="preserve"> </w:t>
      </w:r>
    </w:p>
    <w:p w14:paraId="5E7C0E36">
      <w:pPr>
        <w:spacing w:line="400" w:lineRule="exact"/>
        <w:rPr>
          <w:rFonts w:hint="eastAsia" w:ascii="宋体" w:hAnsi="宋体"/>
          <w:highlight w:val="none"/>
        </w:rPr>
        <w:sectPr>
          <w:headerReference r:id="rId4" w:type="first"/>
          <w:headerReference r:id="rId3" w:type="default"/>
          <w:pgSz w:w="11906" w:h="16838"/>
          <w:pgMar w:top="1440" w:right="1083" w:bottom="1440" w:left="1083" w:header="720" w:footer="720" w:gutter="0"/>
          <w:pgNumType w:fmt="numberInDash" w:start="1"/>
          <w:cols w:space="720" w:num="1"/>
          <w:titlePg/>
          <w:docGrid w:type="lines" w:linePitch="317" w:charSpace="0"/>
        </w:sectPr>
      </w:pPr>
      <w:bookmarkStart w:id="3" w:name="_Toc3039"/>
      <w:bookmarkEnd w:id="3"/>
      <w:bookmarkStart w:id="4" w:name="_Toc12916"/>
      <w:bookmarkEnd w:id="4"/>
      <w:bookmarkStart w:id="5" w:name="_Toc24776"/>
    </w:p>
    <w:p w14:paraId="0F0CECB4">
      <w:pPr>
        <w:pStyle w:val="2"/>
        <w:spacing w:before="0" w:after="0" w:line="360" w:lineRule="auto"/>
        <w:jc w:val="center"/>
        <w:rPr>
          <w:rFonts w:hint="eastAsia" w:ascii="宋体" w:hAnsi="宋体"/>
          <w:color w:val="FF0000"/>
          <w:highlight w:val="none"/>
        </w:rPr>
      </w:pPr>
      <w:bookmarkStart w:id="6" w:name="_Toc26822"/>
      <w:r>
        <w:rPr>
          <w:rFonts w:hint="eastAsia" w:ascii="宋体" w:hAnsi="宋体"/>
          <w:highlight w:val="none"/>
        </w:rPr>
        <w:t>第一章 招标公告</w:t>
      </w:r>
      <w:bookmarkEnd w:id="5"/>
      <w:bookmarkEnd w:id="6"/>
    </w:p>
    <w:p w14:paraId="29E6994A">
      <w:pPr>
        <w:rPr>
          <w:rFonts w:hint="eastAsia" w:ascii="宋体" w:hAnsi="宋体"/>
          <w:highlight w:val="none"/>
        </w:rPr>
      </w:pPr>
    </w:p>
    <w:p w14:paraId="3070E511">
      <w:pPr>
        <w:spacing w:line="360" w:lineRule="auto"/>
        <w:jc w:val="center"/>
        <w:rPr>
          <w:rFonts w:hint="eastAsia" w:ascii="宋体" w:hAnsi="宋体"/>
          <w:b/>
          <w:sz w:val="44"/>
          <w:szCs w:val="44"/>
          <w:highlight w:val="none"/>
          <w:lang w:eastAsia="zh-CN"/>
        </w:rPr>
      </w:pPr>
      <w:r>
        <w:rPr>
          <w:rFonts w:hint="eastAsia" w:ascii="宋体" w:hAnsi="宋体"/>
          <w:b/>
          <w:sz w:val="44"/>
          <w:szCs w:val="44"/>
          <w:highlight w:val="none"/>
          <w:lang w:eastAsia="zh-CN"/>
        </w:rPr>
        <w:t>沪滇协作香格里拉市人民医院粪便工作站、儿童肺功能仪等设备采购项目</w:t>
      </w:r>
    </w:p>
    <w:p w14:paraId="25A2FD9A">
      <w:pPr>
        <w:spacing w:line="360" w:lineRule="auto"/>
        <w:jc w:val="center"/>
        <w:rPr>
          <w:rFonts w:hint="eastAsia" w:ascii="宋体" w:hAnsi="宋体"/>
          <w:sz w:val="28"/>
          <w:szCs w:val="28"/>
          <w:highlight w:val="none"/>
        </w:rPr>
      </w:pPr>
      <w:r>
        <w:rPr>
          <w:rFonts w:hint="eastAsia" w:ascii="宋体" w:hAnsi="宋体"/>
          <w:b/>
          <w:sz w:val="36"/>
          <w:szCs w:val="36"/>
          <w:highlight w:val="none"/>
        </w:rPr>
        <w:t>招标公告</w:t>
      </w:r>
    </w:p>
    <w:p w14:paraId="4F0F30F1">
      <w:pPr>
        <w:keepNext w:val="0"/>
        <w:keepLines w:val="0"/>
        <w:pageBreakBefore w:val="0"/>
        <w:widowControl w:val="0"/>
        <w:suppressLineNumbers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sz w:val="24"/>
          <w:szCs w:val="24"/>
          <w:lang w:val="en-US"/>
        </w:rPr>
      </w:pPr>
      <w:bookmarkStart w:id="7" w:name="_Toc29108"/>
      <w:bookmarkEnd w:id="7"/>
      <w:bookmarkStart w:id="8" w:name="_Toc32031"/>
      <w:bookmarkEnd w:id="8"/>
      <w:r>
        <w:rPr>
          <w:rFonts w:hint="eastAsia" w:ascii="宋体" w:hAnsi="宋体" w:eastAsia="宋体" w:cs="宋体"/>
          <w:i w:val="0"/>
          <w:iCs w:val="0"/>
          <w:kern w:val="2"/>
          <w:sz w:val="24"/>
          <w:szCs w:val="24"/>
          <w:lang w:val="en-US" w:eastAsia="zh-CN" w:bidi="ar"/>
        </w:rPr>
        <w:t>项目概况</w:t>
      </w:r>
    </w:p>
    <w:p w14:paraId="66747BA7">
      <w:pPr>
        <w:keepNext w:val="0"/>
        <w:keepLines w:val="0"/>
        <w:pageBreakBefore w:val="0"/>
        <w:widowControl w:val="0"/>
        <w:suppressLineNumbers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宋体" w:hAnsi="宋体" w:eastAsia="宋体" w:cs="宋体"/>
          <w:i w:val="0"/>
          <w:iCs w:val="0"/>
          <w:sz w:val="24"/>
          <w:szCs w:val="24"/>
          <w:highlight w:val="none"/>
          <w:lang w:val="en-US"/>
        </w:rPr>
      </w:pPr>
      <w:r>
        <w:rPr>
          <w:rFonts w:hint="eastAsia" w:ascii="宋体" w:hAnsi="宋体" w:cs="宋体"/>
          <w:i w:val="0"/>
          <w:iCs w:val="0"/>
          <w:kern w:val="2"/>
          <w:sz w:val="24"/>
          <w:szCs w:val="24"/>
          <w:lang w:val="en-US" w:eastAsia="zh-CN" w:bidi="ar"/>
        </w:rPr>
        <w:t>沪滇协作香格里拉市人民医院粪便工作站、儿童肺功能仪等设备采购项目</w:t>
      </w:r>
      <w:r>
        <w:rPr>
          <w:rFonts w:hint="eastAsia" w:ascii="宋体" w:hAnsi="宋体" w:eastAsia="宋体" w:cs="宋体"/>
          <w:i w:val="0"/>
          <w:iCs w:val="0"/>
          <w:kern w:val="2"/>
          <w:sz w:val="24"/>
          <w:szCs w:val="24"/>
          <w:lang w:val="en-US" w:eastAsia="zh-CN" w:bidi="ar"/>
        </w:rPr>
        <w:t>的潜在</w:t>
      </w:r>
      <w:r>
        <w:rPr>
          <w:rFonts w:hint="eastAsia" w:ascii="宋体" w:hAnsi="宋体" w:eastAsia="宋体" w:cs="宋体"/>
          <w:i w:val="0"/>
          <w:iCs w:val="0"/>
          <w:kern w:val="2"/>
          <w:sz w:val="24"/>
          <w:szCs w:val="24"/>
          <w:highlight w:val="none"/>
          <w:lang w:val="en-US" w:eastAsia="zh-CN" w:bidi="ar"/>
        </w:rPr>
        <w:t>投标人应在</w:t>
      </w:r>
      <w:r>
        <w:rPr>
          <w:rFonts w:hint="eastAsia" w:ascii="宋体" w:hAnsi="宋体" w:cs="宋体"/>
          <w:sz w:val="24"/>
          <w:szCs w:val="24"/>
          <w:highlight w:val="none"/>
          <w:u w:val="single"/>
        </w:rPr>
        <w:t>政采云平台（</w:t>
      </w:r>
      <w:r>
        <w:rPr>
          <w:rFonts w:ascii="宋体" w:hAnsi="宋体" w:cs="宋体"/>
          <w:sz w:val="24"/>
          <w:szCs w:val="24"/>
          <w:highlight w:val="none"/>
          <w:u w:val="single"/>
        </w:rPr>
        <w:fldChar w:fldCharType="begin"/>
      </w:r>
      <w:r>
        <w:rPr>
          <w:rFonts w:ascii="宋体" w:hAnsi="宋体" w:cs="宋体"/>
          <w:sz w:val="24"/>
          <w:szCs w:val="24"/>
          <w:highlight w:val="none"/>
          <w:u w:val="single"/>
        </w:rPr>
        <w:instrText xml:space="preserve"> HYPERLINK "</w:instrText>
      </w:r>
      <w:r>
        <w:rPr>
          <w:rFonts w:hint="eastAsia" w:ascii="宋体" w:hAnsi="宋体" w:cs="宋体"/>
          <w:sz w:val="24"/>
          <w:szCs w:val="24"/>
          <w:highlight w:val="none"/>
          <w:u w:val="single"/>
        </w:rPr>
        <w:instrText xml:space="preserve">https://www.zcygov.cn/）获取（下载）</w:instrText>
      </w:r>
      <w:r>
        <w:rPr>
          <w:rFonts w:hint="eastAsia" w:ascii="宋体" w:hAnsi="宋体" w:cs="宋体"/>
          <w:kern w:val="2"/>
          <w:sz w:val="24"/>
          <w:szCs w:val="24"/>
          <w:highlight w:val="none"/>
          <w:u w:val="single"/>
          <w:lang w:bidi="ar"/>
        </w:rPr>
        <w:instrText xml:space="preserve">获取招标文件，并于</w:instrText>
      </w:r>
      <w:r>
        <w:rPr>
          <w:rFonts w:ascii="宋体" w:hAnsi="宋体" w:cs="宋体"/>
          <w:kern w:val="2"/>
          <w:sz w:val="24"/>
          <w:szCs w:val="24"/>
          <w:highlight w:val="none"/>
          <w:u w:val="single"/>
          <w:lang w:bidi="ar"/>
        </w:rPr>
        <w:instrText xml:space="preserve">2024</w:instrText>
      </w:r>
      <w:r>
        <w:rPr>
          <w:rFonts w:hint="eastAsia" w:ascii="宋体" w:hAnsi="宋体" w:cs="宋体"/>
          <w:bCs/>
          <w:kern w:val="2"/>
          <w:sz w:val="24"/>
          <w:szCs w:val="24"/>
          <w:highlight w:val="none"/>
          <w:u w:val="single"/>
          <w:lang w:bidi="ar"/>
        </w:rPr>
        <w:instrText xml:space="preserve">年</w:instrText>
      </w:r>
      <w:r>
        <w:rPr>
          <w:rFonts w:ascii="宋体" w:hAnsi="宋体" w:cs="宋体"/>
          <w:sz w:val="24"/>
          <w:szCs w:val="24"/>
          <w:highlight w:val="none"/>
          <w:u w:val="single"/>
        </w:rPr>
        <w:instrText xml:space="preserve">" </w:instrText>
      </w:r>
      <w:r>
        <w:rPr>
          <w:rFonts w:ascii="宋体" w:hAnsi="宋体" w:cs="宋体"/>
          <w:sz w:val="24"/>
          <w:szCs w:val="24"/>
          <w:highlight w:val="none"/>
          <w:u w:val="single"/>
        </w:rPr>
        <w:fldChar w:fldCharType="separate"/>
      </w:r>
      <w:r>
        <w:rPr>
          <w:rStyle w:val="33"/>
          <w:rFonts w:hint="eastAsia" w:ascii="宋体" w:hAnsi="宋体" w:cs="宋体"/>
          <w:color w:val="auto"/>
          <w:sz w:val="24"/>
          <w:szCs w:val="24"/>
          <w:highlight w:val="none"/>
          <w:u w:val="single"/>
        </w:rPr>
        <w:t>https://www.zcygov.cn/）获取（下载）</w:t>
      </w:r>
      <w:r>
        <w:rPr>
          <w:rStyle w:val="33"/>
          <w:rFonts w:hint="eastAsia" w:ascii="宋体" w:hAnsi="宋体" w:cs="宋体"/>
          <w:color w:val="auto"/>
          <w:kern w:val="2"/>
          <w:sz w:val="24"/>
          <w:szCs w:val="24"/>
          <w:highlight w:val="none"/>
          <w:u w:val="single"/>
          <w:lang w:bidi="ar"/>
        </w:rPr>
        <w:t>获取招标文件，并于</w:t>
      </w:r>
      <w:r>
        <w:rPr>
          <w:rStyle w:val="33"/>
          <w:rFonts w:ascii="宋体" w:hAnsi="宋体" w:cs="宋体"/>
          <w:color w:val="auto"/>
          <w:kern w:val="2"/>
          <w:sz w:val="24"/>
          <w:szCs w:val="24"/>
          <w:highlight w:val="none"/>
          <w:u w:val="single"/>
          <w:lang w:bidi="ar"/>
        </w:rPr>
        <w:t>202</w:t>
      </w:r>
      <w:r>
        <w:rPr>
          <w:rStyle w:val="33"/>
          <w:rFonts w:hint="eastAsia" w:ascii="宋体" w:hAnsi="宋体" w:cs="宋体"/>
          <w:color w:val="auto"/>
          <w:kern w:val="2"/>
          <w:sz w:val="24"/>
          <w:szCs w:val="24"/>
          <w:highlight w:val="none"/>
          <w:u w:val="single"/>
          <w:lang w:val="en-US" w:eastAsia="zh-CN" w:bidi="ar"/>
        </w:rPr>
        <w:t>5</w:t>
      </w:r>
      <w:r>
        <w:rPr>
          <w:rStyle w:val="33"/>
          <w:rFonts w:hint="eastAsia" w:ascii="宋体" w:hAnsi="宋体" w:cs="宋体"/>
          <w:bCs/>
          <w:color w:val="auto"/>
          <w:kern w:val="2"/>
          <w:sz w:val="24"/>
          <w:szCs w:val="24"/>
          <w:highlight w:val="none"/>
          <w:u w:val="single"/>
          <w:lang w:bidi="ar"/>
        </w:rPr>
        <w:t>年</w:t>
      </w:r>
      <w:r>
        <w:rPr>
          <w:rFonts w:ascii="宋体" w:hAnsi="宋体" w:cs="宋体"/>
          <w:sz w:val="24"/>
          <w:szCs w:val="24"/>
          <w:highlight w:val="none"/>
          <w:u w:val="single"/>
        </w:rPr>
        <w:fldChar w:fldCharType="end"/>
      </w:r>
      <w:r>
        <w:rPr>
          <w:rFonts w:hint="eastAsia" w:ascii="宋体" w:hAnsi="宋体" w:cs="宋体"/>
          <w:sz w:val="24"/>
          <w:szCs w:val="24"/>
          <w:highlight w:val="none"/>
          <w:u w:val="single"/>
          <w:lang w:val="en-US" w:eastAsia="zh-CN"/>
        </w:rPr>
        <w:t>7</w:t>
      </w:r>
      <w:r>
        <w:rPr>
          <w:rFonts w:ascii="宋体" w:hAnsi="宋体"/>
          <w:highlight w:val="none"/>
          <w:u w:val="single"/>
        </w:rPr>
        <w:fldChar w:fldCharType="begin"/>
      </w:r>
      <w:r>
        <w:rPr>
          <w:rFonts w:ascii="宋体" w:hAnsi="宋体"/>
          <w:highlight w:val="none"/>
          <w:u w:val="single"/>
        </w:rPr>
        <w:instrText xml:space="preserve"> HYPERLINK "http://ggzy.yn.gov.cn/" \l "/homePag）获取招标文件，并于2023年   月" </w:instrText>
      </w:r>
      <w:r>
        <w:rPr>
          <w:rFonts w:ascii="宋体" w:hAnsi="宋体"/>
          <w:highlight w:val="none"/>
          <w:u w:val="single"/>
        </w:rPr>
        <w:fldChar w:fldCharType="separate"/>
      </w:r>
      <w:r>
        <w:rPr>
          <w:rStyle w:val="33"/>
          <w:rFonts w:hint="eastAsia" w:ascii="宋体" w:hAnsi="宋体" w:cs="宋体"/>
          <w:color w:val="auto"/>
          <w:kern w:val="2"/>
          <w:sz w:val="24"/>
          <w:szCs w:val="24"/>
          <w:highlight w:val="none"/>
          <w:u w:val="single"/>
        </w:rPr>
        <w:t>月</w:t>
      </w:r>
      <w:r>
        <w:rPr>
          <w:rStyle w:val="33"/>
          <w:rFonts w:hint="eastAsia" w:ascii="宋体" w:hAnsi="宋体" w:cs="宋体"/>
          <w:color w:val="auto"/>
          <w:kern w:val="2"/>
          <w:sz w:val="24"/>
          <w:szCs w:val="24"/>
          <w:highlight w:val="none"/>
          <w:u w:val="single"/>
        </w:rPr>
        <w:fldChar w:fldCharType="end"/>
      </w:r>
      <w:r>
        <w:rPr>
          <w:rStyle w:val="33"/>
          <w:rFonts w:hint="eastAsia" w:ascii="宋体" w:hAnsi="宋体" w:cs="宋体"/>
          <w:color w:val="auto"/>
          <w:kern w:val="2"/>
          <w:sz w:val="24"/>
          <w:szCs w:val="24"/>
          <w:highlight w:val="none"/>
          <w:u w:val="single"/>
          <w:lang w:val="en-US" w:eastAsia="zh-CN"/>
        </w:rPr>
        <w:t>10</w:t>
      </w:r>
      <w:r>
        <w:rPr>
          <w:rFonts w:hint="eastAsia" w:ascii="宋体" w:hAnsi="宋体" w:cs="宋体"/>
          <w:kern w:val="2"/>
          <w:sz w:val="24"/>
          <w:szCs w:val="24"/>
          <w:highlight w:val="none"/>
          <w:u w:val="single"/>
        </w:rPr>
        <w:t>日</w:t>
      </w:r>
      <w:r>
        <w:rPr>
          <w:rFonts w:hint="eastAsia" w:ascii="宋体" w:hAnsi="宋体" w:cs="宋体"/>
          <w:kern w:val="2"/>
          <w:sz w:val="24"/>
          <w:szCs w:val="24"/>
          <w:highlight w:val="none"/>
          <w:u w:val="single"/>
          <w:lang w:val="en-US" w:eastAsia="zh-CN"/>
        </w:rPr>
        <w:t>14</w:t>
      </w:r>
      <w:r>
        <w:rPr>
          <w:rFonts w:hint="eastAsia" w:ascii="宋体" w:hAnsi="宋体" w:cs="宋体"/>
          <w:kern w:val="2"/>
          <w:sz w:val="24"/>
          <w:szCs w:val="24"/>
          <w:highlight w:val="none"/>
          <w:u w:val="single"/>
        </w:rPr>
        <w:t>点</w:t>
      </w:r>
      <w:r>
        <w:rPr>
          <w:rFonts w:hint="eastAsia" w:ascii="宋体" w:hAnsi="宋体" w:cs="宋体"/>
          <w:kern w:val="2"/>
          <w:sz w:val="24"/>
          <w:szCs w:val="24"/>
          <w:highlight w:val="none"/>
          <w:u w:val="single"/>
          <w:lang w:val="en-US" w:eastAsia="zh-CN"/>
        </w:rPr>
        <w:t>3</w:t>
      </w:r>
      <w:r>
        <w:rPr>
          <w:rFonts w:hint="eastAsia" w:ascii="宋体" w:hAnsi="宋体" w:cs="宋体"/>
          <w:kern w:val="2"/>
          <w:sz w:val="24"/>
          <w:szCs w:val="24"/>
          <w:highlight w:val="none"/>
          <w:u w:val="single"/>
        </w:rPr>
        <w:t>0分</w:t>
      </w:r>
      <w:r>
        <w:rPr>
          <w:rFonts w:hint="eastAsia" w:ascii="宋体" w:hAnsi="宋体" w:cs="宋体"/>
          <w:bCs/>
          <w:kern w:val="2"/>
          <w:sz w:val="24"/>
          <w:szCs w:val="24"/>
          <w:highlight w:val="none"/>
          <w:u w:val="single"/>
        </w:rPr>
        <w:t>（</w:t>
      </w:r>
      <w:r>
        <w:rPr>
          <w:rFonts w:hint="eastAsia" w:ascii="宋体" w:hAnsi="宋体" w:cs="宋体"/>
          <w:bCs/>
          <w:kern w:val="2"/>
          <w:sz w:val="24"/>
          <w:szCs w:val="24"/>
          <w:highlight w:val="none"/>
        </w:rPr>
        <w:t>北京时间）前递交投标文件</w:t>
      </w:r>
      <w:r>
        <w:rPr>
          <w:rFonts w:hint="eastAsia" w:ascii="宋体" w:hAnsi="宋体" w:cs="宋体"/>
          <w:kern w:val="2"/>
          <w:sz w:val="24"/>
          <w:szCs w:val="24"/>
          <w:highlight w:val="none"/>
        </w:rPr>
        <w:t>。</w:t>
      </w:r>
    </w:p>
    <w:p w14:paraId="4E283D48">
      <w:pPr>
        <w:pStyle w:val="11"/>
        <w:pageBreakBefore w:val="0"/>
        <w:kinsoku/>
        <w:wordWrap/>
        <w:overflowPunct/>
        <w:topLinePunct w:val="0"/>
        <w:autoSpaceDE/>
        <w:autoSpaceDN/>
        <w:bidi w:val="0"/>
        <w:adjustRightInd/>
        <w:snapToGrid/>
        <w:spacing w:line="360" w:lineRule="auto"/>
        <w:textAlignment w:val="auto"/>
        <w:rPr>
          <w:rFonts w:hint="eastAsia"/>
          <w:sz w:val="24"/>
          <w:szCs w:val="24"/>
          <w:highlight w:val="none"/>
        </w:rPr>
      </w:pPr>
    </w:p>
    <w:p w14:paraId="34EC9236">
      <w:pPr>
        <w:pStyle w:val="3"/>
        <w:pageBreakBefore w:val="0"/>
        <w:widowControl/>
        <w:kinsoku/>
        <w:wordWrap/>
        <w:overflowPunct/>
        <w:topLinePunct w:val="0"/>
        <w:autoSpaceDE/>
        <w:autoSpaceDN/>
        <w:bidi w:val="0"/>
        <w:adjustRightInd/>
        <w:snapToGrid/>
        <w:spacing w:before="0" w:after="0" w:line="360" w:lineRule="auto"/>
        <w:textAlignment w:val="auto"/>
        <w:rPr>
          <w:rFonts w:hint="eastAsia"/>
          <w:color w:val="auto"/>
          <w:highlight w:val="none"/>
          <w:lang w:val="en-US"/>
        </w:rPr>
      </w:pPr>
      <w:bookmarkStart w:id="9" w:name="_Toc28359079"/>
      <w:bookmarkStart w:id="10" w:name="_Toc35393790"/>
      <w:bookmarkStart w:id="11" w:name="_Toc35393621"/>
      <w:bookmarkStart w:id="12" w:name="_Toc28359002"/>
      <w:bookmarkStart w:id="13" w:name="_Toc23453"/>
      <w:bookmarkStart w:id="14" w:name="_Toc23839"/>
      <w:bookmarkStart w:id="15" w:name="_Hlk24379207"/>
      <w:r>
        <w:rPr>
          <w:rFonts w:hint="eastAsia" w:ascii="宋体" w:hAnsi="宋体" w:eastAsia="宋体" w:cs="宋体"/>
          <w:b/>
          <w:bCs w:val="0"/>
          <w:i w:val="0"/>
          <w:iCs w:val="0"/>
          <w:color w:val="auto"/>
          <w:sz w:val="24"/>
          <w:szCs w:val="24"/>
          <w:highlight w:val="none"/>
          <w:lang w:eastAsia="zh-CN"/>
        </w:rPr>
        <w:t>一、项目基本情况</w:t>
      </w:r>
      <w:bookmarkEnd w:id="9"/>
      <w:bookmarkEnd w:id="10"/>
      <w:bookmarkEnd w:id="11"/>
      <w:bookmarkEnd w:id="12"/>
      <w:bookmarkEnd w:id="13"/>
      <w:bookmarkEnd w:id="14"/>
    </w:p>
    <w:p w14:paraId="547D2CCC">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olor w:val="auto"/>
          <w:sz w:val="24"/>
          <w:szCs w:val="24"/>
          <w:highlight w:val="none"/>
          <w:lang w:val="en-US"/>
        </w:rPr>
      </w:pPr>
      <w:r>
        <w:rPr>
          <w:rFonts w:hint="eastAsia" w:ascii="宋体" w:hAnsi="宋体" w:eastAsia="宋体" w:cs="宋体"/>
          <w:i w:val="0"/>
          <w:iCs w:val="0"/>
          <w:color w:val="auto"/>
          <w:kern w:val="2"/>
          <w:sz w:val="24"/>
          <w:szCs w:val="24"/>
          <w:highlight w:val="none"/>
          <w:lang w:val="en-US" w:eastAsia="zh-CN" w:bidi="ar"/>
        </w:rPr>
        <w:t>项目编号：</w:t>
      </w:r>
      <w:r>
        <w:rPr>
          <w:rFonts w:hint="eastAsia" w:ascii="宋体" w:hAnsi="宋体" w:cs="宋体"/>
          <w:color w:val="auto"/>
          <w:kern w:val="2"/>
          <w:sz w:val="24"/>
          <w:szCs w:val="24"/>
          <w:highlight w:val="none"/>
          <w:lang w:eastAsia="zh-CN" w:bidi="ar"/>
        </w:rPr>
        <w:t xml:space="preserve">DQZC2025-G1-00161-YNYZ-0018 </w:t>
      </w:r>
    </w:p>
    <w:p w14:paraId="7BA7EBF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olor w:val="auto"/>
          <w:sz w:val="24"/>
          <w:szCs w:val="24"/>
          <w:highlight w:val="none"/>
          <w:lang w:val="en-US"/>
        </w:rPr>
      </w:pPr>
      <w:r>
        <w:rPr>
          <w:rFonts w:hint="eastAsia" w:ascii="宋体" w:hAnsi="宋体" w:eastAsia="宋体" w:cs="宋体"/>
          <w:i w:val="0"/>
          <w:iCs w:val="0"/>
          <w:color w:val="auto"/>
          <w:kern w:val="2"/>
          <w:sz w:val="24"/>
          <w:szCs w:val="24"/>
          <w:highlight w:val="none"/>
          <w:lang w:val="en-US" w:eastAsia="zh-CN" w:bidi="ar"/>
        </w:rPr>
        <w:t>项目名称：</w:t>
      </w:r>
      <w:r>
        <w:rPr>
          <w:rFonts w:hint="eastAsia" w:ascii="宋体" w:hAnsi="宋体" w:cs="宋体"/>
          <w:i w:val="0"/>
          <w:iCs w:val="0"/>
          <w:color w:val="auto"/>
          <w:kern w:val="2"/>
          <w:sz w:val="24"/>
          <w:szCs w:val="24"/>
          <w:highlight w:val="none"/>
          <w:lang w:val="en-US" w:eastAsia="zh-CN" w:bidi="ar"/>
        </w:rPr>
        <w:t>沪滇协作香格里拉市人民医院粪便工作站、儿童肺功能仪等设备采购项目</w:t>
      </w:r>
    </w:p>
    <w:bookmarkEnd w:id="15"/>
    <w:p w14:paraId="39DB6BF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olor w:val="auto"/>
          <w:sz w:val="24"/>
          <w:szCs w:val="24"/>
          <w:highlight w:val="none"/>
          <w:lang w:val="en-US"/>
        </w:rPr>
      </w:pPr>
      <w:r>
        <w:rPr>
          <w:rFonts w:hint="eastAsia" w:ascii="宋体" w:hAnsi="宋体" w:eastAsia="宋体" w:cs="宋体"/>
          <w:i w:val="0"/>
          <w:iCs w:val="0"/>
          <w:color w:val="auto"/>
          <w:kern w:val="2"/>
          <w:sz w:val="24"/>
          <w:szCs w:val="24"/>
          <w:highlight w:val="none"/>
          <w:lang w:val="en-US" w:eastAsia="zh-CN" w:bidi="ar"/>
        </w:rPr>
        <w:t>预算金额：</w:t>
      </w:r>
      <w:r>
        <w:rPr>
          <w:rFonts w:hint="eastAsia" w:ascii="宋体" w:hAnsi="宋体" w:cs="宋体"/>
          <w:i w:val="0"/>
          <w:iCs w:val="0"/>
          <w:color w:val="auto"/>
          <w:kern w:val="2"/>
          <w:sz w:val="24"/>
          <w:szCs w:val="24"/>
          <w:highlight w:val="none"/>
          <w:lang w:val="en-US" w:eastAsia="zh-CN" w:bidi="ar"/>
        </w:rPr>
        <w:t>108.4</w:t>
      </w:r>
      <w:r>
        <w:rPr>
          <w:rFonts w:hint="eastAsia" w:ascii="宋体" w:hAnsi="宋体" w:eastAsia="宋体" w:cs="宋体"/>
          <w:i w:val="0"/>
          <w:iCs w:val="0"/>
          <w:color w:val="auto"/>
          <w:kern w:val="2"/>
          <w:sz w:val="24"/>
          <w:szCs w:val="24"/>
          <w:highlight w:val="none"/>
          <w:lang w:val="en-US" w:eastAsia="zh-CN" w:bidi="ar"/>
        </w:rPr>
        <w:t>万元</w:t>
      </w:r>
    </w:p>
    <w:p w14:paraId="73EFC76B">
      <w:pPr>
        <w:widowControl w:val="0"/>
        <w:spacing w:line="360" w:lineRule="auto"/>
        <w:ind w:firstLine="480" w:firstLineChars="200"/>
        <w:jc w:val="both"/>
        <w:rPr>
          <w:rFonts w:hint="eastAsia" w:ascii="宋体" w:hAnsi="宋体" w:cs="宋体"/>
          <w:color w:val="auto"/>
          <w:kern w:val="2"/>
          <w:sz w:val="24"/>
          <w:szCs w:val="24"/>
          <w:highlight w:val="none"/>
          <w:lang w:bidi="ar"/>
        </w:rPr>
      </w:pPr>
      <w:r>
        <w:rPr>
          <w:rFonts w:hint="eastAsia" w:ascii="宋体" w:hAnsi="宋体" w:eastAsia="宋体" w:cs="宋体"/>
          <w:i w:val="0"/>
          <w:iCs w:val="0"/>
          <w:color w:val="auto"/>
          <w:kern w:val="2"/>
          <w:sz w:val="24"/>
          <w:szCs w:val="24"/>
          <w:highlight w:val="none"/>
          <w:lang w:val="en-US" w:eastAsia="zh-CN" w:bidi="ar"/>
        </w:rPr>
        <w:t>采购需求：</w:t>
      </w:r>
    </w:p>
    <w:tbl>
      <w:tblPr>
        <w:tblStyle w:val="2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6"/>
        <w:gridCol w:w="4254"/>
        <w:gridCol w:w="1527"/>
        <w:gridCol w:w="1258"/>
        <w:gridCol w:w="1749"/>
      </w:tblGrid>
      <w:tr w14:paraId="799B2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86" w:type="pct"/>
            <w:noWrap w:val="0"/>
            <w:vAlign w:val="center"/>
          </w:tcPr>
          <w:p w14:paraId="30012468">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b/>
                <w:bCs/>
                <w:kern w:val="0"/>
                <w:sz w:val="24"/>
                <w:szCs w:val="24"/>
                <w:vertAlign w:val="baseline"/>
                <w:lang w:val="en-US" w:eastAsia="zh-CN" w:bidi="ar-SA"/>
              </w:rPr>
            </w:pPr>
            <w:r>
              <w:rPr>
                <w:rFonts w:hint="eastAsia" w:ascii="宋体" w:hAnsi="宋体" w:eastAsia="Times New Roman" w:cs="宋体"/>
                <w:b/>
                <w:bCs/>
                <w:kern w:val="0"/>
                <w:sz w:val="24"/>
                <w:szCs w:val="24"/>
                <w:vertAlign w:val="baseline"/>
                <w:lang w:val="en-US" w:eastAsia="zh-CN" w:bidi="ar-SA"/>
              </w:rPr>
              <w:t>序号</w:t>
            </w:r>
          </w:p>
        </w:tc>
        <w:tc>
          <w:tcPr>
            <w:tcW w:w="2184" w:type="pct"/>
            <w:noWrap w:val="0"/>
            <w:vAlign w:val="center"/>
          </w:tcPr>
          <w:p w14:paraId="0AADF70A">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b/>
                <w:bCs/>
                <w:kern w:val="0"/>
                <w:sz w:val="24"/>
                <w:szCs w:val="24"/>
                <w:vertAlign w:val="baseline"/>
                <w:lang w:val="en-US" w:eastAsia="zh-CN" w:bidi="ar-SA"/>
              </w:rPr>
            </w:pPr>
            <w:r>
              <w:rPr>
                <w:rFonts w:hint="eastAsia" w:ascii="宋体" w:hAnsi="宋体" w:eastAsia="Times New Roman" w:cs="宋体"/>
                <w:b/>
                <w:bCs/>
                <w:kern w:val="0"/>
                <w:sz w:val="24"/>
                <w:szCs w:val="24"/>
                <w:vertAlign w:val="baseline"/>
                <w:lang w:val="en-US" w:eastAsia="zh-CN" w:bidi="ar-SA"/>
              </w:rPr>
              <w:t>设备名称</w:t>
            </w:r>
          </w:p>
        </w:tc>
        <w:tc>
          <w:tcPr>
            <w:tcW w:w="784" w:type="pct"/>
            <w:noWrap w:val="0"/>
            <w:vAlign w:val="center"/>
          </w:tcPr>
          <w:p w14:paraId="12D3EB4C">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b/>
                <w:bCs/>
                <w:kern w:val="0"/>
                <w:sz w:val="24"/>
                <w:szCs w:val="24"/>
                <w:vertAlign w:val="baseline"/>
                <w:lang w:val="en-US" w:eastAsia="zh-CN" w:bidi="ar-SA"/>
              </w:rPr>
            </w:pPr>
            <w:r>
              <w:rPr>
                <w:rFonts w:hint="eastAsia" w:ascii="宋体" w:hAnsi="宋体" w:eastAsia="Times New Roman" w:cs="宋体"/>
                <w:b/>
                <w:bCs/>
                <w:kern w:val="0"/>
                <w:sz w:val="24"/>
                <w:szCs w:val="24"/>
                <w:vertAlign w:val="baseline"/>
                <w:lang w:val="en-US" w:eastAsia="zh-CN" w:bidi="ar-SA"/>
              </w:rPr>
              <w:t>单位</w:t>
            </w:r>
          </w:p>
        </w:tc>
        <w:tc>
          <w:tcPr>
            <w:tcW w:w="646" w:type="pct"/>
            <w:noWrap w:val="0"/>
            <w:vAlign w:val="center"/>
          </w:tcPr>
          <w:p w14:paraId="7D03C178">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b/>
                <w:bCs/>
                <w:kern w:val="0"/>
                <w:sz w:val="24"/>
                <w:szCs w:val="24"/>
                <w:vertAlign w:val="baseline"/>
                <w:lang w:val="en-US" w:eastAsia="zh-CN" w:bidi="ar-SA"/>
              </w:rPr>
            </w:pPr>
            <w:r>
              <w:rPr>
                <w:rFonts w:hint="eastAsia" w:ascii="宋体" w:hAnsi="宋体" w:eastAsia="Times New Roman" w:cs="宋体"/>
                <w:b/>
                <w:bCs/>
                <w:kern w:val="0"/>
                <w:sz w:val="24"/>
                <w:szCs w:val="24"/>
                <w:vertAlign w:val="baseline"/>
                <w:lang w:val="en-US" w:eastAsia="zh-CN" w:bidi="ar-SA"/>
              </w:rPr>
              <w:t>数量</w:t>
            </w:r>
          </w:p>
        </w:tc>
        <w:tc>
          <w:tcPr>
            <w:tcW w:w="898" w:type="pct"/>
            <w:noWrap w:val="0"/>
            <w:vAlign w:val="center"/>
          </w:tcPr>
          <w:p w14:paraId="35F27893">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b/>
                <w:bCs/>
                <w:kern w:val="0"/>
                <w:sz w:val="24"/>
                <w:szCs w:val="24"/>
                <w:vertAlign w:val="baseline"/>
                <w:lang w:val="en-US" w:eastAsia="zh-CN" w:bidi="ar-SA"/>
              </w:rPr>
            </w:pPr>
            <w:r>
              <w:rPr>
                <w:rFonts w:hint="eastAsia" w:ascii="宋体" w:hAnsi="宋体" w:eastAsia="Times New Roman" w:cs="宋体"/>
                <w:b/>
                <w:bCs/>
                <w:kern w:val="0"/>
                <w:sz w:val="24"/>
                <w:szCs w:val="24"/>
                <w:vertAlign w:val="baseline"/>
                <w:lang w:val="en-US" w:eastAsia="zh-CN" w:bidi="ar-SA"/>
              </w:rPr>
              <w:t>单价（万元）</w:t>
            </w:r>
          </w:p>
        </w:tc>
      </w:tr>
      <w:tr w14:paraId="74B77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946" w:type="dxa"/>
            <w:noWrap w:val="0"/>
            <w:vAlign w:val="center"/>
          </w:tcPr>
          <w:p w14:paraId="33B0F867">
            <w:pPr>
              <w:pStyle w:val="54"/>
              <w:jc w:val="center"/>
              <w:rPr>
                <w:rFonts w:hint="default" w:ascii="宋体" w:hAnsi="宋体" w:eastAsia="宋体" w:cs="宋体"/>
                <w:kern w:val="0"/>
                <w:sz w:val="24"/>
                <w:szCs w:val="24"/>
                <w:vertAlign w:val="baseline"/>
                <w:lang w:val="en-US" w:eastAsia="zh-CN" w:bidi="ar-SA"/>
              </w:rPr>
            </w:pPr>
            <w:r>
              <w:rPr>
                <w:rFonts w:hint="eastAsia" w:ascii="宋体" w:hAnsi="宋体" w:eastAsia="宋体"/>
                <w:sz w:val="28"/>
                <w:szCs w:val="28"/>
              </w:rPr>
              <w:t>1</w:t>
            </w:r>
          </w:p>
        </w:tc>
        <w:tc>
          <w:tcPr>
            <w:tcW w:w="4254" w:type="dxa"/>
            <w:noWrap w:val="0"/>
            <w:vAlign w:val="center"/>
          </w:tcPr>
          <w:p w14:paraId="39FED0C1">
            <w:pPr>
              <w:pStyle w:val="54"/>
              <w:jc w:val="center"/>
              <w:rPr>
                <w:rFonts w:hint="eastAsia" w:ascii="宋体" w:hAnsi="宋体" w:eastAsia="宋体" w:cs="宋体"/>
                <w:kern w:val="0"/>
                <w:sz w:val="24"/>
                <w:szCs w:val="24"/>
                <w:vertAlign w:val="baseline"/>
                <w:lang w:val="en-US" w:eastAsia="zh-CN" w:bidi="ar-SA"/>
              </w:rPr>
            </w:pPr>
            <w:r>
              <w:rPr>
                <w:rFonts w:hint="eastAsia" w:ascii="宋体" w:hAnsi="宋体" w:eastAsia="宋体"/>
                <w:sz w:val="28"/>
                <w:szCs w:val="28"/>
              </w:rPr>
              <w:t>粪便工作站</w:t>
            </w:r>
          </w:p>
        </w:tc>
        <w:tc>
          <w:tcPr>
            <w:tcW w:w="1527" w:type="dxa"/>
            <w:noWrap w:val="0"/>
            <w:vAlign w:val="center"/>
          </w:tcPr>
          <w:p w14:paraId="6F4E95C9">
            <w:pPr>
              <w:pStyle w:val="54"/>
              <w:jc w:val="center"/>
              <w:rPr>
                <w:rFonts w:hint="default" w:ascii="宋体" w:hAnsi="宋体" w:eastAsia="宋体" w:cs="宋体"/>
                <w:kern w:val="0"/>
                <w:sz w:val="24"/>
                <w:szCs w:val="24"/>
                <w:vertAlign w:val="baseline"/>
                <w:lang w:val="en-US" w:eastAsia="zh-CN" w:bidi="ar-SA"/>
              </w:rPr>
            </w:pPr>
            <w:r>
              <w:rPr>
                <w:rFonts w:hint="eastAsia" w:ascii="宋体" w:hAnsi="宋体" w:eastAsia="宋体"/>
                <w:sz w:val="28"/>
                <w:szCs w:val="28"/>
              </w:rPr>
              <w:t>套</w:t>
            </w:r>
          </w:p>
        </w:tc>
        <w:tc>
          <w:tcPr>
            <w:tcW w:w="1258" w:type="dxa"/>
            <w:noWrap w:val="0"/>
            <w:vAlign w:val="center"/>
          </w:tcPr>
          <w:p w14:paraId="1BC8172F">
            <w:pPr>
              <w:pStyle w:val="54"/>
              <w:jc w:val="center"/>
              <w:rPr>
                <w:rFonts w:hint="default" w:ascii="宋体" w:hAnsi="宋体" w:eastAsia="宋体" w:cs="宋体"/>
                <w:kern w:val="0"/>
                <w:sz w:val="24"/>
                <w:szCs w:val="24"/>
                <w:vertAlign w:val="baseline"/>
                <w:lang w:val="en-US" w:eastAsia="zh-CN" w:bidi="ar-SA"/>
              </w:rPr>
            </w:pPr>
            <w:r>
              <w:rPr>
                <w:rFonts w:hint="eastAsia" w:ascii="宋体" w:hAnsi="宋体" w:eastAsia="宋体"/>
                <w:sz w:val="28"/>
                <w:szCs w:val="28"/>
              </w:rPr>
              <w:t>1</w:t>
            </w:r>
          </w:p>
        </w:tc>
        <w:tc>
          <w:tcPr>
            <w:tcW w:w="1750" w:type="dxa"/>
            <w:noWrap w:val="0"/>
            <w:vAlign w:val="center"/>
          </w:tcPr>
          <w:p w14:paraId="327B2D9F">
            <w:pPr>
              <w:pStyle w:val="54"/>
              <w:jc w:val="center"/>
              <w:rPr>
                <w:rFonts w:hint="default" w:ascii="宋体" w:hAnsi="宋体" w:eastAsia="宋体" w:cs="宋体"/>
                <w:kern w:val="0"/>
                <w:sz w:val="24"/>
                <w:szCs w:val="24"/>
                <w:vertAlign w:val="baseline"/>
                <w:lang w:val="en-US" w:eastAsia="zh-CN" w:bidi="ar-SA"/>
              </w:rPr>
            </w:pPr>
            <w:r>
              <w:rPr>
                <w:rFonts w:hint="eastAsia" w:ascii="宋体" w:hAnsi="宋体" w:eastAsia="宋体" w:cs="宋体"/>
                <w:kern w:val="0"/>
                <w:sz w:val="24"/>
                <w:szCs w:val="24"/>
                <w:vertAlign w:val="baseline"/>
                <w:lang w:val="en-US" w:eastAsia="zh-CN" w:bidi="ar-SA"/>
              </w:rPr>
              <w:t>15</w:t>
            </w:r>
          </w:p>
        </w:tc>
      </w:tr>
      <w:tr w14:paraId="7B66B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noWrap w:val="0"/>
            <w:vAlign w:val="center"/>
          </w:tcPr>
          <w:p w14:paraId="51348027">
            <w:pPr>
              <w:pStyle w:val="54"/>
              <w:jc w:val="center"/>
              <w:rPr>
                <w:rFonts w:hint="default" w:ascii="宋体" w:hAnsi="宋体" w:eastAsia="宋体" w:cs="宋体"/>
                <w:kern w:val="0"/>
                <w:sz w:val="24"/>
                <w:szCs w:val="24"/>
                <w:vertAlign w:val="baseline"/>
                <w:lang w:val="en-US" w:eastAsia="zh-CN" w:bidi="ar-SA"/>
              </w:rPr>
            </w:pPr>
            <w:r>
              <w:rPr>
                <w:rFonts w:hint="eastAsia" w:ascii="宋体" w:hAnsi="宋体" w:eastAsia="宋体"/>
                <w:sz w:val="28"/>
                <w:szCs w:val="28"/>
              </w:rPr>
              <w:t>2</w:t>
            </w:r>
          </w:p>
        </w:tc>
        <w:tc>
          <w:tcPr>
            <w:tcW w:w="4254" w:type="dxa"/>
            <w:noWrap w:val="0"/>
            <w:vAlign w:val="center"/>
          </w:tcPr>
          <w:p w14:paraId="2A3B1870">
            <w:pPr>
              <w:pStyle w:val="54"/>
              <w:jc w:val="center"/>
              <w:rPr>
                <w:rFonts w:hint="eastAsia" w:ascii="宋体" w:hAnsi="宋体" w:eastAsia="宋体" w:cs="宋体"/>
                <w:kern w:val="0"/>
                <w:sz w:val="24"/>
                <w:szCs w:val="24"/>
                <w:vertAlign w:val="baseline"/>
                <w:lang w:val="en-US" w:eastAsia="zh-CN" w:bidi="ar-SA"/>
              </w:rPr>
            </w:pPr>
            <w:r>
              <w:rPr>
                <w:rFonts w:hint="eastAsia" w:ascii="宋体" w:hAnsi="宋体" w:eastAsia="宋体"/>
                <w:sz w:val="28"/>
                <w:szCs w:val="28"/>
              </w:rPr>
              <w:t>儿童肺功能仪</w:t>
            </w:r>
          </w:p>
        </w:tc>
        <w:tc>
          <w:tcPr>
            <w:tcW w:w="1527" w:type="dxa"/>
            <w:noWrap w:val="0"/>
            <w:vAlign w:val="center"/>
          </w:tcPr>
          <w:p w14:paraId="4CE36B0D">
            <w:pPr>
              <w:pStyle w:val="54"/>
              <w:jc w:val="center"/>
              <w:rPr>
                <w:rFonts w:hint="default" w:ascii="宋体" w:hAnsi="宋体" w:eastAsia="宋体" w:cs="宋体"/>
                <w:kern w:val="0"/>
                <w:sz w:val="24"/>
                <w:szCs w:val="24"/>
                <w:vertAlign w:val="baseline"/>
                <w:lang w:val="en-US" w:eastAsia="zh-CN" w:bidi="ar-SA"/>
              </w:rPr>
            </w:pPr>
            <w:r>
              <w:rPr>
                <w:rFonts w:hint="eastAsia" w:ascii="宋体" w:hAnsi="宋体" w:eastAsia="宋体"/>
                <w:sz w:val="28"/>
                <w:szCs w:val="28"/>
              </w:rPr>
              <w:t>台</w:t>
            </w:r>
          </w:p>
        </w:tc>
        <w:tc>
          <w:tcPr>
            <w:tcW w:w="1258" w:type="dxa"/>
            <w:noWrap w:val="0"/>
            <w:vAlign w:val="center"/>
          </w:tcPr>
          <w:p w14:paraId="44011718">
            <w:pPr>
              <w:pStyle w:val="54"/>
              <w:jc w:val="center"/>
              <w:rPr>
                <w:rFonts w:hint="default" w:ascii="宋体" w:hAnsi="宋体" w:eastAsia="宋体" w:cs="宋体"/>
                <w:kern w:val="0"/>
                <w:sz w:val="24"/>
                <w:szCs w:val="24"/>
                <w:vertAlign w:val="baseline"/>
                <w:lang w:val="en-US" w:eastAsia="zh-CN" w:bidi="ar-SA"/>
              </w:rPr>
            </w:pPr>
            <w:r>
              <w:rPr>
                <w:rFonts w:hint="eastAsia" w:ascii="宋体" w:hAnsi="宋体" w:eastAsia="宋体"/>
                <w:sz w:val="28"/>
                <w:szCs w:val="28"/>
              </w:rPr>
              <w:t>1</w:t>
            </w:r>
          </w:p>
        </w:tc>
        <w:tc>
          <w:tcPr>
            <w:tcW w:w="1750" w:type="dxa"/>
            <w:noWrap w:val="0"/>
            <w:vAlign w:val="center"/>
          </w:tcPr>
          <w:p w14:paraId="46F9B342">
            <w:pPr>
              <w:pStyle w:val="54"/>
              <w:jc w:val="center"/>
              <w:rPr>
                <w:rFonts w:hint="default" w:ascii="宋体" w:hAnsi="宋体" w:eastAsia="宋体" w:cs="宋体"/>
                <w:kern w:val="0"/>
                <w:sz w:val="24"/>
                <w:szCs w:val="24"/>
                <w:vertAlign w:val="baseline"/>
                <w:lang w:val="en-US" w:eastAsia="zh-CN" w:bidi="ar-SA"/>
              </w:rPr>
            </w:pPr>
            <w:r>
              <w:rPr>
                <w:rFonts w:hint="eastAsia" w:ascii="宋体" w:hAnsi="宋体" w:eastAsia="宋体" w:cs="宋体"/>
                <w:kern w:val="0"/>
                <w:sz w:val="24"/>
                <w:szCs w:val="24"/>
                <w:vertAlign w:val="baseline"/>
                <w:lang w:val="en-US" w:eastAsia="zh-CN" w:bidi="ar-SA"/>
              </w:rPr>
              <w:t>8.6</w:t>
            </w:r>
          </w:p>
        </w:tc>
      </w:tr>
      <w:tr w14:paraId="54245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noWrap w:val="0"/>
            <w:vAlign w:val="center"/>
          </w:tcPr>
          <w:p w14:paraId="50CBA291">
            <w:pPr>
              <w:pStyle w:val="54"/>
              <w:jc w:val="center"/>
              <w:rPr>
                <w:rFonts w:hint="default" w:ascii="宋体" w:hAnsi="宋体" w:eastAsia="Times New Roman" w:cs="宋体"/>
                <w:kern w:val="0"/>
                <w:sz w:val="24"/>
                <w:szCs w:val="24"/>
                <w:vertAlign w:val="baseline"/>
                <w:lang w:val="en-US" w:eastAsia="zh-CN" w:bidi="ar-SA"/>
              </w:rPr>
            </w:pPr>
            <w:r>
              <w:rPr>
                <w:rFonts w:hint="eastAsia" w:ascii="宋体" w:hAnsi="宋体" w:eastAsia="宋体"/>
                <w:sz w:val="28"/>
                <w:szCs w:val="28"/>
              </w:rPr>
              <w:t>3</w:t>
            </w:r>
          </w:p>
        </w:tc>
        <w:tc>
          <w:tcPr>
            <w:tcW w:w="4254" w:type="dxa"/>
            <w:noWrap w:val="0"/>
            <w:vAlign w:val="center"/>
          </w:tcPr>
          <w:p w14:paraId="02CD239B">
            <w:pPr>
              <w:pStyle w:val="54"/>
              <w:jc w:val="center"/>
              <w:rPr>
                <w:rFonts w:hint="default" w:ascii="宋体" w:hAnsi="宋体" w:eastAsia="宋体" w:cs="宋体"/>
                <w:kern w:val="0"/>
                <w:sz w:val="24"/>
                <w:szCs w:val="24"/>
                <w:vertAlign w:val="baseline"/>
                <w:lang w:val="en-US" w:eastAsia="zh-CN" w:bidi="ar-SA"/>
              </w:rPr>
            </w:pPr>
            <w:r>
              <w:rPr>
                <w:rFonts w:hint="eastAsia" w:ascii="宋体" w:hAnsi="宋体" w:eastAsia="宋体"/>
                <w:sz w:val="28"/>
                <w:szCs w:val="28"/>
              </w:rPr>
              <w:t>儿童心电监护仪</w:t>
            </w:r>
          </w:p>
        </w:tc>
        <w:tc>
          <w:tcPr>
            <w:tcW w:w="1527" w:type="dxa"/>
            <w:noWrap w:val="0"/>
            <w:vAlign w:val="center"/>
          </w:tcPr>
          <w:p w14:paraId="54FB76E8">
            <w:pPr>
              <w:pStyle w:val="54"/>
              <w:jc w:val="center"/>
              <w:rPr>
                <w:rFonts w:hint="default" w:ascii="宋体" w:hAnsi="宋体" w:eastAsia="宋体" w:cs="宋体"/>
                <w:kern w:val="0"/>
                <w:sz w:val="24"/>
                <w:szCs w:val="24"/>
                <w:vertAlign w:val="baseline"/>
                <w:lang w:val="en-US" w:eastAsia="zh-CN" w:bidi="ar-SA"/>
              </w:rPr>
            </w:pPr>
            <w:r>
              <w:rPr>
                <w:rFonts w:hint="eastAsia" w:ascii="宋体" w:hAnsi="宋体" w:eastAsia="宋体"/>
                <w:sz w:val="28"/>
                <w:szCs w:val="28"/>
              </w:rPr>
              <w:t>台</w:t>
            </w:r>
          </w:p>
        </w:tc>
        <w:tc>
          <w:tcPr>
            <w:tcW w:w="1258" w:type="dxa"/>
            <w:noWrap w:val="0"/>
            <w:vAlign w:val="center"/>
          </w:tcPr>
          <w:p w14:paraId="60B5C99E">
            <w:pPr>
              <w:pStyle w:val="54"/>
              <w:jc w:val="center"/>
              <w:rPr>
                <w:rFonts w:hint="default" w:ascii="宋体" w:hAnsi="宋体" w:eastAsia="宋体" w:cs="宋体"/>
                <w:kern w:val="0"/>
                <w:sz w:val="24"/>
                <w:szCs w:val="24"/>
                <w:vertAlign w:val="baseline"/>
                <w:lang w:val="en-US" w:eastAsia="zh-CN" w:bidi="ar-SA"/>
              </w:rPr>
            </w:pPr>
            <w:r>
              <w:rPr>
                <w:rFonts w:hint="eastAsia" w:ascii="宋体" w:hAnsi="宋体" w:eastAsia="宋体"/>
                <w:sz w:val="28"/>
                <w:szCs w:val="28"/>
              </w:rPr>
              <w:t>1</w:t>
            </w:r>
          </w:p>
        </w:tc>
        <w:tc>
          <w:tcPr>
            <w:tcW w:w="1750" w:type="dxa"/>
            <w:noWrap w:val="0"/>
            <w:vAlign w:val="center"/>
          </w:tcPr>
          <w:p w14:paraId="255B2900">
            <w:pPr>
              <w:pStyle w:val="54"/>
              <w:jc w:val="center"/>
              <w:rPr>
                <w:rFonts w:hint="default" w:ascii="宋体" w:hAnsi="宋体" w:eastAsia="宋体" w:cs="宋体"/>
                <w:kern w:val="0"/>
                <w:sz w:val="24"/>
                <w:szCs w:val="24"/>
                <w:vertAlign w:val="baseline"/>
                <w:lang w:val="en-US" w:eastAsia="zh-CN" w:bidi="ar-SA"/>
              </w:rPr>
            </w:pPr>
            <w:r>
              <w:rPr>
                <w:rFonts w:hint="eastAsia" w:ascii="宋体" w:hAnsi="宋体" w:eastAsia="宋体" w:cs="宋体"/>
                <w:kern w:val="0"/>
                <w:sz w:val="24"/>
                <w:szCs w:val="24"/>
                <w:vertAlign w:val="baseline"/>
                <w:lang w:val="en-US" w:eastAsia="zh-CN" w:bidi="ar-SA"/>
              </w:rPr>
              <w:t>2.2</w:t>
            </w:r>
          </w:p>
        </w:tc>
      </w:tr>
      <w:tr w14:paraId="7BE0C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946" w:type="dxa"/>
            <w:noWrap w:val="0"/>
            <w:vAlign w:val="center"/>
          </w:tcPr>
          <w:p w14:paraId="55365EB6">
            <w:pPr>
              <w:pStyle w:val="54"/>
              <w:jc w:val="center"/>
              <w:rPr>
                <w:rFonts w:hint="default" w:ascii="宋体" w:hAnsi="宋体" w:eastAsia="Times New Roman" w:cs="宋体"/>
                <w:kern w:val="0"/>
                <w:sz w:val="24"/>
                <w:szCs w:val="24"/>
                <w:vertAlign w:val="baseline"/>
                <w:lang w:val="en-US" w:eastAsia="zh-CN" w:bidi="ar-SA"/>
              </w:rPr>
            </w:pPr>
            <w:r>
              <w:rPr>
                <w:rFonts w:hint="eastAsia" w:ascii="宋体" w:hAnsi="宋体" w:eastAsia="宋体"/>
                <w:sz w:val="28"/>
                <w:szCs w:val="28"/>
              </w:rPr>
              <w:t>4</w:t>
            </w:r>
          </w:p>
        </w:tc>
        <w:tc>
          <w:tcPr>
            <w:tcW w:w="4254" w:type="dxa"/>
            <w:noWrap w:val="0"/>
            <w:vAlign w:val="center"/>
          </w:tcPr>
          <w:p w14:paraId="052D9C52">
            <w:pPr>
              <w:pStyle w:val="54"/>
              <w:jc w:val="center"/>
              <w:rPr>
                <w:rFonts w:hint="eastAsia" w:ascii="宋体" w:hAnsi="宋体" w:eastAsia="宋体" w:cs="宋体"/>
                <w:spacing w:val="7"/>
                <w:sz w:val="24"/>
                <w:szCs w:val="24"/>
              </w:rPr>
            </w:pPr>
            <w:r>
              <w:rPr>
                <w:rFonts w:hint="eastAsia" w:ascii="宋体" w:hAnsi="宋体" w:eastAsia="宋体"/>
                <w:sz w:val="28"/>
                <w:szCs w:val="28"/>
              </w:rPr>
              <w:t>儿童排痰仪夹背式</w:t>
            </w:r>
          </w:p>
        </w:tc>
        <w:tc>
          <w:tcPr>
            <w:tcW w:w="1527" w:type="dxa"/>
            <w:noWrap w:val="0"/>
            <w:vAlign w:val="center"/>
          </w:tcPr>
          <w:p w14:paraId="4A4CB5F4">
            <w:pPr>
              <w:pStyle w:val="54"/>
              <w:jc w:val="center"/>
              <w:rPr>
                <w:rFonts w:hint="eastAsia" w:ascii="宋体" w:hAnsi="宋体" w:eastAsia="Times New Roman" w:cs="宋体"/>
                <w:kern w:val="0"/>
                <w:sz w:val="24"/>
                <w:szCs w:val="24"/>
                <w:vertAlign w:val="baseline"/>
                <w:lang w:val="en-US" w:eastAsia="zh-CN" w:bidi="ar-SA"/>
              </w:rPr>
            </w:pPr>
            <w:r>
              <w:rPr>
                <w:rFonts w:hint="eastAsia" w:ascii="宋体" w:hAnsi="宋体" w:eastAsia="宋体"/>
                <w:sz w:val="28"/>
                <w:szCs w:val="28"/>
              </w:rPr>
              <w:t>台</w:t>
            </w:r>
          </w:p>
        </w:tc>
        <w:tc>
          <w:tcPr>
            <w:tcW w:w="1258" w:type="dxa"/>
            <w:noWrap w:val="0"/>
            <w:vAlign w:val="center"/>
          </w:tcPr>
          <w:p w14:paraId="4B87E480">
            <w:pPr>
              <w:pStyle w:val="54"/>
              <w:jc w:val="center"/>
              <w:rPr>
                <w:rFonts w:hint="default" w:ascii="宋体" w:hAnsi="宋体" w:cs="宋体"/>
                <w:kern w:val="0"/>
                <w:sz w:val="24"/>
                <w:szCs w:val="24"/>
                <w:vertAlign w:val="baseline"/>
                <w:lang w:val="en-US" w:eastAsia="zh-CN" w:bidi="ar-SA"/>
              </w:rPr>
            </w:pPr>
            <w:r>
              <w:rPr>
                <w:rFonts w:hint="eastAsia" w:ascii="宋体" w:hAnsi="宋体" w:eastAsia="宋体"/>
                <w:sz w:val="28"/>
                <w:szCs w:val="28"/>
              </w:rPr>
              <w:t>2</w:t>
            </w:r>
          </w:p>
        </w:tc>
        <w:tc>
          <w:tcPr>
            <w:tcW w:w="1750" w:type="dxa"/>
            <w:noWrap w:val="0"/>
            <w:vAlign w:val="center"/>
          </w:tcPr>
          <w:p w14:paraId="0BB7E2D2">
            <w:pPr>
              <w:pStyle w:val="54"/>
              <w:jc w:val="center"/>
              <w:rPr>
                <w:rFonts w:hint="default" w:ascii="宋体" w:hAnsi="宋体" w:eastAsia="宋体" w:cs="宋体"/>
                <w:kern w:val="0"/>
                <w:sz w:val="24"/>
                <w:szCs w:val="24"/>
                <w:vertAlign w:val="baseline"/>
                <w:lang w:val="en-US" w:eastAsia="zh-CN" w:bidi="ar-SA"/>
              </w:rPr>
            </w:pPr>
            <w:r>
              <w:rPr>
                <w:rFonts w:hint="eastAsia" w:ascii="宋体" w:hAnsi="宋体" w:eastAsia="宋体" w:cs="宋体"/>
                <w:kern w:val="0"/>
                <w:sz w:val="24"/>
                <w:szCs w:val="24"/>
                <w:vertAlign w:val="baseline"/>
                <w:lang w:val="en-US" w:eastAsia="zh-CN" w:bidi="ar-SA"/>
              </w:rPr>
              <w:t>5.1</w:t>
            </w:r>
          </w:p>
        </w:tc>
      </w:tr>
      <w:tr w14:paraId="2AA3A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noWrap w:val="0"/>
            <w:vAlign w:val="center"/>
          </w:tcPr>
          <w:p w14:paraId="79FC21B1">
            <w:pPr>
              <w:pStyle w:val="54"/>
              <w:jc w:val="center"/>
              <w:rPr>
                <w:rFonts w:hint="default" w:ascii="宋体" w:hAnsi="宋体" w:eastAsia="Times New Roman" w:cs="宋体"/>
                <w:kern w:val="0"/>
                <w:sz w:val="24"/>
                <w:szCs w:val="24"/>
                <w:vertAlign w:val="baseline"/>
                <w:lang w:val="en-US" w:eastAsia="zh-CN" w:bidi="ar-SA"/>
              </w:rPr>
            </w:pPr>
            <w:r>
              <w:rPr>
                <w:rFonts w:hint="eastAsia" w:ascii="宋体" w:hAnsi="宋体" w:eastAsia="宋体"/>
                <w:sz w:val="28"/>
                <w:szCs w:val="28"/>
              </w:rPr>
              <w:t>5</w:t>
            </w:r>
          </w:p>
        </w:tc>
        <w:tc>
          <w:tcPr>
            <w:tcW w:w="4254" w:type="dxa"/>
            <w:noWrap w:val="0"/>
            <w:vAlign w:val="center"/>
          </w:tcPr>
          <w:p w14:paraId="0256C8FE">
            <w:pPr>
              <w:pStyle w:val="54"/>
              <w:jc w:val="center"/>
              <w:rPr>
                <w:rFonts w:hint="eastAsia" w:ascii="宋体" w:hAnsi="宋体" w:eastAsia="宋体" w:cs="宋体"/>
                <w:spacing w:val="4"/>
                <w:sz w:val="24"/>
                <w:szCs w:val="24"/>
              </w:rPr>
            </w:pPr>
            <w:r>
              <w:rPr>
                <w:rFonts w:hint="eastAsia" w:ascii="宋体" w:hAnsi="宋体" w:eastAsia="宋体"/>
                <w:sz w:val="28"/>
                <w:szCs w:val="28"/>
              </w:rPr>
              <w:t>中医熏蒸仪</w:t>
            </w:r>
          </w:p>
        </w:tc>
        <w:tc>
          <w:tcPr>
            <w:tcW w:w="1527" w:type="dxa"/>
            <w:noWrap w:val="0"/>
            <w:vAlign w:val="center"/>
          </w:tcPr>
          <w:p w14:paraId="21FCE720">
            <w:pPr>
              <w:pStyle w:val="54"/>
              <w:jc w:val="center"/>
              <w:rPr>
                <w:rFonts w:hint="eastAsia" w:ascii="宋体" w:hAnsi="宋体" w:eastAsia="Times New Roman" w:cs="宋体"/>
                <w:kern w:val="0"/>
                <w:sz w:val="24"/>
                <w:szCs w:val="24"/>
                <w:vertAlign w:val="baseline"/>
                <w:lang w:val="en-US" w:eastAsia="zh-CN" w:bidi="ar-SA"/>
              </w:rPr>
            </w:pPr>
            <w:r>
              <w:rPr>
                <w:rFonts w:hint="eastAsia" w:ascii="宋体" w:hAnsi="宋体" w:eastAsia="宋体"/>
                <w:sz w:val="28"/>
                <w:szCs w:val="28"/>
              </w:rPr>
              <w:t>台</w:t>
            </w:r>
          </w:p>
        </w:tc>
        <w:tc>
          <w:tcPr>
            <w:tcW w:w="1258" w:type="dxa"/>
            <w:noWrap w:val="0"/>
            <w:vAlign w:val="center"/>
          </w:tcPr>
          <w:p w14:paraId="3F82ABC8">
            <w:pPr>
              <w:pStyle w:val="54"/>
              <w:jc w:val="center"/>
              <w:rPr>
                <w:rFonts w:hint="default" w:ascii="宋体" w:hAnsi="宋体" w:cs="宋体"/>
                <w:kern w:val="0"/>
                <w:sz w:val="24"/>
                <w:szCs w:val="24"/>
                <w:vertAlign w:val="baseline"/>
                <w:lang w:val="en-US" w:eastAsia="zh-CN" w:bidi="ar-SA"/>
              </w:rPr>
            </w:pPr>
            <w:r>
              <w:rPr>
                <w:rFonts w:hint="eastAsia" w:ascii="宋体" w:hAnsi="宋体" w:eastAsia="宋体"/>
                <w:sz w:val="28"/>
                <w:szCs w:val="28"/>
              </w:rPr>
              <w:t>1</w:t>
            </w:r>
          </w:p>
        </w:tc>
        <w:tc>
          <w:tcPr>
            <w:tcW w:w="1750" w:type="dxa"/>
            <w:noWrap w:val="0"/>
            <w:vAlign w:val="center"/>
          </w:tcPr>
          <w:p w14:paraId="62E35EDE">
            <w:pPr>
              <w:pStyle w:val="54"/>
              <w:jc w:val="center"/>
              <w:rPr>
                <w:rFonts w:hint="eastAsia" w:ascii="宋体" w:hAnsi="宋体" w:eastAsia="宋体" w:cs="宋体"/>
                <w:kern w:val="0"/>
                <w:sz w:val="24"/>
                <w:szCs w:val="24"/>
                <w:vertAlign w:val="baseline"/>
                <w:lang w:val="en-US" w:eastAsia="zh-CN" w:bidi="ar-SA"/>
              </w:rPr>
            </w:pPr>
            <w:r>
              <w:rPr>
                <w:rFonts w:hint="eastAsia" w:ascii="宋体" w:hAnsi="宋体" w:eastAsia="宋体" w:cs="宋体"/>
                <w:kern w:val="0"/>
                <w:sz w:val="24"/>
                <w:szCs w:val="24"/>
                <w:vertAlign w:val="baseline"/>
                <w:lang w:val="en-US" w:eastAsia="zh-CN" w:bidi="ar-SA"/>
              </w:rPr>
              <w:t>4.1</w:t>
            </w:r>
          </w:p>
        </w:tc>
      </w:tr>
      <w:tr w14:paraId="16087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noWrap w:val="0"/>
            <w:vAlign w:val="center"/>
          </w:tcPr>
          <w:p w14:paraId="5B4CF991">
            <w:pPr>
              <w:pStyle w:val="54"/>
              <w:jc w:val="center"/>
              <w:rPr>
                <w:rFonts w:hint="default" w:ascii="宋体" w:hAnsi="宋体" w:eastAsia="Times New Roman" w:cs="宋体"/>
                <w:kern w:val="0"/>
                <w:sz w:val="24"/>
                <w:szCs w:val="24"/>
                <w:vertAlign w:val="baseline"/>
                <w:lang w:val="en-US" w:eastAsia="zh-CN" w:bidi="ar-SA"/>
              </w:rPr>
            </w:pPr>
            <w:r>
              <w:rPr>
                <w:rFonts w:hint="eastAsia" w:ascii="宋体" w:hAnsi="宋体" w:eastAsia="宋体"/>
                <w:sz w:val="28"/>
                <w:szCs w:val="28"/>
              </w:rPr>
              <w:t>6</w:t>
            </w:r>
          </w:p>
        </w:tc>
        <w:tc>
          <w:tcPr>
            <w:tcW w:w="4254" w:type="dxa"/>
            <w:noWrap w:val="0"/>
            <w:vAlign w:val="center"/>
          </w:tcPr>
          <w:p w14:paraId="59E3DE34">
            <w:pPr>
              <w:pStyle w:val="54"/>
              <w:jc w:val="center"/>
              <w:rPr>
                <w:rFonts w:hint="eastAsia" w:ascii="宋体" w:hAnsi="宋体" w:eastAsia="宋体" w:cs="宋体"/>
                <w:spacing w:val="4"/>
                <w:sz w:val="24"/>
                <w:szCs w:val="24"/>
              </w:rPr>
            </w:pPr>
            <w:r>
              <w:rPr>
                <w:rFonts w:hint="eastAsia" w:ascii="宋体" w:hAnsi="宋体" w:eastAsia="宋体"/>
                <w:sz w:val="28"/>
                <w:szCs w:val="28"/>
              </w:rPr>
              <w:t>经皮肾镜（粗）</w:t>
            </w:r>
          </w:p>
        </w:tc>
        <w:tc>
          <w:tcPr>
            <w:tcW w:w="1527" w:type="dxa"/>
            <w:noWrap w:val="0"/>
            <w:vAlign w:val="center"/>
          </w:tcPr>
          <w:p w14:paraId="41CAF287">
            <w:pPr>
              <w:pStyle w:val="54"/>
              <w:jc w:val="center"/>
              <w:rPr>
                <w:rFonts w:hint="default" w:ascii="宋体" w:hAnsi="宋体" w:eastAsia="Times New Roman" w:cs="宋体"/>
                <w:kern w:val="0"/>
                <w:sz w:val="24"/>
                <w:szCs w:val="24"/>
                <w:vertAlign w:val="baseline"/>
                <w:lang w:val="en-US" w:eastAsia="zh-CN" w:bidi="ar-SA"/>
              </w:rPr>
            </w:pPr>
            <w:r>
              <w:rPr>
                <w:rFonts w:hint="eastAsia" w:ascii="宋体" w:hAnsi="宋体" w:eastAsia="宋体"/>
                <w:sz w:val="28"/>
                <w:szCs w:val="28"/>
              </w:rPr>
              <w:t>套</w:t>
            </w:r>
          </w:p>
        </w:tc>
        <w:tc>
          <w:tcPr>
            <w:tcW w:w="1258" w:type="dxa"/>
            <w:noWrap w:val="0"/>
            <w:vAlign w:val="center"/>
          </w:tcPr>
          <w:p w14:paraId="7E4687DF">
            <w:pPr>
              <w:pStyle w:val="54"/>
              <w:jc w:val="center"/>
              <w:rPr>
                <w:rFonts w:hint="default" w:ascii="宋体" w:hAnsi="宋体" w:cs="宋体"/>
                <w:kern w:val="0"/>
                <w:sz w:val="24"/>
                <w:szCs w:val="24"/>
                <w:vertAlign w:val="baseline"/>
                <w:lang w:val="en-US" w:eastAsia="zh-CN" w:bidi="ar-SA"/>
              </w:rPr>
            </w:pPr>
            <w:r>
              <w:rPr>
                <w:rFonts w:hint="eastAsia" w:ascii="宋体" w:hAnsi="宋体" w:eastAsia="宋体"/>
                <w:sz w:val="28"/>
                <w:szCs w:val="28"/>
              </w:rPr>
              <w:t>1</w:t>
            </w:r>
          </w:p>
        </w:tc>
        <w:tc>
          <w:tcPr>
            <w:tcW w:w="1750" w:type="dxa"/>
            <w:noWrap w:val="0"/>
            <w:vAlign w:val="center"/>
          </w:tcPr>
          <w:p w14:paraId="609A5DC5">
            <w:pPr>
              <w:pStyle w:val="54"/>
              <w:jc w:val="center"/>
              <w:rPr>
                <w:rFonts w:hint="default" w:ascii="宋体" w:hAnsi="宋体" w:eastAsia="宋体" w:cs="宋体"/>
                <w:kern w:val="0"/>
                <w:sz w:val="24"/>
                <w:szCs w:val="24"/>
                <w:vertAlign w:val="baseline"/>
                <w:lang w:val="en-US" w:eastAsia="zh-CN" w:bidi="ar-SA"/>
              </w:rPr>
            </w:pPr>
            <w:r>
              <w:rPr>
                <w:rFonts w:hint="eastAsia" w:ascii="宋体" w:hAnsi="宋体" w:eastAsia="宋体" w:cs="宋体"/>
                <w:kern w:val="0"/>
                <w:sz w:val="24"/>
                <w:szCs w:val="24"/>
                <w:vertAlign w:val="baseline"/>
                <w:lang w:val="en-US" w:eastAsia="zh-CN" w:bidi="ar-SA"/>
              </w:rPr>
              <w:t>7.2</w:t>
            </w:r>
          </w:p>
        </w:tc>
      </w:tr>
      <w:tr w14:paraId="3BCA4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noWrap w:val="0"/>
            <w:vAlign w:val="center"/>
          </w:tcPr>
          <w:p w14:paraId="1018A32E">
            <w:pPr>
              <w:pStyle w:val="54"/>
              <w:jc w:val="center"/>
              <w:rPr>
                <w:rFonts w:hint="default" w:ascii="宋体" w:hAnsi="宋体" w:eastAsia="Times New Roman" w:cs="宋体"/>
                <w:kern w:val="0"/>
                <w:sz w:val="24"/>
                <w:szCs w:val="24"/>
                <w:vertAlign w:val="baseline"/>
                <w:lang w:val="en-US" w:eastAsia="zh-CN" w:bidi="ar-SA"/>
              </w:rPr>
            </w:pPr>
            <w:r>
              <w:rPr>
                <w:rFonts w:hint="eastAsia" w:ascii="宋体" w:hAnsi="宋体" w:eastAsia="宋体"/>
                <w:sz w:val="28"/>
                <w:szCs w:val="28"/>
              </w:rPr>
              <w:t>7</w:t>
            </w:r>
          </w:p>
        </w:tc>
        <w:tc>
          <w:tcPr>
            <w:tcW w:w="4254" w:type="dxa"/>
            <w:noWrap w:val="0"/>
            <w:vAlign w:val="center"/>
          </w:tcPr>
          <w:p w14:paraId="25A2EBB5">
            <w:pPr>
              <w:pStyle w:val="54"/>
              <w:jc w:val="center"/>
              <w:rPr>
                <w:rFonts w:hint="eastAsia" w:ascii="宋体" w:hAnsi="宋体" w:eastAsia="宋体" w:cs="宋体"/>
                <w:spacing w:val="7"/>
                <w:sz w:val="24"/>
                <w:szCs w:val="24"/>
              </w:rPr>
            </w:pPr>
            <w:r>
              <w:rPr>
                <w:rFonts w:hint="eastAsia" w:ascii="宋体" w:hAnsi="宋体" w:eastAsia="宋体"/>
                <w:sz w:val="28"/>
                <w:szCs w:val="28"/>
              </w:rPr>
              <w:t>经皮肾镜（细）</w:t>
            </w:r>
          </w:p>
        </w:tc>
        <w:tc>
          <w:tcPr>
            <w:tcW w:w="1527" w:type="dxa"/>
            <w:noWrap w:val="0"/>
            <w:vAlign w:val="center"/>
          </w:tcPr>
          <w:p w14:paraId="5AC65A93">
            <w:pPr>
              <w:pStyle w:val="54"/>
              <w:jc w:val="center"/>
              <w:rPr>
                <w:rFonts w:hint="eastAsia" w:ascii="宋体" w:hAnsi="宋体" w:eastAsia="Times New Roman" w:cs="宋体"/>
                <w:kern w:val="0"/>
                <w:sz w:val="24"/>
                <w:szCs w:val="24"/>
                <w:vertAlign w:val="baseline"/>
                <w:lang w:val="en-US" w:eastAsia="zh-CN" w:bidi="ar-SA"/>
              </w:rPr>
            </w:pPr>
            <w:r>
              <w:rPr>
                <w:rFonts w:hint="eastAsia" w:ascii="宋体" w:hAnsi="宋体" w:eastAsia="宋体"/>
                <w:sz w:val="28"/>
                <w:szCs w:val="28"/>
              </w:rPr>
              <w:t>套</w:t>
            </w:r>
          </w:p>
        </w:tc>
        <w:tc>
          <w:tcPr>
            <w:tcW w:w="1258" w:type="dxa"/>
            <w:noWrap w:val="0"/>
            <w:vAlign w:val="center"/>
          </w:tcPr>
          <w:p w14:paraId="370E6A92">
            <w:pPr>
              <w:pStyle w:val="54"/>
              <w:jc w:val="center"/>
              <w:rPr>
                <w:rFonts w:hint="default" w:ascii="宋体" w:hAnsi="宋体" w:cs="宋体"/>
                <w:kern w:val="0"/>
                <w:sz w:val="24"/>
                <w:szCs w:val="24"/>
                <w:vertAlign w:val="baseline"/>
                <w:lang w:val="en-US" w:eastAsia="zh-CN" w:bidi="ar-SA"/>
              </w:rPr>
            </w:pPr>
            <w:r>
              <w:rPr>
                <w:rFonts w:hint="eastAsia" w:ascii="宋体" w:hAnsi="宋体" w:eastAsia="宋体"/>
                <w:sz w:val="28"/>
                <w:szCs w:val="28"/>
              </w:rPr>
              <w:t>1</w:t>
            </w:r>
          </w:p>
        </w:tc>
        <w:tc>
          <w:tcPr>
            <w:tcW w:w="1750" w:type="dxa"/>
            <w:noWrap w:val="0"/>
            <w:vAlign w:val="center"/>
          </w:tcPr>
          <w:p w14:paraId="06F8A75F">
            <w:pPr>
              <w:pStyle w:val="54"/>
              <w:jc w:val="center"/>
              <w:rPr>
                <w:rFonts w:hint="default" w:ascii="宋体" w:hAnsi="宋体" w:eastAsia="宋体" w:cs="宋体"/>
                <w:kern w:val="0"/>
                <w:sz w:val="24"/>
                <w:szCs w:val="24"/>
                <w:vertAlign w:val="baseline"/>
                <w:lang w:val="en-US" w:eastAsia="zh-CN" w:bidi="ar-SA"/>
              </w:rPr>
            </w:pPr>
            <w:r>
              <w:rPr>
                <w:rFonts w:hint="eastAsia" w:ascii="宋体" w:hAnsi="宋体" w:eastAsia="宋体" w:cs="宋体"/>
                <w:kern w:val="0"/>
                <w:sz w:val="24"/>
                <w:szCs w:val="24"/>
                <w:vertAlign w:val="baseline"/>
                <w:lang w:val="en-US" w:eastAsia="zh-CN" w:bidi="ar-SA"/>
              </w:rPr>
              <w:t>7.2</w:t>
            </w:r>
          </w:p>
        </w:tc>
      </w:tr>
      <w:tr w14:paraId="2D9DB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noWrap w:val="0"/>
            <w:vAlign w:val="center"/>
          </w:tcPr>
          <w:p w14:paraId="659DF5FF">
            <w:pPr>
              <w:pStyle w:val="54"/>
              <w:jc w:val="center"/>
              <w:rPr>
                <w:rFonts w:hint="default" w:ascii="宋体" w:hAnsi="宋体" w:eastAsia="Times New Roman" w:cs="宋体"/>
                <w:kern w:val="0"/>
                <w:sz w:val="24"/>
                <w:szCs w:val="24"/>
                <w:vertAlign w:val="baseline"/>
                <w:lang w:val="en-US" w:eastAsia="zh-CN" w:bidi="ar-SA"/>
              </w:rPr>
            </w:pPr>
            <w:r>
              <w:rPr>
                <w:rFonts w:hint="eastAsia" w:ascii="宋体" w:hAnsi="宋体" w:eastAsia="宋体"/>
                <w:sz w:val="28"/>
                <w:szCs w:val="28"/>
              </w:rPr>
              <w:t>8</w:t>
            </w:r>
          </w:p>
        </w:tc>
        <w:tc>
          <w:tcPr>
            <w:tcW w:w="4254" w:type="dxa"/>
            <w:noWrap w:val="0"/>
            <w:vAlign w:val="center"/>
          </w:tcPr>
          <w:p w14:paraId="085DB011">
            <w:pPr>
              <w:pStyle w:val="54"/>
              <w:jc w:val="center"/>
              <w:rPr>
                <w:rFonts w:hint="eastAsia" w:ascii="宋体" w:hAnsi="宋体" w:eastAsia="宋体" w:cs="宋体"/>
                <w:spacing w:val="8"/>
                <w:sz w:val="24"/>
                <w:szCs w:val="24"/>
                <w:highlight w:val="none"/>
              </w:rPr>
            </w:pPr>
            <w:r>
              <w:rPr>
                <w:rFonts w:hint="eastAsia" w:ascii="宋体" w:hAnsi="宋体" w:eastAsia="宋体"/>
                <w:sz w:val="28"/>
                <w:szCs w:val="28"/>
              </w:rPr>
              <w:t>心肺复苏机</w:t>
            </w:r>
          </w:p>
        </w:tc>
        <w:tc>
          <w:tcPr>
            <w:tcW w:w="1527" w:type="dxa"/>
            <w:noWrap w:val="0"/>
            <w:vAlign w:val="center"/>
          </w:tcPr>
          <w:p w14:paraId="1C9163CA">
            <w:pPr>
              <w:pStyle w:val="54"/>
              <w:jc w:val="center"/>
              <w:rPr>
                <w:rFonts w:hint="eastAsia" w:ascii="宋体" w:hAnsi="宋体" w:eastAsia="Times New Roman" w:cs="宋体"/>
                <w:kern w:val="0"/>
                <w:sz w:val="24"/>
                <w:szCs w:val="24"/>
                <w:vertAlign w:val="baseline"/>
                <w:lang w:val="en-US" w:eastAsia="zh-CN" w:bidi="ar-SA"/>
              </w:rPr>
            </w:pPr>
            <w:r>
              <w:rPr>
                <w:rFonts w:hint="eastAsia" w:ascii="宋体" w:hAnsi="宋体" w:eastAsia="宋体"/>
                <w:sz w:val="28"/>
                <w:szCs w:val="28"/>
              </w:rPr>
              <w:t>台</w:t>
            </w:r>
          </w:p>
        </w:tc>
        <w:tc>
          <w:tcPr>
            <w:tcW w:w="1258" w:type="dxa"/>
            <w:noWrap w:val="0"/>
            <w:vAlign w:val="center"/>
          </w:tcPr>
          <w:p w14:paraId="20059E72">
            <w:pPr>
              <w:pStyle w:val="54"/>
              <w:jc w:val="center"/>
              <w:rPr>
                <w:rFonts w:hint="default" w:ascii="宋体" w:hAnsi="宋体" w:cs="宋体"/>
                <w:kern w:val="0"/>
                <w:sz w:val="24"/>
                <w:szCs w:val="24"/>
                <w:vertAlign w:val="baseline"/>
                <w:lang w:val="en-US" w:eastAsia="zh-CN" w:bidi="ar-SA"/>
              </w:rPr>
            </w:pPr>
            <w:r>
              <w:rPr>
                <w:rFonts w:hint="eastAsia" w:ascii="宋体" w:hAnsi="宋体" w:eastAsia="宋体"/>
                <w:sz w:val="28"/>
                <w:szCs w:val="28"/>
              </w:rPr>
              <w:t>1</w:t>
            </w:r>
          </w:p>
        </w:tc>
        <w:tc>
          <w:tcPr>
            <w:tcW w:w="1750" w:type="dxa"/>
            <w:noWrap w:val="0"/>
            <w:vAlign w:val="center"/>
          </w:tcPr>
          <w:p w14:paraId="2AE3AABB">
            <w:pPr>
              <w:pStyle w:val="54"/>
              <w:jc w:val="center"/>
              <w:rPr>
                <w:rFonts w:hint="eastAsia" w:ascii="宋体" w:hAnsi="宋体" w:eastAsia="宋体" w:cs="宋体"/>
                <w:kern w:val="0"/>
                <w:sz w:val="24"/>
                <w:szCs w:val="24"/>
                <w:vertAlign w:val="baseline"/>
                <w:lang w:val="en-US" w:eastAsia="zh-CN" w:bidi="ar-SA"/>
              </w:rPr>
            </w:pPr>
            <w:r>
              <w:rPr>
                <w:rFonts w:hint="eastAsia" w:ascii="宋体" w:hAnsi="宋体" w:eastAsia="宋体" w:cs="宋体"/>
                <w:kern w:val="0"/>
                <w:sz w:val="24"/>
                <w:szCs w:val="24"/>
                <w:vertAlign w:val="baseline"/>
                <w:lang w:val="en-US" w:eastAsia="zh-CN" w:bidi="ar-SA"/>
              </w:rPr>
              <w:t>19.6</w:t>
            </w:r>
          </w:p>
        </w:tc>
      </w:tr>
      <w:tr w14:paraId="5F07E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noWrap w:val="0"/>
            <w:vAlign w:val="center"/>
          </w:tcPr>
          <w:p w14:paraId="0B0D7DD4">
            <w:pPr>
              <w:pStyle w:val="54"/>
              <w:jc w:val="center"/>
              <w:rPr>
                <w:rFonts w:hint="default" w:ascii="宋体" w:hAnsi="宋体" w:eastAsia="Times New Roman" w:cs="宋体"/>
                <w:kern w:val="0"/>
                <w:sz w:val="24"/>
                <w:szCs w:val="24"/>
                <w:vertAlign w:val="baseline"/>
                <w:lang w:val="en-US" w:eastAsia="zh-CN" w:bidi="ar-SA"/>
              </w:rPr>
            </w:pPr>
            <w:r>
              <w:rPr>
                <w:rFonts w:hint="eastAsia" w:ascii="宋体" w:hAnsi="宋体" w:eastAsia="宋体"/>
                <w:sz w:val="28"/>
                <w:szCs w:val="28"/>
              </w:rPr>
              <w:t>9</w:t>
            </w:r>
          </w:p>
        </w:tc>
        <w:tc>
          <w:tcPr>
            <w:tcW w:w="4254" w:type="dxa"/>
            <w:noWrap w:val="0"/>
            <w:vAlign w:val="center"/>
          </w:tcPr>
          <w:p w14:paraId="75C4BA66">
            <w:pPr>
              <w:pStyle w:val="54"/>
              <w:jc w:val="center"/>
              <w:rPr>
                <w:rFonts w:hint="eastAsia" w:ascii="宋体" w:hAnsi="宋体" w:eastAsia="宋体" w:cs="宋体"/>
                <w:spacing w:val="8"/>
                <w:sz w:val="24"/>
                <w:szCs w:val="24"/>
              </w:rPr>
            </w:pPr>
            <w:r>
              <w:rPr>
                <w:rFonts w:hint="eastAsia" w:ascii="宋体" w:hAnsi="宋体" w:eastAsia="宋体"/>
                <w:sz w:val="28"/>
                <w:szCs w:val="28"/>
              </w:rPr>
              <w:t>足背动脉监测仪</w:t>
            </w:r>
          </w:p>
        </w:tc>
        <w:tc>
          <w:tcPr>
            <w:tcW w:w="1527" w:type="dxa"/>
            <w:noWrap w:val="0"/>
            <w:vAlign w:val="center"/>
          </w:tcPr>
          <w:p w14:paraId="6A29F6BB">
            <w:pPr>
              <w:pStyle w:val="54"/>
              <w:jc w:val="center"/>
              <w:rPr>
                <w:rFonts w:hint="eastAsia" w:ascii="宋体" w:hAnsi="宋体" w:eastAsia="Times New Roman" w:cs="宋体"/>
                <w:kern w:val="0"/>
                <w:sz w:val="24"/>
                <w:szCs w:val="24"/>
                <w:vertAlign w:val="baseline"/>
                <w:lang w:val="en-US" w:eastAsia="zh-CN" w:bidi="ar-SA"/>
              </w:rPr>
            </w:pPr>
            <w:r>
              <w:rPr>
                <w:rFonts w:hint="eastAsia" w:ascii="宋体" w:hAnsi="宋体" w:eastAsia="宋体"/>
                <w:sz w:val="28"/>
                <w:szCs w:val="28"/>
              </w:rPr>
              <w:t>台</w:t>
            </w:r>
          </w:p>
        </w:tc>
        <w:tc>
          <w:tcPr>
            <w:tcW w:w="1258" w:type="dxa"/>
            <w:noWrap w:val="0"/>
            <w:vAlign w:val="center"/>
          </w:tcPr>
          <w:p w14:paraId="2E6657E5">
            <w:pPr>
              <w:pStyle w:val="54"/>
              <w:jc w:val="center"/>
              <w:rPr>
                <w:rFonts w:hint="default" w:ascii="宋体" w:hAnsi="宋体" w:cs="宋体"/>
                <w:kern w:val="0"/>
                <w:sz w:val="24"/>
                <w:szCs w:val="24"/>
                <w:vertAlign w:val="baseline"/>
                <w:lang w:val="en-US" w:eastAsia="zh-CN" w:bidi="ar-SA"/>
              </w:rPr>
            </w:pPr>
            <w:r>
              <w:rPr>
                <w:rFonts w:hint="eastAsia" w:ascii="宋体" w:hAnsi="宋体" w:eastAsia="宋体"/>
                <w:sz w:val="28"/>
                <w:szCs w:val="28"/>
              </w:rPr>
              <w:t>1</w:t>
            </w:r>
          </w:p>
        </w:tc>
        <w:tc>
          <w:tcPr>
            <w:tcW w:w="1750" w:type="dxa"/>
            <w:noWrap w:val="0"/>
            <w:vAlign w:val="center"/>
          </w:tcPr>
          <w:p w14:paraId="2A44D63B">
            <w:pPr>
              <w:pStyle w:val="54"/>
              <w:jc w:val="center"/>
              <w:rPr>
                <w:rFonts w:hint="eastAsia" w:ascii="宋体" w:hAnsi="宋体" w:eastAsia="宋体" w:cs="宋体"/>
                <w:kern w:val="0"/>
                <w:sz w:val="24"/>
                <w:szCs w:val="24"/>
                <w:vertAlign w:val="baseline"/>
                <w:lang w:val="en-US" w:eastAsia="zh-CN" w:bidi="ar-SA"/>
              </w:rPr>
            </w:pPr>
            <w:r>
              <w:rPr>
                <w:rFonts w:hint="eastAsia" w:ascii="宋体" w:hAnsi="宋体" w:eastAsia="宋体" w:cs="宋体"/>
                <w:kern w:val="0"/>
                <w:sz w:val="24"/>
                <w:szCs w:val="24"/>
                <w:vertAlign w:val="baseline"/>
                <w:lang w:val="en-US" w:eastAsia="zh-CN" w:bidi="ar-SA"/>
              </w:rPr>
              <w:t>9.3</w:t>
            </w:r>
          </w:p>
        </w:tc>
      </w:tr>
      <w:tr w14:paraId="46F95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noWrap w:val="0"/>
            <w:vAlign w:val="center"/>
          </w:tcPr>
          <w:p w14:paraId="64F3844F">
            <w:pPr>
              <w:pStyle w:val="54"/>
              <w:jc w:val="center"/>
              <w:rPr>
                <w:rFonts w:hint="default" w:ascii="宋体" w:hAnsi="宋体" w:eastAsia="Times New Roman" w:cs="宋体"/>
                <w:kern w:val="0"/>
                <w:sz w:val="24"/>
                <w:szCs w:val="24"/>
                <w:vertAlign w:val="baseline"/>
                <w:lang w:val="en-US" w:eastAsia="zh-CN" w:bidi="ar-SA"/>
              </w:rPr>
            </w:pPr>
            <w:r>
              <w:rPr>
                <w:rFonts w:hint="eastAsia" w:ascii="宋体" w:hAnsi="宋体" w:eastAsia="宋体"/>
                <w:sz w:val="28"/>
                <w:szCs w:val="28"/>
              </w:rPr>
              <w:t>10</w:t>
            </w:r>
          </w:p>
        </w:tc>
        <w:tc>
          <w:tcPr>
            <w:tcW w:w="4254" w:type="dxa"/>
            <w:noWrap w:val="0"/>
            <w:vAlign w:val="center"/>
          </w:tcPr>
          <w:p w14:paraId="316BAF27">
            <w:pPr>
              <w:pStyle w:val="54"/>
              <w:jc w:val="center"/>
              <w:rPr>
                <w:rFonts w:hint="eastAsia" w:ascii="宋体" w:hAnsi="宋体" w:eastAsia="宋体" w:cs="宋体"/>
                <w:spacing w:val="8"/>
                <w:sz w:val="24"/>
                <w:szCs w:val="24"/>
              </w:rPr>
            </w:pPr>
            <w:r>
              <w:rPr>
                <w:rFonts w:hint="eastAsia" w:ascii="宋体" w:hAnsi="宋体" w:eastAsia="宋体"/>
                <w:sz w:val="28"/>
                <w:szCs w:val="28"/>
              </w:rPr>
              <w:t>麻醉深度监测仪</w:t>
            </w:r>
          </w:p>
        </w:tc>
        <w:tc>
          <w:tcPr>
            <w:tcW w:w="1527" w:type="dxa"/>
            <w:noWrap w:val="0"/>
            <w:vAlign w:val="center"/>
          </w:tcPr>
          <w:p w14:paraId="30CFEDEF">
            <w:pPr>
              <w:pStyle w:val="54"/>
              <w:jc w:val="center"/>
              <w:rPr>
                <w:rFonts w:hint="eastAsia" w:ascii="宋体" w:hAnsi="宋体" w:eastAsia="Times New Roman" w:cs="宋体"/>
                <w:kern w:val="0"/>
                <w:sz w:val="24"/>
                <w:szCs w:val="24"/>
                <w:vertAlign w:val="baseline"/>
                <w:lang w:val="en-US" w:eastAsia="zh-CN" w:bidi="ar-SA"/>
              </w:rPr>
            </w:pPr>
            <w:r>
              <w:rPr>
                <w:rFonts w:hint="eastAsia" w:ascii="宋体" w:hAnsi="宋体" w:eastAsia="宋体"/>
                <w:sz w:val="28"/>
                <w:szCs w:val="28"/>
              </w:rPr>
              <w:t>台</w:t>
            </w:r>
          </w:p>
        </w:tc>
        <w:tc>
          <w:tcPr>
            <w:tcW w:w="1258" w:type="dxa"/>
            <w:noWrap w:val="0"/>
            <w:vAlign w:val="center"/>
          </w:tcPr>
          <w:p w14:paraId="788356C3">
            <w:pPr>
              <w:pStyle w:val="54"/>
              <w:jc w:val="center"/>
              <w:rPr>
                <w:rFonts w:hint="default" w:ascii="宋体" w:hAnsi="宋体" w:cs="宋体"/>
                <w:kern w:val="0"/>
                <w:sz w:val="24"/>
                <w:szCs w:val="24"/>
                <w:vertAlign w:val="baseline"/>
                <w:lang w:val="en-US" w:eastAsia="zh-CN" w:bidi="ar-SA"/>
              </w:rPr>
            </w:pPr>
            <w:r>
              <w:rPr>
                <w:rFonts w:hint="eastAsia" w:ascii="宋体" w:hAnsi="宋体" w:eastAsia="宋体"/>
                <w:sz w:val="28"/>
                <w:szCs w:val="28"/>
              </w:rPr>
              <w:t>1</w:t>
            </w:r>
          </w:p>
        </w:tc>
        <w:tc>
          <w:tcPr>
            <w:tcW w:w="1750" w:type="dxa"/>
            <w:noWrap w:val="0"/>
            <w:vAlign w:val="center"/>
          </w:tcPr>
          <w:p w14:paraId="07584E4D">
            <w:pPr>
              <w:pStyle w:val="54"/>
              <w:jc w:val="center"/>
              <w:rPr>
                <w:rFonts w:hint="eastAsia" w:ascii="宋体" w:hAnsi="宋体" w:eastAsia="宋体" w:cs="宋体"/>
                <w:kern w:val="0"/>
                <w:sz w:val="24"/>
                <w:szCs w:val="24"/>
                <w:vertAlign w:val="baseline"/>
                <w:lang w:val="en-US" w:eastAsia="zh-CN" w:bidi="ar-SA"/>
              </w:rPr>
            </w:pPr>
            <w:r>
              <w:rPr>
                <w:rFonts w:hint="eastAsia" w:ascii="宋体" w:hAnsi="宋体" w:eastAsia="宋体" w:cs="宋体"/>
                <w:kern w:val="0"/>
                <w:sz w:val="24"/>
                <w:szCs w:val="24"/>
                <w:vertAlign w:val="baseline"/>
                <w:lang w:val="en-US" w:eastAsia="zh-CN" w:bidi="ar-SA"/>
              </w:rPr>
              <w:t>10</w:t>
            </w:r>
          </w:p>
        </w:tc>
      </w:tr>
      <w:tr w14:paraId="58B20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6" w:type="dxa"/>
            <w:noWrap w:val="0"/>
            <w:vAlign w:val="center"/>
          </w:tcPr>
          <w:p w14:paraId="060D1A45">
            <w:pPr>
              <w:pStyle w:val="54"/>
              <w:jc w:val="center"/>
              <w:rPr>
                <w:rFonts w:hint="eastAsia" w:ascii="宋体" w:hAnsi="宋体" w:eastAsia="Times New Roman" w:cs="宋体"/>
                <w:kern w:val="0"/>
                <w:sz w:val="24"/>
                <w:szCs w:val="24"/>
                <w:vertAlign w:val="baseline"/>
                <w:lang w:val="en-US" w:eastAsia="zh-CN" w:bidi="ar-SA"/>
              </w:rPr>
            </w:pPr>
            <w:r>
              <w:rPr>
                <w:rFonts w:hint="eastAsia" w:ascii="宋体" w:hAnsi="宋体" w:eastAsia="宋体"/>
                <w:sz w:val="28"/>
                <w:szCs w:val="28"/>
              </w:rPr>
              <w:t>11</w:t>
            </w:r>
          </w:p>
        </w:tc>
        <w:tc>
          <w:tcPr>
            <w:tcW w:w="4254" w:type="dxa"/>
            <w:noWrap w:val="0"/>
            <w:vAlign w:val="center"/>
          </w:tcPr>
          <w:p w14:paraId="640A055F">
            <w:pPr>
              <w:pStyle w:val="54"/>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sz w:val="28"/>
                <w:szCs w:val="28"/>
              </w:rPr>
              <w:t>脊柱内窥镜</w:t>
            </w:r>
          </w:p>
        </w:tc>
        <w:tc>
          <w:tcPr>
            <w:tcW w:w="1527" w:type="dxa"/>
            <w:noWrap w:val="0"/>
            <w:vAlign w:val="center"/>
          </w:tcPr>
          <w:p w14:paraId="14771077">
            <w:pPr>
              <w:pStyle w:val="54"/>
              <w:jc w:val="center"/>
              <w:rPr>
                <w:rFonts w:hint="eastAsia" w:ascii="宋体" w:hAnsi="宋体" w:eastAsia="Times New Roman" w:cs="宋体"/>
                <w:kern w:val="0"/>
                <w:sz w:val="24"/>
                <w:szCs w:val="24"/>
                <w:vertAlign w:val="baseline"/>
                <w:lang w:val="en-US" w:eastAsia="zh-CN" w:bidi="ar-SA"/>
              </w:rPr>
            </w:pPr>
            <w:r>
              <w:rPr>
                <w:rFonts w:hint="eastAsia" w:ascii="宋体" w:hAnsi="宋体" w:eastAsia="宋体"/>
                <w:sz w:val="28"/>
                <w:szCs w:val="28"/>
              </w:rPr>
              <w:t>套</w:t>
            </w:r>
          </w:p>
        </w:tc>
        <w:tc>
          <w:tcPr>
            <w:tcW w:w="1258" w:type="dxa"/>
            <w:noWrap w:val="0"/>
            <w:vAlign w:val="center"/>
          </w:tcPr>
          <w:p w14:paraId="174BF6AA">
            <w:pPr>
              <w:pStyle w:val="54"/>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sz w:val="28"/>
                <w:szCs w:val="28"/>
              </w:rPr>
              <w:t>1</w:t>
            </w:r>
          </w:p>
        </w:tc>
        <w:tc>
          <w:tcPr>
            <w:tcW w:w="1750" w:type="dxa"/>
            <w:noWrap w:val="0"/>
            <w:vAlign w:val="center"/>
          </w:tcPr>
          <w:p w14:paraId="4728C485">
            <w:pPr>
              <w:pStyle w:val="54"/>
              <w:jc w:val="center"/>
              <w:rPr>
                <w:rFonts w:hint="eastAsia" w:ascii="宋体" w:hAnsi="宋体" w:eastAsia="宋体" w:cs="宋体"/>
                <w:kern w:val="0"/>
                <w:sz w:val="24"/>
                <w:szCs w:val="24"/>
                <w:vertAlign w:val="baseline"/>
                <w:lang w:val="en-US" w:eastAsia="zh-CN" w:bidi="ar-SA"/>
              </w:rPr>
            </w:pPr>
            <w:r>
              <w:rPr>
                <w:rFonts w:hint="eastAsia" w:ascii="宋体" w:hAnsi="宋体" w:eastAsia="宋体" w:cs="宋体"/>
                <w:kern w:val="0"/>
                <w:sz w:val="24"/>
                <w:szCs w:val="24"/>
                <w:vertAlign w:val="baseline"/>
                <w:lang w:val="en-US" w:eastAsia="zh-CN" w:bidi="ar-SA"/>
              </w:rPr>
              <w:t>15</w:t>
            </w:r>
          </w:p>
        </w:tc>
      </w:tr>
    </w:tbl>
    <w:p w14:paraId="078BC0B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olor w:val="auto"/>
          <w:sz w:val="24"/>
          <w:szCs w:val="24"/>
          <w:highlight w:val="none"/>
          <w:u w:val="single"/>
          <w:lang w:val="en-US"/>
        </w:rPr>
      </w:pPr>
      <w:r>
        <w:rPr>
          <w:rFonts w:hint="eastAsia" w:ascii="宋体" w:hAnsi="宋体" w:eastAsia="宋体" w:cs="宋体"/>
          <w:i w:val="0"/>
          <w:iCs w:val="0"/>
          <w:color w:val="auto"/>
          <w:kern w:val="2"/>
          <w:sz w:val="24"/>
          <w:szCs w:val="24"/>
          <w:highlight w:val="none"/>
          <w:lang w:val="en-US" w:eastAsia="zh-CN" w:bidi="ar"/>
        </w:rPr>
        <w:t>合同履行期限：</w:t>
      </w:r>
      <w:r>
        <w:rPr>
          <w:rFonts w:hint="eastAsia" w:ascii="宋体" w:hAnsi="宋体" w:cs="宋体"/>
          <w:color w:val="auto"/>
          <w:kern w:val="2"/>
          <w:sz w:val="24"/>
          <w:szCs w:val="24"/>
          <w:highlight w:val="none"/>
          <w:lang w:val="en-US" w:eastAsia="zh-CN" w:bidi="ar"/>
        </w:rPr>
        <w:t>自合同签订之日起至质保期满止。</w:t>
      </w:r>
    </w:p>
    <w:p w14:paraId="338CC0C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olor w:val="auto"/>
          <w:kern w:val="2"/>
          <w:sz w:val="24"/>
          <w:szCs w:val="24"/>
          <w:highlight w:val="none"/>
          <w:lang w:val="en-US" w:eastAsia="zh-CN" w:bidi="ar"/>
        </w:rPr>
      </w:pPr>
      <w:r>
        <w:rPr>
          <w:rFonts w:hint="eastAsia" w:ascii="宋体" w:hAnsi="宋体"/>
          <w:kern w:val="2"/>
          <w:sz w:val="24"/>
          <w:szCs w:val="24"/>
          <w:highlight w:val="none"/>
        </w:rPr>
        <w:t>质保期：</w:t>
      </w:r>
      <w:r>
        <w:rPr>
          <w:rFonts w:hint="eastAsia" w:ascii="宋体" w:hAnsi="宋体" w:cs="宋体"/>
          <w:kern w:val="2"/>
          <w:sz w:val="24"/>
          <w:szCs w:val="24"/>
          <w:highlight w:val="none"/>
          <w:lang w:val="en-US" w:eastAsia="zh-CN"/>
        </w:rPr>
        <w:t>原厂5年质保</w:t>
      </w:r>
    </w:p>
    <w:p w14:paraId="6789A536">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olor w:val="auto"/>
          <w:sz w:val="24"/>
          <w:szCs w:val="24"/>
          <w:highlight w:val="none"/>
          <w:lang w:val="en-US"/>
        </w:rPr>
      </w:pPr>
      <w:r>
        <w:rPr>
          <w:rFonts w:hint="eastAsia" w:ascii="宋体" w:hAnsi="宋体" w:eastAsia="宋体" w:cs="宋体"/>
          <w:i w:val="0"/>
          <w:iCs w:val="0"/>
          <w:color w:val="auto"/>
          <w:kern w:val="2"/>
          <w:sz w:val="24"/>
          <w:szCs w:val="24"/>
          <w:highlight w:val="none"/>
          <w:lang w:val="en-US" w:eastAsia="zh-CN" w:bidi="ar"/>
        </w:rPr>
        <w:t>本项目（否）接受联合体投标。</w:t>
      </w:r>
    </w:p>
    <w:p w14:paraId="10642ED9">
      <w:pPr>
        <w:pStyle w:val="3"/>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i w:val="0"/>
          <w:iCs w:val="0"/>
          <w:sz w:val="24"/>
          <w:szCs w:val="24"/>
          <w:lang w:val="en-US"/>
        </w:rPr>
      </w:pPr>
      <w:bookmarkStart w:id="16" w:name="_Toc11222"/>
      <w:r>
        <w:rPr>
          <w:rFonts w:hint="eastAsia" w:ascii="宋体" w:hAnsi="宋体" w:eastAsia="宋体" w:cs="宋体"/>
          <w:b/>
          <w:bCs w:val="0"/>
          <w:i w:val="0"/>
          <w:iCs w:val="0"/>
          <w:sz w:val="24"/>
          <w:szCs w:val="24"/>
          <w:lang w:eastAsia="zh-CN"/>
        </w:rPr>
        <w:t>二、申请人的资格要求</w:t>
      </w:r>
      <w:bookmarkEnd w:id="16"/>
    </w:p>
    <w:p w14:paraId="36AD0A6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kern w:val="2"/>
          <w:sz w:val="24"/>
          <w:szCs w:val="24"/>
          <w:lang w:val="en-US" w:eastAsia="zh-CN" w:bidi="ar"/>
        </w:rPr>
      </w:pPr>
      <w:r>
        <w:rPr>
          <w:rFonts w:hint="eastAsia" w:ascii="宋体" w:hAnsi="宋体" w:eastAsia="宋体" w:cs="宋体"/>
          <w:i w:val="0"/>
          <w:iCs w:val="0"/>
          <w:kern w:val="2"/>
          <w:sz w:val="24"/>
          <w:szCs w:val="24"/>
          <w:lang w:val="en-US" w:eastAsia="zh-CN" w:bidi="ar"/>
        </w:rPr>
        <w:t>1.满足《中华人民共和国政府采购法》第二十二条规定；</w:t>
      </w:r>
    </w:p>
    <w:p w14:paraId="4EBC01B7">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outlineLvl w:val="9"/>
        <w:rPr>
          <w:rFonts w:hint="eastAsia" w:ascii="宋体" w:hAnsi="宋体" w:eastAsia="宋体" w:cs="宋体"/>
          <w:i w:val="0"/>
          <w:iCs w:val="0"/>
          <w:kern w:val="2"/>
          <w:sz w:val="24"/>
          <w:szCs w:val="24"/>
          <w:highlight w:val="none"/>
          <w:lang w:val="en-US" w:eastAsia="zh-CN" w:bidi="ar"/>
        </w:rPr>
      </w:pPr>
      <w:r>
        <w:rPr>
          <w:rFonts w:hint="eastAsia" w:ascii="宋体" w:hAnsi="宋体" w:eastAsia="宋体" w:cs="宋体"/>
          <w:i w:val="0"/>
          <w:iCs w:val="0"/>
          <w:kern w:val="2"/>
          <w:sz w:val="24"/>
          <w:szCs w:val="24"/>
          <w:highlight w:val="none"/>
          <w:lang w:val="en-US" w:eastAsia="zh-CN" w:bidi="ar"/>
        </w:rPr>
        <w:t>1.1具有独立承担民事责任的能力。提供法人或者其他组织的营业执照等证明文件</w:t>
      </w:r>
      <w:r>
        <w:rPr>
          <w:rFonts w:hint="eastAsia" w:ascii="宋体" w:hAnsi="宋体" w:cs="宋体"/>
          <w:i w:val="0"/>
          <w:iCs w:val="0"/>
          <w:color w:val="auto"/>
          <w:kern w:val="2"/>
          <w:sz w:val="24"/>
          <w:szCs w:val="24"/>
          <w:highlight w:val="none"/>
          <w:lang w:val="en-US" w:eastAsia="zh-CN" w:bidi="ar"/>
        </w:rPr>
        <w:t>。</w:t>
      </w:r>
    </w:p>
    <w:p w14:paraId="7815707E">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outlineLvl w:val="9"/>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kern w:val="2"/>
          <w:sz w:val="24"/>
          <w:szCs w:val="24"/>
          <w:highlight w:val="none"/>
          <w:lang w:val="en-US" w:eastAsia="zh-CN" w:bidi="ar"/>
        </w:rPr>
        <w:t>1.2具有良好的商业信誉和健全的财务会计制度。投标人须提供</w:t>
      </w:r>
      <w:r>
        <w:rPr>
          <w:rFonts w:hint="eastAsia" w:ascii="宋体" w:hAnsi="宋体" w:eastAsia="宋体" w:cs="宋体"/>
          <w:i w:val="0"/>
          <w:iCs w:val="0"/>
          <w:color w:val="auto"/>
          <w:kern w:val="2"/>
          <w:sz w:val="24"/>
          <w:szCs w:val="24"/>
          <w:highlight w:val="none"/>
          <w:u w:val="none"/>
          <w:lang w:val="en-US" w:eastAsia="zh-CN" w:bidi="ar"/>
        </w:rPr>
        <w:t>2023</w:t>
      </w:r>
      <w:r>
        <w:rPr>
          <w:rFonts w:hint="eastAsia" w:ascii="宋体" w:hAnsi="宋体" w:eastAsia="宋体" w:cs="宋体"/>
          <w:i w:val="0"/>
          <w:iCs w:val="0"/>
          <w:color w:val="auto"/>
          <w:kern w:val="2"/>
          <w:sz w:val="24"/>
          <w:szCs w:val="24"/>
          <w:highlight w:val="none"/>
          <w:lang w:val="en-US" w:eastAsia="zh-CN" w:bidi="ar"/>
        </w:rPr>
        <w:t>年或2024年经</w:t>
      </w:r>
      <w:r>
        <w:rPr>
          <w:rFonts w:hint="eastAsia" w:ascii="宋体" w:hAnsi="宋体" w:cs="宋体"/>
          <w:i w:val="0"/>
          <w:iCs w:val="0"/>
          <w:color w:val="auto"/>
          <w:kern w:val="2"/>
          <w:sz w:val="24"/>
          <w:szCs w:val="24"/>
          <w:highlight w:val="none"/>
          <w:lang w:val="en-US" w:eastAsia="zh-CN" w:bidi="ar"/>
        </w:rPr>
        <w:t>审计的</w:t>
      </w:r>
      <w:r>
        <w:rPr>
          <w:rFonts w:hint="eastAsia" w:ascii="宋体" w:hAnsi="宋体" w:eastAsia="宋体" w:cs="宋体"/>
          <w:i w:val="0"/>
          <w:iCs w:val="0"/>
          <w:color w:val="auto"/>
          <w:kern w:val="2"/>
          <w:sz w:val="24"/>
          <w:szCs w:val="24"/>
          <w:highlight w:val="none"/>
          <w:lang w:val="en-US" w:eastAsia="zh-CN" w:bidi="ar"/>
        </w:rPr>
        <w:t>财务报</w:t>
      </w:r>
      <w:r>
        <w:rPr>
          <w:rFonts w:hint="eastAsia" w:ascii="宋体" w:hAnsi="宋体" w:cs="宋体"/>
          <w:i w:val="0"/>
          <w:iCs w:val="0"/>
          <w:color w:val="auto"/>
          <w:kern w:val="2"/>
          <w:sz w:val="24"/>
          <w:szCs w:val="24"/>
          <w:highlight w:val="none"/>
          <w:lang w:val="en-US" w:eastAsia="zh-CN" w:bidi="ar"/>
        </w:rPr>
        <w:t>告</w:t>
      </w:r>
      <w:r>
        <w:rPr>
          <w:rFonts w:hint="eastAsia" w:ascii="宋体" w:hAnsi="宋体" w:eastAsia="宋体" w:cs="宋体"/>
          <w:i w:val="0"/>
          <w:iCs w:val="0"/>
          <w:color w:val="auto"/>
          <w:kern w:val="2"/>
          <w:sz w:val="24"/>
          <w:szCs w:val="24"/>
          <w:highlight w:val="none"/>
          <w:lang w:val="en-US" w:eastAsia="zh-CN" w:bidi="ar"/>
        </w:rPr>
        <w:t>(包括资产负债表、利润表、现金流量表)，新成立不满</w:t>
      </w:r>
      <w:r>
        <w:rPr>
          <w:rFonts w:hint="eastAsia" w:ascii="宋体" w:hAnsi="宋体" w:eastAsia="宋体" w:cs="宋体"/>
          <w:i w:val="0"/>
          <w:iCs w:val="0"/>
          <w:color w:val="auto"/>
          <w:kern w:val="2"/>
          <w:sz w:val="24"/>
          <w:szCs w:val="24"/>
          <w:highlight w:val="none"/>
          <w:u w:val="single"/>
          <w:lang w:val="en-US" w:eastAsia="zh-CN" w:bidi="ar"/>
        </w:rPr>
        <w:t>1</w:t>
      </w:r>
      <w:r>
        <w:rPr>
          <w:rFonts w:hint="eastAsia" w:ascii="宋体" w:hAnsi="宋体" w:eastAsia="宋体" w:cs="宋体"/>
          <w:i w:val="0"/>
          <w:iCs w:val="0"/>
          <w:color w:val="auto"/>
          <w:kern w:val="2"/>
          <w:sz w:val="24"/>
          <w:szCs w:val="24"/>
          <w:highlight w:val="none"/>
          <w:lang w:val="en-US" w:eastAsia="zh-CN" w:bidi="ar"/>
        </w:rPr>
        <w:t>年的投标人提供自成立至今</w:t>
      </w:r>
      <w:r>
        <w:rPr>
          <w:rFonts w:hint="eastAsia" w:ascii="宋体" w:hAnsi="宋体" w:cs="宋体"/>
          <w:i w:val="0"/>
          <w:iCs w:val="0"/>
          <w:color w:val="auto"/>
          <w:kern w:val="2"/>
          <w:sz w:val="24"/>
          <w:szCs w:val="24"/>
          <w:highlight w:val="none"/>
          <w:lang w:val="en-US" w:eastAsia="zh-CN" w:bidi="ar"/>
        </w:rPr>
        <w:t>的</w:t>
      </w:r>
      <w:r>
        <w:rPr>
          <w:rFonts w:hint="eastAsia" w:ascii="宋体" w:hAnsi="宋体" w:eastAsia="宋体" w:cs="宋体"/>
          <w:i w:val="0"/>
          <w:iCs w:val="0"/>
          <w:color w:val="auto"/>
          <w:kern w:val="2"/>
          <w:sz w:val="24"/>
          <w:szCs w:val="24"/>
          <w:highlight w:val="none"/>
          <w:lang w:val="en-US" w:eastAsia="zh-CN" w:bidi="ar"/>
        </w:rPr>
        <w:t>财务报</w:t>
      </w:r>
      <w:r>
        <w:rPr>
          <w:rFonts w:hint="eastAsia" w:ascii="宋体" w:hAnsi="宋体" w:cs="宋体"/>
          <w:i w:val="0"/>
          <w:iCs w:val="0"/>
          <w:color w:val="auto"/>
          <w:kern w:val="2"/>
          <w:sz w:val="24"/>
          <w:szCs w:val="24"/>
          <w:highlight w:val="none"/>
          <w:lang w:val="en-US" w:eastAsia="zh-CN" w:bidi="ar"/>
        </w:rPr>
        <w:t>表；</w:t>
      </w:r>
    </w:p>
    <w:p w14:paraId="7545E818">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outlineLvl w:val="9"/>
        <w:rPr>
          <w:rFonts w:hint="eastAsia" w:ascii="宋体" w:hAnsi="宋体" w:eastAsia="宋体" w:cs="宋体"/>
          <w:color w:val="auto"/>
          <w:sz w:val="24"/>
          <w:szCs w:val="24"/>
          <w:highlight w:val="none"/>
        </w:rPr>
      </w:pPr>
      <w:r>
        <w:rPr>
          <w:rFonts w:hint="eastAsia" w:ascii="宋体" w:hAnsi="宋体" w:eastAsia="宋体" w:cs="宋体"/>
          <w:i w:val="0"/>
          <w:iCs w:val="0"/>
          <w:color w:val="auto"/>
          <w:kern w:val="2"/>
          <w:sz w:val="24"/>
          <w:szCs w:val="24"/>
          <w:highlight w:val="none"/>
          <w:lang w:val="en-US" w:eastAsia="zh-CN" w:bidi="ar"/>
        </w:rPr>
        <w:t>1.3具有履行合同所必需的设备和专业技术能力。</w:t>
      </w:r>
      <w:r>
        <w:rPr>
          <w:rFonts w:hint="eastAsia" w:ascii="宋体" w:hAnsi="宋体" w:eastAsia="宋体" w:cs="宋体"/>
          <w:color w:val="auto"/>
          <w:sz w:val="24"/>
          <w:szCs w:val="24"/>
          <w:highlight w:val="none"/>
          <w:lang w:eastAsia="zh-CN"/>
        </w:rPr>
        <w:t>提供具备履行合同所必需的设备和专业技术能力的证明材料</w:t>
      </w:r>
      <w:r>
        <w:rPr>
          <w:rFonts w:hint="eastAsia" w:ascii="宋体" w:hAnsi="宋体" w:eastAsia="宋体" w:cs="宋体"/>
          <w:color w:val="auto"/>
          <w:sz w:val="24"/>
          <w:szCs w:val="24"/>
          <w:highlight w:val="none"/>
        </w:rPr>
        <w:t>。</w:t>
      </w:r>
    </w:p>
    <w:p w14:paraId="4411A1D3">
      <w:pPr>
        <w:spacing w:line="360" w:lineRule="auto"/>
        <w:ind w:firstLine="480" w:firstLineChars="200"/>
        <w:jc w:val="both"/>
        <w:rPr>
          <w:rFonts w:hint="eastAsia" w:ascii="宋体" w:hAnsi="宋体" w:cs="宋体"/>
          <w:color w:val="auto"/>
          <w:kern w:val="2"/>
          <w:sz w:val="24"/>
          <w:szCs w:val="24"/>
          <w:highlight w:val="none"/>
          <w:lang w:bidi="ar"/>
        </w:rPr>
      </w:pPr>
      <w:r>
        <w:rPr>
          <w:rFonts w:hint="eastAsia" w:ascii="宋体" w:hAnsi="宋体" w:eastAsia="宋体" w:cs="宋体"/>
          <w:i w:val="0"/>
          <w:iCs w:val="0"/>
          <w:color w:val="auto"/>
          <w:kern w:val="2"/>
          <w:sz w:val="24"/>
          <w:szCs w:val="24"/>
          <w:highlight w:val="none"/>
          <w:lang w:val="en-US" w:eastAsia="zh-CN" w:bidi="ar"/>
        </w:rPr>
        <w:t>1.4</w:t>
      </w:r>
      <w:r>
        <w:rPr>
          <w:rFonts w:hint="eastAsia" w:ascii="宋体" w:hAnsi="宋体" w:eastAsia="宋体" w:cs="宋体"/>
          <w:b w:val="0"/>
          <w:bCs w:val="0"/>
          <w:i w:val="0"/>
          <w:iCs w:val="0"/>
          <w:color w:val="auto"/>
          <w:kern w:val="2"/>
          <w:sz w:val="24"/>
          <w:szCs w:val="24"/>
          <w:highlight w:val="none"/>
          <w:lang w:val="en-US" w:eastAsia="zh-CN" w:bidi="ar"/>
        </w:rPr>
        <w:t>有依法缴纳税收和社会保障资金的良好记录。</w:t>
      </w:r>
      <w:r>
        <w:rPr>
          <w:rFonts w:hint="eastAsia" w:ascii="宋体" w:hAnsi="宋体" w:cs="宋体"/>
          <w:color w:val="auto"/>
          <w:kern w:val="2"/>
          <w:sz w:val="24"/>
          <w:szCs w:val="24"/>
          <w:highlight w:val="none"/>
          <w:lang w:eastAsia="zh-CN" w:bidi="ar"/>
        </w:rPr>
        <w:t>提供202</w:t>
      </w:r>
      <w:r>
        <w:rPr>
          <w:rFonts w:hint="eastAsia" w:ascii="宋体" w:hAnsi="宋体" w:cs="宋体"/>
          <w:color w:val="auto"/>
          <w:kern w:val="2"/>
          <w:sz w:val="24"/>
          <w:szCs w:val="24"/>
          <w:highlight w:val="none"/>
          <w:lang w:val="en-US" w:eastAsia="zh-CN" w:bidi="ar"/>
        </w:rPr>
        <w:t>5</w:t>
      </w:r>
      <w:r>
        <w:rPr>
          <w:rFonts w:hint="eastAsia" w:ascii="宋体" w:hAnsi="宋体" w:cs="宋体"/>
          <w:color w:val="auto"/>
          <w:kern w:val="2"/>
          <w:sz w:val="24"/>
          <w:szCs w:val="24"/>
          <w:highlight w:val="none"/>
          <w:lang w:eastAsia="zh-CN" w:bidi="ar"/>
        </w:rPr>
        <w:t>年1月至今任意3个月</w:t>
      </w:r>
      <w:r>
        <w:rPr>
          <w:rFonts w:hint="eastAsia" w:ascii="宋体" w:hAnsi="宋体" w:cs="宋体"/>
          <w:color w:val="auto"/>
          <w:kern w:val="2"/>
          <w:sz w:val="24"/>
          <w:szCs w:val="24"/>
          <w:highlight w:val="none"/>
          <w:lang w:bidi="ar"/>
        </w:rPr>
        <w:t>依法缴纳税收和缴纳社会保障资金的证明(成立未满</w:t>
      </w:r>
      <w:r>
        <w:rPr>
          <w:rFonts w:hint="eastAsia" w:ascii="宋体" w:hAnsi="宋体" w:cs="宋体"/>
          <w:color w:val="auto"/>
          <w:kern w:val="2"/>
          <w:sz w:val="24"/>
          <w:szCs w:val="24"/>
          <w:highlight w:val="none"/>
          <w:lang w:val="en-US" w:eastAsia="zh-CN" w:bidi="ar"/>
        </w:rPr>
        <w:t>3</w:t>
      </w:r>
      <w:r>
        <w:rPr>
          <w:rFonts w:hint="eastAsia" w:ascii="宋体" w:hAnsi="宋体" w:cs="宋体"/>
          <w:color w:val="auto"/>
          <w:kern w:val="2"/>
          <w:sz w:val="24"/>
          <w:szCs w:val="24"/>
          <w:highlight w:val="none"/>
          <w:lang w:bidi="ar"/>
        </w:rPr>
        <w:t>个月的提供成立以来的税收和社会保障资金缴纳凭据；依法免税或不需要缴纳社会保障资金的供应商，应提供相应文</w:t>
      </w:r>
      <w:r>
        <w:rPr>
          <w:rFonts w:hint="eastAsia" w:ascii="宋体" w:hAnsi="宋体" w:cs="宋体"/>
          <w:color w:val="auto"/>
          <w:sz w:val="24"/>
          <w:szCs w:val="24"/>
          <w:highlight w:val="none"/>
        </w:rPr>
        <w:t>件证明其依法免税或不需要缴纳社会保障资金)。</w:t>
      </w:r>
    </w:p>
    <w:p w14:paraId="15526CF3">
      <w:pPr>
        <w:pageBreakBefore w:val="0"/>
        <w:kinsoku/>
        <w:wordWrap/>
        <w:overflowPunct/>
        <w:topLinePunct w:val="0"/>
        <w:autoSpaceDE/>
        <w:autoSpaceDN/>
        <w:bidi w:val="0"/>
        <w:adjustRightInd/>
        <w:snapToGrid/>
        <w:spacing w:before="0" w:after="0" w:line="360" w:lineRule="auto"/>
        <w:ind w:firstLine="480" w:firstLineChars="200"/>
        <w:jc w:val="both"/>
        <w:textAlignment w:val="auto"/>
        <w:outlineLvl w:val="9"/>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1.5参加政府采购活动前三年内，在经营活动中没有重大违法记录。提供参加政府采购活动前三年内在经营活动中没有重大违法记录的书面声明。</w:t>
      </w:r>
    </w:p>
    <w:p w14:paraId="0C193FEB">
      <w:pPr>
        <w:pageBreakBefore w:val="0"/>
        <w:kinsoku/>
        <w:wordWrap/>
        <w:overflowPunct/>
        <w:topLinePunct w:val="0"/>
        <w:autoSpaceDE/>
        <w:autoSpaceDN/>
        <w:bidi w:val="0"/>
        <w:adjustRightInd/>
        <w:snapToGrid/>
        <w:spacing w:line="360" w:lineRule="auto"/>
        <w:ind w:firstLine="465"/>
        <w:textAlignment w:val="auto"/>
        <w:outlineLvl w:val="9"/>
        <w:rPr>
          <w:rFonts w:hint="eastAsia" w:ascii="宋体" w:hAnsi="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1.6</w:t>
      </w:r>
      <w:r>
        <w:rPr>
          <w:rFonts w:hint="eastAsia" w:ascii="宋体" w:hAnsi="宋体" w:cs="宋体"/>
          <w:b w:val="0"/>
          <w:bCs w:val="0"/>
          <w:color w:val="auto"/>
          <w:sz w:val="24"/>
          <w:szCs w:val="24"/>
          <w:highlight w:val="none"/>
          <w:lang w:val="en-US" w:eastAsia="zh-CN" w:bidi="ar-SA"/>
        </w:rPr>
        <w:t>法律、行政法规规定的其他条件。</w:t>
      </w:r>
    </w:p>
    <w:p w14:paraId="1A40AE21">
      <w:pPr>
        <w:pStyle w:val="11"/>
        <w:ind w:firstLine="465"/>
        <w:outlineLvl w:val="9"/>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1.6.1 单位负责人为同一人或者存在直接控股、管理关系的不同供应商，不得参加同一合同项下的政府采购活动。</w:t>
      </w:r>
    </w:p>
    <w:p w14:paraId="29F8C683">
      <w:pPr>
        <w:pStyle w:val="11"/>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为采购项目提供整体设计、规范编制或者项目管理、监理、检测等服务的供应商，不得再参加该采购项目的其他采购活动。</w:t>
      </w:r>
    </w:p>
    <w:p w14:paraId="705140C9">
      <w:pPr>
        <w:pStyle w:val="11"/>
        <w:keepNext w:val="0"/>
        <w:keepLines w:val="0"/>
        <w:pageBreakBefore w:val="0"/>
        <w:kinsoku/>
        <w:wordWrap/>
        <w:overflowPunct/>
        <w:topLinePunct w:val="0"/>
        <w:autoSpaceDE/>
        <w:autoSpaceDN/>
        <w:bidi w:val="0"/>
        <w:adjustRightInd/>
        <w:snapToGrid/>
        <w:ind w:firstLine="465"/>
        <w:textAlignment w:val="auto"/>
        <w:outlineLvl w:val="9"/>
        <w:rPr>
          <w:rFonts w:hint="eastAsia"/>
          <w:color w:val="auto"/>
          <w:highlight w:val="none"/>
          <w:lang w:val="en-US"/>
        </w:rPr>
      </w:pPr>
      <w:r>
        <w:rPr>
          <w:rFonts w:hint="eastAsia" w:ascii="宋体" w:hAnsi="宋体" w:eastAsia="宋体" w:cs="宋体"/>
          <w:b w:val="0"/>
          <w:bCs w:val="0"/>
          <w:color w:val="auto"/>
          <w:kern w:val="0"/>
          <w:sz w:val="24"/>
          <w:szCs w:val="24"/>
          <w:highlight w:val="none"/>
          <w:lang w:val="en-US" w:eastAsia="zh-CN" w:bidi="ar-SA"/>
        </w:rPr>
        <w:t>1.6.2投标人应在“信用中国”网站(www.creditchina.gov.cn)未被列入失信被执行人记录、重大税收违法失信主体且在中国政府采购网(www.ccgp.gov.cn)没有政府采购严重违法失信行为记录。</w:t>
      </w:r>
    </w:p>
    <w:p w14:paraId="6C63675E">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olor w:val="auto"/>
          <w:kern w:val="2"/>
          <w:sz w:val="24"/>
          <w:szCs w:val="24"/>
          <w:highlight w:val="none"/>
          <w:u w:val="single"/>
          <w:lang w:val="en-US" w:eastAsia="zh-CN" w:bidi="ar"/>
        </w:rPr>
      </w:pPr>
      <w:bookmarkStart w:id="17" w:name="_Toc28359081"/>
      <w:bookmarkStart w:id="18" w:name="_Toc28359004"/>
      <w:r>
        <w:rPr>
          <w:rFonts w:hint="eastAsia" w:ascii="宋体" w:hAnsi="宋体" w:eastAsia="宋体" w:cs="宋体"/>
          <w:i w:val="0"/>
          <w:iCs w:val="0"/>
          <w:color w:val="auto"/>
          <w:kern w:val="2"/>
          <w:sz w:val="24"/>
          <w:szCs w:val="24"/>
          <w:highlight w:val="none"/>
          <w:lang w:val="en-US" w:eastAsia="zh-CN" w:bidi="ar"/>
        </w:rPr>
        <w:t>2.落实政府采购政策需满足的资格要求</w:t>
      </w:r>
      <w:r>
        <w:rPr>
          <w:rFonts w:hint="eastAsia" w:ascii="宋体" w:hAnsi="宋体" w:eastAsia="宋体" w:cs="宋体"/>
          <w:i w:val="0"/>
          <w:iCs w:val="0"/>
          <w:color w:val="auto"/>
          <w:kern w:val="2"/>
          <w:sz w:val="24"/>
          <w:szCs w:val="24"/>
          <w:highlight w:val="none"/>
          <w:u w:val="none"/>
          <w:lang w:val="en-US" w:eastAsia="zh-CN" w:bidi="ar"/>
        </w:rPr>
        <w:t>：</w:t>
      </w:r>
      <w:r>
        <w:rPr>
          <w:rFonts w:hint="eastAsia" w:ascii="宋体" w:hAnsi="宋体" w:eastAsia="宋体" w:cs="宋体"/>
          <w:color w:val="auto"/>
          <w:sz w:val="24"/>
          <w:lang w:val="en-US" w:eastAsia="zh-CN" w:bidi="ar"/>
        </w:rPr>
        <w:t>本项</w:t>
      </w:r>
      <w:r>
        <w:rPr>
          <w:rFonts w:hint="eastAsia" w:ascii="宋体" w:hAnsi="宋体" w:eastAsia="宋体" w:cs="宋体"/>
          <w:color w:val="auto"/>
          <w:sz w:val="24"/>
          <w:highlight w:val="none"/>
          <w:shd w:val="clear"/>
          <w:lang w:val="en-US" w:eastAsia="zh-CN" w:bidi="ar"/>
        </w:rPr>
        <w:t>目不</w:t>
      </w:r>
      <w:r>
        <w:rPr>
          <w:rFonts w:hint="eastAsia" w:ascii="宋体" w:hAnsi="宋体" w:eastAsia="宋体" w:cs="宋体"/>
          <w:color w:val="auto"/>
          <w:sz w:val="24"/>
          <w:highlight w:val="none"/>
          <w:shd w:val="clear"/>
          <w:lang w:bidi="ar"/>
        </w:rPr>
        <w:t>专门面向中小企业</w:t>
      </w:r>
      <w:r>
        <w:rPr>
          <w:rFonts w:hint="eastAsia" w:ascii="宋体" w:hAnsi="宋体" w:eastAsia="宋体" w:cs="宋体"/>
          <w:i w:val="0"/>
          <w:iCs w:val="0"/>
          <w:color w:val="auto"/>
          <w:kern w:val="2"/>
          <w:sz w:val="24"/>
          <w:szCs w:val="24"/>
          <w:highlight w:val="none"/>
          <w:u w:val="none"/>
          <w:lang w:val="en-US" w:eastAsia="zh-CN" w:bidi="ar"/>
        </w:rPr>
        <w:t>。</w:t>
      </w:r>
    </w:p>
    <w:p w14:paraId="3555E191">
      <w:pPr>
        <w:pStyle w:val="11"/>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3.本项目的特定资格要求：</w:t>
      </w:r>
    </w:p>
    <w:p w14:paraId="573C3EA5">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default" w:ascii="宋体" w:hAnsi="宋体" w:eastAsia="宋体" w:cs="宋体"/>
          <w:kern w:val="2"/>
          <w:sz w:val="24"/>
          <w:lang w:val="en-US" w:eastAsia="zh-CN"/>
        </w:rPr>
      </w:pPr>
      <w:r>
        <w:rPr>
          <w:rFonts w:hint="eastAsia" w:ascii="宋体" w:hAnsi="宋体" w:eastAsia="宋体" w:cs="宋体"/>
          <w:kern w:val="2"/>
          <w:sz w:val="24"/>
          <w:lang w:val="en-US" w:eastAsia="zh-CN"/>
        </w:rPr>
        <w:t>3</w:t>
      </w:r>
      <w:r>
        <w:rPr>
          <w:rFonts w:hint="default" w:ascii="宋体" w:hAnsi="宋体" w:eastAsia="宋体" w:cs="宋体"/>
          <w:kern w:val="2"/>
          <w:sz w:val="24"/>
          <w:lang w:val="en-US" w:eastAsia="zh-CN"/>
        </w:rPr>
        <w:t>.1 供应商若为代理商或经销商，须提供医疗器械经营许可/备案证，所投产品制造商医疗器械生产许可/备案证(制造商工商注册地在中华人民共和国境外的，不作此要求)、所投产品的医疗器械注册证及附件；</w:t>
      </w:r>
    </w:p>
    <w:p w14:paraId="3E1D2BE1">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default" w:ascii="宋体" w:hAnsi="宋体" w:eastAsia="宋体" w:cs="宋体"/>
          <w:kern w:val="2"/>
          <w:sz w:val="24"/>
          <w:lang w:val="en-US" w:eastAsia="zh-CN"/>
        </w:rPr>
      </w:pPr>
      <w:r>
        <w:rPr>
          <w:rFonts w:hint="eastAsia" w:ascii="宋体" w:hAnsi="宋体" w:eastAsia="宋体" w:cs="宋体"/>
          <w:kern w:val="2"/>
          <w:sz w:val="24"/>
          <w:lang w:val="en-US" w:eastAsia="zh-CN"/>
        </w:rPr>
        <w:t>3</w:t>
      </w:r>
      <w:r>
        <w:rPr>
          <w:rFonts w:hint="default" w:ascii="宋体" w:hAnsi="宋体" w:eastAsia="宋体" w:cs="宋体"/>
          <w:kern w:val="2"/>
          <w:sz w:val="24"/>
          <w:lang w:val="en-US" w:eastAsia="zh-CN"/>
        </w:rPr>
        <w:t>.2 供应商若为制造商，须提供医疗器械生产许可/备案证(制造商工商注册地在中华人民共和国境外的，不作此要求)、所投产品的医疗器械注册证及附件；</w:t>
      </w:r>
    </w:p>
    <w:p w14:paraId="237D7481">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default" w:ascii="宋体" w:hAnsi="宋体" w:eastAsia="宋体" w:cs="宋体"/>
          <w:kern w:val="2"/>
          <w:sz w:val="24"/>
          <w:lang w:val="en-US" w:eastAsia="zh-CN"/>
        </w:rPr>
      </w:pPr>
      <w:r>
        <w:rPr>
          <w:rFonts w:hint="eastAsia" w:ascii="宋体" w:hAnsi="宋体" w:eastAsia="宋体" w:cs="宋体"/>
          <w:kern w:val="2"/>
          <w:sz w:val="24"/>
          <w:lang w:val="en-US" w:eastAsia="zh-CN"/>
        </w:rPr>
        <w:t>3</w:t>
      </w:r>
      <w:r>
        <w:rPr>
          <w:rFonts w:hint="default" w:ascii="宋体" w:hAnsi="宋体" w:eastAsia="宋体" w:cs="宋体"/>
          <w:kern w:val="2"/>
          <w:sz w:val="24"/>
          <w:lang w:val="en-US" w:eastAsia="zh-CN"/>
        </w:rPr>
        <w:t>.3医疗器械生产或经营许可/备案证生产或经营范围须覆盖所投第二、三类医疗器械(扫描件加盖电 子公章。根据中华人民共和国国务院令第739号《医疗器械监督管理条例》和国家药品监督管理局《医疗 器械分类目录》的规定，在《医疗器械分类目录》内的产品必须按照《医疗器械监督管理条例》的要求提供，其他不在《医疗器械分类目录》内的不作强行要求)</w:t>
      </w:r>
      <w:r>
        <w:rPr>
          <w:rFonts w:hint="eastAsia" w:hAnsi="宋体" w:cs="宋体"/>
          <w:kern w:val="2"/>
          <w:sz w:val="24"/>
          <w:lang w:val="en-US" w:eastAsia="zh-CN"/>
        </w:rPr>
        <w:t>；</w:t>
      </w:r>
    </w:p>
    <w:p w14:paraId="0DB32BA4">
      <w:pPr>
        <w:pStyle w:val="11"/>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cs="宋体"/>
          <w:color w:val="auto"/>
          <w:kern w:val="2"/>
          <w:sz w:val="24"/>
          <w:szCs w:val="24"/>
          <w:highlight w:val="none"/>
          <w:lang w:bidi="ar"/>
        </w:rPr>
      </w:pPr>
      <w:r>
        <w:rPr>
          <w:rFonts w:hint="eastAsia" w:ascii="宋体" w:hAnsi="宋体" w:eastAsia="宋体" w:cs="宋体"/>
          <w:kern w:val="2"/>
          <w:sz w:val="24"/>
          <w:lang w:val="en-US" w:eastAsia="zh-CN"/>
        </w:rPr>
        <w:t>3</w:t>
      </w:r>
      <w:r>
        <w:rPr>
          <w:rFonts w:hint="default" w:ascii="宋体" w:hAnsi="宋体" w:eastAsia="宋体" w:cs="宋体"/>
          <w:kern w:val="2"/>
          <w:sz w:val="24"/>
          <w:lang w:val="en-US" w:eastAsia="zh-CN"/>
        </w:rPr>
        <w:t>.4如果所投产品是进口产品并且为代理商或经销商进行投标，必须具有制造商或全国总代或有可追溯的区域产品代理商针对本项目的专项授权书或长期代理授权书(此条仅适用于允许进口产品投标的设备)。 如果授权是二级或二级以下的，必须提供上一级别的授权，并且对制造商所作的所有承诺负完全责任；如果授权书中明确规定不能转授权的，转授权无效，视为未提供授权书；不接受制造商的分公司出具的授权书</w:t>
      </w:r>
      <w:r>
        <w:rPr>
          <w:rFonts w:hint="eastAsia" w:ascii="宋体" w:hAnsi="宋体" w:cs="宋体"/>
          <w:color w:val="auto"/>
          <w:kern w:val="2"/>
          <w:sz w:val="24"/>
          <w:szCs w:val="24"/>
          <w:highlight w:val="none"/>
          <w:lang w:bidi="ar"/>
        </w:rPr>
        <w:t>。</w:t>
      </w:r>
    </w:p>
    <w:p w14:paraId="281FBEBA">
      <w:pPr>
        <w:pStyle w:val="11"/>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cs="宋体"/>
          <w:sz w:val="24"/>
          <w:highlight w:val="none"/>
        </w:rPr>
      </w:pPr>
      <w:bookmarkStart w:id="19" w:name="_Toc29745"/>
      <w:bookmarkStart w:id="20" w:name="_Toc35393792"/>
      <w:bookmarkStart w:id="21" w:name="_Toc35393623"/>
      <w:r>
        <w:rPr>
          <w:rFonts w:hint="eastAsia" w:ascii="宋体" w:hAnsi="宋体" w:eastAsia="宋体" w:cs="宋体"/>
          <w:i w:val="0"/>
          <w:iCs w:val="0"/>
          <w:color w:val="auto"/>
          <w:kern w:val="2"/>
          <w:sz w:val="24"/>
          <w:szCs w:val="24"/>
          <w:highlight w:val="none"/>
          <w:lang w:val="en-US" w:eastAsia="zh-CN" w:bidi="ar"/>
        </w:rPr>
        <w:t>3.</w:t>
      </w:r>
      <w:r>
        <w:rPr>
          <w:rFonts w:hint="eastAsia" w:ascii="宋体" w:hAnsi="宋体" w:cs="宋体"/>
          <w:i w:val="0"/>
          <w:iCs w:val="0"/>
          <w:color w:val="auto"/>
          <w:kern w:val="2"/>
          <w:sz w:val="24"/>
          <w:szCs w:val="24"/>
          <w:highlight w:val="none"/>
          <w:lang w:val="en-US" w:eastAsia="zh-CN" w:bidi="ar"/>
        </w:rPr>
        <w:t>5</w:t>
      </w:r>
      <w:r>
        <w:rPr>
          <w:rFonts w:hint="eastAsia" w:ascii="宋体" w:hAnsi="宋体" w:eastAsia="宋体" w:cs="宋体"/>
          <w:i w:val="0"/>
          <w:iCs w:val="0"/>
          <w:color w:val="auto"/>
          <w:kern w:val="2"/>
          <w:sz w:val="24"/>
          <w:szCs w:val="24"/>
          <w:highlight w:val="none"/>
          <w:lang w:val="en-US" w:eastAsia="zh-CN" w:bidi="ar"/>
        </w:rPr>
        <w:t>本项目不接受联合体投标。</w:t>
      </w:r>
    </w:p>
    <w:p w14:paraId="656175D4">
      <w:pPr>
        <w:pStyle w:val="3"/>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i w:val="0"/>
          <w:iCs w:val="0"/>
          <w:sz w:val="24"/>
          <w:szCs w:val="24"/>
          <w:highlight w:val="none"/>
          <w:lang w:val="en-US"/>
        </w:rPr>
      </w:pPr>
      <w:bookmarkStart w:id="22" w:name="_Toc25951"/>
      <w:r>
        <w:rPr>
          <w:rFonts w:hint="eastAsia" w:ascii="宋体" w:hAnsi="宋体" w:eastAsia="宋体" w:cs="宋体"/>
          <w:b/>
          <w:bCs w:val="0"/>
          <w:i w:val="0"/>
          <w:iCs w:val="0"/>
          <w:sz w:val="24"/>
          <w:szCs w:val="24"/>
          <w:lang w:eastAsia="zh-CN"/>
        </w:rPr>
        <w:t>三、获</w:t>
      </w:r>
      <w:r>
        <w:rPr>
          <w:rFonts w:hint="eastAsia" w:ascii="宋体" w:hAnsi="宋体" w:eastAsia="宋体" w:cs="宋体"/>
          <w:b/>
          <w:bCs w:val="0"/>
          <w:i w:val="0"/>
          <w:iCs w:val="0"/>
          <w:sz w:val="24"/>
          <w:szCs w:val="24"/>
          <w:highlight w:val="none"/>
          <w:lang w:eastAsia="zh-CN"/>
        </w:rPr>
        <w:t>取招标文件</w:t>
      </w:r>
      <w:bookmarkEnd w:id="17"/>
      <w:bookmarkEnd w:id="18"/>
      <w:bookmarkEnd w:id="19"/>
      <w:bookmarkEnd w:id="20"/>
      <w:bookmarkEnd w:id="21"/>
      <w:bookmarkEnd w:id="22"/>
    </w:p>
    <w:p w14:paraId="595ED4F7">
      <w:pPr>
        <w:widowControl w:val="0"/>
        <w:spacing w:line="360" w:lineRule="auto"/>
        <w:ind w:firstLine="540"/>
        <w:jc w:val="both"/>
        <w:rPr>
          <w:rFonts w:ascii="宋体" w:hAnsi="宋体" w:cs="宋体"/>
          <w:kern w:val="2"/>
          <w:sz w:val="24"/>
          <w:szCs w:val="24"/>
          <w:highlight w:val="none"/>
        </w:rPr>
      </w:pPr>
      <w:bookmarkStart w:id="23" w:name="_Toc28359005"/>
      <w:bookmarkStart w:id="24" w:name="_Toc28359082"/>
      <w:bookmarkStart w:id="25" w:name="_Toc35393793"/>
      <w:bookmarkStart w:id="26" w:name="_Toc35393624"/>
      <w:bookmarkStart w:id="27" w:name="_Toc26119"/>
      <w:r>
        <w:rPr>
          <w:rFonts w:hint="eastAsia" w:ascii="宋体" w:hAnsi="宋体" w:cs="宋体"/>
          <w:kern w:val="2"/>
          <w:sz w:val="24"/>
          <w:szCs w:val="24"/>
          <w:highlight w:val="none"/>
        </w:rPr>
        <w:t>时间：</w:t>
      </w:r>
      <w:r>
        <w:rPr>
          <w:rFonts w:hint="eastAsia" w:ascii="宋体" w:hAnsi="宋体" w:cs="宋体"/>
          <w:kern w:val="2"/>
          <w:sz w:val="24"/>
          <w:szCs w:val="24"/>
          <w:highlight w:val="none"/>
          <w:u w:val="single"/>
        </w:rPr>
        <w:t>202</w:t>
      </w:r>
      <w:r>
        <w:rPr>
          <w:rFonts w:hint="eastAsia" w:ascii="宋体" w:hAnsi="宋体" w:cs="宋体"/>
          <w:kern w:val="2"/>
          <w:sz w:val="24"/>
          <w:szCs w:val="24"/>
          <w:highlight w:val="none"/>
          <w:u w:val="single"/>
          <w:lang w:val="en-US" w:eastAsia="zh-CN"/>
        </w:rPr>
        <w:t>5</w:t>
      </w:r>
      <w:r>
        <w:rPr>
          <w:rFonts w:hint="eastAsia" w:ascii="宋体" w:hAnsi="宋体" w:cs="宋体"/>
          <w:kern w:val="2"/>
          <w:sz w:val="24"/>
          <w:szCs w:val="24"/>
          <w:highlight w:val="none"/>
          <w:u w:val="single"/>
        </w:rPr>
        <w:t>年</w:t>
      </w:r>
      <w:r>
        <w:rPr>
          <w:rFonts w:hint="eastAsia" w:ascii="宋体" w:hAnsi="宋体" w:cs="宋体"/>
          <w:kern w:val="2"/>
          <w:sz w:val="24"/>
          <w:szCs w:val="24"/>
          <w:highlight w:val="none"/>
          <w:u w:val="single"/>
          <w:lang w:val="en-US" w:eastAsia="zh-CN"/>
        </w:rPr>
        <w:t xml:space="preserve"> 6 </w:t>
      </w:r>
      <w:r>
        <w:rPr>
          <w:rFonts w:hint="eastAsia" w:ascii="宋体" w:hAnsi="宋体" w:cs="宋体"/>
          <w:kern w:val="2"/>
          <w:sz w:val="24"/>
          <w:szCs w:val="24"/>
          <w:highlight w:val="none"/>
          <w:u w:val="single"/>
        </w:rPr>
        <w:t>月</w:t>
      </w:r>
      <w:r>
        <w:rPr>
          <w:rFonts w:hint="eastAsia" w:ascii="宋体" w:hAnsi="宋体" w:cs="宋体"/>
          <w:kern w:val="2"/>
          <w:sz w:val="24"/>
          <w:szCs w:val="24"/>
          <w:highlight w:val="none"/>
          <w:u w:val="single"/>
          <w:lang w:val="en-US" w:eastAsia="zh-CN"/>
        </w:rPr>
        <w:t xml:space="preserve"> 20 </w:t>
      </w:r>
      <w:r>
        <w:rPr>
          <w:rFonts w:ascii="宋体" w:hAnsi="宋体" w:cs="宋体"/>
          <w:kern w:val="2"/>
          <w:sz w:val="24"/>
          <w:szCs w:val="24"/>
          <w:highlight w:val="none"/>
          <w:u w:val="single"/>
        </w:rPr>
        <w:t>日</w:t>
      </w:r>
      <w:r>
        <w:rPr>
          <w:rFonts w:hint="eastAsia" w:ascii="宋体" w:hAnsi="宋体" w:cs="宋体"/>
          <w:kern w:val="2"/>
          <w:sz w:val="24"/>
          <w:szCs w:val="24"/>
          <w:highlight w:val="none"/>
        </w:rPr>
        <w:t>至</w:t>
      </w:r>
      <w:r>
        <w:rPr>
          <w:rFonts w:hint="eastAsia" w:ascii="宋体" w:hAnsi="宋体" w:cs="宋体"/>
          <w:kern w:val="2"/>
          <w:sz w:val="24"/>
          <w:szCs w:val="24"/>
          <w:highlight w:val="none"/>
          <w:u w:val="single"/>
        </w:rPr>
        <w:t>202</w:t>
      </w:r>
      <w:r>
        <w:rPr>
          <w:rFonts w:hint="eastAsia" w:ascii="宋体" w:hAnsi="宋体" w:cs="宋体"/>
          <w:kern w:val="2"/>
          <w:sz w:val="24"/>
          <w:szCs w:val="24"/>
          <w:highlight w:val="none"/>
          <w:u w:val="single"/>
          <w:lang w:val="en-US" w:eastAsia="zh-CN"/>
        </w:rPr>
        <w:t>5</w:t>
      </w:r>
      <w:r>
        <w:rPr>
          <w:rFonts w:hint="eastAsia" w:ascii="宋体" w:hAnsi="宋体" w:cs="宋体"/>
          <w:kern w:val="2"/>
          <w:sz w:val="24"/>
          <w:szCs w:val="24"/>
          <w:highlight w:val="none"/>
          <w:u w:val="single"/>
        </w:rPr>
        <w:t>年</w:t>
      </w:r>
      <w:r>
        <w:rPr>
          <w:rFonts w:hint="eastAsia" w:ascii="宋体" w:hAnsi="宋体" w:cs="宋体"/>
          <w:kern w:val="2"/>
          <w:sz w:val="24"/>
          <w:szCs w:val="24"/>
          <w:highlight w:val="none"/>
          <w:u w:val="single"/>
          <w:lang w:val="en-US" w:eastAsia="zh-CN"/>
        </w:rPr>
        <w:t xml:space="preserve"> 6 </w:t>
      </w:r>
      <w:r>
        <w:rPr>
          <w:rFonts w:hint="eastAsia" w:ascii="宋体" w:hAnsi="宋体" w:cs="宋体"/>
          <w:kern w:val="2"/>
          <w:sz w:val="24"/>
          <w:szCs w:val="24"/>
          <w:highlight w:val="none"/>
          <w:u w:val="single"/>
        </w:rPr>
        <w:t>月</w:t>
      </w:r>
      <w:r>
        <w:rPr>
          <w:rFonts w:hint="eastAsia" w:ascii="宋体" w:hAnsi="宋体" w:cs="宋体"/>
          <w:kern w:val="2"/>
          <w:sz w:val="24"/>
          <w:szCs w:val="24"/>
          <w:highlight w:val="none"/>
          <w:u w:val="single"/>
          <w:lang w:val="en-US" w:eastAsia="zh-CN"/>
        </w:rPr>
        <w:t xml:space="preserve"> 27 </w:t>
      </w:r>
      <w:r>
        <w:rPr>
          <w:rFonts w:hint="eastAsia" w:ascii="宋体" w:hAnsi="宋体" w:cs="宋体"/>
          <w:kern w:val="2"/>
          <w:sz w:val="24"/>
          <w:szCs w:val="24"/>
          <w:highlight w:val="none"/>
          <w:u w:val="single"/>
        </w:rPr>
        <w:t>日</w:t>
      </w:r>
      <w:r>
        <w:rPr>
          <w:rFonts w:hint="eastAsia" w:ascii="宋体" w:hAnsi="宋体" w:cs="宋体"/>
          <w:kern w:val="2"/>
          <w:sz w:val="24"/>
          <w:szCs w:val="24"/>
          <w:highlight w:val="none"/>
        </w:rPr>
        <w:t>，每天上午</w:t>
      </w:r>
      <w:r>
        <w:rPr>
          <w:rFonts w:hint="eastAsia" w:ascii="宋体" w:hAnsi="宋体" w:cs="宋体"/>
          <w:kern w:val="2"/>
          <w:sz w:val="24"/>
          <w:szCs w:val="24"/>
          <w:highlight w:val="none"/>
          <w:u w:val="single"/>
        </w:rPr>
        <w:t>0</w:t>
      </w:r>
      <w:r>
        <w:rPr>
          <w:rFonts w:hint="eastAsia" w:ascii="宋体" w:hAnsi="宋体" w:cs="宋体"/>
          <w:kern w:val="2"/>
          <w:sz w:val="24"/>
          <w:szCs w:val="24"/>
          <w:highlight w:val="none"/>
          <w:u w:val="single"/>
          <w:lang w:val="en-US" w:eastAsia="zh-CN"/>
        </w:rPr>
        <w:t>6</w:t>
      </w:r>
      <w:r>
        <w:rPr>
          <w:rFonts w:hint="eastAsia" w:ascii="宋体" w:hAnsi="宋体" w:cs="宋体"/>
          <w:kern w:val="2"/>
          <w:sz w:val="24"/>
          <w:szCs w:val="24"/>
          <w:highlight w:val="none"/>
          <w:u w:val="single"/>
        </w:rPr>
        <w:t>:00</w:t>
      </w:r>
      <w:r>
        <w:rPr>
          <w:rFonts w:hint="eastAsia" w:ascii="宋体" w:hAnsi="宋体" w:cs="宋体"/>
          <w:kern w:val="2"/>
          <w:sz w:val="24"/>
          <w:szCs w:val="24"/>
          <w:highlight w:val="none"/>
        </w:rPr>
        <w:t>至</w:t>
      </w:r>
      <w:r>
        <w:rPr>
          <w:rFonts w:hint="eastAsia" w:ascii="宋体" w:hAnsi="宋体" w:cs="宋体"/>
          <w:kern w:val="2"/>
          <w:sz w:val="24"/>
          <w:szCs w:val="24"/>
          <w:highlight w:val="none"/>
          <w:u w:val="single"/>
        </w:rPr>
        <w:t>1</w:t>
      </w:r>
      <w:r>
        <w:rPr>
          <w:rFonts w:ascii="宋体" w:hAnsi="宋体" w:cs="宋体"/>
          <w:kern w:val="2"/>
          <w:sz w:val="24"/>
          <w:szCs w:val="24"/>
          <w:highlight w:val="none"/>
          <w:u w:val="single"/>
        </w:rPr>
        <w:t>2</w:t>
      </w:r>
      <w:r>
        <w:rPr>
          <w:rFonts w:hint="eastAsia" w:ascii="宋体" w:hAnsi="宋体" w:cs="宋体"/>
          <w:kern w:val="2"/>
          <w:sz w:val="24"/>
          <w:szCs w:val="24"/>
          <w:highlight w:val="none"/>
          <w:u w:val="single"/>
        </w:rPr>
        <w:t>:0</w:t>
      </w:r>
      <w:r>
        <w:rPr>
          <w:rFonts w:ascii="宋体" w:hAnsi="宋体" w:cs="宋体"/>
          <w:kern w:val="2"/>
          <w:sz w:val="24"/>
          <w:szCs w:val="24"/>
          <w:highlight w:val="none"/>
          <w:u w:val="single"/>
        </w:rPr>
        <w:t>0</w:t>
      </w:r>
      <w:r>
        <w:rPr>
          <w:rFonts w:hint="eastAsia" w:ascii="宋体" w:hAnsi="宋体" w:cs="宋体"/>
          <w:kern w:val="2"/>
          <w:sz w:val="24"/>
          <w:szCs w:val="24"/>
          <w:highlight w:val="none"/>
        </w:rPr>
        <w:t>，下午</w:t>
      </w:r>
      <w:r>
        <w:rPr>
          <w:rFonts w:hint="eastAsia" w:ascii="宋体" w:hAnsi="宋体" w:cs="宋体"/>
          <w:kern w:val="2"/>
          <w:sz w:val="24"/>
          <w:szCs w:val="24"/>
          <w:highlight w:val="none"/>
          <w:u w:val="single"/>
        </w:rPr>
        <w:t>12:00</w:t>
      </w:r>
      <w:r>
        <w:rPr>
          <w:rFonts w:hint="eastAsia" w:ascii="宋体" w:hAnsi="宋体" w:cs="宋体"/>
          <w:kern w:val="2"/>
          <w:sz w:val="24"/>
          <w:szCs w:val="24"/>
          <w:highlight w:val="none"/>
        </w:rPr>
        <w:t>至</w:t>
      </w:r>
      <w:r>
        <w:rPr>
          <w:rFonts w:hint="eastAsia" w:ascii="宋体" w:hAnsi="宋体" w:cs="宋体"/>
          <w:kern w:val="2"/>
          <w:sz w:val="24"/>
          <w:szCs w:val="24"/>
          <w:highlight w:val="none"/>
          <w:u w:val="single"/>
        </w:rPr>
        <w:t>23:59</w:t>
      </w:r>
      <w:r>
        <w:rPr>
          <w:rFonts w:hint="eastAsia" w:ascii="宋体" w:hAnsi="宋体" w:cs="宋体"/>
          <w:kern w:val="2"/>
          <w:sz w:val="24"/>
          <w:szCs w:val="24"/>
          <w:highlight w:val="none"/>
        </w:rPr>
        <w:t>（北京时间，法定节假日除外）</w:t>
      </w:r>
    </w:p>
    <w:p w14:paraId="3A11982B">
      <w:pPr>
        <w:widowControl w:val="0"/>
        <w:spacing w:line="360" w:lineRule="auto"/>
        <w:ind w:firstLine="540"/>
        <w:jc w:val="both"/>
        <w:rPr>
          <w:rFonts w:ascii="宋体" w:hAnsi="宋体" w:cs="宋体"/>
          <w:kern w:val="2"/>
          <w:sz w:val="24"/>
          <w:szCs w:val="24"/>
          <w:highlight w:val="none"/>
          <w:lang w:bidi="ar"/>
        </w:rPr>
      </w:pPr>
      <w:r>
        <w:rPr>
          <w:rFonts w:hint="eastAsia" w:ascii="宋体" w:hAnsi="宋体" w:cs="宋体"/>
          <w:kern w:val="2"/>
          <w:sz w:val="24"/>
          <w:szCs w:val="24"/>
          <w:highlight w:val="none"/>
          <w:lang w:bidi="ar"/>
        </w:rPr>
        <w:t>地点：供应商可自行在“政采云”平台（http：//www.zcygov.cn）下载采购文件（操作路径：登录“政采云”平台-项目采购-获取采购文件-找到本项目-点击“申请获取采购文件”），电子投标文件制作需要基于“政采云”平台（http：//www.zcygov.cn）获取的采购文件编制。</w:t>
      </w:r>
    </w:p>
    <w:p w14:paraId="217A385C">
      <w:pPr>
        <w:widowControl w:val="0"/>
        <w:spacing w:line="360" w:lineRule="auto"/>
        <w:ind w:firstLine="540"/>
        <w:jc w:val="both"/>
        <w:rPr>
          <w:rFonts w:hint="eastAsia" w:ascii="宋体" w:hAnsi="宋体" w:cs="宋体"/>
          <w:kern w:val="2"/>
          <w:sz w:val="24"/>
          <w:szCs w:val="24"/>
          <w:highlight w:val="none"/>
          <w:lang w:val="en-US" w:eastAsia="zh-CN" w:bidi="ar"/>
        </w:rPr>
      </w:pPr>
      <w:r>
        <w:rPr>
          <w:rFonts w:hint="eastAsia" w:ascii="宋体" w:hAnsi="宋体" w:cs="宋体"/>
          <w:kern w:val="2"/>
          <w:sz w:val="24"/>
          <w:szCs w:val="24"/>
          <w:highlight w:val="none"/>
          <w:lang w:bidi="ar"/>
        </w:rPr>
        <w:t>方式：</w:t>
      </w:r>
      <w:r>
        <w:rPr>
          <w:rFonts w:hint="eastAsia" w:ascii="宋体" w:hAnsi="宋体" w:cs="宋体"/>
          <w:kern w:val="2"/>
          <w:sz w:val="24"/>
          <w:szCs w:val="24"/>
          <w:highlight w:val="none"/>
          <w:lang w:val="en-US" w:eastAsia="zh-CN" w:bidi="ar"/>
        </w:rPr>
        <w:t>网上获取。</w:t>
      </w:r>
    </w:p>
    <w:p w14:paraId="0010BF74">
      <w:pPr>
        <w:widowControl w:val="0"/>
        <w:spacing w:line="360" w:lineRule="auto"/>
        <w:ind w:firstLine="540"/>
        <w:jc w:val="both"/>
        <w:rPr>
          <w:rFonts w:hint="eastAsia" w:ascii="宋体" w:hAnsi="宋体" w:cs="宋体"/>
          <w:kern w:val="2"/>
          <w:sz w:val="24"/>
          <w:szCs w:val="24"/>
          <w:highlight w:val="none"/>
          <w:lang w:bidi="ar"/>
        </w:rPr>
      </w:pPr>
      <w:r>
        <w:rPr>
          <w:rFonts w:hint="eastAsia" w:ascii="宋体" w:hAnsi="宋体" w:cs="宋体"/>
          <w:kern w:val="2"/>
          <w:sz w:val="24"/>
          <w:szCs w:val="24"/>
          <w:highlight w:val="none"/>
          <w:lang w:val="en-US" w:eastAsia="zh-CN" w:bidi="ar"/>
        </w:rPr>
        <w:t>具体要求：</w:t>
      </w:r>
      <w:r>
        <w:rPr>
          <w:rFonts w:hint="eastAsia" w:ascii="宋体" w:hAnsi="宋体" w:cs="宋体"/>
          <w:kern w:val="2"/>
          <w:sz w:val="24"/>
          <w:szCs w:val="24"/>
          <w:highlight w:val="none"/>
          <w:lang w:bidi="ar"/>
        </w:rPr>
        <w:t>1.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w:t>
      </w:r>
    </w:p>
    <w:p w14:paraId="1D89F9C6">
      <w:pPr>
        <w:widowControl w:val="0"/>
        <w:spacing w:line="360" w:lineRule="auto"/>
        <w:ind w:firstLine="540"/>
        <w:jc w:val="both"/>
        <w:rPr>
          <w:rFonts w:ascii="宋体" w:hAnsi="宋体" w:cs="宋体"/>
          <w:kern w:val="2"/>
          <w:sz w:val="24"/>
          <w:szCs w:val="24"/>
          <w:highlight w:val="none"/>
          <w:lang w:bidi="ar"/>
        </w:rPr>
      </w:pPr>
      <w:r>
        <w:rPr>
          <w:rFonts w:hint="eastAsia" w:ascii="宋体" w:hAnsi="宋体" w:cs="宋体"/>
          <w:kern w:val="2"/>
          <w:sz w:val="24"/>
          <w:szCs w:val="24"/>
          <w:highlight w:val="none"/>
          <w:lang w:bidi="ar"/>
        </w:rPr>
        <w:t>2.按上述要求获取文件的供应商视为合法获取了本项目采购文件，具备本项目的投标资格。</w:t>
      </w:r>
    </w:p>
    <w:p w14:paraId="64708F66">
      <w:pPr>
        <w:widowControl w:val="0"/>
        <w:spacing w:line="360" w:lineRule="auto"/>
        <w:ind w:firstLine="540"/>
        <w:jc w:val="both"/>
        <w:rPr>
          <w:rFonts w:ascii="宋体" w:hAnsi="宋体" w:cs="宋体"/>
          <w:sz w:val="24"/>
          <w:szCs w:val="24"/>
          <w:highlight w:val="none"/>
        </w:rPr>
      </w:pPr>
      <w:r>
        <w:rPr>
          <w:rFonts w:hint="eastAsia" w:ascii="宋体" w:hAnsi="宋体" w:cs="宋体"/>
          <w:kern w:val="2"/>
          <w:sz w:val="24"/>
          <w:szCs w:val="24"/>
          <w:highlight w:val="none"/>
        </w:rPr>
        <w:t>售价：0元</w:t>
      </w:r>
    </w:p>
    <w:p w14:paraId="19E2BC97">
      <w:pPr>
        <w:pStyle w:val="3"/>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i w:val="0"/>
          <w:iCs w:val="0"/>
          <w:sz w:val="24"/>
          <w:szCs w:val="24"/>
          <w:highlight w:val="none"/>
          <w:lang w:val="en-US"/>
        </w:rPr>
      </w:pPr>
      <w:bookmarkStart w:id="28" w:name="_Toc3285"/>
      <w:r>
        <w:rPr>
          <w:rFonts w:hint="eastAsia" w:ascii="宋体" w:hAnsi="宋体" w:eastAsia="宋体" w:cs="宋体"/>
          <w:b/>
          <w:bCs w:val="0"/>
          <w:i w:val="0"/>
          <w:iCs w:val="0"/>
          <w:sz w:val="24"/>
          <w:szCs w:val="24"/>
          <w:highlight w:val="none"/>
          <w:lang w:eastAsia="zh-CN"/>
        </w:rPr>
        <w:t>四、提交投标文件</w:t>
      </w:r>
      <w:bookmarkEnd w:id="23"/>
      <w:bookmarkEnd w:id="24"/>
      <w:r>
        <w:rPr>
          <w:rFonts w:hint="eastAsia" w:ascii="宋体" w:hAnsi="宋体" w:eastAsia="宋体" w:cs="宋体"/>
          <w:b/>
          <w:bCs w:val="0"/>
          <w:i w:val="0"/>
          <w:iCs w:val="0"/>
          <w:sz w:val="24"/>
          <w:szCs w:val="24"/>
          <w:highlight w:val="none"/>
          <w:lang w:eastAsia="zh-CN"/>
        </w:rPr>
        <w:t>截止时间、开标时间和地点</w:t>
      </w:r>
      <w:bookmarkEnd w:id="25"/>
      <w:bookmarkEnd w:id="26"/>
      <w:bookmarkEnd w:id="27"/>
      <w:bookmarkEnd w:id="28"/>
    </w:p>
    <w:p w14:paraId="69A49C79">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bCs/>
          <w:i w:val="0"/>
          <w:iCs w:val="0"/>
          <w:color w:val="auto"/>
          <w:sz w:val="24"/>
          <w:szCs w:val="24"/>
          <w:highlight w:val="none"/>
          <w:u w:val="single"/>
          <w:lang w:val="en-US"/>
        </w:rPr>
      </w:pPr>
      <w:r>
        <w:rPr>
          <w:rFonts w:hint="eastAsia" w:ascii="宋体" w:hAnsi="宋体" w:eastAsia="宋体" w:cs="宋体"/>
          <w:bCs/>
          <w:i w:val="0"/>
          <w:iCs w:val="0"/>
          <w:color w:val="auto"/>
          <w:kern w:val="2"/>
          <w:sz w:val="24"/>
          <w:szCs w:val="24"/>
          <w:highlight w:val="none"/>
          <w:u w:val="single"/>
          <w:lang w:val="en-US" w:eastAsia="zh-CN" w:bidi="ar"/>
        </w:rPr>
        <w:t>2025年</w:t>
      </w:r>
      <w:r>
        <w:rPr>
          <w:rFonts w:hint="eastAsia" w:ascii="宋体" w:hAnsi="宋体" w:cs="宋体"/>
          <w:bCs/>
          <w:i w:val="0"/>
          <w:iCs w:val="0"/>
          <w:color w:val="auto"/>
          <w:kern w:val="2"/>
          <w:sz w:val="24"/>
          <w:szCs w:val="24"/>
          <w:highlight w:val="none"/>
          <w:u w:val="single"/>
          <w:lang w:val="en-US" w:eastAsia="zh-CN" w:bidi="ar"/>
        </w:rPr>
        <w:t>7</w:t>
      </w:r>
      <w:r>
        <w:rPr>
          <w:rFonts w:hint="eastAsia" w:ascii="宋体" w:hAnsi="宋体" w:eastAsia="宋体" w:cs="宋体"/>
          <w:bCs/>
          <w:i w:val="0"/>
          <w:iCs w:val="0"/>
          <w:color w:val="auto"/>
          <w:kern w:val="2"/>
          <w:sz w:val="24"/>
          <w:szCs w:val="24"/>
          <w:highlight w:val="none"/>
          <w:u w:val="single"/>
          <w:lang w:val="en-US" w:eastAsia="zh-CN" w:bidi="ar"/>
        </w:rPr>
        <w:t>月</w:t>
      </w:r>
      <w:r>
        <w:rPr>
          <w:rFonts w:hint="eastAsia" w:ascii="宋体" w:hAnsi="宋体" w:cs="宋体"/>
          <w:bCs/>
          <w:i w:val="0"/>
          <w:iCs w:val="0"/>
          <w:color w:val="auto"/>
          <w:kern w:val="2"/>
          <w:sz w:val="24"/>
          <w:szCs w:val="24"/>
          <w:highlight w:val="none"/>
          <w:u w:val="single"/>
          <w:lang w:val="en-US" w:eastAsia="zh-CN" w:bidi="ar"/>
        </w:rPr>
        <w:t>10</w:t>
      </w:r>
      <w:r>
        <w:rPr>
          <w:rFonts w:hint="eastAsia" w:ascii="宋体" w:hAnsi="宋体" w:eastAsia="宋体" w:cs="宋体"/>
          <w:bCs/>
          <w:i w:val="0"/>
          <w:iCs w:val="0"/>
          <w:color w:val="auto"/>
          <w:kern w:val="2"/>
          <w:sz w:val="24"/>
          <w:szCs w:val="24"/>
          <w:highlight w:val="none"/>
          <w:u w:val="single"/>
          <w:lang w:val="en-US" w:eastAsia="zh-CN" w:bidi="ar"/>
        </w:rPr>
        <w:t>日</w:t>
      </w:r>
      <w:r>
        <w:rPr>
          <w:rFonts w:hint="eastAsia" w:ascii="宋体" w:hAnsi="宋体" w:cs="宋体"/>
          <w:bCs/>
          <w:i w:val="0"/>
          <w:iCs w:val="0"/>
          <w:color w:val="auto"/>
          <w:kern w:val="2"/>
          <w:sz w:val="24"/>
          <w:szCs w:val="24"/>
          <w:highlight w:val="none"/>
          <w:u w:val="single"/>
          <w:lang w:val="en-US" w:eastAsia="zh-CN" w:bidi="ar"/>
        </w:rPr>
        <w:t>14</w:t>
      </w:r>
      <w:r>
        <w:rPr>
          <w:rFonts w:hint="eastAsia" w:ascii="宋体" w:hAnsi="宋体" w:eastAsia="宋体" w:cs="宋体"/>
          <w:bCs/>
          <w:i w:val="0"/>
          <w:iCs w:val="0"/>
          <w:color w:val="auto"/>
          <w:kern w:val="2"/>
          <w:sz w:val="24"/>
          <w:szCs w:val="24"/>
          <w:highlight w:val="none"/>
          <w:u w:val="single"/>
          <w:lang w:val="en-US" w:eastAsia="zh-CN" w:bidi="ar"/>
        </w:rPr>
        <w:t>点</w:t>
      </w:r>
      <w:r>
        <w:rPr>
          <w:rFonts w:hint="eastAsia" w:ascii="宋体" w:hAnsi="宋体" w:cs="宋体"/>
          <w:bCs/>
          <w:i w:val="0"/>
          <w:iCs w:val="0"/>
          <w:color w:val="auto"/>
          <w:kern w:val="2"/>
          <w:sz w:val="24"/>
          <w:szCs w:val="24"/>
          <w:highlight w:val="none"/>
          <w:u w:val="single"/>
          <w:lang w:val="en-US" w:eastAsia="zh-CN" w:bidi="ar"/>
        </w:rPr>
        <w:t>3</w:t>
      </w:r>
      <w:bookmarkStart w:id="291" w:name="_GoBack"/>
      <w:bookmarkEnd w:id="291"/>
      <w:r>
        <w:rPr>
          <w:rFonts w:hint="eastAsia" w:ascii="宋体" w:hAnsi="宋体" w:eastAsia="宋体" w:cs="宋体"/>
          <w:bCs/>
          <w:i w:val="0"/>
          <w:iCs w:val="0"/>
          <w:color w:val="auto"/>
          <w:kern w:val="2"/>
          <w:sz w:val="24"/>
          <w:szCs w:val="24"/>
          <w:highlight w:val="none"/>
          <w:u w:val="single"/>
          <w:lang w:val="en-US" w:eastAsia="zh-CN" w:bidi="ar"/>
        </w:rPr>
        <w:t>0分</w:t>
      </w:r>
      <w:r>
        <w:rPr>
          <w:rFonts w:hint="eastAsia" w:ascii="宋体" w:hAnsi="宋体" w:eastAsia="宋体" w:cs="宋体"/>
          <w:bCs/>
          <w:i w:val="0"/>
          <w:iCs w:val="0"/>
          <w:color w:val="auto"/>
          <w:kern w:val="2"/>
          <w:sz w:val="24"/>
          <w:szCs w:val="24"/>
          <w:highlight w:val="none"/>
          <w:lang w:val="en-US" w:eastAsia="zh-CN" w:bidi="ar"/>
        </w:rPr>
        <w:t>（北京时间）</w:t>
      </w:r>
    </w:p>
    <w:p w14:paraId="0123CF1C">
      <w:pPr>
        <w:widowControl w:val="0"/>
        <w:spacing w:line="360" w:lineRule="auto"/>
        <w:ind w:firstLine="480" w:firstLineChars="200"/>
        <w:jc w:val="both"/>
        <w:rPr>
          <w:rFonts w:hint="eastAsia" w:ascii="宋体" w:hAnsi="宋体" w:cs="宋体"/>
          <w:bCs/>
          <w:sz w:val="24"/>
          <w:szCs w:val="24"/>
          <w:highlight w:val="none"/>
          <w:u w:val="single"/>
        </w:rPr>
      </w:pPr>
      <w:r>
        <w:rPr>
          <w:rFonts w:hint="eastAsia" w:ascii="宋体" w:hAnsi="宋体" w:cs="宋体"/>
          <w:kern w:val="2"/>
          <w:sz w:val="24"/>
          <w:szCs w:val="24"/>
          <w:highlight w:val="none"/>
          <w:lang w:bidi="ar"/>
        </w:rPr>
        <w:t>供应商应按照本项目采购文件和“政采云”平台的要求编制、加密后在响应文件提交截止时间前上传至“政采云”平台，响应文件提交截止时间前未完成响应文件上传的，视为撤回响应文件。供应商在“政采云”平台提交电子版响应文件时，请填写参加远程采购活动经办人联系方式。开标地点：“政采云”平台开标大厅。</w:t>
      </w:r>
    </w:p>
    <w:p w14:paraId="1FBD061C">
      <w:pPr>
        <w:pStyle w:val="3"/>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i w:val="0"/>
          <w:iCs w:val="0"/>
          <w:sz w:val="24"/>
          <w:szCs w:val="24"/>
          <w:highlight w:val="none"/>
          <w:lang w:val="en-US"/>
        </w:rPr>
      </w:pPr>
      <w:bookmarkStart w:id="29" w:name="_Toc28359084"/>
      <w:bookmarkStart w:id="30" w:name="_Toc28359007"/>
      <w:bookmarkStart w:id="31" w:name="_Toc35393794"/>
      <w:bookmarkStart w:id="32" w:name="_Toc25135"/>
      <w:bookmarkStart w:id="33" w:name="_Toc13971"/>
      <w:bookmarkStart w:id="34" w:name="_Toc35393625"/>
      <w:r>
        <w:rPr>
          <w:rFonts w:hint="eastAsia" w:ascii="宋体" w:hAnsi="宋体" w:eastAsia="宋体" w:cs="宋体"/>
          <w:b/>
          <w:bCs w:val="0"/>
          <w:i w:val="0"/>
          <w:iCs w:val="0"/>
          <w:sz w:val="24"/>
          <w:szCs w:val="24"/>
          <w:highlight w:val="none"/>
          <w:lang w:eastAsia="zh-CN"/>
        </w:rPr>
        <w:t>五、公告期限</w:t>
      </w:r>
      <w:bookmarkEnd w:id="29"/>
      <w:bookmarkEnd w:id="30"/>
      <w:bookmarkEnd w:id="31"/>
      <w:bookmarkEnd w:id="32"/>
      <w:bookmarkEnd w:id="33"/>
      <w:bookmarkEnd w:id="34"/>
    </w:p>
    <w:p w14:paraId="33E6E315">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kern w:val="0"/>
          <w:sz w:val="24"/>
          <w:szCs w:val="24"/>
          <w:highlight w:val="none"/>
          <w:lang w:val="en-US"/>
        </w:rPr>
      </w:pPr>
      <w:r>
        <w:rPr>
          <w:rFonts w:hint="eastAsia" w:ascii="宋体" w:hAnsi="宋体" w:eastAsia="宋体" w:cs="宋体"/>
          <w:i w:val="0"/>
          <w:iCs w:val="0"/>
          <w:kern w:val="0"/>
          <w:sz w:val="24"/>
          <w:szCs w:val="24"/>
          <w:highlight w:val="none"/>
          <w:lang w:val="en-US" w:eastAsia="zh-CN" w:bidi="ar"/>
        </w:rPr>
        <w:t>自本公告发布之日起5个工作日。</w:t>
      </w:r>
    </w:p>
    <w:p w14:paraId="2DF78899">
      <w:pPr>
        <w:pStyle w:val="3"/>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i w:val="0"/>
          <w:iCs w:val="0"/>
          <w:sz w:val="24"/>
          <w:szCs w:val="24"/>
          <w:highlight w:val="none"/>
          <w:lang w:val="en-US"/>
        </w:rPr>
      </w:pPr>
      <w:bookmarkStart w:id="35" w:name="_Toc35393795"/>
      <w:bookmarkStart w:id="36" w:name="_Toc35393626"/>
      <w:bookmarkStart w:id="37" w:name="_Toc26398"/>
      <w:bookmarkStart w:id="38" w:name="_Toc14132"/>
      <w:r>
        <w:rPr>
          <w:rFonts w:hint="eastAsia" w:ascii="宋体" w:hAnsi="宋体" w:eastAsia="宋体" w:cs="宋体"/>
          <w:b/>
          <w:bCs w:val="0"/>
          <w:i w:val="0"/>
          <w:iCs w:val="0"/>
          <w:sz w:val="24"/>
          <w:szCs w:val="24"/>
          <w:highlight w:val="none"/>
          <w:lang w:eastAsia="zh-CN"/>
        </w:rPr>
        <w:t>六、其他补充事宜</w:t>
      </w:r>
      <w:bookmarkEnd w:id="35"/>
      <w:bookmarkEnd w:id="36"/>
      <w:bookmarkEnd w:id="37"/>
      <w:bookmarkEnd w:id="38"/>
    </w:p>
    <w:p w14:paraId="08DA18E0">
      <w:pPr>
        <w:widowControl w:val="0"/>
        <w:spacing w:line="360" w:lineRule="auto"/>
        <w:ind w:firstLine="480" w:firstLineChars="200"/>
        <w:rPr>
          <w:rFonts w:hint="eastAsia" w:ascii="宋体" w:hAnsi="宋体" w:eastAsia="宋体" w:cs="宋体"/>
          <w:sz w:val="24"/>
          <w:szCs w:val="24"/>
          <w:highlight w:val="none"/>
        </w:rPr>
      </w:pPr>
      <w:bookmarkStart w:id="39" w:name="_Toc35393627"/>
      <w:bookmarkStart w:id="40" w:name="_Toc35393796"/>
      <w:bookmarkStart w:id="41" w:name="_Toc28359008"/>
      <w:bookmarkStart w:id="42" w:name="_Toc28359085"/>
      <w:bookmarkStart w:id="43" w:name="_Toc28979"/>
      <w:r>
        <w:rPr>
          <w:rFonts w:hint="eastAsia" w:ascii="宋体" w:hAnsi="宋体" w:eastAsia="宋体" w:cs="宋体"/>
          <w:sz w:val="24"/>
          <w:szCs w:val="24"/>
          <w:highlight w:val="none"/>
        </w:rPr>
        <w:t>(1)本项目为不见面开标，供应商无需到达现场；</w:t>
      </w:r>
    </w:p>
    <w:p w14:paraId="4A75ED3E">
      <w:pPr>
        <w:widowControl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(2)本项目实行网上投标，采用电子响应文件；</w:t>
      </w:r>
    </w:p>
    <w:p w14:paraId="4C210897">
      <w:pPr>
        <w:widowControl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(3)因未注册入库、未办理CA数字证书等原因造成无法投标或投标失败等后果由供应商自行承担。</w:t>
      </w:r>
    </w:p>
    <w:p w14:paraId="43E440BE">
      <w:pPr>
        <w:widowControl w:val="0"/>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供应商将政采云电子交易客户端下载、安装完成后，可通过账号密码或CA登录客户端进行响应文件的制作。在使用政采云投标客户端时，建议使用WIN7(64位)及以上操作系统。客户端请至政采云网站(https：//edu.zcygov.cn/luban/yunnan-dzjy-gys)进行查看下载，如有问题可拨打政采云客户服务热线400-881-7190进行咨询以及云南CA操作问题：请致电云南CA，4006727666。如因供应商自身原因导致在规定时间内无法正常解密的(如：浏览器故障、未安装相关驱动、网络故障、加密CA与解密CA不一致等)，代理机构不予异常处理，视为供应商自动弃标。</w:t>
      </w:r>
    </w:p>
    <w:p w14:paraId="432FAB70">
      <w:pPr>
        <w:widowControl w:val="0"/>
        <w:spacing w:line="360" w:lineRule="auto"/>
        <w:ind w:firstLine="480" w:firstLineChars="200"/>
        <w:rPr>
          <w:rStyle w:val="33"/>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获取采购文件的</w:t>
      </w:r>
      <w:r>
        <w:rPr>
          <w:rFonts w:hint="eastAsia" w:ascii="宋体" w:hAnsi="宋体" w:eastAsia="宋体" w:cs="宋体"/>
          <w:sz w:val="24"/>
          <w:szCs w:val="24"/>
          <w:highlight w:val="none"/>
        </w:rPr>
        <w:t>方式：有意参加投标的供应商需要在政采云平台办理数字证书（CA）。完成数字证书（CA）办理后，供应商需要在政采云平台绑定数字证书(CA)，并在平台上获取采购文件和其他相关采购资料。注：CA办理链接：http://yzt.ynsmartcert.cn/cms/yztmdkj.html或</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"https://middle.zcygov.cn/ca/apply/list?_app_" </w:instrText>
      </w:r>
      <w:r>
        <w:rPr>
          <w:rFonts w:hint="eastAsia" w:ascii="宋体" w:hAnsi="宋体" w:eastAsia="宋体" w:cs="宋体"/>
          <w:sz w:val="24"/>
          <w:szCs w:val="24"/>
          <w:highlight w:val="none"/>
        </w:rPr>
        <w:fldChar w:fldCharType="separate"/>
      </w:r>
      <w:r>
        <w:rPr>
          <w:rStyle w:val="33"/>
          <w:rFonts w:hint="eastAsia" w:ascii="宋体" w:hAnsi="宋体" w:eastAsia="宋体" w:cs="宋体"/>
          <w:sz w:val="24"/>
          <w:szCs w:val="24"/>
          <w:highlight w:val="none"/>
        </w:rPr>
        <w:t>https://middle.zcygov.cn/ca/apply/</w:t>
      </w:r>
    </w:p>
    <w:p w14:paraId="719B364E">
      <w:pPr>
        <w:widowControl w:val="0"/>
        <w:spacing w:line="360" w:lineRule="auto"/>
        <w:rPr>
          <w:rFonts w:hint="eastAsia" w:ascii="宋体" w:hAnsi="宋体" w:eastAsia="宋体" w:cs="宋体"/>
          <w:sz w:val="24"/>
          <w:szCs w:val="24"/>
          <w:highlight w:val="none"/>
        </w:rPr>
      </w:pPr>
      <w:r>
        <w:rPr>
          <w:rStyle w:val="33"/>
          <w:rFonts w:hint="eastAsia" w:ascii="宋体" w:hAnsi="宋体" w:eastAsia="宋体" w:cs="宋体"/>
          <w:sz w:val="24"/>
          <w:szCs w:val="24"/>
          <w:highlight w:val="none"/>
        </w:rPr>
        <w:t>list?_app_</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zcy.sys需要注意的是，如果供应商之前已经在云南CA在线数字证书办理网注册并办理了企业数字证书（CA），则可以直接进行绑定，无需重复办理。此外，供应商在政采云平台办理的其他CA也可以直接使用，无需重复办理。如有问题可拨打政采云客户服务热线95763进行咨询，数字证书问题可咨询云南壹证通CA：0871-67276028（紧急可拨19988166369）。</w:t>
      </w:r>
    </w:p>
    <w:p w14:paraId="753423CA">
      <w:pPr>
        <w:pStyle w:val="3"/>
        <w:pageBreakBefore w:val="0"/>
        <w:widowControl/>
        <w:kinsoku/>
        <w:wordWrap/>
        <w:overflowPunct/>
        <w:topLinePunct w:val="0"/>
        <w:autoSpaceDE/>
        <w:autoSpaceDN/>
        <w:bidi w:val="0"/>
        <w:adjustRightInd/>
        <w:snapToGrid/>
        <w:spacing w:before="0" w:after="0" w:line="360" w:lineRule="auto"/>
        <w:textAlignment w:val="auto"/>
        <w:rPr>
          <w:rFonts w:hint="eastAsia" w:ascii="宋体" w:hAnsi="宋体" w:eastAsia="宋体" w:cs="宋体"/>
          <w:b/>
          <w:bCs w:val="0"/>
          <w:i w:val="0"/>
          <w:iCs w:val="0"/>
          <w:sz w:val="24"/>
          <w:szCs w:val="24"/>
          <w:lang w:val="en-US"/>
        </w:rPr>
      </w:pPr>
      <w:bookmarkStart w:id="44" w:name="_Toc20688"/>
      <w:r>
        <w:rPr>
          <w:rFonts w:hint="eastAsia" w:ascii="宋体" w:hAnsi="宋体" w:eastAsia="宋体" w:cs="宋体"/>
          <w:b/>
          <w:bCs w:val="0"/>
          <w:i w:val="0"/>
          <w:iCs w:val="0"/>
          <w:sz w:val="24"/>
          <w:szCs w:val="24"/>
          <w:lang w:eastAsia="zh-CN"/>
        </w:rPr>
        <w:t>七、对本次招标提出询问，请按以下方式联系</w:t>
      </w:r>
      <w:bookmarkEnd w:id="39"/>
      <w:bookmarkEnd w:id="40"/>
      <w:bookmarkEnd w:id="41"/>
      <w:bookmarkEnd w:id="42"/>
      <w:bookmarkEnd w:id="43"/>
      <w:bookmarkEnd w:id="44"/>
    </w:p>
    <w:p w14:paraId="5B04BF47">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left"/>
        <w:textAlignment w:val="auto"/>
        <w:rPr>
          <w:rFonts w:hint="eastAsia" w:ascii="宋体" w:hAnsi="宋体" w:eastAsia="宋体" w:cs="宋体"/>
          <w:i w:val="0"/>
          <w:iCs w:val="0"/>
          <w:sz w:val="24"/>
          <w:szCs w:val="24"/>
          <w:lang w:val="en-US"/>
        </w:rPr>
      </w:pPr>
      <w:r>
        <w:rPr>
          <w:rFonts w:hint="eastAsia" w:ascii="宋体" w:hAnsi="宋体" w:eastAsia="宋体" w:cs="宋体"/>
          <w:i w:val="0"/>
          <w:iCs w:val="0"/>
          <w:kern w:val="2"/>
          <w:sz w:val="24"/>
          <w:szCs w:val="24"/>
          <w:lang w:val="en-US" w:eastAsia="zh-CN" w:bidi="ar"/>
        </w:rPr>
        <w:t>1.采购人信息</w:t>
      </w:r>
    </w:p>
    <w:p w14:paraId="581A7FAF">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right="0" w:firstLine="480" w:firstLineChars="200"/>
        <w:jc w:val="left"/>
        <w:textAlignment w:val="auto"/>
        <w:rPr>
          <w:rFonts w:hint="eastAsia" w:ascii="宋体" w:hAnsi="宋体" w:eastAsia="宋体" w:cs="宋体"/>
          <w:i w:val="0"/>
          <w:iCs w:val="0"/>
          <w:color w:val="auto"/>
          <w:sz w:val="24"/>
          <w:szCs w:val="24"/>
          <w:lang w:val="en-US"/>
        </w:rPr>
      </w:pPr>
      <w:r>
        <w:rPr>
          <w:rFonts w:hint="eastAsia" w:ascii="宋体" w:hAnsi="宋体" w:eastAsia="宋体" w:cs="宋体"/>
          <w:i w:val="0"/>
          <w:iCs w:val="0"/>
          <w:color w:val="auto"/>
          <w:kern w:val="2"/>
          <w:sz w:val="24"/>
          <w:szCs w:val="24"/>
          <w:lang w:val="en-US" w:eastAsia="zh-CN" w:bidi="ar"/>
        </w:rPr>
        <w:t>名称：</w:t>
      </w:r>
      <w:r>
        <w:rPr>
          <w:rFonts w:hint="eastAsia" w:ascii="宋体" w:hAnsi="宋体" w:cs="宋体"/>
          <w:i w:val="0"/>
          <w:iCs w:val="0"/>
          <w:color w:val="auto"/>
          <w:kern w:val="2"/>
          <w:sz w:val="24"/>
          <w:szCs w:val="24"/>
          <w:lang w:val="en-US" w:eastAsia="zh-CN" w:bidi="ar"/>
        </w:rPr>
        <w:t>香格里拉市人民医院</w:t>
      </w:r>
    </w:p>
    <w:p w14:paraId="128734BE">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right="0" w:firstLine="480" w:firstLineChars="200"/>
        <w:jc w:val="left"/>
        <w:textAlignment w:val="auto"/>
        <w:rPr>
          <w:rFonts w:hint="eastAsia" w:ascii="宋体" w:hAnsi="宋体" w:eastAsia="宋体" w:cs="宋体"/>
          <w:bCs/>
          <w:sz w:val="24"/>
          <w:szCs w:val="24"/>
          <w:highlight w:val="none"/>
          <w:lang w:eastAsia="zh-CN"/>
        </w:rPr>
      </w:pPr>
      <w:r>
        <w:rPr>
          <w:rFonts w:hint="eastAsia" w:ascii="宋体" w:hAnsi="宋体" w:eastAsia="宋体" w:cs="宋体"/>
          <w:i w:val="0"/>
          <w:iCs w:val="0"/>
          <w:color w:val="auto"/>
          <w:kern w:val="2"/>
          <w:sz w:val="24"/>
          <w:szCs w:val="24"/>
          <w:lang w:val="en-US" w:eastAsia="zh-CN" w:bidi="ar"/>
        </w:rPr>
        <w:t>地址：</w:t>
      </w:r>
      <w:r>
        <w:rPr>
          <w:rFonts w:hint="eastAsia" w:ascii="宋体" w:hAnsi="宋体" w:cs="宋体"/>
          <w:bCs/>
          <w:sz w:val="24"/>
          <w:szCs w:val="24"/>
          <w:highlight w:val="none"/>
          <w:lang w:eastAsia="zh-CN"/>
        </w:rPr>
        <w:t>迪庆藏族自治州香格里拉市建塘镇新城区白螺路1号</w:t>
      </w:r>
    </w:p>
    <w:p w14:paraId="023C16D4">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right="0" w:firstLine="480" w:firstLineChars="200"/>
        <w:jc w:val="left"/>
        <w:textAlignment w:val="auto"/>
        <w:rPr>
          <w:rFonts w:hint="eastAsia" w:ascii="宋体" w:hAnsi="宋体" w:eastAsia="宋体" w:cs="宋体"/>
          <w:i w:val="0"/>
          <w:iCs w:val="0"/>
          <w:color w:val="auto"/>
          <w:kern w:val="2"/>
          <w:sz w:val="24"/>
          <w:szCs w:val="24"/>
          <w:lang w:val="en-US" w:eastAsia="zh-CN" w:bidi="ar"/>
        </w:rPr>
      </w:pPr>
      <w:r>
        <w:rPr>
          <w:rFonts w:hint="eastAsia" w:ascii="宋体" w:hAnsi="宋体" w:eastAsia="宋体" w:cs="宋体"/>
          <w:i w:val="0"/>
          <w:iCs w:val="0"/>
          <w:color w:val="auto"/>
          <w:kern w:val="2"/>
          <w:sz w:val="24"/>
          <w:szCs w:val="24"/>
          <w:lang w:val="en-US" w:eastAsia="zh-CN" w:bidi="ar"/>
        </w:rPr>
        <w:t>项目联系人：</w:t>
      </w:r>
      <w:r>
        <w:rPr>
          <w:rFonts w:hint="eastAsia" w:ascii="宋体" w:hAnsi="宋体" w:eastAsia="宋体" w:cs="宋体"/>
          <w:sz w:val="24"/>
          <w:szCs w:val="24"/>
        </w:rPr>
        <w:t>倪文军</w:t>
      </w:r>
    </w:p>
    <w:p w14:paraId="4445E703">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right="0" w:firstLine="480" w:firstLineChars="200"/>
        <w:jc w:val="left"/>
        <w:textAlignment w:val="auto"/>
        <w:rPr>
          <w:rFonts w:hint="eastAsia" w:ascii="宋体" w:hAnsi="宋体" w:eastAsia="宋体" w:cs="宋体"/>
          <w:i w:val="0"/>
          <w:iCs w:val="0"/>
          <w:color w:val="auto"/>
          <w:sz w:val="24"/>
          <w:szCs w:val="24"/>
          <w:u w:val="single"/>
          <w:lang w:val="en-US"/>
        </w:rPr>
      </w:pPr>
      <w:r>
        <w:rPr>
          <w:rFonts w:hint="eastAsia" w:ascii="宋体" w:hAnsi="宋体" w:eastAsia="宋体" w:cs="宋体"/>
          <w:i w:val="0"/>
          <w:iCs w:val="0"/>
          <w:color w:val="auto"/>
          <w:kern w:val="2"/>
          <w:sz w:val="24"/>
          <w:szCs w:val="24"/>
          <w:lang w:val="en-US" w:eastAsia="zh-CN" w:bidi="ar"/>
        </w:rPr>
        <w:t>联系方式</w:t>
      </w:r>
      <w:bookmarkStart w:id="45" w:name="_Toc28359086"/>
      <w:bookmarkStart w:id="46" w:name="_Toc28359009"/>
      <w:r>
        <w:rPr>
          <w:rFonts w:hint="eastAsia" w:ascii="宋体" w:hAnsi="宋体" w:eastAsia="宋体" w:cs="宋体"/>
          <w:i w:val="0"/>
          <w:iCs w:val="0"/>
          <w:color w:val="auto"/>
          <w:kern w:val="2"/>
          <w:sz w:val="24"/>
          <w:szCs w:val="24"/>
          <w:lang w:val="en-US" w:eastAsia="zh-CN" w:bidi="ar"/>
        </w:rPr>
        <w:t>：</w:t>
      </w:r>
      <w:r>
        <w:rPr>
          <w:rFonts w:hint="eastAsia" w:ascii="宋体" w:hAnsi="宋体" w:cs="宋体"/>
          <w:bCs/>
          <w:sz w:val="24"/>
          <w:szCs w:val="24"/>
          <w:highlight w:val="none"/>
          <w:lang w:eastAsia="zh-CN"/>
        </w:rPr>
        <w:t>13988739860</w:t>
      </w:r>
    </w:p>
    <w:p w14:paraId="5EF4CC7E">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right="0" w:firstLine="480" w:firstLineChars="200"/>
        <w:jc w:val="left"/>
        <w:textAlignment w:val="auto"/>
        <w:rPr>
          <w:rFonts w:hint="eastAsia" w:ascii="宋体" w:hAnsi="宋体" w:eastAsia="宋体" w:cs="宋体"/>
          <w:i w:val="0"/>
          <w:iCs w:val="0"/>
          <w:color w:val="auto"/>
          <w:kern w:val="2"/>
          <w:sz w:val="24"/>
          <w:szCs w:val="24"/>
          <w:lang w:val="en-US" w:eastAsia="zh-CN" w:bidi="ar"/>
        </w:rPr>
      </w:pPr>
    </w:p>
    <w:p w14:paraId="635C58F2">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right="0" w:firstLine="480" w:firstLineChars="200"/>
        <w:jc w:val="left"/>
        <w:textAlignment w:val="auto"/>
        <w:rPr>
          <w:rFonts w:hint="eastAsia" w:ascii="宋体" w:hAnsi="宋体" w:eastAsia="宋体" w:cs="宋体"/>
          <w:i w:val="0"/>
          <w:iCs w:val="0"/>
          <w:color w:val="auto"/>
          <w:sz w:val="24"/>
          <w:szCs w:val="24"/>
          <w:lang w:val="en-US"/>
        </w:rPr>
      </w:pPr>
      <w:r>
        <w:rPr>
          <w:rFonts w:hint="eastAsia" w:ascii="宋体" w:hAnsi="宋体" w:eastAsia="宋体" w:cs="宋体"/>
          <w:i w:val="0"/>
          <w:iCs w:val="0"/>
          <w:color w:val="auto"/>
          <w:kern w:val="2"/>
          <w:sz w:val="24"/>
          <w:szCs w:val="24"/>
          <w:lang w:val="en-US" w:eastAsia="zh-CN" w:bidi="ar"/>
        </w:rPr>
        <w:t>2.采购代理机构信息</w:t>
      </w:r>
      <w:bookmarkEnd w:id="45"/>
      <w:bookmarkEnd w:id="46"/>
    </w:p>
    <w:p w14:paraId="1A41B609">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kern w:val="2"/>
          <w:sz w:val="24"/>
          <w:szCs w:val="24"/>
          <w:lang w:val="en-US" w:eastAsia="zh-CN" w:bidi="ar"/>
        </w:rPr>
        <w:t>名称：</w:t>
      </w:r>
      <w:r>
        <w:rPr>
          <w:rFonts w:hint="eastAsia" w:ascii="宋体" w:hAnsi="宋体" w:cs="宋体"/>
          <w:color w:val="auto"/>
          <w:kern w:val="2"/>
          <w:sz w:val="24"/>
          <w:szCs w:val="24"/>
          <w:highlight w:val="none"/>
          <w:u w:val="none"/>
          <w:lang w:eastAsia="zh-CN" w:bidi="ar"/>
        </w:rPr>
        <w:t>云南玉昭工程咨询有限公司</w:t>
      </w:r>
    </w:p>
    <w:p w14:paraId="66C66F15">
      <w:pPr>
        <w:widowControl w:val="0"/>
        <w:spacing w:line="360" w:lineRule="auto"/>
        <w:ind w:firstLine="480" w:firstLineChars="200"/>
        <w:jc w:val="both"/>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kern w:val="2"/>
          <w:sz w:val="24"/>
          <w:szCs w:val="24"/>
          <w:lang w:val="en-US" w:eastAsia="zh-CN" w:bidi="ar"/>
        </w:rPr>
        <w:t>地址：</w:t>
      </w:r>
      <w:r>
        <w:rPr>
          <w:rFonts w:hint="eastAsia" w:ascii="宋体" w:hAnsi="宋体" w:cs="宋体"/>
          <w:color w:val="auto"/>
          <w:kern w:val="2"/>
          <w:sz w:val="24"/>
          <w:szCs w:val="24"/>
          <w:highlight w:val="none"/>
          <w:u w:val="none"/>
          <w:lang w:eastAsia="zh-CN" w:bidi="ar"/>
        </w:rPr>
        <w:t>香格里拉市环城北路26号</w:t>
      </w:r>
    </w:p>
    <w:p w14:paraId="1CC63523">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olor w:val="auto"/>
          <w:sz w:val="24"/>
          <w:szCs w:val="24"/>
          <w:lang w:val="en-US"/>
        </w:rPr>
      </w:pPr>
      <w:r>
        <w:rPr>
          <w:rFonts w:hint="eastAsia" w:ascii="宋体" w:hAnsi="宋体" w:eastAsia="宋体" w:cs="宋体"/>
          <w:i w:val="0"/>
          <w:iCs w:val="0"/>
          <w:color w:val="auto"/>
          <w:kern w:val="2"/>
          <w:sz w:val="24"/>
          <w:szCs w:val="24"/>
          <w:lang w:val="en-US" w:eastAsia="zh-CN" w:bidi="ar"/>
        </w:rPr>
        <w:t>联系方式：</w:t>
      </w:r>
      <w:bookmarkStart w:id="47" w:name="_Toc28359010"/>
      <w:bookmarkStart w:id="48" w:name="_Toc28359087"/>
      <w:r>
        <w:rPr>
          <w:rFonts w:hint="eastAsia" w:ascii="宋体" w:hAnsi="宋体" w:cs="宋体"/>
          <w:color w:val="auto"/>
          <w:sz w:val="24"/>
          <w:szCs w:val="24"/>
          <w:highlight w:val="none"/>
          <w:u w:val="none"/>
          <w:lang w:eastAsia="zh-CN"/>
        </w:rPr>
        <w:t>18008877484</w:t>
      </w:r>
    </w:p>
    <w:p w14:paraId="0B55587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olor w:val="auto"/>
          <w:kern w:val="2"/>
          <w:sz w:val="24"/>
          <w:szCs w:val="24"/>
          <w:lang w:val="en-US" w:eastAsia="zh-CN" w:bidi="ar"/>
        </w:rPr>
      </w:pPr>
    </w:p>
    <w:p w14:paraId="579FD049">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olor w:val="auto"/>
          <w:sz w:val="24"/>
          <w:szCs w:val="24"/>
          <w:u w:val="single"/>
          <w:lang w:val="en-US"/>
        </w:rPr>
      </w:pPr>
      <w:r>
        <w:rPr>
          <w:rFonts w:hint="eastAsia" w:ascii="宋体" w:hAnsi="宋体" w:eastAsia="宋体" w:cs="宋体"/>
          <w:i w:val="0"/>
          <w:iCs w:val="0"/>
          <w:color w:val="auto"/>
          <w:kern w:val="2"/>
          <w:sz w:val="24"/>
          <w:szCs w:val="24"/>
          <w:lang w:val="en-US" w:eastAsia="zh-CN" w:bidi="ar"/>
        </w:rPr>
        <w:t>3.项目联系方式</w:t>
      </w:r>
      <w:bookmarkEnd w:id="47"/>
      <w:bookmarkEnd w:id="48"/>
    </w:p>
    <w:p w14:paraId="4A64D0BD">
      <w:pPr>
        <w:pStyle w:val="26"/>
        <w:widowControl w:val="0"/>
        <w:spacing w:before="0" w:beforeAutospacing="0" w:after="0" w:afterAutospacing="0" w:line="360" w:lineRule="auto"/>
        <w:ind w:firstLine="480" w:firstLineChars="200"/>
        <w:jc w:val="both"/>
        <w:rPr>
          <w:rFonts w:hint="eastAsia" w:ascii="宋体" w:hAnsi="宋体" w:eastAsia="宋体" w:cs="宋体"/>
          <w:i w:val="0"/>
          <w:iCs w:val="0"/>
          <w:color w:val="auto"/>
          <w:sz w:val="24"/>
          <w:szCs w:val="24"/>
          <w:lang w:val="en-US"/>
        </w:rPr>
      </w:pPr>
      <w:r>
        <w:rPr>
          <w:rFonts w:hint="eastAsia" w:ascii="宋体" w:hAnsi="宋体" w:eastAsia="宋体" w:cs="宋体"/>
          <w:i w:val="0"/>
          <w:iCs w:val="0"/>
          <w:color w:val="auto"/>
          <w:kern w:val="2"/>
          <w:sz w:val="24"/>
          <w:szCs w:val="24"/>
          <w:lang w:val="en-US" w:eastAsia="zh-CN" w:bidi="ar"/>
        </w:rPr>
        <w:t>项目联系人：</w:t>
      </w:r>
      <w:r>
        <w:rPr>
          <w:rFonts w:hint="eastAsia" w:ascii="宋体" w:hAnsi="宋体" w:cs="宋体"/>
          <w:color w:val="auto"/>
          <w:sz w:val="24"/>
          <w:szCs w:val="24"/>
          <w:highlight w:val="none"/>
          <w:u w:val="none"/>
          <w:lang w:eastAsia="zh-CN"/>
        </w:rPr>
        <w:t>农布</w:t>
      </w:r>
    </w:p>
    <w:p w14:paraId="4A275AD8">
      <w:pPr>
        <w:widowControl w:val="0"/>
        <w:spacing w:line="360" w:lineRule="auto"/>
        <w:ind w:firstLine="480" w:firstLineChars="200"/>
        <w:jc w:val="both"/>
        <w:rPr>
          <w:rFonts w:hint="eastAsia" w:ascii="宋体" w:hAnsi="宋体" w:eastAsia="宋体" w:cs="宋体"/>
          <w:color w:val="auto"/>
          <w:sz w:val="24"/>
          <w:szCs w:val="24"/>
          <w:highlight w:val="none"/>
          <w:u w:val="none"/>
          <w:lang w:eastAsia="zh-CN"/>
        </w:rPr>
      </w:pPr>
      <w:r>
        <w:rPr>
          <w:rFonts w:hint="eastAsia" w:ascii="宋体" w:hAnsi="宋体" w:eastAsia="宋体" w:cs="宋体"/>
          <w:i w:val="0"/>
          <w:iCs w:val="0"/>
          <w:color w:val="auto"/>
          <w:kern w:val="2"/>
          <w:sz w:val="24"/>
          <w:szCs w:val="24"/>
          <w:lang w:val="en-US" w:eastAsia="zh-CN" w:bidi="ar"/>
        </w:rPr>
        <w:t>电话：</w:t>
      </w:r>
      <w:r>
        <w:rPr>
          <w:rFonts w:hint="eastAsia" w:ascii="宋体" w:hAnsi="宋体" w:cs="宋体"/>
          <w:color w:val="auto"/>
          <w:sz w:val="24"/>
          <w:szCs w:val="24"/>
          <w:highlight w:val="none"/>
          <w:u w:val="none"/>
          <w:lang w:eastAsia="zh-CN"/>
        </w:rPr>
        <w:t>18008877484</w:t>
      </w:r>
    </w:p>
    <w:p w14:paraId="351F4934">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right="0" w:firstLine="480" w:firstLineChars="200"/>
        <w:jc w:val="both"/>
        <w:textAlignment w:val="auto"/>
        <w:rPr>
          <w:rFonts w:hint="eastAsia" w:ascii="宋体" w:hAnsi="宋体" w:eastAsia="宋体" w:cs="宋体"/>
          <w:i w:val="0"/>
          <w:iCs w:val="0"/>
          <w:color w:val="C00000"/>
          <w:sz w:val="24"/>
          <w:szCs w:val="24"/>
          <w:u w:val="single"/>
          <w:lang w:val="en-US"/>
        </w:rPr>
      </w:pPr>
    </w:p>
    <w:p w14:paraId="410E84D5">
      <w:pPr>
        <w:pStyle w:val="2"/>
        <w:spacing w:before="0" w:after="0" w:line="360" w:lineRule="auto"/>
        <w:jc w:val="center"/>
        <w:rPr>
          <w:rStyle w:val="44"/>
          <w:rFonts w:hint="eastAsia" w:ascii="宋体" w:hAnsi="宋体"/>
          <w:b/>
          <w:bCs/>
          <w:highlight w:val="none"/>
        </w:rPr>
      </w:pPr>
      <w:r>
        <w:rPr>
          <w:rFonts w:hint="eastAsia" w:ascii="宋体" w:hAnsi="宋体"/>
          <w:highlight w:val="none"/>
        </w:rPr>
        <w:br w:type="page"/>
      </w:r>
      <w:bookmarkStart w:id="49" w:name="_Toc5498"/>
      <w:bookmarkEnd w:id="49"/>
      <w:bookmarkStart w:id="50" w:name="_Toc13994"/>
      <w:bookmarkEnd w:id="50"/>
      <w:bookmarkStart w:id="51" w:name="_Toc16794"/>
      <w:bookmarkEnd w:id="51"/>
      <w:bookmarkStart w:id="52" w:name="_Toc23419"/>
      <w:bookmarkEnd w:id="52"/>
      <w:bookmarkStart w:id="53" w:name="_Toc8120"/>
      <w:bookmarkEnd w:id="53"/>
      <w:bookmarkStart w:id="54" w:name="_Toc21485"/>
      <w:bookmarkStart w:id="55" w:name="_Toc18212"/>
      <w:r>
        <w:rPr>
          <w:rStyle w:val="44"/>
          <w:rFonts w:hint="eastAsia" w:ascii="宋体" w:hAnsi="宋体"/>
          <w:b/>
          <w:bCs/>
          <w:highlight w:val="none"/>
        </w:rPr>
        <w:t>第二章 投标人须知</w:t>
      </w:r>
      <w:bookmarkEnd w:id="54"/>
      <w:bookmarkEnd w:id="55"/>
    </w:p>
    <w:p w14:paraId="206D5E9D">
      <w:pPr>
        <w:pStyle w:val="3"/>
        <w:spacing w:before="0" w:after="0" w:line="360" w:lineRule="auto"/>
        <w:ind w:firstLine="420"/>
        <w:jc w:val="center"/>
        <w:rPr>
          <w:rFonts w:hint="eastAsia" w:ascii="宋体" w:hAnsi="宋体" w:eastAsia="宋体"/>
          <w:sz w:val="28"/>
          <w:szCs w:val="28"/>
          <w:highlight w:val="none"/>
        </w:rPr>
      </w:pPr>
      <w:bookmarkStart w:id="56" w:name="_Toc13590"/>
      <w:bookmarkEnd w:id="56"/>
      <w:bookmarkStart w:id="57" w:name="_Toc21714"/>
      <w:bookmarkEnd w:id="57"/>
      <w:bookmarkStart w:id="58" w:name="_Toc26144"/>
      <w:bookmarkStart w:id="59" w:name="_Toc19689"/>
      <w:r>
        <w:rPr>
          <w:rFonts w:hint="eastAsia" w:ascii="宋体" w:hAnsi="宋体" w:eastAsia="宋体"/>
          <w:sz w:val="28"/>
          <w:szCs w:val="28"/>
          <w:highlight w:val="none"/>
        </w:rPr>
        <w:t>投标人须知前附表</w:t>
      </w:r>
      <w:bookmarkEnd w:id="58"/>
      <w:bookmarkEnd w:id="59"/>
    </w:p>
    <w:p w14:paraId="673839D4">
      <w:pPr>
        <w:spacing w:line="200" w:lineRule="exact"/>
        <w:rPr>
          <w:rFonts w:hint="eastAsia" w:ascii="宋体" w:hAnsi="宋体"/>
          <w:highlight w:val="none"/>
        </w:rPr>
      </w:pPr>
      <w:r>
        <w:rPr>
          <w:rFonts w:hint="eastAsia" w:ascii="宋体" w:hAnsi="宋体"/>
          <w:highlight w:val="none"/>
        </w:rPr>
        <w:t xml:space="preserve"> </w:t>
      </w:r>
    </w:p>
    <w:tbl>
      <w:tblPr>
        <w:tblStyle w:val="27"/>
        <w:tblW w:w="9882" w:type="dxa"/>
        <w:jc w:val="center"/>
        <w:tblLayout w:type="fixed"/>
        <w:tblCellMar>
          <w:top w:w="0" w:type="dxa"/>
          <w:left w:w="0" w:type="dxa"/>
          <w:bottom w:w="0" w:type="dxa"/>
          <w:right w:w="0" w:type="dxa"/>
        </w:tblCellMar>
      </w:tblPr>
      <w:tblGrid>
        <w:gridCol w:w="1047"/>
        <w:gridCol w:w="1866"/>
        <w:gridCol w:w="6969"/>
      </w:tblGrid>
      <w:tr w14:paraId="67912018">
        <w:tblPrEx>
          <w:tblCellMar>
            <w:top w:w="0" w:type="dxa"/>
            <w:left w:w="0" w:type="dxa"/>
            <w:bottom w:w="0" w:type="dxa"/>
            <w:right w:w="0" w:type="dxa"/>
          </w:tblCellMar>
        </w:tblPrEx>
        <w:trPr>
          <w:trHeight w:val="90" w:hRule="atLeast"/>
          <w:tblHeader/>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24A85612">
            <w:pPr>
              <w:spacing w:line="460" w:lineRule="exact"/>
              <w:jc w:val="center"/>
              <w:rPr>
                <w:rFonts w:ascii="宋体" w:hAnsi="宋体"/>
                <w:b/>
                <w:bCs/>
                <w:kern w:val="2"/>
                <w:sz w:val="24"/>
                <w:szCs w:val="24"/>
                <w:highlight w:val="none"/>
              </w:rPr>
            </w:pPr>
            <w:r>
              <w:rPr>
                <w:rFonts w:hint="eastAsia" w:ascii="宋体" w:hAnsi="宋体"/>
                <w:b/>
                <w:bCs/>
                <w:kern w:val="2"/>
                <w:sz w:val="24"/>
                <w:szCs w:val="24"/>
                <w:highlight w:val="none"/>
              </w:rPr>
              <w:t>条款号</w:t>
            </w:r>
          </w:p>
        </w:tc>
        <w:tc>
          <w:tcPr>
            <w:tcW w:w="1866" w:type="dxa"/>
            <w:tcBorders>
              <w:top w:val="single" w:color="auto" w:sz="8" w:space="0"/>
              <w:left w:val="nil"/>
              <w:bottom w:val="single" w:color="auto" w:sz="8" w:space="0"/>
              <w:right w:val="single" w:color="auto" w:sz="8" w:space="0"/>
            </w:tcBorders>
            <w:noWrap w:val="0"/>
            <w:vAlign w:val="bottom"/>
          </w:tcPr>
          <w:p w14:paraId="41D97349">
            <w:pPr>
              <w:spacing w:line="460" w:lineRule="exact"/>
              <w:jc w:val="center"/>
              <w:rPr>
                <w:rFonts w:ascii="宋体" w:hAnsi="宋体"/>
                <w:b/>
                <w:bCs/>
                <w:kern w:val="2"/>
                <w:sz w:val="24"/>
                <w:szCs w:val="24"/>
                <w:highlight w:val="none"/>
              </w:rPr>
            </w:pPr>
            <w:r>
              <w:rPr>
                <w:rFonts w:hint="eastAsia" w:ascii="宋体" w:hAnsi="宋体"/>
                <w:b/>
                <w:bCs/>
                <w:kern w:val="2"/>
                <w:sz w:val="24"/>
                <w:szCs w:val="24"/>
                <w:highlight w:val="none"/>
              </w:rPr>
              <w:t>条 款 名 称</w:t>
            </w:r>
          </w:p>
        </w:tc>
        <w:tc>
          <w:tcPr>
            <w:tcW w:w="6969" w:type="dxa"/>
            <w:tcBorders>
              <w:top w:val="single" w:color="auto" w:sz="8" w:space="0"/>
              <w:left w:val="nil"/>
              <w:bottom w:val="single" w:color="auto" w:sz="8" w:space="0"/>
              <w:right w:val="single" w:color="auto" w:sz="8" w:space="0"/>
            </w:tcBorders>
            <w:noWrap w:val="0"/>
            <w:vAlign w:val="bottom"/>
          </w:tcPr>
          <w:p w14:paraId="216D85DD">
            <w:pPr>
              <w:spacing w:line="460" w:lineRule="exact"/>
              <w:ind w:left="1680"/>
              <w:rPr>
                <w:rFonts w:ascii="宋体" w:hAnsi="宋体"/>
                <w:b/>
                <w:bCs/>
                <w:kern w:val="2"/>
                <w:sz w:val="24"/>
                <w:szCs w:val="24"/>
                <w:highlight w:val="none"/>
              </w:rPr>
            </w:pPr>
            <w:r>
              <w:rPr>
                <w:rFonts w:hint="eastAsia" w:ascii="宋体" w:hAnsi="宋体"/>
                <w:b/>
                <w:bCs/>
                <w:kern w:val="2"/>
                <w:sz w:val="24"/>
                <w:szCs w:val="24"/>
                <w:highlight w:val="none"/>
              </w:rPr>
              <w:t>编 列 内 容</w:t>
            </w:r>
          </w:p>
        </w:tc>
      </w:tr>
      <w:tr w14:paraId="6298C51B">
        <w:tblPrEx>
          <w:tblCellMar>
            <w:top w:w="0" w:type="dxa"/>
            <w:left w:w="0" w:type="dxa"/>
            <w:bottom w:w="0" w:type="dxa"/>
            <w:right w:w="0" w:type="dxa"/>
          </w:tblCellMar>
        </w:tblPrEx>
        <w:trPr>
          <w:trHeight w:val="466"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7A7B0206">
            <w:pPr>
              <w:spacing w:line="380" w:lineRule="exact"/>
              <w:jc w:val="center"/>
              <w:rPr>
                <w:rFonts w:ascii="宋体" w:hAnsi="宋体"/>
                <w:kern w:val="2"/>
                <w:sz w:val="24"/>
                <w:szCs w:val="24"/>
                <w:highlight w:val="none"/>
              </w:rPr>
            </w:pPr>
            <w:r>
              <w:rPr>
                <w:rFonts w:hint="eastAsia" w:ascii="宋体" w:hAnsi="宋体"/>
                <w:kern w:val="2"/>
                <w:sz w:val="24"/>
                <w:szCs w:val="24"/>
                <w:highlight w:val="none"/>
              </w:rPr>
              <w:t>1.1.2</w:t>
            </w:r>
          </w:p>
        </w:tc>
        <w:tc>
          <w:tcPr>
            <w:tcW w:w="1866" w:type="dxa"/>
            <w:tcBorders>
              <w:top w:val="single" w:color="auto" w:sz="8" w:space="0"/>
              <w:left w:val="nil"/>
              <w:bottom w:val="single" w:color="auto" w:sz="8" w:space="0"/>
              <w:right w:val="single" w:color="auto" w:sz="8" w:space="0"/>
            </w:tcBorders>
            <w:noWrap w:val="0"/>
            <w:vAlign w:val="center"/>
          </w:tcPr>
          <w:p w14:paraId="6ACBF2F6">
            <w:pPr>
              <w:spacing w:line="380" w:lineRule="exact"/>
              <w:rPr>
                <w:rFonts w:ascii="宋体" w:hAnsi="宋体"/>
                <w:kern w:val="2"/>
                <w:sz w:val="24"/>
                <w:szCs w:val="24"/>
                <w:highlight w:val="none"/>
              </w:rPr>
            </w:pPr>
            <w:r>
              <w:rPr>
                <w:rFonts w:hint="eastAsia" w:ascii="宋体" w:hAnsi="宋体"/>
                <w:kern w:val="2"/>
                <w:sz w:val="24"/>
                <w:szCs w:val="24"/>
                <w:highlight w:val="none"/>
              </w:rPr>
              <w:t>采购人</w:t>
            </w:r>
          </w:p>
        </w:tc>
        <w:tc>
          <w:tcPr>
            <w:tcW w:w="6969" w:type="dxa"/>
            <w:tcBorders>
              <w:top w:val="single" w:color="auto" w:sz="8" w:space="0"/>
              <w:left w:val="nil"/>
              <w:bottom w:val="single" w:color="auto" w:sz="8" w:space="0"/>
              <w:right w:val="single" w:color="auto" w:sz="8" w:space="0"/>
            </w:tcBorders>
            <w:noWrap w:val="0"/>
            <w:vAlign w:val="center"/>
          </w:tcPr>
          <w:p w14:paraId="1665E8E5">
            <w:pPr>
              <w:widowControl w:val="0"/>
              <w:spacing w:line="360" w:lineRule="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rPr>
              <w:t>名称：</w:t>
            </w:r>
            <w:r>
              <w:rPr>
                <w:rFonts w:hint="eastAsia" w:ascii="宋体" w:hAnsi="宋体" w:cs="宋体"/>
                <w:sz w:val="24"/>
                <w:szCs w:val="24"/>
                <w:highlight w:val="none"/>
                <w:u w:val="none"/>
                <w:lang w:val="en-US" w:eastAsia="zh-CN"/>
              </w:rPr>
              <w:t>香格里拉市人民医院</w:t>
            </w:r>
          </w:p>
          <w:p w14:paraId="6546F8CB">
            <w:pPr>
              <w:widowControl w:val="0"/>
              <w:spacing w:line="360" w:lineRule="auto"/>
              <w:rPr>
                <w:rFonts w:hint="eastAsia" w:ascii="宋体" w:hAnsi="宋体" w:eastAsia="宋体" w:cs="宋体"/>
                <w:bCs/>
                <w:sz w:val="24"/>
                <w:szCs w:val="24"/>
                <w:highlight w:val="none"/>
                <w:lang w:eastAsia="zh-CN"/>
              </w:rPr>
            </w:pPr>
            <w:r>
              <w:rPr>
                <w:rFonts w:hint="eastAsia" w:ascii="宋体" w:hAnsi="宋体" w:eastAsia="宋体" w:cs="宋体"/>
                <w:sz w:val="24"/>
                <w:szCs w:val="24"/>
                <w:highlight w:val="none"/>
                <w:u w:val="none"/>
              </w:rPr>
              <w:t>地址：</w:t>
            </w:r>
            <w:r>
              <w:rPr>
                <w:rFonts w:hint="eastAsia" w:ascii="宋体" w:hAnsi="宋体" w:cs="宋体"/>
                <w:bCs/>
                <w:sz w:val="24"/>
                <w:szCs w:val="24"/>
                <w:highlight w:val="none"/>
                <w:lang w:eastAsia="zh-CN"/>
              </w:rPr>
              <w:t>迪庆藏族自治州香格里拉市建塘镇新城区白螺路1号</w:t>
            </w:r>
          </w:p>
          <w:p w14:paraId="220DE242">
            <w:pPr>
              <w:widowControl w:val="0"/>
              <w:spacing w:line="360" w:lineRule="auto"/>
              <w:rPr>
                <w:rFonts w:hint="default" w:ascii="宋体" w:hAnsi="宋体" w:eastAsia="宋体" w:cs="宋体"/>
                <w:sz w:val="24"/>
                <w:szCs w:val="24"/>
                <w:highlight w:val="none"/>
                <w:u w:val="none"/>
                <w:lang w:val="en-US" w:eastAsia="zh-CN"/>
              </w:rPr>
            </w:pPr>
            <w:r>
              <w:rPr>
                <w:rFonts w:hint="eastAsia" w:ascii="宋体" w:hAnsi="宋体" w:eastAsia="宋体" w:cs="宋体"/>
                <w:sz w:val="24"/>
                <w:szCs w:val="24"/>
                <w:highlight w:val="none"/>
                <w:u w:val="none"/>
              </w:rPr>
              <w:t>联系</w:t>
            </w:r>
            <w:r>
              <w:rPr>
                <w:rFonts w:hint="eastAsia" w:ascii="宋体" w:hAnsi="宋体" w:eastAsia="宋体" w:cs="宋体"/>
                <w:sz w:val="24"/>
                <w:szCs w:val="24"/>
                <w:highlight w:val="none"/>
                <w:u w:val="none"/>
                <w:lang w:val="en-US" w:eastAsia="zh-CN"/>
              </w:rPr>
              <w:t>人</w:t>
            </w:r>
            <w:r>
              <w:rPr>
                <w:rFonts w:hint="eastAsia" w:ascii="宋体" w:hAnsi="宋体" w:eastAsia="宋体" w:cs="宋体"/>
                <w:sz w:val="24"/>
                <w:szCs w:val="24"/>
                <w:highlight w:val="none"/>
                <w:u w:val="none"/>
              </w:rPr>
              <w:t>：</w:t>
            </w:r>
            <w:r>
              <w:rPr>
                <w:rFonts w:hint="eastAsia" w:ascii="宋体" w:hAnsi="宋体" w:cs="宋体"/>
                <w:bCs/>
                <w:sz w:val="24"/>
                <w:szCs w:val="24"/>
                <w:highlight w:val="none"/>
                <w:lang w:val="en-US" w:eastAsia="zh-CN"/>
              </w:rPr>
              <w:t>倪文军</w:t>
            </w:r>
          </w:p>
          <w:p w14:paraId="3E4276A0">
            <w:pPr>
              <w:widowControl w:val="0"/>
              <w:spacing w:line="360" w:lineRule="auto"/>
              <w:rPr>
                <w:rFonts w:ascii="宋体" w:hAnsi="宋体"/>
                <w:kern w:val="2"/>
                <w:sz w:val="24"/>
                <w:szCs w:val="24"/>
                <w:highlight w:val="none"/>
              </w:rPr>
            </w:pPr>
            <w:r>
              <w:rPr>
                <w:rFonts w:hint="eastAsia" w:ascii="宋体" w:hAnsi="宋体" w:eastAsia="宋体" w:cs="宋体"/>
                <w:sz w:val="24"/>
                <w:szCs w:val="24"/>
                <w:highlight w:val="none"/>
                <w:u w:val="none"/>
                <w:lang w:val="en-US" w:eastAsia="zh-CN"/>
              </w:rPr>
              <w:t>电话：</w:t>
            </w:r>
            <w:r>
              <w:rPr>
                <w:rFonts w:hint="eastAsia" w:ascii="宋体" w:hAnsi="宋体" w:cs="宋体"/>
                <w:bCs/>
                <w:sz w:val="24"/>
                <w:szCs w:val="24"/>
                <w:highlight w:val="none"/>
                <w:lang w:eastAsia="zh-CN"/>
              </w:rPr>
              <w:t>13988739860</w:t>
            </w:r>
          </w:p>
        </w:tc>
      </w:tr>
      <w:tr w14:paraId="6FBCFE9A">
        <w:tblPrEx>
          <w:tblCellMar>
            <w:top w:w="0" w:type="dxa"/>
            <w:left w:w="0" w:type="dxa"/>
            <w:bottom w:w="0" w:type="dxa"/>
            <w:right w:w="0" w:type="dxa"/>
          </w:tblCellMar>
        </w:tblPrEx>
        <w:trPr>
          <w:trHeight w:val="518"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20895798">
            <w:pPr>
              <w:spacing w:line="380" w:lineRule="exact"/>
              <w:jc w:val="center"/>
              <w:rPr>
                <w:rFonts w:ascii="宋体" w:hAnsi="宋体"/>
                <w:kern w:val="2"/>
                <w:sz w:val="24"/>
                <w:szCs w:val="24"/>
                <w:highlight w:val="none"/>
              </w:rPr>
            </w:pPr>
            <w:r>
              <w:rPr>
                <w:rFonts w:hint="eastAsia" w:ascii="宋体" w:hAnsi="宋体"/>
                <w:kern w:val="2"/>
                <w:sz w:val="24"/>
                <w:szCs w:val="24"/>
                <w:highlight w:val="none"/>
              </w:rPr>
              <w:t>1.1.3</w:t>
            </w:r>
          </w:p>
        </w:tc>
        <w:tc>
          <w:tcPr>
            <w:tcW w:w="1866" w:type="dxa"/>
            <w:tcBorders>
              <w:top w:val="single" w:color="auto" w:sz="8" w:space="0"/>
              <w:left w:val="nil"/>
              <w:bottom w:val="single" w:color="auto" w:sz="8" w:space="0"/>
              <w:right w:val="single" w:color="auto" w:sz="8" w:space="0"/>
            </w:tcBorders>
            <w:noWrap w:val="0"/>
            <w:vAlign w:val="center"/>
          </w:tcPr>
          <w:p w14:paraId="25A914CB">
            <w:pPr>
              <w:spacing w:line="380" w:lineRule="exact"/>
              <w:rPr>
                <w:rFonts w:ascii="宋体" w:hAnsi="宋体"/>
                <w:kern w:val="2"/>
                <w:sz w:val="24"/>
                <w:szCs w:val="24"/>
                <w:highlight w:val="none"/>
              </w:rPr>
            </w:pPr>
            <w:r>
              <w:rPr>
                <w:rFonts w:hint="eastAsia" w:ascii="宋体" w:hAnsi="宋体"/>
                <w:kern w:val="2"/>
                <w:sz w:val="24"/>
                <w:szCs w:val="24"/>
                <w:highlight w:val="none"/>
              </w:rPr>
              <w:t>采购代理机构</w:t>
            </w:r>
          </w:p>
        </w:tc>
        <w:tc>
          <w:tcPr>
            <w:tcW w:w="6969" w:type="dxa"/>
            <w:tcBorders>
              <w:top w:val="single" w:color="auto" w:sz="8" w:space="0"/>
              <w:left w:val="nil"/>
              <w:bottom w:val="single" w:color="auto" w:sz="8" w:space="0"/>
              <w:right w:val="single" w:color="auto" w:sz="8" w:space="0"/>
            </w:tcBorders>
            <w:noWrap w:val="0"/>
            <w:vAlign w:val="center"/>
          </w:tcPr>
          <w:p w14:paraId="0B7665E2">
            <w:pPr>
              <w:widowControl w:val="0"/>
              <w:spacing w:line="360" w:lineRule="auto"/>
              <w:rPr>
                <w:rFonts w:hint="eastAsia" w:ascii="宋体" w:hAnsi="宋体" w:eastAsia="宋体"/>
                <w:kern w:val="2"/>
                <w:sz w:val="24"/>
                <w:szCs w:val="24"/>
                <w:highlight w:val="none"/>
                <w:lang w:eastAsia="zh-CN"/>
              </w:rPr>
            </w:pPr>
            <w:r>
              <w:rPr>
                <w:rFonts w:hint="eastAsia" w:ascii="宋体" w:hAnsi="宋体"/>
                <w:kern w:val="2"/>
                <w:sz w:val="24"/>
                <w:szCs w:val="24"/>
                <w:highlight w:val="none"/>
              </w:rPr>
              <w:t>名称：</w:t>
            </w:r>
            <w:r>
              <w:rPr>
                <w:rFonts w:hint="eastAsia" w:ascii="宋体" w:hAnsi="宋体" w:cs="宋体"/>
                <w:sz w:val="24"/>
                <w:szCs w:val="24"/>
                <w:highlight w:val="none"/>
                <w:u w:val="none"/>
                <w:lang w:eastAsia="zh-CN"/>
              </w:rPr>
              <w:t>云南玉昭工程咨询有限公司</w:t>
            </w:r>
          </w:p>
          <w:p w14:paraId="4DFF35D1">
            <w:pPr>
              <w:widowControl w:val="0"/>
              <w:spacing w:line="360" w:lineRule="auto"/>
              <w:rPr>
                <w:rFonts w:hint="eastAsia" w:ascii="宋体" w:hAnsi="宋体" w:eastAsia="宋体"/>
                <w:kern w:val="2"/>
                <w:sz w:val="24"/>
                <w:szCs w:val="24"/>
                <w:highlight w:val="none"/>
                <w:lang w:eastAsia="zh-CN"/>
              </w:rPr>
            </w:pPr>
            <w:r>
              <w:rPr>
                <w:rFonts w:hint="eastAsia" w:ascii="宋体" w:hAnsi="宋体"/>
                <w:kern w:val="2"/>
                <w:sz w:val="24"/>
                <w:szCs w:val="24"/>
                <w:highlight w:val="none"/>
              </w:rPr>
              <w:t>地址：</w:t>
            </w:r>
            <w:r>
              <w:rPr>
                <w:rFonts w:hint="eastAsia" w:ascii="宋体" w:hAnsi="宋体" w:cs="宋体"/>
                <w:sz w:val="24"/>
                <w:szCs w:val="24"/>
                <w:highlight w:val="none"/>
                <w:u w:val="none"/>
                <w:lang w:eastAsia="zh-CN"/>
              </w:rPr>
              <w:t>香格里拉市环城北路26号</w:t>
            </w:r>
          </w:p>
          <w:p w14:paraId="2AB889BD">
            <w:pPr>
              <w:widowControl w:val="0"/>
              <w:spacing w:line="360" w:lineRule="auto"/>
              <w:rPr>
                <w:rFonts w:hint="eastAsia" w:ascii="宋体" w:hAnsi="宋体"/>
                <w:kern w:val="2"/>
                <w:sz w:val="24"/>
                <w:szCs w:val="24"/>
                <w:highlight w:val="none"/>
                <w:lang w:eastAsia="zh-CN"/>
              </w:rPr>
            </w:pPr>
            <w:r>
              <w:rPr>
                <w:rFonts w:hint="eastAsia" w:ascii="宋体" w:hAnsi="宋体"/>
                <w:kern w:val="2"/>
                <w:sz w:val="24"/>
                <w:szCs w:val="24"/>
                <w:highlight w:val="none"/>
              </w:rPr>
              <w:t>联系</w:t>
            </w:r>
            <w:r>
              <w:rPr>
                <w:rFonts w:hint="eastAsia" w:ascii="宋体" w:hAnsi="宋体"/>
                <w:kern w:val="2"/>
                <w:sz w:val="24"/>
                <w:szCs w:val="24"/>
                <w:highlight w:val="none"/>
                <w:lang w:val="en-US" w:eastAsia="zh-CN"/>
              </w:rPr>
              <w:t>人</w:t>
            </w:r>
            <w:r>
              <w:rPr>
                <w:rFonts w:hint="eastAsia" w:ascii="宋体" w:hAnsi="宋体"/>
                <w:kern w:val="2"/>
                <w:sz w:val="24"/>
                <w:szCs w:val="24"/>
                <w:highlight w:val="none"/>
              </w:rPr>
              <w:t>：</w:t>
            </w:r>
            <w:r>
              <w:rPr>
                <w:rFonts w:hint="eastAsia" w:ascii="宋体" w:hAnsi="宋体" w:cs="宋体"/>
                <w:color w:val="auto"/>
                <w:sz w:val="24"/>
                <w:szCs w:val="24"/>
                <w:highlight w:val="none"/>
                <w:u w:val="none"/>
                <w:lang w:eastAsia="zh-CN"/>
              </w:rPr>
              <w:t>农布</w:t>
            </w:r>
          </w:p>
          <w:p w14:paraId="4136E82E">
            <w:pPr>
              <w:spacing w:line="380" w:lineRule="exact"/>
              <w:rPr>
                <w:rFonts w:hint="eastAsia" w:ascii="宋体" w:hAnsi="宋体" w:eastAsia="宋体"/>
                <w:kern w:val="2"/>
                <w:sz w:val="24"/>
                <w:szCs w:val="24"/>
                <w:highlight w:val="none"/>
                <w:lang w:eastAsia="zh-CN"/>
              </w:rPr>
            </w:pPr>
            <w:r>
              <w:rPr>
                <w:rFonts w:hint="eastAsia" w:ascii="宋体" w:hAnsi="宋体"/>
                <w:kern w:val="2"/>
                <w:sz w:val="24"/>
                <w:szCs w:val="24"/>
                <w:highlight w:val="none"/>
                <w:lang w:val="en-US" w:eastAsia="zh-CN"/>
              </w:rPr>
              <w:t>电话：</w:t>
            </w:r>
            <w:r>
              <w:rPr>
                <w:rFonts w:hint="eastAsia" w:ascii="宋体" w:hAnsi="宋体"/>
                <w:kern w:val="2"/>
                <w:sz w:val="24"/>
                <w:szCs w:val="24"/>
                <w:highlight w:val="none"/>
                <w:lang w:eastAsia="zh-CN"/>
              </w:rPr>
              <w:t>18008877484</w:t>
            </w:r>
          </w:p>
        </w:tc>
      </w:tr>
      <w:tr w14:paraId="2E9FD699">
        <w:tblPrEx>
          <w:tblCellMar>
            <w:top w:w="0" w:type="dxa"/>
            <w:left w:w="0" w:type="dxa"/>
            <w:bottom w:w="0" w:type="dxa"/>
            <w:right w:w="0" w:type="dxa"/>
          </w:tblCellMar>
        </w:tblPrEx>
        <w:trPr>
          <w:trHeight w:val="476"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5D5EF27A">
            <w:pPr>
              <w:spacing w:line="380" w:lineRule="exact"/>
              <w:jc w:val="center"/>
              <w:rPr>
                <w:rFonts w:ascii="宋体" w:hAnsi="宋体"/>
                <w:kern w:val="2"/>
                <w:sz w:val="24"/>
                <w:szCs w:val="24"/>
                <w:highlight w:val="none"/>
              </w:rPr>
            </w:pPr>
            <w:r>
              <w:rPr>
                <w:rFonts w:hint="eastAsia" w:ascii="宋体" w:hAnsi="宋体"/>
                <w:kern w:val="2"/>
                <w:sz w:val="24"/>
                <w:szCs w:val="24"/>
                <w:highlight w:val="none"/>
              </w:rPr>
              <w:t>1.1.4</w:t>
            </w:r>
          </w:p>
        </w:tc>
        <w:tc>
          <w:tcPr>
            <w:tcW w:w="1866" w:type="dxa"/>
            <w:tcBorders>
              <w:top w:val="single" w:color="auto" w:sz="8" w:space="0"/>
              <w:left w:val="nil"/>
              <w:bottom w:val="single" w:color="auto" w:sz="8" w:space="0"/>
              <w:right w:val="single" w:color="auto" w:sz="8" w:space="0"/>
            </w:tcBorders>
            <w:noWrap w:val="0"/>
            <w:vAlign w:val="center"/>
          </w:tcPr>
          <w:p w14:paraId="31F0B5BE">
            <w:pPr>
              <w:spacing w:line="380" w:lineRule="exact"/>
              <w:rPr>
                <w:rFonts w:ascii="宋体" w:hAnsi="宋体"/>
                <w:kern w:val="2"/>
                <w:sz w:val="24"/>
                <w:szCs w:val="24"/>
                <w:highlight w:val="none"/>
              </w:rPr>
            </w:pPr>
            <w:r>
              <w:rPr>
                <w:rFonts w:hint="eastAsia" w:ascii="宋体" w:hAnsi="宋体"/>
                <w:kern w:val="2"/>
                <w:sz w:val="24"/>
                <w:szCs w:val="24"/>
                <w:highlight w:val="none"/>
              </w:rPr>
              <w:t>项目名称</w:t>
            </w:r>
          </w:p>
        </w:tc>
        <w:tc>
          <w:tcPr>
            <w:tcW w:w="6969" w:type="dxa"/>
            <w:tcBorders>
              <w:top w:val="single" w:color="auto" w:sz="8" w:space="0"/>
              <w:left w:val="nil"/>
              <w:bottom w:val="single" w:color="auto" w:sz="8" w:space="0"/>
              <w:right w:val="single" w:color="auto" w:sz="8" w:space="0"/>
            </w:tcBorders>
            <w:noWrap w:val="0"/>
            <w:vAlign w:val="center"/>
          </w:tcPr>
          <w:p w14:paraId="4E1837EE">
            <w:pPr>
              <w:spacing w:line="380" w:lineRule="exact"/>
              <w:jc w:val="both"/>
              <w:rPr>
                <w:rFonts w:hint="eastAsia" w:ascii="宋体" w:hAnsi="宋体" w:eastAsia="宋体"/>
                <w:kern w:val="2"/>
                <w:sz w:val="24"/>
                <w:szCs w:val="24"/>
                <w:highlight w:val="none"/>
                <w:lang w:eastAsia="zh-CN"/>
              </w:rPr>
            </w:pPr>
            <w:r>
              <w:rPr>
                <w:rFonts w:hint="eastAsia" w:ascii="宋体" w:hAnsi="宋体"/>
                <w:kern w:val="2"/>
                <w:sz w:val="24"/>
                <w:szCs w:val="24"/>
                <w:highlight w:val="none"/>
                <w:lang w:val="en-US" w:eastAsia="zh-CN"/>
              </w:rPr>
              <w:t>沪滇协作香格里拉市人民医院粪便工作站、儿童肺功能仪等设备采购项目</w:t>
            </w:r>
          </w:p>
        </w:tc>
      </w:tr>
      <w:tr w14:paraId="0410227E">
        <w:tblPrEx>
          <w:tblCellMar>
            <w:top w:w="0" w:type="dxa"/>
            <w:left w:w="0" w:type="dxa"/>
            <w:bottom w:w="0" w:type="dxa"/>
            <w:right w:w="0" w:type="dxa"/>
          </w:tblCellMar>
        </w:tblPrEx>
        <w:trPr>
          <w:trHeight w:val="66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39700124">
            <w:pPr>
              <w:spacing w:line="380" w:lineRule="exact"/>
              <w:jc w:val="center"/>
              <w:rPr>
                <w:rFonts w:ascii="宋体" w:hAnsi="宋体"/>
                <w:kern w:val="2"/>
                <w:sz w:val="24"/>
                <w:szCs w:val="24"/>
                <w:highlight w:val="none"/>
              </w:rPr>
            </w:pPr>
            <w:r>
              <w:rPr>
                <w:rFonts w:hint="eastAsia" w:ascii="宋体" w:hAnsi="宋体"/>
                <w:kern w:val="2"/>
                <w:sz w:val="24"/>
                <w:szCs w:val="24"/>
                <w:highlight w:val="none"/>
              </w:rPr>
              <w:t>1.2.1</w:t>
            </w:r>
          </w:p>
        </w:tc>
        <w:tc>
          <w:tcPr>
            <w:tcW w:w="1866" w:type="dxa"/>
            <w:tcBorders>
              <w:top w:val="single" w:color="auto" w:sz="8" w:space="0"/>
              <w:left w:val="nil"/>
              <w:bottom w:val="single" w:color="auto" w:sz="8" w:space="0"/>
              <w:right w:val="single" w:color="auto" w:sz="8" w:space="0"/>
            </w:tcBorders>
            <w:noWrap w:val="0"/>
            <w:vAlign w:val="center"/>
          </w:tcPr>
          <w:p w14:paraId="50245BA9">
            <w:pPr>
              <w:spacing w:line="380" w:lineRule="exact"/>
              <w:rPr>
                <w:rFonts w:ascii="宋体" w:hAnsi="宋体"/>
                <w:kern w:val="2"/>
                <w:sz w:val="24"/>
                <w:szCs w:val="24"/>
                <w:highlight w:val="none"/>
              </w:rPr>
            </w:pPr>
            <w:r>
              <w:rPr>
                <w:rFonts w:hint="eastAsia" w:ascii="宋体" w:hAnsi="宋体"/>
                <w:kern w:val="2"/>
                <w:sz w:val="24"/>
                <w:szCs w:val="24"/>
                <w:highlight w:val="none"/>
              </w:rPr>
              <w:t>资金落实情况</w:t>
            </w:r>
          </w:p>
        </w:tc>
        <w:tc>
          <w:tcPr>
            <w:tcW w:w="6969" w:type="dxa"/>
            <w:tcBorders>
              <w:top w:val="single" w:color="auto" w:sz="8" w:space="0"/>
              <w:left w:val="nil"/>
              <w:bottom w:val="single" w:color="auto" w:sz="8" w:space="0"/>
              <w:right w:val="single" w:color="auto" w:sz="8" w:space="0"/>
            </w:tcBorders>
            <w:noWrap w:val="0"/>
            <w:vAlign w:val="center"/>
          </w:tcPr>
          <w:p w14:paraId="2FECF9AD">
            <w:pPr>
              <w:spacing w:line="380" w:lineRule="exact"/>
              <w:jc w:val="both"/>
              <w:rPr>
                <w:rFonts w:hint="default" w:ascii="宋体" w:hAnsi="宋体" w:eastAsia="宋体"/>
                <w:kern w:val="2"/>
                <w:sz w:val="24"/>
                <w:szCs w:val="24"/>
                <w:highlight w:val="none"/>
                <w:lang w:val="en-US" w:eastAsia="zh-CN"/>
              </w:rPr>
            </w:pPr>
            <w:r>
              <w:rPr>
                <w:rFonts w:hint="eastAsia" w:ascii="宋体" w:hAnsi="宋体"/>
                <w:kern w:val="2"/>
                <w:sz w:val="24"/>
                <w:szCs w:val="24"/>
                <w:highlight w:val="none"/>
                <w:lang w:val="en-US" w:eastAsia="zh-CN"/>
              </w:rPr>
              <w:t>财政资金，已落实</w:t>
            </w:r>
          </w:p>
        </w:tc>
      </w:tr>
      <w:tr w14:paraId="66D2B59E">
        <w:tblPrEx>
          <w:tblCellMar>
            <w:top w:w="0" w:type="dxa"/>
            <w:left w:w="0" w:type="dxa"/>
            <w:bottom w:w="0" w:type="dxa"/>
            <w:right w:w="0" w:type="dxa"/>
          </w:tblCellMar>
        </w:tblPrEx>
        <w:trPr>
          <w:trHeight w:val="643"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19ED02C6">
            <w:pPr>
              <w:spacing w:line="380" w:lineRule="exact"/>
              <w:jc w:val="center"/>
              <w:rPr>
                <w:rFonts w:hint="eastAsia" w:ascii="宋体" w:hAnsi="宋体"/>
                <w:kern w:val="2"/>
                <w:sz w:val="24"/>
                <w:szCs w:val="24"/>
                <w:highlight w:val="none"/>
              </w:rPr>
            </w:pPr>
            <w:r>
              <w:rPr>
                <w:rFonts w:hint="eastAsia" w:ascii="宋体" w:hAnsi="宋体"/>
                <w:kern w:val="2"/>
                <w:sz w:val="24"/>
                <w:szCs w:val="24"/>
                <w:highlight w:val="none"/>
              </w:rPr>
              <w:t>1.2.2</w:t>
            </w:r>
          </w:p>
        </w:tc>
        <w:tc>
          <w:tcPr>
            <w:tcW w:w="1866" w:type="dxa"/>
            <w:tcBorders>
              <w:top w:val="single" w:color="auto" w:sz="8" w:space="0"/>
              <w:left w:val="nil"/>
              <w:bottom w:val="single" w:color="auto" w:sz="8" w:space="0"/>
              <w:right w:val="single" w:color="auto" w:sz="8" w:space="0"/>
            </w:tcBorders>
            <w:noWrap w:val="0"/>
            <w:vAlign w:val="center"/>
          </w:tcPr>
          <w:p w14:paraId="1453A02E">
            <w:pPr>
              <w:spacing w:line="380" w:lineRule="exact"/>
              <w:rPr>
                <w:rFonts w:hint="eastAsia" w:ascii="宋体" w:hAnsi="宋体"/>
                <w:kern w:val="2"/>
                <w:sz w:val="24"/>
                <w:szCs w:val="24"/>
                <w:highlight w:val="none"/>
              </w:rPr>
            </w:pPr>
            <w:r>
              <w:rPr>
                <w:rFonts w:hint="eastAsia" w:ascii="宋体" w:hAnsi="宋体"/>
                <w:kern w:val="2"/>
                <w:sz w:val="24"/>
                <w:szCs w:val="24"/>
                <w:highlight w:val="none"/>
              </w:rPr>
              <w:t>预算金额</w:t>
            </w:r>
          </w:p>
        </w:tc>
        <w:tc>
          <w:tcPr>
            <w:tcW w:w="6969" w:type="dxa"/>
            <w:tcBorders>
              <w:top w:val="single" w:color="auto" w:sz="8" w:space="0"/>
              <w:left w:val="nil"/>
              <w:bottom w:val="single" w:color="auto" w:sz="8" w:space="0"/>
              <w:right w:val="single" w:color="auto" w:sz="8" w:space="0"/>
            </w:tcBorders>
            <w:noWrap w:val="0"/>
            <w:vAlign w:val="center"/>
          </w:tcPr>
          <w:p w14:paraId="11701E0B">
            <w:pPr>
              <w:spacing w:line="380" w:lineRule="exact"/>
              <w:jc w:val="both"/>
              <w:rPr>
                <w:rFonts w:hint="default" w:ascii="宋体" w:hAnsi="宋体" w:eastAsia="宋体"/>
                <w:kern w:val="2"/>
                <w:sz w:val="24"/>
                <w:szCs w:val="24"/>
                <w:highlight w:val="none"/>
                <w:lang w:val="en-US" w:eastAsia="zh-CN"/>
              </w:rPr>
            </w:pPr>
            <w:r>
              <w:rPr>
                <w:rFonts w:hint="eastAsia" w:ascii="宋体" w:hAnsi="宋体" w:cs="宋体"/>
                <w:i w:val="0"/>
                <w:iCs w:val="0"/>
                <w:color w:val="auto"/>
                <w:kern w:val="2"/>
                <w:sz w:val="24"/>
                <w:szCs w:val="24"/>
                <w:highlight w:val="none"/>
                <w:lang w:val="en-US" w:eastAsia="zh-CN" w:bidi="ar"/>
              </w:rPr>
              <w:t>108.4</w:t>
            </w:r>
            <w:r>
              <w:rPr>
                <w:rFonts w:hint="default" w:ascii="宋体" w:hAnsi="宋体" w:eastAsia="宋体"/>
                <w:kern w:val="2"/>
                <w:sz w:val="24"/>
                <w:szCs w:val="24"/>
                <w:highlight w:val="none"/>
                <w:lang w:val="en-US" w:eastAsia="zh-CN"/>
              </w:rPr>
              <w:t>万元</w:t>
            </w:r>
          </w:p>
        </w:tc>
      </w:tr>
      <w:tr w14:paraId="7EFB663D">
        <w:tblPrEx>
          <w:tblCellMar>
            <w:top w:w="0" w:type="dxa"/>
            <w:left w:w="0" w:type="dxa"/>
            <w:bottom w:w="0" w:type="dxa"/>
            <w:right w:w="0" w:type="dxa"/>
          </w:tblCellMar>
        </w:tblPrEx>
        <w:trPr>
          <w:trHeight w:val="601"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33BD57DA">
            <w:pPr>
              <w:spacing w:line="380" w:lineRule="exact"/>
              <w:jc w:val="center"/>
              <w:rPr>
                <w:rFonts w:ascii="宋体" w:hAnsi="宋体"/>
                <w:kern w:val="2"/>
                <w:sz w:val="24"/>
                <w:szCs w:val="24"/>
                <w:highlight w:val="none"/>
              </w:rPr>
            </w:pPr>
            <w:r>
              <w:rPr>
                <w:rFonts w:hint="eastAsia" w:ascii="宋体" w:hAnsi="宋体"/>
                <w:kern w:val="2"/>
                <w:sz w:val="24"/>
                <w:szCs w:val="24"/>
                <w:highlight w:val="none"/>
              </w:rPr>
              <w:t>1.3.1</w:t>
            </w:r>
          </w:p>
        </w:tc>
        <w:tc>
          <w:tcPr>
            <w:tcW w:w="1866" w:type="dxa"/>
            <w:tcBorders>
              <w:top w:val="single" w:color="auto" w:sz="8" w:space="0"/>
              <w:left w:val="nil"/>
              <w:bottom w:val="single" w:color="auto" w:sz="8" w:space="0"/>
              <w:right w:val="single" w:color="auto" w:sz="8" w:space="0"/>
            </w:tcBorders>
            <w:noWrap w:val="0"/>
            <w:vAlign w:val="center"/>
          </w:tcPr>
          <w:p w14:paraId="32A6380C">
            <w:pPr>
              <w:spacing w:line="380" w:lineRule="exact"/>
              <w:rPr>
                <w:rFonts w:hint="eastAsia" w:ascii="宋体" w:hAnsi="宋体" w:eastAsia="宋体"/>
                <w:kern w:val="2"/>
                <w:sz w:val="24"/>
                <w:szCs w:val="24"/>
                <w:highlight w:val="none"/>
                <w:lang w:eastAsia="zh-CN"/>
              </w:rPr>
            </w:pPr>
            <w:r>
              <w:rPr>
                <w:rFonts w:hint="eastAsia" w:ascii="宋体" w:hAnsi="宋体"/>
                <w:kern w:val="2"/>
                <w:sz w:val="24"/>
                <w:szCs w:val="24"/>
                <w:highlight w:val="none"/>
              </w:rPr>
              <w:t>采购</w:t>
            </w:r>
            <w:r>
              <w:rPr>
                <w:rFonts w:hint="eastAsia" w:ascii="宋体" w:hAnsi="宋体"/>
                <w:kern w:val="2"/>
                <w:sz w:val="24"/>
                <w:szCs w:val="24"/>
                <w:highlight w:val="none"/>
                <w:lang w:eastAsia="zh-CN"/>
              </w:rPr>
              <w:t>内容</w:t>
            </w:r>
          </w:p>
        </w:tc>
        <w:tc>
          <w:tcPr>
            <w:tcW w:w="6969" w:type="dxa"/>
            <w:tcBorders>
              <w:top w:val="single" w:color="auto" w:sz="8" w:space="0"/>
              <w:left w:val="nil"/>
              <w:bottom w:val="single" w:color="auto" w:sz="8" w:space="0"/>
              <w:right w:val="single" w:color="auto" w:sz="8" w:space="0"/>
            </w:tcBorders>
            <w:noWrap w:val="0"/>
            <w:vAlign w:val="center"/>
          </w:tcPr>
          <w:p w14:paraId="7E301114">
            <w:pPr>
              <w:spacing w:line="380" w:lineRule="exact"/>
              <w:rPr>
                <w:rFonts w:ascii="宋体" w:hAnsi="宋体"/>
                <w:kern w:val="2"/>
                <w:sz w:val="24"/>
                <w:szCs w:val="24"/>
                <w:highlight w:val="none"/>
              </w:rPr>
            </w:pPr>
            <w:r>
              <w:rPr>
                <w:rFonts w:hint="eastAsia" w:ascii="宋体" w:hAnsi="宋体"/>
                <w:kern w:val="2"/>
                <w:sz w:val="24"/>
                <w:szCs w:val="24"/>
                <w:highlight w:val="none"/>
              </w:rPr>
              <w:t>详见第六章《</w:t>
            </w:r>
            <w:r>
              <w:rPr>
                <w:rFonts w:hint="eastAsia" w:ascii="宋体" w:hAnsi="宋体"/>
                <w:kern w:val="2"/>
                <w:sz w:val="24"/>
                <w:szCs w:val="24"/>
                <w:highlight w:val="none"/>
                <w:lang w:eastAsia="zh-CN"/>
              </w:rPr>
              <w:t>招标内容及要求</w:t>
            </w:r>
            <w:r>
              <w:rPr>
                <w:rFonts w:hint="eastAsia" w:ascii="宋体" w:hAnsi="宋体"/>
                <w:kern w:val="2"/>
                <w:sz w:val="24"/>
                <w:szCs w:val="24"/>
                <w:highlight w:val="none"/>
              </w:rPr>
              <w:t>》的具体内容</w:t>
            </w:r>
          </w:p>
        </w:tc>
      </w:tr>
      <w:tr w14:paraId="0AFED0DA">
        <w:tblPrEx>
          <w:tblCellMar>
            <w:top w:w="0" w:type="dxa"/>
            <w:left w:w="0" w:type="dxa"/>
            <w:bottom w:w="0" w:type="dxa"/>
            <w:right w:w="0" w:type="dxa"/>
          </w:tblCellMar>
        </w:tblPrEx>
        <w:trPr>
          <w:trHeight w:val="916"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6B08A7DB">
            <w:pPr>
              <w:spacing w:line="380" w:lineRule="exact"/>
              <w:jc w:val="center"/>
              <w:rPr>
                <w:rFonts w:ascii="宋体" w:hAnsi="宋体"/>
                <w:kern w:val="2"/>
                <w:sz w:val="24"/>
                <w:szCs w:val="24"/>
                <w:highlight w:val="none"/>
              </w:rPr>
            </w:pPr>
            <w:r>
              <w:rPr>
                <w:rFonts w:hint="eastAsia" w:ascii="宋体" w:hAnsi="宋体"/>
                <w:kern w:val="2"/>
                <w:sz w:val="24"/>
                <w:szCs w:val="24"/>
                <w:highlight w:val="none"/>
              </w:rPr>
              <w:t>1.3.2</w:t>
            </w:r>
          </w:p>
        </w:tc>
        <w:tc>
          <w:tcPr>
            <w:tcW w:w="1866" w:type="dxa"/>
            <w:tcBorders>
              <w:top w:val="single" w:color="auto" w:sz="8" w:space="0"/>
              <w:left w:val="nil"/>
              <w:bottom w:val="single" w:color="auto" w:sz="8" w:space="0"/>
              <w:right w:val="single" w:color="auto" w:sz="8" w:space="0"/>
            </w:tcBorders>
            <w:noWrap w:val="0"/>
            <w:vAlign w:val="center"/>
          </w:tcPr>
          <w:p w14:paraId="26688E71">
            <w:pPr>
              <w:spacing w:line="380" w:lineRule="exact"/>
              <w:rPr>
                <w:rFonts w:ascii="宋体" w:hAnsi="宋体"/>
                <w:color w:val="FF0000"/>
                <w:kern w:val="2"/>
                <w:sz w:val="24"/>
                <w:szCs w:val="24"/>
                <w:highlight w:val="none"/>
              </w:rPr>
            </w:pPr>
            <w:r>
              <w:rPr>
                <w:rFonts w:hint="eastAsia" w:ascii="宋体" w:hAnsi="宋体"/>
                <w:kern w:val="2"/>
                <w:sz w:val="24"/>
                <w:szCs w:val="24"/>
                <w:highlight w:val="none"/>
              </w:rPr>
              <w:t>交货期、质保期</w:t>
            </w:r>
          </w:p>
        </w:tc>
        <w:tc>
          <w:tcPr>
            <w:tcW w:w="6969" w:type="dxa"/>
            <w:tcBorders>
              <w:top w:val="single" w:color="auto" w:sz="8" w:space="0"/>
              <w:left w:val="nil"/>
              <w:bottom w:val="single" w:color="auto" w:sz="8" w:space="0"/>
              <w:right w:val="single" w:color="auto" w:sz="8" w:space="0"/>
            </w:tcBorders>
            <w:noWrap w:val="0"/>
            <w:vAlign w:val="top"/>
          </w:tcPr>
          <w:p w14:paraId="665DCE23">
            <w:pPr>
              <w:spacing w:line="380" w:lineRule="exact"/>
              <w:jc w:val="both"/>
              <w:rPr>
                <w:rFonts w:hint="eastAsia" w:ascii="宋体" w:hAnsi="宋体"/>
                <w:kern w:val="2"/>
                <w:sz w:val="24"/>
                <w:szCs w:val="24"/>
                <w:highlight w:val="none"/>
              </w:rPr>
            </w:pPr>
            <w:r>
              <w:rPr>
                <w:rFonts w:hint="eastAsia" w:ascii="宋体" w:hAnsi="宋体"/>
                <w:kern w:val="2"/>
                <w:sz w:val="24"/>
                <w:szCs w:val="24"/>
                <w:highlight w:val="none"/>
              </w:rPr>
              <w:t>交货期：</w:t>
            </w:r>
            <w:r>
              <w:rPr>
                <w:rFonts w:hint="eastAsia" w:ascii="宋体" w:hAnsi="宋体" w:cs="宋体"/>
                <w:kern w:val="2"/>
                <w:sz w:val="24"/>
                <w:szCs w:val="24"/>
                <w:highlight w:val="none"/>
                <w:lang w:val="en-US" w:eastAsia="zh-CN"/>
              </w:rPr>
              <w:t>签订合同后45天内</w:t>
            </w:r>
          </w:p>
          <w:p w14:paraId="194B63CA">
            <w:pPr>
              <w:spacing w:line="380" w:lineRule="exact"/>
              <w:jc w:val="both"/>
              <w:rPr>
                <w:rFonts w:hint="eastAsia" w:ascii="宋体" w:hAnsi="宋体"/>
                <w:color w:val="FF0000"/>
                <w:kern w:val="2"/>
                <w:sz w:val="24"/>
                <w:szCs w:val="24"/>
                <w:highlight w:val="none"/>
              </w:rPr>
            </w:pPr>
            <w:r>
              <w:rPr>
                <w:rFonts w:hint="eastAsia" w:ascii="宋体" w:hAnsi="宋体"/>
                <w:kern w:val="2"/>
                <w:sz w:val="24"/>
                <w:szCs w:val="24"/>
                <w:highlight w:val="none"/>
              </w:rPr>
              <w:t>质保期：</w:t>
            </w:r>
            <w:r>
              <w:rPr>
                <w:rFonts w:hint="eastAsia" w:ascii="宋体" w:hAnsi="宋体" w:cs="宋体"/>
                <w:kern w:val="2"/>
                <w:sz w:val="24"/>
                <w:szCs w:val="24"/>
                <w:highlight w:val="none"/>
                <w:lang w:val="en-US" w:eastAsia="zh-CN"/>
              </w:rPr>
              <w:t>原厂5年质保</w:t>
            </w:r>
          </w:p>
        </w:tc>
      </w:tr>
      <w:tr w14:paraId="39249A88">
        <w:tblPrEx>
          <w:tblCellMar>
            <w:top w:w="0" w:type="dxa"/>
            <w:left w:w="0" w:type="dxa"/>
            <w:bottom w:w="0" w:type="dxa"/>
            <w:right w:w="0" w:type="dxa"/>
          </w:tblCellMar>
        </w:tblPrEx>
        <w:trPr>
          <w:trHeight w:val="104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5D25602D">
            <w:pPr>
              <w:spacing w:line="380" w:lineRule="exact"/>
              <w:jc w:val="center"/>
              <w:rPr>
                <w:rFonts w:ascii="宋体" w:hAnsi="宋体"/>
                <w:kern w:val="2"/>
                <w:sz w:val="24"/>
                <w:szCs w:val="24"/>
                <w:highlight w:val="none"/>
              </w:rPr>
            </w:pPr>
            <w:r>
              <w:rPr>
                <w:rFonts w:hint="eastAsia" w:ascii="宋体" w:hAnsi="宋体"/>
                <w:kern w:val="2"/>
                <w:sz w:val="24"/>
                <w:szCs w:val="24"/>
                <w:highlight w:val="none"/>
              </w:rPr>
              <w:t>1.3.3</w:t>
            </w:r>
          </w:p>
        </w:tc>
        <w:tc>
          <w:tcPr>
            <w:tcW w:w="1866" w:type="dxa"/>
            <w:tcBorders>
              <w:top w:val="single" w:color="auto" w:sz="8" w:space="0"/>
              <w:left w:val="nil"/>
              <w:bottom w:val="single" w:color="auto" w:sz="8" w:space="0"/>
              <w:right w:val="single" w:color="auto" w:sz="8" w:space="0"/>
            </w:tcBorders>
            <w:noWrap w:val="0"/>
            <w:vAlign w:val="center"/>
          </w:tcPr>
          <w:p w14:paraId="43EDD383">
            <w:pPr>
              <w:spacing w:line="380" w:lineRule="exact"/>
              <w:rPr>
                <w:rFonts w:ascii="宋体" w:hAnsi="宋体"/>
                <w:color w:val="auto"/>
                <w:kern w:val="2"/>
                <w:sz w:val="24"/>
                <w:szCs w:val="24"/>
                <w:highlight w:val="none"/>
              </w:rPr>
            </w:pPr>
            <w:r>
              <w:rPr>
                <w:rFonts w:hint="eastAsia" w:ascii="宋体" w:hAnsi="宋体"/>
                <w:color w:val="auto"/>
                <w:kern w:val="2"/>
                <w:sz w:val="24"/>
                <w:szCs w:val="24"/>
                <w:highlight w:val="none"/>
              </w:rPr>
              <w:t>交货地点、交货方式</w:t>
            </w:r>
          </w:p>
        </w:tc>
        <w:tc>
          <w:tcPr>
            <w:tcW w:w="6969" w:type="dxa"/>
            <w:tcBorders>
              <w:top w:val="single" w:color="auto" w:sz="8" w:space="0"/>
              <w:left w:val="nil"/>
              <w:bottom w:val="single" w:color="auto" w:sz="8" w:space="0"/>
              <w:right w:val="single" w:color="auto" w:sz="8" w:space="0"/>
            </w:tcBorders>
            <w:noWrap w:val="0"/>
            <w:vAlign w:val="bottom"/>
          </w:tcPr>
          <w:p w14:paraId="49DCAC53">
            <w:pPr>
              <w:spacing w:line="380" w:lineRule="exact"/>
              <w:rPr>
                <w:rFonts w:hint="default" w:eastAsia="宋体"/>
                <w:color w:val="auto"/>
                <w:sz w:val="24"/>
                <w:szCs w:val="24"/>
                <w:highlight w:val="none"/>
                <w:u w:val="none"/>
                <w:lang w:val="en-US" w:eastAsia="zh-CN"/>
              </w:rPr>
            </w:pPr>
            <w:r>
              <w:rPr>
                <w:rFonts w:hint="eastAsia"/>
                <w:color w:val="auto"/>
                <w:sz w:val="24"/>
                <w:szCs w:val="24"/>
                <w:highlight w:val="none"/>
              </w:rPr>
              <w:t>交货地点：</w:t>
            </w:r>
            <w:r>
              <w:rPr>
                <w:rFonts w:hint="eastAsia" w:ascii="宋体" w:hAnsi="宋体"/>
                <w:color w:val="auto"/>
                <w:kern w:val="2"/>
                <w:sz w:val="24"/>
                <w:szCs w:val="24"/>
                <w:highlight w:val="none"/>
                <w:u w:val="none"/>
                <w:lang w:val="en-US" w:eastAsia="zh-CN"/>
              </w:rPr>
              <w:t>香格里拉市人民医院</w:t>
            </w:r>
          </w:p>
          <w:p w14:paraId="2C716E74">
            <w:pPr>
              <w:pStyle w:val="11"/>
              <w:rPr>
                <w:rFonts w:hint="default" w:ascii="宋体" w:hAnsi="宋体" w:eastAsia="宋体"/>
                <w:color w:val="auto"/>
                <w:sz w:val="24"/>
                <w:highlight w:val="none"/>
                <w:u w:val="single"/>
                <w:lang w:val="en-US" w:eastAsia="zh-CN"/>
              </w:rPr>
            </w:pPr>
            <w:r>
              <w:rPr>
                <w:rFonts w:hint="eastAsia" w:ascii="宋体" w:hAnsi="宋体"/>
                <w:color w:val="auto"/>
                <w:sz w:val="24"/>
                <w:highlight w:val="none"/>
                <w:u w:val="none"/>
              </w:rPr>
              <w:t>交货方式</w:t>
            </w:r>
            <w:r>
              <w:rPr>
                <w:rFonts w:hint="eastAsia"/>
                <w:color w:val="auto"/>
                <w:sz w:val="24"/>
                <w:highlight w:val="none"/>
                <w:u w:val="none"/>
              </w:rPr>
              <w:t>：</w:t>
            </w:r>
            <w:r>
              <w:rPr>
                <w:rFonts w:hint="eastAsia" w:ascii="宋体" w:hAnsi="宋体"/>
                <w:color w:val="auto"/>
                <w:sz w:val="24"/>
                <w:highlight w:val="none"/>
                <w:u w:val="none"/>
                <w:lang w:val="en-US" w:eastAsia="zh-CN"/>
              </w:rPr>
              <w:t>现场交货</w:t>
            </w:r>
          </w:p>
        </w:tc>
      </w:tr>
      <w:tr w14:paraId="26BAB7A2">
        <w:tblPrEx>
          <w:tblCellMar>
            <w:top w:w="0" w:type="dxa"/>
            <w:left w:w="0" w:type="dxa"/>
            <w:bottom w:w="0" w:type="dxa"/>
            <w:right w:w="0" w:type="dxa"/>
          </w:tblCellMar>
        </w:tblPrEx>
        <w:trPr>
          <w:trHeight w:val="90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4F108E18">
            <w:pPr>
              <w:spacing w:line="380" w:lineRule="exact"/>
              <w:jc w:val="center"/>
              <w:rPr>
                <w:rFonts w:hint="eastAsia" w:ascii="宋体" w:hAnsi="宋体"/>
                <w:kern w:val="2"/>
                <w:sz w:val="24"/>
                <w:szCs w:val="24"/>
                <w:highlight w:val="none"/>
              </w:rPr>
            </w:pPr>
            <w:r>
              <w:rPr>
                <w:rFonts w:hint="eastAsia" w:ascii="宋体" w:hAnsi="宋体"/>
                <w:kern w:val="2"/>
                <w:sz w:val="24"/>
                <w:szCs w:val="24"/>
                <w:highlight w:val="none"/>
              </w:rPr>
              <w:t>1.4.1</w:t>
            </w:r>
          </w:p>
        </w:tc>
        <w:tc>
          <w:tcPr>
            <w:tcW w:w="1866" w:type="dxa"/>
            <w:tcBorders>
              <w:top w:val="single" w:color="auto" w:sz="8" w:space="0"/>
              <w:left w:val="nil"/>
              <w:bottom w:val="single" w:color="auto" w:sz="8" w:space="0"/>
              <w:right w:val="single" w:color="auto" w:sz="8" w:space="0"/>
            </w:tcBorders>
            <w:noWrap w:val="0"/>
            <w:vAlign w:val="center"/>
          </w:tcPr>
          <w:p w14:paraId="7C8ED74E">
            <w:pPr>
              <w:spacing w:line="380" w:lineRule="exact"/>
              <w:rPr>
                <w:rFonts w:hint="eastAsia" w:ascii="宋体" w:hAnsi="宋体" w:eastAsia="宋体" w:cs="宋体"/>
                <w:kern w:val="2"/>
                <w:sz w:val="24"/>
                <w:szCs w:val="24"/>
                <w:highlight w:val="none"/>
                <w:lang w:eastAsia="zh-CN"/>
              </w:rPr>
            </w:pPr>
            <w:r>
              <w:rPr>
                <w:rFonts w:hint="eastAsia" w:ascii="宋体" w:hAnsi="宋体" w:eastAsia="宋体" w:cs="宋体"/>
                <w:kern w:val="2"/>
                <w:sz w:val="24"/>
                <w:szCs w:val="24"/>
                <w:highlight w:val="none"/>
              </w:rPr>
              <w:t>投标人资格</w:t>
            </w:r>
            <w:r>
              <w:rPr>
                <w:rFonts w:hint="eastAsia" w:ascii="宋体" w:hAnsi="宋体" w:eastAsia="宋体" w:cs="宋体"/>
                <w:kern w:val="2"/>
                <w:sz w:val="24"/>
                <w:szCs w:val="24"/>
                <w:highlight w:val="none"/>
                <w:lang w:eastAsia="zh-CN"/>
              </w:rPr>
              <w:t>要求</w:t>
            </w:r>
          </w:p>
        </w:tc>
        <w:tc>
          <w:tcPr>
            <w:tcW w:w="6969" w:type="dxa"/>
            <w:tcBorders>
              <w:top w:val="single" w:color="auto" w:sz="8" w:space="0"/>
              <w:left w:val="nil"/>
              <w:bottom w:val="single" w:color="auto" w:sz="8" w:space="0"/>
              <w:right w:val="single" w:color="auto" w:sz="8" w:space="0"/>
            </w:tcBorders>
            <w:noWrap w:val="0"/>
            <w:vAlign w:val="center"/>
          </w:tcPr>
          <w:p w14:paraId="1F9D511B">
            <w:pPr>
              <w:spacing w:line="380" w:lineRule="exact"/>
              <w:rPr>
                <w:rFonts w:hint="eastAsia" w:ascii="宋体" w:hAnsi="宋体" w:eastAsia="宋体" w:cs="宋体"/>
                <w:sz w:val="24"/>
                <w:szCs w:val="24"/>
              </w:rPr>
            </w:pPr>
            <w:r>
              <w:rPr>
                <w:rFonts w:hint="eastAsia" w:ascii="宋体" w:hAnsi="宋体" w:eastAsia="宋体" w:cs="宋体"/>
                <w:sz w:val="24"/>
                <w:szCs w:val="24"/>
                <w:lang w:val="en-US" w:eastAsia="zh-CN"/>
              </w:rPr>
              <w:t>详</w:t>
            </w:r>
            <w:r>
              <w:rPr>
                <w:rFonts w:hint="eastAsia" w:ascii="宋体" w:hAnsi="宋体" w:eastAsia="宋体" w:cs="宋体"/>
                <w:sz w:val="24"/>
                <w:szCs w:val="24"/>
              </w:rPr>
              <w:t>见“第一章 招标公告</w:t>
            </w:r>
            <w:r>
              <w:rPr>
                <w:rFonts w:hint="eastAsia" w:ascii="宋体" w:hAnsi="宋体" w:eastAsia="宋体" w:cs="宋体"/>
                <w:sz w:val="24"/>
                <w:szCs w:val="24"/>
                <w:lang w:val="en-US" w:eastAsia="zh-CN"/>
              </w:rPr>
              <w:t xml:space="preserve"> </w:t>
            </w:r>
            <w:r>
              <w:rPr>
                <w:rFonts w:hint="eastAsia" w:ascii="宋体" w:hAnsi="宋体" w:eastAsia="宋体" w:cs="宋体"/>
                <w:b w:val="0"/>
                <w:bCs/>
                <w:i w:val="0"/>
                <w:iCs w:val="0"/>
                <w:sz w:val="24"/>
                <w:szCs w:val="24"/>
                <w:lang w:eastAsia="zh-CN"/>
              </w:rPr>
              <w:t>二、申请人的资格要求</w:t>
            </w:r>
            <w:r>
              <w:rPr>
                <w:rFonts w:hint="eastAsia" w:ascii="宋体" w:hAnsi="宋体" w:eastAsia="宋体" w:cs="宋体"/>
                <w:sz w:val="24"/>
                <w:szCs w:val="24"/>
              </w:rPr>
              <w:t>”</w:t>
            </w:r>
          </w:p>
        </w:tc>
      </w:tr>
      <w:tr w14:paraId="7803DCAB">
        <w:tblPrEx>
          <w:tblCellMar>
            <w:top w:w="0" w:type="dxa"/>
            <w:left w:w="0" w:type="dxa"/>
            <w:bottom w:w="0" w:type="dxa"/>
            <w:right w:w="0" w:type="dxa"/>
          </w:tblCellMar>
        </w:tblPrEx>
        <w:trPr>
          <w:trHeight w:val="2675"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1CF73473">
            <w:pPr>
              <w:spacing w:line="380" w:lineRule="exact"/>
              <w:jc w:val="center"/>
              <w:rPr>
                <w:rFonts w:ascii="宋体" w:hAnsi="宋体"/>
                <w:kern w:val="2"/>
                <w:sz w:val="24"/>
                <w:szCs w:val="24"/>
                <w:highlight w:val="none"/>
              </w:rPr>
            </w:pPr>
            <w:r>
              <w:rPr>
                <w:rFonts w:hint="eastAsia" w:ascii="宋体" w:hAnsi="宋体"/>
                <w:kern w:val="2"/>
                <w:sz w:val="24"/>
                <w:szCs w:val="24"/>
                <w:highlight w:val="none"/>
              </w:rPr>
              <w:t>1.4.2</w:t>
            </w:r>
          </w:p>
        </w:tc>
        <w:tc>
          <w:tcPr>
            <w:tcW w:w="1866" w:type="dxa"/>
            <w:tcBorders>
              <w:top w:val="single" w:color="auto" w:sz="8" w:space="0"/>
              <w:left w:val="nil"/>
              <w:bottom w:val="single" w:color="auto" w:sz="8" w:space="0"/>
              <w:right w:val="single" w:color="auto" w:sz="8" w:space="0"/>
            </w:tcBorders>
            <w:noWrap w:val="0"/>
            <w:vAlign w:val="center"/>
          </w:tcPr>
          <w:p w14:paraId="07705F44">
            <w:pPr>
              <w:spacing w:line="380" w:lineRule="exact"/>
              <w:rPr>
                <w:rFonts w:ascii="宋体" w:hAnsi="宋体"/>
                <w:kern w:val="2"/>
                <w:sz w:val="24"/>
                <w:szCs w:val="24"/>
                <w:highlight w:val="none"/>
              </w:rPr>
            </w:pPr>
            <w:r>
              <w:rPr>
                <w:rFonts w:hint="eastAsia" w:ascii="宋体" w:hAnsi="宋体"/>
                <w:kern w:val="2"/>
                <w:sz w:val="24"/>
                <w:szCs w:val="24"/>
                <w:highlight w:val="none"/>
              </w:rPr>
              <w:t>是否接受联合体投标</w:t>
            </w:r>
          </w:p>
        </w:tc>
        <w:tc>
          <w:tcPr>
            <w:tcW w:w="6969" w:type="dxa"/>
            <w:tcBorders>
              <w:top w:val="single" w:color="auto" w:sz="8" w:space="0"/>
              <w:left w:val="nil"/>
              <w:bottom w:val="single" w:color="auto" w:sz="8" w:space="0"/>
              <w:right w:val="single" w:color="auto" w:sz="8" w:space="0"/>
            </w:tcBorders>
            <w:noWrap w:val="0"/>
            <w:vAlign w:val="bottom"/>
          </w:tcPr>
          <w:p w14:paraId="3668E30C">
            <w:pPr>
              <w:spacing w:line="380" w:lineRule="exact"/>
              <w:rPr>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rPr>
              <w:t>不接受</w:t>
            </w:r>
          </w:p>
          <w:p w14:paraId="2629417E">
            <w:pPr>
              <w:spacing w:line="360" w:lineRule="auto"/>
              <w:rPr>
                <w:rFonts w:hint="eastAsia"/>
                <w:color w:val="auto"/>
                <w:sz w:val="24"/>
                <w:szCs w:val="24"/>
                <w:highlight w:val="none"/>
              </w:rPr>
            </w:pPr>
            <w:r>
              <w:rPr>
                <w:rFonts w:hint="eastAsia"/>
                <w:color w:val="auto"/>
                <w:sz w:val="24"/>
                <w:szCs w:val="24"/>
                <w:highlight w:val="none"/>
                <w:lang w:eastAsia="zh-CN"/>
              </w:rPr>
              <w:t>□</w:t>
            </w:r>
            <w:r>
              <w:rPr>
                <w:rFonts w:hint="eastAsia"/>
                <w:color w:val="auto"/>
                <w:sz w:val="24"/>
                <w:szCs w:val="24"/>
                <w:highlight w:val="none"/>
              </w:rPr>
              <w:t>接受，应满足下列要求：</w:t>
            </w:r>
          </w:p>
          <w:p w14:paraId="7AEB51D5">
            <w:pPr>
              <w:spacing w:line="380" w:lineRule="exact"/>
              <w:ind w:firstLine="482" w:firstLineChars="200"/>
              <w:rPr>
                <w:rFonts w:hint="eastAsia"/>
                <w:color w:val="auto"/>
                <w:sz w:val="24"/>
                <w:szCs w:val="24"/>
                <w:highlight w:val="none"/>
              </w:rPr>
            </w:pPr>
            <w:r>
              <w:rPr>
                <w:rFonts w:hint="eastAsia"/>
                <w:b/>
                <w:bCs/>
                <w:color w:val="auto"/>
                <w:sz w:val="24"/>
                <w:szCs w:val="24"/>
                <w:highlight w:val="none"/>
              </w:rPr>
              <w:t>信用要求：</w:t>
            </w:r>
            <w:r>
              <w:rPr>
                <w:rFonts w:hint="eastAsia"/>
                <w:color w:val="auto"/>
                <w:sz w:val="24"/>
                <w:szCs w:val="24"/>
                <w:highlight w:val="none"/>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02F3CF3B">
            <w:pPr>
              <w:spacing w:line="380" w:lineRule="exact"/>
              <w:ind w:firstLine="482" w:firstLineChars="200"/>
              <w:rPr>
                <w:color w:val="auto"/>
                <w:highlight w:val="none"/>
              </w:rPr>
            </w:pPr>
            <w:r>
              <w:rPr>
                <w:rFonts w:hint="eastAsia"/>
                <w:b/>
                <w:bCs/>
                <w:color w:val="auto"/>
                <w:sz w:val="24"/>
                <w:szCs w:val="24"/>
                <w:highlight w:val="none"/>
              </w:rPr>
              <w:t>其他要求：</w:t>
            </w:r>
            <w:r>
              <w:rPr>
                <w:rFonts w:hint="eastAsia"/>
                <w:color w:val="auto"/>
                <w:sz w:val="24"/>
                <w:szCs w:val="24"/>
                <w:highlight w:val="none"/>
              </w:rPr>
              <w:t xml:space="preserve"> </w:t>
            </w:r>
            <w:r>
              <w:rPr>
                <w:rFonts w:hint="eastAsia"/>
                <w:color w:val="auto"/>
                <w:sz w:val="24"/>
                <w:szCs w:val="24"/>
                <w:highlight w:val="none"/>
                <w:u w:val="single"/>
              </w:rPr>
              <w:t xml:space="preserve">                              </w:t>
            </w:r>
            <w:r>
              <w:rPr>
                <w:rFonts w:hint="eastAsia"/>
                <w:color w:val="auto"/>
                <w:sz w:val="24"/>
                <w:szCs w:val="24"/>
                <w:highlight w:val="none"/>
              </w:rPr>
              <w:t>。</w:t>
            </w:r>
          </w:p>
        </w:tc>
      </w:tr>
      <w:tr w14:paraId="643EC3E0">
        <w:tblPrEx>
          <w:tblCellMar>
            <w:top w:w="0" w:type="dxa"/>
            <w:left w:w="0" w:type="dxa"/>
            <w:bottom w:w="0" w:type="dxa"/>
            <w:right w:w="0" w:type="dxa"/>
          </w:tblCellMar>
        </w:tblPrEx>
        <w:trPr>
          <w:trHeight w:val="1238"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4DE61E2B">
            <w:pPr>
              <w:spacing w:line="380" w:lineRule="exact"/>
              <w:jc w:val="center"/>
              <w:rPr>
                <w:rFonts w:ascii="宋体" w:hAnsi="宋体"/>
                <w:kern w:val="2"/>
                <w:sz w:val="24"/>
                <w:szCs w:val="24"/>
                <w:highlight w:val="none"/>
              </w:rPr>
            </w:pPr>
            <w:r>
              <w:rPr>
                <w:rFonts w:hint="eastAsia" w:ascii="宋体" w:hAnsi="宋体"/>
                <w:kern w:val="2"/>
                <w:sz w:val="24"/>
                <w:szCs w:val="24"/>
                <w:highlight w:val="none"/>
              </w:rPr>
              <w:t>1.9.1</w:t>
            </w:r>
          </w:p>
        </w:tc>
        <w:tc>
          <w:tcPr>
            <w:tcW w:w="1866" w:type="dxa"/>
            <w:tcBorders>
              <w:top w:val="single" w:color="auto" w:sz="8" w:space="0"/>
              <w:left w:val="nil"/>
              <w:bottom w:val="single" w:color="auto" w:sz="8" w:space="0"/>
              <w:right w:val="single" w:color="auto" w:sz="8" w:space="0"/>
            </w:tcBorders>
            <w:noWrap w:val="0"/>
            <w:vAlign w:val="center"/>
          </w:tcPr>
          <w:p w14:paraId="79E12F41">
            <w:pPr>
              <w:spacing w:line="380" w:lineRule="exact"/>
              <w:rPr>
                <w:rFonts w:ascii="宋体" w:hAnsi="宋体"/>
                <w:kern w:val="2"/>
                <w:sz w:val="24"/>
                <w:szCs w:val="24"/>
                <w:highlight w:val="none"/>
              </w:rPr>
            </w:pPr>
            <w:r>
              <w:rPr>
                <w:rFonts w:hint="eastAsia" w:ascii="宋体" w:hAnsi="宋体"/>
                <w:kern w:val="2"/>
                <w:sz w:val="24"/>
                <w:szCs w:val="24"/>
                <w:highlight w:val="none"/>
              </w:rPr>
              <w:t>现场考察</w:t>
            </w:r>
          </w:p>
        </w:tc>
        <w:tc>
          <w:tcPr>
            <w:tcW w:w="6969" w:type="dxa"/>
            <w:tcBorders>
              <w:top w:val="single" w:color="auto" w:sz="8" w:space="0"/>
              <w:left w:val="nil"/>
              <w:bottom w:val="single" w:color="auto" w:sz="8" w:space="0"/>
              <w:right w:val="single" w:color="auto" w:sz="8" w:space="0"/>
            </w:tcBorders>
            <w:noWrap w:val="0"/>
            <w:vAlign w:val="center"/>
          </w:tcPr>
          <w:p w14:paraId="5C108538">
            <w:pPr>
              <w:pStyle w:val="10"/>
              <w:topLinePunct/>
              <w:spacing w:line="380" w:lineRule="exact"/>
              <w:rPr>
                <w:rFonts w:hAnsi="宋体"/>
                <w:color w:val="auto"/>
                <w:kern w:val="2"/>
                <w:highlight w:val="none"/>
              </w:rPr>
            </w:pPr>
            <w:r>
              <w:rPr>
                <w:rFonts w:hint="eastAsia" w:hAnsi="宋体"/>
                <w:color w:val="auto"/>
                <w:kern w:val="2"/>
                <w:highlight w:val="none"/>
                <w:lang w:eastAsia="zh-CN"/>
              </w:rPr>
              <w:t>☑</w:t>
            </w:r>
            <w:r>
              <w:rPr>
                <w:rFonts w:hint="eastAsia" w:hAnsi="宋体"/>
                <w:color w:val="auto"/>
                <w:kern w:val="2"/>
                <w:highlight w:val="none"/>
              </w:rPr>
              <w:t>不组织</w:t>
            </w:r>
          </w:p>
          <w:p w14:paraId="028C4326">
            <w:pPr>
              <w:spacing w:line="380" w:lineRule="exact"/>
              <w:ind w:left="991" w:hanging="991" w:hangingChars="413"/>
              <w:rPr>
                <w:rFonts w:hint="eastAsia" w:ascii="宋体" w:hAnsi="宋体"/>
                <w:color w:val="auto"/>
                <w:kern w:val="2"/>
                <w:sz w:val="24"/>
                <w:szCs w:val="24"/>
                <w:highlight w:val="none"/>
                <w:u w:val="single"/>
              </w:rPr>
            </w:pPr>
            <w:r>
              <w:rPr>
                <w:rFonts w:hint="eastAsia" w:ascii="宋体" w:hAnsi="宋体"/>
                <w:color w:val="auto"/>
                <w:kern w:val="2"/>
                <w:sz w:val="24"/>
                <w:szCs w:val="24"/>
                <w:highlight w:val="none"/>
              </w:rPr>
              <w:t>□组织，考察时间：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r>
              <w:rPr>
                <w:rFonts w:hint="eastAsia" w:ascii="宋体" w:hAnsi="宋体"/>
                <w:color w:val="auto"/>
                <w:kern w:val="2"/>
                <w:sz w:val="24"/>
                <w:szCs w:val="24"/>
                <w:highlight w:val="none"/>
                <w:u w:val="single"/>
              </w:rPr>
              <w:t>(在招标文件提供期限截止后，开标前)</w:t>
            </w:r>
          </w:p>
          <w:p w14:paraId="2F8ACD4C">
            <w:pPr>
              <w:spacing w:line="380" w:lineRule="exact"/>
              <w:rPr>
                <w:rFonts w:hint="eastAsia" w:ascii="宋体" w:hAnsi="宋体"/>
                <w:color w:val="auto"/>
                <w:kern w:val="2"/>
                <w:sz w:val="24"/>
                <w:szCs w:val="24"/>
                <w:highlight w:val="none"/>
              </w:rPr>
            </w:pPr>
            <w:r>
              <w:rPr>
                <w:rFonts w:hint="eastAsia" w:ascii="宋体" w:hAnsi="宋体"/>
                <w:color w:val="auto"/>
                <w:kern w:val="2"/>
                <w:sz w:val="24"/>
                <w:szCs w:val="24"/>
                <w:highlight w:val="none"/>
              </w:rPr>
              <w:t xml:space="preserve">        考察集中地点：</w:t>
            </w:r>
            <w:r>
              <w:rPr>
                <w:rFonts w:hint="eastAsia" w:ascii="宋体" w:hAnsi="宋体"/>
                <w:color w:val="auto"/>
                <w:kern w:val="2"/>
                <w:sz w:val="24"/>
                <w:szCs w:val="24"/>
                <w:highlight w:val="none"/>
                <w:u w:val="single"/>
              </w:rPr>
              <w:t xml:space="preserve">                 </w:t>
            </w:r>
          </w:p>
        </w:tc>
      </w:tr>
      <w:tr w14:paraId="50E5D28F">
        <w:tblPrEx>
          <w:tblCellMar>
            <w:top w:w="0" w:type="dxa"/>
            <w:left w:w="0" w:type="dxa"/>
            <w:bottom w:w="0" w:type="dxa"/>
            <w:right w:w="0" w:type="dxa"/>
          </w:tblCellMar>
        </w:tblPrEx>
        <w:trPr>
          <w:trHeight w:val="52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0F9710D9">
            <w:pPr>
              <w:spacing w:line="380" w:lineRule="exact"/>
              <w:jc w:val="center"/>
              <w:rPr>
                <w:rFonts w:ascii="宋体" w:hAnsi="宋体"/>
                <w:kern w:val="2"/>
                <w:sz w:val="24"/>
                <w:szCs w:val="24"/>
                <w:highlight w:val="none"/>
              </w:rPr>
            </w:pPr>
            <w:bookmarkStart w:id="60" w:name="page17"/>
            <w:bookmarkEnd w:id="60"/>
            <w:r>
              <w:rPr>
                <w:rFonts w:hint="eastAsia" w:ascii="宋体" w:hAnsi="宋体" w:eastAsia="宋体" w:cs="宋体"/>
                <w:kern w:val="2"/>
                <w:sz w:val="24"/>
                <w:szCs w:val="24"/>
              </w:rPr>
              <w:t>2.2.</w:t>
            </w:r>
            <w:r>
              <w:rPr>
                <w:rFonts w:hint="eastAsia" w:ascii="宋体" w:hAnsi="宋体" w:cs="宋体"/>
                <w:kern w:val="2"/>
                <w:sz w:val="24"/>
                <w:szCs w:val="24"/>
                <w:lang w:val="en-US" w:eastAsia="zh-CN"/>
              </w:rPr>
              <w:t>3</w:t>
            </w:r>
          </w:p>
        </w:tc>
        <w:tc>
          <w:tcPr>
            <w:tcW w:w="1866" w:type="dxa"/>
            <w:tcBorders>
              <w:top w:val="single" w:color="auto" w:sz="8" w:space="0"/>
              <w:left w:val="nil"/>
              <w:bottom w:val="single" w:color="auto" w:sz="8" w:space="0"/>
              <w:right w:val="single" w:color="auto" w:sz="8" w:space="0"/>
            </w:tcBorders>
            <w:noWrap w:val="0"/>
            <w:vAlign w:val="center"/>
          </w:tcPr>
          <w:p w14:paraId="4F7EDB24">
            <w:pPr>
              <w:pStyle w:val="50"/>
              <w:spacing w:line="360" w:lineRule="auto"/>
              <w:jc w:val="left"/>
              <w:rPr>
                <w:rFonts w:ascii="宋体" w:hAnsi="宋体"/>
                <w:kern w:val="2"/>
                <w:sz w:val="24"/>
                <w:szCs w:val="24"/>
                <w:highlight w:val="none"/>
              </w:rPr>
            </w:pPr>
            <w:r>
              <w:rPr>
                <w:rFonts w:hint="eastAsia" w:ascii="宋体" w:hAnsi="宋体" w:eastAsia="宋体" w:cs="宋体"/>
                <w:kern w:val="2"/>
                <w:sz w:val="24"/>
                <w:szCs w:val="24"/>
                <w:highlight w:val="none"/>
              </w:rPr>
              <w:t>招标文件澄清</w:t>
            </w:r>
            <w:r>
              <w:rPr>
                <w:rFonts w:hint="eastAsia" w:ascii="宋体" w:hAnsi="宋体" w:cs="宋体"/>
                <w:kern w:val="2"/>
                <w:sz w:val="24"/>
                <w:szCs w:val="24"/>
                <w:highlight w:val="none"/>
                <w:lang w:val="en-US" w:eastAsia="zh-CN"/>
              </w:rPr>
              <w:t>或者修改</w:t>
            </w:r>
            <w:r>
              <w:rPr>
                <w:rFonts w:hint="eastAsia" w:ascii="宋体" w:hAnsi="宋体" w:eastAsia="宋体" w:cs="宋体"/>
                <w:kern w:val="2"/>
                <w:sz w:val="24"/>
                <w:szCs w:val="24"/>
                <w:highlight w:val="none"/>
              </w:rPr>
              <w:t>发出的形式</w:t>
            </w:r>
          </w:p>
        </w:tc>
        <w:tc>
          <w:tcPr>
            <w:tcW w:w="6969" w:type="dxa"/>
            <w:tcBorders>
              <w:top w:val="single" w:color="auto" w:sz="8" w:space="0"/>
              <w:left w:val="nil"/>
              <w:bottom w:val="single" w:color="auto" w:sz="8" w:space="0"/>
              <w:right w:val="single" w:color="auto" w:sz="8" w:space="0"/>
            </w:tcBorders>
            <w:noWrap w:val="0"/>
            <w:vAlign w:val="center"/>
          </w:tcPr>
          <w:p w14:paraId="4E119C83">
            <w:pPr>
              <w:pStyle w:val="50"/>
              <w:spacing w:line="360" w:lineRule="auto"/>
              <w:rPr>
                <w:rFonts w:ascii="宋体" w:hAnsi="宋体"/>
                <w:color w:val="auto"/>
                <w:kern w:val="2"/>
                <w:sz w:val="24"/>
                <w:szCs w:val="24"/>
                <w:highlight w:val="none"/>
              </w:rPr>
            </w:pPr>
            <w:r>
              <w:rPr>
                <w:rFonts w:hint="eastAsia" w:ascii="宋体" w:hAnsi="宋体" w:eastAsia="宋体" w:cs="宋体"/>
                <w:color w:val="auto"/>
                <w:kern w:val="2"/>
                <w:sz w:val="24"/>
                <w:szCs w:val="24"/>
                <w:highlight w:val="none"/>
                <w:lang w:val="en-US" w:eastAsia="zh-CN"/>
              </w:rPr>
              <w:t>在原公告发布媒体上发布更正公告</w:t>
            </w:r>
          </w:p>
        </w:tc>
      </w:tr>
      <w:tr w14:paraId="1C12765C">
        <w:tblPrEx>
          <w:tblCellMar>
            <w:top w:w="0" w:type="dxa"/>
            <w:left w:w="0" w:type="dxa"/>
            <w:bottom w:w="0" w:type="dxa"/>
            <w:right w:w="0" w:type="dxa"/>
          </w:tblCellMar>
        </w:tblPrEx>
        <w:trPr>
          <w:trHeight w:val="827"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2B9BF4FC">
            <w:pPr>
              <w:spacing w:line="380" w:lineRule="exact"/>
              <w:jc w:val="center"/>
              <w:rPr>
                <w:rFonts w:ascii="宋体" w:hAnsi="宋体"/>
                <w:color w:val="auto"/>
                <w:kern w:val="2"/>
                <w:sz w:val="24"/>
                <w:szCs w:val="24"/>
                <w:highlight w:val="none"/>
              </w:rPr>
            </w:pPr>
            <w:r>
              <w:rPr>
                <w:rFonts w:hint="eastAsia" w:ascii="宋体" w:hAnsi="宋体"/>
                <w:color w:val="auto"/>
                <w:kern w:val="2"/>
                <w:sz w:val="24"/>
                <w:szCs w:val="24"/>
                <w:highlight w:val="none"/>
              </w:rPr>
              <w:t>3.2.3</w:t>
            </w:r>
          </w:p>
        </w:tc>
        <w:tc>
          <w:tcPr>
            <w:tcW w:w="1866" w:type="dxa"/>
            <w:tcBorders>
              <w:top w:val="single" w:color="auto" w:sz="8" w:space="0"/>
              <w:left w:val="nil"/>
              <w:bottom w:val="single" w:color="auto" w:sz="8" w:space="0"/>
              <w:right w:val="single" w:color="auto" w:sz="8" w:space="0"/>
            </w:tcBorders>
            <w:noWrap w:val="0"/>
            <w:vAlign w:val="center"/>
          </w:tcPr>
          <w:p w14:paraId="06C7F87B">
            <w:pPr>
              <w:spacing w:line="380" w:lineRule="exact"/>
              <w:rPr>
                <w:rFonts w:ascii="宋体" w:hAnsi="宋体"/>
                <w:color w:val="auto"/>
                <w:kern w:val="2"/>
                <w:sz w:val="24"/>
                <w:szCs w:val="24"/>
                <w:highlight w:val="none"/>
              </w:rPr>
            </w:pPr>
            <w:r>
              <w:rPr>
                <w:rFonts w:hint="eastAsia" w:ascii="宋体" w:hAnsi="宋体"/>
                <w:color w:val="auto"/>
                <w:kern w:val="2"/>
                <w:sz w:val="24"/>
                <w:szCs w:val="24"/>
                <w:highlight w:val="none"/>
              </w:rPr>
              <w:t>最高投标限价</w:t>
            </w:r>
          </w:p>
        </w:tc>
        <w:tc>
          <w:tcPr>
            <w:tcW w:w="6969" w:type="dxa"/>
            <w:tcBorders>
              <w:top w:val="single" w:color="auto" w:sz="8" w:space="0"/>
              <w:left w:val="nil"/>
              <w:bottom w:val="single" w:color="auto" w:sz="8" w:space="0"/>
              <w:right w:val="single" w:color="auto" w:sz="8" w:space="0"/>
            </w:tcBorders>
            <w:noWrap w:val="0"/>
            <w:vAlign w:val="center"/>
          </w:tcPr>
          <w:p w14:paraId="6311FF90">
            <w:pPr>
              <w:pStyle w:val="50"/>
              <w:spacing w:line="380" w:lineRule="exact"/>
              <w:rPr>
                <w:rFonts w:ascii="宋体" w:hAnsi="宋体"/>
                <w:color w:val="auto"/>
                <w:kern w:val="2"/>
                <w:sz w:val="24"/>
                <w:szCs w:val="24"/>
                <w:highlight w:val="none"/>
              </w:rPr>
            </w:pPr>
            <w:r>
              <w:rPr>
                <w:rFonts w:hint="eastAsia" w:ascii="宋体" w:hAnsi="宋体"/>
                <w:color w:val="auto"/>
                <w:kern w:val="2"/>
                <w:sz w:val="24"/>
                <w:szCs w:val="24"/>
                <w:highlight w:val="none"/>
                <w:lang w:eastAsia="zh-CN"/>
              </w:rPr>
              <w:t>☑</w:t>
            </w:r>
            <w:r>
              <w:rPr>
                <w:rFonts w:hint="eastAsia" w:ascii="宋体" w:hAnsi="宋体"/>
                <w:color w:val="auto"/>
                <w:kern w:val="2"/>
                <w:sz w:val="24"/>
                <w:szCs w:val="24"/>
                <w:highlight w:val="none"/>
              </w:rPr>
              <w:t>无</w:t>
            </w:r>
          </w:p>
          <w:p w14:paraId="226C3A48">
            <w:pPr>
              <w:pStyle w:val="50"/>
              <w:spacing w:line="380" w:lineRule="exact"/>
              <w:rPr>
                <w:rFonts w:ascii="宋体" w:hAnsi="宋体"/>
                <w:color w:val="auto"/>
                <w:kern w:val="2"/>
                <w:sz w:val="24"/>
                <w:szCs w:val="24"/>
                <w:highlight w:val="none"/>
              </w:rPr>
            </w:pPr>
            <w:r>
              <w:rPr>
                <w:rFonts w:hint="eastAsia" w:ascii="宋体" w:hAnsi="宋体"/>
                <w:color w:val="auto"/>
                <w:kern w:val="2"/>
                <w:sz w:val="24"/>
                <w:szCs w:val="24"/>
                <w:highlight w:val="none"/>
              </w:rPr>
              <w:t>□有，最高投标限价：</w:t>
            </w:r>
            <w:r>
              <w:rPr>
                <w:rFonts w:hint="eastAsia" w:ascii="宋体" w:hAnsi="宋体" w:eastAsia="宋体" w:cs="宋体"/>
                <w:color w:val="auto"/>
                <w:kern w:val="2"/>
                <w:sz w:val="24"/>
                <w:szCs w:val="24"/>
                <w:highlight w:val="none"/>
                <w:lang w:val="en-US" w:eastAsia="zh-CN"/>
              </w:rPr>
              <w:t>详见第一章“招标公告”</w:t>
            </w:r>
          </w:p>
        </w:tc>
      </w:tr>
      <w:tr w14:paraId="4D605837">
        <w:tblPrEx>
          <w:tblCellMar>
            <w:top w:w="0" w:type="dxa"/>
            <w:left w:w="0" w:type="dxa"/>
            <w:bottom w:w="0" w:type="dxa"/>
            <w:right w:w="0" w:type="dxa"/>
          </w:tblCellMar>
        </w:tblPrEx>
        <w:trPr>
          <w:trHeight w:val="4927"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4129ABB1">
            <w:pPr>
              <w:spacing w:line="380" w:lineRule="exact"/>
              <w:jc w:val="center"/>
              <w:rPr>
                <w:rFonts w:ascii="宋体" w:hAnsi="宋体"/>
                <w:kern w:val="2"/>
                <w:sz w:val="24"/>
                <w:szCs w:val="24"/>
                <w:highlight w:val="none"/>
              </w:rPr>
            </w:pPr>
            <w:r>
              <w:rPr>
                <w:rFonts w:hint="eastAsia" w:ascii="宋体" w:hAnsi="宋体"/>
                <w:kern w:val="2"/>
                <w:sz w:val="24"/>
                <w:szCs w:val="24"/>
                <w:highlight w:val="none"/>
              </w:rPr>
              <w:t>3.2.4</w:t>
            </w:r>
          </w:p>
        </w:tc>
        <w:tc>
          <w:tcPr>
            <w:tcW w:w="1866" w:type="dxa"/>
            <w:tcBorders>
              <w:top w:val="single" w:color="auto" w:sz="8" w:space="0"/>
              <w:left w:val="nil"/>
              <w:bottom w:val="single" w:color="auto" w:sz="8" w:space="0"/>
              <w:right w:val="single" w:color="auto" w:sz="8" w:space="0"/>
            </w:tcBorders>
            <w:noWrap w:val="0"/>
            <w:vAlign w:val="center"/>
          </w:tcPr>
          <w:p w14:paraId="06513810">
            <w:pPr>
              <w:spacing w:line="380" w:lineRule="exact"/>
              <w:rPr>
                <w:rFonts w:ascii="宋体" w:hAnsi="宋体"/>
                <w:kern w:val="2"/>
                <w:sz w:val="24"/>
                <w:szCs w:val="24"/>
                <w:highlight w:val="none"/>
              </w:rPr>
            </w:pPr>
            <w:r>
              <w:rPr>
                <w:rFonts w:hint="eastAsia" w:ascii="宋体" w:hAnsi="宋体"/>
                <w:kern w:val="2"/>
                <w:sz w:val="24"/>
                <w:szCs w:val="24"/>
                <w:highlight w:val="none"/>
              </w:rPr>
              <w:t>投标报价的其他要求</w:t>
            </w:r>
          </w:p>
        </w:tc>
        <w:tc>
          <w:tcPr>
            <w:tcW w:w="6969" w:type="dxa"/>
            <w:tcBorders>
              <w:top w:val="single" w:color="auto" w:sz="8" w:space="0"/>
              <w:left w:val="nil"/>
              <w:bottom w:val="single" w:color="auto" w:sz="8" w:space="0"/>
              <w:right w:val="single" w:color="auto" w:sz="8" w:space="0"/>
            </w:tcBorders>
            <w:noWrap w:val="0"/>
            <w:vAlign w:val="center"/>
          </w:tcPr>
          <w:p w14:paraId="0E7812BA">
            <w:pPr>
              <w:pStyle w:val="46"/>
              <w:spacing w:line="400" w:lineRule="exact"/>
              <w:rPr>
                <w:rFonts w:hint="eastAsia"/>
                <w:sz w:val="24"/>
                <w:szCs w:val="24"/>
                <w:highlight w:val="none"/>
              </w:rPr>
            </w:pPr>
            <w:r>
              <w:rPr>
                <w:rFonts w:hint="eastAsia" w:hAnsi="宋体" w:eastAsia="Times New Roman" w:cs="宋体"/>
                <w:sz w:val="24"/>
                <w:szCs w:val="24"/>
                <w:highlight w:val="none"/>
              </w:rPr>
              <w:t>（1）本次磋商报价为</w:t>
            </w:r>
            <w:r>
              <w:rPr>
                <w:rFonts w:hint="eastAsia" w:hAnsi="宋体" w:eastAsia="宋体" w:cs="宋体"/>
                <w:sz w:val="24"/>
                <w:szCs w:val="24"/>
                <w:highlight w:val="none"/>
                <w:lang w:val="en-US" w:eastAsia="zh-CN"/>
              </w:rPr>
              <w:t>人民币</w:t>
            </w:r>
            <w:r>
              <w:rPr>
                <w:rFonts w:hint="eastAsia" w:hAnsi="宋体" w:eastAsia="Times New Roman" w:cs="宋体"/>
                <w:sz w:val="24"/>
                <w:szCs w:val="24"/>
                <w:highlight w:val="none"/>
              </w:rPr>
              <w:t>，报价应包括货物价格（含利润）、货物运输、装卸、保险、税收、安装、调试、检验、培训、售后服务、技术培训、成交服务费等所需全部费用。</w:t>
            </w:r>
            <w:r>
              <w:rPr>
                <w:rFonts w:hint="eastAsia"/>
                <w:sz w:val="24"/>
                <w:szCs w:val="24"/>
                <w:highlight w:val="none"/>
              </w:rPr>
              <w:t>磋商报价不得超过采购预算金额，否则按无效响应处理。</w:t>
            </w:r>
          </w:p>
          <w:p w14:paraId="54292339">
            <w:pPr>
              <w:widowControl w:val="0"/>
              <w:spacing w:line="400" w:lineRule="exact"/>
              <w:rPr>
                <w:rFonts w:hint="eastAsia" w:ascii="宋体" w:hAnsi="宋体" w:eastAsia="Times New Roman" w:cs="宋体"/>
                <w:sz w:val="24"/>
                <w:szCs w:val="24"/>
                <w:highlight w:val="none"/>
              </w:rPr>
            </w:pPr>
            <w:r>
              <w:rPr>
                <w:rFonts w:hint="eastAsia" w:ascii="宋体" w:hAnsi="宋体" w:eastAsia="Times New Roman" w:cs="宋体"/>
                <w:sz w:val="24"/>
                <w:szCs w:val="24"/>
                <w:highlight w:val="none"/>
              </w:rPr>
              <w:t>（2）供应商应承担所有与参加磋商有关的自身的所有费用，不论采购的结果如何，采购代理机构和采购人在任何情况下均无义务和责任承担这些费用。</w:t>
            </w:r>
          </w:p>
          <w:p w14:paraId="698E7203">
            <w:pPr>
              <w:widowControl w:val="0"/>
              <w:spacing w:line="400" w:lineRule="exact"/>
              <w:rPr>
                <w:rFonts w:ascii="宋体" w:hAnsi="宋体" w:eastAsia="Times New Roman"/>
                <w:kern w:val="2"/>
                <w:sz w:val="24"/>
                <w:szCs w:val="24"/>
                <w:highlight w:val="none"/>
              </w:rPr>
            </w:pPr>
            <w:r>
              <w:rPr>
                <w:rFonts w:hint="eastAsia" w:ascii="宋体" w:hAnsi="宋体" w:eastAsia="Times New Roman" w:cs="宋体"/>
                <w:sz w:val="24"/>
                <w:szCs w:val="24"/>
                <w:highlight w:val="none"/>
              </w:rPr>
              <w:t>（3）成交服务费</w:t>
            </w:r>
            <w:r>
              <w:rPr>
                <w:rFonts w:hint="eastAsia" w:ascii="宋体" w:hAnsi="宋体" w:eastAsia="Times New Roman" w:cs="宋体"/>
                <w:kern w:val="2"/>
                <w:sz w:val="24"/>
                <w:szCs w:val="24"/>
                <w:highlight w:val="none"/>
              </w:rPr>
              <w:t>：</w:t>
            </w:r>
            <w:r>
              <w:rPr>
                <w:rFonts w:hint="eastAsia" w:ascii="宋体" w:hAnsi="宋体" w:eastAsia="Times New Roman"/>
                <w:kern w:val="2"/>
                <w:sz w:val="24"/>
                <w:szCs w:val="24"/>
                <w:highlight w:val="none"/>
              </w:rPr>
              <w:t>以本项目各标段成交价为计费基数，</w:t>
            </w:r>
            <w:r>
              <w:rPr>
                <w:rFonts w:hint="eastAsia" w:ascii="宋体" w:hAnsi="宋体"/>
                <w:kern w:val="2"/>
                <w:sz w:val="24"/>
                <w:szCs w:val="24"/>
                <w:highlight w:val="none"/>
              </w:rPr>
              <w:t>参</w:t>
            </w:r>
            <w:r>
              <w:rPr>
                <w:rFonts w:hint="eastAsia" w:ascii="宋体" w:hAnsi="宋体" w:eastAsia="Times New Roman"/>
                <w:kern w:val="2"/>
                <w:sz w:val="24"/>
                <w:szCs w:val="24"/>
                <w:highlight w:val="none"/>
              </w:rPr>
              <w:t>照</w:t>
            </w:r>
            <w:r>
              <w:rPr>
                <w:rFonts w:hint="eastAsia" w:ascii="宋体" w:hAnsi="宋体" w:eastAsia="宋体"/>
                <w:kern w:val="2"/>
                <w:sz w:val="24"/>
                <w:szCs w:val="24"/>
                <w:highlight w:val="none"/>
                <w:lang w:eastAsia="zh-CN"/>
              </w:rPr>
              <w:t>《云南省建设工程招标代理服务收费参考意见》的通知云建招协〔2024〕58号</w:t>
            </w:r>
            <w:r>
              <w:rPr>
                <w:rFonts w:hint="eastAsia" w:ascii="宋体" w:hAnsi="宋体" w:eastAsia="Times New Roman"/>
                <w:kern w:val="2"/>
                <w:sz w:val="24"/>
                <w:szCs w:val="24"/>
                <w:highlight w:val="none"/>
              </w:rPr>
              <w:t>中</w:t>
            </w:r>
            <w:r>
              <w:rPr>
                <w:rFonts w:hint="eastAsia" w:ascii="宋体" w:hAnsi="宋体" w:eastAsia="宋体"/>
                <w:kern w:val="2"/>
                <w:sz w:val="24"/>
                <w:szCs w:val="24"/>
                <w:highlight w:val="none"/>
                <w:lang w:val="en-US" w:eastAsia="zh-CN"/>
              </w:rPr>
              <w:t>服务</w:t>
            </w:r>
            <w:r>
              <w:rPr>
                <w:rFonts w:hint="eastAsia" w:ascii="宋体" w:hAnsi="宋体" w:eastAsia="Times New Roman"/>
                <w:kern w:val="2"/>
                <w:sz w:val="24"/>
                <w:szCs w:val="24"/>
                <w:highlight w:val="none"/>
              </w:rPr>
              <w:t>类收费标准向</w:t>
            </w:r>
            <w:r>
              <w:rPr>
                <w:rFonts w:hint="eastAsia" w:ascii="宋体" w:hAnsi="宋体" w:eastAsia="宋体"/>
                <w:kern w:val="2"/>
                <w:sz w:val="24"/>
                <w:szCs w:val="24"/>
                <w:highlight w:val="none"/>
                <w:lang w:eastAsia="zh-CN"/>
              </w:rPr>
              <w:t>云南玉昭工程咨询有限公司</w:t>
            </w:r>
            <w:r>
              <w:rPr>
                <w:rFonts w:hint="eastAsia" w:ascii="宋体" w:hAnsi="宋体" w:eastAsia="Times New Roman"/>
                <w:kern w:val="2"/>
                <w:sz w:val="24"/>
                <w:szCs w:val="24"/>
                <w:highlight w:val="none"/>
              </w:rPr>
              <w:t>公司交纳。</w:t>
            </w:r>
          </w:p>
          <w:p w14:paraId="340CCBBE">
            <w:pPr>
              <w:pStyle w:val="46"/>
              <w:spacing w:line="400" w:lineRule="exact"/>
              <w:rPr>
                <w:rFonts w:hint="eastAsia" w:hAnsi="宋体" w:eastAsia="宋体"/>
                <w:kern w:val="2"/>
                <w:sz w:val="24"/>
                <w:szCs w:val="24"/>
                <w:highlight w:val="none"/>
                <w:lang w:eastAsia="zh-CN"/>
              </w:rPr>
            </w:pPr>
            <w:r>
              <w:rPr>
                <w:rFonts w:hint="eastAsia" w:hAnsi="宋体" w:eastAsia="Times New Roman"/>
                <w:kern w:val="2"/>
                <w:sz w:val="24"/>
                <w:szCs w:val="24"/>
                <w:highlight w:val="none"/>
              </w:rPr>
              <w:t>账户名称：</w:t>
            </w:r>
            <w:r>
              <w:rPr>
                <w:rFonts w:hint="eastAsia" w:hAnsi="宋体" w:eastAsia="宋体"/>
                <w:kern w:val="2"/>
                <w:sz w:val="24"/>
                <w:szCs w:val="24"/>
                <w:highlight w:val="none"/>
                <w:lang w:eastAsia="zh-CN"/>
              </w:rPr>
              <w:t>云南玉昭工程咨询有限公司</w:t>
            </w:r>
          </w:p>
          <w:p w14:paraId="5EEBACD0">
            <w:pPr>
              <w:pStyle w:val="50"/>
              <w:widowControl w:val="0"/>
              <w:spacing w:line="400" w:lineRule="exact"/>
              <w:rPr>
                <w:rFonts w:hint="default" w:ascii="宋体" w:hAnsi="宋体" w:eastAsia="宋体"/>
                <w:kern w:val="2"/>
                <w:sz w:val="24"/>
                <w:szCs w:val="24"/>
                <w:highlight w:val="none"/>
                <w:lang w:val="en-US" w:eastAsia="zh-CN"/>
              </w:rPr>
            </w:pPr>
            <w:r>
              <w:rPr>
                <w:rFonts w:hint="eastAsia" w:ascii="宋体" w:hAnsi="宋体" w:eastAsia="Times New Roman"/>
                <w:kern w:val="2"/>
                <w:sz w:val="24"/>
                <w:szCs w:val="24"/>
                <w:highlight w:val="none"/>
              </w:rPr>
              <w:t>开户银行：</w:t>
            </w:r>
            <w:r>
              <w:rPr>
                <w:rFonts w:hint="eastAsia" w:ascii="宋体" w:hAnsi="宋体" w:eastAsia="宋体"/>
                <w:kern w:val="2"/>
                <w:sz w:val="24"/>
                <w:szCs w:val="24"/>
                <w:highlight w:val="none"/>
                <w:lang w:val="en-US" w:eastAsia="zh-CN"/>
              </w:rPr>
              <w:t>招商银行昆明分行金江支行</w:t>
            </w:r>
          </w:p>
          <w:p w14:paraId="7156C788">
            <w:pPr>
              <w:pStyle w:val="50"/>
              <w:spacing w:line="380" w:lineRule="exact"/>
              <w:rPr>
                <w:rFonts w:ascii="宋体" w:hAnsi="宋体"/>
                <w:color w:val="auto"/>
                <w:kern w:val="2"/>
                <w:sz w:val="24"/>
                <w:szCs w:val="24"/>
                <w:highlight w:val="none"/>
              </w:rPr>
            </w:pPr>
            <w:r>
              <w:rPr>
                <w:rFonts w:hint="eastAsia" w:ascii="宋体" w:hAnsi="宋体" w:eastAsia="Times New Roman"/>
                <w:kern w:val="2"/>
                <w:sz w:val="24"/>
                <w:szCs w:val="24"/>
                <w:highlight w:val="none"/>
              </w:rPr>
              <w:t>账    号：</w:t>
            </w:r>
            <w:r>
              <w:rPr>
                <w:rFonts w:hint="eastAsia" w:ascii="宋体" w:hAnsi="宋体" w:eastAsia="宋体"/>
                <w:kern w:val="2"/>
                <w:sz w:val="24"/>
                <w:szCs w:val="24"/>
                <w:highlight w:val="none"/>
                <w:lang w:val="en-US" w:eastAsia="zh-CN"/>
              </w:rPr>
              <w:t>8719 0860 3010 301</w:t>
            </w:r>
          </w:p>
        </w:tc>
      </w:tr>
      <w:tr w14:paraId="204FACC2">
        <w:tblPrEx>
          <w:tblCellMar>
            <w:top w:w="0" w:type="dxa"/>
            <w:left w:w="0" w:type="dxa"/>
            <w:bottom w:w="0" w:type="dxa"/>
            <w:right w:w="0" w:type="dxa"/>
          </w:tblCellMar>
        </w:tblPrEx>
        <w:trPr>
          <w:trHeight w:val="827"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587816AF">
            <w:pPr>
              <w:spacing w:line="380" w:lineRule="exact"/>
              <w:jc w:val="center"/>
              <w:rPr>
                <w:rFonts w:ascii="宋体" w:hAnsi="宋体"/>
                <w:kern w:val="2"/>
                <w:sz w:val="24"/>
                <w:szCs w:val="24"/>
                <w:highlight w:val="none"/>
              </w:rPr>
            </w:pPr>
            <w:r>
              <w:rPr>
                <w:rFonts w:hint="eastAsia" w:ascii="宋体" w:hAnsi="宋体"/>
                <w:kern w:val="2"/>
                <w:sz w:val="24"/>
                <w:szCs w:val="24"/>
                <w:highlight w:val="none"/>
              </w:rPr>
              <w:t>3.3.1</w:t>
            </w:r>
          </w:p>
        </w:tc>
        <w:tc>
          <w:tcPr>
            <w:tcW w:w="1866" w:type="dxa"/>
            <w:tcBorders>
              <w:top w:val="single" w:color="auto" w:sz="8" w:space="0"/>
              <w:left w:val="nil"/>
              <w:bottom w:val="single" w:color="auto" w:sz="8" w:space="0"/>
              <w:right w:val="single" w:color="auto" w:sz="8" w:space="0"/>
            </w:tcBorders>
            <w:noWrap w:val="0"/>
            <w:vAlign w:val="center"/>
          </w:tcPr>
          <w:p w14:paraId="6F8E245B">
            <w:pPr>
              <w:spacing w:line="380" w:lineRule="exact"/>
              <w:rPr>
                <w:rFonts w:ascii="宋体" w:hAnsi="宋体"/>
                <w:kern w:val="2"/>
                <w:sz w:val="24"/>
                <w:szCs w:val="24"/>
                <w:highlight w:val="none"/>
              </w:rPr>
            </w:pPr>
            <w:r>
              <w:rPr>
                <w:rFonts w:hint="eastAsia" w:ascii="宋体" w:hAnsi="宋体"/>
                <w:kern w:val="2"/>
                <w:sz w:val="24"/>
                <w:szCs w:val="24"/>
                <w:highlight w:val="none"/>
              </w:rPr>
              <w:t>投标有效期</w:t>
            </w:r>
          </w:p>
        </w:tc>
        <w:tc>
          <w:tcPr>
            <w:tcW w:w="6969" w:type="dxa"/>
            <w:tcBorders>
              <w:top w:val="single" w:color="auto" w:sz="8" w:space="0"/>
              <w:left w:val="nil"/>
              <w:bottom w:val="single" w:color="auto" w:sz="8" w:space="0"/>
              <w:right w:val="single" w:color="auto" w:sz="8" w:space="0"/>
            </w:tcBorders>
            <w:noWrap w:val="0"/>
            <w:vAlign w:val="center"/>
          </w:tcPr>
          <w:p w14:paraId="71C50543">
            <w:pPr>
              <w:pStyle w:val="50"/>
              <w:spacing w:line="380" w:lineRule="exact"/>
              <w:jc w:val="both"/>
              <w:rPr>
                <w:rFonts w:hint="eastAsia" w:ascii="宋体" w:hAnsi="宋体"/>
                <w:kern w:val="2"/>
                <w:sz w:val="24"/>
                <w:szCs w:val="24"/>
                <w:highlight w:val="none"/>
              </w:rPr>
            </w:pPr>
            <w:r>
              <w:rPr>
                <w:rFonts w:hint="eastAsia" w:ascii="宋体" w:hAnsi="宋体"/>
                <w:kern w:val="2"/>
                <w:sz w:val="24"/>
                <w:szCs w:val="24"/>
                <w:highlight w:val="none"/>
              </w:rPr>
              <w:t>投标有效期</w:t>
            </w:r>
            <w:r>
              <w:rPr>
                <w:rFonts w:hint="eastAsia" w:ascii="宋体" w:hAnsi="宋体"/>
                <w:color w:val="auto"/>
                <w:kern w:val="2"/>
                <w:sz w:val="24"/>
                <w:szCs w:val="24"/>
                <w:highlight w:val="none"/>
              </w:rPr>
              <w:t>为</w:t>
            </w:r>
            <w:r>
              <w:rPr>
                <w:rFonts w:hint="eastAsia" w:ascii="宋体" w:hAnsi="宋体"/>
                <w:color w:val="auto"/>
                <w:kern w:val="2"/>
                <w:sz w:val="24"/>
                <w:szCs w:val="24"/>
                <w:highlight w:val="none"/>
                <w:u w:val="single"/>
              </w:rPr>
              <w:t xml:space="preserve"> </w:t>
            </w:r>
            <w:r>
              <w:rPr>
                <w:rFonts w:hint="eastAsia" w:ascii="宋体" w:hAnsi="宋体"/>
                <w:color w:val="auto"/>
                <w:kern w:val="2"/>
                <w:sz w:val="24"/>
                <w:szCs w:val="24"/>
                <w:highlight w:val="none"/>
                <w:u w:val="single"/>
                <w:lang w:val="en-US" w:eastAsia="zh-CN"/>
              </w:rPr>
              <w:t>90</w:t>
            </w:r>
            <w:r>
              <w:rPr>
                <w:rFonts w:hint="eastAsia" w:ascii="宋体" w:hAnsi="宋体"/>
                <w:color w:val="auto"/>
                <w:kern w:val="2"/>
                <w:sz w:val="24"/>
                <w:szCs w:val="24"/>
                <w:highlight w:val="none"/>
                <w:u w:val="single"/>
              </w:rPr>
              <w:t xml:space="preserve"> </w:t>
            </w:r>
            <w:r>
              <w:rPr>
                <w:rFonts w:hint="eastAsia" w:ascii="宋体" w:hAnsi="宋体"/>
                <w:color w:val="auto"/>
                <w:kern w:val="2"/>
                <w:sz w:val="24"/>
                <w:szCs w:val="24"/>
                <w:highlight w:val="none"/>
              </w:rPr>
              <w:t>日历</w:t>
            </w:r>
            <w:r>
              <w:rPr>
                <w:rFonts w:hint="eastAsia" w:ascii="宋体" w:hAnsi="宋体"/>
                <w:kern w:val="2"/>
                <w:sz w:val="24"/>
                <w:szCs w:val="24"/>
                <w:highlight w:val="none"/>
              </w:rPr>
              <w:t>天</w:t>
            </w:r>
            <w:r>
              <w:rPr>
                <w:rFonts w:hint="eastAsia" w:ascii="宋体" w:hAnsi="宋体"/>
                <w:sz w:val="24"/>
                <w:szCs w:val="24"/>
                <w:highlight w:val="none"/>
              </w:rPr>
              <w:t>(从投标截止之日算起)</w:t>
            </w:r>
            <w:r>
              <w:rPr>
                <w:rFonts w:hint="eastAsia" w:ascii="宋体" w:hAnsi="宋体"/>
                <w:kern w:val="2"/>
                <w:sz w:val="24"/>
                <w:szCs w:val="24"/>
                <w:highlight w:val="none"/>
              </w:rPr>
              <w:t>。</w:t>
            </w:r>
          </w:p>
        </w:tc>
      </w:tr>
      <w:tr w14:paraId="38759612">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43CA2CBA">
            <w:pPr>
              <w:spacing w:line="380" w:lineRule="exact"/>
              <w:jc w:val="center"/>
              <w:rPr>
                <w:rFonts w:ascii="宋体" w:hAnsi="宋体"/>
                <w:kern w:val="2"/>
                <w:sz w:val="24"/>
                <w:szCs w:val="24"/>
                <w:highlight w:val="none"/>
              </w:rPr>
            </w:pPr>
            <w:r>
              <w:rPr>
                <w:rFonts w:hint="eastAsia" w:ascii="宋体" w:hAnsi="宋体"/>
                <w:kern w:val="2"/>
                <w:sz w:val="24"/>
                <w:szCs w:val="24"/>
                <w:highlight w:val="none"/>
              </w:rPr>
              <w:t>3.4.1</w:t>
            </w:r>
          </w:p>
        </w:tc>
        <w:tc>
          <w:tcPr>
            <w:tcW w:w="1866" w:type="dxa"/>
            <w:tcBorders>
              <w:top w:val="single" w:color="auto" w:sz="8" w:space="0"/>
              <w:left w:val="nil"/>
              <w:bottom w:val="single" w:color="auto" w:sz="8" w:space="0"/>
              <w:right w:val="single" w:color="auto" w:sz="8" w:space="0"/>
            </w:tcBorders>
            <w:noWrap w:val="0"/>
            <w:vAlign w:val="center"/>
          </w:tcPr>
          <w:p w14:paraId="5723B24C">
            <w:pPr>
              <w:spacing w:line="380" w:lineRule="exact"/>
              <w:rPr>
                <w:rFonts w:ascii="宋体" w:hAnsi="宋体"/>
                <w:kern w:val="2"/>
                <w:sz w:val="24"/>
                <w:szCs w:val="24"/>
                <w:highlight w:val="none"/>
              </w:rPr>
            </w:pPr>
            <w:r>
              <w:rPr>
                <w:rFonts w:hint="eastAsia" w:ascii="宋体" w:hAnsi="宋体"/>
                <w:kern w:val="2"/>
                <w:sz w:val="24"/>
                <w:szCs w:val="24"/>
                <w:highlight w:val="none"/>
              </w:rPr>
              <w:t>投标保证金</w:t>
            </w:r>
          </w:p>
        </w:tc>
        <w:tc>
          <w:tcPr>
            <w:tcW w:w="6969" w:type="dxa"/>
            <w:tcBorders>
              <w:top w:val="single" w:color="auto" w:sz="8" w:space="0"/>
              <w:left w:val="nil"/>
              <w:bottom w:val="single" w:color="auto" w:sz="8" w:space="0"/>
              <w:right w:val="single" w:color="auto" w:sz="8" w:space="0"/>
            </w:tcBorders>
            <w:noWrap w:val="0"/>
            <w:vAlign w:val="center"/>
          </w:tcPr>
          <w:p w14:paraId="51F82C41">
            <w:pPr>
              <w:pStyle w:val="50"/>
              <w:spacing w:line="360" w:lineRule="auto"/>
              <w:rPr>
                <w:rFonts w:ascii="宋体" w:hAnsi="宋体"/>
                <w:kern w:val="2"/>
                <w:sz w:val="24"/>
                <w:szCs w:val="24"/>
                <w:highlight w:val="none"/>
              </w:rPr>
            </w:pPr>
            <w:r>
              <w:rPr>
                <w:rFonts w:hint="eastAsia" w:ascii="宋体" w:hAnsi="宋体" w:cs="宋体"/>
                <w:b/>
                <w:bCs/>
                <w:kern w:val="2"/>
                <w:sz w:val="24"/>
                <w:szCs w:val="24"/>
                <w:highlight w:val="none"/>
                <w:lang w:val="en-US" w:eastAsia="zh-CN"/>
              </w:rPr>
              <w:t>本项目不要求递交</w:t>
            </w:r>
            <w:r>
              <w:rPr>
                <w:rFonts w:hint="eastAsia" w:ascii="宋体" w:hAnsi="宋体" w:cs="宋体"/>
                <w:b/>
                <w:bCs/>
                <w:kern w:val="2"/>
                <w:sz w:val="24"/>
                <w:szCs w:val="24"/>
                <w:highlight w:val="none"/>
              </w:rPr>
              <w:t>投标保证金</w:t>
            </w:r>
          </w:p>
        </w:tc>
      </w:tr>
      <w:tr w14:paraId="2C4E7D9D">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606EA6CE">
            <w:pPr>
              <w:spacing w:line="360" w:lineRule="auto"/>
              <w:jc w:val="center"/>
              <w:rPr>
                <w:rFonts w:hint="eastAsia" w:ascii="宋体" w:hAnsi="宋体" w:eastAsia="宋体"/>
                <w:kern w:val="2"/>
                <w:sz w:val="24"/>
                <w:szCs w:val="24"/>
                <w:highlight w:val="none"/>
                <w:lang w:eastAsia="zh-CN"/>
              </w:rPr>
            </w:pPr>
            <w:r>
              <w:rPr>
                <w:rFonts w:hint="eastAsia" w:ascii="宋体" w:hAnsi="宋体" w:cs="宋体"/>
                <w:kern w:val="2"/>
                <w:sz w:val="24"/>
                <w:szCs w:val="24"/>
                <w:highlight w:val="none"/>
                <w:lang w:eastAsia="zh-CN"/>
              </w:rPr>
              <w:t>3.5.2</w:t>
            </w:r>
          </w:p>
        </w:tc>
        <w:tc>
          <w:tcPr>
            <w:tcW w:w="1866" w:type="dxa"/>
            <w:tcBorders>
              <w:top w:val="single" w:color="auto" w:sz="8" w:space="0"/>
              <w:left w:val="nil"/>
              <w:bottom w:val="single" w:color="auto" w:sz="8" w:space="0"/>
              <w:right w:val="single" w:color="auto" w:sz="8" w:space="0"/>
            </w:tcBorders>
            <w:noWrap w:val="0"/>
            <w:vAlign w:val="center"/>
          </w:tcPr>
          <w:p w14:paraId="7D496310">
            <w:pPr>
              <w:spacing w:line="400" w:lineRule="exact"/>
              <w:rPr>
                <w:rFonts w:hint="eastAsia" w:ascii="宋体" w:hAnsi="宋体"/>
                <w:kern w:val="2"/>
                <w:sz w:val="24"/>
                <w:szCs w:val="24"/>
                <w:highlight w:val="none"/>
              </w:rPr>
            </w:pPr>
            <w:r>
              <w:rPr>
                <w:rFonts w:hint="eastAsia" w:ascii="宋体" w:hAnsi="宋体" w:cs="宋体"/>
                <w:kern w:val="2"/>
                <w:sz w:val="24"/>
                <w:szCs w:val="24"/>
                <w:highlight w:val="none"/>
              </w:rPr>
              <w:t>投标文件所附证书证件要求、投标文件签字或盖章要求</w:t>
            </w:r>
          </w:p>
        </w:tc>
        <w:tc>
          <w:tcPr>
            <w:tcW w:w="6969" w:type="dxa"/>
            <w:tcBorders>
              <w:top w:val="single" w:color="auto" w:sz="8" w:space="0"/>
              <w:left w:val="nil"/>
              <w:bottom w:val="single" w:color="auto" w:sz="8" w:space="0"/>
              <w:right w:val="single" w:color="auto" w:sz="8" w:space="0"/>
            </w:tcBorders>
            <w:noWrap w:val="0"/>
            <w:vAlign w:val="center"/>
          </w:tcPr>
          <w:p w14:paraId="217FF7CF">
            <w:pPr>
              <w:spacing w:line="400" w:lineRule="exact"/>
              <w:rPr>
                <w:rFonts w:hint="eastAsia" w:ascii="宋体" w:hAnsi="宋体" w:cs="宋体"/>
                <w:kern w:val="2"/>
                <w:sz w:val="24"/>
                <w:szCs w:val="24"/>
                <w:highlight w:val="none"/>
              </w:rPr>
            </w:pPr>
            <w:r>
              <w:rPr>
                <w:rFonts w:hint="eastAsia" w:ascii="宋体" w:hAnsi="宋体" w:cs="宋体"/>
                <w:kern w:val="2"/>
                <w:sz w:val="24"/>
                <w:szCs w:val="24"/>
                <w:highlight w:val="none"/>
              </w:rPr>
              <w:t>投标文件所附证书证件要求：原件扫描件</w:t>
            </w:r>
          </w:p>
          <w:p w14:paraId="70119543">
            <w:pPr>
              <w:spacing w:line="400" w:lineRule="exact"/>
              <w:rPr>
                <w:rFonts w:hint="eastAsia" w:hAnsi="宋体"/>
                <w:color w:val="FF0000"/>
                <w:sz w:val="24"/>
                <w:szCs w:val="24"/>
                <w:highlight w:val="none"/>
              </w:rPr>
            </w:pPr>
            <w:r>
              <w:rPr>
                <w:rFonts w:hint="eastAsia" w:ascii="宋体" w:hAnsi="宋体" w:cs="宋体"/>
                <w:kern w:val="2"/>
                <w:sz w:val="24"/>
                <w:szCs w:val="24"/>
                <w:highlight w:val="none"/>
              </w:rPr>
              <w:t>投标文件签字或盖章要求：签字或加盖</w:t>
            </w:r>
            <w:r>
              <w:rPr>
                <w:rFonts w:hint="eastAsia" w:ascii="宋体" w:hAnsi="宋体"/>
                <w:sz w:val="24"/>
                <w:highlight w:val="none"/>
              </w:rPr>
              <w:t>电子签章</w:t>
            </w:r>
          </w:p>
        </w:tc>
      </w:tr>
      <w:tr w14:paraId="7179EFA3">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5E13F956">
            <w:pPr>
              <w:spacing w:line="400" w:lineRule="exact"/>
              <w:jc w:val="center"/>
              <w:rPr>
                <w:rFonts w:hint="eastAsia" w:ascii="宋体" w:hAnsi="宋体" w:eastAsia="宋体"/>
                <w:kern w:val="2"/>
                <w:sz w:val="24"/>
                <w:szCs w:val="24"/>
                <w:highlight w:val="none"/>
                <w:lang w:eastAsia="zh-CN"/>
              </w:rPr>
            </w:pPr>
            <w:r>
              <w:rPr>
                <w:rFonts w:hint="eastAsia" w:ascii="宋体" w:hAnsi="宋体"/>
                <w:kern w:val="2"/>
                <w:sz w:val="24"/>
                <w:szCs w:val="24"/>
                <w:highlight w:val="none"/>
                <w:lang w:eastAsia="zh-CN"/>
              </w:rPr>
              <w:t>3.5.3</w:t>
            </w:r>
          </w:p>
        </w:tc>
        <w:tc>
          <w:tcPr>
            <w:tcW w:w="1866" w:type="dxa"/>
            <w:tcBorders>
              <w:top w:val="single" w:color="auto" w:sz="8" w:space="0"/>
              <w:left w:val="nil"/>
              <w:bottom w:val="single" w:color="auto" w:sz="8" w:space="0"/>
              <w:right w:val="single" w:color="auto" w:sz="8" w:space="0"/>
            </w:tcBorders>
            <w:noWrap w:val="0"/>
            <w:vAlign w:val="center"/>
          </w:tcPr>
          <w:p w14:paraId="744CAB2F">
            <w:pPr>
              <w:spacing w:line="400" w:lineRule="exact"/>
              <w:rPr>
                <w:rFonts w:hint="eastAsia" w:ascii="宋体" w:hAnsi="宋体"/>
                <w:kern w:val="2"/>
                <w:sz w:val="24"/>
                <w:szCs w:val="24"/>
                <w:highlight w:val="none"/>
              </w:rPr>
            </w:pPr>
            <w:r>
              <w:rPr>
                <w:rFonts w:hint="eastAsia" w:ascii="宋体" w:hAnsi="宋体" w:cs="宋体"/>
                <w:sz w:val="24"/>
                <w:szCs w:val="24"/>
                <w:highlight w:val="none"/>
              </w:rPr>
              <w:t>投标文件编制的其他要求</w:t>
            </w:r>
          </w:p>
        </w:tc>
        <w:tc>
          <w:tcPr>
            <w:tcW w:w="6969" w:type="dxa"/>
            <w:tcBorders>
              <w:top w:val="single" w:color="auto" w:sz="8" w:space="0"/>
              <w:left w:val="nil"/>
              <w:bottom w:val="single" w:color="auto" w:sz="8" w:space="0"/>
              <w:right w:val="single" w:color="auto" w:sz="8" w:space="0"/>
            </w:tcBorders>
            <w:noWrap w:val="0"/>
            <w:vAlign w:val="center"/>
          </w:tcPr>
          <w:p w14:paraId="2A869C23">
            <w:pPr>
              <w:spacing w:line="360" w:lineRule="auto"/>
              <w:rPr>
                <w:rFonts w:ascii="宋体" w:hAnsi="宋体"/>
                <w:kern w:val="2"/>
                <w:sz w:val="24"/>
                <w:szCs w:val="24"/>
                <w:highlight w:val="none"/>
              </w:rPr>
            </w:pPr>
            <w:r>
              <w:rPr>
                <w:rFonts w:hint="eastAsia" w:ascii="宋体" w:hAnsi="宋体"/>
                <w:kern w:val="2"/>
                <w:sz w:val="24"/>
                <w:szCs w:val="24"/>
                <w:highlight w:val="none"/>
              </w:rPr>
              <w:t>（1）投标文件全部采用电子文档，供应商应安装客户端软件—“政采云电子交易客户端”，并按照招标文件和政采云电子交易平台的要求编制，编制后应进行电子签章、签名及加密；</w:t>
            </w:r>
          </w:p>
          <w:p w14:paraId="5573A686">
            <w:pPr>
              <w:spacing w:line="360" w:lineRule="auto"/>
              <w:rPr>
                <w:rFonts w:ascii="宋体" w:hAnsi="宋体"/>
                <w:kern w:val="2"/>
                <w:sz w:val="24"/>
                <w:szCs w:val="24"/>
                <w:highlight w:val="none"/>
              </w:rPr>
            </w:pPr>
            <w:r>
              <w:rPr>
                <w:rFonts w:hint="eastAsia" w:ascii="宋体" w:hAnsi="宋体"/>
                <w:kern w:val="2"/>
                <w:sz w:val="24"/>
                <w:szCs w:val="24"/>
                <w:highlight w:val="none"/>
              </w:rPr>
              <w:t xml:space="preserve">（2）如投标文件提交的电子标书不满足招标文件要求或开标时无法读取导入或解密，其投标文件将不予受理； </w:t>
            </w:r>
          </w:p>
          <w:p w14:paraId="721F890A">
            <w:pPr>
              <w:spacing w:line="360" w:lineRule="auto"/>
              <w:rPr>
                <w:rFonts w:hint="eastAsia" w:ascii="宋体" w:hAnsi="宋体"/>
                <w:kern w:val="2"/>
                <w:sz w:val="24"/>
                <w:szCs w:val="24"/>
                <w:highlight w:val="none"/>
              </w:rPr>
            </w:pPr>
            <w:r>
              <w:rPr>
                <w:rFonts w:hint="eastAsia" w:ascii="宋体" w:hAnsi="宋体"/>
                <w:kern w:val="2"/>
                <w:sz w:val="24"/>
                <w:szCs w:val="24"/>
                <w:highlight w:val="none"/>
              </w:rPr>
              <w:t>（3）投标文件中提供的资料（扫描件），内容必须清晰可辨，若内容模糊，无法辨识，均视为未提供。</w:t>
            </w:r>
          </w:p>
        </w:tc>
      </w:tr>
      <w:tr w14:paraId="18830C6B">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01B95B83">
            <w:pPr>
              <w:spacing w:line="400" w:lineRule="exact"/>
              <w:jc w:val="center"/>
              <w:rPr>
                <w:rFonts w:hint="eastAsia" w:ascii="宋体" w:hAnsi="宋体"/>
                <w:kern w:val="2"/>
                <w:sz w:val="24"/>
                <w:szCs w:val="24"/>
                <w:highlight w:val="none"/>
              </w:rPr>
            </w:pPr>
            <w:r>
              <w:rPr>
                <w:rFonts w:hint="eastAsia" w:ascii="宋体" w:hAnsi="宋体" w:cs="宋体"/>
                <w:kern w:val="2"/>
                <w:sz w:val="24"/>
                <w:szCs w:val="24"/>
                <w:highlight w:val="none"/>
              </w:rPr>
              <w:t>4.1.1</w:t>
            </w:r>
          </w:p>
        </w:tc>
        <w:tc>
          <w:tcPr>
            <w:tcW w:w="1866" w:type="dxa"/>
            <w:tcBorders>
              <w:top w:val="single" w:color="auto" w:sz="8" w:space="0"/>
              <w:left w:val="nil"/>
              <w:bottom w:val="single" w:color="auto" w:sz="8" w:space="0"/>
              <w:right w:val="single" w:color="auto" w:sz="8" w:space="0"/>
            </w:tcBorders>
            <w:noWrap w:val="0"/>
            <w:vAlign w:val="center"/>
          </w:tcPr>
          <w:p w14:paraId="0BB63D59">
            <w:pPr>
              <w:spacing w:line="400" w:lineRule="exact"/>
              <w:rPr>
                <w:rFonts w:hint="eastAsia" w:ascii="宋体" w:hAnsi="宋体" w:cs="宋体"/>
                <w:sz w:val="24"/>
                <w:szCs w:val="24"/>
                <w:highlight w:val="none"/>
              </w:rPr>
            </w:pPr>
            <w:r>
              <w:rPr>
                <w:rFonts w:hint="eastAsia" w:ascii="宋体" w:hAnsi="宋体" w:cs="宋体"/>
                <w:kern w:val="2"/>
                <w:sz w:val="24"/>
                <w:szCs w:val="24"/>
                <w:highlight w:val="none"/>
              </w:rPr>
              <w:t>投标文件加密要求</w:t>
            </w:r>
          </w:p>
        </w:tc>
        <w:tc>
          <w:tcPr>
            <w:tcW w:w="6969" w:type="dxa"/>
            <w:tcBorders>
              <w:top w:val="single" w:color="auto" w:sz="8" w:space="0"/>
              <w:left w:val="nil"/>
              <w:bottom w:val="single" w:color="auto" w:sz="8" w:space="0"/>
              <w:right w:val="single" w:color="auto" w:sz="8" w:space="0"/>
            </w:tcBorders>
            <w:noWrap w:val="0"/>
            <w:vAlign w:val="center"/>
          </w:tcPr>
          <w:p w14:paraId="4570A480">
            <w:pPr>
              <w:spacing w:line="360" w:lineRule="auto"/>
              <w:rPr>
                <w:rFonts w:ascii="宋体" w:hAnsi="宋体" w:cs="宋体"/>
                <w:kern w:val="2"/>
                <w:sz w:val="24"/>
                <w:szCs w:val="24"/>
                <w:highlight w:val="none"/>
              </w:rPr>
            </w:pPr>
            <w:r>
              <w:rPr>
                <w:rFonts w:hint="eastAsia" w:ascii="宋体" w:hAnsi="宋体" w:cs="宋体"/>
                <w:kern w:val="2"/>
                <w:sz w:val="24"/>
                <w:szCs w:val="24"/>
                <w:highlight w:val="none"/>
              </w:rPr>
              <w:t xml:space="preserve">（1）供应商进行电子交易应安装客户端软件—“政采云电子交易客户端”，并按照招标文件和电子交易平台的要求编制并加密响应文件。供应商未按规定加密的响应文件，电子交易平台将拒收并提示； </w:t>
            </w:r>
          </w:p>
          <w:p w14:paraId="6AFC2EF4">
            <w:pPr>
              <w:spacing w:line="360" w:lineRule="auto"/>
              <w:rPr>
                <w:rFonts w:ascii="宋体" w:hAnsi="宋体" w:cs="宋体"/>
                <w:kern w:val="2"/>
                <w:sz w:val="24"/>
                <w:szCs w:val="24"/>
                <w:highlight w:val="none"/>
              </w:rPr>
            </w:pPr>
            <w:r>
              <w:rPr>
                <w:rFonts w:hint="eastAsia" w:ascii="宋体" w:hAnsi="宋体" w:cs="宋体"/>
                <w:kern w:val="2"/>
                <w:sz w:val="24"/>
                <w:szCs w:val="24"/>
                <w:highlight w:val="none"/>
              </w:rPr>
              <w:t xml:space="preserve">（2）使用“政采云电子交易客户端”需要提前申领 CA 数字证书，申领流程见该项目采购公告附件； </w:t>
            </w:r>
          </w:p>
          <w:p w14:paraId="42B143E1">
            <w:pPr>
              <w:spacing w:line="400" w:lineRule="exact"/>
              <w:rPr>
                <w:rFonts w:hint="eastAsia" w:ascii="宋体" w:hAnsi="宋体" w:cs="宋体"/>
                <w:sz w:val="24"/>
                <w:szCs w:val="24"/>
                <w:highlight w:val="none"/>
              </w:rPr>
            </w:pPr>
            <w:r>
              <w:rPr>
                <w:rFonts w:hint="eastAsia" w:ascii="宋体" w:hAnsi="宋体" w:cs="宋体"/>
                <w:kern w:val="2"/>
                <w:sz w:val="24"/>
                <w:szCs w:val="24"/>
                <w:highlight w:val="none"/>
              </w:rPr>
              <w:t>（3）为确保网上操作合法、有效和安全，供应商应当在响应文件提交截止时间前完成在“政府采购云 平台”的身份认证，确保在电子交易过程中能够对相关数据电文进行加密和使用电子签名。</w:t>
            </w:r>
          </w:p>
        </w:tc>
      </w:tr>
      <w:tr w14:paraId="49E9E9D6">
        <w:tblPrEx>
          <w:tblCellMar>
            <w:top w:w="0" w:type="dxa"/>
            <w:left w:w="0" w:type="dxa"/>
            <w:bottom w:w="0" w:type="dxa"/>
            <w:right w:w="0" w:type="dxa"/>
          </w:tblCellMar>
        </w:tblPrEx>
        <w:trPr>
          <w:trHeight w:val="542"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49EA2B6A">
            <w:pPr>
              <w:spacing w:line="400" w:lineRule="exact"/>
              <w:jc w:val="center"/>
              <w:rPr>
                <w:highlight w:val="none"/>
              </w:rPr>
            </w:pPr>
            <w:r>
              <w:rPr>
                <w:rFonts w:hint="eastAsia" w:ascii="宋体" w:hAnsi="宋体" w:cs="宋体"/>
                <w:sz w:val="24"/>
                <w:szCs w:val="24"/>
                <w:highlight w:val="none"/>
              </w:rPr>
              <w:t>4.2.1</w:t>
            </w:r>
          </w:p>
        </w:tc>
        <w:tc>
          <w:tcPr>
            <w:tcW w:w="1866" w:type="dxa"/>
            <w:tcBorders>
              <w:top w:val="single" w:color="auto" w:sz="8" w:space="0"/>
              <w:left w:val="nil"/>
              <w:bottom w:val="single" w:color="auto" w:sz="8" w:space="0"/>
              <w:right w:val="single" w:color="auto" w:sz="8" w:space="0"/>
            </w:tcBorders>
            <w:noWrap w:val="0"/>
            <w:vAlign w:val="center"/>
          </w:tcPr>
          <w:p w14:paraId="180E6EA8">
            <w:pPr>
              <w:spacing w:line="400" w:lineRule="exact"/>
              <w:rPr>
                <w:rFonts w:ascii="宋体" w:hAnsi="宋体"/>
                <w:kern w:val="2"/>
                <w:sz w:val="24"/>
                <w:szCs w:val="24"/>
                <w:highlight w:val="none"/>
              </w:rPr>
            </w:pPr>
            <w:r>
              <w:rPr>
                <w:rFonts w:hint="eastAsia" w:ascii="宋体" w:hAnsi="宋体"/>
                <w:kern w:val="2"/>
                <w:sz w:val="24"/>
                <w:szCs w:val="24"/>
                <w:highlight w:val="none"/>
              </w:rPr>
              <w:t>投标截止时间</w:t>
            </w:r>
          </w:p>
        </w:tc>
        <w:tc>
          <w:tcPr>
            <w:tcW w:w="6969" w:type="dxa"/>
            <w:tcBorders>
              <w:top w:val="single" w:color="auto" w:sz="8" w:space="0"/>
              <w:left w:val="nil"/>
              <w:bottom w:val="single" w:color="auto" w:sz="8" w:space="0"/>
              <w:right w:val="single" w:color="auto" w:sz="8" w:space="0"/>
            </w:tcBorders>
            <w:noWrap w:val="0"/>
            <w:vAlign w:val="center"/>
          </w:tcPr>
          <w:p w14:paraId="484638E3">
            <w:pPr>
              <w:spacing w:line="400" w:lineRule="exact"/>
              <w:jc w:val="both"/>
              <w:rPr>
                <w:rFonts w:hint="default" w:ascii="宋体" w:hAnsi="宋体" w:eastAsia="宋体"/>
                <w:kern w:val="2"/>
                <w:sz w:val="24"/>
                <w:szCs w:val="24"/>
                <w:highlight w:val="none"/>
                <w:lang w:val="en-US" w:eastAsia="zh-CN"/>
              </w:rPr>
            </w:pPr>
            <w:r>
              <w:rPr>
                <w:rFonts w:hint="eastAsia" w:ascii="宋体" w:hAnsi="宋体"/>
                <w:sz w:val="24"/>
                <w:szCs w:val="24"/>
                <w:highlight w:val="none"/>
                <w:u w:val="none"/>
                <w:lang w:val="en-US" w:eastAsia="zh-CN"/>
              </w:rPr>
              <w:t>详见第一章 “招标公告”</w:t>
            </w:r>
          </w:p>
        </w:tc>
      </w:tr>
      <w:tr w14:paraId="63A2A414">
        <w:tblPrEx>
          <w:tblCellMar>
            <w:top w:w="0" w:type="dxa"/>
            <w:left w:w="0" w:type="dxa"/>
            <w:bottom w:w="0" w:type="dxa"/>
            <w:right w:w="0" w:type="dxa"/>
          </w:tblCellMar>
        </w:tblPrEx>
        <w:trPr>
          <w:trHeight w:val="943"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2F9F6F83">
            <w:pPr>
              <w:spacing w:line="400" w:lineRule="exact"/>
              <w:jc w:val="center"/>
              <w:rPr>
                <w:rFonts w:hint="eastAsia" w:ascii="宋体" w:hAnsi="宋体"/>
                <w:kern w:val="2"/>
                <w:sz w:val="24"/>
                <w:szCs w:val="24"/>
                <w:highlight w:val="none"/>
              </w:rPr>
            </w:pPr>
            <w:r>
              <w:rPr>
                <w:rFonts w:hint="eastAsia" w:ascii="宋体" w:hAnsi="宋体"/>
                <w:kern w:val="2"/>
                <w:sz w:val="24"/>
                <w:szCs w:val="24"/>
                <w:highlight w:val="none"/>
              </w:rPr>
              <w:t>4.2.2</w:t>
            </w:r>
          </w:p>
        </w:tc>
        <w:tc>
          <w:tcPr>
            <w:tcW w:w="1866" w:type="dxa"/>
            <w:tcBorders>
              <w:top w:val="single" w:color="auto" w:sz="8" w:space="0"/>
              <w:left w:val="nil"/>
              <w:bottom w:val="single" w:color="auto" w:sz="8" w:space="0"/>
              <w:right w:val="single" w:color="auto" w:sz="8" w:space="0"/>
            </w:tcBorders>
            <w:noWrap w:val="0"/>
            <w:vAlign w:val="center"/>
          </w:tcPr>
          <w:p w14:paraId="37A9848A">
            <w:pPr>
              <w:spacing w:line="400" w:lineRule="exact"/>
              <w:rPr>
                <w:rFonts w:hint="eastAsia" w:ascii="宋体" w:hAnsi="宋体"/>
                <w:kern w:val="2"/>
                <w:sz w:val="24"/>
                <w:szCs w:val="24"/>
                <w:highlight w:val="none"/>
              </w:rPr>
            </w:pPr>
            <w:r>
              <w:rPr>
                <w:rFonts w:hint="eastAsia" w:ascii="宋体" w:hAnsi="宋体" w:eastAsia="宋体" w:cs="宋体"/>
                <w:kern w:val="2"/>
                <w:sz w:val="24"/>
                <w:szCs w:val="24"/>
                <w:highlight w:val="none"/>
              </w:rPr>
              <w:t>投标文件递交</w:t>
            </w:r>
            <w:r>
              <w:rPr>
                <w:rFonts w:hint="eastAsia" w:ascii="宋体" w:hAnsi="宋体" w:eastAsia="宋体" w:cs="宋体"/>
                <w:kern w:val="2"/>
                <w:sz w:val="24"/>
                <w:szCs w:val="24"/>
                <w:highlight w:val="none"/>
                <w:lang w:val="en-US" w:eastAsia="zh-CN"/>
              </w:rPr>
              <w:t>截止</w:t>
            </w:r>
            <w:r>
              <w:rPr>
                <w:rFonts w:hint="eastAsia" w:ascii="宋体" w:hAnsi="宋体" w:eastAsia="宋体" w:cs="宋体"/>
                <w:kern w:val="2"/>
                <w:sz w:val="24"/>
                <w:szCs w:val="24"/>
                <w:highlight w:val="none"/>
              </w:rPr>
              <w:t>时间和地点</w:t>
            </w:r>
          </w:p>
        </w:tc>
        <w:tc>
          <w:tcPr>
            <w:tcW w:w="6969" w:type="dxa"/>
            <w:tcBorders>
              <w:top w:val="single" w:color="auto" w:sz="8" w:space="0"/>
              <w:left w:val="nil"/>
              <w:bottom w:val="single" w:color="auto" w:sz="8" w:space="0"/>
              <w:right w:val="single" w:color="auto" w:sz="8" w:space="0"/>
            </w:tcBorders>
            <w:noWrap w:val="0"/>
            <w:vAlign w:val="center"/>
          </w:tcPr>
          <w:p w14:paraId="724E5CCF">
            <w:pPr>
              <w:pStyle w:val="11"/>
              <w:rPr>
                <w:rFonts w:hint="default" w:eastAsia="宋体"/>
                <w:sz w:val="24"/>
                <w:highlight w:val="none"/>
                <w:lang w:val="en-US" w:eastAsia="zh-CN"/>
              </w:rPr>
            </w:pPr>
            <w:r>
              <w:rPr>
                <w:rFonts w:hint="eastAsia" w:ascii="宋体" w:hAnsi="宋体"/>
                <w:sz w:val="24"/>
                <w:szCs w:val="24"/>
                <w:highlight w:val="none"/>
                <w:u w:val="none"/>
                <w:lang w:val="en-US" w:eastAsia="zh-CN"/>
              </w:rPr>
              <w:t>详见第一章 “招标公告”</w:t>
            </w:r>
          </w:p>
        </w:tc>
      </w:tr>
      <w:tr w14:paraId="4439EC7C">
        <w:tblPrEx>
          <w:tblCellMar>
            <w:top w:w="0" w:type="dxa"/>
            <w:left w:w="0" w:type="dxa"/>
            <w:bottom w:w="0" w:type="dxa"/>
            <w:right w:w="0" w:type="dxa"/>
          </w:tblCellMar>
        </w:tblPrEx>
        <w:trPr>
          <w:trHeight w:val="902"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7F890F1C">
            <w:pPr>
              <w:spacing w:line="400" w:lineRule="exact"/>
              <w:jc w:val="center"/>
              <w:rPr>
                <w:rFonts w:ascii="宋体" w:hAnsi="宋体"/>
                <w:kern w:val="2"/>
                <w:sz w:val="24"/>
                <w:szCs w:val="24"/>
                <w:highlight w:val="none"/>
              </w:rPr>
            </w:pPr>
            <w:r>
              <w:rPr>
                <w:rFonts w:hint="eastAsia" w:ascii="宋体" w:hAnsi="宋体"/>
                <w:kern w:val="2"/>
                <w:sz w:val="24"/>
                <w:szCs w:val="24"/>
                <w:highlight w:val="none"/>
              </w:rPr>
              <w:t>5.1</w:t>
            </w:r>
          </w:p>
        </w:tc>
        <w:tc>
          <w:tcPr>
            <w:tcW w:w="1866" w:type="dxa"/>
            <w:tcBorders>
              <w:top w:val="single" w:color="auto" w:sz="8" w:space="0"/>
              <w:left w:val="nil"/>
              <w:bottom w:val="single" w:color="auto" w:sz="8" w:space="0"/>
              <w:right w:val="single" w:color="auto" w:sz="8" w:space="0"/>
            </w:tcBorders>
            <w:noWrap w:val="0"/>
            <w:vAlign w:val="center"/>
          </w:tcPr>
          <w:p w14:paraId="6C8431A5">
            <w:pPr>
              <w:spacing w:line="400" w:lineRule="exact"/>
              <w:rPr>
                <w:rFonts w:ascii="宋体" w:hAnsi="宋体"/>
                <w:kern w:val="2"/>
                <w:sz w:val="24"/>
                <w:szCs w:val="24"/>
                <w:highlight w:val="none"/>
              </w:rPr>
            </w:pPr>
            <w:r>
              <w:rPr>
                <w:rFonts w:hint="eastAsia" w:ascii="宋体" w:hAnsi="宋体"/>
                <w:kern w:val="2"/>
                <w:sz w:val="24"/>
                <w:szCs w:val="24"/>
                <w:highlight w:val="none"/>
              </w:rPr>
              <w:t>开标时间和地点</w:t>
            </w:r>
          </w:p>
        </w:tc>
        <w:tc>
          <w:tcPr>
            <w:tcW w:w="6969" w:type="dxa"/>
            <w:tcBorders>
              <w:top w:val="single" w:color="auto" w:sz="8" w:space="0"/>
              <w:left w:val="nil"/>
              <w:bottom w:val="single" w:color="auto" w:sz="8" w:space="0"/>
              <w:right w:val="single" w:color="auto" w:sz="8" w:space="0"/>
            </w:tcBorders>
            <w:noWrap w:val="0"/>
            <w:vAlign w:val="center"/>
          </w:tcPr>
          <w:p w14:paraId="376179DF">
            <w:pPr>
              <w:spacing w:line="400" w:lineRule="exact"/>
              <w:rPr>
                <w:rFonts w:ascii="宋体" w:hAnsi="宋体"/>
                <w:kern w:val="2"/>
                <w:sz w:val="24"/>
                <w:szCs w:val="24"/>
                <w:highlight w:val="none"/>
              </w:rPr>
            </w:pPr>
            <w:r>
              <w:rPr>
                <w:rFonts w:hint="eastAsia" w:ascii="宋体" w:hAnsi="宋体"/>
                <w:kern w:val="2"/>
                <w:sz w:val="24"/>
                <w:szCs w:val="24"/>
                <w:highlight w:val="none"/>
              </w:rPr>
              <w:t>开标时间：同投标截止时间</w:t>
            </w:r>
          </w:p>
          <w:p w14:paraId="3873ECE8">
            <w:pPr>
              <w:spacing w:line="400" w:lineRule="exact"/>
              <w:rPr>
                <w:rFonts w:ascii="宋体" w:hAnsi="宋体"/>
                <w:kern w:val="2"/>
                <w:sz w:val="24"/>
                <w:szCs w:val="24"/>
                <w:highlight w:val="none"/>
              </w:rPr>
            </w:pPr>
            <w:r>
              <w:rPr>
                <w:rFonts w:hint="eastAsia" w:ascii="宋体" w:hAnsi="宋体"/>
                <w:kern w:val="2"/>
                <w:sz w:val="24"/>
                <w:szCs w:val="24"/>
                <w:highlight w:val="none"/>
              </w:rPr>
              <w:t>开标地点：同投标文件递交地点</w:t>
            </w:r>
          </w:p>
        </w:tc>
      </w:tr>
      <w:tr w14:paraId="11BAAC0D">
        <w:tblPrEx>
          <w:tblCellMar>
            <w:top w:w="0" w:type="dxa"/>
            <w:left w:w="0" w:type="dxa"/>
            <w:bottom w:w="0" w:type="dxa"/>
            <w:right w:w="0" w:type="dxa"/>
          </w:tblCellMar>
        </w:tblPrEx>
        <w:trPr>
          <w:trHeight w:val="1297"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7AA301D4">
            <w:pPr>
              <w:spacing w:line="400" w:lineRule="exact"/>
              <w:jc w:val="center"/>
              <w:rPr>
                <w:rFonts w:ascii="宋体" w:hAnsi="宋体"/>
                <w:kern w:val="2"/>
                <w:sz w:val="24"/>
                <w:szCs w:val="24"/>
                <w:highlight w:val="none"/>
              </w:rPr>
            </w:pPr>
            <w:r>
              <w:rPr>
                <w:rFonts w:hint="eastAsia" w:ascii="宋体" w:hAnsi="宋体"/>
                <w:kern w:val="2"/>
                <w:sz w:val="24"/>
                <w:szCs w:val="24"/>
                <w:highlight w:val="none"/>
              </w:rPr>
              <w:t>7.1.1</w:t>
            </w:r>
          </w:p>
        </w:tc>
        <w:tc>
          <w:tcPr>
            <w:tcW w:w="1866" w:type="dxa"/>
            <w:tcBorders>
              <w:top w:val="single" w:color="auto" w:sz="8" w:space="0"/>
              <w:left w:val="nil"/>
              <w:bottom w:val="single" w:color="auto" w:sz="8" w:space="0"/>
              <w:right w:val="single" w:color="auto" w:sz="8" w:space="0"/>
            </w:tcBorders>
            <w:noWrap w:val="0"/>
            <w:vAlign w:val="center"/>
          </w:tcPr>
          <w:p w14:paraId="5AE1EA5B">
            <w:pPr>
              <w:spacing w:line="400" w:lineRule="exact"/>
              <w:rPr>
                <w:rFonts w:hint="eastAsia" w:ascii="宋体" w:hAnsi="宋体"/>
                <w:kern w:val="2"/>
                <w:sz w:val="24"/>
                <w:szCs w:val="24"/>
                <w:highlight w:val="none"/>
              </w:rPr>
            </w:pPr>
            <w:r>
              <w:rPr>
                <w:rFonts w:hint="eastAsia" w:ascii="宋体" w:hAnsi="宋体"/>
                <w:kern w:val="2"/>
                <w:sz w:val="24"/>
                <w:szCs w:val="24"/>
                <w:highlight w:val="none"/>
              </w:rPr>
              <w:t>评标委员会的组成</w:t>
            </w:r>
          </w:p>
        </w:tc>
        <w:tc>
          <w:tcPr>
            <w:tcW w:w="6969" w:type="dxa"/>
            <w:tcBorders>
              <w:top w:val="single" w:color="auto" w:sz="8" w:space="0"/>
              <w:left w:val="nil"/>
              <w:bottom w:val="single" w:color="auto" w:sz="8" w:space="0"/>
              <w:right w:val="single" w:color="auto" w:sz="8" w:space="0"/>
            </w:tcBorders>
            <w:noWrap w:val="0"/>
            <w:vAlign w:val="center"/>
          </w:tcPr>
          <w:p w14:paraId="4AE81343">
            <w:pPr>
              <w:spacing w:line="400" w:lineRule="exact"/>
              <w:rPr>
                <w:rFonts w:ascii="宋体" w:hAnsi="宋体"/>
                <w:kern w:val="2"/>
                <w:sz w:val="24"/>
                <w:szCs w:val="24"/>
                <w:highlight w:val="none"/>
              </w:rPr>
            </w:pPr>
            <w:r>
              <w:rPr>
                <w:rFonts w:hint="eastAsia" w:ascii="宋体" w:hAnsi="宋体"/>
                <w:sz w:val="24"/>
                <w:szCs w:val="24"/>
                <w:highlight w:val="none"/>
              </w:rPr>
              <w:t>评标委员会由采购人代表和评审专家组成，成员人数</w:t>
            </w:r>
            <w:r>
              <w:rPr>
                <w:rFonts w:hint="eastAsia" w:ascii="宋体" w:hAnsi="宋体"/>
                <w:color w:val="auto"/>
                <w:sz w:val="24"/>
                <w:szCs w:val="24"/>
                <w:highlight w:val="none"/>
              </w:rPr>
              <w:t>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5</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人以上单数</w:t>
            </w:r>
            <w:r>
              <w:rPr>
                <w:rFonts w:hint="eastAsia" w:ascii="宋体" w:hAnsi="宋体"/>
                <w:color w:val="auto"/>
                <w:sz w:val="24"/>
                <w:szCs w:val="24"/>
                <w:highlight w:val="none"/>
                <w:lang w:eastAsia="zh-CN"/>
              </w:rPr>
              <w:t>。</w:t>
            </w:r>
          </w:p>
        </w:tc>
      </w:tr>
      <w:tr w14:paraId="5DE4B700">
        <w:tblPrEx>
          <w:tblCellMar>
            <w:top w:w="0" w:type="dxa"/>
            <w:left w:w="0" w:type="dxa"/>
            <w:bottom w:w="0" w:type="dxa"/>
            <w:right w:w="0" w:type="dxa"/>
          </w:tblCellMar>
        </w:tblPrEx>
        <w:trPr>
          <w:trHeight w:val="865"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018B7E24">
            <w:pPr>
              <w:spacing w:line="400" w:lineRule="exact"/>
              <w:jc w:val="center"/>
              <w:rPr>
                <w:rFonts w:ascii="宋体" w:hAnsi="宋体"/>
                <w:kern w:val="2"/>
                <w:sz w:val="24"/>
                <w:szCs w:val="24"/>
                <w:highlight w:val="none"/>
              </w:rPr>
            </w:pPr>
            <w:r>
              <w:rPr>
                <w:rFonts w:hint="eastAsia" w:ascii="宋体" w:hAnsi="宋体"/>
                <w:kern w:val="2"/>
                <w:sz w:val="24"/>
                <w:szCs w:val="24"/>
                <w:highlight w:val="none"/>
              </w:rPr>
              <w:t>7.3.2</w:t>
            </w:r>
          </w:p>
        </w:tc>
        <w:tc>
          <w:tcPr>
            <w:tcW w:w="1866" w:type="dxa"/>
            <w:tcBorders>
              <w:top w:val="single" w:color="auto" w:sz="8" w:space="0"/>
              <w:left w:val="nil"/>
              <w:bottom w:val="single" w:color="auto" w:sz="8" w:space="0"/>
              <w:right w:val="single" w:color="auto" w:sz="8" w:space="0"/>
            </w:tcBorders>
            <w:noWrap w:val="0"/>
            <w:vAlign w:val="center"/>
          </w:tcPr>
          <w:p w14:paraId="46920264">
            <w:pPr>
              <w:spacing w:line="400" w:lineRule="exact"/>
              <w:rPr>
                <w:rFonts w:ascii="宋体" w:hAnsi="宋体"/>
                <w:kern w:val="2"/>
                <w:sz w:val="24"/>
                <w:szCs w:val="24"/>
                <w:highlight w:val="none"/>
              </w:rPr>
            </w:pPr>
            <w:r>
              <w:rPr>
                <w:rFonts w:hint="eastAsia" w:ascii="宋体" w:hAnsi="宋体"/>
                <w:kern w:val="2"/>
                <w:sz w:val="24"/>
                <w:szCs w:val="24"/>
                <w:highlight w:val="none"/>
              </w:rPr>
              <w:t>评标委员会推荐中标候选人的人数</w:t>
            </w:r>
          </w:p>
        </w:tc>
        <w:tc>
          <w:tcPr>
            <w:tcW w:w="6969" w:type="dxa"/>
            <w:tcBorders>
              <w:top w:val="single" w:color="auto" w:sz="8" w:space="0"/>
              <w:left w:val="nil"/>
              <w:bottom w:val="single" w:color="auto" w:sz="8" w:space="0"/>
              <w:right w:val="single" w:color="auto" w:sz="8" w:space="0"/>
            </w:tcBorders>
            <w:noWrap w:val="0"/>
            <w:vAlign w:val="center"/>
          </w:tcPr>
          <w:p w14:paraId="23D26DA2">
            <w:pPr>
              <w:pStyle w:val="50"/>
              <w:spacing w:line="400" w:lineRule="exact"/>
              <w:jc w:val="both"/>
              <w:rPr>
                <w:rFonts w:hint="default" w:ascii="宋体" w:hAnsi="宋体" w:eastAsia="宋体"/>
                <w:kern w:val="2"/>
                <w:sz w:val="24"/>
                <w:szCs w:val="24"/>
                <w:highlight w:val="none"/>
                <w:lang w:val="en-US" w:eastAsia="zh-CN"/>
              </w:rPr>
            </w:pPr>
            <w:r>
              <w:rPr>
                <w:rFonts w:hint="eastAsia" w:ascii="宋体" w:hAnsi="宋体" w:cs="宋体"/>
                <w:sz w:val="24"/>
                <w:szCs w:val="24"/>
                <w:highlight w:val="none"/>
                <w:u w:val="none"/>
              </w:rPr>
              <w:t>3名</w:t>
            </w:r>
          </w:p>
        </w:tc>
      </w:tr>
      <w:tr w14:paraId="1EAA2360">
        <w:tblPrEx>
          <w:tblCellMar>
            <w:top w:w="0" w:type="dxa"/>
            <w:left w:w="0" w:type="dxa"/>
            <w:bottom w:w="0" w:type="dxa"/>
            <w:right w:w="0" w:type="dxa"/>
          </w:tblCellMar>
        </w:tblPrEx>
        <w:trPr>
          <w:trHeight w:val="827"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09A1CB3C">
            <w:pPr>
              <w:spacing w:line="400" w:lineRule="exact"/>
              <w:jc w:val="center"/>
              <w:rPr>
                <w:rFonts w:ascii="宋体" w:hAnsi="宋体"/>
                <w:kern w:val="2"/>
                <w:sz w:val="24"/>
                <w:szCs w:val="24"/>
                <w:highlight w:val="none"/>
              </w:rPr>
            </w:pPr>
            <w:r>
              <w:rPr>
                <w:rFonts w:hint="eastAsia" w:ascii="宋体" w:hAnsi="宋体"/>
                <w:kern w:val="2"/>
                <w:sz w:val="24"/>
                <w:szCs w:val="24"/>
                <w:highlight w:val="none"/>
              </w:rPr>
              <w:t>8.1</w:t>
            </w:r>
          </w:p>
        </w:tc>
        <w:tc>
          <w:tcPr>
            <w:tcW w:w="1866" w:type="dxa"/>
            <w:tcBorders>
              <w:top w:val="single" w:color="auto" w:sz="8" w:space="0"/>
              <w:left w:val="nil"/>
              <w:bottom w:val="single" w:color="auto" w:sz="8" w:space="0"/>
              <w:right w:val="single" w:color="auto" w:sz="8" w:space="0"/>
            </w:tcBorders>
            <w:noWrap w:val="0"/>
            <w:vAlign w:val="center"/>
          </w:tcPr>
          <w:p w14:paraId="72870074">
            <w:pPr>
              <w:spacing w:line="400" w:lineRule="exact"/>
              <w:rPr>
                <w:rFonts w:ascii="宋体" w:hAnsi="宋体"/>
                <w:color w:val="auto"/>
                <w:kern w:val="2"/>
                <w:sz w:val="24"/>
                <w:szCs w:val="24"/>
                <w:highlight w:val="none"/>
              </w:rPr>
            </w:pPr>
            <w:r>
              <w:rPr>
                <w:rFonts w:hint="eastAsia" w:ascii="宋体" w:hAnsi="宋体"/>
                <w:color w:val="auto"/>
                <w:kern w:val="2"/>
                <w:sz w:val="24"/>
                <w:szCs w:val="24"/>
                <w:highlight w:val="none"/>
              </w:rPr>
              <w:t>是否授权评标委员会确定中标人</w:t>
            </w:r>
          </w:p>
        </w:tc>
        <w:tc>
          <w:tcPr>
            <w:tcW w:w="6969" w:type="dxa"/>
            <w:tcBorders>
              <w:top w:val="single" w:color="auto" w:sz="8" w:space="0"/>
              <w:left w:val="nil"/>
              <w:bottom w:val="single" w:color="auto" w:sz="8" w:space="0"/>
              <w:right w:val="single" w:color="auto" w:sz="8" w:space="0"/>
            </w:tcBorders>
            <w:noWrap w:val="0"/>
            <w:vAlign w:val="center"/>
          </w:tcPr>
          <w:p w14:paraId="001840AE">
            <w:pPr>
              <w:spacing w:line="400" w:lineRule="exact"/>
              <w:jc w:val="both"/>
              <w:rPr>
                <w:rFonts w:ascii="宋体" w:hAnsi="宋体"/>
                <w:color w:val="auto"/>
                <w:kern w:val="2"/>
                <w:sz w:val="24"/>
                <w:szCs w:val="24"/>
                <w:highlight w:val="none"/>
              </w:rPr>
            </w:pPr>
            <w:r>
              <w:rPr>
                <w:rFonts w:hint="eastAsia" w:ascii="宋体" w:hAnsi="宋体"/>
                <w:color w:val="auto"/>
                <w:kern w:val="2"/>
                <w:sz w:val="24"/>
                <w:szCs w:val="24"/>
                <w:highlight w:val="none"/>
              </w:rPr>
              <w:sym w:font="Wingdings 2" w:char="00A3"/>
            </w:r>
            <w:r>
              <w:rPr>
                <w:rFonts w:hint="eastAsia" w:ascii="宋体" w:hAnsi="宋体"/>
                <w:color w:val="auto"/>
                <w:kern w:val="2"/>
                <w:sz w:val="24"/>
                <w:szCs w:val="24"/>
                <w:highlight w:val="none"/>
              </w:rPr>
              <w:t>是</w:t>
            </w:r>
          </w:p>
          <w:p w14:paraId="71D8A60E">
            <w:pPr>
              <w:spacing w:line="400" w:lineRule="exact"/>
              <w:jc w:val="both"/>
              <w:rPr>
                <w:rFonts w:ascii="宋体" w:hAnsi="宋体"/>
                <w:color w:val="auto"/>
                <w:kern w:val="2"/>
                <w:sz w:val="24"/>
                <w:szCs w:val="24"/>
                <w:highlight w:val="none"/>
              </w:rPr>
            </w:pPr>
            <w:r>
              <w:rPr>
                <w:rFonts w:hint="eastAsia" w:ascii="宋体" w:hAnsi="宋体"/>
                <w:color w:val="auto"/>
                <w:kern w:val="2"/>
                <w:sz w:val="24"/>
                <w:szCs w:val="24"/>
                <w:highlight w:val="none"/>
                <w:lang w:eastAsia="zh-CN"/>
              </w:rPr>
              <w:t>☑</w:t>
            </w:r>
            <w:r>
              <w:rPr>
                <w:rFonts w:hint="eastAsia" w:ascii="宋体" w:hAnsi="宋体"/>
                <w:color w:val="auto"/>
                <w:kern w:val="2"/>
                <w:sz w:val="24"/>
                <w:szCs w:val="24"/>
                <w:highlight w:val="none"/>
              </w:rPr>
              <w:t>否</w:t>
            </w:r>
          </w:p>
        </w:tc>
      </w:tr>
      <w:tr w14:paraId="68DAF7B8">
        <w:tblPrEx>
          <w:tblCellMar>
            <w:top w:w="0" w:type="dxa"/>
            <w:left w:w="0" w:type="dxa"/>
            <w:bottom w:w="0" w:type="dxa"/>
            <w:right w:w="0" w:type="dxa"/>
          </w:tblCellMar>
        </w:tblPrEx>
        <w:trPr>
          <w:trHeight w:val="846"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5718EA73">
            <w:pPr>
              <w:spacing w:line="400" w:lineRule="exact"/>
              <w:jc w:val="center"/>
              <w:rPr>
                <w:rFonts w:ascii="宋体" w:hAnsi="宋体"/>
                <w:kern w:val="2"/>
                <w:sz w:val="24"/>
                <w:szCs w:val="24"/>
                <w:highlight w:val="none"/>
              </w:rPr>
            </w:pPr>
            <w:r>
              <w:rPr>
                <w:rFonts w:hint="eastAsia" w:ascii="宋体" w:hAnsi="宋体"/>
                <w:kern w:val="2"/>
                <w:sz w:val="24"/>
                <w:szCs w:val="24"/>
                <w:highlight w:val="none"/>
              </w:rPr>
              <w:t>8.2</w:t>
            </w:r>
          </w:p>
        </w:tc>
        <w:tc>
          <w:tcPr>
            <w:tcW w:w="1866" w:type="dxa"/>
            <w:tcBorders>
              <w:top w:val="single" w:color="auto" w:sz="8" w:space="0"/>
              <w:left w:val="nil"/>
              <w:bottom w:val="single" w:color="auto" w:sz="8" w:space="0"/>
              <w:right w:val="single" w:color="auto" w:sz="8" w:space="0"/>
            </w:tcBorders>
            <w:noWrap w:val="0"/>
            <w:vAlign w:val="center"/>
          </w:tcPr>
          <w:p w14:paraId="4C17585C">
            <w:pPr>
              <w:spacing w:line="400" w:lineRule="exact"/>
              <w:rPr>
                <w:rFonts w:ascii="宋体" w:hAnsi="宋体"/>
                <w:color w:val="auto"/>
                <w:kern w:val="2"/>
                <w:sz w:val="24"/>
                <w:szCs w:val="24"/>
                <w:highlight w:val="none"/>
              </w:rPr>
            </w:pPr>
            <w:r>
              <w:rPr>
                <w:rFonts w:hint="eastAsia" w:ascii="宋体" w:hAnsi="宋体"/>
                <w:color w:val="auto"/>
                <w:kern w:val="2"/>
                <w:sz w:val="24"/>
                <w:szCs w:val="24"/>
                <w:highlight w:val="none"/>
              </w:rPr>
              <w:t>中标公告媒介及期限</w:t>
            </w:r>
          </w:p>
        </w:tc>
        <w:tc>
          <w:tcPr>
            <w:tcW w:w="6969" w:type="dxa"/>
            <w:tcBorders>
              <w:top w:val="single" w:color="auto" w:sz="8" w:space="0"/>
              <w:left w:val="nil"/>
              <w:bottom w:val="single" w:color="auto" w:sz="8" w:space="0"/>
              <w:right w:val="single" w:color="auto" w:sz="8" w:space="0"/>
            </w:tcBorders>
            <w:noWrap w:val="0"/>
            <w:vAlign w:val="center"/>
          </w:tcPr>
          <w:p w14:paraId="4F6E00D0">
            <w:pPr>
              <w:spacing w:line="400" w:lineRule="exact"/>
              <w:rPr>
                <w:rFonts w:hint="eastAsia" w:ascii="宋体" w:hAnsi="宋体"/>
                <w:color w:val="auto"/>
                <w:kern w:val="2"/>
                <w:sz w:val="24"/>
                <w:szCs w:val="24"/>
                <w:highlight w:val="none"/>
              </w:rPr>
            </w:pPr>
            <w:r>
              <w:rPr>
                <w:rFonts w:hint="eastAsia" w:ascii="宋体" w:hAnsi="宋体"/>
                <w:color w:val="auto"/>
                <w:kern w:val="2"/>
                <w:sz w:val="24"/>
                <w:szCs w:val="24"/>
                <w:highlight w:val="none"/>
              </w:rPr>
              <w:t>公告媒介：</w:t>
            </w:r>
            <w:r>
              <w:rPr>
                <w:rFonts w:hint="eastAsia" w:ascii="宋体" w:hAnsi="宋体"/>
                <w:color w:val="auto"/>
                <w:kern w:val="2"/>
                <w:sz w:val="24"/>
                <w:szCs w:val="24"/>
                <w:highlight w:val="none"/>
                <w:u w:val="none"/>
                <w:lang w:eastAsia="zh-CN"/>
              </w:rPr>
              <w:t>同发布招标公告的媒介</w:t>
            </w:r>
          </w:p>
          <w:p w14:paraId="35037A5F">
            <w:pPr>
              <w:spacing w:line="400" w:lineRule="exact"/>
              <w:rPr>
                <w:rFonts w:ascii="宋体" w:hAnsi="宋体"/>
                <w:color w:val="auto"/>
                <w:kern w:val="2"/>
                <w:sz w:val="24"/>
                <w:szCs w:val="24"/>
                <w:highlight w:val="none"/>
                <w:u w:val="single"/>
              </w:rPr>
            </w:pPr>
            <w:r>
              <w:rPr>
                <w:rFonts w:hint="eastAsia" w:ascii="宋体" w:hAnsi="宋体"/>
                <w:color w:val="auto"/>
                <w:kern w:val="2"/>
                <w:sz w:val="24"/>
                <w:szCs w:val="24"/>
                <w:highlight w:val="none"/>
              </w:rPr>
              <w:t>公告期限：1 个工作日</w:t>
            </w:r>
          </w:p>
        </w:tc>
      </w:tr>
      <w:tr w14:paraId="0C67C219">
        <w:tblPrEx>
          <w:tblCellMar>
            <w:top w:w="0" w:type="dxa"/>
            <w:left w:w="0" w:type="dxa"/>
            <w:bottom w:w="0" w:type="dxa"/>
            <w:right w:w="0" w:type="dxa"/>
          </w:tblCellMar>
        </w:tblPrEx>
        <w:trPr>
          <w:trHeight w:val="1110"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52500930">
            <w:pPr>
              <w:spacing w:line="400" w:lineRule="exact"/>
              <w:jc w:val="center"/>
              <w:rPr>
                <w:rFonts w:ascii="宋体" w:hAnsi="宋体"/>
                <w:kern w:val="2"/>
                <w:sz w:val="24"/>
                <w:szCs w:val="24"/>
                <w:highlight w:val="none"/>
              </w:rPr>
            </w:pPr>
            <w:r>
              <w:rPr>
                <w:rFonts w:hint="eastAsia" w:ascii="宋体" w:hAnsi="宋体"/>
                <w:kern w:val="2"/>
                <w:sz w:val="24"/>
                <w:szCs w:val="24"/>
                <w:highlight w:val="none"/>
              </w:rPr>
              <w:t>8.4.1</w:t>
            </w:r>
          </w:p>
        </w:tc>
        <w:tc>
          <w:tcPr>
            <w:tcW w:w="1866" w:type="dxa"/>
            <w:tcBorders>
              <w:top w:val="single" w:color="auto" w:sz="8" w:space="0"/>
              <w:left w:val="nil"/>
              <w:bottom w:val="single" w:color="auto" w:sz="8" w:space="0"/>
              <w:right w:val="single" w:color="auto" w:sz="8" w:space="0"/>
            </w:tcBorders>
            <w:noWrap w:val="0"/>
            <w:vAlign w:val="center"/>
          </w:tcPr>
          <w:p w14:paraId="253B0308">
            <w:pPr>
              <w:spacing w:line="400" w:lineRule="exact"/>
              <w:rPr>
                <w:rFonts w:ascii="宋体" w:hAnsi="宋体"/>
                <w:color w:val="auto"/>
                <w:kern w:val="2"/>
                <w:sz w:val="24"/>
                <w:szCs w:val="24"/>
                <w:highlight w:val="none"/>
              </w:rPr>
            </w:pPr>
            <w:r>
              <w:rPr>
                <w:rFonts w:hint="eastAsia" w:ascii="宋体" w:hAnsi="宋体" w:eastAsia="宋体" w:cs="宋体"/>
                <w:color w:val="auto"/>
                <w:kern w:val="2"/>
                <w:sz w:val="24"/>
                <w:szCs w:val="24"/>
                <w:highlight w:val="none"/>
              </w:rPr>
              <w:t>履约保证金</w:t>
            </w:r>
          </w:p>
        </w:tc>
        <w:tc>
          <w:tcPr>
            <w:tcW w:w="6969" w:type="dxa"/>
            <w:tcBorders>
              <w:top w:val="single" w:color="auto" w:sz="8" w:space="0"/>
              <w:left w:val="nil"/>
              <w:bottom w:val="single" w:color="auto" w:sz="8" w:space="0"/>
              <w:right w:val="single" w:color="auto" w:sz="8" w:space="0"/>
            </w:tcBorders>
            <w:noWrap w:val="0"/>
            <w:vAlign w:val="center"/>
          </w:tcPr>
          <w:p w14:paraId="7E056958">
            <w:pPr>
              <w:spacing w:line="400" w:lineRule="exac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是否要求中标人提交履约保证金：</w:t>
            </w:r>
          </w:p>
          <w:p w14:paraId="1254875E">
            <w:pPr>
              <w:spacing w:line="400" w:lineRule="exact"/>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□要求，履约保证金的形式：</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none"/>
                <w:lang w:eastAsia="zh-CN"/>
              </w:rPr>
              <w:t>等</w:t>
            </w:r>
            <w:r>
              <w:rPr>
                <w:rFonts w:hint="eastAsia" w:ascii="宋体" w:hAnsi="宋体" w:eastAsia="宋体" w:cs="宋体"/>
                <w:color w:val="auto"/>
                <w:kern w:val="2"/>
                <w:sz w:val="24"/>
                <w:szCs w:val="24"/>
                <w:highlight w:val="none"/>
                <w:u w:val="none"/>
              </w:rPr>
              <w:t>非</w:t>
            </w:r>
            <w:r>
              <w:rPr>
                <w:rFonts w:hint="eastAsia" w:ascii="宋体" w:hAnsi="宋体" w:eastAsia="宋体" w:cs="宋体"/>
                <w:color w:val="auto"/>
                <w:kern w:val="2"/>
                <w:sz w:val="24"/>
                <w:szCs w:val="24"/>
                <w:highlight w:val="none"/>
              </w:rPr>
              <w:t>现金形式提交</w:t>
            </w:r>
            <w:r>
              <w:rPr>
                <w:rFonts w:hint="eastAsia" w:ascii="宋体" w:hAnsi="宋体" w:eastAsia="宋体" w:cs="宋体"/>
                <w:color w:val="auto"/>
                <w:kern w:val="2"/>
                <w:sz w:val="24"/>
                <w:szCs w:val="24"/>
                <w:highlight w:val="none"/>
                <w:lang w:eastAsia="zh-CN"/>
              </w:rPr>
              <w:t>；</w:t>
            </w:r>
          </w:p>
          <w:p w14:paraId="3905C11A">
            <w:pPr>
              <w:spacing w:line="400" w:lineRule="exact"/>
              <w:ind w:firstLine="960"/>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履约保证金的金额：</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single"/>
                <w:lang w:val="en-US" w:eastAsia="zh-CN"/>
              </w:rPr>
              <w:t xml:space="preserve">     </w:t>
            </w:r>
          </w:p>
          <w:p w14:paraId="3709FB49">
            <w:pPr>
              <w:spacing w:line="400" w:lineRule="exact"/>
              <w:rPr>
                <w:rFonts w:ascii="宋体" w:hAnsi="宋体"/>
                <w:color w:val="auto"/>
                <w:kern w:val="2"/>
                <w:sz w:val="24"/>
                <w:szCs w:val="24"/>
                <w:highlight w:val="none"/>
              </w:rPr>
            </w:pP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不要求</w:t>
            </w:r>
          </w:p>
        </w:tc>
      </w:tr>
      <w:tr w14:paraId="5E67B2BD">
        <w:tblPrEx>
          <w:tblCellMar>
            <w:top w:w="0" w:type="dxa"/>
            <w:left w:w="0" w:type="dxa"/>
            <w:bottom w:w="0" w:type="dxa"/>
            <w:right w:w="0" w:type="dxa"/>
          </w:tblCellMar>
        </w:tblPrEx>
        <w:trPr>
          <w:trHeight w:val="634"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4390F4D0">
            <w:pPr>
              <w:spacing w:line="400" w:lineRule="exact"/>
              <w:jc w:val="center"/>
              <w:rPr>
                <w:rFonts w:hint="eastAsia" w:ascii="宋体" w:hAnsi="宋体"/>
                <w:kern w:val="2"/>
                <w:sz w:val="24"/>
                <w:szCs w:val="24"/>
                <w:highlight w:val="none"/>
              </w:rPr>
            </w:pPr>
            <w:r>
              <w:rPr>
                <w:rFonts w:hint="eastAsia" w:ascii="宋体" w:hAnsi="宋体"/>
                <w:kern w:val="2"/>
                <w:sz w:val="24"/>
                <w:szCs w:val="24"/>
                <w:highlight w:val="none"/>
              </w:rPr>
              <w:t>12</w:t>
            </w:r>
          </w:p>
        </w:tc>
        <w:tc>
          <w:tcPr>
            <w:tcW w:w="8835" w:type="dxa"/>
            <w:gridSpan w:val="2"/>
            <w:tcBorders>
              <w:top w:val="single" w:color="auto" w:sz="8" w:space="0"/>
              <w:left w:val="nil"/>
              <w:bottom w:val="single" w:color="auto" w:sz="8" w:space="0"/>
              <w:right w:val="single" w:color="auto" w:sz="8" w:space="0"/>
            </w:tcBorders>
            <w:noWrap w:val="0"/>
            <w:vAlign w:val="center"/>
          </w:tcPr>
          <w:p w14:paraId="4AB2BC53">
            <w:pPr>
              <w:spacing w:line="400" w:lineRule="exact"/>
              <w:rPr>
                <w:rFonts w:ascii="宋体" w:hAnsi="宋体"/>
                <w:color w:val="auto"/>
                <w:kern w:val="2"/>
                <w:sz w:val="24"/>
                <w:szCs w:val="24"/>
                <w:highlight w:val="none"/>
              </w:rPr>
            </w:pPr>
            <w:r>
              <w:rPr>
                <w:rFonts w:hint="eastAsia" w:ascii="宋体" w:hAnsi="宋体"/>
                <w:b/>
                <w:bCs/>
                <w:color w:val="auto"/>
                <w:kern w:val="2"/>
                <w:sz w:val="24"/>
                <w:szCs w:val="24"/>
                <w:highlight w:val="none"/>
              </w:rPr>
              <w:t>需要补充的其他内容</w:t>
            </w:r>
          </w:p>
        </w:tc>
      </w:tr>
      <w:tr w14:paraId="5AD47881">
        <w:tblPrEx>
          <w:tblCellMar>
            <w:top w:w="0" w:type="dxa"/>
            <w:left w:w="0" w:type="dxa"/>
            <w:bottom w:w="0" w:type="dxa"/>
            <w:right w:w="0" w:type="dxa"/>
          </w:tblCellMar>
        </w:tblPrEx>
        <w:trPr>
          <w:trHeight w:val="941"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0DD5A89E">
            <w:pPr>
              <w:spacing w:line="400" w:lineRule="exact"/>
              <w:jc w:val="center"/>
              <w:rPr>
                <w:rFonts w:ascii="宋体" w:hAnsi="宋体"/>
                <w:kern w:val="2"/>
                <w:sz w:val="24"/>
                <w:szCs w:val="24"/>
                <w:highlight w:val="none"/>
              </w:rPr>
            </w:pPr>
            <w:r>
              <w:rPr>
                <w:rFonts w:hint="eastAsia" w:ascii="宋体" w:hAnsi="宋体"/>
                <w:kern w:val="2"/>
                <w:sz w:val="24"/>
                <w:szCs w:val="24"/>
                <w:highlight w:val="none"/>
              </w:rPr>
              <w:t>12.1</w:t>
            </w:r>
          </w:p>
        </w:tc>
        <w:tc>
          <w:tcPr>
            <w:tcW w:w="1866" w:type="dxa"/>
            <w:tcBorders>
              <w:top w:val="single" w:color="auto" w:sz="8" w:space="0"/>
              <w:left w:val="nil"/>
              <w:bottom w:val="single" w:color="auto" w:sz="8" w:space="0"/>
              <w:right w:val="single" w:color="auto" w:sz="8" w:space="0"/>
            </w:tcBorders>
            <w:noWrap w:val="0"/>
            <w:vAlign w:val="center"/>
          </w:tcPr>
          <w:p w14:paraId="60886C43">
            <w:pPr>
              <w:spacing w:line="400" w:lineRule="exact"/>
              <w:rPr>
                <w:rFonts w:ascii="宋体" w:hAnsi="宋体"/>
                <w:color w:val="auto"/>
                <w:kern w:val="2"/>
                <w:sz w:val="24"/>
                <w:szCs w:val="24"/>
                <w:highlight w:val="none"/>
              </w:rPr>
            </w:pPr>
            <w:r>
              <w:rPr>
                <w:rFonts w:hint="eastAsia" w:ascii="宋体" w:hAnsi="宋体"/>
                <w:color w:val="auto"/>
                <w:kern w:val="2"/>
                <w:sz w:val="24"/>
                <w:szCs w:val="24"/>
                <w:highlight w:val="none"/>
              </w:rPr>
              <w:t>评标方法</w:t>
            </w:r>
          </w:p>
        </w:tc>
        <w:tc>
          <w:tcPr>
            <w:tcW w:w="6969" w:type="dxa"/>
            <w:tcBorders>
              <w:top w:val="single" w:color="auto" w:sz="8" w:space="0"/>
              <w:left w:val="nil"/>
              <w:bottom w:val="single" w:color="auto" w:sz="8" w:space="0"/>
              <w:right w:val="single" w:color="auto" w:sz="8" w:space="0"/>
            </w:tcBorders>
            <w:noWrap w:val="0"/>
            <w:vAlign w:val="center"/>
          </w:tcPr>
          <w:p w14:paraId="30E7249C">
            <w:pPr>
              <w:spacing w:line="400" w:lineRule="exact"/>
              <w:jc w:val="both"/>
              <w:rPr>
                <w:rFonts w:hint="eastAsia" w:ascii="宋体" w:hAnsi="宋体"/>
                <w:color w:val="auto"/>
                <w:kern w:val="2"/>
                <w:sz w:val="24"/>
                <w:szCs w:val="24"/>
                <w:highlight w:val="none"/>
              </w:rPr>
            </w:pPr>
            <w:r>
              <w:rPr>
                <w:rFonts w:hint="eastAsia" w:ascii="宋体" w:hAnsi="宋体"/>
                <w:color w:val="auto"/>
                <w:kern w:val="2"/>
                <w:sz w:val="24"/>
                <w:szCs w:val="24"/>
                <w:highlight w:val="none"/>
                <w:lang w:eastAsia="zh-CN"/>
              </w:rPr>
              <w:t>☑</w:t>
            </w:r>
            <w:r>
              <w:rPr>
                <w:rFonts w:hint="eastAsia" w:ascii="宋体" w:hAnsi="宋体"/>
                <w:color w:val="auto"/>
                <w:kern w:val="2"/>
                <w:sz w:val="24"/>
                <w:szCs w:val="24"/>
                <w:highlight w:val="none"/>
              </w:rPr>
              <w:t>综合评分法</w:t>
            </w:r>
          </w:p>
          <w:p w14:paraId="5582FBB1">
            <w:pPr>
              <w:spacing w:line="400" w:lineRule="exact"/>
              <w:jc w:val="both"/>
              <w:rPr>
                <w:rFonts w:ascii="宋体" w:hAnsi="宋体"/>
                <w:color w:val="auto"/>
                <w:kern w:val="2"/>
                <w:sz w:val="24"/>
                <w:szCs w:val="24"/>
                <w:highlight w:val="none"/>
              </w:rPr>
            </w:pPr>
            <w:r>
              <w:rPr>
                <w:rFonts w:hint="eastAsia" w:ascii="宋体" w:hAnsi="宋体"/>
                <w:color w:val="auto"/>
                <w:kern w:val="2"/>
                <w:sz w:val="24"/>
                <w:szCs w:val="24"/>
                <w:highlight w:val="none"/>
              </w:rPr>
              <w:t>□最低评标价法</w:t>
            </w:r>
          </w:p>
        </w:tc>
      </w:tr>
      <w:tr w14:paraId="7918185E">
        <w:tblPrEx>
          <w:tblCellMar>
            <w:top w:w="0" w:type="dxa"/>
            <w:left w:w="0" w:type="dxa"/>
            <w:bottom w:w="0" w:type="dxa"/>
            <w:right w:w="0" w:type="dxa"/>
          </w:tblCellMar>
        </w:tblPrEx>
        <w:trPr>
          <w:trHeight w:val="1823"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2C285509">
            <w:pPr>
              <w:spacing w:line="420" w:lineRule="exact"/>
              <w:jc w:val="center"/>
              <w:rPr>
                <w:rFonts w:hint="eastAsia" w:ascii="宋体" w:hAnsi="宋体"/>
                <w:kern w:val="2"/>
                <w:sz w:val="24"/>
                <w:szCs w:val="24"/>
                <w:highlight w:val="none"/>
              </w:rPr>
            </w:pPr>
            <w:r>
              <w:rPr>
                <w:rFonts w:hint="eastAsia" w:ascii="宋体" w:hAnsi="宋体"/>
                <w:kern w:val="2"/>
                <w:sz w:val="24"/>
                <w:szCs w:val="24"/>
                <w:highlight w:val="none"/>
              </w:rPr>
              <w:t>12.2</w:t>
            </w:r>
          </w:p>
        </w:tc>
        <w:tc>
          <w:tcPr>
            <w:tcW w:w="1866" w:type="dxa"/>
            <w:tcBorders>
              <w:top w:val="single" w:color="auto" w:sz="8" w:space="0"/>
              <w:left w:val="nil"/>
              <w:bottom w:val="single" w:color="auto" w:sz="8" w:space="0"/>
              <w:right w:val="single" w:color="auto" w:sz="8" w:space="0"/>
            </w:tcBorders>
            <w:noWrap w:val="0"/>
            <w:vAlign w:val="center"/>
          </w:tcPr>
          <w:p w14:paraId="373DE447">
            <w:pPr>
              <w:spacing w:line="420" w:lineRule="exact"/>
              <w:rPr>
                <w:rFonts w:hint="eastAsia" w:ascii="宋体" w:hAnsi="宋体"/>
                <w:color w:val="auto"/>
                <w:kern w:val="2"/>
                <w:sz w:val="24"/>
                <w:szCs w:val="24"/>
                <w:highlight w:val="none"/>
              </w:rPr>
            </w:pPr>
            <w:r>
              <w:rPr>
                <w:rFonts w:hint="eastAsia" w:ascii="宋体" w:hAnsi="宋体"/>
                <w:color w:val="auto"/>
                <w:kern w:val="2"/>
                <w:sz w:val="24"/>
                <w:szCs w:val="24"/>
                <w:highlight w:val="none"/>
              </w:rPr>
              <w:t>追加合同金额</w:t>
            </w:r>
          </w:p>
        </w:tc>
        <w:tc>
          <w:tcPr>
            <w:tcW w:w="6969" w:type="dxa"/>
            <w:tcBorders>
              <w:top w:val="single" w:color="auto" w:sz="8" w:space="0"/>
              <w:left w:val="nil"/>
              <w:bottom w:val="single" w:color="auto" w:sz="8" w:space="0"/>
              <w:right w:val="single" w:color="auto" w:sz="8" w:space="0"/>
            </w:tcBorders>
            <w:noWrap w:val="0"/>
            <w:vAlign w:val="center"/>
          </w:tcPr>
          <w:p w14:paraId="155A841D">
            <w:pPr>
              <w:spacing w:line="420" w:lineRule="exact"/>
              <w:rPr>
                <w:rFonts w:hint="eastAsia" w:ascii="宋体" w:hAnsi="宋体"/>
                <w:color w:val="auto"/>
                <w:kern w:val="2"/>
                <w:sz w:val="24"/>
                <w:szCs w:val="24"/>
                <w:highlight w:val="none"/>
              </w:rPr>
            </w:pPr>
            <w:r>
              <w:rPr>
                <w:rFonts w:hint="eastAsia" w:ascii="宋体" w:hAnsi="宋体"/>
                <w:color w:val="auto"/>
                <w:sz w:val="24"/>
                <w:szCs w:val="24"/>
                <w:highlight w:val="none"/>
              </w:rPr>
              <w:t>政府采购合同履行中，采购人需追加与合同标的相同的货物的，</w:t>
            </w:r>
            <w:r>
              <w:rPr>
                <w:rFonts w:hint="eastAsia" w:ascii="宋体" w:hAnsi="宋体"/>
                <w:color w:val="auto"/>
                <w:sz w:val="24"/>
                <w:highlight w:val="none"/>
              </w:rPr>
              <w:t>在不改变合同其他条款的前提下，可以与中标投标人签订补充合同，但所有补充合同的采购金额变更不得超过原合同采购金额的10%，其中金额增加需办理合同追加手续。</w:t>
            </w:r>
          </w:p>
        </w:tc>
      </w:tr>
      <w:tr w14:paraId="629136F8">
        <w:tblPrEx>
          <w:tblCellMar>
            <w:top w:w="0" w:type="dxa"/>
            <w:left w:w="0" w:type="dxa"/>
            <w:bottom w:w="0" w:type="dxa"/>
            <w:right w:w="0" w:type="dxa"/>
          </w:tblCellMar>
        </w:tblPrEx>
        <w:trPr>
          <w:trHeight w:val="790" w:hRule="atLeast"/>
          <w:jc w:val="center"/>
        </w:trPr>
        <w:tc>
          <w:tcPr>
            <w:tcW w:w="1047" w:type="dxa"/>
            <w:tcBorders>
              <w:top w:val="single" w:color="auto" w:sz="8" w:space="0"/>
              <w:left w:val="single" w:color="auto" w:sz="8" w:space="0"/>
              <w:bottom w:val="single" w:color="auto" w:sz="8" w:space="0"/>
              <w:right w:val="single" w:color="auto" w:sz="8" w:space="0"/>
            </w:tcBorders>
            <w:noWrap w:val="0"/>
            <w:vAlign w:val="center"/>
          </w:tcPr>
          <w:p w14:paraId="3DB9337F">
            <w:pPr>
              <w:pageBreakBefore w:val="0"/>
              <w:kinsoku/>
              <w:wordWrap/>
              <w:overflowPunct/>
              <w:topLinePunct w:val="0"/>
              <w:autoSpaceDE/>
              <w:autoSpaceDN/>
              <w:bidi w:val="0"/>
              <w:adjustRightInd/>
              <w:snapToGrid/>
              <w:spacing w:line="360" w:lineRule="auto"/>
              <w:jc w:val="center"/>
              <w:textAlignment w:val="auto"/>
              <w:rPr>
                <w:rFonts w:hint="eastAsia" w:ascii="宋体" w:hAnsi="宋体"/>
                <w:kern w:val="2"/>
                <w:sz w:val="24"/>
                <w:szCs w:val="24"/>
                <w:highlight w:val="none"/>
              </w:rPr>
            </w:pPr>
            <w:r>
              <w:rPr>
                <w:rFonts w:hint="eastAsia" w:ascii="宋体" w:hAnsi="宋体"/>
                <w:kern w:val="2"/>
                <w:sz w:val="24"/>
                <w:szCs w:val="24"/>
                <w:highlight w:val="none"/>
              </w:rPr>
              <w:t>12.3</w:t>
            </w:r>
          </w:p>
        </w:tc>
        <w:tc>
          <w:tcPr>
            <w:tcW w:w="1866" w:type="dxa"/>
            <w:tcBorders>
              <w:top w:val="single" w:color="auto" w:sz="8" w:space="0"/>
              <w:left w:val="nil"/>
              <w:bottom w:val="single" w:color="auto" w:sz="8" w:space="0"/>
              <w:right w:val="single" w:color="auto" w:sz="8" w:space="0"/>
            </w:tcBorders>
            <w:noWrap w:val="0"/>
            <w:vAlign w:val="center"/>
          </w:tcPr>
          <w:p w14:paraId="36305B08">
            <w:pPr>
              <w:pageBreakBefore w:val="0"/>
              <w:kinsoku/>
              <w:wordWrap/>
              <w:overflowPunct/>
              <w:topLinePunct w:val="0"/>
              <w:autoSpaceDE/>
              <w:autoSpaceDN/>
              <w:bidi w:val="0"/>
              <w:adjustRightInd/>
              <w:snapToGrid/>
              <w:spacing w:line="360" w:lineRule="auto"/>
              <w:textAlignment w:val="auto"/>
              <w:rPr>
                <w:rFonts w:hint="eastAsia" w:ascii="宋体" w:hAnsi="宋体" w:cs="宋体"/>
                <w:kern w:val="2"/>
                <w:sz w:val="24"/>
                <w:szCs w:val="24"/>
                <w:highlight w:val="none"/>
              </w:rPr>
            </w:pPr>
            <w:r>
              <w:rPr>
                <w:rFonts w:hint="eastAsia" w:ascii="宋体" w:hAnsi="宋体" w:cs="宋体"/>
                <w:kern w:val="2"/>
                <w:sz w:val="24"/>
                <w:szCs w:val="24"/>
                <w:highlight w:val="none"/>
              </w:rPr>
              <w:t>信用查询具体要求</w:t>
            </w:r>
          </w:p>
        </w:tc>
        <w:tc>
          <w:tcPr>
            <w:tcW w:w="6969" w:type="dxa"/>
            <w:tcBorders>
              <w:top w:val="single" w:color="auto" w:sz="8" w:space="0"/>
              <w:left w:val="nil"/>
              <w:bottom w:val="single" w:color="auto" w:sz="8" w:space="0"/>
              <w:right w:val="single" w:color="auto" w:sz="8" w:space="0"/>
            </w:tcBorders>
            <w:noWrap w:val="0"/>
            <w:vAlign w:val="center"/>
          </w:tcPr>
          <w:p w14:paraId="36C3B7D1">
            <w:pPr>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szCs w:val="24"/>
                <w:highlight w:val="none"/>
              </w:rPr>
            </w:pPr>
            <w:r>
              <w:rPr>
                <w:rFonts w:hint="eastAsia" w:ascii="宋体" w:hAnsi="宋体" w:cs="宋体"/>
                <w:sz w:val="24"/>
                <w:szCs w:val="24"/>
                <w:highlight w:val="none"/>
              </w:rPr>
              <w:t>本项目将执行在政府采购活动中查询及使用信用记录的规定，具体要求为：</w:t>
            </w:r>
          </w:p>
          <w:p w14:paraId="49D320AB">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eastAsia="zh-CN"/>
              </w:rPr>
            </w:pPr>
            <w:r>
              <w:rPr>
                <w:rFonts w:hint="eastAsia" w:ascii="宋体" w:hAnsi="宋体" w:cs="宋体"/>
                <w:sz w:val="24"/>
                <w:szCs w:val="24"/>
                <w:highlight w:val="none"/>
              </w:rPr>
              <w:t>（1）</w:t>
            </w:r>
            <w:r>
              <w:rPr>
                <w:rFonts w:hint="eastAsia" w:ascii="宋体" w:hAnsi="宋体"/>
                <w:sz w:val="24"/>
                <w:szCs w:val="24"/>
                <w:highlight w:val="none"/>
              </w:rPr>
              <w:t>投标人应在“信用中国”网站(www.creditchina.gov.cn)未被列入失信被执行人记录、</w:t>
            </w:r>
            <w:r>
              <w:rPr>
                <w:rFonts w:hint="eastAsia" w:ascii="宋体" w:hAnsi="宋体"/>
                <w:sz w:val="24"/>
                <w:szCs w:val="24"/>
                <w:highlight w:val="none"/>
                <w:lang w:val="en-US" w:eastAsia="zh-CN"/>
              </w:rPr>
              <w:t>重大税收违法失信主体</w:t>
            </w:r>
            <w:r>
              <w:rPr>
                <w:rFonts w:hint="eastAsia" w:ascii="宋体" w:hAnsi="宋体"/>
                <w:sz w:val="24"/>
                <w:szCs w:val="24"/>
                <w:highlight w:val="none"/>
              </w:rPr>
              <w:t>且在中国政府采购网(www.ccgp.gov.cn)没有政府采购严重违法失信行为记录(被禁止在一定期限内参加政府采购活动但期限届满的除外)</w:t>
            </w:r>
            <w:r>
              <w:rPr>
                <w:rFonts w:hint="eastAsia" w:ascii="宋体" w:hAnsi="宋体" w:cs="宋体"/>
                <w:sz w:val="24"/>
                <w:szCs w:val="24"/>
                <w:highlight w:val="none"/>
                <w:lang w:eastAsia="zh-CN"/>
              </w:rPr>
              <w:t>；</w:t>
            </w:r>
          </w:p>
          <w:p w14:paraId="0480B94D">
            <w:pPr>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szCs w:val="24"/>
                <w:highlight w:val="none"/>
              </w:rPr>
            </w:pPr>
            <w:r>
              <w:rPr>
                <w:rFonts w:hint="eastAsia" w:ascii="宋体" w:hAnsi="宋体" w:cs="宋体"/>
                <w:sz w:val="24"/>
                <w:szCs w:val="24"/>
                <w:highlight w:val="none"/>
              </w:rPr>
              <w:t>（2）</w:t>
            </w:r>
            <w:r>
              <w:rPr>
                <w:rFonts w:hint="eastAsia" w:ascii="宋体" w:hAnsi="宋体" w:cs="宋体"/>
                <w:sz w:val="24"/>
                <w:szCs w:val="24"/>
                <w:highlight w:val="none"/>
                <w:lang w:eastAsia="zh-CN"/>
              </w:rPr>
              <w:t>信用信息查询的截止时点：投标截止时间当天评标前</w:t>
            </w:r>
            <w:r>
              <w:rPr>
                <w:rFonts w:hint="eastAsia" w:ascii="宋体" w:hAnsi="宋体" w:cs="宋体"/>
                <w:sz w:val="24"/>
                <w:szCs w:val="24"/>
                <w:highlight w:val="none"/>
              </w:rPr>
              <w:t>；</w:t>
            </w:r>
          </w:p>
          <w:p w14:paraId="6C17FC8E">
            <w:pPr>
              <w:pageBreakBefore w:val="0"/>
              <w:widowControl w:val="0"/>
              <w:kinsoku/>
              <w:wordWrap/>
              <w:overflowPunct/>
              <w:topLinePunct w:val="0"/>
              <w:autoSpaceDE/>
              <w:autoSpaceDN/>
              <w:bidi w:val="0"/>
              <w:adjustRightInd/>
              <w:snapToGrid/>
              <w:spacing w:line="360" w:lineRule="auto"/>
              <w:textAlignment w:val="auto"/>
              <w:rPr>
                <w:rFonts w:hint="eastAsia"/>
                <w:sz w:val="24"/>
                <w:szCs w:val="24"/>
                <w:highlight w:val="none"/>
              </w:rPr>
            </w:pPr>
            <w:r>
              <w:rPr>
                <w:rFonts w:hint="eastAsia" w:ascii="宋体" w:hAnsi="宋体" w:cs="宋体"/>
                <w:sz w:val="24"/>
                <w:szCs w:val="24"/>
                <w:highlight w:val="none"/>
              </w:rPr>
              <w:t>（3）信用信息查询渠道：“信用中国网”、“中国政府采购网”；</w:t>
            </w:r>
          </w:p>
          <w:p w14:paraId="218F6CD8">
            <w:pPr>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szCs w:val="24"/>
                <w:highlight w:val="none"/>
              </w:rPr>
            </w:pPr>
            <w:r>
              <w:rPr>
                <w:rFonts w:hint="eastAsia" w:ascii="宋体" w:hAnsi="宋体" w:cs="宋体"/>
                <w:sz w:val="24"/>
                <w:szCs w:val="24"/>
                <w:highlight w:val="none"/>
              </w:rPr>
              <w:t>（4）信用信息查询记录和证据留存具体方式：采购人、采购代理机构将经查询存在不良信用记录的潜在投标人</w:t>
            </w:r>
            <w:r>
              <w:rPr>
                <w:rFonts w:hint="eastAsia" w:ascii="宋体" w:hAnsi="宋体" w:cs="宋体"/>
                <w:sz w:val="24"/>
                <w:szCs w:val="24"/>
                <w:highlight w:val="none"/>
                <w:lang w:eastAsia="zh-CN"/>
              </w:rPr>
              <w:t>查询结果证明材料</w:t>
            </w:r>
            <w:r>
              <w:rPr>
                <w:rFonts w:hint="eastAsia" w:ascii="宋体" w:hAnsi="宋体" w:cs="宋体"/>
                <w:sz w:val="24"/>
                <w:szCs w:val="24"/>
                <w:highlight w:val="none"/>
              </w:rPr>
              <w:t>作为查询记录和证据，与其他采购文件一并保存；</w:t>
            </w:r>
          </w:p>
          <w:p w14:paraId="2DF06E22">
            <w:pPr>
              <w:pageBreakBefore w:val="0"/>
              <w:kinsoku/>
              <w:wordWrap/>
              <w:overflowPunct/>
              <w:topLinePunct w:val="0"/>
              <w:autoSpaceDE/>
              <w:autoSpaceDN/>
              <w:bidi w:val="0"/>
              <w:adjustRightInd/>
              <w:snapToGrid/>
              <w:spacing w:line="360" w:lineRule="auto"/>
              <w:textAlignment w:val="auto"/>
              <w:rPr>
                <w:rFonts w:hint="eastAsia" w:ascii="宋体" w:hAnsi="宋体" w:cs="宋体"/>
                <w:sz w:val="24"/>
                <w:szCs w:val="24"/>
                <w:highlight w:val="none"/>
              </w:rPr>
            </w:pPr>
            <w:r>
              <w:rPr>
                <w:rFonts w:hint="eastAsia" w:ascii="宋体" w:hAnsi="宋体" w:cs="宋体"/>
                <w:sz w:val="24"/>
                <w:szCs w:val="24"/>
                <w:highlight w:val="none"/>
              </w:rPr>
              <w:t>（5）信用信息的使用规则：本政府采购项目的投标人在信用信息查询截止时点（含）之前被列入失信被执行人、</w:t>
            </w:r>
            <w:r>
              <w:rPr>
                <w:rFonts w:hint="eastAsia" w:ascii="宋体" w:hAnsi="宋体" w:eastAsia="宋体" w:cs="宋体"/>
                <w:b w:val="0"/>
                <w:bCs w:val="0"/>
                <w:kern w:val="0"/>
                <w:sz w:val="24"/>
                <w:szCs w:val="24"/>
                <w:highlight w:val="none"/>
                <w:lang w:val="en-US" w:eastAsia="zh-CN" w:bidi="ar-SA"/>
              </w:rPr>
              <w:t>重大税收违法失信主体</w:t>
            </w:r>
            <w:r>
              <w:rPr>
                <w:rFonts w:hint="eastAsia" w:ascii="宋体" w:hAnsi="宋体" w:cs="宋体"/>
                <w:sz w:val="24"/>
                <w:szCs w:val="24"/>
                <w:highlight w:val="none"/>
              </w:rPr>
              <w:t>、政府采购严重违法失信行为记录名单及其他不符合《中华人民共和国政府采购法》第二十二条规定条件的投标人，其投标无效；</w:t>
            </w:r>
          </w:p>
          <w:p w14:paraId="5DD3E318">
            <w:pPr>
              <w:pStyle w:val="11"/>
              <w:pageBreakBefore w:val="0"/>
              <w:kinsoku/>
              <w:wordWrap/>
              <w:overflowPunct/>
              <w:topLinePunct w:val="0"/>
              <w:autoSpaceDE/>
              <w:autoSpaceDN/>
              <w:bidi w:val="0"/>
              <w:adjustRightInd/>
              <w:snapToGrid/>
              <w:spacing w:line="360" w:lineRule="auto"/>
              <w:textAlignment w:val="auto"/>
              <w:rPr>
                <w:rFonts w:hint="eastAsia" w:ascii="宋体" w:hAnsi="宋体" w:cs="宋体"/>
                <w:szCs w:val="21"/>
                <w:highlight w:val="none"/>
              </w:rPr>
            </w:pPr>
            <w:r>
              <w:rPr>
                <w:rFonts w:hint="eastAsia" w:ascii="宋体" w:hAnsi="宋体" w:cs="宋体"/>
                <w:b/>
                <w:bCs/>
                <w:sz w:val="24"/>
                <w:highlight w:val="none"/>
              </w:rPr>
              <w:t>(6)采购人、采购代理机构通过“信用中国网”、“中国政府采购网”等渠道查询相关主体信用记录，若投标人存在被列入失信被执行人、</w:t>
            </w:r>
            <w:r>
              <w:rPr>
                <w:rFonts w:hint="eastAsia" w:ascii="宋体" w:hAnsi="宋体" w:cs="宋体"/>
                <w:b/>
                <w:bCs/>
                <w:sz w:val="24"/>
                <w:highlight w:val="none"/>
                <w:lang w:val="en-US" w:eastAsia="zh-CN"/>
              </w:rPr>
              <w:t>重大税收违法失信主体</w:t>
            </w:r>
            <w:r>
              <w:rPr>
                <w:rFonts w:hint="eastAsia" w:ascii="宋体" w:hAnsi="宋体" w:cs="宋体"/>
                <w:b/>
                <w:bCs/>
                <w:sz w:val="24"/>
                <w:highlight w:val="none"/>
              </w:rPr>
              <w:t>、政府采购严重违法失信行为记录名单，则投标无效。</w:t>
            </w:r>
          </w:p>
        </w:tc>
      </w:tr>
    </w:tbl>
    <w:p w14:paraId="75A47E5F">
      <w:pPr>
        <w:pStyle w:val="3"/>
        <w:pageBreakBefore w:val="0"/>
        <w:kinsoku/>
        <w:wordWrap/>
        <w:overflowPunct/>
        <w:topLinePunct w:val="0"/>
        <w:autoSpaceDE/>
        <w:autoSpaceDN/>
        <w:bidi w:val="0"/>
        <w:adjustRightInd/>
        <w:snapToGrid/>
        <w:spacing w:before="0" w:after="0" w:line="360" w:lineRule="auto"/>
        <w:ind w:firstLine="321" w:firstLineChars="100"/>
        <w:textAlignment w:val="auto"/>
        <w:rPr>
          <w:rFonts w:hint="eastAsia" w:ascii="宋体" w:hAnsi="宋体" w:eastAsia="宋体"/>
          <w:sz w:val="28"/>
          <w:szCs w:val="28"/>
          <w:highlight w:val="none"/>
        </w:rPr>
      </w:pPr>
      <w:r>
        <w:rPr>
          <w:rFonts w:hint="eastAsia" w:ascii="宋体" w:hAnsi="宋体" w:eastAsia="宋体"/>
          <w:highlight w:val="none"/>
        </w:rPr>
        <w:br w:type="page"/>
      </w:r>
      <w:bookmarkStart w:id="61" w:name="_Toc20589"/>
      <w:bookmarkEnd w:id="61"/>
      <w:bookmarkStart w:id="62" w:name="_Toc27064"/>
      <w:bookmarkEnd w:id="62"/>
      <w:bookmarkStart w:id="63" w:name="_Toc19039"/>
      <w:bookmarkStart w:id="64" w:name="_Toc21034"/>
      <w:r>
        <w:rPr>
          <w:rFonts w:hint="eastAsia" w:ascii="宋体" w:hAnsi="宋体" w:eastAsia="宋体"/>
          <w:sz w:val="28"/>
          <w:szCs w:val="28"/>
          <w:highlight w:val="none"/>
        </w:rPr>
        <w:t>1. 总则</w:t>
      </w:r>
      <w:bookmarkEnd w:id="63"/>
      <w:bookmarkEnd w:id="64"/>
    </w:p>
    <w:p w14:paraId="7F010EBB">
      <w:pPr>
        <w:spacing w:line="360" w:lineRule="auto"/>
        <w:rPr>
          <w:rFonts w:hint="eastAsia" w:ascii="宋体" w:hAnsi="宋体"/>
          <w:b/>
          <w:sz w:val="24"/>
          <w:szCs w:val="24"/>
          <w:highlight w:val="none"/>
        </w:rPr>
      </w:pPr>
      <w:bookmarkStart w:id="65" w:name="_Toc31335"/>
      <w:bookmarkEnd w:id="65"/>
      <w:bookmarkStart w:id="66" w:name="_Toc700"/>
      <w:r>
        <w:rPr>
          <w:rFonts w:hint="eastAsia" w:ascii="宋体" w:hAnsi="宋体"/>
          <w:b/>
          <w:sz w:val="24"/>
          <w:szCs w:val="24"/>
          <w:highlight w:val="none"/>
        </w:rPr>
        <w:t>1.1 项目概况</w:t>
      </w:r>
      <w:bookmarkEnd w:id="66"/>
    </w:p>
    <w:p w14:paraId="2F59FEB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1.1.1根据《中华人民共和国政府采购法》《中华人民共和国政府采购法实施条例》《政府采购货物和服务招标投标管理办法》(财政部令第87号)等有关规定，本招标项目已具备招标条件，现对本项目进行招标。</w:t>
      </w:r>
    </w:p>
    <w:p w14:paraId="3B1CA732">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1.1.2 采购人：见投标人须知前附表。</w:t>
      </w:r>
    </w:p>
    <w:p w14:paraId="69B02E2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1.1.3 采购代理机构：见投标人须知前附表。</w:t>
      </w:r>
    </w:p>
    <w:p w14:paraId="57E1493C">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1.1.4 项目名称：见投标人须知前附表。</w:t>
      </w:r>
    </w:p>
    <w:p w14:paraId="74B73B78">
      <w:pPr>
        <w:spacing w:line="360" w:lineRule="auto"/>
        <w:rPr>
          <w:rFonts w:hint="eastAsia" w:ascii="宋体" w:hAnsi="宋体"/>
          <w:b/>
          <w:sz w:val="24"/>
          <w:szCs w:val="24"/>
          <w:highlight w:val="none"/>
        </w:rPr>
      </w:pPr>
      <w:bookmarkStart w:id="67" w:name="_Toc27395"/>
      <w:bookmarkEnd w:id="67"/>
      <w:bookmarkStart w:id="68" w:name="_Toc28747"/>
      <w:r>
        <w:rPr>
          <w:rFonts w:hint="eastAsia" w:ascii="宋体" w:hAnsi="宋体"/>
          <w:b/>
          <w:sz w:val="24"/>
          <w:szCs w:val="24"/>
          <w:highlight w:val="none"/>
        </w:rPr>
        <w:t>1.2 招标项目的资金情况</w:t>
      </w:r>
      <w:bookmarkEnd w:id="68"/>
    </w:p>
    <w:p w14:paraId="297C1E77">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1.2.1 资金落实情况：见投标人须知前附表。</w:t>
      </w:r>
    </w:p>
    <w:p w14:paraId="335D6E08">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1.2.2 预算金额：见投标人须知前附表。</w:t>
      </w:r>
    </w:p>
    <w:p w14:paraId="3A932109">
      <w:pPr>
        <w:spacing w:line="360" w:lineRule="auto"/>
        <w:rPr>
          <w:rFonts w:hint="eastAsia" w:ascii="宋体" w:hAnsi="宋体"/>
          <w:b/>
          <w:color w:val="FF0000"/>
          <w:sz w:val="24"/>
          <w:szCs w:val="24"/>
          <w:highlight w:val="none"/>
        </w:rPr>
      </w:pPr>
      <w:bookmarkStart w:id="69" w:name="_Toc16064"/>
      <w:bookmarkEnd w:id="69"/>
      <w:bookmarkStart w:id="70" w:name="_Toc20957"/>
      <w:r>
        <w:rPr>
          <w:rFonts w:hint="eastAsia" w:ascii="宋体" w:hAnsi="宋体"/>
          <w:b/>
          <w:sz w:val="24"/>
          <w:szCs w:val="24"/>
          <w:highlight w:val="none"/>
        </w:rPr>
        <w:t>1.3采购</w:t>
      </w:r>
      <w:r>
        <w:rPr>
          <w:rFonts w:hint="eastAsia" w:ascii="宋体" w:hAnsi="宋体"/>
          <w:b/>
          <w:sz w:val="24"/>
          <w:szCs w:val="24"/>
          <w:highlight w:val="none"/>
          <w:lang w:eastAsia="zh-CN"/>
        </w:rPr>
        <w:t>内容</w:t>
      </w:r>
      <w:r>
        <w:rPr>
          <w:rFonts w:hint="eastAsia" w:ascii="宋体" w:hAnsi="宋体"/>
          <w:b/>
          <w:sz w:val="24"/>
          <w:szCs w:val="24"/>
          <w:highlight w:val="none"/>
        </w:rPr>
        <w:t>、交货期、质保期、交货地点</w:t>
      </w:r>
      <w:bookmarkEnd w:id="70"/>
      <w:r>
        <w:rPr>
          <w:rFonts w:hint="eastAsia" w:ascii="宋体" w:hAnsi="宋体"/>
          <w:b/>
          <w:sz w:val="24"/>
          <w:szCs w:val="24"/>
          <w:highlight w:val="none"/>
        </w:rPr>
        <w:t>、交货方式</w:t>
      </w:r>
    </w:p>
    <w:p w14:paraId="6A8FC3A6">
      <w:pPr>
        <w:spacing w:line="360" w:lineRule="auto"/>
        <w:ind w:firstLine="480" w:firstLineChars="200"/>
        <w:rPr>
          <w:rFonts w:hint="eastAsia" w:ascii="宋体" w:hAnsi="宋体"/>
          <w:sz w:val="24"/>
          <w:szCs w:val="24"/>
          <w:highlight w:val="none"/>
        </w:rPr>
      </w:pPr>
      <w:bookmarkStart w:id="71" w:name="_Toc16202"/>
      <w:bookmarkEnd w:id="71"/>
      <w:r>
        <w:rPr>
          <w:rFonts w:hint="eastAsia" w:ascii="宋体" w:hAnsi="宋体"/>
          <w:sz w:val="24"/>
          <w:szCs w:val="24"/>
          <w:highlight w:val="none"/>
        </w:rPr>
        <w:t>1.3.1 采购</w:t>
      </w:r>
      <w:r>
        <w:rPr>
          <w:rFonts w:hint="eastAsia" w:ascii="宋体" w:hAnsi="宋体"/>
          <w:sz w:val="24"/>
          <w:szCs w:val="24"/>
          <w:highlight w:val="none"/>
          <w:lang w:eastAsia="zh-CN"/>
        </w:rPr>
        <w:t>内容</w:t>
      </w:r>
      <w:r>
        <w:rPr>
          <w:rFonts w:hint="eastAsia" w:ascii="宋体" w:hAnsi="宋体"/>
          <w:sz w:val="24"/>
          <w:szCs w:val="24"/>
          <w:highlight w:val="none"/>
        </w:rPr>
        <w:t>：见投标人须知前附表。</w:t>
      </w:r>
    </w:p>
    <w:p w14:paraId="0300059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1.3.2 交货期、质保期：见投标人须知前附表。</w:t>
      </w:r>
    </w:p>
    <w:p w14:paraId="26F5E01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1.3.3 交货地点、交货方式：见投标人须知前附表。</w:t>
      </w:r>
    </w:p>
    <w:p w14:paraId="74DD76A3">
      <w:pPr>
        <w:spacing w:line="360" w:lineRule="auto"/>
        <w:rPr>
          <w:rFonts w:hint="eastAsia" w:ascii="宋体" w:hAnsi="宋体"/>
          <w:b/>
          <w:sz w:val="24"/>
          <w:szCs w:val="24"/>
          <w:highlight w:val="none"/>
        </w:rPr>
      </w:pPr>
      <w:bookmarkStart w:id="72" w:name="_Toc17694"/>
      <w:bookmarkEnd w:id="72"/>
      <w:bookmarkStart w:id="73" w:name="_Toc10611"/>
      <w:r>
        <w:rPr>
          <w:rFonts w:hint="eastAsia" w:ascii="宋体" w:hAnsi="宋体"/>
          <w:b/>
          <w:sz w:val="24"/>
          <w:szCs w:val="24"/>
          <w:highlight w:val="none"/>
        </w:rPr>
        <w:t>1.4 投标人资格要求</w:t>
      </w:r>
      <w:bookmarkEnd w:id="73"/>
    </w:p>
    <w:p w14:paraId="517C5FA2">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1.4.1 投标人应具备承担本项目的资格条件。</w:t>
      </w:r>
    </w:p>
    <w:p w14:paraId="5456C900">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1.4.2 投标人须知前附表规定接受联合体投标的，联合体除应符合本章第1.4.1 项和投标人须知前附表的要求外，还应遵守以下规定：</w:t>
      </w:r>
    </w:p>
    <w:p w14:paraId="400E3D03">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(1)联合体各方应按招标文件提供的格式签订联合体协议书，明确联合体牵头人和各方权利义务，并承诺就中标项目向采购人承担连带责任；</w:t>
      </w:r>
    </w:p>
    <w:p w14:paraId="60D6DED3">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(2)联合体中有同类资质的投标人按照联合体分工承担相同工作的，应当按照资质等级较低的投标人确定资质等级；</w:t>
      </w:r>
    </w:p>
    <w:p w14:paraId="10BE6A35">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(3)以联合体形式参加政府采购活动的，联合体各方不得再单独参加或者与其他投标人另外组成联合体参加同一合同项下的政府采购活动。</w:t>
      </w:r>
    </w:p>
    <w:p w14:paraId="3253A3DE">
      <w:pPr>
        <w:spacing w:line="360" w:lineRule="auto"/>
        <w:rPr>
          <w:rFonts w:hint="eastAsia" w:ascii="宋体" w:hAnsi="宋体"/>
          <w:b/>
          <w:sz w:val="24"/>
          <w:szCs w:val="24"/>
          <w:highlight w:val="none"/>
        </w:rPr>
      </w:pPr>
      <w:bookmarkStart w:id="74" w:name="_Toc27960"/>
      <w:bookmarkEnd w:id="74"/>
      <w:bookmarkStart w:id="75" w:name="_Toc18144"/>
      <w:r>
        <w:rPr>
          <w:rFonts w:hint="eastAsia" w:ascii="宋体" w:hAnsi="宋体"/>
          <w:b/>
          <w:sz w:val="24"/>
          <w:szCs w:val="24"/>
          <w:highlight w:val="none"/>
        </w:rPr>
        <w:t>1.5 费用承担</w:t>
      </w:r>
      <w:bookmarkEnd w:id="75"/>
    </w:p>
    <w:p w14:paraId="3C17AA69">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投标人准备和参加投标活动发生的费用自理。</w:t>
      </w:r>
    </w:p>
    <w:p w14:paraId="208EE0DE">
      <w:pPr>
        <w:spacing w:line="360" w:lineRule="auto"/>
        <w:rPr>
          <w:rFonts w:hint="eastAsia" w:ascii="宋体" w:hAnsi="宋体"/>
          <w:b/>
          <w:sz w:val="24"/>
          <w:szCs w:val="24"/>
          <w:highlight w:val="none"/>
        </w:rPr>
      </w:pPr>
      <w:bookmarkStart w:id="76" w:name="_Toc6230"/>
      <w:bookmarkEnd w:id="76"/>
      <w:bookmarkStart w:id="77" w:name="_Toc16680"/>
      <w:r>
        <w:rPr>
          <w:rFonts w:hint="eastAsia" w:ascii="宋体" w:hAnsi="宋体"/>
          <w:b/>
          <w:sz w:val="24"/>
          <w:szCs w:val="24"/>
          <w:highlight w:val="none"/>
        </w:rPr>
        <w:t>1.6 保密</w:t>
      </w:r>
      <w:bookmarkEnd w:id="77"/>
    </w:p>
    <w:p w14:paraId="5646B507">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参与招标投标活动的各方应对招标文件和投标文件中的商业和技术等秘密保密，则应承担相应的法律责任。</w:t>
      </w:r>
    </w:p>
    <w:p w14:paraId="23080499">
      <w:pPr>
        <w:spacing w:line="360" w:lineRule="auto"/>
        <w:rPr>
          <w:rFonts w:hint="eastAsia" w:ascii="宋体" w:hAnsi="宋体"/>
          <w:b/>
          <w:sz w:val="24"/>
          <w:szCs w:val="24"/>
          <w:highlight w:val="none"/>
        </w:rPr>
      </w:pPr>
      <w:bookmarkStart w:id="78" w:name="_Toc31781"/>
      <w:bookmarkEnd w:id="78"/>
      <w:bookmarkStart w:id="79" w:name="_Toc787"/>
      <w:r>
        <w:rPr>
          <w:rFonts w:hint="eastAsia" w:ascii="宋体" w:hAnsi="宋体"/>
          <w:b/>
          <w:sz w:val="24"/>
          <w:szCs w:val="24"/>
          <w:highlight w:val="none"/>
        </w:rPr>
        <w:t>1.7 语言文字</w:t>
      </w:r>
      <w:bookmarkEnd w:id="79"/>
    </w:p>
    <w:p w14:paraId="44E037FC">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招标投标文件使用的语言文字为中文。专用术语使用外文的，应附有中文注释。</w:t>
      </w:r>
    </w:p>
    <w:p w14:paraId="315E2EF2">
      <w:pPr>
        <w:spacing w:line="360" w:lineRule="auto"/>
        <w:rPr>
          <w:rFonts w:hint="eastAsia" w:ascii="宋体" w:hAnsi="宋体"/>
          <w:b/>
          <w:sz w:val="24"/>
          <w:szCs w:val="24"/>
          <w:highlight w:val="none"/>
        </w:rPr>
      </w:pPr>
      <w:bookmarkStart w:id="80" w:name="_Toc29423"/>
      <w:bookmarkEnd w:id="80"/>
      <w:bookmarkStart w:id="81" w:name="_Toc29116"/>
      <w:r>
        <w:rPr>
          <w:rFonts w:hint="eastAsia" w:ascii="宋体" w:hAnsi="宋体"/>
          <w:b/>
          <w:sz w:val="24"/>
          <w:szCs w:val="24"/>
          <w:highlight w:val="none"/>
        </w:rPr>
        <w:t>1.8 计量单位</w:t>
      </w:r>
      <w:bookmarkEnd w:id="81"/>
    </w:p>
    <w:p w14:paraId="361BD6F4">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所有计量均采用中华人民共和国法定计量单位。</w:t>
      </w:r>
    </w:p>
    <w:p w14:paraId="21F6EDB3">
      <w:pPr>
        <w:spacing w:line="360" w:lineRule="auto"/>
        <w:rPr>
          <w:rFonts w:hint="eastAsia" w:ascii="宋体" w:hAnsi="宋体"/>
          <w:b/>
          <w:color w:val="FF0000"/>
          <w:sz w:val="24"/>
          <w:szCs w:val="24"/>
          <w:highlight w:val="none"/>
        </w:rPr>
      </w:pPr>
      <w:bookmarkStart w:id="82" w:name="_Toc247513962"/>
      <w:bookmarkEnd w:id="82"/>
      <w:bookmarkStart w:id="83" w:name="_Toc247592876"/>
      <w:bookmarkEnd w:id="83"/>
      <w:bookmarkStart w:id="84" w:name="_Toc152045539"/>
      <w:bookmarkEnd w:id="84"/>
      <w:bookmarkStart w:id="85" w:name="_Toc296602429"/>
      <w:bookmarkEnd w:id="85"/>
      <w:bookmarkStart w:id="86" w:name="_Toc152042315"/>
      <w:bookmarkEnd w:id="86"/>
      <w:bookmarkStart w:id="87" w:name="_Toc29812"/>
      <w:bookmarkEnd w:id="87"/>
      <w:bookmarkStart w:id="88" w:name="_Toc247527563"/>
      <w:bookmarkEnd w:id="88"/>
      <w:bookmarkStart w:id="89" w:name="_Toc144974507"/>
      <w:bookmarkEnd w:id="89"/>
      <w:bookmarkStart w:id="90" w:name="_Toc29408"/>
      <w:r>
        <w:rPr>
          <w:rFonts w:hint="eastAsia" w:ascii="宋体" w:hAnsi="宋体"/>
          <w:b/>
          <w:sz w:val="24"/>
          <w:szCs w:val="24"/>
          <w:highlight w:val="none"/>
        </w:rPr>
        <w:t>1.9 现场</w:t>
      </w:r>
      <w:bookmarkEnd w:id="90"/>
      <w:r>
        <w:rPr>
          <w:rFonts w:hint="eastAsia" w:ascii="宋体" w:hAnsi="宋体"/>
          <w:b/>
          <w:sz w:val="24"/>
          <w:szCs w:val="24"/>
          <w:highlight w:val="none"/>
        </w:rPr>
        <w:t>考察</w:t>
      </w:r>
    </w:p>
    <w:p w14:paraId="6357A5DE">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1.9.1 投标人须知前附表规定组织现场考察的，</w:t>
      </w:r>
      <w:r>
        <w:rPr>
          <w:rFonts w:hint="eastAsia" w:ascii="宋体" w:hAnsi="宋体"/>
          <w:sz w:val="24"/>
          <w:szCs w:val="24"/>
          <w:highlight w:val="none"/>
          <w:lang w:eastAsia="zh-CN"/>
        </w:rPr>
        <w:t>采购人</w:t>
      </w:r>
      <w:r>
        <w:rPr>
          <w:rFonts w:hint="eastAsia" w:ascii="宋体" w:hAnsi="宋体"/>
          <w:sz w:val="24"/>
          <w:szCs w:val="24"/>
          <w:highlight w:val="none"/>
        </w:rPr>
        <w:t xml:space="preserve">按投标人须知前附表规定的时间、地点组织投标人考察项目现场。 </w:t>
      </w:r>
    </w:p>
    <w:p w14:paraId="348A378A">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1.9.2 投标人考察现场发生的费用自理。</w:t>
      </w:r>
    </w:p>
    <w:p w14:paraId="735DA5B4">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1.9.3 除采购人的原因外，投标人自行负责在考察现场中所发生的人员伤亡和财产损失。</w:t>
      </w:r>
    </w:p>
    <w:p w14:paraId="32B977AF">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1.9.4 采购人在考察现场中介绍的项目场地和相关的周边环境情况，供投标人在编制投标文件时参考，采购人不对投标人据此作出的判断和决策负责。</w:t>
      </w:r>
    </w:p>
    <w:p w14:paraId="66ACB127">
      <w:pPr>
        <w:pStyle w:val="3"/>
        <w:spacing w:before="0" w:after="0" w:line="360" w:lineRule="auto"/>
        <w:rPr>
          <w:rFonts w:hint="eastAsia" w:ascii="宋体" w:hAnsi="宋体" w:eastAsia="宋体"/>
          <w:sz w:val="28"/>
          <w:szCs w:val="28"/>
          <w:highlight w:val="none"/>
        </w:rPr>
      </w:pPr>
      <w:bookmarkStart w:id="91" w:name="_Toc31795"/>
      <w:bookmarkEnd w:id="91"/>
      <w:bookmarkStart w:id="92" w:name="_Toc587"/>
      <w:bookmarkEnd w:id="92"/>
      <w:bookmarkStart w:id="93" w:name="_Toc31848"/>
      <w:bookmarkEnd w:id="93"/>
      <w:bookmarkStart w:id="94" w:name="_Toc32012"/>
      <w:bookmarkEnd w:id="94"/>
      <w:bookmarkStart w:id="95" w:name="_Toc31733"/>
      <w:bookmarkStart w:id="96" w:name="_Toc19514"/>
      <w:r>
        <w:rPr>
          <w:rFonts w:hint="eastAsia" w:ascii="宋体" w:hAnsi="宋体" w:eastAsia="宋体"/>
          <w:sz w:val="28"/>
          <w:szCs w:val="28"/>
          <w:highlight w:val="none"/>
        </w:rPr>
        <w:t>2. 招标文件</w:t>
      </w:r>
      <w:bookmarkEnd w:id="95"/>
      <w:bookmarkEnd w:id="96"/>
    </w:p>
    <w:p w14:paraId="48545206">
      <w:pPr>
        <w:spacing w:line="360" w:lineRule="auto"/>
        <w:rPr>
          <w:rFonts w:hint="eastAsia" w:ascii="宋体" w:hAnsi="宋体"/>
          <w:b/>
          <w:sz w:val="24"/>
          <w:szCs w:val="24"/>
          <w:highlight w:val="none"/>
        </w:rPr>
      </w:pPr>
      <w:bookmarkStart w:id="97" w:name="_Toc21536"/>
      <w:bookmarkEnd w:id="97"/>
      <w:bookmarkStart w:id="98" w:name="_Toc16596"/>
      <w:r>
        <w:rPr>
          <w:rFonts w:hint="eastAsia" w:ascii="宋体" w:hAnsi="宋体"/>
          <w:b/>
          <w:sz w:val="24"/>
          <w:szCs w:val="24"/>
          <w:highlight w:val="none"/>
        </w:rPr>
        <w:t>2.1 招标文件的组成</w:t>
      </w:r>
      <w:bookmarkEnd w:id="98"/>
    </w:p>
    <w:p w14:paraId="263AE22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本招标文件包括：</w:t>
      </w:r>
    </w:p>
    <w:p w14:paraId="7E06C579">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(1)招标公告；</w:t>
      </w:r>
    </w:p>
    <w:p w14:paraId="25D881C8">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(2)投标人须知；</w:t>
      </w:r>
    </w:p>
    <w:p w14:paraId="022EFEC2">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(3)资格审查；</w:t>
      </w:r>
    </w:p>
    <w:p w14:paraId="70B0D9C3">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(4)评标办法；</w:t>
      </w:r>
    </w:p>
    <w:p w14:paraId="4E7DAD76">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(5)合同条款及格式；</w:t>
      </w:r>
    </w:p>
    <w:p w14:paraId="31C41A8E">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(6)</w:t>
      </w:r>
      <w:r>
        <w:rPr>
          <w:rFonts w:hint="eastAsia" w:ascii="宋体" w:hAnsi="宋体"/>
          <w:sz w:val="24"/>
          <w:szCs w:val="24"/>
          <w:highlight w:val="none"/>
          <w:lang w:eastAsia="zh-CN"/>
        </w:rPr>
        <w:t>招标内容及要求</w:t>
      </w:r>
      <w:r>
        <w:rPr>
          <w:rFonts w:hint="eastAsia" w:ascii="宋体" w:hAnsi="宋体"/>
          <w:sz w:val="24"/>
          <w:szCs w:val="24"/>
          <w:highlight w:val="none"/>
        </w:rPr>
        <w:t>；</w:t>
      </w:r>
    </w:p>
    <w:p w14:paraId="339A5DD5">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(7)投标文件格式；</w:t>
      </w:r>
    </w:p>
    <w:p w14:paraId="5BCEC147">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(8)投标人须知前附表规定的其他材料。</w:t>
      </w:r>
    </w:p>
    <w:p w14:paraId="2A0A2455">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根据本章第2.2 款对招标文件所作的澄清、修改，构成招标文件的组成部分。</w:t>
      </w:r>
    </w:p>
    <w:p w14:paraId="70109B61">
      <w:pPr>
        <w:spacing w:line="360" w:lineRule="auto"/>
        <w:rPr>
          <w:rFonts w:hint="eastAsia" w:ascii="宋体" w:hAnsi="宋体" w:eastAsia="宋体" w:cs="宋体"/>
          <w:b/>
          <w:sz w:val="24"/>
          <w:szCs w:val="24"/>
        </w:rPr>
      </w:pPr>
      <w:bookmarkStart w:id="99" w:name="_Toc29741"/>
      <w:bookmarkEnd w:id="99"/>
      <w:bookmarkStart w:id="100" w:name="_Toc16663"/>
      <w:bookmarkEnd w:id="100"/>
      <w:bookmarkStart w:id="101" w:name="_Toc23003"/>
      <w:bookmarkEnd w:id="101"/>
      <w:bookmarkStart w:id="102" w:name="_Toc24916"/>
      <w:bookmarkEnd w:id="102"/>
      <w:bookmarkStart w:id="103" w:name="_Toc520356148"/>
      <w:bookmarkStart w:id="104" w:name="_Toc515904805"/>
      <w:bookmarkStart w:id="105" w:name="_Toc9232"/>
      <w:bookmarkStart w:id="106" w:name="_Toc2582270"/>
      <w:bookmarkStart w:id="107" w:name="_Toc26044"/>
      <w:bookmarkStart w:id="108" w:name="_Toc532473456"/>
      <w:bookmarkStart w:id="109" w:name="_Toc24768"/>
      <w:r>
        <w:rPr>
          <w:rFonts w:hint="eastAsia" w:ascii="宋体" w:hAnsi="宋体" w:cs="宋体"/>
          <w:b/>
          <w:sz w:val="24"/>
          <w:szCs w:val="24"/>
          <w:lang w:val="en-US" w:eastAsia="zh-CN"/>
        </w:rPr>
        <w:t xml:space="preserve">2.2 </w:t>
      </w:r>
      <w:r>
        <w:rPr>
          <w:rFonts w:hint="eastAsia" w:ascii="宋体" w:hAnsi="宋体" w:eastAsia="宋体" w:cs="宋体"/>
          <w:b/>
          <w:sz w:val="24"/>
          <w:szCs w:val="24"/>
        </w:rPr>
        <w:t>招标文件的澄清</w:t>
      </w:r>
      <w:bookmarkEnd w:id="103"/>
      <w:bookmarkEnd w:id="104"/>
      <w:r>
        <w:rPr>
          <w:rFonts w:hint="eastAsia" w:ascii="宋体" w:hAnsi="宋体" w:eastAsia="宋体" w:cs="宋体"/>
          <w:b/>
          <w:sz w:val="24"/>
          <w:szCs w:val="24"/>
        </w:rPr>
        <w:t>与修改</w:t>
      </w:r>
      <w:bookmarkEnd w:id="105"/>
      <w:bookmarkEnd w:id="106"/>
      <w:bookmarkEnd w:id="107"/>
      <w:bookmarkEnd w:id="108"/>
    </w:p>
    <w:p w14:paraId="42407C81">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2.2.</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投标人应仔细阅读和检查招标文件的全部内容。如发现缺页或附件不全，应及时向采购代理机构提出，以便补齐。</w:t>
      </w:r>
    </w:p>
    <w:p w14:paraId="7CB76371">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2.2.2采购人、采购代理机构可以对已发出的招标文件等进行必要的澄清或者修改。澄清或者修改的内容为招标文件的组成部分。澄清或者修改应当在原公告发布媒体上发布更正公告</w:t>
      </w:r>
      <w:r>
        <w:rPr>
          <w:rFonts w:hint="eastAsia" w:ascii="宋体" w:hAnsi="宋体" w:cs="宋体"/>
          <w:sz w:val="24"/>
          <w:szCs w:val="24"/>
          <w:highlight w:val="none"/>
          <w:lang w:val="en-US" w:eastAsia="zh-CN"/>
        </w:rPr>
        <w:t>。</w:t>
      </w:r>
    </w:p>
    <w:p w14:paraId="6E9E744C">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招标文件的澄清</w:t>
      </w:r>
      <w:r>
        <w:rPr>
          <w:rFonts w:hint="eastAsia" w:ascii="宋体" w:hAnsi="宋体" w:eastAsia="宋体" w:cs="宋体"/>
          <w:sz w:val="24"/>
          <w:szCs w:val="24"/>
          <w:highlight w:val="none"/>
          <w:lang w:val="en-US" w:eastAsia="zh-CN"/>
        </w:rPr>
        <w:t>或者修改</w:t>
      </w:r>
      <w:r>
        <w:rPr>
          <w:rFonts w:hint="eastAsia" w:ascii="宋体" w:hAnsi="宋体" w:eastAsia="宋体" w:cs="宋体"/>
          <w:sz w:val="24"/>
          <w:szCs w:val="24"/>
          <w:highlight w:val="none"/>
          <w:lang w:eastAsia="zh-CN"/>
        </w:rPr>
        <w:t>以投标人须知前附表规定的形式发出，但不指明澄清问题的来源。澄清</w:t>
      </w:r>
      <w:r>
        <w:rPr>
          <w:rFonts w:hint="eastAsia" w:ascii="宋体" w:hAnsi="宋体" w:cs="宋体"/>
          <w:sz w:val="24"/>
          <w:szCs w:val="24"/>
          <w:highlight w:val="none"/>
          <w:lang w:eastAsia="zh-CN"/>
        </w:rPr>
        <w:t>或者修改</w:t>
      </w:r>
      <w:r>
        <w:rPr>
          <w:rFonts w:hint="eastAsia" w:ascii="宋体" w:hAnsi="宋体" w:eastAsia="宋体" w:cs="宋体"/>
          <w:sz w:val="24"/>
          <w:szCs w:val="24"/>
          <w:highlight w:val="none"/>
          <w:lang w:eastAsia="zh-CN"/>
        </w:rPr>
        <w:t>发出的时间距本章第4.2.1项规定的投标截止时间不足15日的，并且澄清</w:t>
      </w:r>
      <w:r>
        <w:rPr>
          <w:rFonts w:hint="eastAsia" w:ascii="宋体" w:hAnsi="宋体" w:cs="宋体"/>
          <w:sz w:val="24"/>
          <w:szCs w:val="24"/>
          <w:highlight w:val="none"/>
          <w:lang w:eastAsia="zh-CN"/>
        </w:rPr>
        <w:t>或者修改</w:t>
      </w:r>
      <w:r>
        <w:rPr>
          <w:rFonts w:hint="eastAsia" w:ascii="宋体" w:hAnsi="宋体" w:eastAsia="宋体" w:cs="宋体"/>
          <w:sz w:val="24"/>
          <w:szCs w:val="24"/>
          <w:highlight w:val="none"/>
          <w:lang w:eastAsia="zh-CN"/>
        </w:rPr>
        <w:t>内容可能影响投标文件编制的，将相应延长投标截止时间。</w:t>
      </w:r>
    </w:p>
    <w:p w14:paraId="3BFA3162">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2.2.4招标文件中有不一致的，有澄清的部分以最终的澄清更正内容为准；未澄清的，以投标人须知前附表为准；投标人须知前附表不涉及的内容，以编排在后的最后描述为准。</w:t>
      </w:r>
    </w:p>
    <w:p w14:paraId="27B669CD">
      <w:pPr>
        <w:pStyle w:val="3"/>
        <w:spacing w:before="0" w:after="0" w:line="360" w:lineRule="auto"/>
        <w:rPr>
          <w:rFonts w:hint="eastAsia" w:ascii="宋体" w:hAnsi="宋体" w:eastAsia="宋体"/>
          <w:sz w:val="28"/>
          <w:szCs w:val="28"/>
          <w:highlight w:val="none"/>
        </w:rPr>
      </w:pPr>
      <w:bookmarkStart w:id="110" w:name="_Toc28991"/>
      <w:r>
        <w:rPr>
          <w:rFonts w:hint="eastAsia" w:ascii="宋体" w:hAnsi="宋体" w:eastAsia="宋体"/>
          <w:sz w:val="28"/>
          <w:szCs w:val="28"/>
          <w:highlight w:val="none"/>
        </w:rPr>
        <w:t>3. 投标文件</w:t>
      </w:r>
      <w:bookmarkEnd w:id="109"/>
      <w:bookmarkEnd w:id="110"/>
    </w:p>
    <w:p w14:paraId="008C4673">
      <w:pPr>
        <w:spacing w:line="360" w:lineRule="auto"/>
        <w:rPr>
          <w:rFonts w:hint="eastAsia" w:ascii="宋体" w:hAnsi="宋体"/>
          <w:b/>
          <w:sz w:val="24"/>
          <w:szCs w:val="24"/>
          <w:highlight w:val="none"/>
        </w:rPr>
      </w:pPr>
      <w:bookmarkStart w:id="111" w:name="_Toc2432"/>
      <w:bookmarkEnd w:id="111"/>
      <w:bookmarkStart w:id="112" w:name="_Toc4962"/>
      <w:r>
        <w:rPr>
          <w:rFonts w:hint="eastAsia" w:ascii="宋体" w:hAnsi="宋体"/>
          <w:b/>
          <w:sz w:val="24"/>
          <w:szCs w:val="24"/>
          <w:highlight w:val="none"/>
        </w:rPr>
        <w:t>3.1 投标文件的组成</w:t>
      </w:r>
      <w:bookmarkEnd w:id="112"/>
    </w:p>
    <w:p w14:paraId="2FF8156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3.1.1 投标文件资格审查部分详见第七章“投标文件格式”资格审查部分中的内容。</w:t>
      </w:r>
    </w:p>
    <w:p w14:paraId="5ABB3EBC">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3.1.2 投标文件商务技术部分详见第七章“投标文件格式”商务技术部分中的内容。</w:t>
      </w:r>
    </w:p>
    <w:p w14:paraId="2C5200F9">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投标人在评标过程中作出的符合法律法规和招标文件规定的澄清确认，构成投标文件的组成部分。</w:t>
      </w:r>
    </w:p>
    <w:p w14:paraId="3486A438">
      <w:pPr>
        <w:spacing w:line="360" w:lineRule="auto"/>
        <w:ind w:firstLine="540" w:firstLineChars="225"/>
        <w:rPr>
          <w:rFonts w:hint="eastAsia" w:ascii="宋体" w:hAnsi="宋体" w:eastAsia="宋体"/>
          <w:sz w:val="24"/>
          <w:szCs w:val="24"/>
          <w:highlight w:val="none"/>
          <w:lang w:val="en-US" w:eastAsia="zh-CN"/>
        </w:rPr>
      </w:pPr>
      <w:r>
        <w:rPr>
          <w:rFonts w:hint="eastAsia" w:ascii="宋体" w:hAnsi="宋体"/>
          <w:sz w:val="24"/>
          <w:szCs w:val="24"/>
          <w:highlight w:val="none"/>
        </w:rPr>
        <w:t>3.1.3 投标人须知前附表未要求提交投标保证金的，投标文件不包括第七章“投标文件格式”商务技术部分中所指的投标保证金。</w:t>
      </w:r>
      <w:r>
        <w:rPr>
          <w:rFonts w:hint="eastAsia" w:ascii="宋体" w:hAnsi="宋体"/>
          <w:sz w:val="24"/>
          <w:szCs w:val="24"/>
          <w:highlight w:val="none"/>
          <w:lang w:val="en-US" w:eastAsia="zh-CN"/>
        </w:rPr>
        <w:t xml:space="preserve"> </w:t>
      </w:r>
    </w:p>
    <w:p w14:paraId="63419DA3">
      <w:pPr>
        <w:spacing w:line="360" w:lineRule="auto"/>
        <w:rPr>
          <w:rFonts w:hint="eastAsia" w:ascii="宋体" w:hAnsi="宋体"/>
          <w:b/>
          <w:sz w:val="24"/>
          <w:szCs w:val="24"/>
          <w:highlight w:val="none"/>
        </w:rPr>
      </w:pPr>
      <w:bookmarkStart w:id="113" w:name="_Toc3252"/>
      <w:bookmarkEnd w:id="113"/>
      <w:bookmarkStart w:id="114" w:name="_Toc21369"/>
      <w:r>
        <w:rPr>
          <w:rFonts w:hint="eastAsia" w:ascii="宋体" w:hAnsi="宋体"/>
          <w:b/>
          <w:sz w:val="24"/>
          <w:szCs w:val="24"/>
          <w:highlight w:val="none"/>
        </w:rPr>
        <w:t>3.2 投标报价</w:t>
      </w:r>
      <w:bookmarkEnd w:id="114"/>
    </w:p>
    <w:p w14:paraId="5E868D95">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3.2.1 投标人应按第七章“投标文件格式”的要求在投标函中进行报价并填写分项报价表。</w:t>
      </w:r>
    </w:p>
    <w:p w14:paraId="1FE86F41">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3.2.2 投标人应充分了解该项目的总体情况以及影响投标报价的其他要素。</w:t>
      </w:r>
    </w:p>
    <w:p w14:paraId="11BBAED3">
      <w:pPr>
        <w:spacing w:line="360" w:lineRule="auto"/>
        <w:ind w:firstLine="540" w:firstLineChars="225"/>
        <w:rPr>
          <w:rFonts w:hint="eastAsia" w:ascii="宋体" w:hAnsi="宋体"/>
          <w:color w:val="auto"/>
          <w:sz w:val="24"/>
          <w:szCs w:val="24"/>
          <w:highlight w:val="none"/>
        </w:rPr>
      </w:pPr>
      <w:r>
        <w:rPr>
          <w:rFonts w:hint="eastAsia" w:ascii="宋体" w:hAnsi="宋体"/>
          <w:sz w:val="24"/>
          <w:szCs w:val="24"/>
          <w:highlight w:val="none"/>
        </w:rPr>
        <w:t>3.2.3 投标人的投标报价不得超过预算金额，</w:t>
      </w:r>
      <w:r>
        <w:rPr>
          <w:rFonts w:hint="eastAsia" w:ascii="宋体" w:hAnsi="宋体"/>
          <w:color w:val="auto"/>
          <w:sz w:val="24"/>
          <w:szCs w:val="24"/>
          <w:highlight w:val="none"/>
        </w:rPr>
        <w:t>若采购人还设有最高投标限价的，投标人的投标报价还应当不得超过最高投标限价，最高投标限价在投标人须知前附表中载明。</w:t>
      </w:r>
    </w:p>
    <w:p w14:paraId="607CB824">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3.2.4 投标报价的其他要求见投标人须知前附表。</w:t>
      </w:r>
    </w:p>
    <w:p w14:paraId="26CFE446">
      <w:pPr>
        <w:spacing w:line="360" w:lineRule="auto"/>
        <w:rPr>
          <w:rFonts w:hint="eastAsia" w:ascii="宋体" w:hAnsi="宋体"/>
          <w:b/>
          <w:sz w:val="24"/>
          <w:szCs w:val="24"/>
          <w:highlight w:val="none"/>
        </w:rPr>
      </w:pPr>
      <w:bookmarkStart w:id="115" w:name="_Toc12995"/>
      <w:bookmarkEnd w:id="115"/>
      <w:bookmarkStart w:id="116" w:name="_Toc14190"/>
      <w:r>
        <w:rPr>
          <w:rFonts w:hint="eastAsia" w:ascii="宋体" w:hAnsi="宋体"/>
          <w:b/>
          <w:sz w:val="24"/>
          <w:szCs w:val="24"/>
          <w:highlight w:val="none"/>
        </w:rPr>
        <w:t>3.3 投标有效期</w:t>
      </w:r>
      <w:bookmarkEnd w:id="116"/>
    </w:p>
    <w:p w14:paraId="485CB318">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3.3.1投标有效期</w:t>
      </w:r>
      <w:r>
        <w:rPr>
          <w:rFonts w:hint="eastAsia" w:ascii="宋体" w:hAnsi="宋体"/>
          <w:sz w:val="24"/>
          <w:szCs w:val="24"/>
          <w:highlight w:val="none"/>
          <w:lang w:eastAsia="zh-CN"/>
        </w:rPr>
        <w:t>见</w:t>
      </w:r>
      <w:r>
        <w:rPr>
          <w:rFonts w:hint="eastAsia" w:ascii="宋体" w:hAnsi="宋体"/>
          <w:sz w:val="24"/>
          <w:szCs w:val="24"/>
          <w:highlight w:val="none"/>
        </w:rPr>
        <w:t>投标人须知前附表。</w:t>
      </w:r>
    </w:p>
    <w:p w14:paraId="0DC7C8D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3.3.2在投标有效期内，投标人撤销或修改其投标文件的，应承担招标文件和法律规定的责任。</w:t>
      </w:r>
    </w:p>
    <w:p w14:paraId="6B5B2AFA">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3.3.3 出现特殊情况需要延长投标有效期的，采购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55912B57">
      <w:pPr>
        <w:spacing w:line="360" w:lineRule="auto"/>
        <w:rPr>
          <w:rFonts w:hint="eastAsia" w:ascii="宋体" w:hAnsi="宋体"/>
          <w:b/>
          <w:sz w:val="24"/>
          <w:szCs w:val="24"/>
          <w:highlight w:val="none"/>
        </w:rPr>
      </w:pPr>
      <w:bookmarkStart w:id="117" w:name="_Toc1543"/>
      <w:bookmarkEnd w:id="117"/>
      <w:bookmarkStart w:id="118" w:name="_Toc23125"/>
      <w:r>
        <w:rPr>
          <w:rFonts w:hint="eastAsia" w:ascii="宋体" w:hAnsi="宋体"/>
          <w:b/>
          <w:sz w:val="24"/>
          <w:szCs w:val="24"/>
          <w:highlight w:val="none"/>
        </w:rPr>
        <w:t>3.4 投标保证金</w:t>
      </w:r>
      <w:bookmarkEnd w:id="118"/>
    </w:p>
    <w:p w14:paraId="32B36D1A">
      <w:pPr>
        <w:spacing w:line="360" w:lineRule="auto"/>
        <w:ind w:firstLine="480" w:firstLineChars="200"/>
        <w:rPr>
          <w:rFonts w:hint="eastAsia" w:ascii="宋体" w:hAnsi="宋体"/>
          <w:sz w:val="24"/>
          <w:szCs w:val="24"/>
          <w:highlight w:val="none"/>
          <w:lang w:val="en-US" w:eastAsia="zh-CN"/>
        </w:rPr>
      </w:pPr>
      <w:r>
        <w:rPr>
          <w:rFonts w:hint="eastAsia" w:ascii="宋体" w:hAnsi="宋体"/>
          <w:sz w:val="24"/>
          <w:szCs w:val="24"/>
          <w:highlight w:val="none"/>
        </w:rPr>
        <w:t>3.4.1投标人在递交投标文件的同时，应按投标人须知前附表规定的金额、形式和第七章“投标文件格式”规定的投标保证金格式递交投标保证金，并作为其投标文件的组成部分。</w:t>
      </w:r>
      <w:r>
        <w:rPr>
          <w:rFonts w:hint="eastAsia" w:ascii="宋体" w:hAnsi="宋体"/>
          <w:sz w:val="24"/>
          <w:szCs w:val="24"/>
          <w:highlight w:val="none"/>
          <w:lang w:val="en-US" w:eastAsia="zh-CN"/>
        </w:rPr>
        <w:t xml:space="preserve">  </w:t>
      </w:r>
    </w:p>
    <w:p w14:paraId="345139AF">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3.4.2 投标人不按本章第3.4.1 项要求提交投标保证金的，其投标将被视为无效投标。</w:t>
      </w:r>
    </w:p>
    <w:p w14:paraId="7B082598">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3.4.3 采购人或者采购代理机构应当自中标通知书发出之日起5个工作日内退还未中标人的投标保证金，自采购合同签订之日起5个工作日内退还中标人的投标保证金。</w:t>
      </w:r>
    </w:p>
    <w:p w14:paraId="2A3606CC">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3.4.4 有下列情形之一的，投标保证金将不予退还：</w:t>
      </w:r>
    </w:p>
    <w:p w14:paraId="343D363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(1)投标人在投标有效期内撤销投标文件；</w:t>
      </w:r>
    </w:p>
    <w:p w14:paraId="02C92EF1">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(2)中标人在收到中标通知书后，无正当理由不与采购人订立合同，在签订合同时向采购人提出附加条件，或者不按照招标文件要求提交履约保证金；</w:t>
      </w:r>
    </w:p>
    <w:p w14:paraId="687C39F0">
      <w:pPr>
        <w:spacing w:line="360" w:lineRule="auto"/>
        <w:ind w:left="479" w:leftChars="228"/>
        <w:rPr>
          <w:rFonts w:hint="eastAsia" w:ascii="宋体" w:hAnsi="宋体"/>
          <w:sz w:val="24"/>
          <w:szCs w:val="24"/>
          <w:highlight w:val="none"/>
        </w:rPr>
      </w:pPr>
      <w:r>
        <w:rPr>
          <w:rFonts w:hint="eastAsia" w:ascii="宋体" w:hAnsi="宋体"/>
          <w:sz w:val="24"/>
          <w:szCs w:val="24"/>
          <w:highlight w:val="none"/>
        </w:rPr>
        <w:t>(3)其他法律法规要求不予退还投标保证金的情形。</w:t>
      </w:r>
    </w:p>
    <w:p w14:paraId="289E8EE3">
      <w:pPr>
        <w:spacing w:line="360" w:lineRule="auto"/>
        <w:rPr>
          <w:rFonts w:hint="eastAsia" w:ascii="宋体" w:hAnsi="宋体"/>
          <w:b/>
          <w:color w:val="FF0000"/>
          <w:sz w:val="24"/>
          <w:szCs w:val="24"/>
          <w:highlight w:val="none"/>
        </w:rPr>
      </w:pPr>
      <w:bookmarkStart w:id="119" w:name="_Toc32408"/>
      <w:bookmarkEnd w:id="119"/>
      <w:bookmarkStart w:id="120" w:name="_Toc4859"/>
      <w:r>
        <w:rPr>
          <w:rFonts w:hint="eastAsia" w:ascii="宋体" w:hAnsi="宋体"/>
          <w:b/>
          <w:sz w:val="24"/>
          <w:szCs w:val="24"/>
          <w:highlight w:val="none"/>
        </w:rPr>
        <w:t>3.5投标文件的编制</w:t>
      </w:r>
      <w:bookmarkEnd w:id="120"/>
    </w:p>
    <w:p w14:paraId="1F7A6B0F">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3.5.1 投标文件应按第七章“投标文件格式”进行编写。</w:t>
      </w:r>
    </w:p>
    <w:p w14:paraId="153575F1">
      <w:pPr>
        <w:spacing w:line="360" w:lineRule="auto"/>
        <w:ind w:firstLine="480" w:firstLineChars="200"/>
        <w:rPr>
          <w:rFonts w:hint="eastAsia" w:ascii="宋体" w:hAnsi="宋体"/>
          <w:sz w:val="24"/>
          <w:szCs w:val="24"/>
          <w:highlight w:val="none"/>
        </w:rPr>
      </w:pPr>
      <w:bookmarkStart w:id="121" w:name="_Toc1490"/>
      <w:bookmarkEnd w:id="121"/>
      <w:bookmarkStart w:id="122" w:name="_Toc13757"/>
      <w:bookmarkEnd w:id="122"/>
      <w:bookmarkStart w:id="123" w:name="_Toc7149"/>
      <w:r>
        <w:rPr>
          <w:rFonts w:hint="eastAsia" w:ascii="宋体" w:hAnsi="宋体"/>
          <w:sz w:val="24"/>
          <w:szCs w:val="24"/>
          <w:highlight w:val="none"/>
          <w:lang w:eastAsia="zh-CN"/>
        </w:rPr>
        <w:t>3.5.2</w:t>
      </w:r>
      <w:r>
        <w:rPr>
          <w:rFonts w:hint="eastAsia" w:ascii="宋体" w:hAnsi="宋体"/>
          <w:sz w:val="24"/>
          <w:szCs w:val="24"/>
          <w:highlight w:val="none"/>
        </w:rPr>
        <w:t>投标文件全部采用电子文档，除投标人须知前附表另有规定外，投标文件所附证书证件均为原件扫描件，并采用单位和个人数字证书，按招标文件要求在相应位置加盖电子签章。由投标人的法定代表人(单位负责人)签字或加盖电子签章的，应附法定代表人(单位负责人)身份证明，由代理人签字或加盖电子签章的，应附由法定代表人(单位负责人)签署的授权委托书。</w:t>
      </w:r>
    </w:p>
    <w:p w14:paraId="576FC133">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3.5.</w:t>
      </w:r>
      <w:r>
        <w:rPr>
          <w:rFonts w:hint="eastAsia" w:ascii="宋体" w:hAnsi="宋体" w:cs="宋体"/>
          <w:sz w:val="24"/>
          <w:szCs w:val="24"/>
          <w:highlight w:val="none"/>
          <w:lang w:val="en-US" w:eastAsia="zh-CN"/>
        </w:rPr>
        <w:t>3</w:t>
      </w:r>
      <w:r>
        <w:rPr>
          <w:rFonts w:hint="eastAsia" w:ascii="宋体" w:hAnsi="宋体" w:cs="宋体"/>
          <w:sz w:val="24"/>
          <w:szCs w:val="24"/>
          <w:highlight w:val="none"/>
        </w:rPr>
        <w:t>电子投标文件的格式</w:t>
      </w:r>
      <w:r>
        <w:rPr>
          <w:rFonts w:hint="eastAsia" w:ascii="宋体" w:hAnsi="宋体"/>
          <w:sz w:val="24"/>
          <w:szCs w:val="24"/>
          <w:highlight w:val="none"/>
        </w:rPr>
        <w:t>见投标人须知前附表</w:t>
      </w:r>
      <w:r>
        <w:rPr>
          <w:rFonts w:hint="eastAsia" w:ascii="宋体" w:hAnsi="宋体" w:cs="宋体"/>
          <w:sz w:val="24"/>
          <w:szCs w:val="24"/>
          <w:highlight w:val="none"/>
        </w:rPr>
        <w:t>。</w:t>
      </w:r>
    </w:p>
    <w:p w14:paraId="7EF7EBD5">
      <w:pP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3.5.</w:t>
      </w:r>
      <w:r>
        <w:rPr>
          <w:rFonts w:hint="eastAsia" w:ascii="宋体" w:hAnsi="宋体" w:cs="宋体"/>
          <w:sz w:val="24"/>
          <w:szCs w:val="24"/>
          <w:highlight w:val="none"/>
          <w:lang w:val="en-US" w:eastAsia="zh-CN"/>
        </w:rPr>
        <w:t>4</w:t>
      </w:r>
      <w:r>
        <w:rPr>
          <w:rFonts w:hint="eastAsia" w:ascii="宋体" w:hAnsi="宋体" w:cs="宋体"/>
          <w:sz w:val="24"/>
          <w:szCs w:val="24"/>
          <w:highlight w:val="none"/>
        </w:rPr>
        <w:t>如投标人提交的电子标书不符合3.5.</w:t>
      </w:r>
      <w:r>
        <w:rPr>
          <w:rFonts w:hint="eastAsia" w:ascii="宋体" w:hAnsi="宋体" w:cs="宋体"/>
          <w:sz w:val="24"/>
          <w:szCs w:val="24"/>
          <w:highlight w:val="none"/>
          <w:lang w:val="en-US" w:eastAsia="zh-CN"/>
        </w:rPr>
        <w:t>3</w:t>
      </w:r>
      <w:r>
        <w:rPr>
          <w:rFonts w:hint="eastAsia" w:ascii="宋体" w:hAnsi="宋体" w:cs="宋体"/>
          <w:sz w:val="24"/>
          <w:szCs w:val="24"/>
          <w:highlight w:val="none"/>
        </w:rPr>
        <w:t>要求或开标时无法读取导入或解密，其投标文件将不予受理。</w:t>
      </w:r>
    </w:p>
    <w:p w14:paraId="11FF04B9">
      <w:pPr>
        <w:pStyle w:val="3"/>
        <w:spacing w:before="0" w:after="0" w:line="360" w:lineRule="auto"/>
        <w:rPr>
          <w:rFonts w:hint="eastAsia" w:ascii="宋体" w:hAnsi="宋体" w:eastAsia="宋体"/>
          <w:sz w:val="28"/>
          <w:szCs w:val="28"/>
          <w:highlight w:val="none"/>
        </w:rPr>
      </w:pPr>
      <w:bookmarkStart w:id="124" w:name="_Toc30344"/>
      <w:r>
        <w:rPr>
          <w:rFonts w:hint="eastAsia" w:ascii="宋体" w:hAnsi="宋体" w:eastAsia="宋体"/>
          <w:sz w:val="28"/>
          <w:szCs w:val="28"/>
          <w:highlight w:val="none"/>
        </w:rPr>
        <w:t>4. 投标</w:t>
      </w:r>
      <w:bookmarkEnd w:id="123"/>
      <w:bookmarkEnd w:id="124"/>
    </w:p>
    <w:p w14:paraId="44EC51ED">
      <w:pPr>
        <w:spacing w:line="360" w:lineRule="auto"/>
        <w:rPr>
          <w:rFonts w:hint="default" w:ascii="宋体" w:hAnsi="宋体" w:eastAsia="宋体"/>
          <w:b/>
          <w:sz w:val="24"/>
          <w:szCs w:val="24"/>
          <w:highlight w:val="none"/>
          <w:lang w:val="en-US" w:eastAsia="zh-CN"/>
        </w:rPr>
      </w:pPr>
      <w:bookmarkStart w:id="125" w:name="_Toc1523"/>
      <w:bookmarkEnd w:id="125"/>
      <w:bookmarkStart w:id="126" w:name="_Toc25497"/>
      <w:r>
        <w:rPr>
          <w:rFonts w:hint="eastAsia" w:ascii="宋体" w:hAnsi="宋体"/>
          <w:b/>
          <w:sz w:val="24"/>
          <w:szCs w:val="24"/>
          <w:highlight w:val="none"/>
        </w:rPr>
        <w:t>4.1 投标文件</w:t>
      </w:r>
      <w:bookmarkEnd w:id="126"/>
      <w:r>
        <w:rPr>
          <w:rFonts w:hint="eastAsia" w:ascii="宋体" w:hAnsi="宋体"/>
          <w:b/>
          <w:sz w:val="24"/>
          <w:szCs w:val="24"/>
          <w:highlight w:val="none"/>
          <w:lang w:val="en-US" w:eastAsia="zh-CN"/>
        </w:rPr>
        <w:t>加密要求</w:t>
      </w:r>
    </w:p>
    <w:p w14:paraId="6F094997">
      <w:pPr>
        <w:spacing w:line="360" w:lineRule="auto"/>
        <w:ind w:firstLine="480" w:firstLineChars="200"/>
        <w:rPr>
          <w:rFonts w:ascii="宋体" w:hAnsi="宋体"/>
          <w:sz w:val="24"/>
          <w:szCs w:val="24"/>
          <w:highlight w:val="none"/>
        </w:rPr>
      </w:pPr>
      <w:bookmarkStart w:id="127" w:name="_Toc27596"/>
      <w:bookmarkEnd w:id="127"/>
      <w:r>
        <w:rPr>
          <w:rFonts w:hint="eastAsia" w:ascii="宋体" w:hAnsi="宋体"/>
          <w:sz w:val="24"/>
          <w:szCs w:val="24"/>
          <w:highlight w:val="none"/>
        </w:rPr>
        <w:t>4.1.1</w:t>
      </w:r>
      <w:r>
        <w:rPr>
          <w:rFonts w:hint="eastAsia" w:ascii="宋体" w:hAnsi="宋体"/>
          <w:sz w:val="24"/>
          <w:szCs w:val="24"/>
          <w:highlight w:val="none"/>
          <w:lang w:val="en-US" w:eastAsia="zh-CN"/>
        </w:rPr>
        <w:t xml:space="preserve"> </w:t>
      </w:r>
      <w:r>
        <w:rPr>
          <w:rFonts w:hint="eastAsia" w:ascii="宋体" w:hAnsi="宋体"/>
          <w:sz w:val="24"/>
          <w:szCs w:val="24"/>
          <w:highlight w:val="none"/>
        </w:rPr>
        <w:t>投标人应当按照招标文件和电子招标投标交易平台的要求加密投标文件，具体要求见投标人须知前附表。</w:t>
      </w:r>
    </w:p>
    <w:p w14:paraId="50818A0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lang w:val="en-US" w:eastAsia="zh-CN"/>
        </w:rPr>
        <w:t xml:space="preserve">4.1.2 </w:t>
      </w:r>
      <w:r>
        <w:rPr>
          <w:rFonts w:hint="eastAsia" w:ascii="宋体" w:hAnsi="宋体"/>
          <w:sz w:val="24"/>
          <w:szCs w:val="24"/>
          <w:highlight w:val="none"/>
        </w:rPr>
        <w:t>未按本章第4.1.1 要求</w:t>
      </w:r>
      <w:r>
        <w:rPr>
          <w:rFonts w:hint="eastAsia" w:ascii="宋体" w:hAnsi="宋体"/>
          <w:sz w:val="24"/>
          <w:szCs w:val="24"/>
          <w:highlight w:val="none"/>
          <w:lang w:val="en-US" w:eastAsia="zh-CN"/>
        </w:rPr>
        <w:t>加密</w:t>
      </w:r>
      <w:r>
        <w:rPr>
          <w:rFonts w:hint="eastAsia" w:ascii="宋体" w:hAnsi="宋体"/>
          <w:sz w:val="24"/>
          <w:szCs w:val="24"/>
          <w:highlight w:val="none"/>
        </w:rPr>
        <w:t>的投标文件，采购人将予以拒收。</w:t>
      </w:r>
    </w:p>
    <w:p w14:paraId="02520AFD">
      <w:pPr>
        <w:spacing w:line="360" w:lineRule="auto"/>
        <w:rPr>
          <w:rFonts w:hint="eastAsia" w:ascii="宋体" w:hAnsi="宋体"/>
          <w:b/>
          <w:sz w:val="24"/>
          <w:szCs w:val="24"/>
          <w:highlight w:val="none"/>
        </w:rPr>
      </w:pPr>
      <w:bookmarkStart w:id="128" w:name="_Toc20611"/>
      <w:bookmarkEnd w:id="128"/>
      <w:bookmarkStart w:id="129" w:name="_Toc9134"/>
      <w:r>
        <w:rPr>
          <w:rFonts w:hint="eastAsia" w:ascii="宋体" w:hAnsi="宋体"/>
          <w:b/>
          <w:sz w:val="24"/>
          <w:szCs w:val="24"/>
          <w:highlight w:val="none"/>
        </w:rPr>
        <w:t>4.2 投标文件</w:t>
      </w:r>
      <w:r>
        <w:rPr>
          <w:rFonts w:hint="eastAsia" w:ascii="宋体" w:hAnsi="宋体"/>
          <w:b/>
          <w:color w:val="auto"/>
          <w:sz w:val="24"/>
          <w:szCs w:val="24"/>
          <w:highlight w:val="none"/>
        </w:rPr>
        <w:t>的</w:t>
      </w:r>
      <w:r>
        <w:rPr>
          <w:rFonts w:hint="eastAsia" w:ascii="宋体" w:hAnsi="宋体"/>
          <w:b/>
          <w:sz w:val="24"/>
          <w:szCs w:val="24"/>
          <w:highlight w:val="none"/>
        </w:rPr>
        <w:t>递交</w:t>
      </w:r>
      <w:bookmarkEnd w:id="129"/>
    </w:p>
    <w:p w14:paraId="0F717208">
      <w:pPr>
        <w:pStyle w:val="11"/>
        <w:ind w:firstLine="480" w:firstLineChars="200"/>
        <w:rPr>
          <w:rFonts w:hint="eastAsia" w:ascii="宋体" w:hAnsi="宋体"/>
          <w:kern w:val="0"/>
          <w:sz w:val="24"/>
          <w:highlight w:val="none"/>
        </w:rPr>
      </w:pPr>
      <w:r>
        <w:rPr>
          <w:rFonts w:hint="eastAsia" w:ascii="宋体" w:hAnsi="宋体"/>
          <w:kern w:val="0"/>
          <w:sz w:val="24"/>
          <w:highlight w:val="none"/>
        </w:rPr>
        <w:t>4.2.1</w:t>
      </w:r>
      <w:r>
        <w:rPr>
          <w:rFonts w:hint="eastAsia" w:ascii="宋体" w:hAnsi="宋体"/>
          <w:kern w:val="0"/>
          <w:sz w:val="24"/>
          <w:highlight w:val="none"/>
          <w:lang w:val="en-US" w:eastAsia="zh-CN"/>
        </w:rPr>
        <w:t xml:space="preserve"> </w:t>
      </w:r>
      <w:r>
        <w:rPr>
          <w:rFonts w:hint="eastAsia" w:ascii="宋体" w:hAnsi="宋体"/>
          <w:kern w:val="0"/>
          <w:sz w:val="24"/>
          <w:highlight w:val="none"/>
        </w:rPr>
        <w:t>投标人应在投标人须知前附表规定的投标截止时间前递交投标文件。</w:t>
      </w:r>
    </w:p>
    <w:p w14:paraId="4A3106F8">
      <w:pPr>
        <w:pStyle w:val="11"/>
        <w:ind w:firstLine="480" w:firstLineChars="200"/>
        <w:rPr>
          <w:rFonts w:hint="eastAsia" w:ascii="宋体" w:hAnsi="宋体"/>
          <w:kern w:val="0"/>
          <w:sz w:val="24"/>
          <w:highlight w:val="none"/>
        </w:rPr>
      </w:pPr>
      <w:r>
        <w:rPr>
          <w:rFonts w:hint="eastAsia" w:ascii="宋体" w:hAnsi="宋体"/>
          <w:kern w:val="0"/>
          <w:sz w:val="24"/>
          <w:highlight w:val="none"/>
        </w:rPr>
        <w:t>4.2.2</w:t>
      </w:r>
      <w:r>
        <w:rPr>
          <w:rFonts w:hint="eastAsia" w:ascii="宋体" w:hAnsi="宋体"/>
          <w:kern w:val="0"/>
          <w:sz w:val="24"/>
          <w:highlight w:val="none"/>
          <w:lang w:val="en-US" w:eastAsia="zh-CN"/>
        </w:rPr>
        <w:t xml:space="preserve"> </w:t>
      </w:r>
      <w:r>
        <w:rPr>
          <w:rFonts w:hint="eastAsia" w:ascii="宋体" w:hAnsi="宋体"/>
          <w:kern w:val="0"/>
          <w:sz w:val="24"/>
          <w:highlight w:val="none"/>
        </w:rPr>
        <w:t>投标人递交投标文件的时间和地点：见投标人须知前附表。</w:t>
      </w:r>
    </w:p>
    <w:p w14:paraId="774592A7">
      <w:pPr>
        <w:pStyle w:val="11"/>
        <w:ind w:firstLine="480" w:firstLineChars="200"/>
        <w:rPr>
          <w:rFonts w:hint="eastAsia" w:ascii="宋体" w:hAnsi="宋体"/>
          <w:kern w:val="0"/>
          <w:sz w:val="24"/>
          <w:highlight w:val="none"/>
        </w:rPr>
      </w:pPr>
      <w:r>
        <w:rPr>
          <w:rFonts w:hint="eastAsia" w:ascii="宋体" w:hAnsi="宋体"/>
          <w:kern w:val="0"/>
          <w:sz w:val="24"/>
          <w:highlight w:val="none"/>
        </w:rPr>
        <w:t>4.2.3</w:t>
      </w:r>
      <w:r>
        <w:rPr>
          <w:rFonts w:hint="eastAsia" w:ascii="宋体" w:hAnsi="宋体"/>
          <w:kern w:val="0"/>
          <w:sz w:val="24"/>
          <w:highlight w:val="none"/>
          <w:lang w:val="en-US" w:eastAsia="zh-CN"/>
        </w:rPr>
        <w:t xml:space="preserve"> </w:t>
      </w:r>
      <w:r>
        <w:rPr>
          <w:rFonts w:hint="eastAsia" w:ascii="宋体" w:hAnsi="宋体"/>
          <w:kern w:val="0"/>
          <w:sz w:val="24"/>
          <w:highlight w:val="none"/>
        </w:rPr>
        <w:t>投标人所递交的投标文件不予退还。</w:t>
      </w:r>
    </w:p>
    <w:p w14:paraId="3949E8F4">
      <w:pPr>
        <w:spacing w:line="360" w:lineRule="auto"/>
        <w:rPr>
          <w:rFonts w:hint="eastAsia" w:ascii="宋体" w:hAnsi="宋体"/>
          <w:b/>
          <w:sz w:val="24"/>
          <w:szCs w:val="24"/>
          <w:highlight w:val="none"/>
        </w:rPr>
      </w:pPr>
      <w:bookmarkStart w:id="130" w:name="_Toc21133"/>
      <w:bookmarkEnd w:id="130"/>
      <w:bookmarkStart w:id="131" w:name="_Toc8975"/>
      <w:bookmarkEnd w:id="131"/>
      <w:bookmarkStart w:id="132" w:name="_Toc5071"/>
      <w:r>
        <w:rPr>
          <w:rFonts w:hint="eastAsia" w:ascii="宋体" w:hAnsi="宋体"/>
          <w:b/>
          <w:sz w:val="24"/>
          <w:szCs w:val="24"/>
          <w:highlight w:val="none"/>
        </w:rPr>
        <w:t>4.3 投标文件的修改与撤回</w:t>
      </w:r>
      <w:bookmarkEnd w:id="132"/>
    </w:p>
    <w:p w14:paraId="076507F5">
      <w:pPr>
        <w:spacing w:before="0" w:after="0" w:line="360" w:lineRule="auto"/>
        <w:ind w:firstLine="480" w:firstLineChars="200"/>
        <w:outlineLvl w:val="9"/>
        <w:rPr>
          <w:rFonts w:hint="eastAsia" w:ascii="宋体" w:hAnsi="宋体" w:eastAsia="宋体" w:cs="Times New Roman"/>
          <w:b w:val="0"/>
          <w:bCs w:val="0"/>
          <w:sz w:val="24"/>
          <w:szCs w:val="24"/>
          <w:highlight w:val="none"/>
          <w:lang w:val="en-US" w:eastAsia="zh-CN" w:bidi="ar-SA"/>
        </w:rPr>
      </w:pPr>
      <w:bookmarkStart w:id="133" w:name="_Toc20324"/>
      <w:r>
        <w:rPr>
          <w:rFonts w:hint="eastAsia" w:ascii="宋体" w:hAnsi="宋体" w:eastAsia="宋体" w:cs="Times New Roman"/>
          <w:b w:val="0"/>
          <w:bCs w:val="0"/>
          <w:sz w:val="24"/>
          <w:szCs w:val="24"/>
          <w:highlight w:val="none"/>
          <w:lang w:val="en-US" w:eastAsia="zh-CN" w:bidi="ar-SA"/>
        </w:rPr>
        <w:t>4.3.1在投标截止时间前，投标人可以撤回在网上已递交的投标文件，修改后重新递交。</w:t>
      </w:r>
    </w:p>
    <w:p w14:paraId="6A7C7DC8">
      <w:pPr>
        <w:spacing w:before="0" w:after="0" w:line="360" w:lineRule="auto"/>
        <w:ind w:firstLine="480" w:firstLineChars="200"/>
        <w:outlineLvl w:val="9"/>
        <w:rPr>
          <w:rFonts w:hint="eastAsia" w:ascii="宋体" w:hAnsi="宋体" w:eastAsia="宋体" w:cs="Times New Roman"/>
          <w:b w:val="0"/>
          <w:bCs w:val="0"/>
          <w:sz w:val="24"/>
          <w:szCs w:val="24"/>
          <w:highlight w:val="none"/>
          <w:lang w:val="en-US" w:eastAsia="zh-CN" w:bidi="ar-SA"/>
        </w:rPr>
      </w:pPr>
      <w:r>
        <w:rPr>
          <w:rFonts w:hint="eastAsia" w:ascii="宋体" w:hAnsi="宋体" w:eastAsia="宋体" w:cs="Times New Roman"/>
          <w:b w:val="0"/>
          <w:bCs w:val="0"/>
          <w:sz w:val="24"/>
          <w:szCs w:val="24"/>
          <w:highlight w:val="none"/>
          <w:lang w:val="en-US" w:eastAsia="zh-CN" w:bidi="ar-SA"/>
        </w:rPr>
        <w:t>4.3.2修改的投标文件应按照《电子投标文件编制及报送要求》规定进行编制、加密和递交。</w:t>
      </w:r>
    </w:p>
    <w:p w14:paraId="11774CDA">
      <w:pPr>
        <w:pStyle w:val="3"/>
        <w:spacing w:before="0" w:after="0" w:line="360" w:lineRule="auto"/>
        <w:rPr>
          <w:rFonts w:hint="eastAsia" w:ascii="宋体" w:hAnsi="宋体" w:eastAsia="宋体"/>
          <w:sz w:val="28"/>
          <w:szCs w:val="28"/>
          <w:highlight w:val="none"/>
        </w:rPr>
      </w:pPr>
      <w:bookmarkStart w:id="134" w:name="_Toc16340"/>
      <w:r>
        <w:rPr>
          <w:rFonts w:hint="eastAsia" w:ascii="宋体" w:hAnsi="宋体" w:eastAsia="宋体"/>
          <w:sz w:val="28"/>
          <w:szCs w:val="28"/>
          <w:highlight w:val="none"/>
        </w:rPr>
        <w:t>5. 开标</w:t>
      </w:r>
      <w:bookmarkEnd w:id="133"/>
      <w:bookmarkEnd w:id="134"/>
    </w:p>
    <w:p w14:paraId="180604BF">
      <w:pPr>
        <w:spacing w:line="360" w:lineRule="auto"/>
        <w:rPr>
          <w:rFonts w:hint="eastAsia" w:ascii="宋体" w:hAnsi="宋体"/>
          <w:b/>
          <w:sz w:val="24"/>
          <w:szCs w:val="24"/>
          <w:highlight w:val="none"/>
        </w:rPr>
      </w:pPr>
      <w:bookmarkStart w:id="135" w:name="_Toc1527"/>
      <w:bookmarkEnd w:id="135"/>
      <w:bookmarkStart w:id="136" w:name="_Toc9143"/>
      <w:r>
        <w:rPr>
          <w:rFonts w:hint="eastAsia" w:ascii="宋体" w:hAnsi="宋体"/>
          <w:b/>
          <w:sz w:val="24"/>
          <w:szCs w:val="24"/>
          <w:highlight w:val="none"/>
        </w:rPr>
        <w:t>5.1 开标时间和地点</w:t>
      </w:r>
      <w:bookmarkEnd w:id="136"/>
    </w:p>
    <w:p w14:paraId="03D4E41B">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采购人在本章第4.2.</w:t>
      </w:r>
      <w:r>
        <w:rPr>
          <w:rFonts w:hint="eastAsia" w:ascii="宋体" w:hAnsi="宋体"/>
          <w:sz w:val="24"/>
          <w:szCs w:val="24"/>
          <w:highlight w:val="none"/>
          <w:lang w:val="en-US" w:eastAsia="zh-CN"/>
        </w:rPr>
        <w:t>1</w:t>
      </w:r>
      <w:r>
        <w:rPr>
          <w:rFonts w:hint="eastAsia" w:ascii="宋体" w:hAnsi="宋体"/>
          <w:sz w:val="24"/>
          <w:szCs w:val="24"/>
          <w:highlight w:val="none"/>
        </w:rPr>
        <w:t>款规定的投标截止时间(开标时间)和投标人须知前附表规定的地点公开开标。</w:t>
      </w:r>
    </w:p>
    <w:p w14:paraId="0335AF2A">
      <w:pPr>
        <w:spacing w:line="360" w:lineRule="auto"/>
        <w:rPr>
          <w:rFonts w:hint="default" w:ascii="宋体" w:hAnsi="宋体" w:eastAsia="宋体"/>
          <w:b/>
          <w:bCs/>
          <w:sz w:val="24"/>
          <w:szCs w:val="24"/>
          <w:highlight w:val="none"/>
          <w:lang w:val="en-US" w:eastAsia="zh-CN"/>
        </w:rPr>
      </w:pPr>
      <w:bookmarkStart w:id="137" w:name="_Toc27792"/>
      <w:bookmarkEnd w:id="137"/>
      <w:bookmarkStart w:id="138" w:name="_Toc21332"/>
      <w:bookmarkEnd w:id="138"/>
      <w:bookmarkStart w:id="139" w:name="_Toc24636"/>
      <w:r>
        <w:rPr>
          <w:rFonts w:hint="eastAsia" w:ascii="宋体" w:hAnsi="宋体"/>
          <w:b/>
          <w:sz w:val="24"/>
          <w:szCs w:val="24"/>
          <w:highlight w:val="none"/>
          <w:lang w:val="en-US" w:eastAsia="zh-CN"/>
        </w:rPr>
        <w:t>5.2</w:t>
      </w:r>
      <w:r>
        <w:rPr>
          <w:rFonts w:hint="eastAsia" w:ascii="宋体" w:hAnsi="宋体"/>
          <w:b/>
          <w:bCs/>
          <w:sz w:val="24"/>
          <w:szCs w:val="24"/>
          <w:highlight w:val="none"/>
        </w:rPr>
        <w:t>投标</w:t>
      </w:r>
      <w:r>
        <w:rPr>
          <w:rFonts w:hint="eastAsia" w:ascii="宋体" w:hAnsi="宋体"/>
          <w:b/>
          <w:bCs/>
          <w:sz w:val="24"/>
          <w:szCs w:val="24"/>
          <w:highlight w:val="none"/>
          <w:lang w:val="en-US" w:eastAsia="zh-CN"/>
        </w:rPr>
        <w:t>截止后投标</w:t>
      </w:r>
      <w:r>
        <w:rPr>
          <w:rFonts w:hint="eastAsia" w:ascii="宋体" w:hAnsi="宋体"/>
          <w:b/>
          <w:bCs/>
          <w:sz w:val="24"/>
          <w:szCs w:val="24"/>
          <w:highlight w:val="none"/>
        </w:rPr>
        <w:t>人不足3家的，不得开标。</w:t>
      </w:r>
    </w:p>
    <w:p w14:paraId="5635DC16">
      <w:pPr>
        <w:spacing w:line="360" w:lineRule="auto"/>
        <w:rPr>
          <w:rFonts w:hint="eastAsia" w:ascii="宋体" w:hAnsi="宋体"/>
          <w:b/>
          <w:sz w:val="24"/>
          <w:szCs w:val="24"/>
          <w:highlight w:val="none"/>
        </w:rPr>
      </w:pPr>
      <w:r>
        <w:rPr>
          <w:rFonts w:hint="eastAsia" w:ascii="宋体" w:hAnsi="宋体"/>
          <w:b/>
          <w:sz w:val="24"/>
          <w:szCs w:val="24"/>
          <w:highlight w:val="none"/>
        </w:rPr>
        <w:t>5.</w:t>
      </w:r>
      <w:r>
        <w:rPr>
          <w:rFonts w:hint="eastAsia" w:ascii="宋体" w:hAnsi="宋体"/>
          <w:b/>
          <w:sz w:val="24"/>
          <w:szCs w:val="24"/>
          <w:highlight w:val="none"/>
          <w:lang w:val="en-US" w:eastAsia="zh-CN"/>
        </w:rPr>
        <w:t>3</w:t>
      </w:r>
      <w:r>
        <w:rPr>
          <w:rFonts w:hint="eastAsia" w:ascii="宋体" w:hAnsi="宋体"/>
          <w:b/>
          <w:sz w:val="24"/>
          <w:szCs w:val="24"/>
          <w:highlight w:val="none"/>
        </w:rPr>
        <w:t xml:space="preserve"> 开标程序</w:t>
      </w:r>
      <w:bookmarkEnd w:id="139"/>
    </w:p>
    <w:p w14:paraId="7493F932">
      <w:pPr>
        <w:spacing w:line="360" w:lineRule="auto"/>
        <w:ind w:firstLine="480" w:firstLineChars="200"/>
        <w:rPr>
          <w:rFonts w:hint="eastAsia" w:ascii="宋体" w:hAnsi="宋体" w:eastAsia="宋体"/>
          <w:sz w:val="24"/>
          <w:szCs w:val="24"/>
          <w:highlight w:val="none"/>
          <w:lang w:eastAsia="zh-CN"/>
        </w:rPr>
      </w:pPr>
      <w:bookmarkStart w:id="140" w:name="_Toc27216"/>
      <w:bookmarkEnd w:id="140"/>
      <w:bookmarkStart w:id="141" w:name="_Toc22860"/>
      <w:r>
        <w:rPr>
          <w:rFonts w:hint="eastAsia" w:ascii="宋体" w:hAnsi="宋体"/>
          <w:sz w:val="24"/>
          <w:szCs w:val="24"/>
          <w:highlight w:val="none"/>
        </w:rPr>
        <w:t>(1)开标会由采购代理机构主持</w:t>
      </w:r>
      <w:r>
        <w:rPr>
          <w:rFonts w:hint="eastAsia" w:ascii="宋体" w:hAnsi="宋体"/>
          <w:sz w:val="24"/>
          <w:szCs w:val="24"/>
          <w:highlight w:val="none"/>
          <w:lang w:eastAsia="zh-CN"/>
        </w:rPr>
        <w:t>。</w:t>
      </w:r>
    </w:p>
    <w:p w14:paraId="173A8FD2">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(2)开标:</w:t>
      </w:r>
      <w:r>
        <w:rPr>
          <w:rFonts w:hint="eastAsia" w:ascii="宋体" w:hAnsi="宋体"/>
          <w:sz w:val="24"/>
          <w:szCs w:val="24"/>
          <w:highlight w:val="none"/>
          <w:lang w:val="en-US" w:eastAsia="zh-CN"/>
        </w:rPr>
        <w:t>顺序</w:t>
      </w:r>
      <w:r>
        <w:rPr>
          <w:rFonts w:hint="eastAsia" w:ascii="宋体" w:hAnsi="宋体"/>
          <w:sz w:val="24"/>
          <w:szCs w:val="24"/>
          <w:highlight w:val="none"/>
        </w:rPr>
        <w:t>按照电子公共资源交易平台自动提取所有供应商的顺序当众开标。</w:t>
      </w:r>
    </w:p>
    <w:p w14:paraId="79F06B5A">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(3)唱标</w:t>
      </w:r>
      <w:r>
        <w:rPr>
          <w:rFonts w:hint="eastAsia" w:ascii="宋体" w:hAnsi="宋体"/>
          <w:sz w:val="24"/>
          <w:szCs w:val="24"/>
          <w:highlight w:val="none"/>
          <w:lang w:eastAsia="zh-CN"/>
        </w:rPr>
        <w:t>：</w:t>
      </w:r>
      <w:r>
        <w:rPr>
          <w:rFonts w:hint="eastAsia" w:ascii="宋体" w:hAnsi="宋体"/>
          <w:sz w:val="24"/>
          <w:szCs w:val="24"/>
          <w:highlight w:val="none"/>
          <w:lang w:val="en-US" w:eastAsia="zh-CN"/>
        </w:rPr>
        <w:t>智能播报/</w:t>
      </w:r>
      <w:r>
        <w:rPr>
          <w:rFonts w:hint="eastAsia" w:ascii="宋体" w:hAnsi="宋体"/>
          <w:sz w:val="24"/>
          <w:szCs w:val="24"/>
          <w:highlight w:val="none"/>
        </w:rPr>
        <w:t>由唱标人宣读投标人在其电子投标文件中投标价格和招标文件规定的需要宣布的其他内容。</w:t>
      </w:r>
    </w:p>
    <w:p w14:paraId="275BF59F">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w:t>
      </w:r>
      <w:r>
        <w:rPr>
          <w:rFonts w:hint="eastAsia" w:ascii="宋体" w:hAnsi="宋体"/>
          <w:sz w:val="24"/>
          <w:szCs w:val="24"/>
          <w:highlight w:val="none"/>
          <w:lang w:val="en-US" w:eastAsia="zh-CN"/>
        </w:rPr>
        <w:t>4</w:t>
      </w:r>
      <w:r>
        <w:rPr>
          <w:rFonts w:hint="eastAsia" w:ascii="宋体" w:hAnsi="宋体"/>
          <w:sz w:val="24"/>
          <w:szCs w:val="24"/>
          <w:highlight w:val="none"/>
        </w:rPr>
        <w:t>) 开标工作人员将做开标记录，参加开标的各相关工作人员须签字确认。</w:t>
      </w:r>
    </w:p>
    <w:p w14:paraId="7B291D71">
      <w:pPr>
        <w:spacing w:line="360" w:lineRule="auto"/>
        <w:rPr>
          <w:rFonts w:hint="eastAsia" w:ascii="宋体" w:hAnsi="宋体" w:eastAsia="宋体"/>
          <w:b/>
          <w:sz w:val="24"/>
          <w:szCs w:val="24"/>
          <w:highlight w:val="none"/>
          <w:lang w:eastAsia="zh-CN"/>
        </w:rPr>
      </w:pPr>
      <w:r>
        <w:rPr>
          <w:rFonts w:hint="eastAsia" w:ascii="宋体" w:hAnsi="宋体"/>
          <w:b/>
          <w:sz w:val="24"/>
          <w:szCs w:val="24"/>
          <w:highlight w:val="none"/>
        </w:rPr>
        <w:t>5.</w:t>
      </w:r>
      <w:r>
        <w:rPr>
          <w:rFonts w:hint="eastAsia" w:ascii="宋体" w:hAnsi="宋体"/>
          <w:b/>
          <w:sz w:val="24"/>
          <w:szCs w:val="24"/>
          <w:highlight w:val="none"/>
          <w:lang w:val="en-US" w:eastAsia="zh-CN"/>
        </w:rPr>
        <w:t>4</w:t>
      </w:r>
      <w:r>
        <w:rPr>
          <w:rFonts w:hint="eastAsia" w:ascii="宋体" w:hAnsi="宋体"/>
          <w:b/>
          <w:sz w:val="24"/>
          <w:szCs w:val="24"/>
          <w:highlight w:val="none"/>
        </w:rPr>
        <w:t xml:space="preserve"> 开标</w:t>
      </w:r>
      <w:bookmarkEnd w:id="141"/>
      <w:r>
        <w:rPr>
          <w:rFonts w:hint="eastAsia" w:ascii="宋体" w:hAnsi="宋体"/>
          <w:b/>
          <w:sz w:val="24"/>
          <w:szCs w:val="24"/>
          <w:highlight w:val="none"/>
          <w:lang w:val="en-US" w:eastAsia="zh-CN"/>
        </w:rPr>
        <w:t>异议</w:t>
      </w:r>
    </w:p>
    <w:p w14:paraId="0AD39392">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开标过程中如有问题，可以在线提出异议，由代理机构给予回复。在规定的异议询问时间内未提出异议的，则视为对开标结果无异议。</w:t>
      </w:r>
    </w:p>
    <w:p w14:paraId="656530BB">
      <w:pPr>
        <w:pStyle w:val="3"/>
        <w:spacing w:before="0" w:after="0" w:line="360" w:lineRule="auto"/>
        <w:rPr>
          <w:rFonts w:hint="eastAsia" w:ascii="宋体" w:hAnsi="宋体" w:eastAsia="宋体"/>
          <w:sz w:val="28"/>
          <w:szCs w:val="28"/>
          <w:highlight w:val="none"/>
        </w:rPr>
      </w:pPr>
      <w:bookmarkStart w:id="142" w:name="_Toc27754"/>
      <w:bookmarkEnd w:id="142"/>
      <w:bookmarkStart w:id="143" w:name="_Toc26040"/>
      <w:bookmarkEnd w:id="143"/>
      <w:bookmarkStart w:id="144" w:name="_Toc30133"/>
      <w:bookmarkStart w:id="145" w:name="_Toc30183"/>
      <w:r>
        <w:rPr>
          <w:rFonts w:hint="eastAsia" w:ascii="宋体" w:hAnsi="宋体" w:eastAsia="宋体"/>
          <w:sz w:val="28"/>
          <w:szCs w:val="28"/>
          <w:highlight w:val="none"/>
        </w:rPr>
        <w:t>6. 资格审查</w:t>
      </w:r>
      <w:bookmarkEnd w:id="144"/>
      <w:bookmarkEnd w:id="145"/>
    </w:p>
    <w:p w14:paraId="0F092A94">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公开招标采购项目开标结束后，采购人或者采购代理机构应当依法对投标人的资格进行审查。</w:t>
      </w:r>
    </w:p>
    <w:p w14:paraId="10F8CADB">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合格投标人不足3家的，不得评标。</w:t>
      </w:r>
    </w:p>
    <w:p w14:paraId="18A03F73">
      <w:pPr>
        <w:pStyle w:val="3"/>
        <w:spacing w:before="0" w:after="0" w:line="360" w:lineRule="auto"/>
        <w:rPr>
          <w:rFonts w:hint="eastAsia" w:ascii="宋体" w:hAnsi="宋体" w:eastAsia="宋体"/>
          <w:sz w:val="28"/>
          <w:szCs w:val="28"/>
          <w:highlight w:val="none"/>
        </w:rPr>
      </w:pPr>
      <w:bookmarkStart w:id="146" w:name="_Toc25563"/>
      <w:bookmarkEnd w:id="146"/>
      <w:bookmarkStart w:id="147" w:name="_Toc11518"/>
      <w:bookmarkEnd w:id="147"/>
      <w:bookmarkStart w:id="148" w:name="_Toc29087"/>
      <w:bookmarkStart w:id="149" w:name="_Toc1404"/>
      <w:r>
        <w:rPr>
          <w:rFonts w:hint="eastAsia" w:ascii="宋体" w:hAnsi="宋体" w:eastAsia="宋体"/>
          <w:sz w:val="28"/>
          <w:szCs w:val="28"/>
          <w:highlight w:val="none"/>
        </w:rPr>
        <w:t>7. 评标</w:t>
      </w:r>
      <w:bookmarkEnd w:id="148"/>
      <w:bookmarkEnd w:id="149"/>
    </w:p>
    <w:p w14:paraId="534F39AA">
      <w:pPr>
        <w:spacing w:line="360" w:lineRule="auto"/>
        <w:rPr>
          <w:rFonts w:hint="eastAsia" w:ascii="宋体" w:hAnsi="宋体"/>
          <w:b/>
          <w:sz w:val="24"/>
          <w:szCs w:val="24"/>
          <w:highlight w:val="none"/>
        </w:rPr>
      </w:pPr>
      <w:bookmarkStart w:id="150" w:name="_Toc11207"/>
      <w:bookmarkEnd w:id="150"/>
      <w:bookmarkStart w:id="151" w:name="_Toc4770"/>
      <w:r>
        <w:rPr>
          <w:rFonts w:hint="eastAsia" w:ascii="宋体" w:hAnsi="宋体"/>
          <w:b/>
          <w:sz w:val="24"/>
          <w:szCs w:val="24"/>
          <w:highlight w:val="none"/>
        </w:rPr>
        <w:t>7.1 评标委员会</w:t>
      </w:r>
      <w:bookmarkEnd w:id="151"/>
    </w:p>
    <w:p w14:paraId="361758D0">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7.1.1 评标由采购人依法组建的评标委员会负责。评标委员会成员人数见投标人须知前附表。</w:t>
      </w:r>
    </w:p>
    <w:p w14:paraId="6B18A7A9">
      <w:pPr>
        <w:spacing w:line="360" w:lineRule="auto"/>
        <w:ind w:firstLine="540" w:firstLineChars="225"/>
        <w:rPr>
          <w:rFonts w:hint="eastAsia" w:ascii="宋体" w:hAnsi="宋体"/>
          <w:sz w:val="24"/>
          <w:szCs w:val="24"/>
          <w:highlight w:val="none"/>
        </w:rPr>
      </w:pPr>
      <w:r>
        <w:rPr>
          <w:rFonts w:hint="eastAsia" w:ascii="宋体" w:hAnsi="宋体"/>
          <w:sz w:val="24"/>
          <w:szCs w:val="24"/>
          <w:highlight w:val="none"/>
        </w:rPr>
        <w:t>7.1.2 评标中因评标委员会成员缺席、回避或者健康等特殊原因导致评标委员会组成不符合《政府采购货物和服务招标投标管理办法》(财政部令第87号)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招标文件一并存档。</w:t>
      </w:r>
    </w:p>
    <w:p w14:paraId="15FC8289">
      <w:pPr>
        <w:spacing w:line="360" w:lineRule="auto"/>
        <w:rPr>
          <w:rFonts w:hint="eastAsia" w:ascii="宋体" w:hAnsi="宋体"/>
          <w:b/>
          <w:sz w:val="24"/>
          <w:szCs w:val="24"/>
          <w:highlight w:val="none"/>
        </w:rPr>
      </w:pPr>
      <w:bookmarkStart w:id="152" w:name="_Toc28237"/>
      <w:bookmarkEnd w:id="152"/>
      <w:bookmarkStart w:id="153" w:name="_Toc6336"/>
      <w:r>
        <w:rPr>
          <w:rFonts w:hint="eastAsia" w:ascii="宋体" w:hAnsi="宋体"/>
          <w:b/>
          <w:sz w:val="24"/>
          <w:szCs w:val="24"/>
          <w:highlight w:val="none"/>
        </w:rPr>
        <w:t>7.2 评标原则</w:t>
      </w:r>
      <w:bookmarkEnd w:id="153"/>
    </w:p>
    <w:p w14:paraId="4CE30355">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评标活动遵循公平、公正、科学和择优的原则。</w:t>
      </w:r>
    </w:p>
    <w:p w14:paraId="2D71E672">
      <w:pPr>
        <w:spacing w:line="360" w:lineRule="auto"/>
        <w:rPr>
          <w:rFonts w:hint="eastAsia" w:ascii="宋体" w:hAnsi="宋体"/>
          <w:b/>
          <w:sz w:val="24"/>
          <w:szCs w:val="24"/>
          <w:highlight w:val="none"/>
        </w:rPr>
      </w:pPr>
      <w:bookmarkStart w:id="154" w:name="_Toc10442"/>
      <w:bookmarkEnd w:id="154"/>
      <w:bookmarkStart w:id="155" w:name="_Toc5282"/>
      <w:r>
        <w:rPr>
          <w:rFonts w:hint="eastAsia" w:ascii="宋体" w:hAnsi="宋体"/>
          <w:b/>
          <w:sz w:val="24"/>
          <w:szCs w:val="24"/>
          <w:highlight w:val="none"/>
        </w:rPr>
        <w:t>7.3 评标</w:t>
      </w:r>
      <w:bookmarkEnd w:id="155"/>
    </w:p>
    <w:p w14:paraId="778B488C">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7.3.1 评标委员会按照第四章“评标办法”规定的方法、评审因素、标准和程序对投标文件进行评审。第四章“评标办法”没有规定的方法、评审因素和标准，不作为评标依据。</w:t>
      </w:r>
    </w:p>
    <w:p w14:paraId="67C7C1CE">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7.3.2 评标完成后，评标委员会应当向采购人提交书面评标报告和中标候选人名单。评标委员会推荐中标候选人的人数见投标人须知前附表。</w:t>
      </w:r>
    </w:p>
    <w:p w14:paraId="25F4C8C6">
      <w:pPr>
        <w:pStyle w:val="3"/>
        <w:spacing w:before="0" w:after="0" w:line="360" w:lineRule="auto"/>
        <w:rPr>
          <w:rFonts w:hint="eastAsia" w:ascii="宋体" w:hAnsi="宋体" w:eastAsia="宋体"/>
          <w:sz w:val="28"/>
          <w:szCs w:val="28"/>
          <w:highlight w:val="none"/>
        </w:rPr>
      </w:pPr>
      <w:bookmarkStart w:id="156" w:name="_Toc30483"/>
      <w:bookmarkEnd w:id="156"/>
      <w:bookmarkStart w:id="157" w:name="_Toc6003"/>
      <w:bookmarkEnd w:id="157"/>
      <w:bookmarkStart w:id="158" w:name="_Toc22840"/>
      <w:bookmarkStart w:id="159" w:name="_Toc19012"/>
      <w:r>
        <w:rPr>
          <w:rFonts w:hint="eastAsia" w:ascii="宋体" w:hAnsi="宋体" w:eastAsia="宋体"/>
          <w:sz w:val="28"/>
          <w:szCs w:val="28"/>
          <w:highlight w:val="none"/>
        </w:rPr>
        <w:t>8. 中标和合同</w:t>
      </w:r>
      <w:bookmarkEnd w:id="158"/>
      <w:bookmarkEnd w:id="159"/>
    </w:p>
    <w:p w14:paraId="01F1E5C4">
      <w:pPr>
        <w:spacing w:line="360" w:lineRule="auto"/>
        <w:rPr>
          <w:rFonts w:hint="eastAsia" w:ascii="宋体" w:hAnsi="宋体"/>
          <w:b/>
          <w:sz w:val="24"/>
          <w:szCs w:val="24"/>
          <w:highlight w:val="none"/>
        </w:rPr>
      </w:pPr>
      <w:bookmarkStart w:id="160" w:name="_Toc18219"/>
      <w:bookmarkEnd w:id="160"/>
      <w:bookmarkStart w:id="161" w:name="_Toc31217"/>
      <w:r>
        <w:rPr>
          <w:rFonts w:hint="eastAsia" w:ascii="宋体" w:hAnsi="宋体"/>
          <w:b/>
          <w:sz w:val="24"/>
          <w:szCs w:val="24"/>
          <w:highlight w:val="none"/>
        </w:rPr>
        <w:t>8.1 定标</w:t>
      </w:r>
      <w:bookmarkEnd w:id="161"/>
    </w:p>
    <w:p w14:paraId="4ACACBFE">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按照投标人须知前附表的规定，采购人或采购人授权的评标委员会依法确定中标人。</w:t>
      </w:r>
    </w:p>
    <w:p w14:paraId="0A28A916">
      <w:pPr>
        <w:spacing w:line="360" w:lineRule="auto"/>
        <w:rPr>
          <w:rFonts w:hint="eastAsia" w:ascii="宋体" w:hAnsi="宋体"/>
          <w:b/>
          <w:sz w:val="24"/>
          <w:szCs w:val="24"/>
          <w:highlight w:val="none"/>
        </w:rPr>
      </w:pPr>
      <w:bookmarkStart w:id="162" w:name="_Toc18811"/>
      <w:bookmarkEnd w:id="162"/>
      <w:bookmarkStart w:id="163" w:name="_Toc18115"/>
      <w:r>
        <w:rPr>
          <w:rFonts w:hint="eastAsia" w:ascii="宋体" w:hAnsi="宋体"/>
          <w:b/>
          <w:sz w:val="24"/>
          <w:szCs w:val="24"/>
          <w:highlight w:val="none"/>
        </w:rPr>
        <w:t>8.2中标公告</w:t>
      </w:r>
      <w:bookmarkEnd w:id="163"/>
    </w:p>
    <w:p w14:paraId="369B9F8E">
      <w:pPr>
        <w:widowControl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采购人或者采购代理机构应当自中标人确定之日起2个工作日内，按照投标人须知前附表规定的媒介和期限公告中标结果，招标文件应当随中标结果同时公告。</w:t>
      </w:r>
    </w:p>
    <w:p w14:paraId="5B723B8A">
      <w:pPr>
        <w:spacing w:line="360" w:lineRule="auto"/>
        <w:ind w:firstLine="480" w:firstLineChars="200"/>
        <w:rPr>
          <w:rFonts w:hint="eastAsia" w:ascii="宋体" w:hAnsi="宋体"/>
          <w:color w:val="FF0000"/>
          <w:sz w:val="24"/>
          <w:szCs w:val="24"/>
          <w:highlight w:val="none"/>
        </w:rPr>
      </w:pPr>
      <w:r>
        <w:rPr>
          <w:rFonts w:hint="eastAsia" w:ascii="宋体" w:hAnsi="宋体"/>
          <w:sz w:val="24"/>
          <w:szCs w:val="24"/>
          <w:highlight w:val="none"/>
        </w:rPr>
        <w:t>中标公告期限详见投标人须知前附表。</w:t>
      </w:r>
    </w:p>
    <w:p w14:paraId="7FB43AAB">
      <w:pPr>
        <w:spacing w:line="360" w:lineRule="auto"/>
        <w:rPr>
          <w:rFonts w:hint="eastAsia" w:ascii="宋体" w:hAnsi="宋体"/>
          <w:b/>
          <w:sz w:val="24"/>
          <w:szCs w:val="24"/>
          <w:highlight w:val="none"/>
        </w:rPr>
      </w:pPr>
      <w:bookmarkStart w:id="164" w:name="_Toc16495"/>
      <w:bookmarkEnd w:id="164"/>
      <w:bookmarkStart w:id="165" w:name="_Toc8411"/>
      <w:bookmarkEnd w:id="165"/>
      <w:bookmarkStart w:id="166" w:name="_Toc3833"/>
      <w:r>
        <w:rPr>
          <w:rFonts w:hint="eastAsia" w:ascii="宋体" w:hAnsi="宋体"/>
          <w:b/>
          <w:sz w:val="24"/>
          <w:szCs w:val="24"/>
          <w:highlight w:val="none"/>
        </w:rPr>
        <w:t>8.3中标通知</w:t>
      </w:r>
      <w:bookmarkEnd w:id="166"/>
    </w:p>
    <w:p w14:paraId="418D89A8">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在本章第3.3 款规定的投标有效期内，在公告中标结果的同时，采购人或者采购代理机构应当向中标人发出中标通知书。</w:t>
      </w:r>
    </w:p>
    <w:p w14:paraId="0E3E9CC1">
      <w:pPr>
        <w:spacing w:line="360" w:lineRule="auto"/>
        <w:rPr>
          <w:rFonts w:hint="eastAsia" w:ascii="宋体" w:hAnsi="宋体"/>
          <w:b/>
          <w:sz w:val="24"/>
          <w:szCs w:val="24"/>
          <w:highlight w:val="none"/>
        </w:rPr>
      </w:pPr>
      <w:bookmarkStart w:id="167" w:name="_Toc13042"/>
      <w:bookmarkEnd w:id="167"/>
      <w:bookmarkStart w:id="168" w:name="_Toc7193"/>
      <w:r>
        <w:rPr>
          <w:rFonts w:hint="eastAsia" w:ascii="宋体" w:hAnsi="宋体"/>
          <w:b/>
          <w:sz w:val="24"/>
          <w:szCs w:val="24"/>
          <w:highlight w:val="none"/>
        </w:rPr>
        <w:t>8.4 履约保证金</w:t>
      </w:r>
      <w:bookmarkEnd w:id="168"/>
    </w:p>
    <w:p w14:paraId="0E89038C">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8.4.1 在签订合同前，中标人应按投标人须知前附表规定的形式、金额向采购人提交履约保证金。联合体中标的，其履约保证金以联合体各方或者联合体中牵头人的名义提交。</w:t>
      </w:r>
    </w:p>
    <w:p w14:paraId="5A2EDAA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8.4.2 中标人不能按本章第8.4.1项要求提交履约保证金的，视为放弃中标，其投标保证金不予退还，给采购人造成的损失超过投标保证金数额的，中标人还应当对超过部分予以赔偿。</w:t>
      </w:r>
    </w:p>
    <w:p w14:paraId="389500F2">
      <w:pPr>
        <w:spacing w:line="360" w:lineRule="auto"/>
        <w:rPr>
          <w:rFonts w:hint="eastAsia" w:ascii="宋体" w:hAnsi="宋体"/>
          <w:b/>
          <w:sz w:val="24"/>
          <w:szCs w:val="24"/>
          <w:highlight w:val="none"/>
        </w:rPr>
      </w:pPr>
      <w:bookmarkStart w:id="169" w:name="_Toc6413"/>
      <w:bookmarkEnd w:id="169"/>
      <w:bookmarkStart w:id="170" w:name="_Toc18519"/>
      <w:r>
        <w:rPr>
          <w:rFonts w:hint="eastAsia" w:ascii="宋体" w:hAnsi="宋体"/>
          <w:b/>
          <w:sz w:val="24"/>
          <w:szCs w:val="24"/>
          <w:highlight w:val="none"/>
        </w:rPr>
        <w:t>8.5 签订合同</w:t>
      </w:r>
      <w:bookmarkEnd w:id="170"/>
    </w:p>
    <w:p w14:paraId="1B075B4C">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8.5.1 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3324F8E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8.5.2 中标通知书发出后，采购人不得违法改变中标结果，中标人无正当理由不得放弃中标。</w:t>
      </w:r>
    </w:p>
    <w:p w14:paraId="779060F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8.5.3联合体中标的，联合体各方应当共同与采购人签订合同，就中标项目向采购人承担连带责任。</w:t>
      </w:r>
    </w:p>
    <w:p w14:paraId="42497691">
      <w:pPr>
        <w:pStyle w:val="3"/>
        <w:spacing w:before="0" w:after="0" w:line="360" w:lineRule="auto"/>
        <w:rPr>
          <w:rFonts w:hint="eastAsia" w:ascii="宋体" w:hAnsi="宋体" w:eastAsia="宋体"/>
          <w:sz w:val="28"/>
          <w:szCs w:val="28"/>
          <w:highlight w:val="none"/>
        </w:rPr>
      </w:pPr>
      <w:bookmarkStart w:id="171" w:name="_Toc18054"/>
      <w:r>
        <w:rPr>
          <w:rFonts w:hint="eastAsia" w:ascii="宋体" w:hAnsi="宋体" w:eastAsia="宋体"/>
          <w:sz w:val="28"/>
          <w:szCs w:val="28"/>
          <w:highlight w:val="none"/>
        </w:rPr>
        <w:t>9. 询问与答复</w:t>
      </w:r>
      <w:bookmarkEnd w:id="171"/>
    </w:p>
    <w:p w14:paraId="14CCD41F">
      <w:pPr>
        <w:pStyle w:val="11"/>
        <w:ind w:firstLine="480" w:firstLineChars="200"/>
        <w:rPr>
          <w:rFonts w:hint="eastAsia"/>
          <w:kern w:val="0"/>
          <w:sz w:val="24"/>
          <w:highlight w:val="none"/>
        </w:rPr>
      </w:pPr>
      <w:r>
        <w:rPr>
          <w:rFonts w:hint="eastAsia"/>
          <w:kern w:val="0"/>
          <w:sz w:val="24"/>
          <w:highlight w:val="none"/>
        </w:rPr>
        <w:t>凡对本次招标采购活动事项有疑问的，可以向采购代理机构提出询问，采购代理机构将及时作出答复，但答复的内容不得涉及商业秘密。</w:t>
      </w:r>
    </w:p>
    <w:p w14:paraId="39B99DF7">
      <w:pPr>
        <w:pStyle w:val="3"/>
        <w:spacing w:before="0" w:after="0" w:line="360" w:lineRule="auto"/>
        <w:rPr>
          <w:rFonts w:hint="eastAsia" w:ascii="宋体" w:hAnsi="宋体" w:eastAsia="宋体"/>
          <w:sz w:val="28"/>
          <w:szCs w:val="28"/>
          <w:highlight w:val="none"/>
        </w:rPr>
      </w:pPr>
      <w:bookmarkStart w:id="172" w:name="_Toc20692"/>
      <w:bookmarkEnd w:id="172"/>
      <w:bookmarkStart w:id="173" w:name="_Toc11854"/>
      <w:bookmarkEnd w:id="173"/>
      <w:bookmarkStart w:id="174" w:name="_Toc16995"/>
      <w:bookmarkStart w:id="175" w:name="_Toc20594"/>
      <w:r>
        <w:rPr>
          <w:rFonts w:hint="eastAsia" w:ascii="宋体" w:hAnsi="宋体" w:eastAsia="宋体"/>
          <w:sz w:val="28"/>
          <w:szCs w:val="28"/>
          <w:highlight w:val="none"/>
        </w:rPr>
        <w:t>10. 质疑接收、回复</w:t>
      </w:r>
      <w:bookmarkEnd w:id="174"/>
    </w:p>
    <w:p w14:paraId="03E24B91">
      <w:pPr>
        <w:spacing w:line="360" w:lineRule="auto"/>
        <w:rPr>
          <w:rFonts w:hint="eastAsia" w:ascii="宋体" w:hAnsi="宋体"/>
          <w:b/>
          <w:sz w:val="24"/>
          <w:szCs w:val="24"/>
          <w:highlight w:val="none"/>
        </w:rPr>
      </w:pPr>
      <w:r>
        <w:rPr>
          <w:rFonts w:hint="eastAsia" w:ascii="宋体" w:hAnsi="宋体"/>
          <w:b/>
          <w:sz w:val="24"/>
          <w:szCs w:val="24"/>
          <w:highlight w:val="none"/>
        </w:rPr>
        <w:t xml:space="preserve">   10.1质疑接收</w:t>
      </w:r>
    </w:p>
    <w:p w14:paraId="6CCF1196">
      <w:pPr>
        <w:widowControl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10.1.1投标人认为招标文件、招标过程和中标结果使自己的权益受到损害的，可以根据《中华人民共和国政府采购法</w:t>
      </w:r>
      <w:r>
        <w:rPr>
          <w:rFonts w:hint="eastAsia" w:ascii="宋体" w:hAnsi="宋体"/>
          <w:sz w:val="24"/>
          <w:szCs w:val="24"/>
          <w:highlight w:val="none"/>
          <w:lang w:eastAsia="zh-CN"/>
        </w:rPr>
        <w:t>》《</w:t>
      </w:r>
      <w:r>
        <w:rPr>
          <w:rFonts w:hint="eastAsia" w:ascii="宋体" w:hAnsi="宋体"/>
          <w:sz w:val="24"/>
          <w:szCs w:val="24"/>
          <w:highlight w:val="none"/>
        </w:rPr>
        <w:t>中华人民共和国政府采购法实施条例》和《政府采购质疑和投诉办法》的有关规定，依法向采购人或其委托的采购代理机构提出质疑。</w:t>
      </w:r>
    </w:p>
    <w:p w14:paraId="1E9024D9">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10.1.2 质疑供应商应按照财政部制定的《政府采购质疑函范本》格式和《政府采购质疑和投诉办法》的要求，在法定质疑期内书面形式提出质疑，针对同一采购程序环节的质疑应一次性提出。</w:t>
      </w:r>
    </w:p>
    <w:p w14:paraId="092768D9">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超出法定质疑期的、重复提出的、分次提出的或内容、形式不符合《政府采购质疑和投诉办法》的，质疑供应商将依法承担不利后果。</w:t>
      </w:r>
    </w:p>
    <w:p w14:paraId="35B44404">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10.1.3采购代理机构接收质疑函的方式、联系部门、联系电话和通讯地址。</w:t>
      </w:r>
    </w:p>
    <w:p w14:paraId="1093523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接收质疑函的方式：质疑函采取书面递交形式。</w:t>
      </w:r>
    </w:p>
    <w:p w14:paraId="24C7250B">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E27CAF3">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代理人提出质疑，应当提交供应商签署的授权委托书。</w:t>
      </w:r>
    </w:p>
    <w:p w14:paraId="589A5FDD">
      <w:pPr>
        <w:spacing w:line="360" w:lineRule="auto"/>
        <w:ind w:firstLine="480" w:firstLineChars="200"/>
        <w:rPr>
          <w:rFonts w:hint="eastAsia" w:ascii="宋体" w:hAnsi="宋体" w:cs="宋体"/>
          <w:color w:val="auto"/>
          <w:sz w:val="24"/>
          <w:szCs w:val="24"/>
          <w:highlight w:val="none"/>
        </w:rPr>
      </w:pPr>
      <w:r>
        <w:rPr>
          <w:rFonts w:hint="eastAsia" w:ascii="宋体" w:hAnsi="宋体"/>
          <w:sz w:val="24"/>
          <w:szCs w:val="24"/>
          <w:highlight w:val="none"/>
        </w:rPr>
        <w:t>联</w:t>
      </w:r>
      <w:r>
        <w:rPr>
          <w:rFonts w:hint="eastAsia" w:ascii="宋体" w:hAnsi="宋体"/>
          <w:color w:val="auto"/>
          <w:sz w:val="24"/>
          <w:szCs w:val="24"/>
          <w:highlight w:val="none"/>
        </w:rPr>
        <w:t>系</w:t>
      </w:r>
      <w:r>
        <w:rPr>
          <w:rFonts w:hint="eastAsia" w:ascii="宋体" w:hAnsi="宋体"/>
          <w:color w:val="auto"/>
          <w:sz w:val="24"/>
          <w:szCs w:val="24"/>
          <w:highlight w:val="none"/>
          <w:lang w:val="en-US" w:eastAsia="zh-CN"/>
        </w:rPr>
        <w:t>单位</w:t>
      </w:r>
      <w:r>
        <w:rPr>
          <w:rFonts w:hint="eastAsia" w:ascii="宋体" w:hAnsi="宋体"/>
          <w:color w:val="auto"/>
          <w:sz w:val="24"/>
          <w:szCs w:val="24"/>
          <w:highlight w:val="none"/>
        </w:rPr>
        <w:t>：</w:t>
      </w:r>
      <w:r>
        <w:rPr>
          <w:rFonts w:hint="eastAsia" w:ascii="宋体" w:hAnsi="宋体" w:cs="宋体"/>
          <w:color w:val="auto"/>
          <w:sz w:val="24"/>
          <w:szCs w:val="24"/>
          <w:highlight w:val="none"/>
          <w:lang w:eastAsia="zh-CN"/>
        </w:rPr>
        <w:t>云南玉昭工程咨询有限公司</w:t>
      </w:r>
      <w:r>
        <w:rPr>
          <w:rFonts w:hint="eastAsia" w:ascii="宋体" w:hAnsi="宋体" w:cs="宋体"/>
          <w:color w:val="auto"/>
          <w:sz w:val="24"/>
          <w:szCs w:val="24"/>
          <w:highlight w:val="none"/>
        </w:rPr>
        <w:t>。</w:t>
      </w:r>
    </w:p>
    <w:p w14:paraId="2F96463C">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联系电话：</w:t>
      </w:r>
      <w:r>
        <w:rPr>
          <w:rFonts w:hint="eastAsia" w:ascii="宋体" w:hAnsi="宋体" w:cs="宋体"/>
          <w:color w:val="auto"/>
          <w:sz w:val="24"/>
          <w:szCs w:val="24"/>
          <w:highlight w:val="none"/>
          <w:lang w:eastAsia="zh-CN"/>
        </w:rPr>
        <w:t>18008877484</w:t>
      </w:r>
    </w:p>
    <w:p w14:paraId="239BCBD7">
      <w:pPr>
        <w:pStyle w:val="11"/>
        <w:ind w:firstLine="480" w:firstLineChars="200"/>
        <w:rPr>
          <w:rFonts w:hint="eastAsia" w:ascii="宋体" w:hAnsi="宋体" w:eastAsia="宋体" w:cs="宋体"/>
          <w:sz w:val="24"/>
          <w:highlight w:val="none"/>
          <w:lang w:eastAsia="zh-CN"/>
        </w:rPr>
      </w:pPr>
      <w:r>
        <w:rPr>
          <w:rFonts w:hint="eastAsia" w:ascii="宋体" w:hAnsi="宋体" w:cs="宋体"/>
          <w:color w:val="auto"/>
          <w:sz w:val="24"/>
          <w:highlight w:val="none"/>
        </w:rPr>
        <w:t>通讯地址：</w:t>
      </w:r>
      <w:r>
        <w:rPr>
          <w:rFonts w:hint="eastAsia" w:ascii="宋体" w:hAnsi="宋体" w:cs="宋体"/>
          <w:color w:val="auto"/>
          <w:sz w:val="24"/>
          <w:highlight w:val="none"/>
          <w:lang w:eastAsia="zh-CN"/>
        </w:rPr>
        <w:t>香格里拉市环城北路26号</w:t>
      </w:r>
    </w:p>
    <w:p w14:paraId="305764DE">
      <w:pPr>
        <w:pStyle w:val="11"/>
        <w:ind w:firstLine="482" w:firstLineChars="200"/>
        <w:rPr>
          <w:rFonts w:hint="eastAsia" w:ascii="宋体" w:hAnsi="宋体"/>
          <w:b/>
          <w:kern w:val="0"/>
          <w:sz w:val="24"/>
          <w:highlight w:val="none"/>
        </w:rPr>
      </w:pPr>
      <w:r>
        <w:rPr>
          <w:rFonts w:hint="eastAsia" w:ascii="宋体" w:hAnsi="宋体"/>
          <w:b/>
          <w:kern w:val="0"/>
          <w:sz w:val="24"/>
          <w:highlight w:val="none"/>
        </w:rPr>
        <w:t>10.1.4不按上述要求提出的，采购人和采购代理机构将不予受理。</w:t>
      </w:r>
    </w:p>
    <w:p w14:paraId="612DB3E6">
      <w:pPr>
        <w:spacing w:line="360" w:lineRule="auto"/>
        <w:ind w:firstLine="482" w:firstLineChars="200"/>
        <w:rPr>
          <w:rFonts w:ascii="宋体" w:hAnsi="宋体"/>
          <w:b/>
          <w:sz w:val="24"/>
          <w:szCs w:val="24"/>
          <w:highlight w:val="none"/>
        </w:rPr>
      </w:pPr>
      <w:r>
        <w:rPr>
          <w:rFonts w:hint="eastAsia" w:ascii="宋体" w:hAnsi="宋体"/>
          <w:b/>
          <w:sz w:val="24"/>
          <w:szCs w:val="24"/>
          <w:highlight w:val="none"/>
        </w:rPr>
        <w:t>10.2质疑回复</w:t>
      </w:r>
    </w:p>
    <w:p w14:paraId="1128B2B1">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lang w:eastAsia="zh-CN"/>
        </w:rPr>
        <w:t>采购人</w:t>
      </w:r>
      <w:r>
        <w:rPr>
          <w:rFonts w:hint="eastAsia" w:ascii="宋体" w:hAnsi="宋体"/>
          <w:sz w:val="24"/>
          <w:szCs w:val="24"/>
          <w:highlight w:val="none"/>
        </w:rPr>
        <w:t>或者招标代理机构应在</w:t>
      </w:r>
      <w:r>
        <w:rPr>
          <w:rFonts w:ascii="宋体" w:hAnsi="宋体"/>
          <w:sz w:val="24"/>
          <w:szCs w:val="24"/>
          <w:highlight w:val="none"/>
        </w:rPr>
        <w:t>收到质疑函后7个工作日内作出答复，并以书面形式通知质疑</w:t>
      </w:r>
      <w:r>
        <w:rPr>
          <w:rFonts w:hint="eastAsia" w:ascii="宋体" w:hAnsi="宋体"/>
          <w:sz w:val="24"/>
          <w:szCs w:val="24"/>
          <w:highlight w:val="none"/>
        </w:rPr>
        <w:t>投标人</w:t>
      </w:r>
      <w:r>
        <w:rPr>
          <w:rFonts w:ascii="宋体" w:hAnsi="宋体"/>
          <w:sz w:val="24"/>
          <w:szCs w:val="24"/>
          <w:highlight w:val="none"/>
        </w:rPr>
        <w:t>和其他有关</w:t>
      </w:r>
      <w:r>
        <w:rPr>
          <w:rFonts w:hint="eastAsia" w:ascii="宋体" w:hAnsi="宋体"/>
          <w:sz w:val="24"/>
          <w:szCs w:val="24"/>
          <w:highlight w:val="none"/>
        </w:rPr>
        <w:t>投标人，质疑答复的内容不得涉及商业秘密。</w:t>
      </w:r>
    </w:p>
    <w:p w14:paraId="4C76A794">
      <w:pPr>
        <w:pStyle w:val="3"/>
        <w:spacing w:before="0" w:after="0" w:line="360" w:lineRule="auto"/>
        <w:rPr>
          <w:rFonts w:hint="eastAsia" w:ascii="宋体" w:hAnsi="宋体" w:eastAsia="宋体"/>
          <w:sz w:val="28"/>
          <w:szCs w:val="28"/>
          <w:highlight w:val="none"/>
        </w:rPr>
      </w:pPr>
      <w:bookmarkStart w:id="176" w:name="_Toc19343"/>
      <w:r>
        <w:rPr>
          <w:rFonts w:hint="eastAsia" w:ascii="宋体" w:hAnsi="宋体" w:eastAsia="宋体"/>
          <w:sz w:val="28"/>
          <w:szCs w:val="28"/>
          <w:highlight w:val="none"/>
        </w:rPr>
        <w:t>11. 纪律和监督</w:t>
      </w:r>
      <w:bookmarkEnd w:id="175"/>
      <w:bookmarkEnd w:id="176"/>
    </w:p>
    <w:p w14:paraId="06927A1D">
      <w:pPr>
        <w:spacing w:line="360" w:lineRule="auto"/>
        <w:rPr>
          <w:rFonts w:hint="eastAsia" w:ascii="宋体" w:hAnsi="宋体"/>
          <w:b/>
          <w:sz w:val="24"/>
          <w:szCs w:val="24"/>
          <w:highlight w:val="none"/>
        </w:rPr>
      </w:pPr>
      <w:bookmarkStart w:id="177" w:name="_Toc453"/>
      <w:bookmarkEnd w:id="177"/>
      <w:bookmarkStart w:id="178" w:name="_Toc14990"/>
      <w:r>
        <w:rPr>
          <w:rFonts w:hint="eastAsia" w:ascii="宋体" w:hAnsi="宋体"/>
          <w:b/>
          <w:sz w:val="24"/>
          <w:szCs w:val="24"/>
          <w:highlight w:val="none"/>
        </w:rPr>
        <w:t>11.1 对采购人的纪律要求</w:t>
      </w:r>
      <w:bookmarkEnd w:id="178"/>
    </w:p>
    <w:p w14:paraId="2DC5A17C">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(1)按照《政府采购货物和服务招标投标管理办法》(财政部令第87号)的规定编制采购需求；</w:t>
      </w:r>
    </w:p>
    <w:p w14:paraId="010D1B3E">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(2)采购人不得向供应商索要或者接受其给予的赠品、回扣或者与采购无关的其他商品、服务；</w:t>
      </w:r>
    </w:p>
    <w:p w14:paraId="35EFC380">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(3)在规定时间内确定中标人；</w:t>
      </w:r>
    </w:p>
    <w:p w14:paraId="1055272A">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(4)不得向中标人提出不合理要求作为签订合同条件。</w:t>
      </w:r>
    </w:p>
    <w:p w14:paraId="247BBA49">
      <w:pPr>
        <w:spacing w:line="360" w:lineRule="auto"/>
        <w:rPr>
          <w:rFonts w:hint="eastAsia" w:ascii="宋体" w:hAnsi="宋体"/>
          <w:b/>
          <w:sz w:val="24"/>
          <w:szCs w:val="24"/>
          <w:highlight w:val="none"/>
        </w:rPr>
      </w:pPr>
      <w:bookmarkStart w:id="179" w:name="_Toc20446"/>
      <w:bookmarkEnd w:id="179"/>
      <w:bookmarkStart w:id="180" w:name="_Toc14876"/>
      <w:r>
        <w:rPr>
          <w:rFonts w:hint="eastAsia" w:ascii="宋体" w:hAnsi="宋体"/>
          <w:b/>
          <w:sz w:val="24"/>
          <w:szCs w:val="24"/>
          <w:highlight w:val="none"/>
        </w:rPr>
        <w:t>11.2 对投标人的纪律要求</w:t>
      </w:r>
      <w:bookmarkEnd w:id="180"/>
    </w:p>
    <w:p w14:paraId="12A88F19">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投标人不得相互串通投标或者与采购人串通投标，不得向采购人或者评标委员会成员行贿谋取中标，不得以他人名义投标或者以</w:t>
      </w:r>
      <w:r>
        <w:rPr>
          <w:rFonts w:hint="eastAsia" w:ascii="宋体" w:hAnsi="宋体"/>
          <w:sz w:val="24"/>
          <w:szCs w:val="24"/>
          <w:highlight w:val="none"/>
          <w:lang w:eastAsia="zh-CN"/>
        </w:rPr>
        <w:t>其他</w:t>
      </w:r>
      <w:r>
        <w:rPr>
          <w:rFonts w:hint="eastAsia" w:ascii="宋体" w:hAnsi="宋体"/>
          <w:sz w:val="24"/>
          <w:szCs w:val="24"/>
          <w:highlight w:val="none"/>
        </w:rPr>
        <w:t>方式弄虚作假骗取中标；投标人不得以任何方式干扰、影响评标工作。</w:t>
      </w:r>
    </w:p>
    <w:p w14:paraId="47579DAC">
      <w:pPr>
        <w:spacing w:line="360" w:lineRule="auto"/>
        <w:rPr>
          <w:rFonts w:hint="eastAsia" w:ascii="宋体" w:hAnsi="宋体"/>
          <w:b/>
          <w:sz w:val="24"/>
          <w:szCs w:val="24"/>
          <w:highlight w:val="none"/>
        </w:rPr>
      </w:pPr>
      <w:bookmarkStart w:id="181" w:name="_Toc17796"/>
      <w:bookmarkEnd w:id="181"/>
      <w:bookmarkStart w:id="182" w:name="_Toc29247"/>
      <w:r>
        <w:rPr>
          <w:rFonts w:hint="eastAsia" w:ascii="宋体" w:hAnsi="宋体"/>
          <w:b/>
          <w:sz w:val="24"/>
          <w:szCs w:val="24"/>
          <w:highlight w:val="none"/>
        </w:rPr>
        <w:t>11.3 对评标委员会成员的纪律要求</w:t>
      </w:r>
      <w:bookmarkEnd w:id="182"/>
    </w:p>
    <w:p w14:paraId="00317177">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评标委员会及其成员不得有下列行为：</w:t>
      </w:r>
    </w:p>
    <w:p w14:paraId="3407FE7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(1)确定参与评标至评标结束前私自接触投标人；</w:t>
      </w:r>
    </w:p>
    <w:p w14:paraId="7B7BD123">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(2)接受投标人提出的与投标文件不一致的澄清或者说明；</w:t>
      </w:r>
    </w:p>
    <w:p w14:paraId="1526AB2E">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(3)违反评标纪律发表倾向性意见或者征询采购人的倾向性意见；</w:t>
      </w:r>
    </w:p>
    <w:p w14:paraId="31F4E62C">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(4)对需要专业判断的主观评审因素协商评分；</w:t>
      </w:r>
    </w:p>
    <w:p w14:paraId="25C00AE9">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(5)在评标过程中擅离职守，影响评标程序正常进行的；</w:t>
      </w:r>
    </w:p>
    <w:p w14:paraId="26FE399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(6)记录、复制或者带走任何评标资料；</w:t>
      </w:r>
    </w:p>
    <w:p w14:paraId="1943A549">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(7)其他不遵守评标纪律的行为。</w:t>
      </w:r>
    </w:p>
    <w:p w14:paraId="194013BF">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评标委员会成员有前款第(1)至(7)项行为之一的，其评审意见无效，并不得获取评审劳务报酬和报销异地评审差旅费。</w:t>
      </w:r>
    </w:p>
    <w:p w14:paraId="2968DD75">
      <w:pPr>
        <w:spacing w:line="360" w:lineRule="auto"/>
        <w:rPr>
          <w:rFonts w:hint="eastAsia" w:ascii="宋体" w:hAnsi="宋体"/>
          <w:b/>
          <w:sz w:val="24"/>
          <w:szCs w:val="24"/>
          <w:highlight w:val="none"/>
        </w:rPr>
      </w:pPr>
      <w:bookmarkStart w:id="183" w:name="_Toc22639"/>
      <w:bookmarkEnd w:id="183"/>
      <w:bookmarkStart w:id="184" w:name="_Toc5153"/>
      <w:r>
        <w:rPr>
          <w:rFonts w:hint="eastAsia" w:ascii="宋体" w:hAnsi="宋体"/>
          <w:b/>
          <w:sz w:val="24"/>
          <w:szCs w:val="24"/>
          <w:highlight w:val="none"/>
        </w:rPr>
        <w:t>11.4 对与评标活动有关的工作人员的纪律要求</w:t>
      </w:r>
      <w:bookmarkEnd w:id="184"/>
    </w:p>
    <w:p w14:paraId="025A4477">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33EF6CE0">
      <w:pP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11.5</w:t>
      </w:r>
      <w:r>
        <w:rPr>
          <w:rFonts w:hint="eastAsia" w:ascii="宋体" w:hAnsi="宋体" w:eastAsia="宋体" w:cs="宋体"/>
          <w:b/>
          <w:sz w:val="24"/>
          <w:szCs w:val="24"/>
          <w:highlight w:val="none"/>
        </w:rPr>
        <w:t>廉洁自律规定</w:t>
      </w:r>
    </w:p>
    <w:p w14:paraId="0C83E0DB">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采购代理机构工作人员不得以不正当手段获取政府采购代理业务，不得与采购人、供应商恶意串通操纵政府采购活动。</w:t>
      </w:r>
    </w:p>
    <w:p w14:paraId="19F06857">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采购代理机构工作人员不得接受采购人或者供应商组织的宴请、旅游、娱乐，不得收受礼品、现金、有价证券等，不得向采购人或者供应商报销应当由个人承担的费用。</w:t>
      </w:r>
    </w:p>
    <w:p w14:paraId="506F27C7">
      <w:pPr>
        <w:pStyle w:val="3"/>
        <w:spacing w:before="0" w:after="0" w:line="360" w:lineRule="auto"/>
        <w:rPr>
          <w:rFonts w:hint="eastAsia" w:ascii="宋体" w:hAnsi="宋体" w:eastAsia="宋体"/>
          <w:sz w:val="28"/>
          <w:szCs w:val="28"/>
          <w:highlight w:val="none"/>
        </w:rPr>
      </w:pPr>
      <w:bookmarkStart w:id="185" w:name="_Toc3960"/>
      <w:bookmarkEnd w:id="185"/>
      <w:bookmarkStart w:id="186" w:name="_Toc11354"/>
      <w:bookmarkEnd w:id="186"/>
      <w:bookmarkStart w:id="187" w:name="_Toc11291"/>
      <w:bookmarkEnd w:id="187"/>
      <w:bookmarkStart w:id="188" w:name="_Toc19873"/>
      <w:bookmarkEnd w:id="188"/>
      <w:bookmarkStart w:id="189" w:name="_Toc18697"/>
      <w:bookmarkEnd w:id="189"/>
      <w:bookmarkStart w:id="190" w:name="_Toc14857"/>
      <w:bookmarkStart w:id="191" w:name="_Toc3503"/>
      <w:r>
        <w:rPr>
          <w:rFonts w:hint="eastAsia" w:ascii="宋体" w:hAnsi="宋体" w:eastAsia="宋体"/>
          <w:sz w:val="28"/>
          <w:szCs w:val="28"/>
          <w:highlight w:val="none"/>
        </w:rPr>
        <w:t>12.需要补充的其他内容</w:t>
      </w:r>
      <w:bookmarkEnd w:id="190"/>
      <w:bookmarkEnd w:id="191"/>
    </w:p>
    <w:p w14:paraId="0FDEEF84">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需要补充的其他内容：见投标人须知前附表。</w:t>
      </w:r>
    </w:p>
    <w:p w14:paraId="65581924">
      <w:pPr>
        <w:jc w:val="center"/>
        <w:outlineLvl w:val="0"/>
        <w:rPr>
          <w:rFonts w:hint="eastAsia" w:ascii="宋体" w:hAnsi="宋体"/>
          <w:highlight w:val="none"/>
        </w:rPr>
      </w:pPr>
      <w:r>
        <w:rPr>
          <w:rFonts w:hint="eastAsia" w:ascii="宋体" w:hAnsi="宋体"/>
          <w:sz w:val="32"/>
          <w:szCs w:val="32"/>
          <w:highlight w:val="none"/>
        </w:rPr>
        <w:br w:type="page"/>
      </w:r>
      <w:bookmarkStart w:id="192" w:name="_Toc31137"/>
      <w:bookmarkEnd w:id="192"/>
      <w:bookmarkStart w:id="193" w:name="_Toc32052"/>
      <w:bookmarkStart w:id="194" w:name="_Toc29332"/>
      <w:r>
        <w:rPr>
          <w:rFonts w:hint="eastAsia" w:ascii="宋体" w:hAnsi="宋体"/>
          <w:b/>
          <w:bCs/>
          <w:sz w:val="44"/>
          <w:szCs w:val="44"/>
          <w:highlight w:val="none"/>
        </w:rPr>
        <w:t>第三章 资格审查</w:t>
      </w:r>
      <w:bookmarkEnd w:id="193"/>
      <w:bookmarkEnd w:id="194"/>
    </w:p>
    <w:p w14:paraId="35150CAA">
      <w:pPr>
        <w:pStyle w:val="26"/>
        <w:spacing w:before="0" w:beforeAutospacing="0" w:after="0" w:afterAutospacing="0" w:line="360" w:lineRule="auto"/>
        <w:ind w:firstLine="480" w:firstLineChars="200"/>
        <w:jc w:val="both"/>
        <w:rPr>
          <w:rFonts w:hint="eastAsia" w:ascii="宋体" w:hAnsi="宋体"/>
          <w:highlight w:val="none"/>
        </w:rPr>
      </w:pPr>
      <w:r>
        <w:rPr>
          <w:rFonts w:hint="eastAsia" w:ascii="宋体" w:hAnsi="宋体"/>
          <w:highlight w:val="none"/>
        </w:rPr>
        <w:t xml:space="preserve"> </w:t>
      </w:r>
    </w:p>
    <w:p w14:paraId="1DA49964">
      <w:pPr>
        <w:pStyle w:val="26"/>
        <w:spacing w:before="0" w:beforeAutospacing="0" w:after="0" w:afterAutospacing="0" w:line="360" w:lineRule="auto"/>
        <w:ind w:firstLine="480" w:firstLineChars="200"/>
        <w:jc w:val="both"/>
        <w:rPr>
          <w:rFonts w:hint="eastAsia" w:ascii="宋体" w:hAnsi="宋体"/>
          <w:highlight w:val="none"/>
        </w:rPr>
      </w:pPr>
      <w:r>
        <w:rPr>
          <w:rFonts w:hint="eastAsia" w:ascii="宋体" w:hAnsi="宋体"/>
          <w:highlight w:val="none"/>
        </w:rPr>
        <w:t>公开招标采购项目开标结束后，采购人(和/或)采购代理机构依法对投标人的资格进行审查。合格投标人不足3家的，不得评标。</w:t>
      </w:r>
    </w:p>
    <w:p w14:paraId="06ED4A53">
      <w:pPr>
        <w:spacing w:line="360" w:lineRule="auto"/>
        <w:ind w:firstLine="480" w:firstLineChars="200"/>
        <w:rPr>
          <w:rFonts w:hint="eastAsia" w:ascii="宋体" w:hAnsi="宋体"/>
          <w:color w:val="auto"/>
          <w:sz w:val="24"/>
          <w:szCs w:val="24"/>
          <w:highlight w:val="none"/>
        </w:rPr>
      </w:pPr>
      <w:r>
        <w:rPr>
          <w:rFonts w:hint="eastAsia" w:ascii="宋体" w:hAnsi="宋体"/>
          <w:b w:val="0"/>
          <w:bCs w:val="0"/>
          <w:sz w:val="24"/>
          <w:szCs w:val="24"/>
          <w:highlight w:val="none"/>
        </w:rPr>
        <w:t>资格审查：采购人(和/或)采购代理机构</w:t>
      </w:r>
      <w:r>
        <w:rPr>
          <w:rFonts w:hint="eastAsia" w:ascii="宋体" w:hAnsi="宋体"/>
          <w:sz w:val="24"/>
          <w:szCs w:val="24"/>
          <w:highlight w:val="none"/>
        </w:rPr>
        <w:t>依据法律</w:t>
      </w:r>
      <w:r>
        <w:rPr>
          <w:rFonts w:hint="eastAsia" w:ascii="宋体" w:hAnsi="宋体"/>
          <w:color w:val="auto"/>
          <w:sz w:val="24"/>
          <w:szCs w:val="24"/>
          <w:highlight w:val="none"/>
        </w:rPr>
        <w:t>法规和招标文件的规定，对投标文件中“证明投标人的资格文件”进行审查，以确定投标人是否具备投标资格。只有通过资格审查的投标文件才能进入评标。</w:t>
      </w:r>
    </w:p>
    <w:p w14:paraId="571821F5">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olor w:val="auto"/>
          <w:kern w:val="2"/>
          <w:sz w:val="24"/>
          <w:szCs w:val="24"/>
          <w:lang w:val="en-US" w:eastAsia="zh-CN" w:bidi="ar"/>
        </w:rPr>
      </w:pPr>
      <w:r>
        <w:rPr>
          <w:rFonts w:hint="eastAsia" w:ascii="宋体" w:hAnsi="宋体" w:eastAsia="宋体" w:cs="宋体"/>
          <w:i w:val="0"/>
          <w:iCs w:val="0"/>
          <w:color w:val="auto"/>
          <w:kern w:val="2"/>
          <w:sz w:val="24"/>
          <w:szCs w:val="24"/>
          <w:lang w:val="en-US" w:eastAsia="zh-CN" w:bidi="ar"/>
        </w:rPr>
        <w:t>1.满足《中华人民共和国政府采购法》第二十二条规定；</w:t>
      </w:r>
    </w:p>
    <w:p w14:paraId="0F0C737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outlineLvl w:val="9"/>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1.1具有独立承担民事责任的能力。提供法人或者其他组织的营业执照等证明文件</w:t>
      </w:r>
      <w:r>
        <w:rPr>
          <w:rFonts w:hint="eastAsia" w:ascii="宋体" w:hAnsi="宋体" w:cs="宋体"/>
          <w:i w:val="0"/>
          <w:iCs w:val="0"/>
          <w:color w:val="auto"/>
          <w:kern w:val="2"/>
          <w:sz w:val="24"/>
          <w:szCs w:val="24"/>
          <w:highlight w:val="none"/>
          <w:lang w:val="en-US" w:eastAsia="zh-CN" w:bidi="ar"/>
        </w:rPr>
        <w:t>。</w:t>
      </w:r>
    </w:p>
    <w:p w14:paraId="56E5BF49">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outlineLvl w:val="9"/>
        <w:rPr>
          <w:rFonts w:hint="eastAsia"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1.2具有良好的商业信誉和健全的财务会计制度。投标人须提供</w:t>
      </w:r>
      <w:r>
        <w:rPr>
          <w:rFonts w:hint="eastAsia" w:ascii="宋体" w:hAnsi="宋体" w:eastAsia="宋体" w:cs="宋体"/>
          <w:i w:val="0"/>
          <w:iCs w:val="0"/>
          <w:color w:val="auto"/>
          <w:kern w:val="2"/>
          <w:sz w:val="24"/>
          <w:szCs w:val="24"/>
          <w:highlight w:val="none"/>
          <w:u w:val="none"/>
          <w:lang w:val="en-US" w:eastAsia="zh-CN" w:bidi="ar"/>
        </w:rPr>
        <w:t>2023</w:t>
      </w:r>
      <w:r>
        <w:rPr>
          <w:rFonts w:hint="eastAsia" w:ascii="宋体" w:hAnsi="宋体" w:eastAsia="宋体" w:cs="宋体"/>
          <w:i w:val="0"/>
          <w:iCs w:val="0"/>
          <w:color w:val="auto"/>
          <w:kern w:val="2"/>
          <w:sz w:val="24"/>
          <w:szCs w:val="24"/>
          <w:highlight w:val="none"/>
          <w:lang w:val="en-US" w:eastAsia="zh-CN" w:bidi="ar"/>
        </w:rPr>
        <w:t>年或2024经</w:t>
      </w:r>
      <w:r>
        <w:rPr>
          <w:rFonts w:hint="eastAsia" w:ascii="宋体" w:hAnsi="宋体" w:cs="宋体"/>
          <w:i w:val="0"/>
          <w:iCs w:val="0"/>
          <w:color w:val="auto"/>
          <w:kern w:val="2"/>
          <w:sz w:val="24"/>
          <w:szCs w:val="24"/>
          <w:highlight w:val="none"/>
          <w:lang w:val="en-US" w:eastAsia="zh-CN" w:bidi="ar"/>
        </w:rPr>
        <w:t>审计的</w:t>
      </w:r>
      <w:r>
        <w:rPr>
          <w:rFonts w:hint="eastAsia" w:ascii="宋体" w:hAnsi="宋体" w:eastAsia="宋体" w:cs="宋体"/>
          <w:i w:val="0"/>
          <w:iCs w:val="0"/>
          <w:color w:val="auto"/>
          <w:kern w:val="2"/>
          <w:sz w:val="24"/>
          <w:szCs w:val="24"/>
          <w:highlight w:val="none"/>
          <w:lang w:val="en-US" w:eastAsia="zh-CN" w:bidi="ar"/>
        </w:rPr>
        <w:t>财务报</w:t>
      </w:r>
      <w:r>
        <w:rPr>
          <w:rFonts w:hint="eastAsia" w:ascii="宋体" w:hAnsi="宋体" w:cs="宋体"/>
          <w:i w:val="0"/>
          <w:iCs w:val="0"/>
          <w:color w:val="auto"/>
          <w:kern w:val="2"/>
          <w:sz w:val="24"/>
          <w:szCs w:val="24"/>
          <w:highlight w:val="none"/>
          <w:lang w:val="en-US" w:eastAsia="zh-CN" w:bidi="ar"/>
        </w:rPr>
        <w:t>告</w:t>
      </w:r>
      <w:r>
        <w:rPr>
          <w:rFonts w:hint="eastAsia" w:ascii="宋体" w:hAnsi="宋体" w:eastAsia="宋体" w:cs="宋体"/>
          <w:i w:val="0"/>
          <w:iCs w:val="0"/>
          <w:color w:val="auto"/>
          <w:kern w:val="2"/>
          <w:sz w:val="24"/>
          <w:szCs w:val="24"/>
          <w:highlight w:val="none"/>
          <w:lang w:val="en-US" w:eastAsia="zh-CN" w:bidi="ar"/>
        </w:rPr>
        <w:t>(包括资产负债表、利润表、现金流量表)，新成立不满</w:t>
      </w:r>
      <w:r>
        <w:rPr>
          <w:rFonts w:hint="eastAsia" w:ascii="宋体" w:hAnsi="宋体" w:eastAsia="宋体" w:cs="宋体"/>
          <w:i w:val="0"/>
          <w:iCs w:val="0"/>
          <w:color w:val="auto"/>
          <w:kern w:val="2"/>
          <w:sz w:val="24"/>
          <w:szCs w:val="24"/>
          <w:highlight w:val="none"/>
          <w:u w:val="single"/>
          <w:lang w:val="en-US" w:eastAsia="zh-CN" w:bidi="ar"/>
        </w:rPr>
        <w:t>1</w:t>
      </w:r>
      <w:r>
        <w:rPr>
          <w:rFonts w:hint="eastAsia" w:ascii="宋体" w:hAnsi="宋体" w:eastAsia="宋体" w:cs="宋体"/>
          <w:i w:val="0"/>
          <w:iCs w:val="0"/>
          <w:color w:val="auto"/>
          <w:kern w:val="2"/>
          <w:sz w:val="24"/>
          <w:szCs w:val="24"/>
          <w:highlight w:val="none"/>
          <w:lang w:val="en-US" w:eastAsia="zh-CN" w:bidi="ar"/>
        </w:rPr>
        <w:t>年的投标人提供自成立至今</w:t>
      </w:r>
      <w:r>
        <w:rPr>
          <w:rFonts w:hint="eastAsia" w:ascii="宋体" w:hAnsi="宋体" w:cs="宋体"/>
          <w:i w:val="0"/>
          <w:iCs w:val="0"/>
          <w:color w:val="auto"/>
          <w:kern w:val="2"/>
          <w:sz w:val="24"/>
          <w:szCs w:val="24"/>
          <w:highlight w:val="none"/>
          <w:lang w:val="en-US" w:eastAsia="zh-CN" w:bidi="ar"/>
        </w:rPr>
        <w:t>的</w:t>
      </w:r>
      <w:r>
        <w:rPr>
          <w:rFonts w:hint="eastAsia" w:ascii="宋体" w:hAnsi="宋体" w:eastAsia="宋体" w:cs="宋体"/>
          <w:i w:val="0"/>
          <w:iCs w:val="0"/>
          <w:color w:val="auto"/>
          <w:kern w:val="2"/>
          <w:sz w:val="24"/>
          <w:szCs w:val="24"/>
          <w:highlight w:val="none"/>
          <w:lang w:val="en-US" w:eastAsia="zh-CN" w:bidi="ar"/>
        </w:rPr>
        <w:t>财务报</w:t>
      </w:r>
      <w:r>
        <w:rPr>
          <w:rFonts w:hint="eastAsia" w:ascii="宋体" w:hAnsi="宋体" w:cs="宋体"/>
          <w:i w:val="0"/>
          <w:iCs w:val="0"/>
          <w:color w:val="auto"/>
          <w:kern w:val="2"/>
          <w:sz w:val="24"/>
          <w:szCs w:val="24"/>
          <w:highlight w:val="none"/>
          <w:lang w:val="en-US" w:eastAsia="zh-CN" w:bidi="ar"/>
        </w:rPr>
        <w:t>表；</w:t>
      </w:r>
    </w:p>
    <w:p w14:paraId="501A2B94">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outlineLvl w:val="9"/>
        <w:rPr>
          <w:rFonts w:hint="eastAsia" w:ascii="宋体" w:hAnsi="宋体" w:eastAsia="宋体" w:cs="宋体"/>
          <w:sz w:val="24"/>
          <w:szCs w:val="24"/>
          <w:highlight w:val="none"/>
        </w:rPr>
      </w:pPr>
      <w:r>
        <w:rPr>
          <w:rFonts w:hint="eastAsia" w:ascii="宋体" w:hAnsi="宋体" w:eastAsia="宋体" w:cs="宋体"/>
          <w:i w:val="0"/>
          <w:iCs w:val="0"/>
          <w:color w:val="auto"/>
          <w:kern w:val="2"/>
          <w:sz w:val="24"/>
          <w:szCs w:val="24"/>
          <w:highlight w:val="none"/>
          <w:lang w:val="en-US" w:eastAsia="zh-CN" w:bidi="ar"/>
        </w:rPr>
        <w:t>1.3具有履行合同所必需的设备和专业技术能力。</w:t>
      </w:r>
      <w:r>
        <w:rPr>
          <w:rFonts w:hint="eastAsia" w:ascii="宋体" w:hAnsi="宋体" w:eastAsia="宋体" w:cs="宋体"/>
          <w:color w:val="auto"/>
          <w:sz w:val="24"/>
          <w:szCs w:val="24"/>
          <w:highlight w:val="none"/>
          <w:lang w:eastAsia="zh-CN"/>
        </w:rPr>
        <w:t>提供具备</w:t>
      </w:r>
      <w:r>
        <w:rPr>
          <w:rFonts w:hint="eastAsia" w:ascii="宋体" w:hAnsi="宋体" w:eastAsia="宋体" w:cs="宋体"/>
          <w:sz w:val="24"/>
          <w:szCs w:val="24"/>
          <w:highlight w:val="none"/>
          <w:lang w:eastAsia="zh-CN"/>
        </w:rPr>
        <w:t>履行合同所必需的设备和专业技术能力的证明材料</w:t>
      </w:r>
      <w:r>
        <w:rPr>
          <w:rFonts w:hint="eastAsia" w:ascii="宋体" w:hAnsi="宋体" w:eastAsia="宋体" w:cs="宋体"/>
          <w:sz w:val="24"/>
          <w:szCs w:val="24"/>
          <w:highlight w:val="none"/>
        </w:rPr>
        <w:t>。</w:t>
      </w:r>
    </w:p>
    <w:p w14:paraId="2DEE8165">
      <w:pPr>
        <w:spacing w:line="360" w:lineRule="auto"/>
        <w:ind w:firstLine="480" w:firstLineChars="200"/>
        <w:jc w:val="both"/>
        <w:rPr>
          <w:rFonts w:hint="eastAsia" w:ascii="宋体" w:hAnsi="宋体" w:cs="宋体"/>
          <w:kern w:val="2"/>
          <w:sz w:val="24"/>
          <w:szCs w:val="24"/>
          <w:highlight w:val="none"/>
          <w:lang w:bidi="ar"/>
        </w:rPr>
      </w:pPr>
      <w:r>
        <w:rPr>
          <w:rFonts w:hint="eastAsia" w:ascii="宋体" w:hAnsi="宋体" w:eastAsia="宋体" w:cs="宋体"/>
          <w:i w:val="0"/>
          <w:iCs w:val="0"/>
          <w:kern w:val="2"/>
          <w:sz w:val="24"/>
          <w:szCs w:val="24"/>
          <w:highlight w:val="none"/>
          <w:lang w:val="en-US" w:eastAsia="zh-CN" w:bidi="ar"/>
        </w:rPr>
        <w:t>1.4</w:t>
      </w:r>
      <w:r>
        <w:rPr>
          <w:rFonts w:hint="eastAsia" w:ascii="宋体" w:hAnsi="宋体" w:eastAsia="宋体" w:cs="宋体"/>
          <w:b w:val="0"/>
          <w:bCs w:val="0"/>
          <w:i w:val="0"/>
          <w:iCs w:val="0"/>
          <w:kern w:val="2"/>
          <w:sz w:val="24"/>
          <w:szCs w:val="24"/>
          <w:highlight w:val="none"/>
          <w:lang w:val="en-US" w:eastAsia="zh-CN" w:bidi="ar"/>
        </w:rPr>
        <w:t>有依法缴纳税收和社会保障资金的良好记录。</w:t>
      </w:r>
      <w:r>
        <w:rPr>
          <w:rFonts w:hint="eastAsia" w:ascii="宋体" w:hAnsi="宋体" w:cs="宋体"/>
          <w:kern w:val="2"/>
          <w:sz w:val="24"/>
          <w:szCs w:val="24"/>
          <w:highlight w:val="none"/>
          <w:lang w:eastAsia="zh-CN" w:bidi="ar"/>
        </w:rPr>
        <w:t>提供202</w:t>
      </w:r>
      <w:r>
        <w:rPr>
          <w:rFonts w:hint="eastAsia" w:ascii="宋体" w:hAnsi="宋体" w:cs="宋体"/>
          <w:kern w:val="2"/>
          <w:sz w:val="24"/>
          <w:szCs w:val="24"/>
          <w:highlight w:val="none"/>
          <w:lang w:val="en-US" w:eastAsia="zh-CN" w:bidi="ar"/>
        </w:rPr>
        <w:t>5</w:t>
      </w:r>
      <w:r>
        <w:rPr>
          <w:rFonts w:hint="eastAsia" w:ascii="宋体" w:hAnsi="宋体" w:cs="宋体"/>
          <w:kern w:val="2"/>
          <w:sz w:val="24"/>
          <w:szCs w:val="24"/>
          <w:highlight w:val="none"/>
          <w:lang w:eastAsia="zh-CN" w:bidi="ar"/>
        </w:rPr>
        <w:t>年1月至今任意3个月</w:t>
      </w:r>
      <w:r>
        <w:rPr>
          <w:rFonts w:hint="eastAsia" w:ascii="宋体" w:hAnsi="宋体" w:cs="宋体"/>
          <w:kern w:val="2"/>
          <w:sz w:val="24"/>
          <w:szCs w:val="24"/>
          <w:highlight w:val="none"/>
          <w:lang w:bidi="ar"/>
        </w:rPr>
        <w:t>依法缴纳税收和缴纳社会保障资金的证明(成立未满</w:t>
      </w:r>
      <w:r>
        <w:rPr>
          <w:rFonts w:hint="eastAsia" w:ascii="宋体" w:hAnsi="宋体" w:cs="宋体"/>
          <w:kern w:val="2"/>
          <w:sz w:val="24"/>
          <w:szCs w:val="24"/>
          <w:highlight w:val="none"/>
          <w:lang w:val="en-US" w:eastAsia="zh-CN" w:bidi="ar"/>
        </w:rPr>
        <w:t>3</w:t>
      </w:r>
      <w:r>
        <w:rPr>
          <w:rFonts w:hint="eastAsia" w:ascii="宋体" w:hAnsi="宋体" w:cs="宋体"/>
          <w:kern w:val="2"/>
          <w:sz w:val="24"/>
          <w:szCs w:val="24"/>
          <w:highlight w:val="none"/>
          <w:lang w:bidi="ar"/>
        </w:rPr>
        <w:t>个月的提供成立以来的税收和社会保障资金缴纳凭据；依法免税或不需要缴纳社会保障资金的供应商，应提供相应文</w:t>
      </w:r>
      <w:r>
        <w:rPr>
          <w:rFonts w:hint="eastAsia" w:ascii="宋体" w:hAnsi="宋体" w:cs="宋体"/>
          <w:sz w:val="24"/>
          <w:szCs w:val="24"/>
          <w:highlight w:val="none"/>
        </w:rPr>
        <w:t>件证明其依法免税或不需要缴纳社会保障资金)。</w:t>
      </w:r>
    </w:p>
    <w:p w14:paraId="1A817A22">
      <w:pPr>
        <w:pageBreakBefore w:val="0"/>
        <w:kinsoku/>
        <w:wordWrap/>
        <w:overflowPunct/>
        <w:topLinePunct w:val="0"/>
        <w:autoSpaceDE/>
        <w:autoSpaceDN/>
        <w:bidi w:val="0"/>
        <w:adjustRightInd/>
        <w:snapToGrid/>
        <w:spacing w:before="0" w:after="0" w:line="360" w:lineRule="auto"/>
        <w:ind w:firstLine="480" w:firstLineChars="200"/>
        <w:jc w:val="both"/>
        <w:textAlignment w:val="auto"/>
        <w:outlineLvl w:val="9"/>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1.5参加政府采购活动前三年内，在经营活动中没有重大违法记录。提供参加政府采购活动前三年内在经营活动中没有重大违法记录的书面声明。</w:t>
      </w:r>
    </w:p>
    <w:p w14:paraId="78F4B639">
      <w:pPr>
        <w:pageBreakBefore w:val="0"/>
        <w:kinsoku/>
        <w:wordWrap/>
        <w:overflowPunct/>
        <w:topLinePunct w:val="0"/>
        <w:autoSpaceDE/>
        <w:autoSpaceDN/>
        <w:bidi w:val="0"/>
        <w:adjustRightInd/>
        <w:snapToGrid/>
        <w:spacing w:line="360" w:lineRule="auto"/>
        <w:ind w:firstLine="465"/>
        <w:textAlignment w:val="auto"/>
        <w:outlineLvl w:val="9"/>
        <w:rPr>
          <w:rFonts w:hint="eastAsia" w:ascii="宋体" w:hAnsi="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1.6</w:t>
      </w:r>
      <w:r>
        <w:rPr>
          <w:rFonts w:hint="eastAsia" w:ascii="宋体" w:hAnsi="宋体" w:cs="宋体"/>
          <w:b w:val="0"/>
          <w:bCs w:val="0"/>
          <w:sz w:val="24"/>
          <w:szCs w:val="24"/>
          <w:highlight w:val="none"/>
          <w:lang w:val="en-US" w:eastAsia="zh-CN" w:bidi="ar-SA"/>
        </w:rPr>
        <w:t>法律、行政法规规定的其他条件。</w:t>
      </w:r>
    </w:p>
    <w:p w14:paraId="190D5690">
      <w:pPr>
        <w:pStyle w:val="11"/>
        <w:ind w:firstLine="465"/>
        <w:outlineLvl w:val="9"/>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kern w:val="0"/>
          <w:sz w:val="24"/>
          <w:szCs w:val="24"/>
          <w:highlight w:val="none"/>
          <w:lang w:val="en-US" w:eastAsia="zh-CN" w:bidi="ar-SA"/>
        </w:rPr>
        <w:t>1.6.1 单位负责人为同一人或者存在直接控股、管理关系的不同供应商，不得参加同一合同项下的政府采购活动。</w:t>
      </w:r>
    </w:p>
    <w:p w14:paraId="4045F702">
      <w:pPr>
        <w:pStyle w:val="11"/>
        <w:keepNext w:val="0"/>
        <w:keepLines w:val="0"/>
        <w:pageBreakBefore w:val="0"/>
        <w:kinsoku/>
        <w:wordWrap/>
        <w:overflowPunct/>
        <w:topLinePunct w:val="0"/>
        <w:autoSpaceDE/>
        <w:autoSpaceDN/>
        <w:bidi w:val="0"/>
        <w:adjustRightInd/>
        <w:snapToGrid/>
        <w:ind w:firstLine="465"/>
        <w:textAlignment w:val="auto"/>
        <w:outlineLvl w:val="9"/>
        <w:rPr>
          <w:rFonts w:hint="eastAsia" w:ascii="宋体" w:hAnsi="宋体" w:eastAsia="宋体" w:cs="宋体"/>
          <w:b w:val="0"/>
          <w:bCs w:val="0"/>
          <w:kern w:val="0"/>
          <w:sz w:val="24"/>
          <w:szCs w:val="24"/>
          <w:highlight w:val="none"/>
          <w:lang w:val="en-US" w:eastAsia="zh-CN" w:bidi="ar-SA"/>
        </w:rPr>
      </w:pPr>
      <w:r>
        <w:rPr>
          <w:rFonts w:hint="eastAsia" w:ascii="宋体" w:hAnsi="宋体" w:eastAsia="宋体" w:cs="宋体"/>
          <w:b w:val="0"/>
          <w:bCs w:val="0"/>
          <w:kern w:val="0"/>
          <w:sz w:val="24"/>
          <w:szCs w:val="24"/>
          <w:highlight w:val="none"/>
          <w:lang w:val="en-US" w:eastAsia="zh-CN" w:bidi="ar-SA"/>
        </w:rPr>
        <w:t>为采购项目提供整体设计、规范编制或者项目管理、监理、检测等服务的供应商，不得再参加该采购项目的其他采购活动。</w:t>
      </w:r>
    </w:p>
    <w:p w14:paraId="7592A35E">
      <w:pPr>
        <w:pStyle w:val="11"/>
        <w:keepNext w:val="0"/>
        <w:keepLines w:val="0"/>
        <w:pageBreakBefore w:val="0"/>
        <w:kinsoku/>
        <w:wordWrap/>
        <w:overflowPunct/>
        <w:topLinePunct w:val="0"/>
        <w:autoSpaceDE/>
        <w:autoSpaceDN/>
        <w:bidi w:val="0"/>
        <w:adjustRightInd/>
        <w:snapToGrid/>
        <w:ind w:firstLine="465"/>
        <w:textAlignment w:val="auto"/>
        <w:outlineLvl w:val="9"/>
        <w:rPr>
          <w:rFonts w:hint="eastAsia"/>
          <w:highlight w:val="none"/>
          <w:lang w:val="en-US"/>
        </w:rPr>
      </w:pPr>
      <w:r>
        <w:rPr>
          <w:rFonts w:hint="eastAsia" w:ascii="宋体" w:hAnsi="宋体" w:eastAsia="宋体" w:cs="宋体"/>
          <w:b w:val="0"/>
          <w:bCs w:val="0"/>
          <w:kern w:val="0"/>
          <w:sz w:val="24"/>
          <w:szCs w:val="24"/>
          <w:highlight w:val="none"/>
          <w:lang w:val="en-US" w:eastAsia="zh-CN" w:bidi="ar-SA"/>
        </w:rPr>
        <w:t>1.6.2投标人应在“信用中国”网站(www.creditchina.gov.cn)未被列入失信被执行人记录、重大税收违法失信主体且在中国政府采购网(www.ccgp.gov.cn)没有政府采购严重违法失信行为记录。</w:t>
      </w:r>
    </w:p>
    <w:p w14:paraId="4971BAA8">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olor w:val="C00000"/>
          <w:kern w:val="2"/>
          <w:sz w:val="24"/>
          <w:szCs w:val="24"/>
          <w:highlight w:val="none"/>
          <w:u w:val="single"/>
          <w:lang w:val="en-US" w:eastAsia="zh-CN" w:bidi="ar"/>
        </w:rPr>
      </w:pPr>
      <w:r>
        <w:rPr>
          <w:rFonts w:hint="eastAsia" w:ascii="宋体" w:hAnsi="宋体" w:eastAsia="宋体" w:cs="宋体"/>
          <w:i w:val="0"/>
          <w:iCs w:val="0"/>
          <w:kern w:val="2"/>
          <w:sz w:val="24"/>
          <w:szCs w:val="24"/>
          <w:lang w:val="en-US" w:eastAsia="zh-CN" w:bidi="ar"/>
        </w:rPr>
        <w:t>2.落实政府采购政策需满足的</w:t>
      </w:r>
      <w:r>
        <w:rPr>
          <w:rFonts w:hint="eastAsia" w:ascii="宋体" w:hAnsi="宋体" w:eastAsia="宋体" w:cs="宋体"/>
          <w:i w:val="0"/>
          <w:iCs w:val="0"/>
          <w:color w:val="auto"/>
          <w:kern w:val="2"/>
          <w:sz w:val="24"/>
          <w:szCs w:val="24"/>
          <w:highlight w:val="none"/>
          <w:lang w:val="en-US" w:eastAsia="zh-CN" w:bidi="ar"/>
        </w:rPr>
        <w:t>资格要求</w:t>
      </w:r>
      <w:r>
        <w:rPr>
          <w:rFonts w:hint="eastAsia" w:ascii="宋体" w:hAnsi="宋体" w:eastAsia="宋体" w:cs="宋体"/>
          <w:i w:val="0"/>
          <w:iCs w:val="0"/>
          <w:color w:val="auto"/>
          <w:kern w:val="2"/>
          <w:sz w:val="24"/>
          <w:szCs w:val="24"/>
          <w:highlight w:val="none"/>
          <w:u w:val="none"/>
          <w:lang w:val="en-US" w:eastAsia="zh-CN" w:bidi="ar"/>
        </w:rPr>
        <w:t>：无。</w:t>
      </w:r>
    </w:p>
    <w:p w14:paraId="6DD726FB">
      <w:pPr>
        <w:pStyle w:val="11"/>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宋体"/>
          <w:i w:val="0"/>
          <w:iCs w:val="0"/>
          <w:kern w:val="2"/>
          <w:sz w:val="24"/>
          <w:szCs w:val="24"/>
          <w:lang w:val="en-US" w:eastAsia="zh-CN" w:bidi="ar"/>
        </w:rPr>
      </w:pPr>
      <w:r>
        <w:rPr>
          <w:rFonts w:hint="eastAsia" w:ascii="宋体" w:hAnsi="宋体" w:eastAsia="宋体" w:cs="宋体"/>
          <w:i w:val="0"/>
          <w:iCs w:val="0"/>
          <w:kern w:val="2"/>
          <w:sz w:val="24"/>
          <w:szCs w:val="24"/>
          <w:lang w:val="en-US" w:eastAsia="zh-CN" w:bidi="ar"/>
        </w:rPr>
        <w:t>3.本项目的特定资格要求：</w:t>
      </w:r>
    </w:p>
    <w:p w14:paraId="2E7596DC">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default" w:ascii="宋体" w:hAnsi="宋体" w:eastAsia="宋体" w:cs="宋体"/>
          <w:kern w:val="2"/>
          <w:sz w:val="24"/>
          <w:lang w:val="en-US" w:eastAsia="zh-CN"/>
        </w:rPr>
      </w:pPr>
      <w:r>
        <w:rPr>
          <w:rFonts w:hint="eastAsia" w:ascii="宋体" w:hAnsi="宋体" w:eastAsia="宋体" w:cs="宋体"/>
          <w:kern w:val="2"/>
          <w:sz w:val="24"/>
          <w:lang w:val="en-US" w:eastAsia="zh-CN"/>
        </w:rPr>
        <w:t>3</w:t>
      </w:r>
      <w:r>
        <w:rPr>
          <w:rFonts w:hint="default" w:ascii="宋体" w:hAnsi="宋体" w:eastAsia="宋体" w:cs="宋体"/>
          <w:kern w:val="2"/>
          <w:sz w:val="24"/>
          <w:lang w:val="en-US" w:eastAsia="zh-CN"/>
        </w:rPr>
        <w:t>.1 供应商若为代理商或经销商，须提供医疗器械经营许可/备案证，所投产品制造商医疗器械生产许可/备案证(制造商工商注册地在中华人民共和国境外的，不作此要求)、所投产品的医疗器械注册证及附件；</w:t>
      </w:r>
    </w:p>
    <w:p w14:paraId="39EAC27F">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default" w:ascii="宋体" w:hAnsi="宋体" w:eastAsia="宋体" w:cs="宋体"/>
          <w:kern w:val="2"/>
          <w:sz w:val="24"/>
          <w:lang w:val="en-US" w:eastAsia="zh-CN"/>
        </w:rPr>
      </w:pPr>
      <w:r>
        <w:rPr>
          <w:rFonts w:hint="eastAsia" w:ascii="宋体" w:hAnsi="宋体" w:eastAsia="宋体" w:cs="宋体"/>
          <w:kern w:val="2"/>
          <w:sz w:val="24"/>
          <w:lang w:val="en-US" w:eastAsia="zh-CN"/>
        </w:rPr>
        <w:t>3</w:t>
      </w:r>
      <w:r>
        <w:rPr>
          <w:rFonts w:hint="default" w:ascii="宋体" w:hAnsi="宋体" w:eastAsia="宋体" w:cs="宋体"/>
          <w:kern w:val="2"/>
          <w:sz w:val="24"/>
          <w:lang w:val="en-US" w:eastAsia="zh-CN"/>
        </w:rPr>
        <w:t>.2 供应商若为制造商，须提供医疗器械生产许可/备案证(制造商工商注册地在中华人民共和国境外的，不作此要求)、所投产品的医疗器械注册证及附件；</w:t>
      </w:r>
    </w:p>
    <w:p w14:paraId="2E8E8A4E">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default" w:ascii="宋体" w:hAnsi="宋体" w:eastAsia="宋体" w:cs="宋体"/>
          <w:kern w:val="2"/>
          <w:sz w:val="24"/>
          <w:lang w:val="en-US" w:eastAsia="zh-CN"/>
        </w:rPr>
      </w:pPr>
      <w:r>
        <w:rPr>
          <w:rFonts w:hint="eastAsia" w:ascii="宋体" w:hAnsi="宋体" w:eastAsia="宋体" w:cs="宋体"/>
          <w:kern w:val="2"/>
          <w:sz w:val="24"/>
          <w:lang w:val="en-US" w:eastAsia="zh-CN"/>
        </w:rPr>
        <w:t>3</w:t>
      </w:r>
      <w:r>
        <w:rPr>
          <w:rFonts w:hint="default" w:ascii="宋体" w:hAnsi="宋体" w:eastAsia="宋体" w:cs="宋体"/>
          <w:kern w:val="2"/>
          <w:sz w:val="24"/>
          <w:lang w:val="en-US" w:eastAsia="zh-CN"/>
        </w:rPr>
        <w:t>.3医疗器械生产或经营许可/备案证生产或经营范围须覆盖所投第二、三类医疗器械(扫描件加盖电 子公章。根据中华人民共和国国务院令第739号《医疗器械监督管理条例》和国家药品监督管理局《医疗 器械分类目录》的规定，在《医疗器械分类目录》内的产品必须按照《医疗器械监督管理条例》的要求提供，其他不在《医疗器械分类目录》内的不作强行要求)</w:t>
      </w:r>
      <w:r>
        <w:rPr>
          <w:rFonts w:hint="eastAsia" w:hAnsi="宋体" w:cs="宋体"/>
          <w:kern w:val="2"/>
          <w:sz w:val="24"/>
          <w:lang w:val="en-US" w:eastAsia="zh-CN"/>
        </w:rPr>
        <w:t>；</w:t>
      </w:r>
    </w:p>
    <w:p w14:paraId="140567A1">
      <w:pPr>
        <w:pStyle w:val="11"/>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cs="宋体"/>
          <w:color w:val="auto"/>
          <w:kern w:val="2"/>
          <w:sz w:val="24"/>
          <w:szCs w:val="24"/>
          <w:highlight w:val="none"/>
          <w:lang w:bidi="ar"/>
        </w:rPr>
      </w:pPr>
      <w:r>
        <w:rPr>
          <w:rFonts w:hint="eastAsia" w:ascii="宋体" w:hAnsi="宋体" w:eastAsia="宋体" w:cs="宋体"/>
          <w:kern w:val="2"/>
          <w:sz w:val="24"/>
          <w:lang w:val="en-US" w:eastAsia="zh-CN"/>
        </w:rPr>
        <w:t>3</w:t>
      </w:r>
      <w:r>
        <w:rPr>
          <w:rFonts w:hint="default" w:ascii="宋体" w:hAnsi="宋体" w:eastAsia="宋体" w:cs="宋体"/>
          <w:kern w:val="2"/>
          <w:sz w:val="24"/>
          <w:lang w:val="en-US" w:eastAsia="zh-CN"/>
        </w:rPr>
        <w:t>.4如果所投产品是进口产品并且为代理商或经销商进行投标，必须具有制造商或全国总代或有可追溯的区域产品代理商针对本项目的专项授权书或长期代理授权书(此条仅适用于允许进口产品投标的设备)。 如果授权是二级或二级以下的，必须提供上一级别的授权，并且对制造商所作的所有承诺负完全责任；如果授权书中明确规定不能转授权的，转授权无效，视为未提供授权书；不接受制造商的分公司出具的授权书</w:t>
      </w:r>
      <w:r>
        <w:rPr>
          <w:rFonts w:hint="eastAsia" w:hAnsi="宋体" w:cs="宋体"/>
          <w:kern w:val="2"/>
          <w:sz w:val="24"/>
          <w:lang w:val="en-US" w:eastAsia="zh-CN"/>
        </w:rPr>
        <w:t>。</w:t>
      </w:r>
      <w:r>
        <w:rPr>
          <w:rFonts w:hint="eastAsia" w:ascii="宋体" w:hAnsi="宋体" w:cs="宋体"/>
          <w:color w:val="auto"/>
          <w:kern w:val="2"/>
          <w:sz w:val="24"/>
          <w:szCs w:val="24"/>
          <w:highlight w:val="none"/>
          <w:lang w:bidi="ar"/>
        </w:rPr>
        <w:t>。</w:t>
      </w:r>
    </w:p>
    <w:p w14:paraId="11090784">
      <w:pPr>
        <w:pStyle w:val="11"/>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cs="宋体"/>
          <w:sz w:val="24"/>
          <w:highlight w:val="none"/>
        </w:rPr>
      </w:pPr>
      <w:r>
        <w:rPr>
          <w:rFonts w:hint="eastAsia" w:ascii="宋体" w:hAnsi="宋体" w:eastAsia="宋体" w:cs="宋体"/>
          <w:i w:val="0"/>
          <w:iCs w:val="0"/>
          <w:color w:val="auto"/>
          <w:kern w:val="2"/>
          <w:sz w:val="24"/>
          <w:szCs w:val="24"/>
          <w:highlight w:val="none"/>
          <w:lang w:val="en-US" w:eastAsia="zh-CN" w:bidi="ar"/>
        </w:rPr>
        <w:t>3.</w:t>
      </w:r>
      <w:r>
        <w:rPr>
          <w:rFonts w:hint="eastAsia" w:ascii="宋体" w:hAnsi="宋体" w:cs="宋体"/>
          <w:i w:val="0"/>
          <w:iCs w:val="0"/>
          <w:color w:val="auto"/>
          <w:kern w:val="2"/>
          <w:sz w:val="24"/>
          <w:szCs w:val="24"/>
          <w:highlight w:val="none"/>
          <w:lang w:val="en-US" w:eastAsia="zh-CN" w:bidi="ar"/>
        </w:rPr>
        <w:t>5</w:t>
      </w:r>
      <w:r>
        <w:rPr>
          <w:rFonts w:hint="eastAsia" w:ascii="宋体" w:hAnsi="宋体" w:eastAsia="宋体" w:cs="宋体"/>
          <w:i w:val="0"/>
          <w:iCs w:val="0"/>
          <w:color w:val="auto"/>
          <w:kern w:val="2"/>
          <w:sz w:val="24"/>
          <w:szCs w:val="24"/>
          <w:highlight w:val="none"/>
          <w:lang w:val="en-US" w:eastAsia="zh-CN" w:bidi="ar"/>
        </w:rPr>
        <w:t>本项目不接受联合体投标。</w:t>
      </w:r>
    </w:p>
    <w:p w14:paraId="43760809">
      <w:pPr>
        <w:pStyle w:val="12"/>
        <w:spacing w:line="360" w:lineRule="auto"/>
        <w:ind w:firstLine="480" w:firstLineChars="200"/>
        <w:rPr>
          <w:rFonts w:hint="eastAsia" w:ascii="宋体" w:hAnsi="宋体"/>
          <w:sz w:val="24"/>
          <w:szCs w:val="24"/>
          <w:highlight w:val="none"/>
        </w:rPr>
      </w:pPr>
    </w:p>
    <w:p w14:paraId="2466F325">
      <w:pPr>
        <w:pStyle w:val="11"/>
        <w:ind w:firstLine="420" w:firstLineChars="200"/>
        <w:rPr>
          <w:rFonts w:hint="eastAsia" w:ascii="宋体" w:hAnsi="宋体"/>
          <w:highlight w:val="none"/>
        </w:rPr>
        <w:sectPr>
          <w:footerReference r:id="rId5" w:type="default"/>
          <w:pgSz w:w="11906" w:h="16838"/>
          <w:pgMar w:top="1191" w:right="1191" w:bottom="1191" w:left="1191" w:header="720" w:footer="720" w:gutter="0"/>
          <w:pgNumType w:fmt="decimal"/>
          <w:cols w:space="720" w:num="1"/>
          <w:docGrid w:type="lines" w:linePitch="317" w:charSpace="0"/>
        </w:sectPr>
      </w:pPr>
      <w:bookmarkStart w:id="195" w:name="_Toc5266"/>
      <w:r>
        <w:rPr>
          <w:rFonts w:hint="eastAsia" w:ascii="宋体" w:hAnsi="宋体"/>
          <w:highlight w:val="none"/>
        </w:rPr>
        <w:t xml:space="preserve"> </w:t>
      </w:r>
    </w:p>
    <w:p w14:paraId="30197273">
      <w:pPr>
        <w:pStyle w:val="2"/>
        <w:spacing w:before="0" w:after="0" w:line="360" w:lineRule="auto"/>
        <w:jc w:val="center"/>
        <w:rPr>
          <w:rFonts w:ascii="宋体" w:hAnsi="宋体"/>
          <w:highlight w:val="none"/>
        </w:rPr>
      </w:pPr>
      <w:bookmarkStart w:id="196" w:name="_Toc13700"/>
      <w:r>
        <w:rPr>
          <w:rFonts w:hint="eastAsia" w:ascii="宋体" w:hAnsi="宋体"/>
          <w:highlight w:val="none"/>
        </w:rPr>
        <w:t>第四章 评标办法(综合评分法)</w:t>
      </w:r>
      <w:bookmarkEnd w:id="195"/>
      <w:bookmarkEnd w:id="196"/>
    </w:p>
    <w:p w14:paraId="398053BC">
      <w:pPr>
        <w:spacing w:line="500" w:lineRule="exact"/>
        <w:ind w:firstLine="482" w:firstLineChars="200"/>
        <w:jc w:val="both"/>
        <w:rPr>
          <w:rFonts w:hint="eastAsia" w:ascii="宋体" w:hAnsi="宋体"/>
          <w:b/>
          <w:bCs/>
          <w:sz w:val="24"/>
          <w:szCs w:val="24"/>
          <w:highlight w:val="none"/>
        </w:rPr>
      </w:pPr>
      <w:r>
        <w:rPr>
          <w:rFonts w:hint="eastAsia" w:ascii="宋体" w:hAnsi="宋体"/>
          <w:b/>
          <w:bCs/>
          <w:sz w:val="24"/>
          <w:szCs w:val="24"/>
          <w:highlight w:val="none"/>
        </w:rPr>
        <w:t>一、评标机构</w:t>
      </w:r>
    </w:p>
    <w:p w14:paraId="6FA838C8">
      <w:pPr>
        <w:pStyle w:val="12"/>
        <w:spacing w:line="500" w:lineRule="exact"/>
        <w:ind w:firstLine="480" w:firstLineChars="200"/>
        <w:rPr>
          <w:rFonts w:hint="eastAsia" w:ascii="宋体" w:hAnsi="宋体"/>
          <w:color w:val="FF0000"/>
          <w:sz w:val="24"/>
          <w:szCs w:val="24"/>
          <w:highlight w:val="none"/>
        </w:rPr>
      </w:pPr>
      <w:r>
        <w:rPr>
          <w:rFonts w:hint="eastAsia" w:ascii="宋体" w:hAnsi="宋体"/>
          <w:sz w:val="24"/>
          <w:szCs w:val="24"/>
          <w:highlight w:val="none"/>
        </w:rPr>
        <w:t>评标机构为评标委员会，评标委员会的组成见投标人须知前附表7.1.1。</w:t>
      </w:r>
    </w:p>
    <w:p w14:paraId="5ECDBCEE">
      <w:pPr>
        <w:spacing w:line="500" w:lineRule="exact"/>
        <w:ind w:firstLine="482" w:firstLineChars="200"/>
        <w:rPr>
          <w:rFonts w:hint="eastAsia" w:ascii="宋体" w:hAnsi="宋体"/>
          <w:b/>
          <w:bCs/>
          <w:sz w:val="24"/>
          <w:szCs w:val="24"/>
          <w:highlight w:val="none"/>
        </w:rPr>
      </w:pPr>
      <w:r>
        <w:rPr>
          <w:rFonts w:hint="eastAsia" w:ascii="宋体" w:hAnsi="宋体"/>
          <w:b/>
          <w:bCs/>
          <w:sz w:val="24"/>
          <w:szCs w:val="24"/>
          <w:highlight w:val="none"/>
        </w:rPr>
        <w:t>二、采购人或者采购代理机构职责</w:t>
      </w:r>
    </w:p>
    <w:p w14:paraId="00B4E611">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采购人或者采购代理机构负责组织评标工作，并履行下列职责：</w:t>
      </w:r>
    </w:p>
    <w:p w14:paraId="2E0ED306">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(一)核对评审专家身份和采购人代表授权函，对评审专家在政府采购活动中的职责履行情况予以记录，并及时将有关违法违规行为向财政部门报告。</w:t>
      </w:r>
    </w:p>
    <w:p w14:paraId="4F6F7E96">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(二)宣布评标纪律。</w:t>
      </w:r>
    </w:p>
    <w:p w14:paraId="4AE12632">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(三)公布投标人名单，告知评审专家应当回避的情形。</w:t>
      </w:r>
    </w:p>
    <w:p w14:paraId="45789B74">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(四)组织评标委员会推选评标组长，采购人代表不得担任组长。</w:t>
      </w:r>
    </w:p>
    <w:p w14:paraId="690A04C6">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(五)在评标期间采取必要的通讯管理措施，保证评标活动不受外界干扰。</w:t>
      </w:r>
    </w:p>
    <w:p w14:paraId="40232BAC">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(六)根据评标委员会的要求介绍政府采购相关政策法规、招标文件。</w:t>
      </w:r>
    </w:p>
    <w:p w14:paraId="1E3CDAC6">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(七)维护评标秩序，监督评标委员会依照招标文件规定的评标程序、方法和标准进行独立评审，及时制止和纠正采购人代表、评审专家的倾向性言论或者违法违规行为。</w:t>
      </w:r>
    </w:p>
    <w:p w14:paraId="7CB09BA6">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(八)核对评标结果，有《政府采购货物和服务招标投标管理办法》（财政部第87号令）第六十四条规定情形的，要求评标委员会复核或者书面说明理由，评标委员会拒绝的，应予记录并向本级财政部门报告。</w:t>
      </w:r>
    </w:p>
    <w:p w14:paraId="780A906B">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(九)评审工作完成后，按照规定向评审专家支付劳务报酬和异地评审差旅费，不得向评审专家以外的其他人员支付评审劳务报酬。</w:t>
      </w:r>
    </w:p>
    <w:p w14:paraId="28119CB2">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(十)处理与评标有关的其他事项。</w:t>
      </w:r>
    </w:p>
    <w:p w14:paraId="136075B0">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采购人可以在评标前说明项目背景和采购需求，说明内容不得含有歧视性、倾向性意见，不得超出招标文件所述范围。说明应当提交书面材料，并随采购文件一并存档。</w:t>
      </w:r>
    </w:p>
    <w:p w14:paraId="229CF434">
      <w:pPr>
        <w:spacing w:line="500" w:lineRule="exact"/>
        <w:ind w:firstLine="482" w:firstLineChars="200"/>
        <w:rPr>
          <w:rFonts w:hint="eastAsia" w:ascii="宋体" w:hAnsi="宋体"/>
          <w:b/>
          <w:bCs/>
          <w:sz w:val="24"/>
          <w:szCs w:val="24"/>
          <w:highlight w:val="none"/>
        </w:rPr>
      </w:pPr>
      <w:r>
        <w:rPr>
          <w:rFonts w:hint="eastAsia" w:ascii="宋体" w:hAnsi="宋体"/>
          <w:b/>
          <w:bCs/>
          <w:sz w:val="24"/>
          <w:szCs w:val="24"/>
          <w:highlight w:val="none"/>
        </w:rPr>
        <w:t>三、评标委员会职责</w:t>
      </w:r>
    </w:p>
    <w:p w14:paraId="325947BD">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评标委员会负责具体评标事务，并独立履行下列职责：</w:t>
      </w:r>
    </w:p>
    <w:p w14:paraId="3FFA81A5">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(一)审查、评价投标文件是否符合招标文件的商务、技术等实质性要求。</w:t>
      </w:r>
    </w:p>
    <w:p w14:paraId="53E2F45B">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(二)要求投标人对投标文件有关事项作出澄清或者说明。</w:t>
      </w:r>
    </w:p>
    <w:p w14:paraId="30C526BB">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(三)对投标文件进行比较和评价。</w:t>
      </w:r>
    </w:p>
    <w:p w14:paraId="4840A9A6">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(四)确定中标候选人名单，以及根据采购人委托直接确定中标人。</w:t>
      </w:r>
    </w:p>
    <w:p w14:paraId="22157639">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(五)向采购人、采购代理机构或者有关部门报告评标中发现的违法行为。</w:t>
      </w:r>
    </w:p>
    <w:p w14:paraId="155B7FEF">
      <w:pPr>
        <w:pStyle w:val="12"/>
        <w:spacing w:line="500" w:lineRule="exact"/>
        <w:ind w:firstLine="482" w:firstLineChars="200"/>
        <w:rPr>
          <w:rFonts w:hint="eastAsia" w:ascii="宋体" w:hAnsi="宋体"/>
          <w:b/>
          <w:bCs/>
          <w:sz w:val="24"/>
          <w:szCs w:val="24"/>
          <w:highlight w:val="none"/>
        </w:rPr>
      </w:pPr>
      <w:r>
        <w:rPr>
          <w:rFonts w:hint="eastAsia" w:ascii="宋体" w:hAnsi="宋体"/>
          <w:b/>
          <w:bCs/>
          <w:sz w:val="24"/>
          <w:szCs w:val="24"/>
          <w:highlight w:val="none"/>
        </w:rPr>
        <w:t>四、评标纪律</w:t>
      </w:r>
    </w:p>
    <w:p w14:paraId="5DA44B3A">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(一)对评标内容和评标过程要严格保密，不得向投标人或与该过程无关的其它人员泄露。</w:t>
      </w:r>
    </w:p>
    <w:p w14:paraId="649AADC2">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(二)评标期间的一切资料，包括评标意见、评标记录和评标结论，一律不得向外传和泄露。</w:t>
      </w:r>
    </w:p>
    <w:p w14:paraId="5A03F194">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(三)任何属于投标文件审查、澄清、评价和比较的资料，不得向投标人或与该过程无关的其它人员泄露。</w:t>
      </w:r>
    </w:p>
    <w:p w14:paraId="0B72AD96">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(四)所有资料(包括招标文件、投标文件、评标表格及各种文字记录)在评标结束后均应分别整理、存档备查，任何人不得复制和保留。</w:t>
      </w:r>
    </w:p>
    <w:p w14:paraId="6409FBCE">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(五)评标期间，未经允许评标委员会以外的任何单位或部门不得参加评标和采访评标工作。</w:t>
      </w:r>
    </w:p>
    <w:p w14:paraId="47DDBF1A">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(六)评标期间，评标人员不得外出，确需外出时应事先请假。</w:t>
      </w:r>
    </w:p>
    <w:p w14:paraId="19CFF61F">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(七)评标期间，所有与会人员均不得私自以任何方式和投标人进行联系，需询问、澄清的问题由评委会统一组织办理。</w:t>
      </w:r>
    </w:p>
    <w:p w14:paraId="088CB697">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(八)评标结束后，与会人员不得向外界透露评标人员的评标意见，如因此造成的后果由责任者承担。</w:t>
      </w:r>
    </w:p>
    <w:p w14:paraId="3C2170D0">
      <w:pPr>
        <w:spacing w:line="500" w:lineRule="exact"/>
        <w:ind w:firstLine="482" w:firstLineChars="200"/>
        <w:rPr>
          <w:rFonts w:hint="eastAsia" w:ascii="宋体" w:hAnsi="宋体"/>
          <w:b/>
          <w:bCs/>
          <w:sz w:val="24"/>
          <w:szCs w:val="24"/>
          <w:highlight w:val="none"/>
        </w:rPr>
      </w:pPr>
      <w:r>
        <w:rPr>
          <w:rFonts w:hint="eastAsia" w:ascii="宋体" w:hAnsi="宋体"/>
          <w:b/>
          <w:bCs/>
          <w:sz w:val="24"/>
          <w:szCs w:val="24"/>
          <w:highlight w:val="none"/>
        </w:rPr>
        <w:t>五、评标原则</w:t>
      </w:r>
    </w:p>
    <w:p w14:paraId="6B6F75BC">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评标将遵循下列原则：</w:t>
      </w:r>
    </w:p>
    <w:p w14:paraId="714D220F">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(一)坚持公平、公正、科学、择优的原则，本着实事求是的精神，不带有任何主观意愿和偏见，认真负责地做好评标工作，公平、公正地对待每一个投标人。</w:t>
      </w:r>
    </w:p>
    <w:p w14:paraId="6E4040D1">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(二)全面分析，综合评审。</w:t>
      </w:r>
    </w:p>
    <w:p w14:paraId="6D210A2B">
      <w:pPr>
        <w:pStyle w:val="12"/>
        <w:spacing w:line="500" w:lineRule="exact"/>
        <w:ind w:firstLine="480" w:firstLineChars="200"/>
        <w:rPr>
          <w:rFonts w:hint="eastAsia" w:ascii="宋体" w:hAnsi="宋体"/>
          <w:sz w:val="24"/>
          <w:szCs w:val="24"/>
          <w:highlight w:val="none"/>
        </w:rPr>
      </w:pPr>
      <w:r>
        <w:rPr>
          <w:rFonts w:hint="eastAsia" w:ascii="宋体" w:hAnsi="宋体"/>
          <w:sz w:val="24"/>
          <w:szCs w:val="24"/>
          <w:highlight w:val="none"/>
        </w:rPr>
        <w:t>(三)评标只对投标人的投标文件进行评审，投标文件以外的资料、信息不应作为评标的依据。</w:t>
      </w:r>
    </w:p>
    <w:p w14:paraId="1CF99245">
      <w:pPr>
        <w:spacing w:line="500" w:lineRule="exact"/>
        <w:ind w:firstLine="482" w:firstLineChars="200"/>
        <w:rPr>
          <w:rFonts w:hint="eastAsia" w:ascii="宋体" w:hAnsi="宋体"/>
          <w:b/>
          <w:bCs/>
          <w:sz w:val="24"/>
          <w:szCs w:val="24"/>
          <w:highlight w:val="none"/>
        </w:rPr>
      </w:pPr>
      <w:r>
        <w:rPr>
          <w:rFonts w:hint="eastAsia" w:ascii="宋体" w:hAnsi="宋体"/>
          <w:b/>
          <w:bCs/>
          <w:sz w:val="24"/>
          <w:szCs w:val="24"/>
          <w:highlight w:val="none"/>
        </w:rPr>
        <w:t>六、评标程序</w:t>
      </w:r>
    </w:p>
    <w:p w14:paraId="2C070E03">
      <w:pPr>
        <w:pStyle w:val="12"/>
        <w:ind w:firstLine="480" w:firstLineChars="200"/>
        <w:rPr>
          <w:rFonts w:hint="eastAsia" w:ascii="宋体" w:hAnsi="宋体"/>
          <w:sz w:val="24"/>
          <w:szCs w:val="24"/>
          <w:highlight w:val="none"/>
        </w:rPr>
      </w:pPr>
      <w:r>
        <w:rPr>
          <w:rFonts w:hint="eastAsia" w:ascii="宋体" w:hAnsi="宋体"/>
          <w:sz w:val="24"/>
          <w:szCs w:val="24"/>
          <w:highlight w:val="none"/>
        </w:rPr>
        <w:t>本次招标所采用的评标方法为《政府采购货物和服务招标投标管理办法》(财政部令第87号)第五十五条规定的“综合评分法”，即：投标文件满足招标文件全部实质性要求，且按照评审因素的量化指标评审得分最高的投标人为中标候选人的评标方法。</w:t>
      </w:r>
    </w:p>
    <w:p w14:paraId="7E811DA7">
      <w:pPr>
        <w:pStyle w:val="12"/>
        <w:spacing w:line="500" w:lineRule="exact"/>
        <w:ind w:firstLine="480" w:firstLineChars="200"/>
        <w:rPr>
          <w:rFonts w:hint="eastAsia" w:ascii="宋体" w:hAnsi="宋体"/>
          <w:color w:val="FF0000"/>
          <w:sz w:val="24"/>
          <w:szCs w:val="24"/>
          <w:highlight w:val="none"/>
        </w:rPr>
      </w:pPr>
      <w:r>
        <w:rPr>
          <w:rFonts w:hint="eastAsia" w:ascii="宋体" w:hAnsi="宋体"/>
          <w:sz w:val="24"/>
          <w:szCs w:val="24"/>
          <w:highlight w:val="none"/>
        </w:rPr>
        <w:t>评标只对通过资格审查的投标文件进行评审。评标按：符合性审查→商务和技术评估、综合比较与评价→得分汇总→评标报告编写的程序进行。</w:t>
      </w:r>
    </w:p>
    <w:p w14:paraId="77E67330">
      <w:pPr>
        <w:spacing w:line="460" w:lineRule="exact"/>
        <w:ind w:firstLine="482" w:firstLineChars="200"/>
        <w:rPr>
          <w:rFonts w:hint="eastAsia" w:ascii="宋体" w:hAnsi="宋体"/>
          <w:b/>
          <w:bCs/>
          <w:sz w:val="24"/>
          <w:szCs w:val="24"/>
          <w:highlight w:val="none"/>
        </w:rPr>
      </w:pPr>
      <w:r>
        <w:rPr>
          <w:rFonts w:hint="eastAsia" w:ascii="宋体" w:hAnsi="宋体"/>
          <w:b/>
          <w:bCs/>
          <w:sz w:val="24"/>
          <w:szCs w:val="24"/>
          <w:highlight w:val="none"/>
        </w:rPr>
        <w:t>(一)符合性审查</w:t>
      </w:r>
    </w:p>
    <w:p w14:paraId="6E98C932">
      <w:pPr>
        <w:pStyle w:val="12"/>
        <w:ind w:firstLine="480" w:firstLineChars="200"/>
        <w:rPr>
          <w:rFonts w:hint="eastAsia" w:ascii="宋体" w:hAnsi="宋体"/>
          <w:color w:val="FF0000"/>
          <w:sz w:val="24"/>
          <w:szCs w:val="24"/>
          <w:highlight w:val="none"/>
        </w:rPr>
      </w:pPr>
      <w:r>
        <w:rPr>
          <w:rFonts w:hint="eastAsia" w:ascii="宋体" w:hAnsi="宋体"/>
          <w:sz w:val="24"/>
          <w:szCs w:val="24"/>
          <w:highlight w:val="none"/>
        </w:rPr>
        <w:t>评标委员会依据符合性评审标准对符合资格的投标人的投标文件进行符合性审查，有一项不符合评审标准的，评标委员会应当否决其投标。</w:t>
      </w:r>
    </w:p>
    <w:p w14:paraId="39EE94F9">
      <w:pPr>
        <w:pStyle w:val="12"/>
        <w:ind w:firstLine="482" w:firstLineChars="200"/>
        <w:rPr>
          <w:rFonts w:hint="eastAsia" w:ascii="宋体" w:hAnsi="宋体" w:cs="宋体"/>
          <w:color w:val="FF0000"/>
          <w:sz w:val="24"/>
          <w:szCs w:val="24"/>
          <w:highlight w:val="none"/>
        </w:rPr>
      </w:pPr>
      <w:r>
        <w:rPr>
          <w:rFonts w:hint="eastAsia" w:ascii="宋体" w:hAnsi="宋体" w:cs="宋体"/>
          <w:b/>
          <w:sz w:val="24"/>
          <w:szCs w:val="24"/>
          <w:highlight w:val="none"/>
        </w:rPr>
        <w:t>1、符合性审查表</w:t>
      </w:r>
    </w:p>
    <w:tbl>
      <w:tblPr>
        <w:tblStyle w:val="27"/>
        <w:tblW w:w="10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7"/>
        <w:gridCol w:w="2303"/>
        <w:gridCol w:w="5813"/>
      </w:tblGrid>
      <w:tr w14:paraId="245DC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927" w:type="dxa"/>
            <w:noWrap w:val="0"/>
            <w:vAlign w:val="top"/>
          </w:tcPr>
          <w:p w14:paraId="196E2ED6">
            <w:pPr>
              <w:pStyle w:val="12"/>
              <w:widowControl w:val="0"/>
              <w:ind w:firstLine="0"/>
              <w:jc w:val="center"/>
              <w:rPr>
                <w:rFonts w:hint="eastAsia" w:ascii="宋体" w:hAnsi="宋体"/>
                <w:b/>
                <w:bCs/>
                <w:sz w:val="24"/>
                <w:szCs w:val="24"/>
                <w:highlight w:val="none"/>
              </w:rPr>
            </w:pPr>
            <w:r>
              <w:rPr>
                <w:rFonts w:hint="eastAsia" w:ascii="宋体" w:hAnsi="宋体" w:eastAsia="Times New Roman"/>
                <w:b/>
                <w:bCs/>
                <w:sz w:val="24"/>
                <w:szCs w:val="24"/>
                <w:highlight w:val="none"/>
              </w:rPr>
              <w:t>审查内容</w:t>
            </w:r>
          </w:p>
        </w:tc>
        <w:tc>
          <w:tcPr>
            <w:tcW w:w="2303" w:type="dxa"/>
            <w:noWrap w:val="0"/>
            <w:vAlign w:val="top"/>
          </w:tcPr>
          <w:p w14:paraId="52EAD073">
            <w:pPr>
              <w:pStyle w:val="12"/>
              <w:widowControl w:val="0"/>
              <w:ind w:firstLine="0"/>
              <w:jc w:val="center"/>
              <w:rPr>
                <w:rFonts w:hint="eastAsia" w:ascii="宋体" w:hAnsi="宋体"/>
                <w:b/>
                <w:bCs/>
                <w:sz w:val="24"/>
                <w:szCs w:val="24"/>
                <w:highlight w:val="none"/>
              </w:rPr>
            </w:pPr>
            <w:r>
              <w:rPr>
                <w:rFonts w:hint="eastAsia" w:ascii="宋体" w:hAnsi="宋体" w:eastAsia="Times New Roman"/>
                <w:b/>
                <w:bCs/>
                <w:sz w:val="24"/>
                <w:szCs w:val="24"/>
                <w:highlight w:val="none"/>
              </w:rPr>
              <w:t>评审因素</w:t>
            </w:r>
          </w:p>
        </w:tc>
        <w:tc>
          <w:tcPr>
            <w:tcW w:w="5813" w:type="dxa"/>
            <w:noWrap w:val="0"/>
            <w:vAlign w:val="top"/>
          </w:tcPr>
          <w:p w14:paraId="132C4576">
            <w:pPr>
              <w:pStyle w:val="12"/>
              <w:widowControl w:val="0"/>
              <w:ind w:firstLine="0"/>
              <w:jc w:val="center"/>
              <w:rPr>
                <w:rFonts w:hint="eastAsia" w:ascii="宋体" w:hAnsi="宋体"/>
                <w:b/>
                <w:bCs/>
                <w:sz w:val="24"/>
                <w:szCs w:val="24"/>
                <w:highlight w:val="none"/>
              </w:rPr>
            </w:pPr>
            <w:r>
              <w:rPr>
                <w:rFonts w:hint="eastAsia" w:ascii="宋体" w:hAnsi="宋体" w:eastAsia="Times New Roman"/>
                <w:b/>
                <w:bCs/>
                <w:sz w:val="24"/>
                <w:szCs w:val="24"/>
                <w:highlight w:val="none"/>
              </w:rPr>
              <w:t>评审标准</w:t>
            </w:r>
          </w:p>
        </w:tc>
      </w:tr>
      <w:tr w14:paraId="21451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Merge w:val="restart"/>
            <w:noWrap w:val="0"/>
            <w:vAlign w:val="center"/>
          </w:tcPr>
          <w:p w14:paraId="46427BF5">
            <w:pPr>
              <w:pStyle w:val="12"/>
              <w:widowControl w:val="0"/>
              <w:ind w:firstLine="0"/>
              <w:jc w:val="center"/>
              <w:rPr>
                <w:rFonts w:hint="eastAsia" w:ascii="宋体" w:hAnsi="宋体" w:eastAsia="Times New Roman"/>
                <w:sz w:val="24"/>
                <w:szCs w:val="24"/>
                <w:highlight w:val="none"/>
              </w:rPr>
            </w:pPr>
            <w:r>
              <w:rPr>
                <w:rFonts w:hint="eastAsia" w:ascii="宋体" w:hAnsi="宋体" w:eastAsia="宋体" w:cs="宋体"/>
                <w:sz w:val="24"/>
                <w:szCs w:val="24"/>
              </w:rPr>
              <w:t>符合性评审标准</w:t>
            </w:r>
          </w:p>
        </w:tc>
        <w:tc>
          <w:tcPr>
            <w:tcW w:w="2303" w:type="dxa"/>
            <w:noWrap w:val="0"/>
            <w:vAlign w:val="center"/>
          </w:tcPr>
          <w:p w14:paraId="4F759587">
            <w:pPr>
              <w:pStyle w:val="12"/>
              <w:widowControl w:val="0"/>
              <w:ind w:firstLine="0"/>
              <w:jc w:val="center"/>
              <w:rPr>
                <w:rFonts w:hint="eastAsia" w:ascii="宋体" w:hAnsi="宋体" w:eastAsia="Times New Roman"/>
                <w:sz w:val="24"/>
                <w:szCs w:val="24"/>
                <w:highlight w:val="none"/>
              </w:rPr>
            </w:pPr>
            <w:r>
              <w:rPr>
                <w:rFonts w:hint="eastAsia" w:ascii="宋体" w:hAnsi="宋体" w:eastAsia="Times New Roman"/>
                <w:sz w:val="24"/>
                <w:szCs w:val="24"/>
                <w:highlight w:val="none"/>
              </w:rPr>
              <w:t>投标文件格式</w:t>
            </w:r>
          </w:p>
        </w:tc>
        <w:tc>
          <w:tcPr>
            <w:tcW w:w="5813" w:type="dxa"/>
            <w:noWrap w:val="0"/>
            <w:vAlign w:val="top"/>
          </w:tcPr>
          <w:p w14:paraId="36ADB6FC">
            <w:pPr>
              <w:pStyle w:val="12"/>
              <w:widowControl w:val="0"/>
              <w:ind w:firstLine="0"/>
              <w:jc w:val="both"/>
              <w:rPr>
                <w:rFonts w:hint="eastAsia" w:ascii="宋体" w:hAnsi="宋体"/>
                <w:sz w:val="24"/>
                <w:szCs w:val="24"/>
                <w:highlight w:val="none"/>
              </w:rPr>
            </w:pPr>
            <w:r>
              <w:rPr>
                <w:rFonts w:hint="eastAsia" w:ascii="宋体" w:hAnsi="宋体" w:eastAsia="Times New Roman"/>
                <w:sz w:val="24"/>
                <w:highlight w:val="none"/>
              </w:rPr>
              <w:t>投标文件</w:t>
            </w:r>
            <w:r>
              <w:rPr>
                <w:rFonts w:ascii="宋体" w:hAnsi="宋体" w:eastAsia="Times New Roman"/>
                <w:sz w:val="24"/>
                <w:highlight w:val="none"/>
              </w:rPr>
              <w:t>按</w:t>
            </w:r>
            <w:r>
              <w:rPr>
                <w:rFonts w:hint="eastAsia" w:ascii="宋体" w:hAnsi="宋体" w:eastAsia="Times New Roman"/>
                <w:sz w:val="24"/>
                <w:szCs w:val="24"/>
                <w:highlight w:val="none"/>
              </w:rPr>
              <w:t>第七章</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投标文件格式</w:t>
            </w:r>
            <w:r>
              <w:rPr>
                <w:rFonts w:hint="eastAsia" w:ascii="宋体" w:hAnsi="宋体" w:eastAsia="宋体"/>
                <w:sz w:val="24"/>
                <w:szCs w:val="24"/>
                <w:highlight w:val="none"/>
                <w:lang w:eastAsia="zh-CN"/>
              </w:rPr>
              <w:t>”</w:t>
            </w:r>
            <w:r>
              <w:rPr>
                <w:rFonts w:hint="eastAsia" w:ascii="宋体" w:hAnsi="宋体" w:eastAsia="Times New Roman"/>
                <w:sz w:val="24"/>
                <w:highlight w:val="none"/>
              </w:rPr>
              <w:t>要求</w:t>
            </w:r>
            <w:r>
              <w:rPr>
                <w:rFonts w:ascii="宋体" w:hAnsi="宋体" w:eastAsia="Times New Roman"/>
                <w:sz w:val="24"/>
                <w:highlight w:val="none"/>
              </w:rPr>
              <w:t>填写</w:t>
            </w:r>
            <w:r>
              <w:rPr>
                <w:rFonts w:hint="eastAsia" w:ascii="宋体" w:hAnsi="宋体" w:eastAsia="Times New Roman"/>
                <w:sz w:val="24"/>
                <w:highlight w:val="none"/>
              </w:rPr>
              <w:t>，</w:t>
            </w:r>
            <w:r>
              <w:rPr>
                <w:rFonts w:ascii="宋体" w:hAnsi="宋体" w:eastAsia="Times New Roman"/>
                <w:sz w:val="24"/>
                <w:highlight w:val="none"/>
              </w:rPr>
              <w:t>内容</w:t>
            </w:r>
            <w:r>
              <w:rPr>
                <w:rFonts w:hint="eastAsia" w:ascii="宋体" w:hAnsi="宋体" w:eastAsia="Times New Roman"/>
                <w:sz w:val="24"/>
                <w:highlight w:val="none"/>
              </w:rPr>
              <w:t>完整且</w:t>
            </w:r>
            <w:r>
              <w:rPr>
                <w:rFonts w:ascii="宋体" w:hAnsi="宋体" w:eastAsia="Times New Roman"/>
                <w:sz w:val="24"/>
                <w:highlight w:val="none"/>
              </w:rPr>
              <w:t>关键字迹</w:t>
            </w:r>
            <w:r>
              <w:rPr>
                <w:rFonts w:hint="eastAsia" w:ascii="宋体" w:hAnsi="宋体" w:eastAsia="Times New Roman"/>
                <w:sz w:val="24"/>
                <w:highlight w:val="none"/>
              </w:rPr>
              <w:t>清晰</w:t>
            </w:r>
          </w:p>
        </w:tc>
      </w:tr>
      <w:tr w14:paraId="4EFF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Merge w:val="continue"/>
            <w:noWrap w:val="0"/>
            <w:vAlign w:val="top"/>
          </w:tcPr>
          <w:p w14:paraId="7266A368">
            <w:pPr>
              <w:pStyle w:val="12"/>
              <w:widowControl w:val="0"/>
              <w:ind w:firstLine="0"/>
              <w:jc w:val="center"/>
              <w:rPr>
                <w:rFonts w:hint="eastAsia" w:ascii="宋体" w:hAnsi="宋体" w:eastAsia="Times New Roman"/>
                <w:sz w:val="24"/>
                <w:szCs w:val="24"/>
                <w:highlight w:val="none"/>
              </w:rPr>
            </w:pPr>
          </w:p>
        </w:tc>
        <w:tc>
          <w:tcPr>
            <w:tcW w:w="2303" w:type="dxa"/>
            <w:noWrap w:val="0"/>
            <w:vAlign w:val="center"/>
          </w:tcPr>
          <w:p w14:paraId="75BDC395">
            <w:pPr>
              <w:pStyle w:val="12"/>
              <w:widowControl w:val="0"/>
              <w:ind w:firstLine="0"/>
              <w:jc w:val="center"/>
              <w:rPr>
                <w:rFonts w:hint="eastAsia" w:ascii="宋体" w:hAnsi="宋体" w:eastAsia="Times New Roman"/>
                <w:sz w:val="24"/>
                <w:szCs w:val="24"/>
                <w:highlight w:val="none"/>
              </w:rPr>
            </w:pPr>
            <w:r>
              <w:rPr>
                <w:rFonts w:hint="eastAsia" w:ascii="宋体" w:hAnsi="宋体" w:eastAsia="Times New Roman"/>
                <w:sz w:val="24"/>
                <w:szCs w:val="24"/>
                <w:highlight w:val="none"/>
              </w:rPr>
              <w:t>投标文件签署、盖章</w:t>
            </w:r>
          </w:p>
        </w:tc>
        <w:tc>
          <w:tcPr>
            <w:tcW w:w="5813" w:type="dxa"/>
            <w:noWrap w:val="0"/>
            <w:vAlign w:val="top"/>
          </w:tcPr>
          <w:p w14:paraId="29F0600A">
            <w:pPr>
              <w:pStyle w:val="12"/>
              <w:widowControl w:val="0"/>
              <w:ind w:firstLine="0"/>
              <w:jc w:val="both"/>
              <w:rPr>
                <w:rFonts w:hint="eastAsia" w:ascii="宋体" w:hAnsi="宋体" w:eastAsia="Times New Roman"/>
                <w:sz w:val="24"/>
                <w:szCs w:val="24"/>
                <w:highlight w:val="none"/>
              </w:rPr>
            </w:pPr>
            <w:r>
              <w:rPr>
                <w:rFonts w:hint="eastAsia" w:ascii="宋体" w:hAnsi="宋体" w:eastAsia="Times New Roman"/>
                <w:sz w:val="24"/>
                <w:szCs w:val="24"/>
                <w:highlight w:val="none"/>
              </w:rPr>
              <w:t>按第七章</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投标文件格式</w:t>
            </w:r>
            <w:r>
              <w:rPr>
                <w:rFonts w:hint="eastAsia" w:ascii="宋体" w:hAnsi="宋体" w:eastAsia="宋体"/>
                <w:sz w:val="24"/>
                <w:szCs w:val="24"/>
                <w:highlight w:val="none"/>
                <w:lang w:eastAsia="zh-CN"/>
              </w:rPr>
              <w:t>”</w:t>
            </w:r>
            <w:r>
              <w:rPr>
                <w:rFonts w:hint="eastAsia" w:ascii="宋体" w:hAnsi="宋体" w:eastAsia="Times New Roman"/>
                <w:sz w:val="24"/>
                <w:highlight w:val="none"/>
              </w:rPr>
              <w:t>要求在规定位置</w:t>
            </w:r>
            <w:r>
              <w:rPr>
                <w:rFonts w:hint="eastAsia" w:ascii="宋体" w:hAnsi="宋体"/>
                <w:sz w:val="24"/>
                <w:highlight w:val="none"/>
              </w:rPr>
              <w:t>盖电子签章</w:t>
            </w:r>
            <w:r>
              <w:rPr>
                <w:rFonts w:hint="eastAsia" w:ascii="宋体" w:hAnsi="宋体"/>
                <w:sz w:val="24"/>
                <w:szCs w:val="24"/>
                <w:highlight w:val="none"/>
              </w:rPr>
              <w:t>、签字</w:t>
            </w:r>
          </w:p>
        </w:tc>
      </w:tr>
      <w:tr w14:paraId="51D42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927" w:type="dxa"/>
            <w:vMerge w:val="continue"/>
            <w:noWrap w:val="0"/>
            <w:vAlign w:val="top"/>
          </w:tcPr>
          <w:p w14:paraId="0DA3A7D1">
            <w:pPr>
              <w:pStyle w:val="12"/>
              <w:widowControl w:val="0"/>
              <w:ind w:firstLine="0"/>
              <w:jc w:val="both"/>
              <w:rPr>
                <w:rFonts w:hint="eastAsia" w:ascii="宋体" w:hAnsi="宋体" w:eastAsia="Times New Roman"/>
                <w:sz w:val="24"/>
                <w:szCs w:val="24"/>
                <w:highlight w:val="none"/>
              </w:rPr>
            </w:pPr>
          </w:p>
        </w:tc>
        <w:tc>
          <w:tcPr>
            <w:tcW w:w="2303" w:type="dxa"/>
            <w:noWrap w:val="0"/>
            <w:vAlign w:val="center"/>
          </w:tcPr>
          <w:p w14:paraId="2D0CEF19">
            <w:pPr>
              <w:pStyle w:val="12"/>
              <w:widowControl w:val="0"/>
              <w:ind w:firstLine="0"/>
              <w:jc w:val="center"/>
              <w:rPr>
                <w:rFonts w:hint="eastAsia" w:ascii="宋体" w:hAnsi="宋体"/>
                <w:sz w:val="24"/>
                <w:szCs w:val="24"/>
                <w:highlight w:val="none"/>
              </w:rPr>
            </w:pPr>
            <w:r>
              <w:rPr>
                <w:rFonts w:hint="eastAsia" w:ascii="宋体" w:hAnsi="宋体" w:eastAsia="Times New Roman"/>
                <w:sz w:val="24"/>
                <w:szCs w:val="24"/>
                <w:highlight w:val="none"/>
              </w:rPr>
              <w:t>投标保证金</w:t>
            </w:r>
          </w:p>
        </w:tc>
        <w:tc>
          <w:tcPr>
            <w:tcW w:w="5813" w:type="dxa"/>
            <w:noWrap w:val="0"/>
            <w:vAlign w:val="top"/>
          </w:tcPr>
          <w:p w14:paraId="04DFB41B">
            <w:pPr>
              <w:pStyle w:val="12"/>
              <w:widowControl w:val="0"/>
              <w:ind w:firstLine="0"/>
              <w:jc w:val="both"/>
              <w:rPr>
                <w:rFonts w:hint="eastAsia" w:ascii="宋体" w:hAnsi="宋体"/>
                <w:sz w:val="24"/>
                <w:szCs w:val="24"/>
                <w:highlight w:val="none"/>
              </w:rPr>
            </w:pPr>
            <w:r>
              <w:rPr>
                <w:rFonts w:hint="eastAsia" w:ascii="宋体" w:hAnsi="宋体" w:eastAsia="Times New Roman"/>
                <w:sz w:val="24"/>
                <w:szCs w:val="24"/>
                <w:highlight w:val="none"/>
              </w:rPr>
              <w:t>符合第二章</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投标人须知前附表</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第3.4.1款规定</w:t>
            </w:r>
          </w:p>
        </w:tc>
      </w:tr>
      <w:tr w14:paraId="54BF4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Merge w:val="continue"/>
            <w:noWrap w:val="0"/>
            <w:vAlign w:val="top"/>
          </w:tcPr>
          <w:p w14:paraId="3273413F">
            <w:pPr>
              <w:pStyle w:val="12"/>
              <w:widowControl w:val="0"/>
              <w:jc w:val="both"/>
              <w:rPr>
                <w:rFonts w:hint="eastAsia" w:ascii="宋体" w:hAnsi="宋体" w:eastAsia="Times New Roman"/>
                <w:sz w:val="24"/>
                <w:szCs w:val="24"/>
                <w:highlight w:val="none"/>
              </w:rPr>
            </w:pPr>
          </w:p>
        </w:tc>
        <w:tc>
          <w:tcPr>
            <w:tcW w:w="2303" w:type="dxa"/>
            <w:noWrap w:val="0"/>
            <w:vAlign w:val="center"/>
          </w:tcPr>
          <w:p w14:paraId="7AF166DC">
            <w:pPr>
              <w:pStyle w:val="12"/>
              <w:widowControl w:val="0"/>
              <w:ind w:firstLine="0"/>
              <w:jc w:val="center"/>
              <w:rPr>
                <w:rFonts w:hint="eastAsia" w:ascii="宋体" w:hAnsi="宋体"/>
                <w:sz w:val="24"/>
                <w:szCs w:val="24"/>
                <w:highlight w:val="none"/>
              </w:rPr>
            </w:pPr>
            <w:r>
              <w:rPr>
                <w:rFonts w:hint="eastAsia" w:ascii="宋体" w:hAnsi="宋体" w:eastAsia="Times New Roman"/>
                <w:sz w:val="24"/>
                <w:szCs w:val="24"/>
                <w:highlight w:val="none"/>
              </w:rPr>
              <w:t>投标报价</w:t>
            </w:r>
          </w:p>
        </w:tc>
        <w:tc>
          <w:tcPr>
            <w:tcW w:w="5813" w:type="dxa"/>
            <w:noWrap w:val="0"/>
            <w:vAlign w:val="top"/>
          </w:tcPr>
          <w:p w14:paraId="67777911">
            <w:pPr>
              <w:pStyle w:val="12"/>
              <w:widowControl w:val="0"/>
              <w:ind w:firstLine="0"/>
              <w:jc w:val="both"/>
              <w:rPr>
                <w:rFonts w:hint="eastAsia" w:ascii="宋体" w:hAnsi="宋体"/>
                <w:sz w:val="24"/>
                <w:szCs w:val="24"/>
                <w:highlight w:val="none"/>
              </w:rPr>
            </w:pPr>
            <w:r>
              <w:rPr>
                <w:rFonts w:hint="eastAsia" w:ascii="宋体" w:hAnsi="宋体" w:eastAsia="Times New Roman"/>
                <w:sz w:val="24"/>
                <w:szCs w:val="24"/>
                <w:highlight w:val="none"/>
              </w:rPr>
              <w:t>符合第二章</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投标人须知</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第3.2项规定和第二章</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投标人须知前附表</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第3.2.4款规定</w:t>
            </w:r>
          </w:p>
        </w:tc>
      </w:tr>
      <w:tr w14:paraId="39E19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927" w:type="dxa"/>
            <w:vMerge w:val="continue"/>
            <w:noWrap w:val="0"/>
            <w:vAlign w:val="top"/>
          </w:tcPr>
          <w:p w14:paraId="1F810A1F">
            <w:pPr>
              <w:pStyle w:val="12"/>
              <w:widowControl w:val="0"/>
              <w:jc w:val="both"/>
              <w:rPr>
                <w:rFonts w:hint="eastAsia" w:ascii="宋体" w:hAnsi="宋体" w:eastAsia="Times New Roman"/>
                <w:sz w:val="24"/>
                <w:szCs w:val="24"/>
                <w:highlight w:val="none"/>
              </w:rPr>
            </w:pPr>
          </w:p>
        </w:tc>
        <w:tc>
          <w:tcPr>
            <w:tcW w:w="2303" w:type="dxa"/>
            <w:noWrap w:val="0"/>
            <w:vAlign w:val="center"/>
          </w:tcPr>
          <w:p w14:paraId="60CBEA0E">
            <w:pPr>
              <w:pStyle w:val="12"/>
              <w:widowControl w:val="0"/>
              <w:ind w:firstLine="0"/>
              <w:jc w:val="center"/>
              <w:rPr>
                <w:rFonts w:hint="eastAsia" w:ascii="宋体" w:hAnsi="宋体"/>
                <w:sz w:val="24"/>
                <w:szCs w:val="24"/>
                <w:highlight w:val="none"/>
              </w:rPr>
            </w:pPr>
            <w:r>
              <w:rPr>
                <w:rFonts w:hint="eastAsia" w:ascii="宋体" w:hAnsi="宋体" w:eastAsia="Times New Roman"/>
                <w:sz w:val="24"/>
                <w:szCs w:val="24"/>
                <w:highlight w:val="none"/>
              </w:rPr>
              <w:t>投标有效期</w:t>
            </w:r>
          </w:p>
        </w:tc>
        <w:tc>
          <w:tcPr>
            <w:tcW w:w="5813" w:type="dxa"/>
            <w:noWrap w:val="0"/>
            <w:vAlign w:val="top"/>
          </w:tcPr>
          <w:p w14:paraId="6713CDC0">
            <w:pPr>
              <w:pStyle w:val="12"/>
              <w:widowControl w:val="0"/>
              <w:ind w:firstLine="0"/>
              <w:jc w:val="both"/>
              <w:rPr>
                <w:rFonts w:hint="eastAsia" w:ascii="宋体" w:hAnsi="宋体"/>
                <w:sz w:val="24"/>
                <w:szCs w:val="24"/>
                <w:highlight w:val="none"/>
              </w:rPr>
            </w:pPr>
            <w:r>
              <w:rPr>
                <w:rFonts w:hint="eastAsia" w:ascii="宋体" w:hAnsi="宋体" w:eastAsia="Times New Roman"/>
                <w:sz w:val="24"/>
                <w:szCs w:val="24"/>
                <w:highlight w:val="none"/>
              </w:rPr>
              <w:t>符合第二章</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投标人须知前附表</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第3.3.1款规定</w:t>
            </w:r>
          </w:p>
        </w:tc>
      </w:tr>
      <w:tr w14:paraId="6DF14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27" w:type="dxa"/>
            <w:vMerge w:val="continue"/>
            <w:noWrap w:val="0"/>
            <w:vAlign w:val="top"/>
          </w:tcPr>
          <w:p w14:paraId="6F406E82">
            <w:pPr>
              <w:pStyle w:val="12"/>
              <w:widowControl w:val="0"/>
              <w:jc w:val="both"/>
              <w:rPr>
                <w:rFonts w:hint="eastAsia" w:ascii="宋体" w:hAnsi="宋体" w:eastAsia="Times New Roman"/>
                <w:sz w:val="24"/>
                <w:szCs w:val="24"/>
                <w:highlight w:val="none"/>
              </w:rPr>
            </w:pPr>
          </w:p>
        </w:tc>
        <w:tc>
          <w:tcPr>
            <w:tcW w:w="2303" w:type="dxa"/>
            <w:noWrap w:val="0"/>
            <w:vAlign w:val="top"/>
          </w:tcPr>
          <w:p w14:paraId="1EEC0F80">
            <w:pPr>
              <w:pStyle w:val="12"/>
              <w:widowControl w:val="0"/>
              <w:ind w:firstLine="0"/>
              <w:jc w:val="center"/>
              <w:rPr>
                <w:rFonts w:hint="eastAsia" w:ascii="宋体" w:hAnsi="宋体"/>
                <w:sz w:val="24"/>
                <w:szCs w:val="24"/>
                <w:highlight w:val="none"/>
              </w:rPr>
            </w:pPr>
            <w:r>
              <w:rPr>
                <w:rFonts w:hint="eastAsia" w:ascii="宋体" w:hAnsi="宋体" w:eastAsia="Times New Roman"/>
                <w:sz w:val="24"/>
                <w:szCs w:val="24"/>
                <w:highlight w:val="none"/>
              </w:rPr>
              <w:t>交货期、质保期</w:t>
            </w:r>
          </w:p>
        </w:tc>
        <w:tc>
          <w:tcPr>
            <w:tcW w:w="5813" w:type="dxa"/>
            <w:noWrap w:val="0"/>
            <w:vAlign w:val="top"/>
          </w:tcPr>
          <w:p w14:paraId="44533702">
            <w:pPr>
              <w:pStyle w:val="12"/>
              <w:widowControl w:val="0"/>
              <w:ind w:firstLine="0"/>
              <w:jc w:val="both"/>
              <w:rPr>
                <w:rFonts w:hint="eastAsia" w:ascii="宋体" w:hAnsi="宋体"/>
                <w:sz w:val="24"/>
                <w:szCs w:val="24"/>
                <w:highlight w:val="none"/>
              </w:rPr>
            </w:pPr>
            <w:r>
              <w:rPr>
                <w:rFonts w:hint="eastAsia" w:ascii="宋体" w:hAnsi="宋体" w:eastAsia="Times New Roman"/>
                <w:sz w:val="24"/>
                <w:szCs w:val="24"/>
                <w:highlight w:val="none"/>
              </w:rPr>
              <w:t>符合第二章</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投标人须知前附表</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第1.3.2款规定</w:t>
            </w:r>
          </w:p>
        </w:tc>
      </w:tr>
      <w:tr w14:paraId="7AA5B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927" w:type="dxa"/>
            <w:vMerge w:val="continue"/>
            <w:noWrap w:val="0"/>
            <w:vAlign w:val="top"/>
          </w:tcPr>
          <w:p w14:paraId="04C4F830">
            <w:pPr>
              <w:pStyle w:val="12"/>
              <w:widowControl w:val="0"/>
              <w:jc w:val="both"/>
              <w:rPr>
                <w:rFonts w:hint="eastAsia" w:ascii="宋体" w:hAnsi="宋体" w:eastAsia="Times New Roman"/>
                <w:sz w:val="24"/>
                <w:szCs w:val="24"/>
                <w:highlight w:val="none"/>
              </w:rPr>
            </w:pPr>
          </w:p>
        </w:tc>
        <w:tc>
          <w:tcPr>
            <w:tcW w:w="2303" w:type="dxa"/>
            <w:noWrap w:val="0"/>
            <w:vAlign w:val="top"/>
          </w:tcPr>
          <w:p w14:paraId="654B4D1A">
            <w:pPr>
              <w:pStyle w:val="12"/>
              <w:widowControl w:val="0"/>
              <w:ind w:firstLine="0"/>
              <w:jc w:val="center"/>
              <w:rPr>
                <w:rFonts w:hint="eastAsia" w:ascii="宋体" w:hAnsi="宋体"/>
                <w:sz w:val="24"/>
                <w:szCs w:val="24"/>
                <w:highlight w:val="none"/>
              </w:rPr>
            </w:pPr>
            <w:r>
              <w:rPr>
                <w:rFonts w:hint="eastAsia" w:ascii="宋体" w:hAnsi="宋体" w:eastAsia="Times New Roman"/>
                <w:sz w:val="24"/>
                <w:szCs w:val="24"/>
                <w:highlight w:val="none"/>
              </w:rPr>
              <w:t>交货地点</w:t>
            </w:r>
            <w:r>
              <w:rPr>
                <w:rFonts w:hint="eastAsia" w:ascii="宋体" w:hAnsi="宋体"/>
                <w:sz w:val="24"/>
                <w:szCs w:val="24"/>
                <w:highlight w:val="none"/>
              </w:rPr>
              <w:t>、交货方式</w:t>
            </w:r>
          </w:p>
        </w:tc>
        <w:tc>
          <w:tcPr>
            <w:tcW w:w="5813" w:type="dxa"/>
            <w:noWrap w:val="0"/>
            <w:vAlign w:val="top"/>
          </w:tcPr>
          <w:p w14:paraId="1F6D69EB">
            <w:pPr>
              <w:pStyle w:val="12"/>
              <w:widowControl w:val="0"/>
              <w:ind w:firstLine="0"/>
              <w:jc w:val="both"/>
              <w:rPr>
                <w:rFonts w:hint="eastAsia" w:ascii="宋体" w:hAnsi="宋体" w:eastAsia="Times New Roman"/>
                <w:sz w:val="24"/>
                <w:szCs w:val="24"/>
                <w:highlight w:val="none"/>
              </w:rPr>
            </w:pPr>
            <w:r>
              <w:rPr>
                <w:rFonts w:hint="eastAsia" w:ascii="宋体" w:hAnsi="宋体" w:eastAsia="Times New Roman"/>
                <w:sz w:val="24"/>
                <w:szCs w:val="24"/>
                <w:highlight w:val="none"/>
              </w:rPr>
              <w:t>符合第二章</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投标人须知前附表</w:t>
            </w:r>
            <w:r>
              <w:rPr>
                <w:rFonts w:hint="eastAsia" w:ascii="宋体" w:hAnsi="宋体" w:eastAsia="宋体"/>
                <w:sz w:val="24"/>
                <w:szCs w:val="24"/>
                <w:highlight w:val="none"/>
                <w:lang w:eastAsia="zh-CN"/>
              </w:rPr>
              <w:t>”</w:t>
            </w:r>
            <w:r>
              <w:rPr>
                <w:rFonts w:hint="eastAsia" w:ascii="宋体" w:hAnsi="宋体" w:eastAsia="Times New Roman"/>
                <w:sz w:val="24"/>
                <w:szCs w:val="24"/>
                <w:highlight w:val="none"/>
              </w:rPr>
              <w:t>第1.3.3款规定</w:t>
            </w:r>
          </w:p>
        </w:tc>
      </w:tr>
      <w:tr w14:paraId="6446F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927" w:type="dxa"/>
            <w:vMerge w:val="continue"/>
            <w:noWrap w:val="0"/>
            <w:vAlign w:val="top"/>
          </w:tcPr>
          <w:p w14:paraId="65C6D1D8">
            <w:pPr>
              <w:pStyle w:val="12"/>
              <w:widowControl w:val="0"/>
              <w:jc w:val="both"/>
              <w:rPr>
                <w:rFonts w:hint="eastAsia" w:ascii="宋体" w:hAnsi="宋体" w:eastAsia="Times New Roman"/>
                <w:sz w:val="24"/>
                <w:szCs w:val="24"/>
                <w:highlight w:val="none"/>
              </w:rPr>
            </w:pPr>
          </w:p>
        </w:tc>
        <w:tc>
          <w:tcPr>
            <w:tcW w:w="2303" w:type="dxa"/>
            <w:noWrap w:val="0"/>
            <w:vAlign w:val="center"/>
          </w:tcPr>
          <w:p w14:paraId="34B87F9F">
            <w:pPr>
              <w:pStyle w:val="12"/>
              <w:widowControl w:val="0"/>
              <w:ind w:firstLine="0"/>
              <w:jc w:val="center"/>
              <w:rPr>
                <w:rFonts w:hint="eastAsia" w:ascii="宋体" w:hAnsi="宋体" w:eastAsia="Times New Roman"/>
                <w:sz w:val="24"/>
                <w:szCs w:val="24"/>
                <w:highlight w:val="none"/>
              </w:rPr>
            </w:pPr>
            <w:r>
              <w:rPr>
                <w:rFonts w:hint="eastAsia" w:ascii="宋体" w:hAnsi="宋体" w:eastAsia="Times New Roman"/>
                <w:sz w:val="24"/>
                <w:highlight w:val="none"/>
              </w:rPr>
              <w:t>投标内容</w:t>
            </w:r>
          </w:p>
        </w:tc>
        <w:tc>
          <w:tcPr>
            <w:tcW w:w="5813" w:type="dxa"/>
            <w:noWrap w:val="0"/>
            <w:vAlign w:val="center"/>
          </w:tcPr>
          <w:p w14:paraId="1E952FEF">
            <w:pPr>
              <w:pStyle w:val="12"/>
              <w:widowControl w:val="0"/>
              <w:ind w:firstLine="0"/>
              <w:jc w:val="left"/>
              <w:rPr>
                <w:rFonts w:hint="default" w:ascii="宋体" w:hAnsi="宋体" w:eastAsia="宋体"/>
                <w:sz w:val="24"/>
                <w:szCs w:val="24"/>
                <w:highlight w:val="none"/>
                <w:lang w:val="en-US" w:eastAsia="zh-CN"/>
              </w:rPr>
            </w:pPr>
            <w:r>
              <w:rPr>
                <w:rFonts w:hint="eastAsia" w:ascii="宋体" w:hAnsi="宋体" w:eastAsia="Times New Roman"/>
                <w:sz w:val="24"/>
                <w:highlight w:val="none"/>
              </w:rPr>
              <w:t>投标人提供的货物无实质性遗漏</w:t>
            </w:r>
          </w:p>
        </w:tc>
      </w:tr>
      <w:tr w14:paraId="75A99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Merge w:val="continue"/>
            <w:noWrap w:val="0"/>
            <w:vAlign w:val="top"/>
          </w:tcPr>
          <w:p w14:paraId="7F908035">
            <w:pPr>
              <w:pStyle w:val="12"/>
              <w:widowControl w:val="0"/>
              <w:jc w:val="both"/>
              <w:rPr>
                <w:rFonts w:hint="eastAsia" w:ascii="宋体" w:hAnsi="宋体" w:eastAsia="Times New Roman"/>
                <w:sz w:val="24"/>
                <w:szCs w:val="24"/>
                <w:highlight w:val="none"/>
              </w:rPr>
            </w:pPr>
          </w:p>
        </w:tc>
        <w:tc>
          <w:tcPr>
            <w:tcW w:w="2303" w:type="dxa"/>
            <w:noWrap w:val="0"/>
            <w:vAlign w:val="center"/>
          </w:tcPr>
          <w:p w14:paraId="342B3659">
            <w:pPr>
              <w:pStyle w:val="12"/>
              <w:widowControl w:val="0"/>
              <w:ind w:firstLine="0"/>
              <w:jc w:val="center"/>
              <w:rPr>
                <w:rFonts w:hint="eastAsia" w:ascii="宋体" w:hAnsi="宋体" w:eastAsia="Times New Roman"/>
                <w:sz w:val="24"/>
                <w:szCs w:val="24"/>
                <w:highlight w:val="none"/>
              </w:rPr>
            </w:pPr>
            <w:r>
              <w:rPr>
                <w:rFonts w:hint="eastAsia" w:ascii="宋体" w:hAnsi="宋体" w:eastAsia="Times New Roman"/>
                <w:sz w:val="24"/>
                <w:szCs w:val="24"/>
                <w:highlight w:val="none"/>
              </w:rPr>
              <w:t>法定代表人授权委托书</w:t>
            </w:r>
          </w:p>
        </w:tc>
        <w:tc>
          <w:tcPr>
            <w:tcW w:w="5813" w:type="dxa"/>
            <w:noWrap w:val="0"/>
            <w:vAlign w:val="center"/>
          </w:tcPr>
          <w:p w14:paraId="2A9838B7">
            <w:pPr>
              <w:pStyle w:val="12"/>
              <w:widowControl w:val="0"/>
              <w:ind w:firstLine="0"/>
              <w:jc w:val="left"/>
              <w:rPr>
                <w:rFonts w:hint="eastAsia" w:ascii="宋体" w:hAnsi="宋体" w:eastAsia="Times New Roman"/>
                <w:sz w:val="24"/>
                <w:szCs w:val="24"/>
                <w:highlight w:val="none"/>
              </w:rPr>
            </w:pPr>
            <w:r>
              <w:rPr>
                <w:rFonts w:hint="eastAsia" w:ascii="宋体" w:hAnsi="宋体" w:eastAsia="Times New Roman"/>
                <w:sz w:val="24"/>
                <w:szCs w:val="24"/>
                <w:highlight w:val="none"/>
              </w:rPr>
              <w:t>法定代表人委托代理人投标的，应附法定代表人授权委托书</w:t>
            </w:r>
          </w:p>
        </w:tc>
      </w:tr>
      <w:tr w14:paraId="700E3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Merge w:val="continue"/>
            <w:noWrap w:val="0"/>
            <w:vAlign w:val="top"/>
          </w:tcPr>
          <w:p w14:paraId="2F26B670">
            <w:pPr>
              <w:pStyle w:val="12"/>
              <w:widowControl w:val="0"/>
              <w:jc w:val="both"/>
              <w:rPr>
                <w:rFonts w:hint="eastAsia" w:ascii="宋体" w:hAnsi="宋体" w:eastAsia="Times New Roman"/>
                <w:sz w:val="24"/>
                <w:szCs w:val="24"/>
                <w:highlight w:val="none"/>
              </w:rPr>
            </w:pPr>
          </w:p>
        </w:tc>
        <w:tc>
          <w:tcPr>
            <w:tcW w:w="2303" w:type="dxa"/>
            <w:noWrap w:val="0"/>
            <w:vAlign w:val="center"/>
          </w:tcPr>
          <w:p w14:paraId="43038918">
            <w:pPr>
              <w:widowControl w:val="0"/>
              <w:tabs>
                <w:tab w:val="left" w:pos="1260"/>
                <w:tab w:val="left" w:pos="1620"/>
              </w:tabs>
              <w:adjustRightInd w:val="0"/>
              <w:snapToGrid w:val="0"/>
              <w:jc w:val="center"/>
              <w:textAlignment w:val="baseline"/>
              <w:rPr>
                <w:rFonts w:hint="eastAsia" w:ascii="宋体" w:hAnsi="宋体" w:eastAsia="Times New Roman"/>
                <w:sz w:val="24"/>
                <w:szCs w:val="24"/>
                <w:highlight w:val="none"/>
              </w:rPr>
            </w:pPr>
            <w:r>
              <w:rPr>
                <w:rFonts w:hint="eastAsia" w:ascii="宋体" w:hAnsi="宋体" w:eastAsia="Times New Roman"/>
                <w:sz w:val="24"/>
                <w:highlight w:val="none"/>
              </w:rPr>
              <w:t>其他无效情形</w:t>
            </w:r>
          </w:p>
        </w:tc>
        <w:tc>
          <w:tcPr>
            <w:tcW w:w="5813" w:type="dxa"/>
            <w:noWrap w:val="0"/>
            <w:vAlign w:val="center"/>
          </w:tcPr>
          <w:p w14:paraId="19F055C2">
            <w:pPr>
              <w:pStyle w:val="12"/>
              <w:widowControl w:val="0"/>
              <w:autoSpaceDE w:val="0"/>
              <w:ind w:firstLine="0"/>
              <w:jc w:val="both"/>
              <w:rPr>
                <w:rFonts w:hint="eastAsia" w:ascii="宋体" w:hAnsi="宋体" w:eastAsia="Times New Roman"/>
                <w:sz w:val="24"/>
                <w:szCs w:val="24"/>
                <w:highlight w:val="none"/>
              </w:rPr>
            </w:pPr>
            <w:r>
              <w:rPr>
                <w:rFonts w:hint="eastAsia" w:ascii="宋体" w:hAnsi="宋体" w:eastAsia="Times New Roman"/>
                <w:sz w:val="24"/>
                <w:szCs w:val="24"/>
                <w:highlight w:val="none"/>
              </w:rPr>
              <w:t>(1)不同投标人的投标文件由同一单位或者个人编</w:t>
            </w:r>
            <w:r>
              <w:rPr>
                <w:rFonts w:hint="eastAsia" w:ascii="宋体" w:hAnsi="宋体" w:eastAsia="宋体"/>
                <w:sz w:val="24"/>
                <w:szCs w:val="24"/>
                <w:highlight w:val="none"/>
                <w:lang w:eastAsia="zh-CN"/>
              </w:rPr>
              <w:t>制</w:t>
            </w:r>
            <w:r>
              <w:rPr>
                <w:rFonts w:hint="eastAsia" w:ascii="宋体" w:hAnsi="宋体" w:eastAsia="Times New Roman"/>
                <w:sz w:val="24"/>
                <w:szCs w:val="24"/>
                <w:highlight w:val="none"/>
              </w:rPr>
              <w:t>；</w:t>
            </w:r>
          </w:p>
          <w:p w14:paraId="7C5476F4">
            <w:pPr>
              <w:pStyle w:val="12"/>
              <w:widowControl w:val="0"/>
              <w:autoSpaceDE w:val="0"/>
              <w:ind w:firstLine="0"/>
              <w:jc w:val="both"/>
              <w:rPr>
                <w:rFonts w:hint="eastAsia" w:ascii="宋体" w:hAnsi="宋体" w:eastAsia="Times New Roman"/>
                <w:sz w:val="24"/>
                <w:szCs w:val="24"/>
                <w:highlight w:val="none"/>
              </w:rPr>
            </w:pPr>
            <w:r>
              <w:rPr>
                <w:rFonts w:hint="eastAsia" w:ascii="宋体" w:hAnsi="宋体" w:eastAsia="Times New Roman"/>
                <w:sz w:val="24"/>
                <w:szCs w:val="24"/>
                <w:highlight w:val="none"/>
              </w:rPr>
              <w:t>(2)不同投标人委托同一单位或者个人办理投标事宜；</w:t>
            </w:r>
          </w:p>
          <w:p w14:paraId="66382DC6">
            <w:pPr>
              <w:pStyle w:val="12"/>
              <w:widowControl w:val="0"/>
              <w:autoSpaceDE w:val="0"/>
              <w:ind w:firstLine="0"/>
              <w:jc w:val="both"/>
              <w:rPr>
                <w:rFonts w:hint="eastAsia" w:ascii="宋体" w:hAnsi="宋体" w:eastAsia="Times New Roman"/>
                <w:sz w:val="24"/>
                <w:szCs w:val="24"/>
                <w:highlight w:val="none"/>
              </w:rPr>
            </w:pPr>
            <w:r>
              <w:rPr>
                <w:rFonts w:hint="eastAsia" w:ascii="宋体" w:hAnsi="宋体" w:eastAsia="Times New Roman"/>
                <w:sz w:val="24"/>
                <w:szCs w:val="24"/>
                <w:highlight w:val="none"/>
              </w:rPr>
              <w:t>(3)不同投标人的投标文件载明的项目管理成员或者联系人员为同一人；</w:t>
            </w:r>
          </w:p>
          <w:p w14:paraId="19B2F53A">
            <w:pPr>
              <w:pStyle w:val="12"/>
              <w:widowControl w:val="0"/>
              <w:autoSpaceDE w:val="0"/>
              <w:ind w:firstLine="0"/>
              <w:jc w:val="both"/>
              <w:rPr>
                <w:rFonts w:hint="eastAsia" w:ascii="宋体" w:hAnsi="宋体" w:eastAsia="Times New Roman"/>
                <w:sz w:val="24"/>
                <w:szCs w:val="24"/>
                <w:highlight w:val="none"/>
              </w:rPr>
            </w:pPr>
            <w:r>
              <w:rPr>
                <w:rFonts w:hint="eastAsia" w:ascii="宋体" w:hAnsi="宋体" w:eastAsia="Times New Roman"/>
                <w:sz w:val="24"/>
                <w:szCs w:val="24"/>
                <w:highlight w:val="none"/>
              </w:rPr>
              <w:t>(4)不同投标人的投标文件异常一致或者投标报价呈规律性差异；</w:t>
            </w:r>
          </w:p>
          <w:p w14:paraId="0CEBBA48">
            <w:pPr>
              <w:pStyle w:val="12"/>
              <w:widowControl w:val="0"/>
              <w:autoSpaceDE w:val="0"/>
              <w:ind w:firstLine="0"/>
              <w:jc w:val="both"/>
              <w:rPr>
                <w:rFonts w:hint="eastAsia" w:ascii="宋体" w:hAnsi="宋体" w:eastAsia="宋体" w:cs="宋体"/>
                <w:sz w:val="24"/>
                <w:szCs w:val="24"/>
                <w:highlight w:val="none"/>
                <w:lang w:val="en-US" w:eastAsia="zh-CN"/>
              </w:rPr>
            </w:pPr>
            <w:r>
              <w:rPr>
                <w:rFonts w:hint="eastAsia" w:ascii="宋体" w:hAnsi="宋体" w:eastAsia="Times New Roman"/>
                <w:sz w:val="24"/>
                <w:szCs w:val="24"/>
                <w:highlight w:val="none"/>
              </w:rPr>
              <w:t>(5)</w:t>
            </w:r>
            <w:r>
              <w:rPr>
                <w:rFonts w:hint="eastAsia" w:ascii="宋体" w:hAnsi="宋体" w:eastAsia="宋体" w:cs="宋体"/>
                <w:sz w:val="24"/>
                <w:szCs w:val="24"/>
                <w:highlight w:val="none"/>
                <w:lang w:val="en-US" w:eastAsia="zh-CN"/>
              </w:rPr>
              <w:t>不同投标人的投标文件相互混装；</w:t>
            </w:r>
          </w:p>
          <w:p w14:paraId="709B256A">
            <w:pPr>
              <w:pStyle w:val="12"/>
              <w:widowControl w:val="0"/>
              <w:autoSpaceDE w:val="0"/>
              <w:ind w:firstLine="0"/>
              <w:jc w:val="both"/>
              <w:rPr>
                <w:rFonts w:hint="eastAsia" w:ascii="宋体" w:hAnsi="宋体"/>
                <w:sz w:val="24"/>
                <w:szCs w:val="24"/>
                <w:highlight w:val="none"/>
              </w:rPr>
            </w:pPr>
            <w:r>
              <w:rPr>
                <w:rFonts w:hint="eastAsia" w:ascii="宋体" w:hAnsi="宋体" w:eastAsia="Times New Roman"/>
                <w:sz w:val="24"/>
                <w:szCs w:val="24"/>
                <w:highlight w:val="none"/>
              </w:rPr>
              <w:t>(</w:t>
            </w:r>
            <w:r>
              <w:rPr>
                <w:rFonts w:hint="eastAsia" w:ascii="宋体" w:hAnsi="宋体" w:eastAsia="宋体"/>
                <w:sz w:val="24"/>
                <w:szCs w:val="24"/>
                <w:highlight w:val="none"/>
                <w:lang w:val="en-US" w:eastAsia="zh-CN"/>
              </w:rPr>
              <w:t>6</w:t>
            </w:r>
            <w:r>
              <w:rPr>
                <w:rFonts w:hint="eastAsia" w:ascii="宋体" w:hAnsi="宋体" w:eastAsia="Times New Roman"/>
                <w:sz w:val="24"/>
                <w:szCs w:val="24"/>
                <w:highlight w:val="none"/>
              </w:rPr>
              <w:t>)不同投标人的投标保证金从同一单位或者个人的账户转出</w:t>
            </w:r>
            <w:r>
              <w:rPr>
                <w:rFonts w:hint="eastAsia" w:ascii="宋体" w:hAnsi="宋体"/>
                <w:sz w:val="24"/>
                <w:szCs w:val="24"/>
                <w:highlight w:val="none"/>
              </w:rPr>
              <w:t>；</w:t>
            </w:r>
          </w:p>
          <w:p w14:paraId="1998F0FC">
            <w:pPr>
              <w:pStyle w:val="12"/>
              <w:widowControl w:val="0"/>
              <w:autoSpaceDE w:val="0"/>
              <w:ind w:firstLine="0"/>
              <w:jc w:val="both"/>
              <w:rPr>
                <w:rFonts w:hint="eastAsia" w:ascii="宋体" w:hAnsi="宋体" w:eastAsia="Times New Roman"/>
                <w:sz w:val="24"/>
                <w:szCs w:val="24"/>
                <w:highlight w:val="none"/>
              </w:rPr>
            </w:pPr>
            <w:r>
              <w:rPr>
                <w:rFonts w:hint="eastAsia" w:ascii="宋体" w:hAnsi="宋体" w:eastAsia="Times New Roman"/>
                <w:sz w:val="24"/>
                <w:szCs w:val="24"/>
                <w:highlight w:val="none"/>
              </w:rPr>
              <w:t>(</w:t>
            </w:r>
            <w:r>
              <w:rPr>
                <w:rFonts w:hint="eastAsia" w:ascii="宋体" w:hAnsi="宋体" w:eastAsia="宋体"/>
                <w:sz w:val="24"/>
                <w:szCs w:val="24"/>
                <w:highlight w:val="none"/>
                <w:lang w:val="en-US" w:eastAsia="zh-CN"/>
              </w:rPr>
              <w:t>7</w:t>
            </w:r>
            <w:r>
              <w:rPr>
                <w:rFonts w:hint="eastAsia" w:ascii="宋体" w:hAnsi="宋体" w:eastAsia="Times New Roman"/>
                <w:sz w:val="24"/>
                <w:szCs w:val="24"/>
                <w:highlight w:val="none"/>
              </w:rPr>
              <w:t>)法律、法规和招标文件规定的其他无效情形。</w:t>
            </w:r>
          </w:p>
        </w:tc>
      </w:tr>
      <w:tr w14:paraId="01DB2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927" w:type="dxa"/>
            <w:vMerge w:val="continue"/>
            <w:noWrap w:val="0"/>
            <w:vAlign w:val="top"/>
          </w:tcPr>
          <w:p w14:paraId="712D69A1">
            <w:pPr>
              <w:pStyle w:val="12"/>
              <w:widowControl w:val="0"/>
              <w:jc w:val="both"/>
              <w:rPr>
                <w:rFonts w:hint="eastAsia" w:ascii="宋体" w:hAnsi="宋体" w:eastAsia="Times New Roman"/>
                <w:sz w:val="24"/>
                <w:szCs w:val="24"/>
                <w:highlight w:val="none"/>
              </w:rPr>
            </w:pPr>
          </w:p>
        </w:tc>
        <w:tc>
          <w:tcPr>
            <w:tcW w:w="2303" w:type="dxa"/>
            <w:noWrap w:val="0"/>
            <w:vAlign w:val="top"/>
          </w:tcPr>
          <w:p w14:paraId="6ACE34A3">
            <w:pPr>
              <w:pStyle w:val="12"/>
              <w:widowControl w:val="0"/>
              <w:ind w:firstLine="0"/>
              <w:jc w:val="center"/>
              <w:rPr>
                <w:rFonts w:hint="eastAsia" w:ascii="宋体" w:hAnsi="宋体" w:eastAsia="Times New Roman"/>
                <w:sz w:val="24"/>
                <w:szCs w:val="24"/>
                <w:highlight w:val="none"/>
              </w:rPr>
            </w:pPr>
            <w:r>
              <w:rPr>
                <w:rFonts w:hint="eastAsia" w:ascii="宋体" w:hAnsi="宋体" w:eastAsia="Times New Roman"/>
                <w:sz w:val="24"/>
                <w:szCs w:val="24"/>
                <w:highlight w:val="none"/>
              </w:rPr>
              <w:t>附加条件</w:t>
            </w:r>
          </w:p>
        </w:tc>
        <w:tc>
          <w:tcPr>
            <w:tcW w:w="5813" w:type="dxa"/>
            <w:noWrap w:val="0"/>
            <w:vAlign w:val="top"/>
          </w:tcPr>
          <w:p w14:paraId="278591DB">
            <w:pPr>
              <w:pStyle w:val="12"/>
              <w:widowControl w:val="0"/>
              <w:ind w:firstLine="0"/>
              <w:jc w:val="both"/>
              <w:rPr>
                <w:rFonts w:hint="eastAsia" w:ascii="宋体" w:hAnsi="宋体" w:eastAsia="Times New Roman"/>
                <w:sz w:val="24"/>
                <w:szCs w:val="24"/>
                <w:highlight w:val="none"/>
              </w:rPr>
            </w:pPr>
            <w:r>
              <w:rPr>
                <w:rFonts w:hint="eastAsia" w:ascii="宋体" w:hAnsi="宋体" w:eastAsia="Times New Roman"/>
                <w:sz w:val="24"/>
                <w:szCs w:val="24"/>
                <w:highlight w:val="none"/>
              </w:rPr>
              <w:t>投标文件未含有采购人不能接受的附加条件</w:t>
            </w:r>
          </w:p>
        </w:tc>
      </w:tr>
    </w:tbl>
    <w:p w14:paraId="34C2516C">
      <w:pPr>
        <w:pStyle w:val="12"/>
        <w:ind w:firstLine="482" w:firstLineChars="200"/>
        <w:rPr>
          <w:rFonts w:hint="eastAsia" w:ascii="宋体" w:hAnsi="宋体"/>
          <w:b/>
          <w:bCs/>
          <w:sz w:val="24"/>
          <w:szCs w:val="24"/>
          <w:highlight w:val="none"/>
        </w:rPr>
      </w:pPr>
      <w:r>
        <w:rPr>
          <w:rFonts w:hint="eastAsia" w:ascii="宋体" w:hAnsi="宋体"/>
          <w:b/>
          <w:bCs/>
          <w:sz w:val="24"/>
          <w:szCs w:val="24"/>
          <w:highlight w:val="none"/>
        </w:rPr>
        <w:t>(二)澄清有关问题</w:t>
      </w:r>
    </w:p>
    <w:p w14:paraId="529CEE3D">
      <w:pPr>
        <w:pStyle w:val="12"/>
        <w:ind w:firstLine="482" w:firstLineChars="200"/>
        <w:rPr>
          <w:rFonts w:hint="eastAsia" w:ascii="宋体" w:hAnsi="宋体"/>
          <w:b/>
          <w:bCs/>
          <w:sz w:val="24"/>
          <w:szCs w:val="24"/>
          <w:highlight w:val="none"/>
        </w:rPr>
      </w:pPr>
      <w:r>
        <w:rPr>
          <w:rFonts w:hint="eastAsia" w:ascii="宋体" w:hAnsi="宋体"/>
          <w:b/>
          <w:bCs/>
          <w:sz w:val="24"/>
          <w:szCs w:val="24"/>
          <w:highlight w:val="none"/>
        </w:rPr>
        <w:t>1.投标文件内容澄清</w:t>
      </w:r>
    </w:p>
    <w:p w14:paraId="113BAA02">
      <w:pPr>
        <w:pStyle w:val="12"/>
        <w:ind w:firstLine="480" w:firstLineChars="200"/>
        <w:rPr>
          <w:rFonts w:hint="eastAsia" w:ascii="宋体" w:hAnsi="宋体"/>
          <w:sz w:val="24"/>
          <w:szCs w:val="24"/>
          <w:highlight w:val="none"/>
        </w:rPr>
      </w:pPr>
      <w:r>
        <w:rPr>
          <w:rFonts w:hint="eastAsia" w:ascii="宋体" w:hAnsi="宋体"/>
          <w:sz w:val="24"/>
          <w:szCs w:val="24"/>
          <w:highlight w:val="none"/>
        </w:rPr>
        <w:t>对于投标文件中含义不明确、同类问题表述不一致或者有明显文字和计算错误的内容，评标委员会应当以书面形式要求投标人作出必要的澄清、说明或者补正。投标人的澄清、说明或者补正应当采用书面形式，并加盖单位公章，或者由法定代表人或其授权的代表签字。投标人的澄清、说明或者补正不得超出投标文件的范围或者改变投标文件的实质性内容。</w:t>
      </w:r>
    </w:p>
    <w:p w14:paraId="246F4E90">
      <w:pPr>
        <w:pStyle w:val="12"/>
        <w:ind w:firstLine="482" w:firstLineChars="200"/>
        <w:rPr>
          <w:rFonts w:hint="eastAsia" w:ascii="宋体" w:hAnsi="宋体"/>
          <w:b/>
          <w:bCs/>
          <w:sz w:val="24"/>
          <w:szCs w:val="24"/>
          <w:highlight w:val="none"/>
        </w:rPr>
      </w:pPr>
      <w:r>
        <w:rPr>
          <w:rFonts w:hint="eastAsia" w:ascii="宋体" w:hAnsi="宋体"/>
          <w:b/>
          <w:bCs/>
          <w:sz w:val="24"/>
          <w:szCs w:val="24"/>
          <w:highlight w:val="none"/>
        </w:rPr>
        <w:t>2.报价不一致情形澄清</w:t>
      </w:r>
    </w:p>
    <w:p w14:paraId="7AF8E10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投标文件报价出现前后不一致的，除招标文件另有规定外，按照下列规定修正：</w:t>
      </w:r>
    </w:p>
    <w:p w14:paraId="5D832E39">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(1)投标文件中《开标一览表》内容与投标文件中相应内容不一致的，以《开标一览表》为准；</w:t>
      </w:r>
    </w:p>
    <w:p w14:paraId="39EDD739">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(2)大写金额和小写金额不一致的，以大写金额为准；</w:t>
      </w:r>
    </w:p>
    <w:p w14:paraId="14E1425D">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(3)单价金额小数点或者百分比有明显错位的，以开标一览表的总价为准，并修改单价；</w:t>
      </w:r>
    </w:p>
    <w:p w14:paraId="40C08AEF">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(4)总价金额与按单价汇总金额不一致的，以单价金额计算结果为准。</w:t>
      </w:r>
    </w:p>
    <w:p w14:paraId="337EB3A9">
      <w:pPr>
        <w:pStyle w:val="12"/>
        <w:ind w:firstLine="480" w:firstLineChars="200"/>
        <w:rPr>
          <w:rFonts w:hint="eastAsia" w:ascii="宋体" w:hAnsi="宋体"/>
          <w:sz w:val="24"/>
          <w:szCs w:val="24"/>
          <w:highlight w:val="none"/>
        </w:rPr>
      </w:pPr>
      <w:r>
        <w:rPr>
          <w:rFonts w:hint="eastAsia" w:ascii="宋体" w:hAnsi="宋体"/>
          <w:sz w:val="24"/>
          <w:szCs w:val="24"/>
          <w:highlight w:val="none"/>
        </w:rPr>
        <w:t>同时出现两种以上不一致的，按照前款规定的顺序修正。修正后的报价经投标人确认后产生约束力，投标人不确认的，其投标无效。</w:t>
      </w:r>
    </w:p>
    <w:p w14:paraId="4CEB9B97">
      <w:pPr>
        <w:pStyle w:val="12"/>
        <w:ind w:firstLine="482" w:firstLineChars="200"/>
        <w:rPr>
          <w:rFonts w:hint="eastAsia" w:ascii="宋体" w:hAnsi="宋体"/>
          <w:b/>
          <w:bCs/>
          <w:sz w:val="24"/>
          <w:szCs w:val="24"/>
          <w:highlight w:val="none"/>
        </w:rPr>
      </w:pPr>
      <w:r>
        <w:rPr>
          <w:rFonts w:hint="eastAsia" w:ascii="宋体" w:hAnsi="宋体"/>
          <w:b/>
          <w:bCs/>
          <w:sz w:val="24"/>
          <w:szCs w:val="24"/>
          <w:highlight w:val="none"/>
        </w:rPr>
        <w:t>3.报价过低情形澄清</w:t>
      </w:r>
    </w:p>
    <w:p w14:paraId="701C5F4F">
      <w:pPr>
        <w:pStyle w:val="12"/>
        <w:widowControl w:val="0"/>
        <w:ind w:firstLine="480" w:firstLineChars="200"/>
        <w:rPr>
          <w:rFonts w:hint="eastAsia" w:ascii="宋体" w:hAnsi="宋体"/>
          <w:sz w:val="24"/>
          <w:szCs w:val="24"/>
          <w:highlight w:val="none"/>
        </w:rPr>
      </w:pPr>
      <w:r>
        <w:rPr>
          <w:rFonts w:hint="eastAsia" w:ascii="宋体" w:hAnsi="宋体"/>
          <w:sz w:val="24"/>
          <w:szCs w:val="24"/>
          <w:highlight w:val="none"/>
        </w:rPr>
        <w:t>评标委员会认为投标人的报价(总价或单价)明显低于其他通过符合性审查投标人的报价(总价或单价)，有可能影响产品质量或者不能诚信履约的，应当要求其在评标现场合理的时间内提供书面说明，必要时提交相关证明材料；投标人不能证明其报价合理性的，评标委员会应当将其作为无效投标处理。</w:t>
      </w:r>
    </w:p>
    <w:p w14:paraId="1C36304B">
      <w:pPr>
        <w:spacing w:line="500" w:lineRule="exact"/>
        <w:ind w:firstLine="482" w:firstLineChars="200"/>
        <w:rPr>
          <w:rFonts w:hint="eastAsia" w:ascii="宋体" w:hAnsi="宋体"/>
          <w:b/>
          <w:bCs/>
          <w:sz w:val="24"/>
          <w:szCs w:val="24"/>
          <w:highlight w:val="none"/>
        </w:rPr>
      </w:pPr>
      <w:r>
        <w:rPr>
          <w:rFonts w:hint="eastAsia" w:ascii="宋体" w:hAnsi="宋体"/>
          <w:b/>
          <w:bCs/>
          <w:sz w:val="24"/>
          <w:szCs w:val="24"/>
          <w:highlight w:val="none"/>
        </w:rPr>
        <w:t>(三)商务和技术评估、综合比较与评价</w:t>
      </w:r>
    </w:p>
    <w:p w14:paraId="0A510663">
      <w:pPr>
        <w:widowControl w:val="0"/>
        <w:autoSpaceDE w:val="0"/>
        <w:autoSpaceDN w:val="0"/>
        <w:spacing w:line="460" w:lineRule="exact"/>
        <w:ind w:firstLine="472" w:firstLineChars="196"/>
        <w:jc w:val="both"/>
        <w:rPr>
          <w:rFonts w:hint="eastAsia" w:ascii="宋体" w:hAnsi="宋体"/>
          <w:b/>
          <w:bCs/>
          <w:sz w:val="24"/>
          <w:szCs w:val="24"/>
          <w:highlight w:val="none"/>
        </w:rPr>
      </w:pPr>
      <w:r>
        <w:rPr>
          <w:rFonts w:hint="eastAsia" w:ascii="宋体" w:hAnsi="宋体"/>
          <w:b/>
          <w:bCs/>
          <w:sz w:val="24"/>
          <w:szCs w:val="24"/>
          <w:highlight w:val="none"/>
        </w:rPr>
        <w:t>1.同品牌产品不同投标人的处理方式</w:t>
      </w:r>
    </w:p>
    <w:p w14:paraId="76843E7D">
      <w:pPr>
        <w:widowControl w:val="0"/>
        <w:autoSpaceDE w:val="0"/>
        <w:autoSpaceDN w:val="0"/>
        <w:spacing w:line="460" w:lineRule="exact"/>
        <w:ind w:firstLine="480" w:firstLineChars="200"/>
        <w:jc w:val="both"/>
        <w:rPr>
          <w:rFonts w:hint="eastAsia" w:ascii="宋体" w:hAnsi="宋体"/>
          <w:sz w:val="24"/>
          <w:szCs w:val="24"/>
          <w:highlight w:val="none"/>
        </w:rPr>
      </w:pPr>
      <w:r>
        <w:rPr>
          <w:rFonts w:hint="eastAsia" w:ascii="宋体" w:hAnsi="宋体"/>
          <w:sz w:val="24"/>
          <w:szCs w:val="24"/>
          <w:highlight w:val="none"/>
        </w:rPr>
        <w:t>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189DF258">
      <w:pPr>
        <w:widowControl w:val="0"/>
        <w:autoSpaceDE w:val="0"/>
        <w:autoSpaceDN w:val="0"/>
        <w:spacing w:line="460" w:lineRule="exact"/>
        <w:ind w:firstLine="480" w:firstLineChars="200"/>
        <w:jc w:val="both"/>
        <w:rPr>
          <w:rFonts w:hint="eastAsia" w:ascii="宋体" w:hAnsi="宋体"/>
          <w:sz w:val="24"/>
          <w:szCs w:val="24"/>
          <w:highlight w:val="none"/>
        </w:rPr>
      </w:pPr>
      <w:r>
        <w:rPr>
          <w:rFonts w:hint="eastAsia" w:ascii="宋体" w:hAnsi="宋体"/>
          <w:sz w:val="24"/>
          <w:szCs w:val="24"/>
          <w:highlight w:val="none"/>
        </w:rPr>
        <w:t>非单一产品采购项目，采购人应当根据采购项目技术构成、产品价格比重等合理确定核心产品，并在招标文件中载明。多家投标人提供的核心产品品牌相同的，按前款规定处理。</w:t>
      </w:r>
    </w:p>
    <w:p w14:paraId="4BC93D10">
      <w:pPr>
        <w:widowControl w:val="0"/>
        <w:spacing w:line="460" w:lineRule="exact"/>
        <w:ind w:firstLine="472" w:firstLineChars="196"/>
        <w:jc w:val="both"/>
        <w:rPr>
          <w:rFonts w:hint="eastAsia" w:ascii="宋体" w:hAnsi="宋体"/>
          <w:b/>
          <w:bCs/>
          <w:sz w:val="24"/>
          <w:szCs w:val="24"/>
          <w:highlight w:val="none"/>
        </w:rPr>
      </w:pPr>
      <w:r>
        <w:rPr>
          <w:rFonts w:hint="eastAsia" w:ascii="宋体" w:hAnsi="宋体"/>
          <w:b/>
          <w:bCs/>
          <w:sz w:val="24"/>
          <w:szCs w:val="24"/>
          <w:highlight w:val="none"/>
        </w:rPr>
        <w:t>2.</w:t>
      </w:r>
      <w:r>
        <w:rPr>
          <w:rFonts w:hint="eastAsia" w:ascii="宋体" w:hAnsi="宋体"/>
          <w:b/>
          <w:bCs/>
          <w:sz w:val="24"/>
          <w:szCs w:val="24"/>
          <w:highlight w:val="none"/>
          <w:lang w:val="en-US" w:eastAsia="zh-CN"/>
        </w:rPr>
        <w:t>小微企业优惠政策</w:t>
      </w:r>
    </w:p>
    <w:p w14:paraId="5B308383">
      <w:pPr>
        <w:pStyle w:val="11"/>
        <w:keepNext w:val="0"/>
        <w:keepLines w:val="0"/>
        <w:pageBreakBefore w:val="0"/>
        <w:widowControl w:val="0"/>
        <w:kinsoku/>
        <w:wordWrap/>
        <w:overflowPunct/>
        <w:topLinePunct w:val="0"/>
        <w:bidi w:val="0"/>
        <w:adjustRightInd/>
        <w:snapToGrid/>
        <w:spacing w:line="360" w:lineRule="auto"/>
        <w:ind w:firstLine="480" w:firstLineChars="200"/>
        <w:textAlignment w:val="auto"/>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none"/>
          <w:lang w:val="en-US" w:eastAsia="zh-CN" w:bidi="ar-SA"/>
        </w:rPr>
        <w:t>根据《政府采购促进中小企业发展管理办法》（财库〔2020〕46号)、关于进一步加大政府采购支持中小企业力度的通知（财库〔2022〕19号）的规定，对符合国家统计局《统计上大中小微型企业划分办法（2017）》规定条件</w:t>
      </w:r>
      <w:r>
        <w:rPr>
          <w:rFonts w:hint="eastAsia" w:ascii="宋体" w:hAnsi="宋体" w:eastAsia="宋体" w:cs="宋体"/>
          <w:sz w:val="24"/>
          <w:szCs w:val="24"/>
          <w:highlight w:val="none"/>
          <w:u w:val="single"/>
          <w:lang w:val="en-US" w:eastAsia="zh-CN" w:bidi="ar-SA"/>
        </w:rPr>
        <w:t>工业</w:t>
      </w:r>
      <w:r>
        <w:rPr>
          <w:rFonts w:hint="eastAsia" w:ascii="宋体" w:hAnsi="宋体" w:eastAsia="宋体" w:cs="宋体"/>
          <w:sz w:val="24"/>
          <w:szCs w:val="24"/>
          <w:highlight w:val="none"/>
          <w:lang w:val="en-US" w:eastAsia="zh-CN" w:bidi="ar-SA"/>
        </w:rPr>
        <w:t>行业的小微企业报价给予10%的扣除，用扣除后的价格参加评审。</w:t>
      </w:r>
    </w:p>
    <w:p w14:paraId="6B5BEFF6">
      <w:pPr>
        <w:pStyle w:val="11"/>
        <w:keepNext w:val="0"/>
        <w:keepLines w:val="0"/>
        <w:pageBreakBefore w:val="0"/>
        <w:widowControl w:val="0"/>
        <w:kinsoku/>
        <w:wordWrap/>
        <w:overflowPunct/>
        <w:topLinePunct w:val="0"/>
        <w:bidi w:val="0"/>
        <w:snapToGrid/>
        <w:spacing w:line="360" w:lineRule="auto"/>
        <w:ind w:firstLine="480" w:firstLineChars="200"/>
        <w:textAlignment w:val="auto"/>
        <w:rPr>
          <w:rFonts w:hint="eastAsia" w:ascii="宋体" w:hAnsi="宋体" w:eastAsia="宋体" w:cs="Times New Roman"/>
          <w:b w:val="0"/>
          <w:bCs w:val="0"/>
          <w:color w:val="auto"/>
          <w:kern w:val="0"/>
          <w:sz w:val="24"/>
          <w:szCs w:val="24"/>
          <w:highlight w:val="none"/>
          <w:lang w:val="en-US" w:eastAsia="zh-CN"/>
        </w:rPr>
      </w:pPr>
      <w:r>
        <w:rPr>
          <w:rFonts w:hint="eastAsia" w:ascii="宋体" w:hAnsi="宋体" w:eastAsia="宋体" w:cs="Times New Roman"/>
          <w:b w:val="0"/>
          <w:bCs w:val="0"/>
          <w:color w:val="auto"/>
          <w:kern w:val="0"/>
          <w:sz w:val="24"/>
          <w:szCs w:val="24"/>
          <w:highlight w:val="none"/>
          <w:lang w:val="en-US" w:eastAsia="zh-CN"/>
        </w:rPr>
        <w:t>请投标人根据《政府采购促进中小企业发展管理办法》（财库〔2020〕46号)的规定，提供《中小企业声明函》，未提供的小微企业不享受价格评审优惠政策。投标人对《中小企业声明函》的真实性负责，如有虚假，采购人将向监管部门反映，投标人依法承担相应责任。</w:t>
      </w:r>
    </w:p>
    <w:p w14:paraId="1E2CC8B3">
      <w:pPr>
        <w:spacing w:line="460" w:lineRule="exact"/>
        <w:ind w:firstLine="480" w:firstLineChars="200"/>
        <w:rPr>
          <w:rFonts w:hint="eastAsia" w:ascii="宋体" w:hAnsi="宋体"/>
          <w:b/>
          <w:bCs/>
          <w:color w:val="auto"/>
          <w:sz w:val="24"/>
          <w:szCs w:val="24"/>
          <w:highlight w:val="none"/>
        </w:rPr>
      </w:pPr>
      <w:r>
        <w:rPr>
          <w:rFonts w:hint="eastAsia" w:ascii="宋体" w:hAnsi="宋体" w:eastAsia="宋体" w:cs="Times New Roman"/>
          <w:b w:val="0"/>
          <w:bCs w:val="0"/>
          <w:color w:val="auto"/>
          <w:kern w:val="0"/>
          <w:sz w:val="24"/>
          <w:szCs w:val="24"/>
          <w:highlight w:val="none"/>
          <w:lang w:val="en-US" w:eastAsia="zh-CN"/>
        </w:rPr>
        <w:t>其他未尽事宜，按照《政府采购促进中小企业发展管理办法》（财库〔2020〕46号)规定执行。</w:t>
      </w:r>
    </w:p>
    <w:p w14:paraId="25582F50">
      <w:pPr>
        <w:autoSpaceDE w:val="0"/>
        <w:autoSpaceDN w:val="0"/>
        <w:spacing w:line="480" w:lineRule="exact"/>
        <w:ind w:firstLine="472" w:firstLineChars="196"/>
        <w:rPr>
          <w:rFonts w:hint="eastAsia" w:ascii="宋体" w:hAnsi="宋体"/>
          <w:b/>
          <w:bCs/>
          <w:sz w:val="24"/>
          <w:szCs w:val="24"/>
          <w:highlight w:val="none"/>
        </w:rPr>
      </w:pPr>
      <w:r>
        <w:rPr>
          <w:rFonts w:hint="eastAsia" w:ascii="宋体" w:hAnsi="宋体"/>
          <w:b/>
          <w:bCs/>
          <w:sz w:val="24"/>
          <w:szCs w:val="24"/>
          <w:highlight w:val="none"/>
        </w:rPr>
        <w:t>3.监狱企业优惠政策</w:t>
      </w:r>
    </w:p>
    <w:p w14:paraId="2E3E8B1B">
      <w:pPr>
        <w:autoSpaceDE w:val="0"/>
        <w:autoSpaceDN w:val="0"/>
        <w:spacing w:line="480" w:lineRule="exact"/>
        <w:ind w:left="-15" w:leftChars="-7" w:firstLine="480" w:firstLineChars="200"/>
        <w:rPr>
          <w:rFonts w:hint="eastAsia" w:ascii="宋体" w:hAnsi="宋体"/>
          <w:sz w:val="24"/>
          <w:szCs w:val="24"/>
          <w:highlight w:val="none"/>
        </w:rPr>
      </w:pPr>
      <w:r>
        <w:rPr>
          <w:rFonts w:hint="eastAsia" w:ascii="宋体" w:hAnsi="宋体"/>
          <w:sz w:val="24"/>
          <w:szCs w:val="24"/>
          <w:highlight w:val="none"/>
        </w:rPr>
        <w:t>根据《关于政府采购支持监狱企业发展有关问题的通知》(财库[2014]68号)的规定，</w:t>
      </w:r>
      <w:r>
        <w:rPr>
          <w:rFonts w:hint="eastAsia" w:ascii="宋体" w:hAnsi="宋体"/>
          <w:sz w:val="24"/>
          <w:szCs w:val="24"/>
          <w:highlight w:val="none"/>
          <w:lang w:eastAsia="zh-CN"/>
        </w:rPr>
        <w:t>符合条件的</w:t>
      </w:r>
      <w:r>
        <w:rPr>
          <w:rFonts w:hint="eastAsia" w:ascii="宋体" w:hAnsi="宋体"/>
          <w:sz w:val="24"/>
          <w:szCs w:val="24"/>
          <w:highlight w:val="none"/>
        </w:rPr>
        <w:t>监狱企业参与本项目投标时，提供由省级以上监狱管理局、戒毒管理局(含新疆生产建设兵团)出具的属于监狱企业的证明文件的，视同小型、微型企业享受价格扣除等优惠政策。</w:t>
      </w:r>
    </w:p>
    <w:p w14:paraId="17DCAAC0">
      <w:pPr>
        <w:autoSpaceDE w:val="0"/>
        <w:autoSpaceDN w:val="0"/>
        <w:spacing w:line="480" w:lineRule="exact"/>
        <w:ind w:firstLine="472" w:firstLineChars="196"/>
        <w:rPr>
          <w:rFonts w:hint="eastAsia" w:ascii="宋体" w:hAnsi="宋体"/>
          <w:b/>
          <w:bCs/>
          <w:sz w:val="24"/>
          <w:szCs w:val="24"/>
          <w:highlight w:val="none"/>
        </w:rPr>
      </w:pPr>
      <w:r>
        <w:rPr>
          <w:rFonts w:hint="eastAsia" w:ascii="宋体" w:hAnsi="宋体"/>
          <w:b/>
          <w:bCs/>
          <w:sz w:val="24"/>
          <w:szCs w:val="24"/>
          <w:highlight w:val="none"/>
        </w:rPr>
        <w:t>4.残疾人福利性单位优惠政策</w:t>
      </w:r>
    </w:p>
    <w:p w14:paraId="73E4AA18">
      <w:pPr>
        <w:autoSpaceDE w:val="0"/>
        <w:spacing w:line="360" w:lineRule="auto"/>
        <w:ind w:firstLine="480" w:firstLineChars="200"/>
        <w:rPr>
          <w:rFonts w:hint="eastAsia" w:ascii="宋体" w:hAnsi="宋体"/>
          <w:b/>
          <w:sz w:val="24"/>
          <w:szCs w:val="24"/>
          <w:highlight w:val="none"/>
        </w:rPr>
      </w:pPr>
      <w:r>
        <w:rPr>
          <w:rFonts w:hint="eastAsia" w:ascii="宋体" w:hAnsi="宋体"/>
          <w:sz w:val="24"/>
          <w:szCs w:val="24"/>
          <w:highlight w:val="none"/>
        </w:rPr>
        <w:t>根据《关于促进残疾人就业政府采购政策的通知》(财库[2017]141号)的规定，</w:t>
      </w:r>
      <w:r>
        <w:rPr>
          <w:rFonts w:hint="eastAsia" w:ascii="宋体" w:hAnsi="宋体"/>
          <w:sz w:val="24"/>
          <w:szCs w:val="24"/>
          <w:highlight w:val="none"/>
          <w:lang w:eastAsia="zh-CN"/>
        </w:rPr>
        <w:t>符合条件的</w:t>
      </w:r>
      <w:r>
        <w:rPr>
          <w:rFonts w:hint="eastAsia" w:ascii="宋体" w:hAnsi="宋体"/>
          <w:sz w:val="24"/>
          <w:szCs w:val="24"/>
          <w:highlight w:val="none"/>
        </w:rPr>
        <w:t>残疾人福利性单位参与本项目投标时，提供《残疾人福利性单位声明函》并对声明的真实性负责，视同小型、微型企业享受价格扣除等优惠政策。</w:t>
      </w:r>
      <w:r>
        <w:rPr>
          <w:rFonts w:hint="eastAsia" w:ascii="宋体" w:hAnsi="宋体"/>
          <w:b/>
          <w:sz w:val="24"/>
          <w:szCs w:val="24"/>
          <w:highlight w:val="none"/>
        </w:rPr>
        <w:t>投标人对《残疾人福利性单位声明函》的真实性负责，如有虚假，自行承担相应责任。</w:t>
      </w:r>
    </w:p>
    <w:p w14:paraId="2E5037A4">
      <w:pPr>
        <w:autoSpaceDE w:val="0"/>
        <w:autoSpaceDN w:val="0"/>
        <w:spacing w:line="480" w:lineRule="exact"/>
        <w:ind w:firstLine="472" w:firstLineChars="196"/>
        <w:rPr>
          <w:rFonts w:hint="eastAsia" w:ascii="宋体" w:hAnsi="宋体"/>
          <w:b/>
          <w:bCs/>
          <w:sz w:val="24"/>
          <w:szCs w:val="24"/>
          <w:highlight w:val="none"/>
        </w:rPr>
      </w:pPr>
      <w:r>
        <w:rPr>
          <w:rFonts w:hint="eastAsia" w:ascii="宋体" w:hAnsi="宋体"/>
          <w:b/>
          <w:bCs/>
          <w:sz w:val="24"/>
          <w:szCs w:val="24"/>
          <w:highlight w:val="none"/>
        </w:rPr>
        <w:t>5.节能产品及环境标志产品政策</w:t>
      </w:r>
    </w:p>
    <w:p w14:paraId="662F403B">
      <w:pPr>
        <w:pStyle w:val="12"/>
        <w:spacing w:line="480" w:lineRule="exact"/>
        <w:ind w:firstLine="480" w:firstLineChars="200"/>
        <w:rPr>
          <w:rFonts w:hint="eastAsia" w:ascii="宋体" w:hAnsi="宋体"/>
          <w:sz w:val="24"/>
          <w:szCs w:val="24"/>
          <w:highlight w:val="none"/>
        </w:rPr>
      </w:pPr>
      <w:r>
        <w:rPr>
          <w:rFonts w:hint="eastAsia" w:ascii="宋体" w:hAnsi="宋体"/>
          <w:sz w:val="24"/>
          <w:szCs w:val="24"/>
          <w:highlight w:val="none"/>
        </w:rPr>
        <w:t>按照“财政部 发展改革委 生态环境部 市场监管总局 关于调整优化节能产品、环境标志产品政府采购执行机制的通知</w:t>
      </w:r>
      <w:r>
        <w:rPr>
          <w:rFonts w:hint="eastAsia" w:ascii="宋体" w:hAnsi="宋体"/>
          <w:sz w:val="24"/>
          <w:szCs w:val="24"/>
          <w:highlight w:val="none"/>
          <w:lang w:eastAsia="zh-CN"/>
        </w:rPr>
        <w:t>”</w:t>
      </w:r>
      <w:r>
        <w:rPr>
          <w:rFonts w:hint="eastAsia" w:ascii="宋体" w:hAnsi="宋体"/>
          <w:sz w:val="24"/>
          <w:szCs w:val="24"/>
          <w:highlight w:val="none"/>
        </w:rPr>
        <w:t>财库〔2019〕9号的规定执行。</w:t>
      </w:r>
    </w:p>
    <w:p w14:paraId="2B71A211">
      <w:pPr>
        <w:autoSpaceDE w:val="0"/>
        <w:autoSpaceDN w:val="0"/>
        <w:spacing w:line="480" w:lineRule="exact"/>
        <w:ind w:firstLine="472" w:firstLineChars="196"/>
        <w:rPr>
          <w:rFonts w:hint="eastAsia" w:ascii="宋体" w:hAnsi="宋体"/>
          <w:b/>
          <w:bCs/>
          <w:sz w:val="24"/>
          <w:szCs w:val="24"/>
          <w:highlight w:val="none"/>
        </w:rPr>
      </w:pPr>
      <w:r>
        <w:rPr>
          <w:rFonts w:hint="eastAsia" w:ascii="宋体" w:hAnsi="宋体"/>
          <w:b/>
          <w:bCs/>
          <w:sz w:val="24"/>
          <w:szCs w:val="24"/>
          <w:highlight w:val="none"/>
          <w:lang w:val="en-US" w:eastAsia="zh-CN"/>
        </w:rPr>
        <w:t>6</w:t>
      </w:r>
      <w:r>
        <w:rPr>
          <w:rFonts w:hint="eastAsia" w:ascii="宋体" w:hAnsi="宋体"/>
          <w:b/>
          <w:bCs/>
          <w:sz w:val="24"/>
          <w:szCs w:val="24"/>
          <w:highlight w:val="none"/>
        </w:rPr>
        <w:t>.综合评分方式</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46"/>
        <w:gridCol w:w="1658"/>
        <w:gridCol w:w="4020"/>
      </w:tblGrid>
      <w:tr w14:paraId="025A1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050" w:type="pct"/>
            <w:noWrap w:val="0"/>
            <w:vAlign w:val="center"/>
          </w:tcPr>
          <w:p w14:paraId="737F5E38">
            <w:pPr>
              <w:pStyle w:val="12"/>
              <w:spacing w:line="480" w:lineRule="exact"/>
              <w:ind w:firstLine="0"/>
              <w:jc w:val="center"/>
              <w:rPr>
                <w:rFonts w:hint="eastAsia" w:ascii="宋体" w:hAnsi="宋体" w:cs="宋体"/>
                <w:sz w:val="24"/>
                <w:szCs w:val="24"/>
                <w:highlight w:val="none"/>
              </w:rPr>
            </w:pPr>
            <w:r>
              <w:rPr>
                <w:rFonts w:hint="eastAsia" w:ascii="宋体" w:hAnsi="宋体" w:cs="宋体"/>
                <w:sz w:val="24"/>
                <w:szCs w:val="24"/>
                <w:highlight w:val="none"/>
              </w:rPr>
              <w:t>评分因素</w:t>
            </w:r>
          </w:p>
        </w:tc>
        <w:tc>
          <w:tcPr>
            <w:tcW w:w="861" w:type="pct"/>
            <w:noWrap w:val="0"/>
            <w:vAlign w:val="center"/>
          </w:tcPr>
          <w:p w14:paraId="2BB982D8">
            <w:pPr>
              <w:pStyle w:val="12"/>
              <w:spacing w:line="480" w:lineRule="exact"/>
              <w:ind w:firstLine="0"/>
              <w:jc w:val="center"/>
              <w:rPr>
                <w:rFonts w:hint="eastAsia" w:ascii="宋体" w:hAnsi="宋体" w:cs="宋体"/>
                <w:sz w:val="24"/>
                <w:szCs w:val="24"/>
                <w:highlight w:val="none"/>
              </w:rPr>
            </w:pPr>
            <w:r>
              <w:rPr>
                <w:rFonts w:hint="eastAsia" w:ascii="宋体" w:hAnsi="宋体" w:cs="宋体"/>
                <w:sz w:val="24"/>
                <w:szCs w:val="24"/>
                <w:highlight w:val="none"/>
              </w:rPr>
              <w:t>权重</w:t>
            </w:r>
          </w:p>
        </w:tc>
        <w:tc>
          <w:tcPr>
            <w:tcW w:w="2088" w:type="pct"/>
            <w:noWrap w:val="0"/>
            <w:vAlign w:val="center"/>
          </w:tcPr>
          <w:p w14:paraId="26B7B993">
            <w:pPr>
              <w:pStyle w:val="12"/>
              <w:spacing w:line="480" w:lineRule="exact"/>
              <w:jc w:val="center"/>
              <w:rPr>
                <w:rFonts w:hint="eastAsia" w:ascii="宋体" w:hAnsi="宋体" w:cs="宋体"/>
                <w:sz w:val="24"/>
                <w:szCs w:val="24"/>
                <w:highlight w:val="none"/>
              </w:rPr>
            </w:pPr>
            <w:r>
              <w:rPr>
                <w:rFonts w:hint="eastAsia" w:ascii="宋体" w:hAnsi="宋体" w:cs="宋体"/>
                <w:sz w:val="24"/>
                <w:szCs w:val="24"/>
                <w:highlight w:val="none"/>
              </w:rPr>
              <w:t>分值分配</w:t>
            </w:r>
          </w:p>
        </w:tc>
      </w:tr>
      <w:tr w14:paraId="2CDFF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050" w:type="pct"/>
            <w:noWrap w:val="0"/>
            <w:vAlign w:val="center"/>
          </w:tcPr>
          <w:p w14:paraId="7E62569D">
            <w:pPr>
              <w:pStyle w:val="12"/>
              <w:spacing w:line="480" w:lineRule="exact"/>
              <w:ind w:firstLine="0"/>
              <w:jc w:val="center"/>
              <w:rPr>
                <w:rFonts w:hint="eastAsia" w:ascii="宋体" w:hAnsi="宋体" w:cs="宋体"/>
                <w:sz w:val="24"/>
                <w:szCs w:val="24"/>
                <w:highlight w:val="none"/>
              </w:rPr>
            </w:pPr>
            <w:r>
              <w:rPr>
                <w:rFonts w:hint="eastAsia" w:ascii="宋体" w:hAnsi="宋体" w:cs="宋体"/>
                <w:sz w:val="24"/>
                <w:szCs w:val="24"/>
                <w:highlight w:val="none"/>
              </w:rPr>
              <w:t>投标报价</w:t>
            </w:r>
          </w:p>
        </w:tc>
        <w:tc>
          <w:tcPr>
            <w:tcW w:w="861" w:type="pct"/>
            <w:noWrap w:val="0"/>
            <w:vAlign w:val="center"/>
          </w:tcPr>
          <w:p w14:paraId="168AFB9D">
            <w:pPr>
              <w:pStyle w:val="12"/>
              <w:spacing w:line="480" w:lineRule="exact"/>
              <w:ind w:firstLine="0"/>
              <w:jc w:val="center"/>
              <w:rPr>
                <w:rFonts w:ascii="宋体" w:hAnsi="宋体" w:cs="宋体"/>
                <w:sz w:val="24"/>
                <w:szCs w:val="24"/>
                <w:highlight w:val="none"/>
              </w:rPr>
            </w:pPr>
            <w:r>
              <w:rPr>
                <w:rFonts w:hint="eastAsia" w:ascii="宋体" w:hAnsi="宋体" w:cs="宋体"/>
                <w:sz w:val="24"/>
                <w:szCs w:val="24"/>
                <w:highlight w:val="none"/>
              </w:rPr>
              <w:t>0.</w:t>
            </w:r>
            <w:r>
              <w:rPr>
                <w:rFonts w:hint="eastAsia" w:ascii="宋体" w:hAnsi="宋体" w:cs="宋体"/>
                <w:sz w:val="24"/>
                <w:szCs w:val="24"/>
                <w:highlight w:val="none"/>
                <w:lang w:val="en-US" w:eastAsia="zh-CN"/>
              </w:rPr>
              <w:t>3</w:t>
            </w:r>
            <w:r>
              <w:rPr>
                <w:rFonts w:hint="eastAsia" w:ascii="宋体" w:hAnsi="宋体" w:cs="宋体"/>
                <w:sz w:val="24"/>
                <w:szCs w:val="24"/>
                <w:highlight w:val="none"/>
              </w:rPr>
              <w:t>0</w:t>
            </w:r>
          </w:p>
        </w:tc>
        <w:tc>
          <w:tcPr>
            <w:tcW w:w="2088" w:type="pct"/>
            <w:noWrap w:val="0"/>
            <w:vAlign w:val="center"/>
          </w:tcPr>
          <w:p w14:paraId="129B19AA">
            <w:pPr>
              <w:pStyle w:val="12"/>
              <w:spacing w:line="480" w:lineRule="exact"/>
              <w:jc w:val="center"/>
              <w:rPr>
                <w:rFonts w:hint="eastAsia" w:ascii="宋体" w:hAnsi="宋体" w:cs="宋体"/>
                <w:sz w:val="24"/>
                <w:szCs w:val="24"/>
                <w:highlight w:val="none"/>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0分</w:t>
            </w:r>
          </w:p>
        </w:tc>
      </w:tr>
      <w:tr w14:paraId="2D0A8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050" w:type="pct"/>
            <w:noWrap w:val="0"/>
            <w:vAlign w:val="center"/>
          </w:tcPr>
          <w:p w14:paraId="170CEAD2">
            <w:pPr>
              <w:pStyle w:val="12"/>
              <w:spacing w:line="480" w:lineRule="exact"/>
              <w:ind w:firstLine="0"/>
              <w:jc w:val="center"/>
              <w:rPr>
                <w:rFonts w:hint="eastAsia" w:ascii="宋体" w:hAnsi="宋体" w:cs="宋体"/>
                <w:sz w:val="24"/>
                <w:szCs w:val="24"/>
                <w:highlight w:val="none"/>
              </w:rPr>
            </w:pPr>
            <w:r>
              <w:rPr>
                <w:rFonts w:hint="eastAsia" w:ascii="宋体" w:hAnsi="宋体"/>
                <w:bCs/>
                <w:sz w:val="24"/>
                <w:szCs w:val="24"/>
                <w:highlight w:val="none"/>
                <w:lang w:val="en-US" w:eastAsia="zh-CN"/>
              </w:rPr>
              <w:t>商务</w:t>
            </w:r>
            <w:r>
              <w:rPr>
                <w:rFonts w:ascii="宋体" w:hAnsi="宋体"/>
                <w:bCs/>
                <w:sz w:val="24"/>
                <w:szCs w:val="24"/>
                <w:highlight w:val="none"/>
              </w:rPr>
              <w:t>技</w:t>
            </w:r>
            <w:r>
              <w:rPr>
                <w:rFonts w:hint="eastAsia" w:ascii="宋体" w:hAnsi="宋体" w:cs="宋体"/>
                <w:bCs/>
                <w:sz w:val="24"/>
                <w:szCs w:val="24"/>
                <w:highlight w:val="none"/>
              </w:rPr>
              <w:t>术</w:t>
            </w:r>
            <w:r>
              <w:rPr>
                <w:rFonts w:hint="eastAsia" w:ascii="宋体" w:hAnsi="宋体" w:cs="Malgun Gothic"/>
                <w:bCs/>
                <w:sz w:val="24"/>
                <w:szCs w:val="24"/>
                <w:highlight w:val="none"/>
              </w:rPr>
              <w:t>部分</w:t>
            </w:r>
          </w:p>
        </w:tc>
        <w:tc>
          <w:tcPr>
            <w:tcW w:w="861" w:type="pct"/>
            <w:noWrap w:val="0"/>
            <w:vAlign w:val="center"/>
          </w:tcPr>
          <w:p w14:paraId="3C812057">
            <w:pPr>
              <w:pStyle w:val="12"/>
              <w:spacing w:line="480" w:lineRule="exact"/>
              <w:ind w:firstLine="0"/>
              <w:jc w:val="center"/>
              <w:rPr>
                <w:rFonts w:hint="default" w:ascii="宋体" w:hAnsi="宋体" w:eastAsia="宋体" w:cs="宋体"/>
                <w:sz w:val="24"/>
                <w:szCs w:val="24"/>
                <w:highlight w:val="none"/>
                <w:lang w:val="en-US" w:eastAsia="zh-CN"/>
              </w:rPr>
            </w:pPr>
            <w:r>
              <w:rPr>
                <w:rFonts w:hint="eastAsia" w:ascii="宋体" w:hAnsi="宋体" w:cs="宋体"/>
                <w:sz w:val="24"/>
                <w:szCs w:val="24"/>
                <w:highlight w:val="none"/>
              </w:rPr>
              <w:t>0.</w:t>
            </w:r>
            <w:r>
              <w:rPr>
                <w:rFonts w:hint="eastAsia" w:ascii="宋体" w:hAnsi="宋体" w:cs="宋体"/>
                <w:sz w:val="24"/>
                <w:szCs w:val="24"/>
                <w:highlight w:val="none"/>
                <w:lang w:val="en-US" w:eastAsia="zh-CN"/>
              </w:rPr>
              <w:t>70</w:t>
            </w:r>
          </w:p>
        </w:tc>
        <w:tc>
          <w:tcPr>
            <w:tcW w:w="2088" w:type="pct"/>
            <w:noWrap w:val="0"/>
            <w:vAlign w:val="center"/>
          </w:tcPr>
          <w:p w14:paraId="325C62BD">
            <w:pPr>
              <w:pStyle w:val="12"/>
              <w:spacing w:line="480" w:lineRule="exact"/>
              <w:jc w:val="center"/>
              <w:rPr>
                <w:rFonts w:hint="eastAsia" w:ascii="宋体" w:hAnsi="宋体" w:cs="宋体"/>
                <w:sz w:val="24"/>
                <w:szCs w:val="24"/>
                <w:highlight w:val="none"/>
              </w:rPr>
            </w:pPr>
            <w:r>
              <w:rPr>
                <w:rFonts w:hint="eastAsia" w:ascii="宋体" w:hAnsi="宋体" w:cs="宋体"/>
                <w:sz w:val="24"/>
                <w:szCs w:val="24"/>
                <w:highlight w:val="none"/>
                <w:lang w:val="en-US" w:eastAsia="zh-CN"/>
              </w:rPr>
              <w:t>70</w:t>
            </w:r>
            <w:r>
              <w:rPr>
                <w:rFonts w:hint="eastAsia" w:ascii="宋体" w:hAnsi="宋体" w:cs="宋体"/>
                <w:sz w:val="24"/>
                <w:szCs w:val="24"/>
                <w:highlight w:val="none"/>
              </w:rPr>
              <w:t>分</w:t>
            </w:r>
          </w:p>
        </w:tc>
      </w:tr>
      <w:tr w14:paraId="5DB8C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050" w:type="pct"/>
            <w:noWrap w:val="0"/>
            <w:vAlign w:val="center"/>
          </w:tcPr>
          <w:p w14:paraId="2311424E">
            <w:pPr>
              <w:pStyle w:val="12"/>
              <w:spacing w:line="480" w:lineRule="exact"/>
              <w:ind w:firstLine="0"/>
              <w:jc w:val="center"/>
              <w:rPr>
                <w:rFonts w:hint="eastAsia" w:ascii="宋体" w:hAnsi="宋体" w:cs="宋体"/>
                <w:sz w:val="24"/>
                <w:szCs w:val="24"/>
                <w:highlight w:val="none"/>
              </w:rPr>
            </w:pPr>
            <w:r>
              <w:rPr>
                <w:rFonts w:hint="eastAsia" w:ascii="宋体" w:hAnsi="宋体" w:cs="宋体"/>
                <w:sz w:val="24"/>
                <w:szCs w:val="24"/>
                <w:highlight w:val="none"/>
              </w:rPr>
              <w:t>合计</w:t>
            </w:r>
          </w:p>
        </w:tc>
        <w:tc>
          <w:tcPr>
            <w:tcW w:w="861" w:type="pct"/>
            <w:noWrap w:val="0"/>
            <w:vAlign w:val="center"/>
          </w:tcPr>
          <w:p w14:paraId="58669D16">
            <w:pPr>
              <w:pStyle w:val="12"/>
              <w:spacing w:line="480" w:lineRule="exact"/>
              <w:ind w:firstLine="0"/>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2088" w:type="pct"/>
            <w:noWrap w:val="0"/>
            <w:vAlign w:val="center"/>
          </w:tcPr>
          <w:p w14:paraId="3D5BD086">
            <w:pPr>
              <w:pStyle w:val="12"/>
              <w:spacing w:line="480" w:lineRule="exact"/>
              <w:jc w:val="center"/>
              <w:rPr>
                <w:rFonts w:hint="eastAsia" w:ascii="宋体" w:hAnsi="宋体" w:cs="宋体"/>
                <w:sz w:val="24"/>
                <w:szCs w:val="24"/>
                <w:highlight w:val="none"/>
              </w:rPr>
            </w:pPr>
            <w:r>
              <w:rPr>
                <w:rFonts w:hint="eastAsia" w:ascii="宋体" w:hAnsi="宋体" w:cs="宋体"/>
                <w:sz w:val="24"/>
                <w:szCs w:val="24"/>
                <w:highlight w:val="none"/>
              </w:rPr>
              <w:t>100分</w:t>
            </w:r>
          </w:p>
        </w:tc>
      </w:tr>
    </w:tbl>
    <w:p w14:paraId="4B215DEF">
      <w:pPr>
        <w:pStyle w:val="12"/>
        <w:spacing w:line="480" w:lineRule="exact"/>
        <w:ind w:firstLine="480" w:firstLineChars="200"/>
        <w:rPr>
          <w:rFonts w:hint="eastAsia" w:ascii="宋体" w:hAnsi="宋体" w:cs="宋体"/>
          <w:sz w:val="24"/>
          <w:szCs w:val="24"/>
          <w:highlight w:val="none"/>
        </w:rPr>
      </w:pPr>
      <w:r>
        <w:rPr>
          <w:rFonts w:hint="eastAsia" w:ascii="宋体" w:hAnsi="宋体" w:cs="宋体"/>
          <w:sz w:val="24"/>
          <w:szCs w:val="24"/>
          <w:highlight w:val="none"/>
        </w:rPr>
        <w:t>具体评审细则如下：</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1"/>
        <w:gridCol w:w="897"/>
        <w:gridCol w:w="751"/>
        <w:gridCol w:w="7015"/>
      </w:tblGrid>
      <w:tr w14:paraId="58EAB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9" w:type="pct"/>
            <w:shd w:val="clear" w:color="auto" w:fill="E0E0E0"/>
            <w:noWrap w:val="0"/>
            <w:vAlign w:val="center"/>
          </w:tcPr>
          <w:p w14:paraId="4C7EC475">
            <w:pPr>
              <w:snapToGrid w:val="0"/>
              <w:spacing w:line="440" w:lineRule="exact"/>
              <w:jc w:val="center"/>
              <w:rPr>
                <w:rFonts w:hint="eastAsia" w:ascii="宋体" w:hAnsi="宋体"/>
                <w:b/>
                <w:sz w:val="24"/>
                <w:highlight w:val="none"/>
              </w:rPr>
            </w:pPr>
            <w:bookmarkStart w:id="197" w:name="_Hlk22646381"/>
            <w:r>
              <w:rPr>
                <w:rFonts w:hint="eastAsia" w:ascii="宋体" w:hAnsi="宋体"/>
                <w:b/>
                <w:sz w:val="24"/>
                <w:highlight w:val="none"/>
              </w:rPr>
              <w:t>评分因素</w:t>
            </w:r>
          </w:p>
        </w:tc>
        <w:tc>
          <w:tcPr>
            <w:tcW w:w="466" w:type="pct"/>
            <w:shd w:val="clear" w:color="auto" w:fill="E0E0E0"/>
            <w:noWrap w:val="0"/>
            <w:vAlign w:val="center"/>
          </w:tcPr>
          <w:p w14:paraId="65FB15DE">
            <w:pPr>
              <w:snapToGrid w:val="0"/>
              <w:spacing w:line="440" w:lineRule="exact"/>
              <w:jc w:val="center"/>
              <w:rPr>
                <w:rFonts w:hint="eastAsia" w:ascii="宋体" w:hAnsi="宋体"/>
                <w:b/>
                <w:sz w:val="24"/>
                <w:highlight w:val="none"/>
              </w:rPr>
            </w:pPr>
            <w:r>
              <w:rPr>
                <w:rFonts w:hint="eastAsia" w:ascii="宋体" w:hAnsi="宋体"/>
                <w:b/>
                <w:sz w:val="24"/>
                <w:highlight w:val="none"/>
              </w:rPr>
              <w:t>内容</w:t>
            </w:r>
          </w:p>
        </w:tc>
        <w:tc>
          <w:tcPr>
            <w:tcW w:w="390" w:type="pct"/>
            <w:shd w:val="clear" w:color="auto" w:fill="E0E0E0"/>
            <w:noWrap w:val="0"/>
            <w:vAlign w:val="center"/>
          </w:tcPr>
          <w:p w14:paraId="19F996D1">
            <w:pPr>
              <w:snapToGrid w:val="0"/>
              <w:spacing w:line="440" w:lineRule="exact"/>
              <w:jc w:val="center"/>
              <w:rPr>
                <w:rFonts w:hint="eastAsia" w:ascii="宋体" w:hAnsi="宋体"/>
                <w:b/>
                <w:sz w:val="24"/>
                <w:highlight w:val="none"/>
              </w:rPr>
            </w:pPr>
            <w:r>
              <w:rPr>
                <w:rFonts w:hint="eastAsia" w:ascii="宋体" w:hAnsi="宋体"/>
                <w:b/>
                <w:sz w:val="24"/>
                <w:highlight w:val="none"/>
              </w:rPr>
              <w:t>分值</w:t>
            </w:r>
          </w:p>
        </w:tc>
        <w:tc>
          <w:tcPr>
            <w:tcW w:w="3643" w:type="pct"/>
            <w:shd w:val="clear" w:color="auto" w:fill="E0E0E0"/>
            <w:noWrap w:val="0"/>
            <w:vAlign w:val="center"/>
          </w:tcPr>
          <w:p w14:paraId="506FCA5B">
            <w:pPr>
              <w:adjustRightInd w:val="0"/>
              <w:snapToGrid w:val="0"/>
              <w:spacing w:line="440" w:lineRule="exact"/>
              <w:jc w:val="center"/>
              <w:rPr>
                <w:rFonts w:ascii="宋体" w:hAnsi="宋体"/>
                <w:b/>
                <w:sz w:val="24"/>
                <w:highlight w:val="none"/>
              </w:rPr>
            </w:pPr>
            <w:r>
              <w:rPr>
                <w:rFonts w:hint="eastAsia" w:ascii="宋体" w:hAnsi="宋体"/>
                <w:b/>
                <w:sz w:val="24"/>
                <w:highlight w:val="none"/>
              </w:rPr>
              <w:t>评审标准</w:t>
            </w:r>
          </w:p>
        </w:tc>
      </w:tr>
      <w:tr w14:paraId="41306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9" w:type="pct"/>
            <w:noWrap w:val="0"/>
            <w:vAlign w:val="center"/>
          </w:tcPr>
          <w:p w14:paraId="63AD73B3">
            <w:pPr>
              <w:spacing w:line="440" w:lineRule="exact"/>
              <w:jc w:val="center"/>
              <w:rPr>
                <w:rFonts w:hint="eastAsia" w:ascii="宋体" w:hAnsi="宋体"/>
                <w:bCs/>
                <w:sz w:val="24"/>
                <w:highlight w:val="none"/>
              </w:rPr>
            </w:pPr>
            <w:r>
              <w:rPr>
                <w:rFonts w:hint="eastAsia" w:ascii="宋体" w:hAnsi="宋体"/>
                <w:bCs/>
                <w:sz w:val="24"/>
                <w:highlight w:val="none"/>
              </w:rPr>
              <w:t>投</w:t>
            </w:r>
            <w:r>
              <w:rPr>
                <w:rFonts w:hint="eastAsia" w:ascii="宋体" w:hAnsi="宋体" w:cs="宋体"/>
                <w:bCs/>
                <w:sz w:val="24"/>
                <w:highlight w:val="none"/>
              </w:rPr>
              <w:t>标报</w:t>
            </w:r>
            <w:r>
              <w:rPr>
                <w:rFonts w:hint="eastAsia" w:ascii="宋体" w:hAnsi="宋体" w:cs="Malgun Gothic"/>
                <w:bCs/>
                <w:sz w:val="24"/>
                <w:highlight w:val="none"/>
              </w:rPr>
              <w:t>价</w:t>
            </w:r>
            <w:r>
              <w:rPr>
                <w:rFonts w:hint="eastAsia" w:ascii="宋体" w:hAnsi="宋体" w:cs="宋体"/>
                <w:bCs/>
                <w:sz w:val="24"/>
                <w:highlight w:val="none"/>
              </w:rPr>
              <w:t>评审</w:t>
            </w:r>
          </w:p>
        </w:tc>
        <w:tc>
          <w:tcPr>
            <w:tcW w:w="466" w:type="pct"/>
            <w:noWrap w:val="0"/>
            <w:vAlign w:val="center"/>
          </w:tcPr>
          <w:p w14:paraId="5C60EF21">
            <w:pPr>
              <w:spacing w:line="440" w:lineRule="exact"/>
              <w:jc w:val="center"/>
              <w:rPr>
                <w:rFonts w:hint="eastAsia" w:ascii="宋体" w:hAnsi="宋体"/>
                <w:bCs/>
                <w:sz w:val="24"/>
                <w:highlight w:val="none"/>
              </w:rPr>
            </w:pPr>
            <w:r>
              <w:rPr>
                <w:rFonts w:hint="eastAsia" w:ascii="宋体" w:hAnsi="宋体"/>
                <w:bCs/>
                <w:sz w:val="24"/>
                <w:highlight w:val="none"/>
              </w:rPr>
              <w:t>投</w:t>
            </w:r>
            <w:r>
              <w:rPr>
                <w:rFonts w:hint="eastAsia" w:ascii="宋体" w:hAnsi="宋体" w:cs="宋体"/>
                <w:bCs/>
                <w:sz w:val="24"/>
                <w:highlight w:val="none"/>
              </w:rPr>
              <w:t>标报</w:t>
            </w:r>
            <w:r>
              <w:rPr>
                <w:rFonts w:hint="eastAsia" w:ascii="宋体" w:hAnsi="宋体" w:cs="Malgun Gothic"/>
                <w:bCs/>
                <w:sz w:val="24"/>
                <w:highlight w:val="none"/>
              </w:rPr>
              <w:t>价</w:t>
            </w:r>
          </w:p>
        </w:tc>
        <w:tc>
          <w:tcPr>
            <w:tcW w:w="390" w:type="pct"/>
            <w:noWrap w:val="0"/>
            <w:vAlign w:val="center"/>
          </w:tcPr>
          <w:p w14:paraId="6A462D12">
            <w:pPr>
              <w:spacing w:line="440" w:lineRule="exact"/>
              <w:jc w:val="center"/>
              <w:rPr>
                <w:rFonts w:hint="eastAsia" w:ascii="宋体" w:hAnsi="宋体"/>
                <w:bCs/>
                <w:sz w:val="24"/>
                <w:highlight w:val="none"/>
              </w:rPr>
            </w:pPr>
            <w:r>
              <w:rPr>
                <w:rFonts w:hint="eastAsia" w:ascii="宋体" w:hAnsi="宋体"/>
                <w:bCs/>
                <w:sz w:val="24"/>
                <w:highlight w:val="none"/>
                <w:lang w:val="en-US" w:eastAsia="zh-CN"/>
              </w:rPr>
              <w:t>3</w:t>
            </w:r>
            <w:r>
              <w:rPr>
                <w:rFonts w:hint="eastAsia" w:ascii="宋体" w:hAnsi="宋体"/>
                <w:bCs/>
                <w:sz w:val="24"/>
                <w:highlight w:val="none"/>
              </w:rPr>
              <w:t>0分</w:t>
            </w:r>
          </w:p>
        </w:tc>
        <w:tc>
          <w:tcPr>
            <w:tcW w:w="3643" w:type="pct"/>
            <w:noWrap w:val="0"/>
            <w:vAlign w:val="center"/>
          </w:tcPr>
          <w:p w14:paraId="372C7F69">
            <w:pPr>
              <w:adjustRightInd w:val="0"/>
              <w:snapToGrid w:val="0"/>
              <w:spacing w:line="440" w:lineRule="exact"/>
              <w:rPr>
                <w:rFonts w:hint="eastAsia" w:ascii="宋体" w:hAnsi="宋体" w:cs="宋体"/>
                <w:spacing w:val="6"/>
                <w:sz w:val="24"/>
                <w:szCs w:val="24"/>
                <w:highlight w:val="none"/>
              </w:rPr>
            </w:pPr>
            <w:r>
              <w:rPr>
                <w:rFonts w:hint="eastAsia" w:ascii="宋体" w:hAnsi="宋体" w:cs="宋体"/>
                <w:spacing w:val="6"/>
                <w:sz w:val="24"/>
                <w:szCs w:val="24"/>
                <w:highlight w:val="none"/>
              </w:rPr>
              <w:t>根据各投标人投标报价按照以下规则进行打分。</w:t>
            </w:r>
          </w:p>
          <w:p w14:paraId="64488470">
            <w:pPr>
              <w:adjustRightInd w:val="0"/>
              <w:snapToGrid w:val="0"/>
              <w:spacing w:line="440" w:lineRule="exact"/>
              <w:rPr>
                <w:rFonts w:hint="eastAsia" w:ascii="宋体" w:hAnsi="宋体" w:cs="宋体"/>
                <w:b/>
                <w:bCs/>
                <w:sz w:val="24"/>
                <w:szCs w:val="24"/>
                <w:highlight w:val="none"/>
              </w:rPr>
            </w:pPr>
            <w:r>
              <w:rPr>
                <w:rFonts w:hint="eastAsia" w:ascii="宋体" w:hAnsi="宋体" w:cs="宋体"/>
                <w:b/>
                <w:bCs/>
                <w:sz w:val="24"/>
                <w:szCs w:val="24"/>
                <w:highlight w:val="none"/>
              </w:rPr>
              <w:t>(1)算术修正报价</w:t>
            </w:r>
          </w:p>
          <w:p w14:paraId="353FF357">
            <w:pPr>
              <w:adjustRightInd w:val="0"/>
              <w:snapToGrid w:val="0"/>
              <w:spacing w:line="440" w:lineRule="exact"/>
              <w:rPr>
                <w:rFonts w:hint="eastAsia" w:ascii="宋体" w:hAnsi="宋体" w:cs="宋体"/>
                <w:sz w:val="24"/>
                <w:szCs w:val="24"/>
                <w:highlight w:val="none"/>
              </w:rPr>
            </w:pPr>
            <w:r>
              <w:rPr>
                <w:rFonts w:hint="eastAsia" w:ascii="宋体" w:hAnsi="宋体" w:cs="宋体"/>
                <w:sz w:val="24"/>
                <w:szCs w:val="24"/>
                <w:highlight w:val="none"/>
              </w:rPr>
              <w:t>若存在算术修正，应按修正后的投标报价进行评标基准价和投标报价得分计算</w:t>
            </w:r>
          </w:p>
          <w:p w14:paraId="5525F234">
            <w:pPr>
              <w:adjustRightInd w:val="0"/>
              <w:snapToGrid w:val="0"/>
              <w:spacing w:line="440" w:lineRule="exact"/>
              <w:rPr>
                <w:rFonts w:hint="eastAsia" w:ascii="宋体" w:hAnsi="宋体" w:cs="宋体"/>
                <w:b/>
                <w:bCs/>
                <w:spacing w:val="6"/>
                <w:sz w:val="24"/>
                <w:szCs w:val="24"/>
                <w:highlight w:val="none"/>
              </w:rPr>
            </w:pPr>
            <w:r>
              <w:rPr>
                <w:rFonts w:hint="eastAsia" w:ascii="宋体" w:hAnsi="宋体" w:cs="宋体"/>
                <w:b/>
                <w:bCs/>
                <w:spacing w:val="6"/>
                <w:sz w:val="24"/>
                <w:szCs w:val="24"/>
                <w:highlight w:val="none"/>
              </w:rPr>
              <w:t>(2)政策优惠报价--小微企业或</w:t>
            </w:r>
            <w:r>
              <w:rPr>
                <w:rFonts w:hint="eastAsia" w:ascii="宋体" w:hAnsi="宋体" w:cs="宋体"/>
                <w:b/>
                <w:bCs/>
                <w:sz w:val="24"/>
                <w:szCs w:val="24"/>
                <w:highlight w:val="none"/>
              </w:rPr>
              <w:t>监狱企业或残疾人福利性单位</w:t>
            </w:r>
            <w:r>
              <w:rPr>
                <w:rFonts w:hint="eastAsia" w:ascii="宋体" w:hAnsi="宋体" w:cs="宋体"/>
                <w:b/>
                <w:bCs/>
                <w:spacing w:val="6"/>
                <w:sz w:val="24"/>
                <w:szCs w:val="24"/>
                <w:highlight w:val="none"/>
              </w:rPr>
              <w:t>政策</w:t>
            </w:r>
          </w:p>
          <w:p w14:paraId="7E9205E7">
            <w:pPr>
              <w:spacing w:line="440" w:lineRule="exact"/>
              <w:rPr>
                <w:rFonts w:hint="eastAsia" w:ascii="宋体" w:hAnsi="宋体" w:cs="宋体"/>
                <w:sz w:val="24"/>
                <w:szCs w:val="24"/>
                <w:highlight w:val="none"/>
              </w:rPr>
            </w:pPr>
            <w:r>
              <w:rPr>
                <w:rFonts w:hint="eastAsia" w:ascii="宋体" w:hAnsi="宋体" w:cs="宋体"/>
                <w:sz w:val="24"/>
                <w:szCs w:val="24"/>
                <w:highlight w:val="none"/>
              </w:rPr>
              <w:t>若存在符合条件的小微企业或监狱企业或残疾人福利性单位给予的报价优惠的情形，用扣除后的投标报价进行评标基准价和投标报价得分计算。</w:t>
            </w:r>
            <w:r>
              <w:rPr>
                <w:rFonts w:hint="eastAsia" w:ascii="宋体" w:hAnsi="宋体" w:cs="宋体"/>
                <w:b/>
                <w:bCs/>
                <w:sz w:val="24"/>
                <w:highlight w:val="none"/>
              </w:rPr>
              <w:t>对于同时属于小微企业、监狱企业或残疾人福利性单位的，不重复进行投标报价扣除。</w:t>
            </w:r>
            <w:r>
              <w:rPr>
                <w:rFonts w:hint="eastAsia" w:ascii="宋体" w:hAnsi="宋体" w:cs="宋体"/>
                <w:sz w:val="24"/>
                <w:szCs w:val="24"/>
                <w:highlight w:val="none"/>
              </w:rPr>
              <w:t>若同时存在算术修正，应在算术修正后的报价基础上进行优惠报价的扣除。</w:t>
            </w:r>
          </w:p>
          <w:p w14:paraId="78B8FBB0">
            <w:pPr>
              <w:autoSpaceDE w:val="0"/>
              <w:autoSpaceDN w:val="0"/>
              <w:spacing w:line="440" w:lineRule="exact"/>
              <w:rPr>
                <w:rFonts w:hint="eastAsia" w:ascii="宋体" w:hAnsi="宋体" w:cs="宋体"/>
                <w:sz w:val="24"/>
                <w:szCs w:val="24"/>
                <w:highlight w:val="none"/>
              </w:rPr>
            </w:pPr>
            <w:r>
              <w:rPr>
                <w:rFonts w:hint="eastAsia" w:ascii="宋体" w:hAnsi="宋体" w:cs="宋体"/>
                <w:b/>
                <w:bCs/>
                <w:spacing w:val="6"/>
                <w:sz w:val="24"/>
                <w:szCs w:val="24"/>
                <w:highlight w:val="none"/>
              </w:rPr>
              <w:t>(3)评标基准价</w:t>
            </w:r>
            <w:r>
              <w:rPr>
                <w:rFonts w:hint="eastAsia" w:ascii="宋体" w:hAnsi="宋体" w:cs="宋体"/>
                <w:sz w:val="24"/>
                <w:szCs w:val="24"/>
                <w:highlight w:val="none"/>
              </w:rPr>
              <w:t>＝满足招标文件要求且投标价格最低的投标报价为评标基准价；</w:t>
            </w:r>
          </w:p>
          <w:p w14:paraId="454F1BCF">
            <w:pPr>
              <w:adjustRightInd w:val="0"/>
              <w:snapToGrid w:val="0"/>
              <w:spacing w:line="440" w:lineRule="exact"/>
              <w:rPr>
                <w:rFonts w:hint="eastAsia" w:ascii="宋体" w:hAnsi="宋体" w:cs="宋体"/>
                <w:sz w:val="24"/>
                <w:szCs w:val="24"/>
                <w:highlight w:val="none"/>
              </w:rPr>
            </w:pPr>
            <w:r>
              <w:rPr>
                <w:rFonts w:hint="eastAsia" w:ascii="宋体" w:hAnsi="宋体" w:cs="宋体"/>
                <w:b/>
                <w:bCs/>
                <w:spacing w:val="6"/>
                <w:sz w:val="24"/>
                <w:szCs w:val="24"/>
                <w:highlight w:val="none"/>
              </w:rPr>
              <w:t>(4)得分计算</w:t>
            </w:r>
            <w:r>
              <w:rPr>
                <w:rFonts w:hint="eastAsia" w:ascii="宋体" w:hAnsi="宋体" w:cs="宋体"/>
                <w:spacing w:val="6"/>
                <w:sz w:val="24"/>
                <w:szCs w:val="24"/>
                <w:highlight w:val="none"/>
              </w:rPr>
              <w:t>：</w:t>
            </w:r>
            <w:r>
              <w:rPr>
                <w:rFonts w:hint="eastAsia" w:ascii="宋体" w:hAnsi="宋体" w:cs="宋体"/>
                <w:sz w:val="24"/>
                <w:szCs w:val="24"/>
                <w:highlight w:val="none"/>
              </w:rPr>
              <w:t>满足招标文件要求且投标价格最低的投标报价，其价格分为满分。其他投标人的价格分统一按照下列公式计算：</w:t>
            </w:r>
          </w:p>
          <w:p w14:paraId="252E1AF7">
            <w:pPr>
              <w:spacing w:line="440" w:lineRule="exact"/>
              <w:rPr>
                <w:rFonts w:hint="default" w:ascii="宋体" w:hAnsi="宋体" w:eastAsia="宋体" w:cs="宋体"/>
                <w:b/>
                <w:bCs/>
                <w:sz w:val="24"/>
                <w:szCs w:val="24"/>
                <w:highlight w:val="none"/>
                <w:lang w:val="en-US" w:eastAsia="zh-CN"/>
              </w:rPr>
            </w:pPr>
            <w:r>
              <w:rPr>
                <w:rFonts w:hint="eastAsia" w:ascii="宋体" w:hAnsi="宋体" w:cs="宋体"/>
                <w:b/>
                <w:bCs/>
                <w:sz w:val="24"/>
                <w:szCs w:val="24"/>
                <w:highlight w:val="none"/>
              </w:rPr>
              <w:t>投标报价得分</w:t>
            </w:r>
            <w:r>
              <w:rPr>
                <w:rFonts w:hint="eastAsia" w:ascii="宋体" w:hAnsi="宋体" w:cs="宋体"/>
                <w:sz w:val="24"/>
                <w:szCs w:val="24"/>
                <w:highlight w:val="none"/>
              </w:rPr>
              <w:t>＝</w:t>
            </w:r>
            <w:r>
              <w:rPr>
                <w:rFonts w:hint="eastAsia" w:ascii="宋体" w:hAnsi="宋体" w:cs="宋体"/>
                <w:b/>
                <w:bCs/>
                <w:sz w:val="24"/>
                <w:szCs w:val="24"/>
                <w:highlight w:val="none"/>
              </w:rPr>
              <w:t>(评标基准价/投标报价)×</w:t>
            </w:r>
            <w:r>
              <w:rPr>
                <w:rFonts w:hint="eastAsia" w:ascii="宋体" w:hAnsi="宋体" w:cs="宋体"/>
                <w:b/>
                <w:bCs/>
                <w:sz w:val="24"/>
                <w:szCs w:val="24"/>
                <w:highlight w:val="none"/>
                <w:lang w:val="en-US" w:eastAsia="zh-CN"/>
              </w:rPr>
              <w:t>30</w:t>
            </w:r>
          </w:p>
        </w:tc>
      </w:tr>
      <w:tr w14:paraId="065FE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499" w:type="pct"/>
            <w:vMerge w:val="restart"/>
            <w:noWrap w:val="0"/>
            <w:vAlign w:val="center"/>
          </w:tcPr>
          <w:p w14:paraId="54A65C60">
            <w:pPr>
              <w:spacing w:line="440" w:lineRule="exact"/>
              <w:jc w:val="center"/>
              <w:rPr>
                <w:rFonts w:hint="eastAsia" w:ascii="宋体" w:hAnsi="宋体"/>
                <w:bCs/>
                <w:sz w:val="24"/>
                <w:szCs w:val="24"/>
                <w:highlight w:val="none"/>
              </w:rPr>
            </w:pPr>
            <w:r>
              <w:rPr>
                <w:rFonts w:hint="eastAsia" w:ascii="宋体" w:hAnsi="宋体"/>
                <w:bCs/>
                <w:sz w:val="24"/>
                <w:szCs w:val="24"/>
                <w:highlight w:val="none"/>
                <w:lang w:val="en-US" w:eastAsia="zh-CN"/>
              </w:rPr>
              <w:t>商务</w:t>
            </w:r>
            <w:r>
              <w:rPr>
                <w:rFonts w:ascii="宋体" w:hAnsi="宋体"/>
                <w:bCs/>
                <w:sz w:val="24"/>
                <w:szCs w:val="24"/>
                <w:highlight w:val="none"/>
              </w:rPr>
              <w:t>技</w:t>
            </w:r>
            <w:r>
              <w:rPr>
                <w:rFonts w:hint="eastAsia" w:ascii="宋体" w:hAnsi="宋体" w:cs="宋体"/>
                <w:bCs/>
                <w:sz w:val="24"/>
                <w:szCs w:val="24"/>
                <w:highlight w:val="none"/>
              </w:rPr>
              <w:t>术</w:t>
            </w:r>
            <w:r>
              <w:rPr>
                <w:rFonts w:hint="eastAsia" w:ascii="宋体" w:hAnsi="宋体" w:cs="Malgun Gothic"/>
                <w:bCs/>
                <w:sz w:val="24"/>
                <w:szCs w:val="24"/>
                <w:highlight w:val="none"/>
              </w:rPr>
              <w:t>部分</w:t>
            </w:r>
            <w:r>
              <w:rPr>
                <w:rFonts w:hint="eastAsia" w:ascii="宋体" w:hAnsi="宋体" w:cs="宋体"/>
                <w:bCs/>
                <w:sz w:val="24"/>
                <w:highlight w:val="none"/>
              </w:rPr>
              <w:t>评审</w:t>
            </w:r>
          </w:p>
        </w:tc>
        <w:tc>
          <w:tcPr>
            <w:tcW w:w="466" w:type="pct"/>
            <w:noWrap w:val="0"/>
            <w:vAlign w:val="center"/>
          </w:tcPr>
          <w:p w14:paraId="56DEDBE3">
            <w:pPr>
              <w:spacing w:line="440" w:lineRule="exact"/>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(1)</w:t>
            </w:r>
            <w:r>
              <w:rPr>
                <w:rFonts w:hint="eastAsia" w:ascii="宋体" w:hAnsi="宋体" w:cs="宋体"/>
                <w:sz w:val="24"/>
                <w:szCs w:val="24"/>
                <w:highlight w:val="none"/>
              </w:rPr>
              <w:t>技术</w:t>
            </w:r>
            <w:r>
              <w:rPr>
                <w:rFonts w:hint="eastAsia" w:ascii="宋体" w:hAnsi="宋体" w:cs="宋体"/>
                <w:sz w:val="24"/>
                <w:szCs w:val="24"/>
                <w:highlight w:val="none"/>
                <w:lang w:val="en-US" w:eastAsia="zh-CN"/>
              </w:rPr>
              <w:t>参数要求</w:t>
            </w:r>
          </w:p>
        </w:tc>
        <w:tc>
          <w:tcPr>
            <w:tcW w:w="390" w:type="pct"/>
            <w:noWrap w:val="0"/>
            <w:vAlign w:val="center"/>
          </w:tcPr>
          <w:p w14:paraId="7AD35406">
            <w:pPr>
              <w:spacing w:line="440" w:lineRule="exact"/>
              <w:jc w:val="center"/>
              <w:rPr>
                <w:rFonts w:hint="eastAsia" w:ascii="宋体" w:hAnsi="宋体"/>
                <w:bCs/>
                <w:sz w:val="24"/>
                <w:szCs w:val="24"/>
                <w:highlight w:val="none"/>
              </w:rPr>
            </w:pPr>
            <w:r>
              <w:rPr>
                <w:rFonts w:hint="eastAsia" w:ascii="宋体" w:hAnsi="宋体" w:cs="宋体"/>
                <w:sz w:val="24"/>
                <w:szCs w:val="24"/>
                <w:highlight w:val="none"/>
                <w:lang w:val="en-US" w:eastAsia="zh-CN"/>
              </w:rPr>
              <w:t>33</w:t>
            </w:r>
            <w:r>
              <w:rPr>
                <w:rFonts w:hint="eastAsia" w:ascii="宋体" w:hAnsi="宋体" w:cs="宋体"/>
                <w:sz w:val="24"/>
                <w:szCs w:val="24"/>
                <w:highlight w:val="none"/>
              </w:rPr>
              <w:t>分</w:t>
            </w:r>
          </w:p>
        </w:tc>
        <w:tc>
          <w:tcPr>
            <w:tcW w:w="3643" w:type="pct"/>
            <w:noWrap w:val="0"/>
            <w:vAlign w:val="center"/>
          </w:tcPr>
          <w:p w14:paraId="2479A146">
            <w:pPr>
              <w:spacing w:line="360" w:lineRule="auto"/>
              <w:rPr>
                <w:rFonts w:hint="eastAsia" w:ascii="宋体" w:hAnsi="宋体" w:eastAsia="宋体" w:cs="宋体"/>
                <w:b/>
                <w:sz w:val="24"/>
                <w:szCs w:val="24"/>
                <w:highlight w:val="none"/>
                <w:lang w:eastAsia="zh-CN"/>
              </w:rPr>
            </w:pPr>
            <w:r>
              <w:rPr>
                <w:rFonts w:hint="eastAsia" w:ascii="宋体" w:hAnsi="宋体"/>
                <w:b/>
                <w:sz w:val="24"/>
                <w:szCs w:val="24"/>
                <w:highlight w:val="none"/>
              </w:rPr>
              <w:t>所投产品的技术参数</w:t>
            </w:r>
            <w:r>
              <w:rPr>
                <w:rFonts w:hint="eastAsia" w:ascii="宋体" w:hAnsi="宋体"/>
                <w:b/>
                <w:sz w:val="24"/>
                <w:szCs w:val="24"/>
                <w:highlight w:val="none"/>
                <w:lang w:val="en-US" w:eastAsia="zh-CN"/>
              </w:rPr>
              <w:t>及要求</w:t>
            </w:r>
            <w:r>
              <w:rPr>
                <w:rFonts w:hint="eastAsia" w:ascii="宋体" w:hAnsi="宋体"/>
                <w:b/>
                <w:sz w:val="24"/>
                <w:szCs w:val="24"/>
                <w:highlight w:val="none"/>
              </w:rPr>
              <w:t>完全满足招标文件要求的得</w:t>
            </w:r>
            <w:r>
              <w:rPr>
                <w:rFonts w:hint="eastAsia" w:ascii="宋体" w:hAnsi="宋体"/>
                <w:b/>
                <w:sz w:val="24"/>
                <w:szCs w:val="24"/>
                <w:highlight w:val="none"/>
                <w:lang w:val="en-US" w:eastAsia="zh-CN"/>
              </w:rPr>
              <w:t>满分33</w:t>
            </w:r>
            <w:r>
              <w:rPr>
                <w:rFonts w:hint="eastAsia" w:ascii="宋体" w:hAnsi="宋体"/>
                <w:b/>
                <w:sz w:val="24"/>
                <w:szCs w:val="24"/>
                <w:highlight w:val="none"/>
              </w:rPr>
              <w:t>分</w:t>
            </w:r>
            <w:r>
              <w:rPr>
                <w:rFonts w:hint="eastAsia" w:ascii="宋体" w:hAnsi="宋体"/>
                <w:b/>
                <w:sz w:val="24"/>
                <w:szCs w:val="24"/>
                <w:highlight w:val="none"/>
                <w:lang w:eastAsia="zh-CN"/>
              </w:rPr>
              <w:t>。</w:t>
            </w:r>
          </w:p>
          <w:p w14:paraId="77C31379">
            <w:pPr>
              <w:spacing w:line="400" w:lineRule="exact"/>
              <w:rPr>
                <w:rFonts w:hint="eastAsia" w:ascii="宋体" w:hAnsi="宋体" w:cs="宋体"/>
                <w:color w:val="auto"/>
                <w:sz w:val="24"/>
                <w:szCs w:val="24"/>
                <w:highlight w:val="none"/>
              </w:rPr>
            </w:pPr>
            <w:r>
              <w:rPr>
                <w:rFonts w:hint="eastAsia"/>
                <w:color w:val="auto"/>
                <w:sz w:val="24"/>
                <w:szCs w:val="24"/>
                <w:highlight w:val="none"/>
              </w:rPr>
              <w:t>（</w:t>
            </w:r>
            <w:r>
              <w:rPr>
                <w:rFonts w:hint="eastAsia" w:ascii="宋体" w:hAnsi="宋体" w:cs="宋体"/>
                <w:color w:val="auto"/>
                <w:sz w:val="24"/>
                <w:szCs w:val="24"/>
                <w:highlight w:val="none"/>
              </w:rPr>
              <w:t>1）</w:t>
            </w:r>
            <w:r>
              <w:rPr>
                <w:rFonts w:hint="eastAsia" w:ascii="宋体" w:hAnsi="宋体" w:cs="宋体"/>
                <w:color w:val="auto"/>
                <w:sz w:val="24"/>
                <w:szCs w:val="24"/>
                <w:highlight w:val="none"/>
                <w:lang w:eastAsia="zh-CN"/>
              </w:rPr>
              <w:t>重要技术要求</w:t>
            </w:r>
            <w:r>
              <w:rPr>
                <w:rFonts w:hint="eastAsia" w:ascii="宋体" w:hAnsi="宋体" w:cs="宋体"/>
                <w:color w:val="auto"/>
                <w:sz w:val="24"/>
                <w:szCs w:val="24"/>
                <w:highlight w:val="none"/>
              </w:rPr>
              <w:t>（满分</w:t>
            </w:r>
            <w:r>
              <w:rPr>
                <w:rFonts w:hint="eastAsia" w:ascii="宋体" w:hAnsi="宋体" w:cs="宋体"/>
                <w:color w:val="auto"/>
                <w:sz w:val="24"/>
                <w:szCs w:val="24"/>
                <w:highlight w:val="none"/>
                <w:lang w:val="en-US" w:eastAsia="zh-CN"/>
              </w:rPr>
              <w:t>26</w:t>
            </w:r>
            <w:r>
              <w:rPr>
                <w:rFonts w:hint="eastAsia" w:ascii="宋体" w:hAnsi="宋体" w:cs="宋体"/>
                <w:color w:val="auto"/>
                <w:sz w:val="24"/>
                <w:szCs w:val="24"/>
                <w:highlight w:val="none"/>
              </w:rPr>
              <w:t>分）</w:t>
            </w:r>
          </w:p>
          <w:p w14:paraId="5BACB4E5">
            <w:pPr>
              <w:spacing w:line="40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投标人所投产品的</w:t>
            </w:r>
            <w:r>
              <w:rPr>
                <w:rFonts w:hint="eastAsia" w:ascii="宋体" w:hAnsi="宋体" w:cs="宋体"/>
                <w:b w:val="0"/>
                <w:bCs w:val="0"/>
                <w:color w:val="auto"/>
                <w:sz w:val="24"/>
                <w:szCs w:val="24"/>
                <w:highlight w:val="none"/>
                <w:lang w:eastAsia="zh-CN"/>
              </w:rPr>
              <w:t>重要技术要求</w:t>
            </w:r>
            <w:r>
              <w:rPr>
                <w:rFonts w:hint="eastAsia" w:ascii="宋体" w:hAnsi="宋体"/>
                <w:b w:val="0"/>
                <w:bCs w:val="0"/>
                <w:sz w:val="24"/>
                <w:szCs w:val="24"/>
                <w:highlight w:val="none"/>
              </w:rPr>
              <w:t>（</w:t>
            </w:r>
            <w:r>
              <w:rPr>
                <w:rFonts w:hint="eastAsia" w:ascii="宋体" w:hAnsi="宋体" w:cs="宋体"/>
                <w:b w:val="0"/>
                <w:bCs w:val="0"/>
                <w:sz w:val="24"/>
                <w:szCs w:val="24"/>
                <w:highlight w:val="none"/>
              </w:rPr>
              <w:t>“</w:t>
            </w:r>
            <w:r>
              <w:rPr>
                <w:rFonts w:hint="eastAsia" w:ascii="宋体" w:hAnsi="宋体" w:eastAsia="宋体" w:cs="宋体"/>
                <w:b w:val="0"/>
                <w:bCs w:val="0"/>
                <w:i w:val="0"/>
                <w:iCs w:val="0"/>
                <w:color w:val="000000"/>
                <w:sz w:val="21"/>
                <w:szCs w:val="21"/>
                <w:u w:val="none"/>
              </w:rPr>
              <w:t>★</w:t>
            </w:r>
            <w:r>
              <w:rPr>
                <w:rFonts w:hint="eastAsia" w:ascii="宋体" w:hAnsi="宋体" w:cs="宋体"/>
                <w:b w:val="0"/>
                <w:bCs w:val="0"/>
                <w:sz w:val="24"/>
                <w:szCs w:val="24"/>
                <w:highlight w:val="none"/>
              </w:rPr>
              <w:t>”标注</w:t>
            </w:r>
            <w:r>
              <w:rPr>
                <w:rFonts w:hint="eastAsia" w:ascii="宋体" w:hAnsi="宋体"/>
                <w:b w:val="0"/>
                <w:bCs w:val="0"/>
                <w:sz w:val="24"/>
                <w:szCs w:val="24"/>
                <w:highlight w:val="none"/>
              </w:rPr>
              <w:t>）</w:t>
            </w:r>
            <w:r>
              <w:rPr>
                <w:rFonts w:hint="eastAsia" w:ascii="宋体" w:hAnsi="宋体"/>
                <w:b w:val="0"/>
                <w:bCs w:val="0"/>
                <w:sz w:val="24"/>
                <w:szCs w:val="24"/>
                <w:highlight w:val="none"/>
                <w:lang w:val="en-US" w:eastAsia="zh-CN"/>
              </w:rPr>
              <w:t>项共52项</w:t>
            </w:r>
            <w:r>
              <w:rPr>
                <w:rFonts w:hint="eastAsia" w:ascii="宋体" w:hAnsi="宋体" w:cs="宋体"/>
                <w:b w:val="0"/>
                <w:bCs w:val="0"/>
                <w:color w:val="auto"/>
                <w:sz w:val="24"/>
                <w:szCs w:val="24"/>
                <w:highlight w:val="none"/>
              </w:rPr>
              <w:t>完全满足招标文件要求的得</w:t>
            </w:r>
            <w:r>
              <w:rPr>
                <w:rFonts w:hint="eastAsia" w:ascii="宋体" w:hAnsi="宋体" w:cs="宋体"/>
                <w:b w:val="0"/>
                <w:bCs w:val="0"/>
                <w:color w:val="auto"/>
                <w:sz w:val="24"/>
                <w:szCs w:val="24"/>
                <w:highlight w:val="none"/>
                <w:lang w:val="en-US" w:eastAsia="zh-CN"/>
              </w:rPr>
              <w:t>26</w:t>
            </w:r>
            <w:r>
              <w:rPr>
                <w:rFonts w:hint="eastAsia" w:ascii="宋体" w:hAnsi="宋体" w:cs="宋体"/>
                <w:b w:val="0"/>
                <w:bCs w:val="0"/>
                <w:color w:val="auto"/>
                <w:sz w:val="24"/>
                <w:szCs w:val="24"/>
                <w:highlight w:val="none"/>
              </w:rPr>
              <w:t>分，每出现一项</w:t>
            </w:r>
            <w:r>
              <w:rPr>
                <w:rFonts w:hint="eastAsia" w:ascii="宋体" w:hAnsi="宋体" w:cs="宋体"/>
                <w:b w:val="0"/>
                <w:bCs w:val="0"/>
                <w:color w:val="auto"/>
                <w:sz w:val="24"/>
                <w:szCs w:val="24"/>
                <w:highlight w:val="none"/>
                <w:lang w:eastAsia="zh-CN"/>
              </w:rPr>
              <w:t>重要技术要求</w:t>
            </w:r>
            <w:r>
              <w:rPr>
                <w:rFonts w:hint="eastAsia" w:ascii="宋体" w:hAnsi="宋体" w:cs="宋体"/>
                <w:b w:val="0"/>
                <w:bCs w:val="0"/>
                <w:color w:val="auto"/>
                <w:sz w:val="24"/>
                <w:szCs w:val="24"/>
                <w:highlight w:val="none"/>
              </w:rPr>
              <w:t>不满足招标文件要求的扣</w:t>
            </w:r>
            <w:r>
              <w:rPr>
                <w:rFonts w:hint="eastAsia" w:ascii="宋体" w:hAnsi="宋体" w:cs="宋体"/>
                <w:b w:val="0"/>
                <w:bCs w:val="0"/>
                <w:color w:val="auto"/>
                <w:sz w:val="24"/>
                <w:szCs w:val="24"/>
                <w:highlight w:val="none"/>
                <w:lang w:val="en-US" w:eastAsia="zh-CN"/>
              </w:rPr>
              <w:t>0.5</w:t>
            </w:r>
            <w:r>
              <w:rPr>
                <w:rFonts w:hint="eastAsia" w:ascii="宋体" w:hAnsi="宋体" w:cs="宋体"/>
                <w:b w:val="0"/>
                <w:bCs w:val="0"/>
                <w:color w:val="auto"/>
                <w:sz w:val="24"/>
                <w:szCs w:val="24"/>
                <w:highlight w:val="none"/>
              </w:rPr>
              <w:t>分，扣完为止。</w:t>
            </w:r>
          </w:p>
          <w:p w14:paraId="7F86890B">
            <w:pPr>
              <w:spacing w:line="4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（2）</w:t>
            </w:r>
            <w:r>
              <w:rPr>
                <w:rFonts w:hint="eastAsia" w:ascii="宋体" w:hAnsi="宋体" w:cs="宋体"/>
                <w:color w:val="auto"/>
                <w:sz w:val="24"/>
                <w:szCs w:val="24"/>
                <w:highlight w:val="none"/>
                <w:lang w:eastAsia="zh-CN"/>
              </w:rPr>
              <w:t>一般技术要求</w:t>
            </w:r>
            <w:r>
              <w:rPr>
                <w:rFonts w:hint="eastAsia" w:ascii="宋体" w:hAnsi="宋体" w:cs="宋体"/>
                <w:color w:val="auto"/>
                <w:sz w:val="24"/>
                <w:szCs w:val="24"/>
                <w:highlight w:val="none"/>
              </w:rPr>
              <w:t>（满分</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分）</w:t>
            </w:r>
          </w:p>
          <w:p w14:paraId="46DAF7F1">
            <w:pPr>
              <w:spacing w:line="400" w:lineRule="exact"/>
              <w:rPr>
                <w:color w:val="auto"/>
                <w:sz w:val="24"/>
                <w:szCs w:val="24"/>
                <w:highlight w:val="none"/>
              </w:rPr>
            </w:pPr>
            <w:r>
              <w:rPr>
                <w:rFonts w:hint="eastAsia" w:ascii="宋体" w:hAnsi="宋体" w:cs="宋体"/>
                <w:color w:val="auto"/>
                <w:sz w:val="24"/>
                <w:szCs w:val="24"/>
                <w:highlight w:val="none"/>
              </w:rPr>
              <w:t>投标人所投产品的</w:t>
            </w:r>
            <w:r>
              <w:rPr>
                <w:rFonts w:hint="eastAsia" w:ascii="宋体" w:hAnsi="宋体" w:cs="宋体"/>
                <w:color w:val="auto"/>
                <w:sz w:val="24"/>
                <w:szCs w:val="24"/>
                <w:highlight w:val="none"/>
                <w:lang w:eastAsia="zh-CN"/>
              </w:rPr>
              <w:t>一般技术要求</w:t>
            </w:r>
            <w:r>
              <w:rPr>
                <w:rFonts w:hint="eastAsia" w:ascii="宋体" w:hAnsi="宋体"/>
                <w:b w:val="0"/>
                <w:bCs w:val="0"/>
                <w:sz w:val="24"/>
                <w:szCs w:val="24"/>
                <w:highlight w:val="none"/>
              </w:rPr>
              <w:t>（</w:t>
            </w:r>
            <w:r>
              <w:rPr>
                <w:rFonts w:hint="eastAsia" w:ascii="宋体" w:hAnsi="宋体"/>
                <w:b w:val="0"/>
                <w:bCs w:val="0"/>
                <w:sz w:val="24"/>
                <w:szCs w:val="24"/>
                <w:highlight w:val="none"/>
                <w:lang w:val="en-US" w:eastAsia="zh-CN"/>
              </w:rPr>
              <w:t>非</w:t>
            </w:r>
            <w:r>
              <w:rPr>
                <w:rFonts w:hint="eastAsia" w:ascii="宋体" w:hAnsi="宋体" w:cs="宋体"/>
                <w:b w:val="0"/>
                <w:bCs w:val="0"/>
                <w:sz w:val="24"/>
                <w:szCs w:val="24"/>
                <w:highlight w:val="none"/>
              </w:rPr>
              <w:t>“</w:t>
            </w:r>
            <w:r>
              <w:rPr>
                <w:rFonts w:hint="eastAsia" w:ascii="宋体" w:hAnsi="宋体" w:eastAsia="宋体" w:cs="宋体"/>
                <w:b w:val="0"/>
                <w:bCs w:val="0"/>
                <w:i w:val="0"/>
                <w:iCs w:val="0"/>
                <w:color w:val="000000"/>
                <w:sz w:val="21"/>
                <w:szCs w:val="21"/>
                <w:u w:val="none"/>
              </w:rPr>
              <w:t>★</w:t>
            </w:r>
            <w:r>
              <w:rPr>
                <w:rFonts w:hint="eastAsia" w:ascii="宋体" w:hAnsi="宋体" w:cs="宋体"/>
                <w:b w:val="0"/>
                <w:bCs w:val="0"/>
                <w:sz w:val="24"/>
                <w:szCs w:val="24"/>
                <w:highlight w:val="none"/>
              </w:rPr>
              <w:t>”标注</w:t>
            </w:r>
            <w:r>
              <w:rPr>
                <w:rFonts w:hint="eastAsia" w:ascii="宋体" w:hAnsi="宋体"/>
                <w:b w:val="0"/>
                <w:bCs w:val="0"/>
                <w:sz w:val="24"/>
                <w:szCs w:val="24"/>
                <w:highlight w:val="none"/>
              </w:rPr>
              <w:t>）</w:t>
            </w:r>
            <w:r>
              <w:rPr>
                <w:rFonts w:hint="eastAsia" w:ascii="宋体" w:hAnsi="宋体"/>
                <w:b w:val="0"/>
                <w:bCs w:val="0"/>
                <w:sz w:val="24"/>
                <w:szCs w:val="24"/>
                <w:highlight w:val="none"/>
                <w:lang w:eastAsia="zh-CN"/>
              </w:rPr>
              <w:t>，</w:t>
            </w:r>
            <w:r>
              <w:rPr>
                <w:rFonts w:hint="eastAsia" w:ascii="宋体" w:hAnsi="宋体" w:cs="宋体"/>
                <w:color w:val="auto"/>
                <w:sz w:val="24"/>
                <w:szCs w:val="24"/>
                <w:highlight w:val="none"/>
              </w:rPr>
              <w:t>完全满足招标文件要求的得</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分，每出现一项</w:t>
            </w:r>
            <w:r>
              <w:rPr>
                <w:rFonts w:hint="eastAsia" w:ascii="宋体" w:hAnsi="宋体" w:cs="宋体"/>
                <w:color w:val="auto"/>
                <w:sz w:val="24"/>
                <w:szCs w:val="24"/>
                <w:highlight w:val="none"/>
                <w:lang w:eastAsia="zh-CN"/>
              </w:rPr>
              <w:t>一般技术要求</w:t>
            </w:r>
            <w:r>
              <w:rPr>
                <w:rFonts w:hint="eastAsia" w:ascii="宋体" w:hAnsi="宋体" w:cs="宋体"/>
                <w:color w:val="auto"/>
                <w:sz w:val="24"/>
                <w:szCs w:val="24"/>
                <w:highlight w:val="none"/>
              </w:rPr>
              <w:t>不满足招标文件要求的扣</w:t>
            </w:r>
            <w:r>
              <w:rPr>
                <w:rFonts w:hint="eastAsia" w:ascii="宋体" w:hAnsi="宋体" w:cs="宋体"/>
                <w:color w:val="auto"/>
                <w:sz w:val="24"/>
                <w:szCs w:val="24"/>
                <w:highlight w:val="none"/>
                <w:lang w:val="en-US" w:eastAsia="zh-CN"/>
              </w:rPr>
              <w:t>0.1</w:t>
            </w:r>
            <w:r>
              <w:rPr>
                <w:rFonts w:hint="eastAsia" w:ascii="宋体" w:hAnsi="宋体" w:cs="宋体"/>
                <w:color w:val="auto"/>
                <w:sz w:val="24"/>
                <w:szCs w:val="24"/>
                <w:highlight w:val="none"/>
              </w:rPr>
              <w:t>分，扣完为止。</w:t>
            </w:r>
          </w:p>
          <w:p w14:paraId="1A3F5172">
            <w:pPr>
              <w:autoSpaceDE w:val="0"/>
              <w:autoSpaceDN w:val="0"/>
              <w:spacing w:line="440" w:lineRule="exact"/>
              <w:rPr>
                <w:rFonts w:hint="default" w:ascii="宋体" w:hAnsi="宋体"/>
                <w:b/>
                <w:kern w:val="2"/>
                <w:sz w:val="24"/>
                <w:szCs w:val="24"/>
                <w:highlight w:val="none"/>
                <w:lang w:val="en-US" w:eastAsia="zh-CN"/>
              </w:rPr>
            </w:pPr>
            <w:r>
              <w:rPr>
                <w:rFonts w:hint="eastAsia" w:ascii="宋体" w:hAnsi="宋体" w:cs="宋体"/>
                <w:b/>
                <w:sz w:val="24"/>
                <w:szCs w:val="24"/>
                <w:highlight w:val="none"/>
              </w:rPr>
              <w:t>注：根据第七章</w:t>
            </w:r>
            <w:r>
              <w:rPr>
                <w:rFonts w:hint="eastAsia" w:ascii="宋体" w:hAnsi="宋体" w:cs="宋体"/>
                <w:b/>
                <w:sz w:val="24"/>
                <w:szCs w:val="24"/>
                <w:highlight w:val="none"/>
                <w:lang w:val="en-US" w:eastAsia="zh-CN"/>
              </w:rPr>
              <w:t>第</w:t>
            </w:r>
            <w:r>
              <w:rPr>
                <w:rFonts w:hint="eastAsia" w:ascii="宋体" w:hAnsi="宋体" w:cs="宋体"/>
                <w:b/>
                <w:sz w:val="24"/>
                <w:szCs w:val="24"/>
                <w:highlight w:val="none"/>
              </w:rPr>
              <w:t>七</w:t>
            </w:r>
            <w:r>
              <w:rPr>
                <w:rFonts w:hint="eastAsia" w:ascii="宋体" w:hAnsi="宋体" w:cs="宋体"/>
                <w:b/>
                <w:sz w:val="24"/>
                <w:szCs w:val="24"/>
                <w:highlight w:val="none"/>
                <w:lang w:eastAsia="zh-CN"/>
              </w:rPr>
              <w:t>、</w:t>
            </w:r>
            <w:r>
              <w:rPr>
                <w:rFonts w:hint="eastAsia" w:ascii="宋体" w:hAnsi="宋体" w:cs="宋体"/>
                <w:b/>
                <w:sz w:val="24"/>
                <w:szCs w:val="24"/>
                <w:highlight w:val="none"/>
              </w:rPr>
              <w:t>(二)技术规格偏离表进行评审</w:t>
            </w:r>
            <w:r>
              <w:rPr>
                <w:rFonts w:hint="eastAsia" w:ascii="宋体" w:hAnsi="宋体"/>
                <w:b/>
                <w:kern w:val="2"/>
                <w:sz w:val="24"/>
                <w:szCs w:val="24"/>
                <w:highlight w:val="none"/>
              </w:rPr>
              <w:t>。</w:t>
            </w:r>
          </w:p>
        </w:tc>
      </w:tr>
      <w:tr w14:paraId="4667E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9" w:type="pct"/>
            <w:vMerge w:val="continue"/>
            <w:noWrap w:val="0"/>
            <w:vAlign w:val="center"/>
          </w:tcPr>
          <w:p w14:paraId="6D0E8C61">
            <w:pPr>
              <w:spacing w:line="440" w:lineRule="exact"/>
              <w:jc w:val="center"/>
              <w:rPr>
                <w:rFonts w:hint="eastAsia" w:ascii="宋体" w:hAnsi="宋体"/>
                <w:bCs/>
                <w:sz w:val="24"/>
                <w:szCs w:val="24"/>
                <w:highlight w:val="none"/>
              </w:rPr>
            </w:pPr>
          </w:p>
        </w:tc>
        <w:tc>
          <w:tcPr>
            <w:tcW w:w="466" w:type="pct"/>
            <w:noWrap w:val="0"/>
            <w:vAlign w:val="center"/>
          </w:tcPr>
          <w:p w14:paraId="5A8C2DD8">
            <w:pPr>
              <w:spacing w:line="440" w:lineRule="exact"/>
              <w:jc w:val="center"/>
              <w:rPr>
                <w:rFonts w:hint="eastAsia" w:ascii="宋体" w:hAnsi="宋体"/>
                <w:bCs/>
                <w:sz w:val="24"/>
                <w:highlight w:val="none"/>
              </w:rPr>
            </w:pPr>
            <w:r>
              <w:rPr>
                <w:rFonts w:hint="eastAsia" w:ascii="宋体" w:hAnsi="宋体"/>
                <w:bCs/>
                <w:sz w:val="24"/>
                <w:highlight w:val="none"/>
              </w:rPr>
              <w:t>(</w:t>
            </w:r>
            <w:r>
              <w:rPr>
                <w:rFonts w:hint="eastAsia" w:ascii="宋体" w:hAnsi="宋体"/>
                <w:bCs/>
                <w:sz w:val="24"/>
                <w:highlight w:val="none"/>
                <w:lang w:val="en-US" w:eastAsia="zh-CN"/>
              </w:rPr>
              <w:t>2</w:t>
            </w:r>
            <w:r>
              <w:rPr>
                <w:rFonts w:hint="eastAsia" w:ascii="宋体" w:hAnsi="宋体"/>
                <w:bCs/>
                <w:sz w:val="24"/>
                <w:highlight w:val="none"/>
              </w:rPr>
              <w:t>)交货方案及时间进度计划安排评审</w:t>
            </w:r>
          </w:p>
        </w:tc>
        <w:tc>
          <w:tcPr>
            <w:tcW w:w="390" w:type="pct"/>
            <w:noWrap w:val="0"/>
            <w:vAlign w:val="center"/>
          </w:tcPr>
          <w:p w14:paraId="39B684A8">
            <w:pPr>
              <w:spacing w:line="440" w:lineRule="exact"/>
              <w:jc w:val="center"/>
              <w:rPr>
                <w:rFonts w:hint="eastAsia" w:ascii="宋体" w:hAnsi="宋体"/>
                <w:sz w:val="24"/>
                <w:szCs w:val="24"/>
                <w:highlight w:val="none"/>
              </w:rPr>
            </w:pPr>
            <w:r>
              <w:rPr>
                <w:rFonts w:hint="eastAsia" w:ascii="宋体" w:hAnsi="宋体" w:cs="宋体"/>
                <w:sz w:val="24"/>
                <w:szCs w:val="24"/>
                <w:highlight w:val="none"/>
                <w:lang w:val="en-US" w:eastAsia="zh-CN"/>
              </w:rPr>
              <w:t>10</w:t>
            </w:r>
            <w:r>
              <w:rPr>
                <w:rFonts w:hint="eastAsia" w:ascii="宋体" w:hAnsi="宋体"/>
                <w:bCs/>
                <w:sz w:val="24"/>
                <w:highlight w:val="none"/>
              </w:rPr>
              <w:t>分</w:t>
            </w:r>
          </w:p>
        </w:tc>
        <w:tc>
          <w:tcPr>
            <w:tcW w:w="3643" w:type="pct"/>
            <w:noWrap w:val="0"/>
            <w:vAlign w:val="center"/>
          </w:tcPr>
          <w:p w14:paraId="13815E2A">
            <w:pPr>
              <w:spacing w:line="440" w:lineRule="exact"/>
              <w:rPr>
                <w:rFonts w:ascii="宋体" w:hAnsi="宋体"/>
                <w:bCs/>
                <w:sz w:val="24"/>
                <w:highlight w:val="none"/>
              </w:rPr>
            </w:pPr>
            <w:r>
              <w:rPr>
                <w:rFonts w:hint="eastAsia" w:ascii="宋体" w:hAnsi="宋体"/>
                <w:bCs/>
                <w:sz w:val="24"/>
                <w:highlight w:val="none"/>
              </w:rPr>
              <w:t>第一个档次（</w:t>
            </w:r>
            <w:r>
              <w:rPr>
                <w:rFonts w:hint="eastAsia" w:ascii="宋体" w:hAnsi="宋体" w:cs="宋体"/>
                <w:sz w:val="24"/>
                <w:szCs w:val="24"/>
                <w:highlight w:val="none"/>
                <w:lang w:val="en-US" w:eastAsia="zh-CN"/>
              </w:rPr>
              <w:t>10</w:t>
            </w:r>
            <w:r>
              <w:rPr>
                <w:rFonts w:hint="eastAsia" w:ascii="宋体" w:hAnsi="宋体" w:cs="宋体"/>
                <w:sz w:val="24"/>
                <w:szCs w:val="24"/>
                <w:highlight w:val="none"/>
              </w:rPr>
              <w:t>分</w:t>
            </w:r>
            <w:r>
              <w:rPr>
                <w:rFonts w:hint="eastAsia" w:ascii="宋体" w:hAnsi="宋体"/>
                <w:bCs/>
                <w:sz w:val="24"/>
                <w:highlight w:val="none"/>
              </w:rPr>
              <w:t>）：交货方案及时间进度计划安排优于招标文件要求，交货安排具体、切实可行、科学规范、针对性特强，项目管理的进度计划特别详细；</w:t>
            </w:r>
          </w:p>
          <w:p w14:paraId="33B9BC6A">
            <w:pPr>
              <w:spacing w:line="440" w:lineRule="exact"/>
              <w:rPr>
                <w:rFonts w:ascii="宋体" w:hAnsi="宋体"/>
                <w:bCs/>
                <w:sz w:val="24"/>
                <w:highlight w:val="none"/>
              </w:rPr>
            </w:pPr>
            <w:r>
              <w:rPr>
                <w:rFonts w:hint="eastAsia" w:ascii="宋体" w:hAnsi="宋体"/>
                <w:bCs/>
                <w:sz w:val="24"/>
                <w:highlight w:val="none"/>
              </w:rPr>
              <w:t>第二个档次（</w:t>
            </w:r>
            <w:r>
              <w:rPr>
                <w:rFonts w:hint="eastAsia" w:ascii="宋体" w:hAnsi="宋体" w:cs="宋体"/>
                <w:sz w:val="24"/>
                <w:szCs w:val="24"/>
                <w:highlight w:val="none"/>
                <w:lang w:val="en-US" w:eastAsia="zh-CN"/>
              </w:rPr>
              <w:t>8</w:t>
            </w:r>
            <w:r>
              <w:rPr>
                <w:rFonts w:hint="eastAsia" w:ascii="宋体" w:hAnsi="宋体"/>
                <w:bCs/>
                <w:sz w:val="24"/>
                <w:highlight w:val="none"/>
              </w:rPr>
              <w:t>分）：交货方案及时间进度计划安排完全满足招标文件要求，内容完整、交货安排较合理、切实可行、科学规范、有针对性；项目管理的进度计划完整、较详细；</w:t>
            </w:r>
          </w:p>
          <w:p w14:paraId="7C5EBDC2">
            <w:pPr>
              <w:spacing w:line="440" w:lineRule="exact"/>
              <w:rPr>
                <w:rFonts w:hint="eastAsia" w:ascii="宋体" w:hAnsi="宋体" w:eastAsia="宋体"/>
                <w:bCs/>
                <w:sz w:val="24"/>
                <w:highlight w:val="none"/>
                <w:lang w:eastAsia="zh-CN"/>
              </w:rPr>
            </w:pPr>
            <w:r>
              <w:rPr>
                <w:rFonts w:hint="eastAsia" w:ascii="宋体" w:hAnsi="宋体"/>
                <w:bCs/>
                <w:sz w:val="24"/>
                <w:highlight w:val="none"/>
              </w:rPr>
              <w:t>第三个档次（</w:t>
            </w:r>
            <w:r>
              <w:rPr>
                <w:rFonts w:hint="eastAsia" w:ascii="宋体" w:hAnsi="宋体" w:cs="宋体"/>
                <w:sz w:val="24"/>
                <w:szCs w:val="24"/>
                <w:highlight w:val="none"/>
                <w:lang w:val="en-US" w:eastAsia="zh-CN"/>
              </w:rPr>
              <w:t>6</w:t>
            </w:r>
            <w:r>
              <w:rPr>
                <w:rFonts w:hint="eastAsia" w:ascii="宋体" w:hAnsi="宋体"/>
                <w:bCs/>
                <w:sz w:val="24"/>
                <w:highlight w:val="none"/>
              </w:rPr>
              <w:t>分）：交货方案及时间进度计划安排基本满足招标文件要求，交货安排合理、有针对性，项目管理的进度计划简单</w:t>
            </w:r>
            <w:r>
              <w:rPr>
                <w:rFonts w:hint="eastAsia" w:ascii="宋体" w:hAnsi="宋体"/>
                <w:bCs/>
                <w:sz w:val="24"/>
                <w:highlight w:val="none"/>
                <w:lang w:eastAsia="zh-CN"/>
              </w:rPr>
              <w:t>。</w:t>
            </w:r>
          </w:p>
          <w:p w14:paraId="0764EE6A">
            <w:pPr>
              <w:spacing w:line="440" w:lineRule="exact"/>
              <w:rPr>
                <w:rFonts w:ascii="宋体" w:hAnsi="宋体"/>
                <w:bCs/>
                <w:sz w:val="24"/>
                <w:highlight w:val="none"/>
              </w:rPr>
            </w:pPr>
            <w:r>
              <w:rPr>
                <w:rFonts w:hint="eastAsia" w:ascii="宋体" w:hAnsi="宋体"/>
                <w:bCs/>
                <w:sz w:val="24"/>
                <w:highlight w:val="none"/>
              </w:rPr>
              <w:t>第四个档次（</w:t>
            </w:r>
            <w:r>
              <w:rPr>
                <w:rFonts w:hint="eastAsia" w:ascii="宋体" w:hAnsi="宋体" w:cs="宋体"/>
                <w:sz w:val="24"/>
                <w:szCs w:val="24"/>
                <w:highlight w:val="none"/>
                <w:lang w:val="en-US" w:eastAsia="zh-CN"/>
              </w:rPr>
              <w:t>4</w:t>
            </w:r>
            <w:r>
              <w:rPr>
                <w:rFonts w:hint="eastAsia" w:ascii="宋体" w:hAnsi="宋体"/>
                <w:bCs/>
                <w:sz w:val="24"/>
                <w:highlight w:val="none"/>
              </w:rPr>
              <w:t>分）：交货方案及时间进度计划安排合理，但无针对性，无项目管理的进度计划；</w:t>
            </w:r>
          </w:p>
          <w:p w14:paraId="46DB43E3">
            <w:pPr>
              <w:spacing w:line="440" w:lineRule="exact"/>
              <w:rPr>
                <w:rFonts w:hint="eastAsia" w:ascii="宋体" w:hAnsi="宋体"/>
                <w:bCs/>
                <w:sz w:val="24"/>
                <w:highlight w:val="none"/>
              </w:rPr>
            </w:pPr>
            <w:r>
              <w:rPr>
                <w:rFonts w:hint="eastAsia" w:ascii="宋体" w:hAnsi="宋体"/>
                <w:bCs/>
                <w:sz w:val="24"/>
                <w:highlight w:val="none"/>
              </w:rPr>
              <w:t>第五个档次（</w:t>
            </w:r>
            <w:r>
              <w:rPr>
                <w:rFonts w:hint="eastAsia" w:ascii="宋体" w:hAnsi="宋体"/>
                <w:bCs/>
                <w:sz w:val="24"/>
                <w:highlight w:val="none"/>
                <w:lang w:val="en-US" w:eastAsia="zh-CN"/>
              </w:rPr>
              <w:t>2</w:t>
            </w:r>
            <w:r>
              <w:rPr>
                <w:rFonts w:hint="eastAsia" w:ascii="宋体" w:hAnsi="宋体"/>
                <w:bCs/>
                <w:sz w:val="24"/>
                <w:highlight w:val="none"/>
              </w:rPr>
              <w:t>分）：交货方案及时间进度计划安排不合理，内容简单；</w:t>
            </w:r>
          </w:p>
          <w:p w14:paraId="3889E63D">
            <w:pPr>
              <w:spacing w:line="440" w:lineRule="exact"/>
              <w:rPr>
                <w:rFonts w:hint="eastAsia" w:ascii="宋体" w:hAnsi="宋体"/>
                <w:sz w:val="24"/>
                <w:szCs w:val="24"/>
                <w:highlight w:val="none"/>
              </w:rPr>
            </w:pPr>
            <w:r>
              <w:rPr>
                <w:rFonts w:hint="eastAsia" w:ascii="宋体" w:hAnsi="宋体"/>
                <w:bCs/>
                <w:sz w:val="24"/>
                <w:highlight w:val="none"/>
              </w:rPr>
              <w:t>第六个档次（</w:t>
            </w:r>
            <w:r>
              <w:rPr>
                <w:rFonts w:hint="eastAsia" w:ascii="宋体" w:hAnsi="宋体" w:cs="宋体"/>
                <w:sz w:val="24"/>
                <w:szCs w:val="24"/>
                <w:highlight w:val="none"/>
              </w:rPr>
              <w:t>0</w:t>
            </w:r>
            <w:r>
              <w:rPr>
                <w:rFonts w:hint="eastAsia" w:ascii="宋体" w:hAnsi="宋体"/>
                <w:bCs/>
                <w:sz w:val="24"/>
                <w:highlight w:val="none"/>
              </w:rPr>
              <w:t>分）：未提供交货方案及时间进度计划安排。</w:t>
            </w:r>
          </w:p>
        </w:tc>
      </w:tr>
      <w:tr w14:paraId="6A00F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499" w:type="pct"/>
            <w:vMerge w:val="continue"/>
            <w:noWrap w:val="0"/>
            <w:vAlign w:val="center"/>
          </w:tcPr>
          <w:p w14:paraId="640AFDA7">
            <w:pPr>
              <w:spacing w:line="440" w:lineRule="exact"/>
              <w:jc w:val="center"/>
              <w:rPr>
                <w:rFonts w:hint="eastAsia" w:ascii="宋体" w:hAnsi="宋体"/>
                <w:bCs/>
                <w:sz w:val="24"/>
                <w:szCs w:val="24"/>
                <w:highlight w:val="none"/>
              </w:rPr>
            </w:pPr>
          </w:p>
        </w:tc>
        <w:tc>
          <w:tcPr>
            <w:tcW w:w="466" w:type="pct"/>
            <w:noWrap w:val="0"/>
            <w:vAlign w:val="center"/>
          </w:tcPr>
          <w:p w14:paraId="7E28F349">
            <w:pPr>
              <w:pStyle w:val="52"/>
              <w:spacing w:line="400" w:lineRule="exact"/>
              <w:jc w:val="center"/>
              <w:rPr>
                <w:rFonts w:hint="eastAsia" w:ascii="宋体" w:hAnsi="宋体"/>
                <w:bCs/>
                <w:sz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eastAsia="zh-CN"/>
              </w:rPr>
              <w:t>3</w:t>
            </w:r>
            <w:r>
              <w:rPr>
                <w:rFonts w:hint="eastAsia" w:ascii="宋体" w:hAnsi="宋体" w:cs="宋体"/>
                <w:sz w:val="24"/>
                <w:szCs w:val="24"/>
                <w:highlight w:val="none"/>
              </w:rPr>
              <w:t>）质量保证及保障承诺</w:t>
            </w:r>
            <w:r>
              <w:rPr>
                <w:rFonts w:hint="eastAsia" w:ascii="宋体" w:hAnsi="宋体"/>
                <w:bCs/>
                <w:sz w:val="24"/>
                <w:highlight w:val="none"/>
              </w:rPr>
              <w:t>评审</w:t>
            </w:r>
          </w:p>
        </w:tc>
        <w:tc>
          <w:tcPr>
            <w:tcW w:w="390" w:type="pct"/>
            <w:noWrap w:val="0"/>
            <w:vAlign w:val="center"/>
          </w:tcPr>
          <w:p w14:paraId="5CFD301A">
            <w:pPr>
              <w:spacing w:line="440" w:lineRule="exact"/>
              <w:jc w:val="center"/>
              <w:rPr>
                <w:rFonts w:hint="eastAsia" w:ascii="宋体" w:hAnsi="宋体" w:cs="宋体"/>
                <w:sz w:val="24"/>
                <w:szCs w:val="24"/>
                <w:highlight w:val="none"/>
              </w:rPr>
            </w:pPr>
            <w:r>
              <w:rPr>
                <w:rFonts w:hint="eastAsia" w:ascii="宋体" w:hAnsi="宋体"/>
                <w:sz w:val="24"/>
                <w:szCs w:val="24"/>
                <w:highlight w:val="none"/>
                <w:lang w:val="en-US" w:eastAsia="zh-CN"/>
              </w:rPr>
              <w:t>10</w:t>
            </w:r>
            <w:r>
              <w:rPr>
                <w:rFonts w:hint="eastAsia" w:ascii="宋体" w:hAnsi="宋体"/>
                <w:sz w:val="24"/>
                <w:szCs w:val="24"/>
                <w:highlight w:val="none"/>
              </w:rPr>
              <w:t>分</w:t>
            </w:r>
          </w:p>
        </w:tc>
        <w:tc>
          <w:tcPr>
            <w:tcW w:w="3643" w:type="pct"/>
            <w:noWrap w:val="0"/>
            <w:vAlign w:val="center"/>
          </w:tcPr>
          <w:p w14:paraId="765EE11B">
            <w:pPr>
              <w:autoSpaceDE w:val="0"/>
              <w:autoSpaceDN w:val="0"/>
              <w:spacing w:line="440" w:lineRule="exact"/>
              <w:rPr>
                <w:rFonts w:hint="eastAsia" w:ascii="宋体" w:hAnsi="宋体" w:cs="宋体"/>
                <w:sz w:val="24"/>
                <w:szCs w:val="24"/>
                <w:highlight w:val="none"/>
              </w:rPr>
            </w:pPr>
            <w:r>
              <w:rPr>
                <w:rFonts w:hint="eastAsia" w:ascii="宋体" w:hAnsi="宋体" w:cs="宋体"/>
                <w:sz w:val="24"/>
                <w:szCs w:val="24"/>
                <w:highlight w:val="none"/>
              </w:rPr>
              <w:t>第一个档次（</w:t>
            </w:r>
            <w:r>
              <w:rPr>
                <w:rFonts w:hint="eastAsia" w:ascii="宋体" w:hAnsi="宋体" w:cs="宋体"/>
                <w:sz w:val="24"/>
                <w:szCs w:val="24"/>
                <w:highlight w:val="none"/>
                <w:lang w:val="en-US" w:eastAsia="zh-CN"/>
              </w:rPr>
              <w:t>10</w:t>
            </w:r>
            <w:r>
              <w:rPr>
                <w:rFonts w:hint="eastAsia" w:ascii="宋体" w:hAnsi="宋体" w:cs="宋体"/>
                <w:sz w:val="24"/>
                <w:szCs w:val="24"/>
                <w:highlight w:val="none"/>
              </w:rPr>
              <w:t>分）：质量保证及保障承诺内容详细、具体、科学、合理可行，针对性强，能切实解决货物使用时可能发生的问题的；</w:t>
            </w:r>
          </w:p>
          <w:p w14:paraId="5B560021">
            <w:pPr>
              <w:autoSpaceDE w:val="0"/>
              <w:autoSpaceDN w:val="0"/>
              <w:spacing w:line="440" w:lineRule="exact"/>
              <w:rPr>
                <w:rFonts w:hint="eastAsia" w:ascii="宋体" w:hAnsi="宋体" w:cs="宋体"/>
                <w:sz w:val="24"/>
                <w:szCs w:val="24"/>
                <w:highlight w:val="none"/>
              </w:rPr>
            </w:pPr>
            <w:r>
              <w:rPr>
                <w:rFonts w:hint="eastAsia" w:ascii="宋体" w:hAnsi="宋体" w:cs="宋体"/>
                <w:sz w:val="24"/>
                <w:szCs w:val="24"/>
                <w:highlight w:val="none"/>
              </w:rPr>
              <w:t>第二个档次（</w:t>
            </w:r>
            <w:r>
              <w:rPr>
                <w:rFonts w:hint="eastAsia" w:ascii="宋体" w:hAnsi="宋体" w:cs="宋体"/>
                <w:sz w:val="24"/>
                <w:szCs w:val="24"/>
                <w:highlight w:val="none"/>
                <w:lang w:val="en-US" w:eastAsia="zh-CN"/>
              </w:rPr>
              <w:t>8</w:t>
            </w:r>
            <w:r>
              <w:rPr>
                <w:rFonts w:hint="eastAsia" w:ascii="宋体" w:hAnsi="宋体" w:cs="宋体"/>
                <w:sz w:val="24"/>
                <w:szCs w:val="24"/>
                <w:highlight w:val="none"/>
              </w:rPr>
              <w:t>分）：质量保证及保障承诺内容详细、具体、合理可行，有针对性，能解决货物使用时可能发生的问题的；</w:t>
            </w:r>
          </w:p>
          <w:p w14:paraId="7CF73EC7">
            <w:pPr>
              <w:autoSpaceDE w:val="0"/>
              <w:autoSpaceDN w:val="0"/>
              <w:spacing w:line="440" w:lineRule="exact"/>
              <w:rPr>
                <w:rFonts w:hint="eastAsia" w:ascii="宋体" w:hAnsi="宋体" w:cs="宋体"/>
                <w:sz w:val="24"/>
                <w:szCs w:val="24"/>
                <w:highlight w:val="none"/>
              </w:rPr>
            </w:pPr>
            <w:r>
              <w:rPr>
                <w:rFonts w:hint="eastAsia" w:ascii="宋体" w:hAnsi="宋体" w:cs="宋体"/>
                <w:sz w:val="24"/>
                <w:szCs w:val="24"/>
                <w:highlight w:val="none"/>
              </w:rPr>
              <w:t>第三个档次（</w:t>
            </w:r>
            <w:r>
              <w:rPr>
                <w:rFonts w:hint="eastAsia" w:ascii="宋体" w:hAnsi="宋体" w:cs="宋体"/>
                <w:sz w:val="24"/>
                <w:szCs w:val="24"/>
                <w:highlight w:val="none"/>
                <w:lang w:val="en-US" w:eastAsia="zh-CN"/>
              </w:rPr>
              <w:t>6</w:t>
            </w:r>
            <w:r>
              <w:rPr>
                <w:rFonts w:hint="eastAsia" w:ascii="宋体" w:hAnsi="宋体" w:cs="宋体"/>
                <w:sz w:val="24"/>
                <w:szCs w:val="24"/>
                <w:highlight w:val="none"/>
              </w:rPr>
              <w:t>分）：质量保证及保障承诺内容合理可行，但是不具体、缺乏针对性，基本能解决货物使用时可能发生的问题的；</w:t>
            </w:r>
          </w:p>
          <w:p w14:paraId="3AB1E537">
            <w:pPr>
              <w:autoSpaceDE w:val="0"/>
              <w:autoSpaceDN w:val="0"/>
              <w:spacing w:line="440" w:lineRule="exact"/>
              <w:rPr>
                <w:rFonts w:hint="eastAsia" w:ascii="宋体" w:hAnsi="宋体" w:cs="宋体"/>
                <w:sz w:val="24"/>
                <w:szCs w:val="24"/>
                <w:highlight w:val="none"/>
              </w:rPr>
            </w:pPr>
            <w:r>
              <w:rPr>
                <w:rFonts w:hint="eastAsia" w:ascii="宋体" w:hAnsi="宋体" w:cs="宋体"/>
                <w:sz w:val="24"/>
                <w:szCs w:val="24"/>
                <w:highlight w:val="none"/>
              </w:rPr>
              <w:t>第四个档次（</w:t>
            </w:r>
            <w:r>
              <w:rPr>
                <w:rFonts w:hint="eastAsia" w:ascii="宋体" w:hAnsi="宋体" w:cs="宋体"/>
                <w:sz w:val="24"/>
                <w:szCs w:val="24"/>
                <w:highlight w:val="none"/>
                <w:lang w:val="en-US" w:eastAsia="zh-CN"/>
              </w:rPr>
              <w:t>4</w:t>
            </w:r>
            <w:r>
              <w:rPr>
                <w:rFonts w:hint="eastAsia" w:ascii="宋体" w:hAnsi="宋体" w:cs="宋体"/>
                <w:sz w:val="24"/>
                <w:szCs w:val="24"/>
                <w:highlight w:val="none"/>
              </w:rPr>
              <w:t>分）：质量保证及保障承诺内容基本可行、不具体、缺乏针对性，不能及时解决货物使用时可能发生的问题的；</w:t>
            </w:r>
          </w:p>
          <w:p w14:paraId="13ACEEAC">
            <w:pPr>
              <w:autoSpaceDE w:val="0"/>
              <w:autoSpaceDN w:val="0"/>
              <w:spacing w:line="440" w:lineRule="exact"/>
              <w:rPr>
                <w:rFonts w:hint="eastAsia" w:ascii="宋体" w:hAnsi="宋体" w:cs="宋体"/>
                <w:sz w:val="24"/>
                <w:szCs w:val="24"/>
                <w:highlight w:val="none"/>
              </w:rPr>
            </w:pPr>
            <w:r>
              <w:rPr>
                <w:rFonts w:hint="eastAsia" w:ascii="宋体" w:hAnsi="宋体" w:cs="宋体"/>
                <w:sz w:val="24"/>
                <w:szCs w:val="24"/>
                <w:highlight w:val="none"/>
              </w:rPr>
              <w:t>第五个档次（</w:t>
            </w:r>
            <w:r>
              <w:rPr>
                <w:rFonts w:hint="eastAsia" w:ascii="宋体" w:hAnsi="宋体" w:cs="宋体"/>
                <w:sz w:val="24"/>
                <w:szCs w:val="24"/>
                <w:highlight w:val="none"/>
                <w:lang w:val="en-US" w:eastAsia="zh-CN"/>
              </w:rPr>
              <w:t>2</w:t>
            </w:r>
            <w:r>
              <w:rPr>
                <w:rFonts w:hint="eastAsia" w:ascii="宋体" w:hAnsi="宋体" w:cs="宋体"/>
                <w:sz w:val="24"/>
                <w:szCs w:val="24"/>
                <w:highlight w:val="none"/>
              </w:rPr>
              <w:t>分）：质量保证及保障承诺内容粗略、不具体，无针对性，不能解决货物使用时可能发生的问题的；</w:t>
            </w:r>
          </w:p>
          <w:p w14:paraId="52031C2B">
            <w:pPr>
              <w:spacing w:line="440" w:lineRule="exact"/>
              <w:rPr>
                <w:rFonts w:hint="eastAsia" w:ascii="宋体" w:hAnsi="宋体"/>
                <w:bCs/>
                <w:sz w:val="24"/>
                <w:highlight w:val="none"/>
              </w:rPr>
            </w:pPr>
            <w:r>
              <w:rPr>
                <w:rFonts w:hint="eastAsia" w:ascii="宋体" w:hAnsi="宋体" w:cs="宋体"/>
                <w:sz w:val="24"/>
                <w:szCs w:val="24"/>
                <w:highlight w:val="none"/>
              </w:rPr>
              <w:t>第六个档次（0分）：无质量保证及保障承诺。</w:t>
            </w:r>
          </w:p>
        </w:tc>
      </w:tr>
      <w:tr w14:paraId="3D862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9" w:type="pct"/>
            <w:vMerge w:val="continue"/>
            <w:noWrap w:val="0"/>
            <w:vAlign w:val="center"/>
          </w:tcPr>
          <w:p w14:paraId="00FB442B">
            <w:pPr>
              <w:spacing w:line="440" w:lineRule="exact"/>
              <w:jc w:val="center"/>
              <w:rPr>
                <w:rFonts w:hint="eastAsia" w:ascii="宋体" w:hAnsi="宋体"/>
                <w:bCs/>
                <w:sz w:val="24"/>
                <w:szCs w:val="24"/>
                <w:highlight w:val="none"/>
              </w:rPr>
            </w:pPr>
          </w:p>
        </w:tc>
        <w:tc>
          <w:tcPr>
            <w:tcW w:w="466" w:type="pct"/>
            <w:noWrap w:val="0"/>
            <w:vAlign w:val="center"/>
          </w:tcPr>
          <w:p w14:paraId="40DB6684">
            <w:pPr>
              <w:spacing w:line="440" w:lineRule="exact"/>
              <w:jc w:val="center"/>
              <w:rPr>
                <w:rFonts w:hint="eastAsia" w:ascii="宋体" w:hAnsi="宋体"/>
                <w:bCs/>
                <w:sz w:val="24"/>
                <w:highlight w:val="none"/>
              </w:rPr>
            </w:pPr>
            <w:r>
              <w:rPr>
                <w:rFonts w:hint="eastAsia" w:ascii="宋体" w:hAnsi="宋体"/>
                <w:bCs/>
                <w:sz w:val="24"/>
                <w:highlight w:val="none"/>
              </w:rPr>
              <w:t>（</w:t>
            </w:r>
            <w:r>
              <w:rPr>
                <w:rFonts w:hint="eastAsia" w:ascii="宋体" w:hAnsi="宋体"/>
                <w:bCs/>
                <w:sz w:val="24"/>
                <w:highlight w:val="none"/>
                <w:lang w:val="en-US" w:eastAsia="zh-CN"/>
              </w:rPr>
              <w:t>4</w:t>
            </w:r>
            <w:r>
              <w:rPr>
                <w:rFonts w:hint="eastAsia" w:ascii="宋体" w:hAnsi="宋体"/>
                <w:bCs/>
                <w:sz w:val="24"/>
                <w:highlight w:val="none"/>
              </w:rPr>
              <w:t>）售后服务方案评审</w:t>
            </w:r>
          </w:p>
        </w:tc>
        <w:tc>
          <w:tcPr>
            <w:tcW w:w="390" w:type="pct"/>
            <w:noWrap w:val="0"/>
            <w:vAlign w:val="center"/>
          </w:tcPr>
          <w:p w14:paraId="68375262">
            <w:pPr>
              <w:spacing w:line="440" w:lineRule="exact"/>
              <w:jc w:val="center"/>
              <w:rPr>
                <w:rFonts w:ascii="宋体" w:hAnsi="宋体"/>
                <w:sz w:val="24"/>
                <w:szCs w:val="24"/>
                <w:highlight w:val="none"/>
              </w:rPr>
            </w:pPr>
            <w:r>
              <w:rPr>
                <w:rFonts w:hint="eastAsia" w:ascii="宋体" w:hAnsi="宋体"/>
                <w:bCs/>
                <w:sz w:val="24"/>
                <w:highlight w:val="none"/>
                <w:lang w:val="en-US" w:eastAsia="zh-CN"/>
              </w:rPr>
              <w:t>10</w:t>
            </w:r>
            <w:r>
              <w:rPr>
                <w:rFonts w:hint="eastAsia" w:ascii="宋体" w:hAnsi="宋体"/>
                <w:bCs/>
                <w:sz w:val="24"/>
                <w:highlight w:val="none"/>
              </w:rPr>
              <w:t>分</w:t>
            </w:r>
          </w:p>
        </w:tc>
        <w:tc>
          <w:tcPr>
            <w:tcW w:w="3643" w:type="pct"/>
            <w:noWrap w:val="0"/>
            <w:vAlign w:val="center"/>
          </w:tcPr>
          <w:p w14:paraId="6FA61C85">
            <w:pPr>
              <w:pStyle w:val="6"/>
              <w:spacing w:line="440" w:lineRule="exact"/>
              <w:ind w:firstLine="0" w:firstLineChars="0"/>
              <w:rPr>
                <w:rFonts w:ascii="宋体" w:hAnsi="宋体"/>
                <w:bCs/>
                <w:sz w:val="24"/>
                <w:highlight w:val="none"/>
              </w:rPr>
            </w:pPr>
            <w:r>
              <w:rPr>
                <w:rFonts w:hint="eastAsia" w:ascii="宋体" w:hAnsi="宋体"/>
                <w:bCs/>
                <w:sz w:val="24"/>
                <w:highlight w:val="none"/>
              </w:rPr>
              <w:t>第一个档次（</w:t>
            </w:r>
            <w:r>
              <w:rPr>
                <w:rFonts w:hint="eastAsia" w:ascii="宋体" w:hAnsi="宋体"/>
                <w:bCs/>
                <w:sz w:val="24"/>
                <w:highlight w:val="none"/>
                <w:lang w:val="en-US" w:eastAsia="zh-CN"/>
              </w:rPr>
              <w:t>10</w:t>
            </w:r>
            <w:r>
              <w:rPr>
                <w:rFonts w:hint="eastAsia" w:ascii="宋体" w:hAnsi="宋体"/>
                <w:bCs/>
                <w:sz w:val="24"/>
                <w:highlight w:val="none"/>
              </w:rPr>
              <w:t>分）：售后服务能力强，售后服务体系完整度高，保障性强，售后服务方案、承诺及保证完善具体，针对性强，有相应的惩罚措施；</w:t>
            </w:r>
          </w:p>
          <w:p w14:paraId="7206FC1E">
            <w:pPr>
              <w:pStyle w:val="6"/>
              <w:spacing w:line="440" w:lineRule="exact"/>
              <w:ind w:firstLine="0" w:firstLineChars="0"/>
              <w:rPr>
                <w:rFonts w:ascii="宋体" w:hAnsi="宋体"/>
                <w:bCs/>
                <w:sz w:val="24"/>
                <w:highlight w:val="none"/>
              </w:rPr>
            </w:pPr>
            <w:r>
              <w:rPr>
                <w:rFonts w:hint="eastAsia" w:ascii="宋体" w:hAnsi="宋体"/>
                <w:bCs/>
                <w:sz w:val="24"/>
                <w:highlight w:val="none"/>
              </w:rPr>
              <w:t>第二个档次（</w:t>
            </w:r>
            <w:r>
              <w:rPr>
                <w:rFonts w:hint="eastAsia" w:ascii="宋体" w:hAnsi="宋体"/>
                <w:bCs/>
                <w:sz w:val="24"/>
                <w:highlight w:val="none"/>
                <w:lang w:val="en-US" w:eastAsia="zh-CN"/>
              </w:rPr>
              <w:t>8</w:t>
            </w:r>
            <w:r>
              <w:rPr>
                <w:rFonts w:hint="eastAsia" w:ascii="宋体" w:hAnsi="宋体"/>
                <w:bCs/>
                <w:sz w:val="24"/>
                <w:highlight w:val="none"/>
              </w:rPr>
              <w:t>分）：售后服务能力较强，售后服务体系完整度及保障性较好，售后服务方案具体可行，有惩罚措施，部分有针对性；</w:t>
            </w:r>
          </w:p>
          <w:p w14:paraId="78F11001">
            <w:pPr>
              <w:pStyle w:val="6"/>
              <w:spacing w:line="440" w:lineRule="exact"/>
              <w:ind w:firstLine="0" w:firstLineChars="0"/>
              <w:rPr>
                <w:rFonts w:ascii="宋体" w:hAnsi="宋体"/>
                <w:bCs/>
                <w:sz w:val="24"/>
                <w:highlight w:val="none"/>
              </w:rPr>
            </w:pPr>
            <w:r>
              <w:rPr>
                <w:rFonts w:hint="eastAsia" w:ascii="宋体" w:hAnsi="宋体"/>
                <w:bCs/>
                <w:sz w:val="24"/>
                <w:highlight w:val="none"/>
              </w:rPr>
              <w:t>第三个档次（</w:t>
            </w:r>
            <w:r>
              <w:rPr>
                <w:rFonts w:hint="eastAsia" w:ascii="宋体" w:hAnsi="宋体"/>
                <w:bCs/>
                <w:sz w:val="24"/>
                <w:highlight w:val="none"/>
                <w:lang w:val="en-US" w:eastAsia="zh-CN"/>
              </w:rPr>
              <w:t>6</w:t>
            </w:r>
            <w:r>
              <w:rPr>
                <w:rFonts w:hint="eastAsia" w:ascii="宋体" w:hAnsi="宋体"/>
                <w:bCs/>
                <w:sz w:val="24"/>
                <w:highlight w:val="none"/>
              </w:rPr>
              <w:t>分）：售后服务能力</w:t>
            </w:r>
            <w:r>
              <w:rPr>
                <w:rFonts w:hint="eastAsia" w:ascii="宋体" w:hAnsi="宋体"/>
                <w:bCs/>
                <w:sz w:val="24"/>
                <w:highlight w:val="none"/>
                <w:lang w:val="en-US" w:eastAsia="zh-CN"/>
              </w:rPr>
              <w:t>较弱</w:t>
            </w:r>
            <w:r>
              <w:rPr>
                <w:rFonts w:hint="eastAsia" w:ascii="宋体" w:hAnsi="宋体"/>
                <w:bCs/>
                <w:sz w:val="24"/>
                <w:highlight w:val="none"/>
              </w:rPr>
              <w:t>，售后服务体系完整度及保障性较好，售后服务方案具体可行，部分有针对性但无惩罚措施；</w:t>
            </w:r>
          </w:p>
          <w:p w14:paraId="291EC6CA">
            <w:pPr>
              <w:pStyle w:val="6"/>
              <w:spacing w:line="440" w:lineRule="exact"/>
              <w:ind w:firstLine="0" w:firstLineChars="0"/>
              <w:rPr>
                <w:rFonts w:ascii="宋体" w:hAnsi="宋体"/>
                <w:bCs/>
                <w:sz w:val="24"/>
                <w:highlight w:val="none"/>
              </w:rPr>
            </w:pPr>
            <w:r>
              <w:rPr>
                <w:rFonts w:hint="eastAsia" w:ascii="宋体" w:hAnsi="宋体"/>
                <w:bCs/>
                <w:sz w:val="24"/>
                <w:highlight w:val="none"/>
              </w:rPr>
              <w:t>第四个档次（</w:t>
            </w:r>
            <w:r>
              <w:rPr>
                <w:rFonts w:hint="eastAsia" w:ascii="宋体" w:hAnsi="宋体"/>
                <w:bCs/>
                <w:sz w:val="24"/>
                <w:highlight w:val="none"/>
                <w:lang w:val="en-US" w:eastAsia="zh-CN"/>
              </w:rPr>
              <w:t>4</w:t>
            </w:r>
            <w:r>
              <w:rPr>
                <w:rFonts w:hint="eastAsia" w:ascii="宋体" w:hAnsi="宋体"/>
                <w:bCs/>
                <w:sz w:val="24"/>
                <w:highlight w:val="none"/>
              </w:rPr>
              <w:t>分）：售后服务能力弱，售后服务体系完整度及保障性简单，售后服务方案基本可行，部分有针对性；</w:t>
            </w:r>
          </w:p>
          <w:p w14:paraId="53264F48">
            <w:pPr>
              <w:pStyle w:val="6"/>
              <w:spacing w:line="440" w:lineRule="exact"/>
              <w:ind w:firstLine="0" w:firstLineChars="0"/>
              <w:rPr>
                <w:rFonts w:hint="eastAsia" w:ascii="宋体" w:hAnsi="宋体"/>
                <w:bCs/>
                <w:sz w:val="24"/>
                <w:highlight w:val="none"/>
              </w:rPr>
            </w:pPr>
            <w:r>
              <w:rPr>
                <w:rFonts w:hint="eastAsia" w:ascii="宋体" w:hAnsi="宋体"/>
                <w:bCs/>
                <w:sz w:val="24"/>
                <w:highlight w:val="none"/>
              </w:rPr>
              <w:t>第五个档次（</w:t>
            </w:r>
            <w:r>
              <w:rPr>
                <w:rFonts w:hint="eastAsia" w:ascii="宋体" w:hAnsi="宋体"/>
                <w:bCs/>
                <w:sz w:val="24"/>
                <w:highlight w:val="none"/>
                <w:lang w:val="en-US" w:eastAsia="zh-CN"/>
              </w:rPr>
              <w:t>2</w:t>
            </w:r>
            <w:r>
              <w:rPr>
                <w:rFonts w:hint="eastAsia" w:ascii="宋体" w:hAnsi="宋体"/>
                <w:bCs/>
                <w:sz w:val="24"/>
                <w:highlight w:val="none"/>
              </w:rPr>
              <w:t>分）：售后服务体系不完整、几乎没有保障性，只有简单的售后服务方案；</w:t>
            </w:r>
          </w:p>
          <w:p w14:paraId="3DE9A1CE">
            <w:pPr>
              <w:pStyle w:val="6"/>
              <w:spacing w:line="440" w:lineRule="exact"/>
              <w:ind w:firstLine="0" w:firstLineChars="0"/>
              <w:rPr>
                <w:rFonts w:hint="eastAsia" w:ascii="宋体" w:hAnsi="宋体"/>
                <w:sz w:val="24"/>
                <w:szCs w:val="24"/>
                <w:highlight w:val="none"/>
              </w:rPr>
            </w:pPr>
            <w:r>
              <w:rPr>
                <w:rFonts w:hint="eastAsia" w:ascii="宋体" w:hAnsi="宋体"/>
                <w:bCs/>
                <w:sz w:val="24"/>
                <w:highlight w:val="none"/>
              </w:rPr>
              <w:t>第六个档次（0分）：未提供售后服务方案。</w:t>
            </w:r>
          </w:p>
        </w:tc>
      </w:tr>
      <w:tr w14:paraId="344A0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5" w:hRule="atLeast"/>
          <w:jc w:val="center"/>
        </w:trPr>
        <w:tc>
          <w:tcPr>
            <w:tcW w:w="499" w:type="pct"/>
            <w:vMerge w:val="continue"/>
            <w:noWrap w:val="0"/>
            <w:vAlign w:val="center"/>
          </w:tcPr>
          <w:p w14:paraId="2091E83D">
            <w:pPr>
              <w:spacing w:line="440" w:lineRule="exact"/>
              <w:jc w:val="center"/>
              <w:rPr>
                <w:rFonts w:hint="eastAsia" w:ascii="宋体" w:hAnsi="宋体"/>
                <w:bCs/>
                <w:sz w:val="24"/>
                <w:szCs w:val="24"/>
                <w:highlight w:val="none"/>
              </w:rPr>
            </w:pPr>
          </w:p>
        </w:tc>
        <w:tc>
          <w:tcPr>
            <w:tcW w:w="466" w:type="pct"/>
            <w:noWrap w:val="0"/>
            <w:vAlign w:val="center"/>
          </w:tcPr>
          <w:p w14:paraId="666E9F61">
            <w:pPr>
              <w:spacing w:line="440" w:lineRule="exact"/>
              <w:jc w:val="center"/>
              <w:rPr>
                <w:rFonts w:hint="default" w:ascii="宋体" w:hAnsi="宋体" w:eastAsia="宋体"/>
                <w:bCs/>
                <w:sz w:val="24"/>
                <w:highlight w:val="none"/>
                <w:lang w:val="en-US" w:eastAsia="zh-CN"/>
              </w:rPr>
            </w:pPr>
            <w:r>
              <w:rPr>
                <w:rFonts w:hint="eastAsia" w:ascii="宋体" w:hAnsi="宋体" w:eastAsia="宋体"/>
                <w:bCs/>
                <w:sz w:val="24"/>
                <w:highlight w:val="none"/>
                <w:lang w:val="en-US" w:eastAsia="zh-CN"/>
              </w:rPr>
              <w:t>（5）故障响应时间及应急措施</w:t>
            </w:r>
            <w:r>
              <w:rPr>
                <w:rFonts w:hint="eastAsia" w:ascii="宋体" w:hAnsi="宋体"/>
                <w:bCs/>
                <w:sz w:val="24"/>
                <w:highlight w:val="none"/>
              </w:rPr>
              <w:t>评审</w:t>
            </w:r>
          </w:p>
        </w:tc>
        <w:tc>
          <w:tcPr>
            <w:tcW w:w="390" w:type="pct"/>
            <w:noWrap w:val="0"/>
            <w:vAlign w:val="center"/>
          </w:tcPr>
          <w:p w14:paraId="2A825C21">
            <w:pPr>
              <w:spacing w:line="440" w:lineRule="exact"/>
              <w:jc w:val="center"/>
              <w:rPr>
                <w:rFonts w:hint="default" w:ascii="宋体" w:hAnsi="宋体" w:eastAsia="宋体"/>
                <w:bCs/>
                <w:sz w:val="24"/>
                <w:highlight w:val="none"/>
                <w:lang w:val="en-US" w:eastAsia="zh-CN"/>
              </w:rPr>
            </w:pPr>
            <w:r>
              <w:rPr>
                <w:rFonts w:hint="eastAsia" w:ascii="宋体" w:hAnsi="宋体" w:eastAsia="宋体"/>
                <w:bCs/>
                <w:sz w:val="24"/>
                <w:highlight w:val="none"/>
                <w:lang w:val="en-US" w:eastAsia="zh-CN"/>
              </w:rPr>
              <w:t>4分</w:t>
            </w:r>
          </w:p>
        </w:tc>
        <w:tc>
          <w:tcPr>
            <w:tcW w:w="3643" w:type="pct"/>
            <w:noWrap w:val="0"/>
            <w:vAlign w:val="center"/>
          </w:tcPr>
          <w:p w14:paraId="15528D19">
            <w:pPr>
              <w:spacing w:before="60" w:after="60" w:line="400" w:lineRule="exact"/>
              <w:rPr>
                <w:rFonts w:hint="eastAsia" w:ascii="宋体" w:hAnsi="宋体" w:eastAsia="宋体" w:cs="Times New Roman"/>
                <w:b w:val="0"/>
                <w:bCs w:val="0"/>
                <w:color w:val="auto"/>
                <w:sz w:val="24"/>
                <w:szCs w:val="24"/>
                <w:highlight w:val="none"/>
                <w:lang w:val="en-US" w:eastAsia="zh-CN"/>
              </w:rPr>
            </w:pPr>
            <w:r>
              <w:rPr>
                <w:rFonts w:hint="eastAsia" w:ascii="宋体" w:hAnsi="宋体"/>
                <w:bCs/>
                <w:sz w:val="24"/>
                <w:highlight w:val="none"/>
              </w:rPr>
              <w:t>第一个档次（</w:t>
            </w:r>
            <w:r>
              <w:rPr>
                <w:rFonts w:hint="eastAsia" w:ascii="宋体" w:hAnsi="宋体"/>
                <w:bCs/>
                <w:sz w:val="24"/>
                <w:highlight w:val="none"/>
                <w:lang w:val="en-US" w:eastAsia="zh-CN"/>
              </w:rPr>
              <w:t>4</w:t>
            </w:r>
            <w:r>
              <w:rPr>
                <w:rFonts w:hint="eastAsia" w:ascii="宋体" w:hAnsi="宋体"/>
                <w:bCs/>
                <w:sz w:val="24"/>
                <w:highlight w:val="none"/>
              </w:rPr>
              <w:t>分）：</w:t>
            </w:r>
            <w:r>
              <w:rPr>
                <w:rFonts w:hint="eastAsia" w:ascii="宋体" w:hAnsi="宋体" w:eastAsia="宋体"/>
                <w:color w:val="auto"/>
                <w:kern w:val="0"/>
                <w:sz w:val="24"/>
                <w:szCs w:val="20"/>
                <w:highlight w:val="none"/>
                <w:lang w:eastAsia="zh-CN"/>
              </w:rPr>
              <w:t>故障响应</w:t>
            </w:r>
            <w:r>
              <w:rPr>
                <w:rFonts w:hint="eastAsia" w:ascii="宋体" w:hAnsi="宋体"/>
                <w:color w:val="auto"/>
                <w:kern w:val="0"/>
                <w:sz w:val="24"/>
                <w:szCs w:val="20"/>
                <w:highlight w:val="none"/>
                <w:lang w:val="en-US" w:eastAsia="zh-CN"/>
              </w:rPr>
              <w:t>时间</w:t>
            </w:r>
            <w:r>
              <w:rPr>
                <w:rFonts w:hint="eastAsia" w:ascii="宋体" w:hAnsi="宋体" w:eastAsia="宋体" w:cs="宋体"/>
                <w:color w:val="auto"/>
                <w:sz w:val="24"/>
                <w:highlight w:val="none"/>
              </w:rPr>
              <w:t>不超过1小时</w:t>
            </w:r>
            <w:r>
              <w:rPr>
                <w:rFonts w:hint="eastAsia" w:ascii="宋体" w:hAnsi="宋体" w:eastAsia="宋体"/>
                <w:color w:val="auto"/>
                <w:kern w:val="0"/>
                <w:sz w:val="24"/>
                <w:szCs w:val="20"/>
                <w:highlight w:val="none"/>
                <w:lang w:eastAsia="zh-CN"/>
              </w:rPr>
              <w:t>，应急措施全面、可行,设备巡检维护周期、巡检计划内容合理性、可行性强的</w:t>
            </w:r>
            <w:r>
              <w:rPr>
                <w:rFonts w:hint="eastAsia" w:ascii="宋体" w:hAnsi="宋体" w:eastAsia="宋体" w:cs="Times New Roman"/>
                <w:b w:val="0"/>
                <w:bCs w:val="0"/>
                <w:color w:val="auto"/>
                <w:sz w:val="24"/>
                <w:szCs w:val="24"/>
                <w:highlight w:val="none"/>
                <w:lang w:val="en-US" w:eastAsia="zh-CN"/>
              </w:rPr>
              <w:t>；</w:t>
            </w:r>
          </w:p>
          <w:p w14:paraId="5677D483">
            <w:pPr>
              <w:spacing w:before="60" w:after="60" w:line="400" w:lineRule="exact"/>
              <w:rPr>
                <w:rFonts w:hint="eastAsia" w:ascii="宋体" w:hAnsi="宋体" w:eastAsia="宋体" w:cs="Times New Roman"/>
                <w:b w:val="0"/>
                <w:bCs w:val="0"/>
                <w:color w:val="auto"/>
                <w:sz w:val="24"/>
                <w:szCs w:val="24"/>
                <w:highlight w:val="none"/>
                <w:lang w:val="en-US" w:eastAsia="zh-CN"/>
              </w:rPr>
            </w:pPr>
            <w:r>
              <w:rPr>
                <w:rFonts w:hint="eastAsia" w:ascii="宋体" w:hAnsi="宋体"/>
                <w:bCs/>
                <w:sz w:val="24"/>
                <w:highlight w:val="none"/>
              </w:rPr>
              <w:t>第</w:t>
            </w:r>
            <w:r>
              <w:rPr>
                <w:rFonts w:hint="eastAsia" w:ascii="宋体" w:hAnsi="宋体"/>
                <w:bCs/>
                <w:sz w:val="24"/>
                <w:highlight w:val="none"/>
                <w:lang w:val="en-US" w:eastAsia="zh-CN"/>
              </w:rPr>
              <w:t>二</w:t>
            </w:r>
            <w:r>
              <w:rPr>
                <w:rFonts w:hint="eastAsia" w:ascii="宋体" w:hAnsi="宋体"/>
                <w:bCs/>
                <w:sz w:val="24"/>
                <w:highlight w:val="none"/>
              </w:rPr>
              <w:t>个档次（</w:t>
            </w:r>
            <w:r>
              <w:rPr>
                <w:rFonts w:hint="eastAsia" w:ascii="宋体" w:hAnsi="宋体"/>
                <w:bCs/>
                <w:sz w:val="24"/>
                <w:highlight w:val="none"/>
                <w:lang w:val="en-US" w:eastAsia="zh-CN"/>
              </w:rPr>
              <w:t>3</w:t>
            </w:r>
            <w:r>
              <w:rPr>
                <w:rFonts w:hint="eastAsia" w:ascii="宋体" w:hAnsi="宋体"/>
                <w:bCs/>
                <w:sz w:val="24"/>
                <w:highlight w:val="none"/>
              </w:rPr>
              <w:t>分）：</w:t>
            </w:r>
            <w:r>
              <w:rPr>
                <w:rFonts w:hint="eastAsia" w:ascii="宋体" w:hAnsi="宋体" w:eastAsia="宋体"/>
                <w:color w:val="auto"/>
                <w:kern w:val="0"/>
                <w:sz w:val="24"/>
                <w:szCs w:val="20"/>
                <w:highlight w:val="none"/>
                <w:lang w:eastAsia="zh-CN"/>
              </w:rPr>
              <w:t>故障响应</w:t>
            </w:r>
            <w:r>
              <w:rPr>
                <w:rFonts w:hint="eastAsia" w:ascii="宋体" w:hAnsi="宋体"/>
                <w:color w:val="auto"/>
                <w:kern w:val="0"/>
                <w:sz w:val="24"/>
                <w:szCs w:val="20"/>
                <w:highlight w:val="none"/>
                <w:lang w:val="en-US" w:eastAsia="zh-CN"/>
              </w:rPr>
              <w:t>时间</w:t>
            </w:r>
            <w:r>
              <w:rPr>
                <w:rFonts w:hint="eastAsia" w:ascii="宋体" w:hAnsi="宋体" w:eastAsia="宋体" w:cs="宋体"/>
                <w:color w:val="auto"/>
                <w:sz w:val="24"/>
                <w:highlight w:val="none"/>
              </w:rPr>
              <w:t>不超过1小时</w:t>
            </w:r>
            <w:r>
              <w:rPr>
                <w:rFonts w:hint="eastAsia" w:ascii="宋体" w:hAnsi="宋体" w:eastAsia="宋体"/>
                <w:color w:val="auto"/>
                <w:kern w:val="0"/>
                <w:sz w:val="24"/>
                <w:szCs w:val="20"/>
                <w:highlight w:val="none"/>
                <w:lang w:eastAsia="zh-CN"/>
              </w:rPr>
              <w:t>，应急措施基本合理、可行，设备巡检维护周期、巡检计划内容基本合理、可行的</w:t>
            </w:r>
            <w:r>
              <w:rPr>
                <w:rFonts w:hint="eastAsia" w:ascii="宋体" w:hAnsi="宋体" w:eastAsia="宋体" w:cs="Times New Roman"/>
                <w:b w:val="0"/>
                <w:bCs w:val="0"/>
                <w:color w:val="auto"/>
                <w:sz w:val="24"/>
                <w:szCs w:val="24"/>
                <w:highlight w:val="none"/>
                <w:lang w:val="en-US" w:eastAsia="zh-CN"/>
              </w:rPr>
              <w:t>；</w:t>
            </w:r>
          </w:p>
          <w:p w14:paraId="632639A9">
            <w:pPr>
              <w:spacing w:before="60" w:after="60" w:line="400" w:lineRule="exact"/>
              <w:rPr>
                <w:rFonts w:hint="eastAsia" w:ascii="宋体" w:hAnsi="宋体" w:eastAsia="宋体" w:cs="Times New Roman"/>
                <w:b w:val="0"/>
                <w:bCs w:val="0"/>
                <w:color w:val="auto"/>
                <w:sz w:val="24"/>
                <w:szCs w:val="24"/>
                <w:highlight w:val="none"/>
                <w:lang w:val="en-US" w:eastAsia="zh-CN"/>
              </w:rPr>
            </w:pPr>
            <w:r>
              <w:rPr>
                <w:rFonts w:hint="eastAsia" w:ascii="宋体" w:hAnsi="宋体"/>
                <w:bCs/>
                <w:sz w:val="24"/>
                <w:highlight w:val="none"/>
              </w:rPr>
              <w:t>第三个档次（</w:t>
            </w:r>
            <w:r>
              <w:rPr>
                <w:rFonts w:hint="eastAsia" w:ascii="宋体" w:hAnsi="宋体"/>
                <w:bCs/>
                <w:sz w:val="24"/>
                <w:highlight w:val="none"/>
                <w:lang w:val="en-US" w:eastAsia="zh-CN"/>
              </w:rPr>
              <w:t>1</w:t>
            </w:r>
            <w:r>
              <w:rPr>
                <w:rFonts w:hint="eastAsia" w:ascii="宋体" w:hAnsi="宋体"/>
                <w:bCs/>
                <w:sz w:val="24"/>
                <w:highlight w:val="none"/>
              </w:rPr>
              <w:t>分）：</w:t>
            </w:r>
            <w:r>
              <w:rPr>
                <w:rFonts w:hint="eastAsia" w:ascii="宋体" w:hAnsi="宋体" w:eastAsia="宋体"/>
                <w:color w:val="auto"/>
                <w:kern w:val="0"/>
                <w:sz w:val="24"/>
                <w:szCs w:val="20"/>
                <w:highlight w:val="none"/>
                <w:lang w:eastAsia="zh-CN"/>
              </w:rPr>
              <w:t>故障响应</w:t>
            </w:r>
            <w:r>
              <w:rPr>
                <w:rFonts w:hint="eastAsia" w:ascii="宋体" w:hAnsi="宋体" w:eastAsia="宋体" w:cs="宋体"/>
                <w:color w:val="auto"/>
                <w:sz w:val="24"/>
                <w:highlight w:val="none"/>
              </w:rPr>
              <w:t>时间超过1小时</w:t>
            </w:r>
            <w:r>
              <w:rPr>
                <w:rFonts w:hint="eastAsia" w:ascii="宋体" w:hAnsi="宋体" w:eastAsia="宋体"/>
                <w:color w:val="auto"/>
                <w:kern w:val="0"/>
                <w:sz w:val="24"/>
                <w:szCs w:val="20"/>
                <w:highlight w:val="none"/>
                <w:lang w:eastAsia="zh-CN"/>
              </w:rPr>
              <w:t>，应急措施不合理的，设备巡检维护周期、巡检计划内容粗略的</w:t>
            </w:r>
            <w:r>
              <w:rPr>
                <w:rFonts w:hint="eastAsia" w:ascii="宋体" w:hAnsi="宋体" w:eastAsia="宋体" w:cs="Times New Roman"/>
                <w:b w:val="0"/>
                <w:bCs w:val="0"/>
                <w:color w:val="auto"/>
                <w:sz w:val="24"/>
                <w:szCs w:val="24"/>
                <w:highlight w:val="none"/>
                <w:lang w:val="en-US" w:eastAsia="zh-CN"/>
              </w:rPr>
              <w:t>；</w:t>
            </w:r>
          </w:p>
          <w:p w14:paraId="080AE241">
            <w:pPr>
              <w:spacing w:before="60" w:after="60" w:line="400" w:lineRule="exact"/>
              <w:rPr>
                <w:rFonts w:hint="eastAsia" w:ascii="宋体" w:hAnsi="宋体" w:eastAsia="宋体"/>
                <w:bCs/>
                <w:sz w:val="24"/>
                <w:highlight w:val="none"/>
                <w:lang w:eastAsia="zh-CN"/>
              </w:rPr>
            </w:pPr>
            <w:r>
              <w:rPr>
                <w:rFonts w:hint="eastAsia" w:ascii="宋体" w:hAnsi="宋体"/>
                <w:bCs/>
                <w:sz w:val="24"/>
                <w:highlight w:val="none"/>
              </w:rPr>
              <w:t>第</w:t>
            </w:r>
            <w:r>
              <w:rPr>
                <w:rFonts w:hint="eastAsia" w:ascii="宋体" w:hAnsi="宋体"/>
                <w:bCs/>
                <w:sz w:val="24"/>
                <w:highlight w:val="none"/>
                <w:lang w:val="en-US" w:eastAsia="zh-CN"/>
              </w:rPr>
              <w:t>四</w:t>
            </w:r>
            <w:r>
              <w:rPr>
                <w:rFonts w:hint="eastAsia" w:ascii="宋体" w:hAnsi="宋体"/>
                <w:bCs/>
                <w:sz w:val="24"/>
                <w:highlight w:val="none"/>
              </w:rPr>
              <w:t>个档次（</w:t>
            </w:r>
            <w:r>
              <w:rPr>
                <w:rFonts w:hint="eastAsia" w:ascii="宋体" w:hAnsi="宋体"/>
                <w:bCs/>
                <w:sz w:val="24"/>
                <w:highlight w:val="none"/>
                <w:lang w:val="en-US" w:eastAsia="zh-CN"/>
              </w:rPr>
              <w:t>0</w:t>
            </w:r>
            <w:r>
              <w:rPr>
                <w:rFonts w:hint="eastAsia" w:ascii="宋体" w:hAnsi="宋体"/>
                <w:bCs/>
                <w:sz w:val="24"/>
                <w:highlight w:val="none"/>
              </w:rPr>
              <w:t>分）：未提供</w:t>
            </w:r>
            <w:r>
              <w:rPr>
                <w:rFonts w:hint="eastAsia" w:ascii="宋体" w:hAnsi="宋体" w:eastAsia="宋体" w:cs="Times New Roman"/>
                <w:b w:val="0"/>
                <w:bCs w:val="0"/>
                <w:color w:val="auto"/>
                <w:sz w:val="24"/>
                <w:szCs w:val="24"/>
                <w:highlight w:val="none"/>
                <w:lang w:val="en-US" w:eastAsia="zh-CN"/>
              </w:rPr>
              <w:t>故障响应时间及应急措施的。</w:t>
            </w:r>
          </w:p>
        </w:tc>
      </w:tr>
      <w:tr w14:paraId="413C0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9" w:type="pct"/>
            <w:vMerge w:val="continue"/>
            <w:noWrap w:val="0"/>
            <w:vAlign w:val="center"/>
          </w:tcPr>
          <w:p w14:paraId="0D1A5FB3">
            <w:pPr>
              <w:spacing w:line="440" w:lineRule="exact"/>
              <w:jc w:val="center"/>
              <w:rPr>
                <w:rFonts w:hint="eastAsia" w:ascii="宋体" w:hAnsi="宋体"/>
                <w:bCs/>
                <w:sz w:val="24"/>
                <w:szCs w:val="24"/>
                <w:highlight w:val="none"/>
              </w:rPr>
            </w:pPr>
          </w:p>
        </w:tc>
        <w:tc>
          <w:tcPr>
            <w:tcW w:w="466" w:type="pct"/>
            <w:noWrap w:val="0"/>
            <w:vAlign w:val="center"/>
          </w:tcPr>
          <w:p w14:paraId="4B576224">
            <w:pPr>
              <w:spacing w:line="440" w:lineRule="exact"/>
              <w:jc w:val="center"/>
              <w:rPr>
                <w:rFonts w:hint="eastAsia" w:ascii="宋体" w:hAnsi="宋体" w:eastAsia="宋体" w:cs="Times New Roman"/>
                <w:bCs/>
                <w:sz w:val="24"/>
                <w:highlight w:val="none"/>
                <w:lang w:val="en-US" w:eastAsia="zh-CN"/>
              </w:rPr>
            </w:pP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lang w:eastAsia="zh-CN"/>
              </w:rPr>
              <w:t>）</w:t>
            </w:r>
            <w:r>
              <w:rPr>
                <w:rFonts w:hint="eastAsia" w:ascii="宋体" w:hAnsi="宋体"/>
                <w:color w:val="auto"/>
                <w:sz w:val="24"/>
                <w:szCs w:val="24"/>
                <w:highlight w:val="none"/>
              </w:rPr>
              <w:t>培训方案</w:t>
            </w:r>
            <w:r>
              <w:rPr>
                <w:rFonts w:hint="eastAsia" w:ascii="宋体" w:hAnsi="宋体"/>
                <w:color w:val="auto"/>
                <w:sz w:val="24"/>
                <w:szCs w:val="24"/>
                <w:highlight w:val="none"/>
                <w:lang w:val="en-US" w:eastAsia="zh-CN"/>
              </w:rPr>
              <w:t>评审</w:t>
            </w:r>
          </w:p>
        </w:tc>
        <w:tc>
          <w:tcPr>
            <w:tcW w:w="390" w:type="pct"/>
            <w:noWrap w:val="0"/>
            <w:vAlign w:val="center"/>
          </w:tcPr>
          <w:p w14:paraId="5ED3B2AD">
            <w:pPr>
              <w:spacing w:line="440" w:lineRule="exact"/>
              <w:jc w:val="center"/>
              <w:rPr>
                <w:rFonts w:hint="default"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3分</w:t>
            </w:r>
          </w:p>
        </w:tc>
        <w:tc>
          <w:tcPr>
            <w:tcW w:w="3643" w:type="pct"/>
            <w:noWrap w:val="0"/>
            <w:vAlign w:val="center"/>
          </w:tcPr>
          <w:p w14:paraId="7014A44F">
            <w:pPr>
              <w:spacing w:before="60" w:after="60" w:line="400" w:lineRule="exact"/>
              <w:rPr>
                <w:rFonts w:hint="eastAsia" w:ascii="宋体" w:hAnsi="宋体"/>
                <w:color w:val="auto"/>
                <w:sz w:val="24"/>
                <w:szCs w:val="24"/>
                <w:highlight w:val="none"/>
                <w:lang w:eastAsia="zh-CN"/>
              </w:rPr>
            </w:pPr>
            <w:r>
              <w:rPr>
                <w:rFonts w:hint="eastAsia" w:ascii="宋体" w:hAnsi="宋体" w:eastAsia="宋体" w:cs="Times New Roman"/>
                <w:bCs/>
                <w:sz w:val="24"/>
                <w:highlight w:val="none"/>
              </w:rPr>
              <w:t>第一</w:t>
            </w:r>
            <w:r>
              <w:rPr>
                <w:rFonts w:hint="eastAsia" w:ascii="宋体" w:hAnsi="宋体"/>
                <w:bCs/>
                <w:sz w:val="24"/>
                <w:highlight w:val="none"/>
              </w:rPr>
              <w:t>个档次（</w:t>
            </w:r>
            <w:r>
              <w:rPr>
                <w:rFonts w:hint="eastAsia" w:ascii="宋体" w:hAnsi="宋体"/>
                <w:bCs/>
                <w:sz w:val="24"/>
                <w:highlight w:val="none"/>
                <w:lang w:val="en-US" w:eastAsia="zh-CN"/>
              </w:rPr>
              <w:t>3</w:t>
            </w:r>
            <w:r>
              <w:rPr>
                <w:rFonts w:hint="eastAsia" w:ascii="宋体" w:hAnsi="宋体"/>
                <w:bCs/>
                <w:sz w:val="24"/>
                <w:highlight w:val="none"/>
              </w:rPr>
              <w:t>分）：</w:t>
            </w:r>
            <w:r>
              <w:rPr>
                <w:rFonts w:hint="eastAsia" w:ascii="宋体" w:hAnsi="宋体"/>
                <w:color w:val="auto"/>
                <w:sz w:val="24"/>
                <w:szCs w:val="24"/>
                <w:highlight w:val="none"/>
                <w:lang w:eastAsia="zh-CN"/>
              </w:rPr>
              <w:t>培训方案完整，有详细具体的培训大纲、培训计划、培训内容，保障措施明确、具体，能满足采购人使用的；</w:t>
            </w:r>
          </w:p>
          <w:p w14:paraId="65B9D89C">
            <w:pPr>
              <w:spacing w:before="60" w:after="60" w:line="400" w:lineRule="exact"/>
              <w:rPr>
                <w:rFonts w:hint="eastAsia" w:ascii="宋体" w:hAnsi="宋体"/>
                <w:color w:val="auto"/>
                <w:sz w:val="24"/>
                <w:szCs w:val="24"/>
                <w:highlight w:val="none"/>
                <w:lang w:eastAsia="zh-CN"/>
              </w:rPr>
            </w:pPr>
            <w:r>
              <w:rPr>
                <w:rFonts w:hint="eastAsia" w:ascii="宋体" w:hAnsi="宋体"/>
                <w:bCs/>
                <w:sz w:val="24"/>
                <w:highlight w:val="none"/>
              </w:rPr>
              <w:t>第</w:t>
            </w:r>
            <w:r>
              <w:rPr>
                <w:rFonts w:hint="eastAsia" w:ascii="宋体" w:hAnsi="宋体"/>
                <w:bCs/>
                <w:sz w:val="24"/>
                <w:highlight w:val="none"/>
                <w:lang w:val="en-US" w:eastAsia="zh-CN"/>
              </w:rPr>
              <w:t>二</w:t>
            </w:r>
            <w:r>
              <w:rPr>
                <w:rFonts w:hint="eastAsia" w:ascii="宋体" w:hAnsi="宋体"/>
                <w:bCs/>
                <w:sz w:val="24"/>
                <w:highlight w:val="none"/>
              </w:rPr>
              <w:t>个档次（</w:t>
            </w:r>
            <w:r>
              <w:rPr>
                <w:rFonts w:hint="eastAsia" w:ascii="宋体" w:hAnsi="宋体"/>
                <w:bCs/>
                <w:sz w:val="24"/>
                <w:highlight w:val="none"/>
                <w:lang w:val="en-US" w:eastAsia="zh-CN"/>
              </w:rPr>
              <w:t>2</w:t>
            </w:r>
            <w:r>
              <w:rPr>
                <w:rFonts w:hint="eastAsia" w:ascii="宋体" w:hAnsi="宋体"/>
                <w:bCs/>
                <w:sz w:val="24"/>
                <w:highlight w:val="none"/>
              </w:rPr>
              <w:t>分）：</w:t>
            </w:r>
            <w:r>
              <w:rPr>
                <w:rFonts w:hint="eastAsia" w:ascii="宋体" w:hAnsi="宋体"/>
                <w:color w:val="auto"/>
                <w:sz w:val="24"/>
                <w:szCs w:val="24"/>
                <w:highlight w:val="none"/>
              </w:rPr>
              <w:t>培训方案完整，培训大纲、培训计划、培训内容</w:t>
            </w:r>
            <w:r>
              <w:rPr>
                <w:rFonts w:hint="eastAsia" w:ascii="宋体" w:hAnsi="宋体"/>
                <w:color w:val="auto"/>
                <w:sz w:val="24"/>
                <w:szCs w:val="24"/>
                <w:highlight w:val="none"/>
                <w:lang w:val="en-US" w:eastAsia="zh-CN"/>
              </w:rPr>
              <w:t>简单不具体</w:t>
            </w:r>
            <w:r>
              <w:rPr>
                <w:rFonts w:hint="eastAsia" w:ascii="宋体" w:hAnsi="宋体"/>
                <w:color w:val="auto"/>
                <w:sz w:val="24"/>
                <w:szCs w:val="24"/>
                <w:highlight w:val="none"/>
              </w:rPr>
              <w:t>，有保障措施，满足</w:t>
            </w:r>
            <w:r>
              <w:rPr>
                <w:rFonts w:hint="eastAsia" w:ascii="宋体" w:hAnsi="宋体"/>
                <w:color w:val="auto"/>
                <w:sz w:val="24"/>
                <w:szCs w:val="24"/>
                <w:highlight w:val="none"/>
                <w:lang w:eastAsia="zh-CN"/>
              </w:rPr>
              <w:t>采购人</w:t>
            </w:r>
            <w:r>
              <w:rPr>
                <w:rFonts w:hint="eastAsia" w:ascii="宋体" w:hAnsi="宋体"/>
                <w:color w:val="auto"/>
                <w:sz w:val="24"/>
                <w:szCs w:val="24"/>
                <w:highlight w:val="none"/>
              </w:rPr>
              <w:t>使用的；</w:t>
            </w:r>
          </w:p>
          <w:p w14:paraId="62499189">
            <w:pPr>
              <w:spacing w:before="60" w:after="60" w:line="400" w:lineRule="exact"/>
              <w:rPr>
                <w:rFonts w:hint="eastAsia" w:ascii="宋体" w:hAnsi="宋体"/>
                <w:color w:val="auto"/>
                <w:sz w:val="24"/>
                <w:szCs w:val="24"/>
                <w:highlight w:val="none"/>
                <w:lang w:eastAsia="zh-CN"/>
              </w:rPr>
            </w:pPr>
            <w:r>
              <w:rPr>
                <w:rFonts w:hint="eastAsia" w:ascii="宋体" w:hAnsi="宋体"/>
                <w:bCs/>
                <w:sz w:val="24"/>
                <w:highlight w:val="none"/>
              </w:rPr>
              <w:t>第</w:t>
            </w:r>
            <w:r>
              <w:rPr>
                <w:rFonts w:hint="eastAsia" w:ascii="宋体" w:hAnsi="宋体"/>
                <w:bCs/>
                <w:sz w:val="24"/>
                <w:highlight w:val="none"/>
                <w:lang w:val="en-US" w:eastAsia="zh-CN"/>
              </w:rPr>
              <w:t>三</w:t>
            </w:r>
            <w:r>
              <w:rPr>
                <w:rFonts w:hint="eastAsia" w:ascii="宋体" w:hAnsi="宋体"/>
                <w:bCs/>
                <w:sz w:val="24"/>
                <w:highlight w:val="none"/>
              </w:rPr>
              <w:t>个档次（</w:t>
            </w:r>
            <w:r>
              <w:rPr>
                <w:rFonts w:hint="eastAsia" w:ascii="宋体" w:hAnsi="宋体"/>
                <w:bCs/>
                <w:sz w:val="24"/>
                <w:highlight w:val="none"/>
                <w:lang w:val="en-US" w:eastAsia="zh-CN"/>
              </w:rPr>
              <w:t>1</w:t>
            </w:r>
            <w:r>
              <w:rPr>
                <w:rFonts w:hint="eastAsia" w:ascii="宋体" w:hAnsi="宋体"/>
                <w:bCs/>
                <w:sz w:val="24"/>
                <w:highlight w:val="none"/>
              </w:rPr>
              <w:t>分）：</w:t>
            </w:r>
            <w:r>
              <w:rPr>
                <w:rFonts w:hint="eastAsia" w:ascii="宋体" w:hAnsi="宋体"/>
                <w:color w:val="auto"/>
                <w:sz w:val="24"/>
                <w:szCs w:val="24"/>
                <w:highlight w:val="none"/>
                <w:lang w:eastAsia="zh-CN"/>
              </w:rPr>
              <w:t>培训方案</w:t>
            </w:r>
            <w:r>
              <w:rPr>
                <w:rFonts w:hint="eastAsia" w:ascii="宋体" w:hAnsi="宋体"/>
                <w:color w:val="auto"/>
                <w:sz w:val="24"/>
                <w:szCs w:val="24"/>
                <w:highlight w:val="none"/>
                <w:lang w:val="en-US" w:eastAsia="zh-CN"/>
              </w:rPr>
              <w:t>粗略</w:t>
            </w:r>
            <w:r>
              <w:rPr>
                <w:rFonts w:hint="eastAsia" w:ascii="宋体" w:hAnsi="宋体"/>
                <w:color w:val="auto"/>
                <w:sz w:val="24"/>
                <w:szCs w:val="24"/>
                <w:highlight w:val="none"/>
                <w:lang w:eastAsia="zh-CN"/>
              </w:rPr>
              <w:t>，有培训大纲、培训计划、培训内容，</w:t>
            </w:r>
            <w:r>
              <w:rPr>
                <w:rFonts w:hint="eastAsia" w:ascii="宋体" w:hAnsi="宋体"/>
                <w:color w:val="auto"/>
                <w:sz w:val="24"/>
                <w:szCs w:val="24"/>
                <w:highlight w:val="none"/>
                <w:lang w:val="en-US" w:eastAsia="zh-CN"/>
              </w:rPr>
              <w:t>无</w:t>
            </w:r>
            <w:r>
              <w:rPr>
                <w:rFonts w:hint="eastAsia" w:ascii="宋体" w:hAnsi="宋体"/>
                <w:color w:val="auto"/>
                <w:sz w:val="24"/>
                <w:szCs w:val="24"/>
                <w:highlight w:val="none"/>
                <w:lang w:eastAsia="zh-CN"/>
              </w:rPr>
              <w:t>保障措施，基本满足采购人使用的；</w:t>
            </w:r>
          </w:p>
          <w:p w14:paraId="42B0A407">
            <w:pPr>
              <w:spacing w:before="60" w:after="60" w:line="400" w:lineRule="exact"/>
              <w:rPr>
                <w:rFonts w:hint="eastAsia" w:ascii="宋体" w:hAnsi="宋体"/>
                <w:bCs/>
                <w:sz w:val="24"/>
                <w:highlight w:val="none"/>
              </w:rPr>
            </w:pPr>
            <w:r>
              <w:rPr>
                <w:rFonts w:hint="eastAsia" w:ascii="宋体" w:hAnsi="宋体"/>
                <w:bCs/>
                <w:sz w:val="24"/>
                <w:highlight w:val="none"/>
              </w:rPr>
              <w:t>第</w:t>
            </w:r>
            <w:r>
              <w:rPr>
                <w:rFonts w:hint="eastAsia" w:ascii="宋体" w:hAnsi="宋体"/>
                <w:bCs/>
                <w:sz w:val="24"/>
                <w:highlight w:val="none"/>
                <w:lang w:val="en-US" w:eastAsia="zh-CN"/>
              </w:rPr>
              <w:t>四</w:t>
            </w:r>
            <w:r>
              <w:rPr>
                <w:rFonts w:hint="eastAsia" w:ascii="宋体" w:hAnsi="宋体"/>
                <w:bCs/>
                <w:sz w:val="24"/>
                <w:highlight w:val="none"/>
              </w:rPr>
              <w:t>个档次（</w:t>
            </w:r>
            <w:r>
              <w:rPr>
                <w:rFonts w:hint="eastAsia" w:ascii="宋体" w:hAnsi="宋体"/>
                <w:bCs/>
                <w:sz w:val="24"/>
                <w:highlight w:val="none"/>
                <w:lang w:val="en-US" w:eastAsia="zh-CN"/>
              </w:rPr>
              <w:t>0</w:t>
            </w:r>
            <w:r>
              <w:rPr>
                <w:rFonts w:hint="eastAsia" w:ascii="宋体" w:hAnsi="宋体"/>
                <w:bCs/>
                <w:sz w:val="24"/>
                <w:highlight w:val="none"/>
              </w:rPr>
              <w:t>分）：</w:t>
            </w:r>
            <w:r>
              <w:rPr>
                <w:rFonts w:hint="eastAsia" w:ascii="宋体" w:hAnsi="宋体"/>
                <w:color w:val="auto"/>
                <w:sz w:val="24"/>
                <w:szCs w:val="24"/>
                <w:highlight w:val="none"/>
                <w:lang w:val="en-US" w:eastAsia="zh-CN"/>
              </w:rPr>
              <w:t>未提供</w:t>
            </w:r>
            <w:r>
              <w:rPr>
                <w:rFonts w:hint="eastAsia" w:ascii="宋体" w:hAnsi="宋体"/>
                <w:color w:val="auto"/>
                <w:sz w:val="24"/>
                <w:szCs w:val="24"/>
                <w:highlight w:val="none"/>
                <w:lang w:eastAsia="zh-CN"/>
              </w:rPr>
              <w:t>培训方案</w:t>
            </w:r>
            <w:r>
              <w:rPr>
                <w:rFonts w:hint="eastAsia" w:ascii="宋体" w:hAnsi="宋体"/>
                <w:color w:val="auto"/>
                <w:sz w:val="24"/>
                <w:szCs w:val="24"/>
                <w:highlight w:val="none"/>
                <w:lang w:val="en-US" w:eastAsia="zh-CN"/>
              </w:rPr>
              <w:t>的</w:t>
            </w:r>
            <w:r>
              <w:rPr>
                <w:rFonts w:hint="eastAsia" w:ascii="宋体" w:hAnsi="宋体"/>
                <w:color w:val="auto"/>
                <w:sz w:val="24"/>
                <w:szCs w:val="24"/>
                <w:highlight w:val="none"/>
                <w:lang w:eastAsia="zh-CN"/>
              </w:rPr>
              <w:t>。</w:t>
            </w:r>
          </w:p>
        </w:tc>
      </w:tr>
      <w:bookmarkEnd w:id="197"/>
    </w:tbl>
    <w:p w14:paraId="155ACD01">
      <w:pPr>
        <w:spacing w:line="500" w:lineRule="exact"/>
        <w:ind w:firstLine="482" w:firstLineChars="200"/>
        <w:rPr>
          <w:rFonts w:hint="eastAsia" w:ascii="宋体" w:hAnsi="宋体"/>
          <w:b/>
          <w:bCs/>
          <w:sz w:val="24"/>
          <w:szCs w:val="24"/>
          <w:highlight w:val="none"/>
        </w:rPr>
      </w:pPr>
      <w:r>
        <w:rPr>
          <w:rFonts w:hint="eastAsia" w:ascii="宋体" w:hAnsi="宋体"/>
          <w:b/>
          <w:bCs/>
          <w:sz w:val="24"/>
          <w:szCs w:val="24"/>
          <w:highlight w:val="none"/>
        </w:rPr>
        <w:t>(四)得分汇总</w:t>
      </w:r>
    </w:p>
    <w:p w14:paraId="02A494EB">
      <w:pPr>
        <w:pStyle w:val="12"/>
        <w:spacing w:line="480" w:lineRule="exact"/>
        <w:ind w:firstLine="480" w:firstLineChars="200"/>
        <w:rPr>
          <w:rFonts w:hint="eastAsia" w:ascii="宋体" w:hAnsi="宋体"/>
          <w:sz w:val="24"/>
          <w:szCs w:val="24"/>
          <w:highlight w:val="none"/>
        </w:rPr>
      </w:pPr>
      <w:r>
        <w:rPr>
          <w:rFonts w:hint="eastAsia" w:ascii="宋体" w:hAnsi="宋体"/>
          <w:sz w:val="24"/>
          <w:szCs w:val="24"/>
          <w:highlight w:val="none"/>
        </w:rPr>
        <w:t>1.评委应首先对各投标人投标文件进行评审，写出书面意见并按招标文件规定分值评分，各分档评分中间不得用插入法评分。</w:t>
      </w:r>
    </w:p>
    <w:p w14:paraId="066647A6">
      <w:pPr>
        <w:pStyle w:val="12"/>
        <w:spacing w:line="480" w:lineRule="exact"/>
        <w:ind w:firstLine="480" w:firstLineChars="200"/>
        <w:rPr>
          <w:rFonts w:hint="eastAsia" w:ascii="宋体" w:hAnsi="宋体"/>
          <w:sz w:val="24"/>
          <w:szCs w:val="24"/>
          <w:highlight w:val="none"/>
        </w:rPr>
      </w:pPr>
      <w:r>
        <w:rPr>
          <w:rFonts w:hint="eastAsia" w:ascii="宋体" w:hAnsi="宋体"/>
          <w:sz w:val="24"/>
          <w:szCs w:val="24"/>
          <w:highlight w:val="none"/>
        </w:rPr>
        <w:t>2.除投标价格得分外，其余部分由各评委自主评分并签字确认。</w:t>
      </w:r>
    </w:p>
    <w:p w14:paraId="5A1B4AE1">
      <w:pPr>
        <w:pStyle w:val="12"/>
        <w:spacing w:line="480" w:lineRule="exact"/>
        <w:ind w:firstLine="480" w:firstLineChars="200"/>
        <w:rPr>
          <w:rFonts w:hint="eastAsia" w:ascii="宋体" w:hAnsi="宋体"/>
          <w:sz w:val="24"/>
          <w:szCs w:val="24"/>
          <w:highlight w:val="none"/>
        </w:rPr>
      </w:pPr>
      <w:r>
        <w:rPr>
          <w:rFonts w:hint="eastAsia" w:ascii="宋体" w:hAnsi="宋体"/>
          <w:sz w:val="24"/>
          <w:szCs w:val="24"/>
          <w:highlight w:val="none"/>
        </w:rPr>
        <w:t>3.统分原则：计算评委打分的算术平均值为投标人的该项评分因素的得分，投标报价得分除外(保留小数点后两位)。</w:t>
      </w:r>
    </w:p>
    <w:p w14:paraId="476BA700">
      <w:pPr>
        <w:pStyle w:val="12"/>
        <w:spacing w:line="480" w:lineRule="exact"/>
        <w:ind w:firstLine="480" w:firstLineChars="200"/>
        <w:rPr>
          <w:rFonts w:hint="eastAsia" w:ascii="宋体" w:hAnsi="宋体"/>
          <w:sz w:val="24"/>
          <w:szCs w:val="24"/>
          <w:highlight w:val="none"/>
        </w:rPr>
      </w:pPr>
      <w:r>
        <w:rPr>
          <w:rFonts w:hint="eastAsia" w:ascii="宋体" w:hAnsi="宋体"/>
          <w:sz w:val="24"/>
          <w:szCs w:val="24"/>
          <w:highlight w:val="none"/>
        </w:rPr>
        <w:t>4.得分汇总：各项评分因素得分的总和即为投标人最后得分。</w:t>
      </w:r>
    </w:p>
    <w:p w14:paraId="63E4F9E2">
      <w:pPr>
        <w:pStyle w:val="12"/>
        <w:spacing w:line="480" w:lineRule="exact"/>
        <w:ind w:firstLine="480" w:firstLineChars="200"/>
        <w:rPr>
          <w:rFonts w:hint="eastAsia" w:ascii="宋体" w:hAnsi="宋体"/>
          <w:sz w:val="24"/>
          <w:szCs w:val="24"/>
          <w:highlight w:val="none"/>
        </w:rPr>
      </w:pPr>
      <w:r>
        <w:rPr>
          <w:rFonts w:hint="eastAsia" w:ascii="宋体" w:hAnsi="宋体"/>
          <w:sz w:val="24"/>
          <w:szCs w:val="24"/>
          <w:highlight w:val="none"/>
        </w:rPr>
        <w:t>5.经评标委员会认定评分畸高、畸低的，评标委员会应当当场修改评标结果，并在评标报告中记载。</w:t>
      </w:r>
    </w:p>
    <w:p w14:paraId="2363B0F4">
      <w:pPr>
        <w:spacing w:before="95" w:beforeLines="30" w:after="95" w:afterLines="30" w:line="500" w:lineRule="exact"/>
        <w:ind w:firstLine="482" w:firstLineChars="200"/>
        <w:rPr>
          <w:rFonts w:hint="eastAsia" w:ascii="宋体" w:hAnsi="宋体"/>
          <w:b/>
          <w:bCs/>
          <w:sz w:val="24"/>
          <w:szCs w:val="24"/>
          <w:highlight w:val="none"/>
        </w:rPr>
      </w:pPr>
      <w:r>
        <w:rPr>
          <w:rFonts w:hint="eastAsia" w:ascii="宋体" w:hAnsi="宋体"/>
          <w:b/>
          <w:bCs/>
          <w:sz w:val="24"/>
          <w:szCs w:val="24"/>
          <w:highlight w:val="none"/>
        </w:rPr>
        <w:t>七、推荐</w:t>
      </w:r>
    </w:p>
    <w:p w14:paraId="48D2C31F">
      <w:pPr>
        <w:keepNext w:val="0"/>
        <w:keepLines w:val="0"/>
        <w:pageBreakBefore w:val="0"/>
        <w:widowControl w:val="0"/>
        <w:kinsoku/>
        <w:wordWrap/>
        <w:overflowPunct/>
        <w:topLinePunct w:val="0"/>
        <w:autoSpaceDE w:val="0"/>
        <w:autoSpaceDN w:val="0"/>
        <w:bidi w:val="0"/>
        <w:adjustRightInd/>
        <w:snapToGrid/>
        <w:spacing w:line="460" w:lineRule="exact"/>
        <w:ind w:firstLine="480" w:firstLineChars="200"/>
        <w:textAlignment w:val="auto"/>
        <w:rPr>
          <w:rFonts w:hint="eastAsia" w:ascii="宋体" w:hAnsi="宋体"/>
          <w:color w:val="FF0000"/>
          <w:sz w:val="24"/>
          <w:szCs w:val="24"/>
          <w:highlight w:val="none"/>
        </w:rPr>
      </w:pPr>
      <w:r>
        <w:rPr>
          <w:rFonts w:hint="eastAsia" w:ascii="宋体" w:hAnsi="宋体"/>
          <w:sz w:val="24"/>
          <w:szCs w:val="24"/>
          <w:highlight w:val="none"/>
        </w:rPr>
        <w:t>评标委员会按得分汇总计算出各投标人的总得分，评标结果按评审后总得分由高到低顺序排列。投标文件满足招标文件全部实质性要求，且按照评审因素的量化指标评审总得分最高的投标人为排名第一的中标候选人。总得分相同的，按投标报价由低到高顺序排列。得分且投标报价相同的，若存在节能环保产品参与投标，根据《中华人民共和国政府采购法》《中华人民共和国政府采购法实施条例》《政府采购货物和服务招标投标管理办法》(财政部令第87号)的规定，优先采购节能环保产品。</w:t>
      </w:r>
    </w:p>
    <w:p w14:paraId="2A55780A">
      <w:pPr>
        <w:keepNext w:val="0"/>
        <w:keepLines w:val="0"/>
        <w:pageBreakBefore w:val="0"/>
        <w:widowControl w:val="0"/>
        <w:kinsoku/>
        <w:wordWrap/>
        <w:overflowPunct/>
        <w:topLinePunct w:val="0"/>
        <w:autoSpaceDE w:val="0"/>
        <w:autoSpaceDN w:val="0"/>
        <w:bidi w:val="0"/>
        <w:adjustRightInd/>
        <w:snapToGrid/>
        <w:spacing w:line="460" w:lineRule="exact"/>
        <w:ind w:firstLine="480" w:firstLineChars="200"/>
        <w:textAlignment w:val="auto"/>
        <w:rPr>
          <w:rFonts w:hint="eastAsia" w:ascii="宋体" w:hAnsi="宋体"/>
          <w:sz w:val="24"/>
          <w:szCs w:val="24"/>
          <w:highlight w:val="none"/>
        </w:rPr>
      </w:pPr>
      <w:r>
        <w:rPr>
          <w:rFonts w:hint="eastAsia" w:ascii="宋体" w:hAnsi="宋体" w:cs="宋体"/>
          <w:sz w:val="24"/>
          <w:szCs w:val="24"/>
          <w:highlight w:val="none"/>
        </w:rPr>
        <w:t>若不存在节能环保产品参与投</w:t>
      </w:r>
      <w:r>
        <w:rPr>
          <w:rFonts w:hint="eastAsia" w:ascii="宋体" w:hAnsi="宋体" w:eastAsia="宋体" w:cs="Times New Roman"/>
          <w:sz w:val="24"/>
          <w:szCs w:val="24"/>
          <w:highlight w:val="none"/>
        </w:rPr>
        <w:t>标，按商务技术部分评审得</w:t>
      </w:r>
      <w:r>
        <w:rPr>
          <w:rFonts w:hint="eastAsia" w:ascii="宋体" w:hAnsi="宋体"/>
          <w:sz w:val="24"/>
          <w:szCs w:val="24"/>
          <w:highlight w:val="none"/>
        </w:rPr>
        <w:t>分由高到低的顺序排列，依次类推。</w:t>
      </w:r>
    </w:p>
    <w:p w14:paraId="7DD9D3A0">
      <w:pPr>
        <w:keepNext w:val="0"/>
        <w:keepLines w:val="0"/>
        <w:pageBreakBefore w:val="0"/>
        <w:widowControl w:val="0"/>
        <w:kinsoku/>
        <w:wordWrap/>
        <w:overflowPunct/>
        <w:topLinePunct w:val="0"/>
        <w:bidi w:val="0"/>
        <w:adjustRightInd/>
        <w:snapToGrid/>
        <w:spacing w:before="95" w:beforeLines="30" w:after="95" w:afterLines="30" w:line="500" w:lineRule="exact"/>
        <w:ind w:firstLine="482" w:firstLineChars="200"/>
        <w:textAlignment w:val="auto"/>
        <w:rPr>
          <w:rFonts w:hint="eastAsia" w:ascii="宋体" w:hAnsi="宋体"/>
          <w:b/>
          <w:bCs/>
          <w:sz w:val="24"/>
          <w:szCs w:val="24"/>
          <w:highlight w:val="none"/>
        </w:rPr>
      </w:pPr>
      <w:r>
        <w:rPr>
          <w:rFonts w:hint="eastAsia" w:ascii="宋体" w:hAnsi="宋体"/>
          <w:b/>
          <w:bCs/>
          <w:sz w:val="24"/>
          <w:szCs w:val="24"/>
          <w:highlight w:val="none"/>
        </w:rPr>
        <w:t>八、评标报告编写</w:t>
      </w:r>
    </w:p>
    <w:p w14:paraId="6911AAFC">
      <w:pPr>
        <w:spacing w:line="240" w:lineRule="exact"/>
        <w:ind w:firstLine="480" w:firstLineChars="200"/>
        <w:rPr>
          <w:rFonts w:ascii="宋体" w:hAnsi="宋体"/>
          <w:highlight w:val="none"/>
        </w:rPr>
      </w:pPr>
      <w:r>
        <w:rPr>
          <w:rFonts w:hint="eastAsia" w:ascii="宋体" w:hAnsi="宋体"/>
          <w:sz w:val="24"/>
          <w:szCs w:val="24"/>
          <w:highlight w:val="none"/>
        </w:rPr>
        <w:t>评标委员会根据全体评标成员签字的原始评标记录和评标结果编写评标报告。</w:t>
      </w:r>
    </w:p>
    <w:p w14:paraId="4A37590C">
      <w:pPr>
        <w:pStyle w:val="2"/>
        <w:spacing w:before="0" w:after="0" w:line="360" w:lineRule="auto"/>
        <w:jc w:val="center"/>
        <w:rPr>
          <w:rFonts w:ascii="宋体" w:hAnsi="宋体"/>
          <w:highlight w:val="none"/>
        </w:rPr>
      </w:pPr>
      <w:bookmarkStart w:id="198" w:name="_Toc8239"/>
      <w:bookmarkEnd w:id="198"/>
      <w:bookmarkStart w:id="199" w:name="_Toc21476"/>
      <w:bookmarkEnd w:id="199"/>
      <w:bookmarkStart w:id="200" w:name="_Toc21906"/>
      <w:r>
        <w:rPr>
          <w:rStyle w:val="44"/>
          <w:rFonts w:hint="eastAsia" w:ascii="宋体" w:hAnsi="宋体"/>
          <w:b/>
          <w:bCs/>
          <w:highlight w:val="none"/>
        </w:rPr>
        <w:br w:type="page"/>
      </w:r>
      <w:bookmarkEnd w:id="200"/>
      <w:bookmarkStart w:id="201" w:name="_Toc26828"/>
      <w:bookmarkEnd w:id="201"/>
      <w:bookmarkStart w:id="202" w:name="_Toc18440"/>
      <w:bookmarkEnd w:id="202"/>
      <w:bookmarkStart w:id="203" w:name="_Toc30727"/>
      <w:bookmarkStart w:id="204" w:name="_Toc32139"/>
      <w:bookmarkStart w:id="205" w:name="_Toc15431"/>
      <w:r>
        <w:rPr>
          <w:rFonts w:hint="eastAsia" w:ascii="宋体" w:hAnsi="宋体"/>
          <w:highlight w:val="none"/>
        </w:rPr>
        <w:t>第五章 合同条款及格式</w:t>
      </w:r>
      <w:bookmarkEnd w:id="203"/>
      <w:bookmarkEnd w:id="204"/>
    </w:p>
    <w:bookmarkEnd w:id="205"/>
    <w:p w14:paraId="21162359">
      <w:pPr>
        <w:jc w:val="center"/>
        <w:rPr>
          <w:rFonts w:hint="eastAsia" w:ascii="宋体" w:hAnsi="宋体" w:eastAsia="宋体" w:cs="宋体"/>
          <w:b w:val="0"/>
          <w:bCs w:val="0"/>
          <w:sz w:val="24"/>
          <w:szCs w:val="24"/>
        </w:rPr>
      </w:pPr>
      <w:bookmarkStart w:id="206" w:name="_Toc331685784"/>
      <w:r>
        <w:rPr>
          <w:rFonts w:hint="eastAsia" w:ascii="宋体" w:hAnsi="宋体" w:eastAsia="宋体" w:cs="宋体"/>
          <w:b w:val="0"/>
          <w:bCs w:val="0"/>
          <w:sz w:val="24"/>
          <w:szCs w:val="24"/>
        </w:rPr>
        <w:t>(以下合同内容仅供参考，具体合同内容以签订合同时甲乙双方商定为准)</w:t>
      </w:r>
    </w:p>
    <w:p w14:paraId="0713C3BE">
      <w:pPr>
        <w:rPr>
          <w:rFonts w:hint="eastAsia" w:ascii="宋体" w:hAnsi="宋体" w:eastAsia="宋体" w:cs="宋体"/>
          <w:sz w:val="24"/>
          <w:szCs w:val="24"/>
        </w:rPr>
      </w:pPr>
    </w:p>
    <w:p w14:paraId="7A829CB1">
      <w:pPr>
        <w:rPr>
          <w:rFonts w:hint="eastAsia" w:ascii="宋体" w:hAnsi="宋体" w:eastAsia="宋体" w:cs="宋体"/>
          <w:sz w:val="24"/>
          <w:szCs w:val="24"/>
          <w:u w:val="single"/>
        </w:rPr>
      </w:pPr>
      <w:r>
        <w:rPr>
          <w:rFonts w:hint="eastAsia" w:ascii="宋体" w:hAnsi="宋体" w:eastAsia="宋体" w:cs="宋体"/>
          <w:sz w:val="24"/>
          <w:szCs w:val="24"/>
        </w:rPr>
        <w:t>合同编号：</w:t>
      </w:r>
      <w:r>
        <w:rPr>
          <w:rFonts w:hint="eastAsia" w:ascii="宋体" w:hAnsi="宋体" w:eastAsia="宋体" w:cs="宋体"/>
          <w:sz w:val="24"/>
          <w:szCs w:val="24"/>
          <w:u w:val="single"/>
        </w:rPr>
        <w:t xml:space="preserve">           </w:t>
      </w:r>
    </w:p>
    <w:p w14:paraId="102D2751">
      <w:pPr>
        <w:spacing w:line="480" w:lineRule="auto"/>
        <w:jc w:val="center"/>
        <w:rPr>
          <w:rFonts w:hint="eastAsia" w:ascii="宋体" w:hAnsi="宋体" w:eastAsia="宋体" w:cs="宋体"/>
          <w:b/>
          <w:sz w:val="24"/>
          <w:szCs w:val="24"/>
        </w:rPr>
      </w:pPr>
    </w:p>
    <w:p w14:paraId="344E285F">
      <w:pPr>
        <w:spacing w:line="480" w:lineRule="auto"/>
        <w:jc w:val="center"/>
        <w:rPr>
          <w:rFonts w:hint="eastAsia" w:ascii="宋体" w:hAnsi="宋体" w:eastAsia="宋体" w:cs="宋体"/>
          <w:b/>
          <w:sz w:val="24"/>
          <w:szCs w:val="24"/>
        </w:rPr>
      </w:pPr>
    </w:p>
    <w:p w14:paraId="5F1C5CB2">
      <w:pPr>
        <w:spacing w:line="480" w:lineRule="auto"/>
        <w:jc w:val="center"/>
        <w:rPr>
          <w:rFonts w:hint="eastAsia" w:ascii="宋体" w:hAnsi="宋体" w:eastAsia="宋体" w:cs="宋体"/>
          <w:b/>
          <w:sz w:val="24"/>
          <w:szCs w:val="24"/>
        </w:rPr>
      </w:pPr>
    </w:p>
    <w:p w14:paraId="4E07A064">
      <w:pPr>
        <w:spacing w:line="480" w:lineRule="auto"/>
        <w:jc w:val="center"/>
        <w:rPr>
          <w:rFonts w:hint="eastAsia" w:ascii="宋体" w:hAnsi="宋体" w:eastAsia="宋体" w:cs="宋体"/>
          <w:b/>
          <w:sz w:val="24"/>
          <w:szCs w:val="24"/>
        </w:rPr>
      </w:pPr>
      <w:r>
        <w:rPr>
          <w:rFonts w:hint="eastAsia" w:ascii="宋体" w:hAnsi="宋体" w:eastAsia="宋体" w:cs="宋体"/>
          <w:b/>
          <w:sz w:val="24"/>
          <w:szCs w:val="24"/>
        </w:rPr>
        <w:t>政府采购合同</w:t>
      </w:r>
    </w:p>
    <w:p w14:paraId="52BE0220">
      <w:pPr>
        <w:pStyle w:val="47"/>
        <w:ind w:firstLine="0"/>
        <w:rPr>
          <w:rFonts w:hint="eastAsia" w:ascii="宋体" w:hAnsi="宋体" w:eastAsia="宋体" w:cs="宋体"/>
          <w:sz w:val="24"/>
          <w:szCs w:val="24"/>
        </w:rPr>
      </w:pPr>
    </w:p>
    <w:p w14:paraId="7AB0728D">
      <w:pPr>
        <w:pStyle w:val="47"/>
        <w:ind w:firstLine="0"/>
        <w:rPr>
          <w:rFonts w:hint="eastAsia" w:ascii="宋体" w:hAnsi="宋体" w:eastAsia="宋体" w:cs="宋体"/>
          <w:sz w:val="24"/>
          <w:szCs w:val="24"/>
        </w:rPr>
      </w:pPr>
    </w:p>
    <w:p w14:paraId="57E2EDD6">
      <w:pPr>
        <w:pStyle w:val="47"/>
        <w:ind w:firstLine="0"/>
        <w:rPr>
          <w:rFonts w:hint="eastAsia" w:ascii="宋体" w:hAnsi="宋体" w:eastAsia="宋体" w:cs="宋体"/>
          <w:sz w:val="24"/>
          <w:szCs w:val="24"/>
        </w:rPr>
      </w:pPr>
    </w:p>
    <w:p w14:paraId="6E70C110">
      <w:pPr>
        <w:pStyle w:val="47"/>
        <w:ind w:firstLine="0"/>
        <w:rPr>
          <w:rFonts w:hint="eastAsia" w:ascii="宋体" w:hAnsi="宋体" w:eastAsia="宋体" w:cs="宋体"/>
          <w:sz w:val="24"/>
          <w:szCs w:val="24"/>
        </w:rPr>
      </w:pPr>
    </w:p>
    <w:p w14:paraId="19CC0121">
      <w:pPr>
        <w:pStyle w:val="47"/>
        <w:ind w:firstLine="0"/>
        <w:rPr>
          <w:rFonts w:hint="eastAsia" w:ascii="宋体" w:hAnsi="宋体" w:eastAsia="宋体" w:cs="宋体"/>
          <w:sz w:val="24"/>
          <w:szCs w:val="24"/>
        </w:rPr>
      </w:pPr>
    </w:p>
    <w:p w14:paraId="16E68232">
      <w:pPr>
        <w:pStyle w:val="47"/>
        <w:ind w:firstLine="0"/>
        <w:jc w:val="center"/>
        <w:rPr>
          <w:rFonts w:hint="eastAsia" w:ascii="宋体" w:hAnsi="宋体" w:eastAsia="宋体" w:cs="宋体"/>
          <w:b/>
          <w:sz w:val="24"/>
          <w:szCs w:val="24"/>
        </w:rPr>
      </w:pPr>
      <w:r>
        <w:rPr>
          <w:rFonts w:hint="eastAsia" w:ascii="宋体" w:hAnsi="宋体" w:eastAsia="宋体" w:cs="宋体"/>
          <w:b/>
          <w:sz w:val="24"/>
          <w:szCs w:val="24"/>
        </w:rPr>
        <w:t>第一部分 合同书</w:t>
      </w:r>
    </w:p>
    <w:p w14:paraId="3B6F86E5">
      <w:pPr>
        <w:pStyle w:val="47"/>
        <w:ind w:firstLine="0"/>
        <w:rPr>
          <w:rFonts w:hint="eastAsia" w:ascii="宋体" w:hAnsi="宋体" w:eastAsia="宋体" w:cs="宋体"/>
          <w:sz w:val="24"/>
          <w:szCs w:val="24"/>
        </w:rPr>
      </w:pPr>
    </w:p>
    <w:p w14:paraId="07797DE5">
      <w:pPr>
        <w:pStyle w:val="47"/>
        <w:ind w:firstLine="0"/>
        <w:rPr>
          <w:rFonts w:hint="eastAsia" w:ascii="宋体" w:hAnsi="宋体" w:eastAsia="宋体" w:cs="宋体"/>
          <w:sz w:val="24"/>
          <w:szCs w:val="24"/>
        </w:rPr>
      </w:pPr>
    </w:p>
    <w:p w14:paraId="2BF2CA7C">
      <w:pPr>
        <w:spacing w:before="120" w:line="22" w:lineRule="atLeast"/>
        <w:rPr>
          <w:rFonts w:hint="eastAsia" w:ascii="宋体" w:hAnsi="宋体" w:eastAsia="宋体" w:cs="宋体"/>
          <w:sz w:val="24"/>
          <w:szCs w:val="24"/>
        </w:rPr>
      </w:pPr>
    </w:p>
    <w:p w14:paraId="73BF9AAE">
      <w:pPr>
        <w:spacing w:before="120" w:line="22" w:lineRule="atLeast"/>
        <w:ind w:left="960"/>
        <w:rPr>
          <w:rFonts w:hint="eastAsia" w:ascii="宋体" w:hAnsi="宋体" w:eastAsia="宋体" w:cs="宋体"/>
          <w:sz w:val="24"/>
          <w:szCs w:val="24"/>
        </w:rPr>
      </w:pPr>
      <w:r>
        <w:rPr>
          <w:rFonts w:hint="eastAsia" w:ascii="宋体" w:hAnsi="宋体" w:eastAsia="宋体" w:cs="宋体"/>
          <w:sz w:val="24"/>
          <w:szCs w:val="24"/>
        </w:rPr>
        <w:t>项目名称：</w:t>
      </w:r>
      <w:r>
        <w:rPr>
          <w:rFonts w:hint="eastAsia" w:ascii="宋体" w:hAnsi="宋体" w:eastAsia="宋体" w:cs="宋体"/>
          <w:sz w:val="24"/>
          <w:szCs w:val="24"/>
          <w:u w:val="single"/>
        </w:rPr>
        <w:t xml:space="preserve">                                   </w:t>
      </w:r>
    </w:p>
    <w:p w14:paraId="35CD8A8C">
      <w:pPr>
        <w:pStyle w:val="48"/>
        <w:spacing w:before="120" w:line="22" w:lineRule="atLeast"/>
        <w:rPr>
          <w:rFonts w:hint="eastAsia" w:ascii="宋体" w:hAnsi="宋体" w:eastAsia="宋体" w:cs="宋体"/>
          <w:sz w:val="24"/>
          <w:szCs w:val="24"/>
        </w:rPr>
      </w:pPr>
    </w:p>
    <w:p w14:paraId="7021425A">
      <w:pPr>
        <w:pStyle w:val="48"/>
        <w:spacing w:before="120" w:line="22" w:lineRule="atLeast"/>
        <w:rPr>
          <w:rFonts w:hint="eastAsia" w:ascii="宋体" w:hAnsi="宋体" w:eastAsia="宋体" w:cs="宋体"/>
          <w:sz w:val="24"/>
          <w:szCs w:val="24"/>
        </w:rPr>
      </w:pPr>
    </w:p>
    <w:p w14:paraId="07A66834">
      <w:pPr>
        <w:rPr>
          <w:rFonts w:hint="eastAsia" w:ascii="宋体" w:hAnsi="宋体" w:eastAsia="宋体" w:cs="宋体"/>
          <w:sz w:val="24"/>
          <w:szCs w:val="24"/>
        </w:rPr>
      </w:pPr>
    </w:p>
    <w:p w14:paraId="051F5367">
      <w:pPr>
        <w:spacing w:before="120" w:line="22" w:lineRule="atLeast"/>
        <w:ind w:left="960"/>
        <w:rPr>
          <w:rFonts w:hint="eastAsia" w:ascii="宋体" w:hAnsi="宋体" w:eastAsia="宋体" w:cs="宋体"/>
          <w:sz w:val="24"/>
          <w:szCs w:val="24"/>
          <w:u w:val="single"/>
        </w:rPr>
      </w:pPr>
      <w:r>
        <w:rPr>
          <w:rFonts w:hint="eastAsia" w:ascii="宋体" w:hAnsi="宋体" w:eastAsia="宋体" w:cs="宋体"/>
          <w:sz w:val="24"/>
          <w:szCs w:val="24"/>
        </w:rPr>
        <w:t>甲方：</w:t>
      </w:r>
      <w:r>
        <w:rPr>
          <w:rFonts w:hint="eastAsia" w:ascii="宋体" w:hAnsi="宋体" w:eastAsia="宋体" w:cs="宋体"/>
          <w:sz w:val="24"/>
          <w:szCs w:val="24"/>
          <w:u w:val="single"/>
        </w:rPr>
        <w:t xml:space="preserve">                                       </w:t>
      </w:r>
    </w:p>
    <w:p w14:paraId="71A32139">
      <w:pPr>
        <w:spacing w:before="120" w:line="22" w:lineRule="atLeast"/>
        <w:rPr>
          <w:rFonts w:hint="eastAsia" w:ascii="宋体" w:hAnsi="宋体" w:eastAsia="宋体" w:cs="宋体"/>
          <w:sz w:val="24"/>
          <w:szCs w:val="24"/>
        </w:rPr>
      </w:pPr>
    </w:p>
    <w:p w14:paraId="4DCA6EF9">
      <w:pPr>
        <w:spacing w:before="120" w:line="22" w:lineRule="atLeast"/>
        <w:ind w:left="960"/>
        <w:rPr>
          <w:rFonts w:hint="eastAsia" w:ascii="宋体" w:hAnsi="宋体" w:eastAsia="宋体" w:cs="宋体"/>
          <w:sz w:val="24"/>
          <w:szCs w:val="24"/>
          <w:u w:val="single"/>
        </w:rPr>
      </w:pPr>
      <w:r>
        <w:rPr>
          <w:rFonts w:hint="eastAsia" w:ascii="宋体" w:hAnsi="宋体" w:eastAsia="宋体" w:cs="宋体"/>
          <w:sz w:val="24"/>
          <w:szCs w:val="24"/>
        </w:rPr>
        <w:t>乙方：</w:t>
      </w:r>
      <w:r>
        <w:rPr>
          <w:rFonts w:hint="eastAsia" w:ascii="宋体" w:hAnsi="宋体" w:eastAsia="宋体" w:cs="宋体"/>
          <w:sz w:val="24"/>
          <w:szCs w:val="24"/>
          <w:u w:val="single"/>
        </w:rPr>
        <w:t xml:space="preserve">                                       </w:t>
      </w:r>
    </w:p>
    <w:p w14:paraId="4C29FE09">
      <w:pPr>
        <w:spacing w:before="120" w:line="22" w:lineRule="atLeast"/>
        <w:rPr>
          <w:rFonts w:hint="eastAsia" w:ascii="宋体" w:hAnsi="宋体" w:eastAsia="宋体" w:cs="宋体"/>
          <w:sz w:val="24"/>
          <w:szCs w:val="24"/>
        </w:rPr>
      </w:pPr>
    </w:p>
    <w:p w14:paraId="47DA5BE4">
      <w:pPr>
        <w:spacing w:before="120" w:line="22" w:lineRule="atLeast"/>
        <w:ind w:firstLine="960" w:firstLineChars="400"/>
        <w:rPr>
          <w:rFonts w:hint="eastAsia" w:ascii="宋体" w:hAnsi="宋体" w:eastAsia="宋体" w:cs="宋体"/>
          <w:sz w:val="24"/>
          <w:szCs w:val="24"/>
          <w:u w:val="single"/>
        </w:rPr>
      </w:pPr>
      <w:r>
        <w:rPr>
          <w:rFonts w:hint="eastAsia" w:ascii="宋体" w:hAnsi="宋体" w:eastAsia="宋体" w:cs="宋体"/>
          <w:sz w:val="24"/>
          <w:szCs w:val="24"/>
        </w:rPr>
        <w:t>签订地：</w:t>
      </w:r>
      <w:r>
        <w:rPr>
          <w:rFonts w:hint="eastAsia" w:ascii="宋体" w:hAnsi="宋体" w:eastAsia="宋体" w:cs="宋体"/>
          <w:sz w:val="24"/>
          <w:szCs w:val="24"/>
          <w:u w:val="single"/>
        </w:rPr>
        <w:t xml:space="preserve">                                     </w:t>
      </w:r>
    </w:p>
    <w:p w14:paraId="783D58EE">
      <w:pPr>
        <w:spacing w:before="120" w:line="22" w:lineRule="atLeast"/>
        <w:rPr>
          <w:rFonts w:hint="eastAsia" w:ascii="宋体" w:hAnsi="宋体" w:eastAsia="宋体" w:cs="宋体"/>
          <w:sz w:val="24"/>
          <w:szCs w:val="24"/>
        </w:rPr>
      </w:pPr>
    </w:p>
    <w:p w14:paraId="34C8AB48">
      <w:pPr>
        <w:spacing w:before="120" w:line="22" w:lineRule="atLeast"/>
        <w:ind w:firstLine="960" w:firstLineChars="400"/>
        <w:rPr>
          <w:rFonts w:hint="eastAsia" w:ascii="宋体" w:hAnsi="宋体" w:eastAsia="宋体" w:cs="宋体"/>
          <w:sz w:val="24"/>
          <w:szCs w:val="24"/>
          <w:u w:val="single"/>
        </w:rPr>
      </w:pPr>
      <w:r>
        <w:rPr>
          <w:rFonts w:hint="eastAsia" w:ascii="宋体" w:hAnsi="宋体" w:eastAsia="宋体" w:cs="宋体"/>
          <w:sz w:val="24"/>
          <w:szCs w:val="24"/>
        </w:rPr>
        <w:t>签订日期：</w:t>
      </w:r>
      <w:r>
        <w:rPr>
          <w:rFonts w:hint="eastAsia" w:ascii="宋体" w:hAnsi="宋体" w:eastAsia="宋体" w:cs="宋体"/>
          <w:sz w:val="24"/>
          <w:szCs w:val="24"/>
          <w:u w:val="single"/>
        </w:rPr>
        <w:t xml:space="preserve">               </w:t>
      </w:r>
      <w:r>
        <w:rPr>
          <w:rFonts w:hint="eastAsia" w:ascii="宋体" w:hAnsi="宋体" w:eastAsia="宋体" w:cs="宋体"/>
          <w:sz w:val="24"/>
          <w:szCs w:val="24"/>
        </w:rPr>
        <w:t>年</w:t>
      </w:r>
      <w:r>
        <w:rPr>
          <w:rFonts w:hint="eastAsia" w:ascii="宋体" w:hAnsi="宋体" w:eastAsia="宋体" w:cs="宋体"/>
          <w:sz w:val="24"/>
          <w:szCs w:val="24"/>
          <w:u w:val="single"/>
        </w:rPr>
        <w:t xml:space="preserve">       </w:t>
      </w:r>
      <w:r>
        <w:rPr>
          <w:rFonts w:hint="eastAsia" w:ascii="宋体" w:hAnsi="宋体" w:eastAsia="宋体" w:cs="宋体"/>
          <w:sz w:val="24"/>
          <w:szCs w:val="24"/>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6E19E341">
      <w:pPr>
        <w:spacing w:before="120" w:line="22" w:lineRule="atLeast"/>
        <w:ind w:firstLine="960" w:firstLineChars="400"/>
        <w:rPr>
          <w:rFonts w:hint="eastAsia" w:ascii="宋体" w:hAnsi="宋体" w:eastAsia="宋体" w:cs="宋体"/>
          <w:i w:val="0"/>
          <w:iCs w:val="0"/>
          <w:sz w:val="24"/>
          <w:u w:val="single"/>
        </w:rPr>
      </w:pPr>
    </w:p>
    <w:p w14:paraId="64F71677">
      <w:pPr>
        <w:autoSpaceDE w:val="0"/>
        <w:autoSpaceDN w:val="0"/>
        <w:adjustRightInd w:val="0"/>
        <w:spacing w:line="600" w:lineRule="exact"/>
        <w:ind w:firstLine="640"/>
        <w:jc w:val="center"/>
        <w:rPr>
          <w:rFonts w:hint="eastAsia" w:ascii="宋体" w:hAnsi="宋体" w:eastAsia="宋体" w:cs="宋体"/>
          <w:i w:val="0"/>
          <w:iCs w:val="0"/>
          <w:sz w:val="24"/>
        </w:rPr>
        <w:sectPr>
          <w:footerReference r:id="rId6" w:type="default"/>
          <w:pgSz w:w="11907" w:h="16840"/>
          <w:pgMar w:top="1191" w:right="1191" w:bottom="1191" w:left="1304" w:header="851" w:footer="851" w:gutter="0"/>
          <w:pgNumType w:fmt="decimal"/>
          <w:cols w:space="720" w:num="1"/>
          <w:rtlGutter w:val="0"/>
          <w:docGrid w:linePitch="462" w:charSpace="0"/>
        </w:sectPr>
      </w:pPr>
    </w:p>
    <w:bookmarkEnd w:id="206"/>
    <w:p w14:paraId="139A4791">
      <w:pPr>
        <w:rPr>
          <w:rFonts w:hint="eastAsia" w:ascii="仿宋" w:hAnsi="仿宋" w:eastAsia="仿宋" w:cs="仿宋"/>
          <w:b/>
          <w:bCs/>
          <w:spacing w:val="-20"/>
          <w:kern w:val="44"/>
          <w:sz w:val="28"/>
          <w:szCs w:val="28"/>
          <w:lang w:eastAsia="zh-CN"/>
        </w:rPr>
      </w:pPr>
      <w:bookmarkStart w:id="207" w:name="_Toc3995"/>
    </w:p>
    <w:p w14:paraId="305A5778">
      <w:pPr>
        <w:pStyle w:val="43"/>
        <w:rPr>
          <w:rFonts w:hint="eastAsia" w:ascii="仿宋" w:hAnsi="仿宋" w:eastAsia="仿宋" w:cs="仿宋"/>
          <w:b/>
          <w:bCs/>
          <w:spacing w:val="-20"/>
          <w:kern w:val="44"/>
          <w:sz w:val="28"/>
          <w:szCs w:val="28"/>
          <w:lang w:eastAsia="zh-CN"/>
        </w:rPr>
      </w:pPr>
    </w:p>
    <w:p w14:paraId="4D0B76E9">
      <w:pPr>
        <w:pStyle w:val="43"/>
        <w:rPr>
          <w:rFonts w:hint="eastAsia" w:ascii="仿宋" w:hAnsi="仿宋" w:eastAsia="仿宋" w:cs="仿宋"/>
          <w:b/>
          <w:bCs/>
          <w:spacing w:val="-20"/>
          <w:kern w:val="44"/>
          <w:sz w:val="28"/>
          <w:szCs w:val="28"/>
          <w:lang w:eastAsia="zh-CN"/>
        </w:rPr>
      </w:pPr>
    </w:p>
    <w:p w14:paraId="6A07A00E">
      <w:pPr>
        <w:pStyle w:val="43"/>
        <w:rPr>
          <w:rFonts w:hint="eastAsia" w:ascii="仿宋" w:hAnsi="仿宋" w:eastAsia="仿宋" w:cs="仿宋"/>
          <w:b/>
          <w:bCs/>
          <w:spacing w:val="-20"/>
          <w:kern w:val="44"/>
          <w:sz w:val="28"/>
          <w:szCs w:val="28"/>
          <w:lang w:eastAsia="zh-CN"/>
        </w:rPr>
      </w:pPr>
    </w:p>
    <w:p w14:paraId="7A906D92">
      <w:pPr>
        <w:pStyle w:val="43"/>
        <w:rPr>
          <w:rFonts w:hint="eastAsia" w:ascii="仿宋" w:hAnsi="仿宋" w:eastAsia="仿宋" w:cs="仿宋"/>
          <w:b/>
          <w:bCs/>
          <w:spacing w:val="-20"/>
          <w:kern w:val="44"/>
          <w:sz w:val="28"/>
          <w:szCs w:val="28"/>
          <w:lang w:eastAsia="zh-CN"/>
        </w:rPr>
      </w:pPr>
    </w:p>
    <w:p w14:paraId="42F3F5FD">
      <w:pPr>
        <w:pStyle w:val="11"/>
        <w:shd w:val="clear" w:color="auto" w:fill="auto"/>
        <w:spacing w:after="0"/>
        <w:jc w:val="center"/>
        <w:rPr>
          <w:rFonts w:ascii="宋体" w:hAnsi="宋体" w:cs="宋体"/>
          <w:b/>
          <w:bCs/>
          <w:spacing w:val="-20"/>
          <w:kern w:val="44"/>
          <w:sz w:val="48"/>
          <w:szCs w:val="48"/>
        </w:rPr>
      </w:pPr>
    </w:p>
    <w:p w14:paraId="6D41035B">
      <w:pPr>
        <w:pStyle w:val="11"/>
        <w:shd w:val="clear" w:color="auto" w:fill="auto"/>
        <w:spacing w:after="0"/>
        <w:jc w:val="center"/>
        <w:rPr>
          <w:rFonts w:hint="eastAsia" w:ascii="宋体" w:hAnsi="宋体" w:cs="宋体"/>
          <w:b/>
          <w:bCs/>
          <w:spacing w:val="-20"/>
          <w:kern w:val="44"/>
          <w:sz w:val="48"/>
          <w:szCs w:val="48"/>
        </w:rPr>
      </w:pPr>
      <w:r>
        <w:rPr>
          <w:rFonts w:hint="eastAsia" w:ascii="宋体" w:hAnsi="宋体" w:cs="宋体"/>
          <w:b/>
          <w:bCs/>
          <w:spacing w:val="-20"/>
          <w:kern w:val="44"/>
          <w:sz w:val="48"/>
          <w:szCs w:val="48"/>
        </w:rPr>
        <w:t>政府采购</w:t>
      </w:r>
      <w:r>
        <w:rPr>
          <w:rFonts w:hint="eastAsia" w:ascii="宋体" w:hAnsi="宋体" w:cs="宋体"/>
          <w:b/>
          <w:bCs/>
          <w:spacing w:val="-20"/>
          <w:kern w:val="44"/>
          <w:sz w:val="48"/>
          <w:szCs w:val="48"/>
          <w:lang w:eastAsia="zh-CN"/>
        </w:rPr>
        <w:t>货物买卖</w:t>
      </w:r>
      <w:r>
        <w:rPr>
          <w:rFonts w:hint="eastAsia" w:ascii="宋体" w:hAnsi="宋体" w:cs="宋体"/>
          <w:b/>
          <w:bCs/>
          <w:spacing w:val="-20"/>
          <w:kern w:val="44"/>
          <w:sz w:val="48"/>
          <w:szCs w:val="48"/>
        </w:rPr>
        <w:t>合同</w:t>
      </w:r>
    </w:p>
    <w:p w14:paraId="0F9373E8">
      <w:pPr>
        <w:pStyle w:val="11"/>
        <w:shd w:val="clear" w:color="auto" w:fill="auto"/>
        <w:spacing w:after="0"/>
        <w:jc w:val="center"/>
        <w:rPr>
          <w:rFonts w:hint="eastAsia" w:ascii="宋体" w:hAnsi="宋体" w:eastAsia="宋体" w:cs="宋体"/>
          <w:b/>
          <w:bCs/>
          <w:spacing w:val="-20"/>
          <w:kern w:val="44"/>
          <w:sz w:val="48"/>
          <w:szCs w:val="48"/>
          <w:lang w:eastAsia="zh-CN"/>
        </w:rPr>
      </w:pPr>
      <w:r>
        <w:rPr>
          <w:rFonts w:hint="eastAsia" w:ascii="宋体" w:hAnsi="宋体" w:cs="宋体"/>
          <w:b/>
          <w:bCs/>
          <w:spacing w:val="-20"/>
          <w:kern w:val="44"/>
          <w:sz w:val="48"/>
          <w:szCs w:val="48"/>
          <w:lang w:eastAsia="zh-CN"/>
        </w:rPr>
        <w:t>（试行）</w:t>
      </w:r>
    </w:p>
    <w:p w14:paraId="1B8F609C">
      <w:pPr>
        <w:shd w:val="clear" w:color="auto" w:fill="auto"/>
        <w:rPr>
          <w:rFonts w:ascii="宋体" w:hAnsi="宋体" w:cs="宋体"/>
          <w:b/>
          <w:bCs/>
          <w:spacing w:val="-20"/>
          <w:kern w:val="44"/>
          <w:sz w:val="40"/>
          <w:szCs w:val="40"/>
        </w:rPr>
      </w:pPr>
    </w:p>
    <w:p w14:paraId="1B6D8855">
      <w:pPr>
        <w:shd w:val="clear" w:color="auto" w:fill="auto"/>
        <w:rPr>
          <w:rFonts w:ascii="宋体" w:hAnsi="宋体" w:cs="宋体"/>
          <w:b/>
          <w:bCs/>
          <w:spacing w:val="-20"/>
          <w:kern w:val="44"/>
          <w:sz w:val="40"/>
          <w:szCs w:val="40"/>
        </w:rPr>
      </w:pPr>
    </w:p>
    <w:p w14:paraId="42E1C631">
      <w:pPr>
        <w:shd w:val="clear" w:color="auto" w:fill="auto"/>
        <w:rPr>
          <w:rFonts w:ascii="宋体" w:hAnsi="宋体" w:cs="宋体"/>
          <w:b/>
          <w:bCs/>
          <w:spacing w:val="-20"/>
          <w:kern w:val="44"/>
          <w:sz w:val="40"/>
          <w:szCs w:val="40"/>
        </w:rPr>
      </w:pPr>
    </w:p>
    <w:p w14:paraId="53243B4E">
      <w:pPr>
        <w:pStyle w:val="43"/>
        <w:rPr>
          <w:rFonts w:ascii="宋体" w:hAnsi="宋体" w:cs="宋体"/>
          <w:b/>
          <w:bCs/>
          <w:spacing w:val="-20"/>
          <w:kern w:val="44"/>
          <w:sz w:val="40"/>
          <w:szCs w:val="40"/>
        </w:rPr>
      </w:pPr>
    </w:p>
    <w:p w14:paraId="77DC9977">
      <w:pPr>
        <w:pStyle w:val="43"/>
        <w:rPr>
          <w:rFonts w:ascii="宋体" w:hAnsi="宋体" w:cs="宋体"/>
          <w:b/>
          <w:bCs/>
          <w:spacing w:val="-20"/>
          <w:kern w:val="44"/>
          <w:sz w:val="40"/>
          <w:szCs w:val="40"/>
        </w:rPr>
      </w:pPr>
    </w:p>
    <w:p w14:paraId="4ED77B2E">
      <w:pPr>
        <w:shd w:val="clear" w:color="auto" w:fill="auto"/>
        <w:spacing w:line="360" w:lineRule="auto"/>
        <w:ind w:left="420" w:leftChars="200"/>
        <w:rPr>
          <w:sz w:val="32"/>
          <w:szCs w:val="32"/>
        </w:rPr>
      </w:pPr>
      <w:r>
        <w:rPr>
          <w:rFonts w:hint="eastAsia" w:ascii="宋体" w:hAnsi="宋体" w:cs="宋体"/>
          <w:kern w:val="0"/>
          <w:sz w:val="32"/>
          <w:szCs w:val="32"/>
        </w:rPr>
        <w:t>项目名称：</w:t>
      </w:r>
      <w:r>
        <w:rPr>
          <w:rFonts w:hint="eastAsia"/>
          <w:sz w:val="32"/>
          <w:szCs w:val="32"/>
          <w:u w:val="single"/>
        </w:rPr>
        <w:t xml:space="preserve">                             </w:t>
      </w:r>
    </w:p>
    <w:p w14:paraId="4F5E09A4">
      <w:pPr>
        <w:shd w:val="clear" w:color="auto" w:fill="auto"/>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14:paraId="7419578B">
      <w:pPr>
        <w:shd w:val="clear" w:color="auto" w:fill="auto"/>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14:paraId="56881B4A">
      <w:pPr>
        <w:shd w:val="clear" w:color="auto" w:fill="auto"/>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14:paraId="21ACAD44">
      <w:pPr>
        <w:shd w:val="clear" w:color="auto" w:fill="auto"/>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7D7B3561">
      <w:pPr>
        <w:shd w:val="clear" w:color="auto" w:fill="auto"/>
      </w:pPr>
    </w:p>
    <w:p w14:paraId="49A29779">
      <w:pPr>
        <w:shd w:val="clear" w:color="auto" w:fill="auto"/>
        <w:rPr>
          <w:rFonts w:eastAsia="黑体"/>
          <w:sz w:val="44"/>
          <w:szCs w:val="44"/>
        </w:rPr>
      </w:pPr>
      <w:r>
        <w:rPr>
          <w:rFonts w:eastAsia="黑体"/>
          <w:sz w:val="44"/>
          <w:szCs w:val="44"/>
        </w:rPr>
        <w:br w:type="page"/>
      </w:r>
    </w:p>
    <w:bookmarkEnd w:id="207"/>
    <w:p w14:paraId="0646D275">
      <w:pPr>
        <w:pStyle w:val="3"/>
        <w:shd w:val="clear" w:color="auto" w:fill="auto"/>
        <w:adjustRightInd w:val="0"/>
        <w:snapToGrid w:val="0"/>
        <w:spacing w:beforeLines="0" w:line="400" w:lineRule="exact"/>
        <w:jc w:val="center"/>
        <w:rPr>
          <w:rFonts w:hint="eastAsia" w:ascii="宋体" w:hAnsi="宋体" w:eastAsia="宋体" w:cs="宋体"/>
          <w:b w:val="0"/>
          <w:bCs w:val="0"/>
          <w:sz w:val="28"/>
          <w:szCs w:val="28"/>
        </w:rPr>
      </w:pPr>
      <w:bookmarkStart w:id="208" w:name="_Toc22209"/>
      <w:bookmarkStart w:id="209" w:name="_Toc5540"/>
      <w:bookmarkStart w:id="210" w:name="_Toc481"/>
      <w:r>
        <w:rPr>
          <w:rFonts w:hint="eastAsia" w:ascii="宋体" w:hAnsi="宋体" w:eastAsia="宋体" w:cs="宋体"/>
          <w:b w:val="0"/>
          <w:bCs w:val="0"/>
          <w:sz w:val="28"/>
          <w:szCs w:val="28"/>
        </w:rPr>
        <w:t>第一节 政府采购合同协议书</w:t>
      </w:r>
      <w:bookmarkEnd w:id="208"/>
      <w:bookmarkEnd w:id="209"/>
      <w:bookmarkEnd w:id="210"/>
    </w:p>
    <w:p w14:paraId="17FCC737">
      <w:pPr>
        <w:shd w:val="clear" w:color="auto" w:fill="auto"/>
        <w:adjustRightInd w:val="0"/>
        <w:snapToGrid w:val="0"/>
        <w:spacing w:before="0" w:beforeLines="0" w:line="400" w:lineRule="exact"/>
        <w:rPr>
          <w:rFonts w:hint="eastAsia" w:ascii="宋体" w:hAnsi="宋体" w:eastAsia="宋体" w:cs="宋体"/>
          <w:szCs w:val="21"/>
        </w:rPr>
      </w:pPr>
      <w:r>
        <w:rPr>
          <w:rFonts w:hint="eastAsia" w:ascii="宋体" w:hAnsi="宋体" w:eastAsia="宋体" w:cs="宋体"/>
          <w:szCs w:val="21"/>
        </w:rPr>
        <w:t>甲方（全称）：</w:t>
      </w:r>
      <w:r>
        <w:rPr>
          <w:rFonts w:hint="eastAsia" w:ascii="宋体" w:hAnsi="宋体" w:eastAsia="宋体" w:cs="宋体"/>
          <w:szCs w:val="21"/>
          <w:u w:val="single"/>
        </w:rPr>
        <w:t xml:space="preserve">                        </w:t>
      </w:r>
      <w:r>
        <w:rPr>
          <w:rFonts w:hint="eastAsia" w:ascii="宋体" w:hAnsi="宋体" w:eastAsia="宋体" w:cs="宋体"/>
          <w:szCs w:val="21"/>
        </w:rPr>
        <w:t>（采购人</w:t>
      </w:r>
      <w:r>
        <w:rPr>
          <w:rFonts w:hint="eastAsia" w:ascii="宋体" w:hAnsi="宋体" w:eastAsia="宋体" w:cs="宋体"/>
          <w:szCs w:val="21"/>
          <w:lang w:eastAsia="zh-CN"/>
        </w:rPr>
        <w:t>、受采购人委托签订合同的单位</w:t>
      </w:r>
      <w:r>
        <w:rPr>
          <w:rFonts w:hint="eastAsia" w:ascii="宋体" w:hAnsi="宋体" w:eastAsia="宋体" w:cs="宋体"/>
          <w:szCs w:val="21"/>
        </w:rPr>
        <w:t>或采购文件约定的合同甲方）</w:t>
      </w:r>
    </w:p>
    <w:p w14:paraId="79988B42">
      <w:pPr>
        <w:shd w:val="clear" w:color="auto" w:fill="auto"/>
        <w:adjustRightInd w:val="0"/>
        <w:snapToGrid w:val="0"/>
        <w:spacing w:before="0" w:beforeLines="0" w:line="400" w:lineRule="exact"/>
        <w:rPr>
          <w:rFonts w:hint="eastAsia" w:ascii="宋体" w:hAnsi="宋体" w:eastAsia="宋体" w:cs="宋体"/>
          <w:szCs w:val="21"/>
        </w:rPr>
      </w:pPr>
      <w:r>
        <w:rPr>
          <w:rFonts w:hint="eastAsia" w:ascii="宋体" w:hAnsi="宋体" w:eastAsia="宋体" w:cs="宋体"/>
          <w:szCs w:val="21"/>
        </w:rPr>
        <w:t>乙方（全称）：</w:t>
      </w:r>
      <w:r>
        <w:rPr>
          <w:rFonts w:hint="eastAsia" w:ascii="宋体" w:hAnsi="宋体" w:eastAsia="宋体" w:cs="宋体"/>
          <w:szCs w:val="21"/>
          <w:u w:val="single"/>
        </w:rPr>
        <w:t xml:space="preserve">                       </w:t>
      </w:r>
      <w:r>
        <w:rPr>
          <w:rFonts w:hint="eastAsia" w:ascii="宋体" w:hAnsi="宋体" w:eastAsia="宋体" w:cs="宋体"/>
          <w:szCs w:val="21"/>
        </w:rPr>
        <w:t>（供应商）</w:t>
      </w:r>
    </w:p>
    <w:p w14:paraId="436720EF">
      <w:pPr>
        <w:shd w:val="clear" w:color="auto" w:fill="auto"/>
        <w:spacing w:beforeLines="0" w:line="400" w:lineRule="exact"/>
        <w:rPr>
          <w:rFonts w:hint="eastAsia" w:ascii="宋体" w:hAnsi="宋体" w:eastAsia="宋体" w:cs="宋体"/>
          <w:lang w:val="en-US" w:eastAsia="zh-CN"/>
        </w:rPr>
      </w:pPr>
    </w:p>
    <w:p w14:paraId="1F78FE7C">
      <w:pPr>
        <w:pStyle w:val="12"/>
        <w:shd w:val="clear" w:color="auto" w:fill="auto"/>
        <w:adjustRightInd w:val="0"/>
        <w:snapToGrid w:val="0"/>
        <w:spacing w:before="0" w:beforeLines="0" w:after="0" w:line="400" w:lineRule="exact"/>
        <w:ind w:left="0" w:leftChars="0" w:firstLine="420" w:firstLineChars="200"/>
        <w:rPr>
          <w:rFonts w:hint="eastAsia" w:ascii="宋体" w:hAnsi="宋体" w:eastAsia="宋体" w:cs="宋体"/>
          <w:szCs w:val="21"/>
        </w:rPr>
      </w:pPr>
      <w:r>
        <w:rPr>
          <w:rFonts w:hint="eastAsia" w:ascii="宋体" w:hAnsi="宋体" w:eastAsia="宋体" w:cs="宋体"/>
          <w:szCs w:val="21"/>
        </w:rPr>
        <w:t>依据《中华人民共和国民法典》</w:t>
      </w:r>
      <w:r>
        <w:rPr>
          <w:rFonts w:hint="eastAsia" w:ascii="宋体" w:hAnsi="宋体" w:eastAsia="宋体" w:cs="宋体"/>
          <w:szCs w:val="21"/>
          <w:lang w:eastAsia="zh-CN"/>
        </w:rPr>
        <w:t>、</w:t>
      </w:r>
      <w:r>
        <w:rPr>
          <w:rFonts w:hint="eastAsia" w:ascii="宋体" w:hAnsi="宋体" w:eastAsia="宋体" w:cs="宋体"/>
          <w:szCs w:val="21"/>
        </w:rPr>
        <w:t>《中华人民共和国政府采购法》等有关的法律法规，以及</w:t>
      </w:r>
      <w:r>
        <w:rPr>
          <w:rFonts w:hint="eastAsia" w:ascii="宋体" w:hAnsi="宋体" w:eastAsia="宋体" w:cs="宋体"/>
          <w:i w:val="0"/>
          <w:iCs w:val="0"/>
          <w:szCs w:val="21"/>
          <w:u w:val="none"/>
          <w:lang w:eastAsia="zh-CN"/>
        </w:rPr>
        <w:t>本采购项目</w:t>
      </w:r>
      <w:r>
        <w:rPr>
          <w:rFonts w:hint="eastAsia" w:ascii="宋体" w:hAnsi="宋体" w:eastAsia="宋体" w:cs="宋体"/>
          <w:szCs w:val="21"/>
        </w:rPr>
        <w:t>的</w:t>
      </w:r>
      <w:r>
        <w:rPr>
          <w:rFonts w:hint="eastAsia" w:ascii="宋体" w:hAnsi="宋体" w:eastAsia="宋体" w:cs="宋体"/>
          <w:szCs w:val="21"/>
          <w:lang w:eastAsia="zh-CN"/>
        </w:rPr>
        <w:t>招标文件等</w:t>
      </w:r>
      <w:r>
        <w:rPr>
          <w:rFonts w:hint="eastAsia" w:ascii="宋体" w:hAnsi="宋体" w:eastAsia="宋体" w:cs="宋体"/>
          <w:szCs w:val="21"/>
        </w:rPr>
        <w:t>采购文件</w:t>
      </w:r>
      <w:r>
        <w:rPr>
          <w:rFonts w:hint="eastAsia" w:ascii="宋体" w:hAnsi="宋体" w:eastAsia="宋体" w:cs="宋体"/>
          <w:szCs w:val="21"/>
          <w:lang w:eastAsia="zh-CN"/>
        </w:rPr>
        <w:t>、</w:t>
      </w:r>
      <w:r>
        <w:rPr>
          <w:rFonts w:hint="eastAsia" w:ascii="宋体" w:hAnsi="宋体" w:eastAsia="宋体" w:cs="宋体"/>
          <w:szCs w:val="21"/>
        </w:rPr>
        <w:t xml:space="preserve">乙方的《投标文件》及《中标通知书》，甲乙双方同意签订本合同。具体情况及要求如下：     </w:t>
      </w:r>
    </w:p>
    <w:p w14:paraId="07BBC578">
      <w:pPr>
        <w:numPr>
          <w:ilvl w:val="0"/>
          <w:numId w:val="1"/>
        </w:numPr>
        <w:shd w:val="clear" w:color="auto" w:fill="auto"/>
        <w:adjustRightInd w:val="0"/>
        <w:snapToGrid w:val="0"/>
        <w:spacing w:before="0" w:beforeLines="0" w:line="400" w:lineRule="exact"/>
        <w:ind w:firstLine="422" w:firstLineChars="200"/>
        <w:rPr>
          <w:rFonts w:hint="eastAsia" w:ascii="宋体" w:hAnsi="宋体" w:eastAsia="宋体" w:cs="宋体"/>
          <w:b/>
          <w:szCs w:val="21"/>
        </w:rPr>
      </w:pPr>
      <w:r>
        <w:rPr>
          <w:rFonts w:hint="eastAsia" w:ascii="宋体" w:hAnsi="宋体" w:eastAsia="宋体" w:cs="宋体"/>
          <w:b/>
          <w:szCs w:val="21"/>
        </w:rPr>
        <w:t>项目信息</w:t>
      </w:r>
    </w:p>
    <w:p w14:paraId="02E57AB3">
      <w:pPr>
        <w:pStyle w:val="12"/>
        <w:numPr>
          <w:ilvl w:val="0"/>
          <w:numId w:val="0"/>
        </w:numPr>
        <w:shd w:val="clear" w:color="auto" w:fill="auto"/>
        <w:tabs>
          <w:tab w:val="left" w:pos="999"/>
        </w:tabs>
        <w:adjustRightInd w:val="0"/>
        <w:snapToGrid w:val="0"/>
        <w:spacing w:before="0" w:beforeLines="0" w:after="0" w:line="400" w:lineRule="exact"/>
        <w:ind w:left="0" w:leftChars="0" w:firstLine="0" w:firstLineChars="0"/>
        <w:rPr>
          <w:rFonts w:hint="eastAsia" w:ascii="宋体" w:hAnsi="宋体" w:eastAsia="宋体" w:cs="宋体"/>
          <w:szCs w:val="21"/>
          <w:u w:val="none"/>
          <w:lang w:val="en-US" w:eastAsia="zh-CN"/>
        </w:rPr>
      </w:pPr>
      <w:r>
        <w:rPr>
          <w:rFonts w:hint="eastAsia" w:ascii="宋体" w:hAnsi="宋体" w:eastAsia="宋体" w:cs="宋体"/>
          <w:szCs w:val="21"/>
        </w:rPr>
        <w:t>采购项目名称：</w:t>
      </w:r>
      <w:r>
        <w:rPr>
          <w:rFonts w:hint="eastAsia" w:ascii="宋体" w:hAnsi="宋体" w:cs="宋体"/>
          <w:szCs w:val="21"/>
          <w:u w:val="single"/>
          <w:lang w:eastAsia="zh-CN"/>
        </w:rPr>
        <w:t>沪滇协作香格里拉市人民医院粪便工作站、儿童肺功能仪等设备采购项目</w:t>
      </w:r>
      <w:r>
        <w:rPr>
          <w:rFonts w:hint="eastAsia" w:ascii="宋体" w:hAnsi="宋体" w:eastAsia="宋体" w:cs="宋体"/>
          <w:szCs w:val="21"/>
          <w:u w:val="none"/>
          <w:lang w:val="en-US" w:eastAsia="zh-CN"/>
        </w:rPr>
        <w:t xml:space="preserve">   采购项目编号：</w:t>
      </w:r>
      <w:r>
        <w:rPr>
          <w:rFonts w:hint="eastAsia" w:ascii="宋体" w:hAnsi="宋体" w:eastAsia="宋体" w:cs="宋体"/>
          <w:szCs w:val="21"/>
          <w:u w:val="single"/>
        </w:rPr>
        <w:t xml:space="preserve"> </w:t>
      </w:r>
      <w:r>
        <w:rPr>
          <w:rFonts w:hint="eastAsia" w:ascii="宋体" w:hAnsi="宋体" w:cs="宋体"/>
          <w:szCs w:val="21"/>
          <w:u w:val="single"/>
          <w:lang w:eastAsia="zh-CN"/>
        </w:rPr>
        <w:t>DQZC2025-G1-00161-YNYZ-0018</w:t>
      </w:r>
      <w:r>
        <w:rPr>
          <w:rFonts w:hint="eastAsia" w:ascii="宋体" w:hAnsi="宋体" w:eastAsia="宋体" w:cs="宋体"/>
          <w:szCs w:val="21"/>
          <w:u w:val="single"/>
        </w:rPr>
        <w:t xml:space="preserve">  </w:t>
      </w:r>
    </w:p>
    <w:p w14:paraId="37126023">
      <w:pPr>
        <w:pStyle w:val="12"/>
        <w:shd w:val="clear" w:color="auto" w:fill="auto"/>
        <w:adjustRightInd w:val="0"/>
        <w:snapToGrid w:val="0"/>
        <w:spacing w:before="0" w:beforeLines="0" w:after="0" w:line="400" w:lineRule="exact"/>
        <w:ind w:left="0" w:leftChars="0" w:firstLine="420" w:firstLineChars="200"/>
        <w:rPr>
          <w:rFonts w:hint="eastAsia" w:ascii="宋体" w:hAnsi="宋体" w:eastAsia="宋体" w:cs="宋体"/>
          <w:szCs w:val="21"/>
        </w:rPr>
      </w:pPr>
      <w:r>
        <w:rPr>
          <w:rFonts w:hint="eastAsia" w:ascii="宋体" w:hAnsi="宋体" w:eastAsia="宋体" w:cs="宋体"/>
          <w:szCs w:val="21"/>
        </w:rPr>
        <w:t>（2）采购计划编号：</w:t>
      </w:r>
      <w:r>
        <w:rPr>
          <w:rFonts w:hint="eastAsia" w:ascii="宋体" w:hAnsi="宋体" w:eastAsia="宋体" w:cs="宋体"/>
          <w:szCs w:val="21"/>
          <w:u w:val="single"/>
        </w:rPr>
        <w:t xml:space="preserve">                                          </w:t>
      </w:r>
      <w:r>
        <w:rPr>
          <w:rFonts w:hint="eastAsia" w:ascii="宋体" w:hAnsi="宋体" w:eastAsia="宋体" w:cs="宋体"/>
          <w:szCs w:val="21"/>
        </w:rPr>
        <w:t xml:space="preserve"> </w:t>
      </w:r>
    </w:p>
    <w:p w14:paraId="424B7F6C">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（3）项目内容：</w:t>
      </w:r>
    </w:p>
    <w:p w14:paraId="72C648FF">
      <w:pPr>
        <w:shd w:val="clear" w:color="auto" w:fill="auto"/>
        <w:adjustRightInd w:val="0"/>
        <w:snapToGrid w:val="0"/>
        <w:spacing w:before="0" w:beforeLines="0" w:line="400" w:lineRule="exact"/>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w:t>
      </w:r>
      <w:r>
        <w:rPr>
          <w:rFonts w:hint="eastAsia" w:ascii="宋体" w:hAnsi="宋体" w:eastAsia="宋体" w:cs="宋体"/>
          <w:szCs w:val="21"/>
          <w:lang w:eastAsia="zh-CN"/>
        </w:rPr>
        <w:t>采购标的及数量</w:t>
      </w:r>
      <w:r>
        <w:rPr>
          <w:rFonts w:hint="eastAsia" w:ascii="宋体" w:hAnsi="宋体" w:eastAsia="宋体" w:cs="宋体"/>
          <w:szCs w:val="21"/>
          <w:lang w:val="en-US" w:eastAsia="zh-CN"/>
        </w:rPr>
        <w:t>（台/套</w:t>
      </w:r>
      <w:r>
        <w:rPr>
          <w:rFonts w:hint="eastAsia" w:ascii="宋体" w:hAnsi="宋体" w:eastAsia="宋体" w:cs="宋体"/>
          <w:szCs w:val="21"/>
          <w:lang w:val="en" w:eastAsia="zh-CN"/>
        </w:rPr>
        <w:t>/个/架/组等</w:t>
      </w:r>
      <w:r>
        <w:rPr>
          <w:rFonts w:hint="eastAsia" w:ascii="宋体" w:hAnsi="宋体" w:eastAsia="宋体" w:cs="宋体"/>
          <w:szCs w:val="21"/>
          <w:lang w:val="en-US" w:eastAsia="zh-CN"/>
        </w:rPr>
        <w:t>）</w:t>
      </w:r>
      <w:r>
        <w:rPr>
          <w:rFonts w:hint="eastAsia" w:ascii="宋体" w:hAnsi="宋体" w:eastAsia="宋体" w:cs="宋体"/>
          <w:szCs w:val="21"/>
          <w:lang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w:t>
      </w:r>
    </w:p>
    <w:p w14:paraId="74022C26">
      <w:pPr>
        <w:numPr>
          <w:ilvl w:val="0"/>
          <w:numId w:val="0"/>
        </w:numPr>
        <w:shd w:val="clear" w:color="auto" w:fill="auto"/>
        <w:adjustRightInd w:val="0"/>
        <w:snapToGrid w:val="0"/>
        <w:spacing w:before="0" w:beforeLines="0" w:line="400" w:lineRule="exact"/>
        <w:ind w:firstLine="420" w:firstLineChars="200"/>
        <w:rPr>
          <w:rFonts w:hint="eastAsia" w:ascii="宋体" w:hAnsi="宋体" w:eastAsia="宋体" w:cs="宋体"/>
          <w:szCs w:val="21"/>
          <w:lang w:val="en" w:eastAsia="zh-CN"/>
        </w:rPr>
      </w:pP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lang w:val="en-US" w:eastAsia="zh-CN"/>
        </w:rPr>
        <w:t>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 w:eastAsia="zh-CN"/>
        </w:rPr>
        <w:t xml:space="preserve">     </w:t>
      </w:r>
      <w:r>
        <w:rPr>
          <w:rFonts w:hint="eastAsia" w:ascii="宋体" w:hAnsi="宋体" w:eastAsia="宋体" w:cs="宋体"/>
          <w:szCs w:val="21"/>
          <w:lang w:val="en-US" w:eastAsia="zh-CN"/>
        </w:rPr>
        <w:t>规格型号：</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p>
    <w:p w14:paraId="0325E73D">
      <w:pPr>
        <w:shd w:val="clear" w:color="auto" w:fill="auto"/>
        <w:adjustRightInd w:val="0"/>
        <w:snapToGrid w:val="0"/>
        <w:spacing w:before="0" w:beforeLines="0" w:line="400" w:lineRule="exact"/>
        <w:ind w:firstLine="945" w:firstLineChars="450"/>
        <w:rPr>
          <w:rFonts w:hint="eastAsia" w:ascii="宋体" w:hAnsi="宋体" w:eastAsia="宋体" w:cs="宋体"/>
          <w:szCs w:val="21"/>
          <w:highlight w:val="none"/>
          <w:u w:val="single"/>
        </w:rPr>
      </w:pPr>
      <w:r>
        <w:rPr>
          <w:rFonts w:hint="eastAsia" w:ascii="宋体" w:hAnsi="宋体" w:eastAsia="宋体" w:cs="宋体"/>
          <w:szCs w:val="21"/>
          <w:highlight w:val="none"/>
          <w:u w:val="none"/>
          <w:lang w:val="en-US" w:eastAsia="zh-CN"/>
        </w:rPr>
        <w:t>采购标的的技术要求、商务要求具体见附件。</w:t>
      </w:r>
    </w:p>
    <w:p w14:paraId="69FA71B9">
      <w:pPr>
        <w:numPr>
          <w:ilvl w:val="0"/>
          <w:numId w:val="0"/>
        </w:numPr>
        <w:shd w:val="clear" w:color="auto" w:fill="auto"/>
        <w:adjustRightInd w:val="0"/>
        <w:snapToGrid w:val="0"/>
        <w:spacing w:before="0" w:beforeLines="0" w:line="400" w:lineRule="exact"/>
        <w:ind w:firstLine="945" w:firstLineChars="450"/>
        <w:rPr>
          <w:rFonts w:hint="eastAsia" w:ascii="宋体" w:hAnsi="宋体" w:eastAsia="宋体" w:cs="宋体"/>
          <w:szCs w:val="21"/>
          <w:lang w:val="en-US" w:eastAsia="zh-CN"/>
        </w:rPr>
      </w:pPr>
      <w:r>
        <w:rPr>
          <w:rFonts w:hint="eastAsia" w:ascii="宋体" w:hAnsi="宋体" w:eastAsia="宋体" w:cs="宋体"/>
          <w:szCs w:val="21"/>
          <w:lang w:val="en-US" w:eastAsia="zh-CN"/>
        </w:rPr>
        <w:t>①涉及信息类产品，请填写该产品关键部件的品牌、型号：</w:t>
      </w:r>
    </w:p>
    <w:p w14:paraId="7215E9C0">
      <w:pPr>
        <w:numPr>
          <w:ilvl w:val="0"/>
          <w:numId w:val="0"/>
        </w:numPr>
        <w:shd w:val="clear" w:color="auto" w:fill="auto"/>
        <w:adjustRightInd w:val="0"/>
        <w:snapToGrid w:val="0"/>
        <w:spacing w:before="0" w:beforeLines="0" w:line="400" w:lineRule="exact"/>
        <w:ind w:firstLine="420" w:firstLineChars="200"/>
        <w:rPr>
          <w:rFonts w:hint="eastAsia" w:ascii="宋体" w:hAnsi="宋体" w:eastAsia="宋体" w:cs="宋体"/>
          <w:kern w:val="0"/>
          <w:szCs w:val="21"/>
          <w:u w:val="single"/>
          <w:lang w:val="en-US" w:eastAsia="zh-CN"/>
        </w:rPr>
      </w:pPr>
      <w:r>
        <w:rPr>
          <w:rFonts w:hint="eastAsia" w:ascii="宋体" w:hAnsi="宋体" w:eastAsia="宋体" w:cs="宋体"/>
          <w:szCs w:val="21"/>
          <w:lang w:val="en-US" w:eastAsia="zh-CN"/>
        </w:rPr>
        <w:t xml:space="preserve">     标的名称：</w:t>
      </w:r>
      <w:r>
        <w:rPr>
          <w:rFonts w:hint="eastAsia" w:ascii="宋体" w:hAnsi="宋体" w:eastAsia="宋体" w:cs="宋体"/>
          <w:kern w:val="0"/>
          <w:szCs w:val="21"/>
          <w:u w:val="single"/>
          <w:lang w:val="en-US" w:eastAsia="zh-CN"/>
        </w:rPr>
        <w:t xml:space="preserve">      </w:t>
      </w:r>
      <w:r>
        <w:rPr>
          <w:rFonts w:hint="eastAsia" w:ascii="宋体" w:hAnsi="宋体" w:eastAsia="宋体" w:cs="宋体"/>
          <w:kern w:val="0"/>
          <w:szCs w:val="21"/>
          <w:u w:val="single"/>
          <w:lang w:val="en" w:eastAsia="zh-CN"/>
        </w:rPr>
        <w:t xml:space="preserve">               </w:t>
      </w:r>
      <w:r>
        <w:rPr>
          <w:rFonts w:hint="eastAsia" w:ascii="宋体" w:hAnsi="宋体" w:eastAsia="宋体" w:cs="宋体"/>
          <w:kern w:val="0"/>
          <w:szCs w:val="21"/>
          <w:u w:val="single"/>
          <w:lang w:val="en-US" w:eastAsia="zh-CN"/>
        </w:rPr>
        <w:t xml:space="preserve">    </w:t>
      </w:r>
    </w:p>
    <w:p w14:paraId="56717E5D">
      <w:pPr>
        <w:numPr>
          <w:ilvl w:val="0"/>
          <w:numId w:val="0"/>
        </w:numPr>
        <w:shd w:val="clear" w:color="auto" w:fill="auto"/>
        <w:adjustRightInd w:val="0"/>
        <w:snapToGrid w:val="0"/>
        <w:spacing w:before="0" w:beforeLines="0" w:line="400" w:lineRule="exact"/>
        <w:ind w:firstLine="420" w:firstLineChars="20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关键部件：</w:t>
      </w:r>
      <w:r>
        <w:rPr>
          <w:rFonts w:hint="eastAsia" w:ascii="宋体" w:hAnsi="宋体" w:eastAsia="宋体" w:cs="宋体"/>
          <w:kern w:val="0"/>
          <w:szCs w:val="21"/>
          <w:u w:val="single"/>
          <w:lang w:val="en-US" w:eastAsia="zh-CN"/>
        </w:rPr>
        <w:t xml:space="preserve">          </w:t>
      </w:r>
      <w:r>
        <w:rPr>
          <w:rFonts w:hint="eastAsia" w:ascii="宋体" w:hAnsi="宋体" w:eastAsia="宋体" w:cs="宋体"/>
          <w:kern w:val="0"/>
          <w:szCs w:val="21"/>
          <w:u w:val="none"/>
          <w:lang w:val="en-US" w:eastAsia="zh-CN"/>
        </w:rPr>
        <w:t xml:space="preserve"> </w:t>
      </w:r>
      <w:r>
        <w:rPr>
          <w:rFonts w:hint="eastAsia" w:ascii="宋体" w:hAnsi="宋体" w:eastAsia="宋体" w:cs="宋体"/>
          <w:szCs w:val="21"/>
          <w:lang w:val="en-US" w:eastAsia="zh-CN"/>
        </w:rPr>
        <w:t>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w:t>
      </w:r>
      <w:r>
        <w:rPr>
          <w:rFonts w:hint="eastAsia" w:ascii="宋体" w:hAnsi="宋体" w:eastAsia="宋体" w:cs="宋体"/>
          <w:szCs w:val="21"/>
          <w:lang w:val="en-US" w:eastAsia="zh-CN"/>
        </w:rPr>
        <w:t>型号：</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p>
    <w:p w14:paraId="4CA5A1A3">
      <w:pPr>
        <w:pStyle w:val="43"/>
        <w:shd w:val="clear" w:color="auto" w:fill="auto"/>
        <w:spacing w:beforeLine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kern w:val="2"/>
          <w:sz w:val="21"/>
          <w:szCs w:val="21"/>
          <w:lang w:val="en-US" w:eastAsia="zh-CN"/>
        </w:rPr>
        <w:t>关键部件</w:t>
      </w:r>
      <w:r>
        <w:rPr>
          <w:rFonts w:hint="eastAsia" w:ascii="宋体" w:hAnsi="宋体" w:eastAsia="宋体" w:cs="宋体"/>
          <w:sz w:val="21"/>
          <w:szCs w:val="21"/>
          <w:lang w:val="en-US" w:eastAsia="zh-CN"/>
        </w:rPr>
        <w:t>：</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p>
    <w:p w14:paraId="781C218C">
      <w:pPr>
        <w:pStyle w:val="43"/>
        <w:shd w:val="clear" w:color="auto" w:fill="auto"/>
        <w:spacing w:beforeLine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型号：</w:t>
      </w:r>
      <w:r>
        <w:rPr>
          <w:rFonts w:hint="eastAsia" w:ascii="宋体" w:hAnsi="宋体" w:eastAsia="宋体" w:cs="宋体"/>
          <w:sz w:val="21"/>
          <w:szCs w:val="21"/>
          <w:u w:val="single"/>
          <w:lang w:val="en-US" w:eastAsia="zh-CN"/>
        </w:rPr>
        <w:t xml:space="preserve">       </w:t>
      </w:r>
    </w:p>
    <w:p w14:paraId="47E0E5FE">
      <w:pPr>
        <w:pStyle w:val="43"/>
        <w:numPr>
          <w:ilvl w:val="0"/>
          <w:numId w:val="0"/>
        </w:numPr>
        <w:shd w:val="clear" w:color="auto" w:fill="auto"/>
        <w:adjustRightInd w:val="0"/>
        <w:snapToGrid w:val="0"/>
        <w:spacing w:before="0" w:beforeLines="0" w:line="400" w:lineRule="exact"/>
        <w:ind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7C14857C">
      <w:pPr>
        <w:pStyle w:val="43"/>
        <w:numPr>
          <w:ilvl w:val="0"/>
          <w:numId w:val="0"/>
        </w:numPr>
        <w:shd w:val="clear" w:color="auto" w:fill="auto"/>
        <w:adjustRightInd w:val="0"/>
        <w:snapToGrid w:val="0"/>
        <w:spacing w:before="0" w:beforeLines="0" w:line="400" w:lineRule="exact"/>
        <w:ind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②涉及车辆采购，请填写是否属于新能源汽车：</w:t>
      </w:r>
    </w:p>
    <w:p w14:paraId="26B57392">
      <w:pPr>
        <w:pStyle w:val="43"/>
        <w:numPr>
          <w:ilvl w:val="0"/>
          <w:numId w:val="0"/>
        </w:numPr>
        <w:shd w:val="clear" w:color="auto" w:fill="auto"/>
        <w:adjustRightInd w:val="0"/>
        <w:snapToGrid w:val="0"/>
        <w:spacing w:before="0" w:beforeLines="0" w:line="400" w:lineRule="exact"/>
        <w:ind w:firstLine="0" w:firstLineChars="0"/>
        <w:rPr>
          <w:rFonts w:hint="eastAsia" w:ascii="宋体" w:hAnsi="宋体" w:eastAsia="宋体" w:cs="宋体"/>
          <w:iCs w:val="0"/>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rPr>
        <w:t>是</w:t>
      </w:r>
      <w:r>
        <w:rPr>
          <w:rFonts w:hint="eastAsia" w:ascii="宋体" w:hAnsi="宋体" w:eastAsia="宋体" w:cs="宋体"/>
          <w:iCs w:val="0"/>
          <w:sz w:val="21"/>
          <w:szCs w:val="21"/>
          <w:lang w:eastAsia="zh-CN"/>
        </w:rPr>
        <w:t>，《政府采购品目分类目录》底级品目名称</w:t>
      </w:r>
      <w:r>
        <w:rPr>
          <w:rFonts w:hint="eastAsia" w:ascii="宋体" w:hAnsi="宋体" w:eastAsia="宋体" w:cs="宋体"/>
          <w:sz w:val="21"/>
          <w:szCs w:val="21"/>
          <w:lang w:val="en-US" w:eastAsia="zh-CN"/>
        </w:rPr>
        <w:t>：</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lang w:val="en-US" w:eastAsia="zh-CN"/>
        </w:rPr>
        <w:t xml:space="preserve"> </w:t>
      </w:r>
    </w:p>
    <w:p w14:paraId="7E5628E1">
      <w:pPr>
        <w:pStyle w:val="43"/>
        <w:numPr>
          <w:ilvl w:val="0"/>
          <w:numId w:val="0"/>
        </w:numPr>
        <w:shd w:val="clear" w:color="auto" w:fill="auto"/>
        <w:adjustRightInd w:val="0"/>
        <w:snapToGrid w:val="0"/>
        <w:spacing w:before="0" w:beforeLines="0" w:line="400" w:lineRule="exact"/>
        <w:ind w:firstLine="0" w:firstLineChars="0"/>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FE"/>
      </w:r>
      <w:r>
        <w:rPr>
          <w:rFonts w:hint="eastAsia" w:ascii="宋体" w:hAnsi="宋体" w:eastAsia="宋体" w:cs="宋体"/>
          <w:iCs w:val="0"/>
          <w:sz w:val="21"/>
          <w:szCs w:val="21"/>
          <w:lang w:eastAsia="zh-CN"/>
        </w:rPr>
        <w:t>否</w:t>
      </w:r>
    </w:p>
    <w:p w14:paraId="2FCFBFE1">
      <w:pPr>
        <w:pStyle w:val="43"/>
        <w:numPr>
          <w:ilvl w:val="0"/>
          <w:numId w:val="0"/>
        </w:numPr>
        <w:shd w:val="clear" w:color="auto" w:fill="auto"/>
        <w:adjustRightInd w:val="0"/>
        <w:snapToGrid w:val="0"/>
        <w:spacing w:before="0" w:beforeLines="0" w:line="400" w:lineRule="exact"/>
        <w:ind w:left="0" w:firstLine="0" w:firstLineChars="0"/>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lang w:val="en" w:eastAsia="zh-CN"/>
        </w:rPr>
        <w:t>4</w:t>
      </w:r>
      <w:r>
        <w:rPr>
          <w:rFonts w:hint="eastAsia" w:ascii="宋体" w:hAnsi="宋体" w:eastAsia="宋体" w:cs="宋体"/>
          <w:iCs w:val="0"/>
          <w:sz w:val="21"/>
          <w:szCs w:val="21"/>
          <w:lang w:val="en-US" w:eastAsia="zh-CN"/>
        </w:rPr>
        <w:t>）政府采购组织形式：</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政府集中采购</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val="en-US" w:eastAsia="zh-CN"/>
        </w:rPr>
        <w:t xml:space="preserve">部门集中采购  </w:t>
      </w:r>
      <w:r>
        <w:rPr>
          <w:rFonts w:hint="eastAsia" w:ascii="宋体" w:hAnsi="宋体" w:eastAsia="宋体" w:cs="宋体"/>
          <w:iCs w:val="0"/>
          <w:sz w:val="21"/>
          <w:szCs w:val="21"/>
        </w:rPr>
        <w:sym w:font="Wingdings" w:char="00FE"/>
      </w:r>
      <w:r>
        <w:rPr>
          <w:rFonts w:hint="eastAsia" w:ascii="宋体" w:hAnsi="宋体" w:eastAsia="宋体" w:cs="宋体"/>
          <w:iCs w:val="0"/>
          <w:sz w:val="21"/>
          <w:szCs w:val="21"/>
          <w:lang w:val="en-US" w:eastAsia="zh-CN"/>
        </w:rPr>
        <w:t>分散采购</w:t>
      </w:r>
    </w:p>
    <w:p w14:paraId="6F6E5D04">
      <w:pPr>
        <w:pStyle w:val="43"/>
        <w:numPr>
          <w:ilvl w:val="0"/>
          <w:numId w:val="0"/>
        </w:numPr>
        <w:shd w:val="clear" w:color="auto" w:fill="auto"/>
        <w:adjustRightInd w:val="0"/>
        <w:snapToGrid w:val="0"/>
        <w:spacing w:before="0" w:beforeLines="0" w:line="400" w:lineRule="exact"/>
        <w:ind w:left="0" w:firstLine="420" w:firstLineChars="0"/>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w:t>
      </w:r>
      <w:r>
        <w:rPr>
          <w:rFonts w:hint="eastAsia" w:ascii="宋体" w:hAnsi="宋体" w:eastAsia="宋体" w:cs="宋体"/>
          <w:iCs w:val="0"/>
          <w:sz w:val="21"/>
          <w:szCs w:val="21"/>
          <w:lang w:val="en" w:eastAsia="zh-CN"/>
        </w:rPr>
        <w:t>5</w:t>
      </w:r>
      <w:r>
        <w:rPr>
          <w:rFonts w:hint="eastAsia" w:ascii="宋体" w:hAnsi="宋体" w:eastAsia="宋体" w:cs="宋体"/>
          <w:iCs w:val="0"/>
          <w:sz w:val="21"/>
          <w:szCs w:val="21"/>
          <w:lang w:val="en-US" w:eastAsia="zh-CN"/>
        </w:rPr>
        <w:t>）政府采购方式：</w:t>
      </w:r>
      <w:r>
        <w:rPr>
          <w:rFonts w:hint="eastAsia" w:ascii="宋体" w:hAnsi="宋体" w:eastAsia="宋体" w:cs="宋体"/>
          <w:iCs w:val="0"/>
          <w:sz w:val="21"/>
          <w:szCs w:val="21"/>
        </w:rPr>
        <w:sym w:font="Wingdings" w:char="00FE"/>
      </w:r>
      <w:r>
        <w:rPr>
          <w:rFonts w:hint="eastAsia" w:ascii="宋体" w:hAnsi="宋体" w:eastAsia="宋体" w:cs="宋体"/>
          <w:iCs w:val="0"/>
          <w:sz w:val="21"/>
          <w:szCs w:val="21"/>
          <w:lang w:eastAsia="zh-CN"/>
        </w:rPr>
        <w:t>公开招标</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邀请招标</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竞争性谈判</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竞争性磋商</w:t>
      </w:r>
    </w:p>
    <w:p w14:paraId="671BF395">
      <w:pPr>
        <w:pStyle w:val="43"/>
        <w:numPr>
          <w:ilvl w:val="0"/>
          <w:numId w:val="0"/>
        </w:numPr>
        <w:shd w:val="clear" w:color="auto" w:fill="auto"/>
        <w:adjustRightInd w:val="0"/>
        <w:snapToGrid w:val="0"/>
        <w:spacing w:before="0" w:beforeLines="0" w:line="400" w:lineRule="exact"/>
        <w:ind w:left="0" w:firstLine="420" w:firstLineChars="0"/>
        <w:rPr>
          <w:rFonts w:hint="eastAsia" w:ascii="宋体" w:hAnsi="宋体" w:eastAsia="宋体" w:cs="宋体"/>
          <w:iCs w:val="0"/>
          <w:sz w:val="21"/>
          <w:szCs w:val="21"/>
          <w:u w:val="single"/>
          <w:lang w:val="en-US" w:eastAsia="zh-CN"/>
        </w:rPr>
      </w:pPr>
      <w:r>
        <w:rPr>
          <w:rFonts w:hint="eastAsia" w:ascii="宋体" w:hAnsi="宋体" w:eastAsia="宋体" w:cs="宋体"/>
          <w:szCs w:val="21"/>
          <w:u w:val="none"/>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询价</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单一来源</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框架协议</w:t>
      </w:r>
      <w:r>
        <w:rPr>
          <w:rFonts w:hint="eastAsia" w:ascii="宋体" w:hAnsi="宋体" w:eastAsia="宋体" w:cs="宋体"/>
          <w:iCs w:val="0"/>
          <w:sz w:val="21"/>
          <w:szCs w:val="21"/>
          <w:lang w:val="en-US" w:eastAsia="zh-CN"/>
        </w:rPr>
        <w:t xml:space="preserve"> </w:t>
      </w:r>
      <w:r>
        <w:rPr>
          <w:rFonts w:hint="eastAsia" w:ascii="宋体" w:hAnsi="宋体" w:eastAsia="宋体" w:cs="宋体"/>
          <w:iCs w:val="0"/>
          <w:sz w:val="21"/>
          <w:szCs w:val="21"/>
        </w:rPr>
        <w:sym w:font="Wingdings" w:char="00A8"/>
      </w:r>
      <w:r>
        <w:rPr>
          <w:rFonts w:hint="eastAsia" w:ascii="宋体" w:hAnsi="宋体" w:eastAsia="宋体" w:cs="宋体"/>
          <w:iCs w:val="0"/>
          <w:sz w:val="21"/>
          <w:szCs w:val="21"/>
          <w:lang w:eastAsia="zh-CN"/>
        </w:rPr>
        <w:t>其他：</w:t>
      </w:r>
      <w:r>
        <w:rPr>
          <w:rFonts w:hint="eastAsia" w:ascii="宋体" w:hAnsi="宋体" w:eastAsia="宋体" w:cs="宋体"/>
          <w:iCs w:val="0"/>
          <w:sz w:val="21"/>
          <w:szCs w:val="21"/>
          <w:u w:val="single"/>
          <w:lang w:val="en-US" w:eastAsia="zh-CN"/>
        </w:rPr>
        <w:t xml:space="preserve">          </w:t>
      </w:r>
    </w:p>
    <w:p w14:paraId="54EA25C9">
      <w:pPr>
        <w:pStyle w:val="43"/>
        <w:numPr>
          <w:ilvl w:val="0"/>
          <w:numId w:val="0"/>
        </w:numPr>
        <w:shd w:val="clear" w:color="auto" w:fill="auto"/>
        <w:adjustRightInd w:val="0"/>
        <w:snapToGrid w:val="0"/>
        <w:spacing w:before="0" w:beforeLines="0" w:line="400" w:lineRule="exact"/>
        <w:ind w:firstLine="220" w:firstLineChars="100"/>
        <w:rPr>
          <w:rFonts w:hint="eastAsia" w:ascii="宋体" w:hAnsi="宋体" w:eastAsia="宋体" w:cs="宋体"/>
          <w:w w:val="100"/>
          <w:kern w:val="2"/>
          <w:sz w:val="21"/>
          <w:szCs w:val="21"/>
          <w:lang w:val="en-US" w:eastAsia="zh-CN" w:bidi="ar-SA"/>
        </w:rPr>
      </w:pPr>
      <w:r>
        <w:rPr>
          <w:rFonts w:hint="eastAsia" w:ascii="宋体" w:hAnsi="宋体" w:eastAsia="宋体" w:cs="宋体"/>
          <w:szCs w:val="21"/>
          <w:lang w:val="en-US" w:eastAsia="zh-CN"/>
        </w:rPr>
        <w:t xml:space="preserve"> （</w:t>
      </w:r>
      <w:r>
        <w:rPr>
          <w:rFonts w:hint="eastAsia" w:ascii="宋体" w:hAnsi="宋体" w:eastAsia="宋体" w:cs="宋体"/>
          <w:szCs w:val="21"/>
          <w:lang w:val="en" w:eastAsia="zh-CN"/>
        </w:rPr>
        <w:t>6</w:t>
      </w:r>
      <w:r>
        <w:rPr>
          <w:rFonts w:hint="eastAsia" w:ascii="宋体" w:hAnsi="宋体" w:eastAsia="宋体" w:cs="宋体"/>
          <w:szCs w:val="21"/>
          <w:lang w:val="en-US" w:eastAsia="zh-CN"/>
        </w:rPr>
        <w:t>）</w:t>
      </w:r>
      <w:r>
        <w:rPr>
          <w:rFonts w:hint="eastAsia" w:ascii="宋体" w:hAnsi="宋体" w:eastAsia="宋体" w:cs="宋体"/>
          <w:w w:val="100"/>
          <w:kern w:val="2"/>
          <w:sz w:val="21"/>
          <w:szCs w:val="21"/>
          <w:lang w:val="en-US" w:eastAsia="zh-CN" w:bidi="ar-SA"/>
        </w:rPr>
        <w:t>中标（成交）采购标的制造商是否为中小企业：</w:t>
      </w:r>
      <w:r>
        <w:rPr>
          <w:rFonts w:hint="eastAsia" w:ascii="宋体" w:hAnsi="宋体" w:eastAsia="宋体" w:cs="宋体"/>
          <w:w w:val="100"/>
          <w:kern w:val="2"/>
          <w:sz w:val="21"/>
          <w:szCs w:val="21"/>
          <w:lang w:val="en-US" w:eastAsia="zh-CN" w:bidi="ar-SA"/>
        </w:rPr>
        <w:sym w:font="Wingdings" w:char="00A8"/>
      </w:r>
      <w:r>
        <w:rPr>
          <w:rFonts w:hint="eastAsia" w:ascii="宋体" w:hAnsi="宋体" w:eastAsia="宋体" w:cs="宋体"/>
          <w:w w:val="100"/>
          <w:kern w:val="2"/>
          <w:sz w:val="21"/>
          <w:szCs w:val="21"/>
          <w:lang w:val="en-US" w:eastAsia="zh-CN" w:bidi="ar-SA"/>
        </w:rPr>
        <w:t xml:space="preserve">是      </w:t>
      </w:r>
      <w:r>
        <w:rPr>
          <w:rFonts w:hint="eastAsia" w:ascii="宋体" w:hAnsi="宋体" w:eastAsia="宋体" w:cs="宋体"/>
          <w:w w:val="100"/>
          <w:kern w:val="2"/>
          <w:sz w:val="21"/>
          <w:szCs w:val="21"/>
          <w:lang w:val="en-US" w:eastAsia="zh-CN" w:bidi="ar-SA"/>
        </w:rPr>
        <w:sym w:font="Wingdings" w:char="00A8"/>
      </w:r>
      <w:r>
        <w:rPr>
          <w:rFonts w:hint="eastAsia" w:ascii="宋体" w:hAnsi="宋体" w:eastAsia="宋体" w:cs="宋体"/>
          <w:w w:val="100"/>
          <w:kern w:val="2"/>
          <w:sz w:val="21"/>
          <w:szCs w:val="21"/>
          <w:lang w:val="en-US" w:eastAsia="zh-CN" w:bidi="ar-SA"/>
        </w:rPr>
        <w:t>否</w:t>
      </w:r>
    </w:p>
    <w:p w14:paraId="79365400">
      <w:pPr>
        <w:numPr>
          <w:ilvl w:val="0"/>
          <w:numId w:val="0"/>
        </w:numPr>
        <w:shd w:val="clear" w:color="auto" w:fill="auto"/>
        <w:adjustRightInd w:val="0"/>
        <w:snapToGrid w:val="0"/>
        <w:spacing w:before="0" w:beforeLines="0" w:line="400" w:lineRule="exact"/>
        <w:ind w:left="0" w:leftChars="0" w:firstLine="0" w:firstLineChars="0"/>
        <w:rPr>
          <w:rFonts w:hint="eastAsia" w:ascii="宋体" w:hAnsi="宋体" w:eastAsia="宋体" w:cs="宋体"/>
          <w:iCs/>
          <w:szCs w:val="21"/>
        </w:rPr>
      </w:pPr>
      <w:r>
        <w:rPr>
          <w:rFonts w:hint="eastAsia" w:ascii="宋体" w:hAnsi="宋体" w:eastAsia="宋体" w:cs="宋体"/>
          <w:w w:val="100"/>
          <w:szCs w:val="21"/>
          <w:lang w:val="en-US" w:eastAsia="zh-CN"/>
        </w:rPr>
        <w:t xml:space="preserve">         本合同</w:t>
      </w:r>
      <w:r>
        <w:rPr>
          <w:rFonts w:hint="eastAsia" w:ascii="宋体" w:hAnsi="宋体" w:eastAsia="宋体" w:cs="宋体"/>
          <w:w w:val="100"/>
          <w:szCs w:val="21"/>
        </w:rPr>
        <w:t>是否</w:t>
      </w:r>
      <w:r>
        <w:rPr>
          <w:rFonts w:hint="eastAsia" w:ascii="宋体" w:hAnsi="宋体" w:eastAsia="宋体" w:cs="宋体"/>
          <w:w w:val="100"/>
          <w:szCs w:val="21"/>
          <w:lang w:eastAsia="zh-CN"/>
        </w:rPr>
        <w:t>为专门面向</w:t>
      </w:r>
      <w:r>
        <w:rPr>
          <w:rFonts w:hint="eastAsia" w:ascii="宋体" w:hAnsi="宋体" w:eastAsia="宋体" w:cs="宋体"/>
          <w:w w:val="100"/>
          <w:szCs w:val="21"/>
        </w:rPr>
        <w:t>中小企业</w:t>
      </w:r>
      <w:r>
        <w:rPr>
          <w:rFonts w:hint="eastAsia" w:ascii="宋体" w:hAnsi="宋体" w:eastAsia="宋体" w:cs="宋体"/>
          <w:w w:val="100"/>
          <w:szCs w:val="21"/>
          <w:lang w:eastAsia="zh-CN"/>
        </w:rPr>
        <w:t>的采</w:t>
      </w:r>
      <w:r>
        <w:rPr>
          <w:rFonts w:hint="eastAsia" w:ascii="宋体" w:hAnsi="宋体" w:eastAsia="宋体" w:cs="宋体"/>
          <w:w w:val="100"/>
          <w:szCs w:val="21"/>
          <w:shd w:val="clear" w:color="auto" w:fill="auto"/>
          <w:lang w:eastAsia="zh-CN"/>
        </w:rPr>
        <w:t>购</w:t>
      </w:r>
      <w:r>
        <w:rPr>
          <w:rFonts w:hint="eastAsia" w:ascii="宋体" w:hAnsi="宋体" w:eastAsia="宋体" w:cs="宋体"/>
          <w:w w:val="100"/>
          <w:szCs w:val="21"/>
          <w:shd w:val="clear" w:color="auto" w:fill="auto"/>
        </w:rPr>
        <w:t>合同</w:t>
      </w:r>
      <w:r>
        <w:rPr>
          <w:rFonts w:hint="eastAsia" w:ascii="宋体" w:hAnsi="宋体" w:eastAsia="宋体" w:cs="宋体"/>
          <w:w w:val="100"/>
          <w:szCs w:val="21"/>
          <w:shd w:val="clear" w:color="auto" w:fill="auto"/>
          <w:lang w:eastAsia="zh-CN"/>
        </w:rPr>
        <w:t>（中小企业预留合同）</w:t>
      </w:r>
      <w:r>
        <w:rPr>
          <w:rFonts w:hint="eastAsia" w:ascii="宋体" w:hAnsi="宋体" w:eastAsia="宋体" w:cs="宋体"/>
          <w:szCs w:val="21"/>
          <w:shd w:val="clear" w:color="auto" w:fill="auto"/>
        </w:rPr>
        <w:t>：</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lang w:val="en-US" w:eastAsia="zh-CN"/>
        </w:rPr>
        <w:t xml:space="preserve">  </w:t>
      </w:r>
      <w:r>
        <w:rPr>
          <w:rFonts w:hint="eastAsia" w:ascii="宋体" w:hAnsi="宋体" w:eastAsia="宋体" w:cs="宋体"/>
          <w:iCs/>
          <w:szCs w:val="21"/>
        </w:rPr>
        <w:t xml:space="preserve"> </w:t>
      </w:r>
      <w:r>
        <w:rPr>
          <w:rFonts w:hint="eastAsia" w:ascii="宋体" w:hAnsi="宋体" w:eastAsia="宋体" w:cs="宋体"/>
          <w:iCs/>
          <w:szCs w:val="21"/>
        </w:rPr>
        <w:sym w:font="Wingdings" w:char="00A8"/>
      </w:r>
      <w:r>
        <w:rPr>
          <w:rFonts w:hint="eastAsia" w:ascii="宋体" w:hAnsi="宋体" w:eastAsia="宋体" w:cs="宋体"/>
          <w:iCs/>
          <w:szCs w:val="21"/>
        </w:rPr>
        <w:t>否</w:t>
      </w:r>
    </w:p>
    <w:p w14:paraId="67456632">
      <w:pPr>
        <w:numPr>
          <w:ilvl w:val="0"/>
          <w:numId w:val="0"/>
        </w:numPr>
        <w:shd w:val="clear" w:color="auto" w:fill="auto"/>
        <w:adjustRightInd w:val="0"/>
        <w:snapToGrid w:val="0"/>
        <w:spacing w:before="0" w:beforeLines="0" w:line="400" w:lineRule="exact"/>
        <w:ind w:firstLine="0" w:firstLineChars="0"/>
        <w:rPr>
          <w:rFonts w:hint="eastAsia" w:ascii="宋体" w:hAnsi="宋体" w:eastAsia="宋体" w:cs="宋体"/>
          <w:iCs/>
          <w:szCs w:val="21"/>
        </w:rPr>
      </w:pPr>
      <w:r>
        <w:rPr>
          <w:rFonts w:hint="eastAsia" w:ascii="宋体" w:hAnsi="宋体" w:eastAsia="宋体" w:cs="宋体"/>
          <w:lang w:val="en-US" w:eastAsia="zh-CN"/>
        </w:rPr>
        <w:t xml:space="preserve">         若本项目不专门面向中小企业采购，是否给予小微企业评审优惠：</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0F3941D9">
      <w:pPr>
        <w:numPr>
          <w:ilvl w:val="0"/>
          <w:numId w:val="0"/>
        </w:numPr>
        <w:shd w:val="clear" w:color="auto" w:fill="auto"/>
        <w:adjustRightInd w:val="0"/>
        <w:snapToGrid w:val="0"/>
        <w:spacing w:before="0" w:beforeLines="0" w:line="400" w:lineRule="exact"/>
        <w:ind w:firstLine="0" w:firstLineChars="0"/>
        <w:rPr>
          <w:rFonts w:hint="eastAsia" w:ascii="宋体" w:hAnsi="宋体" w:eastAsia="宋体" w:cs="宋体"/>
          <w:iCs/>
          <w:szCs w:val="21"/>
        </w:rPr>
      </w:pPr>
      <w:r>
        <w:rPr>
          <w:rFonts w:hint="eastAsia" w:ascii="宋体" w:hAnsi="宋体" w:eastAsia="宋体" w:cs="宋体"/>
          <w:lang w:val="en-US" w:eastAsia="zh-CN"/>
        </w:rPr>
        <w:t xml:space="preserve">         中标（成交）采购标的制造商是否为残疾人福利性单位：</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058A949B">
      <w:pPr>
        <w:numPr>
          <w:ilvl w:val="0"/>
          <w:numId w:val="0"/>
        </w:numPr>
        <w:shd w:val="clear" w:color="auto" w:fill="auto"/>
        <w:snapToGrid w:val="0"/>
        <w:spacing w:beforeLines="0" w:line="400" w:lineRule="exact"/>
        <w:ind w:firstLine="0" w:firstLineChars="0"/>
        <w:rPr>
          <w:rFonts w:hint="eastAsia" w:ascii="宋体" w:hAnsi="宋体" w:eastAsia="宋体" w:cs="宋体"/>
          <w:lang w:val="en-US" w:eastAsia="zh-CN"/>
        </w:rPr>
      </w:pPr>
      <w:r>
        <w:rPr>
          <w:rFonts w:hint="eastAsia" w:ascii="宋体" w:hAnsi="宋体" w:eastAsia="宋体" w:cs="宋体"/>
          <w:lang w:val="en-US" w:eastAsia="zh-CN"/>
        </w:rPr>
        <w:t xml:space="preserve">         中标（成交）采购标的制造商是否为监狱企业：</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A8"/>
      </w:r>
      <w:r>
        <w:rPr>
          <w:rFonts w:hint="eastAsia" w:ascii="宋体" w:hAnsi="宋体" w:eastAsia="宋体" w:cs="宋体"/>
          <w:iCs/>
          <w:szCs w:val="21"/>
        </w:rPr>
        <w:t>否</w:t>
      </w:r>
    </w:p>
    <w:p w14:paraId="469E9543">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 w:eastAsia="zh-CN"/>
        </w:rPr>
        <w:t>7</w:t>
      </w:r>
      <w:r>
        <w:rPr>
          <w:rFonts w:hint="eastAsia" w:ascii="宋体" w:hAnsi="宋体" w:eastAsia="宋体" w:cs="宋体"/>
          <w:szCs w:val="21"/>
        </w:rPr>
        <w:t>）合同是否分包：</w:t>
      </w:r>
      <w:r>
        <w:rPr>
          <w:rFonts w:hint="eastAsia" w:ascii="宋体" w:hAnsi="宋体" w:eastAsia="宋体" w:cs="宋体"/>
          <w:iCs/>
          <w:szCs w:val="21"/>
        </w:rPr>
        <w:sym w:font="Wingdings" w:char="00A8"/>
      </w:r>
      <w:r>
        <w:rPr>
          <w:rFonts w:hint="eastAsia" w:ascii="宋体" w:hAnsi="宋体" w:eastAsia="宋体" w:cs="宋体"/>
          <w:iCs/>
          <w:szCs w:val="21"/>
        </w:rPr>
        <w:t xml:space="preserve">是       </w:t>
      </w:r>
      <w:r>
        <w:rPr>
          <w:rFonts w:hint="eastAsia" w:ascii="宋体" w:hAnsi="宋体" w:eastAsia="宋体" w:cs="宋体"/>
          <w:iCs/>
          <w:szCs w:val="21"/>
        </w:rPr>
        <w:sym w:font="Wingdings" w:char="00FE"/>
      </w:r>
      <w:r>
        <w:rPr>
          <w:rFonts w:hint="eastAsia" w:ascii="宋体" w:hAnsi="宋体" w:eastAsia="宋体" w:cs="宋体"/>
          <w:iCs/>
          <w:szCs w:val="21"/>
        </w:rPr>
        <w:t>否</w:t>
      </w:r>
    </w:p>
    <w:p w14:paraId="583AB418">
      <w:pPr>
        <w:shd w:val="clear" w:color="auto" w:fill="auto"/>
        <w:adjustRightInd w:val="0"/>
        <w:snapToGrid w:val="0"/>
        <w:spacing w:before="0" w:beforeLines="0" w:line="400" w:lineRule="exact"/>
        <w:ind w:firstLine="840" w:firstLineChars="400"/>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分包主要内容：</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13D6A9A3">
      <w:pPr>
        <w:shd w:val="clear" w:color="auto" w:fill="auto"/>
        <w:adjustRightInd w:val="0"/>
        <w:snapToGrid w:val="0"/>
        <w:spacing w:before="0" w:beforeLines="0" w:line="400" w:lineRule="exact"/>
        <w:ind w:firstLine="840" w:firstLineChars="400"/>
        <w:rPr>
          <w:rFonts w:hint="eastAsia" w:ascii="宋体" w:hAnsi="宋体" w:eastAsia="宋体" w:cs="宋体"/>
          <w:szCs w:val="21"/>
          <w:highlight w:val="none"/>
        </w:rPr>
      </w:pPr>
      <w:r>
        <w:rPr>
          <w:rFonts w:hint="eastAsia" w:ascii="宋体" w:hAnsi="宋体" w:eastAsia="宋体" w:cs="宋体"/>
          <w:szCs w:val="21"/>
          <w:u w:val="none"/>
          <w:lang w:val="en-US" w:eastAsia="zh-CN"/>
        </w:rPr>
        <w:t xml:space="preserve"> </w:t>
      </w:r>
      <w:r>
        <w:rPr>
          <w:rFonts w:hint="eastAsia" w:ascii="宋体" w:hAnsi="宋体" w:eastAsia="宋体" w:cs="宋体"/>
          <w:szCs w:val="21"/>
        </w:rPr>
        <w:t>分包</w:t>
      </w:r>
      <w:r>
        <w:rPr>
          <w:rFonts w:hint="eastAsia" w:ascii="宋体" w:hAnsi="宋体" w:eastAsia="宋体" w:cs="宋体"/>
          <w:szCs w:val="21"/>
          <w:highlight w:val="none"/>
        </w:rPr>
        <w:t>供应商</w:t>
      </w:r>
      <w:r>
        <w:rPr>
          <w:rFonts w:hint="eastAsia" w:ascii="宋体" w:hAnsi="宋体" w:eastAsia="宋体" w:cs="宋体"/>
          <w:szCs w:val="21"/>
          <w:highlight w:val="none"/>
          <w:lang w:eastAsia="zh-CN"/>
        </w:rPr>
        <w:t>/制造商</w:t>
      </w:r>
      <w:r>
        <w:rPr>
          <w:rFonts w:hint="eastAsia" w:ascii="宋体" w:hAnsi="宋体" w:eastAsia="宋体" w:cs="宋体"/>
          <w:szCs w:val="21"/>
          <w:highlight w:val="none"/>
        </w:rPr>
        <w:t>名称</w:t>
      </w:r>
      <w:r>
        <w:rPr>
          <w:rFonts w:hint="eastAsia" w:ascii="宋体" w:hAnsi="宋体" w:eastAsia="宋体" w:cs="宋体"/>
          <w:szCs w:val="21"/>
          <w:highlight w:val="none"/>
          <w:lang w:eastAsia="zh-CN"/>
        </w:rPr>
        <w:t>（如供应商和制造商不同，请分别填写）</w:t>
      </w:r>
      <w:r>
        <w:rPr>
          <w:rFonts w:hint="eastAsia" w:ascii="宋体" w:hAnsi="宋体" w:eastAsia="宋体" w:cs="宋体"/>
          <w:szCs w:val="21"/>
          <w:highlight w:val="none"/>
        </w:rPr>
        <w:t>：</w:t>
      </w:r>
    </w:p>
    <w:p w14:paraId="056D477B">
      <w:pPr>
        <w:shd w:val="clear" w:color="auto" w:fill="auto"/>
        <w:adjustRightInd w:val="0"/>
        <w:snapToGrid w:val="0"/>
        <w:spacing w:before="0" w:beforeLines="0" w:line="400" w:lineRule="exact"/>
        <w:ind w:firstLine="840" w:firstLineChars="400"/>
        <w:rPr>
          <w:rFonts w:hint="eastAsia" w:ascii="宋体" w:hAnsi="宋体" w:eastAsia="宋体" w:cs="宋体"/>
          <w:szCs w:val="21"/>
          <w:highlight w:val="none"/>
          <w:u w:val="single"/>
        </w:rPr>
      </w:pPr>
      <w:r>
        <w:rPr>
          <w:rFonts w:hint="eastAsia" w:ascii="宋体" w:hAnsi="宋体" w:eastAsia="宋体" w:cs="宋体"/>
          <w:szCs w:val="21"/>
          <w:highlight w:val="none"/>
          <w:u w:val="non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p>
    <w:p w14:paraId="7C55EBCC">
      <w:pPr>
        <w:shd w:val="clear" w:color="auto" w:fill="auto"/>
        <w:adjustRightInd w:val="0"/>
        <w:snapToGrid w:val="0"/>
        <w:spacing w:before="0" w:beforeLines="0" w:line="400" w:lineRule="exact"/>
        <w:ind w:firstLine="840" w:firstLineChars="400"/>
        <w:rPr>
          <w:rFonts w:hint="eastAsia" w:ascii="宋体" w:hAnsi="宋体" w:eastAsia="宋体" w:cs="宋体"/>
          <w:szCs w:val="21"/>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分包供应商</w:t>
      </w:r>
      <w:r>
        <w:rPr>
          <w:rFonts w:hint="eastAsia" w:ascii="宋体" w:hAnsi="宋体" w:eastAsia="宋体" w:cs="宋体"/>
          <w:szCs w:val="21"/>
          <w:highlight w:val="none"/>
          <w:lang w:val="en-US" w:eastAsia="zh-CN"/>
        </w:rPr>
        <w:t>/</w:t>
      </w:r>
      <w:r>
        <w:rPr>
          <w:rFonts w:hint="eastAsia" w:ascii="宋体" w:hAnsi="宋体" w:eastAsia="宋体" w:cs="宋体"/>
          <w:szCs w:val="21"/>
          <w:highlight w:val="none"/>
          <w:lang w:eastAsia="zh-CN"/>
        </w:rPr>
        <w:t>制造商</w:t>
      </w:r>
      <w:r>
        <w:rPr>
          <w:rFonts w:hint="eastAsia" w:ascii="宋体" w:hAnsi="宋体" w:eastAsia="宋体" w:cs="宋体"/>
          <w:szCs w:val="21"/>
        </w:rPr>
        <w:t>类型</w:t>
      </w:r>
      <w:r>
        <w:rPr>
          <w:rFonts w:hint="eastAsia" w:ascii="宋体" w:hAnsi="宋体" w:eastAsia="宋体" w:cs="宋体"/>
          <w:szCs w:val="21"/>
          <w:highlight w:val="none"/>
          <w:lang w:eastAsia="zh-CN"/>
        </w:rPr>
        <w:t>（如果供应商和制造商不同，只填写制造商类型）</w:t>
      </w:r>
      <w:r>
        <w:rPr>
          <w:rFonts w:hint="eastAsia" w:ascii="宋体" w:hAnsi="宋体" w:eastAsia="宋体" w:cs="宋体"/>
          <w:szCs w:val="21"/>
        </w:rPr>
        <w:t>：</w:t>
      </w:r>
    </w:p>
    <w:p w14:paraId="5789F7CD">
      <w:pPr>
        <w:shd w:val="clear" w:color="auto" w:fill="auto"/>
        <w:adjustRightInd w:val="0"/>
        <w:snapToGrid w:val="0"/>
        <w:spacing w:beforeLines="0" w:line="400" w:lineRule="exact"/>
        <w:ind w:firstLine="840" w:firstLineChars="400"/>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rPr>
        <w:t xml:space="preserve">大型企业  </w:t>
      </w:r>
      <w:r>
        <w:rPr>
          <w:rFonts w:hint="eastAsia" w:ascii="宋体" w:hAnsi="宋体" w:eastAsia="宋体" w:cs="宋体"/>
          <w:iCs/>
          <w:szCs w:val="21"/>
        </w:rPr>
        <w:sym w:font="Wingdings" w:char="00A8"/>
      </w:r>
      <w:r>
        <w:rPr>
          <w:rFonts w:hint="eastAsia" w:ascii="宋体" w:hAnsi="宋体" w:eastAsia="宋体" w:cs="宋体"/>
          <w:iCs/>
          <w:szCs w:val="21"/>
        </w:rPr>
        <w:t xml:space="preserve">中型企业  </w:t>
      </w:r>
      <w:r>
        <w:rPr>
          <w:rFonts w:hint="eastAsia" w:ascii="宋体" w:hAnsi="宋体" w:eastAsia="宋体" w:cs="宋体"/>
          <w:iCs/>
          <w:szCs w:val="21"/>
        </w:rPr>
        <w:sym w:font="Wingdings" w:char="00A8"/>
      </w:r>
      <w:r>
        <w:rPr>
          <w:rFonts w:hint="eastAsia" w:ascii="宋体" w:hAnsi="宋体" w:eastAsia="宋体" w:cs="宋体"/>
          <w:iCs/>
          <w:szCs w:val="21"/>
        </w:rPr>
        <w:t>小微型企业</w:t>
      </w:r>
      <w:r>
        <w:rPr>
          <w:rFonts w:hint="eastAsia" w:ascii="宋体" w:hAnsi="宋体" w:eastAsia="宋体" w:cs="宋体"/>
          <w:iCs/>
          <w:szCs w:val="21"/>
          <w:lang w:val="en-US" w:eastAsia="zh-CN"/>
        </w:rPr>
        <w:t xml:space="preserve">  </w:t>
      </w:r>
    </w:p>
    <w:p w14:paraId="18C7CCC5">
      <w:pPr>
        <w:shd w:val="clear" w:color="auto" w:fill="auto"/>
        <w:adjustRightInd w:val="0"/>
        <w:snapToGrid w:val="0"/>
        <w:spacing w:beforeLines="0" w:line="400" w:lineRule="exact"/>
        <w:ind w:firstLine="840" w:firstLineChars="400"/>
        <w:rPr>
          <w:rFonts w:hint="eastAsia" w:ascii="宋体" w:hAnsi="宋体" w:eastAsia="宋体" w:cs="宋体"/>
          <w:u w:val="none"/>
          <w:lang w:val="en-US" w:eastAsia="zh-CN"/>
        </w:rPr>
      </w:pP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残疾人福利性单位</w:t>
      </w: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监狱</w:t>
      </w:r>
      <w:r>
        <w:rPr>
          <w:rFonts w:hint="eastAsia" w:ascii="宋体" w:hAnsi="宋体" w:eastAsia="宋体" w:cs="宋体"/>
          <w:iCs/>
          <w:szCs w:val="21"/>
        </w:rPr>
        <w:t>企业</w:t>
      </w: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其他</w:t>
      </w:r>
    </w:p>
    <w:p w14:paraId="7FD3D3A5">
      <w:pPr>
        <w:numPr>
          <w:ilvl w:val="0"/>
          <w:numId w:val="0"/>
        </w:numPr>
        <w:shd w:val="clear" w:color="auto" w:fill="auto"/>
        <w:adjustRightInd w:val="0"/>
        <w:snapToGrid w:val="0"/>
        <w:spacing w:before="0" w:beforeLines="0" w:line="400" w:lineRule="exact"/>
        <w:ind w:left="0" w:leftChars="0" w:firstLine="0" w:firstLineChars="0"/>
        <w:rPr>
          <w:rFonts w:hint="eastAsia" w:ascii="宋体" w:hAnsi="宋体" w:eastAsia="宋体" w:cs="宋体"/>
          <w:iCs/>
          <w:szCs w:val="21"/>
          <w:highlight w:val="none"/>
        </w:rPr>
      </w:pP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highlight w:val="none"/>
          <w:u w:val="none"/>
          <w:lang w:val="en" w:eastAsia="zh-CN"/>
        </w:rPr>
        <w:t>8</w:t>
      </w:r>
      <w:r>
        <w:rPr>
          <w:rFonts w:hint="eastAsia" w:ascii="宋体" w:hAnsi="宋体" w:eastAsia="宋体" w:cs="宋体"/>
          <w:szCs w:val="21"/>
          <w:highlight w:val="none"/>
          <w:u w:val="none"/>
          <w:lang w:val="en-US" w:eastAsia="zh-CN"/>
        </w:rPr>
        <w:t>）中标（成交）供应商是否为外商投资企业：</w:t>
      </w:r>
      <w:r>
        <w:rPr>
          <w:rFonts w:hint="eastAsia" w:ascii="宋体" w:hAnsi="宋体" w:eastAsia="宋体" w:cs="宋体"/>
          <w:iCs/>
          <w:szCs w:val="21"/>
          <w:highlight w:val="none"/>
        </w:rPr>
        <w:sym w:font="Wingdings" w:char="00A8"/>
      </w:r>
      <w:r>
        <w:rPr>
          <w:rFonts w:hint="eastAsia" w:ascii="宋体" w:hAnsi="宋体" w:eastAsia="宋体" w:cs="宋体"/>
          <w:iCs/>
          <w:szCs w:val="21"/>
          <w:highlight w:val="none"/>
        </w:rPr>
        <w:t xml:space="preserve">是       </w:t>
      </w:r>
      <w:r>
        <w:rPr>
          <w:rFonts w:hint="eastAsia" w:ascii="宋体" w:hAnsi="宋体" w:eastAsia="宋体" w:cs="宋体"/>
          <w:iCs/>
          <w:szCs w:val="21"/>
          <w:highlight w:val="none"/>
        </w:rPr>
        <w:sym w:font="Wingdings" w:char="00FE"/>
      </w:r>
      <w:r>
        <w:rPr>
          <w:rFonts w:hint="eastAsia" w:ascii="宋体" w:hAnsi="宋体" w:eastAsia="宋体" w:cs="宋体"/>
          <w:iCs/>
          <w:szCs w:val="21"/>
          <w:highlight w:val="none"/>
        </w:rPr>
        <w:t>否</w:t>
      </w:r>
    </w:p>
    <w:p w14:paraId="62D350D1">
      <w:pPr>
        <w:pStyle w:val="43"/>
        <w:shd w:val="clear" w:color="auto" w:fill="auto"/>
        <w:tabs>
          <w:tab w:val="left" w:pos="1340"/>
        </w:tabs>
        <w:spacing w:beforeLines="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hint="eastAsia" w:ascii="宋体" w:hAnsi="宋体" w:eastAsia="宋体" w:cs="宋体"/>
          <w:iCs/>
          <w:sz w:val="21"/>
          <w:szCs w:val="21"/>
          <w:highlight w:val="none"/>
        </w:rPr>
        <w:sym w:font="Wingdings" w:char="00A8"/>
      </w:r>
      <w:r>
        <w:rPr>
          <w:rFonts w:hint="eastAsia" w:ascii="宋体" w:hAnsi="宋体" w:eastAsia="宋体" w:cs="宋体"/>
          <w:sz w:val="21"/>
          <w:szCs w:val="21"/>
          <w:highlight w:val="none"/>
          <w:u w:val="none"/>
          <w:lang w:val="en-US" w:eastAsia="zh-CN"/>
        </w:rPr>
        <w:t xml:space="preserve">全部由外国投资者投资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val="en-US" w:eastAsia="zh-CN"/>
        </w:rPr>
        <w:t>部分由外国投资者投资</w:t>
      </w:r>
    </w:p>
    <w:p w14:paraId="1B63C27E">
      <w:pPr>
        <w:numPr>
          <w:ilvl w:val="0"/>
          <w:numId w:val="0"/>
        </w:numPr>
        <w:shd w:val="clear" w:color="auto" w:fill="auto"/>
        <w:adjustRightInd w:val="0"/>
        <w:snapToGrid w:val="0"/>
        <w:spacing w:before="0" w:beforeLines="0" w:line="400" w:lineRule="exact"/>
        <w:ind w:firstLine="420" w:firstLineChars="200"/>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w:t>
      </w:r>
      <w:r>
        <w:rPr>
          <w:rFonts w:hint="eastAsia" w:ascii="宋体" w:hAnsi="宋体" w:eastAsia="宋体" w:cs="宋体"/>
          <w:b w:val="0"/>
          <w:bCs w:val="0"/>
          <w:sz w:val="21"/>
          <w:szCs w:val="21"/>
          <w:u w:val="none"/>
          <w:lang w:val="en" w:eastAsia="zh-CN"/>
        </w:rPr>
        <w:t>9</w:t>
      </w:r>
      <w:r>
        <w:rPr>
          <w:rFonts w:hint="eastAsia" w:ascii="宋体" w:hAnsi="宋体" w:eastAsia="宋体" w:cs="宋体"/>
          <w:b w:val="0"/>
          <w:bCs w:val="0"/>
          <w:sz w:val="21"/>
          <w:szCs w:val="21"/>
          <w:u w:val="none"/>
          <w:lang w:val="en-US" w:eastAsia="zh-CN"/>
        </w:rPr>
        <w:t>）是否涉及进口产品：</w:t>
      </w:r>
    </w:p>
    <w:p w14:paraId="10A74250">
      <w:pPr>
        <w:numPr>
          <w:ilvl w:val="0"/>
          <w:numId w:val="0"/>
        </w:numPr>
        <w:shd w:val="clear" w:color="auto" w:fill="auto"/>
        <w:adjustRightInd w:val="0"/>
        <w:snapToGrid w:val="0"/>
        <w:spacing w:before="0" w:beforeLines="0" w:line="400" w:lineRule="exact"/>
        <w:ind w:firstLine="840" w:firstLineChars="400"/>
        <w:rPr>
          <w:rFonts w:hint="eastAsia" w:ascii="宋体" w:hAnsi="宋体" w:eastAsia="宋体" w:cs="宋体"/>
          <w:szCs w:val="21"/>
          <w:u w:val="single"/>
          <w:lang w:val="en-US" w:eastAsia="zh-CN"/>
        </w:rPr>
      </w:pPr>
      <w:r>
        <w:rPr>
          <w:rFonts w:hint="eastAsia" w:ascii="宋体" w:hAnsi="宋体" w:eastAsia="宋体" w:cs="宋体"/>
          <w:iCs w:val="0"/>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是</w:t>
      </w:r>
      <w:r>
        <w:rPr>
          <w:rFonts w:hint="eastAsia" w:ascii="宋体" w:hAnsi="宋体" w:eastAsia="宋体" w:cs="宋体"/>
          <w:iCs w:val="0"/>
          <w:szCs w:val="21"/>
          <w:lang w:eastAsia="zh-CN"/>
        </w:rPr>
        <w:t>，《政府采购品目分类目录》底级品目名称</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金额：</w:t>
      </w:r>
      <w:r>
        <w:rPr>
          <w:rFonts w:hint="eastAsia" w:ascii="宋体" w:hAnsi="宋体" w:eastAsia="宋体" w:cs="宋体"/>
          <w:szCs w:val="21"/>
          <w:u w:val="single"/>
          <w:lang w:val="en-US" w:eastAsia="zh-CN"/>
        </w:rPr>
        <w:t xml:space="preserve">        </w:t>
      </w:r>
    </w:p>
    <w:p w14:paraId="467FDC8B">
      <w:pPr>
        <w:numPr>
          <w:ilvl w:val="0"/>
          <w:numId w:val="0"/>
        </w:numPr>
        <w:shd w:val="clear" w:color="auto" w:fill="auto"/>
        <w:adjustRightInd w:val="0"/>
        <w:snapToGrid w:val="0"/>
        <w:spacing w:before="0" w:beforeLines="0" w:line="400" w:lineRule="exact"/>
        <w:ind w:firstLine="840" w:firstLineChars="400"/>
        <w:rPr>
          <w:rFonts w:hint="eastAsia" w:ascii="宋体" w:hAnsi="宋体" w:eastAsia="宋体" w:cs="宋体"/>
          <w:iCs w:val="0"/>
          <w:szCs w:val="21"/>
        </w:rPr>
      </w:pPr>
      <w:r>
        <w:rPr>
          <w:rFonts w:hint="eastAsia" w:ascii="宋体" w:hAnsi="宋体" w:eastAsia="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cs="宋体"/>
          <w:iCs w:val="0"/>
          <w:szCs w:val="21"/>
        </w:rPr>
        <w:t xml:space="preserve">      </w:t>
      </w:r>
    </w:p>
    <w:p w14:paraId="182DE4DE">
      <w:pPr>
        <w:shd w:val="clear" w:color="auto" w:fill="auto"/>
        <w:adjustRightInd w:val="0"/>
        <w:snapToGrid w:val="0"/>
        <w:spacing w:before="0" w:beforeLines="0" w:line="400" w:lineRule="exact"/>
        <w:ind w:firstLine="840" w:firstLineChars="400"/>
        <w:rPr>
          <w:rFonts w:hint="eastAsia" w:ascii="宋体" w:hAnsi="宋体" w:eastAsia="宋体" w:cs="宋体"/>
          <w:szCs w:val="21"/>
          <w:u w:val="none"/>
          <w:lang w:val="en-US" w:eastAsia="zh-CN"/>
        </w:rPr>
      </w:pPr>
      <w:r>
        <w:rPr>
          <w:rFonts w:hint="eastAsia" w:ascii="宋体" w:hAnsi="宋体" w:eastAsia="宋体" w:cs="宋体"/>
          <w:iCs w:val="0"/>
          <w:szCs w:val="21"/>
          <w:lang w:val="en-US" w:eastAsia="zh-CN"/>
        </w:rPr>
        <w:t xml:space="preserve"> </w:t>
      </w:r>
      <w:r>
        <w:rPr>
          <w:rFonts w:hint="eastAsia" w:ascii="宋体" w:hAnsi="宋体" w:eastAsia="宋体" w:cs="宋体"/>
          <w:iCs w:val="0"/>
          <w:szCs w:val="21"/>
        </w:rPr>
        <w:sym w:font="Wingdings" w:char="00FE"/>
      </w:r>
      <w:r>
        <w:rPr>
          <w:rFonts w:hint="eastAsia" w:ascii="宋体" w:hAnsi="宋体" w:eastAsia="宋体" w:cs="宋体"/>
          <w:iCs w:val="0"/>
          <w:szCs w:val="21"/>
          <w:lang w:eastAsia="zh-CN"/>
        </w:rPr>
        <w:t>否</w:t>
      </w:r>
    </w:p>
    <w:p w14:paraId="1DB21012">
      <w:pPr>
        <w:numPr>
          <w:ilvl w:val="0"/>
          <w:numId w:val="0"/>
        </w:numPr>
        <w:shd w:val="clear" w:color="auto" w:fill="auto"/>
        <w:tabs>
          <w:tab w:val="left" w:pos="740"/>
        </w:tabs>
        <w:adjustRightInd w:val="0"/>
        <w:snapToGrid w:val="0"/>
        <w:spacing w:before="0" w:beforeLines="0" w:line="400" w:lineRule="exact"/>
        <w:ind w:left="0" w:firstLine="0" w:firstLineChars="0"/>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    （1</w:t>
      </w:r>
      <w:r>
        <w:rPr>
          <w:rFonts w:hint="eastAsia" w:ascii="宋体" w:hAnsi="宋体" w:eastAsia="宋体" w:cs="宋体"/>
          <w:b w:val="0"/>
          <w:bCs w:val="0"/>
          <w:sz w:val="21"/>
          <w:szCs w:val="21"/>
          <w:u w:val="none"/>
          <w:lang w:val="en" w:eastAsia="zh-CN"/>
        </w:rPr>
        <w:t>0</w:t>
      </w:r>
      <w:r>
        <w:rPr>
          <w:rFonts w:hint="eastAsia" w:ascii="宋体" w:hAnsi="宋体" w:eastAsia="宋体" w:cs="宋体"/>
          <w:b w:val="0"/>
          <w:bCs w:val="0"/>
          <w:sz w:val="21"/>
          <w:szCs w:val="21"/>
          <w:u w:val="none"/>
          <w:lang w:val="en-US" w:eastAsia="zh-CN"/>
        </w:rPr>
        <w:t>）是否涉及节能产品：</w:t>
      </w:r>
    </w:p>
    <w:p w14:paraId="3FCA3535">
      <w:pPr>
        <w:numPr>
          <w:ilvl w:val="0"/>
          <w:numId w:val="0"/>
        </w:numPr>
        <w:shd w:val="clear" w:color="auto" w:fill="auto"/>
        <w:tabs>
          <w:tab w:val="left" w:pos="740"/>
        </w:tabs>
        <w:adjustRightInd w:val="0"/>
        <w:snapToGrid w:val="0"/>
        <w:spacing w:before="0" w:beforeLines="0" w:line="400" w:lineRule="exact"/>
        <w:ind w:firstLine="0" w:firstLineChars="0"/>
        <w:rPr>
          <w:rFonts w:hint="eastAsia" w:ascii="宋体" w:hAnsi="宋体" w:eastAsia="宋体" w:cs="宋体"/>
          <w:iCs/>
          <w:szCs w:val="21"/>
          <w:lang w:val="en-US" w:eastAsia="zh-CN"/>
        </w:rPr>
      </w:pPr>
      <w:r>
        <w:rPr>
          <w:rFonts w:hint="eastAsia" w:ascii="宋体" w:hAnsi="宋体" w:eastAsia="宋体" w:cs="宋体"/>
          <w:b w:val="0"/>
          <w:bCs w:val="0"/>
          <w:sz w:val="21"/>
          <w:szCs w:val="21"/>
          <w:u w:val="none"/>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是</w:t>
      </w:r>
      <w:r>
        <w:rPr>
          <w:rFonts w:hint="eastAsia" w:ascii="宋体" w:hAnsi="宋体" w:eastAsia="宋体" w:cs="宋体"/>
          <w:iCs w:val="0"/>
          <w:szCs w:val="21"/>
          <w:lang w:eastAsia="zh-CN"/>
        </w:rPr>
        <w:t>，《节能产品政府采购品目清单》的底级品目名称：</w:t>
      </w:r>
      <w:r>
        <w:rPr>
          <w:rFonts w:hint="eastAsia" w:ascii="宋体" w:hAnsi="宋体" w:eastAsia="宋体" w:cs="宋体"/>
          <w:szCs w:val="21"/>
          <w:u w:val="single"/>
          <w:lang w:val="en-US" w:eastAsia="zh-CN"/>
        </w:rPr>
        <w:t xml:space="preserve">         </w:t>
      </w:r>
      <w:r>
        <w:rPr>
          <w:rFonts w:hint="eastAsia" w:ascii="宋体" w:hAnsi="宋体" w:eastAsia="宋体" w:cs="宋体"/>
          <w:iCs/>
          <w:szCs w:val="21"/>
          <w:lang w:val="en-US" w:eastAsia="zh-CN"/>
        </w:rPr>
        <w:t xml:space="preserve">     </w:t>
      </w:r>
    </w:p>
    <w:p w14:paraId="500446FD">
      <w:pPr>
        <w:numPr>
          <w:ilvl w:val="0"/>
          <w:numId w:val="0"/>
        </w:numPr>
        <w:shd w:val="clear" w:color="auto" w:fill="auto"/>
        <w:tabs>
          <w:tab w:val="left" w:pos="740"/>
        </w:tabs>
        <w:adjustRightInd w:val="0"/>
        <w:snapToGrid w:val="0"/>
        <w:spacing w:before="0" w:beforeLines="0" w:line="400" w:lineRule="exact"/>
        <w:ind w:firstLine="0" w:firstLineChars="0"/>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强制采购</w:t>
      </w: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优先采购</w:t>
      </w:r>
      <w:r>
        <w:rPr>
          <w:rFonts w:hint="eastAsia" w:ascii="宋体" w:hAnsi="宋体" w:eastAsia="宋体" w:cs="宋体"/>
          <w:iCs/>
          <w:szCs w:val="21"/>
          <w:lang w:val="en-US" w:eastAsia="zh-CN"/>
        </w:rPr>
        <w:t xml:space="preserve">    </w:t>
      </w:r>
    </w:p>
    <w:p w14:paraId="138518EA">
      <w:pPr>
        <w:numPr>
          <w:ilvl w:val="0"/>
          <w:numId w:val="0"/>
        </w:numPr>
        <w:shd w:val="clear" w:color="auto" w:fill="auto"/>
        <w:tabs>
          <w:tab w:val="left" w:pos="740"/>
        </w:tabs>
        <w:adjustRightInd w:val="0"/>
        <w:snapToGrid w:val="0"/>
        <w:spacing w:before="0" w:beforeLines="0" w:line="400" w:lineRule="exact"/>
        <w:ind w:firstLine="0" w:firstLineChars="0"/>
        <w:rPr>
          <w:rFonts w:hint="eastAsia" w:ascii="宋体" w:hAnsi="宋体" w:eastAsia="宋体" w:cs="宋体"/>
          <w:iCs w:val="0"/>
          <w:szCs w:val="21"/>
        </w:rPr>
      </w:pPr>
      <w:r>
        <w:rPr>
          <w:rFonts w:hint="eastAsia" w:ascii="宋体" w:hAnsi="宋体" w:eastAsia="宋体" w:cs="宋体"/>
          <w:iCs/>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否</w:t>
      </w:r>
    </w:p>
    <w:p w14:paraId="4786AC26">
      <w:pPr>
        <w:numPr>
          <w:ilvl w:val="0"/>
          <w:numId w:val="0"/>
        </w:numPr>
        <w:shd w:val="clear" w:color="auto" w:fill="auto"/>
        <w:tabs>
          <w:tab w:val="left" w:pos="740"/>
        </w:tabs>
        <w:adjustRightInd w:val="0"/>
        <w:snapToGrid w:val="0"/>
        <w:spacing w:before="0" w:beforeLines="0" w:line="400" w:lineRule="exact"/>
        <w:ind w:left="0" w:firstLine="0" w:firstLineChars="0"/>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          是否涉及环境标志产品：</w:t>
      </w:r>
    </w:p>
    <w:p w14:paraId="4911A420">
      <w:pPr>
        <w:numPr>
          <w:ilvl w:val="0"/>
          <w:numId w:val="0"/>
        </w:numPr>
        <w:shd w:val="clear" w:color="auto" w:fill="auto"/>
        <w:tabs>
          <w:tab w:val="left" w:pos="740"/>
        </w:tabs>
        <w:adjustRightInd w:val="0"/>
        <w:snapToGrid w:val="0"/>
        <w:spacing w:before="0" w:beforeLines="0" w:line="400" w:lineRule="exact"/>
        <w:ind w:firstLine="0" w:firstLineChars="0"/>
        <w:rPr>
          <w:rFonts w:hint="eastAsia" w:ascii="宋体" w:hAnsi="宋体" w:eastAsia="宋体" w:cs="宋体"/>
          <w:iCs w:val="0"/>
          <w:szCs w:val="21"/>
          <w:lang w:eastAsia="zh-CN"/>
        </w:rPr>
      </w:pPr>
      <w:r>
        <w:rPr>
          <w:rFonts w:hint="eastAsia" w:ascii="宋体" w:hAnsi="宋体" w:eastAsia="宋体" w:cs="宋体"/>
          <w:b w:val="0"/>
          <w:bCs w:val="0"/>
          <w:sz w:val="21"/>
          <w:szCs w:val="21"/>
          <w:u w:val="none"/>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是</w:t>
      </w:r>
      <w:r>
        <w:rPr>
          <w:rFonts w:hint="eastAsia" w:ascii="宋体" w:hAnsi="宋体" w:eastAsia="宋体" w:cs="宋体"/>
          <w:iCs w:val="0"/>
          <w:szCs w:val="21"/>
          <w:lang w:eastAsia="zh-CN"/>
        </w:rPr>
        <w:t>，《环境标志产品政府采购品目清单》的底级品目名称：</w:t>
      </w:r>
      <w:r>
        <w:rPr>
          <w:rFonts w:hint="eastAsia" w:ascii="宋体" w:hAnsi="宋体" w:eastAsia="宋体" w:cs="宋体"/>
          <w:szCs w:val="21"/>
          <w:u w:val="single"/>
          <w:lang w:val="en-US" w:eastAsia="zh-CN"/>
        </w:rPr>
        <w:t xml:space="preserve">         </w:t>
      </w:r>
      <w:r>
        <w:rPr>
          <w:rFonts w:hint="eastAsia" w:ascii="宋体" w:hAnsi="宋体" w:eastAsia="宋体" w:cs="宋体"/>
          <w:iCs/>
          <w:szCs w:val="21"/>
          <w:lang w:val="en-US" w:eastAsia="zh-CN"/>
        </w:rPr>
        <w:t xml:space="preserve"> </w:t>
      </w:r>
    </w:p>
    <w:p w14:paraId="47E0A912">
      <w:pPr>
        <w:numPr>
          <w:ilvl w:val="0"/>
          <w:numId w:val="0"/>
        </w:numPr>
        <w:shd w:val="clear" w:color="auto" w:fill="auto"/>
        <w:tabs>
          <w:tab w:val="left" w:pos="740"/>
        </w:tabs>
        <w:adjustRightInd w:val="0"/>
        <w:snapToGrid w:val="0"/>
        <w:spacing w:before="0" w:beforeLines="0" w:line="400" w:lineRule="exact"/>
        <w:ind w:firstLine="0" w:firstLineChars="0"/>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强制采购</w:t>
      </w: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优先采购</w:t>
      </w:r>
      <w:r>
        <w:rPr>
          <w:rFonts w:hint="eastAsia" w:ascii="宋体" w:hAnsi="宋体" w:eastAsia="宋体" w:cs="宋体"/>
          <w:iCs/>
          <w:szCs w:val="21"/>
          <w:lang w:val="en-US" w:eastAsia="zh-CN"/>
        </w:rPr>
        <w:t xml:space="preserve">    </w:t>
      </w:r>
    </w:p>
    <w:p w14:paraId="4CB04D16">
      <w:pPr>
        <w:numPr>
          <w:ilvl w:val="0"/>
          <w:numId w:val="0"/>
        </w:numPr>
        <w:shd w:val="clear" w:color="auto" w:fill="auto"/>
        <w:tabs>
          <w:tab w:val="left" w:pos="740"/>
        </w:tabs>
        <w:adjustRightInd w:val="0"/>
        <w:snapToGrid w:val="0"/>
        <w:spacing w:before="0" w:beforeLines="0" w:line="400" w:lineRule="exact"/>
        <w:ind w:firstLine="0" w:firstLineChars="0"/>
        <w:rPr>
          <w:rFonts w:hint="eastAsia" w:ascii="宋体" w:hAnsi="宋体" w:eastAsia="宋体" w:cs="宋体"/>
          <w:b w:val="0"/>
          <w:bCs w:val="0"/>
          <w:sz w:val="21"/>
          <w:szCs w:val="21"/>
          <w:u w:val="none"/>
          <w:lang w:val="en-US" w:eastAsia="zh-CN"/>
        </w:rPr>
      </w:pPr>
      <w:r>
        <w:rPr>
          <w:rFonts w:hint="eastAsia" w:ascii="宋体" w:hAnsi="宋体" w:eastAsia="宋体" w:cs="宋体"/>
          <w:iCs/>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否</w:t>
      </w:r>
    </w:p>
    <w:p w14:paraId="6E6F2BE0">
      <w:pPr>
        <w:pStyle w:val="43"/>
        <w:numPr>
          <w:ilvl w:val="0"/>
          <w:numId w:val="0"/>
        </w:numPr>
        <w:shd w:val="clear" w:color="auto" w:fill="auto"/>
        <w:adjustRightInd w:val="0"/>
        <w:snapToGrid w:val="0"/>
        <w:spacing w:before="0" w:beforeLines="0" w:line="400" w:lineRule="exact"/>
        <w:ind w:firstLine="0" w:firstLineChars="0"/>
        <w:rPr>
          <w:rFonts w:hint="eastAsia" w:ascii="宋体" w:hAnsi="宋体" w:eastAsia="宋体" w:cs="宋体"/>
          <w:iCs w:val="0"/>
          <w:kern w:val="2"/>
          <w:sz w:val="21"/>
          <w:szCs w:val="21"/>
          <w:u w:val="none"/>
          <w:lang w:val="en-US" w:eastAsia="zh-CN"/>
        </w:rPr>
      </w:pPr>
      <w:r>
        <w:rPr>
          <w:rFonts w:hint="eastAsia" w:ascii="宋体" w:hAnsi="宋体" w:eastAsia="宋体" w:cs="宋体"/>
          <w:b w:val="0"/>
          <w:bCs w:val="0"/>
          <w:sz w:val="21"/>
          <w:szCs w:val="21"/>
          <w:u w:val="none"/>
          <w:lang w:val="en-US" w:eastAsia="zh-CN"/>
        </w:rPr>
        <w:t xml:space="preserve">          </w:t>
      </w:r>
      <w:r>
        <w:rPr>
          <w:rFonts w:hint="eastAsia" w:ascii="宋体" w:hAnsi="宋体" w:eastAsia="宋体" w:cs="宋体"/>
          <w:b w:val="0"/>
          <w:bCs w:val="0"/>
          <w:kern w:val="2"/>
          <w:sz w:val="21"/>
          <w:szCs w:val="21"/>
          <w:u w:val="none"/>
          <w:lang w:val="en-US" w:eastAsia="zh-CN"/>
        </w:rPr>
        <w:t>是否涉及绿色产品：</w:t>
      </w:r>
      <w:r>
        <w:rPr>
          <w:rFonts w:hint="eastAsia" w:ascii="宋体" w:hAnsi="宋体" w:eastAsia="宋体" w:cs="宋体"/>
          <w:iCs w:val="0"/>
          <w:kern w:val="2"/>
          <w:sz w:val="21"/>
          <w:szCs w:val="21"/>
          <w:u w:val="none"/>
          <w:lang w:val="en-US" w:eastAsia="zh-CN"/>
        </w:rPr>
        <w:t xml:space="preserve"> </w:t>
      </w:r>
    </w:p>
    <w:p w14:paraId="3277C6AC">
      <w:pPr>
        <w:pStyle w:val="43"/>
        <w:shd w:val="clear" w:color="auto" w:fill="auto"/>
        <w:spacing w:beforeLines="0"/>
        <w:ind w:firstLine="420" w:firstLineChars="0"/>
        <w:rPr>
          <w:rFonts w:hint="eastAsia" w:ascii="宋体" w:hAnsi="宋体" w:eastAsia="宋体" w:cs="宋体"/>
          <w:szCs w:val="21"/>
          <w:u w:val="single"/>
          <w:lang w:val="en-US" w:eastAsia="zh-CN"/>
        </w:rPr>
      </w:pPr>
      <w:r>
        <w:rPr>
          <w:rFonts w:hint="eastAsia" w:ascii="宋体" w:hAnsi="宋体" w:eastAsia="宋体" w:cs="宋体"/>
          <w:iCs w:val="0"/>
          <w:kern w:val="2"/>
          <w:sz w:val="21"/>
          <w:szCs w:val="21"/>
          <w:u w:val="none"/>
          <w:lang w:val="en-US" w:eastAsia="zh-CN"/>
        </w:rPr>
        <w:t xml:space="preserve">     </w:t>
      </w:r>
      <w:r>
        <w:rPr>
          <w:rFonts w:hint="eastAsia" w:ascii="宋体" w:hAnsi="宋体" w:eastAsia="宋体" w:cs="宋体"/>
          <w:iCs w:val="0"/>
          <w:kern w:val="2"/>
          <w:sz w:val="21"/>
          <w:szCs w:val="21"/>
          <w:u w:val="none"/>
        </w:rPr>
        <w:sym w:font="Wingdings" w:char="00A8"/>
      </w:r>
      <w:r>
        <w:rPr>
          <w:rFonts w:hint="eastAsia" w:ascii="宋体" w:hAnsi="宋体" w:eastAsia="宋体" w:cs="宋体"/>
          <w:iCs w:val="0"/>
          <w:kern w:val="2"/>
          <w:sz w:val="21"/>
          <w:szCs w:val="21"/>
          <w:u w:val="none"/>
        </w:rPr>
        <w:t>是</w:t>
      </w:r>
      <w:r>
        <w:rPr>
          <w:rFonts w:hint="eastAsia" w:ascii="宋体" w:hAnsi="宋体" w:eastAsia="宋体" w:cs="宋体"/>
          <w:iCs w:val="0"/>
          <w:kern w:val="2"/>
          <w:sz w:val="21"/>
          <w:szCs w:val="21"/>
          <w:u w:val="none"/>
          <w:lang w:eastAsia="zh-CN"/>
        </w:rPr>
        <w:t>，绿色产品政府采购相关政策确定的底级品目名称：</w:t>
      </w:r>
      <w:r>
        <w:rPr>
          <w:rFonts w:hint="eastAsia" w:ascii="宋体" w:hAnsi="宋体" w:eastAsia="宋体" w:cs="宋体"/>
          <w:szCs w:val="21"/>
          <w:u w:val="single"/>
          <w:lang w:val="en-US" w:eastAsia="zh-CN"/>
        </w:rPr>
        <w:t xml:space="preserve">         </w:t>
      </w:r>
    </w:p>
    <w:p w14:paraId="5B89796C">
      <w:pPr>
        <w:numPr>
          <w:ilvl w:val="0"/>
          <w:numId w:val="0"/>
        </w:numPr>
        <w:shd w:val="clear" w:color="auto" w:fill="auto"/>
        <w:tabs>
          <w:tab w:val="left" w:pos="740"/>
        </w:tabs>
        <w:adjustRightInd w:val="0"/>
        <w:snapToGrid w:val="0"/>
        <w:spacing w:before="0" w:beforeLines="0" w:line="400" w:lineRule="exact"/>
        <w:ind w:firstLine="0" w:firstLineChars="0"/>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强制采购</w:t>
      </w: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优先采购</w:t>
      </w:r>
      <w:r>
        <w:rPr>
          <w:rFonts w:hint="eastAsia" w:ascii="宋体" w:hAnsi="宋体" w:eastAsia="宋体" w:cs="宋体"/>
          <w:iCs/>
          <w:szCs w:val="21"/>
          <w:lang w:val="en-US" w:eastAsia="zh-CN"/>
        </w:rPr>
        <w:t xml:space="preserve">    </w:t>
      </w:r>
    </w:p>
    <w:p w14:paraId="3350462D">
      <w:pPr>
        <w:pStyle w:val="43"/>
        <w:shd w:val="clear" w:color="auto" w:fill="auto"/>
        <w:spacing w:beforeLines="0"/>
        <w:ind w:firstLine="420" w:firstLineChars="0"/>
        <w:rPr>
          <w:rFonts w:hint="eastAsia" w:ascii="宋体" w:hAnsi="宋体" w:eastAsia="宋体" w:cs="宋体"/>
          <w:b w:val="0"/>
          <w:bCs w:val="0"/>
          <w:sz w:val="21"/>
          <w:szCs w:val="21"/>
          <w:u w:val="none"/>
          <w:lang w:val="en-US" w:eastAsia="zh-CN"/>
        </w:rPr>
      </w:pPr>
      <w:r>
        <w:rPr>
          <w:rFonts w:hint="eastAsia" w:ascii="宋体" w:hAnsi="宋体" w:eastAsia="宋体" w:cs="宋体"/>
          <w:iCs w:val="0"/>
          <w:kern w:val="2"/>
          <w:sz w:val="21"/>
          <w:szCs w:val="21"/>
          <w:u w:val="none"/>
          <w:lang w:val="en-US" w:eastAsia="zh-CN"/>
        </w:rPr>
        <w:t xml:space="preserve">     </w:t>
      </w:r>
      <w:r>
        <w:rPr>
          <w:rFonts w:hint="eastAsia" w:ascii="宋体" w:hAnsi="宋体" w:eastAsia="宋体" w:cs="宋体"/>
          <w:iCs w:val="0"/>
          <w:kern w:val="2"/>
          <w:sz w:val="21"/>
          <w:szCs w:val="21"/>
          <w:u w:val="none"/>
        </w:rPr>
        <w:sym w:font="Wingdings" w:char="00A8"/>
      </w:r>
      <w:r>
        <w:rPr>
          <w:rFonts w:hint="eastAsia" w:ascii="宋体" w:hAnsi="宋体" w:eastAsia="宋体" w:cs="宋体"/>
          <w:iCs w:val="0"/>
          <w:kern w:val="2"/>
          <w:sz w:val="21"/>
          <w:szCs w:val="21"/>
          <w:u w:val="none"/>
        </w:rPr>
        <w:t>否</w:t>
      </w:r>
    </w:p>
    <w:p w14:paraId="68D09521">
      <w:pPr>
        <w:numPr>
          <w:ilvl w:val="0"/>
          <w:numId w:val="0"/>
        </w:numPr>
        <w:shd w:val="clear" w:color="auto" w:fill="auto"/>
        <w:adjustRightInd w:val="0"/>
        <w:snapToGrid w:val="0"/>
        <w:spacing w:before="0" w:beforeLines="0" w:line="400" w:lineRule="exact"/>
        <w:ind w:firstLine="0" w:firstLineChars="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（1</w:t>
      </w:r>
      <w:r>
        <w:rPr>
          <w:rFonts w:hint="eastAsia" w:ascii="宋体" w:hAnsi="宋体" w:eastAsia="宋体" w:cs="宋体"/>
          <w:szCs w:val="21"/>
          <w:lang w:val="en" w:eastAsia="zh-CN"/>
        </w:rPr>
        <w:t>1</w:t>
      </w:r>
      <w:r>
        <w:rPr>
          <w:rFonts w:hint="eastAsia" w:ascii="宋体" w:hAnsi="宋体" w:eastAsia="宋体" w:cs="宋体"/>
          <w:szCs w:val="21"/>
          <w:lang w:val="en-US" w:eastAsia="zh-CN"/>
        </w:rPr>
        <w:t>）涉及商品包装和快递包装的，是否参考</w:t>
      </w:r>
      <w:r>
        <w:rPr>
          <w:rFonts w:hint="eastAsia" w:ascii="宋体" w:hAnsi="宋体" w:eastAsia="宋体" w:cs="宋体"/>
          <w:szCs w:val="21"/>
        </w:rPr>
        <w:t>《商品包装政府采购需求标准（试行）》、《快递包装政府采购需求标准（试行）》</w:t>
      </w:r>
      <w:r>
        <w:rPr>
          <w:rFonts w:hint="eastAsia" w:ascii="宋体" w:hAnsi="宋体" w:eastAsia="宋体" w:cs="宋体"/>
          <w:szCs w:val="21"/>
          <w:lang w:eastAsia="zh-CN"/>
        </w:rPr>
        <w:t>明确产品及相关快递服务的具体包装要求：</w:t>
      </w:r>
    </w:p>
    <w:p w14:paraId="39B8CD90">
      <w:pPr>
        <w:numPr>
          <w:ilvl w:val="0"/>
          <w:numId w:val="0"/>
        </w:numPr>
        <w:shd w:val="clear" w:color="auto" w:fill="auto"/>
        <w:adjustRightInd w:val="0"/>
        <w:snapToGrid w:val="0"/>
        <w:spacing w:before="0" w:beforeLines="0" w:line="400" w:lineRule="exact"/>
        <w:ind w:firstLine="840" w:firstLineChars="400"/>
        <w:rPr>
          <w:rFonts w:hint="eastAsia" w:ascii="宋体" w:hAnsi="宋体" w:eastAsia="宋体" w:cs="宋体"/>
          <w:iCs w:val="0"/>
          <w:szCs w:val="21"/>
          <w:lang w:val="en-US" w:eastAsia="zh-CN"/>
        </w:rPr>
      </w:pPr>
      <w:r>
        <w:rPr>
          <w:rFonts w:hint="eastAsia" w:ascii="宋体" w:hAnsi="宋体" w:eastAsia="宋体" w:cs="宋体"/>
          <w:iCs w:val="0"/>
          <w:szCs w:val="21"/>
        </w:rPr>
        <w:sym w:font="Wingdings" w:char="00A8"/>
      </w:r>
      <w:r>
        <w:rPr>
          <w:rFonts w:hint="eastAsia" w:ascii="宋体" w:hAnsi="宋体" w:eastAsia="宋体" w:cs="宋体"/>
          <w:iCs w:val="0"/>
          <w:szCs w:val="21"/>
        </w:rPr>
        <w:t xml:space="preserve">是       </w:t>
      </w:r>
      <w:r>
        <w:rPr>
          <w:rFonts w:hint="eastAsia" w:ascii="宋体" w:hAnsi="宋体" w:eastAsia="宋体" w:cs="宋体"/>
          <w:iCs w:val="0"/>
          <w:szCs w:val="21"/>
        </w:rPr>
        <w:sym w:font="Wingdings" w:char="00FE"/>
      </w:r>
      <w:r>
        <w:rPr>
          <w:rFonts w:hint="eastAsia" w:ascii="宋体" w:hAnsi="宋体" w:eastAsia="宋体" w:cs="宋体"/>
          <w:iCs w:val="0"/>
          <w:szCs w:val="21"/>
        </w:rPr>
        <w:t>否</w:t>
      </w:r>
      <w:r>
        <w:rPr>
          <w:rFonts w:hint="eastAsia" w:ascii="宋体" w:hAnsi="宋体" w:eastAsia="宋体" w:cs="宋体"/>
          <w:iCs w:val="0"/>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lang w:eastAsia="zh-CN"/>
        </w:rPr>
        <w:t>不涉及</w:t>
      </w:r>
    </w:p>
    <w:p w14:paraId="4D7FC1B3">
      <w:pPr>
        <w:numPr>
          <w:ilvl w:val="0"/>
          <w:numId w:val="1"/>
        </w:numPr>
        <w:shd w:val="clear" w:color="auto" w:fill="auto"/>
        <w:adjustRightInd w:val="0"/>
        <w:snapToGrid w:val="0"/>
        <w:spacing w:before="0" w:beforeLines="0" w:line="400" w:lineRule="exact"/>
        <w:ind w:firstLine="422" w:firstLineChars="200"/>
        <w:rPr>
          <w:rFonts w:hint="eastAsia" w:ascii="宋体" w:hAnsi="宋体" w:eastAsia="宋体" w:cs="宋体"/>
          <w:b/>
          <w:szCs w:val="21"/>
          <w:highlight w:val="none"/>
        </w:rPr>
      </w:pPr>
      <w:r>
        <w:rPr>
          <w:rFonts w:hint="eastAsia" w:ascii="宋体" w:hAnsi="宋体" w:eastAsia="宋体" w:cs="宋体"/>
          <w:b/>
          <w:szCs w:val="21"/>
          <w:highlight w:val="none"/>
        </w:rPr>
        <w:t>合同金额</w:t>
      </w:r>
    </w:p>
    <w:p w14:paraId="1ED264C2">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（1）合同金额小写：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4A6D80D9">
      <w:pPr>
        <w:shd w:val="clear" w:color="auto" w:fill="auto"/>
        <w:adjustRightInd w:val="0"/>
        <w:snapToGrid w:val="0"/>
        <w:spacing w:before="0" w:beforeLines="0" w:line="400" w:lineRule="exact"/>
        <w:ind w:left="0" w:firstLine="0" w:firstLineChars="0"/>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p>
    <w:p w14:paraId="5145974D">
      <w:pPr>
        <w:shd w:val="clear" w:color="auto" w:fill="auto"/>
        <w:adjustRightInd w:val="0"/>
        <w:snapToGrid w:val="0"/>
        <w:spacing w:before="0" w:beforeLines="0" w:line="400" w:lineRule="exact"/>
        <w:ind w:firstLine="0" w:firstLineChars="0"/>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（注：固定单价合同应填写单价和最高限价）</w:t>
      </w:r>
    </w:p>
    <w:p w14:paraId="0536778F">
      <w:pPr>
        <w:numPr>
          <w:ilvl w:val="0"/>
          <w:numId w:val="0"/>
        </w:numPr>
        <w:shd w:val="clear" w:color="auto" w:fill="auto"/>
        <w:adjustRightInd w:val="0"/>
        <w:snapToGrid w:val="0"/>
        <w:spacing w:before="0" w:beforeLines="0" w:line="400" w:lineRule="exact"/>
        <w:ind w:firstLine="0" w:firstLineChars="0"/>
        <w:rPr>
          <w:rFonts w:hint="eastAsia" w:ascii="宋体" w:hAnsi="宋体" w:eastAsia="宋体" w:cs="宋体"/>
          <w:szCs w:val="21"/>
        </w:rPr>
      </w:pPr>
      <w:r>
        <w:rPr>
          <w:rFonts w:hint="eastAsia" w:ascii="宋体" w:hAnsi="宋体" w:eastAsia="宋体" w:cs="宋体"/>
          <w:szCs w:val="21"/>
          <w:lang w:val="en-US" w:eastAsia="zh-CN"/>
        </w:rPr>
        <w:t xml:space="preserve">    </w:t>
      </w:r>
      <w:r>
        <w:rPr>
          <w:rFonts w:hint="eastAsia" w:ascii="宋体" w:hAnsi="宋体" w:eastAsia="宋体" w:cs="宋体"/>
          <w:szCs w:val="21"/>
          <w:lang w:eastAsia="zh-CN"/>
        </w:rPr>
        <w:t>（</w:t>
      </w:r>
      <w:r>
        <w:rPr>
          <w:rFonts w:hint="eastAsia" w:ascii="宋体" w:hAnsi="宋体" w:eastAsia="宋体" w:cs="宋体"/>
          <w:szCs w:val="21"/>
          <w:lang w:val="en-US" w:eastAsia="zh-CN"/>
        </w:rPr>
        <w:t>2</w:t>
      </w:r>
      <w:r>
        <w:rPr>
          <w:rFonts w:hint="eastAsia" w:ascii="宋体" w:hAnsi="宋体" w:eastAsia="宋体" w:cs="宋体"/>
          <w:szCs w:val="21"/>
          <w:lang w:eastAsia="zh-CN"/>
        </w:rPr>
        <w:t>）</w:t>
      </w:r>
      <w:r>
        <w:rPr>
          <w:rFonts w:hint="eastAsia" w:ascii="宋体" w:hAnsi="宋体" w:eastAsia="宋体" w:cs="宋体"/>
          <w:szCs w:val="21"/>
        </w:rPr>
        <w:t>合同定价方式</w:t>
      </w:r>
      <w:r>
        <w:rPr>
          <w:rFonts w:hint="eastAsia" w:ascii="宋体" w:hAnsi="宋体" w:eastAsia="宋体" w:cs="宋体"/>
          <w:szCs w:val="21"/>
          <w:lang w:eastAsia="zh-CN"/>
        </w:rPr>
        <w:t>（采用组合定价方式的，可以勾选多项）</w:t>
      </w:r>
      <w:r>
        <w:rPr>
          <w:rFonts w:hint="eastAsia" w:ascii="宋体" w:hAnsi="宋体" w:eastAsia="宋体" w:cs="宋体"/>
          <w:szCs w:val="21"/>
        </w:rPr>
        <w:t>：</w:t>
      </w:r>
    </w:p>
    <w:p w14:paraId="188537BD">
      <w:pPr>
        <w:shd w:val="clear" w:color="auto" w:fill="auto"/>
        <w:adjustRightInd w:val="0"/>
        <w:snapToGrid w:val="0"/>
        <w:spacing w:before="0" w:beforeLines="0" w:line="400" w:lineRule="exact"/>
        <w:ind w:firstLine="420" w:firstLineChars="200"/>
        <w:rPr>
          <w:rFonts w:hint="eastAsia" w:ascii="宋体" w:hAnsi="宋体" w:eastAsia="宋体" w:cs="宋体"/>
          <w:szCs w:val="21"/>
          <w:lang w:eastAsia="zh-CN"/>
        </w:rPr>
      </w:pP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FE"/>
      </w:r>
      <w:r>
        <w:rPr>
          <w:rFonts w:hint="eastAsia" w:ascii="宋体" w:hAnsi="宋体" w:eastAsia="宋体" w:cs="宋体"/>
          <w:iCs/>
          <w:szCs w:val="21"/>
        </w:rPr>
        <w:t xml:space="preserve">固定总价 </w:t>
      </w:r>
      <w:r>
        <w:rPr>
          <w:rFonts w:hint="eastAsia" w:ascii="宋体" w:hAnsi="宋体" w:eastAsia="宋体" w:cs="宋体"/>
          <w:iCs/>
          <w:szCs w:val="21"/>
        </w:rPr>
        <w:sym w:font="Wingdings" w:char="00A8"/>
      </w:r>
      <w:r>
        <w:rPr>
          <w:rFonts w:hint="eastAsia" w:ascii="宋体" w:hAnsi="宋体" w:eastAsia="宋体" w:cs="宋体"/>
          <w:iCs/>
          <w:szCs w:val="21"/>
        </w:rPr>
        <w:t>固定单价</w:t>
      </w: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固定费率</w:t>
      </w:r>
      <w:r>
        <w:rPr>
          <w:rFonts w:hint="eastAsia" w:ascii="宋体" w:hAnsi="宋体" w:eastAsia="宋体" w:cs="宋体"/>
          <w:iCs/>
          <w:szCs w:val="21"/>
        </w:rPr>
        <w:t xml:space="preserve"> </w:t>
      </w:r>
      <w:r>
        <w:rPr>
          <w:rFonts w:hint="eastAsia" w:ascii="宋体" w:hAnsi="宋体" w:eastAsia="宋体" w:cs="宋体"/>
          <w:iCs/>
          <w:szCs w:val="21"/>
        </w:rPr>
        <w:sym w:font="Wingdings" w:char="00A8"/>
      </w:r>
      <w:r>
        <w:rPr>
          <w:rFonts w:hint="eastAsia" w:ascii="宋体" w:hAnsi="宋体" w:eastAsia="宋体" w:cs="宋体"/>
          <w:iCs/>
          <w:szCs w:val="21"/>
        </w:rPr>
        <w:t xml:space="preserve">成本补偿 </w:t>
      </w:r>
      <w:r>
        <w:rPr>
          <w:rFonts w:hint="eastAsia" w:ascii="宋体" w:hAnsi="宋体" w:eastAsia="宋体" w:cs="宋体"/>
          <w:iCs/>
          <w:szCs w:val="21"/>
        </w:rPr>
        <w:sym w:font="Wingdings" w:char="00A8"/>
      </w:r>
      <w:r>
        <w:rPr>
          <w:rFonts w:hint="eastAsia" w:ascii="宋体" w:hAnsi="宋体" w:eastAsia="宋体" w:cs="宋体"/>
          <w:iCs/>
          <w:szCs w:val="21"/>
        </w:rPr>
        <w:t>绩效激励</w:t>
      </w:r>
      <w:r>
        <w:rPr>
          <w:rFonts w:hint="eastAsia" w:ascii="宋体" w:hAnsi="宋体" w:eastAsia="宋体" w:cs="宋体"/>
          <w:iCs/>
          <w:szCs w:val="21"/>
          <w:lang w:val="en-US" w:eastAsia="zh-CN"/>
        </w:rPr>
        <w:t xml:space="preserve"> </w:t>
      </w:r>
      <w:r>
        <w:rPr>
          <w:rFonts w:hint="eastAsia" w:ascii="宋体" w:hAnsi="宋体" w:eastAsia="宋体" w:cs="宋体"/>
          <w:iCs/>
          <w:szCs w:val="21"/>
        </w:rPr>
        <w:sym w:font="Wingdings" w:char="00A8"/>
      </w:r>
      <w:r>
        <w:rPr>
          <w:rFonts w:hint="eastAsia" w:ascii="宋体" w:hAnsi="宋体" w:eastAsia="宋体" w:cs="宋体"/>
          <w:iCs/>
          <w:szCs w:val="21"/>
          <w:lang w:eastAsia="zh-CN"/>
        </w:rPr>
        <w:t>其他</w:t>
      </w:r>
      <w:r>
        <w:rPr>
          <w:rFonts w:hint="eastAsia" w:ascii="宋体" w:hAnsi="宋体" w:eastAsia="宋体" w:cs="宋体"/>
          <w:szCs w:val="21"/>
          <w:u w:val="single"/>
        </w:rPr>
        <w:t xml:space="preserve">       </w:t>
      </w:r>
    </w:p>
    <w:p w14:paraId="49089256">
      <w:pPr>
        <w:pStyle w:val="51"/>
        <w:shd w:val="clear" w:color="auto" w:fill="auto"/>
        <w:spacing w:beforeLines="0" w:line="400" w:lineRule="exact"/>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3</w:t>
      </w:r>
      <w:r>
        <w:rPr>
          <w:rFonts w:hint="eastAsia" w:ascii="宋体" w:hAnsi="宋体" w:eastAsia="宋体" w:cs="宋体"/>
        </w:rPr>
        <w:t>）付款方式（按项目实际勾选填写）：</w:t>
      </w:r>
    </w:p>
    <w:p w14:paraId="3FB9EC2A">
      <w:pPr>
        <w:shd w:val="clear" w:color="auto" w:fill="auto"/>
        <w:adjustRightInd w:val="0"/>
        <w:snapToGrid w:val="0"/>
        <w:spacing w:before="0" w:beforeLines="0" w:line="400" w:lineRule="exact"/>
        <w:ind w:firstLine="630" w:firstLineChars="300"/>
        <w:rPr>
          <w:rFonts w:hint="eastAsia" w:ascii="宋体" w:hAnsi="宋体" w:eastAsia="宋体" w:cs="宋体"/>
          <w:szCs w:val="21"/>
        </w:rPr>
      </w:pPr>
      <w:r>
        <w:rPr>
          <w:rFonts w:hint="eastAsia" w:ascii="宋体" w:hAnsi="宋体" w:eastAsia="宋体" w:cs="宋体"/>
          <w:szCs w:val="21"/>
        </w:rPr>
        <w:sym w:font="Wingdings" w:char="00FE"/>
      </w:r>
      <w:r>
        <w:rPr>
          <w:rFonts w:hint="eastAsia" w:ascii="宋体" w:hAnsi="宋体" w:eastAsia="宋体" w:cs="宋体"/>
          <w:szCs w:val="21"/>
        </w:rPr>
        <w:t>全额付款：</w:t>
      </w:r>
    </w:p>
    <w:p w14:paraId="44FB131F">
      <w:pPr>
        <w:spacing w:line="560" w:lineRule="exact"/>
        <w:ind w:firstLine="420" w:firstLineChars="200"/>
        <w:rPr>
          <w:rFonts w:hint="eastAsia" w:ascii="宋体" w:hAnsi="宋体" w:eastAsia="宋体" w:cs="宋体"/>
          <w:i w:val="0"/>
          <w:iCs w:val="0"/>
          <w:color w:val="auto"/>
          <w:sz w:val="24"/>
          <w:highlight w:val="none"/>
        </w:rPr>
      </w:pPr>
      <w:r>
        <w:rPr>
          <w:rFonts w:hint="eastAsia" w:ascii="宋体" w:hAnsi="宋体" w:eastAsia="宋体" w:cs="宋体"/>
          <w:szCs w:val="21"/>
        </w:rPr>
        <w:sym w:font="Wingdings" w:char="00A8"/>
      </w:r>
      <w:r>
        <w:rPr>
          <w:rFonts w:hint="eastAsia" w:ascii="宋体" w:hAnsi="宋体" w:eastAsia="宋体" w:cs="宋体"/>
          <w:szCs w:val="21"/>
        </w:rPr>
        <w:t>分期付款：：</w:t>
      </w:r>
      <w:r>
        <w:rPr>
          <w:rFonts w:hint="eastAsia" w:ascii="宋体" w:hAnsi="宋体" w:eastAsia="宋体" w:cs="宋体"/>
          <w:i w:val="0"/>
          <w:iCs w:val="0"/>
          <w:color w:val="auto"/>
          <w:sz w:val="24"/>
          <w:highlight w:val="none"/>
          <w:lang w:val="en-US" w:eastAsia="zh-CN"/>
        </w:rPr>
        <w:t>支付合同总价款的</w:t>
      </w:r>
      <w:r>
        <w:rPr>
          <w:rFonts w:hint="eastAsia" w:ascii="宋体" w:hAnsi="宋体" w:cs="宋体"/>
          <w:i w:val="0"/>
          <w:iCs w:val="0"/>
          <w:color w:val="auto"/>
          <w:sz w:val="24"/>
          <w:highlight w:val="none"/>
          <w:u w:val="single"/>
          <w:lang w:val="en-US" w:eastAsia="zh-CN"/>
        </w:rPr>
        <w:t>00</w:t>
      </w:r>
      <w:r>
        <w:rPr>
          <w:rFonts w:hint="eastAsia" w:ascii="宋体" w:hAnsi="宋体" w:eastAsia="宋体" w:cs="宋体"/>
          <w:i w:val="0"/>
          <w:iCs w:val="0"/>
          <w:color w:val="auto"/>
          <w:sz w:val="24"/>
          <w:highlight w:val="none"/>
          <w:lang w:val="en-US" w:eastAsia="zh-CN"/>
        </w:rPr>
        <w:t>%，即人民币大写：</w:t>
      </w:r>
      <w:r>
        <w:rPr>
          <w:rFonts w:hint="eastAsia" w:ascii="宋体" w:hAnsi="宋体" w:eastAsia="宋体"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none"/>
          <w:lang w:val="en-US" w:eastAsia="zh-CN"/>
        </w:rPr>
        <w:t>；项目完成后</w:t>
      </w:r>
      <w:r>
        <w:rPr>
          <w:rFonts w:hint="eastAsia" w:ascii="宋体" w:hAnsi="宋体" w:eastAsia="宋体" w:cs="宋体"/>
          <w:i w:val="0"/>
          <w:iCs w:val="0"/>
          <w:color w:val="auto"/>
          <w:sz w:val="24"/>
          <w:highlight w:val="none"/>
          <w:lang w:val="en-US" w:eastAsia="zh-CN"/>
        </w:rPr>
        <w:t>支付合同总价款的</w:t>
      </w:r>
      <w:r>
        <w:rPr>
          <w:rFonts w:hint="eastAsia" w:ascii="宋体" w:hAnsi="宋体" w:cs="宋体"/>
          <w:i w:val="0"/>
          <w:iCs w:val="0"/>
          <w:color w:val="auto"/>
          <w:sz w:val="24"/>
          <w:highlight w:val="none"/>
          <w:u w:val="single"/>
          <w:lang w:val="en-US" w:eastAsia="zh-CN"/>
        </w:rPr>
        <w:t>00</w:t>
      </w:r>
      <w:r>
        <w:rPr>
          <w:rFonts w:hint="eastAsia" w:ascii="宋体" w:hAnsi="宋体" w:eastAsia="宋体"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lang w:val="en-US" w:eastAsia="zh-CN"/>
        </w:rPr>
        <w:t>%，即人民币大写：</w:t>
      </w:r>
      <w:r>
        <w:rPr>
          <w:rFonts w:hint="eastAsia" w:ascii="宋体" w:hAnsi="宋体" w:eastAsia="宋体" w:cs="宋体"/>
          <w:i w:val="0"/>
          <w:iCs w:val="0"/>
          <w:color w:val="auto"/>
          <w:sz w:val="24"/>
          <w:highlight w:val="none"/>
          <w:u w:val="single"/>
          <w:lang w:val="en-US" w:eastAsia="zh-CN"/>
        </w:rPr>
        <w:t xml:space="preserve">     </w:t>
      </w:r>
      <w:r>
        <w:rPr>
          <w:rFonts w:hint="eastAsia" w:ascii="宋体" w:hAnsi="宋体" w:eastAsia="宋体" w:cs="宋体"/>
          <w:i w:val="0"/>
          <w:iCs w:val="0"/>
          <w:color w:val="auto"/>
          <w:sz w:val="24"/>
          <w:highlight w:val="none"/>
          <w:u w:val="none"/>
          <w:lang w:val="en-US" w:eastAsia="zh-CN"/>
        </w:rPr>
        <w:t>，项目终验合格交付后，支付至结算审计审定总价款的</w:t>
      </w:r>
      <w:r>
        <w:rPr>
          <w:rFonts w:hint="eastAsia" w:ascii="宋体" w:hAnsi="宋体" w:cs="宋体"/>
          <w:i w:val="0"/>
          <w:iCs w:val="0"/>
          <w:color w:val="auto"/>
          <w:sz w:val="24"/>
          <w:highlight w:val="none"/>
          <w:u w:val="single"/>
          <w:lang w:val="en-US" w:eastAsia="zh-CN"/>
        </w:rPr>
        <w:t>00</w:t>
      </w:r>
      <w:r>
        <w:rPr>
          <w:rFonts w:hint="eastAsia" w:ascii="宋体" w:hAnsi="宋体" w:eastAsia="宋体" w:cs="宋体"/>
          <w:i w:val="0"/>
          <w:iCs w:val="0"/>
          <w:color w:val="auto"/>
          <w:sz w:val="24"/>
          <w:highlight w:val="none"/>
          <w:u w:val="single"/>
          <w:lang w:val="en-US" w:eastAsia="zh-CN"/>
        </w:rPr>
        <w:t>%</w:t>
      </w:r>
      <w:r>
        <w:rPr>
          <w:rFonts w:hint="eastAsia" w:ascii="宋体" w:hAnsi="宋体" w:eastAsia="宋体" w:cs="宋体"/>
          <w:i w:val="0"/>
          <w:iCs w:val="0"/>
          <w:color w:val="auto"/>
          <w:sz w:val="24"/>
          <w:highlight w:val="none"/>
          <w:u w:val="none"/>
          <w:lang w:val="en-US" w:eastAsia="zh-CN"/>
        </w:rPr>
        <w:t>。</w:t>
      </w:r>
    </w:p>
    <w:p w14:paraId="59517A73">
      <w:pPr>
        <w:shd w:val="clear" w:color="auto" w:fill="auto"/>
        <w:adjustRightInd w:val="0"/>
        <w:snapToGrid w:val="0"/>
        <w:spacing w:before="0" w:beforeLines="0" w:line="400" w:lineRule="exact"/>
        <w:ind w:firstLine="630" w:firstLineChars="300"/>
        <w:rPr>
          <w:rFonts w:hint="eastAsia" w:ascii="宋体" w:hAnsi="宋体" w:eastAsia="宋体" w:cs="宋体"/>
          <w:szCs w:val="21"/>
        </w:rPr>
      </w:pPr>
      <w:r>
        <w:rPr>
          <w:rFonts w:hint="eastAsia" w:ascii="宋体" w:hAnsi="宋体" w:eastAsia="宋体" w:cs="宋体"/>
          <w:szCs w:val="21"/>
        </w:rPr>
        <w:sym w:font="Wingdings" w:char="00A8"/>
      </w:r>
      <w:r>
        <w:rPr>
          <w:rFonts w:hint="eastAsia" w:ascii="宋体" w:hAnsi="宋体" w:eastAsia="宋体" w:cs="宋体"/>
          <w:szCs w:val="21"/>
        </w:rPr>
        <w:t>成本补偿：</w:t>
      </w:r>
    </w:p>
    <w:p w14:paraId="20FC600E">
      <w:pPr>
        <w:shd w:val="clear" w:color="auto" w:fill="auto"/>
        <w:adjustRightInd w:val="0"/>
        <w:snapToGrid w:val="0"/>
        <w:spacing w:before="0" w:beforeLines="0" w:line="400" w:lineRule="exact"/>
        <w:ind w:firstLine="630" w:firstLineChars="300"/>
        <w:rPr>
          <w:rFonts w:hint="eastAsia" w:ascii="宋体" w:hAnsi="宋体" w:eastAsia="宋体" w:cs="宋体"/>
          <w:szCs w:val="21"/>
        </w:rPr>
      </w:pPr>
      <w:r>
        <w:rPr>
          <w:rFonts w:hint="eastAsia" w:ascii="宋体" w:hAnsi="宋体" w:eastAsia="宋体" w:cs="宋体"/>
          <w:szCs w:val="21"/>
        </w:rPr>
        <w:sym w:font="Wingdings" w:char="00A8"/>
      </w:r>
      <w:r>
        <w:rPr>
          <w:rFonts w:hint="eastAsia" w:ascii="宋体" w:hAnsi="宋体" w:eastAsia="宋体" w:cs="宋体"/>
          <w:szCs w:val="21"/>
        </w:rPr>
        <w:t>绩效激励：</w:t>
      </w:r>
    </w:p>
    <w:p w14:paraId="5F23BA40">
      <w:pPr>
        <w:numPr>
          <w:ilvl w:val="0"/>
          <w:numId w:val="1"/>
        </w:numPr>
        <w:shd w:val="clear" w:color="auto" w:fill="auto"/>
        <w:adjustRightInd w:val="0"/>
        <w:snapToGrid w:val="0"/>
        <w:spacing w:before="0" w:beforeLines="0" w:line="400" w:lineRule="exact"/>
        <w:ind w:firstLine="422" w:firstLineChars="200"/>
        <w:rPr>
          <w:rFonts w:hint="eastAsia" w:ascii="宋体" w:hAnsi="宋体" w:eastAsia="宋体" w:cs="宋体"/>
          <w:b/>
          <w:bCs w:val="0"/>
          <w:szCs w:val="21"/>
          <w:u w:val="single"/>
        </w:rPr>
      </w:pPr>
      <w:r>
        <w:rPr>
          <w:rFonts w:hint="eastAsia" w:ascii="宋体" w:hAnsi="宋体" w:eastAsia="宋体" w:cs="宋体"/>
          <w:b/>
          <w:bCs w:val="0"/>
          <w:szCs w:val="21"/>
        </w:rPr>
        <w:t>合同履行</w:t>
      </w:r>
    </w:p>
    <w:p w14:paraId="01BAA066">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（1）起始日期：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日，完成日期：</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6477F1AF">
      <w:pPr>
        <w:shd w:val="clear" w:color="auto" w:fill="auto"/>
        <w:adjustRightInd w:val="0"/>
        <w:snapToGrid w:val="0"/>
        <w:spacing w:before="0" w:beforeLines="0" w:line="400" w:lineRule="exact"/>
        <w:ind w:firstLine="420" w:firstLineChars="200"/>
        <w:rPr>
          <w:rFonts w:hint="eastAsia" w:ascii="宋体" w:hAnsi="宋体" w:eastAsia="宋体" w:cs="宋体"/>
          <w:szCs w:val="21"/>
          <w:u w:val="single"/>
        </w:rPr>
      </w:pPr>
      <w:r>
        <w:rPr>
          <w:rFonts w:hint="eastAsia" w:ascii="宋体" w:hAnsi="宋体" w:eastAsia="宋体" w:cs="宋体"/>
          <w:szCs w:val="21"/>
        </w:rPr>
        <w:t>（2）</w:t>
      </w:r>
      <w:r>
        <w:rPr>
          <w:rFonts w:hint="eastAsia" w:ascii="宋体" w:hAnsi="宋体" w:eastAsia="宋体" w:cs="宋体"/>
          <w:szCs w:val="21"/>
          <w:lang w:eastAsia="zh-CN"/>
        </w:rPr>
        <w:t>履约</w:t>
      </w:r>
      <w:r>
        <w:rPr>
          <w:rFonts w:hint="eastAsia" w:ascii="宋体" w:hAnsi="宋体" w:eastAsia="宋体" w:cs="宋体"/>
          <w:szCs w:val="21"/>
        </w:rPr>
        <w:t>地点</w:t>
      </w:r>
      <w:r>
        <w:rPr>
          <w:rFonts w:hint="eastAsia" w:ascii="宋体" w:hAnsi="宋体" w:eastAsia="宋体" w:cs="宋体"/>
          <w:b w:val="0"/>
          <w:bCs/>
          <w:szCs w:val="21"/>
        </w:rPr>
        <w:t>：</w:t>
      </w:r>
      <w:r>
        <w:rPr>
          <w:rFonts w:hint="eastAsia" w:ascii="宋体" w:hAnsi="宋体" w:eastAsia="宋体" w:cs="宋体"/>
          <w:szCs w:val="21"/>
          <w:u w:val="single"/>
        </w:rPr>
        <w:t xml:space="preserve"> 香格里拉市 </w:t>
      </w:r>
    </w:p>
    <w:p w14:paraId="28CD41B7">
      <w:pPr>
        <w:shd w:val="clear" w:color="auto" w:fill="auto"/>
        <w:adjustRightInd w:val="0"/>
        <w:snapToGrid w:val="0"/>
        <w:spacing w:before="0" w:beforeLines="0" w:line="400" w:lineRule="exact"/>
        <w:ind w:firstLine="420" w:firstLineChars="200"/>
        <w:rPr>
          <w:rFonts w:hint="eastAsia" w:ascii="宋体" w:hAnsi="宋体" w:eastAsia="宋体" w:cs="宋体"/>
          <w:sz w:val="21"/>
          <w:szCs w:val="21"/>
          <w:lang w:eastAsia="zh-CN"/>
        </w:rPr>
      </w:pPr>
      <w:r>
        <w:rPr>
          <w:rFonts w:hint="eastAsia" w:ascii="宋体" w:hAnsi="宋体" w:eastAsia="宋体" w:cs="宋体"/>
          <w:bCs/>
          <w:szCs w:val="21"/>
        </w:rPr>
        <w:t>（3）履约担保：</w:t>
      </w:r>
      <w:r>
        <w:rPr>
          <w:rFonts w:hint="eastAsia" w:ascii="宋体" w:hAnsi="宋体" w:eastAsia="宋体" w:cs="宋体"/>
          <w:sz w:val="21"/>
          <w:lang w:val="en-US" w:eastAsia="zh-CN"/>
        </w:rPr>
        <w:t>是否收取履约保证金：</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是</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sym w:font="Wingdings" w:char="00FE"/>
      </w:r>
      <w:r>
        <w:rPr>
          <w:rFonts w:hint="eastAsia" w:ascii="宋体" w:hAnsi="宋体" w:eastAsia="宋体" w:cs="宋体"/>
          <w:sz w:val="21"/>
          <w:szCs w:val="21"/>
          <w:lang w:eastAsia="zh-CN"/>
        </w:rPr>
        <w:t>否</w:t>
      </w:r>
    </w:p>
    <w:p w14:paraId="3C194EC3">
      <w:pPr>
        <w:pStyle w:val="43"/>
        <w:shd w:val="clear" w:color="auto" w:fill="auto"/>
        <w:spacing w:beforeLines="0"/>
        <w:rPr>
          <w:rFonts w:hint="eastAsia" w:ascii="宋体" w:hAnsi="宋体" w:eastAsia="宋体" w:cs="宋体"/>
          <w:sz w:val="21"/>
          <w:lang w:val="en-US" w:eastAsia="zh-CN"/>
        </w:rPr>
      </w:pPr>
      <w:r>
        <w:rPr>
          <w:rFonts w:hint="eastAsia" w:ascii="宋体" w:hAnsi="宋体" w:eastAsia="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p>
    <w:p w14:paraId="3CD26407">
      <w:pPr>
        <w:pStyle w:val="43"/>
        <w:shd w:val="clear" w:color="auto" w:fill="auto"/>
        <w:spacing w:beforeLines="0"/>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p>
    <w:p w14:paraId="70C92DD0">
      <w:pPr>
        <w:shd w:val="clear" w:color="auto" w:fill="auto"/>
        <w:snapToGrid w:val="0"/>
        <w:spacing w:beforeLines="0" w:line="400" w:lineRule="exact"/>
        <w:ind w:firstLine="420" w:firstLineChars="200"/>
        <w:rPr>
          <w:rFonts w:hint="eastAsia" w:ascii="宋体" w:hAnsi="宋体" w:eastAsia="宋体" w:cs="宋体"/>
          <w:sz w:val="21"/>
          <w:lang w:val="en-US" w:eastAsia="zh-CN"/>
        </w:rPr>
      </w:pPr>
      <w:r>
        <w:rPr>
          <w:rFonts w:hint="eastAsia" w:ascii="宋体" w:hAnsi="宋体" w:eastAsia="宋体" w:cs="宋体"/>
          <w:bCs/>
          <w:szCs w:val="21"/>
          <w:u w:val="none"/>
          <w:lang w:val="en-US" w:eastAsia="zh-CN"/>
        </w:rPr>
        <w:t xml:space="preserve">    履约担保期限</w:t>
      </w:r>
      <w:r>
        <w:rPr>
          <w:rFonts w:hint="eastAsia" w:ascii="宋体" w:hAnsi="宋体" w:eastAsia="宋体" w:cs="宋体"/>
          <w:bCs/>
          <w:szCs w:val="21"/>
          <w:u w:val="none"/>
          <w:lang w:eastAsia="zh-CN"/>
        </w:rPr>
        <w:t>：</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p>
    <w:p w14:paraId="27D04BDE">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rPr>
        <w:t>（4）分期履行要求：</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u w:val="single"/>
        </w:rPr>
        <w:t xml:space="preserve"> </w:t>
      </w:r>
    </w:p>
    <w:p w14:paraId="12BA8AC1">
      <w:pPr>
        <w:shd w:val="clear" w:color="auto" w:fill="auto"/>
        <w:adjustRightInd w:val="0"/>
        <w:snapToGrid w:val="0"/>
        <w:spacing w:before="0" w:beforeLines="0" w:line="400" w:lineRule="exact"/>
        <w:ind w:firstLine="420" w:firstLineChars="200"/>
        <w:rPr>
          <w:rFonts w:hint="eastAsia" w:ascii="宋体" w:hAnsi="宋体" w:eastAsia="宋体" w:cs="宋体"/>
          <w:szCs w:val="21"/>
          <w:u w:val="single"/>
        </w:rPr>
      </w:pPr>
      <w:r>
        <w:rPr>
          <w:rFonts w:hint="eastAsia" w:ascii="宋体" w:hAnsi="宋体" w:eastAsia="宋体" w:cs="宋体"/>
          <w:bCs/>
          <w:szCs w:val="21"/>
        </w:rPr>
        <w:t>（5）</w:t>
      </w:r>
      <w:r>
        <w:rPr>
          <w:rFonts w:hint="eastAsia" w:ascii="宋体" w:hAnsi="宋体" w:eastAsia="宋体" w:cs="宋体"/>
          <w:bCs/>
          <w:szCs w:val="21"/>
          <w:lang w:eastAsia="zh-CN"/>
        </w:rPr>
        <w:t>风险处置措施和替代方案</w:t>
      </w:r>
      <w:r>
        <w:rPr>
          <w:rFonts w:hint="eastAsia" w:ascii="宋体" w:hAnsi="宋体" w:eastAsia="宋体" w:cs="宋体"/>
          <w:bCs/>
          <w:szCs w:val="21"/>
        </w:rPr>
        <w:t>：</w:t>
      </w:r>
      <w:r>
        <w:rPr>
          <w:rFonts w:hint="eastAsia" w:ascii="宋体" w:hAnsi="宋体" w:eastAsia="宋体" w:cs="宋体"/>
          <w:color w:val="0000FF"/>
          <w:szCs w:val="21"/>
          <w:u w:val="single"/>
        </w:rPr>
        <w:t xml:space="preserve"> </w:t>
      </w:r>
      <w:r>
        <w:rPr>
          <w:rFonts w:hint="eastAsia" w:ascii="宋体" w:hAnsi="宋体" w:eastAsia="宋体" w:cs="宋体"/>
          <w:color w:val="000000"/>
          <w:szCs w:val="21"/>
          <w:u w:val="single"/>
        </w:rPr>
        <w:t xml:space="preserve">              </w:t>
      </w:r>
      <w:r>
        <w:rPr>
          <w:rFonts w:hint="eastAsia" w:ascii="宋体" w:hAnsi="宋体" w:eastAsia="宋体" w:cs="宋体"/>
          <w:szCs w:val="21"/>
          <w:u w:val="single"/>
        </w:rPr>
        <w:t xml:space="preserve">                                                </w:t>
      </w:r>
    </w:p>
    <w:p w14:paraId="12FA797F">
      <w:pPr>
        <w:numPr>
          <w:ilvl w:val="0"/>
          <w:numId w:val="1"/>
        </w:numPr>
        <w:shd w:val="clear" w:color="auto" w:fill="auto"/>
        <w:adjustRightInd w:val="0"/>
        <w:snapToGrid w:val="0"/>
        <w:spacing w:before="0" w:beforeLines="0" w:line="400" w:lineRule="exact"/>
        <w:ind w:firstLine="422" w:firstLineChars="200"/>
        <w:rPr>
          <w:rFonts w:hint="eastAsia" w:ascii="宋体" w:hAnsi="宋体" w:eastAsia="宋体" w:cs="宋体"/>
          <w:b/>
          <w:szCs w:val="21"/>
        </w:rPr>
      </w:pPr>
      <w:r>
        <w:rPr>
          <w:rFonts w:hint="eastAsia" w:ascii="宋体" w:hAnsi="宋体" w:eastAsia="宋体" w:cs="宋体"/>
          <w:b/>
          <w:szCs w:val="21"/>
        </w:rPr>
        <w:t>合同验收</w:t>
      </w:r>
    </w:p>
    <w:p w14:paraId="5277FC16">
      <w:pPr>
        <w:numPr>
          <w:ilvl w:val="0"/>
          <w:numId w:val="2"/>
        </w:num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rPr>
        <w:t>验收组织方式：</w:t>
      </w:r>
      <w:r>
        <w:rPr>
          <w:rFonts w:hint="eastAsia" w:ascii="宋体" w:hAnsi="宋体" w:eastAsia="宋体" w:cs="宋体"/>
          <w:sz w:val="21"/>
          <w:szCs w:val="21"/>
        </w:rPr>
        <w:sym w:font="Wingdings" w:char="00FE"/>
      </w:r>
      <w:r>
        <w:rPr>
          <w:rFonts w:hint="eastAsia" w:ascii="宋体" w:hAnsi="宋体" w:eastAsia="宋体" w:cs="宋体"/>
          <w:bCs/>
          <w:szCs w:val="21"/>
        </w:rPr>
        <w:t xml:space="preserve">自行组织 </w:t>
      </w:r>
      <w:r>
        <w:rPr>
          <w:rFonts w:hint="eastAsia" w:ascii="宋体" w:hAnsi="宋体" w:eastAsia="宋体" w:cs="宋体"/>
          <w:sz w:val="21"/>
          <w:szCs w:val="21"/>
        </w:rPr>
        <w:sym w:font="Wingdings" w:char="00A8"/>
      </w:r>
      <w:r>
        <w:rPr>
          <w:rFonts w:hint="eastAsia" w:ascii="宋体" w:hAnsi="宋体" w:eastAsia="宋体" w:cs="宋体"/>
          <w:bCs/>
          <w:szCs w:val="21"/>
        </w:rPr>
        <w:t>委托第三方组织</w:t>
      </w:r>
    </w:p>
    <w:p w14:paraId="6E75289C">
      <w:pPr>
        <w:numPr>
          <w:ilvl w:val="0"/>
          <w:numId w:val="0"/>
        </w:numPr>
        <w:shd w:val="clear" w:color="auto" w:fill="auto"/>
        <w:adjustRightInd w:val="0"/>
        <w:snapToGrid w:val="0"/>
        <w:spacing w:before="0" w:beforeLines="0" w:line="400" w:lineRule="exact"/>
        <w:rPr>
          <w:rFonts w:hint="eastAsia" w:ascii="宋体" w:hAnsi="宋体" w:eastAsia="宋体" w:cs="宋体"/>
          <w:bCs/>
          <w:szCs w:val="21"/>
          <w:u w:val="single"/>
        </w:rPr>
      </w:pPr>
      <w:r>
        <w:rPr>
          <w:rFonts w:hint="eastAsia" w:ascii="宋体" w:hAnsi="宋体" w:eastAsia="宋体" w:cs="宋体"/>
          <w:bCs/>
          <w:szCs w:val="21"/>
          <w:lang w:val="en-US" w:eastAsia="zh-CN"/>
        </w:rPr>
        <w:t xml:space="preserve">        </w:t>
      </w:r>
      <w:r>
        <w:rPr>
          <w:rFonts w:hint="eastAsia" w:ascii="宋体" w:hAnsi="宋体" w:eastAsia="宋体" w:cs="宋体"/>
          <w:bCs/>
          <w:szCs w:val="21"/>
        </w:rPr>
        <w:t>验收主体：</w:t>
      </w:r>
      <w:r>
        <w:rPr>
          <w:rFonts w:hint="eastAsia" w:ascii="宋体" w:hAnsi="宋体" w:eastAsia="宋体" w:cs="宋体"/>
          <w:bCs/>
          <w:szCs w:val="21"/>
          <w:u w:val="single"/>
        </w:rPr>
        <w:t>香格里拉普达措国家公园管理局</w:t>
      </w:r>
    </w:p>
    <w:p w14:paraId="34406EE6">
      <w:pPr>
        <w:shd w:val="clear" w:color="auto" w:fill="auto"/>
        <w:adjustRightInd w:val="0"/>
        <w:snapToGrid w:val="0"/>
        <w:spacing w:before="0" w:beforeLines="0" w:line="400" w:lineRule="exact"/>
        <w:ind w:firstLine="0" w:firstLineChars="0"/>
        <w:rPr>
          <w:rFonts w:hint="eastAsia" w:ascii="宋体" w:hAnsi="宋体" w:eastAsia="宋体" w:cs="宋体"/>
          <w:bCs/>
          <w:szCs w:val="21"/>
        </w:rPr>
      </w:pPr>
      <w:r>
        <w:rPr>
          <w:rFonts w:hint="eastAsia" w:ascii="宋体" w:hAnsi="宋体" w:eastAsia="宋体" w:cs="宋体"/>
          <w:bCs/>
          <w:szCs w:val="21"/>
          <w:lang w:val="en-US" w:eastAsia="zh-CN"/>
        </w:rPr>
        <w:t xml:space="preserve">        </w:t>
      </w:r>
      <w:r>
        <w:rPr>
          <w:rFonts w:hint="eastAsia" w:ascii="宋体" w:hAnsi="宋体" w:eastAsia="宋体" w:cs="宋体"/>
          <w:bCs/>
          <w:szCs w:val="21"/>
        </w:rPr>
        <w:t>是否邀请本项目的其他供应商</w:t>
      </w:r>
      <w:r>
        <w:rPr>
          <w:rFonts w:hint="eastAsia" w:ascii="宋体" w:hAnsi="宋体" w:eastAsia="宋体" w:cs="宋体"/>
          <w:bCs/>
          <w:szCs w:val="21"/>
          <w:lang w:eastAsia="zh-CN"/>
        </w:rPr>
        <w:t>参加验收</w:t>
      </w:r>
      <w:r>
        <w:rPr>
          <w:rFonts w:hint="eastAsia" w:ascii="宋体" w:hAnsi="宋体" w:eastAsia="宋体" w:cs="宋体"/>
          <w:bCs/>
          <w:szCs w:val="21"/>
        </w:rPr>
        <w:t>：</w:t>
      </w:r>
      <w:r>
        <w:rPr>
          <w:rFonts w:hint="eastAsia" w:ascii="宋体" w:hAnsi="宋体" w:eastAsia="宋体" w:cs="宋体"/>
          <w:sz w:val="21"/>
          <w:szCs w:val="21"/>
        </w:rPr>
        <w:sym w:font="Wingdings" w:char="00A8"/>
      </w:r>
      <w:r>
        <w:rPr>
          <w:rFonts w:hint="eastAsia" w:ascii="宋体" w:hAnsi="宋体" w:eastAsia="宋体" w:cs="宋体"/>
          <w:bCs/>
          <w:szCs w:val="21"/>
        </w:rPr>
        <w:t xml:space="preserve">是  </w:t>
      </w:r>
      <w:r>
        <w:rPr>
          <w:rFonts w:hint="eastAsia" w:ascii="宋体" w:hAnsi="宋体" w:eastAsia="宋体" w:cs="宋体"/>
          <w:sz w:val="21"/>
          <w:szCs w:val="21"/>
        </w:rPr>
        <w:sym w:font="Wingdings" w:char="00FE"/>
      </w:r>
      <w:r>
        <w:rPr>
          <w:rFonts w:hint="eastAsia" w:ascii="宋体" w:hAnsi="宋体" w:eastAsia="宋体" w:cs="宋体"/>
          <w:bCs/>
          <w:szCs w:val="21"/>
        </w:rPr>
        <w:t>否</w:t>
      </w:r>
    </w:p>
    <w:p w14:paraId="2CCEBF9B">
      <w:pPr>
        <w:shd w:val="clear" w:color="auto" w:fill="auto"/>
        <w:adjustRightInd w:val="0"/>
        <w:snapToGrid w:val="0"/>
        <w:spacing w:before="0" w:beforeLines="0" w:line="400" w:lineRule="exact"/>
        <w:ind w:firstLine="840" w:firstLineChars="400"/>
        <w:rPr>
          <w:rFonts w:hint="eastAsia" w:ascii="宋体" w:hAnsi="宋体" w:eastAsia="宋体" w:cs="宋体"/>
          <w:bCs/>
          <w:szCs w:val="21"/>
        </w:rPr>
      </w:pPr>
      <w:r>
        <w:rPr>
          <w:rFonts w:hint="eastAsia" w:ascii="宋体" w:hAnsi="宋体" w:eastAsia="宋体" w:cs="宋体"/>
          <w:bCs/>
          <w:szCs w:val="21"/>
        </w:rPr>
        <w:t>是否邀请专家</w:t>
      </w:r>
      <w:r>
        <w:rPr>
          <w:rFonts w:hint="eastAsia" w:ascii="宋体" w:hAnsi="宋体" w:eastAsia="宋体" w:cs="宋体"/>
          <w:bCs/>
          <w:szCs w:val="21"/>
          <w:lang w:eastAsia="zh-CN"/>
        </w:rPr>
        <w:t>参加验收</w:t>
      </w:r>
      <w:r>
        <w:rPr>
          <w:rFonts w:hint="eastAsia" w:ascii="宋体" w:hAnsi="宋体" w:eastAsia="宋体" w:cs="宋体"/>
          <w:bCs/>
          <w:szCs w:val="21"/>
        </w:rPr>
        <w:t>：</w:t>
      </w:r>
      <w:r>
        <w:rPr>
          <w:rFonts w:hint="eastAsia" w:ascii="宋体" w:hAnsi="宋体" w:eastAsia="宋体" w:cs="宋体"/>
          <w:sz w:val="21"/>
          <w:szCs w:val="21"/>
        </w:rPr>
        <w:sym w:font="Wingdings" w:char="00FE"/>
      </w:r>
      <w:r>
        <w:rPr>
          <w:rFonts w:hint="eastAsia" w:ascii="宋体" w:hAnsi="宋体" w:eastAsia="宋体" w:cs="宋体"/>
          <w:bCs/>
          <w:szCs w:val="21"/>
        </w:rPr>
        <w:t xml:space="preserve">是  </w:t>
      </w:r>
      <w:r>
        <w:rPr>
          <w:rFonts w:hint="eastAsia" w:ascii="宋体" w:hAnsi="宋体" w:eastAsia="宋体" w:cs="宋体"/>
          <w:sz w:val="21"/>
          <w:szCs w:val="21"/>
        </w:rPr>
        <w:sym w:font="Wingdings" w:char="00A8"/>
      </w:r>
      <w:r>
        <w:rPr>
          <w:rFonts w:hint="eastAsia" w:ascii="宋体" w:hAnsi="宋体" w:eastAsia="宋体" w:cs="宋体"/>
          <w:bCs/>
          <w:szCs w:val="21"/>
        </w:rPr>
        <w:t>否</w:t>
      </w:r>
    </w:p>
    <w:p w14:paraId="22C33D4F">
      <w:pPr>
        <w:shd w:val="clear" w:color="auto" w:fill="auto"/>
        <w:adjustRightInd w:val="0"/>
        <w:snapToGrid w:val="0"/>
        <w:spacing w:before="0" w:beforeLines="0" w:line="400" w:lineRule="exact"/>
        <w:ind w:firstLine="840" w:firstLineChars="400"/>
        <w:rPr>
          <w:rFonts w:hint="eastAsia" w:ascii="宋体" w:hAnsi="宋体" w:eastAsia="宋体" w:cs="宋体"/>
          <w:bCs/>
          <w:szCs w:val="21"/>
        </w:rPr>
      </w:pPr>
      <w:r>
        <w:rPr>
          <w:rFonts w:hint="eastAsia" w:ascii="宋体" w:hAnsi="宋体" w:eastAsia="宋体" w:cs="宋体"/>
          <w:bCs/>
          <w:szCs w:val="21"/>
        </w:rPr>
        <w:t>是否邀请服务对象</w:t>
      </w:r>
      <w:r>
        <w:rPr>
          <w:rFonts w:hint="eastAsia" w:ascii="宋体" w:hAnsi="宋体" w:eastAsia="宋体" w:cs="宋体"/>
          <w:bCs/>
          <w:szCs w:val="21"/>
          <w:lang w:eastAsia="zh-CN"/>
        </w:rPr>
        <w:t>参加验收</w:t>
      </w:r>
      <w:r>
        <w:rPr>
          <w:rFonts w:hint="eastAsia" w:ascii="宋体" w:hAnsi="宋体" w:eastAsia="宋体" w:cs="宋体"/>
          <w:bCs/>
          <w:szCs w:val="21"/>
        </w:rPr>
        <w:t>：</w:t>
      </w:r>
      <w:r>
        <w:rPr>
          <w:rFonts w:hint="eastAsia" w:ascii="宋体" w:hAnsi="宋体" w:eastAsia="宋体" w:cs="宋体"/>
          <w:sz w:val="21"/>
          <w:szCs w:val="21"/>
        </w:rPr>
        <w:sym w:font="Wingdings" w:char="00A8"/>
      </w:r>
      <w:r>
        <w:rPr>
          <w:rFonts w:hint="eastAsia" w:ascii="宋体" w:hAnsi="宋体" w:eastAsia="宋体" w:cs="宋体"/>
          <w:bCs/>
          <w:szCs w:val="21"/>
        </w:rPr>
        <w:t xml:space="preserve">是  </w:t>
      </w:r>
      <w:r>
        <w:rPr>
          <w:rFonts w:hint="eastAsia" w:ascii="宋体" w:hAnsi="宋体" w:eastAsia="宋体" w:cs="宋体"/>
          <w:sz w:val="21"/>
          <w:szCs w:val="21"/>
        </w:rPr>
        <w:sym w:font="Wingdings" w:char="00FE"/>
      </w:r>
      <w:r>
        <w:rPr>
          <w:rFonts w:hint="eastAsia" w:ascii="宋体" w:hAnsi="宋体" w:eastAsia="宋体" w:cs="宋体"/>
          <w:bCs/>
          <w:szCs w:val="21"/>
        </w:rPr>
        <w:t>否</w:t>
      </w:r>
    </w:p>
    <w:p w14:paraId="1FFB3590">
      <w:pPr>
        <w:shd w:val="clear" w:color="auto" w:fill="auto"/>
        <w:adjustRightInd w:val="0"/>
        <w:snapToGrid w:val="0"/>
        <w:spacing w:before="0" w:beforeLines="0" w:line="400" w:lineRule="exact"/>
        <w:ind w:firstLine="840" w:firstLineChars="400"/>
        <w:rPr>
          <w:rFonts w:hint="eastAsia" w:ascii="宋体" w:hAnsi="宋体" w:eastAsia="宋体" w:cs="宋体"/>
          <w:bCs/>
          <w:szCs w:val="21"/>
        </w:rPr>
      </w:pPr>
      <w:r>
        <w:rPr>
          <w:rFonts w:hint="eastAsia" w:ascii="宋体" w:hAnsi="宋体" w:eastAsia="宋体" w:cs="宋体"/>
          <w:bCs/>
          <w:szCs w:val="21"/>
        </w:rPr>
        <w:t>是否邀请第三方检测机构</w:t>
      </w:r>
      <w:r>
        <w:rPr>
          <w:rFonts w:hint="eastAsia" w:ascii="宋体" w:hAnsi="宋体" w:eastAsia="宋体" w:cs="宋体"/>
          <w:bCs/>
          <w:szCs w:val="21"/>
          <w:lang w:eastAsia="zh-CN"/>
        </w:rPr>
        <w:t>参加验收</w:t>
      </w:r>
      <w:r>
        <w:rPr>
          <w:rFonts w:hint="eastAsia" w:ascii="宋体" w:hAnsi="宋体" w:eastAsia="宋体" w:cs="宋体"/>
          <w:bCs/>
          <w:szCs w:val="21"/>
        </w:rPr>
        <w:t>：</w:t>
      </w:r>
      <w:r>
        <w:rPr>
          <w:rFonts w:hint="eastAsia" w:ascii="宋体" w:hAnsi="宋体" w:eastAsia="宋体" w:cs="宋体"/>
          <w:sz w:val="21"/>
          <w:szCs w:val="21"/>
        </w:rPr>
        <w:sym w:font="Wingdings" w:char="00A8"/>
      </w:r>
      <w:r>
        <w:rPr>
          <w:rFonts w:hint="eastAsia" w:ascii="宋体" w:hAnsi="宋体" w:eastAsia="宋体" w:cs="宋体"/>
          <w:bCs/>
          <w:szCs w:val="21"/>
        </w:rPr>
        <w:t xml:space="preserve">是  </w:t>
      </w:r>
      <w:r>
        <w:rPr>
          <w:rFonts w:hint="eastAsia" w:ascii="宋体" w:hAnsi="宋体" w:eastAsia="宋体" w:cs="宋体"/>
          <w:sz w:val="21"/>
          <w:szCs w:val="21"/>
        </w:rPr>
        <w:sym w:font="Wingdings" w:char="00FE"/>
      </w:r>
      <w:r>
        <w:rPr>
          <w:rFonts w:hint="eastAsia" w:ascii="宋体" w:hAnsi="宋体" w:eastAsia="宋体" w:cs="宋体"/>
          <w:bCs/>
          <w:szCs w:val="21"/>
        </w:rPr>
        <w:t>否</w:t>
      </w:r>
    </w:p>
    <w:p w14:paraId="7025C7A9">
      <w:pPr>
        <w:shd w:val="clear" w:color="auto" w:fill="auto"/>
        <w:adjustRightInd w:val="0"/>
        <w:snapToGrid w:val="0"/>
        <w:spacing w:before="0" w:beforeLines="0" w:line="400" w:lineRule="exact"/>
        <w:ind w:firstLine="840" w:firstLineChars="400"/>
        <w:rPr>
          <w:rFonts w:hint="eastAsia" w:ascii="宋体" w:hAnsi="宋体" w:eastAsia="宋体" w:cs="宋体"/>
          <w:bCs/>
          <w:szCs w:val="21"/>
        </w:rPr>
      </w:pPr>
      <w:r>
        <w:rPr>
          <w:rFonts w:hint="eastAsia" w:ascii="宋体" w:hAnsi="宋体" w:eastAsia="宋体" w:cs="宋体"/>
          <w:bCs/>
          <w:szCs w:val="21"/>
          <w:lang w:eastAsia="zh-CN"/>
        </w:rPr>
        <w:t>是否进行抽查检测：</w:t>
      </w:r>
      <w:r>
        <w:rPr>
          <w:rFonts w:hint="eastAsia" w:ascii="宋体" w:hAnsi="宋体" w:eastAsia="宋体" w:cs="宋体"/>
          <w:sz w:val="21"/>
          <w:szCs w:val="21"/>
        </w:rPr>
        <w:sym w:font="Wingdings" w:char="00A8"/>
      </w:r>
      <w:r>
        <w:rPr>
          <w:rFonts w:hint="eastAsia" w:ascii="宋体" w:hAnsi="宋体" w:eastAsia="宋体" w:cs="宋体"/>
          <w:bCs/>
          <w:szCs w:val="21"/>
        </w:rPr>
        <w:t>是</w:t>
      </w:r>
      <w:r>
        <w:rPr>
          <w:rFonts w:hint="eastAsia" w:ascii="宋体" w:hAnsi="宋体" w:eastAsia="宋体" w:cs="宋体"/>
          <w:bCs/>
          <w:szCs w:val="21"/>
          <w:lang w:eastAsia="zh-CN"/>
        </w:rPr>
        <w:t>，抽查比例：</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rPr>
        <w:t xml:space="preserve"> </w:t>
      </w:r>
      <w:r>
        <w:rPr>
          <w:rFonts w:hint="eastAsia" w:ascii="宋体" w:hAnsi="宋体" w:eastAsia="宋体" w:cs="宋体"/>
          <w:sz w:val="21"/>
          <w:szCs w:val="21"/>
        </w:rPr>
        <w:sym w:font="Wingdings" w:char="00FE"/>
      </w:r>
      <w:r>
        <w:rPr>
          <w:rFonts w:hint="eastAsia" w:ascii="宋体" w:hAnsi="宋体" w:eastAsia="宋体" w:cs="宋体"/>
          <w:bCs/>
          <w:szCs w:val="21"/>
        </w:rPr>
        <w:t>否</w:t>
      </w:r>
    </w:p>
    <w:p w14:paraId="714A7104">
      <w:pPr>
        <w:shd w:val="clear" w:color="auto" w:fill="auto"/>
        <w:adjustRightInd w:val="0"/>
        <w:snapToGrid w:val="0"/>
        <w:spacing w:before="0" w:beforeLines="0" w:line="400" w:lineRule="exact"/>
        <w:ind w:firstLine="840" w:firstLineChars="400"/>
        <w:rPr>
          <w:rFonts w:hint="default" w:ascii="宋体" w:hAnsi="宋体" w:eastAsia="宋体" w:cs="宋体"/>
          <w:bCs/>
          <w:szCs w:val="21"/>
          <w:u w:val="single"/>
          <w:lang w:val="en-US" w:eastAsia="zh-CN"/>
        </w:rPr>
      </w:pPr>
      <w:r>
        <w:rPr>
          <w:rFonts w:hint="eastAsia" w:ascii="宋体" w:hAnsi="宋体" w:eastAsia="宋体" w:cs="宋体"/>
          <w:bCs/>
          <w:szCs w:val="21"/>
          <w:lang w:val="en-US" w:eastAsia="zh-CN"/>
        </w:rPr>
        <w:t>是否存在破坏性检测：</w:t>
      </w:r>
      <w:r>
        <w:rPr>
          <w:rFonts w:hint="eastAsia" w:ascii="宋体" w:hAnsi="宋体" w:eastAsia="宋体" w:cs="宋体"/>
          <w:sz w:val="21"/>
          <w:szCs w:val="21"/>
        </w:rPr>
        <w:sym w:font="Wingdings" w:char="00A8"/>
      </w:r>
      <w:r>
        <w:rPr>
          <w:rFonts w:hint="eastAsia" w:ascii="宋体" w:hAnsi="宋体" w:eastAsia="宋体" w:cs="宋体"/>
          <w:bCs/>
          <w:szCs w:val="21"/>
        </w:rPr>
        <w:t>是</w:t>
      </w:r>
      <w:r>
        <w:rPr>
          <w:rFonts w:hint="eastAsia" w:ascii="宋体" w:hAnsi="宋体" w:eastAsia="宋体" w:cs="宋体"/>
          <w:bCs/>
          <w:szCs w:val="21"/>
          <w:lang w:eastAsia="zh-CN"/>
        </w:rPr>
        <w:t>，</w:t>
      </w:r>
      <w:r>
        <w:rPr>
          <w:rFonts w:hint="eastAsia" w:ascii="宋体" w:hAnsi="宋体" w:eastAsia="宋体" w:cs="宋体"/>
          <w:bCs/>
          <w:szCs w:val="21"/>
          <w:u w:val="single"/>
          <w:lang w:val="en-US" w:eastAsia="zh-CN"/>
        </w:rPr>
        <w:t xml:space="preserve">                  </w:t>
      </w:r>
    </w:p>
    <w:p w14:paraId="058F4D45">
      <w:pPr>
        <w:shd w:val="clear" w:color="auto" w:fill="auto"/>
        <w:adjustRightInd w:val="0"/>
        <w:snapToGrid w:val="0"/>
        <w:spacing w:before="0" w:beforeLines="0" w:line="400" w:lineRule="exact"/>
        <w:ind w:firstLine="840" w:firstLineChars="400"/>
        <w:rPr>
          <w:rFonts w:hint="eastAsia" w:ascii="宋体" w:hAnsi="宋体" w:eastAsia="宋体" w:cs="宋体"/>
          <w:bCs/>
          <w:szCs w:val="21"/>
          <w:lang w:eastAsia="zh-CN"/>
        </w:rPr>
      </w:pPr>
      <w:r>
        <w:rPr>
          <w:rFonts w:hint="eastAsia" w:ascii="宋体" w:hAnsi="宋体" w:eastAsia="宋体" w:cs="宋体"/>
          <w:bCs/>
          <w:szCs w:val="21"/>
          <w:lang w:val="en-US" w:eastAsia="zh-CN"/>
        </w:rPr>
        <w:t xml:space="preserve">                    </w:t>
      </w:r>
      <w:r>
        <w:rPr>
          <w:rFonts w:hint="eastAsia" w:ascii="宋体" w:hAnsi="宋体" w:eastAsia="宋体" w:cs="宋体"/>
          <w:sz w:val="21"/>
          <w:szCs w:val="21"/>
        </w:rPr>
        <w:sym w:font="Wingdings" w:char="00FE"/>
      </w:r>
      <w:r>
        <w:rPr>
          <w:rFonts w:hint="eastAsia" w:ascii="宋体" w:hAnsi="宋体" w:eastAsia="宋体" w:cs="宋体"/>
          <w:bCs/>
          <w:szCs w:val="21"/>
        </w:rPr>
        <w:t>否</w:t>
      </w:r>
    </w:p>
    <w:p w14:paraId="02C1471C">
      <w:pPr>
        <w:shd w:val="clear" w:color="auto" w:fill="auto"/>
        <w:adjustRightInd w:val="0"/>
        <w:snapToGrid w:val="0"/>
        <w:spacing w:before="0" w:beforeLines="0" w:line="400" w:lineRule="exact"/>
        <w:ind w:firstLine="840" w:firstLineChars="400"/>
        <w:rPr>
          <w:rFonts w:hint="eastAsia" w:ascii="宋体" w:hAnsi="宋体" w:eastAsia="宋体" w:cs="宋体"/>
          <w:bCs/>
          <w:szCs w:val="21"/>
          <w:u w:val="single"/>
        </w:rPr>
      </w:pPr>
      <w:r>
        <w:rPr>
          <w:rFonts w:hint="eastAsia" w:ascii="宋体" w:hAnsi="宋体" w:eastAsia="宋体" w:cs="宋体"/>
          <w:bCs/>
          <w:szCs w:val="21"/>
        </w:rPr>
        <w:t>验收组织的其他事项：</w:t>
      </w:r>
      <w:r>
        <w:rPr>
          <w:rFonts w:hint="eastAsia" w:ascii="宋体" w:hAnsi="宋体" w:eastAsia="宋体" w:cs="宋体"/>
          <w:bCs/>
          <w:szCs w:val="21"/>
          <w:u w:val="single"/>
        </w:rPr>
        <w:t xml:space="preserve">                </w:t>
      </w:r>
    </w:p>
    <w:p w14:paraId="2440F795">
      <w:pPr>
        <w:shd w:val="clear" w:color="auto" w:fill="auto"/>
        <w:adjustRightInd w:val="0"/>
        <w:snapToGrid w:val="0"/>
        <w:spacing w:before="0" w:beforeLines="0" w:line="400" w:lineRule="exact"/>
        <w:ind w:firstLine="420" w:firstLineChars="200"/>
        <w:rPr>
          <w:rFonts w:hint="eastAsia" w:ascii="宋体" w:hAnsi="宋体" w:eastAsia="宋体" w:cs="宋体"/>
          <w:bCs/>
          <w:szCs w:val="21"/>
          <w:u w:val="single"/>
        </w:rPr>
      </w:pPr>
      <w:r>
        <w:rPr>
          <w:rFonts w:hint="eastAsia" w:ascii="宋体" w:hAnsi="宋体" w:eastAsia="宋体" w:cs="宋体"/>
          <w:bCs/>
          <w:szCs w:val="21"/>
        </w:rPr>
        <w:t>（2）履约验收时间：</w:t>
      </w:r>
      <w:r>
        <w:rPr>
          <w:rFonts w:hint="eastAsia" w:ascii="宋体" w:hAnsi="宋体" w:eastAsia="宋体" w:cs="宋体"/>
          <w:bCs/>
          <w:szCs w:val="21"/>
          <w:u w:val="single"/>
        </w:rPr>
        <w:t>（计划于何时验收/供应商提出验收申请之日起</w:t>
      </w:r>
      <w:r>
        <w:rPr>
          <w:rFonts w:hint="eastAsia" w:ascii="宋体" w:hAnsi="宋体" w:eastAsia="宋体" w:cs="宋体"/>
          <w:bCs/>
          <w:szCs w:val="21"/>
          <w:u w:val="single"/>
          <w:lang w:val="en-US" w:eastAsia="zh-CN"/>
        </w:rPr>
        <w:t>15</w:t>
      </w:r>
      <w:r>
        <w:rPr>
          <w:rFonts w:hint="eastAsia" w:ascii="宋体" w:hAnsi="宋体" w:eastAsia="宋体" w:cs="宋体"/>
          <w:bCs/>
          <w:szCs w:val="21"/>
          <w:u w:val="single"/>
        </w:rPr>
        <w:t>日内组织验收）</w:t>
      </w:r>
      <w:r>
        <w:rPr>
          <w:rFonts w:hint="eastAsia" w:ascii="宋体" w:hAnsi="宋体" w:eastAsia="宋体" w:cs="宋体"/>
          <w:bCs/>
          <w:szCs w:val="21"/>
          <w:u w:val="single"/>
          <w:lang w:val="en-US" w:eastAsia="zh-CN"/>
        </w:rPr>
        <w:t xml:space="preserve"> </w:t>
      </w:r>
    </w:p>
    <w:p w14:paraId="20635717">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rPr>
        <w:t>（3）履约验收方式：</w:t>
      </w:r>
      <w:r>
        <w:rPr>
          <w:rFonts w:hint="eastAsia" w:ascii="宋体" w:hAnsi="宋体" w:eastAsia="宋体" w:cs="宋体"/>
          <w:sz w:val="21"/>
          <w:szCs w:val="21"/>
        </w:rPr>
        <w:sym w:font="Wingdings" w:char="00FE"/>
      </w:r>
      <w:r>
        <w:rPr>
          <w:rFonts w:hint="eastAsia" w:ascii="宋体" w:hAnsi="宋体" w:eastAsia="宋体" w:cs="宋体"/>
          <w:bCs/>
          <w:szCs w:val="21"/>
        </w:rPr>
        <w:t xml:space="preserve">一次性验收         </w:t>
      </w:r>
    </w:p>
    <w:p w14:paraId="6B0606B3">
      <w:pPr>
        <w:shd w:val="clear" w:color="auto" w:fill="auto"/>
        <w:adjustRightInd w:val="0"/>
        <w:snapToGrid w:val="0"/>
        <w:spacing w:before="0" w:beforeLines="0" w:line="400" w:lineRule="exact"/>
        <w:ind w:firstLine="0" w:firstLineChars="0"/>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cs="宋体"/>
          <w:bCs/>
          <w:szCs w:val="21"/>
        </w:rPr>
        <w:t>分期/分项验收</w:t>
      </w:r>
      <w:r>
        <w:rPr>
          <w:rFonts w:hint="eastAsia" w:ascii="宋体" w:hAnsi="宋体" w:eastAsia="宋体" w:cs="宋体"/>
          <w:bCs/>
          <w:szCs w:val="21"/>
          <w:lang w:eastAsia="zh-CN"/>
        </w:rPr>
        <w:t>：</w:t>
      </w:r>
      <w:r>
        <w:rPr>
          <w:rFonts w:hint="eastAsia" w:ascii="宋体" w:hAnsi="宋体" w:eastAsia="宋体" w:cs="宋体"/>
          <w:bCs/>
          <w:szCs w:val="21"/>
          <w:u w:val="single"/>
        </w:rPr>
        <w:t xml:space="preserve"> </w:t>
      </w:r>
      <w:r>
        <w:rPr>
          <w:rFonts w:hint="eastAsia" w:ascii="宋体" w:hAnsi="宋体" w:eastAsia="宋体" w:cs="宋体"/>
          <w:bCs/>
          <w:szCs w:val="21"/>
          <w:u w:val="single"/>
          <w:lang w:eastAsia="zh-CN"/>
        </w:rPr>
        <w:t>（应明确分期</w:t>
      </w:r>
      <w:r>
        <w:rPr>
          <w:rFonts w:hint="eastAsia" w:ascii="宋体" w:hAnsi="宋体" w:eastAsia="宋体" w:cs="宋体"/>
          <w:bCs/>
          <w:szCs w:val="21"/>
          <w:u w:val="single"/>
          <w:lang w:val="en" w:eastAsia="zh-CN"/>
        </w:rPr>
        <w:t>/分项验收的工作安排</w:t>
      </w:r>
      <w:r>
        <w:rPr>
          <w:rFonts w:hint="eastAsia" w:ascii="宋体" w:hAnsi="宋体" w:eastAsia="宋体" w:cs="宋体"/>
          <w:bCs/>
          <w:szCs w:val="21"/>
          <w:u w:val="single"/>
          <w:lang w:eastAsia="zh-CN"/>
        </w:rPr>
        <w:t>）</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p>
    <w:p w14:paraId="720AFA20">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rPr>
        <w:t>（4）履约验收程序：</w:t>
      </w:r>
    </w:p>
    <w:p w14:paraId="46706EDF">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lang w:val="en-US" w:eastAsia="zh-CN"/>
        </w:rPr>
        <w:t>4.1</w:t>
      </w:r>
      <w:r>
        <w:rPr>
          <w:rFonts w:hint="eastAsia" w:ascii="宋体" w:hAnsi="宋体" w:eastAsia="宋体" w:cs="宋体"/>
          <w:bCs/>
          <w:szCs w:val="21"/>
        </w:rPr>
        <w:t>初步验收</w:t>
      </w:r>
    </w:p>
    <w:p w14:paraId="64EDF80B">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rPr>
        <w:t>初步验收是对各系统的功能、性能进行全面的检查验收。其流程如下：</w:t>
      </w:r>
    </w:p>
    <w:p w14:paraId="26534E1D">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lang w:val="en-US" w:eastAsia="zh-CN"/>
        </w:rPr>
        <w:t>①</w:t>
      </w:r>
      <w:r>
        <w:rPr>
          <w:rFonts w:hint="eastAsia" w:ascii="宋体" w:hAnsi="宋体" w:eastAsia="宋体" w:cs="宋体"/>
          <w:bCs/>
          <w:szCs w:val="21"/>
        </w:rPr>
        <w:t>自检。在项目建设完成后，由项目经理组织多部门负责人进行内部自检验收。</w:t>
      </w:r>
    </w:p>
    <w:p w14:paraId="60DE2BBC">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lang w:val="en-US" w:eastAsia="zh-CN"/>
        </w:rPr>
        <w:t>②</w:t>
      </w:r>
      <w:r>
        <w:rPr>
          <w:rFonts w:hint="eastAsia" w:ascii="宋体" w:hAnsi="宋体" w:eastAsia="宋体" w:cs="宋体"/>
          <w:bCs/>
          <w:szCs w:val="21"/>
        </w:rPr>
        <w:t>第三方检定。自检验收合格后，聘请法定的第三方质量检验机构对系统功能、性能进行全面检验测定，并出具功能、性能合格报告证书。</w:t>
      </w:r>
    </w:p>
    <w:p w14:paraId="18D786B1">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lang w:val="en-US" w:eastAsia="zh-CN"/>
        </w:rPr>
        <w:t>③</w:t>
      </w:r>
      <w:r>
        <w:rPr>
          <w:rFonts w:hint="eastAsia" w:ascii="宋体" w:hAnsi="宋体" w:eastAsia="宋体" w:cs="宋体"/>
          <w:bCs/>
          <w:szCs w:val="21"/>
        </w:rPr>
        <w:t>制定验收方案。项目部制定初步验收方案，并报请业主单位审核。</w:t>
      </w:r>
    </w:p>
    <w:p w14:paraId="1120FF15">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lang w:val="en-US" w:eastAsia="zh-CN"/>
        </w:rPr>
        <w:t>④</w:t>
      </w:r>
      <w:r>
        <w:rPr>
          <w:rFonts w:hint="eastAsia" w:ascii="宋体" w:hAnsi="宋体" w:eastAsia="宋体" w:cs="宋体"/>
          <w:bCs/>
          <w:szCs w:val="21"/>
        </w:rPr>
        <w:t>初步验收。由业主组织各部门按照验收方案对系统进行全面功能和性能的初步验收。验收合格后，系统试运行三个月无重大质量问题，正式向业主单位提请正式验收。</w:t>
      </w:r>
    </w:p>
    <w:p w14:paraId="146C2CB4">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lang w:val="en-US" w:eastAsia="zh-CN"/>
        </w:rPr>
        <w:t>4.2</w:t>
      </w:r>
      <w:r>
        <w:rPr>
          <w:rFonts w:hint="eastAsia" w:ascii="宋体" w:hAnsi="宋体" w:eastAsia="宋体" w:cs="宋体"/>
          <w:bCs/>
          <w:szCs w:val="21"/>
        </w:rPr>
        <w:t>正式验收</w:t>
      </w:r>
    </w:p>
    <w:p w14:paraId="562735B7">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rPr>
        <w:t>正式验收是在初步验收合格后，系统稳定试运行三个月且无质量问题后，由业主单位组织相关职能单位及部门进行功能、性能抽样验收。其流程如下：</w:t>
      </w:r>
    </w:p>
    <w:p w14:paraId="50885322">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lang w:val="en-US" w:eastAsia="zh-CN"/>
        </w:rPr>
        <w:t>①</w:t>
      </w:r>
      <w:r>
        <w:rPr>
          <w:rFonts w:hint="eastAsia" w:ascii="宋体" w:hAnsi="宋体" w:eastAsia="宋体" w:cs="宋体"/>
          <w:bCs/>
          <w:szCs w:val="21"/>
        </w:rPr>
        <w:t>成立验收小组。由建设单位组织成立政府采购履约验收小组，并指定负责验收小组工作的负责人。验收小组应当由熟悉掌握政府采购项目采购需求、技术需要的人员单数组成。验收小组代表招标方履行验收工作职责。</w:t>
      </w:r>
    </w:p>
    <w:p w14:paraId="2D35D2F0">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lang w:val="en-US" w:eastAsia="zh-CN"/>
        </w:rPr>
        <w:t>②</w:t>
      </w:r>
      <w:r>
        <w:rPr>
          <w:rFonts w:hint="eastAsia" w:ascii="宋体" w:hAnsi="宋体" w:eastAsia="宋体" w:cs="宋体"/>
          <w:bCs/>
          <w:szCs w:val="21"/>
        </w:rPr>
        <w:t>制定验收方案。验收小组应当根据政府采购项目的具体情况，制定具体详细的采购项目验收工作方案。验收小组成员应当在实施验收前掌握采购项目采购需求、验收清单和标准、政府采购合同约定的权利义务，并完成其他准备工作。</w:t>
      </w:r>
    </w:p>
    <w:p w14:paraId="117FA0C9">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lang w:val="en-US" w:eastAsia="zh-CN"/>
        </w:rPr>
        <w:t>③</w:t>
      </w:r>
      <w:r>
        <w:rPr>
          <w:rFonts w:hint="eastAsia" w:ascii="宋体" w:hAnsi="宋体" w:eastAsia="宋体" w:cs="宋体"/>
          <w:bCs/>
          <w:szCs w:val="21"/>
        </w:rPr>
        <w:t>正式验收。验收小组应当在承建单位履约完成后及时实施验收。每个验收小组成员必须作好验收记录。验收记录要准确、详细记载采购项目重要事项的履约情况。</w:t>
      </w:r>
    </w:p>
    <w:p w14:paraId="54A62A19">
      <w:pPr>
        <w:shd w:val="clear" w:color="auto" w:fill="auto"/>
        <w:adjustRightInd w:val="0"/>
        <w:snapToGrid w:val="0"/>
        <w:spacing w:before="0" w:beforeLines="0" w:line="400" w:lineRule="exact"/>
        <w:ind w:firstLine="420" w:firstLineChars="200"/>
        <w:rPr>
          <w:rFonts w:hint="eastAsia" w:ascii="宋体" w:hAnsi="宋体" w:eastAsia="宋体" w:cs="宋体"/>
          <w:bCs/>
          <w:szCs w:val="21"/>
        </w:rPr>
      </w:pPr>
      <w:r>
        <w:rPr>
          <w:rFonts w:hint="eastAsia" w:ascii="宋体" w:hAnsi="宋体" w:eastAsia="宋体" w:cs="宋体"/>
          <w:bCs/>
          <w:szCs w:val="21"/>
          <w:lang w:val="en-US" w:eastAsia="zh-CN"/>
        </w:rPr>
        <w:t>④</w:t>
      </w:r>
      <w:r>
        <w:rPr>
          <w:rFonts w:hint="eastAsia" w:ascii="宋体" w:hAnsi="宋体" w:eastAsia="宋体" w:cs="宋体"/>
          <w:bCs/>
          <w:szCs w:val="21"/>
        </w:rPr>
        <w:t>出具验收报告。验收小组完成验收后，出具验收报告。验收报告的内容应包括：实施验收过程基本情况陈述，供应商每一项技术、服务、安全标准等履约情况，与政府采购合同约定的权利义务比较情况，验收结论性意见。</w:t>
      </w:r>
    </w:p>
    <w:p w14:paraId="09069481">
      <w:pPr>
        <w:shd w:val="clear" w:color="auto" w:fill="auto"/>
        <w:adjustRightInd w:val="0"/>
        <w:snapToGrid w:val="0"/>
        <w:spacing w:before="0" w:beforeLines="0" w:line="400" w:lineRule="exact"/>
        <w:ind w:firstLine="420" w:firstLineChars="200"/>
        <w:rPr>
          <w:rFonts w:hint="eastAsia" w:ascii="宋体" w:hAnsi="宋体" w:eastAsia="宋体" w:cs="宋体"/>
          <w:bCs/>
          <w:szCs w:val="21"/>
          <w:u w:val="single"/>
        </w:rPr>
      </w:pPr>
      <w:r>
        <w:rPr>
          <w:rFonts w:hint="eastAsia" w:ascii="宋体" w:hAnsi="宋体" w:eastAsia="宋体" w:cs="宋体"/>
          <w:bCs/>
          <w:szCs w:val="21"/>
        </w:rPr>
        <w:t>（5）履约验收的内容：</w:t>
      </w:r>
      <w:r>
        <w:rPr>
          <w:rFonts w:hint="eastAsia" w:ascii="宋体" w:hAnsi="宋体" w:eastAsia="宋体" w:cs="宋体"/>
          <w:bCs/>
          <w:szCs w:val="21"/>
          <w:u w:val="single"/>
        </w:rPr>
        <w:t xml:space="preserve"> </w:t>
      </w:r>
      <w:r>
        <w:rPr>
          <w:rFonts w:hint="eastAsia" w:ascii="宋体" w:hAnsi="宋体" w:eastAsia="宋体" w:cs="宋体"/>
          <w:bCs/>
          <w:color w:val="auto"/>
          <w:highlight w:val="none"/>
          <w:u w:val="single"/>
          <w:lang w:bidi="he-IL"/>
        </w:rPr>
        <w:t>所有设备的技术和商务要求的履约情况</w:t>
      </w:r>
      <w:r>
        <w:rPr>
          <w:rFonts w:hint="eastAsia" w:ascii="宋体" w:hAnsi="宋体" w:eastAsia="宋体" w:cs="宋体"/>
          <w:bCs/>
          <w:szCs w:val="21"/>
          <w:u w:val="single"/>
        </w:rPr>
        <w:t xml:space="preserve">     </w:t>
      </w:r>
    </w:p>
    <w:p w14:paraId="5E9941D8">
      <w:pPr>
        <w:shd w:val="clear" w:color="auto" w:fill="auto"/>
        <w:adjustRightInd w:val="0"/>
        <w:snapToGrid w:val="0"/>
        <w:spacing w:before="0" w:beforeLines="0" w:line="400" w:lineRule="exact"/>
        <w:ind w:firstLine="420" w:firstLineChars="200"/>
        <w:rPr>
          <w:rFonts w:hint="eastAsia" w:ascii="宋体" w:hAnsi="宋体" w:eastAsia="宋体" w:cs="宋体"/>
          <w:bCs/>
          <w:szCs w:val="21"/>
          <w:u w:val="single"/>
        </w:rPr>
      </w:pPr>
      <w:r>
        <w:rPr>
          <w:rFonts w:hint="eastAsia" w:ascii="宋体" w:hAnsi="宋体" w:eastAsia="宋体" w:cs="宋体"/>
          <w:bCs/>
          <w:szCs w:val="21"/>
        </w:rPr>
        <w:t>（6）履约验收标准：</w:t>
      </w:r>
      <w:r>
        <w:rPr>
          <w:rFonts w:hint="eastAsia" w:ascii="宋体" w:hAnsi="宋体" w:eastAsia="宋体" w:cs="宋体"/>
          <w:bCs/>
          <w:color w:val="auto"/>
          <w:highlight w:val="none"/>
          <w:u w:val="single"/>
          <w:lang w:bidi="he-IL"/>
        </w:rPr>
        <w:t>符合国家、行业相关标准。</w:t>
      </w:r>
    </w:p>
    <w:p w14:paraId="51E67B51">
      <w:pPr>
        <w:pStyle w:val="43"/>
        <w:shd w:val="clear" w:color="auto" w:fill="auto"/>
        <w:spacing w:beforeLines="0"/>
        <w:rPr>
          <w:rFonts w:hint="eastAsia" w:ascii="宋体" w:hAnsi="宋体" w:eastAsia="宋体" w:cs="宋体"/>
          <w:sz w:val="21"/>
          <w:lang w:eastAsia="zh-CN"/>
        </w:rPr>
      </w:pPr>
      <w:r>
        <w:rPr>
          <w:rFonts w:hint="eastAsia" w:ascii="宋体" w:hAnsi="宋体" w:eastAsia="宋体" w:cs="宋体"/>
          <w:bCs/>
          <w:sz w:val="21"/>
          <w:szCs w:val="21"/>
          <w:u w:val="none"/>
          <w:lang w:eastAsia="zh-CN"/>
        </w:rPr>
        <w:t>（</w:t>
      </w:r>
      <w:r>
        <w:rPr>
          <w:rFonts w:hint="eastAsia" w:ascii="宋体" w:hAnsi="宋体" w:eastAsia="宋体" w:cs="宋体"/>
          <w:bCs/>
          <w:sz w:val="21"/>
          <w:szCs w:val="21"/>
          <w:u w:val="none"/>
          <w:lang w:val="en-US" w:eastAsia="zh-CN"/>
        </w:rPr>
        <w:t>7</w:t>
      </w:r>
      <w:r>
        <w:rPr>
          <w:rFonts w:hint="eastAsia" w:ascii="宋体" w:hAnsi="宋体" w:eastAsia="宋体" w:cs="宋体"/>
          <w:bCs/>
          <w:sz w:val="21"/>
          <w:szCs w:val="21"/>
          <w:u w:val="none"/>
          <w:lang w:eastAsia="zh-CN"/>
        </w:rPr>
        <w:t>）是否以采购活动中供应商提供的样品作为参考：</w:t>
      </w:r>
      <w:r>
        <w:rPr>
          <w:rFonts w:hint="eastAsia" w:ascii="宋体" w:hAnsi="宋体" w:eastAsia="宋体" w:cs="宋体"/>
          <w:sz w:val="21"/>
          <w:szCs w:val="21"/>
        </w:rPr>
        <w:sym w:font="Wingdings" w:char="00A8"/>
      </w:r>
      <w:r>
        <w:rPr>
          <w:rFonts w:hint="eastAsia" w:ascii="宋体" w:hAnsi="宋体" w:eastAsia="宋体" w:cs="宋体"/>
          <w:bCs/>
          <w:sz w:val="21"/>
          <w:szCs w:val="21"/>
        </w:rPr>
        <w:t xml:space="preserve">是  </w:t>
      </w:r>
      <w:r>
        <w:rPr>
          <w:rFonts w:hint="eastAsia" w:ascii="宋体" w:hAnsi="宋体" w:eastAsia="宋体" w:cs="宋体"/>
          <w:sz w:val="21"/>
          <w:szCs w:val="21"/>
        </w:rPr>
        <w:sym w:font="Wingdings" w:char="00FE"/>
      </w:r>
      <w:r>
        <w:rPr>
          <w:rFonts w:hint="eastAsia" w:ascii="宋体" w:hAnsi="宋体" w:eastAsia="宋体" w:cs="宋体"/>
          <w:bCs/>
          <w:sz w:val="21"/>
          <w:szCs w:val="21"/>
        </w:rPr>
        <w:t>否</w:t>
      </w:r>
    </w:p>
    <w:p w14:paraId="4A2BBC8C">
      <w:pPr>
        <w:shd w:val="clear" w:color="auto" w:fill="auto"/>
        <w:adjustRightInd w:val="0"/>
        <w:snapToGrid w:val="0"/>
        <w:spacing w:before="0" w:beforeLines="0" w:line="400" w:lineRule="exact"/>
        <w:ind w:firstLine="420" w:firstLineChars="200"/>
        <w:rPr>
          <w:rFonts w:hint="eastAsia" w:ascii="宋体" w:hAnsi="宋体" w:eastAsia="宋体" w:cs="宋体"/>
          <w:bCs/>
          <w:szCs w:val="21"/>
          <w:u w:val="single"/>
          <w:lang w:val="en-US" w:eastAsia="zh-CN"/>
        </w:rPr>
      </w:pPr>
      <w:r>
        <w:rPr>
          <w:rFonts w:hint="eastAsia" w:ascii="宋体" w:hAnsi="宋体" w:eastAsia="宋体" w:cs="宋体"/>
          <w:bCs/>
          <w:szCs w:val="21"/>
        </w:rPr>
        <w:t>（8）履约验收其他事项：</w:t>
      </w:r>
      <w:r>
        <w:rPr>
          <w:rFonts w:hint="eastAsia" w:ascii="宋体" w:hAnsi="宋体" w:eastAsia="宋体" w:cs="宋体"/>
          <w:bCs/>
          <w:szCs w:val="21"/>
          <w:u w:val="single"/>
        </w:rPr>
        <w:t xml:space="preserve">   </w:t>
      </w:r>
      <w:r>
        <w:rPr>
          <w:rFonts w:hint="eastAsia" w:ascii="宋体" w:hAnsi="宋体" w:eastAsia="宋体" w:cs="宋体"/>
          <w:bCs/>
          <w:i w:val="0"/>
          <w:iCs w:val="0"/>
          <w:szCs w:val="21"/>
          <w:u w:val="single"/>
          <w:lang w:val="en-US" w:eastAsia="zh-CN"/>
        </w:rPr>
        <w:t>/</w:t>
      </w:r>
      <w:r>
        <w:rPr>
          <w:rFonts w:hint="eastAsia" w:ascii="宋体" w:hAnsi="宋体" w:eastAsia="宋体" w:cs="宋体"/>
          <w:bCs/>
          <w:szCs w:val="21"/>
          <w:u w:val="single"/>
        </w:rPr>
        <w:t xml:space="preserve">   </w:t>
      </w:r>
      <w:r>
        <w:rPr>
          <w:rFonts w:hint="eastAsia" w:ascii="宋体" w:hAnsi="宋体" w:eastAsia="宋体" w:cs="宋体"/>
          <w:bCs/>
          <w:szCs w:val="21"/>
          <w:u w:val="none"/>
          <w:lang w:val="en-US" w:eastAsia="zh-CN"/>
        </w:rPr>
        <w:t>。</w:t>
      </w:r>
    </w:p>
    <w:p w14:paraId="136B22FF">
      <w:pPr>
        <w:numPr>
          <w:ilvl w:val="0"/>
          <w:numId w:val="1"/>
        </w:numPr>
        <w:shd w:val="clear" w:color="auto" w:fill="auto"/>
        <w:adjustRightInd w:val="0"/>
        <w:snapToGrid w:val="0"/>
        <w:spacing w:before="0" w:beforeLines="0" w:line="400" w:lineRule="exact"/>
        <w:ind w:firstLine="422" w:firstLineChars="200"/>
        <w:rPr>
          <w:rFonts w:hint="eastAsia" w:ascii="宋体" w:hAnsi="宋体" w:eastAsia="宋体" w:cs="宋体"/>
          <w:b/>
          <w:szCs w:val="21"/>
        </w:rPr>
      </w:pPr>
      <w:r>
        <w:rPr>
          <w:rFonts w:hint="eastAsia" w:ascii="宋体" w:hAnsi="宋体" w:eastAsia="宋体" w:cs="宋体"/>
          <w:b/>
          <w:szCs w:val="21"/>
        </w:rPr>
        <w:t>组成合同的文件</w:t>
      </w:r>
    </w:p>
    <w:p w14:paraId="7B6AA009">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本协议书与下列文件一起构成合同文件，如下述文件之间有任何抵触、矛盾或歧义，应按以下顺序解释：</w:t>
      </w:r>
    </w:p>
    <w:p w14:paraId="25ADFDFF">
      <w:pPr>
        <w:shd w:val="clear" w:color="auto" w:fill="auto"/>
        <w:adjustRightInd w:val="0"/>
        <w:snapToGrid w:val="0"/>
        <w:spacing w:before="0" w:beforeLines="0" w:line="400" w:lineRule="exact"/>
        <w:ind w:firstLine="420" w:firstLineChars="200"/>
        <w:rPr>
          <w:rFonts w:hint="eastAsia" w:ascii="宋体" w:hAnsi="宋体" w:eastAsia="宋体" w:cs="宋体"/>
          <w:color w:val="auto"/>
          <w:szCs w:val="21"/>
          <w:lang w:eastAsia="zh-CN"/>
        </w:rPr>
      </w:pPr>
      <w:r>
        <w:rPr>
          <w:rFonts w:hint="eastAsia" w:ascii="宋体" w:hAnsi="宋体" w:eastAsia="宋体" w:cs="宋体"/>
          <w:color w:val="auto"/>
          <w:szCs w:val="21"/>
        </w:rPr>
        <w:t>（1）</w:t>
      </w:r>
      <w:r>
        <w:rPr>
          <w:rFonts w:hint="eastAsia" w:ascii="宋体" w:hAnsi="宋体" w:eastAsia="宋体" w:cs="宋体"/>
          <w:color w:val="auto"/>
          <w:szCs w:val="21"/>
          <w:lang w:eastAsia="zh-CN"/>
        </w:rPr>
        <w:t>政府采购</w:t>
      </w:r>
      <w:r>
        <w:rPr>
          <w:rFonts w:hint="eastAsia" w:ascii="宋体" w:hAnsi="宋体" w:eastAsia="宋体" w:cs="宋体"/>
          <w:color w:val="auto"/>
          <w:szCs w:val="21"/>
        </w:rPr>
        <w:t>合同协议书及其变更、补充</w:t>
      </w:r>
      <w:r>
        <w:rPr>
          <w:rFonts w:hint="eastAsia" w:ascii="宋体" w:hAnsi="宋体" w:eastAsia="宋体" w:cs="宋体"/>
          <w:color w:val="auto"/>
          <w:szCs w:val="21"/>
          <w:lang w:eastAsia="zh-CN"/>
        </w:rPr>
        <w:t>协议</w:t>
      </w:r>
    </w:p>
    <w:p w14:paraId="71AA8D37">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eastAsia="zh-CN"/>
        </w:rPr>
        <w:t>2</w:t>
      </w:r>
      <w:r>
        <w:rPr>
          <w:rFonts w:hint="eastAsia" w:ascii="宋体" w:hAnsi="宋体" w:eastAsia="宋体" w:cs="宋体"/>
          <w:szCs w:val="21"/>
        </w:rPr>
        <w:t>）政府采购合同专用条款</w:t>
      </w:r>
    </w:p>
    <w:p w14:paraId="7A74978A">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eastAsia="zh-CN"/>
        </w:rPr>
        <w:t>3</w:t>
      </w:r>
      <w:r>
        <w:rPr>
          <w:rFonts w:hint="eastAsia" w:ascii="宋体" w:hAnsi="宋体" w:eastAsia="宋体" w:cs="宋体"/>
          <w:szCs w:val="21"/>
        </w:rPr>
        <w:t>）政府采购合同通用条款</w:t>
      </w:r>
    </w:p>
    <w:p w14:paraId="5C3AADBD">
      <w:pPr>
        <w:shd w:val="clear" w:color="auto" w:fill="auto"/>
        <w:adjustRightInd w:val="0"/>
        <w:snapToGrid w:val="0"/>
        <w:spacing w:before="0" w:beforeLines="0" w:line="400" w:lineRule="exact"/>
        <w:ind w:firstLine="420" w:firstLineChars="200"/>
        <w:rPr>
          <w:rFonts w:hint="eastAsia" w:ascii="宋体" w:hAnsi="宋体" w:eastAsia="宋体" w:cs="宋体"/>
          <w:color w:val="auto"/>
          <w:szCs w:val="21"/>
        </w:rPr>
      </w:pPr>
      <w:r>
        <w:rPr>
          <w:rFonts w:hint="eastAsia" w:ascii="宋体" w:hAnsi="宋体" w:eastAsia="宋体" w:cs="宋体"/>
          <w:color w:val="auto"/>
          <w:szCs w:val="21"/>
        </w:rPr>
        <w:t>（</w:t>
      </w:r>
      <w:r>
        <w:rPr>
          <w:rFonts w:hint="eastAsia" w:ascii="宋体" w:hAnsi="宋体" w:eastAsia="宋体" w:cs="宋体"/>
          <w:color w:val="auto"/>
          <w:szCs w:val="21"/>
          <w:lang w:val="en-US" w:eastAsia="zh-CN"/>
        </w:rPr>
        <w:t>4</w:t>
      </w:r>
      <w:r>
        <w:rPr>
          <w:rFonts w:hint="eastAsia" w:ascii="宋体" w:hAnsi="宋体" w:eastAsia="宋体" w:cs="宋体"/>
          <w:color w:val="auto"/>
          <w:szCs w:val="21"/>
        </w:rPr>
        <w:t>）中标</w:t>
      </w:r>
      <w:r>
        <w:rPr>
          <w:rFonts w:hint="eastAsia" w:ascii="宋体" w:hAnsi="宋体" w:eastAsia="宋体" w:cs="宋体"/>
          <w:color w:val="auto"/>
          <w:szCs w:val="21"/>
          <w:lang w:eastAsia="zh-CN"/>
        </w:rPr>
        <w:t>（成交）</w:t>
      </w:r>
      <w:r>
        <w:rPr>
          <w:rFonts w:hint="eastAsia" w:ascii="宋体" w:hAnsi="宋体" w:eastAsia="宋体" w:cs="宋体"/>
          <w:color w:val="auto"/>
          <w:szCs w:val="21"/>
        </w:rPr>
        <w:t>通知书</w:t>
      </w:r>
    </w:p>
    <w:p w14:paraId="647EEDB6">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w:t>
      </w:r>
      <w:r>
        <w:rPr>
          <w:rFonts w:hint="eastAsia" w:ascii="宋体" w:hAnsi="宋体" w:eastAsia="宋体" w:cs="宋体"/>
          <w:szCs w:val="21"/>
          <w:lang w:val="en-US" w:eastAsia="zh-CN"/>
        </w:rPr>
        <w:t>5</w:t>
      </w:r>
      <w:r>
        <w:rPr>
          <w:rFonts w:hint="eastAsia" w:ascii="宋体" w:hAnsi="宋体" w:eastAsia="宋体" w:cs="宋体"/>
          <w:szCs w:val="21"/>
        </w:rPr>
        <w:t>）投标（响应）文件</w:t>
      </w:r>
    </w:p>
    <w:p w14:paraId="32F6F7EE">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（6）采购文件</w:t>
      </w:r>
    </w:p>
    <w:p w14:paraId="2D1372C7">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（7）有关技术文件，图纸</w:t>
      </w:r>
    </w:p>
    <w:p w14:paraId="55B8905E">
      <w:pPr>
        <w:pStyle w:val="43"/>
        <w:shd w:val="clear" w:color="auto" w:fill="auto"/>
        <w:spacing w:beforeLines="0"/>
        <w:rPr>
          <w:rFonts w:hint="eastAsia" w:ascii="宋体" w:hAnsi="宋体" w:eastAsia="宋体" w:cs="宋体"/>
          <w:kern w:val="2"/>
          <w:sz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lang w:eastAsia="zh-CN"/>
        </w:rPr>
        <w:t>）</w:t>
      </w:r>
      <w:r>
        <w:rPr>
          <w:rFonts w:hint="eastAsia" w:ascii="宋体" w:hAnsi="宋体" w:eastAsia="宋体" w:cs="宋体"/>
          <w:bCs w:val="0"/>
          <w:color w:val="000000"/>
          <w:kern w:val="2"/>
          <w:sz w:val="21"/>
          <w:szCs w:val="21"/>
          <w:highlight w:val="none"/>
          <w:lang w:eastAsia="zh-CN"/>
        </w:rPr>
        <w:t>国家法律、行政法规和规章制度规定或合同约定的作为合同组成部分的其他文件</w:t>
      </w:r>
    </w:p>
    <w:p w14:paraId="157ACDC3">
      <w:pPr>
        <w:numPr>
          <w:ilvl w:val="0"/>
          <w:numId w:val="1"/>
        </w:numPr>
        <w:shd w:val="clear" w:color="auto" w:fill="auto"/>
        <w:adjustRightInd w:val="0"/>
        <w:snapToGrid w:val="0"/>
        <w:spacing w:before="0" w:beforeLines="0" w:line="400" w:lineRule="exact"/>
        <w:ind w:firstLine="422" w:firstLineChars="200"/>
        <w:rPr>
          <w:rFonts w:hint="eastAsia" w:ascii="宋体" w:hAnsi="宋体" w:eastAsia="宋体" w:cs="宋体"/>
          <w:b/>
          <w:szCs w:val="21"/>
        </w:rPr>
      </w:pPr>
      <w:r>
        <w:rPr>
          <w:rFonts w:hint="eastAsia" w:ascii="宋体" w:hAnsi="宋体" w:eastAsia="宋体" w:cs="宋体"/>
          <w:b/>
          <w:szCs w:val="21"/>
        </w:rPr>
        <w:t>合同生效</w:t>
      </w:r>
    </w:p>
    <w:p w14:paraId="09443CD6">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本合同自</w:t>
      </w:r>
      <w:r>
        <w:rPr>
          <w:rFonts w:hint="eastAsia" w:ascii="宋体" w:hAnsi="宋体" w:eastAsia="宋体" w:cs="宋体"/>
          <w:szCs w:val="21"/>
          <w:u w:val="single"/>
        </w:rPr>
        <w:t xml:space="preserve">                             </w:t>
      </w:r>
      <w:r>
        <w:rPr>
          <w:rFonts w:hint="eastAsia" w:ascii="宋体" w:hAnsi="宋体" w:eastAsia="宋体" w:cs="宋体"/>
          <w:szCs w:val="21"/>
        </w:rPr>
        <w:t>生效。</w:t>
      </w:r>
    </w:p>
    <w:p w14:paraId="4F05E35D">
      <w:pPr>
        <w:numPr>
          <w:ilvl w:val="0"/>
          <w:numId w:val="1"/>
        </w:numPr>
        <w:shd w:val="clear" w:color="auto" w:fill="auto"/>
        <w:adjustRightInd w:val="0"/>
        <w:snapToGrid w:val="0"/>
        <w:spacing w:before="0" w:beforeLines="0" w:line="400" w:lineRule="exact"/>
        <w:ind w:firstLine="422" w:firstLineChars="200"/>
        <w:rPr>
          <w:rFonts w:hint="eastAsia" w:ascii="宋体" w:hAnsi="宋体" w:eastAsia="宋体" w:cs="宋体"/>
          <w:b/>
          <w:szCs w:val="21"/>
        </w:rPr>
      </w:pPr>
      <w:r>
        <w:rPr>
          <w:rFonts w:hint="eastAsia" w:ascii="宋体" w:hAnsi="宋体" w:eastAsia="宋体" w:cs="宋体"/>
          <w:b/>
          <w:szCs w:val="21"/>
        </w:rPr>
        <w:t>合同份数</w:t>
      </w:r>
    </w:p>
    <w:p w14:paraId="2F93F825">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本合同一式</w:t>
      </w:r>
      <w:r>
        <w:rPr>
          <w:rFonts w:hint="eastAsia" w:ascii="宋体" w:hAnsi="宋体" w:eastAsia="宋体" w:cs="宋体"/>
          <w:szCs w:val="21"/>
          <w:u w:val="single"/>
        </w:rPr>
        <w:t xml:space="preserve">    </w:t>
      </w:r>
      <w:r>
        <w:rPr>
          <w:rFonts w:hint="eastAsia" w:ascii="宋体" w:hAnsi="宋体" w:eastAsia="宋体" w:cs="宋体"/>
          <w:szCs w:val="21"/>
        </w:rPr>
        <w:t>份，</w:t>
      </w:r>
      <w:r>
        <w:rPr>
          <w:rFonts w:hint="eastAsia" w:ascii="宋体" w:hAnsi="宋体" w:eastAsia="宋体" w:cs="宋体"/>
          <w:szCs w:val="21"/>
          <w:lang w:eastAsia="zh-CN"/>
        </w:rPr>
        <w:t>甲方</w:t>
      </w:r>
      <w:r>
        <w:rPr>
          <w:rFonts w:hint="eastAsia" w:ascii="宋体" w:hAnsi="宋体" w:eastAsia="宋体" w:cs="宋体"/>
          <w:szCs w:val="21"/>
        </w:rPr>
        <w:t>执</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份，</w:t>
      </w:r>
      <w:r>
        <w:rPr>
          <w:rFonts w:hint="eastAsia" w:ascii="宋体" w:hAnsi="宋体" w:eastAsia="宋体" w:cs="宋体"/>
          <w:szCs w:val="21"/>
          <w:lang w:eastAsia="zh-CN"/>
        </w:rPr>
        <w:t>乙方</w:t>
      </w:r>
      <w:r>
        <w:rPr>
          <w:rFonts w:hint="eastAsia" w:ascii="宋体" w:hAnsi="宋体" w:eastAsia="宋体" w:cs="宋体"/>
          <w:szCs w:val="21"/>
        </w:rPr>
        <w:t>执</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份，均具有同等法律效力。</w:t>
      </w:r>
    </w:p>
    <w:p w14:paraId="1D840F29">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合同订立时间：</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5D79C60F">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合同订立地点：</w:t>
      </w:r>
      <w:r>
        <w:rPr>
          <w:rFonts w:hint="eastAsia" w:ascii="宋体" w:hAnsi="宋体" w:eastAsia="宋体" w:cs="宋体"/>
          <w:szCs w:val="21"/>
          <w:u w:val="single"/>
        </w:rPr>
        <w:t xml:space="preserve">                           </w:t>
      </w:r>
    </w:p>
    <w:p w14:paraId="196FFD13">
      <w:pPr>
        <w:shd w:val="clear" w:color="auto" w:fill="auto"/>
        <w:adjustRightInd w:val="0"/>
        <w:snapToGrid w:val="0"/>
        <w:spacing w:before="0" w:beforeLines="0" w:line="400" w:lineRule="exact"/>
        <w:ind w:firstLine="420" w:firstLineChars="200"/>
        <w:rPr>
          <w:rFonts w:hint="eastAsia" w:ascii="宋体" w:hAnsi="宋体" w:eastAsia="宋体" w:cs="宋体"/>
          <w:szCs w:val="21"/>
        </w:rPr>
      </w:pPr>
      <w:r>
        <w:rPr>
          <w:rFonts w:hint="eastAsia" w:ascii="宋体" w:hAnsi="宋体" w:eastAsia="宋体" w:cs="宋体"/>
          <w:szCs w:val="21"/>
        </w:rPr>
        <w:t>附件：具体标</w:t>
      </w:r>
      <w:r>
        <w:rPr>
          <w:rFonts w:hint="eastAsia" w:ascii="宋体" w:hAnsi="宋体" w:eastAsia="宋体" w:cs="宋体"/>
          <w:szCs w:val="21"/>
          <w:lang w:eastAsia="zh-CN"/>
        </w:rPr>
        <w:t>的及其</w:t>
      </w:r>
      <w:r>
        <w:rPr>
          <w:rFonts w:hint="eastAsia" w:ascii="宋体" w:hAnsi="宋体" w:eastAsia="宋体" w:cs="宋体"/>
          <w:szCs w:val="21"/>
          <w:highlight w:val="none"/>
          <w:u w:val="none"/>
          <w:lang w:val="en-US" w:eastAsia="zh-CN"/>
        </w:rPr>
        <w:t>技术要求和商务要求</w:t>
      </w:r>
      <w:r>
        <w:rPr>
          <w:rFonts w:hint="eastAsia" w:ascii="宋体" w:hAnsi="宋体" w:eastAsia="宋体" w:cs="宋体"/>
          <w:szCs w:val="21"/>
        </w:rPr>
        <w:t>、联合协议、分包</w:t>
      </w:r>
      <w:r>
        <w:rPr>
          <w:rFonts w:hint="eastAsia" w:ascii="宋体" w:hAnsi="宋体" w:eastAsia="宋体" w:cs="宋体"/>
          <w:szCs w:val="21"/>
          <w:lang w:eastAsia="zh-CN"/>
        </w:rPr>
        <w:t>意向</w:t>
      </w:r>
      <w:r>
        <w:rPr>
          <w:rFonts w:hint="eastAsia" w:ascii="宋体" w:hAnsi="宋体" w:eastAsia="宋体" w:cs="宋体"/>
          <w:szCs w:val="21"/>
        </w:rPr>
        <w:t>协议等。</w:t>
      </w:r>
    </w:p>
    <w:p w14:paraId="0F4FFEF6">
      <w:pPr>
        <w:rPr>
          <w:rFonts w:hint="eastAsia" w:ascii="宋体" w:hAnsi="宋体" w:eastAsia="宋体" w:cs="宋体"/>
          <w:szCs w:val="21"/>
        </w:rPr>
      </w:pPr>
      <w:r>
        <w:rPr>
          <w:rFonts w:hint="eastAsia" w:ascii="宋体" w:hAnsi="宋体" w:eastAsia="宋体" w:cs="宋体"/>
          <w:szCs w:val="21"/>
        </w:rPr>
        <w:br w:type="page"/>
      </w:r>
    </w:p>
    <w:p w14:paraId="14E1D3F2">
      <w:pPr>
        <w:pStyle w:val="43"/>
        <w:rPr>
          <w:rFonts w:hint="eastAsia" w:ascii="宋体" w:hAnsi="宋体" w:eastAsia="宋体" w:cs="宋体"/>
        </w:rPr>
      </w:pPr>
    </w:p>
    <w:tbl>
      <w:tblPr>
        <w:tblStyle w:val="27"/>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61"/>
        <w:gridCol w:w="2757"/>
        <w:gridCol w:w="2261"/>
        <w:gridCol w:w="2419"/>
      </w:tblGrid>
      <w:tr w14:paraId="3C57EE8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PrEx>
        <w:trPr>
          <w:trHeight w:val="490" w:hRule="atLeast"/>
        </w:trPr>
        <w:tc>
          <w:tcPr>
            <w:tcW w:w="2562" w:type="pct"/>
            <w:gridSpan w:val="2"/>
            <w:tcBorders>
              <w:bottom w:val="single" w:color="auto" w:sz="2" w:space="0"/>
              <w:right w:val="single" w:color="auto" w:sz="2" w:space="0"/>
            </w:tcBorders>
            <w:noWrap w:val="0"/>
            <w:vAlign w:val="center"/>
          </w:tcPr>
          <w:p w14:paraId="657C221F">
            <w:pPr>
              <w:shd w:val="clear" w:color="auto" w:fill="auto"/>
              <w:adjustRightInd w:val="0"/>
              <w:snapToGrid w:val="0"/>
              <w:spacing w:line="300" w:lineRule="exact"/>
              <w:jc w:val="center"/>
              <w:rPr>
                <w:rFonts w:hint="eastAsia" w:ascii="宋体" w:hAnsi="宋体" w:eastAsia="宋体" w:cs="宋体"/>
              </w:rPr>
            </w:pPr>
            <w:r>
              <w:rPr>
                <w:rFonts w:hint="eastAsia" w:ascii="宋体" w:hAnsi="宋体" w:eastAsia="宋体" w:cs="宋体"/>
                <w:b w:val="0"/>
                <w:bCs w:val="0"/>
                <w:sz w:val="21"/>
                <w:szCs w:val="21"/>
                <w:lang w:val="en-US" w:eastAsia="zh-CN" w:bidi="ar-SA"/>
              </w:rPr>
              <w:br w:type="page"/>
            </w:r>
            <w:r>
              <w:rPr>
                <w:rFonts w:hint="eastAsia" w:ascii="宋体" w:hAnsi="宋体" w:eastAsia="宋体" w:cs="宋体"/>
                <w:b w:val="0"/>
                <w:bCs w:val="0"/>
                <w:sz w:val="21"/>
                <w:szCs w:val="21"/>
                <w:lang w:val="en-US" w:eastAsia="zh-CN" w:bidi="ar-SA"/>
              </w:rPr>
              <w:t>甲方（采购人、受采购人委托签订合同的单位或采购文件约定的合同甲方）</w:t>
            </w:r>
          </w:p>
        </w:tc>
        <w:tc>
          <w:tcPr>
            <w:tcW w:w="2437" w:type="pct"/>
            <w:gridSpan w:val="2"/>
            <w:tcBorders>
              <w:left w:val="single" w:color="auto" w:sz="2" w:space="0"/>
              <w:bottom w:val="single" w:color="auto" w:sz="2" w:space="0"/>
            </w:tcBorders>
            <w:noWrap w:val="0"/>
            <w:vAlign w:val="center"/>
          </w:tcPr>
          <w:p w14:paraId="031F91EB">
            <w:pPr>
              <w:shd w:val="clear" w:color="auto" w:fill="auto"/>
              <w:adjustRightInd w:val="0"/>
              <w:snapToGrid w:val="0"/>
              <w:spacing w:line="300" w:lineRule="exact"/>
              <w:jc w:val="center"/>
              <w:rPr>
                <w:rFonts w:hint="eastAsia" w:ascii="宋体" w:hAnsi="宋体" w:eastAsia="宋体" w:cs="宋体"/>
              </w:rPr>
            </w:pPr>
            <w:r>
              <w:rPr>
                <w:rFonts w:hint="eastAsia" w:ascii="宋体" w:hAnsi="宋体" w:eastAsia="宋体" w:cs="宋体"/>
                <w:szCs w:val="21"/>
              </w:rPr>
              <w:t>乙方（供应商）</w:t>
            </w:r>
          </w:p>
        </w:tc>
      </w:tr>
      <w:tr w14:paraId="0DFB59F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62D9AF7A">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单位名称（公章</w:t>
            </w:r>
            <w:r>
              <w:rPr>
                <w:rFonts w:hint="eastAsia" w:ascii="宋体" w:hAnsi="宋体" w:eastAsia="宋体" w:cs="宋体"/>
                <w:szCs w:val="21"/>
                <w:lang w:eastAsia="zh-CN"/>
              </w:rPr>
              <w:t>或合同章</w:t>
            </w:r>
            <w:r>
              <w:rPr>
                <w:rFonts w:hint="eastAsia" w:ascii="宋体" w:hAnsi="宋体" w:eastAsia="宋体" w:cs="宋体"/>
                <w:szCs w:val="21"/>
              </w:rPr>
              <w:t>）</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6C52E32">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539C349">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单位名称（公章</w:t>
            </w:r>
            <w:r>
              <w:rPr>
                <w:rFonts w:hint="eastAsia" w:ascii="宋体" w:hAnsi="宋体" w:eastAsia="宋体" w:cs="宋体"/>
                <w:szCs w:val="21"/>
                <w:lang w:eastAsia="zh-CN"/>
              </w:rPr>
              <w:t>或合同章</w:t>
            </w:r>
            <w:r>
              <w:rPr>
                <w:rFonts w:hint="eastAsia" w:ascii="宋体" w:hAnsi="宋体" w:eastAsia="宋体" w:cs="宋体"/>
                <w:szCs w:val="21"/>
              </w:rPr>
              <w:t>）</w:t>
            </w:r>
          </w:p>
        </w:tc>
        <w:tc>
          <w:tcPr>
            <w:tcW w:w="1259" w:type="pct"/>
            <w:tcBorders>
              <w:top w:val="single" w:color="auto" w:sz="2" w:space="0"/>
              <w:left w:val="single" w:color="auto" w:sz="2" w:space="0"/>
              <w:bottom w:val="single" w:color="auto" w:sz="2" w:space="0"/>
            </w:tcBorders>
            <w:noWrap w:val="0"/>
            <w:vAlign w:val="center"/>
          </w:tcPr>
          <w:p w14:paraId="53E47A76">
            <w:pPr>
              <w:shd w:val="clear" w:color="auto" w:fill="auto"/>
              <w:adjustRightInd w:val="0"/>
              <w:snapToGrid w:val="0"/>
              <w:spacing w:line="300" w:lineRule="exact"/>
              <w:jc w:val="center"/>
              <w:rPr>
                <w:rFonts w:hint="eastAsia" w:ascii="宋体" w:hAnsi="宋体" w:eastAsia="宋体" w:cs="宋体"/>
                <w:spacing w:val="20"/>
                <w:szCs w:val="21"/>
              </w:rPr>
            </w:pPr>
          </w:p>
        </w:tc>
      </w:tr>
      <w:tr w14:paraId="1F33EFD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31FF9CE0">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法定代表人</w:t>
            </w:r>
          </w:p>
          <w:p w14:paraId="2BDBFFE2">
            <w:pPr>
              <w:shd w:val="clear" w:color="auto" w:fill="auto"/>
              <w:adjustRightInd w:val="0"/>
              <w:snapToGrid w:val="0"/>
              <w:spacing w:line="300" w:lineRule="exact"/>
              <w:ind w:firstLine="100" w:firstLineChars="48"/>
              <w:jc w:val="center"/>
              <w:rPr>
                <w:rFonts w:hint="eastAsia" w:ascii="宋体" w:hAnsi="宋体" w:eastAsia="宋体" w:cs="宋体"/>
                <w:szCs w:val="21"/>
              </w:rPr>
            </w:pPr>
            <w:r>
              <w:rPr>
                <w:rFonts w:hint="eastAsia" w:ascii="宋体" w:hAnsi="宋体" w:eastAsia="宋体" w:cs="宋体"/>
                <w:szCs w:val="21"/>
              </w:rPr>
              <w:t>或其委托代理人（签章）</w:t>
            </w:r>
          </w:p>
        </w:tc>
        <w:tc>
          <w:tcPr>
            <w:tcW w:w="1436" w:type="pct"/>
            <w:vMerge w:val="restart"/>
            <w:tcBorders>
              <w:top w:val="single" w:color="auto" w:sz="2" w:space="0"/>
              <w:left w:val="single" w:color="auto" w:sz="2" w:space="0"/>
              <w:right w:val="single" w:color="auto" w:sz="2" w:space="0"/>
            </w:tcBorders>
            <w:noWrap w:val="0"/>
            <w:vAlign w:val="center"/>
          </w:tcPr>
          <w:p w14:paraId="61577C5F">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right w:val="single" w:color="auto" w:sz="2" w:space="0"/>
            </w:tcBorders>
            <w:noWrap w:val="0"/>
            <w:vAlign w:val="center"/>
          </w:tcPr>
          <w:p w14:paraId="3A22375D">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法定代表人</w:t>
            </w:r>
          </w:p>
          <w:p w14:paraId="56FF11B7">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或其委托代理人（签章）</w:t>
            </w:r>
          </w:p>
        </w:tc>
        <w:tc>
          <w:tcPr>
            <w:tcW w:w="1259" w:type="pct"/>
            <w:tcBorders>
              <w:top w:val="single" w:color="auto" w:sz="2" w:space="0"/>
              <w:left w:val="single" w:color="auto" w:sz="2" w:space="0"/>
              <w:bottom w:val="single" w:color="auto" w:sz="2" w:space="0"/>
            </w:tcBorders>
            <w:noWrap w:val="0"/>
            <w:vAlign w:val="center"/>
          </w:tcPr>
          <w:p w14:paraId="4BC6895A">
            <w:pPr>
              <w:shd w:val="clear" w:color="auto" w:fill="auto"/>
              <w:adjustRightInd w:val="0"/>
              <w:snapToGrid w:val="0"/>
              <w:spacing w:line="300" w:lineRule="exact"/>
              <w:jc w:val="center"/>
              <w:rPr>
                <w:rFonts w:hint="eastAsia" w:ascii="宋体" w:hAnsi="宋体" w:eastAsia="宋体" w:cs="宋体"/>
                <w:szCs w:val="21"/>
              </w:rPr>
            </w:pPr>
          </w:p>
        </w:tc>
      </w:tr>
      <w:tr w14:paraId="5043402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3A92DCE6">
            <w:pPr>
              <w:shd w:val="clear" w:color="auto" w:fill="auto"/>
              <w:adjustRightInd w:val="0"/>
              <w:snapToGrid w:val="0"/>
              <w:spacing w:line="300" w:lineRule="exact"/>
              <w:jc w:val="center"/>
              <w:rPr>
                <w:rFonts w:hint="eastAsia" w:ascii="宋体" w:hAnsi="宋体" w:eastAsia="宋体" w:cs="宋体"/>
                <w:szCs w:val="21"/>
              </w:rPr>
            </w:pPr>
          </w:p>
        </w:tc>
        <w:tc>
          <w:tcPr>
            <w:tcW w:w="1436" w:type="pct"/>
            <w:vMerge w:val="continue"/>
            <w:tcBorders>
              <w:left w:val="single" w:color="auto" w:sz="2" w:space="0"/>
              <w:bottom w:val="single" w:color="auto" w:sz="2" w:space="0"/>
              <w:right w:val="single" w:color="auto" w:sz="2" w:space="0"/>
            </w:tcBorders>
            <w:noWrap w:val="0"/>
            <w:vAlign w:val="center"/>
          </w:tcPr>
          <w:p w14:paraId="46F2085C">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6F80D2A">
            <w:pPr>
              <w:shd w:val="clear" w:color="auto" w:fill="auto"/>
              <w:adjustRightInd w:val="0"/>
              <w:snapToGrid w:val="0"/>
              <w:spacing w:line="300" w:lineRule="exact"/>
              <w:jc w:val="center"/>
              <w:rPr>
                <w:rFonts w:hint="eastAsia" w:ascii="宋体" w:hAnsi="宋体" w:eastAsia="宋体" w:cs="宋体"/>
                <w:szCs w:val="21"/>
                <w:lang w:eastAsia="zh-CN"/>
              </w:rPr>
            </w:pPr>
            <w:r>
              <w:rPr>
                <w:rFonts w:hint="eastAsia" w:ascii="宋体" w:hAnsi="宋体" w:eastAsia="宋体" w:cs="宋体"/>
                <w:szCs w:val="21"/>
                <w:lang w:eastAsia="zh-CN"/>
              </w:rPr>
              <w:t>拥有者性别</w:t>
            </w:r>
          </w:p>
        </w:tc>
        <w:tc>
          <w:tcPr>
            <w:tcW w:w="1259" w:type="pct"/>
            <w:tcBorders>
              <w:top w:val="single" w:color="auto" w:sz="2" w:space="0"/>
              <w:left w:val="single" w:color="auto" w:sz="2" w:space="0"/>
              <w:bottom w:val="single" w:color="auto" w:sz="2" w:space="0"/>
            </w:tcBorders>
            <w:noWrap w:val="0"/>
            <w:vAlign w:val="center"/>
          </w:tcPr>
          <w:p w14:paraId="4EA2089B">
            <w:pPr>
              <w:shd w:val="clear" w:color="auto" w:fill="auto"/>
              <w:adjustRightInd w:val="0"/>
              <w:snapToGrid w:val="0"/>
              <w:spacing w:line="300" w:lineRule="exact"/>
              <w:jc w:val="center"/>
              <w:rPr>
                <w:rFonts w:hint="eastAsia" w:ascii="宋体" w:hAnsi="宋体" w:eastAsia="宋体" w:cs="宋体"/>
                <w:spacing w:val="20"/>
                <w:szCs w:val="21"/>
              </w:rPr>
            </w:pPr>
          </w:p>
        </w:tc>
      </w:tr>
      <w:tr w14:paraId="0D9426E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B6F9186">
            <w:pPr>
              <w:shd w:val="clear" w:color="auto" w:fill="auto"/>
              <w:adjustRightInd w:val="0"/>
              <w:snapToGrid w:val="0"/>
              <w:spacing w:line="300" w:lineRule="exact"/>
              <w:jc w:val="center"/>
              <w:rPr>
                <w:rFonts w:hint="eastAsia" w:ascii="宋体" w:hAnsi="宋体" w:eastAsia="宋体" w:cs="宋体"/>
                <w:szCs w:val="21"/>
                <w:lang w:eastAsia="zh-CN"/>
              </w:rPr>
            </w:pPr>
            <w:r>
              <w:rPr>
                <w:rFonts w:hint="eastAsia" w:ascii="宋体" w:hAnsi="宋体" w:eastAsia="宋体" w:cs="宋体"/>
                <w:szCs w:val="21"/>
                <w:lang w:eastAsia="zh-CN"/>
              </w:rPr>
              <w:t>住</w:t>
            </w:r>
            <w:r>
              <w:rPr>
                <w:rFonts w:hint="eastAsia" w:ascii="宋体" w:hAnsi="宋体" w:eastAsia="宋体" w:cs="宋体"/>
                <w:szCs w:val="21"/>
                <w:lang w:val="en-US" w:eastAsia="zh-CN"/>
              </w:rPr>
              <w:t xml:space="preserve">  </w:t>
            </w:r>
            <w:r>
              <w:rPr>
                <w:rFonts w:hint="eastAsia" w:ascii="宋体" w:hAnsi="宋体" w:eastAsia="宋体" w:cs="宋体"/>
                <w:szCs w:val="21"/>
                <w:lang w:eastAsia="zh-CN"/>
              </w:rPr>
              <w:t>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272239EA">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DF37BFB">
            <w:pPr>
              <w:shd w:val="clear" w:color="auto" w:fill="auto"/>
              <w:adjustRightInd w:val="0"/>
              <w:snapToGrid w:val="0"/>
              <w:spacing w:line="300" w:lineRule="exact"/>
              <w:jc w:val="center"/>
              <w:rPr>
                <w:rFonts w:hint="eastAsia" w:ascii="宋体" w:hAnsi="宋体" w:eastAsia="宋体" w:cs="宋体"/>
                <w:szCs w:val="21"/>
                <w:lang w:eastAsia="zh-CN"/>
              </w:rPr>
            </w:pPr>
            <w:r>
              <w:rPr>
                <w:rFonts w:hint="eastAsia" w:ascii="宋体" w:hAnsi="宋体" w:eastAsia="宋体" w:cs="宋体"/>
                <w:szCs w:val="21"/>
                <w:lang w:eastAsia="zh-CN"/>
              </w:rPr>
              <w:t>住</w:t>
            </w:r>
            <w:r>
              <w:rPr>
                <w:rFonts w:hint="eastAsia" w:ascii="宋体" w:hAnsi="宋体" w:eastAsia="宋体" w:cs="宋体"/>
                <w:szCs w:val="21"/>
                <w:lang w:val="en-US" w:eastAsia="zh-CN"/>
              </w:rPr>
              <w:t xml:space="preserve">  </w:t>
            </w:r>
            <w:r>
              <w:rPr>
                <w:rFonts w:hint="eastAsia" w:ascii="宋体" w:hAnsi="宋体" w:eastAsia="宋体" w:cs="宋体"/>
                <w:szCs w:val="21"/>
                <w:lang w:eastAsia="zh-CN"/>
              </w:rPr>
              <w:t>所</w:t>
            </w:r>
          </w:p>
        </w:tc>
        <w:tc>
          <w:tcPr>
            <w:tcW w:w="1259" w:type="pct"/>
            <w:tcBorders>
              <w:top w:val="single" w:color="auto" w:sz="2" w:space="0"/>
              <w:left w:val="single" w:color="auto" w:sz="2" w:space="0"/>
              <w:bottom w:val="single" w:color="auto" w:sz="2" w:space="0"/>
            </w:tcBorders>
            <w:noWrap w:val="0"/>
            <w:vAlign w:val="center"/>
          </w:tcPr>
          <w:p w14:paraId="3773BB90">
            <w:pPr>
              <w:shd w:val="clear" w:color="auto" w:fill="auto"/>
              <w:adjustRightInd w:val="0"/>
              <w:snapToGrid w:val="0"/>
              <w:spacing w:line="300" w:lineRule="exact"/>
              <w:jc w:val="center"/>
              <w:rPr>
                <w:rFonts w:hint="eastAsia" w:ascii="宋体" w:hAnsi="宋体" w:eastAsia="宋体" w:cs="宋体"/>
                <w:spacing w:val="20"/>
                <w:szCs w:val="21"/>
              </w:rPr>
            </w:pPr>
          </w:p>
        </w:tc>
      </w:tr>
      <w:tr w14:paraId="08FC0C6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46B9B1A">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40DAF87">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88485FD">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联 系 人</w:t>
            </w:r>
          </w:p>
        </w:tc>
        <w:tc>
          <w:tcPr>
            <w:tcW w:w="1259" w:type="pct"/>
            <w:tcBorders>
              <w:top w:val="single" w:color="auto" w:sz="2" w:space="0"/>
              <w:left w:val="single" w:color="auto" w:sz="2" w:space="0"/>
              <w:bottom w:val="single" w:color="auto" w:sz="2" w:space="0"/>
            </w:tcBorders>
            <w:noWrap w:val="0"/>
            <w:vAlign w:val="center"/>
          </w:tcPr>
          <w:p w14:paraId="27ACF081">
            <w:pPr>
              <w:shd w:val="clear" w:color="auto" w:fill="auto"/>
              <w:adjustRightInd w:val="0"/>
              <w:snapToGrid w:val="0"/>
              <w:spacing w:line="300" w:lineRule="exact"/>
              <w:jc w:val="center"/>
              <w:rPr>
                <w:rFonts w:hint="eastAsia" w:ascii="宋体" w:hAnsi="宋体" w:eastAsia="宋体" w:cs="宋体"/>
                <w:spacing w:val="20"/>
                <w:szCs w:val="21"/>
              </w:rPr>
            </w:pPr>
          </w:p>
        </w:tc>
      </w:tr>
      <w:tr w14:paraId="23FE7B2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419F6F60">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83B0085">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AE7C6AE">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联系电话</w:t>
            </w:r>
          </w:p>
        </w:tc>
        <w:tc>
          <w:tcPr>
            <w:tcW w:w="1259" w:type="pct"/>
            <w:tcBorders>
              <w:top w:val="single" w:color="auto" w:sz="2" w:space="0"/>
              <w:left w:val="single" w:color="auto" w:sz="2" w:space="0"/>
              <w:bottom w:val="single" w:color="auto" w:sz="2" w:space="0"/>
            </w:tcBorders>
            <w:noWrap w:val="0"/>
            <w:vAlign w:val="center"/>
          </w:tcPr>
          <w:p w14:paraId="66CCEA10">
            <w:pPr>
              <w:shd w:val="clear" w:color="auto" w:fill="auto"/>
              <w:adjustRightInd w:val="0"/>
              <w:snapToGrid w:val="0"/>
              <w:spacing w:line="300" w:lineRule="exact"/>
              <w:jc w:val="center"/>
              <w:rPr>
                <w:rFonts w:hint="eastAsia" w:ascii="宋体" w:hAnsi="宋体" w:eastAsia="宋体" w:cs="宋体"/>
                <w:spacing w:val="20"/>
                <w:szCs w:val="21"/>
              </w:rPr>
            </w:pPr>
          </w:p>
        </w:tc>
      </w:tr>
      <w:tr w14:paraId="15C5DB6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F367E30">
            <w:pPr>
              <w:shd w:val="clear" w:color="auto" w:fill="auto"/>
              <w:adjustRightInd w:val="0"/>
              <w:snapToGrid w:val="0"/>
              <w:spacing w:line="300" w:lineRule="exact"/>
              <w:jc w:val="center"/>
              <w:rPr>
                <w:rFonts w:hint="eastAsia" w:ascii="宋体" w:hAnsi="宋体" w:eastAsia="宋体" w:cs="宋体"/>
                <w:szCs w:val="21"/>
                <w:lang w:eastAsia="zh-CN"/>
              </w:rPr>
            </w:pPr>
            <w:r>
              <w:rPr>
                <w:rFonts w:hint="eastAsia" w:ascii="宋体" w:hAnsi="宋体" w:eastAsia="宋体" w:cs="宋体"/>
                <w:szCs w:val="21"/>
                <w:lang w:eastAsia="zh-CN"/>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D585C5F">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45A8377">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lang w:eastAsia="zh-CN"/>
              </w:rPr>
              <w:t>通信地址</w:t>
            </w:r>
          </w:p>
        </w:tc>
        <w:tc>
          <w:tcPr>
            <w:tcW w:w="1259" w:type="pct"/>
            <w:tcBorders>
              <w:top w:val="single" w:color="auto" w:sz="2" w:space="0"/>
              <w:left w:val="single" w:color="auto" w:sz="2" w:space="0"/>
              <w:bottom w:val="single" w:color="auto" w:sz="2" w:space="0"/>
            </w:tcBorders>
            <w:noWrap w:val="0"/>
            <w:vAlign w:val="center"/>
          </w:tcPr>
          <w:p w14:paraId="01F2F32D">
            <w:pPr>
              <w:shd w:val="clear" w:color="auto" w:fill="auto"/>
              <w:adjustRightInd w:val="0"/>
              <w:snapToGrid w:val="0"/>
              <w:spacing w:line="300" w:lineRule="exact"/>
              <w:jc w:val="center"/>
              <w:rPr>
                <w:rFonts w:hint="eastAsia" w:ascii="宋体" w:hAnsi="宋体" w:eastAsia="宋体" w:cs="宋体"/>
                <w:spacing w:val="20"/>
                <w:szCs w:val="21"/>
              </w:rPr>
            </w:pPr>
          </w:p>
        </w:tc>
      </w:tr>
      <w:tr w14:paraId="10B063F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A995975">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8537B2E">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371C24D">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邮政编码</w:t>
            </w:r>
          </w:p>
        </w:tc>
        <w:tc>
          <w:tcPr>
            <w:tcW w:w="1259" w:type="pct"/>
            <w:tcBorders>
              <w:top w:val="single" w:color="auto" w:sz="2" w:space="0"/>
              <w:left w:val="single" w:color="auto" w:sz="2" w:space="0"/>
              <w:bottom w:val="single" w:color="auto" w:sz="2" w:space="0"/>
            </w:tcBorders>
            <w:noWrap w:val="0"/>
            <w:vAlign w:val="center"/>
          </w:tcPr>
          <w:p w14:paraId="1B9EBEF9">
            <w:pPr>
              <w:shd w:val="clear" w:color="auto" w:fill="auto"/>
              <w:adjustRightInd w:val="0"/>
              <w:snapToGrid w:val="0"/>
              <w:spacing w:line="300" w:lineRule="exact"/>
              <w:jc w:val="center"/>
              <w:rPr>
                <w:rFonts w:hint="eastAsia" w:ascii="宋体" w:hAnsi="宋体" w:eastAsia="宋体" w:cs="宋体"/>
                <w:spacing w:val="20"/>
                <w:szCs w:val="21"/>
              </w:rPr>
            </w:pPr>
          </w:p>
        </w:tc>
      </w:tr>
      <w:tr w14:paraId="58B2994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1224486">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21808A1">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F4017AE">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电子邮箱</w:t>
            </w:r>
          </w:p>
        </w:tc>
        <w:tc>
          <w:tcPr>
            <w:tcW w:w="1259" w:type="pct"/>
            <w:tcBorders>
              <w:top w:val="single" w:color="auto" w:sz="2" w:space="0"/>
              <w:left w:val="single" w:color="auto" w:sz="2" w:space="0"/>
              <w:bottom w:val="single" w:color="auto" w:sz="2" w:space="0"/>
            </w:tcBorders>
            <w:noWrap w:val="0"/>
            <w:vAlign w:val="center"/>
          </w:tcPr>
          <w:p w14:paraId="6849136C">
            <w:pPr>
              <w:shd w:val="clear" w:color="auto" w:fill="auto"/>
              <w:adjustRightInd w:val="0"/>
              <w:snapToGrid w:val="0"/>
              <w:spacing w:line="300" w:lineRule="exact"/>
              <w:jc w:val="center"/>
              <w:rPr>
                <w:rFonts w:hint="eastAsia" w:ascii="宋体" w:hAnsi="宋体" w:eastAsia="宋体" w:cs="宋体"/>
                <w:spacing w:val="20"/>
                <w:szCs w:val="21"/>
              </w:rPr>
            </w:pPr>
          </w:p>
        </w:tc>
      </w:tr>
      <w:tr w14:paraId="7A10941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09F7B27">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B631CEB">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22B9047A">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统一社会信用代码</w:t>
            </w:r>
          </w:p>
        </w:tc>
        <w:tc>
          <w:tcPr>
            <w:tcW w:w="1259" w:type="pct"/>
            <w:tcBorders>
              <w:top w:val="single" w:color="auto" w:sz="2" w:space="0"/>
              <w:left w:val="single" w:color="auto" w:sz="2" w:space="0"/>
              <w:bottom w:val="single" w:color="auto" w:sz="2" w:space="0"/>
            </w:tcBorders>
            <w:noWrap w:val="0"/>
            <w:vAlign w:val="center"/>
          </w:tcPr>
          <w:p w14:paraId="0D30AFA7">
            <w:pPr>
              <w:shd w:val="clear" w:color="auto" w:fill="auto"/>
              <w:adjustRightInd w:val="0"/>
              <w:snapToGrid w:val="0"/>
              <w:spacing w:line="300" w:lineRule="exact"/>
              <w:jc w:val="center"/>
              <w:rPr>
                <w:rFonts w:hint="eastAsia" w:ascii="宋体" w:hAnsi="宋体" w:eastAsia="宋体" w:cs="宋体"/>
                <w:spacing w:val="20"/>
                <w:szCs w:val="21"/>
              </w:rPr>
            </w:pPr>
          </w:p>
        </w:tc>
      </w:tr>
      <w:tr w14:paraId="51A2248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66D4345">
            <w:pPr>
              <w:shd w:val="clear" w:color="auto" w:fill="auto"/>
              <w:adjustRightInd w:val="0"/>
              <w:snapToGrid w:val="0"/>
              <w:spacing w:line="300" w:lineRule="exact"/>
              <w:jc w:val="center"/>
              <w:rPr>
                <w:rFonts w:hint="eastAsia" w:ascii="宋体" w:hAnsi="宋体" w:eastAsia="宋体" w:cs="宋体"/>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9110762">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EB4F45C">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开户名称</w:t>
            </w:r>
          </w:p>
        </w:tc>
        <w:tc>
          <w:tcPr>
            <w:tcW w:w="1259" w:type="pct"/>
            <w:tcBorders>
              <w:top w:val="single" w:color="auto" w:sz="2" w:space="0"/>
              <w:left w:val="single" w:color="auto" w:sz="2" w:space="0"/>
              <w:bottom w:val="single" w:color="auto" w:sz="2" w:space="0"/>
            </w:tcBorders>
            <w:noWrap w:val="0"/>
            <w:vAlign w:val="center"/>
          </w:tcPr>
          <w:p w14:paraId="7D56E13F">
            <w:pPr>
              <w:shd w:val="clear" w:color="auto" w:fill="auto"/>
              <w:adjustRightInd w:val="0"/>
              <w:snapToGrid w:val="0"/>
              <w:spacing w:line="300" w:lineRule="exact"/>
              <w:jc w:val="center"/>
              <w:rPr>
                <w:rFonts w:hint="eastAsia" w:ascii="宋体" w:hAnsi="宋体" w:eastAsia="宋体" w:cs="宋体"/>
                <w:spacing w:val="20"/>
                <w:szCs w:val="21"/>
              </w:rPr>
            </w:pPr>
          </w:p>
        </w:tc>
      </w:tr>
      <w:tr w14:paraId="61C308D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FF12C34">
            <w:pPr>
              <w:shd w:val="clear" w:color="auto" w:fill="auto"/>
              <w:adjustRightInd w:val="0"/>
              <w:snapToGrid w:val="0"/>
              <w:spacing w:line="300" w:lineRule="exact"/>
              <w:jc w:val="center"/>
              <w:rPr>
                <w:rFonts w:hint="eastAsia" w:ascii="宋体" w:hAnsi="宋体" w:eastAsia="宋体" w:cs="宋体"/>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93AB71A">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202F52F">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开户银行</w:t>
            </w:r>
          </w:p>
        </w:tc>
        <w:tc>
          <w:tcPr>
            <w:tcW w:w="1259" w:type="pct"/>
            <w:tcBorders>
              <w:top w:val="single" w:color="auto" w:sz="2" w:space="0"/>
              <w:left w:val="single" w:color="auto" w:sz="2" w:space="0"/>
              <w:bottom w:val="single" w:color="auto" w:sz="2" w:space="0"/>
            </w:tcBorders>
            <w:noWrap w:val="0"/>
            <w:vAlign w:val="center"/>
          </w:tcPr>
          <w:p w14:paraId="09180C3F">
            <w:pPr>
              <w:shd w:val="clear" w:color="auto" w:fill="auto"/>
              <w:adjustRightInd w:val="0"/>
              <w:snapToGrid w:val="0"/>
              <w:spacing w:line="300" w:lineRule="exact"/>
              <w:jc w:val="center"/>
              <w:rPr>
                <w:rFonts w:hint="eastAsia" w:ascii="宋体" w:hAnsi="宋体" w:eastAsia="宋体" w:cs="宋体"/>
                <w:spacing w:val="20"/>
                <w:szCs w:val="21"/>
              </w:rPr>
            </w:pPr>
          </w:p>
        </w:tc>
      </w:tr>
      <w:tr w14:paraId="0396CAE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00AF635">
            <w:pPr>
              <w:shd w:val="clear" w:color="auto" w:fill="auto"/>
              <w:adjustRightInd w:val="0"/>
              <w:snapToGrid w:val="0"/>
              <w:spacing w:line="300" w:lineRule="exact"/>
              <w:jc w:val="center"/>
              <w:rPr>
                <w:rFonts w:hint="eastAsia" w:ascii="宋体" w:hAnsi="宋体" w:eastAsia="宋体" w:cs="宋体"/>
                <w:szCs w:val="21"/>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9472168">
            <w:pPr>
              <w:shd w:val="clear" w:color="auto" w:fill="auto"/>
              <w:adjustRightInd w:val="0"/>
              <w:snapToGrid w:val="0"/>
              <w:spacing w:line="300" w:lineRule="exact"/>
              <w:jc w:val="center"/>
              <w:rPr>
                <w:rFonts w:hint="eastAsia" w:ascii="宋体" w:hAnsi="宋体" w:eastAsia="宋体" w:cs="宋体"/>
                <w:szCs w:val="21"/>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6BDB9BB4">
            <w:pPr>
              <w:shd w:val="clear" w:color="auto" w:fill="auto"/>
              <w:adjustRightInd w:val="0"/>
              <w:snapToGrid w:val="0"/>
              <w:spacing w:line="300" w:lineRule="exact"/>
              <w:jc w:val="center"/>
              <w:rPr>
                <w:rFonts w:hint="eastAsia" w:ascii="宋体" w:hAnsi="宋体" w:eastAsia="宋体" w:cs="宋体"/>
                <w:szCs w:val="21"/>
              </w:rPr>
            </w:pPr>
            <w:r>
              <w:rPr>
                <w:rFonts w:hint="eastAsia" w:ascii="宋体" w:hAnsi="宋体" w:eastAsia="宋体" w:cs="宋体"/>
                <w:szCs w:val="21"/>
              </w:rPr>
              <w:t>银行账号</w:t>
            </w:r>
          </w:p>
        </w:tc>
        <w:tc>
          <w:tcPr>
            <w:tcW w:w="1259" w:type="pct"/>
            <w:tcBorders>
              <w:top w:val="single" w:color="auto" w:sz="2" w:space="0"/>
              <w:left w:val="single" w:color="auto" w:sz="2" w:space="0"/>
              <w:bottom w:val="single" w:color="auto" w:sz="2" w:space="0"/>
            </w:tcBorders>
            <w:noWrap w:val="0"/>
            <w:vAlign w:val="center"/>
          </w:tcPr>
          <w:p w14:paraId="41FBA00C">
            <w:pPr>
              <w:shd w:val="clear" w:color="auto" w:fill="auto"/>
              <w:adjustRightInd w:val="0"/>
              <w:snapToGrid w:val="0"/>
              <w:spacing w:line="300" w:lineRule="exact"/>
              <w:jc w:val="center"/>
              <w:rPr>
                <w:rFonts w:hint="eastAsia" w:ascii="宋体" w:hAnsi="宋体" w:eastAsia="宋体" w:cs="宋体"/>
                <w:spacing w:val="20"/>
                <w:szCs w:val="21"/>
              </w:rPr>
            </w:pPr>
          </w:p>
        </w:tc>
      </w:tr>
      <w:tr w14:paraId="72559F8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44F81AD4">
            <w:pPr>
              <w:pStyle w:val="12"/>
              <w:shd w:val="clear" w:color="auto" w:fill="auto"/>
              <w:adjustRightInd w:val="0"/>
              <w:snapToGrid w:val="0"/>
              <w:spacing w:before="156" w:beforeLines="50" w:after="0" w:line="360" w:lineRule="auto"/>
              <w:ind w:left="0" w:leftChars="0"/>
              <w:jc w:val="left"/>
              <w:rPr>
                <w:rFonts w:hint="eastAsia" w:ascii="宋体" w:hAnsi="宋体" w:eastAsia="宋体" w:cs="宋体"/>
                <w:spacing w:val="20"/>
                <w:szCs w:val="21"/>
              </w:rPr>
            </w:pPr>
            <w:r>
              <w:rPr>
                <w:rFonts w:hint="eastAsia" w:ascii="宋体" w:hAnsi="宋体" w:eastAsia="宋体" w:cs="宋体"/>
                <w:szCs w:val="21"/>
              </w:rPr>
              <w:t>注：涉及联合体或其他合同主体的信息应按上表格式加列。</w:t>
            </w:r>
          </w:p>
        </w:tc>
      </w:tr>
    </w:tbl>
    <w:p w14:paraId="00D50989">
      <w:pPr>
        <w:pStyle w:val="3"/>
        <w:shd w:val="clear" w:color="auto" w:fill="auto"/>
        <w:adjustRightInd w:val="0"/>
        <w:snapToGrid w:val="0"/>
        <w:spacing w:before="156" w:beforeLines="50"/>
        <w:jc w:val="center"/>
        <w:rPr>
          <w:rFonts w:hint="eastAsia" w:ascii="宋体" w:hAnsi="宋体" w:eastAsia="宋体" w:cs="宋体"/>
          <w:sz w:val="28"/>
          <w:szCs w:val="28"/>
        </w:rPr>
      </w:pPr>
      <w:r>
        <w:rPr>
          <w:rFonts w:hint="eastAsia" w:ascii="宋体" w:hAnsi="宋体" w:eastAsia="宋体" w:cs="宋体"/>
          <w:sz w:val="21"/>
          <w:szCs w:val="21"/>
          <w:u w:val="single"/>
        </w:rPr>
        <w:br w:type="page"/>
      </w:r>
      <w:bookmarkStart w:id="211" w:name="_Toc30433"/>
      <w:bookmarkStart w:id="212" w:name="_Toc29391"/>
      <w:bookmarkStart w:id="213" w:name="_Toc27624"/>
      <w:r>
        <w:rPr>
          <w:rFonts w:hint="eastAsia" w:ascii="宋体" w:hAnsi="宋体" w:eastAsia="宋体" w:cs="宋体"/>
          <w:b w:val="0"/>
          <w:bCs w:val="0"/>
          <w:sz w:val="28"/>
          <w:szCs w:val="28"/>
        </w:rPr>
        <w:t>第二节 政府采购合同通用条款</w:t>
      </w:r>
      <w:bookmarkEnd w:id="211"/>
      <w:bookmarkEnd w:id="212"/>
      <w:bookmarkEnd w:id="213"/>
    </w:p>
    <w:p w14:paraId="5E303ECE">
      <w:pPr>
        <w:shd w:val="clear" w:color="auto" w:fill="auto"/>
        <w:tabs>
          <w:tab w:val="left" w:pos="8820"/>
          <w:tab w:val="left" w:pos="9345"/>
          <w:tab w:val="left" w:pos="9765"/>
        </w:tabs>
        <w:adjustRightInd w:val="0"/>
        <w:snapToGrid w:val="0"/>
        <w:spacing w:before="0" w:line="400" w:lineRule="exact"/>
        <w:jc w:val="left"/>
        <w:rPr>
          <w:rFonts w:hint="eastAsia" w:ascii="宋体" w:hAnsi="宋体" w:eastAsia="宋体" w:cs="宋体"/>
          <w:b/>
          <w:bCs/>
          <w:sz w:val="24"/>
        </w:rPr>
      </w:pPr>
      <w:r>
        <w:rPr>
          <w:rFonts w:hint="eastAsia" w:ascii="宋体" w:hAnsi="宋体" w:eastAsia="宋体" w:cs="宋体"/>
          <w:b/>
          <w:sz w:val="24"/>
        </w:rPr>
        <w:t>1.</w:t>
      </w:r>
      <w:r>
        <w:rPr>
          <w:rFonts w:hint="eastAsia" w:ascii="宋体" w:hAnsi="宋体" w:eastAsia="宋体" w:cs="宋体"/>
          <w:b/>
          <w:sz w:val="24"/>
          <w:lang w:val="en-US" w:eastAsia="zh-CN"/>
        </w:rPr>
        <w:t xml:space="preserve"> </w:t>
      </w:r>
      <w:r>
        <w:rPr>
          <w:rFonts w:hint="eastAsia" w:ascii="宋体" w:hAnsi="宋体" w:eastAsia="宋体" w:cs="宋体"/>
          <w:b/>
          <w:bCs/>
          <w:sz w:val="24"/>
        </w:rPr>
        <w:t>定义</w:t>
      </w:r>
    </w:p>
    <w:p w14:paraId="472E5493">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1.1合同当事人</w:t>
      </w:r>
    </w:p>
    <w:p w14:paraId="52B1F282">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（1）采购人（以下称甲方）是指使用财政性资金，通过政府采购方式向供应商购买货物</w:t>
      </w:r>
      <w:r>
        <w:rPr>
          <w:rFonts w:hint="eastAsia" w:ascii="宋体" w:hAnsi="宋体" w:eastAsia="宋体" w:cs="宋体"/>
          <w:color w:val="auto"/>
          <w:szCs w:val="21"/>
          <w:highlight w:val="none"/>
          <w:lang w:val="en-US" w:eastAsia="zh-CN"/>
        </w:rPr>
        <w:t>及其相关服务的</w:t>
      </w:r>
      <w:r>
        <w:rPr>
          <w:rFonts w:hint="eastAsia" w:ascii="宋体" w:hAnsi="宋体" w:eastAsia="宋体" w:cs="宋体"/>
          <w:color w:val="auto"/>
          <w:szCs w:val="21"/>
          <w:highlight w:val="none"/>
        </w:rPr>
        <w:t>国家机关、事业单位、团体组织。</w:t>
      </w:r>
    </w:p>
    <w:p w14:paraId="7389BFDA">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（2）供应商（以下称</w:t>
      </w:r>
      <w:r>
        <w:rPr>
          <w:rFonts w:hint="eastAsia" w:ascii="宋体" w:hAnsi="宋体" w:eastAsia="宋体" w:cs="宋体"/>
          <w:color w:val="auto"/>
          <w:szCs w:val="21"/>
          <w:highlight w:val="none"/>
          <w:lang w:eastAsia="zh-CN"/>
        </w:rPr>
        <w:t>乙</w:t>
      </w:r>
      <w:r>
        <w:rPr>
          <w:rFonts w:hint="eastAsia" w:ascii="宋体" w:hAnsi="宋体" w:eastAsia="宋体" w:cs="宋体"/>
          <w:color w:val="auto"/>
          <w:szCs w:val="21"/>
          <w:highlight w:val="none"/>
        </w:rPr>
        <w:t>方）是指参加政府采购活动并且中标（成交），向采购人提供</w:t>
      </w:r>
      <w:r>
        <w:rPr>
          <w:rFonts w:hint="eastAsia" w:ascii="宋体" w:hAnsi="宋体" w:eastAsia="宋体" w:cs="宋体"/>
          <w:color w:val="auto"/>
          <w:szCs w:val="21"/>
          <w:highlight w:val="none"/>
          <w:lang w:val="en-US" w:eastAsia="zh-CN"/>
        </w:rPr>
        <w:t>合同约定的货物及其相关服务的法人、非法人组织或者自然人</w:t>
      </w:r>
      <w:r>
        <w:rPr>
          <w:rFonts w:hint="eastAsia" w:ascii="宋体" w:hAnsi="宋体" w:eastAsia="宋体" w:cs="宋体"/>
          <w:color w:val="auto"/>
          <w:szCs w:val="21"/>
          <w:highlight w:val="none"/>
        </w:rPr>
        <w:t>。</w:t>
      </w:r>
    </w:p>
    <w:p w14:paraId="208B5B83">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（3）其他合同主体是指除采购人和供应商以外，</w:t>
      </w:r>
      <w:r>
        <w:rPr>
          <w:rFonts w:hint="eastAsia" w:ascii="宋体" w:hAnsi="宋体" w:eastAsia="宋体" w:cs="宋体"/>
          <w:bCs/>
          <w:color w:val="000000"/>
          <w:szCs w:val="21"/>
        </w:rPr>
        <w:t>依法参与合同缔结或履行，享有权利、承担义务的合同当事人</w:t>
      </w:r>
      <w:r>
        <w:rPr>
          <w:rFonts w:hint="eastAsia" w:ascii="宋体" w:hAnsi="宋体" w:eastAsia="宋体" w:cs="宋体"/>
          <w:color w:val="auto"/>
          <w:szCs w:val="21"/>
          <w:highlight w:val="none"/>
        </w:rPr>
        <w:t>。</w:t>
      </w:r>
    </w:p>
    <w:p w14:paraId="728CA57A">
      <w:pPr>
        <w:shd w:val="clear" w:color="auto" w:fill="auto"/>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1.2本合同下列术语应解释为：</w:t>
      </w:r>
    </w:p>
    <w:p w14:paraId="38208DDC">
      <w:pPr>
        <w:shd w:val="clear" w:color="auto" w:fill="auto"/>
        <w:adjustRightInd w:val="0"/>
        <w:snapToGrid w:val="0"/>
        <w:spacing w:before="0" w:beforeLines="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（1）“合同”系指</w:t>
      </w:r>
      <w:r>
        <w:rPr>
          <w:rFonts w:hint="eastAsia" w:ascii="宋体" w:hAnsi="宋体" w:eastAsia="宋体" w:cs="宋体"/>
          <w:bCs/>
          <w:color w:val="000000"/>
          <w:szCs w:val="21"/>
        </w:rPr>
        <w:t>合同当事人意思表示达成一致的任何协议，包括签署的</w:t>
      </w:r>
      <w:r>
        <w:rPr>
          <w:rFonts w:hint="eastAsia" w:ascii="宋体" w:hAnsi="宋体" w:eastAsia="宋体" w:cs="宋体"/>
          <w:color w:val="auto"/>
          <w:szCs w:val="21"/>
          <w:lang w:eastAsia="zh-CN"/>
        </w:rPr>
        <w:t>政府采购</w:t>
      </w:r>
      <w:r>
        <w:rPr>
          <w:rFonts w:hint="eastAsia" w:ascii="宋体" w:hAnsi="宋体" w:eastAsia="宋体" w:cs="宋体"/>
          <w:color w:val="auto"/>
          <w:szCs w:val="21"/>
        </w:rPr>
        <w:t>合同协议书及其变更、补充</w:t>
      </w:r>
      <w:r>
        <w:rPr>
          <w:rFonts w:hint="eastAsia" w:ascii="宋体" w:hAnsi="宋体" w:eastAsia="宋体" w:cs="宋体"/>
          <w:color w:val="auto"/>
          <w:szCs w:val="21"/>
          <w:lang w:eastAsia="zh-CN"/>
        </w:rPr>
        <w:t>协议，</w:t>
      </w:r>
      <w:r>
        <w:rPr>
          <w:rFonts w:hint="eastAsia" w:ascii="宋体" w:hAnsi="宋体" w:eastAsia="宋体" w:cs="宋体"/>
          <w:szCs w:val="21"/>
        </w:rPr>
        <w:t>政府采购合同专用条款</w:t>
      </w:r>
      <w:r>
        <w:rPr>
          <w:rFonts w:hint="eastAsia" w:ascii="宋体" w:hAnsi="宋体" w:eastAsia="宋体" w:cs="宋体"/>
          <w:szCs w:val="21"/>
          <w:lang w:eastAsia="zh-CN"/>
        </w:rPr>
        <w:t>，</w:t>
      </w:r>
      <w:r>
        <w:rPr>
          <w:rFonts w:hint="eastAsia" w:ascii="宋体" w:hAnsi="宋体" w:eastAsia="宋体" w:cs="宋体"/>
          <w:szCs w:val="21"/>
        </w:rPr>
        <w:t>政府采购合同通用条款</w:t>
      </w:r>
      <w:r>
        <w:rPr>
          <w:rFonts w:hint="eastAsia" w:ascii="宋体" w:hAnsi="宋体" w:eastAsia="宋体" w:cs="宋体"/>
          <w:szCs w:val="21"/>
          <w:lang w:eastAsia="zh-CN"/>
        </w:rPr>
        <w:t>，</w:t>
      </w:r>
      <w:r>
        <w:rPr>
          <w:rFonts w:hint="eastAsia" w:ascii="宋体" w:hAnsi="宋体" w:eastAsia="宋体" w:cs="宋体"/>
          <w:color w:val="auto"/>
          <w:szCs w:val="21"/>
        </w:rPr>
        <w:t>中标</w:t>
      </w:r>
      <w:r>
        <w:rPr>
          <w:rFonts w:hint="eastAsia" w:ascii="宋体" w:hAnsi="宋体" w:eastAsia="宋体" w:cs="宋体"/>
          <w:color w:val="auto"/>
          <w:szCs w:val="21"/>
          <w:lang w:eastAsia="zh-CN"/>
        </w:rPr>
        <w:t>（成交）</w:t>
      </w:r>
      <w:r>
        <w:rPr>
          <w:rFonts w:hint="eastAsia" w:ascii="宋体" w:hAnsi="宋体" w:eastAsia="宋体" w:cs="宋体"/>
          <w:color w:val="auto"/>
          <w:szCs w:val="21"/>
        </w:rPr>
        <w:t>通知书</w:t>
      </w:r>
      <w:r>
        <w:rPr>
          <w:rFonts w:hint="eastAsia" w:ascii="宋体" w:hAnsi="宋体" w:eastAsia="宋体" w:cs="宋体"/>
          <w:color w:val="auto"/>
          <w:szCs w:val="21"/>
          <w:lang w:eastAsia="zh-CN"/>
        </w:rPr>
        <w:t>，</w:t>
      </w:r>
      <w:r>
        <w:rPr>
          <w:rFonts w:hint="eastAsia" w:ascii="宋体" w:hAnsi="宋体" w:eastAsia="宋体" w:cs="宋体"/>
          <w:szCs w:val="21"/>
        </w:rPr>
        <w:t>投标（响应）文件</w:t>
      </w:r>
      <w:r>
        <w:rPr>
          <w:rFonts w:hint="eastAsia" w:ascii="宋体" w:hAnsi="宋体" w:eastAsia="宋体" w:cs="宋体"/>
          <w:szCs w:val="21"/>
          <w:lang w:eastAsia="zh-CN"/>
        </w:rPr>
        <w:t>，</w:t>
      </w:r>
      <w:r>
        <w:rPr>
          <w:rFonts w:hint="eastAsia" w:ascii="宋体" w:hAnsi="宋体" w:eastAsia="宋体" w:cs="宋体"/>
          <w:szCs w:val="21"/>
        </w:rPr>
        <w:t>采购文件</w:t>
      </w:r>
      <w:r>
        <w:rPr>
          <w:rFonts w:hint="eastAsia" w:ascii="宋体" w:hAnsi="宋体" w:eastAsia="宋体" w:cs="宋体"/>
          <w:szCs w:val="21"/>
          <w:lang w:eastAsia="zh-CN"/>
        </w:rPr>
        <w:t>，</w:t>
      </w:r>
      <w:r>
        <w:rPr>
          <w:rFonts w:hint="eastAsia" w:ascii="宋体" w:hAnsi="宋体" w:eastAsia="宋体" w:cs="宋体"/>
          <w:szCs w:val="21"/>
        </w:rPr>
        <w:t>有关技术文件</w:t>
      </w:r>
      <w:r>
        <w:rPr>
          <w:rFonts w:hint="eastAsia" w:ascii="宋体" w:hAnsi="宋体" w:eastAsia="宋体" w:cs="宋体"/>
          <w:szCs w:val="21"/>
          <w:lang w:eastAsia="zh-CN"/>
        </w:rPr>
        <w:t>和</w:t>
      </w:r>
      <w:r>
        <w:rPr>
          <w:rFonts w:hint="eastAsia" w:ascii="宋体" w:hAnsi="宋体" w:eastAsia="宋体" w:cs="宋体"/>
          <w:szCs w:val="21"/>
        </w:rPr>
        <w:t>图纸</w:t>
      </w:r>
      <w:r>
        <w:rPr>
          <w:rFonts w:hint="eastAsia" w:ascii="宋体" w:hAnsi="宋体" w:eastAsia="宋体" w:cs="宋体"/>
          <w:szCs w:val="21"/>
          <w:lang w:eastAsia="zh-CN"/>
        </w:rPr>
        <w:t>，以及</w:t>
      </w:r>
      <w:r>
        <w:rPr>
          <w:rFonts w:hint="eastAsia" w:ascii="宋体" w:hAnsi="宋体" w:eastAsia="宋体" w:cs="宋体"/>
          <w:bCs w:val="0"/>
          <w:color w:val="000000"/>
          <w:kern w:val="2"/>
          <w:sz w:val="21"/>
          <w:szCs w:val="21"/>
          <w:highlight w:val="none"/>
          <w:lang w:eastAsia="zh-CN"/>
        </w:rPr>
        <w:t>国家法律、行政法规和规章制度规定或合同约定的作为合同组成部分的其他文件</w:t>
      </w:r>
      <w:r>
        <w:rPr>
          <w:rFonts w:hint="eastAsia" w:ascii="宋体" w:hAnsi="宋体" w:eastAsia="宋体" w:cs="宋体"/>
          <w:color w:val="auto"/>
          <w:szCs w:val="21"/>
          <w:highlight w:val="none"/>
        </w:rPr>
        <w:t>。</w:t>
      </w:r>
    </w:p>
    <w:p w14:paraId="071E1AAC">
      <w:pPr>
        <w:shd w:val="clear" w:color="auto" w:fill="auto"/>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）“合同价</w:t>
      </w:r>
      <w:r>
        <w:rPr>
          <w:rFonts w:hint="eastAsia" w:ascii="宋体" w:hAnsi="宋体" w:eastAsia="宋体" w:cs="宋体"/>
          <w:color w:val="auto"/>
          <w:szCs w:val="21"/>
          <w:highlight w:val="none"/>
          <w:lang w:val="en-US" w:eastAsia="zh-CN"/>
        </w:rPr>
        <w:t>款</w:t>
      </w:r>
      <w:r>
        <w:rPr>
          <w:rFonts w:hint="eastAsia" w:ascii="宋体" w:hAnsi="宋体" w:eastAsia="宋体" w:cs="宋体"/>
          <w:color w:val="auto"/>
          <w:szCs w:val="21"/>
          <w:highlight w:val="none"/>
        </w:rPr>
        <w:t>”系指根据本合同规定乙方在全面履行合同义务后甲方应支付给乙方的价款。</w:t>
      </w:r>
    </w:p>
    <w:p w14:paraId="70C9BF5D">
      <w:pPr>
        <w:shd w:val="clear" w:color="auto" w:fill="auto"/>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000000"/>
          <w:szCs w:val="21"/>
          <w:highlight w:val="none"/>
          <w:lang w:eastAsia="zh-CN"/>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）“货物”系指乙方根据本合同规定须向甲方提供的各种形态和种类的物品，包括原材料、设备、产品（</w:t>
      </w:r>
      <w:r>
        <w:rPr>
          <w:rFonts w:hint="eastAsia" w:ascii="宋体" w:hAnsi="宋体" w:eastAsia="宋体" w:cs="宋体"/>
          <w:color w:val="000000"/>
          <w:szCs w:val="21"/>
          <w:highlight w:val="none"/>
        </w:rPr>
        <w:t>包括软件）及相关的其备品备件、工具、手册及</w:t>
      </w:r>
      <w:r>
        <w:rPr>
          <w:rFonts w:hint="eastAsia" w:ascii="宋体" w:hAnsi="宋体" w:eastAsia="宋体" w:cs="宋体"/>
          <w:color w:val="000000"/>
          <w:szCs w:val="21"/>
          <w:highlight w:val="none"/>
          <w:lang w:val="en"/>
        </w:rPr>
        <w:t>其他</w:t>
      </w:r>
      <w:r>
        <w:rPr>
          <w:rFonts w:hint="eastAsia" w:ascii="宋体" w:hAnsi="宋体" w:eastAsia="宋体" w:cs="宋体"/>
          <w:color w:val="000000"/>
          <w:szCs w:val="21"/>
          <w:highlight w:val="none"/>
        </w:rPr>
        <w:t>技术资料和材料</w:t>
      </w:r>
      <w:r>
        <w:rPr>
          <w:rFonts w:hint="eastAsia" w:ascii="宋体" w:hAnsi="宋体" w:eastAsia="宋体" w:cs="宋体"/>
          <w:color w:val="000000"/>
          <w:szCs w:val="21"/>
          <w:highlight w:val="none"/>
          <w:lang w:eastAsia="zh-CN"/>
        </w:rPr>
        <w:t>等</w:t>
      </w:r>
      <w:r>
        <w:rPr>
          <w:rFonts w:hint="eastAsia" w:ascii="宋体" w:hAnsi="宋体" w:eastAsia="宋体" w:cs="宋体"/>
          <w:color w:val="000000"/>
          <w:szCs w:val="21"/>
          <w:highlight w:val="none"/>
        </w:rPr>
        <w:t>。</w:t>
      </w:r>
    </w:p>
    <w:p w14:paraId="2A0C4F09">
      <w:pPr>
        <w:shd w:val="clear" w:color="auto" w:fill="auto"/>
        <w:adjustRightInd w:val="0"/>
        <w:snapToGrid w:val="0"/>
        <w:spacing w:before="0" w:line="400" w:lineRule="exact"/>
        <w:ind w:firstLine="420" w:firstLineChars="200"/>
        <w:jc w:val="left"/>
        <w:rPr>
          <w:rFonts w:hint="eastAsia" w:ascii="宋体" w:hAnsi="宋体" w:eastAsia="宋体" w:cs="宋体"/>
          <w:color w:val="000000"/>
          <w:szCs w:val="21"/>
          <w:highlight w:val="yellow"/>
          <w:lang w:eastAsia="zh-CN"/>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4</w:t>
      </w:r>
      <w:r>
        <w:rPr>
          <w:rFonts w:hint="eastAsia" w:ascii="宋体" w:hAnsi="宋体" w:eastAsia="宋体" w:cs="宋体"/>
          <w:color w:val="000000"/>
          <w:szCs w:val="21"/>
          <w:highlight w:val="none"/>
        </w:rPr>
        <w:t>）“</w:t>
      </w:r>
      <w:r>
        <w:rPr>
          <w:rFonts w:hint="eastAsia" w:ascii="宋体" w:hAnsi="宋体" w:eastAsia="宋体" w:cs="宋体"/>
          <w:color w:val="auto"/>
          <w:szCs w:val="21"/>
          <w:highlight w:val="none"/>
          <w:lang w:val="en-US" w:eastAsia="zh-CN"/>
        </w:rPr>
        <w:t>相关</w:t>
      </w:r>
      <w:r>
        <w:rPr>
          <w:rFonts w:hint="eastAsia" w:ascii="宋体" w:hAnsi="宋体" w:eastAsia="宋体" w:cs="宋体"/>
          <w:color w:val="000000"/>
          <w:szCs w:val="21"/>
          <w:highlight w:val="none"/>
        </w:rPr>
        <w:t>服务”系指根据合同规定，乙方应提供的</w:t>
      </w:r>
      <w:r>
        <w:rPr>
          <w:rFonts w:hint="eastAsia" w:ascii="宋体" w:hAnsi="宋体" w:eastAsia="宋体" w:cs="宋体"/>
          <w:color w:val="000000"/>
          <w:szCs w:val="21"/>
          <w:highlight w:val="none"/>
          <w:lang w:val="en-US" w:eastAsia="zh-CN"/>
        </w:rPr>
        <w:t>与货物有关的</w:t>
      </w:r>
      <w:r>
        <w:rPr>
          <w:rFonts w:hint="eastAsia" w:ascii="宋体" w:hAnsi="宋体" w:eastAsia="宋体" w:cs="宋体"/>
          <w:color w:val="000000"/>
          <w:szCs w:val="21"/>
          <w:highlight w:val="none"/>
        </w:rPr>
        <w:t>技术、管理和</w:t>
      </w:r>
      <w:r>
        <w:rPr>
          <w:rFonts w:hint="eastAsia" w:ascii="宋体" w:hAnsi="宋体" w:eastAsia="宋体" w:cs="宋体"/>
          <w:color w:val="000000"/>
          <w:szCs w:val="21"/>
          <w:highlight w:val="none"/>
          <w:lang w:val="en"/>
        </w:rPr>
        <w:t>其他</w:t>
      </w:r>
      <w:r>
        <w:rPr>
          <w:rFonts w:hint="eastAsia" w:ascii="宋体" w:hAnsi="宋体" w:eastAsia="宋体" w:cs="宋体"/>
          <w:color w:val="000000"/>
          <w:szCs w:val="21"/>
          <w:highlight w:val="none"/>
        </w:rPr>
        <w:t>服务，包括但不限于：管理和质量保证、运输、保险、检验、现场准备、安装、集成、调试、培训、维修、</w:t>
      </w:r>
      <w:r>
        <w:rPr>
          <w:rFonts w:hint="eastAsia" w:ascii="宋体" w:hAnsi="宋体" w:eastAsia="宋体" w:cs="宋体"/>
          <w:color w:val="000000"/>
          <w:szCs w:val="21"/>
          <w:highlight w:val="none"/>
          <w:lang w:eastAsia="zh-CN"/>
        </w:rPr>
        <w:t>废弃处置、</w:t>
      </w:r>
      <w:r>
        <w:rPr>
          <w:rFonts w:hint="eastAsia" w:ascii="宋体" w:hAnsi="宋体" w:eastAsia="宋体" w:cs="宋体"/>
          <w:color w:val="000000"/>
          <w:szCs w:val="21"/>
          <w:highlight w:val="none"/>
        </w:rPr>
        <w:t>技术支持等以及合同中规定乙方应承担的</w:t>
      </w:r>
      <w:r>
        <w:rPr>
          <w:rFonts w:hint="eastAsia" w:ascii="宋体" w:hAnsi="宋体" w:eastAsia="宋体" w:cs="宋体"/>
          <w:color w:val="000000"/>
          <w:szCs w:val="21"/>
          <w:highlight w:val="none"/>
          <w:lang w:val="en"/>
        </w:rPr>
        <w:t>其他</w:t>
      </w:r>
      <w:r>
        <w:rPr>
          <w:rFonts w:hint="eastAsia" w:ascii="宋体" w:hAnsi="宋体" w:eastAsia="宋体" w:cs="宋体"/>
          <w:color w:val="000000"/>
          <w:szCs w:val="21"/>
          <w:highlight w:val="none"/>
        </w:rPr>
        <w:t>义务。</w:t>
      </w:r>
    </w:p>
    <w:p w14:paraId="7A75B72F">
      <w:pPr>
        <w:shd w:val="clear" w:color="auto" w:fill="auto"/>
        <w:adjustRightInd w:val="0"/>
        <w:snapToGrid w:val="0"/>
        <w:spacing w:before="0" w:line="400" w:lineRule="exact"/>
        <w:ind w:firstLine="420" w:firstLineChars="200"/>
        <w:jc w:val="left"/>
        <w:rPr>
          <w:rFonts w:hint="eastAsia" w:ascii="宋体" w:hAnsi="宋体" w:eastAsia="宋体" w:cs="宋体"/>
          <w:color w:val="000000"/>
          <w:szCs w:val="21"/>
          <w:highlight w:val="yellow"/>
          <w:lang w:eastAsia="zh-CN"/>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）“分包”系指中标</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成交</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供应商按采购文件、投标（响应）文件的规定，根据分包意向协议，将中标</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成交</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项目中的部分履约内容，分给具有相应资质条件的供应商履行合同的行为。</w:t>
      </w:r>
    </w:p>
    <w:p w14:paraId="3CE82192">
      <w:pPr>
        <w:shd w:val="clear" w:color="auto" w:fill="auto"/>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6</w:t>
      </w:r>
      <w:r>
        <w:rPr>
          <w:rFonts w:hint="eastAsia" w:ascii="宋体" w:hAnsi="宋体" w:eastAsia="宋体" w:cs="宋体"/>
          <w:color w:val="000000"/>
          <w:szCs w:val="21"/>
          <w:highlight w:val="none"/>
        </w:rPr>
        <w:t>）</w:t>
      </w:r>
      <w:r>
        <w:rPr>
          <w:rFonts w:hint="eastAsia" w:ascii="宋体" w:hAnsi="宋体" w:eastAsia="宋体" w:cs="宋体"/>
          <w:szCs w:val="21"/>
        </w:rPr>
        <w:t>“联合体”系指</w:t>
      </w:r>
      <w:r>
        <w:rPr>
          <w:rFonts w:hint="eastAsia" w:ascii="宋体" w:hAnsi="宋体" w:eastAsia="宋体" w:cs="宋体"/>
          <w:szCs w:val="21"/>
          <w:lang w:eastAsia="zh-CN"/>
        </w:rPr>
        <w:t>由</w:t>
      </w:r>
      <w:r>
        <w:rPr>
          <w:rFonts w:hint="eastAsia" w:ascii="宋体" w:hAnsi="宋体" w:eastAsia="宋体" w:cs="宋体"/>
          <w:szCs w:val="21"/>
        </w:rPr>
        <w:t>两个以上的自然人、法人或者</w:t>
      </w:r>
      <w:r>
        <w:rPr>
          <w:rFonts w:hint="eastAsia" w:ascii="宋体" w:hAnsi="宋体" w:eastAsia="宋体" w:cs="宋体"/>
          <w:szCs w:val="21"/>
          <w:lang w:val="en-US" w:eastAsia="zh-CN"/>
        </w:rPr>
        <w:t>非法人</w:t>
      </w:r>
      <w:r>
        <w:rPr>
          <w:rFonts w:hint="eastAsia" w:ascii="宋体" w:hAnsi="宋体" w:eastAsia="宋体" w:cs="宋体"/>
          <w:szCs w:val="21"/>
        </w:rPr>
        <w:t>组织组成，</w:t>
      </w:r>
      <w:r>
        <w:rPr>
          <w:rFonts w:hint="eastAsia" w:ascii="宋体" w:hAnsi="宋体" w:eastAsia="宋体" w:cs="宋体"/>
          <w:szCs w:val="21"/>
          <w:lang w:eastAsia="zh-CN"/>
        </w:rPr>
        <w:t>以一个供应商的身份共同参加政府采购的主体</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szCs w:val="21"/>
          <w:highlight w:val="none"/>
          <w:lang w:eastAsia="zh-CN"/>
        </w:rPr>
        <w:t>甲方</w:t>
      </w:r>
      <w:r>
        <w:rPr>
          <w:rFonts w:hint="eastAsia" w:ascii="宋体" w:hAnsi="宋体" w:eastAsia="宋体" w:cs="宋体"/>
          <w:color w:val="000000"/>
          <w:szCs w:val="21"/>
          <w:highlight w:val="none"/>
        </w:rPr>
        <w:t>承担连带责任。联合体具体要求见【</w:t>
      </w:r>
      <w:r>
        <w:rPr>
          <w:rFonts w:hint="eastAsia" w:ascii="宋体" w:hAnsi="宋体" w:eastAsia="宋体" w:cs="宋体"/>
          <w:b/>
          <w:bCs/>
          <w:color w:val="000000"/>
          <w:szCs w:val="21"/>
          <w:highlight w:val="none"/>
        </w:rPr>
        <w:t>政府采购合同专用条款</w:t>
      </w:r>
      <w:r>
        <w:rPr>
          <w:rFonts w:hint="eastAsia" w:ascii="宋体" w:hAnsi="宋体" w:eastAsia="宋体" w:cs="宋体"/>
          <w:color w:val="000000"/>
          <w:szCs w:val="21"/>
          <w:highlight w:val="none"/>
        </w:rPr>
        <w:t>】。</w:t>
      </w:r>
    </w:p>
    <w:p w14:paraId="02DC584C">
      <w:pPr>
        <w:shd w:val="clear" w:color="auto" w:fill="auto"/>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7</w:t>
      </w:r>
      <w:r>
        <w:rPr>
          <w:rFonts w:hint="eastAsia" w:ascii="宋体" w:hAnsi="宋体" w:eastAsia="宋体" w:cs="宋体"/>
          <w:color w:val="000000"/>
          <w:szCs w:val="21"/>
          <w:highlight w:val="none"/>
        </w:rPr>
        <w:t>）其他术语解释，见【</w:t>
      </w:r>
      <w:r>
        <w:rPr>
          <w:rFonts w:hint="eastAsia" w:ascii="宋体" w:hAnsi="宋体" w:eastAsia="宋体" w:cs="宋体"/>
          <w:b/>
          <w:bCs/>
          <w:color w:val="000000"/>
          <w:szCs w:val="21"/>
          <w:highlight w:val="none"/>
        </w:rPr>
        <w:t>政府采购合同专用条款</w:t>
      </w:r>
      <w:r>
        <w:rPr>
          <w:rFonts w:hint="eastAsia" w:ascii="宋体" w:hAnsi="宋体" w:eastAsia="宋体" w:cs="宋体"/>
          <w:color w:val="000000"/>
          <w:szCs w:val="21"/>
          <w:highlight w:val="none"/>
        </w:rPr>
        <w:t>】。</w:t>
      </w:r>
    </w:p>
    <w:p w14:paraId="42D04BDF">
      <w:pPr>
        <w:numPr>
          <w:ilvl w:val="0"/>
          <w:numId w:val="3"/>
        </w:numPr>
        <w:shd w:val="clear" w:color="auto" w:fill="auto"/>
        <w:autoSpaceDE w:val="0"/>
        <w:autoSpaceDN w:val="0"/>
        <w:adjustRightInd w:val="0"/>
        <w:snapToGrid w:val="0"/>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合同标的及金额</w:t>
      </w:r>
    </w:p>
    <w:p w14:paraId="0AA72F48">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b/>
          <w:bCs/>
          <w:i/>
          <w:iCs/>
          <w:color w:val="000000"/>
          <w:szCs w:val="21"/>
          <w:highlight w:val="none"/>
        </w:rPr>
      </w:pPr>
      <w:r>
        <w:rPr>
          <w:rFonts w:hint="eastAsia" w:ascii="宋体" w:hAnsi="宋体" w:eastAsia="宋体" w:cs="宋体"/>
          <w:color w:val="000000"/>
          <w:szCs w:val="21"/>
          <w:highlight w:val="none"/>
          <w:lang w:eastAsia="zh-CN"/>
        </w:rPr>
        <w:t>2</w:t>
      </w:r>
      <w:r>
        <w:rPr>
          <w:rFonts w:hint="eastAsia" w:ascii="宋体" w:hAnsi="宋体" w:eastAsia="宋体" w:cs="宋体"/>
          <w:color w:val="000000"/>
          <w:szCs w:val="21"/>
          <w:highlight w:val="none"/>
        </w:rPr>
        <w:t>.1 合同标的及金额应与中标（成交）结果一致。乙方为履行本合同而发生的所有费用均应包含在合同</w:t>
      </w:r>
      <w:r>
        <w:rPr>
          <w:rFonts w:hint="eastAsia" w:ascii="宋体" w:hAnsi="宋体" w:eastAsia="宋体" w:cs="宋体"/>
          <w:color w:val="000000"/>
          <w:szCs w:val="21"/>
          <w:highlight w:val="none"/>
          <w:lang w:eastAsia="zh-CN"/>
        </w:rPr>
        <w:t>价款</w:t>
      </w:r>
      <w:r>
        <w:rPr>
          <w:rFonts w:hint="eastAsia" w:ascii="宋体" w:hAnsi="宋体" w:eastAsia="宋体" w:cs="宋体"/>
          <w:color w:val="000000"/>
          <w:szCs w:val="21"/>
          <w:highlight w:val="none"/>
        </w:rPr>
        <w:t>中，甲方不再另行支付</w:t>
      </w:r>
      <w:r>
        <w:rPr>
          <w:rFonts w:hint="eastAsia" w:ascii="宋体" w:hAnsi="宋体" w:eastAsia="宋体" w:cs="宋体"/>
          <w:color w:val="000000"/>
          <w:szCs w:val="21"/>
          <w:highlight w:val="none"/>
          <w:lang w:val="en"/>
        </w:rPr>
        <w:t>其他</w:t>
      </w:r>
      <w:r>
        <w:rPr>
          <w:rFonts w:hint="eastAsia" w:ascii="宋体" w:hAnsi="宋体" w:eastAsia="宋体" w:cs="宋体"/>
          <w:color w:val="000000"/>
          <w:szCs w:val="21"/>
          <w:highlight w:val="none"/>
        </w:rPr>
        <w:t>任何费用。</w:t>
      </w:r>
    </w:p>
    <w:p w14:paraId="47786149">
      <w:pPr>
        <w:shd w:val="clear" w:color="auto" w:fill="auto"/>
        <w:adjustRightInd w:val="0"/>
        <w:snapToGrid w:val="0"/>
        <w:spacing w:before="0" w:line="400" w:lineRule="exact"/>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eastAsia="zh-CN"/>
        </w:rPr>
        <w:t>3</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履行合同的时间、地点和方式</w:t>
      </w:r>
    </w:p>
    <w:p w14:paraId="032F5722">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3</w:t>
      </w:r>
      <w:r>
        <w:rPr>
          <w:rFonts w:hint="eastAsia" w:ascii="宋体" w:hAnsi="宋体" w:eastAsia="宋体" w:cs="宋体"/>
          <w:color w:val="000000"/>
          <w:szCs w:val="21"/>
          <w:highlight w:val="none"/>
        </w:rPr>
        <w:t xml:space="preserve">.1 </w:t>
      </w:r>
      <w:r>
        <w:rPr>
          <w:rFonts w:hint="eastAsia" w:ascii="宋体" w:hAnsi="宋体" w:eastAsia="宋体" w:cs="宋体"/>
          <w:szCs w:val="21"/>
        </w:rPr>
        <w:t>乙方应当在约定的时间、地点</w:t>
      </w:r>
      <w:r>
        <w:rPr>
          <w:rFonts w:hint="eastAsia" w:ascii="宋体" w:hAnsi="宋体" w:eastAsia="宋体" w:cs="宋体"/>
          <w:szCs w:val="21"/>
          <w:lang w:eastAsia="zh-CN"/>
        </w:rPr>
        <w:t>，按照约定</w:t>
      </w:r>
      <w:r>
        <w:rPr>
          <w:rFonts w:hint="eastAsia" w:ascii="宋体" w:hAnsi="宋体" w:eastAsia="宋体" w:cs="宋体"/>
          <w:szCs w:val="21"/>
        </w:rPr>
        <w:t>方式履行合同。</w:t>
      </w:r>
    </w:p>
    <w:p w14:paraId="61A5F394">
      <w:pPr>
        <w:shd w:val="clear" w:color="auto" w:fill="auto"/>
        <w:autoSpaceDE w:val="0"/>
        <w:autoSpaceDN w:val="0"/>
        <w:adjustRightInd w:val="0"/>
        <w:snapToGrid w:val="0"/>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4</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甲方的权利和义务</w:t>
      </w:r>
    </w:p>
    <w:p w14:paraId="1DB8E04C">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4</w:t>
      </w:r>
      <w:r>
        <w:rPr>
          <w:rFonts w:hint="eastAsia" w:ascii="宋体" w:hAnsi="宋体" w:eastAsia="宋体" w:cs="宋体"/>
          <w:color w:val="000000"/>
          <w:szCs w:val="21"/>
          <w:highlight w:val="none"/>
        </w:rPr>
        <w:t>.1 签署合同后，甲方</w:t>
      </w:r>
      <w:r>
        <w:rPr>
          <w:rFonts w:hint="eastAsia" w:ascii="宋体" w:hAnsi="宋体" w:eastAsia="宋体" w:cs="宋体"/>
          <w:color w:val="000000"/>
          <w:szCs w:val="21"/>
          <w:highlight w:val="none"/>
          <w:lang w:eastAsia="zh-CN"/>
        </w:rPr>
        <w:t>应</w:t>
      </w:r>
      <w:r>
        <w:rPr>
          <w:rFonts w:hint="eastAsia" w:ascii="宋体" w:hAnsi="宋体" w:eastAsia="宋体" w:cs="宋体"/>
          <w:color w:val="000000"/>
          <w:szCs w:val="21"/>
          <w:highlight w:val="none"/>
        </w:rPr>
        <w:t>确定</w:t>
      </w:r>
      <w:r>
        <w:rPr>
          <w:rFonts w:hint="eastAsia" w:ascii="宋体" w:hAnsi="宋体" w:eastAsia="宋体" w:cs="宋体"/>
          <w:color w:val="000000"/>
          <w:szCs w:val="21"/>
          <w:highlight w:val="none"/>
          <w:lang w:val="en-US" w:eastAsia="zh-CN"/>
        </w:rPr>
        <w:t>项目负责人（或项目联系人）</w:t>
      </w:r>
      <w:r>
        <w:rPr>
          <w:rFonts w:hint="eastAsia" w:ascii="宋体" w:hAnsi="宋体" w:eastAsia="宋体" w:cs="宋体"/>
          <w:color w:val="000000"/>
          <w:szCs w:val="21"/>
          <w:highlight w:val="none"/>
        </w:rPr>
        <w:t>，负责与本合同有关的事务。甲方有权对乙方的履约行为进行检查，并及时确认乙方提交的事项。甲方应当配合乙方完成相关项目实施工作。</w:t>
      </w:r>
    </w:p>
    <w:p w14:paraId="73CF88B4">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4</w:t>
      </w:r>
      <w:r>
        <w:rPr>
          <w:rFonts w:hint="eastAsia" w:ascii="宋体" w:hAnsi="宋体" w:eastAsia="宋体" w:cs="宋体"/>
          <w:color w:val="000000"/>
          <w:szCs w:val="21"/>
          <w:highlight w:val="none"/>
        </w:rPr>
        <w:t>.2 甲方有权要求乙方按时提交各阶段有关安排计划，并有权定期核对乙方提供货物数量、规格、质量等内容。甲方有权督促乙方工作并要求乙方更换不符合要求的货物。</w:t>
      </w:r>
    </w:p>
    <w:p w14:paraId="596AC62D">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4</w:t>
      </w:r>
      <w:r>
        <w:rPr>
          <w:rFonts w:hint="eastAsia" w:ascii="宋体" w:hAnsi="宋体" w:eastAsia="宋体" w:cs="宋体"/>
          <w:color w:val="000000"/>
          <w:szCs w:val="21"/>
          <w:highlight w:val="none"/>
        </w:rPr>
        <w:t>.3 甲方有权要求乙方对缺陷部分予以修复，并按合同约定享有货物保修及其他合同约定的权利。</w:t>
      </w:r>
    </w:p>
    <w:p w14:paraId="6171E579">
      <w:pPr>
        <w:shd w:val="clear" w:color="auto" w:fill="auto"/>
        <w:snapToGrid w:val="0"/>
        <w:spacing w:line="400" w:lineRule="exact"/>
        <w:ind w:firstLine="420" w:firstLineChars="200"/>
        <w:rPr>
          <w:rFonts w:hint="eastAsia" w:ascii="宋体" w:hAnsi="宋体" w:eastAsia="宋体" w:cs="宋体"/>
          <w:lang w:val="en-US" w:eastAsia="zh-CN"/>
        </w:rPr>
      </w:pPr>
      <w:r>
        <w:rPr>
          <w:rFonts w:hint="eastAsia" w:ascii="宋体" w:hAnsi="宋体" w:eastAsia="宋体" w:cs="宋体"/>
          <w:color w:val="000000"/>
          <w:szCs w:val="21"/>
          <w:highlight w:val="none"/>
          <w:lang w:val="en-US" w:eastAsia="zh-CN"/>
        </w:rPr>
        <w:t>4.4 甲方应当按照合同约定及时对交付的货物进行验收，</w:t>
      </w:r>
      <w:r>
        <w:rPr>
          <w:rFonts w:hint="eastAsia" w:ascii="宋体" w:hAnsi="宋体" w:eastAsia="宋体" w:cs="宋体"/>
          <w:b w:val="0"/>
          <w:bCs w:val="0"/>
          <w:szCs w:val="21"/>
          <w:highlight w:val="none"/>
          <w:lang w:eastAsia="zh-CN"/>
        </w:rPr>
        <w:t>未</w:t>
      </w:r>
      <w:r>
        <w:rPr>
          <w:rFonts w:hint="eastAsia" w:ascii="宋体" w:hAnsi="宋体" w:eastAsia="宋体" w:cs="宋体"/>
          <w:color w:val="000000"/>
          <w:szCs w:val="21"/>
          <w:highlight w:val="none"/>
          <w:lang w:val="en-US" w:eastAsia="zh-CN"/>
        </w:rPr>
        <w:t>在</w:t>
      </w:r>
      <w:r>
        <w:rPr>
          <w:rFonts w:hint="eastAsia" w:ascii="宋体" w:hAnsi="宋体" w:eastAsia="宋体" w:cs="宋体"/>
          <w:b/>
          <w:bCs/>
          <w:szCs w:val="21"/>
          <w:highlight w:val="none"/>
        </w:rPr>
        <w:t>【政府采购合同专用条款】</w:t>
      </w:r>
      <w:r>
        <w:rPr>
          <w:rFonts w:hint="eastAsia" w:ascii="宋体" w:hAnsi="宋体" w:eastAsia="宋体" w:cs="宋体"/>
          <w:b w:val="0"/>
          <w:bCs w:val="0"/>
          <w:szCs w:val="21"/>
          <w:highlight w:val="none"/>
          <w:lang w:eastAsia="zh-CN"/>
        </w:rPr>
        <w:t>约定的期限内对乙方履约提出任何异议或者向乙方作出任何说明的，</w:t>
      </w:r>
      <w:r>
        <w:rPr>
          <w:rFonts w:hint="eastAsia" w:ascii="宋体" w:hAnsi="宋体" w:eastAsia="宋体" w:cs="宋体"/>
          <w:color w:val="000000"/>
          <w:szCs w:val="21"/>
          <w:highlight w:val="none"/>
          <w:lang w:val="en-US" w:eastAsia="zh-CN"/>
        </w:rPr>
        <w:t>视为验收通过。</w:t>
      </w:r>
    </w:p>
    <w:p w14:paraId="039E2728">
      <w:pPr>
        <w:shd w:val="clear" w:color="auto" w:fill="auto"/>
        <w:autoSpaceDE w:val="0"/>
        <w:autoSpaceDN w:val="0"/>
        <w:adjustRightInd w:val="0"/>
        <w:snapToGrid w:val="0"/>
        <w:spacing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4</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5</w:t>
      </w:r>
      <w:r>
        <w:rPr>
          <w:rFonts w:hint="eastAsia" w:ascii="宋体" w:hAnsi="宋体" w:eastAsia="宋体" w:cs="宋体"/>
          <w:color w:val="000000"/>
          <w:szCs w:val="21"/>
          <w:highlight w:val="none"/>
        </w:rPr>
        <w:t xml:space="preserve"> 甲方应当根据合同约定</w:t>
      </w:r>
      <w:r>
        <w:rPr>
          <w:rFonts w:hint="eastAsia" w:ascii="宋体" w:hAnsi="宋体" w:eastAsia="宋体" w:cs="宋体"/>
          <w:color w:val="000000"/>
          <w:szCs w:val="21"/>
          <w:highlight w:val="none"/>
          <w:lang w:eastAsia="zh-CN"/>
        </w:rPr>
        <w:t>及</w:t>
      </w:r>
      <w:r>
        <w:rPr>
          <w:rFonts w:hint="eastAsia" w:ascii="宋体" w:hAnsi="宋体" w:eastAsia="宋体" w:cs="宋体"/>
          <w:color w:val="000000"/>
          <w:szCs w:val="21"/>
          <w:highlight w:val="none"/>
        </w:rPr>
        <w:t>时向乙方支付</w:t>
      </w:r>
      <w:r>
        <w:rPr>
          <w:rFonts w:hint="eastAsia" w:ascii="宋体" w:hAnsi="宋体" w:eastAsia="宋体" w:cs="宋体"/>
          <w:color w:val="000000"/>
          <w:szCs w:val="21"/>
          <w:highlight w:val="none"/>
          <w:lang w:eastAsia="zh-CN"/>
        </w:rPr>
        <w:t>合同价款，不得以内部人员变更、履行内部付款流程等为由，拒绝或迟延支付。</w:t>
      </w:r>
    </w:p>
    <w:p w14:paraId="46D68B3F">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4</w:t>
      </w:r>
      <w:r>
        <w:rPr>
          <w:rFonts w:hint="eastAsia" w:ascii="宋体" w:hAnsi="宋体" w:eastAsia="宋体" w:cs="宋体"/>
          <w:color w:val="000000"/>
          <w:szCs w:val="21"/>
          <w:highlight w:val="none"/>
        </w:rPr>
        <w:t>.</w:t>
      </w:r>
      <w:r>
        <w:rPr>
          <w:rFonts w:hint="eastAsia" w:ascii="宋体" w:hAnsi="宋体" w:eastAsia="宋体" w:cs="宋体"/>
          <w:color w:val="000000"/>
          <w:szCs w:val="21"/>
          <w:highlight w:val="none"/>
          <w:lang w:val="en-US" w:eastAsia="zh-CN"/>
        </w:rPr>
        <w:t>6</w:t>
      </w:r>
      <w:r>
        <w:rPr>
          <w:rFonts w:hint="eastAsia" w:ascii="宋体" w:hAnsi="宋体" w:eastAsia="宋体" w:cs="宋体"/>
          <w:color w:val="000000"/>
          <w:szCs w:val="21"/>
          <w:highlight w:val="none"/>
        </w:rPr>
        <w:t xml:space="preserve"> 国家法律法规规定</w:t>
      </w:r>
      <w:r>
        <w:rPr>
          <w:rFonts w:hint="eastAsia" w:ascii="宋体" w:hAnsi="宋体" w:eastAsia="宋体" w:cs="宋体"/>
          <w:color w:val="000000"/>
          <w:szCs w:val="21"/>
          <w:highlight w:val="none"/>
          <w:lang w:eastAsia="zh-CN"/>
        </w:rPr>
        <w:t>及</w:t>
      </w:r>
      <w:r>
        <w:rPr>
          <w:rFonts w:hint="eastAsia" w:ascii="宋体" w:hAnsi="宋体" w:eastAsia="宋体" w:cs="宋体"/>
          <w:b/>
          <w:bCs/>
          <w:szCs w:val="21"/>
          <w:highlight w:val="none"/>
        </w:rPr>
        <w:t>【政府采购合同专用条款】</w:t>
      </w:r>
      <w:r>
        <w:rPr>
          <w:rFonts w:hint="eastAsia" w:ascii="宋体" w:hAnsi="宋体" w:eastAsia="宋体" w:cs="宋体"/>
          <w:color w:val="000000"/>
          <w:szCs w:val="21"/>
          <w:highlight w:val="none"/>
          <w:lang w:eastAsia="zh-CN"/>
        </w:rPr>
        <w:t>约定应</w:t>
      </w:r>
      <w:r>
        <w:rPr>
          <w:rFonts w:hint="eastAsia" w:ascii="宋体" w:hAnsi="宋体" w:eastAsia="宋体" w:cs="宋体"/>
          <w:color w:val="000000"/>
          <w:szCs w:val="21"/>
          <w:highlight w:val="none"/>
        </w:rPr>
        <w:t>由甲方承担的其他义务和责任。</w:t>
      </w:r>
    </w:p>
    <w:p w14:paraId="3614980C">
      <w:pPr>
        <w:shd w:val="clear" w:color="auto" w:fill="auto"/>
        <w:autoSpaceDE w:val="0"/>
        <w:autoSpaceDN w:val="0"/>
        <w:adjustRightInd w:val="0"/>
        <w:snapToGrid w:val="0"/>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5</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乙方的权利和义务</w:t>
      </w:r>
    </w:p>
    <w:p w14:paraId="223A9C37">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5</w:t>
      </w:r>
      <w:r>
        <w:rPr>
          <w:rFonts w:hint="eastAsia" w:ascii="宋体" w:hAnsi="宋体" w:eastAsia="宋体" w:cs="宋体"/>
          <w:color w:val="000000"/>
          <w:szCs w:val="21"/>
          <w:highlight w:val="none"/>
        </w:rPr>
        <w:t>.1 签署合同后，乙方</w:t>
      </w:r>
      <w:r>
        <w:rPr>
          <w:rFonts w:hint="eastAsia" w:ascii="宋体" w:hAnsi="宋体" w:eastAsia="宋体" w:cs="宋体"/>
          <w:color w:val="000000"/>
          <w:szCs w:val="21"/>
          <w:highlight w:val="none"/>
          <w:lang w:eastAsia="zh-CN"/>
        </w:rPr>
        <w:t>应</w:t>
      </w:r>
      <w:r>
        <w:rPr>
          <w:rFonts w:hint="eastAsia" w:ascii="宋体" w:hAnsi="宋体" w:eastAsia="宋体" w:cs="宋体"/>
          <w:color w:val="000000"/>
          <w:szCs w:val="21"/>
          <w:highlight w:val="none"/>
        </w:rPr>
        <w:t>确定</w:t>
      </w:r>
      <w:r>
        <w:rPr>
          <w:rFonts w:hint="eastAsia" w:ascii="宋体" w:hAnsi="宋体" w:eastAsia="宋体" w:cs="宋体"/>
          <w:color w:val="000000"/>
          <w:szCs w:val="21"/>
          <w:highlight w:val="none"/>
          <w:lang w:val="en-US" w:eastAsia="zh-CN"/>
        </w:rPr>
        <w:t>项目负责人（或项目联系人）</w:t>
      </w:r>
      <w:r>
        <w:rPr>
          <w:rFonts w:hint="eastAsia" w:ascii="宋体" w:hAnsi="宋体" w:eastAsia="宋体" w:cs="宋体"/>
          <w:color w:val="000000"/>
          <w:szCs w:val="21"/>
          <w:highlight w:val="none"/>
        </w:rPr>
        <w:t>，负责与本合同有关的事务。</w:t>
      </w:r>
    </w:p>
    <w:p w14:paraId="343A76C5">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5</w:t>
      </w:r>
      <w:r>
        <w:rPr>
          <w:rFonts w:hint="eastAsia" w:ascii="宋体" w:hAnsi="宋体" w:eastAsia="宋体" w:cs="宋体"/>
          <w:color w:val="000000"/>
          <w:szCs w:val="21"/>
          <w:highlight w:val="none"/>
        </w:rPr>
        <w:t>.2 乙方应按照合同要求履约，充分合理安排，确保提供的货物</w:t>
      </w:r>
      <w:r>
        <w:rPr>
          <w:rFonts w:hint="eastAsia" w:ascii="宋体" w:hAnsi="宋体" w:eastAsia="宋体" w:cs="宋体"/>
          <w:color w:val="000000"/>
          <w:szCs w:val="21"/>
          <w:highlight w:val="none"/>
          <w:lang w:eastAsia="zh-CN"/>
        </w:rPr>
        <w:t>及相关</w:t>
      </w:r>
      <w:r>
        <w:rPr>
          <w:rFonts w:hint="eastAsia" w:ascii="宋体" w:hAnsi="宋体" w:eastAsia="宋体" w:cs="宋体"/>
          <w:color w:val="000000"/>
          <w:szCs w:val="21"/>
          <w:highlight w:val="none"/>
        </w:rPr>
        <w:t>服务符合合同</w:t>
      </w:r>
      <w:r>
        <w:rPr>
          <w:rFonts w:hint="eastAsia" w:ascii="宋体" w:hAnsi="宋体" w:eastAsia="宋体" w:cs="宋体"/>
          <w:color w:val="000000"/>
          <w:szCs w:val="21"/>
          <w:highlight w:val="none"/>
          <w:lang w:eastAsia="zh-CN"/>
        </w:rPr>
        <w:t>有关</w:t>
      </w:r>
      <w:r>
        <w:rPr>
          <w:rFonts w:hint="eastAsia" w:ascii="宋体" w:hAnsi="宋体" w:eastAsia="宋体" w:cs="宋体"/>
          <w:color w:val="000000"/>
          <w:szCs w:val="21"/>
          <w:highlight w:val="none"/>
        </w:rPr>
        <w:t>要求。接受项目行业管理部门及政府有关部门的指导，配合甲方的履约检查</w:t>
      </w:r>
      <w:r>
        <w:rPr>
          <w:rFonts w:hint="eastAsia" w:ascii="宋体" w:hAnsi="宋体" w:eastAsia="宋体" w:cs="宋体"/>
          <w:color w:val="000000"/>
          <w:szCs w:val="21"/>
          <w:highlight w:val="none"/>
          <w:lang w:eastAsia="zh-CN"/>
        </w:rPr>
        <w:t>及验收</w:t>
      </w:r>
      <w:r>
        <w:rPr>
          <w:rFonts w:hint="eastAsia" w:ascii="宋体" w:hAnsi="宋体" w:eastAsia="宋体" w:cs="宋体"/>
          <w:color w:val="000000"/>
          <w:szCs w:val="21"/>
          <w:highlight w:val="none"/>
        </w:rPr>
        <w:t>，并负责项目实施过程中的所有协调工作。</w:t>
      </w:r>
    </w:p>
    <w:p w14:paraId="22F898AE">
      <w:pPr>
        <w:pStyle w:val="11"/>
        <w:shd w:val="clear" w:color="auto" w:fill="auto"/>
        <w:spacing w:after="0" w:line="400" w:lineRule="exact"/>
        <w:ind w:firstLine="369" w:firstLineChars="176"/>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5</w:t>
      </w:r>
      <w:r>
        <w:rPr>
          <w:rFonts w:hint="eastAsia" w:ascii="宋体" w:hAnsi="宋体" w:eastAsia="宋体" w:cs="宋体"/>
          <w:color w:val="000000"/>
          <w:szCs w:val="21"/>
          <w:highlight w:val="none"/>
        </w:rPr>
        <w:t>.3乙方有权根据合同约定向甲方收取</w:t>
      </w:r>
      <w:r>
        <w:rPr>
          <w:rFonts w:hint="eastAsia" w:ascii="宋体" w:hAnsi="宋体" w:eastAsia="宋体" w:cs="宋体"/>
          <w:color w:val="000000"/>
          <w:szCs w:val="21"/>
          <w:highlight w:val="none"/>
          <w:lang w:eastAsia="zh-CN"/>
        </w:rPr>
        <w:t>合同价款</w:t>
      </w:r>
      <w:r>
        <w:rPr>
          <w:rFonts w:hint="eastAsia" w:ascii="宋体" w:hAnsi="宋体" w:eastAsia="宋体" w:cs="宋体"/>
          <w:color w:val="000000"/>
          <w:szCs w:val="21"/>
          <w:highlight w:val="none"/>
        </w:rPr>
        <w:t>。</w:t>
      </w:r>
    </w:p>
    <w:p w14:paraId="186BFF55">
      <w:pPr>
        <w:pStyle w:val="11"/>
        <w:shd w:val="clear" w:color="auto" w:fill="auto"/>
        <w:spacing w:after="0" w:line="400" w:lineRule="exact"/>
        <w:ind w:firstLine="369" w:firstLineChars="176"/>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5</w:t>
      </w:r>
      <w:r>
        <w:rPr>
          <w:rFonts w:hint="eastAsia" w:ascii="宋体" w:hAnsi="宋体" w:eastAsia="宋体" w:cs="宋体"/>
          <w:color w:val="000000"/>
          <w:szCs w:val="21"/>
          <w:highlight w:val="none"/>
        </w:rPr>
        <w:t>.4国家法律法规规定</w:t>
      </w:r>
      <w:r>
        <w:rPr>
          <w:rFonts w:hint="eastAsia" w:ascii="宋体" w:hAnsi="宋体" w:eastAsia="宋体" w:cs="宋体"/>
          <w:color w:val="000000"/>
          <w:szCs w:val="21"/>
          <w:highlight w:val="none"/>
          <w:lang w:eastAsia="zh-CN"/>
        </w:rPr>
        <w:t>及</w:t>
      </w:r>
      <w:r>
        <w:rPr>
          <w:rFonts w:hint="eastAsia" w:ascii="宋体" w:hAnsi="宋体" w:eastAsia="宋体" w:cs="宋体"/>
          <w:b/>
          <w:bCs/>
          <w:szCs w:val="21"/>
          <w:highlight w:val="none"/>
        </w:rPr>
        <w:t>【政府采购合同专用条款】</w:t>
      </w:r>
      <w:r>
        <w:rPr>
          <w:rFonts w:hint="eastAsia" w:ascii="宋体" w:hAnsi="宋体" w:eastAsia="宋体" w:cs="宋体"/>
          <w:b w:val="0"/>
          <w:bCs w:val="0"/>
          <w:szCs w:val="21"/>
          <w:highlight w:val="none"/>
          <w:lang w:eastAsia="zh-CN"/>
        </w:rPr>
        <w:t>约定应</w:t>
      </w:r>
      <w:r>
        <w:rPr>
          <w:rFonts w:hint="eastAsia" w:ascii="宋体" w:hAnsi="宋体" w:eastAsia="宋体" w:cs="宋体"/>
          <w:color w:val="000000"/>
          <w:szCs w:val="21"/>
          <w:highlight w:val="none"/>
        </w:rPr>
        <w:t>由乙方承担的其他义务和责任。</w:t>
      </w:r>
    </w:p>
    <w:p w14:paraId="217806B5">
      <w:pPr>
        <w:numPr>
          <w:ilvl w:val="0"/>
          <w:numId w:val="4"/>
        </w:numPr>
        <w:shd w:val="clear" w:color="auto" w:fill="auto"/>
        <w:autoSpaceDE w:val="0"/>
        <w:autoSpaceDN w:val="0"/>
        <w:adjustRightInd w:val="0"/>
        <w:snapToGrid w:val="0"/>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合同履</w:t>
      </w:r>
      <w:r>
        <w:rPr>
          <w:rFonts w:hint="eastAsia" w:ascii="宋体" w:hAnsi="宋体" w:eastAsia="宋体" w:cs="宋体"/>
          <w:b/>
          <w:bCs/>
          <w:color w:val="000000"/>
          <w:sz w:val="24"/>
          <w:highlight w:val="none"/>
          <w:lang w:val="en-US" w:eastAsia="zh-CN"/>
        </w:rPr>
        <w:t>行</w:t>
      </w:r>
    </w:p>
    <w:p w14:paraId="03644E02">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6</w:t>
      </w:r>
      <w:r>
        <w:rPr>
          <w:rFonts w:hint="eastAsia" w:ascii="宋体" w:hAnsi="宋体" w:eastAsia="宋体" w:cs="宋体"/>
          <w:color w:val="000000"/>
          <w:szCs w:val="21"/>
          <w:highlight w:val="none"/>
        </w:rPr>
        <w:t>.1 甲乙双方应当按照</w:t>
      </w:r>
      <w:r>
        <w:rPr>
          <w:rFonts w:hint="eastAsia" w:ascii="宋体" w:hAnsi="宋体" w:eastAsia="宋体" w:cs="宋体"/>
          <w:b/>
          <w:bCs/>
          <w:szCs w:val="21"/>
          <w:highlight w:val="none"/>
        </w:rPr>
        <w:t>【政府采购合同专用条款】</w:t>
      </w:r>
      <w:r>
        <w:rPr>
          <w:rFonts w:hint="eastAsia" w:ascii="宋体" w:hAnsi="宋体" w:eastAsia="宋体" w:cs="宋体"/>
          <w:color w:val="000000"/>
          <w:szCs w:val="21"/>
          <w:highlight w:val="none"/>
        </w:rPr>
        <w:t>约定顺序履行合同义务；如果没有先后顺序的，应当同时履行。</w:t>
      </w:r>
    </w:p>
    <w:p w14:paraId="622BE1F2">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rPr>
      </w:pPr>
      <w:r>
        <w:rPr>
          <w:rFonts w:hint="eastAsia" w:ascii="宋体" w:hAnsi="宋体" w:eastAsia="宋体" w:cs="宋体"/>
          <w:color w:val="000000"/>
          <w:szCs w:val="21"/>
          <w:highlight w:val="none"/>
          <w:lang w:eastAsia="zh-CN"/>
        </w:rPr>
        <w:t>6</w:t>
      </w:r>
      <w:r>
        <w:rPr>
          <w:rFonts w:hint="eastAsia" w:ascii="宋体" w:hAnsi="宋体" w:eastAsia="宋体" w:cs="宋体"/>
          <w:color w:val="000000"/>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61F0B85B">
      <w:pPr>
        <w:shd w:val="clear" w:color="auto" w:fill="auto"/>
        <w:adjustRightInd w:val="0"/>
        <w:snapToGrid w:val="0"/>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lang w:eastAsia="zh-CN"/>
        </w:rPr>
        <w:t>7</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货物包装、运输</w:t>
      </w:r>
      <w:r>
        <w:rPr>
          <w:rFonts w:hint="eastAsia" w:ascii="宋体" w:hAnsi="宋体" w:eastAsia="宋体" w:cs="宋体"/>
          <w:b/>
          <w:bCs/>
          <w:color w:val="000000"/>
          <w:sz w:val="24"/>
          <w:highlight w:val="none"/>
          <w:lang w:eastAsia="zh-CN"/>
        </w:rPr>
        <w:t>、</w:t>
      </w:r>
      <w:r>
        <w:rPr>
          <w:rFonts w:hint="eastAsia" w:ascii="宋体" w:hAnsi="宋体" w:eastAsia="宋体" w:cs="宋体"/>
          <w:b/>
          <w:bCs/>
          <w:color w:val="000000"/>
          <w:sz w:val="24"/>
          <w:highlight w:val="none"/>
        </w:rPr>
        <w:t>保险</w:t>
      </w:r>
      <w:r>
        <w:rPr>
          <w:rFonts w:hint="eastAsia" w:ascii="宋体" w:hAnsi="宋体" w:eastAsia="宋体" w:cs="宋体"/>
          <w:b/>
          <w:bCs/>
          <w:color w:val="000000"/>
          <w:sz w:val="24"/>
          <w:highlight w:val="none"/>
          <w:lang w:eastAsia="zh-CN"/>
        </w:rPr>
        <w:t>和交付</w:t>
      </w:r>
      <w:r>
        <w:rPr>
          <w:rFonts w:hint="eastAsia" w:ascii="宋体" w:hAnsi="宋体" w:eastAsia="宋体" w:cs="宋体"/>
          <w:b/>
          <w:bCs/>
          <w:color w:val="000000"/>
          <w:sz w:val="24"/>
          <w:highlight w:val="none"/>
        </w:rPr>
        <w:t>要求</w:t>
      </w:r>
    </w:p>
    <w:p w14:paraId="364B379C">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7</w:t>
      </w:r>
      <w:r>
        <w:rPr>
          <w:rFonts w:hint="eastAsia" w:ascii="宋体" w:hAnsi="宋体" w:eastAsia="宋体" w:cs="宋体"/>
          <w:color w:val="000000"/>
          <w:szCs w:val="21"/>
          <w:highlight w:val="none"/>
        </w:rPr>
        <w:t>.1 本合同</w:t>
      </w:r>
      <w:r>
        <w:rPr>
          <w:rFonts w:hint="eastAsia" w:ascii="宋体" w:hAnsi="宋体" w:eastAsia="宋体" w:cs="宋体"/>
          <w:bCs/>
          <w:color w:val="000000"/>
          <w:szCs w:val="21"/>
          <w:highlight w:val="none"/>
        </w:rPr>
        <w:t>涉及商品包装</w:t>
      </w:r>
      <w:r>
        <w:rPr>
          <w:rFonts w:hint="eastAsia" w:ascii="宋体" w:hAnsi="宋体" w:eastAsia="宋体" w:cs="宋体"/>
          <w:bCs/>
          <w:color w:val="000000"/>
          <w:szCs w:val="21"/>
          <w:highlight w:val="none"/>
          <w:lang w:eastAsia="zh-CN"/>
        </w:rPr>
        <w:t>、</w:t>
      </w:r>
      <w:r>
        <w:rPr>
          <w:rFonts w:hint="eastAsia" w:ascii="宋体" w:hAnsi="宋体" w:eastAsia="宋体" w:cs="宋体"/>
          <w:bCs/>
          <w:color w:val="000000"/>
          <w:szCs w:val="21"/>
          <w:highlight w:val="none"/>
        </w:rPr>
        <w:t>快递包装的，</w:t>
      </w:r>
      <w:r>
        <w:rPr>
          <w:rFonts w:hint="eastAsia" w:ascii="宋体" w:hAnsi="宋体" w:eastAsia="宋体" w:cs="宋体"/>
          <w:color w:val="000000"/>
          <w:szCs w:val="21"/>
          <w:highlight w:val="none"/>
        </w:rPr>
        <w:t>除</w:t>
      </w:r>
      <w:r>
        <w:rPr>
          <w:rFonts w:hint="eastAsia" w:ascii="宋体" w:hAnsi="宋体" w:eastAsia="宋体" w:cs="宋体"/>
          <w:b/>
          <w:color w:val="000000"/>
          <w:szCs w:val="21"/>
          <w:highlight w:val="none"/>
        </w:rPr>
        <w:t>【政府采购合同专用条款】</w:t>
      </w:r>
      <w:r>
        <w:rPr>
          <w:rFonts w:hint="eastAsia" w:ascii="宋体" w:hAnsi="宋体" w:eastAsia="宋体" w:cs="宋体"/>
          <w:bCs/>
          <w:color w:val="000000"/>
          <w:szCs w:val="21"/>
          <w:highlight w:val="none"/>
        </w:rPr>
        <w:t>另有</w:t>
      </w:r>
      <w:r>
        <w:rPr>
          <w:rFonts w:hint="eastAsia" w:ascii="宋体" w:hAnsi="宋体" w:eastAsia="宋体" w:cs="宋体"/>
          <w:bCs/>
          <w:color w:val="000000"/>
          <w:szCs w:val="21"/>
          <w:highlight w:val="none"/>
          <w:lang w:eastAsia="zh-CN"/>
        </w:rPr>
        <w:t>约</w:t>
      </w:r>
      <w:r>
        <w:rPr>
          <w:rFonts w:hint="eastAsia" w:ascii="宋体" w:hAnsi="宋体" w:eastAsia="宋体" w:cs="宋体"/>
          <w:bCs/>
          <w:color w:val="000000"/>
          <w:szCs w:val="21"/>
          <w:highlight w:val="none"/>
        </w:rPr>
        <w:t>定</w:t>
      </w:r>
      <w:r>
        <w:rPr>
          <w:rFonts w:hint="eastAsia" w:ascii="宋体" w:hAnsi="宋体" w:eastAsia="宋体" w:cs="宋体"/>
          <w:bCs/>
          <w:color w:val="000000"/>
          <w:szCs w:val="21"/>
          <w:highlight w:val="none"/>
          <w:lang w:eastAsia="zh-CN"/>
        </w:rPr>
        <w:t>外</w:t>
      </w:r>
      <w:r>
        <w:rPr>
          <w:rFonts w:hint="eastAsia" w:ascii="宋体" w:hAnsi="宋体" w:eastAsia="宋体" w:cs="宋体"/>
          <w:bCs/>
          <w:color w:val="000000"/>
          <w:szCs w:val="21"/>
          <w:highlight w:val="none"/>
        </w:rPr>
        <w:t>，</w:t>
      </w:r>
      <w:r>
        <w:rPr>
          <w:rFonts w:hint="eastAsia" w:ascii="宋体" w:hAnsi="宋体" w:eastAsia="宋体" w:cs="宋体"/>
          <w:color w:val="000000"/>
          <w:szCs w:val="21"/>
          <w:highlight w:val="none"/>
        </w:rPr>
        <w:t>包装应适应远距离运输、防潮、防震、防锈和防野蛮装卸等要求，确保货物安全无损地运抵</w:t>
      </w:r>
      <w:r>
        <w:rPr>
          <w:rFonts w:hint="eastAsia" w:ascii="宋体" w:hAnsi="宋体" w:eastAsia="宋体" w:cs="宋体"/>
          <w:b/>
          <w:color w:val="000000"/>
          <w:szCs w:val="21"/>
          <w:highlight w:val="none"/>
        </w:rPr>
        <w:t>【政府采购合同专用条款】</w:t>
      </w:r>
      <w:r>
        <w:rPr>
          <w:rFonts w:hint="eastAsia" w:ascii="宋体" w:hAnsi="宋体" w:eastAsia="宋体" w:cs="宋体"/>
          <w:b w:val="0"/>
          <w:bCs/>
          <w:color w:val="000000"/>
          <w:szCs w:val="21"/>
          <w:highlight w:val="none"/>
          <w:lang w:eastAsia="zh-CN"/>
        </w:rPr>
        <w:t>约定的</w:t>
      </w:r>
      <w:r>
        <w:rPr>
          <w:rFonts w:hint="eastAsia" w:ascii="宋体" w:hAnsi="宋体" w:eastAsia="宋体" w:cs="宋体"/>
          <w:color w:val="000000"/>
          <w:szCs w:val="21"/>
          <w:highlight w:val="none"/>
        </w:rPr>
        <w:t>指定现场。</w:t>
      </w:r>
    </w:p>
    <w:p w14:paraId="5F7DFF44">
      <w:pPr>
        <w:shd w:val="clear" w:color="auto" w:fill="auto"/>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7</w:t>
      </w:r>
      <w:r>
        <w:rPr>
          <w:rFonts w:hint="eastAsia" w:ascii="宋体" w:hAnsi="宋体" w:eastAsia="宋体" w:cs="宋体"/>
          <w:color w:val="000000"/>
          <w:szCs w:val="21"/>
          <w:highlight w:val="none"/>
        </w:rPr>
        <w:t>.2 除</w:t>
      </w:r>
      <w:r>
        <w:rPr>
          <w:rFonts w:hint="eastAsia" w:ascii="宋体" w:hAnsi="宋体" w:eastAsia="宋体" w:cs="宋体"/>
          <w:b/>
          <w:color w:val="000000"/>
          <w:szCs w:val="21"/>
          <w:highlight w:val="none"/>
        </w:rPr>
        <w:t>【政府采购合同专用条款】</w:t>
      </w:r>
      <w:r>
        <w:rPr>
          <w:rFonts w:hint="eastAsia" w:ascii="宋体" w:hAnsi="宋体" w:eastAsia="宋体" w:cs="宋体"/>
          <w:bCs/>
          <w:color w:val="000000"/>
          <w:szCs w:val="21"/>
          <w:highlight w:val="none"/>
        </w:rPr>
        <w:t>另有</w:t>
      </w:r>
      <w:r>
        <w:rPr>
          <w:rFonts w:hint="eastAsia" w:ascii="宋体" w:hAnsi="宋体" w:eastAsia="宋体" w:cs="宋体"/>
          <w:bCs/>
          <w:color w:val="000000"/>
          <w:szCs w:val="21"/>
          <w:highlight w:val="none"/>
          <w:lang w:eastAsia="zh-CN"/>
        </w:rPr>
        <w:t>约</w:t>
      </w:r>
      <w:r>
        <w:rPr>
          <w:rFonts w:hint="eastAsia" w:ascii="宋体" w:hAnsi="宋体" w:eastAsia="宋体" w:cs="宋体"/>
          <w:bCs/>
          <w:color w:val="000000"/>
          <w:szCs w:val="21"/>
          <w:highlight w:val="none"/>
        </w:rPr>
        <w:t>定</w:t>
      </w:r>
      <w:r>
        <w:rPr>
          <w:rFonts w:hint="eastAsia" w:ascii="宋体" w:hAnsi="宋体" w:eastAsia="宋体" w:cs="宋体"/>
          <w:bCs/>
          <w:color w:val="000000"/>
          <w:szCs w:val="21"/>
          <w:highlight w:val="none"/>
          <w:lang w:eastAsia="zh-CN"/>
        </w:rPr>
        <w:t>外</w:t>
      </w:r>
      <w:r>
        <w:rPr>
          <w:rFonts w:hint="eastAsia" w:ascii="宋体" w:hAnsi="宋体" w:eastAsia="宋体" w:cs="宋体"/>
          <w:bCs/>
          <w:color w:val="000000"/>
          <w:szCs w:val="21"/>
          <w:highlight w:val="none"/>
        </w:rPr>
        <w:t>，</w:t>
      </w:r>
      <w:r>
        <w:rPr>
          <w:rFonts w:hint="eastAsia" w:ascii="宋体" w:hAnsi="宋体" w:eastAsia="宋体" w:cs="宋体"/>
          <w:color w:val="000000"/>
          <w:szCs w:val="21"/>
          <w:highlight w:val="none"/>
        </w:rPr>
        <w:t>乙方负责办理将货物运抵本合同规定的交货地点</w:t>
      </w:r>
      <w:r>
        <w:rPr>
          <w:rFonts w:hint="eastAsia" w:ascii="宋体" w:hAnsi="宋体" w:eastAsia="宋体" w:cs="宋体"/>
          <w:color w:val="000000"/>
          <w:szCs w:val="21"/>
          <w:highlight w:val="none"/>
          <w:lang w:eastAsia="zh-CN"/>
        </w:rPr>
        <w:t>，并装卸、交付至甲方</w:t>
      </w:r>
      <w:r>
        <w:rPr>
          <w:rFonts w:hint="eastAsia" w:ascii="宋体" w:hAnsi="宋体" w:eastAsia="宋体" w:cs="宋体"/>
          <w:color w:val="000000"/>
          <w:szCs w:val="21"/>
          <w:highlight w:val="none"/>
        </w:rPr>
        <w:t>的一切运输事项，相关费用应</w:t>
      </w:r>
      <w:r>
        <w:rPr>
          <w:rFonts w:hint="eastAsia" w:ascii="宋体" w:hAnsi="宋体" w:eastAsia="宋体" w:cs="宋体"/>
          <w:color w:val="000000"/>
          <w:szCs w:val="21"/>
          <w:highlight w:val="none"/>
          <w:lang w:eastAsia="zh-CN"/>
        </w:rPr>
        <w:t>包含</w:t>
      </w:r>
      <w:r>
        <w:rPr>
          <w:rFonts w:hint="eastAsia" w:ascii="宋体" w:hAnsi="宋体" w:eastAsia="宋体" w:cs="宋体"/>
          <w:color w:val="000000"/>
          <w:szCs w:val="21"/>
          <w:highlight w:val="none"/>
        </w:rPr>
        <w:t>在合同</w:t>
      </w:r>
      <w:r>
        <w:rPr>
          <w:rFonts w:hint="eastAsia" w:ascii="宋体" w:hAnsi="宋体" w:eastAsia="宋体" w:cs="宋体"/>
          <w:color w:val="000000"/>
          <w:szCs w:val="21"/>
          <w:highlight w:val="none"/>
          <w:lang w:eastAsia="zh-CN"/>
        </w:rPr>
        <w:t>价款</w:t>
      </w:r>
      <w:r>
        <w:rPr>
          <w:rFonts w:hint="eastAsia" w:ascii="宋体" w:hAnsi="宋体" w:eastAsia="宋体" w:cs="宋体"/>
          <w:color w:val="000000"/>
          <w:szCs w:val="21"/>
          <w:highlight w:val="none"/>
        </w:rPr>
        <w:t>中。</w:t>
      </w:r>
    </w:p>
    <w:p w14:paraId="58BE019B">
      <w:pPr>
        <w:shd w:val="clear" w:color="auto" w:fill="auto"/>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7</w:t>
      </w:r>
      <w:r>
        <w:rPr>
          <w:rFonts w:hint="eastAsia" w:ascii="宋体" w:hAnsi="宋体" w:eastAsia="宋体" w:cs="宋体"/>
          <w:color w:val="000000"/>
          <w:szCs w:val="21"/>
          <w:highlight w:val="none"/>
        </w:rPr>
        <w:t>.3 货物保险要求按</w:t>
      </w:r>
      <w:r>
        <w:rPr>
          <w:rFonts w:hint="eastAsia" w:ascii="宋体" w:hAnsi="宋体" w:eastAsia="宋体" w:cs="宋体"/>
          <w:b/>
          <w:color w:val="000000"/>
          <w:szCs w:val="21"/>
          <w:highlight w:val="none"/>
        </w:rPr>
        <w:t>【政府采购合同专用条款】</w:t>
      </w:r>
      <w:r>
        <w:rPr>
          <w:rFonts w:hint="eastAsia" w:ascii="宋体" w:hAnsi="宋体" w:eastAsia="宋体" w:cs="宋体"/>
          <w:bCs/>
          <w:color w:val="000000"/>
          <w:szCs w:val="21"/>
          <w:highlight w:val="none"/>
        </w:rPr>
        <w:t>规定执行</w:t>
      </w:r>
      <w:r>
        <w:rPr>
          <w:rFonts w:hint="eastAsia" w:ascii="宋体" w:hAnsi="宋体" w:eastAsia="宋体" w:cs="宋体"/>
          <w:color w:val="000000"/>
          <w:szCs w:val="21"/>
          <w:highlight w:val="none"/>
        </w:rPr>
        <w:t>。</w:t>
      </w:r>
    </w:p>
    <w:p w14:paraId="5632F0E4">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7</w:t>
      </w:r>
      <w:r>
        <w:rPr>
          <w:rFonts w:hint="eastAsia" w:ascii="宋体" w:hAnsi="宋体" w:eastAsia="宋体" w:cs="宋体"/>
          <w:color w:val="000000"/>
          <w:szCs w:val="21"/>
          <w:highlight w:val="none"/>
        </w:rPr>
        <w:t xml:space="preserve">.4 </w:t>
      </w:r>
      <w:r>
        <w:rPr>
          <w:rFonts w:hint="eastAsia" w:ascii="宋体" w:hAnsi="宋体" w:eastAsia="宋体" w:cs="宋体"/>
          <w:color w:val="000000"/>
          <w:szCs w:val="21"/>
          <w:highlight w:val="none"/>
          <w:lang w:val="en-US" w:eastAsia="zh-CN"/>
        </w:rPr>
        <w:t>除采购活动</w:t>
      </w:r>
      <w:r>
        <w:rPr>
          <w:rFonts w:hint="eastAsia" w:ascii="宋体" w:hAnsi="宋体" w:eastAsia="宋体" w:cs="宋体"/>
          <w:color w:val="000000"/>
          <w:szCs w:val="21"/>
          <w:highlight w:val="none"/>
        </w:rPr>
        <w:t>对商品包装</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快递包装</w:t>
      </w:r>
      <w:r>
        <w:rPr>
          <w:rFonts w:hint="eastAsia" w:ascii="宋体" w:hAnsi="宋体" w:eastAsia="宋体" w:cs="宋体"/>
          <w:color w:val="000000"/>
          <w:szCs w:val="21"/>
          <w:highlight w:val="none"/>
          <w:lang w:val="en-US" w:eastAsia="zh-CN"/>
        </w:rPr>
        <w:t>达成具体约定外</w:t>
      </w:r>
      <w:r>
        <w:rPr>
          <w:rFonts w:hint="eastAsia" w:ascii="宋体" w:hAnsi="宋体" w:eastAsia="宋体" w:cs="宋体"/>
          <w:color w:val="000000"/>
          <w:szCs w:val="21"/>
          <w:highlight w:val="none"/>
        </w:rPr>
        <w:t>，乙方提供产品及相关快递服务</w:t>
      </w:r>
      <w:r>
        <w:rPr>
          <w:rFonts w:hint="eastAsia" w:ascii="宋体" w:hAnsi="宋体" w:eastAsia="宋体" w:cs="宋体"/>
          <w:color w:val="000000"/>
          <w:szCs w:val="21"/>
          <w:highlight w:val="none"/>
          <w:lang w:val="en-US" w:eastAsia="zh-CN"/>
        </w:rPr>
        <w:t>涉及到</w:t>
      </w:r>
      <w:r>
        <w:rPr>
          <w:rFonts w:hint="eastAsia" w:ascii="宋体" w:hAnsi="宋体" w:eastAsia="宋体" w:cs="宋体"/>
          <w:color w:val="000000"/>
          <w:szCs w:val="21"/>
          <w:highlight w:val="none"/>
        </w:rPr>
        <w:t>具体包装要求</w:t>
      </w:r>
      <w:r>
        <w:rPr>
          <w:rFonts w:hint="eastAsia" w:ascii="宋体" w:hAnsi="宋体" w:eastAsia="宋体" w:cs="宋体"/>
          <w:color w:val="000000"/>
          <w:szCs w:val="21"/>
          <w:highlight w:val="none"/>
          <w:lang w:val="en-US" w:eastAsia="zh-CN"/>
        </w:rPr>
        <w:t>的，</w:t>
      </w:r>
      <w:r>
        <w:rPr>
          <w:rFonts w:hint="eastAsia" w:ascii="宋体" w:hAnsi="宋体" w:eastAsia="宋体" w:cs="宋体"/>
          <w:color w:val="000000"/>
          <w:szCs w:val="21"/>
          <w:highlight w:val="none"/>
        </w:rPr>
        <w:t>应</w:t>
      </w:r>
      <w:r>
        <w:rPr>
          <w:rFonts w:hint="eastAsia" w:ascii="宋体" w:hAnsi="宋体" w:eastAsia="宋体" w:cs="宋体"/>
          <w:color w:val="000000"/>
          <w:szCs w:val="21"/>
          <w:highlight w:val="none"/>
          <w:lang w:val="en-US" w:eastAsia="zh-CN"/>
        </w:rPr>
        <w:t>不低于</w:t>
      </w:r>
      <w:r>
        <w:rPr>
          <w:rFonts w:hint="eastAsia" w:ascii="宋体" w:hAnsi="宋体" w:eastAsia="宋体" w:cs="宋体"/>
          <w:color w:val="000000"/>
          <w:szCs w:val="21"/>
          <w:highlight w:val="none"/>
        </w:rPr>
        <w:t>《商品包装政府采购需求标准（试行）</w:t>
      </w:r>
      <w:r>
        <w:rPr>
          <w:rFonts w:hint="eastAsia" w:ascii="宋体" w:hAnsi="宋体" w:eastAsia="宋体" w:cs="宋体"/>
          <w:color w:val="000000"/>
          <w:szCs w:val="21"/>
          <w:highlight w:val="none"/>
          <w:lang w:eastAsia="zh-CN"/>
        </w:rPr>
        <w:t>》《</w:t>
      </w:r>
      <w:r>
        <w:rPr>
          <w:rFonts w:hint="eastAsia" w:ascii="宋体" w:hAnsi="宋体" w:eastAsia="宋体" w:cs="宋体"/>
          <w:color w:val="000000"/>
          <w:szCs w:val="21"/>
          <w:highlight w:val="none"/>
        </w:rPr>
        <w:t>快递包装政府采购需求标准（试行）》</w:t>
      </w:r>
      <w:r>
        <w:rPr>
          <w:rFonts w:hint="eastAsia" w:ascii="宋体" w:hAnsi="宋体" w:eastAsia="宋体" w:cs="宋体"/>
          <w:color w:val="000000"/>
          <w:szCs w:val="21"/>
          <w:highlight w:val="none"/>
          <w:lang w:val="en-US" w:eastAsia="zh-CN"/>
        </w:rPr>
        <w:t>标准</w:t>
      </w:r>
      <w:r>
        <w:rPr>
          <w:rFonts w:hint="eastAsia" w:ascii="宋体" w:hAnsi="宋体" w:eastAsia="宋体" w:cs="宋体"/>
          <w:color w:val="000000"/>
          <w:szCs w:val="21"/>
          <w:highlight w:val="none"/>
        </w:rPr>
        <w:t>，并作为履约验收的内容，必要时甲方可以要求乙方在履约验收环节出具检测报告。</w:t>
      </w:r>
    </w:p>
    <w:p w14:paraId="4F234973">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7.5 </w:t>
      </w:r>
      <w:r>
        <w:rPr>
          <w:rFonts w:hint="eastAsia" w:ascii="宋体" w:hAnsi="宋体" w:eastAsia="宋体" w:cs="宋体"/>
          <w:color w:val="000000"/>
          <w:szCs w:val="21"/>
        </w:rPr>
        <w:t>乙方在运输到达之前</w:t>
      </w:r>
      <w:r>
        <w:rPr>
          <w:rFonts w:hint="eastAsia" w:ascii="宋体" w:hAnsi="宋体" w:eastAsia="宋体" w:cs="宋体"/>
          <w:color w:val="000000"/>
          <w:szCs w:val="21"/>
          <w:lang w:eastAsia="zh-CN"/>
        </w:rPr>
        <w:t>应</w:t>
      </w:r>
      <w:r>
        <w:rPr>
          <w:rFonts w:hint="eastAsia" w:ascii="宋体" w:hAnsi="宋体" w:eastAsia="宋体" w:cs="宋体"/>
          <w:color w:val="000000"/>
          <w:szCs w:val="21"/>
        </w:rPr>
        <w:t>提前通知</w:t>
      </w:r>
      <w:r>
        <w:rPr>
          <w:rFonts w:hint="eastAsia" w:ascii="宋体" w:hAnsi="宋体" w:eastAsia="宋体" w:cs="宋体"/>
          <w:color w:val="000000"/>
          <w:szCs w:val="21"/>
          <w:lang w:eastAsia="zh-CN"/>
        </w:rPr>
        <w:t>甲方</w:t>
      </w:r>
      <w:r>
        <w:rPr>
          <w:rFonts w:hint="eastAsia" w:ascii="宋体" w:hAnsi="宋体" w:eastAsia="宋体" w:cs="宋体"/>
          <w:color w:val="000000"/>
          <w:szCs w:val="21"/>
        </w:rPr>
        <w:t>，并提示货物运输装卸的注意事项</w:t>
      </w:r>
      <w:r>
        <w:rPr>
          <w:rFonts w:hint="eastAsia" w:ascii="宋体" w:hAnsi="宋体" w:eastAsia="宋体" w:cs="宋体"/>
          <w:color w:val="000000"/>
          <w:szCs w:val="21"/>
          <w:lang w:eastAsia="zh-CN"/>
        </w:rPr>
        <w:t>，甲方配合乙方做好货物的接收工作。</w:t>
      </w:r>
    </w:p>
    <w:p w14:paraId="3DAF16C5">
      <w:pPr>
        <w:pStyle w:val="43"/>
        <w:shd w:val="clear" w:color="auto" w:fill="auto"/>
        <w:rPr>
          <w:rFonts w:hint="eastAsia" w:ascii="宋体" w:hAnsi="宋体" w:eastAsia="宋体" w:cs="宋体"/>
          <w:sz w:val="21"/>
          <w:lang w:val="en-US" w:eastAsia="zh-CN"/>
        </w:rPr>
      </w:pPr>
      <w:r>
        <w:rPr>
          <w:rFonts w:hint="eastAsia" w:ascii="宋体" w:hAnsi="宋体" w:eastAsia="宋体" w:cs="宋体"/>
          <w:color w:val="000000"/>
          <w:kern w:val="2"/>
          <w:sz w:val="21"/>
          <w:szCs w:val="21"/>
          <w:highlight w:val="none"/>
          <w:lang w:val="en-US" w:eastAsia="zh-CN"/>
        </w:rPr>
        <w:t xml:space="preserve">7.6 </w:t>
      </w:r>
      <w:r>
        <w:rPr>
          <w:rFonts w:hint="eastAsia" w:ascii="宋体" w:hAnsi="宋体" w:eastAsia="宋体" w:cs="宋体"/>
          <w:color w:val="000000"/>
          <w:kern w:val="2"/>
          <w:sz w:val="21"/>
          <w:szCs w:val="21"/>
          <w:highlight w:val="none"/>
        </w:rPr>
        <w:t>如因包装</w:t>
      </w:r>
      <w:r>
        <w:rPr>
          <w:rFonts w:hint="eastAsia" w:ascii="宋体" w:hAnsi="宋体" w:eastAsia="宋体" w:cs="宋体"/>
          <w:color w:val="000000"/>
          <w:kern w:val="2"/>
          <w:sz w:val="21"/>
          <w:szCs w:val="21"/>
          <w:highlight w:val="none"/>
          <w:lang w:eastAsia="zh-CN"/>
        </w:rPr>
        <w:t>、运输</w:t>
      </w:r>
      <w:r>
        <w:rPr>
          <w:rFonts w:hint="eastAsia" w:ascii="宋体" w:hAnsi="宋体" w:eastAsia="宋体" w:cs="宋体"/>
          <w:color w:val="000000"/>
          <w:kern w:val="2"/>
          <w:sz w:val="21"/>
          <w:szCs w:val="21"/>
          <w:highlight w:val="none"/>
        </w:rPr>
        <w:t>问题导致货物</w:t>
      </w:r>
      <w:r>
        <w:rPr>
          <w:rFonts w:hint="eastAsia" w:ascii="宋体" w:hAnsi="宋体" w:eastAsia="宋体" w:cs="宋体"/>
          <w:color w:val="000000"/>
          <w:kern w:val="2"/>
          <w:sz w:val="21"/>
          <w:szCs w:val="21"/>
          <w:highlight w:val="none"/>
          <w:lang w:eastAsia="zh-CN"/>
        </w:rPr>
        <w:t>损毁、丢失</w:t>
      </w:r>
      <w:r>
        <w:rPr>
          <w:rFonts w:hint="eastAsia" w:ascii="宋体" w:hAnsi="宋体" w:eastAsia="宋体" w:cs="宋体"/>
          <w:color w:val="000000"/>
          <w:kern w:val="2"/>
          <w:sz w:val="21"/>
          <w:szCs w:val="21"/>
          <w:highlight w:val="none"/>
        </w:rPr>
        <w:t>或者品质下降，</w:t>
      </w:r>
      <w:r>
        <w:rPr>
          <w:rFonts w:hint="eastAsia" w:ascii="宋体" w:hAnsi="宋体" w:eastAsia="宋体" w:cs="宋体"/>
          <w:color w:val="000000"/>
          <w:kern w:val="2"/>
          <w:sz w:val="21"/>
          <w:szCs w:val="21"/>
          <w:highlight w:val="none"/>
          <w:lang w:eastAsia="zh-CN"/>
        </w:rPr>
        <w:t>甲方</w:t>
      </w:r>
      <w:r>
        <w:rPr>
          <w:rFonts w:hint="eastAsia" w:ascii="宋体" w:hAnsi="宋体" w:eastAsia="宋体" w:cs="宋体"/>
          <w:color w:val="000000"/>
          <w:kern w:val="2"/>
          <w:sz w:val="21"/>
          <w:szCs w:val="21"/>
          <w:highlight w:val="none"/>
        </w:rPr>
        <w:t>有权要求降价、换货、拒收部分或整批货物，由此</w:t>
      </w:r>
      <w:r>
        <w:rPr>
          <w:rFonts w:hint="eastAsia" w:ascii="宋体" w:hAnsi="宋体" w:eastAsia="宋体" w:cs="宋体"/>
          <w:color w:val="000000"/>
          <w:kern w:val="2"/>
          <w:sz w:val="21"/>
          <w:szCs w:val="21"/>
          <w:highlight w:val="none"/>
          <w:lang w:eastAsia="zh-CN"/>
        </w:rPr>
        <w:t>产生</w:t>
      </w:r>
      <w:r>
        <w:rPr>
          <w:rFonts w:hint="eastAsia" w:ascii="宋体" w:hAnsi="宋体" w:eastAsia="宋体" w:cs="宋体"/>
          <w:color w:val="000000"/>
          <w:kern w:val="2"/>
          <w:sz w:val="21"/>
          <w:szCs w:val="21"/>
          <w:highlight w:val="none"/>
        </w:rPr>
        <w:t>的费用和损失，均由</w:t>
      </w:r>
      <w:r>
        <w:rPr>
          <w:rFonts w:hint="eastAsia" w:ascii="宋体" w:hAnsi="宋体" w:eastAsia="宋体" w:cs="宋体"/>
          <w:color w:val="000000"/>
          <w:kern w:val="2"/>
          <w:sz w:val="21"/>
          <w:szCs w:val="21"/>
          <w:highlight w:val="none"/>
          <w:lang w:eastAsia="zh-CN"/>
        </w:rPr>
        <w:t>乙方</w:t>
      </w:r>
      <w:r>
        <w:rPr>
          <w:rFonts w:hint="eastAsia" w:ascii="宋体" w:hAnsi="宋体" w:eastAsia="宋体" w:cs="宋体"/>
          <w:color w:val="000000"/>
          <w:kern w:val="2"/>
          <w:sz w:val="21"/>
          <w:szCs w:val="21"/>
          <w:highlight w:val="none"/>
        </w:rPr>
        <w:t>承担。</w:t>
      </w:r>
    </w:p>
    <w:p w14:paraId="753DBCC5">
      <w:pPr>
        <w:shd w:val="clear" w:color="auto" w:fill="auto"/>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000000"/>
          <w:sz w:val="24"/>
          <w:highlight w:val="none"/>
          <w:lang w:eastAsia="zh-CN"/>
        </w:rPr>
        <w:t>8</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auto"/>
          <w:sz w:val="24"/>
          <w:highlight w:val="none"/>
        </w:rPr>
        <w:t>质量标准和保证</w:t>
      </w:r>
    </w:p>
    <w:p w14:paraId="6F7DBFE8">
      <w:pPr>
        <w:pStyle w:val="15"/>
        <w:shd w:val="clear" w:color="auto" w:fill="auto"/>
        <w:adjustRightInd w:val="0"/>
        <w:snapToGrid w:val="0"/>
        <w:spacing w:before="0" w:line="400" w:lineRule="exact"/>
        <w:ind w:firstLine="420" w:firstLineChars="200"/>
        <w:jc w:val="left"/>
        <w:rPr>
          <w:rFonts w:hint="eastAsia" w:ascii="宋体" w:hAnsi="宋体" w:eastAsia="宋体" w:cs="宋体"/>
          <w:b/>
          <w:color w:val="auto"/>
          <w:highlight w:val="none"/>
        </w:rPr>
      </w:pPr>
      <w:r>
        <w:rPr>
          <w:rFonts w:hint="eastAsia" w:ascii="宋体" w:hAnsi="宋体" w:eastAsia="宋体" w:cs="宋体"/>
          <w:color w:val="auto"/>
          <w:highlight w:val="none"/>
          <w:lang w:eastAsia="zh-CN"/>
        </w:rPr>
        <w:t>8</w:t>
      </w:r>
      <w:r>
        <w:rPr>
          <w:rFonts w:hint="eastAsia" w:ascii="宋体" w:hAnsi="宋体" w:eastAsia="宋体" w:cs="宋体"/>
          <w:color w:val="auto"/>
          <w:highlight w:val="none"/>
        </w:rPr>
        <w:t>.1 质量标准</w:t>
      </w:r>
    </w:p>
    <w:p w14:paraId="4BDEC231">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（1）本合同下</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的货物应符合</w:t>
      </w:r>
      <w:r>
        <w:rPr>
          <w:rFonts w:hint="eastAsia" w:ascii="宋体" w:hAnsi="宋体" w:eastAsia="宋体" w:cs="宋体"/>
          <w:color w:val="auto"/>
          <w:szCs w:val="21"/>
          <w:highlight w:val="none"/>
          <w:lang w:eastAsia="zh-CN"/>
        </w:rPr>
        <w:t>合同</w:t>
      </w:r>
      <w:r>
        <w:rPr>
          <w:rFonts w:hint="eastAsia" w:ascii="宋体" w:hAnsi="宋体" w:eastAsia="宋体" w:cs="宋体"/>
          <w:color w:val="000000"/>
          <w:szCs w:val="21"/>
          <w:lang w:eastAsia="zh-CN"/>
        </w:rPr>
        <w:t>约</w:t>
      </w:r>
      <w:r>
        <w:rPr>
          <w:rFonts w:hint="eastAsia" w:ascii="宋体" w:hAnsi="宋体" w:eastAsia="宋体" w:cs="宋体"/>
          <w:color w:val="000000"/>
          <w:szCs w:val="21"/>
        </w:rPr>
        <w:t>定的</w:t>
      </w:r>
      <w:r>
        <w:rPr>
          <w:rFonts w:hint="eastAsia" w:ascii="宋体" w:hAnsi="宋体" w:eastAsia="宋体" w:cs="宋体"/>
          <w:szCs w:val="21"/>
        </w:rPr>
        <w:t>品牌、规格型号、技术性能、配置、质量、数量等要求。</w:t>
      </w:r>
      <w:r>
        <w:rPr>
          <w:rFonts w:hint="eastAsia" w:ascii="宋体" w:hAnsi="宋体" w:eastAsia="宋体" w:cs="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w:t>
      </w:r>
    </w:p>
    <w:p w14:paraId="56CD90A5">
      <w:pPr>
        <w:pStyle w:val="15"/>
        <w:shd w:val="clear" w:color="auto" w:fill="auto"/>
        <w:adjustRightInd w:val="0"/>
        <w:snapToGrid w:val="0"/>
        <w:spacing w:before="0"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（2）采用中华人民共和国法定计量单位。</w:t>
      </w:r>
    </w:p>
    <w:p w14:paraId="79B2DAA7">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（3）乙方所</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的货物应符合国家有关安全、环保、卫生</w:t>
      </w:r>
      <w:r>
        <w:rPr>
          <w:rFonts w:hint="eastAsia" w:ascii="宋体" w:hAnsi="宋体" w:eastAsia="宋体" w:cs="宋体"/>
          <w:color w:val="auto"/>
          <w:szCs w:val="21"/>
          <w:highlight w:val="none"/>
          <w:lang w:eastAsia="zh-CN"/>
        </w:rPr>
        <w:t>的</w:t>
      </w:r>
      <w:r>
        <w:rPr>
          <w:rFonts w:hint="eastAsia" w:ascii="宋体" w:hAnsi="宋体" w:eastAsia="宋体" w:cs="宋体"/>
          <w:color w:val="auto"/>
          <w:szCs w:val="21"/>
          <w:highlight w:val="none"/>
        </w:rPr>
        <w:t>规定。</w:t>
      </w:r>
    </w:p>
    <w:p w14:paraId="37B5253C">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（4）乙方应向甲方提交所</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等</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上述</w:t>
      </w:r>
      <w:r>
        <w:rPr>
          <w:rFonts w:hint="eastAsia" w:ascii="宋体" w:hAnsi="宋体" w:eastAsia="宋体" w:cs="宋体"/>
          <w:color w:val="auto"/>
          <w:szCs w:val="21"/>
          <w:highlight w:val="none"/>
        </w:rPr>
        <w:t>文件应包装好随货物一同发运。</w:t>
      </w:r>
    </w:p>
    <w:p w14:paraId="5EE68524">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8</w:t>
      </w:r>
      <w:r>
        <w:rPr>
          <w:rFonts w:hint="eastAsia" w:ascii="宋体" w:hAnsi="宋体" w:eastAsia="宋体" w:cs="宋体"/>
          <w:color w:val="auto"/>
          <w:szCs w:val="21"/>
          <w:highlight w:val="none"/>
        </w:rPr>
        <w:t>.2 保证</w:t>
      </w:r>
    </w:p>
    <w:p w14:paraId="13348D39">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（1）乙方应保证</w:t>
      </w:r>
      <w:r>
        <w:rPr>
          <w:rFonts w:hint="eastAsia" w:ascii="宋体" w:hAnsi="宋体" w:eastAsia="宋体" w:cs="宋体"/>
          <w:color w:val="auto"/>
          <w:szCs w:val="21"/>
          <w:highlight w:val="none"/>
          <w:lang w:eastAsia="zh-CN"/>
        </w:rPr>
        <w:t>提供的货物</w:t>
      </w:r>
      <w:r>
        <w:rPr>
          <w:rFonts w:hint="eastAsia" w:ascii="宋体" w:hAnsi="宋体" w:eastAsia="宋体" w:cs="宋体"/>
          <w:color w:val="auto"/>
          <w:szCs w:val="21"/>
          <w:highlight w:val="none"/>
        </w:rPr>
        <w:t>完全符合合同规定的质量、规格和性能要求。乙方应保证货物在正确安装、正常使用和保养条件下，</w:t>
      </w:r>
      <w:r>
        <w:rPr>
          <w:rFonts w:hint="eastAsia" w:ascii="宋体" w:hAnsi="宋体" w:eastAsia="宋体" w:cs="宋体"/>
          <w:szCs w:val="21"/>
        </w:rPr>
        <w:t>在其使用寿命期内具</w:t>
      </w:r>
      <w:r>
        <w:rPr>
          <w:rFonts w:hint="eastAsia" w:ascii="宋体" w:hAnsi="宋体" w:eastAsia="宋体" w:cs="宋体"/>
          <w:szCs w:val="21"/>
          <w:lang w:eastAsia="zh-CN"/>
        </w:rPr>
        <w:t>备合同约定</w:t>
      </w:r>
      <w:r>
        <w:rPr>
          <w:rFonts w:hint="eastAsia" w:ascii="宋体" w:hAnsi="宋体" w:eastAsia="宋体" w:cs="宋体"/>
          <w:szCs w:val="21"/>
        </w:rPr>
        <w:t>的性能</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zh-CN"/>
        </w:rPr>
        <w:t>存在</w:t>
      </w:r>
      <w:r>
        <w:rPr>
          <w:rFonts w:hint="eastAsia" w:ascii="宋体" w:hAnsi="宋体" w:eastAsia="宋体" w:cs="宋体"/>
          <w:color w:val="auto"/>
          <w:szCs w:val="21"/>
          <w:highlight w:val="none"/>
        </w:rPr>
        <w:t>质量保证期的，货物最终交付验收</w:t>
      </w:r>
      <w:r>
        <w:rPr>
          <w:rFonts w:hint="eastAsia" w:ascii="宋体" w:hAnsi="宋体" w:eastAsia="宋体" w:cs="宋体"/>
          <w:color w:val="auto"/>
          <w:szCs w:val="21"/>
          <w:highlight w:val="none"/>
          <w:lang w:eastAsia="zh-CN"/>
        </w:rPr>
        <w:t>合格</w:t>
      </w:r>
      <w:r>
        <w:rPr>
          <w:rFonts w:hint="eastAsia" w:ascii="宋体" w:hAnsi="宋体" w:eastAsia="宋体" w:cs="宋体"/>
          <w:color w:val="auto"/>
          <w:szCs w:val="21"/>
          <w:highlight w:val="none"/>
        </w:rPr>
        <w:t>后</w:t>
      </w:r>
      <w:r>
        <w:rPr>
          <w:rFonts w:hint="eastAsia" w:ascii="宋体" w:hAnsi="宋体" w:eastAsia="宋体" w:cs="宋体"/>
          <w:color w:val="auto"/>
          <w:szCs w:val="21"/>
          <w:highlight w:val="none"/>
          <w:lang w:eastAsia="zh-CN"/>
        </w:rPr>
        <w:t>在</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规定或乙方</w:t>
      </w:r>
      <w:r>
        <w:rPr>
          <w:rFonts w:hint="eastAsia" w:ascii="宋体" w:hAnsi="宋体" w:eastAsia="宋体" w:cs="宋体"/>
          <w:color w:val="auto"/>
          <w:szCs w:val="21"/>
          <w:highlight w:val="none"/>
          <w:lang w:eastAsia="zh-CN"/>
        </w:rPr>
        <w:t>书面</w:t>
      </w:r>
      <w:r>
        <w:rPr>
          <w:rFonts w:hint="eastAsia" w:ascii="宋体" w:hAnsi="宋体" w:eastAsia="宋体" w:cs="宋体"/>
          <w:color w:val="auto"/>
          <w:szCs w:val="21"/>
          <w:highlight w:val="none"/>
        </w:rPr>
        <w:t>承诺（两者以较长的为准）的质量保证期内，本保证保持有效。</w:t>
      </w:r>
    </w:p>
    <w:p w14:paraId="3205D1E7">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（2）在质量保证期内所发现的缺陷，甲方应尽快以书面形式通知乙方。</w:t>
      </w:r>
    </w:p>
    <w:p w14:paraId="6BE0D9DE">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（3）乙方收到通知后</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应在</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规定的响应时间内以合理的速度免费维修或更换有缺陷的货物或部件。</w:t>
      </w:r>
    </w:p>
    <w:p w14:paraId="54E0A308">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highlight w:val="none"/>
          <w:lang w:val="en-US" w:eastAsia="zh-CN"/>
        </w:rPr>
        <w:t>5</w:t>
      </w:r>
      <w:r>
        <w:rPr>
          <w:rFonts w:hint="eastAsia" w:ascii="宋体" w:hAnsi="宋体" w:eastAsia="宋体" w:cs="宋体"/>
          <w:color w:val="auto"/>
          <w:szCs w:val="21"/>
          <w:highlight w:val="none"/>
        </w:rPr>
        <w:t>.1条规定以书面形式</w:t>
      </w:r>
      <w:r>
        <w:rPr>
          <w:rFonts w:hint="eastAsia" w:ascii="宋体" w:hAnsi="宋体" w:eastAsia="宋体" w:cs="宋体"/>
          <w:color w:val="000000"/>
          <w:szCs w:val="21"/>
          <w:highlight w:val="none"/>
          <w:lang w:eastAsia="zh-CN"/>
        </w:rPr>
        <w:t>追究</w:t>
      </w:r>
      <w:r>
        <w:rPr>
          <w:rFonts w:hint="eastAsia" w:ascii="宋体" w:hAnsi="宋体" w:eastAsia="宋体" w:cs="宋体"/>
          <w:color w:val="auto"/>
          <w:szCs w:val="21"/>
          <w:highlight w:val="none"/>
        </w:rPr>
        <w:t>乙方</w:t>
      </w:r>
      <w:r>
        <w:rPr>
          <w:rFonts w:hint="eastAsia" w:ascii="宋体" w:hAnsi="宋体" w:eastAsia="宋体" w:cs="宋体"/>
          <w:color w:val="000000"/>
          <w:szCs w:val="21"/>
          <w:highlight w:val="none"/>
          <w:lang w:eastAsia="zh-CN"/>
        </w:rPr>
        <w:t>的违约责任</w:t>
      </w:r>
      <w:r>
        <w:rPr>
          <w:rFonts w:hint="eastAsia" w:ascii="宋体" w:hAnsi="宋体" w:eastAsia="宋体" w:cs="宋体"/>
          <w:color w:val="auto"/>
          <w:szCs w:val="21"/>
          <w:highlight w:val="none"/>
        </w:rPr>
        <w:t>。</w:t>
      </w:r>
    </w:p>
    <w:p w14:paraId="588563A1">
      <w:pPr>
        <w:shd w:val="clear" w:color="auto" w:fill="auto"/>
        <w:adjustRightInd w:val="0"/>
        <w:snapToGrid w:val="0"/>
        <w:spacing w:before="0" w:line="400" w:lineRule="exact"/>
        <w:ind w:firstLine="420" w:firstLineChars="200"/>
        <w:jc w:val="left"/>
        <w:rPr>
          <w:rFonts w:hint="eastAsia" w:ascii="宋体" w:hAnsi="宋体" w:eastAsia="宋体" w:cs="宋体"/>
          <w:color w:val="auto"/>
          <w:highlight w:val="none"/>
        </w:rPr>
      </w:pPr>
      <w:r>
        <w:rPr>
          <w:rFonts w:hint="eastAsia" w:ascii="宋体" w:hAnsi="宋体" w:eastAsia="宋体" w:cs="宋体"/>
          <w:color w:val="auto"/>
          <w:szCs w:val="21"/>
          <w:highlight w:val="none"/>
        </w:rPr>
        <w:t>（5）乙方在约定的时间内未能弥补缺陷，甲方可采取必要的补救措施，但其风险和费用将由乙方承担，甲方根据合同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约定</w:t>
      </w:r>
      <w:r>
        <w:rPr>
          <w:rFonts w:hint="eastAsia" w:ascii="宋体" w:hAnsi="宋体" w:eastAsia="宋体" w:cs="宋体"/>
          <w:color w:val="auto"/>
          <w:szCs w:val="21"/>
          <w:highlight w:val="none"/>
        </w:rPr>
        <w:t>对乙方行使的其他权利不受影响。</w:t>
      </w:r>
    </w:p>
    <w:p w14:paraId="28A6C1AF">
      <w:pPr>
        <w:shd w:val="clear" w:color="auto" w:fill="auto"/>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000000"/>
          <w:sz w:val="24"/>
          <w:highlight w:val="none"/>
          <w:lang w:eastAsia="zh-CN"/>
        </w:rPr>
        <w:t>9</w:t>
      </w:r>
      <w:r>
        <w:rPr>
          <w:rFonts w:hint="eastAsia" w:ascii="宋体" w:hAnsi="宋体" w:eastAsia="宋体" w:cs="宋体"/>
          <w:b/>
          <w:bCs/>
          <w:color w:val="auto"/>
          <w:sz w:val="24"/>
          <w:highlight w:val="none"/>
        </w:rPr>
        <w:t>.</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auto"/>
          <w:sz w:val="24"/>
          <w:highlight w:val="none"/>
        </w:rPr>
        <w:t>权利瑕疵担保</w:t>
      </w:r>
    </w:p>
    <w:p w14:paraId="746A31A3">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9</w:t>
      </w:r>
      <w:r>
        <w:rPr>
          <w:rFonts w:hint="eastAsia" w:ascii="宋体" w:hAnsi="宋体" w:eastAsia="宋体" w:cs="宋体"/>
          <w:color w:val="000000"/>
          <w:szCs w:val="21"/>
          <w:highlight w:val="none"/>
        </w:rPr>
        <w:t>.1 乙方保证对其出售的货物享有合法的权利。</w:t>
      </w:r>
    </w:p>
    <w:p w14:paraId="1AA62E37">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9</w:t>
      </w:r>
      <w:r>
        <w:rPr>
          <w:rFonts w:hint="eastAsia" w:ascii="宋体" w:hAnsi="宋体" w:eastAsia="宋体" w:cs="宋体"/>
          <w:color w:val="000000"/>
          <w:szCs w:val="21"/>
          <w:highlight w:val="none"/>
        </w:rPr>
        <w:t xml:space="preserve">.2 </w:t>
      </w:r>
      <w:r>
        <w:rPr>
          <w:rFonts w:hint="eastAsia" w:ascii="宋体" w:hAnsi="宋体" w:eastAsia="宋体" w:cs="宋体"/>
          <w:szCs w:val="15"/>
        </w:rPr>
        <w:t>乙方保证在交付的货物上不存在抵押权等担保物权。</w:t>
      </w:r>
    </w:p>
    <w:p w14:paraId="7FE3F18C">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9</w:t>
      </w:r>
      <w:r>
        <w:rPr>
          <w:rFonts w:hint="eastAsia" w:ascii="宋体" w:hAnsi="宋体" w:eastAsia="宋体" w:cs="宋体"/>
          <w:color w:val="000000"/>
          <w:szCs w:val="21"/>
          <w:highlight w:val="none"/>
        </w:rPr>
        <w:t>.3 如甲方使用</w:t>
      </w:r>
      <w:r>
        <w:rPr>
          <w:rFonts w:hint="eastAsia" w:ascii="宋体" w:hAnsi="宋体" w:eastAsia="宋体" w:cs="宋体"/>
          <w:color w:val="000000"/>
          <w:szCs w:val="21"/>
          <w:highlight w:val="none"/>
          <w:lang w:val="en-US" w:eastAsia="zh-CN"/>
        </w:rPr>
        <w:t>上述</w:t>
      </w:r>
      <w:r>
        <w:rPr>
          <w:rFonts w:hint="eastAsia" w:ascii="宋体" w:hAnsi="宋体" w:eastAsia="宋体" w:cs="宋体"/>
          <w:color w:val="000000"/>
          <w:szCs w:val="21"/>
          <w:highlight w:val="none"/>
        </w:rPr>
        <w:t>货物构成</w:t>
      </w:r>
      <w:r>
        <w:rPr>
          <w:rFonts w:hint="eastAsia" w:ascii="宋体" w:hAnsi="宋体" w:eastAsia="宋体" w:cs="宋体"/>
          <w:color w:val="000000"/>
          <w:szCs w:val="21"/>
          <w:highlight w:val="none"/>
          <w:lang w:val="en-US" w:eastAsia="zh-CN"/>
        </w:rPr>
        <w:t>对第三人</w:t>
      </w:r>
      <w:r>
        <w:rPr>
          <w:rFonts w:hint="eastAsia" w:ascii="宋体" w:hAnsi="宋体" w:eastAsia="宋体" w:cs="宋体"/>
          <w:color w:val="000000"/>
          <w:szCs w:val="21"/>
          <w:highlight w:val="none"/>
        </w:rPr>
        <w:t>侵权的，则由乙方承担全部责任。</w:t>
      </w:r>
    </w:p>
    <w:p w14:paraId="4FC3E008">
      <w:pPr>
        <w:shd w:val="clear" w:color="auto" w:fill="auto"/>
        <w:autoSpaceDE w:val="0"/>
        <w:autoSpaceDN w:val="0"/>
        <w:adjustRightInd w:val="0"/>
        <w:snapToGrid w:val="0"/>
        <w:spacing w:before="0" w:line="400" w:lineRule="exact"/>
        <w:jc w:val="left"/>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1</w:t>
      </w:r>
      <w:r>
        <w:rPr>
          <w:rFonts w:hint="eastAsia" w:ascii="宋体" w:hAnsi="宋体" w:eastAsia="宋体" w:cs="宋体"/>
          <w:b/>
          <w:bCs/>
          <w:color w:val="000000"/>
          <w:sz w:val="24"/>
          <w:highlight w:val="none"/>
          <w:lang w:eastAsia="zh-CN"/>
        </w:rPr>
        <w:t>0</w:t>
      </w:r>
      <w:r>
        <w:rPr>
          <w:rFonts w:hint="eastAsia" w:ascii="宋体" w:hAnsi="宋体" w:eastAsia="宋体" w:cs="宋体"/>
          <w:b/>
          <w:bCs/>
          <w:color w:val="000000"/>
          <w:sz w:val="24"/>
          <w:highlight w:val="none"/>
        </w:rPr>
        <w:t>.</w:t>
      </w:r>
      <w:r>
        <w:rPr>
          <w:rFonts w:hint="eastAsia" w:ascii="宋体" w:hAnsi="宋体" w:eastAsia="宋体" w:cs="宋体"/>
          <w:b/>
          <w:bCs/>
          <w:color w:val="000000"/>
          <w:sz w:val="24"/>
          <w:highlight w:val="none"/>
          <w:lang w:val="en-US" w:eastAsia="zh-CN"/>
        </w:rPr>
        <w:t xml:space="preserve"> </w:t>
      </w:r>
      <w:r>
        <w:rPr>
          <w:rFonts w:hint="eastAsia" w:ascii="宋体" w:hAnsi="宋体" w:eastAsia="宋体" w:cs="宋体"/>
          <w:b/>
          <w:bCs/>
          <w:color w:val="000000"/>
          <w:sz w:val="24"/>
          <w:highlight w:val="none"/>
        </w:rPr>
        <w:t>知识产权保护</w:t>
      </w:r>
    </w:p>
    <w:p w14:paraId="609B7866">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000000"/>
          <w:szCs w:val="21"/>
          <w:highlight w:val="none"/>
        </w:rPr>
        <w:t>1</w:t>
      </w:r>
      <w:r>
        <w:rPr>
          <w:rFonts w:hint="eastAsia" w:ascii="宋体" w:hAnsi="宋体" w:eastAsia="宋体" w:cs="宋体"/>
          <w:color w:val="000000"/>
          <w:szCs w:val="21"/>
          <w:highlight w:val="none"/>
          <w:lang w:eastAsia="zh-CN"/>
        </w:rPr>
        <w:t>0</w:t>
      </w:r>
      <w:r>
        <w:rPr>
          <w:rFonts w:hint="eastAsia" w:ascii="宋体" w:hAnsi="宋体" w:eastAsia="宋体" w:cs="宋体"/>
          <w:color w:val="000000"/>
          <w:szCs w:val="21"/>
          <w:highlight w:val="none"/>
        </w:rPr>
        <w:t>.1 乙方对其所销售的货物应当享有知识产权或经权利人合法授权，保证没有侵犯任</w:t>
      </w:r>
      <w:r>
        <w:rPr>
          <w:rFonts w:hint="eastAsia" w:ascii="宋体" w:hAnsi="宋体" w:eastAsia="宋体" w:cs="宋体"/>
          <w:color w:val="auto"/>
          <w:szCs w:val="21"/>
          <w:highlight w:val="none"/>
        </w:rPr>
        <w:t>何第三人的知识产权等权利。</w:t>
      </w:r>
      <w:bookmarkStart w:id="214" w:name="_Hlk163047038"/>
      <w:r>
        <w:rPr>
          <w:rFonts w:hint="eastAsia" w:ascii="宋体" w:hAnsi="宋体" w:eastAsia="宋体" w:cs="宋体"/>
          <w:szCs w:val="15"/>
        </w:rPr>
        <w:t>因违反前述约定对第三人构成侵权的，应当由乙方向第三人承担法律责任；甲方依法向第三人赔偿后，有权向乙方追偿。甲方有其他损失的，乙方应当赔偿</w:t>
      </w:r>
      <w:bookmarkEnd w:id="214"/>
      <w:r>
        <w:rPr>
          <w:rFonts w:hint="eastAsia" w:ascii="宋体" w:hAnsi="宋体" w:eastAsia="宋体" w:cs="宋体"/>
          <w:color w:val="auto"/>
          <w:szCs w:val="21"/>
          <w:highlight w:val="none"/>
        </w:rPr>
        <w:t>。</w:t>
      </w:r>
    </w:p>
    <w:p w14:paraId="657FC9F6">
      <w:pPr>
        <w:shd w:val="clear" w:color="auto" w:fill="auto"/>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1</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保密义务</w:t>
      </w:r>
    </w:p>
    <w:p w14:paraId="7180F141">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szCs w:val="15"/>
        </w:rPr>
      </w:pPr>
      <w:r>
        <w:rPr>
          <w:rFonts w:hint="eastAsia" w:ascii="宋体" w:hAnsi="宋体" w:eastAsia="宋体" w:cs="宋体"/>
          <w:szCs w:val="15"/>
          <w:lang w:val="en-US" w:eastAsia="zh-CN"/>
        </w:rPr>
        <w:t xml:space="preserve">11.1 </w:t>
      </w:r>
      <w:r>
        <w:rPr>
          <w:rFonts w:hint="eastAsia" w:ascii="宋体" w:hAnsi="宋体" w:eastAsia="宋体" w:cs="宋体"/>
          <w:szCs w:val="15"/>
        </w:rPr>
        <w:t>甲、乙双方</w:t>
      </w:r>
      <w:r>
        <w:rPr>
          <w:rFonts w:hint="eastAsia" w:ascii="宋体" w:hAnsi="宋体" w:eastAsia="宋体" w:cs="宋体"/>
          <w:szCs w:val="15"/>
          <w:lang w:eastAsia="zh-CN"/>
        </w:rPr>
        <w:t>对</w:t>
      </w:r>
      <w:r>
        <w:rPr>
          <w:rFonts w:hint="eastAsia" w:ascii="宋体" w:hAnsi="宋体" w:eastAsia="宋体" w:cs="宋体"/>
          <w:szCs w:val="15"/>
        </w:rPr>
        <w:t>采购和合同履行过程中所获悉的</w:t>
      </w:r>
      <w:r>
        <w:rPr>
          <w:rFonts w:hint="eastAsia" w:ascii="宋体" w:hAnsi="宋体" w:eastAsia="宋体" w:cs="宋体"/>
          <w:szCs w:val="15"/>
          <w:lang w:eastAsia="zh-CN"/>
        </w:rPr>
        <w:t>国家秘密、工作秘密、</w:t>
      </w:r>
      <w:r>
        <w:rPr>
          <w:rFonts w:hint="eastAsia" w:ascii="宋体" w:hAnsi="宋体" w:eastAsia="宋体" w:cs="宋体"/>
          <w:szCs w:val="15"/>
        </w:rPr>
        <w:t>商业秘密或者其他应当保密的信息，均有保密义务</w:t>
      </w:r>
      <w:r>
        <w:rPr>
          <w:rFonts w:hint="eastAsia" w:ascii="宋体" w:hAnsi="宋体" w:eastAsia="宋体" w:cs="宋体"/>
          <w:szCs w:val="15"/>
          <w:lang w:eastAsia="zh-CN"/>
        </w:rPr>
        <w:t>且不受合同有效期所限，直至该信息成为公开信息</w:t>
      </w:r>
      <w:r>
        <w:rPr>
          <w:rFonts w:hint="eastAsia" w:ascii="宋体" w:hAnsi="宋体" w:eastAsia="宋体" w:cs="宋体"/>
          <w:szCs w:val="15"/>
        </w:rPr>
        <w:t>。泄露、不正当地使用</w:t>
      </w:r>
      <w:r>
        <w:rPr>
          <w:rFonts w:hint="eastAsia" w:ascii="宋体" w:hAnsi="宋体" w:eastAsia="宋体" w:cs="宋体"/>
          <w:szCs w:val="15"/>
          <w:lang w:eastAsia="zh-CN"/>
        </w:rPr>
        <w:t>国家秘密、工作秘密、</w:t>
      </w:r>
      <w:r>
        <w:rPr>
          <w:rFonts w:hint="eastAsia" w:ascii="宋体" w:hAnsi="宋体" w:eastAsia="宋体" w:cs="宋体"/>
          <w:szCs w:val="15"/>
        </w:rPr>
        <w:t>商业秘密或者</w:t>
      </w:r>
      <w:r>
        <w:rPr>
          <w:rFonts w:hint="eastAsia" w:ascii="宋体" w:hAnsi="宋体" w:eastAsia="宋体" w:cs="宋体"/>
          <w:szCs w:val="15"/>
          <w:lang w:eastAsia="zh-CN"/>
        </w:rPr>
        <w:t>其他应当保密的</w:t>
      </w:r>
      <w:r>
        <w:rPr>
          <w:rFonts w:hint="eastAsia" w:ascii="宋体" w:hAnsi="宋体" w:eastAsia="宋体" w:cs="宋体"/>
          <w:szCs w:val="15"/>
        </w:rPr>
        <w:t>信息，应当承担</w:t>
      </w:r>
      <w:r>
        <w:rPr>
          <w:rFonts w:hint="eastAsia" w:ascii="宋体" w:hAnsi="宋体" w:eastAsia="宋体" w:cs="宋体"/>
          <w:szCs w:val="15"/>
          <w:lang w:eastAsia="zh-CN"/>
        </w:rPr>
        <w:t>相应</w:t>
      </w:r>
      <w:r>
        <w:rPr>
          <w:rFonts w:hint="eastAsia" w:ascii="宋体" w:hAnsi="宋体" w:eastAsia="宋体" w:cs="宋体"/>
          <w:szCs w:val="15"/>
        </w:rPr>
        <w:t>责任。其他应当保密的信息由双方在</w:t>
      </w:r>
      <w:r>
        <w:rPr>
          <w:rFonts w:hint="eastAsia" w:ascii="宋体" w:hAnsi="宋体" w:eastAsia="宋体" w:cs="宋体"/>
          <w:b/>
          <w:bCs/>
          <w:szCs w:val="15"/>
        </w:rPr>
        <w:t>【政府采购合同专用条款】</w:t>
      </w:r>
      <w:r>
        <w:rPr>
          <w:rFonts w:hint="eastAsia" w:ascii="宋体" w:hAnsi="宋体" w:eastAsia="宋体" w:cs="宋体"/>
          <w:szCs w:val="15"/>
        </w:rPr>
        <w:t>中约定。</w:t>
      </w:r>
    </w:p>
    <w:p w14:paraId="3E29EEFD">
      <w:pPr>
        <w:shd w:val="clear" w:color="auto" w:fill="auto"/>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2</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合同价款支付</w:t>
      </w:r>
    </w:p>
    <w:p w14:paraId="7143003D">
      <w:pPr>
        <w:shd w:val="clear" w:color="auto" w:fill="auto"/>
        <w:autoSpaceDE/>
        <w:autoSpaceDN/>
        <w:adjustRightInd w:val="0"/>
        <w:snapToGrid w:val="0"/>
        <w:spacing w:before="0" w:line="400" w:lineRule="exact"/>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合同价款支付</w:t>
      </w:r>
      <w:r>
        <w:rPr>
          <w:rFonts w:hint="eastAsia" w:ascii="宋体" w:hAnsi="宋体" w:eastAsia="宋体" w:cs="宋体"/>
          <w:color w:val="auto"/>
          <w:szCs w:val="21"/>
          <w:highlight w:val="none"/>
        </w:rPr>
        <w:t>按照国库集中支付</w:t>
      </w:r>
      <w:r>
        <w:rPr>
          <w:rFonts w:hint="eastAsia" w:ascii="宋体" w:hAnsi="宋体" w:eastAsia="宋体" w:cs="宋体"/>
          <w:color w:val="auto"/>
          <w:szCs w:val="21"/>
          <w:highlight w:val="none"/>
          <w:lang w:eastAsia="zh-CN"/>
        </w:rPr>
        <w:t>制度及财政管理相关</w:t>
      </w:r>
      <w:r>
        <w:rPr>
          <w:rFonts w:hint="eastAsia" w:ascii="宋体" w:hAnsi="宋体" w:eastAsia="宋体" w:cs="宋体"/>
          <w:color w:val="auto"/>
          <w:szCs w:val="21"/>
          <w:highlight w:val="none"/>
        </w:rPr>
        <w:t>规定执行。</w:t>
      </w:r>
    </w:p>
    <w:p w14:paraId="519A32E2">
      <w:pPr>
        <w:shd w:val="clear" w:color="auto" w:fill="auto"/>
        <w:autoSpaceDE/>
        <w:autoSpaceDN/>
        <w:adjustRightInd w:val="0"/>
        <w:snapToGrid w:val="0"/>
        <w:spacing w:before="0" w:line="400" w:lineRule="exact"/>
        <w:ind w:firstLine="420" w:firstLineChars="200"/>
        <w:jc w:val="left"/>
        <w:rPr>
          <w:rFonts w:hint="eastAsia" w:ascii="宋体" w:hAnsi="宋体" w:eastAsia="宋体" w:cs="宋体"/>
          <w:color w:val="auto"/>
          <w:highlight w:val="none"/>
          <w:lang w:eastAsia="zh-CN"/>
        </w:rPr>
      </w:pPr>
      <w:r>
        <w:rPr>
          <w:rFonts w:hint="eastAsia" w:ascii="宋体" w:hAnsi="宋体" w:eastAsia="宋体" w:cs="宋体"/>
          <w:color w:val="auto"/>
          <w:szCs w:val="21"/>
          <w:highlight w:val="none"/>
          <w:lang w:val="en-US" w:eastAsia="zh-CN"/>
        </w:rPr>
        <w:t>12</w:t>
      </w:r>
      <w:r>
        <w:rPr>
          <w:rFonts w:hint="eastAsia" w:ascii="宋体" w:hAnsi="宋体" w:eastAsia="宋体" w:cs="宋体"/>
          <w:b w:val="0"/>
          <w:bCs w:val="0"/>
          <w:color w:val="auto"/>
          <w:kern w:val="2"/>
          <w:sz w:val="21"/>
          <w:szCs w:val="21"/>
          <w:highlight w:val="none"/>
          <w:lang w:val="en-US" w:eastAsia="zh-CN" w:bidi="ar-SA"/>
        </w:rPr>
        <w:t>.2 对于满足合同约定支付条件的，甲方原则上应当自收到发票后10个工作日内将资金支付到合同约定的乙方账户，不得以机构变动、人员更替、政策调整等为由迟延付款，不得将采购文件和合同中未规定的义</w:t>
      </w:r>
      <w:r>
        <w:rPr>
          <w:rFonts w:hint="eastAsia" w:ascii="宋体" w:hAnsi="宋体" w:eastAsia="宋体" w:cs="宋体"/>
          <w:b w:val="0"/>
          <w:bCs w:val="0"/>
          <w:color w:val="auto"/>
          <w:kern w:val="2"/>
          <w:sz w:val="21"/>
          <w:szCs w:val="21"/>
          <w:highlight w:val="none"/>
        </w:rPr>
        <w:t>务作为向</w:t>
      </w:r>
      <w:r>
        <w:rPr>
          <w:rFonts w:hint="eastAsia" w:ascii="宋体" w:hAnsi="宋体" w:eastAsia="宋体" w:cs="宋体"/>
          <w:b w:val="0"/>
          <w:bCs w:val="0"/>
          <w:color w:val="auto"/>
          <w:kern w:val="2"/>
          <w:sz w:val="21"/>
          <w:szCs w:val="21"/>
          <w:highlight w:val="none"/>
          <w:lang w:val="en-US" w:eastAsia="zh-CN"/>
        </w:rPr>
        <w:t>乙方</w:t>
      </w:r>
      <w:r>
        <w:rPr>
          <w:rFonts w:hint="eastAsia" w:ascii="宋体" w:hAnsi="宋体" w:eastAsia="宋体" w:cs="宋体"/>
          <w:b w:val="0"/>
          <w:bCs w:val="0"/>
          <w:color w:val="auto"/>
          <w:kern w:val="2"/>
          <w:sz w:val="21"/>
          <w:szCs w:val="21"/>
          <w:highlight w:val="none"/>
        </w:rPr>
        <w:t>付款的条件。具体合同价款支付时间在【</w:t>
      </w:r>
      <w:r>
        <w:rPr>
          <w:rFonts w:hint="eastAsia" w:ascii="宋体" w:hAnsi="宋体" w:eastAsia="宋体" w:cs="宋体"/>
          <w:b/>
          <w:bCs/>
          <w:color w:val="auto"/>
          <w:kern w:val="2"/>
          <w:sz w:val="21"/>
          <w:szCs w:val="21"/>
          <w:highlight w:val="none"/>
        </w:rPr>
        <w:t>政府采购合同专用条款</w:t>
      </w:r>
      <w:r>
        <w:rPr>
          <w:rFonts w:hint="eastAsia" w:ascii="宋体" w:hAnsi="宋体" w:eastAsia="宋体" w:cs="宋体"/>
          <w:b w:val="0"/>
          <w:bCs w:val="0"/>
          <w:color w:val="auto"/>
          <w:kern w:val="2"/>
          <w:sz w:val="21"/>
          <w:szCs w:val="21"/>
          <w:highlight w:val="none"/>
        </w:rPr>
        <w:t>】中</w:t>
      </w:r>
      <w:r>
        <w:rPr>
          <w:rFonts w:hint="eastAsia" w:ascii="宋体" w:hAnsi="宋体" w:eastAsia="宋体" w:cs="宋体"/>
          <w:b w:val="0"/>
          <w:bCs w:val="0"/>
          <w:color w:val="auto"/>
          <w:kern w:val="2"/>
          <w:sz w:val="21"/>
          <w:szCs w:val="21"/>
          <w:highlight w:val="none"/>
          <w:lang w:eastAsia="zh-CN"/>
        </w:rPr>
        <w:t>约</w:t>
      </w:r>
      <w:r>
        <w:rPr>
          <w:rFonts w:hint="eastAsia" w:ascii="宋体" w:hAnsi="宋体" w:eastAsia="宋体" w:cs="宋体"/>
          <w:b w:val="0"/>
          <w:bCs w:val="0"/>
          <w:color w:val="auto"/>
          <w:kern w:val="2"/>
          <w:sz w:val="21"/>
          <w:szCs w:val="21"/>
          <w:highlight w:val="none"/>
        </w:rPr>
        <w:t>定。</w:t>
      </w:r>
    </w:p>
    <w:p w14:paraId="22C2AAD1">
      <w:pPr>
        <w:pStyle w:val="11"/>
        <w:shd w:val="clear" w:color="auto" w:fill="auto"/>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履约保证金</w:t>
      </w:r>
    </w:p>
    <w:p w14:paraId="517620D5">
      <w:pPr>
        <w:shd w:val="clear" w:color="auto" w:fill="auto"/>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 xml:space="preserve">.1 </w:t>
      </w:r>
      <w:r>
        <w:rPr>
          <w:rFonts w:hint="eastAsia" w:ascii="宋体" w:hAnsi="宋体" w:eastAsia="宋体" w:cs="宋体"/>
          <w:szCs w:val="15"/>
        </w:rPr>
        <w:t>乙方应当以支票、汇票、本票或者金融机构、担保机构出具的保函等非现金形式提交。</w:t>
      </w:r>
    </w:p>
    <w:p w14:paraId="675F4FBA">
      <w:pPr>
        <w:shd w:val="clear" w:color="auto" w:fill="auto"/>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.2 如果乙方</w:t>
      </w:r>
      <w:r>
        <w:rPr>
          <w:rFonts w:hint="eastAsia" w:ascii="宋体" w:hAnsi="宋体" w:eastAsia="宋体" w:cs="宋体"/>
          <w:color w:val="auto"/>
          <w:szCs w:val="21"/>
          <w:highlight w:val="none"/>
          <w:lang w:eastAsia="zh-CN"/>
        </w:rPr>
        <w:t>出现</w:t>
      </w:r>
      <w:r>
        <w:rPr>
          <w:rFonts w:hint="eastAsia" w:ascii="宋体" w:hAnsi="宋体" w:eastAsia="宋体" w:cs="宋体"/>
          <w:b/>
          <w:bCs/>
          <w:szCs w:val="15"/>
          <w:highlight w:val="none"/>
        </w:rPr>
        <w:t>【政府采购合同专用条款】</w:t>
      </w:r>
      <w:r>
        <w:rPr>
          <w:rFonts w:hint="eastAsia" w:ascii="宋体" w:hAnsi="宋体" w:eastAsia="宋体" w:cs="宋体"/>
          <w:b w:val="0"/>
          <w:bCs w:val="0"/>
          <w:szCs w:val="15"/>
          <w:highlight w:val="none"/>
          <w:lang w:eastAsia="zh-CN"/>
        </w:rPr>
        <w:t>约定</w:t>
      </w:r>
      <w:r>
        <w:rPr>
          <w:rFonts w:hint="eastAsia" w:ascii="宋体" w:hAnsi="宋体" w:eastAsia="宋体" w:cs="宋体"/>
          <w:b w:val="0"/>
          <w:bCs w:val="0"/>
          <w:szCs w:val="15"/>
          <w:lang w:eastAsia="zh-CN"/>
        </w:rPr>
        <w:t>情形的</w:t>
      </w:r>
      <w:r>
        <w:rPr>
          <w:rFonts w:hint="eastAsia" w:ascii="宋体" w:hAnsi="宋体" w:eastAsia="宋体" w:cs="宋体"/>
          <w:color w:val="auto"/>
          <w:szCs w:val="21"/>
          <w:highlight w:val="none"/>
        </w:rPr>
        <w:t>，履约保证金不予退还；如果乙方未能按合同约定全面履行义务，甲方有权从履约保证金中取得补偿或赔偿，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且</w:t>
      </w:r>
      <w:r>
        <w:rPr>
          <w:rFonts w:hint="eastAsia" w:ascii="宋体" w:hAnsi="宋体" w:eastAsia="宋体" w:cs="宋体"/>
          <w:color w:val="auto"/>
          <w:szCs w:val="21"/>
          <w:highlight w:val="none"/>
        </w:rPr>
        <w:t>不影响甲方要求乙方承担合同约定的超过履约保证金的违约责任的权利。</w:t>
      </w:r>
    </w:p>
    <w:p w14:paraId="46CFA93A">
      <w:pPr>
        <w:shd w:val="clear" w:color="auto" w:fill="auto"/>
        <w:spacing w:line="400" w:lineRule="exact"/>
        <w:ind w:firstLine="420"/>
        <w:rPr>
          <w:rFonts w:hint="eastAsia" w:ascii="宋体" w:hAnsi="宋体" w:eastAsia="宋体" w:cs="宋体"/>
          <w:color w:val="auto"/>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3</w:t>
      </w:r>
      <w:r>
        <w:rPr>
          <w:rFonts w:hint="eastAsia" w:ascii="宋体" w:hAnsi="宋体" w:eastAsia="宋体" w:cs="宋体"/>
          <w:color w:val="auto"/>
          <w:szCs w:val="21"/>
          <w:highlight w:val="none"/>
        </w:rPr>
        <w:t>.3 甲方在项目通过验收后按照</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规定的时间内将履约保证金退还乙方；逾期退还的，乙方可要求甲方支付违约金，违约金按照</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规定支付。</w:t>
      </w:r>
    </w:p>
    <w:p w14:paraId="7343E684">
      <w:pPr>
        <w:shd w:val="clear" w:color="auto" w:fill="auto"/>
        <w:autoSpaceDE w:val="0"/>
        <w:autoSpaceDN w:val="0"/>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4</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售后服务</w:t>
      </w:r>
    </w:p>
    <w:p w14:paraId="07406189">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4</w:t>
      </w:r>
      <w:r>
        <w:rPr>
          <w:rFonts w:hint="eastAsia" w:ascii="宋体" w:hAnsi="宋体" w:eastAsia="宋体" w:cs="宋体"/>
          <w:color w:val="auto"/>
          <w:szCs w:val="21"/>
          <w:highlight w:val="none"/>
        </w:rPr>
        <w:t>.1 除项目不涉及或采购活动中明确约定无须承担外，乙方还应提供下列服务：</w:t>
      </w:r>
    </w:p>
    <w:p w14:paraId="33EFC6D5">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（1）货物的现场移动、安装、调试、启动监督及技术支持；</w:t>
      </w:r>
    </w:p>
    <w:p w14:paraId="13273F92">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（2）提供货物组装和维修所需的专用工具和辅助材料；</w:t>
      </w:r>
    </w:p>
    <w:p w14:paraId="63AC6900">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（3）在</w:t>
      </w:r>
      <w:r>
        <w:rPr>
          <w:rFonts w:hint="eastAsia" w:ascii="宋体" w:hAnsi="宋体" w:eastAsia="宋体" w:cs="宋体"/>
          <w:b/>
          <w:bCs/>
          <w:szCs w:val="15"/>
          <w:highlight w:val="none"/>
        </w:rPr>
        <w:t>【政府采购合同专用条款】</w:t>
      </w:r>
      <w:r>
        <w:rPr>
          <w:rFonts w:hint="eastAsia" w:ascii="宋体" w:hAnsi="宋体" w:eastAsia="宋体" w:cs="宋体"/>
          <w:color w:val="auto"/>
          <w:szCs w:val="21"/>
          <w:highlight w:val="none"/>
          <w:lang w:eastAsia="zh-CN"/>
        </w:rPr>
        <w:t>约定</w:t>
      </w:r>
      <w:r>
        <w:rPr>
          <w:rFonts w:hint="eastAsia" w:ascii="宋体" w:hAnsi="宋体" w:eastAsia="宋体" w:cs="宋体"/>
          <w:color w:val="auto"/>
          <w:szCs w:val="21"/>
          <w:highlight w:val="none"/>
        </w:rPr>
        <w:t>的期限内对所有的货物实施运行监督、维修，但前提条件是该服务并不能免除乙方在质量保证期内所承担的义务；</w:t>
      </w:r>
    </w:p>
    <w:p w14:paraId="017FAE27">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（4）在制造商</w:t>
      </w:r>
      <w:r>
        <w:rPr>
          <w:rFonts w:hint="eastAsia" w:ascii="宋体" w:hAnsi="宋体" w:eastAsia="宋体" w:cs="宋体"/>
          <w:color w:val="auto"/>
          <w:szCs w:val="21"/>
          <w:highlight w:val="none"/>
          <w:lang w:eastAsia="zh-CN"/>
        </w:rPr>
        <w:t>所在地</w:t>
      </w:r>
      <w:r>
        <w:rPr>
          <w:rFonts w:hint="eastAsia" w:ascii="宋体" w:hAnsi="宋体" w:eastAsia="宋体" w:cs="宋体"/>
          <w:color w:val="auto"/>
          <w:szCs w:val="21"/>
          <w:highlight w:val="none"/>
        </w:rPr>
        <w:t>或</w:t>
      </w:r>
      <w:r>
        <w:rPr>
          <w:rFonts w:hint="eastAsia" w:ascii="宋体" w:hAnsi="宋体" w:eastAsia="宋体" w:cs="宋体"/>
          <w:color w:val="auto"/>
          <w:szCs w:val="21"/>
          <w:highlight w:val="none"/>
          <w:lang w:eastAsia="zh-CN"/>
        </w:rPr>
        <w:t>指定</w:t>
      </w:r>
      <w:r>
        <w:rPr>
          <w:rFonts w:hint="eastAsia" w:ascii="宋体" w:hAnsi="宋体" w:eastAsia="宋体" w:cs="宋体"/>
          <w:color w:val="auto"/>
          <w:szCs w:val="21"/>
          <w:highlight w:val="none"/>
        </w:rPr>
        <w:t>现场就货物的安装、启动、运营、维护</w:t>
      </w:r>
      <w:r>
        <w:rPr>
          <w:rFonts w:hint="eastAsia" w:ascii="宋体" w:hAnsi="宋体" w:eastAsia="宋体" w:cs="宋体"/>
          <w:color w:val="auto"/>
          <w:szCs w:val="21"/>
          <w:highlight w:val="none"/>
          <w:lang w:eastAsia="zh-CN"/>
        </w:rPr>
        <w:t>、废弃处置等</w:t>
      </w:r>
      <w:r>
        <w:rPr>
          <w:rFonts w:hint="eastAsia" w:ascii="宋体" w:hAnsi="宋体" w:eastAsia="宋体" w:cs="宋体"/>
          <w:color w:val="auto"/>
          <w:szCs w:val="21"/>
          <w:highlight w:val="none"/>
        </w:rPr>
        <w:t>对甲方操作人员进行培训</w:t>
      </w:r>
      <w:r>
        <w:rPr>
          <w:rFonts w:hint="eastAsia" w:ascii="宋体" w:hAnsi="宋体" w:eastAsia="宋体" w:cs="宋体"/>
          <w:szCs w:val="15"/>
          <w:lang w:eastAsia="zh-CN"/>
        </w:rPr>
        <w:t>；</w:t>
      </w:r>
    </w:p>
    <w:p w14:paraId="536F4C0E">
      <w:pPr>
        <w:pStyle w:val="43"/>
        <w:shd w:val="clear" w:color="auto" w:fill="auto"/>
        <w:rPr>
          <w:rFonts w:hint="eastAsia" w:ascii="宋体" w:hAnsi="宋体" w:eastAsia="宋体" w:cs="宋体"/>
          <w:sz w:val="21"/>
          <w:szCs w:val="21"/>
        </w:rPr>
      </w:pPr>
      <w:r>
        <w:rPr>
          <w:rFonts w:hint="eastAsia" w:ascii="宋体" w:hAnsi="宋体" w:eastAsia="宋体" w:cs="宋体"/>
          <w:sz w:val="21"/>
          <w:szCs w:val="21"/>
        </w:rPr>
        <w:t>（5）依照法律、行政法规的规定或者按照</w:t>
      </w:r>
      <w:r>
        <w:rPr>
          <w:rFonts w:hint="eastAsia" w:ascii="宋体" w:hAnsi="宋体" w:eastAsia="宋体" w:cs="宋体"/>
          <w:b/>
          <w:bCs/>
          <w:sz w:val="21"/>
          <w:szCs w:val="21"/>
        </w:rPr>
        <w:t>【政府采购合同专用条款】</w:t>
      </w:r>
      <w:r>
        <w:rPr>
          <w:rFonts w:hint="eastAsia" w:ascii="宋体" w:hAnsi="宋体" w:eastAsia="宋体" w:cs="宋体"/>
          <w:sz w:val="21"/>
          <w:szCs w:val="21"/>
        </w:rPr>
        <w:t>约定，货物在有效使用年限届满后应予回收的，乙方负有自行或者委托第三人对货物予以回收的义务；</w:t>
      </w:r>
    </w:p>
    <w:p w14:paraId="204764CE">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规定由乙方提供的其他服务。</w:t>
      </w:r>
    </w:p>
    <w:p w14:paraId="4BC23DDB">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.2 乙方提供的</w:t>
      </w:r>
      <w:r>
        <w:rPr>
          <w:rFonts w:hint="eastAsia" w:ascii="宋体" w:hAnsi="宋体" w:eastAsia="宋体" w:cs="宋体"/>
          <w:color w:val="auto"/>
          <w:szCs w:val="21"/>
          <w:highlight w:val="none"/>
          <w:lang w:eastAsia="zh-CN"/>
        </w:rPr>
        <w:t>售后</w:t>
      </w:r>
      <w:r>
        <w:rPr>
          <w:rFonts w:hint="eastAsia" w:ascii="宋体" w:hAnsi="宋体" w:eastAsia="宋体" w:cs="宋体"/>
          <w:color w:val="auto"/>
          <w:szCs w:val="21"/>
          <w:highlight w:val="none"/>
        </w:rPr>
        <w:t>服务的费用</w:t>
      </w:r>
      <w:r>
        <w:rPr>
          <w:rFonts w:hint="eastAsia" w:ascii="宋体" w:hAnsi="宋体" w:eastAsia="宋体" w:cs="宋体"/>
          <w:color w:val="auto"/>
          <w:szCs w:val="21"/>
          <w:highlight w:val="none"/>
          <w:lang w:val="en-US" w:eastAsia="zh-CN"/>
        </w:rPr>
        <w:t>已</w:t>
      </w:r>
      <w:r>
        <w:rPr>
          <w:rFonts w:hint="eastAsia" w:ascii="宋体" w:hAnsi="宋体" w:eastAsia="宋体" w:cs="宋体"/>
          <w:color w:val="auto"/>
          <w:szCs w:val="21"/>
          <w:highlight w:val="none"/>
        </w:rPr>
        <w:t>包含在合同价款中，甲方不再另行支付。</w:t>
      </w:r>
    </w:p>
    <w:p w14:paraId="0D262494">
      <w:pPr>
        <w:shd w:val="clear" w:color="auto" w:fill="auto"/>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eastAsia="zh-CN"/>
        </w:rPr>
        <w:t>5</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违约责任</w:t>
      </w:r>
    </w:p>
    <w:p w14:paraId="55551A17">
      <w:pPr>
        <w:shd w:val="clear" w:color="auto" w:fill="auto"/>
        <w:adjustRightInd w:val="0"/>
        <w:snapToGrid w:val="0"/>
        <w:spacing w:before="0" w:line="400" w:lineRule="exact"/>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eastAsia="zh-CN"/>
        </w:rPr>
        <w:t>5</w:t>
      </w:r>
      <w:r>
        <w:rPr>
          <w:rFonts w:hint="eastAsia" w:ascii="宋体" w:hAnsi="宋体" w:eastAsia="宋体" w:cs="宋体"/>
          <w:bCs/>
          <w:color w:val="auto"/>
          <w:szCs w:val="21"/>
          <w:highlight w:val="none"/>
        </w:rPr>
        <w:t>.1质量瑕疵的</w:t>
      </w:r>
      <w:r>
        <w:rPr>
          <w:rFonts w:hint="eastAsia" w:ascii="宋体" w:hAnsi="宋体" w:eastAsia="宋体" w:cs="宋体"/>
          <w:bCs/>
          <w:color w:val="auto"/>
          <w:szCs w:val="21"/>
          <w:highlight w:val="none"/>
          <w:lang w:eastAsia="zh-CN"/>
        </w:rPr>
        <w:t>违约责任</w:t>
      </w:r>
    </w:p>
    <w:p w14:paraId="3D15302D">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乙方</w:t>
      </w:r>
      <w:r>
        <w:rPr>
          <w:rFonts w:hint="eastAsia" w:ascii="宋体" w:hAnsi="宋体" w:eastAsia="宋体" w:cs="宋体"/>
          <w:color w:val="auto"/>
          <w:szCs w:val="21"/>
          <w:highlight w:val="none"/>
          <w:lang w:eastAsia="zh-CN"/>
        </w:rPr>
        <w:t>提供</w:t>
      </w:r>
      <w:r>
        <w:rPr>
          <w:rFonts w:hint="eastAsia" w:ascii="宋体" w:hAnsi="宋体" w:eastAsia="宋体" w:cs="宋体"/>
          <w:color w:val="auto"/>
          <w:szCs w:val="21"/>
          <w:highlight w:val="none"/>
        </w:rPr>
        <w:t>的产品不符合</w:t>
      </w:r>
      <w:r>
        <w:rPr>
          <w:rFonts w:hint="eastAsia" w:ascii="宋体" w:hAnsi="宋体" w:eastAsia="宋体" w:cs="宋体"/>
          <w:color w:val="auto"/>
          <w:szCs w:val="21"/>
          <w:highlight w:val="none"/>
          <w:lang w:eastAsia="zh-CN"/>
        </w:rPr>
        <w:t>合同约定的</w:t>
      </w:r>
      <w:r>
        <w:rPr>
          <w:rFonts w:hint="eastAsia" w:ascii="宋体" w:hAnsi="宋体" w:eastAsia="宋体" w:cs="宋体"/>
          <w:color w:val="auto"/>
          <w:szCs w:val="21"/>
          <w:highlight w:val="none"/>
        </w:rPr>
        <w:t>质量标准或存在产品质量缺陷，</w:t>
      </w:r>
      <w:r>
        <w:rPr>
          <w:rFonts w:hint="eastAsia" w:ascii="宋体" w:hAnsi="宋体" w:eastAsia="宋体" w:cs="宋体"/>
          <w:color w:val="auto"/>
          <w:szCs w:val="21"/>
          <w:highlight w:val="none"/>
          <w:lang w:eastAsia="zh-CN"/>
        </w:rPr>
        <w:t>甲方有权要求乙方根据</w:t>
      </w:r>
      <w:r>
        <w:rPr>
          <w:rFonts w:hint="eastAsia" w:ascii="宋体" w:hAnsi="宋体" w:eastAsia="宋体" w:cs="宋体"/>
          <w:b/>
          <w:color w:val="auto"/>
          <w:szCs w:val="21"/>
          <w:highlight w:val="none"/>
        </w:rPr>
        <w:t>【政府采购合同专用条款】</w:t>
      </w:r>
      <w:r>
        <w:rPr>
          <w:rFonts w:hint="eastAsia" w:ascii="宋体" w:hAnsi="宋体" w:eastAsia="宋体" w:cs="宋体"/>
          <w:b w:val="0"/>
          <w:bCs/>
          <w:color w:val="auto"/>
          <w:szCs w:val="21"/>
          <w:highlight w:val="none"/>
          <w:lang w:eastAsia="zh-CN"/>
        </w:rPr>
        <w:t>要求</w:t>
      </w:r>
      <w:r>
        <w:rPr>
          <w:rFonts w:hint="eastAsia" w:ascii="宋体" w:hAnsi="宋体" w:eastAsia="宋体" w:cs="宋体"/>
          <w:color w:val="auto"/>
          <w:szCs w:val="21"/>
          <w:highlight w:val="none"/>
          <w:lang w:eastAsia="zh-CN"/>
        </w:rPr>
        <w:t>及时修理、重作、更换，并承担由此给甲</w:t>
      </w:r>
      <w:r>
        <w:rPr>
          <w:rFonts w:hint="eastAsia" w:ascii="宋体" w:hAnsi="宋体" w:eastAsia="宋体" w:cs="宋体"/>
          <w:color w:val="auto"/>
          <w:szCs w:val="21"/>
          <w:highlight w:val="none"/>
        </w:rPr>
        <w:t>方</w:t>
      </w:r>
      <w:r>
        <w:rPr>
          <w:rFonts w:hint="eastAsia" w:ascii="宋体" w:hAnsi="宋体" w:eastAsia="宋体" w:cs="宋体"/>
          <w:color w:val="auto"/>
          <w:szCs w:val="21"/>
          <w:highlight w:val="none"/>
          <w:lang w:eastAsia="zh-CN"/>
        </w:rPr>
        <w:t>造成的损失</w:t>
      </w:r>
      <w:r>
        <w:rPr>
          <w:rFonts w:hint="eastAsia" w:ascii="宋体" w:hAnsi="宋体" w:eastAsia="宋体" w:cs="宋体"/>
          <w:color w:val="auto"/>
          <w:szCs w:val="21"/>
          <w:highlight w:val="none"/>
        </w:rPr>
        <w:t>。</w:t>
      </w:r>
    </w:p>
    <w:p w14:paraId="7362AE7E">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eastAsia="zh-CN"/>
        </w:rPr>
        <w:t>5</w:t>
      </w:r>
      <w:r>
        <w:rPr>
          <w:rFonts w:hint="eastAsia" w:ascii="宋体" w:hAnsi="宋体" w:eastAsia="宋体" w:cs="宋体"/>
          <w:bCs/>
          <w:color w:val="auto"/>
          <w:szCs w:val="21"/>
          <w:highlight w:val="none"/>
        </w:rPr>
        <w:t>.2 迟延交货的违约责任</w:t>
      </w:r>
    </w:p>
    <w:p w14:paraId="3267FD6C">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（1）乙方应按照本合同规定的时间、地点交货和提供</w:t>
      </w:r>
      <w:r>
        <w:rPr>
          <w:rFonts w:hint="eastAsia" w:ascii="宋体" w:hAnsi="宋体" w:eastAsia="宋体" w:cs="宋体"/>
          <w:color w:val="auto"/>
          <w:szCs w:val="21"/>
          <w:highlight w:val="none"/>
          <w:lang w:eastAsia="zh-CN"/>
        </w:rPr>
        <w:t>相关</w:t>
      </w:r>
      <w:r>
        <w:rPr>
          <w:rFonts w:hint="eastAsia" w:ascii="宋体" w:hAnsi="宋体" w:eastAsia="宋体" w:cs="宋体"/>
          <w:color w:val="auto"/>
          <w:szCs w:val="21"/>
          <w:highlight w:val="none"/>
        </w:rPr>
        <w:t>服务。在履行合同过程中，如果乙方遇到可能</w:t>
      </w:r>
      <w:r>
        <w:rPr>
          <w:rFonts w:hint="eastAsia" w:ascii="宋体" w:hAnsi="宋体" w:eastAsia="宋体" w:cs="宋体"/>
          <w:color w:val="auto"/>
          <w:szCs w:val="21"/>
          <w:highlight w:val="none"/>
          <w:lang w:eastAsia="zh-CN"/>
        </w:rPr>
        <w:t>影响</w:t>
      </w:r>
      <w:r>
        <w:rPr>
          <w:rFonts w:hint="eastAsia" w:ascii="宋体" w:hAnsi="宋体" w:eastAsia="宋体" w:cs="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长</w:t>
      </w:r>
      <w:r>
        <w:rPr>
          <w:rFonts w:hint="eastAsia" w:ascii="宋体" w:hAnsi="宋体" w:eastAsia="宋体" w:cs="宋体"/>
          <w:color w:val="auto"/>
          <w:szCs w:val="21"/>
          <w:highlight w:val="none"/>
        </w:rPr>
        <w:t>交货时间或延期提供服务。</w:t>
      </w:r>
    </w:p>
    <w:p w14:paraId="248211E2">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（2）如果乙方没有按照合同规定的时间交货和提供</w:t>
      </w:r>
      <w:r>
        <w:rPr>
          <w:rFonts w:hint="eastAsia" w:ascii="宋体" w:hAnsi="宋体" w:eastAsia="宋体" w:cs="宋体"/>
          <w:color w:val="auto"/>
          <w:szCs w:val="21"/>
          <w:highlight w:val="none"/>
          <w:lang w:eastAsia="zh-CN"/>
        </w:rPr>
        <w:t>相关</w:t>
      </w:r>
      <w:r>
        <w:rPr>
          <w:rFonts w:hint="eastAsia" w:ascii="宋体" w:hAnsi="宋体" w:eastAsia="宋体" w:cs="宋体"/>
          <w:color w:val="auto"/>
          <w:szCs w:val="21"/>
          <w:highlight w:val="none"/>
        </w:rPr>
        <w:t>服务，甲方有权从货款中扣除误期赔偿费而不影响合同项下的其他补救方法，赔偿费按</w:t>
      </w:r>
      <w:r>
        <w:rPr>
          <w:rFonts w:hint="eastAsia" w:ascii="宋体" w:hAnsi="宋体" w:eastAsia="宋体" w:cs="宋体"/>
          <w:b/>
          <w:color w:val="auto"/>
          <w:szCs w:val="21"/>
          <w:highlight w:val="none"/>
        </w:rPr>
        <w:t>【政府采购合同专用条款】</w:t>
      </w:r>
      <w:r>
        <w:rPr>
          <w:rFonts w:hint="eastAsia" w:ascii="宋体" w:hAnsi="宋体" w:eastAsia="宋体" w:cs="宋体"/>
          <w:color w:val="auto"/>
          <w:szCs w:val="21"/>
          <w:highlight w:val="none"/>
        </w:rPr>
        <w:t>规定执行。如果涉及公共利益，且赔偿金额无法弥补公共利益损失，</w:t>
      </w:r>
      <w:r>
        <w:rPr>
          <w:rFonts w:hint="eastAsia" w:ascii="宋体" w:hAnsi="宋体" w:eastAsia="宋体" w:cs="宋体"/>
          <w:color w:val="auto"/>
          <w:szCs w:val="21"/>
          <w:highlight w:val="none"/>
          <w:lang w:eastAsia="zh-CN"/>
        </w:rPr>
        <w:t>甲方</w:t>
      </w:r>
      <w:r>
        <w:rPr>
          <w:rFonts w:hint="eastAsia" w:ascii="宋体" w:hAnsi="宋体" w:eastAsia="宋体" w:cs="宋体"/>
          <w:color w:val="auto"/>
          <w:szCs w:val="21"/>
          <w:highlight w:val="none"/>
        </w:rPr>
        <w:t>可要求继续履行或者</w:t>
      </w:r>
      <w:r>
        <w:rPr>
          <w:rFonts w:hint="eastAsia" w:ascii="宋体" w:hAnsi="宋体" w:eastAsia="宋体" w:cs="宋体"/>
          <w:color w:val="auto"/>
          <w:szCs w:val="21"/>
          <w:highlight w:val="none"/>
          <w:lang w:eastAsia="zh-CN"/>
        </w:rPr>
        <w:t>采取其他补救措施</w:t>
      </w:r>
      <w:r>
        <w:rPr>
          <w:rFonts w:hint="eastAsia" w:ascii="宋体" w:hAnsi="宋体" w:eastAsia="宋体" w:cs="宋体"/>
          <w:color w:val="auto"/>
          <w:szCs w:val="21"/>
          <w:highlight w:val="none"/>
        </w:rPr>
        <w:t>。</w:t>
      </w:r>
    </w:p>
    <w:p w14:paraId="6A45E802">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eastAsia="zh-CN"/>
        </w:rPr>
        <w:t>5</w:t>
      </w:r>
      <w:r>
        <w:rPr>
          <w:rFonts w:hint="eastAsia" w:ascii="宋体" w:hAnsi="宋体" w:eastAsia="宋体" w:cs="宋体"/>
          <w:color w:val="auto"/>
          <w:szCs w:val="21"/>
          <w:highlight w:val="none"/>
        </w:rPr>
        <w:t>.3 迟延支付的违约责任</w:t>
      </w:r>
    </w:p>
    <w:p w14:paraId="6A43C61B">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甲方存在迟延支付乙方合同款项的，应当承担</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规定的逾期付款利息。</w:t>
      </w:r>
    </w:p>
    <w:p w14:paraId="51868BBE">
      <w:pPr>
        <w:shd w:val="clear" w:color="auto" w:fill="auto"/>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1</w:t>
      </w:r>
      <w:r>
        <w:rPr>
          <w:rFonts w:hint="eastAsia" w:ascii="宋体" w:hAnsi="宋体" w:eastAsia="宋体" w:cs="宋体"/>
          <w:bCs/>
          <w:color w:val="auto"/>
          <w:szCs w:val="21"/>
          <w:highlight w:val="none"/>
          <w:lang w:eastAsia="zh-CN"/>
        </w:rPr>
        <w:t>5</w:t>
      </w:r>
      <w:r>
        <w:rPr>
          <w:rFonts w:hint="eastAsia" w:ascii="宋体" w:hAnsi="宋体" w:eastAsia="宋体" w:cs="宋体"/>
          <w:bCs/>
          <w:color w:val="auto"/>
          <w:szCs w:val="21"/>
          <w:highlight w:val="none"/>
        </w:rPr>
        <w:t>.4其他违约责任根据项目实际需要按</w:t>
      </w:r>
      <w:r>
        <w:rPr>
          <w:rFonts w:hint="eastAsia" w:ascii="宋体" w:hAnsi="宋体" w:eastAsia="宋体" w:cs="宋体"/>
          <w:b/>
          <w:bCs/>
          <w:color w:val="auto"/>
          <w:szCs w:val="21"/>
          <w:highlight w:val="none"/>
        </w:rPr>
        <w:t>【政府采购合同专用条款】</w:t>
      </w:r>
      <w:r>
        <w:rPr>
          <w:rFonts w:hint="eastAsia" w:ascii="宋体" w:hAnsi="宋体" w:eastAsia="宋体" w:cs="宋体"/>
          <w:color w:val="auto"/>
          <w:szCs w:val="21"/>
          <w:highlight w:val="none"/>
        </w:rPr>
        <w:t>规定执行。</w:t>
      </w:r>
    </w:p>
    <w:p w14:paraId="4DE1FF3E">
      <w:pPr>
        <w:numPr>
          <w:ilvl w:val="0"/>
          <w:numId w:val="5"/>
        </w:numPr>
        <w:shd w:val="clear" w:color="auto" w:fill="auto"/>
        <w:autoSpaceDE w:val="0"/>
        <w:autoSpaceDN w:val="0"/>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合同变更</w:t>
      </w:r>
      <w:r>
        <w:rPr>
          <w:rFonts w:hint="eastAsia" w:ascii="宋体" w:hAnsi="宋体" w:eastAsia="宋体" w:cs="宋体"/>
          <w:b/>
          <w:color w:val="auto"/>
          <w:sz w:val="24"/>
          <w:highlight w:val="none"/>
          <w:lang w:eastAsia="zh-CN"/>
        </w:rPr>
        <w:t>、中止与终止</w:t>
      </w:r>
    </w:p>
    <w:p w14:paraId="435E522C">
      <w:pPr>
        <w:shd w:val="clear" w:color="auto" w:fill="auto"/>
        <w:autoSpaceDE/>
        <w:autoSpaceDN/>
        <w:adjustRightInd w:val="0"/>
        <w:snapToGrid w:val="0"/>
        <w:spacing w:before="0" w:line="400" w:lineRule="exact"/>
        <w:ind w:firstLine="0" w:firstLineChars="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.1合同的</w:t>
      </w:r>
      <w:r>
        <w:rPr>
          <w:rFonts w:hint="eastAsia" w:ascii="宋体" w:hAnsi="宋体" w:eastAsia="宋体" w:cs="宋体"/>
          <w:color w:val="auto"/>
          <w:szCs w:val="21"/>
          <w:highlight w:val="none"/>
          <w:lang w:eastAsia="zh-CN"/>
        </w:rPr>
        <w:t>变更</w:t>
      </w:r>
    </w:p>
    <w:p w14:paraId="781EB2BC">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政府采购合同履行中，</w:t>
      </w:r>
      <w:r>
        <w:rPr>
          <w:rFonts w:hint="eastAsia" w:ascii="宋体" w:hAnsi="宋体" w:eastAsia="宋体" w:cs="宋体"/>
          <w:color w:val="auto"/>
          <w:szCs w:val="21"/>
          <w:highlight w:val="none"/>
        </w:rPr>
        <w:t>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一致后</w:t>
      </w:r>
      <w:r>
        <w:rPr>
          <w:rFonts w:hint="eastAsia" w:ascii="宋体" w:hAnsi="宋体" w:eastAsia="宋体" w:cs="宋体"/>
          <w:color w:val="auto"/>
          <w:szCs w:val="21"/>
          <w:highlight w:val="none"/>
        </w:rPr>
        <w:t>签订补充协议。</w:t>
      </w:r>
    </w:p>
    <w:p w14:paraId="38414779">
      <w:pPr>
        <w:shd w:val="clear" w:color="auto" w:fill="auto"/>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合同的中止</w:t>
      </w:r>
    </w:p>
    <w:p w14:paraId="02BF488D">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（1）合同履行过程中因供应商就采购文件、采购过程或结果提起投诉的，甲方认为有必要的，</w:t>
      </w:r>
      <w:r>
        <w:rPr>
          <w:rFonts w:hint="eastAsia" w:ascii="宋体" w:hAnsi="宋体" w:eastAsia="宋体" w:cs="宋体"/>
          <w:color w:val="auto"/>
          <w:szCs w:val="21"/>
          <w:highlight w:val="none"/>
          <w:lang w:eastAsia="zh-CN"/>
        </w:rPr>
        <w:t>可以</w:t>
      </w:r>
      <w:r>
        <w:rPr>
          <w:rFonts w:hint="eastAsia" w:ascii="宋体" w:hAnsi="宋体" w:eastAsia="宋体" w:cs="宋体"/>
          <w:color w:val="auto"/>
          <w:szCs w:val="21"/>
          <w:highlight w:val="none"/>
        </w:rPr>
        <w:t>中止合同的履行。</w:t>
      </w:r>
    </w:p>
    <w:p w14:paraId="605952AC">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合同履行过程中，</w:t>
      </w:r>
      <w:r>
        <w:rPr>
          <w:rFonts w:hint="eastAsia" w:ascii="宋体" w:hAnsi="宋体" w:eastAsia="宋体" w:cs="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，乙方有义务及时告知甲方</w:t>
      </w:r>
      <w:r>
        <w:rPr>
          <w:rFonts w:hint="eastAsia" w:ascii="宋体" w:hAnsi="宋体" w:eastAsia="宋体" w:cs="宋体"/>
          <w:color w:val="auto"/>
          <w:szCs w:val="21"/>
          <w:highlight w:val="none"/>
        </w:rPr>
        <w:t>。甲方</w:t>
      </w:r>
      <w:r>
        <w:rPr>
          <w:rFonts w:hint="eastAsia" w:ascii="宋体" w:hAnsi="宋体" w:eastAsia="宋体" w:cs="宋体"/>
          <w:color w:val="auto"/>
          <w:szCs w:val="21"/>
          <w:highlight w:val="none"/>
          <w:lang w:eastAsia="zh-CN"/>
        </w:rPr>
        <w:t>有权</w:t>
      </w:r>
      <w:r>
        <w:rPr>
          <w:rFonts w:hint="eastAsia" w:ascii="宋体" w:hAnsi="宋体" w:eastAsia="宋体" w:cs="宋体"/>
          <w:color w:val="auto"/>
          <w:szCs w:val="21"/>
          <w:highlight w:val="none"/>
        </w:rPr>
        <w:t>以书面形式通知乙方中止合同</w:t>
      </w:r>
      <w:r>
        <w:rPr>
          <w:rFonts w:hint="eastAsia" w:ascii="宋体" w:hAnsi="宋体" w:eastAsia="宋体" w:cs="宋体"/>
          <w:color w:val="auto"/>
          <w:szCs w:val="21"/>
          <w:highlight w:val="none"/>
          <w:lang w:eastAsia="zh-CN"/>
        </w:rPr>
        <w:t>并要求乙方在合理期限内消除相关情形或者提供适当担保。</w:t>
      </w:r>
      <w:r>
        <w:rPr>
          <w:rFonts w:hint="eastAsia" w:ascii="宋体" w:hAnsi="宋体" w:eastAsia="宋体" w:cs="宋体"/>
          <w:color w:val="auto"/>
          <w:szCs w:val="21"/>
          <w:highlight w:val="none"/>
        </w:rPr>
        <w:t>乙方提供适当担保的，</w:t>
      </w:r>
      <w:r>
        <w:rPr>
          <w:rFonts w:hint="eastAsia" w:ascii="宋体" w:hAnsi="宋体" w:eastAsia="宋体" w:cs="宋体"/>
          <w:color w:val="auto"/>
          <w:szCs w:val="21"/>
          <w:highlight w:val="none"/>
          <w:lang w:eastAsia="zh-CN"/>
        </w:rPr>
        <w:t>合同继续</w:t>
      </w:r>
      <w:r>
        <w:rPr>
          <w:rFonts w:hint="eastAsia" w:ascii="宋体" w:hAnsi="宋体" w:eastAsia="宋体" w:cs="宋体"/>
          <w:color w:val="auto"/>
          <w:szCs w:val="21"/>
          <w:highlight w:val="none"/>
        </w:rPr>
        <w:t>履行</w:t>
      </w:r>
      <w:r>
        <w:rPr>
          <w:rFonts w:hint="eastAsia" w:ascii="宋体" w:hAnsi="宋体" w:eastAsia="宋体" w:cs="宋体"/>
          <w:color w:val="auto"/>
          <w:szCs w:val="21"/>
          <w:highlight w:val="none"/>
          <w:lang w:eastAsia="zh-CN"/>
        </w:rPr>
        <w:t>；乙</w:t>
      </w:r>
      <w:r>
        <w:rPr>
          <w:rFonts w:hint="eastAsia" w:ascii="宋体" w:hAnsi="宋体" w:eastAsia="宋体" w:cs="宋体"/>
          <w:color w:val="auto"/>
          <w:szCs w:val="21"/>
          <w:highlight w:val="none"/>
        </w:rPr>
        <w:t>方在合理期限内未恢复履约能力且未提供适当担保的，视为拒绝</w:t>
      </w:r>
      <w:r>
        <w:rPr>
          <w:rFonts w:hint="eastAsia" w:ascii="宋体" w:hAnsi="宋体" w:eastAsia="宋体" w:cs="宋体"/>
          <w:color w:val="auto"/>
          <w:szCs w:val="21"/>
          <w:highlight w:val="none"/>
          <w:lang w:eastAsia="zh-CN"/>
        </w:rPr>
        <w:t>继续</w:t>
      </w:r>
      <w:r>
        <w:rPr>
          <w:rFonts w:hint="eastAsia" w:ascii="宋体" w:hAnsi="宋体" w:eastAsia="宋体" w:cs="宋体"/>
          <w:color w:val="auto"/>
          <w:szCs w:val="21"/>
          <w:highlight w:val="none"/>
        </w:rPr>
        <w:t>履约，甲方</w:t>
      </w:r>
      <w:r>
        <w:rPr>
          <w:rFonts w:hint="eastAsia" w:ascii="宋体" w:hAnsi="宋体" w:eastAsia="宋体" w:cs="宋体"/>
          <w:color w:val="auto"/>
          <w:szCs w:val="21"/>
          <w:highlight w:val="none"/>
          <w:lang w:eastAsia="zh-CN"/>
        </w:rPr>
        <w:t>有权</w:t>
      </w:r>
      <w:r>
        <w:rPr>
          <w:rFonts w:hint="eastAsia" w:ascii="宋体" w:hAnsi="宋体" w:eastAsia="宋体" w:cs="宋体"/>
          <w:color w:val="auto"/>
          <w:szCs w:val="21"/>
          <w:highlight w:val="none"/>
        </w:rPr>
        <w:t>解除合同并要求乙方承担</w:t>
      </w:r>
      <w:r>
        <w:rPr>
          <w:rFonts w:hint="eastAsia" w:ascii="宋体" w:hAnsi="宋体" w:eastAsia="宋体" w:cs="宋体"/>
          <w:color w:val="auto"/>
          <w:szCs w:val="21"/>
          <w:highlight w:val="none"/>
          <w:lang w:eastAsia="zh-CN"/>
        </w:rPr>
        <w:t>由此给甲方造成的损失</w:t>
      </w:r>
      <w:r>
        <w:rPr>
          <w:rFonts w:hint="eastAsia" w:ascii="宋体" w:hAnsi="宋体" w:eastAsia="宋体" w:cs="宋体"/>
          <w:color w:val="auto"/>
          <w:szCs w:val="21"/>
          <w:highlight w:val="none"/>
        </w:rPr>
        <w:t>。</w:t>
      </w:r>
    </w:p>
    <w:p w14:paraId="77736F24">
      <w:pPr>
        <w:pStyle w:val="43"/>
        <w:shd w:val="clear" w:color="auto" w:fill="auto"/>
        <w:jc w:val="both"/>
        <w:rPr>
          <w:rFonts w:hint="eastAsia" w:ascii="宋体" w:hAnsi="宋体" w:eastAsia="宋体" w:cs="宋体"/>
          <w:sz w:val="21"/>
        </w:rPr>
      </w:pPr>
      <w:r>
        <w:rPr>
          <w:rFonts w:hint="eastAsia" w:ascii="宋体" w:hAnsi="宋体" w:eastAsia="宋体" w:cs="宋体"/>
          <w:sz w:val="21"/>
        </w:rPr>
        <w:t>（3）乙方分立、合并或者变更住所的，应当及时以书面形式告知甲方。乙方没有</w:t>
      </w:r>
      <w:r>
        <w:rPr>
          <w:rFonts w:hint="eastAsia" w:ascii="宋体" w:hAnsi="宋体" w:eastAsia="宋体" w:cs="宋体"/>
          <w:sz w:val="21"/>
          <w:lang w:eastAsia="zh-CN"/>
        </w:rPr>
        <w:t>及时告知</w:t>
      </w:r>
      <w:r>
        <w:rPr>
          <w:rFonts w:hint="eastAsia" w:ascii="宋体" w:hAnsi="宋体" w:eastAsia="宋体" w:cs="宋体"/>
          <w:sz w:val="21"/>
        </w:rPr>
        <w:t>甲方，致使</w:t>
      </w:r>
      <w:r>
        <w:rPr>
          <w:rFonts w:hint="eastAsia" w:ascii="宋体" w:hAnsi="宋体" w:eastAsia="宋体" w:cs="宋体"/>
          <w:sz w:val="21"/>
          <w:lang w:eastAsia="zh-CN"/>
        </w:rPr>
        <w:t>合同</w:t>
      </w:r>
      <w:r>
        <w:rPr>
          <w:rFonts w:hint="eastAsia" w:ascii="宋体" w:hAnsi="宋体" w:eastAsia="宋体" w:cs="宋体"/>
          <w:sz w:val="21"/>
        </w:rPr>
        <w:t>履行发生困难的，甲方可以中止合同履行并要求乙方承担由此给甲方造成的损失。</w:t>
      </w:r>
    </w:p>
    <w:p w14:paraId="1F641BC4">
      <w:pPr>
        <w:shd w:val="clear" w:color="auto" w:fill="auto"/>
        <w:snapToGrid w:val="0"/>
        <w:spacing w:line="400" w:lineRule="exact"/>
        <w:ind w:firstLine="420" w:firstLineChars="200"/>
        <w:jc w:val="left"/>
        <w:rPr>
          <w:rFonts w:hint="eastAsia" w:ascii="宋体" w:hAnsi="宋体" w:eastAsia="宋体" w:cs="宋体"/>
          <w:sz w:val="21"/>
        </w:rPr>
      </w:pP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）甲方不得以行政区划调整、政府换届、机构或者职能调整以及相关责任人更替为由中止合同。</w:t>
      </w:r>
    </w:p>
    <w:p w14:paraId="1E40DD81">
      <w:pPr>
        <w:shd w:val="clear" w:color="auto" w:fill="auto"/>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合同的终止</w:t>
      </w:r>
    </w:p>
    <w:p w14:paraId="526D353D">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（1）合同因有效期限届满而终止；</w:t>
      </w:r>
    </w:p>
    <w:p w14:paraId="66B13EE0">
      <w:pPr>
        <w:shd w:val="clear" w:color="auto" w:fill="auto"/>
        <w:snapToGrid w:val="0"/>
        <w:spacing w:line="400" w:lineRule="exact"/>
        <w:ind w:firstLine="420" w:firstLineChars="200"/>
        <w:rPr>
          <w:rFonts w:hint="eastAsia" w:ascii="宋体" w:hAnsi="宋体" w:eastAsia="宋体" w:cs="宋体"/>
          <w:szCs w:val="21"/>
          <w:lang w:eastAsia="zh-CN"/>
        </w:rPr>
      </w:pPr>
      <w:r>
        <w:rPr>
          <w:rFonts w:hint="eastAsia" w:ascii="宋体" w:hAnsi="宋体" w:eastAsia="宋体" w:cs="宋体"/>
          <w:color w:val="auto"/>
          <w:szCs w:val="21"/>
          <w:highlight w:val="none"/>
        </w:rPr>
        <w:t>（2）乙方未</w:t>
      </w:r>
      <w:r>
        <w:rPr>
          <w:rFonts w:hint="eastAsia" w:ascii="宋体" w:hAnsi="宋体" w:eastAsia="宋体" w:cs="宋体"/>
          <w:color w:val="auto"/>
          <w:szCs w:val="21"/>
          <w:highlight w:val="none"/>
          <w:lang w:eastAsia="zh-CN"/>
        </w:rPr>
        <w:t>按</w:t>
      </w:r>
      <w:r>
        <w:rPr>
          <w:rFonts w:hint="eastAsia" w:ascii="宋体" w:hAnsi="宋体" w:eastAsia="宋体" w:cs="宋体"/>
          <w:color w:val="auto"/>
          <w:szCs w:val="21"/>
          <w:highlight w:val="none"/>
        </w:rPr>
        <w:t>合同约定履行，构成根本性违约的，甲方有权终止合同</w:t>
      </w:r>
      <w:r>
        <w:rPr>
          <w:rFonts w:hint="eastAsia" w:ascii="宋体" w:hAnsi="宋体" w:eastAsia="宋体" w:cs="宋体"/>
          <w:color w:val="auto"/>
          <w:szCs w:val="21"/>
          <w:highlight w:val="none"/>
          <w:lang w:eastAsia="zh-CN"/>
        </w:rPr>
        <w:t>，</w:t>
      </w:r>
      <w:r>
        <w:rPr>
          <w:rFonts w:hint="eastAsia" w:ascii="宋体" w:hAnsi="宋体" w:eastAsia="宋体" w:cs="宋体"/>
          <w:szCs w:val="21"/>
        </w:rPr>
        <w:t>并追究乙方的违约责</w:t>
      </w:r>
      <w:r>
        <w:rPr>
          <w:rFonts w:hint="eastAsia" w:ascii="宋体" w:hAnsi="宋体" w:eastAsia="宋体" w:cs="宋体"/>
          <w:szCs w:val="21"/>
          <w:lang w:val="en-US" w:eastAsia="zh-CN"/>
        </w:rPr>
        <w:t>任</w:t>
      </w:r>
      <w:r>
        <w:rPr>
          <w:rFonts w:hint="eastAsia" w:ascii="宋体" w:hAnsi="宋体" w:eastAsia="宋体" w:cs="宋体"/>
          <w:color w:val="auto"/>
          <w:szCs w:val="21"/>
          <w:highlight w:val="none"/>
        </w:rPr>
        <w:t>。</w:t>
      </w:r>
    </w:p>
    <w:p w14:paraId="27C3224C">
      <w:pPr>
        <w:pStyle w:val="43"/>
        <w:shd w:val="clear" w:color="auto" w:fil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kern w:val="2"/>
          <w:sz w:val="21"/>
          <w:szCs w:val="21"/>
          <w:highlight w:val="none"/>
          <w:lang w:val="en-US" w:eastAsia="zh-CN"/>
        </w:rPr>
        <w:t>涉及国家利益、社会公共利益的情形</w:t>
      </w:r>
    </w:p>
    <w:p w14:paraId="3727DD0E">
      <w:pPr>
        <w:pStyle w:val="43"/>
        <w:shd w:val="clear" w:color="auto" w:fill="auto"/>
        <w:jc w:val="both"/>
        <w:rPr>
          <w:rFonts w:hint="eastAsia" w:ascii="宋体" w:hAnsi="宋体" w:eastAsia="宋体" w:cs="宋体"/>
          <w:sz w:val="21"/>
        </w:rPr>
      </w:pPr>
      <w:r>
        <w:rPr>
          <w:rFonts w:hint="eastAsia" w:ascii="宋体" w:hAnsi="宋体" w:eastAsia="宋体" w:cs="宋体"/>
          <w:sz w:val="21"/>
        </w:rPr>
        <w:t>政府采购合同继续履行将损害国家利益和社会公共利益的，双方当事人</w:t>
      </w:r>
      <w:r>
        <w:rPr>
          <w:rFonts w:hint="eastAsia" w:ascii="宋体" w:hAnsi="宋体" w:eastAsia="宋体" w:cs="宋体"/>
          <w:sz w:val="21"/>
          <w:highlight w:val="none"/>
          <w:lang w:val="en-US" w:eastAsia="zh-CN"/>
        </w:rPr>
        <w:t>应当变更、</w:t>
      </w:r>
      <w:r>
        <w:rPr>
          <w:rFonts w:hint="eastAsia" w:ascii="宋体" w:hAnsi="宋体" w:eastAsia="宋体" w:cs="宋体"/>
          <w:sz w:val="21"/>
        </w:rPr>
        <w:t>中止</w:t>
      </w:r>
      <w:r>
        <w:rPr>
          <w:rFonts w:hint="eastAsia" w:ascii="宋体" w:hAnsi="宋体" w:eastAsia="宋体" w:cs="宋体"/>
          <w:sz w:val="21"/>
          <w:lang w:eastAsia="zh-CN"/>
        </w:rPr>
        <w:t>或者终止</w:t>
      </w:r>
      <w:r>
        <w:rPr>
          <w:rFonts w:hint="eastAsia" w:ascii="宋体" w:hAnsi="宋体" w:eastAsia="宋体" w:cs="宋体"/>
          <w:sz w:val="21"/>
        </w:rPr>
        <w:t>合同。有过错的一方应当承担赔偿责任，双方都有过错的，各自承担相应的责任。</w:t>
      </w:r>
    </w:p>
    <w:p w14:paraId="37961131">
      <w:pPr>
        <w:shd w:val="clear" w:color="auto" w:fill="auto"/>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w:t>
      </w:r>
      <w:r>
        <w:rPr>
          <w:rFonts w:hint="eastAsia" w:ascii="宋体" w:hAnsi="宋体" w:eastAsia="宋体" w:cs="宋体"/>
          <w:b/>
          <w:bCs/>
          <w:color w:val="auto"/>
          <w:sz w:val="24"/>
          <w:highlight w:val="none"/>
          <w:lang w:val="en-US" w:eastAsia="zh-CN"/>
        </w:rPr>
        <w:t>7</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合同分包</w:t>
      </w:r>
    </w:p>
    <w:p w14:paraId="2798A954">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.1 乙方不得</w:t>
      </w:r>
      <w:r>
        <w:rPr>
          <w:rFonts w:hint="eastAsia" w:ascii="宋体" w:hAnsi="宋体" w:eastAsia="宋体" w:cs="宋体"/>
          <w:color w:val="auto"/>
          <w:szCs w:val="21"/>
          <w:highlight w:val="none"/>
          <w:lang w:eastAsia="zh-CN"/>
        </w:rPr>
        <w:t>将合同转包给其他供应商。涉及合同分包的，乙方</w:t>
      </w:r>
      <w:r>
        <w:rPr>
          <w:rFonts w:hint="eastAsia" w:ascii="宋体" w:hAnsi="宋体" w:eastAsia="宋体" w:cs="宋体"/>
          <w:color w:val="auto"/>
          <w:szCs w:val="21"/>
          <w:highlight w:val="none"/>
          <w:lang w:val="en-US" w:eastAsia="zh-CN"/>
        </w:rPr>
        <w:t>应</w:t>
      </w:r>
      <w:r>
        <w:rPr>
          <w:rFonts w:hint="eastAsia" w:ascii="宋体" w:hAnsi="宋体" w:eastAsia="宋体" w:cs="宋体"/>
          <w:color w:val="auto"/>
          <w:szCs w:val="21"/>
          <w:highlight w:val="none"/>
          <w:lang w:eastAsia="zh-CN"/>
        </w:rPr>
        <w:t>根据采购文件和投标（响应）文件规定进行</w:t>
      </w:r>
      <w:r>
        <w:rPr>
          <w:rFonts w:hint="eastAsia" w:ascii="宋体" w:hAnsi="宋体" w:eastAsia="宋体" w:cs="宋体"/>
          <w:color w:val="auto"/>
          <w:szCs w:val="21"/>
          <w:highlight w:val="none"/>
        </w:rPr>
        <w:t>合同分包。</w:t>
      </w:r>
    </w:p>
    <w:p w14:paraId="2952A5FA">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7</w:t>
      </w:r>
      <w:r>
        <w:rPr>
          <w:rFonts w:hint="eastAsia" w:ascii="宋体" w:hAnsi="宋体" w:eastAsia="宋体" w:cs="宋体"/>
          <w:color w:val="auto"/>
          <w:szCs w:val="21"/>
          <w:highlight w:val="none"/>
        </w:rPr>
        <w:t>.2 乙方执行政府采购政策向中小企业依法分包的</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乙方应当按采购文件</w:t>
      </w:r>
      <w:r>
        <w:rPr>
          <w:rFonts w:hint="eastAsia" w:ascii="宋体" w:hAnsi="宋体" w:eastAsia="宋体" w:cs="宋体"/>
          <w:color w:val="auto"/>
          <w:szCs w:val="21"/>
          <w:highlight w:val="none"/>
          <w:lang w:eastAsia="zh-CN"/>
        </w:rPr>
        <w:t>和</w:t>
      </w:r>
      <w:r>
        <w:rPr>
          <w:rFonts w:hint="eastAsia" w:ascii="宋体" w:hAnsi="宋体" w:eastAsia="宋体" w:cs="宋体"/>
          <w:color w:val="auto"/>
          <w:szCs w:val="21"/>
          <w:highlight w:val="none"/>
        </w:rPr>
        <w:t>投标（响应）文件签订分包</w:t>
      </w:r>
      <w:r>
        <w:rPr>
          <w:rFonts w:hint="eastAsia" w:ascii="宋体" w:hAnsi="宋体" w:eastAsia="宋体" w:cs="宋体"/>
          <w:color w:val="auto"/>
          <w:szCs w:val="21"/>
          <w:highlight w:val="none"/>
          <w:lang w:eastAsia="zh-CN"/>
        </w:rPr>
        <w:t>意向</w:t>
      </w:r>
      <w:r>
        <w:rPr>
          <w:rFonts w:hint="eastAsia" w:ascii="宋体" w:hAnsi="宋体" w:eastAsia="宋体" w:cs="宋体"/>
          <w:color w:val="auto"/>
          <w:szCs w:val="21"/>
          <w:highlight w:val="none"/>
        </w:rPr>
        <w:t>协议，分包</w:t>
      </w:r>
      <w:r>
        <w:rPr>
          <w:rFonts w:hint="eastAsia" w:ascii="宋体" w:hAnsi="宋体" w:eastAsia="宋体" w:cs="宋体"/>
          <w:color w:val="auto"/>
          <w:szCs w:val="21"/>
          <w:highlight w:val="none"/>
          <w:lang w:eastAsia="zh-CN"/>
        </w:rPr>
        <w:t>意向</w:t>
      </w:r>
      <w:r>
        <w:rPr>
          <w:rFonts w:hint="eastAsia" w:ascii="宋体" w:hAnsi="宋体" w:eastAsia="宋体" w:cs="宋体"/>
          <w:color w:val="auto"/>
          <w:szCs w:val="21"/>
          <w:highlight w:val="none"/>
        </w:rPr>
        <w:t>协议属于本合同组成部分。</w:t>
      </w:r>
    </w:p>
    <w:p w14:paraId="239F0068">
      <w:pPr>
        <w:shd w:val="clear" w:color="auto" w:fill="auto"/>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1</w:t>
      </w:r>
      <w:r>
        <w:rPr>
          <w:rFonts w:hint="eastAsia" w:ascii="宋体" w:hAnsi="宋体" w:eastAsia="宋体" w:cs="宋体"/>
          <w:b/>
          <w:bCs/>
          <w:color w:val="auto"/>
          <w:sz w:val="24"/>
          <w:highlight w:val="none"/>
          <w:lang w:val="en-US" w:eastAsia="zh-CN"/>
        </w:rPr>
        <w:t>8</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不可抗力</w:t>
      </w:r>
    </w:p>
    <w:p w14:paraId="4CB0F319">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.1 不可抗力是指合同双方不能预见、不能避免且不能克服的客观情况。</w:t>
      </w:r>
    </w:p>
    <w:p w14:paraId="69B20392">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.2 任何一方对由于不可抗力造成的部分或全部不能履行合同不承担违约责任。但迟延履行后发生不可抗力的，不能免除责任。</w:t>
      </w:r>
    </w:p>
    <w:p w14:paraId="5D6E4F49">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1</w:t>
      </w:r>
      <w:r>
        <w:rPr>
          <w:rFonts w:hint="eastAsia" w:ascii="宋体" w:hAnsi="宋体" w:eastAsia="宋体" w:cs="宋体"/>
          <w:color w:val="auto"/>
          <w:szCs w:val="21"/>
          <w:highlight w:val="none"/>
          <w:lang w:val="en-US" w:eastAsia="zh-CN"/>
        </w:rPr>
        <w:t>8</w:t>
      </w:r>
      <w:r>
        <w:rPr>
          <w:rFonts w:hint="eastAsia" w:ascii="宋体" w:hAnsi="宋体" w:eastAsia="宋体" w:cs="宋体"/>
          <w:color w:val="auto"/>
          <w:szCs w:val="21"/>
          <w:highlight w:val="none"/>
        </w:rPr>
        <w:t>.3 遇有不可抗力的一方，应及时将事件情况以书面形式</w:t>
      </w:r>
      <w:r>
        <w:rPr>
          <w:rFonts w:hint="eastAsia" w:ascii="宋体" w:hAnsi="宋体" w:eastAsia="宋体" w:cs="宋体"/>
          <w:color w:val="auto"/>
          <w:szCs w:val="21"/>
          <w:highlight w:val="none"/>
          <w:lang w:eastAsia="zh-CN"/>
        </w:rPr>
        <w:t>告</w:t>
      </w:r>
      <w:r>
        <w:rPr>
          <w:rFonts w:hint="eastAsia" w:ascii="宋体" w:hAnsi="宋体" w:eastAsia="宋体" w:cs="宋体"/>
          <w:color w:val="auto"/>
          <w:szCs w:val="21"/>
          <w:highlight w:val="none"/>
        </w:rPr>
        <w:t>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的详细</w:t>
      </w:r>
      <w:r>
        <w:rPr>
          <w:rFonts w:hint="eastAsia" w:ascii="宋体" w:hAnsi="宋体" w:eastAsia="宋体" w:cs="宋体"/>
          <w:color w:val="auto"/>
          <w:szCs w:val="21"/>
          <w:highlight w:val="none"/>
        </w:rPr>
        <w:t>报告</w:t>
      </w:r>
      <w:r>
        <w:rPr>
          <w:rFonts w:hint="eastAsia" w:ascii="宋体" w:hAnsi="宋体" w:eastAsia="宋体" w:cs="宋体"/>
          <w:color w:val="auto"/>
          <w:szCs w:val="21"/>
          <w:highlight w:val="none"/>
          <w:lang w:eastAsia="zh-CN"/>
        </w:rPr>
        <w:t>，以</w:t>
      </w:r>
      <w:r>
        <w:rPr>
          <w:rFonts w:hint="eastAsia" w:ascii="宋体" w:hAnsi="宋体" w:eastAsia="宋体" w:cs="宋体"/>
          <w:color w:val="auto"/>
          <w:szCs w:val="21"/>
          <w:highlight w:val="none"/>
          <w:lang w:val="en-US" w:eastAsia="zh-CN"/>
        </w:rPr>
        <w:t>及证明不可抗力发生及其持续时间的证据</w:t>
      </w:r>
      <w:r>
        <w:rPr>
          <w:rFonts w:hint="eastAsia" w:ascii="宋体" w:hAnsi="宋体" w:eastAsia="宋体" w:cs="宋体"/>
          <w:color w:val="auto"/>
          <w:szCs w:val="21"/>
          <w:highlight w:val="none"/>
        </w:rPr>
        <w:t>。</w:t>
      </w:r>
    </w:p>
    <w:p w14:paraId="571DB84F">
      <w:pPr>
        <w:shd w:val="clear" w:color="auto" w:fill="auto"/>
        <w:autoSpaceDE w:val="0"/>
        <w:autoSpaceDN w:val="0"/>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19</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解决争议的方法</w:t>
      </w:r>
    </w:p>
    <w:p w14:paraId="79837840">
      <w:pPr>
        <w:pStyle w:val="43"/>
        <w:shd w:val="clear" w:color="auto" w:fill="auto"/>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.1 因本合同及合同有关事项发生的争议，由</w:t>
      </w:r>
      <w:r>
        <w:rPr>
          <w:rFonts w:hint="eastAsia" w:ascii="宋体" w:hAnsi="宋体" w:eastAsia="宋体" w:cs="宋体"/>
          <w:sz w:val="21"/>
          <w:lang w:eastAsia="zh-CN"/>
        </w:rPr>
        <w:t>甲乙双</w:t>
      </w:r>
      <w:r>
        <w:rPr>
          <w:rFonts w:hint="eastAsia" w:ascii="宋体" w:hAnsi="宋体" w:eastAsia="宋体" w:cs="宋体"/>
          <w:sz w:val="21"/>
        </w:rPr>
        <w:t>方友好协商解决。协商不成时，可以</w:t>
      </w:r>
      <w:r>
        <w:rPr>
          <w:rFonts w:hint="eastAsia" w:ascii="宋体" w:hAnsi="宋体" w:eastAsia="宋体" w:cs="宋体"/>
          <w:sz w:val="21"/>
          <w:lang w:eastAsia="zh-CN"/>
        </w:rPr>
        <w:t>向有关组织申请</w:t>
      </w:r>
      <w:r>
        <w:rPr>
          <w:rFonts w:hint="eastAsia" w:ascii="宋体" w:hAnsi="宋体" w:eastAsia="宋体" w:cs="宋体"/>
          <w:sz w:val="21"/>
        </w:rPr>
        <w:t>调解。合同一方或</w:t>
      </w:r>
      <w:r>
        <w:rPr>
          <w:rFonts w:hint="eastAsia" w:ascii="宋体" w:hAnsi="宋体" w:eastAsia="宋体" w:cs="宋体"/>
          <w:sz w:val="21"/>
          <w:lang w:eastAsia="zh-CN"/>
        </w:rPr>
        <w:t>双</w:t>
      </w:r>
      <w:r>
        <w:rPr>
          <w:rFonts w:hint="eastAsia" w:ascii="宋体" w:hAnsi="宋体" w:eastAsia="宋体" w:cs="宋体"/>
          <w:sz w:val="21"/>
        </w:rPr>
        <w:t>方不愿调解或调解不成的，可以通过仲裁或诉讼的方式解决争议。</w:t>
      </w:r>
    </w:p>
    <w:p w14:paraId="0A2DDEDF">
      <w:pPr>
        <w:pStyle w:val="43"/>
        <w:shd w:val="clear" w:color="auto" w:fill="auto"/>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55863D04">
      <w:pPr>
        <w:pStyle w:val="43"/>
        <w:shd w:val="clear" w:color="auto" w:fill="auto"/>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.3 如</w:t>
      </w:r>
      <w:r>
        <w:rPr>
          <w:rFonts w:hint="eastAsia" w:ascii="宋体" w:hAnsi="宋体" w:eastAsia="宋体" w:cs="宋体"/>
          <w:sz w:val="21"/>
          <w:lang w:eastAsia="zh-CN"/>
        </w:rPr>
        <w:t>甲乙双方</w:t>
      </w:r>
      <w:r>
        <w:rPr>
          <w:rFonts w:hint="eastAsia" w:ascii="宋体" w:hAnsi="宋体" w:eastAsia="宋体" w:cs="宋体"/>
          <w:sz w:val="21"/>
        </w:rPr>
        <w:t>有争议的事项不影响合同其他部分的履行，在争议解决期间，合同其他部分应</w:t>
      </w:r>
      <w:r>
        <w:rPr>
          <w:rFonts w:hint="eastAsia" w:ascii="宋体" w:hAnsi="宋体" w:eastAsia="宋体" w:cs="宋体"/>
          <w:sz w:val="21"/>
          <w:lang w:eastAsia="zh-CN"/>
        </w:rPr>
        <w:t>当</w:t>
      </w:r>
      <w:r>
        <w:rPr>
          <w:rFonts w:hint="eastAsia" w:ascii="宋体" w:hAnsi="宋体" w:eastAsia="宋体" w:cs="宋体"/>
          <w:sz w:val="21"/>
        </w:rPr>
        <w:t>继续履行。</w:t>
      </w:r>
    </w:p>
    <w:p w14:paraId="2C8BD9FD">
      <w:pPr>
        <w:shd w:val="clear" w:color="auto" w:fill="auto"/>
        <w:autoSpaceDE w:val="0"/>
        <w:autoSpaceDN w:val="0"/>
        <w:adjustRightInd w:val="0"/>
        <w:snapToGrid w:val="0"/>
        <w:spacing w:before="0" w:line="400" w:lineRule="exact"/>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20</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政府采购政策</w:t>
      </w:r>
    </w:p>
    <w:p w14:paraId="5F79F983">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lang w:val="en-GB"/>
        </w:rPr>
        <w:t>本合同应当按照规定执行政府采购政策。</w:t>
      </w:r>
    </w:p>
    <w:p w14:paraId="58F1DCB9">
      <w:pPr>
        <w:shd w:val="clear" w:color="auto" w:fill="auto"/>
        <w:autoSpaceDE w:val="0"/>
        <w:autoSpaceDN w:val="0"/>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甲乙双方</w:t>
      </w:r>
      <w:r>
        <w:rPr>
          <w:rFonts w:hint="eastAsia" w:ascii="宋体" w:hAnsi="宋体" w:eastAsia="宋体" w:cs="宋体"/>
          <w:lang w:val="en-GB"/>
        </w:rPr>
        <w:t>未按规定要求执行政府采购政策造成损失的</w:t>
      </w:r>
      <w:r>
        <w:rPr>
          <w:rFonts w:hint="eastAsia" w:ascii="宋体" w:hAnsi="宋体" w:eastAsia="宋体" w:cs="宋体"/>
          <w:color w:val="auto"/>
          <w:szCs w:val="21"/>
          <w:highlight w:val="none"/>
        </w:rPr>
        <w:t>，有过错的一方应当承担赔偿责任，双方都有过错的，各自承担相应的责任。</w:t>
      </w:r>
    </w:p>
    <w:p w14:paraId="63ED16C4">
      <w:pPr>
        <w:pStyle w:val="11"/>
        <w:shd w:val="clear" w:color="auto" w:fill="auto"/>
        <w:spacing w:after="0" w:line="400" w:lineRule="exact"/>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0</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 xml:space="preserve"> 对于</w:t>
      </w:r>
      <w:r>
        <w:rPr>
          <w:rFonts w:hint="eastAsia" w:ascii="宋体" w:hAnsi="宋体" w:eastAsia="宋体" w:cs="宋体"/>
          <w:color w:val="auto"/>
          <w:szCs w:val="21"/>
          <w:highlight w:val="none"/>
          <w:lang w:eastAsia="zh-CN"/>
        </w:rPr>
        <w:t>为落实中小企业支持政策，</w:t>
      </w:r>
      <w:r>
        <w:rPr>
          <w:rFonts w:hint="eastAsia" w:ascii="宋体" w:hAnsi="宋体" w:eastAsia="宋体" w:cs="宋体"/>
          <w:color w:val="auto"/>
          <w:szCs w:val="21"/>
          <w:highlight w:val="none"/>
        </w:rPr>
        <w:t>通过采购项目</w:t>
      </w:r>
      <w:r>
        <w:rPr>
          <w:rFonts w:hint="eastAsia" w:ascii="宋体" w:hAnsi="宋体" w:eastAsia="宋体" w:cs="宋体"/>
          <w:color w:val="auto"/>
          <w:szCs w:val="21"/>
          <w:highlight w:val="none"/>
          <w:lang w:eastAsia="zh-CN"/>
        </w:rPr>
        <w:t>整体</w:t>
      </w:r>
      <w:r>
        <w:rPr>
          <w:rFonts w:hint="eastAsia" w:ascii="宋体" w:hAnsi="宋体" w:eastAsia="宋体" w:cs="宋体"/>
          <w:color w:val="auto"/>
          <w:szCs w:val="21"/>
          <w:highlight w:val="none"/>
        </w:rPr>
        <w:t>预留、</w:t>
      </w:r>
      <w:r>
        <w:rPr>
          <w:rFonts w:hint="eastAsia" w:ascii="宋体" w:hAnsi="宋体" w:eastAsia="宋体" w:cs="宋体"/>
          <w:color w:val="auto"/>
          <w:szCs w:val="21"/>
          <w:highlight w:val="none"/>
          <w:lang w:eastAsia="zh-CN"/>
        </w:rPr>
        <w:t>设置</w:t>
      </w:r>
      <w:r>
        <w:rPr>
          <w:rFonts w:hint="eastAsia" w:ascii="宋体" w:hAnsi="宋体" w:eastAsia="宋体" w:cs="宋体"/>
          <w:color w:val="auto"/>
          <w:szCs w:val="21"/>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7952EE3">
      <w:pPr>
        <w:shd w:val="clear" w:color="auto" w:fill="auto"/>
        <w:autoSpaceDE w:val="0"/>
        <w:autoSpaceDN w:val="0"/>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1</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法律适用</w:t>
      </w:r>
    </w:p>
    <w:p w14:paraId="6550C842">
      <w:pPr>
        <w:pStyle w:val="43"/>
        <w:shd w:val="clear" w:color="auto" w:fill="auto"/>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1</w:t>
      </w:r>
      <w:r>
        <w:rPr>
          <w:rFonts w:hint="eastAsia" w:ascii="宋体" w:hAnsi="宋体" w:eastAsia="宋体" w:cs="宋体"/>
          <w:sz w:val="21"/>
        </w:rPr>
        <w:t>.1 本合同的订立、生效、解释、履行及与本合同有关的争议解决，均适用法律、行政法规。</w:t>
      </w:r>
    </w:p>
    <w:p w14:paraId="72D3498E">
      <w:pPr>
        <w:pStyle w:val="43"/>
        <w:shd w:val="clear" w:color="auto" w:fill="auto"/>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1</w:t>
      </w:r>
      <w:r>
        <w:rPr>
          <w:rFonts w:hint="eastAsia" w:ascii="宋体" w:hAnsi="宋体" w:eastAsia="宋体" w:cs="宋体"/>
          <w:sz w:val="21"/>
        </w:rPr>
        <w:t>.2 本合同条款与法律、行政法规的强制性规定不一致的，双方当事人应按照法律、行政法规的强制性规定修改本合同的相关条款。</w:t>
      </w:r>
    </w:p>
    <w:p w14:paraId="3F0A7691">
      <w:pPr>
        <w:numPr>
          <w:ilvl w:val="0"/>
          <w:numId w:val="0"/>
        </w:numPr>
        <w:shd w:val="clear" w:color="auto" w:fill="auto"/>
        <w:autoSpaceDE w:val="0"/>
        <w:autoSpaceDN w:val="0"/>
        <w:adjustRightInd w:val="0"/>
        <w:snapToGrid w:val="0"/>
        <w:spacing w:before="0" w:line="400" w:lineRule="exact"/>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通知</w:t>
      </w:r>
    </w:p>
    <w:p w14:paraId="10717673">
      <w:pPr>
        <w:pStyle w:val="43"/>
        <w:shd w:val="clear" w:color="auto" w:fill="auto"/>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2</w:t>
      </w:r>
      <w:r>
        <w:rPr>
          <w:rFonts w:hint="eastAsia" w:ascii="宋体" w:hAnsi="宋体" w:eastAsia="宋体" w:cs="宋体"/>
          <w:sz w:val="21"/>
        </w:rPr>
        <w:t>.1</w:t>
      </w:r>
      <w:r>
        <w:rPr>
          <w:rFonts w:hint="eastAsia" w:ascii="宋体" w:hAnsi="宋体" w:eastAsia="宋体" w:cs="宋体"/>
          <w:sz w:val="21"/>
          <w:lang w:val="en-US" w:eastAsia="zh-CN"/>
        </w:rPr>
        <w:t xml:space="preserve"> </w:t>
      </w:r>
      <w:r>
        <w:rPr>
          <w:rFonts w:hint="eastAsia" w:ascii="宋体" w:hAnsi="宋体" w:eastAsia="宋体" w:cs="宋体"/>
          <w:sz w:val="21"/>
        </w:rPr>
        <w:t>本合同任何一方向对方发出的通知、信件、数据电文等，应当发送至本合同第一部分《政府采购合同协议书》所约定的通讯地址、联系人、联系电话或电子邮箱。</w:t>
      </w:r>
    </w:p>
    <w:p w14:paraId="00EA6D7C">
      <w:pPr>
        <w:pStyle w:val="43"/>
        <w:shd w:val="clear" w:color="auto" w:fill="auto"/>
        <w:ind w:firstLine="0" w:firstLineChars="0"/>
        <w:jc w:val="both"/>
        <w:rPr>
          <w:rFonts w:hint="eastAsia" w:ascii="宋体" w:hAnsi="宋体" w:eastAsia="宋体" w:cs="宋体"/>
          <w:sz w:val="21"/>
        </w:rPr>
      </w:pPr>
      <w:r>
        <w:rPr>
          <w:rFonts w:hint="eastAsia" w:ascii="宋体" w:hAnsi="宋体" w:eastAsia="宋体" w:cs="宋体"/>
          <w:sz w:val="21"/>
          <w:lang w:val="en-US" w:eastAsia="zh-CN"/>
        </w:rPr>
        <w:t xml:space="preserve">    </w:t>
      </w:r>
      <w:r>
        <w:rPr>
          <w:rFonts w:hint="eastAsia" w:ascii="宋体" w:hAnsi="宋体" w:eastAsia="宋体" w:cs="宋体"/>
          <w:sz w:val="21"/>
        </w:rPr>
        <w:t>2</w:t>
      </w:r>
      <w:r>
        <w:rPr>
          <w:rFonts w:hint="eastAsia" w:ascii="宋体" w:hAnsi="宋体" w:eastAsia="宋体" w:cs="宋体"/>
          <w:sz w:val="21"/>
          <w:lang w:val="en-US" w:eastAsia="zh-CN"/>
        </w:rPr>
        <w:t>2</w:t>
      </w:r>
      <w:r>
        <w:rPr>
          <w:rFonts w:hint="eastAsia" w:ascii="宋体" w:hAnsi="宋体" w:eastAsia="宋体" w:cs="宋体"/>
          <w:sz w:val="21"/>
        </w:rPr>
        <w:t>.2</w:t>
      </w:r>
      <w:r>
        <w:rPr>
          <w:rFonts w:hint="eastAsia" w:ascii="宋体" w:hAnsi="宋体" w:eastAsia="宋体" w:cs="宋体"/>
          <w:sz w:val="21"/>
          <w:lang w:val="en-US" w:eastAsia="zh-CN"/>
        </w:rPr>
        <w:t xml:space="preserve"> </w:t>
      </w:r>
      <w:r>
        <w:rPr>
          <w:rFonts w:hint="eastAsia" w:ascii="宋体" w:hAnsi="宋体" w:eastAsia="宋体" w:cs="宋体"/>
          <w:sz w:val="21"/>
        </w:rPr>
        <w:t>一方当事人变更名称、</w:t>
      </w:r>
      <w:r>
        <w:rPr>
          <w:rFonts w:hint="eastAsia" w:ascii="宋体" w:hAnsi="宋体" w:eastAsia="宋体" w:cs="宋体"/>
          <w:sz w:val="21"/>
          <w:lang w:eastAsia="zh-CN"/>
        </w:rPr>
        <w:t>住所</w:t>
      </w:r>
      <w:r>
        <w:rPr>
          <w:rFonts w:hint="eastAsia" w:ascii="宋体" w:hAnsi="宋体" w:eastAsia="宋体" w:cs="宋体"/>
          <w:sz w:val="21"/>
        </w:rPr>
        <w:t>、联系人、联系电话或电子邮箱</w:t>
      </w:r>
      <w:r>
        <w:rPr>
          <w:rFonts w:hint="eastAsia" w:ascii="宋体" w:hAnsi="宋体" w:eastAsia="宋体" w:cs="宋体"/>
          <w:sz w:val="21"/>
          <w:lang w:eastAsia="zh-CN"/>
        </w:rPr>
        <w:t>等信息</w:t>
      </w:r>
      <w:r>
        <w:rPr>
          <w:rFonts w:hint="eastAsia" w:ascii="宋体" w:hAnsi="宋体" w:eastAsia="宋体" w:cs="宋体"/>
          <w:sz w:val="21"/>
        </w:rPr>
        <w:t>的，应当在变更后3日内及时书面通知对方，对方实际收到变更通知前的送达仍为有效送达。</w:t>
      </w:r>
    </w:p>
    <w:p w14:paraId="2F4BADA1">
      <w:pPr>
        <w:shd w:val="clear" w:color="auto" w:fill="auto"/>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本合同一方给另一方的通知均应采用书面形式，传真或快递送到本合同中规定的对方的地址和办理签收手续。</w:t>
      </w:r>
    </w:p>
    <w:p w14:paraId="619E134E">
      <w:pPr>
        <w:shd w:val="clear" w:color="auto" w:fill="auto"/>
        <w:adjustRightInd w:val="0"/>
        <w:snapToGrid w:val="0"/>
        <w:spacing w:before="0" w:line="400" w:lineRule="exact"/>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通知以送达之日或通知书中规定的生效之日起生效，两者中以较迟之日为准。</w:t>
      </w:r>
    </w:p>
    <w:p w14:paraId="4990DADD">
      <w:pPr>
        <w:numPr>
          <w:ilvl w:val="0"/>
          <w:numId w:val="6"/>
        </w:numPr>
        <w:shd w:val="clear" w:color="auto" w:fill="auto"/>
        <w:adjustRightInd w:val="0"/>
        <w:snapToGrid w:val="0"/>
        <w:spacing w:before="0" w:line="400" w:lineRule="exact"/>
        <w:jc w:val="lef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合同未尽事项</w:t>
      </w:r>
    </w:p>
    <w:p w14:paraId="06B7D6B2">
      <w:pPr>
        <w:shd w:val="clear" w:color="auto" w:fill="auto"/>
        <w:adjustRightInd w:val="0"/>
        <w:snapToGrid w:val="0"/>
        <w:spacing w:before="0" w:line="400" w:lineRule="exact"/>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w:t>
      </w:r>
      <w:r>
        <w:rPr>
          <w:rFonts w:hint="eastAsia" w:ascii="宋体" w:hAnsi="宋体" w:eastAsia="宋体" w:cs="宋体"/>
          <w:bCs/>
          <w:color w:val="auto"/>
          <w:szCs w:val="21"/>
          <w:highlight w:val="none"/>
          <w:lang w:val="en-US" w:eastAsia="zh-CN"/>
        </w:rPr>
        <w:t>3</w:t>
      </w:r>
      <w:r>
        <w:rPr>
          <w:rFonts w:hint="eastAsia" w:ascii="宋体" w:hAnsi="宋体" w:eastAsia="宋体" w:cs="宋体"/>
          <w:bCs/>
          <w:color w:val="auto"/>
          <w:szCs w:val="21"/>
          <w:highlight w:val="none"/>
        </w:rPr>
        <w:t>.1合同未尽事项见</w:t>
      </w:r>
      <w:r>
        <w:rPr>
          <w:rFonts w:hint="eastAsia" w:ascii="宋体" w:hAnsi="宋体" w:eastAsia="宋体" w:cs="宋体"/>
          <w:b/>
          <w:color w:val="auto"/>
          <w:szCs w:val="21"/>
          <w:highlight w:val="none"/>
        </w:rPr>
        <w:t>【政府采购合同专用条款】</w:t>
      </w:r>
      <w:r>
        <w:rPr>
          <w:rFonts w:hint="eastAsia" w:ascii="宋体" w:hAnsi="宋体" w:eastAsia="宋体" w:cs="宋体"/>
          <w:bCs/>
          <w:color w:val="auto"/>
          <w:szCs w:val="21"/>
          <w:highlight w:val="none"/>
        </w:rPr>
        <w:t>。</w:t>
      </w:r>
    </w:p>
    <w:p w14:paraId="536F0680">
      <w:pPr>
        <w:shd w:val="clear" w:color="auto" w:fill="auto"/>
        <w:adjustRightInd w:val="0"/>
        <w:snapToGrid w:val="0"/>
        <w:spacing w:line="400" w:lineRule="exact"/>
        <w:ind w:firstLine="0" w:firstLineChars="0"/>
        <w:jc w:val="left"/>
        <w:rPr>
          <w:rFonts w:hint="eastAsia" w:ascii="宋体" w:hAnsi="宋体" w:eastAsia="宋体" w:cs="宋体"/>
          <w:color w:val="auto"/>
          <w:sz w:val="28"/>
          <w:szCs w:val="28"/>
        </w:rPr>
      </w:pPr>
      <w:r>
        <w:rPr>
          <w:rFonts w:hint="eastAsia" w:ascii="宋体" w:hAnsi="宋体" w:eastAsia="宋体" w:cs="宋体"/>
          <w:bCs/>
          <w:color w:val="auto"/>
          <w:szCs w:val="21"/>
          <w:highlight w:val="none"/>
          <w:lang w:val="en-US" w:eastAsia="zh-CN"/>
        </w:rPr>
        <w:t xml:space="preserve">    23.2 合同附件与合同正文具有同等的法律效力。</w:t>
      </w:r>
      <w:bookmarkStart w:id="215" w:name="_Toc20313"/>
    </w:p>
    <w:p w14:paraId="09F158BD">
      <w:pPr>
        <w:shd w:val="clear" w:color="auto" w:fill="auto"/>
        <w:adjustRightInd w:val="0"/>
        <w:snapToGrid w:val="0"/>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br w:type="page"/>
      </w:r>
    </w:p>
    <w:p w14:paraId="5EB7308C">
      <w:pPr>
        <w:pStyle w:val="3"/>
        <w:shd w:val="clear" w:color="auto" w:fill="auto"/>
        <w:adjustRightInd w:val="0"/>
        <w:snapToGrid w:val="0"/>
        <w:jc w:val="center"/>
        <w:rPr>
          <w:rFonts w:hint="eastAsia" w:ascii="宋体" w:hAnsi="宋体" w:eastAsia="宋体" w:cs="宋体"/>
          <w:b w:val="0"/>
          <w:bCs w:val="0"/>
          <w:sz w:val="28"/>
          <w:szCs w:val="28"/>
        </w:rPr>
      </w:pPr>
      <w:bookmarkStart w:id="216" w:name="_Toc11738"/>
      <w:bookmarkStart w:id="217" w:name="_Toc11432"/>
      <w:r>
        <w:rPr>
          <w:rFonts w:hint="eastAsia" w:ascii="宋体" w:hAnsi="宋体" w:eastAsia="宋体" w:cs="宋体"/>
          <w:b w:val="0"/>
          <w:bCs w:val="0"/>
          <w:sz w:val="28"/>
          <w:szCs w:val="28"/>
        </w:rPr>
        <w:t>第三节 政府采购合同专用条款</w:t>
      </w:r>
      <w:bookmarkEnd w:id="215"/>
      <w:bookmarkEnd w:id="216"/>
      <w:bookmarkEnd w:id="217"/>
    </w:p>
    <w:tbl>
      <w:tblPr>
        <w:tblStyle w:val="27"/>
        <w:tblW w:w="4999" w:type="pct"/>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837"/>
        <w:gridCol w:w="1991"/>
        <w:gridCol w:w="5910"/>
      </w:tblGrid>
      <w:tr w14:paraId="7E81C17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tcBorders>
              <w:top w:val="double" w:color="auto" w:sz="4" w:space="0"/>
            </w:tcBorders>
            <w:noWrap w:val="0"/>
            <w:vAlign w:val="center"/>
          </w:tcPr>
          <w:p w14:paraId="4338BE3A">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59EC530F">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第1.2（6）项</w:t>
            </w:r>
          </w:p>
        </w:tc>
        <w:tc>
          <w:tcPr>
            <w:tcW w:w="1022" w:type="pct"/>
            <w:tcBorders>
              <w:top w:val="double" w:color="auto" w:sz="4" w:space="0"/>
            </w:tcBorders>
            <w:noWrap w:val="0"/>
            <w:vAlign w:val="center"/>
          </w:tcPr>
          <w:p w14:paraId="23890165">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联合体具体要求</w:t>
            </w:r>
          </w:p>
        </w:tc>
        <w:tc>
          <w:tcPr>
            <w:tcW w:w="3034" w:type="pct"/>
            <w:tcBorders>
              <w:top w:val="double" w:color="auto" w:sz="4" w:space="0"/>
            </w:tcBorders>
            <w:noWrap w:val="0"/>
            <w:vAlign w:val="center"/>
          </w:tcPr>
          <w:p w14:paraId="0510D58A">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本项目不接受联合体</w:t>
            </w:r>
          </w:p>
        </w:tc>
      </w:tr>
      <w:tr w14:paraId="278253C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943" w:type="pct"/>
            <w:noWrap w:val="0"/>
            <w:vAlign w:val="center"/>
          </w:tcPr>
          <w:p w14:paraId="14EE82DD">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56431739">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kern w:val="2"/>
                <w:highlight w:val="none"/>
                <w:lang w:bidi="he-IL"/>
              </w:rPr>
            </w:pPr>
            <w:r>
              <w:rPr>
                <w:rFonts w:hint="eastAsia" w:ascii="宋体" w:hAnsi="宋体" w:eastAsia="宋体" w:cs="宋体"/>
                <w:color w:val="auto"/>
                <w:highlight w:val="none"/>
                <w:lang w:bidi="he-IL"/>
              </w:rPr>
              <w:t>第1.2（7）项</w:t>
            </w:r>
          </w:p>
        </w:tc>
        <w:tc>
          <w:tcPr>
            <w:tcW w:w="1022" w:type="pct"/>
            <w:noWrap w:val="0"/>
            <w:vAlign w:val="center"/>
          </w:tcPr>
          <w:p w14:paraId="08AAA7E2">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kern w:val="2"/>
                <w:highlight w:val="none"/>
                <w:lang w:bidi="he-IL"/>
              </w:rPr>
            </w:pPr>
            <w:r>
              <w:rPr>
                <w:rFonts w:hint="eastAsia" w:ascii="宋体" w:hAnsi="宋体" w:eastAsia="宋体" w:cs="宋体"/>
                <w:color w:val="auto"/>
                <w:highlight w:val="none"/>
                <w:lang w:bidi="he-IL"/>
              </w:rPr>
              <w:t>其他术语解释</w:t>
            </w:r>
          </w:p>
        </w:tc>
        <w:tc>
          <w:tcPr>
            <w:tcW w:w="3034" w:type="pct"/>
            <w:noWrap w:val="0"/>
            <w:vAlign w:val="center"/>
          </w:tcPr>
          <w:p w14:paraId="1703E05B">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kern w:val="2"/>
                <w:highlight w:val="none"/>
                <w:lang w:bidi="he-IL"/>
              </w:rPr>
            </w:pPr>
            <w:r>
              <w:rPr>
                <w:rFonts w:hint="eastAsia" w:ascii="宋体" w:hAnsi="宋体" w:eastAsia="宋体" w:cs="宋体"/>
                <w:color w:val="auto"/>
                <w:kern w:val="2"/>
                <w:highlight w:val="none"/>
                <w:lang w:bidi="he-IL"/>
              </w:rPr>
              <w:t>无</w:t>
            </w:r>
          </w:p>
        </w:tc>
      </w:tr>
      <w:tr w14:paraId="64C98F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5ACCC9AF">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1C181A2D">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第4.4款</w:t>
            </w:r>
          </w:p>
        </w:tc>
        <w:tc>
          <w:tcPr>
            <w:tcW w:w="1022" w:type="pct"/>
            <w:noWrap w:val="0"/>
            <w:vAlign w:val="center"/>
          </w:tcPr>
          <w:p w14:paraId="196D268D">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履约验收中甲方提出异议或作出说明的期限</w:t>
            </w:r>
          </w:p>
        </w:tc>
        <w:tc>
          <w:tcPr>
            <w:tcW w:w="3034" w:type="pct"/>
            <w:noWrap w:val="0"/>
            <w:vAlign w:val="center"/>
          </w:tcPr>
          <w:p w14:paraId="40D77484">
            <w:pPr>
              <w:keepNext w:val="0"/>
              <w:keepLines w:val="0"/>
              <w:widowControl/>
              <w:suppressLineNumbers w:val="0"/>
              <w:adjustRightInd w:val="0"/>
              <w:snapToGrid w:val="0"/>
              <w:spacing w:before="0" w:beforeAutospacing="0" w:after="0" w:afterAutospacing="0"/>
              <w:ind w:left="0" w:right="0"/>
              <w:rPr>
                <w:rFonts w:hint="default" w:ascii="宋体" w:hAnsi="宋体" w:eastAsia="宋体" w:cs="宋体"/>
                <w:color w:val="auto"/>
                <w:kern w:val="2"/>
                <w:highlight w:val="none"/>
                <w:lang w:val="en-US" w:eastAsia="zh-CN" w:bidi="he-IL"/>
              </w:rPr>
            </w:pPr>
            <w:r>
              <w:rPr>
                <w:rFonts w:hint="eastAsia" w:ascii="宋体" w:hAnsi="宋体" w:eastAsia="宋体" w:cs="宋体"/>
                <w:color w:val="auto"/>
                <w:kern w:val="2"/>
                <w:highlight w:val="none"/>
                <w:lang w:val="en-US" w:eastAsia="zh-CN" w:bidi="he-IL"/>
              </w:rPr>
              <w:t>15日内</w:t>
            </w:r>
          </w:p>
        </w:tc>
      </w:tr>
      <w:tr w14:paraId="1BC75D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653BC544">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6B888F7B">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第4.6款</w:t>
            </w:r>
          </w:p>
        </w:tc>
        <w:tc>
          <w:tcPr>
            <w:tcW w:w="1022" w:type="pct"/>
            <w:noWrap w:val="0"/>
            <w:vAlign w:val="center"/>
          </w:tcPr>
          <w:p w14:paraId="27B7BBFE">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约定甲方承担的其他义务和责任</w:t>
            </w:r>
          </w:p>
        </w:tc>
        <w:tc>
          <w:tcPr>
            <w:tcW w:w="3034" w:type="pct"/>
            <w:noWrap w:val="0"/>
            <w:vAlign w:val="center"/>
          </w:tcPr>
          <w:p w14:paraId="021962E9">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kern w:val="2"/>
                <w:highlight w:val="none"/>
                <w:lang w:bidi="he-IL"/>
              </w:rPr>
            </w:pPr>
            <w:r>
              <w:rPr>
                <w:rFonts w:hint="eastAsia" w:ascii="宋体" w:hAnsi="宋体" w:eastAsia="宋体" w:cs="宋体"/>
                <w:color w:val="auto"/>
                <w:highlight w:val="none"/>
                <w:lang w:bidi="he-IL"/>
              </w:rPr>
              <w:t>甲乙双方在签订合同时自行商定</w:t>
            </w:r>
          </w:p>
        </w:tc>
      </w:tr>
      <w:tr w14:paraId="096F19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4140FE7A">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5890CB1C">
            <w:pPr>
              <w:keepNext w:val="0"/>
              <w:keepLines w:val="0"/>
              <w:widowControl/>
              <w:suppressLineNumbers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第5.4款</w:t>
            </w:r>
          </w:p>
        </w:tc>
        <w:tc>
          <w:tcPr>
            <w:tcW w:w="1022" w:type="pct"/>
            <w:noWrap w:val="0"/>
            <w:vAlign w:val="center"/>
          </w:tcPr>
          <w:p w14:paraId="63528A62">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约定乙方承担的其他义务和责任</w:t>
            </w:r>
          </w:p>
        </w:tc>
        <w:tc>
          <w:tcPr>
            <w:tcW w:w="3034" w:type="pct"/>
            <w:noWrap w:val="0"/>
            <w:vAlign w:val="center"/>
          </w:tcPr>
          <w:p w14:paraId="4E36534B">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kern w:val="2"/>
                <w:highlight w:val="none"/>
                <w:lang w:bidi="he-IL"/>
              </w:rPr>
            </w:pPr>
            <w:r>
              <w:rPr>
                <w:rFonts w:hint="eastAsia" w:ascii="宋体" w:hAnsi="宋体" w:eastAsia="宋体" w:cs="宋体"/>
                <w:color w:val="auto"/>
                <w:highlight w:val="none"/>
                <w:lang w:bidi="he-IL"/>
              </w:rPr>
              <w:t>甲乙双方在签订合同时自行商定</w:t>
            </w:r>
          </w:p>
        </w:tc>
      </w:tr>
      <w:tr w14:paraId="6438A8D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17FDB8B8">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60B8165C">
            <w:pPr>
              <w:keepNext w:val="0"/>
              <w:keepLines w:val="0"/>
              <w:widowControl/>
              <w:suppressLineNumbers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第6.1款</w:t>
            </w:r>
          </w:p>
        </w:tc>
        <w:tc>
          <w:tcPr>
            <w:tcW w:w="1022" w:type="pct"/>
            <w:noWrap w:val="0"/>
            <w:vAlign w:val="center"/>
          </w:tcPr>
          <w:p w14:paraId="64BE8814">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履行合同义务的顺序</w:t>
            </w:r>
          </w:p>
        </w:tc>
        <w:tc>
          <w:tcPr>
            <w:tcW w:w="3034" w:type="pct"/>
            <w:noWrap w:val="0"/>
            <w:vAlign w:val="center"/>
          </w:tcPr>
          <w:p w14:paraId="185BB93B">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kern w:val="2"/>
                <w:highlight w:val="none"/>
                <w:lang w:bidi="he-IL"/>
              </w:rPr>
            </w:pPr>
            <w:r>
              <w:rPr>
                <w:rFonts w:hint="eastAsia" w:ascii="宋体" w:hAnsi="宋体" w:eastAsia="宋体" w:cs="宋体"/>
                <w:color w:val="auto"/>
                <w:highlight w:val="none"/>
                <w:lang w:bidi="he-IL"/>
              </w:rPr>
              <w:t>甲乙双方在签订合同时自行商定</w:t>
            </w:r>
          </w:p>
        </w:tc>
      </w:tr>
      <w:tr w14:paraId="20F0A8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vMerge w:val="restart"/>
            <w:noWrap w:val="0"/>
            <w:vAlign w:val="center"/>
          </w:tcPr>
          <w:p w14:paraId="571BEACC">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60127699">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第7.1款</w:t>
            </w:r>
          </w:p>
        </w:tc>
        <w:tc>
          <w:tcPr>
            <w:tcW w:w="1022" w:type="pct"/>
            <w:noWrap w:val="0"/>
            <w:vAlign w:val="center"/>
          </w:tcPr>
          <w:p w14:paraId="5F7626C2">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包装特殊要求</w:t>
            </w:r>
          </w:p>
        </w:tc>
        <w:tc>
          <w:tcPr>
            <w:tcW w:w="3034" w:type="pct"/>
            <w:noWrap w:val="0"/>
            <w:vAlign w:val="center"/>
          </w:tcPr>
          <w:p w14:paraId="7DDD97AA">
            <w:pPr>
              <w:keepNext w:val="0"/>
              <w:keepLines w:val="0"/>
              <w:widowControl/>
              <w:suppressLineNumbers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甲乙双方在签订合同时自行商定</w:t>
            </w:r>
          </w:p>
        </w:tc>
      </w:tr>
      <w:tr w14:paraId="22A214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vMerge w:val="continue"/>
            <w:noWrap w:val="0"/>
            <w:vAlign w:val="center"/>
          </w:tcPr>
          <w:p w14:paraId="6E355270">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p>
        </w:tc>
        <w:tc>
          <w:tcPr>
            <w:tcW w:w="1022" w:type="pct"/>
            <w:noWrap w:val="0"/>
            <w:vAlign w:val="center"/>
          </w:tcPr>
          <w:p w14:paraId="5BA6D44D">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指定现场</w:t>
            </w:r>
          </w:p>
        </w:tc>
        <w:tc>
          <w:tcPr>
            <w:tcW w:w="3034" w:type="pct"/>
            <w:noWrap w:val="0"/>
            <w:vAlign w:val="center"/>
          </w:tcPr>
          <w:p w14:paraId="285D72BE">
            <w:pPr>
              <w:keepNext w:val="0"/>
              <w:keepLines w:val="0"/>
              <w:widowControl/>
              <w:suppressLineNumbers w:val="0"/>
              <w:spacing w:before="0" w:beforeAutospacing="0" w:after="0" w:afterAutospacing="0"/>
              <w:ind w:left="0" w:right="0"/>
              <w:rPr>
                <w:rFonts w:hint="eastAsia" w:ascii="宋体" w:hAnsi="宋体" w:eastAsia="宋体" w:cs="宋体"/>
                <w:color w:val="auto"/>
                <w:highlight w:val="none"/>
                <w:lang w:eastAsia="zh-CN" w:bidi="he-IL"/>
              </w:rPr>
            </w:pPr>
            <w:r>
              <w:rPr>
                <w:rFonts w:hint="eastAsia" w:ascii="宋体" w:hAnsi="宋体" w:cs="宋体"/>
                <w:color w:val="auto"/>
                <w:highlight w:val="none"/>
                <w:lang w:val="en-US" w:eastAsia="zh-CN" w:bidi="he-IL"/>
              </w:rPr>
              <w:t>香格里拉市人民医院</w:t>
            </w:r>
          </w:p>
        </w:tc>
      </w:tr>
      <w:tr w14:paraId="648EE0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943" w:type="pct"/>
            <w:noWrap w:val="0"/>
            <w:vAlign w:val="center"/>
          </w:tcPr>
          <w:p w14:paraId="1CA41E9C">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497059A5">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第7.2款</w:t>
            </w:r>
          </w:p>
        </w:tc>
        <w:tc>
          <w:tcPr>
            <w:tcW w:w="1022" w:type="pct"/>
            <w:noWrap w:val="0"/>
            <w:vAlign w:val="center"/>
          </w:tcPr>
          <w:p w14:paraId="049660FD">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运输特殊要求</w:t>
            </w:r>
          </w:p>
        </w:tc>
        <w:tc>
          <w:tcPr>
            <w:tcW w:w="3034" w:type="pct"/>
            <w:noWrap w:val="0"/>
            <w:vAlign w:val="center"/>
          </w:tcPr>
          <w:p w14:paraId="467002FA">
            <w:pPr>
              <w:keepNext w:val="0"/>
              <w:keepLines w:val="0"/>
              <w:widowControl/>
              <w:suppressLineNumbers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甲乙双方在签订合同时自行商定</w:t>
            </w:r>
          </w:p>
        </w:tc>
      </w:tr>
      <w:tr w14:paraId="19550B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943" w:type="pct"/>
            <w:noWrap w:val="0"/>
            <w:vAlign w:val="center"/>
          </w:tcPr>
          <w:p w14:paraId="69CE288D">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22CAEF51">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第7.3款</w:t>
            </w:r>
          </w:p>
        </w:tc>
        <w:tc>
          <w:tcPr>
            <w:tcW w:w="1022" w:type="pct"/>
            <w:noWrap w:val="0"/>
            <w:vAlign w:val="center"/>
          </w:tcPr>
          <w:p w14:paraId="1520B37A">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保险要求</w:t>
            </w:r>
          </w:p>
        </w:tc>
        <w:tc>
          <w:tcPr>
            <w:tcW w:w="3034" w:type="pct"/>
            <w:noWrap w:val="0"/>
            <w:vAlign w:val="center"/>
          </w:tcPr>
          <w:p w14:paraId="79925844">
            <w:pPr>
              <w:keepNext w:val="0"/>
              <w:keepLines w:val="0"/>
              <w:widowControl/>
              <w:suppressLineNumbers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无</w:t>
            </w:r>
          </w:p>
        </w:tc>
      </w:tr>
      <w:tr w14:paraId="15B0DE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040E4E7D">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11260B62">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第8.2（1）项</w:t>
            </w:r>
          </w:p>
        </w:tc>
        <w:tc>
          <w:tcPr>
            <w:tcW w:w="1022" w:type="pct"/>
            <w:noWrap w:val="0"/>
            <w:vAlign w:val="center"/>
          </w:tcPr>
          <w:p w14:paraId="21CCD7FB">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质量保证期</w:t>
            </w:r>
          </w:p>
        </w:tc>
        <w:tc>
          <w:tcPr>
            <w:tcW w:w="3034" w:type="pct"/>
            <w:noWrap w:val="0"/>
            <w:vAlign w:val="center"/>
          </w:tcPr>
          <w:p w14:paraId="02DC1D70">
            <w:pPr>
              <w:keepNext w:val="0"/>
              <w:keepLines w:val="0"/>
              <w:widowControl/>
              <w:suppressLineNumbers w:val="0"/>
              <w:autoSpaceDE w:val="0"/>
              <w:autoSpaceDN w:val="0"/>
              <w:adjustRightInd w:val="0"/>
              <w:snapToGrid w:val="0"/>
              <w:spacing w:before="0" w:beforeAutospacing="0" w:after="0" w:afterAutospacing="0"/>
              <w:ind w:left="0" w:right="0"/>
              <w:rPr>
                <w:rFonts w:hint="eastAsia" w:ascii="宋体" w:hAnsi="宋体" w:eastAsia="宋体" w:cs="宋体"/>
                <w:color w:val="auto"/>
                <w:highlight w:val="none"/>
                <w:lang w:eastAsia="zh-CN" w:bidi="he-IL"/>
              </w:rPr>
            </w:pPr>
            <w:r>
              <w:rPr>
                <w:rFonts w:hint="eastAsia" w:ascii="宋体" w:hAnsi="宋体" w:cs="宋体"/>
                <w:color w:val="auto"/>
                <w:highlight w:val="none"/>
                <w:lang w:eastAsia="zh-CN" w:bidi="he-IL"/>
              </w:rPr>
              <w:t>3年</w:t>
            </w:r>
          </w:p>
        </w:tc>
      </w:tr>
      <w:tr w14:paraId="22C1E7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535350BD">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5454640E">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第8.2（3）项</w:t>
            </w:r>
          </w:p>
        </w:tc>
        <w:tc>
          <w:tcPr>
            <w:tcW w:w="1022" w:type="pct"/>
            <w:noWrap w:val="0"/>
            <w:vAlign w:val="center"/>
          </w:tcPr>
          <w:p w14:paraId="49BA421C">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货物质量缺陷</w:t>
            </w:r>
          </w:p>
          <w:p w14:paraId="37F66084">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响应时间</w:t>
            </w:r>
          </w:p>
        </w:tc>
        <w:tc>
          <w:tcPr>
            <w:tcW w:w="3034" w:type="pct"/>
            <w:noWrap w:val="0"/>
            <w:vAlign w:val="center"/>
          </w:tcPr>
          <w:p w14:paraId="54FB357B">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无</w:t>
            </w:r>
          </w:p>
        </w:tc>
      </w:tr>
      <w:tr w14:paraId="6CF76C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03CC6202">
            <w:pPr>
              <w:keepNext w:val="0"/>
              <w:keepLines w:val="0"/>
              <w:widowControl/>
              <w:suppressLineNumbers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4ABE7D41">
            <w:pPr>
              <w:pStyle w:val="43"/>
              <w:keepNext w:val="0"/>
              <w:keepLines w:val="0"/>
              <w:widowControl/>
              <w:suppressLineNumbers w:val="0"/>
              <w:spacing w:before="0" w:beforeAutospacing="0" w:after="0" w:afterAutospacing="0"/>
              <w:ind w:left="0" w:right="0" w:firstLine="0" w:firstLineChars="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第11.1款</w:t>
            </w:r>
          </w:p>
        </w:tc>
        <w:tc>
          <w:tcPr>
            <w:tcW w:w="1022" w:type="pct"/>
            <w:noWrap w:val="0"/>
            <w:vAlign w:val="center"/>
          </w:tcPr>
          <w:p w14:paraId="0619A8A4">
            <w:pPr>
              <w:keepNext w:val="0"/>
              <w:keepLines w:val="0"/>
              <w:widowControl/>
              <w:suppressLineNumbers w:val="0"/>
              <w:adjustRightInd w:val="0"/>
              <w:snapToGrid w:val="0"/>
              <w:spacing w:before="0" w:beforeAutospacing="0" w:after="0" w:afterAutospacing="0"/>
              <w:ind w:left="0" w:right="0"/>
              <w:jc w:val="both"/>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其他应当保密的信息</w:t>
            </w:r>
          </w:p>
        </w:tc>
        <w:tc>
          <w:tcPr>
            <w:tcW w:w="3034" w:type="pct"/>
            <w:noWrap w:val="0"/>
            <w:vAlign w:val="center"/>
          </w:tcPr>
          <w:p w14:paraId="18DAE409">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无</w:t>
            </w:r>
          </w:p>
        </w:tc>
      </w:tr>
      <w:tr w14:paraId="22EBBB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24" w:hRule="atLeast"/>
        </w:trPr>
        <w:tc>
          <w:tcPr>
            <w:tcW w:w="943" w:type="pct"/>
            <w:noWrap w:val="0"/>
            <w:vAlign w:val="center"/>
          </w:tcPr>
          <w:p w14:paraId="30F8AEDC">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3DDA1790">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第12.2款</w:t>
            </w:r>
          </w:p>
        </w:tc>
        <w:tc>
          <w:tcPr>
            <w:tcW w:w="1022" w:type="pct"/>
            <w:noWrap w:val="0"/>
            <w:vAlign w:val="center"/>
          </w:tcPr>
          <w:p w14:paraId="04EC68BC">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合同价款支付时间</w:t>
            </w:r>
          </w:p>
        </w:tc>
        <w:tc>
          <w:tcPr>
            <w:tcW w:w="3034" w:type="pct"/>
            <w:noWrap w:val="0"/>
            <w:vAlign w:val="center"/>
          </w:tcPr>
          <w:p w14:paraId="145B23E8">
            <w:pPr>
              <w:keepNext w:val="0"/>
              <w:keepLines w:val="0"/>
              <w:widowControl/>
              <w:suppressLineNumbers w:val="0"/>
              <w:snapToGrid w:val="0"/>
              <w:spacing w:before="0" w:beforeAutospacing="0" w:after="0" w:afterAutospacing="0" w:line="400" w:lineRule="exact"/>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甲乙双方在签订合同时自行商定</w:t>
            </w:r>
          </w:p>
        </w:tc>
      </w:tr>
      <w:tr w14:paraId="16CFC3D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943" w:type="pct"/>
            <w:noWrap w:val="0"/>
            <w:vAlign w:val="center"/>
          </w:tcPr>
          <w:p w14:paraId="260401CC">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16F4D92E">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第13.2款</w:t>
            </w:r>
          </w:p>
        </w:tc>
        <w:tc>
          <w:tcPr>
            <w:tcW w:w="1022" w:type="pct"/>
            <w:noWrap w:val="0"/>
            <w:vAlign w:val="center"/>
          </w:tcPr>
          <w:p w14:paraId="69302D51">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履约保证金不予退还的情形</w:t>
            </w:r>
          </w:p>
        </w:tc>
        <w:tc>
          <w:tcPr>
            <w:tcW w:w="3034" w:type="pct"/>
            <w:noWrap w:val="0"/>
            <w:vAlign w:val="center"/>
          </w:tcPr>
          <w:p w14:paraId="49B16679">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无</w:t>
            </w:r>
          </w:p>
        </w:tc>
      </w:tr>
      <w:tr w14:paraId="2C5A4C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0EB962EC">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2C1D4464">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第13.3款</w:t>
            </w:r>
          </w:p>
        </w:tc>
        <w:tc>
          <w:tcPr>
            <w:tcW w:w="1022" w:type="pct"/>
            <w:noWrap w:val="0"/>
            <w:vAlign w:val="center"/>
          </w:tcPr>
          <w:p w14:paraId="77130E17">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bookmarkStart w:id="218" w:name="OLE_LINK5"/>
            <w:r>
              <w:rPr>
                <w:rFonts w:hint="eastAsia" w:ascii="宋体" w:hAnsi="宋体" w:eastAsia="宋体" w:cs="宋体"/>
                <w:color w:val="auto"/>
                <w:highlight w:val="none"/>
                <w:lang w:bidi="he-IL"/>
              </w:rPr>
              <w:t>履约保证金退还时间</w:t>
            </w:r>
            <w:bookmarkEnd w:id="218"/>
            <w:r>
              <w:rPr>
                <w:rFonts w:hint="eastAsia" w:ascii="宋体" w:hAnsi="宋体" w:eastAsia="宋体" w:cs="宋体"/>
                <w:color w:val="auto"/>
                <w:highlight w:val="none"/>
                <w:lang w:bidi="he-IL"/>
              </w:rPr>
              <w:t>及逾期退还的违约金</w:t>
            </w:r>
          </w:p>
        </w:tc>
        <w:tc>
          <w:tcPr>
            <w:tcW w:w="3034" w:type="pct"/>
            <w:noWrap w:val="0"/>
            <w:vAlign w:val="center"/>
          </w:tcPr>
          <w:p w14:paraId="27761072">
            <w:pPr>
              <w:keepNext w:val="0"/>
              <w:keepLines w:val="0"/>
              <w:widowControl/>
              <w:suppressLineNumbers w:val="0"/>
              <w:adjustRightInd w:val="0"/>
              <w:snapToGrid w:val="0"/>
              <w:spacing w:before="0" w:beforeAutospacing="0" w:after="0" w:afterAutospacing="0"/>
              <w:ind w:left="0" w:right="0"/>
              <w:rPr>
                <w:rFonts w:hint="default" w:ascii="宋体" w:hAnsi="宋体" w:eastAsia="宋体" w:cs="宋体"/>
                <w:color w:val="auto"/>
                <w:highlight w:val="none"/>
                <w:lang w:val="en-US" w:eastAsia="zh-CN" w:bidi="he-IL"/>
              </w:rPr>
            </w:pPr>
            <w:r>
              <w:rPr>
                <w:rFonts w:hint="eastAsia" w:ascii="宋体" w:hAnsi="宋体" w:eastAsia="宋体" w:cs="宋体"/>
                <w:color w:val="auto"/>
                <w:highlight w:val="none"/>
                <w:lang w:val="en-US" w:eastAsia="zh-CN" w:bidi="he-IL"/>
              </w:rPr>
              <w:t>无</w:t>
            </w:r>
          </w:p>
        </w:tc>
      </w:tr>
      <w:tr w14:paraId="7BF741F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943" w:type="pct"/>
            <w:noWrap w:val="0"/>
            <w:vAlign w:val="center"/>
          </w:tcPr>
          <w:p w14:paraId="381AAC85">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353FA61F">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第14.1（3）项</w:t>
            </w:r>
          </w:p>
        </w:tc>
        <w:tc>
          <w:tcPr>
            <w:tcW w:w="1022" w:type="pct"/>
            <w:noWrap w:val="0"/>
            <w:vAlign w:val="center"/>
          </w:tcPr>
          <w:p w14:paraId="024C6326">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运行监督、维修期限</w:t>
            </w:r>
          </w:p>
        </w:tc>
        <w:tc>
          <w:tcPr>
            <w:tcW w:w="3034" w:type="pct"/>
            <w:noWrap w:val="0"/>
            <w:vAlign w:val="center"/>
          </w:tcPr>
          <w:p w14:paraId="28DEFA83">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无</w:t>
            </w:r>
          </w:p>
        </w:tc>
      </w:tr>
      <w:tr w14:paraId="024B6C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943" w:type="pct"/>
            <w:noWrap w:val="0"/>
            <w:vAlign w:val="center"/>
          </w:tcPr>
          <w:p w14:paraId="4FB3F09F">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125B3F11">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第14.1（5）项</w:t>
            </w:r>
          </w:p>
        </w:tc>
        <w:tc>
          <w:tcPr>
            <w:tcW w:w="1022" w:type="pct"/>
            <w:noWrap w:val="0"/>
            <w:vAlign w:val="center"/>
          </w:tcPr>
          <w:p w14:paraId="37763DC9">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货物回收的约定</w:t>
            </w:r>
          </w:p>
        </w:tc>
        <w:tc>
          <w:tcPr>
            <w:tcW w:w="3034" w:type="pct"/>
            <w:noWrap w:val="0"/>
            <w:vAlign w:val="center"/>
          </w:tcPr>
          <w:p w14:paraId="2453EFC8">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无</w:t>
            </w:r>
          </w:p>
        </w:tc>
      </w:tr>
      <w:tr w14:paraId="7C0D0D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359ED251">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1BB871D7">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第14.1（6）项</w:t>
            </w:r>
          </w:p>
        </w:tc>
        <w:tc>
          <w:tcPr>
            <w:tcW w:w="1022" w:type="pct"/>
            <w:noWrap w:val="0"/>
            <w:vAlign w:val="center"/>
          </w:tcPr>
          <w:p w14:paraId="082D85C0">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乙方提供的其他服务</w:t>
            </w:r>
          </w:p>
        </w:tc>
        <w:tc>
          <w:tcPr>
            <w:tcW w:w="3034" w:type="pct"/>
            <w:noWrap w:val="0"/>
            <w:vAlign w:val="center"/>
          </w:tcPr>
          <w:p w14:paraId="3D3160AE">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无</w:t>
            </w:r>
          </w:p>
        </w:tc>
      </w:tr>
      <w:tr w14:paraId="59E0481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0DA08F30">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21CC8208">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第15.1款</w:t>
            </w:r>
          </w:p>
        </w:tc>
        <w:tc>
          <w:tcPr>
            <w:tcW w:w="1022" w:type="pct"/>
            <w:noWrap w:val="0"/>
            <w:vAlign w:val="center"/>
          </w:tcPr>
          <w:p w14:paraId="639F19EA">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修理、重作、更换相关具体规定</w:t>
            </w:r>
          </w:p>
        </w:tc>
        <w:tc>
          <w:tcPr>
            <w:tcW w:w="3034" w:type="pct"/>
            <w:noWrap w:val="0"/>
            <w:vAlign w:val="center"/>
          </w:tcPr>
          <w:p w14:paraId="31223838">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更换</w:t>
            </w:r>
          </w:p>
        </w:tc>
      </w:tr>
      <w:tr w14:paraId="001359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3B1BF5CC">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498012A8">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第15.2（2）项</w:t>
            </w:r>
          </w:p>
        </w:tc>
        <w:tc>
          <w:tcPr>
            <w:tcW w:w="1022" w:type="pct"/>
            <w:noWrap w:val="0"/>
            <w:vAlign w:val="center"/>
          </w:tcPr>
          <w:p w14:paraId="58F2913A">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迟延交货赔偿费</w:t>
            </w:r>
          </w:p>
        </w:tc>
        <w:tc>
          <w:tcPr>
            <w:tcW w:w="3034" w:type="pct"/>
            <w:noWrap w:val="0"/>
            <w:vAlign w:val="center"/>
          </w:tcPr>
          <w:p w14:paraId="682104DB">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u w:val="single"/>
                <w:lang w:bidi="he-IL"/>
              </w:rPr>
            </w:pPr>
            <w:r>
              <w:rPr>
                <w:rFonts w:hint="eastAsia" w:ascii="宋体" w:hAnsi="宋体" w:eastAsia="宋体" w:cs="宋体"/>
                <w:color w:val="auto"/>
                <w:highlight w:val="none"/>
                <w:lang w:bidi="he-IL"/>
              </w:rPr>
              <w:t>甲乙双方在签订合同时自行商定</w:t>
            </w:r>
          </w:p>
        </w:tc>
      </w:tr>
      <w:tr w14:paraId="2E5B2B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943" w:type="pct"/>
            <w:noWrap w:val="0"/>
            <w:vAlign w:val="center"/>
          </w:tcPr>
          <w:p w14:paraId="6434FA67">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4ABC7FD8">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第15.3款</w:t>
            </w:r>
          </w:p>
        </w:tc>
        <w:tc>
          <w:tcPr>
            <w:tcW w:w="1022" w:type="pct"/>
            <w:noWrap w:val="0"/>
            <w:vAlign w:val="center"/>
          </w:tcPr>
          <w:p w14:paraId="6A8AFCCC">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逾期付款利息</w:t>
            </w:r>
          </w:p>
        </w:tc>
        <w:tc>
          <w:tcPr>
            <w:tcW w:w="3034" w:type="pct"/>
            <w:noWrap w:val="0"/>
            <w:vAlign w:val="center"/>
          </w:tcPr>
          <w:p w14:paraId="30955393">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u w:val="single"/>
                <w:lang w:bidi="he-IL"/>
              </w:rPr>
            </w:pPr>
            <w:r>
              <w:rPr>
                <w:rFonts w:hint="eastAsia" w:ascii="宋体" w:hAnsi="宋体" w:eastAsia="宋体" w:cs="宋体"/>
                <w:color w:val="auto"/>
                <w:highlight w:val="none"/>
                <w:lang w:bidi="he-IL"/>
              </w:rPr>
              <w:t>中国人民银行规定的金融机构计收逾期贷款利息的标准计算</w:t>
            </w:r>
          </w:p>
        </w:tc>
      </w:tr>
      <w:tr w14:paraId="4FC813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943" w:type="pct"/>
            <w:tcBorders>
              <w:bottom w:val="single" w:color="auto" w:sz="2" w:space="0"/>
              <w:right w:val="single" w:color="auto" w:sz="2" w:space="0"/>
            </w:tcBorders>
            <w:noWrap w:val="0"/>
            <w:vAlign w:val="center"/>
          </w:tcPr>
          <w:p w14:paraId="123AE929">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11A79481">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第15.4款</w:t>
            </w:r>
          </w:p>
        </w:tc>
        <w:tc>
          <w:tcPr>
            <w:tcW w:w="1022" w:type="pct"/>
            <w:tcBorders>
              <w:left w:val="single" w:color="auto" w:sz="2" w:space="0"/>
              <w:bottom w:val="single" w:color="auto" w:sz="2" w:space="0"/>
              <w:right w:val="single" w:color="auto" w:sz="2" w:space="0"/>
            </w:tcBorders>
            <w:noWrap w:val="0"/>
            <w:vAlign w:val="center"/>
          </w:tcPr>
          <w:p w14:paraId="1201752F">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其他违约责任</w:t>
            </w:r>
          </w:p>
        </w:tc>
        <w:tc>
          <w:tcPr>
            <w:tcW w:w="3034" w:type="pct"/>
            <w:tcBorders>
              <w:left w:val="single" w:color="auto" w:sz="2" w:space="0"/>
              <w:bottom w:val="single" w:color="auto" w:sz="2" w:space="0"/>
            </w:tcBorders>
            <w:noWrap w:val="0"/>
            <w:vAlign w:val="center"/>
          </w:tcPr>
          <w:p w14:paraId="0A9356A3">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u w:val="single"/>
                <w:lang w:bidi="he-IL"/>
              </w:rPr>
            </w:pPr>
            <w:r>
              <w:rPr>
                <w:rFonts w:hint="eastAsia" w:ascii="宋体" w:hAnsi="宋体" w:cs="宋体"/>
                <w:color w:val="auto"/>
                <w:highlight w:val="none"/>
                <w:lang w:val="en-US" w:eastAsia="zh-CN" w:bidi="he-IL"/>
              </w:rPr>
              <w:t>除合同约定外，</w:t>
            </w:r>
            <w:r>
              <w:rPr>
                <w:rFonts w:hint="eastAsia" w:ascii="宋体" w:hAnsi="宋体" w:eastAsia="宋体" w:cs="宋体"/>
                <w:color w:val="auto"/>
                <w:highlight w:val="none"/>
                <w:lang w:bidi="he-IL"/>
              </w:rPr>
              <w:t>甲乙双方在签订合同时自行商定</w:t>
            </w:r>
          </w:p>
        </w:tc>
      </w:tr>
      <w:tr w14:paraId="1C77F0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943" w:type="pct"/>
            <w:tcBorders>
              <w:top w:val="single" w:color="auto" w:sz="2" w:space="0"/>
              <w:right w:val="single" w:color="auto" w:sz="2" w:space="0"/>
            </w:tcBorders>
            <w:noWrap w:val="0"/>
            <w:vAlign w:val="center"/>
          </w:tcPr>
          <w:p w14:paraId="6691940B">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24E17336">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第19.2款</w:t>
            </w:r>
          </w:p>
        </w:tc>
        <w:tc>
          <w:tcPr>
            <w:tcW w:w="1022" w:type="pct"/>
            <w:tcBorders>
              <w:top w:val="single" w:color="auto" w:sz="2" w:space="0"/>
              <w:left w:val="single" w:color="auto" w:sz="2" w:space="0"/>
              <w:right w:val="single" w:color="auto" w:sz="2" w:space="0"/>
            </w:tcBorders>
            <w:noWrap w:val="0"/>
            <w:vAlign w:val="center"/>
          </w:tcPr>
          <w:p w14:paraId="11698C19">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解决争议的方法</w:t>
            </w:r>
          </w:p>
        </w:tc>
        <w:tc>
          <w:tcPr>
            <w:tcW w:w="3034" w:type="pct"/>
            <w:tcBorders>
              <w:top w:val="single" w:color="auto" w:sz="2" w:space="0"/>
              <w:left w:val="single" w:color="auto" w:sz="2" w:space="0"/>
            </w:tcBorders>
            <w:noWrap w:val="0"/>
            <w:vAlign w:val="center"/>
          </w:tcPr>
          <w:p w14:paraId="2A498D82">
            <w:pPr>
              <w:keepNext w:val="0"/>
              <w:keepLines w:val="0"/>
              <w:widowControl/>
              <w:suppressLineNumbers w:val="0"/>
              <w:autoSpaceDE w:val="0"/>
              <w:autoSpaceDN w:val="0"/>
              <w:adjustRightInd w:val="0"/>
              <w:snapToGrid w:val="0"/>
              <w:spacing w:before="0" w:beforeAutospacing="0" w:after="0" w:afterAutospacing="0" w:line="400" w:lineRule="exact"/>
              <w:ind w:left="0" w:right="0"/>
              <w:rPr>
                <w:rFonts w:hint="eastAsia" w:ascii="宋体" w:hAnsi="宋体" w:eastAsia="宋体" w:cs="宋体"/>
                <w:iCs/>
                <w:color w:val="auto"/>
                <w:highlight w:val="none"/>
                <w:lang w:bidi="he-IL"/>
              </w:rPr>
            </w:pPr>
            <w:r>
              <w:rPr>
                <w:rFonts w:hint="eastAsia" w:ascii="宋体" w:hAnsi="宋体" w:eastAsia="宋体" w:cs="宋体"/>
                <w:iCs/>
                <w:color w:val="auto"/>
                <w:highlight w:val="none"/>
                <w:lang w:bidi="he-IL"/>
              </w:rPr>
              <w:t>因本合同及合同有关事项发生的争议，按下列第</w:t>
            </w:r>
            <w:r>
              <w:rPr>
                <w:rFonts w:hint="eastAsia" w:ascii="宋体" w:hAnsi="宋体" w:eastAsia="宋体" w:cs="宋体"/>
                <w:iCs/>
                <w:color w:val="auto"/>
                <w:highlight w:val="none"/>
                <w:u w:val="single"/>
                <w:lang w:bidi="he-IL"/>
              </w:rPr>
              <w:t>（1）</w:t>
            </w:r>
            <w:r>
              <w:rPr>
                <w:rFonts w:hint="eastAsia" w:ascii="宋体" w:hAnsi="宋体" w:eastAsia="宋体" w:cs="宋体"/>
                <w:iCs/>
                <w:color w:val="auto"/>
                <w:highlight w:val="none"/>
                <w:lang w:bidi="he-IL"/>
              </w:rPr>
              <w:t>种方式解决：</w:t>
            </w:r>
          </w:p>
          <w:p w14:paraId="1A8918C7">
            <w:pPr>
              <w:keepNext w:val="0"/>
              <w:keepLines w:val="0"/>
              <w:widowControl/>
              <w:suppressLineNumbers w:val="0"/>
              <w:autoSpaceDE w:val="0"/>
              <w:autoSpaceDN w:val="0"/>
              <w:adjustRightInd w:val="0"/>
              <w:snapToGrid w:val="0"/>
              <w:spacing w:before="0" w:beforeAutospacing="0" w:after="0" w:afterAutospacing="0" w:line="400" w:lineRule="exact"/>
              <w:ind w:left="0" w:right="0"/>
              <w:rPr>
                <w:rFonts w:hint="eastAsia" w:ascii="宋体" w:hAnsi="宋体" w:eastAsia="宋体" w:cs="宋体"/>
                <w:iCs/>
                <w:color w:val="auto"/>
                <w:highlight w:val="none"/>
                <w:lang w:bidi="he-IL"/>
              </w:rPr>
            </w:pPr>
            <w:r>
              <w:rPr>
                <w:rFonts w:hint="eastAsia" w:ascii="宋体" w:hAnsi="宋体" w:eastAsia="宋体" w:cs="宋体"/>
                <w:iCs/>
                <w:color w:val="auto"/>
                <w:highlight w:val="none"/>
                <w:lang w:bidi="he-IL"/>
              </w:rPr>
              <w:t>（1）向</w:t>
            </w:r>
            <w:r>
              <w:rPr>
                <w:rFonts w:hint="eastAsia" w:ascii="宋体" w:hAnsi="宋体" w:eastAsia="宋体" w:cs="宋体"/>
                <w:iCs/>
                <w:color w:val="auto"/>
                <w:highlight w:val="none"/>
                <w:u w:val="single"/>
                <w:lang w:bidi="he-IL"/>
              </w:rPr>
              <w:t>香格里拉市</w:t>
            </w:r>
            <w:r>
              <w:rPr>
                <w:rFonts w:hint="eastAsia" w:ascii="宋体" w:hAnsi="宋体" w:eastAsia="宋体" w:cs="宋体"/>
                <w:iCs/>
                <w:color w:val="auto"/>
                <w:highlight w:val="none"/>
                <w:lang w:bidi="he-IL"/>
              </w:rPr>
              <w:t>仲裁委员会申请仲裁，仲裁地点为香格里拉市；</w:t>
            </w:r>
          </w:p>
          <w:p w14:paraId="2FDD8D16">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u w:val="single"/>
                <w:lang w:bidi="he-IL"/>
              </w:rPr>
            </w:pPr>
            <w:r>
              <w:rPr>
                <w:rFonts w:hint="eastAsia" w:ascii="宋体" w:hAnsi="宋体" w:eastAsia="宋体" w:cs="宋体"/>
                <w:iCs/>
                <w:color w:val="auto"/>
                <w:highlight w:val="none"/>
                <w:lang w:bidi="he-IL"/>
              </w:rPr>
              <w:t>（2）向人民法院起诉。</w:t>
            </w:r>
          </w:p>
        </w:tc>
      </w:tr>
      <w:tr w14:paraId="5C96ABE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943" w:type="pct"/>
            <w:tcBorders>
              <w:bottom w:val="double" w:color="auto" w:sz="4" w:space="0"/>
            </w:tcBorders>
            <w:noWrap w:val="0"/>
            <w:vAlign w:val="center"/>
          </w:tcPr>
          <w:p w14:paraId="7A25540F">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第二节</w:t>
            </w:r>
          </w:p>
          <w:p w14:paraId="6A19D52A">
            <w:pPr>
              <w:keepNext w:val="0"/>
              <w:keepLines w:val="0"/>
              <w:widowControl/>
              <w:suppressLineNumbers w:val="0"/>
              <w:adjustRightInd w:val="0"/>
              <w:snapToGrid w:val="0"/>
              <w:spacing w:before="0" w:beforeAutospacing="0" w:after="0" w:afterAutospacing="0"/>
              <w:ind w:left="0" w:right="0"/>
              <w:jc w:val="center"/>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第23.1款</w:t>
            </w:r>
          </w:p>
        </w:tc>
        <w:tc>
          <w:tcPr>
            <w:tcW w:w="1022" w:type="pct"/>
            <w:tcBorders>
              <w:bottom w:val="double" w:color="auto" w:sz="4" w:space="0"/>
            </w:tcBorders>
            <w:noWrap w:val="0"/>
            <w:vAlign w:val="center"/>
          </w:tcPr>
          <w:p w14:paraId="2F1F490B">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bCs/>
                <w:color w:val="auto"/>
                <w:highlight w:val="none"/>
                <w:lang w:bidi="he-IL"/>
              </w:rPr>
              <w:t>其他专用条款</w:t>
            </w:r>
          </w:p>
        </w:tc>
        <w:tc>
          <w:tcPr>
            <w:tcW w:w="3034" w:type="pct"/>
            <w:tcBorders>
              <w:bottom w:val="double" w:color="auto" w:sz="4" w:space="0"/>
            </w:tcBorders>
            <w:noWrap w:val="0"/>
            <w:vAlign w:val="center"/>
          </w:tcPr>
          <w:p w14:paraId="3276FEBF">
            <w:pPr>
              <w:keepNext w:val="0"/>
              <w:keepLines w:val="0"/>
              <w:widowControl/>
              <w:suppressLineNumbers w:val="0"/>
              <w:adjustRightInd w:val="0"/>
              <w:snapToGrid w:val="0"/>
              <w:spacing w:before="0" w:beforeAutospacing="0" w:after="0" w:afterAutospacing="0"/>
              <w:ind w:left="0" w:right="0"/>
              <w:rPr>
                <w:rFonts w:hint="eastAsia" w:ascii="宋体" w:hAnsi="宋体" w:eastAsia="宋体" w:cs="宋体"/>
                <w:color w:val="auto"/>
                <w:highlight w:val="none"/>
                <w:lang w:bidi="he-IL"/>
              </w:rPr>
            </w:pPr>
            <w:r>
              <w:rPr>
                <w:rFonts w:hint="eastAsia" w:ascii="宋体" w:hAnsi="宋体" w:eastAsia="宋体" w:cs="宋体"/>
                <w:color w:val="auto"/>
                <w:highlight w:val="none"/>
                <w:lang w:bidi="he-IL"/>
              </w:rPr>
              <w:t>甲乙双方在签订合同时自行商定</w:t>
            </w:r>
          </w:p>
        </w:tc>
      </w:tr>
    </w:tbl>
    <w:p w14:paraId="7FF27B49">
      <w:pPr>
        <w:shd w:val="clear" w:color="auto" w:fill="auto"/>
        <w:rPr>
          <w:rFonts w:hint="eastAsia" w:ascii="宋体" w:hAnsi="宋体" w:eastAsia="宋体" w:cs="宋体"/>
        </w:rPr>
      </w:pPr>
    </w:p>
    <w:p w14:paraId="752BE096">
      <w:pPr>
        <w:rPr>
          <w:rFonts w:hint="eastAsia" w:ascii="宋体" w:hAnsi="宋体"/>
          <w:highlight w:val="none"/>
        </w:rPr>
      </w:pPr>
      <w:bookmarkStart w:id="219" w:name="_Toc31034"/>
      <w:bookmarkEnd w:id="219"/>
      <w:bookmarkStart w:id="220" w:name="_Toc12847"/>
      <w:bookmarkEnd w:id="220"/>
      <w:bookmarkStart w:id="221" w:name="_Toc8577"/>
      <w:bookmarkStart w:id="222" w:name="_Toc1506"/>
      <w:r>
        <w:rPr>
          <w:rFonts w:hint="eastAsia" w:ascii="宋体" w:hAnsi="宋体"/>
          <w:highlight w:val="none"/>
        </w:rPr>
        <w:br w:type="page"/>
      </w:r>
    </w:p>
    <w:p w14:paraId="33E7AE61">
      <w:pPr>
        <w:pStyle w:val="2"/>
        <w:spacing w:before="0" w:after="0" w:line="720" w:lineRule="auto"/>
        <w:jc w:val="center"/>
        <w:rPr>
          <w:rFonts w:hint="eastAsia" w:ascii="宋体" w:hAnsi="宋体" w:eastAsia="宋体"/>
          <w:highlight w:val="none"/>
          <w:lang w:eastAsia="zh-CN"/>
        </w:rPr>
      </w:pPr>
      <w:r>
        <w:rPr>
          <w:rFonts w:hint="eastAsia" w:ascii="宋体" w:hAnsi="宋体"/>
          <w:highlight w:val="none"/>
        </w:rPr>
        <w:t xml:space="preserve">第六章 </w:t>
      </w:r>
      <w:bookmarkEnd w:id="221"/>
      <w:r>
        <w:rPr>
          <w:rFonts w:hint="eastAsia" w:ascii="宋体" w:hAnsi="宋体"/>
          <w:highlight w:val="none"/>
          <w:lang w:eastAsia="zh-CN"/>
        </w:rPr>
        <w:t>招标内容及要求</w:t>
      </w:r>
      <w:bookmarkEnd w:id="222"/>
    </w:p>
    <w:p w14:paraId="3F9F75FE">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40" w:lineRule="exact"/>
        <w:ind w:left="0" w:right="0" w:firstLine="482" w:firstLineChars="200"/>
        <w:jc w:val="left"/>
        <w:textAlignment w:val="auto"/>
        <w:rPr>
          <w:rFonts w:hint="eastAsia" w:ascii="宋体" w:hAnsi="宋体" w:eastAsia="宋体" w:cs="宋体"/>
          <w:b/>
          <w:bCs/>
          <w:i w:val="0"/>
          <w:iCs w:val="0"/>
          <w:caps w:val="0"/>
          <w:color w:val="333333"/>
          <w:spacing w:val="0"/>
          <w:sz w:val="24"/>
          <w:szCs w:val="24"/>
          <w:shd w:val="clear" w:color="auto" w:fill="FFFFFF"/>
        </w:rPr>
      </w:pPr>
      <w:r>
        <w:rPr>
          <w:rFonts w:hint="eastAsia" w:ascii="宋体" w:hAnsi="宋体" w:cs="宋体"/>
          <w:b/>
          <w:bCs/>
          <w:i w:val="0"/>
          <w:iCs w:val="0"/>
          <w:caps w:val="0"/>
          <w:color w:val="333333"/>
          <w:spacing w:val="0"/>
          <w:sz w:val="24"/>
          <w:szCs w:val="24"/>
          <w:shd w:val="clear" w:color="auto" w:fill="FFFFFF"/>
          <w:lang w:val="en-US" w:eastAsia="zh-CN"/>
        </w:rPr>
        <w:t>一、</w:t>
      </w:r>
      <w:r>
        <w:rPr>
          <w:rFonts w:hint="eastAsia" w:ascii="宋体" w:hAnsi="宋体" w:eastAsia="宋体" w:cs="宋体"/>
          <w:b/>
          <w:bCs/>
          <w:i w:val="0"/>
          <w:iCs w:val="0"/>
          <w:caps w:val="0"/>
          <w:color w:val="333333"/>
          <w:spacing w:val="0"/>
          <w:sz w:val="24"/>
          <w:szCs w:val="24"/>
          <w:shd w:val="clear" w:color="auto" w:fill="FFFFFF"/>
        </w:rPr>
        <w:t>采购标的数量、采购</w:t>
      </w:r>
      <w:r>
        <w:rPr>
          <w:rFonts w:hint="eastAsia" w:ascii="宋体" w:hAnsi="宋体" w:cs="宋体"/>
          <w:b/>
          <w:bCs/>
          <w:i w:val="0"/>
          <w:iCs w:val="0"/>
          <w:caps w:val="0"/>
          <w:color w:val="333333"/>
          <w:spacing w:val="0"/>
          <w:sz w:val="24"/>
          <w:szCs w:val="24"/>
          <w:shd w:val="clear" w:color="auto" w:fill="FFFFFF"/>
          <w:lang w:val="en-US" w:eastAsia="zh-CN"/>
        </w:rPr>
        <w:t>内容、合同履行期限、质保期及交货/</w:t>
      </w:r>
      <w:r>
        <w:rPr>
          <w:rFonts w:hint="eastAsia" w:ascii="宋体" w:hAnsi="宋体" w:eastAsia="宋体" w:cs="宋体"/>
          <w:b/>
          <w:bCs/>
          <w:i w:val="0"/>
          <w:iCs w:val="0"/>
          <w:caps w:val="0"/>
          <w:color w:val="333333"/>
          <w:spacing w:val="0"/>
          <w:sz w:val="24"/>
          <w:szCs w:val="24"/>
          <w:shd w:val="clear" w:color="auto" w:fill="FFFFFF"/>
        </w:rPr>
        <w:t>实施地点</w:t>
      </w:r>
      <w:r>
        <w:rPr>
          <w:rFonts w:hint="eastAsia" w:ascii="宋体" w:hAnsi="宋体" w:eastAsia="宋体" w:cs="宋体"/>
          <w:b/>
          <w:bCs/>
          <w:i w:val="0"/>
          <w:iCs w:val="0"/>
          <w:caps w:val="0"/>
          <w:color w:val="333333"/>
          <w:spacing w:val="0"/>
          <w:sz w:val="24"/>
          <w:szCs w:val="24"/>
          <w:shd w:val="clear" w:color="auto" w:fill="FFFFFF"/>
          <w:lang w:eastAsia="zh-CN"/>
        </w:rPr>
        <w:t>：</w:t>
      </w:r>
    </w:p>
    <w:tbl>
      <w:tblPr>
        <w:tblStyle w:val="2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8"/>
        <w:gridCol w:w="5192"/>
        <w:gridCol w:w="1861"/>
        <w:gridCol w:w="1535"/>
      </w:tblGrid>
      <w:tr w14:paraId="67AC4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9" w:type="pct"/>
            <w:noWrap w:val="0"/>
            <w:vAlign w:val="center"/>
          </w:tcPr>
          <w:p w14:paraId="23E01DE9">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b/>
                <w:bCs/>
                <w:kern w:val="0"/>
                <w:sz w:val="24"/>
                <w:szCs w:val="24"/>
                <w:vertAlign w:val="baseline"/>
                <w:lang w:val="en-US" w:eastAsia="zh-CN" w:bidi="ar-SA"/>
              </w:rPr>
            </w:pPr>
            <w:r>
              <w:rPr>
                <w:rFonts w:hint="eastAsia" w:ascii="宋体" w:hAnsi="宋体" w:eastAsia="Times New Roman" w:cs="宋体"/>
                <w:b/>
                <w:bCs/>
                <w:kern w:val="0"/>
                <w:sz w:val="24"/>
                <w:szCs w:val="24"/>
                <w:vertAlign w:val="baseline"/>
                <w:lang w:val="en-US" w:eastAsia="zh-CN" w:bidi="ar-SA"/>
              </w:rPr>
              <w:t>序号</w:t>
            </w:r>
          </w:p>
        </w:tc>
        <w:tc>
          <w:tcPr>
            <w:tcW w:w="2665" w:type="pct"/>
            <w:noWrap w:val="0"/>
            <w:vAlign w:val="center"/>
          </w:tcPr>
          <w:p w14:paraId="1AE1ABC9">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b/>
                <w:bCs/>
                <w:kern w:val="0"/>
                <w:sz w:val="24"/>
                <w:szCs w:val="24"/>
                <w:vertAlign w:val="baseline"/>
                <w:lang w:val="en-US" w:eastAsia="zh-CN" w:bidi="ar-SA"/>
              </w:rPr>
            </w:pPr>
            <w:r>
              <w:rPr>
                <w:rFonts w:hint="eastAsia" w:ascii="宋体" w:hAnsi="宋体" w:eastAsia="Times New Roman" w:cs="宋体"/>
                <w:b/>
                <w:bCs/>
                <w:kern w:val="0"/>
                <w:sz w:val="24"/>
                <w:szCs w:val="24"/>
                <w:vertAlign w:val="baseline"/>
                <w:lang w:val="en-US" w:eastAsia="zh-CN" w:bidi="ar-SA"/>
              </w:rPr>
              <w:t>设备名称</w:t>
            </w:r>
          </w:p>
        </w:tc>
        <w:tc>
          <w:tcPr>
            <w:tcW w:w="955" w:type="pct"/>
            <w:noWrap w:val="0"/>
            <w:vAlign w:val="center"/>
          </w:tcPr>
          <w:p w14:paraId="402D9F88">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b/>
                <w:bCs/>
                <w:kern w:val="0"/>
                <w:sz w:val="24"/>
                <w:szCs w:val="24"/>
                <w:vertAlign w:val="baseline"/>
                <w:lang w:val="en-US" w:eastAsia="zh-CN" w:bidi="ar-SA"/>
              </w:rPr>
            </w:pPr>
            <w:r>
              <w:rPr>
                <w:rFonts w:hint="eastAsia" w:ascii="宋体" w:hAnsi="宋体" w:eastAsia="Times New Roman" w:cs="宋体"/>
                <w:b/>
                <w:bCs/>
                <w:kern w:val="0"/>
                <w:sz w:val="24"/>
                <w:szCs w:val="24"/>
                <w:vertAlign w:val="baseline"/>
                <w:lang w:val="en-US" w:eastAsia="zh-CN" w:bidi="ar-SA"/>
              </w:rPr>
              <w:t>单位</w:t>
            </w:r>
          </w:p>
        </w:tc>
        <w:tc>
          <w:tcPr>
            <w:tcW w:w="788" w:type="pct"/>
            <w:noWrap w:val="0"/>
            <w:vAlign w:val="center"/>
          </w:tcPr>
          <w:p w14:paraId="54C94985">
            <w:pPr>
              <w:pStyle w:val="2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jc w:val="center"/>
              <w:textAlignment w:val="auto"/>
              <w:rPr>
                <w:rFonts w:hint="default" w:ascii="宋体" w:hAnsi="宋体" w:eastAsia="宋体" w:cs="宋体"/>
                <w:b/>
                <w:bCs/>
                <w:kern w:val="0"/>
                <w:sz w:val="24"/>
                <w:szCs w:val="24"/>
                <w:vertAlign w:val="baseline"/>
                <w:lang w:val="en-US" w:eastAsia="zh-CN" w:bidi="ar-SA"/>
              </w:rPr>
            </w:pPr>
            <w:r>
              <w:rPr>
                <w:rFonts w:hint="eastAsia" w:ascii="宋体" w:hAnsi="宋体" w:eastAsia="Times New Roman" w:cs="宋体"/>
                <w:b/>
                <w:bCs/>
                <w:kern w:val="0"/>
                <w:sz w:val="24"/>
                <w:szCs w:val="24"/>
                <w:vertAlign w:val="baseline"/>
                <w:lang w:val="en-US" w:eastAsia="zh-CN" w:bidi="ar-SA"/>
              </w:rPr>
              <w:t>数量</w:t>
            </w:r>
          </w:p>
        </w:tc>
      </w:tr>
      <w:tr w14:paraId="09852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589" w:type="pct"/>
            <w:noWrap w:val="0"/>
            <w:vAlign w:val="center"/>
          </w:tcPr>
          <w:p w14:paraId="1B63F651">
            <w:pPr>
              <w:pStyle w:val="54"/>
              <w:jc w:val="center"/>
              <w:rPr>
                <w:rFonts w:hint="default" w:ascii="宋体" w:hAnsi="宋体" w:eastAsia="宋体" w:cs="宋体"/>
                <w:kern w:val="0"/>
                <w:sz w:val="24"/>
                <w:szCs w:val="24"/>
                <w:vertAlign w:val="baseline"/>
                <w:lang w:val="en-US" w:eastAsia="zh-CN" w:bidi="ar-SA"/>
              </w:rPr>
            </w:pPr>
            <w:r>
              <w:rPr>
                <w:rFonts w:hint="eastAsia" w:ascii="宋体" w:hAnsi="宋体" w:eastAsia="宋体"/>
                <w:sz w:val="28"/>
                <w:szCs w:val="28"/>
              </w:rPr>
              <w:t>1</w:t>
            </w:r>
          </w:p>
        </w:tc>
        <w:tc>
          <w:tcPr>
            <w:tcW w:w="2665" w:type="pct"/>
            <w:noWrap w:val="0"/>
            <w:vAlign w:val="center"/>
          </w:tcPr>
          <w:p w14:paraId="4906D70A">
            <w:pPr>
              <w:pStyle w:val="54"/>
              <w:jc w:val="center"/>
              <w:rPr>
                <w:rFonts w:hint="eastAsia" w:ascii="宋体" w:hAnsi="宋体" w:eastAsia="宋体" w:cs="宋体"/>
                <w:kern w:val="0"/>
                <w:sz w:val="24"/>
                <w:szCs w:val="24"/>
                <w:vertAlign w:val="baseline"/>
                <w:lang w:val="en-US" w:eastAsia="zh-CN" w:bidi="ar-SA"/>
              </w:rPr>
            </w:pPr>
            <w:r>
              <w:rPr>
                <w:rFonts w:hint="eastAsia" w:ascii="宋体" w:hAnsi="宋体" w:eastAsia="宋体"/>
                <w:sz w:val="28"/>
                <w:szCs w:val="28"/>
              </w:rPr>
              <w:t>粪便工作站</w:t>
            </w:r>
          </w:p>
        </w:tc>
        <w:tc>
          <w:tcPr>
            <w:tcW w:w="955" w:type="pct"/>
            <w:noWrap w:val="0"/>
            <w:vAlign w:val="center"/>
          </w:tcPr>
          <w:p w14:paraId="251784A7">
            <w:pPr>
              <w:pStyle w:val="54"/>
              <w:jc w:val="center"/>
              <w:rPr>
                <w:rFonts w:hint="default" w:ascii="宋体" w:hAnsi="宋体" w:eastAsia="宋体" w:cs="宋体"/>
                <w:kern w:val="0"/>
                <w:sz w:val="24"/>
                <w:szCs w:val="24"/>
                <w:vertAlign w:val="baseline"/>
                <w:lang w:val="en-US" w:eastAsia="zh-CN" w:bidi="ar-SA"/>
              </w:rPr>
            </w:pPr>
            <w:r>
              <w:rPr>
                <w:rFonts w:hint="eastAsia" w:ascii="宋体" w:hAnsi="宋体" w:eastAsia="宋体"/>
                <w:sz w:val="28"/>
                <w:szCs w:val="28"/>
              </w:rPr>
              <w:t>套</w:t>
            </w:r>
          </w:p>
        </w:tc>
        <w:tc>
          <w:tcPr>
            <w:tcW w:w="788" w:type="pct"/>
            <w:noWrap w:val="0"/>
            <w:vAlign w:val="center"/>
          </w:tcPr>
          <w:p w14:paraId="6E4B7C95">
            <w:pPr>
              <w:pStyle w:val="54"/>
              <w:jc w:val="center"/>
              <w:rPr>
                <w:rFonts w:hint="default" w:ascii="宋体" w:hAnsi="宋体" w:eastAsia="宋体" w:cs="宋体"/>
                <w:kern w:val="0"/>
                <w:sz w:val="24"/>
                <w:szCs w:val="24"/>
                <w:vertAlign w:val="baseline"/>
                <w:lang w:val="en-US" w:eastAsia="zh-CN" w:bidi="ar-SA"/>
              </w:rPr>
            </w:pPr>
            <w:r>
              <w:rPr>
                <w:rFonts w:hint="eastAsia" w:ascii="宋体" w:hAnsi="宋体" w:eastAsia="宋体"/>
                <w:sz w:val="28"/>
                <w:szCs w:val="28"/>
              </w:rPr>
              <w:t>1</w:t>
            </w:r>
          </w:p>
        </w:tc>
      </w:tr>
      <w:tr w14:paraId="1B73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9" w:type="pct"/>
            <w:noWrap w:val="0"/>
            <w:vAlign w:val="center"/>
          </w:tcPr>
          <w:p w14:paraId="5489D8F0">
            <w:pPr>
              <w:pStyle w:val="54"/>
              <w:jc w:val="center"/>
              <w:rPr>
                <w:rFonts w:hint="default" w:ascii="宋体" w:hAnsi="宋体" w:eastAsia="宋体" w:cs="宋体"/>
                <w:kern w:val="0"/>
                <w:sz w:val="24"/>
                <w:szCs w:val="24"/>
                <w:vertAlign w:val="baseline"/>
                <w:lang w:val="en-US" w:eastAsia="zh-CN" w:bidi="ar-SA"/>
              </w:rPr>
            </w:pPr>
            <w:r>
              <w:rPr>
                <w:rFonts w:hint="eastAsia" w:ascii="宋体" w:hAnsi="宋体" w:eastAsia="宋体"/>
                <w:sz w:val="28"/>
                <w:szCs w:val="28"/>
              </w:rPr>
              <w:t>2</w:t>
            </w:r>
          </w:p>
        </w:tc>
        <w:tc>
          <w:tcPr>
            <w:tcW w:w="2665" w:type="pct"/>
            <w:noWrap w:val="0"/>
            <w:vAlign w:val="center"/>
          </w:tcPr>
          <w:p w14:paraId="6B44F3AE">
            <w:pPr>
              <w:pStyle w:val="54"/>
              <w:jc w:val="center"/>
              <w:rPr>
                <w:rFonts w:hint="eastAsia" w:ascii="宋体" w:hAnsi="宋体" w:eastAsia="宋体" w:cs="宋体"/>
                <w:kern w:val="0"/>
                <w:sz w:val="24"/>
                <w:szCs w:val="24"/>
                <w:vertAlign w:val="baseline"/>
                <w:lang w:val="en-US" w:eastAsia="zh-CN" w:bidi="ar-SA"/>
              </w:rPr>
            </w:pPr>
            <w:r>
              <w:rPr>
                <w:rFonts w:hint="eastAsia" w:ascii="宋体" w:hAnsi="宋体" w:eastAsia="宋体"/>
                <w:sz w:val="28"/>
                <w:szCs w:val="28"/>
              </w:rPr>
              <w:t>儿童肺功能仪</w:t>
            </w:r>
          </w:p>
        </w:tc>
        <w:tc>
          <w:tcPr>
            <w:tcW w:w="955" w:type="pct"/>
            <w:noWrap w:val="0"/>
            <w:vAlign w:val="center"/>
          </w:tcPr>
          <w:p w14:paraId="0A195FC6">
            <w:pPr>
              <w:pStyle w:val="54"/>
              <w:jc w:val="center"/>
              <w:rPr>
                <w:rFonts w:hint="default" w:ascii="宋体" w:hAnsi="宋体" w:eastAsia="宋体" w:cs="宋体"/>
                <w:kern w:val="0"/>
                <w:sz w:val="24"/>
                <w:szCs w:val="24"/>
                <w:vertAlign w:val="baseline"/>
                <w:lang w:val="en-US" w:eastAsia="zh-CN" w:bidi="ar-SA"/>
              </w:rPr>
            </w:pPr>
            <w:r>
              <w:rPr>
                <w:rFonts w:hint="eastAsia" w:ascii="宋体" w:hAnsi="宋体" w:eastAsia="宋体"/>
                <w:sz w:val="28"/>
                <w:szCs w:val="28"/>
              </w:rPr>
              <w:t>台</w:t>
            </w:r>
          </w:p>
        </w:tc>
        <w:tc>
          <w:tcPr>
            <w:tcW w:w="788" w:type="pct"/>
            <w:noWrap w:val="0"/>
            <w:vAlign w:val="center"/>
          </w:tcPr>
          <w:p w14:paraId="6480C958">
            <w:pPr>
              <w:pStyle w:val="54"/>
              <w:jc w:val="center"/>
              <w:rPr>
                <w:rFonts w:hint="default" w:ascii="宋体" w:hAnsi="宋体" w:eastAsia="宋体" w:cs="宋体"/>
                <w:kern w:val="0"/>
                <w:sz w:val="24"/>
                <w:szCs w:val="24"/>
                <w:vertAlign w:val="baseline"/>
                <w:lang w:val="en-US" w:eastAsia="zh-CN" w:bidi="ar-SA"/>
              </w:rPr>
            </w:pPr>
            <w:r>
              <w:rPr>
                <w:rFonts w:hint="eastAsia" w:ascii="宋体" w:hAnsi="宋体" w:eastAsia="宋体"/>
                <w:sz w:val="28"/>
                <w:szCs w:val="28"/>
              </w:rPr>
              <w:t>1</w:t>
            </w:r>
          </w:p>
        </w:tc>
      </w:tr>
      <w:tr w14:paraId="785A0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9" w:type="pct"/>
            <w:noWrap w:val="0"/>
            <w:vAlign w:val="center"/>
          </w:tcPr>
          <w:p w14:paraId="2502DF3B">
            <w:pPr>
              <w:pStyle w:val="54"/>
              <w:jc w:val="center"/>
              <w:rPr>
                <w:rFonts w:hint="default" w:ascii="宋体" w:hAnsi="宋体" w:eastAsia="Times New Roman" w:cs="宋体"/>
                <w:kern w:val="0"/>
                <w:sz w:val="24"/>
                <w:szCs w:val="24"/>
                <w:vertAlign w:val="baseline"/>
                <w:lang w:val="en-US" w:eastAsia="zh-CN" w:bidi="ar-SA"/>
              </w:rPr>
            </w:pPr>
            <w:r>
              <w:rPr>
                <w:rFonts w:hint="eastAsia" w:ascii="宋体" w:hAnsi="宋体" w:eastAsia="宋体"/>
                <w:sz w:val="28"/>
                <w:szCs w:val="28"/>
              </w:rPr>
              <w:t>3</w:t>
            </w:r>
          </w:p>
        </w:tc>
        <w:tc>
          <w:tcPr>
            <w:tcW w:w="2665" w:type="pct"/>
            <w:noWrap w:val="0"/>
            <w:vAlign w:val="center"/>
          </w:tcPr>
          <w:p w14:paraId="242C19D5">
            <w:pPr>
              <w:pStyle w:val="54"/>
              <w:jc w:val="center"/>
              <w:rPr>
                <w:rFonts w:hint="default" w:ascii="宋体" w:hAnsi="宋体" w:eastAsia="宋体" w:cs="宋体"/>
                <w:kern w:val="0"/>
                <w:sz w:val="24"/>
                <w:szCs w:val="24"/>
                <w:vertAlign w:val="baseline"/>
                <w:lang w:val="en-US" w:eastAsia="zh-CN" w:bidi="ar-SA"/>
              </w:rPr>
            </w:pPr>
            <w:r>
              <w:rPr>
                <w:rFonts w:hint="eastAsia" w:ascii="宋体" w:hAnsi="宋体" w:eastAsia="宋体"/>
                <w:sz w:val="28"/>
                <w:szCs w:val="28"/>
              </w:rPr>
              <w:t>儿童心电监护仪</w:t>
            </w:r>
          </w:p>
        </w:tc>
        <w:tc>
          <w:tcPr>
            <w:tcW w:w="955" w:type="pct"/>
            <w:noWrap w:val="0"/>
            <w:vAlign w:val="center"/>
          </w:tcPr>
          <w:p w14:paraId="4ED399C3">
            <w:pPr>
              <w:pStyle w:val="54"/>
              <w:jc w:val="center"/>
              <w:rPr>
                <w:rFonts w:hint="default" w:ascii="宋体" w:hAnsi="宋体" w:eastAsia="宋体" w:cs="宋体"/>
                <w:kern w:val="0"/>
                <w:sz w:val="24"/>
                <w:szCs w:val="24"/>
                <w:vertAlign w:val="baseline"/>
                <w:lang w:val="en-US" w:eastAsia="zh-CN" w:bidi="ar-SA"/>
              </w:rPr>
            </w:pPr>
            <w:r>
              <w:rPr>
                <w:rFonts w:hint="eastAsia" w:ascii="宋体" w:hAnsi="宋体" w:eastAsia="宋体"/>
                <w:sz w:val="28"/>
                <w:szCs w:val="28"/>
              </w:rPr>
              <w:t>台</w:t>
            </w:r>
          </w:p>
        </w:tc>
        <w:tc>
          <w:tcPr>
            <w:tcW w:w="788" w:type="pct"/>
            <w:noWrap w:val="0"/>
            <w:vAlign w:val="center"/>
          </w:tcPr>
          <w:p w14:paraId="313F02C0">
            <w:pPr>
              <w:pStyle w:val="54"/>
              <w:jc w:val="center"/>
              <w:rPr>
                <w:rFonts w:hint="default" w:ascii="宋体" w:hAnsi="宋体" w:eastAsia="宋体" w:cs="宋体"/>
                <w:kern w:val="0"/>
                <w:sz w:val="24"/>
                <w:szCs w:val="24"/>
                <w:vertAlign w:val="baseline"/>
                <w:lang w:val="en-US" w:eastAsia="zh-CN" w:bidi="ar-SA"/>
              </w:rPr>
            </w:pPr>
            <w:r>
              <w:rPr>
                <w:rFonts w:hint="eastAsia" w:ascii="宋体" w:hAnsi="宋体" w:eastAsia="宋体"/>
                <w:sz w:val="28"/>
                <w:szCs w:val="28"/>
              </w:rPr>
              <w:t>1</w:t>
            </w:r>
          </w:p>
        </w:tc>
      </w:tr>
      <w:tr w14:paraId="3F0B3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589" w:type="pct"/>
            <w:noWrap w:val="0"/>
            <w:vAlign w:val="center"/>
          </w:tcPr>
          <w:p w14:paraId="006132A9">
            <w:pPr>
              <w:pStyle w:val="54"/>
              <w:jc w:val="center"/>
              <w:rPr>
                <w:rFonts w:hint="default" w:ascii="宋体" w:hAnsi="宋体" w:eastAsia="Times New Roman" w:cs="宋体"/>
                <w:kern w:val="0"/>
                <w:sz w:val="24"/>
                <w:szCs w:val="24"/>
                <w:vertAlign w:val="baseline"/>
                <w:lang w:val="en-US" w:eastAsia="zh-CN" w:bidi="ar-SA"/>
              </w:rPr>
            </w:pPr>
            <w:r>
              <w:rPr>
                <w:rFonts w:hint="eastAsia" w:ascii="宋体" w:hAnsi="宋体" w:eastAsia="宋体"/>
                <w:sz w:val="28"/>
                <w:szCs w:val="28"/>
              </w:rPr>
              <w:t>4</w:t>
            </w:r>
          </w:p>
        </w:tc>
        <w:tc>
          <w:tcPr>
            <w:tcW w:w="2665" w:type="pct"/>
            <w:noWrap w:val="0"/>
            <w:vAlign w:val="center"/>
          </w:tcPr>
          <w:p w14:paraId="265E1426">
            <w:pPr>
              <w:pStyle w:val="54"/>
              <w:jc w:val="center"/>
              <w:rPr>
                <w:rFonts w:hint="eastAsia" w:ascii="宋体" w:hAnsi="宋体" w:eastAsia="宋体" w:cs="宋体"/>
                <w:spacing w:val="7"/>
                <w:sz w:val="24"/>
                <w:szCs w:val="24"/>
              </w:rPr>
            </w:pPr>
            <w:r>
              <w:rPr>
                <w:rFonts w:hint="eastAsia" w:ascii="宋体" w:hAnsi="宋体" w:eastAsia="宋体"/>
                <w:sz w:val="28"/>
                <w:szCs w:val="28"/>
              </w:rPr>
              <w:t>儿童排痰仪夹背式</w:t>
            </w:r>
          </w:p>
        </w:tc>
        <w:tc>
          <w:tcPr>
            <w:tcW w:w="955" w:type="pct"/>
            <w:noWrap w:val="0"/>
            <w:vAlign w:val="center"/>
          </w:tcPr>
          <w:p w14:paraId="55D38DB1">
            <w:pPr>
              <w:pStyle w:val="54"/>
              <w:jc w:val="center"/>
              <w:rPr>
                <w:rFonts w:hint="eastAsia" w:ascii="宋体" w:hAnsi="宋体" w:eastAsia="Times New Roman" w:cs="宋体"/>
                <w:kern w:val="0"/>
                <w:sz w:val="24"/>
                <w:szCs w:val="24"/>
                <w:vertAlign w:val="baseline"/>
                <w:lang w:val="en-US" w:eastAsia="zh-CN" w:bidi="ar-SA"/>
              </w:rPr>
            </w:pPr>
            <w:r>
              <w:rPr>
                <w:rFonts w:hint="eastAsia" w:ascii="宋体" w:hAnsi="宋体" w:eastAsia="宋体"/>
                <w:sz w:val="28"/>
                <w:szCs w:val="28"/>
              </w:rPr>
              <w:t>台</w:t>
            </w:r>
          </w:p>
        </w:tc>
        <w:tc>
          <w:tcPr>
            <w:tcW w:w="788" w:type="pct"/>
            <w:noWrap w:val="0"/>
            <w:vAlign w:val="center"/>
          </w:tcPr>
          <w:p w14:paraId="212504F5">
            <w:pPr>
              <w:pStyle w:val="54"/>
              <w:jc w:val="center"/>
              <w:rPr>
                <w:rFonts w:hint="default" w:ascii="宋体" w:hAnsi="宋体" w:cs="宋体"/>
                <w:kern w:val="0"/>
                <w:sz w:val="24"/>
                <w:szCs w:val="24"/>
                <w:vertAlign w:val="baseline"/>
                <w:lang w:val="en-US" w:eastAsia="zh-CN" w:bidi="ar-SA"/>
              </w:rPr>
            </w:pPr>
            <w:r>
              <w:rPr>
                <w:rFonts w:hint="eastAsia" w:ascii="宋体" w:hAnsi="宋体" w:eastAsia="宋体"/>
                <w:sz w:val="28"/>
                <w:szCs w:val="28"/>
              </w:rPr>
              <w:t>2</w:t>
            </w:r>
          </w:p>
        </w:tc>
      </w:tr>
      <w:tr w14:paraId="3CAC5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9" w:type="pct"/>
            <w:noWrap w:val="0"/>
            <w:vAlign w:val="center"/>
          </w:tcPr>
          <w:p w14:paraId="6BCEA3FA">
            <w:pPr>
              <w:pStyle w:val="54"/>
              <w:jc w:val="center"/>
              <w:rPr>
                <w:rFonts w:hint="default" w:ascii="宋体" w:hAnsi="宋体" w:eastAsia="Times New Roman" w:cs="宋体"/>
                <w:kern w:val="0"/>
                <w:sz w:val="24"/>
                <w:szCs w:val="24"/>
                <w:vertAlign w:val="baseline"/>
                <w:lang w:val="en-US" w:eastAsia="zh-CN" w:bidi="ar-SA"/>
              </w:rPr>
            </w:pPr>
            <w:r>
              <w:rPr>
                <w:rFonts w:hint="eastAsia" w:ascii="宋体" w:hAnsi="宋体" w:eastAsia="宋体"/>
                <w:sz w:val="28"/>
                <w:szCs w:val="28"/>
              </w:rPr>
              <w:t>5</w:t>
            </w:r>
          </w:p>
        </w:tc>
        <w:tc>
          <w:tcPr>
            <w:tcW w:w="2665" w:type="pct"/>
            <w:noWrap w:val="0"/>
            <w:vAlign w:val="center"/>
          </w:tcPr>
          <w:p w14:paraId="03E4F122">
            <w:pPr>
              <w:pStyle w:val="54"/>
              <w:jc w:val="center"/>
              <w:rPr>
                <w:rFonts w:hint="eastAsia" w:ascii="宋体" w:hAnsi="宋体" w:eastAsia="宋体" w:cs="宋体"/>
                <w:spacing w:val="4"/>
                <w:sz w:val="24"/>
                <w:szCs w:val="24"/>
              </w:rPr>
            </w:pPr>
            <w:r>
              <w:rPr>
                <w:rFonts w:hint="eastAsia" w:ascii="宋体" w:hAnsi="宋体" w:eastAsia="宋体"/>
                <w:sz w:val="28"/>
                <w:szCs w:val="28"/>
              </w:rPr>
              <w:t>中医熏蒸仪</w:t>
            </w:r>
          </w:p>
        </w:tc>
        <w:tc>
          <w:tcPr>
            <w:tcW w:w="955" w:type="pct"/>
            <w:noWrap w:val="0"/>
            <w:vAlign w:val="center"/>
          </w:tcPr>
          <w:p w14:paraId="70AE1095">
            <w:pPr>
              <w:pStyle w:val="54"/>
              <w:jc w:val="center"/>
              <w:rPr>
                <w:rFonts w:hint="eastAsia" w:ascii="宋体" w:hAnsi="宋体" w:eastAsia="Times New Roman" w:cs="宋体"/>
                <w:kern w:val="0"/>
                <w:sz w:val="24"/>
                <w:szCs w:val="24"/>
                <w:vertAlign w:val="baseline"/>
                <w:lang w:val="en-US" w:eastAsia="zh-CN" w:bidi="ar-SA"/>
              </w:rPr>
            </w:pPr>
            <w:r>
              <w:rPr>
                <w:rFonts w:hint="eastAsia" w:ascii="宋体" w:hAnsi="宋体" w:eastAsia="宋体"/>
                <w:sz w:val="28"/>
                <w:szCs w:val="28"/>
              </w:rPr>
              <w:t>台</w:t>
            </w:r>
          </w:p>
        </w:tc>
        <w:tc>
          <w:tcPr>
            <w:tcW w:w="788" w:type="pct"/>
            <w:noWrap w:val="0"/>
            <w:vAlign w:val="center"/>
          </w:tcPr>
          <w:p w14:paraId="1AFAF497">
            <w:pPr>
              <w:pStyle w:val="54"/>
              <w:jc w:val="center"/>
              <w:rPr>
                <w:rFonts w:hint="default" w:ascii="宋体" w:hAnsi="宋体" w:cs="宋体"/>
                <w:kern w:val="0"/>
                <w:sz w:val="24"/>
                <w:szCs w:val="24"/>
                <w:vertAlign w:val="baseline"/>
                <w:lang w:val="en-US" w:eastAsia="zh-CN" w:bidi="ar-SA"/>
              </w:rPr>
            </w:pPr>
            <w:r>
              <w:rPr>
                <w:rFonts w:hint="eastAsia" w:ascii="宋体" w:hAnsi="宋体" w:eastAsia="宋体"/>
                <w:sz w:val="28"/>
                <w:szCs w:val="28"/>
              </w:rPr>
              <w:t>1</w:t>
            </w:r>
          </w:p>
        </w:tc>
      </w:tr>
      <w:tr w14:paraId="49E70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9" w:type="pct"/>
            <w:noWrap w:val="0"/>
            <w:vAlign w:val="center"/>
          </w:tcPr>
          <w:p w14:paraId="17A5BA8C">
            <w:pPr>
              <w:pStyle w:val="54"/>
              <w:jc w:val="center"/>
              <w:rPr>
                <w:rFonts w:hint="default" w:ascii="宋体" w:hAnsi="宋体" w:eastAsia="Times New Roman" w:cs="宋体"/>
                <w:kern w:val="0"/>
                <w:sz w:val="24"/>
                <w:szCs w:val="24"/>
                <w:vertAlign w:val="baseline"/>
                <w:lang w:val="en-US" w:eastAsia="zh-CN" w:bidi="ar-SA"/>
              </w:rPr>
            </w:pPr>
            <w:r>
              <w:rPr>
                <w:rFonts w:hint="eastAsia" w:ascii="宋体" w:hAnsi="宋体" w:eastAsia="宋体"/>
                <w:sz w:val="28"/>
                <w:szCs w:val="28"/>
              </w:rPr>
              <w:t>6</w:t>
            </w:r>
          </w:p>
        </w:tc>
        <w:tc>
          <w:tcPr>
            <w:tcW w:w="2665" w:type="pct"/>
            <w:noWrap w:val="0"/>
            <w:vAlign w:val="center"/>
          </w:tcPr>
          <w:p w14:paraId="3A87F4FE">
            <w:pPr>
              <w:pStyle w:val="54"/>
              <w:jc w:val="center"/>
              <w:rPr>
                <w:rFonts w:hint="eastAsia" w:ascii="宋体" w:hAnsi="宋体" w:eastAsia="宋体" w:cs="宋体"/>
                <w:spacing w:val="4"/>
                <w:sz w:val="24"/>
                <w:szCs w:val="24"/>
              </w:rPr>
            </w:pPr>
            <w:r>
              <w:rPr>
                <w:rFonts w:hint="eastAsia" w:ascii="宋体" w:hAnsi="宋体" w:eastAsia="宋体"/>
                <w:sz w:val="28"/>
                <w:szCs w:val="28"/>
              </w:rPr>
              <w:t>经皮肾镜（粗）</w:t>
            </w:r>
          </w:p>
        </w:tc>
        <w:tc>
          <w:tcPr>
            <w:tcW w:w="955" w:type="pct"/>
            <w:noWrap w:val="0"/>
            <w:vAlign w:val="center"/>
          </w:tcPr>
          <w:p w14:paraId="4E9C61BB">
            <w:pPr>
              <w:pStyle w:val="54"/>
              <w:jc w:val="center"/>
              <w:rPr>
                <w:rFonts w:hint="default" w:ascii="宋体" w:hAnsi="宋体" w:eastAsia="Times New Roman" w:cs="宋体"/>
                <w:kern w:val="0"/>
                <w:sz w:val="24"/>
                <w:szCs w:val="24"/>
                <w:vertAlign w:val="baseline"/>
                <w:lang w:val="en-US" w:eastAsia="zh-CN" w:bidi="ar-SA"/>
              </w:rPr>
            </w:pPr>
            <w:r>
              <w:rPr>
                <w:rFonts w:hint="eastAsia" w:ascii="宋体" w:hAnsi="宋体" w:eastAsia="宋体"/>
                <w:sz w:val="28"/>
                <w:szCs w:val="28"/>
              </w:rPr>
              <w:t>套</w:t>
            </w:r>
          </w:p>
        </w:tc>
        <w:tc>
          <w:tcPr>
            <w:tcW w:w="788" w:type="pct"/>
            <w:noWrap w:val="0"/>
            <w:vAlign w:val="center"/>
          </w:tcPr>
          <w:p w14:paraId="56B689FC">
            <w:pPr>
              <w:pStyle w:val="54"/>
              <w:jc w:val="center"/>
              <w:rPr>
                <w:rFonts w:hint="default" w:ascii="宋体" w:hAnsi="宋体" w:cs="宋体"/>
                <w:kern w:val="0"/>
                <w:sz w:val="24"/>
                <w:szCs w:val="24"/>
                <w:vertAlign w:val="baseline"/>
                <w:lang w:val="en-US" w:eastAsia="zh-CN" w:bidi="ar-SA"/>
              </w:rPr>
            </w:pPr>
            <w:r>
              <w:rPr>
                <w:rFonts w:hint="eastAsia" w:ascii="宋体" w:hAnsi="宋体" w:eastAsia="宋体"/>
                <w:sz w:val="28"/>
                <w:szCs w:val="28"/>
              </w:rPr>
              <w:t>1</w:t>
            </w:r>
          </w:p>
        </w:tc>
      </w:tr>
      <w:tr w14:paraId="1AB83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9" w:type="pct"/>
            <w:noWrap w:val="0"/>
            <w:vAlign w:val="center"/>
          </w:tcPr>
          <w:p w14:paraId="53D13FCD">
            <w:pPr>
              <w:pStyle w:val="54"/>
              <w:jc w:val="center"/>
              <w:rPr>
                <w:rFonts w:hint="default" w:ascii="宋体" w:hAnsi="宋体" w:eastAsia="Times New Roman" w:cs="宋体"/>
                <w:kern w:val="0"/>
                <w:sz w:val="24"/>
                <w:szCs w:val="24"/>
                <w:vertAlign w:val="baseline"/>
                <w:lang w:val="en-US" w:eastAsia="zh-CN" w:bidi="ar-SA"/>
              </w:rPr>
            </w:pPr>
            <w:r>
              <w:rPr>
                <w:rFonts w:hint="eastAsia" w:ascii="宋体" w:hAnsi="宋体" w:eastAsia="宋体"/>
                <w:sz w:val="28"/>
                <w:szCs w:val="28"/>
              </w:rPr>
              <w:t>7</w:t>
            </w:r>
          </w:p>
        </w:tc>
        <w:tc>
          <w:tcPr>
            <w:tcW w:w="2665" w:type="pct"/>
            <w:noWrap w:val="0"/>
            <w:vAlign w:val="center"/>
          </w:tcPr>
          <w:p w14:paraId="06755D41">
            <w:pPr>
              <w:pStyle w:val="54"/>
              <w:jc w:val="center"/>
              <w:rPr>
                <w:rFonts w:hint="eastAsia" w:ascii="宋体" w:hAnsi="宋体" w:eastAsia="宋体" w:cs="宋体"/>
                <w:spacing w:val="7"/>
                <w:sz w:val="24"/>
                <w:szCs w:val="24"/>
              </w:rPr>
            </w:pPr>
            <w:r>
              <w:rPr>
                <w:rFonts w:hint="eastAsia" w:ascii="宋体" w:hAnsi="宋体" w:eastAsia="宋体"/>
                <w:sz w:val="28"/>
                <w:szCs w:val="28"/>
              </w:rPr>
              <w:t>经皮肾镜（细）</w:t>
            </w:r>
          </w:p>
        </w:tc>
        <w:tc>
          <w:tcPr>
            <w:tcW w:w="955" w:type="pct"/>
            <w:noWrap w:val="0"/>
            <w:vAlign w:val="center"/>
          </w:tcPr>
          <w:p w14:paraId="22C19E81">
            <w:pPr>
              <w:pStyle w:val="54"/>
              <w:jc w:val="center"/>
              <w:rPr>
                <w:rFonts w:hint="eastAsia" w:ascii="宋体" w:hAnsi="宋体" w:eastAsia="Times New Roman" w:cs="宋体"/>
                <w:kern w:val="0"/>
                <w:sz w:val="24"/>
                <w:szCs w:val="24"/>
                <w:vertAlign w:val="baseline"/>
                <w:lang w:val="en-US" w:eastAsia="zh-CN" w:bidi="ar-SA"/>
              </w:rPr>
            </w:pPr>
            <w:r>
              <w:rPr>
                <w:rFonts w:hint="eastAsia" w:ascii="宋体" w:hAnsi="宋体" w:eastAsia="宋体"/>
                <w:sz w:val="28"/>
                <w:szCs w:val="28"/>
              </w:rPr>
              <w:t>套</w:t>
            </w:r>
          </w:p>
        </w:tc>
        <w:tc>
          <w:tcPr>
            <w:tcW w:w="788" w:type="pct"/>
            <w:noWrap w:val="0"/>
            <w:vAlign w:val="center"/>
          </w:tcPr>
          <w:p w14:paraId="5CCE6DB0">
            <w:pPr>
              <w:pStyle w:val="54"/>
              <w:jc w:val="center"/>
              <w:rPr>
                <w:rFonts w:hint="default" w:ascii="宋体" w:hAnsi="宋体" w:cs="宋体"/>
                <w:kern w:val="0"/>
                <w:sz w:val="24"/>
                <w:szCs w:val="24"/>
                <w:vertAlign w:val="baseline"/>
                <w:lang w:val="en-US" w:eastAsia="zh-CN" w:bidi="ar-SA"/>
              </w:rPr>
            </w:pPr>
            <w:r>
              <w:rPr>
                <w:rFonts w:hint="eastAsia" w:ascii="宋体" w:hAnsi="宋体" w:eastAsia="宋体"/>
                <w:sz w:val="28"/>
                <w:szCs w:val="28"/>
              </w:rPr>
              <w:t>1</w:t>
            </w:r>
          </w:p>
        </w:tc>
      </w:tr>
      <w:tr w14:paraId="740D7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9" w:type="pct"/>
            <w:noWrap w:val="0"/>
            <w:vAlign w:val="center"/>
          </w:tcPr>
          <w:p w14:paraId="55CE4509">
            <w:pPr>
              <w:pStyle w:val="54"/>
              <w:jc w:val="center"/>
              <w:rPr>
                <w:rFonts w:hint="default" w:ascii="宋体" w:hAnsi="宋体" w:eastAsia="Times New Roman" w:cs="宋体"/>
                <w:kern w:val="0"/>
                <w:sz w:val="24"/>
                <w:szCs w:val="24"/>
                <w:vertAlign w:val="baseline"/>
                <w:lang w:val="en-US" w:eastAsia="zh-CN" w:bidi="ar-SA"/>
              </w:rPr>
            </w:pPr>
            <w:r>
              <w:rPr>
                <w:rFonts w:hint="eastAsia" w:ascii="宋体" w:hAnsi="宋体" w:eastAsia="宋体"/>
                <w:sz w:val="28"/>
                <w:szCs w:val="28"/>
              </w:rPr>
              <w:t>8</w:t>
            </w:r>
          </w:p>
        </w:tc>
        <w:tc>
          <w:tcPr>
            <w:tcW w:w="2665" w:type="pct"/>
            <w:noWrap w:val="0"/>
            <w:vAlign w:val="center"/>
          </w:tcPr>
          <w:p w14:paraId="675BAD81">
            <w:pPr>
              <w:pStyle w:val="54"/>
              <w:jc w:val="center"/>
              <w:rPr>
                <w:rFonts w:hint="eastAsia" w:ascii="宋体" w:hAnsi="宋体" w:eastAsia="宋体" w:cs="宋体"/>
                <w:spacing w:val="8"/>
                <w:sz w:val="24"/>
                <w:szCs w:val="24"/>
                <w:highlight w:val="none"/>
              </w:rPr>
            </w:pPr>
            <w:r>
              <w:rPr>
                <w:rFonts w:hint="eastAsia" w:ascii="宋体" w:hAnsi="宋体" w:eastAsia="宋体"/>
                <w:sz w:val="28"/>
                <w:szCs w:val="28"/>
              </w:rPr>
              <w:t>心肺复苏机</w:t>
            </w:r>
          </w:p>
        </w:tc>
        <w:tc>
          <w:tcPr>
            <w:tcW w:w="955" w:type="pct"/>
            <w:noWrap w:val="0"/>
            <w:vAlign w:val="center"/>
          </w:tcPr>
          <w:p w14:paraId="43381941">
            <w:pPr>
              <w:pStyle w:val="54"/>
              <w:jc w:val="center"/>
              <w:rPr>
                <w:rFonts w:hint="eastAsia" w:ascii="宋体" w:hAnsi="宋体" w:eastAsia="Times New Roman" w:cs="宋体"/>
                <w:kern w:val="0"/>
                <w:sz w:val="24"/>
                <w:szCs w:val="24"/>
                <w:vertAlign w:val="baseline"/>
                <w:lang w:val="en-US" w:eastAsia="zh-CN" w:bidi="ar-SA"/>
              </w:rPr>
            </w:pPr>
            <w:r>
              <w:rPr>
                <w:rFonts w:hint="eastAsia" w:ascii="宋体" w:hAnsi="宋体" w:eastAsia="宋体"/>
                <w:sz w:val="28"/>
                <w:szCs w:val="28"/>
              </w:rPr>
              <w:t>台</w:t>
            </w:r>
          </w:p>
        </w:tc>
        <w:tc>
          <w:tcPr>
            <w:tcW w:w="788" w:type="pct"/>
            <w:noWrap w:val="0"/>
            <w:vAlign w:val="center"/>
          </w:tcPr>
          <w:p w14:paraId="3D953A69">
            <w:pPr>
              <w:pStyle w:val="54"/>
              <w:jc w:val="center"/>
              <w:rPr>
                <w:rFonts w:hint="default" w:ascii="宋体" w:hAnsi="宋体" w:cs="宋体"/>
                <w:kern w:val="0"/>
                <w:sz w:val="24"/>
                <w:szCs w:val="24"/>
                <w:vertAlign w:val="baseline"/>
                <w:lang w:val="en-US" w:eastAsia="zh-CN" w:bidi="ar-SA"/>
              </w:rPr>
            </w:pPr>
            <w:r>
              <w:rPr>
                <w:rFonts w:hint="eastAsia" w:ascii="宋体" w:hAnsi="宋体" w:eastAsia="宋体"/>
                <w:sz w:val="28"/>
                <w:szCs w:val="28"/>
              </w:rPr>
              <w:t>1</w:t>
            </w:r>
          </w:p>
        </w:tc>
      </w:tr>
      <w:tr w14:paraId="3D511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9" w:type="pct"/>
            <w:noWrap w:val="0"/>
            <w:vAlign w:val="center"/>
          </w:tcPr>
          <w:p w14:paraId="062CFF5E">
            <w:pPr>
              <w:pStyle w:val="54"/>
              <w:jc w:val="center"/>
              <w:rPr>
                <w:rFonts w:hint="default" w:ascii="宋体" w:hAnsi="宋体" w:eastAsia="Times New Roman" w:cs="宋体"/>
                <w:kern w:val="0"/>
                <w:sz w:val="24"/>
                <w:szCs w:val="24"/>
                <w:vertAlign w:val="baseline"/>
                <w:lang w:val="en-US" w:eastAsia="zh-CN" w:bidi="ar-SA"/>
              </w:rPr>
            </w:pPr>
            <w:r>
              <w:rPr>
                <w:rFonts w:hint="eastAsia" w:ascii="宋体" w:hAnsi="宋体" w:eastAsia="宋体"/>
                <w:sz w:val="28"/>
                <w:szCs w:val="28"/>
              </w:rPr>
              <w:t>9</w:t>
            </w:r>
          </w:p>
        </w:tc>
        <w:tc>
          <w:tcPr>
            <w:tcW w:w="2665" w:type="pct"/>
            <w:noWrap w:val="0"/>
            <w:vAlign w:val="center"/>
          </w:tcPr>
          <w:p w14:paraId="5BE6C007">
            <w:pPr>
              <w:pStyle w:val="54"/>
              <w:jc w:val="center"/>
              <w:rPr>
                <w:rFonts w:hint="eastAsia" w:ascii="宋体" w:hAnsi="宋体" w:eastAsia="宋体" w:cs="宋体"/>
                <w:spacing w:val="8"/>
                <w:sz w:val="24"/>
                <w:szCs w:val="24"/>
              </w:rPr>
            </w:pPr>
            <w:r>
              <w:rPr>
                <w:rFonts w:hint="eastAsia" w:ascii="宋体" w:hAnsi="宋体" w:eastAsia="宋体"/>
                <w:sz w:val="28"/>
                <w:szCs w:val="28"/>
              </w:rPr>
              <w:t>足背动脉监测仪</w:t>
            </w:r>
          </w:p>
        </w:tc>
        <w:tc>
          <w:tcPr>
            <w:tcW w:w="955" w:type="pct"/>
            <w:noWrap w:val="0"/>
            <w:vAlign w:val="center"/>
          </w:tcPr>
          <w:p w14:paraId="70F68B5B">
            <w:pPr>
              <w:pStyle w:val="54"/>
              <w:jc w:val="center"/>
              <w:rPr>
                <w:rFonts w:hint="eastAsia" w:ascii="宋体" w:hAnsi="宋体" w:eastAsia="Times New Roman" w:cs="宋体"/>
                <w:kern w:val="0"/>
                <w:sz w:val="24"/>
                <w:szCs w:val="24"/>
                <w:vertAlign w:val="baseline"/>
                <w:lang w:val="en-US" w:eastAsia="zh-CN" w:bidi="ar-SA"/>
              </w:rPr>
            </w:pPr>
            <w:r>
              <w:rPr>
                <w:rFonts w:hint="eastAsia" w:ascii="宋体" w:hAnsi="宋体" w:eastAsia="宋体"/>
                <w:sz w:val="28"/>
                <w:szCs w:val="28"/>
              </w:rPr>
              <w:t>台</w:t>
            </w:r>
          </w:p>
        </w:tc>
        <w:tc>
          <w:tcPr>
            <w:tcW w:w="788" w:type="pct"/>
            <w:noWrap w:val="0"/>
            <w:vAlign w:val="center"/>
          </w:tcPr>
          <w:p w14:paraId="1E45AEEC">
            <w:pPr>
              <w:pStyle w:val="54"/>
              <w:jc w:val="center"/>
              <w:rPr>
                <w:rFonts w:hint="default" w:ascii="宋体" w:hAnsi="宋体" w:cs="宋体"/>
                <w:kern w:val="0"/>
                <w:sz w:val="24"/>
                <w:szCs w:val="24"/>
                <w:vertAlign w:val="baseline"/>
                <w:lang w:val="en-US" w:eastAsia="zh-CN" w:bidi="ar-SA"/>
              </w:rPr>
            </w:pPr>
            <w:r>
              <w:rPr>
                <w:rFonts w:hint="eastAsia" w:ascii="宋体" w:hAnsi="宋体" w:eastAsia="宋体"/>
                <w:sz w:val="28"/>
                <w:szCs w:val="28"/>
              </w:rPr>
              <w:t>1</w:t>
            </w:r>
          </w:p>
        </w:tc>
      </w:tr>
      <w:tr w14:paraId="1843A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9" w:type="pct"/>
            <w:noWrap w:val="0"/>
            <w:vAlign w:val="center"/>
          </w:tcPr>
          <w:p w14:paraId="518EB914">
            <w:pPr>
              <w:pStyle w:val="54"/>
              <w:jc w:val="center"/>
              <w:rPr>
                <w:rFonts w:hint="default" w:ascii="宋体" w:hAnsi="宋体" w:eastAsia="Times New Roman" w:cs="宋体"/>
                <w:kern w:val="0"/>
                <w:sz w:val="24"/>
                <w:szCs w:val="24"/>
                <w:vertAlign w:val="baseline"/>
                <w:lang w:val="en-US" w:eastAsia="zh-CN" w:bidi="ar-SA"/>
              </w:rPr>
            </w:pPr>
            <w:r>
              <w:rPr>
                <w:rFonts w:hint="eastAsia" w:ascii="宋体" w:hAnsi="宋体" w:eastAsia="宋体"/>
                <w:sz w:val="28"/>
                <w:szCs w:val="28"/>
              </w:rPr>
              <w:t>10</w:t>
            </w:r>
          </w:p>
        </w:tc>
        <w:tc>
          <w:tcPr>
            <w:tcW w:w="2665" w:type="pct"/>
            <w:noWrap w:val="0"/>
            <w:vAlign w:val="center"/>
          </w:tcPr>
          <w:p w14:paraId="63290A48">
            <w:pPr>
              <w:pStyle w:val="54"/>
              <w:jc w:val="center"/>
              <w:rPr>
                <w:rFonts w:hint="eastAsia" w:ascii="宋体" w:hAnsi="宋体" w:eastAsia="宋体" w:cs="宋体"/>
                <w:spacing w:val="8"/>
                <w:sz w:val="24"/>
                <w:szCs w:val="24"/>
              </w:rPr>
            </w:pPr>
            <w:r>
              <w:rPr>
                <w:rFonts w:hint="eastAsia" w:ascii="宋体" w:hAnsi="宋体" w:eastAsia="宋体"/>
                <w:sz w:val="28"/>
                <w:szCs w:val="28"/>
              </w:rPr>
              <w:t>麻醉深度监测仪</w:t>
            </w:r>
          </w:p>
        </w:tc>
        <w:tc>
          <w:tcPr>
            <w:tcW w:w="955" w:type="pct"/>
            <w:noWrap w:val="0"/>
            <w:vAlign w:val="center"/>
          </w:tcPr>
          <w:p w14:paraId="5FA43AF6">
            <w:pPr>
              <w:pStyle w:val="54"/>
              <w:jc w:val="center"/>
              <w:rPr>
                <w:rFonts w:hint="eastAsia" w:ascii="宋体" w:hAnsi="宋体" w:eastAsia="Times New Roman" w:cs="宋体"/>
                <w:kern w:val="0"/>
                <w:sz w:val="24"/>
                <w:szCs w:val="24"/>
                <w:vertAlign w:val="baseline"/>
                <w:lang w:val="en-US" w:eastAsia="zh-CN" w:bidi="ar-SA"/>
              </w:rPr>
            </w:pPr>
            <w:r>
              <w:rPr>
                <w:rFonts w:hint="eastAsia" w:ascii="宋体" w:hAnsi="宋体" w:eastAsia="宋体"/>
                <w:sz w:val="28"/>
                <w:szCs w:val="28"/>
              </w:rPr>
              <w:t>台</w:t>
            </w:r>
          </w:p>
        </w:tc>
        <w:tc>
          <w:tcPr>
            <w:tcW w:w="788" w:type="pct"/>
            <w:noWrap w:val="0"/>
            <w:vAlign w:val="center"/>
          </w:tcPr>
          <w:p w14:paraId="1C9050CC">
            <w:pPr>
              <w:pStyle w:val="54"/>
              <w:jc w:val="center"/>
              <w:rPr>
                <w:rFonts w:hint="default" w:ascii="宋体" w:hAnsi="宋体" w:cs="宋体"/>
                <w:kern w:val="0"/>
                <w:sz w:val="24"/>
                <w:szCs w:val="24"/>
                <w:vertAlign w:val="baseline"/>
                <w:lang w:val="en-US" w:eastAsia="zh-CN" w:bidi="ar-SA"/>
              </w:rPr>
            </w:pPr>
            <w:r>
              <w:rPr>
                <w:rFonts w:hint="eastAsia" w:ascii="宋体" w:hAnsi="宋体" w:eastAsia="宋体"/>
                <w:sz w:val="28"/>
                <w:szCs w:val="28"/>
              </w:rPr>
              <w:t>1</w:t>
            </w:r>
          </w:p>
        </w:tc>
      </w:tr>
      <w:tr w14:paraId="433C0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9" w:type="pct"/>
            <w:noWrap w:val="0"/>
            <w:vAlign w:val="center"/>
          </w:tcPr>
          <w:p w14:paraId="2D55B3D7">
            <w:pPr>
              <w:pStyle w:val="54"/>
              <w:jc w:val="center"/>
              <w:rPr>
                <w:rFonts w:hint="eastAsia" w:ascii="宋体" w:hAnsi="宋体" w:eastAsia="Times New Roman" w:cs="宋体"/>
                <w:kern w:val="0"/>
                <w:sz w:val="24"/>
                <w:szCs w:val="24"/>
                <w:vertAlign w:val="baseline"/>
                <w:lang w:val="en-US" w:eastAsia="zh-CN" w:bidi="ar-SA"/>
              </w:rPr>
            </w:pPr>
            <w:r>
              <w:rPr>
                <w:rFonts w:hint="eastAsia" w:ascii="宋体" w:hAnsi="宋体" w:eastAsia="宋体"/>
                <w:sz w:val="28"/>
                <w:szCs w:val="28"/>
              </w:rPr>
              <w:t>11</w:t>
            </w:r>
          </w:p>
        </w:tc>
        <w:tc>
          <w:tcPr>
            <w:tcW w:w="2665" w:type="pct"/>
            <w:noWrap w:val="0"/>
            <w:vAlign w:val="center"/>
          </w:tcPr>
          <w:p w14:paraId="50356AC5">
            <w:pPr>
              <w:pStyle w:val="54"/>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sz w:val="28"/>
                <w:szCs w:val="28"/>
              </w:rPr>
              <w:t>脊柱内窥镜</w:t>
            </w:r>
          </w:p>
        </w:tc>
        <w:tc>
          <w:tcPr>
            <w:tcW w:w="955" w:type="pct"/>
            <w:noWrap w:val="0"/>
            <w:vAlign w:val="center"/>
          </w:tcPr>
          <w:p w14:paraId="1482380A">
            <w:pPr>
              <w:pStyle w:val="54"/>
              <w:jc w:val="center"/>
              <w:rPr>
                <w:rFonts w:hint="eastAsia" w:ascii="宋体" w:hAnsi="宋体" w:eastAsia="Times New Roman" w:cs="宋体"/>
                <w:kern w:val="0"/>
                <w:sz w:val="24"/>
                <w:szCs w:val="24"/>
                <w:vertAlign w:val="baseline"/>
                <w:lang w:val="en-US" w:eastAsia="zh-CN" w:bidi="ar-SA"/>
              </w:rPr>
            </w:pPr>
            <w:r>
              <w:rPr>
                <w:rFonts w:hint="eastAsia" w:ascii="宋体" w:hAnsi="宋体" w:eastAsia="宋体"/>
                <w:sz w:val="28"/>
                <w:szCs w:val="28"/>
              </w:rPr>
              <w:t>套</w:t>
            </w:r>
          </w:p>
        </w:tc>
        <w:tc>
          <w:tcPr>
            <w:tcW w:w="788" w:type="pct"/>
            <w:noWrap w:val="0"/>
            <w:vAlign w:val="center"/>
          </w:tcPr>
          <w:p w14:paraId="7A934F35">
            <w:pPr>
              <w:pStyle w:val="54"/>
              <w:jc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sz w:val="28"/>
                <w:szCs w:val="28"/>
              </w:rPr>
              <w:t>1</w:t>
            </w:r>
          </w:p>
        </w:tc>
      </w:tr>
    </w:tbl>
    <w:p w14:paraId="334FC070">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olor w:val="auto"/>
          <w:kern w:val="2"/>
          <w:sz w:val="24"/>
          <w:szCs w:val="24"/>
          <w:highlight w:val="none"/>
          <w:lang w:val="en-US" w:eastAsia="zh-CN" w:bidi="ar"/>
        </w:rPr>
      </w:pPr>
    </w:p>
    <w:p w14:paraId="74BF3E81">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olor w:val="auto"/>
          <w:sz w:val="24"/>
          <w:szCs w:val="24"/>
          <w:highlight w:val="none"/>
          <w:u w:val="single"/>
          <w:lang w:val="en-US"/>
        </w:rPr>
      </w:pPr>
      <w:r>
        <w:rPr>
          <w:rFonts w:hint="eastAsia" w:ascii="宋体" w:hAnsi="宋体" w:eastAsia="宋体" w:cs="宋体"/>
          <w:i w:val="0"/>
          <w:iCs w:val="0"/>
          <w:color w:val="auto"/>
          <w:kern w:val="2"/>
          <w:sz w:val="24"/>
          <w:szCs w:val="24"/>
          <w:highlight w:val="none"/>
          <w:lang w:val="en-US" w:eastAsia="zh-CN" w:bidi="ar"/>
        </w:rPr>
        <w:t>合同履行期限：</w:t>
      </w:r>
      <w:r>
        <w:rPr>
          <w:rFonts w:hint="eastAsia" w:ascii="宋体" w:hAnsi="宋体" w:cs="宋体"/>
          <w:color w:val="auto"/>
          <w:kern w:val="2"/>
          <w:sz w:val="24"/>
          <w:szCs w:val="24"/>
          <w:highlight w:val="none"/>
          <w:lang w:val="en-US" w:eastAsia="zh-CN" w:bidi="ar"/>
        </w:rPr>
        <w:t>自合同签订之日起至质保期满止。</w:t>
      </w:r>
    </w:p>
    <w:p w14:paraId="0178D605">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eastAsia" w:ascii="宋体" w:hAnsi="宋体" w:eastAsia="宋体" w:cs="宋体"/>
          <w:i w:val="0"/>
          <w:iCs w:val="0"/>
          <w:color w:val="auto"/>
          <w:kern w:val="2"/>
          <w:sz w:val="24"/>
          <w:szCs w:val="24"/>
          <w:highlight w:val="none"/>
          <w:lang w:val="en-US" w:eastAsia="zh-CN" w:bidi="ar"/>
        </w:rPr>
      </w:pPr>
      <w:r>
        <w:rPr>
          <w:rFonts w:hint="eastAsia" w:ascii="宋体" w:hAnsi="宋体"/>
          <w:kern w:val="2"/>
          <w:sz w:val="24"/>
          <w:szCs w:val="24"/>
          <w:highlight w:val="none"/>
        </w:rPr>
        <w:t>质保期：</w:t>
      </w:r>
      <w:r>
        <w:rPr>
          <w:rFonts w:hint="eastAsia" w:ascii="宋体" w:hAnsi="宋体" w:cs="宋体"/>
          <w:kern w:val="2"/>
          <w:sz w:val="24"/>
          <w:szCs w:val="24"/>
          <w:highlight w:val="none"/>
          <w:lang w:val="en-US" w:eastAsia="zh-CN"/>
        </w:rPr>
        <w:t>原厂5年质保</w:t>
      </w:r>
    </w:p>
    <w:p w14:paraId="0C93220A">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rPr>
          <w:rFonts w:hint="default" w:ascii="宋体" w:hAnsi="宋体" w:eastAsia="宋体" w:cs="宋体"/>
          <w:i w:val="0"/>
          <w:iCs w:val="0"/>
          <w:color w:val="auto"/>
          <w:kern w:val="2"/>
          <w:sz w:val="24"/>
          <w:szCs w:val="24"/>
          <w:highlight w:val="none"/>
          <w:lang w:val="en-US" w:eastAsia="zh-CN" w:bidi="ar"/>
        </w:rPr>
      </w:pPr>
      <w:r>
        <w:rPr>
          <w:rFonts w:hint="eastAsia" w:ascii="宋体" w:hAnsi="宋体" w:eastAsia="宋体" w:cs="宋体"/>
          <w:i w:val="0"/>
          <w:iCs w:val="0"/>
          <w:color w:val="auto"/>
          <w:kern w:val="2"/>
          <w:sz w:val="24"/>
          <w:szCs w:val="24"/>
          <w:highlight w:val="none"/>
          <w:lang w:val="en-US" w:eastAsia="zh-CN" w:bidi="ar"/>
        </w:rPr>
        <w:t>交货地点：香格里拉市人民医院</w:t>
      </w:r>
    </w:p>
    <w:p w14:paraId="26805DC8">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40" w:lineRule="exact"/>
        <w:ind w:left="0" w:right="0" w:firstLine="482" w:firstLineChars="200"/>
        <w:jc w:val="left"/>
        <w:textAlignment w:val="auto"/>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shd w:val="clear" w:color="auto" w:fill="FFFFFF"/>
        </w:rPr>
        <w:t>二</w:t>
      </w:r>
      <w:r>
        <w:rPr>
          <w:rFonts w:hint="eastAsia" w:ascii="宋体" w:hAnsi="宋体" w:cs="宋体"/>
          <w:b/>
          <w:bCs/>
          <w:i w:val="0"/>
          <w:iCs w:val="0"/>
          <w:caps w:val="0"/>
          <w:color w:val="333333"/>
          <w:spacing w:val="0"/>
          <w:sz w:val="24"/>
          <w:szCs w:val="24"/>
          <w:shd w:val="clear" w:color="auto" w:fill="FFFFFF"/>
          <w:lang w:eastAsia="zh-CN"/>
        </w:rPr>
        <w:t>、</w:t>
      </w:r>
      <w:r>
        <w:rPr>
          <w:rFonts w:hint="eastAsia" w:ascii="宋体" w:hAnsi="宋体" w:eastAsia="宋体" w:cs="宋体"/>
          <w:b/>
          <w:bCs/>
          <w:i w:val="0"/>
          <w:iCs w:val="0"/>
          <w:caps w:val="0"/>
          <w:color w:val="333333"/>
          <w:spacing w:val="0"/>
          <w:sz w:val="24"/>
          <w:szCs w:val="24"/>
          <w:shd w:val="clear" w:color="auto" w:fill="FFFFFF"/>
        </w:rPr>
        <w:t>采购标的需执行的国家相关标准、行业标准、地方标准或者其他标准、规范</w:t>
      </w:r>
      <w:r>
        <w:rPr>
          <w:rFonts w:hint="eastAsia" w:ascii="宋体" w:hAnsi="宋体" w:eastAsia="宋体" w:cs="宋体"/>
          <w:b/>
          <w:bCs/>
          <w:i w:val="0"/>
          <w:iCs w:val="0"/>
          <w:caps w:val="0"/>
          <w:color w:val="333333"/>
          <w:spacing w:val="0"/>
          <w:sz w:val="24"/>
          <w:szCs w:val="24"/>
          <w:shd w:val="clear" w:color="auto" w:fill="FFFFFF"/>
          <w:lang w:eastAsia="zh-CN"/>
        </w:rPr>
        <w:t>：</w:t>
      </w:r>
    </w:p>
    <w:p w14:paraId="68ED133F">
      <w:pPr>
        <w:pStyle w:val="2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40" w:lineRule="exact"/>
        <w:ind w:left="0" w:right="0" w:firstLine="480" w:firstLineChars="200"/>
        <w:jc w:val="left"/>
        <w:textAlignment w:val="auto"/>
        <w:rPr>
          <w:rFonts w:hint="eastAsia" w:ascii="宋体" w:hAnsi="宋体" w:eastAsia="宋体" w:cs="宋体"/>
          <w:b w:val="0"/>
          <w:bCs w:val="0"/>
          <w:i w:val="0"/>
          <w:iCs w:val="0"/>
          <w:caps w:val="0"/>
          <w:color w:val="333333"/>
          <w:spacing w:val="0"/>
          <w:sz w:val="24"/>
          <w:szCs w:val="24"/>
          <w:shd w:val="clear" w:color="auto" w:fill="FFFFFF"/>
          <w:lang w:val="en-US" w:eastAsia="zh-CN"/>
        </w:rPr>
      </w:pPr>
      <w:r>
        <w:rPr>
          <w:rFonts w:hint="eastAsia" w:ascii="宋体" w:hAnsi="宋体" w:eastAsia="宋体" w:cs="宋体"/>
          <w:color w:val="auto"/>
          <w:sz w:val="24"/>
        </w:rPr>
        <w:t>依据《中华人民共和国政府采购法》、中华人民共和国财政部令第87号《政府采购货物和服务招标投标管理办法》、财库〔2019〕38号《财政部关于促进政府采购公平竞争优化营商环境的通知》等相关法律法规，根据</w:t>
      </w:r>
      <w:r>
        <w:rPr>
          <w:rFonts w:hint="eastAsia" w:ascii="宋体" w:hAnsi="宋体"/>
          <w:bCs/>
          <w:color w:val="auto"/>
          <w:kern w:val="2"/>
          <w:sz w:val="24"/>
          <w:szCs w:val="20"/>
          <w:highlight w:val="none"/>
          <w:lang w:eastAsia="zh-CN"/>
        </w:rPr>
        <w:t>香格里拉市人民医院</w:t>
      </w:r>
      <w:r>
        <w:rPr>
          <w:rFonts w:hint="eastAsia" w:ascii="宋体" w:hAnsi="宋体" w:eastAsia="宋体" w:cs="宋体"/>
          <w:color w:val="auto"/>
          <w:sz w:val="24"/>
        </w:rPr>
        <w:t>实际需求，编制采购标准，满足</w:t>
      </w:r>
      <w:r>
        <w:rPr>
          <w:rFonts w:hint="eastAsia" w:ascii="宋体" w:hAnsi="宋体"/>
          <w:bCs/>
          <w:color w:val="auto"/>
          <w:kern w:val="2"/>
          <w:sz w:val="24"/>
          <w:szCs w:val="20"/>
          <w:highlight w:val="none"/>
          <w:lang w:eastAsia="zh-CN"/>
        </w:rPr>
        <w:t>香格里拉市人民医院</w:t>
      </w:r>
      <w:r>
        <w:rPr>
          <w:rFonts w:hint="eastAsia" w:ascii="宋体" w:hAnsi="宋体" w:eastAsia="宋体" w:cs="宋体"/>
          <w:color w:val="auto"/>
          <w:sz w:val="24"/>
        </w:rPr>
        <w:t>使用需求</w:t>
      </w:r>
      <w:r>
        <w:rPr>
          <w:rFonts w:hint="eastAsia" w:ascii="宋体" w:hAnsi="宋体" w:eastAsia="宋体" w:cs="宋体"/>
          <w:b w:val="0"/>
          <w:bCs w:val="0"/>
          <w:i w:val="0"/>
          <w:iCs w:val="0"/>
          <w:caps w:val="0"/>
          <w:color w:val="333333"/>
          <w:spacing w:val="0"/>
          <w:sz w:val="24"/>
          <w:szCs w:val="24"/>
          <w:shd w:val="clear" w:color="auto" w:fill="FFFFFF"/>
          <w:lang w:val="en-US" w:eastAsia="zh-CN"/>
        </w:rPr>
        <w:t>。</w:t>
      </w:r>
    </w:p>
    <w:p w14:paraId="6AA33DD4">
      <w:pPr>
        <w:pStyle w:val="26"/>
        <w:keepNext w:val="0"/>
        <w:keepLines w:val="0"/>
        <w:pageBreakBefore w:val="0"/>
        <w:widowControl/>
        <w:numPr>
          <w:ilvl w:val="0"/>
          <w:numId w:val="7"/>
        </w:numPr>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40" w:lineRule="exact"/>
        <w:ind w:left="0" w:right="0" w:firstLine="482" w:firstLineChars="200"/>
        <w:jc w:val="left"/>
        <w:textAlignment w:val="auto"/>
        <w:rPr>
          <w:rFonts w:hint="eastAsia" w:ascii="宋体" w:hAnsi="宋体" w:eastAsia="宋体" w:cs="宋体"/>
          <w:b/>
          <w:bCs/>
          <w:i w:val="0"/>
          <w:iCs w:val="0"/>
          <w:caps w:val="0"/>
          <w:color w:val="333333"/>
          <w:spacing w:val="0"/>
          <w:sz w:val="24"/>
          <w:szCs w:val="24"/>
          <w:highlight w:val="none"/>
          <w:shd w:val="clear" w:color="auto" w:fill="FFFFFF"/>
          <w:lang w:eastAsia="zh-CN"/>
        </w:rPr>
      </w:pPr>
      <w:r>
        <w:rPr>
          <w:rFonts w:hint="eastAsia" w:ascii="宋体" w:hAnsi="宋体" w:eastAsia="宋体" w:cs="宋体"/>
          <w:b/>
          <w:bCs/>
          <w:i w:val="0"/>
          <w:iCs w:val="0"/>
          <w:caps w:val="0"/>
          <w:color w:val="333333"/>
          <w:spacing w:val="0"/>
          <w:sz w:val="24"/>
          <w:szCs w:val="24"/>
          <w:highlight w:val="none"/>
          <w:shd w:val="clear" w:color="auto" w:fill="FFFFFF"/>
        </w:rPr>
        <w:t>采购标的技术规格、</w:t>
      </w:r>
      <w:r>
        <w:rPr>
          <w:rFonts w:hint="eastAsia" w:ascii="宋体" w:hAnsi="宋体" w:cs="宋体"/>
          <w:b/>
          <w:bCs/>
          <w:i w:val="0"/>
          <w:iCs w:val="0"/>
          <w:caps w:val="0"/>
          <w:color w:val="333333"/>
          <w:spacing w:val="0"/>
          <w:sz w:val="24"/>
          <w:szCs w:val="24"/>
          <w:highlight w:val="none"/>
          <w:shd w:val="clear" w:color="auto" w:fill="FFFFFF"/>
          <w:lang w:val="en-US" w:eastAsia="zh-CN"/>
        </w:rPr>
        <w:t>参数</w:t>
      </w:r>
      <w:r>
        <w:rPr>
          <w:rFonts w:hint="eastAsia" w:ascii="宋体" w:hAnsi="宋体" w:eastAsia="宋体" w:cs="宋体"/>
          <w:b/>
          <w:bCs/>
          <w:i w:val="0"/>
          <w:iCs w:val="0"/>
          <w:caps w:val="0"/>
          <w:color w:val="333333"/>
          <w:spacing w:val="0"/>
          <w:sz w:val="24"/>
          <w:szCs w:val="24"/>
          <w:highlight w:val="none"/>
          <w:shd w:val="clear" w:color="auto" w:fill="FFFFFF"/>
        </w:rPr>
        <w:t>等要求</w:t>
      </w:r>
      <w:r>
        <w:rPr>
          <w:rFonts w:hint="eastAsia" w:ascii="宋体" w:hAnsi="宋体" w:eastAsia="宋体" w:cs="宋体"/>
          <w:b/>
          <w:bCs/>
          <w:i w:val="0"/>
          <w:iCs w:val="0"/>
          <w:caps w:val="0"/>
          <w:color w:val="333333"/>
          <w:spacing w:val="0"/>
          <w:sz w:val="24"/>
          <w:szCs w:val="24"/>
          <w:highlight w:val="none"/>
          <w:shd w:val="clear" w:color="auto" w:fill="FFFFFF"/>
          <w:lang w:eastAsia="zh-CN"/>
        </w:rPr>
        <w:t>：</w:t>
      </w:r>
    </w:p>
    <w:p w14:paraId="2F9CA759">
      <w:pPr>
        <w:rPr>
          <w:rFonts w:hint="eastAsia" w:ascii="宋体" w:hAnsi="宋体" w:eastAsia="宋体" w:cs="宋体"/>
          <w:b/>
          <w:bCs/>
          <w:i w:val="0"/>
          <w:iCs w:val="0"/>
          <w:caps w:val="0"/>
          <w:color w:val="333333"/>
          <w:spacing w:val="0"/>
          <w:sz w:val="24"/>
          <w:szCs w:val="24"/>
          <w:highlight w:val="none"/>
          <w:shd w:val="clear" w:color="auto" w:fill="FFFFFF"/>
          <w:lang w:eastAsia="zh-CN"/>
        </w:rPr>
      </w:pPr>
      <w:r>
        <w:rPr>
          <w:rFonts w:hint="eastAsia" w:ascii="宋体" w:hAnsi="宋体" w:eastAsia="宋体" w:cs="宋体"/>
          <w:b/>
          <w:bCs/>
          <w:i w:val="0"/>
          <w:iCs w:val="0"/>
          <w:caps w:val="0"/>
          <w:color w:val="333333"/>
          <w:spacing w:val="0"/>
          <w:sz w:val="24"/>
          <w:szCs w:val="24"/>
          <w:highlight w:val="none"/>
          <w:shd w:val="clear" w:color="auto" w:fill="FFFFFF"/>
          <w:lang w:eastAsia="zh-CN"/>
        </w:rPr>
        <w:br w:type="page"/>
      </w:r>
    </w:p>
    <w:tbl>
      <w:tblPr>
        <w:tblStyle w:val="28"/>
        <w:tblW w:w="93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1559"/>
        <w:gridCol w:w="6804"/>
      </w:tblGrid>
      <w:tr w14:paraId="7C7E9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19C69BEE">
            <w:pPr>
              <w:widowControl w:val="0"/>
              <w:jc w:val="center"/>
              <w:rPr>
                <w:rFonts w:hint="eastAsia"/>
                <w:sz w:val="24"/>
              </w:rPr>
            </w:pPr>
            <w:r>
              <w:rPr>
                <w:rFonts w:hint="eastAsia"/>
                <w:sz w:val="24"/>
              </w:rPr>
              <w:t>序</w:t>
            </w:r>
            <w:r>
              <w:rPr>
                <w:sz w:val="24"/>
              </w:rPr>
              <w:t>号</w:t>
            </w:r>
          </w:p>
        </w:tc>
        <w:tc>
          <w:tcPr>
            <w:tcW w:w="1559" w:type="dxa"/>
            <w:vAlign w:val="center"/>
          </w:tcPr>
          <w:p w14:paraId="225EEB56">
            <w:pPr>
              <w:widowControl w:val="0"/>
              <w:jc w:val="center"/>
              <w:rPr>
                <w:rFonts w:hint="eastAsia"/>
                <w:sz w:val="24"/>
              </w:rPr>
            </w:pPr>
            <w:r>
              <w:rPr>
                <w:rFonts w:hint="eastAsia"/>
                <w:sz w:val="24"/>
              </w:rPr>
              <w:t>产</w:t>
            </w:r>
            <w:r>
              <w:rPr>
                <w:sz w:val="24"/>
              </w:rPr>
              <w:t>品名称</w:t>
            </w:r>
          </w:p>
        </w:tc>
        <w:tc>
          <w:tcPr>
            <w:tcW w:w="6804" w:type="dxa"/>
            <w:vAlign w:val="center"/>
          </w:tcPr>
          <w:p w14:paraId="057D5242">
            <w:pPr>
              <w:widowControl w:val="0"/>
              <w:spacing w:line="240" w:lineRule="auto"/>
              <w:jc w:val="center"/>
              <w:rPr>
                <w:rFonts w:hint="eastAsia"/>
                <w:sz w:val="24"/>
              </w:rPr>
            </w:pPr>
            <w:r>
              <w:rPr>
                <w:rFonts w:hint="eastAsia"/>
                <w:sz w:val="24"/>
              </w:rPr>
              <w:t>招</w:t>
            </w:r>
            <w:r>
              <w:rPr>
                <w:sz w:val="24"/>
              </w:rPr>
              <w:t>标</w:t>
            </w:r>
            <w:r>
              <w:rPr>
                <w:rFonts w:hint="eastAsia"/>
                <w:sz w:val="24"/>
              </w:rPr>
              <w:t>技术</w:t>
            </w:r>
            <w:r>
              <w:rPr>
                <w:sz w:val="24"/>
              </w:rPr>
              <w:t>参数</w:t>
            </w:r>
          </w:p>
        </w:tc>
      </w:tr>
      <w:tr w14:paraId="77A12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32C9F0EE">
            <w:pPr>
              <w:widowControl w:val="0"/>
              <w:jc w:val="center"/>
              <w:rPr>
                <w:rFonts w:hint="eastAsia"/>
                <w:sz w:val="24"/>
              </w:rPr>
            </w:pPr>
            <w:r>
              <w:rPr>
                <w:rFonts w:hint="eastAsia"/>
                <w:sz w:val="24"/>
              </w:rPr>
              <w:t>一</w:t>
            </w:r>
          </w:p>
        </w:tc>
        <w:tc>
          <w:tcPr>
            <w:tcW w:w="1559" w:type="dxa"/>
            <w:vAlign w:val="center"/>
          </w:tcPr>
          <w:p w14:paraId="27D87FA7">
            <w:pPr>
              <w:pStyle w:val="54"/>
              <w:jc w:val="center"/>
              <w:rPr>
                <w:rFonts w:hint="eastAsia"/>
                <w:sz w:val="24"/>
              </w:rPr>
            </w:pPr>
            <w:r>
              <w:rPr>
                <w:rFonts w:hint="eastAsia" w:ascii="宋体" w:hAnsi="宋体" w:eastAsia="宋体"/>
                <w:sz w:val="24"/>
              </w:rPr>
              <w:t>粪便工作站</w:t>
            </w:r>
          </w:p>
        </w:tc>
        <w:tc>
          <w:tcPr>
            <w:tcW w:w="6804" w:type="dxa"/>
          </w:tcPr>
          <w:p w14:paraId="588A1D66">
            <w:pPr>
              <w:widowControl w:val="0"/>
              <w:spacing w:after="0" w:line="240" w:lineRule="auto"/>
              <w:ind w:firstLine="480" w:firstLineChars="200"/>
              <w:jc w:val="both"/>
              <w:rPr>
                <w:rFonts w:hint="eastAsia"/>
                <w:sz w:val="24"/>
              </w:rPr>
            </w:pPr>
            <w:r>
              <w:rPr>
                <w:rFonts w:hint="eastAsia"/>
                <w:sz w:val="24"/>
              </w:rPr>
              <w:t>1、设备用途：用于粪便样本全自动检测。</w:t>
            </w:r>
          </w:p>
          <w:p w14:paraId="665E2E12">
            <w:pPr>
              <w:widowControl w:val="0"/>
              <w:spacing w:after="0" w:line="240" w:lineRule="auto"/>
              <w:ind w:firstLine="480" w:firstLineChars="200"/>
              <w:jc w:val="both"/>
              <w:rPr>
                <w:rFonts w:hint="eastAsia"/>
                <w:sz w:val="24"/>
              </w:rPr>
            </w:pPr>
            <w:r>
              <w:rPr>
                <w:rFonts w:hint="eastAsia"/>
                <w:sz w:val="24"/>
              </w:rPr>
              <w:t xml:space="preserve">2、系统配置: </w:t>
            </w:r>
          </w:p>
          <w:p w14:paraId="51911CCC">
            <w:pPr>
              <w:widowControl w:val="0"/>
              <w:spacing w:after="0" w:line="240" w:lineRule="auto"/>
              <w:ind w:firstLine="480" w:firstLineChars="200"/>
              <w:jc w:val="both"/>
              <w:rPr>
                <w:rFonts w:hint="eastAsia"/>
                <w:sz w:val="24"/>
              </w:rPr>
            </w:pPr>
            <w:r>
              <w:rPr>
                <w:rFonts w:hint="eastAsia"/>
                <w:sz w:val="24"/>
              </w:rPr>
              <w:t>2.1</w:t>
            </w:r>
            <w:r>
              <w:rPr>
                <w:rFonts w:hint="eastAsia"/>
                <w:sz w:val="24"/>
              </w:rPr>
              <w:tab/>
            </w:r>
            <w:r>
              <w:rPr>
                <w:rFonts w:hint="eastAsia"/>
                <w:sz w:val="24"/>
              </w:rPr>
              <w:t>系统主机：样本架式轨道循环上样系统、样本性状自动摄像系统、多步骤气动样本稀释混匀系统、双通道自动聚焦显微镜摄像系统、金标卡自动检测系统、自动废物回收系统、全方位故障报警系统。</w:t>
            </w:r>
          </w:p>
          <w:p w14:paraId="7EE13830">
            <w:pPr>
              <w:widowControl w:val="0"/>
              <w:spacing w:after="0" w:line="240" w:lineRule="auto"/>
              <w:ind w:firstLine="480" w:firstLineChars="200"/>
              <w:jc w:val="both"/>
              <w:rPr>
                <w:rFonts w:hint="eastAsia"/>
                <w:sz w:val="24"/>
              </w:rPr>
            </w:pPr>
            <w:r>
              <w:rPr>
                <w:rFonts w:hint="eastAsia"/>
                <w:sz w:val="24"/>
              </w:rPr>
              <w:t>2.2</w:t>
            </w:r>
            <w:r>
              <w:rPr>
                <w:rFonts w:hint="eastAsia"/>
                <w:sz w:val="24"/>
              </w:rPr>
              <w:tab/>
            </w:r>
            <w:r>
              <w:rPr>
                <w:rFonts w:hint="eastAsia"/>
                <w:sz w:val="24"/>
              </w:rPr>
              <w:t>配套样本采集管、金标卡专用保存箱、试剂等。</w:t>
            </w:r>
          </w:p>
          <w:p w14:paraId="14D015D1">
            <w:pPr>
              <w:widowControl w:val="0"/>
              <w:spacing w:after="0" w:line="240" w:lineRule="auto"/>
              <w:ind w:firstLine="480" w:firstLineChars="200"/>
              <w:jc w:val="both"/>
              <w:rPr>
                <w:rFonts w:hint="eastAsia"/>
                <w:sz w:val="24"/>
              </w:rPr>
            </w:pPr>
            <w:r>
              <w:rPr>
                <w:rFonts w:hint="eastAsia"/>
                <w:sz w:val="24"/>
              </w:rPr>
              <w:t>2.3</w:t>
            </w:r>
            <w:r>
              <w:rPr>
                <w:rFonts w:hint="eastAsia"/>
                <w:sz w:val="24"/>
              </w:rPr>
              <w:tab/>
            </w:r>
            <w:r>
              <w:rPr>
                <w:rFonts w:hint="eastAsia"/>
                <w:sz w:val="24"/>
              </w:rPr>
              <w:t>专用图文处理电脑工作站。</w:t>
            </w:r>
          </w:p>
          <w:p w14:paraId="34D5250C">
            <w:pPr>
              <w:widowControl w:val="0"/>
              <w:spacing w:after="0" w:line="240" w:lineRule="auto"/>
              <w:ind w:firstLine="480" w:firstLineChars="200"/>
              <w:jc w:val="both"/>
              <w:rPr>
                <w:rFonts w:hint="eastAsia"/>
                <w:sz w:val="24"/>
              </w:rPr>
            </w:pPr>
            <w:r>
              <w:rPr>
                <w:rFonts w:hint="eastAsia"/>
                <w:sz w:val="24"/>
              </w:rPr>
              <w:t>3、所配软件为该机型的最新版本。</w:t>
            </w:r>
          </w:p>
          <w:p w14:paraId="5B6FAF0E">
            <w:pPr>
              <w:widowControl w:val="0"/>
              <w:spacing w:after="0" w:line="240" w:lineRule="auto"/>
              <w:ind w:firstLine="480" w:firstLineChars="200"/>
              <w:jc w:val="both"/>
              <w:rPr>
                <w:rFonts w:hint="eastAsia"/>
                <w:sz w:val="24"/>
              </w:rPr>
            </w:pPr>
            <w:r>
              <w:rPr>
                <w:rFonts w:hint="eastAsia"/>
                <w:sz w:val="24"/>
              </w:rPr>
              <w:t>4、提供所投产品的详细技术参数资料、彩图。</w:t>
            </w:r>
          </w:p>
          <w:p w14:paraId="7D0D0DF3">
            <w:pPr>
              <w:widowControl w:val="0"/>
              <w:spacing w:after="0" w:line="240" w:lineRule="auto"/>
              <w:ind w:firstLine="480" w:firstLineChars="200"/>
              <w:jc w:val="both"/>
              <w:rPr>
                <w:rFonts w:hint="eastAsia"/>
                <w:sz w:val="24"/>
              </w:rPr>
            </w:pPr>
            <w:r>
              <w:rPr>
                <w:rFonts w:hint="eastAsia"/>
                <w:sz w:val="24"/>
              </w:rPr>
              <w:t>5、配置图形自动识别软件。</w:t>
            </w:r>
          </w:p>
          <w:p w14:paraId="195ECC51">
            <w:pPr>
              <w:widowControl w:val="0"/>
              <w:spacing w:after="0" w:line="240" w:lineRule="auto"/>
              <w:ind w:firstLine="480" w:firstLineChars="200"/>
              <w:jc w:val="both"/>
              <w:rPr>
                <w:rFonts w:hint="eastAsia"/>
                <w:sz w:val="24"/>
              </w:rPr>
            </w:pPr>
            <w:r>
              <w:rPr>
                <w:rFonts w:hint="eastAsia"/>
                <w:sz w:val="24"/>
              </w:rPr>
              <w:t>一、主要技术参数及要求：</w:t>
            </w:r>
          </w:p>
          <w:p w14:paraId="5EFE3E1C">
            <w:pPr>
              <w:widowControl w:val="0"/>
              <w:spacing w:after="0" w:line="240" w:lineRule="auto"/>
              <w:ind w:firstLine="480" w:firstLineChars="200"/>
              <w:jc w:val="both"/>
              <w:rPr>
                <w:rFonts w:hint="eastAsia"/>
                <w:sz w:val="24"/>
              </w:rPr>
            </w:pPr>
            <w:r>
              <w:rPr>
                <w:rFonts w:hint="eastAsia"/>
                <w:sz w:val="24"/>
              </w:rPr>
              <w:t>1、系统功能要求：样本采集后运送、检测、回收全过程封闭。</w:t>
            </w:r>
          </w:p>
          <w:p w14:paraId="5A8F972E">
            <w:pPr>
              <w:widowControl w:val="0"/>
              <w:spacing w:after="0" w:line="240" w:lineRule="auto"/>
              <w:ind w:firstLine="480" w:firstLineChars="200"/>
              <w:jc w:val="both"/>
              <w:rPr>
                <w:rFonts w:hint="eastAsia"/>
                <w:sz w:val="24"/>
              </w:rPr>
            </w:pPr>
            <w:r>
              <w:rPr>
                <w:rFonts w:hint="eastAsia"/>
                <w:sz w:val="24"/>
              </w:rPr>
              <w:t>2、检测项目： 全自动实现样本颜色与性状拍照与结果自动判读；样本有形成分（细胞、食物残留、细菌、病毒、寄生虫虫体及虫卵、原虫、结晶与其它颗粒等）显微镜检拍照与结果自动判读；样本免疫学项目（粪便隐血、转铁蛋白、乳糖检测、幽门螺杆菌、腺病毒、轮状病毒、钙卫蛋白、乳铁蛋白等）免疫层析法（含金标法）检测与结果自动判读。</w:t>
            </w:r>
          </w:p>
          <w:p w14:paraId="378A96C5">
            <w:pPr>
              <w:widowControl w:val="0"/>
              <w:spacing w:after="0" w:line="240" w:lineRule="auto"/>
              <w:ind w:firstLine="480" w:firstLineChars="200"/>
              <w:jc w:val="both"/>
              <w:rPr>
                <w:rFonts w:hint="eastAsia"/>
                <w:sz w:val="24"/>
              </w:rPr>
            </w:pPr>
            <w:r>
              <w:rPr>
                <w:rFonts w:hint="eastAsia"/>
                <w:sz w:val="24"/>
              </w:rPr>
              <w:t>3、样本检测速度： ≥60标本/小时。</w:t>
            </w:r>
          </w:p>
          <w:p w14:paraId="3C17389C">
            <w:pPr>
              <w:widowControl w:val="0"/>
              <w:spacing w:after="0" w:line="240" w:lineRule="auto"/>
              <w:ind w:firstLine="480" w:firstLineChars="200"/>
              <w:jc w:val="both"/>
              <w:rPr>
                <w:rFonts w:hint="eastAsia"/>
                <w:sz w:val="24"/>
              </w:rPr>
            </w:pPr>
            <w:r>
              <w:rPr>
                <w:rFonts w:hint="eastAsia"/>
                <w:sz w:val="24"/>
              </w:rPr>
              <w:t>4、★样本采集管要求：全封闭设计，具有内外定位装置，可进行两端穿刺加注或吸样，吸样针倒置上穿定量吸样；采集管内部具有不锈钢材质滤网结构，可有效富集寄生虫卵；</w:t>
            </w:r>
          </w:p>
          <w:p w14:paraId="43EB94E7">
            <w:pPr>
              <w:widowControl w:val="0"/>
              <w:spacing w:after="0" w:line="240" w:lineRule="auto"/>
              <w:ind w:firstLine="480" w:firstLineChars="200"/>
              <w:jc w:val="both"/>
              <w:rPr>
                <w:rFonts w:hint="eastAsia"/>
                <w:sz w:val="24"/>
              </w:rPr>
            </w:pPr>
            <w:r>
              <w:rPr>
                <w:rFonts w:hint="eastAsia"/>
                <w:sz w:val="24"/>
              </w:rPr>
              <w:t>5、进样方式：样本架循环轨道式进样，急诊和常规标本随到随检，具备无限制样本处理能力，一次进样≥50个；</w:t>
            </w:r>
          </w:p>
          <w:p w14:paraId="1946E117">
            <w:pPr>
              <w:widowControl w:val="0"/>
              <w:spacing w:after="0" w:line="240" w:lineRule="auto"/>
              <w:ind w:firstLine="480" w:firstLineChars="200"/>
              <w:jc w:val="both"/>
              <w:rPr>
                <w:rFonts w:hint="eastAsia"/>
                <w:sz w:val="24"/>
              </w:rPr>
            </w:pPr>
            <w:r>
              <w:rPr>
                <w:rFonts w:hint="eastAsia"/>
                <w:sz w:val="24"/>
              </w:rPr>
              <w:t>6、样本性状摄像单元：高清CMOS摄像头，配置LED照明系统，性状照片能储存与调用，并方便检验医生调阅判断；</w:t>
            </w:r>
          </w:p>
          <w:p w14:paraId="220246F4">
            <w:pPr>
              <w:widowControl w:val="0"/>
              <w:spacing w:after="0" w:line="240" w:lineRule="auto"/>
              <w:ind w:firstLine="480" w:firstLineChars="200"/>
              <w:jc w:val="both"/>
              <w:rPr>
                <w:rFonts w:hint="eastAsia"/>
                <w:sz w:val="24"/>
              </w:rPr>
            </w:pPr>
            <w:r>
              <w:rPr>
                <w:rFonts w:hint="eastAsia"/>
                <w:sz w:val="24"/>
              </w:rPr>
              <w:t>7、样本稀释混匀过滤单元：自动穿刺注入稀释液稀释，并可进行智能二次稀释。满足所有标本的检测要求，尤其是满足虫卵标本的集卵要求；</w:t>
            </w:r>
          </w:p>
          <w:p w14:paraId="48E68696">
            <w:pPr>
              <w:widowControl w:val="0"/>
              <w:spacing w:after="0" w:line="240" w:lineRule="auto"/>
              <w:ind w:firstLine="480" w:firstLineChars="200"/>
              <w:jc w:val="both"/>
              <w:rPr>
                <w:rFonts w:hint="eastAsia"/>
                <w:sz w:val="24"/>
              </w:rPr>
            </w:pPr>
            <w:r>
              <w:rPr>
                <w:rFonts w:hint="eastAsia"/>
                <w:sz w:val="24"/>
              </w:rPr>
              <w:t>8、★高频往复式气动混匀，保证样本充分混匀而不破坏样本中有形成分；</w:t>
            </w:r>
          </w:p>
          <w:p w14:paraId="06205920">
            <w:pPr>
              <w:widowControl w:val="0"/>
              <w:spacing w:after="0" w:line="240" w:lineRule="auto"/>
              <w:ind w:firstLine="480" w:firstLineChars="200"/>
              <w:jc w:val="both"/>
              <w:rPr>
                <w:rFonts w:hint="eastAsia"/>
                <w:sz w:val="24"/>
              </w:rPr>
            </w:pPr>
            <w:r>
              <w:rPr>
                <w:rFonts w:hint="eastAsia"/>
                <w:sz w:val="24"/>
              </w:rPr>
              <w:t>9、CMOS LED显微镜多视野断层扫描成像，自动进行低倍镜（x10）和高倍镜（x40）切换。低倍镜和高倍镜均能对同一视野进行多层多焦距采集高清晰图像，用于检测白细胞、红细胞、霉菌、脂肪球、钩虫卵、蛔虫卵、鞭虫卵、蛲虫卵、绦虫卵、肝吸虫卵、科雷登结晶、等镜下所有有成成分项目，仪器具备寄生虫卵自动追踪功能，低倍镜定位，高倍镜追踪放大成像；</w:t>
            </w:r>
          </w:p>
          <w:p w14:paraId="71390C63">
            <w:pPr>
              <w:widowControl w:val="0"/>
              <w:spacing w:after="0" w:line="240" w:lineRule="auto"/>
              <w:ind w:firstLine="480" w:firstLineChars="200"/>
              <w:jc w:val="both"/>
              <w:rPr>
                <w:rFonts w:hint="eastAsia"/>
                <w:sz w:val="24"/>
              </w:rPr>
            </w:pPr>
            <w:r>
              <w:rPr>
                <w:rFonts w:hint="eastAsia"/>
                <w:sz w:val="24"/>
              </w:rPr>
              <w:t>10、★试剂卡仓数量≥3个，支持同时测试3～6个POCT项目，单卡盒装卡≥50张，一次性可装载试剂卡≥150张。具有自动送卡、卡量监测报警、不停机加卡功能；</w:t>
            </w:r>
          </w:p>
          <w:p w14:paraId="38C23EF2">
            <w:pPr>
              <w:widowControl w:val="0"/>
              <w:spacing w:after="0" w:line="240" w:lineRule="auto"/>
              <w:ind w:firstLine="480" w:firstLineChars="200"/>
              <w:jc w:val="both"/>
              <w:rPr>
                <w:rFonts w:hint="eastAsia"/>
                <w:sz w:val="24"/>
              </w:rPr>
            </w:pPr>
            <w:r>
              <w:rPr>
                <w:rFonts w:hint="eastAsia"/>
                <w:sz w:val="24"/>
              </w:rPr>
              <w:t>11、具备自动传输、检测、回收金标卡功能；</w:t>
            </w:r>
          </w:p>
          <w:p w14:paraId="6FA07843">
            <w:pPr>
              <w:widowControl w:val="0"/>
              <w:spacing w:after="0" w:line="240" w:lineRule="auto"/>
              <w:ind w:firstLine="480" w:firstLineChars="200"/>
              <w:jc w:val="both"/>
              <w:rPr>
                <w:rFonts w:hint="eastAsia"/>
                <w:sz w:val="24"/>
              </w:rPr>
            </w:pPr>
            <w:r>
              <w:rPr>
                <w:rFonts w:hint="eastAsia"/>
                <w:sz w:val="24"/>
              </w:rPr>
              <w:t>12、★所有试剂卡反应时间：≤4分钟，具有自动摄取金标卡反应结果图像和自动判读结果功能；</w:t>
            </w:r>
          </w:p>
          <w:p w14:paraId="6C9E637C">
            <w:pPr>
              <w:widowControl w:val="0"/>
              <w:spacing w:after="0" w:line="240" w:lineRule="auto"/>
              <w:ind w:firstLine="480" w:firstLineChars="200"/>
              <w:jc w:val="both"/>
              <w:rPr>
                <w:rFonts w:hint="eastAsia"/>
                <w:sz w:val="24"/>
              </w:rPr>
            </w:pPr>
            <w:r>
              <w:rPr>
                <w:rFonts w:hint="eastAsia"/>
                <w:sz w:val="24"/>
              </w:rPr>
              <w:t>13、配置自动图形识别软件，能对白细胞、红细胞、霉菌、脂肪球、钩虫卵、蛔虫卵、鞭虫卵、蛲虫卵、绦虫卵、肝吸虫卵、夏科雷登结晶、等不少于12种有形成分进行自动图形识别，能够对寄生虫卵、成虫及原虫进行自动识别分类。</w:t>
            </w:r>
          </w:p>
          <w:p w14:paraId="2E98257B">
            <w:pPr>
              <w:widowControl w:val="0"/>
              <w:spacing w:after="0" w:line="240" w:lineRule="auto"/>
              <w:ind w:firstLine="480" w:firstLineChars="200"/>
              <w:jc w:val="both"/>
              <w:rPr>
                <w:rFonts w:hint="eastAsia"/>
                <w:sz w:val="24"/>
              </w:rPr>
            </w:pPr>
            <w:r>
              <w:rPr>
                <w:rFonts w:hint="eastAsia"/>
                <w:sz w:val="24"/>
              </w:rPr>
              <w:t>14、LIS系统双向通讯功能，内置条码扫描。</w:t>
            </w:r>
          </w:p>
          <w:p w14:paraId="1CE1349A">
            <w:pPr>
              <w:widowControl w:val="0"/>
              <w:spacing w:after="0" w:line="240" w:lineRule="auto"/>
              <w:ind w:firstLine="480" w:firstLineChars="200"/>
              <w:jc w:val="both"/>
              <w:rPr>
                <w:rFonts w:hint="eastAsia"/>
                <w:sz w:val="24"/>
              </w:rPr>
            </w:pPr>
            <w:r>
              <w:rPr>
                <w:rFonts w:hint="eastAsia"/>
                <w:sz w:val="24"/>
              </w:rPr>
              <w:t>15、★厂家具有自产配套试剂（粪便隐血试剂、转铁蛋白试剂、钙卫蛋白试剂、乳铁蛋白试剂、乳糖检测试剂等），需提供注册证。</w:t>
            </w:r>
          </w:p>
          <w:p w14:paraId="2F5AF447">
            <w:pPr>
              <w:widowControl w:val="0"/>
              <w:spacing w:after="0" w:line="240" w:lineRule="auto"/>
              <w:ind w:firstLine="480" w:firstLineChars="200"/>
              <w:jc w:val="both"/>
              <w:rPr>
                <w:rFonts w:hint="eastAsia"/>
                <w:sz w:val="24"/>
              </w:rPr>
            </w:pPr>
            <w:r>
              <w:rPr>
                <w:rFonts w:hint="eastAsia"/>
                <w:sz w:val="24"/>
              </w:rPr>
              <w:t>16、★厂家具有自产配套粪便形态学质控品、粪便隐血质控品、粪便转铁质控品，其中形态学质控品类≥10种且包含寄生虫卵质控，软件自带质控功能模块，可上机操作。</w:t>
            </w:r>
          </w:p>
        </w:tc>
      </w:tr>
      <w:tr w14:paraId="2A2F2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5F23F608">
            <w:pPr>
              <w:widowControl w:val="0"/>
              <w:jc w:val="center"/>
              <w:rPr>
                <w:rFonts w:hint="eastAsia"/>
                <w:sz w:val="24"/>
              </w:rPr>
            </w:pPr>
            <w:r>
              <w:rPr>
                <w:rFonts w:hint="eastAsia"/>
                <w:sz w:val="24"/>
              </w:rPr>
              <w:t>二</w:t>
            </w:r>
          </w:p>
        </w:tc>
        <w:tc>
          <w:tcPr>
            <w:tcW w:w="1559" w:type="dxa"/>
            <w:vAlign w:val="center"/>
          </w:tcPr>
          <w:p w14:paraId="727EDEDB">
            <w:pPr>
              <w:pStyle w:val="54"/>
              <w:jc w:val="both"/>
              <w:rPr>
                <w:rFonts w:hint="eastAsia"/>
                <w:sz w:val="24"/>
              </w:rPr>
            </w:pPr>
            <w:r>
              <w:rPr>
                <w:rFonts w:hint="eastAsia" w:ascii="宋体" w:hAnsi="宋体" w:eastAsia="宋体"/>
                <w:sz w:val="24"/>
              </w:rPr>
              <w:t>儿童肺功能仪</w:t>
            </w:r>
          </w:p>
        </w:tc>
        <w:tc>
          <w:tcPr>
            <w:tcW w:w="6804" w:type="dxa"/>
          </w:tcPr>
          <w:p w14:paraId="6B619C58">
            <w:pPr>
              <w:widowControl w:val="0"/>
              <w:spacing w:after="0" w:line="240" w:lineRule="auto"/>
              <w:ind w:firstLine="480" w:firstLineChars="200"/>
              <w:jc w:val="both"/>
              <w:rPr>
                <w:rFonts w:hint="eastAsia"/>
                <w:sz w:val="24"/>
              </w:rPr>
            </w:pPr>
            <w:r>
              <w:rPr>
                <w:rFonts w:hint="eastAsia"/>
                <w:sz w:val="24"/>
              </w:rPr>
              <w:t>1、1.a进口传感器，高精度压差双向测试，37℃恒温</w:t>
            </w:r>
          </w:p>
          <w:p w14:paraId="66D15399">
            <w:pPr>
              <w:widowControl w:val="0"/>
              <w:spacing w:after="0" w:line="240" w:lineRule="auto"/>
              <w:ind w:firstLine="480" w:firstLineChars="200"/>
              <w:jc w:val="both"/>
              <w:rPr>
                <w:rFonts w:hint="eastAsia"/>
                <w:sz w:val="24"/>
              </w:rPr>
            </w:pPr>
            <w:r>
              <w:rPr>
                <w:rFonts w:hint="eastAsia"/>
                <w:sz w:val="24"/>
              </w:rPr>
              <w:t>2、1.b集成导气管，软线连接，移动、放置更方便；新模具手柄外壳，手感舒适，美观大方</w:t>
            </w:r>
          </w:p>
          <w:p w14:paraId="5BF90264">
            <w:pPr>
              <w:widowControl w:val="0"/>
              <w:spacing w:after="0" w:line="240" w:lineRule="auto"/>
              <w:ind w:firstLine="480" w:firstLineChars="200"/>
              <w:jc w:val="both"/>
              <w:rPr>
                <w:rFonts w:hint="eastAsia"/>
                <w:sz w:val="24"/>
              </w:rPr>
            </w:pPr>
            <w:r>
              <w:rPr>
                <w:rFonts w:hint="eastAsia"/>
                <w:sz w:val="24"/>
              </w:rPr>
              <w:t>3、1.c不锈钢过滤带，可拆洗、消毒</w:t>
            </w:r>
          </w:p>
          <w:p w14:paraId="6E588A7B">
            <w:pPr>
              <w:widowControl w:val="0"/>
              <w:spacing w:after="0" w:line="240" w:lineRule="auto"/>
              <w:ind w:firstLine="480" w:firstLineChars="200"/>
              <w:jc w:val="both"/>
              <w:rPr>
                <w:rFonts w:hint="eastAsia"/>
                <w:sz w:val="24"/>
              </w:rPr>
            </w:pPr>
            <w:r>
              <w:rPr>
                <w:rFonts w:hint="eastAsia"/>
                <w:sz w:val="24"/>
              </w:rPr>
              <w:t>4、1.d独立主机，可选择与不同微机连接使用</w:t>
            </w:r>
          </w:p>
          <w:p w14:paraId="4F693ED4">
            <w:pPr>
              <w:widowControl w:val="0"/>
              <w:spacing w:after="0" w:line="240" w:lineRule="auto"/>
              <w:ind w:firstLine="480" w:firstLineChars="200"/>
              <w:jc w:val="both"/>
              <w:rPr>
                <w:rFonts w:hint="eastAsia"/>
                <w:sz w:val="24"/>
              </w:rPr>
            </w:pPr>
            <w:r>
              <w:rPr>
                <w:rFonts w:hint="eastAsia"/>
                <w:sz w:val="24"/>
              </w:rPr>
              <w:t>5、2计算机:</w:t>
            </w:r>
          </w:p>
          <w:p w14:paraId="599A5F45">
            <w:pPr>
              <w:widowControl w:val="0"/>
              <w:spacing w:after="0" w:line="240" w:lineRule="auto"/>
              <w:ind w:firstLine="480" w:firstLineChars="200"/>
              <w:jc w:val="both"/>
              <w:rPr>
                <w:rFonts w:hint="eastAsia"/>
                <w:sz w:val="24"/>
              </w:rPr>
            </w:pPr>
            <w:r>
              <w:rPr>
                <w:rFonts w:hint="eastAsia"/>
                <w:sz w:val="24"/>
              </w:rPr>
              <w:t>2.a操作系统WindowsXP/10操作平台，全中文操作肺功能检测仪工作站</w:t>
            </w:r>
          </w:p>
          <w:p w14:paraId="196648E2">
            <w:pPr>
              <w:widowControl w:val="0"/>
              <w:spacing w:after="0" w:line="240" w:lineRule="auto"/>
              <w:ind w:firstLine="480" w:firstLineChars="200"/>
              <w:jc w:val="both"/>
              <w:rPr>
                <w:rFonts w:hint="eastAsia"/>
                <w:sz w:val="24"/>
              </w:rPr>
            </w:pPr>
            <w:r>
              <w:rPr>
                <w:rFonts w:hint="eastAsia"/>
                <w:sz w:val="24"/>
              </w:rPr>
              <w:t>6、2.bCPU≥奔腾4（2.66G）</w:t>
            </w:r>
          </w:p>
          <w:p w14:paraId="01E3E7A0">
            <w:pPr>
              <w:widowControl w:val="0"/>
              <w:spacing w:after="0" w:line="240" w:lineRule="auto"/>
              <w:ind w:firstLine="480" w:firstLineChars="200"/>
              <w:jc w:val="both"/>
              <w:rPr>
                <w:rFonts w:hint="eastAsia"/>
                <w:sz w:val="24"/>
              </w:rPr>
            </w:pPr>
            <w:r>
              <w:rPr>
                <w:rFonts w:hint="eastAsia"/>
                <w:sz w:val="24"/>
              </w:rPr>
              <w:t>7、2.c主板微星主板或技嘉主板或其他更好品牌</w:t>
            </w:r>
          </w:p>
          <w:p w14:paraId="1FC21FC2">
            <w:pPr>
              <w:widowControl w:val="0"/>
              <w:spacing w:after="0" w:line="240" w:lineRule="auto"/>
              <w:ind w:firstLine="480" w:firstLineChars="200"/>
              <w:jc w:val="both"/>
              <w:rPr>
                <w:rFonts w:hint="eastAsia"/>
                <w:sz w:val="24"/>
              </w:rPr>
            </w:pPr>
            <w:r>
              <w:rPr>
                <w:rFonts w:hint="eastAsia"/>
                <w:sz w:val="24"/>
              </w:rPr>
              <w:t>8、2.d内存≥4G</w:t>
            </w:r>
          </w:p>
          <w:p w14:paraId="6F43174E">
            <w:pPr>
              <w:widowControl w:val="0"/>
              <w:spacing w:after="0" w:line="240" w:lineRule="auto"/>
              <w:ind w:firstLine="480" w:firstLineChars="200"/>
              <w:jc w:val="both"/>
              <w:rPr>
                <w:rFonts w:hint="eastAsia"/>
                <w:sz w:val="24"/>
              </w:rPr>
            </w:pPr>
            <w:r>
              <w:rPr>
                <w:rFonts w:hint="eastAsia"/>
                <w:sz w:val="24"/>
              </w:rPr>
              <w:t>9、2.e打印机激光打印机（标配），可自由选择其他打印机。</w:t>
            </w:r>
          </w:p>
          <w:p w14:paraId="2BE56D37">
            <w:pPr>
              <w:widowControl w:val="0"/>
              <w:spacing w:after="0" w:line="240" w:lineRule="auto"/>
              <w:ind w:firstLine="480" w:firstLineChars="200"/>
              <w:jc w:val="both"/>
              <w:rPr>
                <w:rFonts w:hint="eastAsia"/>
                <w:sz w:val="24"/>
              </w:rPr>
            </w:pPr>
            <w:r>
              <w:rPr>
                <w:rFonts w:hint="eastAsia"/>
                <w:sz w:val="24"/>
              </w:rPr>
              <w:t>10、2.f显示器≥19液晶显示器</w:t>
            </w:r>
          </w:p>
          <w:p w14:paraId="6D4983A7">
            <w:pPr>
              <w:widowControl w:val="0"/>
              <w:spacing w:after="0" w:line="240" w:lineRule="auto"/>
              <w:ind w:firstLine="480" w:firstLineChars="200"/>
              <w:jc w:val="both"/>
              <w:rPr>
                <w:rFonts w:hint="eastAsia"/>
                <w:sz w:val="24"/>
              </w:rPr>
            </w:pPr>
            <w:r>
              <w:rPr>
                <w:rFonts w:hint="eastAsia"/>
                <w:sz w:val="24"/>
              </w:rPr>
              <w:t>11、3软件：</w:t>
            </w:r>
          </w:p>
          <w:p w14:paraId="38EE517D">
            <w:pPr>
              <w:widowControl w:val="0"/>
              <w:spacing w:after="0" w:line="240" w:lineRule="auto"/>
              <w:ind w:firstLine="480" w:firstLineChars="200"/>
              <w:jc w:val="both"/>
              <w:rPr>
                <w:rFonts w:hint="eastAsia"/>
                <w:sz w:val="24"/>
              </w:rPr>
            </w:pPr>
            <w:r>
              <w:rPr>
                <w:rFonts w:hint="eastAsia"/>
                <w:sz w:val="24"/>
              </w:rPr>
              <w:t>3.a肺功能软件为全中文操作界面,具有专门操作管理软件、肺通气功能测试软件、激发试验软件、体检测试软件, 独特的激发实验测试软件，有专设的激发试验记录报告，要求能够≥六次激发2</w:t>
            </w:r>
          </w:p>
          <w:p w14:paraId="694B5EEB">
            <w:pPr>
              <w:widowControl w:val="0"/>
              <w:spacing w:after="0" w:line="240" w:lineRule="auto"/>
              <w:ind w:firstLine="480" w:firstLineChars="200"/>
              <w:jc w:val="both"/>
              <w:rPr>
                <w:rFonts w:hint="eastAsia"/>
                <w:sz w:val="24"/>
              </w:rPr>
            </w:pPr>
            <w:r>
              <w:rPr>
                <w:rFonts w:hint="eastAsia"/>
                <w:sz w:val="24"/>
              </w:rPr>
              <w:t>12、3.b通过 VC、FVC、MV、MVV、DSG、小气道功能、激发、舒张试验，体检测试七大项目、十八幅坐标图，200多个参数。输出完整的彩色测试报告</w:t>
            </w:r>
          </w:p>
          <w:p w14:paraId="64AB8C50">
            <w:pPr>
              <w:widowControl w:val="0"/>
              <w:spacing w:after="0" w:line="240" w:lineRule="auto"/>
              <w:ind w:firstLine="480" w:firstLineChars="200"/>
              <w:jc w:val="both"/>
              <w:rPr>
                <w:rFonts w:hint="eastAsia"/>
                <w:sz w:val="24"/>
              </w:rPr>
            </w:pPr>
            <w:r>
              <w:rPr>
                <w:rFonts w:hint="eastAsia"/>
                <w:sz w:val="24"/>
              </w:rPr>
              <w:t>13、3.c数据库功能可分项、超大存储测试历史记录</w:t>
            </w:r>
          </w:p>
          <w:p w14:paraId="15E77DF7">
            <w:pPr>
              <w:widowControl w:val="0"/>
              <w:spacing w:after="0" w:line="240" w:lineRule="auto"/>
              <w:ind w:firstLine="480" w:firstLineChars="200"/>
              <w:jc w:val="both"/>
              <w:rPr>
                <w:rFonts w:hint="eastAsia"/>
                <w:sz w:val="24"/>
              </w:rPr>
            </w:pPr>
            <w:r>
              <w:rPr>
                <w:rFonts w:hint="eastAsia"/>
                <w:sz w:val="24"/>
              </w:rPr>
              <w:t>14、3.d设计多种查询方式，可选择自己喜欢的方式查询</w:t>
            </w:r>
          </w:p>
          <w:p w14:paraId="046909AC">
            <w:pPr>
              <w:widowControl w:val="0"/>
              <w:spacing w:after="0" w:line="240" w:lineRule="auto"/>
              <w:ind w:firstLine="480" w:firstLineChars="200"/>
              <w:jc w:val="both"/>
              <w:rPr>
                <w:rFonts w:hint="eastAsia"/>
                <w:sz w:val="24"/>
              </w:rPr>
            </w:pPr>
            <w:r>
              <w:rPr>
                <w:rFonts w:hint="eastAsia"/>
                <w:sz w:val="24"/>
              </w:rPr>
              <w:t>15、3.e可根据需要设置打印报告输出模式，得到三种不同的记录报告，设计有超级用户、管理员和操作员三种登录模式，便于使用单位管理</w:t>
            </w:r>
          </w:p>
          <w:p w14:paraId="41E9681D">
            <w:pPr>
              <w:widowControl w:val="0"/>
              <w:spacing w:after="0" w:line="240" w:lineRule="auto"/>
              <w:ind w:firstLine="480" w:firstLineChars="200"/>
              <w:jc w:val="both"/>
              <w:rPr>
                <w:rFonts w:hint="eastAsia"/>
                <w:sz w:val="24"/>
              </w:rPr>
            </w:pPr>
            <w:r>
              <w:rPr>
                <w:rFonts w:hint="eastAsia"/>
                <w:sz w:val="24"/>
              </w:rPr>
              <w:t>16、3.f预设条码可随时与医院实现数据化管理对接，可与网络连接实现远程诊断和服务</w:t>
            </w:r>
          </w:p>
          <w:p w14:paraId="19CC5859">
            <w:pPr>
              <w:widowControl w:val="0"/>
              <w:spacing w:after="0" w:line="240" w:lineRule="auto"/>
              <w:ind w:firstLine="480" w:firstLineChars="200"/>
              <w:jc w:val="both"/>
              <w:rPr>
                <w:rFonts w:hint="eastAsia"/>
                <w:sz w:val="24"/>
              </w:rPr>
            </w:pPr>
            <w:r>
              <w:rPr>
                <w:rFonts w:hint="eastAsia"/>
                <w:sz w:val="24"/>
              </w:rPr>
              <w:t>17、3.g测试项目显示于同一界面，活页式菜单，多窗口模式，便于对比观察，测试方法同步显示于屏幕右下角</w:t>
            </w:r>
          </w:p>
          <w:p w14:paraId="0061F38E">
            <w:pPr>
              <w:widowControl w:val="0"/>
              <w:spacing w:after="0" w:line="240" w:lineRule="auto"/>
              <w:ind w:firstLine="480" w:firstLineChars="200"/>
              <w:jc w:val="both"/>
              <w:rPr>
                <w:rFonts w:hint="eastAsia"/>
                <w:sz w:val="24"/>
              </w:rPr>
            </w:pPr>
            <w:r>
              <w:rPr>
                <w:rFonts w:hint="eastAsia"/>
                <w:sz w:val="24"/>
              </w:rPr>
              <w:t>18、3.h采用PCI-E或USB数据传输模式。</w:t>
            </w:r>
          </w:p>
        </w:tc>
      </w:tr>
      <w:tr w14:paraId="0EA56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34677ABD">
            <w:pPr>
              <w:widowControl w:val="0"/>
              <w:jc w:val="center"/>
              <w:rPr>
                <w:rFonts w:hint="eastAsia"/>
                <w:sz w:val="24"/>
              </w:rPr>
            </w:pPr>
            <w:r>
              <w:rPr>
                <w:rFonts w:hint="eastAsia"/>
                <w:sz w:val="24"/>
              </w:rPr>
              <w:t>三</w:t>
            </w:r>
          </w:p>
        </w:tc>
        <w:tc>
          <w:tcPr>
            <w:tcW w:w="1559" w:type="dxa"/>
            <w:vAlign w:val="center"/>
          </w:tcPr>
          <w:p w14:paraId="3362C91A">
            <w:pPr>
              <w:pStyle w:val="54"/>
              <w:jc w:val="both"/>
              <w:rPr>
                <w:rFonts w:hint="eastAsia"/>
                <w:sz w:val="24"/>
              </w:rPr>
            </w:pPr>
            <w:r>
              <w:rPr>
                <w:rFonts w:hint="eastAsia" w:ascii="宋体" w:hAnsi="宋体" w:eastAsia="宋体"/>
                <w:sz w:val="24"/>
              </w:rPr>
              <w:t>儿童心电监护仪</w:t>
            </w:r>
          </w:p>
        </w:tc>
        <w:tc>
          <w:tcPr>
            <w:tcW w:w="6804" w:type="dxa"/>
          </w:tcPr>
          <w:p w14:paraId="66CFC165">
            <w:pPr>
              <w:widowControl w:val="0"/>
              <w:spacing w:after="0" w:line="240" w:lineRule="auto"/>
              <w:jc w:val="both"/>
              <w:rPr>
                <w:rFonts w:hint="eastAsia"/>
                <w:b/>
                <w:sz w:val="24"/>
              </w:rPr>
            </w:pPr>
            <w:r>
              <w:rPr>
                <w:rFonts w:hint="eastAsia"/>
                <w:b/>
                <w:sz w:val="24"/>
              </w:rPr>
              <w:t>整机要求：</w:t>
            </w:r>
          </w:p>
          <w:p w14:paraId="5D106FB3">
            <w:pPr>
              <w:widowControl w:val="0"/>
              <w:spacing w:after="0" w:line="240" w:lineRule="auto"/>
              <w:ind w:firstLine="480" w:firstLineChars="200"/>
              <w:jc w:val="both"/>
              <w:rPr>
                <w:rFonts w:hint="eastAsia"/>
                <w:sz w:val="24"/>
              </w:rPr>
            </w:pPr>
            <w:r>
              <w:rPr>
                <w:rFonts w:hint="eastAsia"/>
                <w:sz w:val="24"/>
              </w:rPr>
              <w:t>1.</w:t>
            </w:r>
            <w:r>
              <w:rPr>
                <w:rFonts w:hint="eastAsia"/>
                <w:sz w:val="24"/>
              </w:rPr>
              <w:tab/>
            </w:r>
            <w:r>
              <w:rPr>
                <w:rFonts w:hint="eastAsia"/>
                <w:sz w:val="24"/>
              </w:rPr>
              <w:t xml:space="preserve">一体化便携监护仪，整机无风扇设计，配置提手,方便移动。 </w:t>
            </w:r>
          </w:p>
          <w:p w14:paraId="6C830062">
            <w:pPr>
              <w:widowControl w:val="0"/>
              <w:spacing w:after="0" w:line="240" w:lineRule="auto"/>
              <w:ind w:firstLine="480" w:firstLineChars="200"/>
              <w:jc w:val="both"/>
              <w:rPr>
                <w:rFonts w:hint="eastAsia"/>
                <w:sz w:val="24"/>
              </w:rPr>
            </w:pPr>
            <w:r>
              <w:rPr>
                <w:rFonts w:hint="eastAsia"/>
                <w:sz w:val="24"/>
              </w:rPr>
              <w:t>2.</w:t>
            </w:r>
            <w:r>
              <w:rPr>
                <w:rFonts w:hint="eastAsia"/>
                <w:sz w:val="24"/>
              </w:rPr>
              <w:tab/>
            </w:r>
            <w:r>
              <w:rPr>
                <w:rFonts w:hint="eastAsia"/>
                <w:sz w:val="24"/>
              </w:rPr>
              <w:t>★≥10.1英寸彩色液晶触摸屏，标配最新电容屏非电阻屏，分辨率≥1280*800，≥8通道波形显示，提供说明书或检验报告证明。</w:t>
            </w:r>
          </w:p>
          <w:p w14:paraId="6CD2734D">
            <w:pPr>
              <w:widowControl w:val="0"/>
              <w:spacing w:after="0" w:line="240" w:lineRule="auto"/>
              <w:ind w:firstLine="480" w:firstLineChars="200"/>
              <w:jc w:val="both"/>
              <w:rPr>
                <w:rFonts w:hint="eastAsia"/>
                <w:sz w:val="24"/>
              </w:rPr>
            </w:pPr>
            <w:r>
              <w:rPr>
                <w:rFonts w:hint="eastAsia"/>
                <w:sz w:val="24"/>
              </w:rPr>
              <w:t>3.</w:t>
            </w:r>
            <w:r>
              <w:rPr>
                <w:rFonts w:hint="eastAsia"/>
                <w:sz w:val="24"/>
              </w:rPr>
              <w:tab/>
            </w:r>
            <w:r>
              <w:rPr>
                <w:rFonts w:hint="eastAsia"/>
                <w:sz w:val="24"/>
              </w:rPr>
              <w:t>显示屏采用宽视角技术，支持170度可视范围，提供彩页等证明材料。</w:t>
            </w:r>
          </w:p>
          <w:p w14:paraId="5619C7CC">
            <w:pPr>
              <w:widowControl w:val="0"/>
              <w:spacing w:after="0" w:line="240" w:lineRule="auto"/>
              <w:ind w:firstLine="480" w:firstLineChars="200"/>
              <w:jc w:val="both"/>
              <w:rPr>
                <w:rFonts w:hint="eastAsia"/>
                <w:sz w:val="24"/>
              </w:rPr>
            </w:pPr>
            <w:r>
              <w:rPr>
                <w:rFonts w:hint="eastAsia"/>
                <w:sz w:val="24"/>
              </w:rPr>
              <w:t>4.</w:t>
            </w:r>
            <w:r>
              <w:rPr>
                <w:rFonts w:hint="eastAsia"/>
                <w:sz w:val="24"/>
              </w:rPr>
              <w:tab/>
            </w:r>
            <w:r>
              <w:rPr>
                <w:rFonts w:hint="eastAsia"/>
                <w:sz w:val="24"/>
              </w:rPr>
              <w:t>安全规格：ECG, TEMP, SpO2 , NIBP监测参数抗电击程度为防除颤CF型。</w:t>
            </w:r>
          </w:p>
          <w:p w14:paraId="580BCD0B">
            <w:pPr>
              <w:widowControl w:val="0"/>
              <w:spacing w:after="0" w:line="240" w:lineRule="auto"/>
              <w:ind w:firstLine="480" w:firstLineChars="200"/>
              <w:jc w:val="both"/>
              <w:rPr>
                <w:rFonts w:hint="eastAsia"/>
                <w:sz w:val="24"/>
              </w:rPr>
            </w:pPr>
            <w:r>
              <w:rPr>
                <w:rFonts w:hint="eastAsia"/>
                <w:sz w:val="24"/>
              </w:rPr>
              <w:t>5.</w:t>
            </w:r>
            <w:r>
              <w:rPr>
                <w:rFonts w:hint="eastAsia"/>
                <w:sz w:val="24"/>
              </w:rPr>
              <w:tab/>
            </w:r>
            <w:r>
              <w:rPr>
                <w:rFonts w:hint="eastAsia"/>
                <w:sz w:val="24"/>
              </w:rPr>
              <w:t>监护仪设计使用年限≥10年。</w:t>
            </w:r>
          </w:p>
          <w:p w14:paraId="018743A4">
            <w:pPr>
              <w:widowControl w:val="0"/>
              <w:spacing w:after="0" w:line="240" w:lineRule="auto"/>
              <w:ind w:firstLine="480" w:firstLineChars="200"/>
              <w:jc w:val="both"/>
              <w:rPr>
                <w:rFonts w:hint="eastAsia"/>
                <w:sz w:val="24"/>
              </w:rPr>
            </w:pPr>
            <w:r>
              <w:rPr>
                <w:rFonts w:hint="eastAsia"/>
                <w:sz w:val="24"/>
              </w:rPr>
              <w:t>6.</w:t>
            </w:r>
            <w:r>
              <w:rPr>
                <w:rFonts w:hint="eastAsia"/>
                <w:sz w:val="24"/>
              </w:rPr>
              <w:tab/>
            </w:r>
            <w:r>
              <w:rPr>
                <w:rFonts w:hint="eastAsia"/>
                <w:sz w:val="24"/>
              </w:rPr>
              <w:t>★USB接口支持连接鼠标、键盘、条码扫描枪和遥控器等设备，提供说明书证明材料</w:t>
            </w:r>
          </w:p>
          <w:p w14:paraId="4D6FFDFC">
            <w:pPr>
              <w:widowControl w:val="0"/>
              <w:spacing w:after="0" w:line="240" w:lineRule="auto"/>
              <w:ind w:firstLine="480" w:firstLineChars="200"/>
              <w:jc w:val="both"/>
              <w:rPr>
                <w:rFonts w:hint="eastAsia"/>
                <w:sz w:val="24"/>
              </w:rPr>
            </w:pPr>
            <w:r>
              <w:rPr>
                <w:rFonts w:hint="eastAsia"/>
                <w:sz w:val="24"/>
              </w:rPr>
              <w:t>7.</w:t>
            </w:r>
            <w:r>
              <w:rPr>
                <w:rFonts w:hint="eastAsia"/>
                <w:sz w:val="24"/>
              </w:rPr>
              <w:tab/>
            </w:r>
            <w:r>
              <w:rPr>
                <w:rFonts w:hint="eastAsia"/>
                <w:sz w:val="24"/>
              </w:rPr>
              <w:t>监护仪清洁消毒维护支持的消毒剂≥40种，在使用说明书中清晰列举消毒剂的种类。</w:t>
            </w:r>
          </w:p>
          <w:p w14:paraId="567570EC">
            <w:pPr>
              <w:widowControl w:val="0"/>
              <w:spacing w:after="0" w:line="240" w:lineRule="auto"/>
              <w:ind w:firstLine="480" w:firstLineChars="200"/>
              <w:jc w:val="both"/>
              <w:rPr>
                <w:rFonts w:hint="eastAsia" w:ascii="宋体" w:hAnsi="宋体" w:eastAsia="宋体" w:cs="宋体"/>
                <w:sz w:val="24"/>
              </w:rPr>
            </w:pPr>
          </w:p>
          <w:p w14:paraId="34BA7407">
            <w:pPr>
              <w:widowControl w:val="0"/>
              <w:spacing w:after="0" w:line="240" w:lineRule="auto"/>
              <w:ind w:firstLine="482" w:firstLineChars="200"/>
              <w:jc w:val="both"/>
              <w:rPr>
                <w:rFonts w:hint="eastAsia"/>
                <w:b/>
                <w:sz w:val="24"/>
              </w:rPr>
            </w:pPr>
            <w:r>
              <w:rPr>
                <w:rFonts w:hint="eastAsia"/>
                <w:b/>
                <w:sz w:val="24"/>
              </w:rPr>
              <w:t>监测参数</w:t>
            </w:r>
          </w:p>
          <w:p w14:paraId="4EA0E790">
            <w:pPr>
              <w:widowControl w:val="0"/>
              <w:spacing w:after="0" w:line="240" w:lineRule="auto"/>
              <w:ind w:firstLine="480" w:firstLineChars="200"/>
              <w:jc w:val="both"/>
              <w:rPr>
                <w:rFonts w:hint="eastAsia"/>
                <w:sz w:val="24"/>
              </w:rPr>
            </w:pPr>
            <w:r>
              <w:rPr>
                <w:rFonts w:hint="eastAsia"/>
                <w:sz w:val="24"/>
              </w:rPr>
              <w:t>8.</w:t>
            </w:r>
            <w:r>
              <w:rPr>
                <w:rFonts w:hint="eastAsia"/>
                <w:sz w:val="24"/>
              </w:rPr>
              <w:tab/>
            </w:r>
            <w:r>
              <w:rPr>
                <w:rFonts w:hint="eastAsia"/>
                <w:sz w:val="24"/>
              </w:rPr>
              <w:t>配置3/5导心电，呼吸，无创血压，血氧饱和度，脉搏和双通道体温参数监测，以上参数适用于成人、小儿、新生儿患者。</w:t>
            </w:r>
          </w:p>
          <w:p w14:paraId="4BE06C75">
            <w:pPr>
              <w:widowControl w:val="0"/>
              <w:spacing w:after="0" w:line="240" w:lineRule="auto"/>
              <w:ind w:firstLine="480" w:firstLineChars="200"/>
              <w:jc w:val="both"/>
              <w:rPr>
                <w:rFonts w:hint="eastAsia"/>
                <w:sz w:val="24"/>
              </w:rPr>
            </w:pPr>
            <w:r>
              <w:rPr>
                <w:rFonts w:hint="eastAsia"/>
                <w:sz w:val="24"/>
              </w:rPr>
              <w:t>9.</w:t>
            </w:r>
            <w:r>
              <w:rPr>
                <w:rFonts w:hint="eastAsia"/>
                <w:sz w:val="24"/>
              </w:rPr>
              <w:tab/>
            </w:r>
            <w:r>
              <w:rPr>
                <w:rFonts w:hint="eastAsia"/>
                <w:sz w:val="24"/>
              </w:rPr>
              <w:t>心电监护支持心率，ST段测量，心律失常分析，QT/QTc连续实时测量和对应报警功能，支持成人、小儿、新生儿患者。</w:t>
            </w:r>
          </w:p>
          <w:p w14:paraId="1D8E6D51">
            <w:pPr>
              <w:widowControl w:val="0"/>
              <w:spacing w:after="0" w:line="240" w:lineRule="auto"/>
              <w:ind w:firstLine="480" w:firstLineChars="200"/>
              <w:jc w:val="both"/>
              <w:rPr>
                <w:rFonts w:hint="eastAsia"/>
                <w:sz w:val="24"/>
              </w:rPr>
            </w:pPr>
            <w:r>
              <w:rPr>
                <w:rFonts w:hint="eastAsia"/>
                <w:sz w:val="24"/>
              </w:rPr>
              <w:t>10.</w:t>
            </w:r>
            <w:r>
              <w:rPr>
                <w:rFonts w:hint="eastAsia"/>
                <w:sz w:val="24"/>
              </w:rPr>
              <w:tab/>
            </w:r>
            <w:r>
              <w:rPr>
                <w:rFonts w:hint="eastAsia"/>
                <w:sz w:val="24"/>
              </w:rPr>
              <w:t>★支持室上性心动过速和SVCs/min等室上性心律失常分析，提供产品说明书证明材料</w:t>
            </w:r>
          </w:p>
          <w:p w14:paraId="5FD53D38">
            <w:pPr>
              <w:widowControl w:val="0"/>
              <w:spacing w:after="0" w:line="240" w:lineRule="auto"/>
              <w:ind w:firstLine="480" w:firstLineChars="200"/>
              <w:jc w:val="both"/>
              <w:rPr>
                <w:rFonts w:hint="eastAsia"/>
                <w:sz w:val="24"/>
              </w:rPr>
            </w:pPr>
            <w:r>
              <w:rPr>
                <w:rFonts w:hint="eastAsia"/>
                <w:sz w:val="24"/>
              </w:rPr>
              <w:t>11.</w:t>
            </w:r>
            <w:r>
              <w:rPr>
                <w:rFonts w:hint="eastAsia"/>
                <w:sz w:val="24"/>
              </w:rPr>
              <w:tab/>
            </w:r>
            <w:r>
              <w:rPr>
                <w:rFonts w:hint="eastAsia"/>
                <w:sz w:val="24"/>
              </w:rPr>
              <w:t>QT和QTc实时监测参数测量范围：200～800 ms。</w:t>
            </w:r>
          </w:p>
          <w:p w14:paraId="3E359E56">
            <w:pPr>
              <w:widowControl w:val="0"/>
              <w:spacing w:after="0" w:line="240" w:lineRule="auto"/>
              <w:ind w:firstLine="480" w:firstLineChars="200"/>
              <w:jc w:val="both"/>
              <w:rPr>
                <w:rFonts w:hint="eastAsia"/>
                <w:sz w:val="24"/>
              </w:rPr>
            </w:pPr>
            <w:r>
              <w:rPr>
                <w:rFonts w:hint="eastAsia"/>
                <w:sz w:val="24"/>
              </w:rPr>
              <w:t>12.</w:t>
            </w:r>
            <w:r>
              <w:rPr>
                <w:rFonts w:hint="eastAsia"/>
                <w:sz w:val="24"/>
              </w:rPr>
              <w:tab/>
            </w:r>
            <w:r>
              <w:rPr>
                <w:rFonts w:hint="eastAsia"/>
                <w:sz w:val="24"/>
              </w:rPr>
              <w:t>★心电支持≥3个分析导联实时动态同步分析，并非多个导联波形同屏显示及12导联静息分析，需提供产品界面、说明书证明支持实时分析通道数量，或相关技术专利证明材料</w:t>
            </w:r>
          </w:p>
          <w:p w14:paraId="3302AA07">
            <w:pPr>
              <w:widowControl w:val="0"/>
              <w:spacing w:after="0" w:line="240" w:lineRule="auto"/>
              <w:ind w:firstLine="480" w:firstLineChars="200"/>
              <w:jc w:val="both"/>
              <w:rPr>
                <w:rFonts w:hint="eastAsia"/>
                <w:sz w:val="24"/>
              </w:rPr>
            </w:pPr>
            <w:r>
              <w:rPr>
                <w:rFonts w:hint="eastAsia"/>
                <w:sz w:val="24"/>
              </w:rPr>
              <w:t>13.</w:t>
            </w:r>
            <w:r>
              <w:rPr>
                <w:rFonts w:hint="eastAsia"/>
                <w:sz w:val="24"/>
              </w:rPr>
              <w:tab/>
            </w:r>
            <w:r>
              <w:rPr>
                <w:rFonts w:hint="eastAsia"/>
                <w:sz w:val="24"/>
              </w:rPr>
              <w:t>提供SpO2,PR和PI参数的实时监测，适用于成人，小儿和新生儿。来自SpO2的PR测量范围：20-300</w:t>
            </w:r>
          </w:p>
          <w:p w14:paraId="4B3FAC0F">
            <w:pPr>
              <w:widowControl w:val="0"/>
              <w:spacing w:after="0" w:line="240" w:lineRule="auto"/>
              <w:ind w:firstLine="480" w:firstLineChars="200"/>
              <w:jc w:val="both"/>
              <w:rPr>
                <w:rFonts w:hint="eastAsia"/>
                <w:sz w:val="24"/>
              </w:rPr>
            </w:pPr>
            <w:r>
              <w:rPr>
                <w:rFonts w:hint="eastAsia"/>
                <w:sz w:val="24"/>
              </w:rPr>
              <w:t>14.</w:t>
            </w:r>
            <w:r>
              <w:rPr>
                <w:rFonts w:hint="eastAsia"/>
                <w:sz w:val="24"/>
              </w:rPr>
              <w:tab/>
            </w:r>
            <w:r>
              <w:rPr>
                <w:rFonts w:hint="eastAsia"/>
                <w:sz w:val="24"/>
              </w:rPr>
              <w:t>支持指套式血氧探头，IPX7防水等级，支持液体浸泡消毒和清洁。</w:t>
            </w:r>
          </w:p>
          <w:p w14:paraId="2CB7139B">
            <w:pPr>
              <w:widowControl w:val="0"/>
              <w:spacing w:after="0" w:line="240" w:lineRule="auto"/>
              <w:ind w:firstLine="480" w:firstLineChars="200"/>
              <w:jc w:val="both"/>
              <w:rPr>
                <w:rFonts w:hint="eastAsia"/>
                <w:sz w:val="24"/>
              </w:rPr>
            </w:pPr>
            <w:r>
              <w:rPr>
                <w:rFonts w:hint="eastAsia"/>
                <w:sz w:val="24"/>
              </w:rPr>
              <w:t>15.</w:t>
            </w:r>
            <w:r>
              <w:rPr>
                <w:rFonts w:hint="eastAsia"/>
                <w:sz w:val="24"/>
              </w:rPr>
              <w:tab/>
            </w:r>
            <w:r>
              <w:rPr>
                <w:rFonts w:hint="eastAsia"/>
                <w:sz w:val="24"/>
              </w:rPr>
              <w:t>提供呼吸测量，适用于成人、小儿和新生儿。呼吸测量范围：1-200 rpm。</w:t>
            </w:r>
          </w:p>
          <w:p w14:paraId="54D5001A">
            <w:pPr>
              <w:widowControl w:val="0"/>
              <w:spacing w:after="0" w:line="240" w:lineRule="auto"/>
              <w:ind w:firstLine="480" w:firstLineChars="200"/>
              <w:jc w:val="both"/>
              <w:rPr>
                <w:rFonts w:hint="eastAsia"/>
                <w:sz w:val="24"/>
              </w:rPr>
            </w:pPr>
            <w:r>
              <w:rPr>
                <w:rFonts w:hint="eastAsia"/>
                <w:sz w:val="24"/>
              </w:rPr>
              <w:t>16.</w:t>
            </w:r>
            <w:r>
              <w:rPr>
                <w:rFonts w:hint="eastAsia"/>
                <w:sz w:val="24"/>
              </w:rPr>
              <w:tab/>
            </w:r>
            <w:r>
              <w:rPr>
                <w:rFonts w:hint="eastAsia"/>
                <w:sz w:val="24"/>
              </w:rPr>
              <w:t>配置无创血压测量，适用于成人，小儿和新生儿。无创血压成人测量范围：收缩压25~290mmH</w:t>
            </w:r>
          </w:p>
          <w:p w14:paraId="3505CF30">
            <w:pPr>
              <w:widowControl w:val="0"/>
              <w:spacing w:after="0" w:line="240" w:lineRule="auto"/>
              <w:ind w:firstLine="480" w:firstLineChars="200"/>
              <w:jc w:val="both"/>
              <w:rPr>
                <w:rFonts w:hint="eastAsia"/>
                <w:sz w:val="24"/>
              </w:rPr>
            </w:pPr>
            <w:r>
              <w:rPr>
                <w:rFonts w:hint="eastAsia"/>
                <w:sz w:val="24"/>
              </w:rPr>
              <w:t>17.</w:t>
            </w:r>
            <w:r>
              <w:rPr>
                <w:rFonts w:hint="eastAsia"/>
                <w:sz w:val="24"/>
              </w:rPr>
              <w:tab/>
            </w:r>
            <w:r>
              <w:rPr>
                <w:rFonts w:hint="eastAsia"/>
                <w:sz w:val="24"/>
              </w:rPr>
              <w:t>★提供双通道体温和温差参数的监测, 并可根据需要更改体温通道标名，提供说明书证明文件。</w:t>
            </w:r>
          </w:p>
          <w:p w14:paraId="49159280">
            <w:pPr>
              <w:widowControl w:val="0"/>
              <w:spacing w:after="0" w:line="240" w:lineRule="auto"/>
              <w:ind w:firstLine="480" w:firstLineChars="200"/>
              <w:jc w:val="both"/>
              <w:rPr>
                <w:sz w:val="24"/>
              </w:rPr>
            </w:pPr>
          </w:p>
          <w:p w14:paraId="0885F78B">
            <w:pPr>
              <w:widowControl w:val="0"/>
              <w:spacing w:after="0" w:line="240" w:lineRule="auto"/>
              <w:ind w:firstLine="482" w:firstLineChars="200"/>
              <w:jc w:val="both"/>
              <w:rPr>
                <w:rFonts w:hint="eastAsia"/>
                <w:b/>
                <w:sz w:val="24"/>
              </w:rPr>
            </w:pPr>
            <w:r>
              <w:rPr>
                <w:rFonts w:hint="eastAsia"/>
                <w:b/>
                <w:sz w:val="24"/>
              </w:rPr>
              <w:t>系统功能：</w:t>
            </w:r>
          </w:p>
          <w:p w14:paraId="361A452C">
            <w:pPr>
              <w:widowControl w:val="0"/>
              <w:spacing w:after="0" w:line="240" w:lineRule="auto"/>
              <w:ind w:firstLine="480" w:firstLineChars="200"/>
              <w:jc w:val="both"/>
              <w:rPr>
                <w:rFonts w:hint="eastAsia"/>
                <w:sz w:val="24"/>
              </w:rPr>
            </w:pPr>
            <w:r>
              <w:rPr>
                <w:rFonts w:hint="eastAsia"/>
                <w:sz w:val="24"/>
              </w:rPr>
              <w:t>18.</w:t>
            </w:r>
            <w:r>
              <w:rPr>
                <w:rFonts w:hint="eastAsia"/>
                <w:sz w:val="24"/>
              </w:rPr>
              <w:tab/>
            </w:r>
            <w:r>
              <w:rPr>
                <w:rFonts w:hint="eastAsia"/>
                <w:sz w:val="24"/>
              </w:rPr>
              <w:t>支持所有监测参数报警限一键自动设置功能，满足医护团队快速管理患者报警需求，产品使用说明书提供报警限自动设置规则，提供说明书或检验报告证明。</w:t>
            </w:r>
          </w:p>
          <w:p w14:paraId="0D34E231">
            <w:pPr>
              <w:widowControl w:val="0"/>
              <w:spacing w:after="0" w:line="240" w:lineRule="auto"/>
              <w:ind w:firstLine="480" w:firstLineChars="200"/>
              <w:jc w:val="both"/>
              <w:rPr>
                <w:rFonts w:hint="eastAsia"/>
                <w:sz w:val="24"/>
              </w:rPr>
            </w:pPr>
            <w:r>
              <w:rPr>
                <w:rFonts w:hint="eastAsia"/>
                <w:sz w:val="24"/>
              </w:rPr>
              <w:t>19.</w:t>
            </w:r>
            <w:r>
              <w:rPr>
                <w:rFonts w:hint="eastAsia"/>
                <w:sz w:val="24"/>
              </w:rPr>
              <w:tab/>
            </w:r>
            <w:r>
              <w:rPr>
                <w:rFonts w:hint="eastAsia"/>
                <w:sz w:val="24"/>
              </w:rPr>
              <w:t>具有图形化技术报警指示功能，帮助医护团队快速识别报警来源。</w:t>
            </w:r>
          </w:p>
          <w:p w14:paraId="1785F3C8">
            <w:pPr>
              <w:widowControl w:val="0"/>
              <w:spacing w:after="0" w:line="240" w:lineRule="auto"/>
              <w:ind w:firstLine="480" w:firstLineChars="200"/>
              <w:jc w:val="both"/>
              <w:rPr>
                <w:rFonts w:hint="eastAsia"/>
                <w:sz w:val="24"/>
              </w:rPr>
            </w:pPr>
            <w:r>
              <w:rPr>
                <w:rFonts w:hint="eastAsia"/>
                <w:sz w:val="24"/>
              </w:rPr>
              <w:t>20.</w:t>
            </w:r>
            <w:r>
              <w:rPr>
                <w:rFonts w:hint="eastAsia"/>
                <w:sz w:val="24"/>
              </w:rPr>
              <w:tab/>
            </w:r>
            <w:r>
              <w:rPr>
                <w:rFonts w:hint="eastAsia"/>
                <w:sz w:val="24"/>
              </w:rPr>
              <w:t>支持≥1000条事件回顾。每条报警事件至少能够存储32秒相关波形，以及报警触发时所有测量参数值，提供说明书等证明文件。</w:t>
            </w:r>
          </w:p>
          <w:p w14:paraId="550869DA">
            <w:pPr>
              <w:widowControl w:val="0"/>
              <w:spacing w:after="0" w:line="240" w:lineRule="auto"/>
              <w:ind w:firstLine="480" w:firstLineChars="200"/>
              <w:jc w:val="both"/>
              <w:rPr>
                <w:rFonts w:hint="eastAsia"/>
                <w:sz w:val="24"/>
              </w:rPr>
            </w:pPr>
            <w:r>
              <w:rPr>
                <w:rFonts w:hint="eastAsia"/>
                <w:sz w:val="24"/>
              </w:rPr>
              <w:t>21.</w:t>
            </w:r>
            <w:r>
              <w:rPr>
                <w:rFonts w:hint="eastAsia"/>
                <w:sz w:val="24"/>
              </w:rPr>
              <w:tab/>
            </w:r>
            <w:r>
              <w:rPr>
                <w:rFonts w:hint="eastAsia"/>
                <w:sz w:val="24"/>
              </w:rPr>
              <w:t>支持≥120小时（分辨率1分钟）ST模板存储与回顾</w:t>
            </w:r>
          </w:p>
          <w:p w14:paraId="59DC6F2A">
            <w:pPr>
              <w:widowControl w:val="0"/>
              <w:spacing w:after="0" w:line="240" w:lineRule="auto"/>
              <w:ind w:firstLine="480" w:firstLineChars="200"/>
              <w:jc w:val="both"/>
              <w:rPr>
                <w:rFonts w:hint="eastAsia"/>
                <w:sz w:val="24"/>
              </w:rPr>
            </w:pPr>
            <w:r>
              <w:rPr>
                <w:rFonts w:hint="eastAsia"/>
                <w:sz w:val="24"/>
              </w:rPr>
              <w:t>22.</w:t>
            </w:r>
            <w:r>
              <w:rPr>
                <w:rFonts w:hint="eastAsia"/>
                <w:sz w:val="24"/>
              </w:rPr>
              <w:tab/>
            </w:r>
            <w:r>
              <w:rPr>
                <w:rFonts w:hint="eastAsia"/>
                <w:sz w:val="24"/>
              </w:rPr>
              <w:t>具有报警升级功能，当参数报警经过一定的时间未被处理或伴发了其他报警，就会升级到更高一个级别，提供产品使用说明书截图等证明资料。</w:t>
            </w:r>
          </w:p>
          <w:p w14:paraId="027FB0E2">
            <w:pPr>
              <w:widowControl w:val="0"/>
              <w:spacing w:after="0" w:line="240" w:lineRule="auto"/>
              <w:ind w:firstLine="480" w:firstLineChars="200"/>
              <w:jc w:val="both"/>
              <w:rPr>
                <w:rFonts w:hint="eastAsia"/>
                <w:sz w:val="24"/>
              </w:rPr>
            </w:pPr>
            <w:r>
              <w:rPr>
                <w:rFonts w:hint="eastAsia"/>
                <w:sz w:val="24"/>
              </w:rPr>
              <w:t>23.</w:t>
            </w:r>
            <w:r>
              <w:rPr>
                <w:rFonts w:hint="eastAsia"/>
                <w:sz w:val="24"/>
              </w:rPr>
              <w:tab/>
            </w:r>
            <w:r>
              <w:rPr>
                <w:rFonts w:hint="eastAsia"/>
                <w:sz w:val="24"/>
              </w:rPr>
              <w:t>具有特殊报警音，当监护仪在病人发生致命性参数报警时，发出特殊的报警音进行提示病人处于危急状态，提供产品使用说明书截图等证明资料。</w:t>
            </w:r>
          </w:p>
          <w:p w14:paraId="3D8EA681">
            <w:pPr>
              <w:widowControl w:val="0"/>
              <w:spacing w:after="0" w:line="240" w:lineRule="auto"/>
              <w:ind w:firstLine="480" w:firstLineChars="200"/>
              <w:jc w:val="both"/>
              <w:rPr>
                <w:rFonts w:hint="eastAsia"/>
                <w:sz w:val="24"/>
              </w:rPr>
            </w:pPr>
            <w:r>
              <w:rPr>
                <w:rFonts w:hint="eastAsia"/>
                <w:sz w:val="24"/>
              </w:rPr>
              <w:t>24.</w:t>
            </w:r>
            <w:r>
              <w:rPr>
                <w:rFonts w:hint="eastAsia"/>
                <w:sz w:val="24"/>
              </w:rPr>
              <w:tab/>
            </w:r>
            <w:r>
              <w:rPr>
                <w:rFonts w:hint="eastAsia"/>
                <w:sz w:val="24"/>
              </w:rPr>
              <w:t>★支持根据病人的参数趋势变化，可自动推送HR/PR、 SpO2、 RR 等参数的报警限建议，提供产品界面或产品使用说明书截图等证明资料。</w:t>
            </w:r>
          </w:p>
          <w:p w14:paraId="2CA1E60F">
            <w:pPr>
              <w:widowControl w:val="0"/>
              <w:spacing w:after="0" w:line="240" w:lineRule="auto"/>
              <w:ind w:firstLine="480" w:firstLineChars="200"/>
              <w:jc w:val="both"/>
              <w:rPr>
                <w:rFonts w:hint="eastAsia"/>
                <w:sz w:val="24"/>
              </w:rPr>
            </w:pPr>
            <w:r>
              <w:rPr>
                <w:rFonts w:hint="eastAsia"/>
                <w:sz w:val="24"/>
              </w:rPr>
              <w:t>25.</w:t>
            </w:r>
            <w:r>
              <w:rPr>
                <w:rFonts w:hint="eastAsia"/>
                <w:sz w:val="24"/>
              </w:rPr>
              <w:tab/>
            </w:r>
            <w:r>
              <w:rPr>
                <w:rFonts w:hint="eastAsia"/>
                <w:sz w:val="24"/>
              </w:rPr>
              <w:t>提供目标监测界面，能够显示ECG,SpO2,IBP,CO2等多种参数测量值和波形；目标监测界面至少包括目标参数区、参数列表区、目标参数统计区、目标参数趋势区等，目标参数统计区与目标参数趋势区相互联动</w:t>
            </w:r>
          </w:p>
          <w:p w14:paraId="46E6DFA6">
            <w:pPr>
              <w:widowControl w:val="0"/>
              <w:spacing w:after="0" w:line="240" w:lineRule="auto"/>
              <w:ind w:firstLine="480" w:firstLineChars="200"/>
              <w:jc w:val="both"/>
              <w:rPr>
                <w:rFonts w:hint="eastAsia"/>
                <w:sz w:val="24"/>
              </w:rPr>
            </w:pPr>
            <w:r>
              <w:rPr>
                <w:rFonts w:hint="eastAsia"/>
                <w:sz w:val="24"/>
              </w:rPr>
              <w:t>26.</w:t>
            </w:r>
            <w:r>
              <w:rPr>
                <w:rFonts w:hint="eastAsia"/>
                <w:sz w:val="24"/>
              </w:rPr>
              <w:tab/>
            </w:r>
            <w:r>
              <w:rPr>
                <w:rFonts w:hint="eastAsia"/>
                <w:sz w:val="24"/>
              </w:rPr>
              <w:t>提供屏幕截图功能，将屏幕截图通过USB接口导出到U盘，提供手册证明材料。</w:t>
            </w:r>
          </w:p>
          <w:p w14:paraId="50816CC7">
            <w:pPr>
              <w:widowControl w:val="0"/>
              <w:spacing w:after="0" w:line="240" w:lineRule="auto"/>
              <w:ind w:firstLine="480" w:firstLineChars="200"/>
              <w:jc w:val="both"/>
              <w:rPr>
                <w:rFonts w:hint="eastAsia"/>
                <w:sz w:val="24"/>
              </w:rPr>
            </w:pPr>
            <w:r>
              <w:rPr>
                <w:rFonts w:hint="eastAsia"/>
                <w:sz w:val="24"/>
              </w:rPr>
              <w:t>27.</w:t>
            </w:r>
            <w:r>
              <w:rPr>
                <w:rFonts w:hint="eastAsia"/>
                <w:sz w:val="24"/>
              </w:rPr>
              <w:tab/>
            </w:r>
            <w:r>
              <w:rPr>
                <w:rFonts w:hint="eastAsia"/>
                <w:sz w:val="24"/>
              </w:rPr>
              <w:t>支持它床观察，可同时监视≥12它床的报警信息，提供使用说明书截图等证明材料。</w:t>
            </w:r>
          </w:p>
          <w:p w14:paraId="35F45E75">
            <w:pPr>
              <w:widowControl w:val="0"/>
              <w:spacing w:after="0" w:line="240" w:lineRule="auto"/>
              <w:ind w:firstLine="480" w:firstLineChars="200"/>
              <w:jc w:val="both"/>
              <w:rPr>
                <w:sz w:val="24"/>
              </w:rPr>
            </w:pPr>
          </w:p>
          <w:p w14:paraId="04C333F2">
            <w:pPr>
              <w:widowControl w:val="0"/>
              <w:spacing w:after="0" w:line="240" w:lineRule="auto"/>
              <w:ind w:firstLine="482" w:firstLineChars="200"/>
              <w:jc w:val="both"/>
              <w:rPr>
                <w:rFonts w:hint="eastAsia"/>
                <w:b/>
                <w:sz w:val="24"/>
              </w:rPr>
            </w:pPr>
            <w:r>
              <w:rPr>
                <w:rFonts w:hint="eastAsia"/>
                <w:b/>
                <w:sz w:val="24"/>
              </w:rPr>
              <w:t>产品认证</w:t>
            </w:r>
          </w:p>
          <w:p w14:paraId="22553F8D">
            <w:pPr>
              <w:widowControl w:val="0"/>
              <w:spacing w:after="0" w:line="240" w:lineRule="auto"/>
              <w:ind w:firstLine="480" w:firstLineChars="200"/>
              <w:jc w:val="both"/>
              <w:rPr>
                <w:rFonts w:hint="eastAsia"/>
                <w:sz w:val="24"/>
              </w:rPr>
            </w:pPr>
            <w:r>
              <w:rPr>
                <w:rFonts w:hint="eastAsia"/>
                <w:sz w:val="24"/>
              </w:rPr>
              <w:t>28.</w:t>
            </w:r>
            <w:r>
              <w:rPr>
                <w:rFonts w:hint="eastAsia"/>
                <w:sz w:val="24"/>
              </w:rPr>
              <w:tab/>
            </w:r>
            <w:r>
              <w:rPr>
                <w:rFonts w:hint="eastAsia"/>
                <w:sz w:val="24"/>
              </w:rPr>
              <w:t>★产品型号通过国家III类注册，具备FDA认证，CE认证</w:t>
            </w:r>
          </w:p>
          <w:p w14:paraId="7CE77725">
            <w:pPr>
              <w:widowControl w:val="0"/>
              <w:spacing w:after="0" w:line="240" w:lineRule="auto"/>
              <w:ind w:firstLine="480" w:firstLineChars="200"/>
              <w:jc w:val="both"/>
              <w:rPr>
                <w:rFonts w:hint="eastAsia"/>
                <w:sz w:val="24"/>
              </w:rPr>
            </w:pPr>
            <w:r>
              <w:rPr>
                <w:rFonts w:hint="eastAsia"/>
                <w:sz w:val="24"/>
              </w:rPr>
              <w:t>29.</w:t>
            </w:r>
            <w:r>
              <w:rPr>
                <w:rFonts w:hint="eastAsia"/>
                <w:sz w:val="24"/>
              </w:rPr>
              <w:tab/>
            </w:r>
            <w:r>
              <w:rPr>
                <w:rFonts w:hint="eastAsia"/>
                <w:sz w:val="24"/>
              </w:rPr>
              <w:t>★产品型号入选优秀国产医疗设备产品目录，提供证明材料。</w:t>
            </w:r>
          </w:p>
        </w:tc>
      </w:tr>
      <w:tr w14:paraId="21E5B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1D02E622">
            <w:pPr>
              <w:widowControl w:val="0"/>
              <w:jc w:val="center"/>
              <w:rPr>
                <w:rFonts w:hint="eastAsia"/>
                <w:sz w:val="24"/>
              </w:rPr>
            </w:pPr>
            <w:r>
              <w:rPr>
                <w:rFonts w:hint="eastAsia"/>
                <w:sz w:val="24"/>
              </w:rPr>
              <w:t>四</w:t>
            </w:r>
          </w:p>
        </w:tc>
        <w:tc>
          <w:tcPr>
            <w:tcW w:w="1559" w:type="dxa"/>
            <w:vAlign w:val="center"/>
          </w:tcPr>
          <w:p w14:paraId="634FD9A6">
            <w:pPr>
              <w:pStyle w:val="54"/>
              <w:jc w:val="both"/>
              <w:rPr>
                <w:rFonts w:hint="eastAsia"/>
                <w:sz w:val="24"/>
              </w:rPr>
            </w:pPr>
            <w:r>
              <w:rPr>
                <w:rFonts w:hint="eastAsia" w:ascii="宋体" w:hAnsi="宋体" w:eastAsia="宋体"/>
                <w:sz w:val="24"/>
              </w:rPr>
              <w:t>儿童排痰仪夹背式</w:t>
            </w:r>
          </w:p>
        </w:tc>
        <w:tc>
          <w:tcPr>
            <w:tcW w:w="6804" w:type="dxa"/>
          </w:tcPr>
          <w:p w14:paraId="0A023E04">
            <w:pPr>
              <w:widowControl w:val="0"/>
              <w:spacing w:after="0" w:line="240" w:lineRule="auto"/>
              <w:ind w:firstLine="480" w:firstLineChars="200"/>
              <w:jc w:val="both"/>
              <w:rPr>
                <w:rFonts w:hint="eastAsia"/>
                <w:sz w:val="24"/>
              </w:rPr>
            </w:pPr>
            <w:r>
              <w:rPr>
                <w:rFonts w:hint="eastAsia"/>
                <w:sz w:val="24"/>
              </w:rPr>
              <w:t>一、设备用途：</w:t>
            </w:r>
          </w:p>
          <w:p w14:paraId="2A24121E">
            <w:pPr>
              <w:widowControl w:val="0"/>
              <w:spacing w:after="0" w:line="240" w:lineRule="auto"/>
              <w:ind w:firstLine="480" w:firstLineChars="200"/>
              <w:jc w:val="both"/>
              <w:rPr>
                <w:rFonts w:hint="eastAsia"/>
                <w:sz w:val="24"/>
              </w:rPr>
            </w:pPr>
            <w:r>
              <w:rPr>
                <w:rFonts w:hint="eastAsia"/>
                <w:sz w:val="24"/>
              </w:rPr>
              <w:t>运用高频胸壁震荡技术进行呼吸气道清除排痰治疗。适用于分泌物排出困难或由粘液阻塞引起的肺膨胀不全患者，同时促进气道清除排痰或改善支气管引流。</w:t>
            </w:r>
          </w:p>
          <w:p w14:paraId="23C47982">
            <w:pPr>
              <w:widowControl w:val="0"/>
              <w:spacing w:after="0" w:line="240" w:lineRule="auto"/>
              <w:ind w:firstLine="480" w:firstLineChars="200"/>
              <w:jc w:val="both"/>
              <w:rPr>
                <w:rFonts w:hint="eastAsia"/>
                <w:sz w:val="24"/>
              </w:rPr>
            </w:pPr>
            <w:r>
              <w:rPr>
                <w:rFonts w:hint="eastAsia"/>
                <w:sz w:val="24"/>
              </w:rPr>
              <w:t>二、主要技术参数：</w:t>
            </w:r>
          </w:p>
          <w:p w14:paraId="00A21796">
            <w:pPr>
              <w:widowControl w:val="0"/>
              <w:spacing w:after="0" w:line="240" w:lineRule="auto"/>
              <w:ind w:firstLine="480" w:firstLineChars="200"/>
              <w:jc w:val="both"/>
              <w:rPr>
                <w:rFonts w:hint="eastAsia"/>
                <w:sz w:val="24"/>
              </w:rPr>
            </w:pPr>
            <w:r>
              <w:rPr>
                <w:rFonts w:hint="eastAsia"/>
                <w:sz w:val="24"/>
              </w:rPr>
              <w:t>★1、结构形式：标准柜式推车式,不可拆分一体机，内置储物柜。</w:t>
            </w:r>
          </w:p>
          <w:p w14:paraId="4ED853E7">
            <w:pPr>
              <w:widowControl w:val="0"/>
              <w:spacing w:after="0" w:line="240" w:lineRule="auto"/>
              <w:ind w:firstLine="480" w:firstLineChars="200"/>
              <w:jc w:val="both"/>
              <w:rPr>
                <w:rFonts w:hint="eastAsia"/>
                <w:sz w:val="24"/>
              </w:rPr>
            </w:pPr>
            <w:r>
              <w:rPr>
                <w:rFonts w:hint="eastAsia"/>
                <w:sz w:val="24"/>
              </w:rPr>
              <w:t>★2、显示方式：9.7寸彩色液晶屏，中文菜单操作，操作方式：触摸屏操作。</w:t>
            </w:r>
          </w:p>
          <w:p w14:paraId="68292790">
            <w:pPr>
              <w:widowControl w:val="0"/>
              <w:spacing w:after="0" w:line="240" w:lineRule="auto"/>
              <w:ind w:firstLine="480" w:firstLineChars="200"/>
              <w:jc w:val="both"/>
              <w:rPr>
                <w:rFonts w:hint="eastAsia"/>
                <w:sz w:val="24"/>
              </w:rPr>
            </w:pPr>
            <w:r>
              <w:rPr>
                <w:rFonts w:hint="eastAsia"/>
                <w:sz w:val="24"/>
              </w:rPr>
              <w:t>3、导气方式：采用二级导气软管同步向背心充气、放气。每个背心同时连接2个导气软管，使背心充气均匀。</w:t>
            </w:r>
          </w:p>
          <w:p w14:paraId="1C16F09A">
            <w:pPr>
              <w:widowControl w:val="0"/>
              <w:spacing w:after="0" w:line="240" w:lineRule="auto"/>
              <w:ind w:firstLine="480" w:firstLineChars="200"/>
              <w:jc w:val="both"/>
              <w:rPr>
                <w:rFonts w:hint="eastAsia"/>
                <w:sz w:val="24"/>
              </w:rPr>
            </w:pPr>
            <w:r>
              <w:rPr>
                <w:rFonts w:hint="eastAsia"/>
                <w:sz w:val="24"/>
              </w:rPr>
              <w:t>4、振动频率范围：5Hz-20Hz。</w:t>
            </w:r>
          </w:p>
          <w:p w14:paraId="32C0231D">
            <w:pPr>
              <w:widowControl w:val="0"/>
              <w:spacing w:after="0" w:line="240" w:lineRule="auto"/>
              <w:ind w:firstLine="480" w:firstLineChars="200"/>
              <w:jc w:val="both"/>
              <w:rPr>
                <w:rFonts w:hint="eastAsia"/>
                <w:sz w:val="24"/>
              </w:rPr>
            </w:pPr>
            <w:r>
              <w:rPr>
                <w:rFonts w:hint="eastAsia"/>
                <w:sz w:val="24"/>
              </w:rPr>
              <w:t>5、压强：0.5Kpa-3.2Kpa，分为10档可调节。</w:t>
            </w:r>
          </w:p>
          <w:p w14:paraId="31216290">
            <w:pPr>
              <w:widowControl w:val="0"/>
              <w:spacing w:after="0" w:line="240" w:lineRule="auto"/>
              <w:ind w:firstLine="480" w:firstLineChars="200"/>
              <w:jc w:val="both"/>
              <w:rPr>
                <w:rFonts w:hint="eastAsia"/>
                <w:sz w:val="24"/>
              </w:rPr>
            </w:pPr>
            <w:r>
              <w:rPr>
                <w:rFonts w:hint="eastAsia"/>
                <w:sz w:val="24"/>
              </w:rPr>
              <w:t>6、工作模式：治疗仪具有手动模式、五种自动模式（2种儿童模式，3种成人模式）及自定义模式。</w:t>
            </w:r>
          </w:p>
          <w:p w14:paraId="4E19DC29">
            <w:pPr>
              <w:widowControl w:val="0"/>
              <w:spacing w:after="0" w:line="240" w:lineRule="auto"/>
              <w:ind w:firstLine="480" w:firstLineChars="200"/>
              <w:jc w:val="both"/>
              <w:rPr>
                <w:rFonts w:hint="eastAsia"/>
                <w:sz w:val="24"/>
              </w:rPr>
            </w:pPr>
            <w:r>
              <w:rPr>
                <w:rFonts w:hint="eastAsia"/>
                <w:sz w:val="24"/>
              </w:rPr>
              <w:t>7、定时功能：自动模式和自定义模式定时时间5min-20min，手动模式定时时间：1min-60min。</w:t>
            </w:r>
          </w:p>
          <w:p w14:paraId="193E76A7">
            <w:pPr>
              <w:widowControl w:val="0"/>
              <w:spacing w:after="0" w:line="240" w:lineRule="auto"/>
              <w:ind w:firstLine="480" w:firstLineChars="200"/>
              <w:jc w:val="both"/>
              <w:rPr>
                <w:rFonts w:hint="eastAsia"/>
                <w:sz w:val="24"/>
              </w:rPr>
            </w:pPr>
            <w:r>
              <w:rPr>
                <w:rFonts w:hint="eastAsia"/>
                <w:sz w:val="24"/>
              </w:rPr>
              <w:t>8、工作噪声：正常工作的整机噪音≤60dB。</w:t>
            </w:r>
          </w:p>
          <w:p w14:paraId="7261D5F2">
            <w:pPr>
              <w:widowControl w:val="0"/>
              <w:spacing w:after="0" w:line="240" w:lineRule="auto"/>
              <w:ind w:firstLine="480" w:firstLineChars="200"/>
              <w:jc w:val="both"/>
              <w:rPr>
                <w:rFonts w:hint="eastAsia"/>
                <w:sz w:val="24"/>
              </w:rPr>
            </w:pPr>
            <w:r>
              <w:rPr>
                <w:rFonts w:hint="eastAsia"/>
                <w:sz w:val="24"/>
              </w:rPr>
              <w:t>★9、治疗仪具有气压手动释压功能。治疗仪提供在各种状态下可以暂停和停止功能，该措施只需一个动作就能完成。</w:t>
            </w:r>
          </w:p>
          <w:p w14:paraId="4D9B616E">
            <w:pPr>
              <w:widowControl w:val="0"/>
              <w:spacing w:after="0" w:line="240" w:lineRule="auto"/>
              <w:ind w:firstLine="480" w:firstLineChars="200"/>
              <w:jc w:val="both"/>
              <w:rPr>
                <w:rFonts w:hint="eastAsia"/>
                <w:sz w:val="24"/>
              </w:rPr>
            </w:pPr>
            <w:r>
              <w:rPr>
                <w:rFonts w:hint="eastAsia"/>
                <w:sz w:val="24"/>
              </w:rPr>
              <w:t>10、工作时间：排痰机可连续运行。</w:t>
            </w:r>
          </w:p>
          <w:p w14:paraId="76819B24">
            <w:pPr>
              <w:widowControl w:val="0"/>
              <w:spacing w:after="0" w:line="240" w:lineRule="auto"/>
              <w:ind w:firstLine="480" w:firstLineChars="200"/>
              <w:jc w:val="both"/>
              <w:rPr>
                <w:rFonts w:hint="eastAsia"/>
                <w:sz w:val="24"/>
              </w:rPr>
            </w:pPr>
            <w:r>
              <w:rPr>
                <w:rFonts w:hint="eastAsia"/>
                <w:sz w:val="24"/>
              </w:rPr>
              <w:t>11、充气背心：背心由外套及气囊两部分组成，可以拆卸，外套可按普通衣物的方式随时进行清洗和消毒。</w:t>
            </w:r>
          </w:p>
          <w:p w14:paraId="664465DA">
            <w:pPr>
              <w:widowControl w:val="0"/>
              <w:spacing w:after="0" w:line="240" w:lineRule="auto"/>
              <w:ind w:firstLine="480" w:firstLineChars="200"/>
              <w:jc w:val="both"/>
              <w:rPr>
                <w:rFonts w:hint="eastAsia"/>
                <w:sz w:val="24"/>
              </w:rPr>
            </w:pPr>
            <w:r>
              <w:rPr>
                <w:rFonts w:hint="eastAsia"/>
                <w:sz w:val="24"/>
              </w:rPr>
              <w:t>12、配置：主机一台、标准充气背心3个、简易半胸充气胸带3个</w:t>
            </w:r>
          </w:p>
        </w:tc>
      </w:tr>
      <w:tr w14:paraId="18D21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29EA34ED">
            <w:pPr>
              <w:widowControl w:val="0"/>
              <w:jc w:val="center"/>
              <w:rPr>
                <w:rFonts w:hint="eastAsia"/>
                <w:sz w:val="24"/>
              </w:rPr>
            </w:pPr>
            <w:r>
              <w:rPr>
                <w:rFonts w:hint="eastAsia"/>
                <w:sz w:val="24"/>
              </w:rPr>
              <w:t>五</w:t>
            </w:r>
          </w:p>
        </w:tc>
        <w:tc>
          <w:tcPr>
            <w:tcW w:w="1559" w:type="dxa"/>
            <w:vAlign w:val="center"/>
          </w:tcPr>
          <w:p w14:paraId="10C6BD0A">
            <w:pPr>
              <w:pStyle w:val="54"/>
              <w:jc w:val="both"/>
              <w:rPr>
                <w:rFonts w:hint="eastAsia"/>
                <w:sz w:val="24"/>
              </w:rPr>
            </w:pPr>
            <w:r>
              <w:rPr>
                <w:rFonts w:hint="eastAsia" w:ascii="宋体" w:hAnsi="宋体" w:eastAsia="宋体"/>
                <w:sz w:val="24"/>
              </w:rPr>
              <w:t>中医熏蒸仪</w:t>
            </w:r>
          </w:p>
        </w:tc>
        <w:tc>
          <w:tcPr>
            <w:tcW w:w="6804" w:type="dxa"/>
          </w:tcPr>
          <w:p w14:paraId="58AE22CC">
            <w:pPr>
              <w:widowControl w:val="0"/>
              <w:spacing w:after="0" w:line="240" w:lineRule="auto"/>
              <w:ind w:firstLine="480" w:firstLineChars="200"/>
              <w:jc w:val="both"/>
              <w:rPr>
                <w:rFonts w:hint="eastAsia"/>
                <w:sz w:val="24"/>
              </w:rPr>
            </w:pPr>
            <w:r>
              <w:rPr>
                <w:rFonts w:hint="eastAsia"/>
                <w:sz w:val="24"/>
              </w:rPr>
              <w:t>一、技术参数</w:t>
            </w:r>
          </w:p>
          <w:p w14:paraId="5083E449">
            <w:pPr>
              <w:widowControl w:val="0"/>
              <w:spacing w:after="0" w:line="240" w:lineRule="auto"/>
              <w:ind w:firstLine="480" w:firstLineChars="200"/>
              <w:jc w:val="both"/>
              <w:rPr>
                <w:rFonts w:hint="eastAsia"/>
                <w:sz w:val="24"/>
              </w:rPr>
            </w:pPr>
            <w:r>
              <w:rPr>
                <w:rFonts w:hint="eastAsia"/>
                <w:sz w:val="24"/>
              </w:rPr>
              <w:t>1、定时时间：1-99min任意可调，连续工作时间≥8h</w:t>
            </w:r>
          </w:p>
          <w:p w14:paraId="552A89E5">
            <w:pPr>
              <w:widowControl w:val="0"/>
              <w:spacing w:after="0" w:line="240" w:lineRule="auto"/>
              <w:ind w:firstLine="480" w:firstLineChars="200"/>
              <w:jc w:val="both"/>
              <w:rPr>
                <w:rFonts w:hint="eastAsia"/>
                <w:sz w:val="24"/>
              </w:rPr>
            </w:pPr>
            <w:r>
              <w:rPr>
                <w:rFonts w:hint="eastAsia"/>
                <w:sz w:val="24"/>
              </w:rPr>
              <w:t>2、温度显示范围：0℃-150℃，显示精度±1℃。</w:t>
            </w:r>
          </w:p>
          <w:p w14:paraId="5905958F">
            <w:pPr>
              <w:widowControl w:val="0"/>
              <w:spacing w:after="0" w:line="240" w:lineRule="auto"/>
              <w:ind w:firstLine="480" w:firstLineChars="200"/>
              <w:jc w:val="both"/>
              <w:rPr>
                <w:rFonts w:hint="eastAsia"/>
                <w:sz w:val="24"/>
              </w:rPr>
            </w:pPr>
            <w:r>
              <w:rPr>
                <w:rFonts w:hint="eastAsia"/>
                <w:sz w:val="24"/>
              </w:rPr>
              <w:t xml:space="preserve">3、压力调节范围：20-35KPa  </w:t>
            </w:r>
          </w:p>
          <w:p w14:paraId="48EC5472">
            <w:pPr>
              <w:widowControl w:val="0"/>
              <w:spacing w:after="0" w:line="240" w:lineRule="auto"/>
              <w:ind w:firstLine="480" w:firstLineChars="200"/>
              <w:jc w:val="both"/>
              <w:rPr>
                <w:rFonts w:hint="eastAsia"/>
                <w:sz w:val="24"/>
              </w:rPr>
            </w:pPr>
            <w:r>
              <w:rPr>
                <w:rFonts w:hint="eastAsia"/>
                <w:sz w:val="24"/>
              </w:rPr>
              <w:t>4、输入功率：2000VA</w:t>
            </w:r>
          </w:p>
          <w:p w14:paraId="70E710A1">
            <w:pPr>
              <w:widowControl w:val="0"/>
              <w:spacing w:after="0" w:line="240" w:lineRule="auto"/>
              <w:ind w:firstLine="480" w:firstLineChars="200"/>
              <w:jc w:val="both"/>
              <w:rPr>
                <w:rFonts w:hint="eastAsia"/>
                <w:sz w:val="24"/>
              </w:rPr>
            </w:pPr>
            <w:r>
              <w:rPr>
                <w:rFonts w:hint="eastAsia"/>
                <w:sz w:val="24"/>
              </w:rPr>
              <w:t>5、熏蒸锅容积：7L</w:t>
            </w:r>
          </w:p>
          <w:p w14:paraId="488A40FC">
            <w:pPr>
              <w:widowControl w:val="0"/>
              <w:spacing w:after="0" w:line="240" w:lineRule="auto"/>
              <w:ind w:firstLine="480" w:firstLineChars="200"/>
              <w:jc w:val="both"/>
              <w:rPr>
                <w:rFonts w:hint="eastAsia"/>
                <w:sz w:val="24"/>
              </w:rPr>
            </w:pPr>
            <w:r>
              <w:rPr>
                <w:rFonts w:hint="eastAsia"/>
                <w:sz w:val="24"/>
              </w:rPr>
              <w:t>6、正常工作加药量V：2.2L≤V≤5L</w:t>
            </w:r>
          </w:p>
          <w:p w14:paraId="4D679436">
            <w:pPr>
              <w:widowControl w:val="0"/>
              <w:spacing w:after="0" w:line="240" w:lineRule="auto"/>
              <w:ind w:firstLine="480" w:firstLineChars="200"/>
              <w:jc w:val="both"/>
              <w:rPr>
                <w:rFonts w:hint="eastAsia"/>
                <w:sz w:val="24"/>
              </w:rPr>
            </w:pPr>
            <w:r>
              <w:rPr>
                <w:rFonts w:hint="eastAsia"/>
                <w:sz w:val="24"/>
              </w:rPr>
              <w:t>二、性能描述</w:t>
            </w:r>
          </w:p>
          <w:p w14:paraId="75B84F37">
            <w:pPr>
              <w:widowControl w:val="0"/>
              <w:spacing w:after="0" w:line="240" w:lineRule="auto"/>
              <w:ind w:firstLine="480" w:firstLineChars="200"/>
              <w:jc w:val="both"/>
              <w:rPr>
                <w:rFonts w:hint="eastAsia"/>
                <w:sz w:val="24"/>
              </w:rPr>
            </w:pPr>
            <w:r>
              <w:rPr>
                <w:rFonts w:hint="eastAsia"/>
                <w:sz w:val="24"/>
              </w:rPr>
              <w:t>1.</w:t>
            </w:r>
            <w:r>
              <w:rPr>
                <w:rFonts w:hint="eastAsia"/>
                <w:sz w:val="24"/>
              </w:rPr>
              <w:tab/>
            </w:r>
            <w:r>
              <w:rPr>
                <w:rFonts w:hint="eastAsia"/>
                <w:sz w:val="24"/>
              </w:rPr>
              <w:t>双路输出中药蒸汽,既可为一个患者提供两个部位治疗,也可同时治疗两个患者,互不影响、效益倍增。</w:t>
            </w:r>
          </w:p>
          <w:p w14:paraId="1C727B1F">
            <w:pPr>
              <w:widowControl w:val="0"/>
              <w:spacing w:after="0" w:line="240" w:lineRule="auto"/>
              <w:ind w:firstLine="480" w:firstLineChars="200"/>
              <w:jc w:val="both"/>
              <w:rPr>
                <w:rFonts w:hint="eastAsia"/>
                <w:sz w:val="24"/>
              </w:rPr>
            </w:pPr>
            <w:r>
              <w:rPr>
                <w:rFonts w:hint="eastAsia"/>
                <w:sz w:val="24"/>
              </w:rPr>
              <w:t>2.</w:t>
            </w:r>
            <w:r>
              <w:rPr>
                <w:rFonts w:hint="eastAsia"/>
                <w:sz w:val="24"/>
              </w:rPr>
              <w:tab/>
            </w:r>
            <w:r>
              <w:rPr>
                <w:rFonts w:hint="eastAsia"/>
                <w:sz w:val="24"/>
              </w:rPr>
              <w:t>两种工作模式可任意设定（即常规模式、强弱模式）。</w:t>
            </w:r>
          </w:p>
          <w:p w14:paraId="5AB3136C">
            <w:pPr>
              <w:widowControl w:val="0"/>
              <w:spacing w:after="0" w:line="240" w:lineRule="auto"/>
              <w:ind w:firstLine="480" w:firstLineChars="200"/>
              <w:jc w:val="both"/>
              <w:rPr>
                <w:rFonts w:hint="eastAsia"/>
                <w:sz w:val="24"/>
              </w:rPr>
            </w:pPr>
            <w:r>
              <w:rPr>
                <w:rFonts w:hint="eastAsia"/>
                <w:sz w:val="24"/>
              </w:rPr>
              <w:t>3.</w:t>
            </w:r>
            <w:r>
              <w:rPr>
                <w:rFonts w:hint="eastAsia"/>
                <w:sz w:val="24"/>
              </w:rPr>
              <w:tab/>
            </w:r>
            <w:r>
              <w:rPr>
                <w:rFonts w:hint="eastAsia"/>
                <w:sz w:val="24"/>
              </w:rPr>
              <w:t>采用广视角液晶屏显示仪器的工作参数，并具有实时状态提示功能。如“液体缺少，请加液体”、“正在预热”、“正在治疗”、“压力超高，正在减压”等。</w:t>
            </w:r>
          </w:p>
          <w:p w14:paraId="2B0EA711">
            <w:pPr>
              <w:widowControl w:val="0"/>
              <w:spacing w:after="0" w:line="240" w:lineRule="auto"/>
              <w:ind w:firstLine="480" w:firstLineChars="200"/>
              <w:jc w:val="both"/>
              <w:rPr>
                <w:rFonts w:hint="eastAsia"/>
                <w:sz w:val="24"/>
              </w:rPr>
            </w:pPr>
            <w:r>
              <w:rPr>
                <w:rFonts w:hint="eastAsia"/>
                <w:sz w:val="24"/>
              </w:rPr>
              <w:t>4.</w:t>
            </w:r>
            <w:r>
              <w:rPr>
                <w:rFonts w:hint="eastAsia"/>
                <w:sz w:val="24"/>
              </w:rPr>
              <w:tab/>
            </w:r>
            <w:r>
              <w:rPr>
                <w:rFonts w:hint="eastAsia"/>
                <w:sz w:val="24"/>
              </w:rPr>
              <w:t>熏蒸容器具有六重安全防护装置，如达到压力自动泄压、限压阀失效后安全阀自动泄气等多重安全保护装置。</w:t>
            </w:r>
          </w:p>
          <w:p w14:paraId="6BEA3043">
            <w:pPr>
              <w:widowControl w:val="0"/>
              <w:spacing w:after="0" w:line="240" w:lineRule="auto"/>
              <w:ind w:firstLine="480" w:firstLineChars="200"/>
              <w:jc w:val="both"/>
              <w:rPr>
                <w:rFonts w:hint="eastAsia"/>
                <w:sz w:val="24"/>
              </w:rPr>
            </w:pPr>
            <w:r>
              <w:rPr>
                <w:rFonts w:hint="eastAsia"/>
                <w:sz w:val="24"/>
              </w:rPr>
              <w:t>5.</w:t>
            </w:r>
            <w:r>
              <w:rPr>
                <w:rFonts w:hint="eastAsia"/>
                <w:sz w:val="24"/>
              </w:rPr>
              <w:tab/>
            </w:r>
            <w:r>
              <w:rPr>
                <w:rFonts w:hint="eastAsia"/>
                <w:sz w:val="24"/>
              </w:rPr>
              <w:t>具有超温、超压、缺水保护并具有声响提示，多重保护措施，使仪器工作过程更加安全。</w:t>
            </w:r>
          </w:p>
          <w:p w14:paraId="5E061BB7">
            <w:pPr>
              <w:widowControl w:val="0"/>
              <w:spacing w:after="0" w:line="240" w:lineRule="auto"/>
              <w:ind w:firstLine="480" w:firstLineChars="200"/>
              <w:jc w:val="both"/>
              <w:rPr>
                <w:rFonts w:hint="eastAsia"/>
                <w:sz w:val="24"/>
              </w:rPr>
            </w:pPr>
            <w:r>
              <w:rPr>
                <w:rFonts w:hint="eastAsia"/>
                <w:sz w:val="24"/>
              </w:rPr>
              <w:t>6.</w:t>
            </w:r>
            <w:r>
              <w:rPr>
                <w:rFonts w:hint="eastAsia"/>
                <w:sz w:val="24"/>
              </w:rPr>
              <w:tab/>
            </w:r>
            <w:r>
              <w:rPr>
                <w:rFonts w:hint="eastAsia"/>
                <w:sz w:val="24"/>
              </w:rPr>
              <w:t>★设有两个独立的熏蒸容器，并在熏蒸容器内设置具有过滤功能的蒸汽输出装置，防止药渣进入，堵塞蒸汽管道；蒸汽输出装置可拆卸，方便清洗药垢。</w:t>
            </w:r>
          </w:p>
          <w:p w14:paraId="4776364A">
            <w:pPr>
              <w:widowControl w:val="0"/>
              <w:spacing w:after="0" w:line="240" w:lineRule="auto"/>
              <w:ind w:firstLine="480" w:firstLineChars="200"/>
              <w:jc w:val="both"/>
              <w:rPr>
                <w:rFonts w:hint="eastAsia"/>
                <w:sz w:val="24"/>
              </w:rPr>
            </w:pPr>
            <w:r>
              <w:rPr>
                <w:rFonts w:hint="eastAsia"/>
                <w:sz w:val="24"/>
              </w:rPr>
              <w:t>7.</w:t>
            </w:r>
            <w:r>
              <w:rPr>
                <w:rFonts w:hint="eastAsia"/>
                <w:sz w:val="24"/>
              </w:rPr>
              <w:tab/>
            </w:r>
            <w:r>
              <w:rPr>
                <w:rFonts w:hint="eastAsia"/>
                <w:sz w:val="24"/>
              </w:rPr>
              <w:t>配备冷凝水收集系统，熏蒸过程中产生的冷凝水自动汇集至冷凝水收集器，保证喷出的蒸汽中没有凝聚的水珠，从而避免烫伤患者。</w:t>
            </w:r>
          </w:p>
          <w:p w14:paraId="3CCE6F1E">
            <w:pPr>
              <w:widowControl w:val="0"/>
              <w:spacing w:after="0" w:line="240" w:lineRule="auto"/>
              <w:ind w:firstLine="480" w:firstLineChars="200"/>
              <w:jc w:val="both"/>
              <w:rPr>
                <w:rFonts w:hint="eastAsia"/>
                <w:sz w:val="24"/>
              </w:rPr>
            </w:pPr>
            <w:r>
              <w:rPr>
                <w:rFonts w:hint="eastAsia"/>
                <w:sz w:val="24"/>
              </w:rPr>
              <w:t>8.</w:t>
            </w:r>
            <w:r>
              <w:rPr>
                <w:rFonts w:hint="eastAsia"/>
                <w:sz w:val="24"/>
              </w:rPr>
              <w:tab/>
            </w:r>
            <w:r>
              <w:rPr>
                <w:rFonts w:hint="eastAsia"/>
                <w:sz w:val="24"/>
              </w:rPr>
              <w:t>翻盖0～90°范围内任意悬停</w:t>
            </w:r>
          </w:p>
          <w:p w14:paraId="08C94AD1">
            <w:pPr>
              <w:widowControl w:val="0"/>
              <w:spacing w:after="0" w:line="240" w:lineRule="auto"/>
              <w:ind w:firstLine="480" w:firstLineChars="200"/>
              <w:jc w:val="both"/>
              <w:rPr>
                <w:rFonts w:hint="eastAsia"/>
                <w:sz w:val="24"/>
              </w:rPr>
            </w:pPr>
            <w:r>
              <w:rPr>
                <w:rFonts w:hint="eastAsia"/>
                <w:sz w:val="24"/>
              </w:rPr>
              <w:t>9.</w:t>
            </w:r>
            <w:r>
              <w:rPr>
                <w:rFonts w:hint="eastAsia"/>
                <w:sz w:val="24"/>
              </w:rPr>
              <w:tab/>
            </w:r>
            <w:r>
              <w:rPr>
                <w:rFonts w:hint="eastAsia"/>
                <w:sz w:val="24"/>
              </w:rPr>
              <w:t>★喷头配有嵌入式吸水海绵隔离罩，吸附多余水珠，使病人和喷嘴之间保持安全距离，防止烫伤。</w:t>
            </w:r>
          </w:p>
          <w:p w14:paraId="409CDAE7">
            <w:pPr>
              <w:widowControl w:val="0"/>
              <w:spacing w:after="0" w:line="240" w:lineRule="auto"/>
              <w:ind w:firstLine="480" w:firstLineChars="200"/>
              <w:jc w:val="both"/>
              <w:rPr>
                <w:rFonts w:hint="eastAsia"/>
                <w:sz w:val="24"/>
              </w:rPr>
            </w:pPr>
            <w:r>
              <w:rPr>
                <w:rFonts w:hint="eastAsia"/>
                <w:sz w:val="24"/>
              </w:rPr>
              <w:t>10.</w:t>
            </w:r>
            <w:r>
              <w:rPr>
                <w:rFonts w:hint="eastAsia"/>
                <w:sz w:val="24"/>
              </w:rPr>
              <w:tab/>
            </w:r>
            <w:r>
              <w:rPr>
                <w:rFonts w:hint="eastAsia"/>
                <w:sz w:val="24"/>
              </w:rPr>
              <w:t>配置自动、手动两种排废液方式，互不干扰，方便医护人员使用。</w:t>
            </w:r>
          </w:p>
          <w:p w14:paraId="1C61146B">
            <w:pPr>
              <w:widowControl w:val="0"/>
              <w:spacing w:after="0" w:line="240" w:lineRule="auto"/>
              <w:ind w:firstLine="480" w:firstLineChars="200"/>
              <w:jc w:val="both"/>
              <w:rPr>
                <w:rFonts w:hint="eastAsia"/>
                <w:sz w:val="24"/>
              </w:rPr>
            </w:pPr>
            <w:r>
              <w:rPr>
                <w:rFonts w:hint="eastAsia"/>
                <w:sz w:val="24"/>
              </w:rPr>
              <w:t>11.</w:t>
            </w:r>
            <w:r>
              <w:rPr>
                <w:rFonts w:hint="eastAsia"/>
                <w:sz w:val="24"/>
              </w:rPr>
              <w:tab/>
            </w:r>
            <w:r>
              <w:rPr>
                <w:rFonts w:hint="eastAsia"/>
                <w:sz w:val="24"/>
              </w:rPr>
              <w:t>熏蒸容器采用外置式一体成型加热器，有效防止药液对加热装置的腐蚀，延长使用寿命。</w:t>
            </w:r>
          </w:p>
          <w:p w14:paraId="4AEAF93F">
            <w:pPr>
              <w:widowControl w:val="0"/>
              <w:spacing w:after="0" w:line="240" w:lineRule="auto"/>
              <w:ind w:firstLine="480" w:firstLineChars="200"/>
              <w:jc w:val="both"/>
              <w:rPr>
                <w:rFonts w:hint="eastAsia"/>
                <w:sz w:val="24"/>
              </w:rPr>
            </w:pPr>
            <w:r>
              <w:rPr>
                <w:rFonts w:hint="eastAsia"/>
                <w:sz w:val="24"/>
              </w:rPr>
              <w:t>12.</w:t>
            </w:r>
            <w:r>
              <w:rPr>
                <w:rFonts w:hint="eastAsia"/>
                <w:sz w:val="24"/>
              </w:rPr>
              <w:tab/>
            </w:r>
            <w:r>
              <w:rPr>
                <w:rFonts w:hint="eastAsia"/>
                <w:sz w:val="24"/>
              </w:rPr>
              <w:t>仪器采用大功率加热盘，能快速的将药液提升到沸点。出蒸汽的时间为9分钟（初始水温25℃，水量2.2L），缩短病人的守候时间，大大的提高了设备的工作效率。</w:t>
            </w:r>
          </w:p>
          <w:p w14:paraId="2E93C029">
            <w:pPr>
              <w:widowControl w:val="0"/>
              <w:spacing w:after="0" w:line="240" w:lineRule="auto"/>
              <w:ind w:firstLine="480" w:firstLineChars="200"/>
              <w:jc w:val="both"/>
              <w:rPr>
                <w:rFonts w:hint="eastAsia"/>
                <w:sz w:val="24"/>
              </w:rPr>
            </w:pPr>
            <w:r>
              <w:rPr>
                <w:rFonts w:hint="eastAsia"/>
                <w:sz w:val="24"/>
              </w:rPr>
              <w:t>13.</w:t>
            </w:r>
            <w:r>
              <w:rPr>
                <w:rFonts w:hint="eastAsia"/>
                <w:sz w:val="24"/>
              </w:rPr>
              <w:tab/>
            </w:r>
            <w:r>
              <w:rPr>
                <w:rFonts w:hint="eastAsia"/>
                <w:sz w:val="24"/>
              </w:rPr>
              <w:t>多角度治疗：三维万向旋转臂杆，360°旋转喷头，针对于某个部位的熏蒸灵活性大，无须患者脱衣治疗，只须露出熏蒸部位熏蒸治疗，方便灵活。</w:t>
            </w:r>
          </w:p>
          <w:p w14:paraId="2EDE7252">
            <w:pPr>
              <w:widowControl w:val="0"/>
              <w:spacing w:after="0" w:line="240" w:lineRule="auto"/>
              <w:ind w:firstLine="480" w:firstLineChars="200"/>
              <w:jc w:val="both"/>
              <w:rPr>
                <w:rFonts w:hint="eastAsia"/>
                <w:sz w:val="24"/>
              </w:rPr>
            </w:pPr>
            <w:r>
              <w:rPr>
                <w:rFonts w:hint="eastAsia"/>
                <w:sz w:val="24"/>
              </w:rPr>
              <w:t>14.</w:t>
            </w:r>
            <w:r>
              <w:rPr>
                <w:rFonts w:hint="eastAsia"/>
                <w:sz w:val="24"/>
              </w:rPr>
              <w:tab/>
            </w:r>
            <w:r>
              <w:rPr>
                <w:rFonts w:hint="eastAsia"/>
                <w:sz w:val="24"/>
              </w:rPr>
              <w:t>★具有浓度检测功能，通过数值大小指示运行时药物的浓度，清晰直观。</w:t>
            </w:r>
          </w:p>
          <w:p w14:paraId="4A3B6EC1">
            <w:pPr>
              <w:widowControl w:val="0"/>
              <w:spacing w:after="0" w:line="240" w:lineRule="auto"/>
              <w:ind w:firstLine="480" w:firstLineChars="200"/>
              <w:jc w:val="both"/>
              <w:rPr>
                <w:rFonts w:hint="eastAsia"/>
                <w:sz w:val="24"/>
              </w:rPr>
            </w:pPr>
            <w:r>
              <w:rPr>
                <w:rFonts w:hint="eastAsia"/>
                <w:sz w:val="24"/>
              </w:rPr>
              <w:t>15.</w:t>
            </w:r>
            <w:r>
              <w:rPr>
                <w:rFonts w:hint="eastAsia"/>
                <w:sz w:val="24"/>
              </w:rPr>
              <w:tab/>
            </w:r>
            <w:r>
              <w:rPr>
                <w:rFonts w:hint="eastAsia"/>
                <w:sz w:val="24"/>
              </w:rPr>
              <w:t>仪器整体体积小，移动方便灵活。适用于住院部病区的床前移动治疗，对于术前治疗和手术后的康复治疗等不便移动的病人提供了便利。</w:t>
            </w:r>
          </w:p>
          <w:p w14:paraId="4CCABA5A">
            <w:pPr>
              <w:widowControl w:val="0"/>
              <w:spacing w:after="0" w:line="240" w:lineRule="auto"/>
              <w:ind w:firstLine="480" w:firstLineChars="200"/>
              <w:jc w:val="both"/>
              <w:rPr>
                <w:rFonts w:hint="eastAsia"/>
                <w:sz w:val="24"/>
              </w:rPr>
            </w:pPr>
            <w:r>
              <w:rPr>
                <w:rFonts w:hint="eastAsia"/>
                <w:sz w:val="24"/>
              </w:rPr>
              <w:t>三、商务要求：</w:t>
            </w:r>
          </w:p>
          <w:p w14:paraId="67311935">
            <w:pPr>
              <w:widowControl w:val="0"/>
              <w:spacing w:after="0" w:line="240" w:lineRule="auto"/>
              <w:ind w:firstLine="480" w:firstLineChars="200"/>
              <w:jc w:val="both"/>
              <w:rPr>
                <w:rFonts w:hint="eastAsia"/>
                <w:sz w:val="24"/>
              </w:rPr>
            </w:pPr>
            <w:r>
              <w:rPr>
                <w:rFonts w:hint="eastAsia"/>
                <w:sz w:val="24"/>
              </w:rPr>
              <w:t xml:space="preserve"> ★企业被国家中医药管理局评为中医诊疗设备生产示范基地，提供证明文件。</w:t>
            </w:r>
          </w:p>
          <w:p w14:paraId="6316B23D">
            <w:pPr>
              <w:widowControl w:val="0"/>
              <w:spacing w:after="0" w:line="240" w:lineRule="auto"/>
              <w:ind w:firstLine="480" w:firstLineChars="200"/>
              <w:jc w:val="both"/>
              <w:rPr>
                <w:rFonts w:hint="eastAsia"/>
                <w:sz w:val="24"/>
              </w:rPr>
            </w:pPr>
            <w:r>
              <w:rPr>
                <w:rFonts w:hint="eastAsia"/>
                <w:sz w:val="24"/>
              </w:rPr>
              <w:t xml:space="preserve"> 企业入选国家中医药管理局《中医诊疗设备评估选型目录 》，提供证明文件。</w:t>
            </w:r>
          </w:p>
          <w:p w14:paraId="1C3A02DE">
            <w:pPr>
              <w:widowControl w:val="0"/>
              <w:spacing w:after="0" w:line="240" w:lineRule="auto"/>
              <w:ind w:firstLine="480" w:firstLineChars="200"/>
              <w:jc w:val="both"/>
              <w:rPr>
                <w:rFonts w:hint="eastAsia"/>
                <w:sz w:val="24"/>
              </w:rPr>
            </w:pPr>
            <w:r>
              <w:rPr>
                <w:rFonts w:hint="eastAsia"/>
                <w:sz w:val="24"/>
              </w:rPr>
              <w:t>ISO9001/ISO13485质量体系认证证书，提供证明文件。</w:t>
            </w:r>
          </w:p>
          <w:p w14:paraId="5FE56CD7">
            <w:pPr>
              <w:widowControl w:val="0"/>
              <w:spacing w:after="0" w:line="240" w:lineRule="auto"/>
              <w:ind w:firstLine="480" w:firstLineChars="200"/>
              <w:jc w:val="both"/>
              <w:rPr>
                <w:rFonts w:hint="eastAsia"/>
                <w:sz w:val="24"/>
              </w:rPr>
            </w:pPr>
            <w:r>
              <w:rPr>
                <w:rFonts w:hint="eastAsia"/>
                <w:sz w:val="24"/>
              </w:rPr>
              <w:t>荣获国家高新技术企业</w:t>
            </w:r>
          </w:p>
        </w:tc>
      </w:tr>
      <w:tr w14:paraId="39B79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17F11539">
            <w:pPr>
              <w:widowControl w:val="0"/>
              <w:jc w:val="center"/>
              <w:rPr>
                <w:rFonts w:hint="eastAsia"/>
                <w:sz w:val="24"/>
              </w:rPr>
            </w:pPr>
            <w:r>
              <w:rPr>
                <w:rFonts w:hint="eastAsia"/>
                <w:sz w:val="24"/>
              </w:rPr>
              <w:t>六</w:t>
            </w:r>
          </w:p>
        </w:tc>
        <w:tc>
          <w:tcPr>
            <w:tcW w:w="1559" w:type="dxa"/>
            <w:vAlign w:val="center"/>
          </w:tcPr>
          <w:p w14:paraId="68217564">
            <w:pPr>
              <w:pStyle w:val="54"/>
              <w:jc w:val="both"/>
              <w:rPr>
                <w:rFonts w:hint="eastAsia"/>
                <w:sz w:val="24"/>
              </w:rPr>
            </w:pPr>
            <w:r>
              <w:rPr>
                <w:rFonts w:hint="eastAsia" w:ascii="宋体" w:hAnsi="宋体" w:eastAsia="宋体"/>
                <w:sz w:val="24"/>
              </w:rPr>
              <w:t>经皮肾镜（粗）</w:t>
            </w:r>
          </w:p>
        </w:tc>
        <w:tc>
          <w:tcPr>
            <w:tcW w:w="6804" w:type="dxa"/>
          </w:tcPr>
          <w:p w14:paraId="231396E4">
            <w:pPr>
              <w:widowControl w:val="0"/>
              <w:spacing w:after="0" w:line="240" w:lineRule="auto"/>
              <w:ind w:firstLine="480" w:firstLineChars="200"/>
              <w:jc w:val="center"/>
              <w:rPr>
                <w:rFonts w:hint="eastAsia"/>
                <w:sz w:val="24"/>
              </w:rPr>
            </w:pPr>
            <w:r>
              <w:rPr>
                <w:rFonts w:hint="eastAsia"/>
                <w:sz w:val="24"/>
              </w:rPr>
              <w:t>硬性纤维输尿管肾镜系统技术参数</w:t>
            </w:r>
          </w:p>
          <w:p w14:paraId="71DF28F4">
            <w:pPr>
              <w:widowControl w:val="0"/>
              <w:spacing w:after="0" w:line="240" w:lineRule="auto"/>
              <w:ind w:firstLine="480" w:firstLineChars="200"/>
              <w:jc w:val="center"/>
              <w:rPr>
                <w:rFonts w:hint="eastAsia"/>
                <w:sz w:val="24"/>
              </w:rPr>
            </w:pPr>
            <w:r>
              <w:rPr>
                <w:rFonts w:hint="eastAsia"/>
                <w:sz w:val="24"/>
              </w:rPr>
              <w:t>（新型肾镜）</w:t>
            </w:r>
          </w:p>
          <w:p w14:paraId="6F0D3726">
            <w:pPr>
              <w:widowControl w:val="0"/>
              <w:jc w:val="both"/>
            </w:pPr>
          </w:p>
          <w:p w14:paraId="486E18AE">
            <w:pPr>
              <w:widowControl w:val="0"/>
              <w:spacing w:after="0" w:line="240" w:lineRule="auto"/>
              <w:ind w:firstLine="480" w:firstLineChars="200"/>
              <w:jc w:val="both"/>
              <w:rPr>
                <w:rFonts w:hint="eastAsia"/>
                <w:sz w:val="24"/>
              </w:rPr>
            </w:pPr>
            <w:r>
              <w:rPr>
                <w:rFonts w:hint="eastAsia"/>
                <w:sz w:val="24"/>
              </w:rPr>
              <w:t>★1.视向角≥0°视场角≥84°有效景深范围≥20mm；</w:t>
            </w:r>
          </w:p>
          <w:p w14:paraId="719149BA">
            <w:pPr>
              <w:widowControl w:val="0"/>
              <w:spacing w:after="0" w:line="240" w:lineRule="auto"/>
              <w:ind w:firstLine="480" w:firstLineChars="200"/>
              <w:jc w:val="both"/>
              <w:rPr>
                <w:rFonts w:hint="eastAsia"/>
                <w:sz w:val="24"/>
              </w:rPr>
            </w:pPr>
            <w:r>
              <w:rPr>
                <w:rFonts w:hint="eastAsia"/>
                <w:sz w:val="24"/>
              </w:rPr>
              <w:t>★2.镜管插入最细端15/18Fr，有效使用工作通道≥11.5Fr，有效工作长度225mm；</w:t>
            </w:r>
          </w:p>
          <w:p w14:paraId="2078E77B">
            <w:pPr>
              <w:widowControl w:val="0"/>
              <w:spacing w:after="0" w:line="240" w:lineRule="auto"/>
              <w:ind w:firstLine="480" w:firstLineChars="200"/>
              <w:jc w:val="both"/>
              <w:rPr>
                <w:rFonts w:hint="eastAsia"/>
                <w:sz w:val="24"/>
              </w:rPr>
            </w:pPr>
            <w:r>
              <w:rPr>
                <w:rFonts w:hint="eastAsia"/>
                <w:sz w:val="24"/>
              </w:rPr>
              <w:t>3.半硬性一体式硬镜，外管采用钛合金和不锈钢的原材料，可以最大程度保证镜管的结构坚固同时允许镜体微弯，回弹性好；</w:t>
            </w:r>
          </w:p>
          <w:p w14:paraId="3E876E77">
            <w:pPr>
              <w:widowControl w:val="0"/>
              <w:spacing w:after="0" w:line="240" w:lineRule="auto"/>
              <w:ind w:firstLine="480" w:firstLineChars="200"/>
              <w:jc w:val="both"/>
              <w:rPr>
                <w:rFonts w:hint="eastAsia"/>
                <w:sz w:val="24"/>
              </w:rPr>
            </w:pPr>
            <w:r>
              <w:rPr>
                <w:rFonts w:hint="eastAsia"/>
                <w:sz w:val="24"/>
              </w:rPr>
              <w:t>4.左右水通道进出水通过开关控制，肾镜图像无扭曲，平面图像，超广角；</w:t>
            </w:r>
          </w:p>
          <w:p w14:paraId="16FE3E6F">
            <w:pPr>
              <w:widowControl w:val="0"/>
              <w:spacing w:after="0" w:line="240" w:lineRule="auto"/>
              <w:ind w:firstLine="480" w:firstLineChars="200"/>
              <w:jc w:val="both"/>
              <w:rPr>
                <w:rFonts w:hint="eastAsia"/>
                <w:sz w:val="24"/>
              </w:rPr>
            </w:pPr>
            <w:r>
              <w:rPr>
                <w:rFonts w:hint="eastAsia"/>
                <w:sz w:val="24"/>
              </w:rPr>
              <w:t>★5.镜身与冲洗转接头一体化设计，激光焊接密封，确保清洗、消毒过程中不进水气、雾气，有自动闭合的内置阀门，保证器械、导丝在被移除时不会漏水；</w:t>
            </w:r>
          </w:p>
          <w:p w14:paraId="0A258783">
            <w:pPr>
              <w:widowControl w:val="0"/>
              <w:spacing w:after="0" w:line="240" w:lineRule="auto"/>
              <w:ind w:firstLine="480" w:firstLineChars="200"/>
              <w:jc w:val="both"/>
              <w:rPr>
                <w:rFonts w:hint="eastAsia"/>
                <w:sz w:val="24"/>
              </w:rPr>
            </w:pPr>
            <w:r>
              <w:rPr>
                <w:rFonts w:hint="eastAsia"/>
                <w:sz w:val="24"/>
              </w:rPr>
              <w:t>6.内设双层密封系统、保障密封性能，更换密封阀操作简便，物镜采用蓝宝石镜片密封，不易磨损，镜内是光学进口纤维，允许镜微曲；</w:t>
            </w:r>
          </w:p>
          <w:p w14:paraId="1B9CC56C">
            <w:pPr>
              <w:widowControl w:val="0"/>
              <w:spacing w:after="0" w:line="240" w:lineRule="auto"/>
              <w:ind w:firstLine="480" w:firstLineChars="200"/>
              <w:jc w:val="both"/>
              <w:rPr>
                <w:rFonts w:hint="eastAsia"/>
                <w:sz w:val="24"/>
              </w:rPr>
            </w:pPr>
            <w:r>
              <w:rPr>
                <w:rFonts w:hint="eastAsia"/>
                <w:sz w:val="24"/>
              </w:rPr>
              <w:t>★7.目镜为柱状体光学镜，有防球变系统，图像逼真无变形，目镜接头通用，可与多品牌成像设备接口相连，互配性强，目镜符合ISO标准；</w:t>
            </w:r>
          </w:p>
          <w:p w14:paraId="4F04F63F">
            <w:pPr>
              <w:widowControl w:val="0"/>
              <w:spacing w:after="0" w:line="240" w:lineRule="auto"/>
              <w:ind w:firstLine="480" w:firstLineChars="200"/>
              <w:jc w:val="both"/>
              <w:rPr>
                <w:rFonts w:hint="eastAsia"/>
                <w:sz w:val="24"/>
              </w:rPr>
            </w:pPr>
            <w:r>
              <w:rPr>
                <w:rFonts w:hint="eastAsia"/>
                <w:sz w:val="24"/>
              </w:rPr>
              <w:t>8.专为微创经皮肾镜取石术（Mini-PCNL）研发的首款新型肾镜，可作为钬激光碎石术的替代方案，用于治疗肾下盏大结石，同样也适用于儿童、青少年和成人，工作通道上的自动密封可确保快速安全地引入辅助器械，选用钛合金和不锈钢材质，可以最大程度缩小镜鞘尺寸，保证坚固的结构，大器械通道的设计，可满足低压持续冲洗状态，适用于气压弹道碎石、超声碎石；</w:t>
            </w:r>
          </w:p>
          <w:p w14:paraId="75E30599">
            <w:pPr>
              <w:widowControl w:val="0"/>
              <w:spacing w:after="0" w:line="240" w:lineRule="auto"/>
              <w:ind w:firstLine="480" w:firstLineChars="200"/>
              <w:jc w:val="both"/>
              <w:rPr>
                <w:rFonts w:hint="eastAsia"/>
                <w:sz w:val="24"/>
              </w:rPr>
            </w:pPr>
            <w:r>
              <w:rPr>
                <w:rFonts w:hint="eastAsia"/>
                <w:sz w:val="24"/>
              </w:rPr>
              <w:t>9.可环氧乙烷、低温等离子消毒；</w:t>
            </w:r>
          </w:p>
          <w:p w14:paraId="0FB9CEA3">
            <w:pPr>
              <w:widowControl w:val="0"/>
              <w:spacing w:after="0" w:line="240" w:lineRule="auto"/>
              <w:ind w:firstLine="480" w:firstLineChars="200"/>
              <w:jc w:val="both"/>
              <w:rPr>
                <w:rFonts w:hint="eastAsia"/>
                <w:sz w:val="24"/>
              </w:rPr>
            </w:pPr>
            <w:r>
              <w:rPr>
                <w:rFonts w:hint="eastAsia"/>
                <w:sz w:val="24"/>
              </w:rPr>
              <w:t>10.可根据需要选配本厂配套生产的直径9Fr，有效长度380mm的肾异物钳、活检钳等器械；</w:t>
            </w:r>
          </w:p>
          <w:p w14:paraId="041946C3">
            <w:pPr>
              <w:widowControl w:val="0"/>
              <w:spacing w:after="0" w:line="240" w:lineRule="auto"/>
              <w:ind w:firstLine="480" w:firstLineChars="200"/>
              <w:jc w:val="both"/>
              <w:rPr>
                <w:rFonts w:hint="eastAsia"/>
                <w:sz w:val="24"/>
              </w:rPr>
            </w:pPr>
            <w:r>
              <w:rPr>
                <w:rFonts w:hint="eastAsia"/>
                <w:sz w:val="24"/>
              </w:rPr>
              <w:t>11.配置包括：</w:t>
            </w:r>
          </w:p>
          <w:p w14:paraId="2163185F">
            <w:pPr>
              <w:widowControl w:val="0"/>
              <w:spacing w:after="0" w:line="240" w:lineRule="auto"/>
              <w:ind w:firstLine="480" w:firstLineChars="200"/>
              <w:jc w:val="both"/>
              <w:rPr>
                <w:rFonts w:hint="eastAsia"/>
                <w:sz w:val="24"/>
              </w:rPr>
            </w:pPr>
            <w:r>
              <w:rPr>
                <w:rFonts w:hint="eastAsia"/>
                <w:sz w:val="24"/>
              </w:rPr>
              <w:t>硬性纤维输尿管肾镜：1条</w:t>
            </w:r>
          </w:p>
          <w:p w14:paraId="07174832">
            <w:pPr>
              <w:widowControl w:val="0"/>
              <w:spacing w:after="0" w:line="240" w:lineRule="auto"/>
              <w:ind w:firstLine="480" w:firstLineChars="200"/>
              <w:jc w:val="both"/>
              <w:rPr>
                <w:rFonts w:hint="eastAsia"/>
                <w:sz w:val="24"/>
              </w:rPr>
            </w:pPr>
            <w:r>
              <w:rPr>
                <w:rFonts w:hint="eastAsia"/>
                <w:sz w:val="24"/>
              </w:rPr>
              <w:t>硅胶帽，5个/包：1包</w:t>
            </w:r>
          </w:p>
          <w:p w14:paraId="648B26D9">
            <w:pPr>
              <w:widowControl w:val="0"/>
              <w:spacing w:after="0" w:line="240" w:lineRule="auto"/>
              <w:ind w:firstLine="480" w:firstLineChars="200"/>
              <w:jc w:val="both"/>
              <w:rPr>
                <w:rFonts w:hint="eastAsia"/>
                <w:sz w:val="24"/>
              </w:rPr>
            </w:pPr>
            <w:r>
              <w:rPr>
                <w:rFonts w:hint="eastAsia"/>
                <w:sz w:val="24"/>
              </w:rPr>
              <w:t>薄膜阀，5个/包：1包</w:t>
            </w:r>
          </w:p>
          <w:p w14:paraId="2BA05F3C">
            <w:pPr>
              <w:widowControl w:val="0"/>
              <w:spacing w:after="0" w:line="240" w:lineRule="auto"/>
              <w:ind w:firstLine="480" w:firstLineChars="200"/>
              <w:jc w:val="both"/>
              <w:rPr>
                <w:rFonts w:hint="eastAsia"/>
                <w:sz w:val="24"/>
              </w:rPr>
            </w:pPr>
            <w:r>
              <w:rPr>
                <w:rFonts w:hint="eastAsia"/>
                <w:sz w:val="24"/>
              </w:rPr>
              <w:t>导光接头：1个</w:t>
            </w:r>
          </w:p>
          <w:p w14:paraId="3313962D">
            <w:pPr>
              <w:widowControl w:val="0"/>
              <w:jc w:val="both"/>
            </w:pPr>
            <w:r>
              <w:rPr>
                <w:rFonts w:hint="eastAsia"/>
                <w:sz w:val="24"/>
              </w:rPr>
              <w:t>★项目依实际招标要求列为重要或关键参数项</w:t>
            </w:r>
          </w:p>
          <w:p w14:paraId="446E7930">
            <w:pPr>
              <w:widowControl w:val="0"/>
              <w:jc w:val="both"/>
            </w:pPr>
          </w:p>
          <w:p w14:paraId="393C2B12">
            <w:pPr>
              <w:widowControl w:val="0"/>
              <w:spacing w:line="240" w:lineRule="auto"/>
              <w:jc w:val="both"/>
              <w:rPr>
                <w:rFonts w:hint="eastAsia"/>
                <w:sz w:val="24"/>
              </w:rPr>
            </w:pPr>
          </w:p>
        </w:tc>
      </w:tr>
      <w:tr w14:paraId="2F5E1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40B3A7C3">
            <w:pPr>
              <w:widowControl w:val="0"/>
              <w:jc w:val="center"/>
              <w:rPr>
                <w:rFonts w:hint="eastAsia"/>
                <w:sz w:val="24"/>
              </w:rPr>
            </w:pPr>
            <w:r>
              <w:rPr>
                <w:rFonts w:hint="eastAsia"/>
                <w:sz w:val="24"/>
              </w:rPr>
              <w:t>七</w:t>
            </w:r>
          </w:p>
        </w:tc>
        <w:tc>
          <w:tcPr>
            <w:tcW w:w="1559" w:type="dxa"/>
            <w:vAlign w:val="center"/>
          </w:tcPr>
          <w:p w14:paraId="6FC1606F">
            <w:pPr>
              <w:pStyle w:val="54"/>
              <w:jc w:val="center"/>
              <w:rPr>
                <w:rFonts w:hint="eastAsia"/>
                <w:sz w:val="24"/>
              </w:rPr>
            </w:pPr>
            <w:r>
              <w:rPr>
                <w:rFonts w:hint="eastAsia" w:ascii="宋体" w:hAnsi="宋体" w:eastAsia="宋体"/>
                <w:sz w:val="24"/>
                <w:szCs w:val="36"/>
              </w:rPr>
              <w:t>经皮肾镜（细）</w:t>
            </w:r>
          </w:p>
        </w:tc>
        <w:tc>
          <w:tcPr>
            <w:tcW w:w="6804" w:type="dxa"/>
          </w:tcPr>
          <w:p w14:paraId="00FBE594">
            <w:pPr>
              <w:widowControl w:val="0"/>
              <w:spacing w:after="0" w:line="240" w:lineRule="auto"/>
              <w:ind w:firstLine="482" w:firstLineChars="200"/>
              <w:jc w:val="center"/>
              <w:rPr>
                <w:rFonts w:hint="eastAsia"/>
                <w:b/>
                <w:sz w:val="24"/>
              </w:rPr>
            </w:pPr>
            <w:r>
              <w:rPr>
                <w:rFonts w:hint="eastAsia"/>
                <w:b/>
                <w:sz w:val="24"/>
              </w:rPr>
              <w:t>硬性纤维输尿管肾镜系统技术参数</w:t>
            </w:r>
          </w:p>
          <w:p w14:paraId="0785D241">
            <w:pPr>
              <w:widowControl w:val="0"/>
              <w:spacing w:after="0" w:line="240" w:lineRule="auto"/>
              <w:ind w:firstLine="482" w:firstLineChars="200"/>
              <w:jc w:val="center"/>
              <w:rPr>
                <w:rFonts w:hint="eastAsia"/>
                <w:sz w:val="24"/>
              </w:rPr>
            </w:pPr>
            <w:r>
              <w:rPr>
                <w:rFonts w:hint="eastAsia"/>
                <w:b/>
                <w:sz w:val="24"/>
              </w:rPr>
              <w:t>（微型经皮肾镜）</w:t>
            </w:r>
          </w:p>
          <w:p w14:paraId="7A9A5EF3">
            <w:pPr>
              <w:widowControl w:val="0"/>
              <w:spacing w:after="0" w:line="240" w:lineRule="auto"/>
              <w:ind w:firstLine="480" w:firstLineChars="200"/>
              <w:jc w:val="both"/>
              <w:rPr>
                <w:sz w:val="24"/>
              </w:rPr>
            </w:pPr>
          </w:p>
          <w:p w14:paraId="4D35BA4C">
            <w:pPr>
              <w:widowControl w:val="0"/>
              <w:spacing w:after="0" w:line="240" w:lineRule="auto"/>
              <w:ind w:firstLine="480" w:firstLineChars="200"/>
              <w:jc w:val="both"/>
              <w:rPr>
                <w:rFonts w:hint="eastAsia"/>
                <w:sz w:val="24"/>
              </w:rPr>
            </w:pPr>
            <w:r>
              <w:rPr>
                <w:rFonts w:hint="eastAsia"/>
                <w:sz w:val="24"/>
              </w:rPr>
              <w:t>★1.视向角≥0°视场角≥84°有效景深范围≥20mm；</w:t>
            </w:r>
          </w:p>
          <w:p w14:paraId="7522F928">
            <w:pPr>
              <w:widowControl w:val="0"/>
              <w:spacing w:after="0" w:line="240" w:lineRule="auto"/>
              <w:ind w:firstLine="480" w:firstLineChars="200"/>
              <w:jc w:val="both"/>
              <w:rPr>
                <w:rFonts w:hint="eastAsia"/>
                <w:sz w:val="24"/>
              </w:rPr>
            </w:pPr>
            <w:r>
              <w:rPr>
                <w:rFonts w:hint="eastAsia"/>
                <w:sz w:val="24"/>
              </w:rPr>
              <w:t>★2.镜管插入最细端8.5/12Fr，有效使用工作通道≥6Fr，有效工作长度≥250mm；</w:t>
            </w:r>
          </w:p>
          <w:p w14:paraId="45CB90C3">
            <w:pPr>
              <w:widowControl w:val="0"/>
              <w:spacing w:after="0" w:line="240" w:lineRule="auto"/>
              <w:ind w:firstLine="480" w:firstLineChars="200"/>
              <w:jc w:val="both"/>
              <w:rPr>
                <w:rFonts w:hint="eastAsia"/>
                <w:sz w:val="24"/>
              </w:rPr>
            </w:pPr>
            <w:r>
              <w:rPr>
                <w:rFonts w:hint="eastAsia"/>
                <w:sz w:val="24"/>
              </w:rPr>
              <w:t>3.半硬性一体式硬镜，外管采用钛合金和不锈钢的原材料，可以最大程度保证镜管的结构坚固同时允许镜体微弯，回弹性好；</w:t>
            </w:r>
          </w:p>
          <w:p w14:paraId="32263876">
            <w:pPr>
              <w:widowControl w:val="0"/>
              <w:spacing w:after="0" w:line="240" w:lineRule="auto"/>
              <w:ind w:firstLine="480" w:firstLineChars="200"/>
              <w:jc w:val="both"/>
              <w:rPr>
                <w:rFonts w:hint="eastAsia"/>
                <w:sz w:val="24"/>
              </w:rPr>
            </w:pPr>
            <w:r>
              <w:rPr>
                <w:rFonts w:hint="eastAsia"/>
                <w:sz w:val="24"/>
              </w:rPr>
              <w:t>4.左右水通道进出水通过开关控制，肾镜图像无扭曲，平面图像，超广角；</w:t>
            </w:r>
          </w:p>
          <w:p w14:paraId="0B43F935">
            <w:pPr>
              <w:widowControl w:val="0"/>
              <w:spacing w:after="0" w:line="240" w:lineRule="auto"/>
              <w:ind w:firstLine="480" w:firstLineChars="200"/>
              <w:jc w:val="both"/>
              <w:rPr>
                <w:rFonts w:hint="eastAsia"/>
                <w:sz w:val="24"/>
              </w:rPr>
            </w:pPr>
            <w:r>
              <w:rPr>
                <w:rFonts w:hint="eastAsia"/>
                <w:sz w:val="24"/>
              </w:rPr>
              <w:t>★5.镜身与冲洗转接头一体化设计，激光焊接密封，确保清洗、消毒过程中不进水气、雾气，有自动闭合的内置阀门，保证器械、导丝在被移除时不会漏水；</w:t>
            </w:r>
          </w:p>
          <w:p w14:paraId="1DA42BE9">
            <w:pPr>
              <w:widowControl w:val="0"/>
              <w:spacing w:after="0" w:line="240" w:lineRule="auto"/>
              <w:ind w:firstLine="480" w:firstLineChars="200"/>
              <w:jc w:val="both"/>
              <w:rPr>
                <w:rFonts w:hint="eastAsia"/>
                <w:sz w:val="24"/>
              </w:rPr>
            </w:pPr>
            <w:r>
              <w:rPr>
                <w:rFonts w:hint="eastAsia"/>
                <w:sz w:val="24"/>
              </w:rPr>
              <w:t>6.内设双层密封系统、保障密封性能，更换密封阀操作简便，物镜采用蓝宝石镜片密封，不易磨损，镜内是光学进口纤维，允许镜微曲；</w:t>
            </w:r>
          </w:p>
          <w:p w14:paraId="663E49B3">
            <w:pPr>
              <w:widowControl w:val="0"/>
              <w:spacing w:after="0" w:line="240" w:lineRule="auto"/>
              <w:ind w:firstLine="480" w:firstLineChars="200"/>
              <w:jc w:val="both"/>
              <w:rPr>
                <w:rFonts w:hint="eastAsia"/>
                <w:sz w:val="24"/>
              </w:rPr>
            </w:pPr>
            <w:r>
              <w:rPr>
                <w:rFonts w:hint="eastAsia"/>
                <w:sz w:val="24"/>
              </w:rPr>
              <w:t>★7.目镜为柱状体光学镜，有防球变系统，图像逼真无变形，目镜接头通用，可与多品牌成像设备接口相连，互配性强，目镜符合ISO标准；</w:t>
            </w:r>
          </w:p>
          <w:p w14:paraId="2DEAE13F">
            <w:pPr>
              <w:widowControl w:val="0"/>
              <w:spacing w:after="0" w:line="240" w:lineRule="auto"/>
              <w:ind w:firstLine="480" w:firstLineChars="200"/>
              <w:jc w:val="both"/>
              <w:rPr>
                <w:rFonts w:hint="eastAsia"/>
                <w:sz w:val="24"/>
              </w:rPr>
            </w:pPr>
            <w:r>
              <w:rPr>
                <w:rFonts w:hint="eastAsia"/>
                <w:sz w:val="24"/>
              </w:rPr>
              <w:t>8.专为微创经皮肾镜取石术（Mini-PCNL）研发的首款微型肾镜，可作为体外震波碎石术（ESWL）的替代方案，用于治疗肾下盏大结石，同样也适用于儿童、青少年和成人，工作通道上的自动密封可确保快速安全地引入辅助器械，大器械通道的设计，可满足低压持续冲洗状态；</w:t>
            </w:r>
          </w:p>
          <w:p w14:paraId="29A561D6">
            <w:pPr>
              <w:widowControl w:val="0"/>
              <w:spacing w:after="0" w:line="240" w:lineRule="auto"/>
              <w:ind w:firstLine="480" w:firstLineChars="200"/>
              <w:jc w:val="both"/>
              <w:rPr>
                <w:rFonts w:hint="eastAsia"/>
                <w:sz w:val="24"/>
              </w:rPr>
            </w:pPr>
            <w:r>
              <w:rPr>
                <w:rFonts w:hint="eastAsia"/>
                <w:sz w:val="24"/>
              </w:rPr>
              <w:t>9.可环氧乙烷、低温等离子消毒；</w:t>
            </w:r>
          </w:p>
          <w:p w14:paraId="49B37EAE">
            <w:pPr>
              <w:widowControl w:val="0"/>
              <w:spacing w:after="0" w:line="240" w:lineRule="auto"/>
              <w:ind w:firstLine="480" w:firstLineChars="200"/>
              <w:jc w:val="both"/>
              <w:rPr>
                <w:rFonts w:hint="eastAsia"/>
                <w:sz w:val="24"/>
              </w:rPr>
            </w:pPr>
            <w:r>
              <w:rPr>
                <w:rFonts w:hint="eastAsia"/>
                <w:sz w:val="24"/>
              </w:rPr>
              <w:t>10.可根据需要选配本厂配套生产的直径6Fr，有效长度460mm的肾异物钳、活检钳等器械；</w:t>
            </w:r>
          </w:p>
          <w:p w14:paraId="63E81B9F">
            <w:pPr>
              <w:widowControl w:val="0"/>
              <w:spacing w:after="0" w:line="240" w:lineRule="auto"/>
              <w:ind w:firstLine="480" w:firstLineChars="200"/>
              <w:jc w:val="both"/>
              <w:rPr>
                <w:rFonts w:hint="eastAsia"/>
                <w:sz w:val="24"/>
              </w:rPr>
            </w:pPr>
            <w:r>
              <w:rPr>
                <w:rFonts w:hint="eastAsia"/>
                <w:sz w:val="24"/>
              </w:rPr>
              <w:t>11.配置包括：</w:t>
            </w:r>
          </w:p>
          <w:p w14:paraId="7155F9ED">
            <w:pPr>
              <w:widowControl w:val="0"/>
              <w:spacing w:after="0" w:line="240" w:lineRule="auto"/>
              <w:ind w:firstLine="480" w:firstLineChars="200"/>
              <w:jc w:val="both"/>
              <w:rPr>
                <w:rFonts w:hint="eastAsia"/>
                <w:sz w:val="24"/>
              </w:rPr>
            </w:pPr>
            <w:r>
              <w:rPr>
                <w:rFonts w:hint="eastAsia"/>
                <w:sz w:val="24"/>
              </w:rPr>
              <w:t>硬性纤维输尿管肾镜：1支</w:t>
            </w:r>
          </w:p>
          <w:p w14:paraId="49FBDE42">
            <w:pPr>
              <w:widowControl w:val="0"/>
              <w:spacing w:after="0" w:line="240" w:lineRule="auto"/>
              <w:ind w:firstLine="480" w:firstLineChars="200"/>
              <w:jc w:val="both"/>
              <w:rPr>
                <w:rFonts w:hint="eastAsia"/>
                <w:sz w:val="24"/>
              </w:rPr>
            </w:pPr>
            <w:r>
              <w:rPr>
                <w:rFonts w:hint="eastAsia"/>
                <w:sz w:val="24"/>
              </w:rPr>
              <w:t>硅胶帽，5个/包：1包</w:t>
            </w:r>
          </w:p>
          <w:p w14:paraId="5631F778">
            <w:pPr>
              <w:widowControl w:val="0"/>
              <w:spacing w:after="0" w:line="240" w:lineRule="auto"/>
              <w:ind w:firstLine="480" w:firstLineChars="200"/>
              <w:jc w:val="both"/>
              <w:rPr>
                <w:rFonts w:hint="eastAsia"/>
                <w:sz w:val="24"/>
              </w:rPr>
            </w:pPr>
            <w:r>
              <w:rPr>
                <w:rFonts w:hint="eastAsia"/>
                <w:sz w:val="24"/>
              </w:rPr>
              <w:t>薄膜阀，5个/包：1包</w:t>
            </w:r>
          </w:p>
          <w:p w14:paraId="5AE41D03">
            <w:pPr>
              <w:widowControl w:val="0"/>
              <w:spacing w:after="0" w:line="240" w:lineRule="auto"/>
              <w:ind w:firstLine="480" w:firstLineChars="200"/>
              <w:jc w:val="both"/>
              <w:rPr>
                <w:rFonts w:hint="eastAsia"/>
                <w:sz w:val="24"/>
              </w:rPr>
            </w:pPr>
            <w:r>
              <w:rPr>
                <w:rFonts w:hint="eastAsia"/>
                <w:sz w:val="24"/>
              </w:rPr>
              <w:t>导光接头：1个</w:t>
            </w:r>
          </w:p>
          <w:p w14:paraId="54D882D8">
            <w:pPr>
              <w:widowControl w:val="0"/>
              <w:spacing w:after="0" w:line="240" w:lineRule="auto"/>
              <w:ind w:firstLine="480" w:firstLineChars="200"/>
              <w:jc w:val="both"/>
              <w:rPr>
                <w:rFonts w:hint="eastAsia"/>
                <w:sz w:val="24"/>
              </w:rPr>
            </w:pPr>
            <w:r>
              <w:rPr>
                <w:rFonts w:hint="eastAsia"/>
                <w:sz w:val="24"/>
              </w:rPr>
              <w:t>★项目依实际招标要求列为重要或关键参数项</w:t>
            </w:r>
          </w:p>
        </w:tc>
      </w:tr>
      <w:tr w14:paraId="6DE7D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12A06B06">
            <w:pPr>
              <w:widowControl w:val="0"/>
              <w:jc w:val="center"/>
              <w:rPr>
                <w:rFonts w:hint="eastAsia"/>
                <w:sz w:val="24"/>
              </w:rPr>
            </w:pPr>
            <w:r>
              <w:rPr>
                <w:rFonts w:hint="eastAsia"/>
                <w:sz w:val="24"/>
              </w:rPr>
              <w:t>八</w:t>
            </w:r>
          </w:p>
        </w:tc>
        <w:tc>
          <w:tcPr>
            <w:tcW w:w="1559" w:type="dxa"/>
            <w:vAlign w:val="center"/>
          </w:tcPr>
          <w:p w14:paraId="456C69B8">
            <w:pPr>
              <w:pStyle w:val="54"/>
              <w:jc w:val="center"/>
              <w:rPr>
                <w:rFonts w:hint="eastAsia"/>
                <w:sz w:val="24"/>
              </w:rPr>
            </w:pPr>
            <w:r>
              <w:rPr>
                <w:rFonts w:hint="eastAsia" w:ascii="宋体" w:hAnsi="宋体" w:eastAsia="宋体"/>
                <w:sz w:val="24"/>
                <w:szCs w:val="28"/>
              </w:rPr>
              <w:t>心肺复苏机</w:t>
            </w:r>
          </w:p>
        </w:tc>
        <w:tc>
          <w:tcPr>
            <w:tcW w:w="6804" w:type="dxa"/>
          </w:tcPr>
          <w:p w14:paraId="5F38C38E">
            <w:pPr>
              <w:widowControl w:val="0"/>
              <w:spacing w:after="0" w:line="240" w:lineRule="auto"/>
              <w:ind w:firstLine="480" w:firstLineChars="200"/>
              <w:jc w:val="both"/>
              <w:rPr>
                <w:rFonts w:hint="eastAsia"/>
                <w:sz w:val="24"/>
              </w:rPr>
            </w:pPr>
            <w:r>
              <w:rPr>
                <w:rFonts w:hint="eastAsia"/>
                <w:sz w:val="24"/>
              </w:rPr>
              <w:t>一、适用范围：</w:t>
            </w:r>
          </w:p>
          <w:p w14:paraId="227EEFAE">
            <w:pPr>
              <w:widowControl w:val="0"/>
              <w:spacing w:after="0" w:line="240" w:lineRule="auto"/>
              <w:ind w:firstLine="480" w:firstLineChars="200"/>
              <w:jc w:val="both"/>
              <w:rPr>
                <w:rFonts w:hint="eastAsia"/>
                <w:sz w:val="24"/>
              </w:rPr>
            </w:pPr>
            <w:r>
              <w:rPr>
                <w:rFonts w:hint="eastAsia"/>
                <w:sz w:val="24"/>
              </w:rPr>
              <w:t>适用于院前及院内以及患者转运过程中对成年心脏骤停患者进行不间断心肺复苏急救</w:t>
            </w:r>
          </w:p>
          <w:p w14:paraId="37333FB7">
            <w:pPr>
              <w:widowControl w:val="0"/>
              <w:spacing w:after="0" w:line="240" w:lineRule="auto"/>
              <w:ind w:firstLine="480" w:firstLineChars="200"/>
              <w:jc w:val="both"/>
              <w:rPr>
                <w:rFonts w:hint="eastAsia"/>
                <w:sz w:val="24"/>
              </w:rPr>
            </w:pPr>
            <w:r>
              <w:rPr>
                <w:rFonts w:hint="eastAsia"/>
                <w:sz w:val="24"/>
              </w:rPr>
              <w:t>二、技术参数：</w:t>
            </w:r>
          </w:p>
          <w:p w14:paraId="4D443AB0">
            <w:pPr>
              <w:widowControl w:val="0"/>
              <w:spacing w:after="0" w:line="240" w:lineRule="auto"/>
              <w:ind w:firstLine="480" w:firstLineChars="200"/>
              <w:jc w:val="both"/>
              <w:rPr>
                <w:rFonts w:hint="eastAsia"/>
                <w:sz w:val="24"/>
              </w:rPr>
            </w:pPr>
            <w:r>
              <w:rPr>
                <w:rFonts w:hint="eastAsia"/>
                <w:sz w:val="24"/>
              </w:rPr>
              <w:t>1．★电动电控型心肺复苏机，无需任何气源即可实现心脏按压，摆脱了长途转运过程中气源不足无法按压的问题</w:t>
            </w:r>
          </w:p>
          <w:p w14:paraId="05C33123">
            <w:pPr>
              <w:widowControl w:val="0"/>
              <w:spacing w:after="0" w:line="240" w:lineRule="auto"/>
              <w:ind w:firstLine="480" w:firstLineChars="200"/>
              <w:jc w:val="both"/>
              <w:rPr>
                <w:rFonts w:hint="eastAsia"/>
                <w:sz w:val="24"/>
              </w:rPr>
            </w:pPr>
            <w:r>
              <w:rPr>
                <w:rFonts w:hint="eastAsia"/>
                <w:sz w:val="24"/>
              </w:rPr>
              <w:t>2．★按压原理：采用单点按压结合胸廓束带方式，通过胸泵和心泵机制，改善血流动力学效果，提高心肺复苏成功率</w:t>
            </w:r>
          </w:p>
          <w:p w14:paraId="296BFBF2">
            <w:pPr>
              <w:widowControl w:val="0"/>
              <w:spacing w:after="0" w:line="240" w:lineRule="auto"/>
              <w:ind w:firstLine="480" w:firstLineChars="200"/>
              <w:jc w:val="both"/>
              <w:rPr>
                <w:rFonts w:hint="eastAsia"/>
                <w:sz w:val="24"/>
              </w:rPr>
            </w:pPr>
            <w:r>
              <w:rPr>
                <w:rFonts w:hint="eastAsia"/>
                <w:sz w:val="24"/>
              </w:rPr>
              <w:t>3．按压深度：30-55mm范围以上</w:t>
            </w:r>
          </w:p>
          <w:p w14:paraId="456413A9">
            <w:pPr>
              <w:widowControl w:val="0"/>
              <w:spacing w:after="0" w:line="240" w:lineRule="auto"/>
              <w:ind w:firstLine="480" w:firstLineChars="200"/>
              <w:jc w:val="both"/>
              <w:rPr>
                <w:rFonts w:hint="eastAsia"/>
                <w:sz w:val="24"/>
              </w:rPr>
            </w:pPr>
            <w:r>
              <w:rPr>
                <w:rFonts w:hint="eastAsia"/>
                <w:sz w:val="24"/>
              </w:rPr>
              <w:t>4．★按压深度：连续可调，调节步长：≤1mm</w:t>
            </w:r>
          </w:p>
          <w:p w14:paraId="15E43EFE">
            <w:pPr>
              <w:widowControl w:val="0"/>
              <w:spacing w:after="0" w:line="240" w:lineRule="auto"/>
              <w:ind w:firstLine="480" w:firstLineChars="200"/>
              <w:jc w:val="both"/>
              <w:rPr>
                <w:rFonts w:hint="eastAsia"/>
                <w:sz w:val="24"/>
              </w:rPr>
            </w:pPr>
            <w:r>
              <w:rPr>
                <w:rFonts w:hint="eastAsia"/>
                <w:sz w:val="24"/>
              </w:rPr>
              <w:t>5．★按压深度误差：≤±2mm</w:t>
            </w:r>
          </w:p>
          <w:p w14:paraId="5E83CD2B">
            <w:pPr>
              <w:widowControl w:val="0"/>
              <w:spacing w:after="0" w:line="240" w:lineRule="auto"/>
              <w:ind w:firstLine="480" w:firstLineChars="200"/>
              <w:jc w:val="both"/>
              <w:rPr>
                <w:rFonts w:hint="eastAsia"/>
                <w:sz w:val="24"/>
              </w:rPr>
            </w:pPr>
            <w:r>
              <w:rPr>
                <w:rFonts w:hint="eastAsia"/>
                <w:sz w:val="24"/>
              </w:rPr>
              <w:t>6．按压频率：100-120次/分钟</w:t>
            </w:r>
          </w:p>
          <w:p w14:paraId="6CDF51D7">
            <w:pPr>
              <w:widowControl w:val="0"/>
              <w:spacing w:after="0" w:line="240" w:lineRule="auto"/>
              <w:ind w:firstLine="480" w:firstLineChars="200"/>
              <w:jc w:val="both"/>
              <w:rPr>
                <w:rFonts w:hint="eastAsia"/>
                <w:sz w:val="24"/>
              </w:rPr>
            </w:pPr>
            <w:r>
              <w:rPr>
                <w:rFonts w:hint="eastAsia"/>
                <w:sz w:val="24"/>
              </w:rPr>
              <w:t>7．★按压频率误差：≤±1次/分钟</w:t>
            </w:r>
          </w:p>
          <w:p w14:paraId="51A01072">
            <w:pPr>
              <w:widowControl w:val="0"/>
              <w:spacing w:after="0" w:line="240" w:lineRule="auto"/>
              <w:ind w:firstLine="480" w:firstLineChars="200"/>
              <w:jc w:val="both"/>
              <w:rPr>
                <w:rFonts w:hint="eastAsia"/>
                <w:sz w:val="24"/>
              </w:rPr>
            </w:pPr>
            <w:r>
              <w:rPr>
                <w:rFonts w:hint="eastAsia"/>
                <w:sz w:val="24"/>
              </w:rPr>
              <w:t>8．按压释放比：1:1</w:t>
            </w:r>
          </w:p>
          <w:p w14:paraId="20F4E860">
            <w:pPr>
              <w:widowControl w:val="0"/>
              <w:spacing w:after="0" w:line="240" w:lineRule="auto"/>
              <w:ind w:firstLine="480" w:firstLineChars="200"/>
              <w:jc w:val="both"/>
              <w:rPr>
                <w:rFonts w:hint="eastAsia"/>
                <w:sz w:val="24"/>
              </w:rPr>
            </w:pPr>
            <w:r>
              <w:rPr>
                <w:rFonts w:hint="eastAsia"/>
                <w:sz w:val="24"/>
              </w:rPr>
              <w:t>9．按压模式包括：至少包括连续按压模式，30:2模式，CPR联动模式等</w:t>
            </w:r>
          </w:p>
          <w:p w14:paraId="5E7CBF25">
            <w:pPr>
              <w:widowControl w:val="0"/>
              <w:spacing w:after="0" w:line="240" w:lineRule="auto"/>
              <w:ind w:firstLine="480" w:firstLineChars="200"/>
              <w:jc w:val="both"/>
              <w:rPr>
                <w:rFonts w:hint="eastAsia"/>
                <w:sz w:val="24"/>
              </w:rPr>
            </w:pPr>
            <w:r>
              <w:rPr>
                <w:rFonts w:hint="eastAsia"/>
                <w:sz w:val="24"/>
              </w:rPr>
              <w:t>10．30:2模式下，2次通气停顿时间≤3秒</w:t>
            </w:r>
          </w:p>
          <w:p w14:paraId="45410BB0">
            <w:pPr>
              <w:widowControl w:val="0"/>
              <w:spacing w:after="0" w:line="240" w:lineRule="auto"/>
              <w:ind w:firstLine="480" w:firstLineChars="200"/>
              <w:jc w:val="both"/>
              <w:rPr>
                <w:rFonts w:hint="eastAsia"/>
                <w:sz w:val="24"/>
              </w:rPr>
            </w:pPr>
            <w:r>
              <w:rPr>
                <w:rFonts w:hint="eastAsia"/>
                <w:sz w:val="24"/>
              </w:rPr>
              <w:t>11．★采用PC+ABS硬质背板与软绑带结合，避免纯绑带弹性形变引起按压深度不足，可保障按压深度，提高心肺复苏抢救质量</w:t>
            </w:r>
          </w:p>
          <w:p w14:paraId="432E7990">
            <w:pPr>
              <w:widowControl w:val="0"/>
              <w:spacing w:after="0" w:line="240" w:lineRule="auto"/>
              <w:ind w:firstLine="480" w:firstLineChars="200"/>
              <w:jc w:val="both"/>
              <w:rPr>
                <w:rFonts w:hint="eastAsia"/>
                <w:sz w:val="24"/>
              </w:rPr>
            </w:pPr>
            <w:r>
              <w:rPr>
                <w:rFonts w:hint="eastAsia"/>
                <w:sz w:val="24"/>
              </w:rPr>
              <w:t>12．主机上具有按压深度显示窗口，可显示实际按压深度</w:t>
            </w:r>
          </w:p>
          <w:p w14:paraId="3EF36E07">
            <w:pPr>
              <w:widowControl w:val="0"/>
              <w:spacing w:after="0" w:line="240" w:lineRule="auto"/>
              <w:ind w:firstLine="480" w:firstLineChars="200"/>
              <w:jc w:val="both"/>
              <w:rPr>
                <w:rFonts w:hint="eastAsia"/>
                <w:sz w:val="24"/>
              </w:rPr>
            </w:pPr>
            <w:r>
              <w:rPr>
                <w:rFonts w:hint="eastAsia"/>
                <w:sz w:val="24"/>
              </w:rPr>
              <w:t xml:space="preserve">13．★主机最大工作倾斜度：≥60°：在工作倾斜度范围内，主机工作参数稳定，实际按压深度与设定值误差≤±2mm，确保下楼梯、转运途中能维持持续稳定的胸腔按压 </w:t>
            </w:r>
          </w:p>
          <w:p w14:paraId="00DD3A6C">
            <w:pPr>
              <w:widowControl w:val="0"/>
              <w:spacing w:after="0" w:line="240" w:lineRule="auto"/>
              <w:ind w:firstLine="480" w:firstLineChars="200"/>
              <w:jc w:val="both"/>
              <w:rPr>
                <w:rFonts w:hint="eastAsia"/>
                <w:sz w:val="24"/>
              </w:rPr>
            </w:pPr>
            <w:r>
              <w:rPr>
                <w:rFonts w:hint="eastAsia"/>
                <w:sz w:val="24"/>
              </w:rPr>
              <w:t>14．电池续航时间：新电池充满电情况下，单块电池最大运行时间不少于60分钟</w:t>
            </w:r>
          </w:p>
          <w:p w14:paraId="47DAB231">
            <w:pPr>
              <w:widowControl w:val="0"/>
              <w:spacing w:after="0" w:line="240" w:lineRule="auto"/>
              <w:ind w:firstLine="480" w:firstLineChars="200"/>
              <w:jc w:val="both"/>
              <w:rPr>
                <w:rFonts w:hint="eastAsia"/>
                <w:sz w:val="24"/>
              </w:rPr>
            </w:pPr>
            <w:r>
              <w:rPr>
                <w:rFonts w:hint="eastAsia"/>
                <w:sz w:val="24"/>
              </w:rPr>
              <w:t>15．电池最大充电时间：≤2小时</w:t>
            </w:r>
          </w:p>
          <w:p w14:paraId="372D4011">
            <w:pPr>
              <w:widowControl w:val="0"/>
              <w:spacing w:after="0" w:line="240" w:lineRule="auto"/>
              <w:ind w:firstLine="480" w:firstLineChars="200"/>
              <w:jc w:val="both"/>
              <w:rPr>
                <w:rFonts w:hint="eastAsia"/>
                <w:sz w:val="24"/>
              </w:rPr>
            </w:pPr>
            <w:r>
              <w:rPr>
                <w:rFonts w:hint="eastAsia"/>
                <w:sz w:val="24"/>
              </w:rPr>
              <w:t>16．外接交流电源，可对低电量电池充电，同时可持续稳定实施长时间胸外按压</w:t>
            </w:r>
          </w:p>
          <w:p w14:paraId="5FD03D64">
            <w:pPr>
              <w:widowControl w:val="0"/>
              <w:spacing w:after="0" w:line="240" w:lineRule="auto"/>
              <w:ind w:firstLine="480" w:firstLineChars="200"/>
              <w:jc w:val="both"/>
              <w:rPr>
                <w:rFonts w:hint="eastAsia"/>
                <w:sz w:val="24"/>
              </w:rPr>
            </w:pPr>
            <w:r>
              <w:rPr>
                <w:rFonts w:hint="eastAsia"/>
                <w:sz w:val="24"/>
              </w:rPr>
              <w:t>17．低电量指示灯闪烁警示后，仍可连续工作时间≥15分钟</w:t>
            </w:r>
          </w:p>
          <w:p w14:paraId="2E768EEA">
            <w:pPr>
              <w:widowControl w:val="0"/>
              <w:spacing w:after="0" w:line="240" w:lineRule="auto"/>
              <w:ind w:firstLine="480" w:firstLineChars="200"/>
              <w:jc w:val="both"/>
              <w:rPr>
                <w:rFonts w:hint="eastAsia"/>
                <w:sz w:val="24"/>
              </w:rPr>
            </w:pPr>
            <w:r>
              <w:rPr>
                <w:rFonts w:hint="eastAsia"/>
                <w:sz w:val="24"/>
              </w:rPr>
              <w:t>18．★电池具有电池电量检查按钮和电池电量指示灯（提供实物照片）</w:t>
            </w:r>
          </w:p>
          <w:p w14:paraId="7F627985">
            <w:pPr>
              <w:widowControl w:val="0"/>
              <w:spacing w:after="0" w:line="240" w:lineRule="auto"/>
              <w:ind w:firstLine="480" w:firstLineChars="200"/>
              <w:jc w:val="both"/>
              <w:rPr>
                <w:rFonts w:hint="eastAsia"/>
                <w:sz w:val="24"/>
              </w:rPr>
            </w:pPr>
            <w:r>
              <w:rPr>
                <w:rFonts w:hint="eastAsia"/>
                <w:sz w:val="24"/>
              </w:rPr>
              <w:t>19．智能终端：至少可显示按压深度、按压波形、按压频率、按压时间、按压中断时间、心肺复苏总时间、CCF值，操作简单，可视化程度高</w:t>
            </w:r>
          </w:p>
          <w:p w14:paraId="5FFCE13C">
            <w:pPr>
              <w:widowControl w:val="0"/>
              <w:spacing w:after="0" w:line="240" w:lineRule="auto"/>
              <w:ind w:firstLine="480" w:firstLineChars="200"/>
              <w:jc w:val="both"/>
              <w:rPr>
                <w:rFonts w:hint="eastAsia"/>
                <w:sz w:val="24"/>
              </w:rPr>
            </w:pPr>
            <w:r>
              <w:rPr>
                <w:rFonts w:hint="eastAsia"/>
                <w:sz w:val="24"/>
              </w:rPr>
              <w:t>20．智能终端可同屏调节按压模式，按压深度，无需翻页，操作便捷，节约时间</w:t>
            </w:r>
          </w:p>
          <w:p w14:paraId="08FEA99B">
            <w:pPr>
              <w:widowControl w:val="0"/>
              <w:spacing w:after="0" w:line="240" w:lineRule="auto"/>
              <w:ind w:firstLine="480" w:firstLineChars="200"/>
              <w:jc w:val="both"/>
              <w:rPr>
                <w:rFonts w:hint="eastAsia"/>
                <w:sz w:val="24"/>
              </w:rPr>
            </w:pPr>
            <w:r>
              <w:rPr>
                <w:rFonts w:hint="eastAsia"/>
                <w:sz w:val="24"/>
              </w:rPr>
              <w:t xml:space="preserve">21．★心肺复苏机可与呼吸机联动，通过WIFI或蓝牙连接，心肺复苏机按压30次后，呼吸机自动通气2次，实现按压通气精准控制，节省人力，提高抢救效率 </w:t>
            </w:r>
          </w:p>
          <w:p w14:paraId="6B1501F4">
            <w:pPr>
              <w:widowControl w:val="0"/>
              <w:spacing w:after="0" w:line="240" w:lineRule="auto"/>
              <w:ind w:firstLine="480" w:firstLineChars="200"/>
              <w:jc w:val="both"/>
              <w:rPr>
                <w:rFonts w:hint="eastAsia"/>
                <w:sz w:val="24"/>
              </w:rPr>
            </w:pPr>
            <w:r>
              <w:rPr>
                <w:rFonts w:hint="eastAsia"/>
                <w:sz w:val="24"/>
              </w:rPr>
              <w:t>22．PCI环境下：采用可透X光材质，可在导管室经皮冠脉贯通术时，在连续胸外按压时，不阻挡手术视野</w:t>
            </w:r>
          </w:p>
          <w:p w14:paraId="7848924F">
            <w:pPr>
              <w:widowControl w:val="0"/>
              <w:spacing w:after="0" w:line="240" w:lineRule="auto"/>
              <w:ind w:firstLine="480" w:firstLineChars="200"/>
              <w:jc w:val="both"/>
              <w:rPr>
                <w:rFonts w:hint="eastAsia"/>
                <w:sz w:val="24"/>
              </w:rPr>
            </w:pPr>
            <w:r>
              <w:rPr>
                <w:rFonts w:hint="eastAsia"/>
                <w:sz w:val="24"/>
              </w:rPr>
              <w:t>23．★数据通信功能：可通过蓝牙或WIFI连接，通过APP（手机或平板）实时监测心肺复苏波形和数据，可获取至少含有按压频率、按压深度、按压中断时间、CCF值的心肺复苏报告，需提供心肺复苏报告样本</w:t>
            </w:r>
          </w:p>
          <w:p w14:paraId="5BC947DB">
            <w:pPr>
              <w:widowControl w:val="0"/>
              <w:spacing w:after="0" w:line="240" w:lineRule="auto"/>
              <w:ind w:firstLine="480" w:firstLineChars="200"/>
              <w:jc w:val="both"/>
              <w:rPr>
                <w:rFonts w:hint="eastAsia"/>
                <w:sz w:val="24"/>
              </w:rPr>
            </w:pPr>
            <w:r>
              <w:rPr>
                <w:rFonts w:hint="eastAsia"/>
                <w:sz w:val="24"/>
              </w:rPr>
              <w:t>24．★主机通过航空适航RTCA/DO-160G认证，需提供检测报告</w:t>
            </w:r>
          </w:p>
          <w:p w14:paraId="2E300F7A">
            <w:pPr>
              <w:widowControl w:val="0"/>
              <w:spacing w:after="0" w:line="240" w:lineRule="auto"/>
              <w:ind w:firstLine="480" w:firstLineChars="200"/>
              <w:jc w:val="both"/>
              <w:rPr>
                <w:rFonts w:hint="eastAsia"/>
                <w:sz w:val="24"/>
              </w:rPr>
            </w:pPr>
            <w:r>
              <w:rPr>
                <w:rFonts w:hint="eastAsia"/>
                <w:sz w:val="24"/>
              </w:rPr>
              <w:t>25．★主机通过EN1789：2020认证，需提供检测报告</w:t>
            </w:r>
          </w:p>
          <w:p w14:paraId="3CAB4E48">
            <w:pPr>
              <w:widowControl w:val="0"/>
              <w:spacing w:after="0" w:line="240" w:lineRule="auto"/>
              <w:ind w:firstLine="480" w:firstLineChars="200"/>
              <w:jc w:val="both"/>
              <w:rPr>
                <w:rFonts w:hint="eastAsia"/>
                <w:sz w:val="24"/>
              </w:rPr>
            </w:pPr>
            <w:r>
              <w:rPr>
                <w:rFonts w:hint="eastAsia"/>
                <w:sz w:val="24"/>
              </w:rPr>
              <w:t>26．通过正弦振动试验：频率循环5Hz-35Hz-5Hz，振幅值0.35mm，各轴向振动循环15次后，实际按压频率与按压频率设定值误差≤±1次/分钟，实际按压</w:t>
            </w:r>
          </w:p>
          <w:p w14:paraId="0ADF4E12">
            <w:pPr>
              <w:widowControl w:val="0"/>
              <w:spacing w:after="0" w:line="240" w:lineRule="auto"/>
              <w:ind w:firstLine="480" w:firstLineChars="200"/>
              <w:jc w:val="both"/>
              <w:rPr>
                <w:rFonts w:hint="eastAsia"/>
                <w:sz w:val="24"/>
              </w:rPr>
            </w:pPr>
            <w:r>
              <w:rPr>
                <w:rFonts w:hint="eastAsia"/>
                <w:sz w:val="24"/>
              </w:rPr>
              <w:t>与按压深度设定值误差≤±0.2厘米</w:t>
            </w:r>
          </w:p>
          <w:p w14:paraId="5A9413AC">
            <w:pPr>
              <w:widowControl w:val="0"/>
              <w:spacing w:after="0" w:line="240" w:lineRule="auto"/>
              <w:ind w:firstLine="480" w:firstLineChars="200"/>
              <w:jc w:val="both"/>
              <w:rPr>
                <w:rFonts w:hint="eastAsia"/>
                <w:sz w:val="24"/>
              </w:rPr>
            </w:pPr>
            <w:r>
              <w:rPr>
                <w:rFonts w:hint="eastAsia"/>
                <w:sz w:val="24"/>
              </w:rPr>
              <w:t>27．通过碰撞试验：加速度50m/s2，脉冲持续时间11ms，各轴向分别碰撞1000次后，实际按压频率与按压频率设定值误差≤±1次/分钟，实际按压深度与按压深度设定值误差≤±0.2厘米</w:t>
            </w:r>
          </w:p>
          <w:p w14:paraId="7541E4CA">
            <w:pPr>
              <w:widowControl w:val="0"/>
              <w:spacing w:after="0" w:line="240" w:lineRule="auto"/>
              <w:ind w:firstLine="480" w:firstLineChars="200"/>
              <w:jc w:val="both"/>
              <w:rPr>
                <w:rFonts w:hint="eastAsia"/>
                <w:sz w:val="24"/>
              </w:rPr>
            </w:pPr>
            <w:r>
              <w:rPr>
                <w:rFonts w:hint="eastAsia"/>
                <w:sz w:val="24"/>
              </w:rPr>
              <w:t>28．★ 主机防水防尘等级：IP44以上</w:t>
            </w:r>
          </w:p>
          <w:p w14:paraId="19DDDC64">
            <w:pPr>
              <w:widowControl w:val="0"/>
              <w:spacing w:after="0" w:line="240" w:lineRule="auto"/>
              <w:ind w:firstLine="480" w:firstLineChars="200"/>
              <w:jc w:val="both"/>
              <w:rPr>
                <w:rFonts w:hint="eastAsia"/>
                <w:sz w:val="24"/>
              </w:rPr>
            </w:pPr>
            <w:r>
              <w:rPr>
                <w:rFonts w:hint="eastAsia"/>
                <w:sz w:val="24"/>
              </w:rPr>
              <w:t>29．防电击类型分类：II级</w:t>
            </w:r>
          </w:p>
          <w:p w14:paraId="092EED27">
            <w:pPr>
              <w:widowControl w:val="0"/>
              <w:spacing w:after="0" w:line="240" w:lineRule="auto"/>
              <w:ind w:firstLine="480" w:firstLineChars="200"/>
              <w:jc w:val="both"/>
              <w:rPr>
                <w:rFonts w:hint="eastAsia"/>
                <w:sz w:val="24"/>
              </w:rPr>
            </w:pPr>
            <w:r>
              <w:rPr>
                <w:rFonts w:hint="eastAsia"/>
                <w:sz w:val="24"/>
              </w:rPr>
              <w:t>30．★主机防电击程度分类：CF型</w:t>
            </w:r>
          </w:p>
          <w:p w14:paraId="34B726A4">
            <w:pPr>
              <w:widowControl w:val="0"/>
              <w:spacing w:after="0" w:line="240" w:lineRule="auto"/>
              <w:ind w:firstLine="480" w:firstLineChars="200"/>
              <w:jc w:val="both"/>
              <w:rPr>
                <w:rFonts w:hint="eastAsia"/>
                <w:sz w:val="24"/>
              </w:rPr>
            </w:pPr>
            <w:r>
              <w:rPr>
                <w:rFonts w:hint="eastAsia"/>
                <w:sz w:val="24"/>
              </w:rPr>
              <w:t>31．★主机最低工作温度：≤-10℃，满足寒冬野外急救需求</w:t>
            </w:r>
          </w:p>
          <w:p w14:paraId="2BFA125B">
            <w:pPr>
              <w:widowControl w:val="0"/>
              <w:spacing w:after="0" w:line="240" w:lineRule="auto"/>
              <w:ind w:firstLine="480" w:firstLineChars="200"/>
              <w:jc w:val="both"/>
              <w:rPr>
                <w:rFonts w:hint="eastAsia"/>
                <w:sz w:val="24"/>
              </w:rPr>
            </w:pPr>
            <w:r>
              <w:rPr>
                <w:rFonts w:hint="eastAsia"/>
                <w:sz w:val="24"/>
              </w:rPr>
              <w:t>32．最高工作温度： ≥45℃，满足炎夏野外急救需求</w:t>
            </w:r>
          </w:p>
          <w:p w14:paraId="5A53E6D0">
            <w:pPr>
              <w:widowControl w:val="0"/>
              <w:spacing w:after="0" w:line="240" w:lineRule="auto"/>
              <w:ind w:firstLine="480" w:firstLineChars="200"/>
              <w:jc w:val="both"/>
              <w:rPr>
                <w:rFonts w:hint="eastAsia"/>
                <w:sz w:val="24"/>
              </w:rPr>
            </w:pPr>
            <w:r>
              <w:rPr>
                <w:rFonts w:hint="eastAsia"/>
                <w:sz w:val="24"/>
              </w:rPr>
              <w:t>33．最高工作相对湿度：≥98%，无冷凝，满足潮湿天气环境下的急救需求</w:t>
            </w:r>
          </w:p>
          <w:p w14:paraId="21EE0ABB">
            <w:pPr>
              <w:widowControl w:val="0"/>
              <w:spacing w:after="0" w:line="240" w:lineRule="auto"/>
              <w:ind w:firstLine="480" w:firstLineChars="200"/>
              <w:jc w:val="both"/>
              <w:rPr>
                <w:rFonts w:hint="eastAsia"/>
                <w:sz w:val="24"/>
              </w:rPr>
            </w:pPr>
            <w:r>
              <w:rPr>
                <w:rFonts w:hint="eastAsia"/>
                <w:sz w:val="24"/>
              </w:rPr>
              <w:t>34．工作大气压力：70kPa-110kPa范围以上</w:t>
            </w:r>
          </w:p>
          <w:p w14:paraId="09A758AD">
            <w:pPr>
              <w:widowControl w:val="0"/>
              <w:spacing w:after="0" w:line="240" w:lineRule="auto"/>
              <w:ind w:firstLine="480" w:firstLineChars="200"/>
              <w:jc w:val="both"/>
              <w:rPr>
                <w:rFonts w:hint="eastAsia"/>
                <w:sz w:val="24"/>
              </w:rPr>
            </w:pPr>
            <w:r>
              <w:rPr>
                <w:rFonts w:hint="eastAsia"/>
                <w:sz w:val="24"/>
              </w:rPr>
              <w:t>35．存储温度：-40℃-70℃范围以上</w:t>
            </w:r>
          </w:p>
          <w:p w14:paraId="4704A1FF">
            <w:pPr>
              <w:widowControl w:val="0"/>
              <w:spacing w:after="0" w:line="240" w:lineRule="auto"/>
              <w:ind w:firstLine="480" w:firstLineChars="200"/>
              <w:jc w:val="both"/>
              <w:rPr>
                <w:rFonts w:hint="eastAsia"/>
                <w:sz w:val="24"/>
              </w:rPr>
            </w:pPr>
            <w:r>
              <w:rPr>
                <w:rFonts w:hint="eastAsia"/>
                <w:sz w:val="24"/>
              </w:rPr>
              <w:t>36．★主机至少具有RS232协议通讯接口；具有USB接口</w:t>
            </w:r>
          </w:p>
          <w:p w14:paraId="69F30650">
            <w:pPr>
              <w:widowControl w:val="0"/>
              <w:spacing w:after="0" w:line="240" w:lineRule="auto"/>
              <w:ind w:firstLine="480" w:firstLineChars="200"/>
              <w:jc w:val="both"/>
              <w:rPr>
                <w:rFonts w:hint="eastAsia"/>
                <w:sz w:val="24"/>
              </w:rPr>
            </w:pPr>
            <w:r>
              <w:rPr>
                <w:rFonts w:hint="eastAsia"/>
                <w:sz w:val="24"/>
              </w:rPr>
              <w:t>37．内存卡容量：≥16G</w:t>
            </w:r>
          </w:p>
          <w:p w14:paraId="4D6A6A9F">
            <w:pPr>
              <w:widowControl w:val="0"/>
              <w:spacing w:after="0" w:line="240" w:lineRule="auto"/>
              <w:ind w:firstLine="480" w:firstLineChars="200"/>
              <w:jc w:val="both"/>
              <w:rPr>
                <w:rFonts w:hint="eastAsia"/>
                <w:sz w:val="24"/>
              </w:rPr>
            </w:pPr>
            <w:r>
              <w:rPr>
                <w:rFonts w:hint="eastAsia"/>
                <w:sz w:val="24"/>
              </w:rPr>
              <w:t>38．主机重量（含电池）：≤4kg</w:t>
            </w:r>
          </w:p>
          <w:p w14:paraId="69772C35">
            <w:pPr>
              <w:widowControl w:val="0"/>
              <w:spacing w:after="0" w:line="240" w:lineRule="auto"/>
              <w:ind w:firstLine="480" w:firstLineChars="200"/>
              <w:jc w:val="both"/>
              <w:rPr>
                <w:rFonts w:hint="eastAsia"/>
                <w:sz w:val="24"/>
              </w:rPr>
            </w:pPr>
            <w:r>
              <w:rPr>
                <w:rFonts w:hint="eastAsia"/>
                <w:sz w:val="24"/>
              </w:rPr>
              <w:t>39★具有呼末二氧化碳监测</w:t>
            </w:r>
          </w:p>
        </w:tc>
      </w:tr>
      <w:tr w14:paraId="12764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388FB03C">
            <w:pPr>
              <w:widowControl w:val="0"/>
              <w:jc w:val="center"/>
              <w:rPr>
                <w:rFonts w:hint="eastAsia"/>
                <w:sz w:val="24"/>
              </w:rPr>
            </w:pPr>
            <w:r>
              <w:rPr>
                <w:rFonts w:hint="eastAsia"/>
                <w:sz w:val="24"/>
              </w:rPr>
              <w:t>九</w:t>
            </w:r>
          </w:p>
        </w:tc>
        <w:tc>
          <w:tcPr>
            <w:tcW w:w="1559" w:type="dxa"/>
            <w:vAlign w:val="center"/>
          </w:tcPr>
          <w:p w14:paraId="6684C1F6">
            <w:pPr>
              <w:pStyle w:val="54"/>
              <w:jc w:val="center"/>
              <w:rPr>
                <w:rFonts w:hint="eastAsia"/>
                <w:sz w:val="24"/>
              </w:rPr>
            </w:pPr>
            <w:r>
              <w:rPr>
                <w:rFonts w:hint="eastAsia" w:ascii="宋体" w:hAnsi="宋体" w:eastAsia="宋体"/>
                <w:sz w:val="24"/>
                <w:szCs w:val="28"/>
              </w:rPr>
              <w:t>足背动脉监测仪</w:t>
            </w:r>
          </w:p>
        </w:tc>
        <w:tc>
          <w:tcPr>
            <w:tcW w:w="6804" w:type="dxa"/>
          </w:tcPr>
          <w:p w14:paraId="3CE976C2">
            <w:pPr>
              <w:widowControl w:val="0"/>
              <w:spacing w:after="0" w:line="240" w:lineRule="auto"/>
              <w:ind w:firstLine="480" w:firstLineChars="200"/>
              <w:jc w:val="both"/>
              <w:rPr>
                <w:rFonts w:hint="eastAsia"/>
                <w:sz w:val="24"/>
              </w:rPr>
            </w:pPr>
            <w:r>
              <w:rPr>
                <w:rFonts w:hint="eastAsia"/>
                <w:sz w:val="24"/>
              </w:rPr>
              <w:t>1. 超声频率：8.0MHz ±10%</w:t>
            </w:r>
          </w:p>
          <w:p w14:paraId="6F5484E7">
            <w:pPr>
              <w:widowControl w:val="0"/>
              <w:spacing w:after="0" w:line="240" w:lineRule="auto"/>
              <w:ind w:firstLine="480" w:firstLineChars="200"/>
              <w:jc w:val="both"/>
              <w:rPr>
                <w:rFonts w:hint="eastAsia"/>
                <w:sz w:val="24"/>
              </w:rPr>
            </w:pPr>
            <w:r>
              <w:rPr>
                <w:rFonts w:hint="eastAsia"/>
                <w:sz w:val="24"/>
              </w:rPr>
              <w:t>2. 超声功率平均声强：≤ 50mW/cm2</w:t>
            </w:r>
          </w:p>
          <w:p w14:paraId="6583F2A9">
            <w:pPr>
              <w:widowControl w:val="0"/>
              <w:spacing w:after="0" w:line="240" w:lineRule="auto"/>
              <w:ind w:firstLine="480" w:firstLineChars="200"/>
              <w:jc w:val="both"/>
              <w:rPr>
                <w:rFonts w:hint="eastAsia"/>
                <w:sz w:val="24"/>
              </w:rPr>
            </w:pPr>
            <w:r>
              <w:rPr>
                <w:rFonts w:hint="eastAsia"/>
                <w:sz w:val="24"/>
              </w:rPr>
              <w:t>3. 测速范围：40～200 cm /s</w:t>
            </w:r>
          </w:p>
          <w:p w14:paraId="554C8F09">
            <w:pPr>
              <w:widowControl w:val="0"/>
              <w:spacing w:after="0" w:line="240" w:lineRule="auto"/>
              <w:ind w:firstLine="480" w:firstLineChars="200"/>
              <w:jc w:val="both"/>
              <w:rPr>
                <w:rFonts w:hint="eastAsia"/>
                <w:sz w:val="24"/>
              </w:rPr>
            </w:pPr>
            <w:r>
              <w:rPr>
                <w:rFonts w:hint="eastAsia"/>
                <w:sz w:val="24"/>
              </w:rPr>
              <w:t>4. 测速误差：≤ 20%（相对误差）</w:t>
            </w:r>
          </w:p>
          <w:p w14:paraId="68D6A2A8">
            <w:pPr>
              <w:widowControl w:val="0"/>
              <w:spacing w:after="0" w:line="240" w:lineRule="auto"/>
              <w:ind w:firstLine="480" w:firstLineChars="200"/>
              <w:jc w:val="both"/>
              <w:rPr>
                <w:rFonts w:hint="eastAsia"/>
                <w:sz w:val="24"/>
              </w:rPr>
            </w:pPr>
            <w:r>
              <w:rPr>
                <w:rFonts w:hint="eastAsia"/>
                <w:sz w:val="24"/>
              </w:rPr>
              <w:t>5.增益调节：自动增益</w:t>
            </w:r>
          </w:p>
          <w:p w14:paraId="72084702">
            <w:pPr>
              <w:widowControl w:val="0"/>
              <w:spacing w:after="0" w:line="240" w:lineRule="auto"/>
              <w:ind w:firstLine="480" w:firstLineChars="200"/>
              <w:jc w:val="both"/>
              <w:rPr>
                <w:rFonts w:hint="eastAsia"/>
                <w:sz w:val="24"/>
              </w:rPr>
            </w:pPr>
            <w:r>
              <w:rPr>
                <w:rFonts w:hint="eastAsia"/>
                <w:sz w:val="24"/>
              </w:rPr>
              <w:t>6.配置PC软件采集波形、存储波形、软件自动计算ABI值，报告可一键自动生成报告。</w:t>
            </w:r>
          </w:p>
          <w:p w14:paraId="4B3DFDA6">
            <w:pPr>
              <w:widowControl w:val="0"/>
              <w:spacing w:after="0" w:line="240" w:lineRule="auto"/>
              <w:ind w:firstLine="480" w:firstLineChars="200"/>
              <w:jc w:val="both"/>
              <w:rPr>
                <w:rFonts w:hint="eastAsia"/>
                <w:sz w:val="24"/>
              </w:rPr>
            </w:pPr>
            <w:r>
              <w:rPr>
                <w:rFonts w:hint="eastAsia"/>
                <w:sz w:val="24"/>
              </w:rPr>
              <w:t>7.多普勒主机可存储50组血流速度与波形</w:t>
            </w:r>
          </w:p>
          <w:p w14:paraId="20AF49AD">
            <w:pPr>
              <w:widowControl w:val="0"/>
              <w:spacing w:after="0" w:line="240" w:lineRule="auto"/>
              <w:ind w:firstLine="480" w:firstLineChars="200"/>
              <w:jc w:val="both"/>
              <w:rPr>
                <w:rFonts w:hint="eastAsia"/>
                <w:sz w:val="24"/>
              </w:rPr>
            </w:pPr>
            <w:r>
              <w:rPr>
                <w:rFonts w:hint="eastAsia"/>
                <w:sz w:val="24"/>
              </w:rPr>
              <w:t>8.双线血流波形显示，血流方向指示</w:t>
            </w:r>
          </w:p>
          <w:p w14:paraId="18CB6146">
            <w:pPr>
              <w:widowControl w:val="0"/>
              <w:spacing w:after="0" w:line="240" w:lineRule="auto"/>
              <w:ind w:firstLine="480" w:firstLineChars="200"/>
              <w:jc w:val="both"/>
              <w:rPr>
                <w:rFonts w:hint="eastAsia"/>
                <w:sz w:val="24"/>
              </w:rPr>
            </w:pPr>
            <w:r>
              <w:rPr>
                <w:rFonts w:hint="eastAsia"/>
                <w:sz w:val="24"/>
              </w:rPr>
              <w:t>9.双线血流波形合成与分离模式</w:t>
            </w:r>
          </w:p>
          <w:p w14:paraId="52AAC0D2">
            <w:pPr>
              <w:widowControl w:val="0"/>
              <w:spacing w:after="0" w:line="240" w:lineRule="auto"/>
              <w:ind w:firstLine="480" w:firstLineChars="200"/>
              <w:jc w:val="both"/>
              <w:rPr>
                <w:rFonts w:hint="eastAsia"/>
                <w:sz w:val="24"/>
              </w:rPr>
            </w:pPr>
            <w:r>
              <w:rPr>
                <w:rFonts w:hint="eastAsia"/>
                <w:sz w:val="24"/>
              </w:rPr>
              <w:t>10.血流波形平滑处理和常规处理模式</w:t>
            </w:r>
          </w:p>
          <w:p w14:paraId="2B25F676">
            <w:pPr>
              <w:widowControl w:val="0"/>
              <w:spacing w:after="0" w:line="240" w:lineRule="auto"/>
              <w:ind w:firstLine="480" w:firstLineChars="200"/>
              <w:jc w:val="both"/>
              <w:rPr>
                <w:rFonts w:hint="eastAsia"/>
                <w:sz w:val="24"/>
              </w:rPr>
            </w:pPr>
            <w:r>
              <w:rPr>
                <w:rFonts w:hint="eastAsia"/>
                <w:sz w:val="24"/>
              </w:rPr>
              <w:t>11.外置打印机，可实时打印血流速度与血流波形等测量数据，也可打印已存储数据</w:t>
            </w:r>
          </w:p>
          <w:p w14:paraId="38D155C1">
            <w:pPr>
              <w:widowControl w:val="0"/>
              <w:spacing w:after="0" w:line="240" w:lineRule="auto"/>
              <w:ind w:firstLine="480" w:firstLineChars="200"/>
              <w:jc w:val="both"/>
              <w:rPr>
                <w:rFonts w:hint="eastAsia"/>
                <w:sz w:val="24"/>
              </w:rPr>
            </w:pPr>
            <w:r>
              <w:rPr>
                <w:rFonts w:hint="eastAsia"/>
                <w:sz w:val="24"/>
              </w:rPr>
              <w:t>12. 显示方式：32彩色显示屏</w:t>
            </w:r>
          </w:p>
          <w:p w14:paraId="5336DB03">
            <w:pPr>
              <w:widowControl w:val="0"/>
              <w:spacing w:after="0" w:line="240" w:lineRule="auto"/>
              <w:ind w:firstLine="480" w:firstLineChars="200"/>
              <w:jc w:val="both"/>
              <w:rPr>
                <w:rFonts w:hint="eastAsia"/>
                <w:sz w:val="24"/>
              </w:rPr>
            </w:pPr>
            <w:r>
              <w:rPr>
                <w:rFonts w:hint="eastAsia"/>
                <w:sz w:val="24"/>
              </w:rPr>
              <w:t>13. 内置可充电电池</w:t>
            </w:r>
          </w:p>
        </w:tc>
      </w:tr>
      <w:tr w14:paraId="272D0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239BD512">
            <w:pPr>
              <w:widowControl w:val="0"/>
              <w:jc w:val="center"/>
              <w:rPr>
                <w:rFonts w:hint="eastAsia"/>
                <w:sz w:val="24"/>
              </w:rPr>
            </w:pPr>
            <w:r>
              <w:rPr>
                <w:rFonts w:hint="eastAsia"/>
                <w:sz w:val="24"/>
              </w:rPr>
              <w:t>十</w:t>
            </w:r>
          </w:p>
        </w:tc>
        <w:tc>
          <w:tcPr>
            <w:tcW w:w="1559" w:type="dxa"/>
            <w:vAlign w:val="center"/>
          </w:tcPr>
          <w:p w14:paraId="21FD334A">
            <w:pPr>
              <w:pStyle w:val="54"/>
              <w:jc w:val="center"/>
              <w:rPr>
                <w:rFonts w:hint="eastAsia"/>
                <w:sz w:val="24"/>
              </w:rPr>
            </w:pPr>
            <w:r>
              <w:rPr>
                <w:rFonts w:hint="eastAsia" w:ascii="宋体" w:hAnsi="宋体" w:eastAsia="宋体"/>
                <w:sz w:val="24"/>
                <w:szCs w:val="28"/>
              </w:rPr>
              <w:t>麻醉深度监测仪</w:t>
            </w:r>
          </w:p>
        </w:tc>
        <w:tc>
          <w:tcPr>
            <w:tcW w:w="6804" w:type="dxa"/>
          </w:tcPr>
          <w:p w14:paraId="2F44BAC5">
            <w:pPr>
              <w:widowControl w:val="0"/>
              <w:spacing w:after="0" w:line="240" w:lineRule="auto"/>
              <w:ind w:firstLine="480" w:firstLineChars="200"/>
              <w:jc w:val="both"/>
              <w:rPr>
                <w:rFonts w:hint="eastAsia"/>
                <w:sz w:val="24"/>
              </w:rPr>
            </w:pPr>
            <w:r>
              <w:rPr>
                <w:rFonts w:hint="eastAsia"/>
                <w:sz w:val="24"/>
              </w:rPr>
              <w:t>1.产品组成：主机、BISX脑电双频谱指数模块、脉搏血氧模块、一次性脑电传感器、血氧传感器及延长线、打印机模块（选配）等组成。</w:t>
            </w:r>
          </w:p>
          <w:p w14:paraId="0B50DF42">
            <w:pPr>
              <w:widowControl w:val="0"/>
              <w:spacing w:after="0" w:line="240" w:lineRule="auto"/>
              <w:ind w:firstLine="480" w:firstLineChars="200"/>
              <w:jc w:val="both"/>
              <w:rPr>
                <w:rFonts w:hint="eastAsia"/>
                <w:sz w:val="24"/>
              </w:rPr>
            </w:pPr>
            <w:r>
              <w:rPr>
                <w:rFonts w:hint="eastAsia"/>
                <w:sz w:val="24"/>
              </w:rPr>
              <w:t>2.供电及散热：常规交流电源供电；电池满电量状态下，电池供电监护仪连续使用时长不低于3小时。</w:t>
            </w:r>
          </w:p>
          <w:p w14:paraId="21D2C9D1">
            <w:pPr>
              <w:widowControl w:val="0"/>
              <w:spacing w:after="0" w:line="240" w:lineRule="auto"/>
              <w:ind w:firstLine="480" w:firstLineChars="200"/>
              <w:jc w:val="both"/>
              <w:rPr>
                <w:rFonts w:hint="eastAsia"/>
                <w:sz w:val="24"/>
              </w:rPr>
            </w:pPr>
            <w:r>
              <w:rPr>
                <w:rFonts w:hint="eastAsia"/>
                <w:sz w:val="24"/>
              </w:rPr>
              <w:t>3.★脑电双频谱指数（BIS）监测：实时监测BIS指数范围0-99，显示实时患者镇静、催眠程度。</w:t>
            </w:r>
          </w:p>
          <w:p w14:paraId="5EA4C895">
            <w:pPr>
              <w:widowControl w:val="0"/>
              <w:spacing w:after="0" w:line="240" w:lineRule="auto"/>
              <w:ind w:firstLine="480" w:firstLineChars="200"/>
              <w:jc w:val="both"/>
              <w:rPr>
                <w:rFonts w:hint="eastAsia"/>
                <w:sz w:val="24"/>
              </w:rPr>
            </w:pPr>
            <w:r>
              <w:rPr>
                <w:rFonts w:hint="eastAsia"/>
                <w:sz w:val="24"/>
              </w:rPr>
              <w:t>4.信号质量指数（SQI）：以柱状网格形式呈现，范围0-100%，实时监测记录信号质量。</w:t>
            </w:r>
          </w:p>
          <w:p w14:paraId="5D63936C">
            <w:pPr>
              <w:widowControl w:val="0"/>
              <w:spacing w:after="0" w:line="240" w:lineRule="auto"/>
              <w:ind w:firstLine="480" w:firstLineChars="200"/>
              <w:jc w:val="both"/>
              <w:rPr>
                <w:rFonts w:hint="eastAsia"/>
                <w:sz w:val="24"/>
              </w:rPr>
            </w:pPr>
            <w:r>
              <w:rPr>
                <w:rFonts w:hint="eastAsia"/>
                <w:sz w:val="24"/>
              </w:rPr>
              <w:t>5. 肌电指数(EMG)及趋势图监测：EMG以柱状网格形式显示，监测范围30-80dB，实时监测，提供镇痛参考依据。</w:t>
            </w:r>
          </w:p>
          <w:p w14:paraId="019CE5A5">
            <w:pPr>
              <w:widowControl w:val="0"/>
              <w:spacing w:after="0" w:line="240" w:lineRule="auto"/>
              <w:ind w:firstLine="480" w:firstLineChars="200"/>
              <w:jc w:val="both"/>
              <w:rPr>
                <w:rFonts w:hint="eastAsia"/>
                <w:sz w:val="24"/>
              </w:rPr>
            </w:pPr>
            <w:r>
              <w:rPr>
                <w:rFonts w:hint="eastAsia"/>
                <w:sz w:val="24"/>
              </w:rPr>
              <w:t>6.同屏脑电波显示功能：支持2导脑电图，双通道同屏显示，实时原始脑电波形及波形趋势描记。</w:t>
            </w:r>
          </w:p>
          <w:p w14:paraId="125E5BF1">
            <w:pPr>
              <w:widowControl w:val="0"/>
              <w:spacing w:after="0" w:line="240" w:lineRule="auto"/>
              <w:ind w:firstLine="480" w:firstLineChars="200"/>
              <w:jc w:val="both"/>
              <w:rPr>
                <w:rFonts w:hint="eastAsia"/>
                <w:sz w:val="24"/>
              </w:rPr>
            </w:pPr>
            <w:r>
              <w:rPr>
                <w:rFonts w:hint="eastAsia"/>
                <w:sz w:val="24"/>
              </w:rPr>
              <w:t>7.爆发抑制比（SR）：以数值形式显示，范围0～100％，实时监测记录，为过深麻醉和镇静提供定量参考数据，保证麻醉安全。</w:t>
            </w:r>
          </w:p>
          <w:p w14:paraId="40307ADA">
            <w:pPr>
              <w:widowControl w:val="0"/>
              <w:spacing w:after="0" w:line="240" w:lineRule="auto"/>
              <w:ind w:firstLine="480" w:firstLineChars="200"/>
              <w:jc w:val="both"/>
              <w:rPr>
                <w:rFonts w:hint="eastAsia"/>
                <w:sz w:val="24"/>
              </w:rPr>
            </w:pPr>
            <w:r>
              <w:rPr>
                <w:rFonts w:hint="eastAsia"/>
                <w:sz w:val="24"/>
              </w:rPr>
              <w:t>8. BIS趋势图显示，实时观察脑电双频谱指数的变化趋势，显示整个麻醉过程中患者镇静、催眠程度的动态变化。</w:t>
            </w:r>
          </w:p>
          <w:p w14:paraId="55BE5805">
            <w:pPr>
              <w:widowControl w:val="0"/>
              <w:spacing w:after="0" w:line="240" w:lineRule="auto"/>
              <w:ind w:firstLine="480" w:firstLineChars="200"/>
              <w:jc w:val="both"/>
              <w:rPr>
                <w:rFonts w:hint="eastAsia"/>
                <w:sz w:val="24"/>
              </w:rPr>
            </w:pPr>
            <w:r>
              <w:rPr>
                <w:rFonts w:hint="eastAsia"/>
                <w:sz w:val="24"/>
              </w:rPr>
              <w:t>9.报警设置功能：可调设高、低限报警数值。</w:t>
            </w:r>
          </w:p>
          <w:p w14:paraId="30074996">
            <w:pPr>
              <w:widowControl w:val="0"/>
              <w:spacing w:after="0" w:line="240" w:lineRule="auto"/>
              <w:ind w:firstLine="480" w:firstLineChars="200"/>
              <w:jc w:val="both"/>
              <w:rPr>
                <w:rFonts w:hint="eastAsia"/>
                <w:sz w:val="24"/>
              </w:rPr>
            </w:pPr>
            <w:r>
              <w:rPr>
                <w:rFonts w:hint="eastAsia"/>
                <w:sz w:val="24"/>
              </w:rPr>
              <w:t>10.数据导出：系统支持数据导出功能。</w:t>
            </w:r>
          </w:p>
          <w:p w14:paraId="687A9641">
            <w:pPr>
              <w:widowControl w:val="0"/>
              <w:spacing w:after="0" w:line="240" w:lineRule="auto"/>
              <w:ind w:firstLine="480" w:firstLineChars="200"/>
              <w:jc w:val="both"/>
              <w:rPr>
                <w:rFonts w:hint="eastAsia"/>
                <w:sz w:val="24"/>
              </w:rPr>
            </w:pPr>
            <w:r>
              <w:rPr>
                <w:rFonts w:hint="eastAsia"/>
                <w:sz w:val="24"/>
              </w:rPr>
              <w:t>★11、支持手麻系统连接。</w:t>
            </w:r>
          </w:p>
          <w:p w14:paraId="7FBE3922">
            <w:pPr>
              <w:widowControl w:val="0"/>
              <w:spacing w:after="0" w:line="240" w:lineRule="auto"/>
              <w:ind w:firstLine="480" w:firstLineChars="200"/>
              <w:jc w:val="both"/>
              <w:rPr>
                <w:rFonts w:hint="eastAsia"/>
                <w:sz w:val="24"/>
              </w:rPr>
            </w:pPr>
            <w:r>
              <w:rPr>
                <w:rFonts w:hint="eastAsia"/>
                <w:sz w:val="24"/>
              </w:rPr>
              <w:t>12.BIS平滑率：可选择10，15或30秒，满足不同科室、不同患者状态BIS的监测要求。</w:t>
            </w:r>
          </w:p>
          <w:p w14:paraId="7F924C56">
            <w:pPr>
              <w:widowControl w:val="0"/>
              <w:spacing w:after="0" w:line="240" w:lineRule="auto"/>
              <w:ind w:firstLine="480" w:firstLineChars="200"/>
              <w:jc w:val="both"/>
              <w:rPr>
                <w:rFonts w:hint="eastAsia"/>
                <w:sz w:val="24"/>
              </w:rPr>
            </w:pPr>
            <w:r>
              <w:rPr>
                <w:rFonts w:hint="eastAsia"/>
                <w:sz w:val="24"/>
              </w:rPr>
              <w:t>13.BIS数值每秒更新。</w:t>
            </w:r>
          </w:p>
          <w:p w14:paraId="0671C9C2">
            <w:pPr>
              <w:widowControl w:val="0"/>
              <w:spacing w:after="0" w:line="240" w:lineRule="auto"/>
              <w:ind w:firstLine="480" w:firstLineChars="200"/>
              <w:jc w:val="both"/>
              <w:rPr>
                <w:rFonts w:hint="eastAsia"/>
                <w:sz w:val="24"/>
              </w:rPr>
            </w:pPr>
            <w:r>
              <w:rPr>
                <w:rFonts w:hint="eastAsia"/>
                <w:sz w:val="24"/>
              </w:rPr>
              <w:t>★14.数据采样速率16384个样本/秒。</w:t>
            </w:r>
          </w:p>
          <w:p w14:paraId="765E0E92">
            <w:pPr>
              <w:widowControl w:val="0"/>
              <w:spacing w:after="0" w:line="240" w:lineRule="auto"/>
              <w:ind w:firstLine="480" w:firstLineChars="200"/>
              <w:jc w:val="both"/>
              <w:rPr>
                <w:rFonts w:hint="eastAsia"/>
                <w:sz w:val="24"/>
              </w:rPr>
            </w:pPr>
            <w:r>
              <w:rPr>
                <w:rFonts w:hint="eastAsia"/>
                <w:sz w:val="24"/>
              </w:rPr>
              <w:t>15.系统自检功能：主机、脑电双频谱指数模块、传感器顺序自检。</w:t>
            </w:r>
          </w:p>
          <w:p w14:paraId="49CC26AE">
            <w:pPr>
              <w:widowControl w:val="0"/>
              <w:spacing w:after="0" w:line="240" w:lineRule="auto"/>
              <w:ind w:firstLine="480" w:firstLineChars="200"/>
              <w:jc w:val="both"/>
              <w:rPr>
                <w:rFonts w:hint="eastAsia"/>
                <w:sz w:val="24"/>
              </w:rPr>
            </w:pPr>
            <w:r>
              <w:rPr>
                <w:rFonts w:hint="eastAsia"/>
                <w:sz w:val="24"/>
              </w:rPr>
              <w:t>16.传感器阻抗自检功能，在BIS监护过程中持续检查阻抗状态，保证数据采集质量。</w:t>
            </w:r>
          </w:p>
          <w:p w14:paraId="75F0D661">
            <w:pPr>
              <w:widowControl w:val="0"/>
              <w:spacing w:after="0" w:line="240" w:lineRule="auto"/>
              <w:ind w:firstLine="480" w:firstLineChars="200"/>
              <w:jc w:val="both"/>
              <w:rPr>
                <w:rFonts w:hint="eastAsia"/>
                <w:sz w:val="24"/>
              </w:rPr>
            </w:pPr>
            <w:r>
              <w:rPr>
                <w:rFonts w:hint="eastAsia"/>
                <w:sz w:val="24"/>
              </w:rPr>
              <w:t>17. 血氧饱和度（SpO2）:监测范围0-100%, 测量准确度: 70%-100%（成人/儿童）±2%， 60%-69%（新生儿）±3%，分辨率1%。</w:t>
            </w:r>
          </w:p>
          <w:p w14:paraId="48B71C69">
            <w:pPr>
              <w:widowControl w:val="0"/>
              <w:spacing w:after="0" w:line="240" w:lineRule="auto"/>
              <w:ind w:firstLine="480" w:firstLineChars="200"/>
              <w:jc w:val="both"/>
              <w:rPr>
                <w:rFonts w:hint="eastAsia"/>
                <w:sz w:val="24"/>
              </w:rPr>
            </w:pPr>
            <w:r>
              <w:rPr>
                <w:rFonts w:hint="eastAsia"/>
                <w:sz w:val="24"/>
              </w:rPr>
              <w:t>18．脉率（PR）:监测显示范围25-250/min,测量准确度：±3/min中较大者，分辨率1/min。</w:t>
            </w:r>
          </w:p>
          <w:p w14:paraId="74DF6F50">
            <w:pPr>
              <w:widowControl w:val="0"/>
              <w:spacing w:after="0" w:line="240" w:lineRule="auto"/>
              <w:ind w:firstLine="480" w:firstLineChars="200"/>
              <w:jc w:val="both"/>
              <w:rPr>
                <w:rFonts w:hint="eastAsia"/>
                <w:sz w:val="24"/>
              </w:rPr>
            </w:pPr>
            <w:r>
              <w:rPr>
                <w:rFonts w:hint="eastAsia"/>
                <w:sz w:val="24"/>
              </w:rPr>
              <w:t>★19.血氧灌注指数（PI）:测量显示范围0.1%~20%</w:t>
            </w:r>
          </w:p>
        </w:tc>
      </w:tr>
      <w:tr w14:paraId="5F395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Align w:val="center"/>
          </w:tcPr>
          <w:p w14:paraId="6D6FCF5F">
            <w:pPr>
              <w:widowControl w:val="0"/>
              <w:jc w:val="left"/>
              <w:rPr>
                <w:rFonts w:hint="eastAsia"/>
                <w:sz w:val="24"/>
              </w:rPr>
            </w:pPr>
            <w:r>
              <w:rPr>
                <w:rFonts w:hint="eastAsia"/>
                <w:sz w:val="24"/>
              </w:rPr>
              <w:t>十</w:t>
            </w:r>
            <w:r>
              <w:rPr>
                <w:sz w:val="24"/>
              </w:rPr>
              <w:t>一</w:t>
            </w:r>
          </w:p>
        </w:tc>
        <w:tc>
          <w:tcPr>
            <w:tcW w:w="1559" w:type="dxa"/>
            <w:vAlign w:val="center"/>
          </w:tcPr>
          <w:p w14:paraId="59AD9850">
            <w:pPr>
              <w:pStyle w:val="54"/>
              <w:jc w:val="center"/>
              <w:rPr>
                <w:rFonts w:hint="eastAsia"/>
                <w:sz w:val="24"/>
              </w:rPr>
            </w:pPr>
            <w:r>
              <w:rPr>
                <w:rFonts w:hint="eastAsia" w:ascii="宋体" w:hAnsi="宋体" w:eastAsia="宋体"/>
                <w:sz w:val="24"/>
                <w:szCs w:val="36"/>
              </w:rPr>
              <w:t>脊柱内窥镜</w:t>
            </w:r>
          </w:p>
        </w:tc>
        <w:tc>
          <w:tcPr>
            <w:tcW w:w="6804" w:type="dxa"/>
          </w:tcPr>
          <w:p w14:paraId="4D575365">
            <w:pPr>
              <w:widowControl w:val="0"/>
              <w:spacing w:after="0" w:line="240" w:lineRule="auto"/>
              <w:ind w:firstLine="480" w:firstLineChars="200"/>
              <w:jc w:val="both"/>
              <w:rPr>
                <w:rFonts w:hint="eastAsia"/>
                <w:sz w:val="24"/>
              </w:rPr>
            </w:pPr>
            <w:r>
              <w:rPr>
                <w:rFonts w:hint="eastAsia"/>
                <w:sz w:val="24"/>
              </w:rPr>
              <w:t>1、配套椎间盘内窥镜1支</w:t>
            </w:r>
          </w:p>
          <w:p w14:paraId="5169945E">
            <w:pPr>
              <w:widowControl w:val="0"/>
              <w:spacing w:after="0" w:line="240" w:lineRule="auto"/>
              <w:ind w:firstLine="480" w:firstLineChars="200"/>
              <w:jc w:val="both"/>
              <w:rPr>
                <w:rFonts w:hint="eastAsia"/>
                <w:sz w:val="24"/>
              </w:rPr>
            </w:pPr>
            <w:r>
              <w:rPr>
                <w:rFonts w:hint="eastAsia"/>
                <w:sz w:val="24"/>
              </w:rPr>
              <w:t>3.1、视向角 30°</w:t>
            </w:r>
          </w:p>
          <w:p w14:paraId="758BCAB4">
            <w:pPr>
              <w:widowControl w:val="0"/>
              <w:spacing w:after="0" w:line="240" w:lineRule="auto"/>
              <w:ind w:firstLine="480" w:firstLineChars="200"/>
              <w:jc w:val="both"/>
              <w:rPr>
                <w:rFonts w:hint="eastAsia"/>
                <w:sz w:val="24"/>
              </w:rPr>
            </w:pPr>
            <w:r>
              <w:rPr>
                <w:rFonts w:hint="eastAsia"/>
                <w:sz w:val="24"/>
              </w:rPr>
              <w:t>3.2、视场角≥80°(需提供注册文件或检测机构报告等证明文件)</w:t>
            </w:r>
          </w:p>
          <w:p w14:paraId="3C660982">
            <w:pPr>
              <w:widowControl w:val="0"/>
              <w:spacing w:after="0" w:line="240" w:lineRule="auto"/>
              <w:ind w:firstLine="480" w:firstLineChars="200"/>
              <w:jc w:val="both"/>
              <w:rPr>
                <w:rFonts w:hint="eastAsia"/>
                <w:sz w:val="24"/>
              </w:rPr>
            </w:pPr>
            <w:r>
              <w:rPr>
                <w:rFonts w:hint="eastAsia"/>
                <w:sz w:val="24"/>
              </w:rPr>
              <w:t>3.3、工作通道直径 3.75mm~3.9mm</w:t>
            </w:r>
          </w:p>
          <w:p w14:paraId="5BAC06D8">
            <w:pPr>
              <w:widowControl w:val="0"/>
              <w:spacing w:after="0" w:line="240" w:lineRule="auto"/>
              <w:ind w:firstLine="480" w:firstLineChars="200"/>
              <w:jc w:val="both"/>
              <w:rPr>
                <w:rFonts w:hint="eastAsia"/>
                <w:sz w:val="24"/>
              </w:rPr>
            </w:pPr>
            <w:r>
              <w:rPr>
                <w:rFonts w:hint="eastAsia"/>
                <w:sz w:val="24"/>
              </w:rPr>
              <w:t>3.4、外径6.3mm~6.5mm</w:t>
            </w:r>
          </w:p>
          <w:p w14:paraId="24D58BFD">
            <w:pPr>
              <w:widowControl w:val="0"/>
              <w:spacing w:after="0" w:line="240" w:lineRule="auto"/>
              <w:ind w:firstLine="480" w:firstLineChars="200"/>
              <w:jc w:val="both"/>
              <w:rPr>
                <w:rFonts w:hint="eastAsia"/>
                <w:sz w:val="24"/>
              </w:rPr>
            </w:pPr>
            <w:r>
              <w:rPr>
                <w:rFonts w:hint="eastAsia"/>
                <w:sz w:val="24"/>
              </w:rPr>
              <w:t>3.5、工作长度 180mm~185mm</w:t>
            </w:r>
          </w:p>
          <w:p w14:paraId="0243FFBB">
            <w:pPr>
              <w:widowControl w:val="0"/>
              <w:spacing w:after="0" w:line="240" w:lineRule="auto"/>
              <w:ind w:firstLine="480" w:firstLineChars="200"/>
              <w:jc w:val="both"/>
              <w:rPr>
                <w:rFonts w:hint="eastAsia"/>
                <w:sz w:val="24"/>
              </w:rPr>
            </w:pPr>
            <w:r>
              <w:rPr>
                <w:rFonts w:hint="eastAsia"/>
                <w:sz w:val="24"/>
              </w:rPr>
              <w:t>3.6、光学工作矩≥25mm(需提供注册文件或检测机构报告等证明文件)</w:t>
            </w:r>
          </w:p>
        </w:tc>
      </w:tr>
    </w:tbl>
    <w:p w14:paraId="480469FA">
      <w:pPr>
        <w:rPr>
          <w:rFonts w:hint="eastAsia" w:ascii="宋体" w:hAnsi="宋体" w:eastAsia="宋体" w:cs="宋体"/>
          <w:b/>
          <w:bCs/>
          <w:i w:val="0"/>
          <w:iCs w:val="0"/>
          <w:caps w:val="0"/>
          <w:color w:val="333333"/>
          <w:spacing w:val="0"/>
          <w:sz w:val="24"/>
          <w:szCs w:val="24"/>
          <w:highlight w:val="none"/>
          <w:shd w:val="clear" w:color="auto" w:fill="FFFFFF"/>
          <w:lang w:eastAsia="zh-CN"/>
        </w:rPr>
      </w:pPr>
      <w:r>
        <w:rPr>
          <w:rFonts w:hint="eastAsia" w:ascii="宋体" w:hAnsi="宋体" w:eastAsia="宋体" w:cs="宋体"/>
          <w:b/>
          <w:bCs/>
          <w:i w:val="0"/>
          <w:iCs w:val="0"/>
          <w:caps w:val="0"/>
          <w:color w:val="333333"/>
          <w:spacing w:val="0"/>
          <w:sz w:val="24"/>
          <w:szCs w:val="24"/>
          <w:highlight w:val="none"/>
          <w:shd w:val="clear" w:color="auto" w:fill="FFFFFF"/>
          <w:lang w:eastAsia="zh-CN"/>
        </w:rPr>
        <w:br w:type="page"/>
      </w:r>
    </w:p>
    <w:p w14:paraId="0B0679D4">
      <w:pPr>
        <w:pStyle w:val="2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snapToGrid/>
        <w:spacing w:before="0" w:beforeAutospacing="0" w:after="0" w:afterAutospacing="0" w:line="540" w:lineRule="exact"/>
        <w:ind w:leftChars="200" w:right="0" w:rightChars="0"/>
        <w:jc w:val="left"/>
        <w:textAlignment w:val="auto"/>
        <w:rPr>
          <w:rFonts w:hint="eastAsia" w:ascii="宋体" w:hAnsi="宋体" w:eastAsia="宋体" w:cs="宋体"/>
          <w:b/>
          <w:bCs/>
          <w:i w:val="0"/>
          <w:iCs w:val="0"/>
          <w:caps w:val="0"/>
          <w:color w:val="333333"/>
          <w:spacing w:val="0"/>
          <w:sz w:val="24"/>
          <w:szCs w:val="24"/>
          <w:highlight w:val="none"/>
          <w:shd w:val="clear" w:color="auto" w:fill="FFFFFF"/>
          <w:lang w:eastAsia="zh-CN"/>
        </w:rPr>
      </w:pPr>
    </w:p>
    <w:p w14:paraId="2F165BE5">
      <w:pPr>
        <w:jc w:val="center"/>
        <w:outlineLvl w:val="1"/>
        <w:rPr>
          <w:rFonts w:hint="eastAsia" w:ascii="宋体" w:hAnsi="宋体"/>
          <w:highlight w:val="none"/>
        </w:rPr>
      </w:pPr>
      <w:bookmarkStart w:id="223" w:name="_Toc17654"/>
      <w:bookmarkEnd w:id="223"/>
      <w:bookmarkStart w:id="224" w:name="_Toc19163"/>
      <w:bookmarkEnd w:id="224"/>
      <w:bookmarkStart w:id="225" w:name="_Toc24075"/>
      <w:bookmarkStart w:id="226" w:name="_Toc8146"/>
      <w:r>
        <w:rPr>
          <w:rFonts w:hint="eastAsia" w:ascii="宋体" w:hAnsi="宋体"/>
          <w:b/>
          <w:bCs/>
          <w:sz w:val="44"/>
          <w:szCs w:val="44"/>
          <w:highlight w:val="none"/>
        </w:rPr>
        <w:t>第七章 投标文件格式</w:t>
      </w:r>
      <w:bookmarkEnd w:id="225"/>
      <w:bookmarkEnd w:id="226"/>
    </w:p>
    <w:p w14:paraId="70800ADB">
      <w:pPr>
        <w:rPr>
          <w:rFonts w:hint="eastAsia" w:ascii="宋体" w:hAnsi="宋体"/>
          <w:highlight w:val="none"/>
        </w:rPr>
      </w:pPr>
      <w:r>
        <w:rPr>
          <w:rFonts w:hint="eastAsia" w:ascii="宋体" w:hAnsi="宋体"/>
          <w:highlight w:val="none"/>
        </w:rPr>
        <w:t xml:space="preserve"> </w:t>
      </w:r>
    </w:p>
    <w:p w14:paraId="3EA3C92A">
      <w:pPr>
        <w:rPr>
          <w:rFonts w:hint="eastAsia" w:ascii="宋体" w:hAnsi="宋体"/>
          <w:highlight w:val="none"/>
        </w:rPr>
      </w:pPr>
      <w:r>
        <w:rPr>
          <w:rFonts w:hint="eastAsia" w:ascii="宋体" w:hAnsi="宋体"/>
          <w:highlight w:val="none"/>
        </w:rPr>
        <w:t xml:space="preserve"> </w:t>
      </w:r>
    </w:p>
    <w:p w14:paraId="794D3CB1">
      <w:pPr>
        <w:jc w:val="center"/>
        <w:rPr>
          <w:rFonts w:hint="eastAsia"/>
          <w:b/>
          <w:sz w:val="44"/>
          <w:szCs w:val="44"/>
          <w:highlight w:val="none"/>
        </w:rPr>
      </w:pPr>
      <w:r>
        <w:rPr>
          <w:rFonts w:hint="eastAsia"/>
          <w:b/>
          <w:sz w:val="44"/>
          <w:szCs w:val="44"/>
          <w:highlight w:val="none"/>
        </w:rPr>
        <w:t>资格审查部分封面</w:t>
      </w:r>
    </w:p>
    <w:p w14:paraId="3E055C13">
      <w:pPr>
        <w:rPr>
          <w:rFonts w:hint="eastAsia" w:ascii="宋体" w:hAnsi="宋体"/>
          <w:highlight w:val="none"/>
        </w:rPr>
      </w:pPr>
    </w:p>
    <w:p w14:paraId="20E664D9">
      <w:pPr>
        <w:rPr>
          <w:rFonts w:hint="eastAsia" w:ascii="宋体" w:hAnsi="宋体"/>
          <w:highlight w:val="none"/>
        </w:rPr>
      </w:pPr>
      <w:r>
        <w:rPr>
          <w:rFonts w:hint="eastAsia" w:ascii="宋体" w:hAnsi="宋体"/>
          <w:highlight w:val="none"/>
        </w:rPr>
        <w:t xml:space="preserve"> </w:t>
      </w:r>
    </w:p>
    <w:p w14:paraId="1F98DD26">
      <w:pPr>
        <w:jc w:val="center"/>
        <w:rPr>
          <w:rFonts w:hint="eastAsia" w:ascii="宋体" w:hAnsi="宋体" w:eastAsia="宋体"/>
          <w:b/>
          <w:bCs/>
          <w:sz w:val="44"/>
          <w:szCs w:val="44"/>
          <w:highlight w:val="none"/>
          <w:lang w:eastAsia="zh-CN"/>
        </w:rPr>
      </w:pPr>
      <w:r>
        <w:rPr>
          <w:rFonts w:hint="eastAsia" w:ascii="宋体" w:hAnsi="宋体"/>
          <w:b/>
          <w:bCs/>
          <w:sz w:val="44"/>
          <w:szCs w:val="44"/>
          <w:highlight w:val="none"/>
          <w:lang w:val="en-US" w:eastAsia="zh-CN"/>
        </w:rPr>
        <w:t>沪滇协作香格里拉市人民医院粪便工作站、儿童肺功能仪等设备采购项目</w:t>
      </w:r>
    </w:p>
    <w:p w14:paraId="598763E4">
      <w:pPr>
        <w:rPr>
          <w:rFonts w:hint="eastAsia" w:ascii="宋体" w:hAnsi="宋体"/>
          <w:b/>
          <w:bCs/>
          <w:sz w:val="44"/>
          <w:szCs w:val="44"/>
          <w:highlight w:val="none"/>
        </w:rPr>
      </w:pPr>
      <w:r>
        <w:rPr>
          <w:rFonts w:hint="eastAsia" w:ascii="宋体" w:hAnsi="宋体"/>
          <w:b/>
          <w:bCs/>
          <w:sz w:val="44"/>
          <w:szCs w:val="44"/>
          <w:highlight w:val="none"/>
        </w:rPr>
        <w:t xml:space="preserve"> </w:t>
      </w:r>
    </w:p>
    <w:p w14:paraId="509D7D62">
      <w:pPr>
        <w:rPr>
          <w:rFonts w:hint="eastAsia" w:ascii="宋体" w:hAnsi="宋体"/>
          <w:b/>
          <w:bCs/>
          <w:sz w:val="44"/>
          <w:szCs w:val="44"/>
          <w:highlight w:val="none"/>
        </w:rPr>
      </w:pPr>
      <w:r>
        <w:rPr>
          <w:rFonts w:hint="eastAsia" w:ascii="宋体" w:hAnsi="宋体"/>
          <w:b/>
          <w:bCs/>
          <w:sz w:val="44"/>
          <w:szCs w:val="44"/>
          <w:highlight w:val="none"/>
        </w:rPr>
        <w:t xml:space="preserve"> </w:t>
      </w:r>
    </w:p>
    <w:p w14:paraId="351051C6">
      <w:pPr>
        <w:rPr>
          <w:rFonts w:hint="eastAsia" w:ascii="宋体" w:hAnsi="宋体"/>
          <w:b/>
          <w:bCs/>
          <w:sz w:val="44"/>
          <w:szCs w:val="44"/>
          <w:highlight w:val="none"/>
        </w:rPr>
      </w:pPr>
      <w:r>
        <w:rPr>
          <w:rFonts w:hint="eastAsia" w:ascii="宋体" w:hAnsi="宋体"/>
          <w:b/>
          <w:bCs/>
          <w:sz w:val="44"/>
          <w:szCs w:val="44"/>
          <w:highlight w:val="none"/>
        </w:rPr>
        <w:t xml:space="preserve"> </w:t>
      </w:r>
    </w:p>
    <w:p w14:paraId="64234010">
      <w:pPr>
        <w:rPr>
          <w:rFonts w:hint="eastAsia" w:ascii="宋体" w:hAnsi="宋体"/>
          <w:b/>
          <w:bCs/>
          <w:sz w:val="44"/>
          <w:szCs w:val="44"/>
          <w:highlight w:val="none"/>
        </w:rPr>
      </w:pPr>
      <w:r>
        <w:rPr>
          <w:rFonts w:hint="eastAsia" w:ascii="宋体" w:hAnsi="宋体"/>
          <w:b/>
          <w:bCs/>
          <w:sz w:val="44"/>
          <w:szCs w:val="44"/>
          <w:highlight w:val="none"/>
        </w:rPr>
        <w:t xml:space="preserve"> </w:t>
      </w:r>
    </w:p>
    <w:p w14:paraId="7720EF24">
      <w:pPr>
        <w:rPr>
          <w:rFonts w:hint="eastAsia" w:ascii="宋体" w:hAnsi="宋体"/>
          <w:b/>
          <w:bCs/>
          <w:sz w:val="44"/>
          <w:szCs w:val="44"/>
          <w:highlight w:val="none"/>
        </w:rPr>
      </w:pPr>
      <w:r>
        <w:rPr>
          <w:rFonts w:hint="eastAsia" w:ascii="宋体" w:hAnsi="宋体"/>
          <w:b/>
          <w:bCs/>
          <w:sz w:val="44"/>
          <w:szCs w:val="44"/>
          <w:highlight w:val="none"/>
        </w:rPr>
        <w:t xml:space="preserve"> </w:t>
      </w:r>
    </w:p>
    <w:p w14:paraId="5AA5290A">
      <w:pPr>
        <w:jc w:val="center"/>
        <w:rPr>
          <w:rFonts w:hint="eastAsia" w:ascii="宋体" w:hAnsi="宋体"/>
          <w:b/>
          <w:bCs/>
          <w:sz w:val="52"/>
          <w:szCs w:val="52"/>
          <w:highlight w:val="none"/>
        </w:rPr>
      </w:pPr>
      <w:r>
        <w:rPr>
          <w:rFonts w:hint="eastAsia" w:ascii="宋体" w:hAnsi="宋体"/>
          <w:b/>
          <w:bCs/>
          <w:sz w:val="52"/>
          <w:szCs w:val="52"/>
          <w:highlight w:val="none"/>
        </w:rPr>
        <w:t>投 标 文 件</w:t>
      </w:r>
    </w:p>
    <w:p w14:paraId="07F79528">
      <w:pPr>
        <w:jc w:val="center"/>
        <w:outlineLvl w:val="2"/>
        <w:rPr>
          <w:rFonts w:hint="eastAsia" w:ascii="宋体" w:hAnsi="宋体"/>
          <w:b/>
          <w:bCs/>
          <w:sz w:val="32"/>
          <w:szCs w:val="32"/>
          <w:highlight w:val="none"/>
        </w:rPr>
      </w:pPr>
      <w:bookmarkStart w:id="227" w:name="_Toc29527"/>
      <w:r>
        <w:rPr>
          <w:rFonts w:hint="eastAsia" w:ascii="宋体" w:hAnsi="宋体"/>
          <w:b/>
          <w:bCs/>
          <w:sz w:val="32"/>
          <w:szCs w:val="32"/>
          <w:highlight w:val="none"/>
        </w:rPr>
        <w:t>资格审查部分</w:t>
      </w:r>
      <w:bookmarkEnd w:id="227"/>
    </w:p>
    <w:p w14:paraId="5EBC2049">
      <w:pPr>
        <w:rPr>
          <w:rFonts w:hint="eastAsia" w:ascii="宋体" w:hAnsi="宋体"/>
          <w:b/>
          <w:bCs/>
          <w:sz w:val="44"/>
          <w:szCs w:val="44"/>
          <w:highlight w:val="none"/>
        </w:rPr>
      </w:pPr>
      <w:r>
        <w:rPr>
          <w:rFonts w:hint="eastAsia" w:ascii="宋体" w:hAnsi="宋体"/>
          <w:b/>
          <w:bCs/>
          <w:sz w:val="44"/>
          <w:szCs w:val="44"/>
          <w:highlight w:val="none"/>
        </w:rPr>
        <w:t xml:space="preserve"> </w:t>
      </w:r>
    </w:p>
    <w:p w14:paraId="25526B09">
      <w:pPr>
        <w:rPr>
          <w:rFonts w:hint="eastAsia" w:ascii="宋体" w:hAnsi="宋体"/>
          <w:b/>
          <w:bCs/>
          <w:sz w:val="44"/>
          <w:szCs w:val="44"/>
          <w:highlight w:val="none"/>
        </w:rPr>
      </w:pPr>
      <w:r>
        <w:rPr>
          <w:rFonts w:hint="eastAsia" w:ascii="宋体" w:hAnsi="宋体"/>
          <w:b/>
          <w:bCs/>
          <w:sz w:val="44"/>
          <w:szCs w:val="44"/>
          <w:highlight w:val="none"/>
        </w:rPr>
        <w:t xml:space="preserve"> </w:t>
      </w:r>
    </w:p>
    <w:p w14:paraId="1F6172D9">
      <w:pPr>
        <w:rPr>
          <w:rFonts w:hint="eastAsia" w:ascii="宋体" w:hAnsi="宋体"/>
          <w:b/>
          <w:bCs/>
          <w:sz w:val="44"/>
          <w:szCs w:val="44"/>
          <w:highlight w:val="none"/>
        </w:rPr>
      </w:pPr>
      <w:r>
        <w:rPr>
          <w:rFonts w:hint="eastAsia" w:ascii="宋体" w:hAnsi="宋体"/>
          <w:b/>
          <w:bCs/>
          <w:sz w:val="44"/>
          <w:szCs w:val="44"/>
          <w:highlight w:val="none"/>
        </w:rPr>
        <w:t xml:space="preserve"> </w:t>
      </w:r>
    </w:p>
    <w:p w14:paraId="0F7C5C06">
      <w:pPr>
        <w:rPr>
          <w:rFonts w:hint="eastAsia" w:ascii="宋体" w:hAnsi="宋体"/>
          <w:b/>
          <w:bCs/>
          <w:sz w:val="44"/>
          <w:szCs w:val="44"/>
          <w:highlight w:val="none"/>
        </w:rPr>
      </w:pPr>
      <w:r>
        <w:rPr>
          <w:rFonts w:hint="eastAsia" w:ascii="宋体" w:hAnsi="宋体"/>
          <w:b/>
          <w:bCs/>
          <w:sz w:val="44"/>
          <w:szCs w:val="44"/>
          <w:highlight w:val="none"/>
        </w:rPr>
        <w:t xml:space="preserve"> </w:t>
      </w:r>
    </w:p>
    <w:p w14:paraId="48264571">
      <w:pPr>
        <w:rPr>
          <w:rFonts w:hint="eastAsia" w:ascii="宋体" w:hAnsi="宋体"/>
          <w:b/>
          <w:bCs/>
          <w:sz w:val="44"/>
          <w:szCs w:val="44"/>
          <w:highlight w:val="none"/>
        </w:rPr>
      </w:pPr>
      <w:r>
        <w:rPr>
          <w:rFonts w:hint="eastAsia" w:ascii="宋体" w:hAnsi="宋体"/>
          <w:b/>
          <w:bCs/>
          <w:sz w:val="44"/>
          <w:szCs w:val="44"/>
          <w:highlight w:val="none"/>
        </w:rPr>
        <w:t xml:space="preserve"> </w:t>
      </w:r>
    </w:p>
    <w:p w14:paraId="345F497B">
      <w:pPr>
        <w:ind w:firstLine="1968" w:firstLineChars="700"/>
        <w:rPr>
          <w:rFonts w:hint="eastAsia" w:ascii="宋体" w:hAnsi="宋体"/>
          <w:b/>
          <w:sz w:val="28"/>
          <w:szCs w:val="28"/>
          <w:highlight w:val="none"/>
        </w:rPr>
      </w:pPr>
      <w:bookmarkStart w:id="228" w:name="_Toc24434"/>
      <w:bookmarkEnd w:id="228"/>
      <w:r>
        <w:rPr>
          <w:rFonts w:hint="eastAsia" w:ascii="宋体" w:hAnsi="宋体"/>
          <w:b/>
          <w:sz w:val="28"/>
          <w:szCs w:val="28"/>
          <w:highlight w:val="none"/>
        </w:rPr>
        <w:t>投标人：</w:t>
      </w:r>
      <w:r>
        <w:rPr>
          <w:rFonts w:hint="eastAsia" w:ascii="宋体" w:hAnsi="宋体"/>
          <w:b/>
          <w:sz w:val="28"/>
          <w:szCs w:val="28"/>
          <w:highlight w:val="none"/>
          <w:u w:val="single"/>
        </w:rPr>
        <w:tab/>
      </w:r>
      <w:r>
        <w:rPr>
          <w:rFonts w:hint="eastAsia" w:ascii="宋体" w:hAnsi="宋体"/>
          <w:b/>
          <w:sz w:val="28"/>
          <w:szCs w:val="28"/>
          <w:highlight w:val="none"/>
          <w:u w:val="single"/>
        </w:rPr>
        <w:t xml:space="preserve">           </w:t>
      </w:r>
      <w:r>
        <w:rPr>
          <w:rFonts w:hint="eastAsia" w:ascii="宋体" w:hAnsi="宋体"/>
          <w:b/>
          <w:sz w:val="28"/>
          <w:szCs w:val="28"/>
          <w:highlight w:val="none"/>
        </w:rPr>
        <w:t>(电子签章)</w:t>
      </w:r>
    </w:p>
    <w:p w14:paraId="7E80929E">
      <w:pPr>
        <w:rPr>
          <w:b/>
          <w:sz w:val="28"/>
          <w:szCs w:val="28"/>
          <w:highlight w:val="none"/>
        </w:rPr>
      </w:pPr>
      <w:r>
        <w:rPr>
          <w:rFonts w:hint="eastAsia" w:ascii="宋体" w:hAnsi="宋体"/>
          <w:b/>
          <w:sz w:val="28"/>
          <w:szCs w:val="28"/>
          <w:highlight w:val="none"/>
        </w:rPr>
        <w:t>法定代表人(单位负责人)或其委托代理人：</w:t>
      </w:r>
      <w:r>
        <w:rPr>
          <w:rFonts w:hint="eastAsia" w:ascii="宋体" w:hAnsi="宋体"/>
          <w:b/>
          <w:sz w:val="28"/>
          <w:szCs w:val="28"/>
          <w:highlight w:val="none"/>
          <w:u w:val="single"/>
        </w:rPr>
        <w:tab/>
      </w:r>
      <w:r>
        <w:rPr>
          <w:rFonts w:hint="eastAsia" w:ascii="宋体" w:hAnsi="宋体"/>
          <w:b/>
          <w:sz w:val="28"/>
          <w:szCs w:val="28"/>
          <w:highlight w:val="none"/>
          <w:u w:val="single"/>
        </w:rPr>
        <w:t xml:space="preserve">     </w:t>
      </w:r>
      <w:r>
        <w:rPr>
          <w:rFonts w:hint="eastAsia" w:ascii="宋体" w:hAnsi="宋体"/>
          <w:b/>
          <w:sz w:val="28"/>
          <w:szCs w:val="28"/>
          <w:highlight w:val="none"/>
        </w:rPr>
        <w:t>(电子签章)</w:t>
      </w:r>
    </w:p>
    <w:p w14:paraId="31E65E27">
      <w:pPr>
        <w:ind w:firstLine="1968" w:firstLineChars="700"/>
        <w:rPr>
          <w:sz w:val="28"/>
          <w:szCs w:val="28"/>
          <w:highlight w:val="none"/>
        </w:rPr>
        <w:sectPr>
          <w:pgSz w:w="11906" w:h="16838"/>
          <w:pgMar w:top="1191" w:right="1191" w:bottom="1191" w:left="1191" w:header="720" w:footer="720" w:gutter="0"/>
          <w:pgNumType w:fmt="decimal"/>
          <w:cols w:space="720" w:num="1"/>
          <w:docGrid w:type="lines" w:linePitch="317" w:charSpace="0"/>
        </w:sectPr>
      </w:pPr>
      <w:r>
        <w:rPr>
          <w:b/>
          <w:sz w:val="28"/>
          <w:szCs w:val="28"/>
          <w:highlight w:val="none"/>
        </w:rPr>
        <w:t>日期：</w:t>
      </w:r>
      <w:r>
        <w:rPr>
          <w:rFonts w:hint="eastAsia"/>
          <w:bCs/>
          <w:sz w:val="28"/>
          <w:szCs w:val="28"/>
          <w:highlight w:val="none"/>
          <w:u w:val="single"/>
        </w:rPr>
        <w:t xml:space="preserve">      </w:t>
      </w:r>
      <w:r>
        <w:rPr>
          <w:b/>
          <w:sz w:val="28"/>
          <w:szCs w:val="28"/>
          <w:highlight w:val="none"/>
        </w:rPr>
        <w:t>年</w:t>
      </w:r>
      <w:r>
        <w:rPr>
          <w:rFonts w:hint="eastAsia"/>
          <w:bCs/>
          <w:sz w:val="28"/>
          <w:szCs w:val="28"/>
          <w:highlight w:val="none"/>
          <w:u w:val="single"/>
        </w:rPr>
        <w:t xml:space="preserve">     </w:t>
      </w:r>
      <w:r>
        <w:rPr>
          <w:b/>
          <w:sz w:val="28"/>
          <w:szCs w:val="28"/>
          <w:highlight w:val="none"/>
        </w:rPr>
        <w:t>月</w:t>
      </w:r>
      <w:r>
        <w:rPr>
          <w:rFonts w:hint="eastAsia"/>
          <w:bCs/>
          <w:sz w:val="28"/>
          <w:szCs w:val="28"/>
          <w:highlight w:val="none"/>
          <w:u w:val="single"/>
        </w:rPr>
        <w:t xml:space="preserve">     </w:t>
      </w:r>
      <w:r>
        <w:rPr>
          <w:b/>
          <w:sz w:val="28"/>
          <w:szCs w:val="28"/>
          <w:highlight w:val="none"/>
        </w:rPr>
        <w:t>日</w:t>
      </w:r>
    </w:p>
    <w:p w14:paraId="36F921CB">
      <w:pPr>
        <w:pStyle w:val="4"/>
        <w:spacing w:before="0" w:after="0" w:line="720" w:lineRule="auto"/>
        <w:rPr>
          <w:rFonts w:hint="eastAsia"/>
          <w:color w:val="auto"/>
          <w:szCs w:val="28"/>
          <w:highlight w:val="none"/>
        </w:rPr>
      </w:pPr>
      <w:bookmarkStart w:id="229" w:name="_Toc7742"/>
      <w:r>
        <w:rPr>
          <w:rFonts w:hint="eastAsia" w:ascii="宋体" w:hAnsi="宋体" w:cs="宋体"/>
          <w:color w:val="auto"/>
          <w:szCs w:val="28"/>
          <w:highlight w:val="none"/>
        </w:rPr>
        <w:t>一、</w:t>
      </w:r>
      <w:r>
        <w:rPr>
          <w:rFonts w:hint="eastAsia"/>
          <w:color w:val="auto"/>
          <w:szCs w:val="28"/>
          <w:highlight w:val="none"/>
        </w:rPr>
        <w:t>具有独立承担民事责任的能力</w:t>
      </w:r>
      <w:bookmarkEnd w:id="229"/>
    </w:p>
    <w:p w14:paraId="562CAA43">
      <w:pPr>
        <w:pStyle w:val="15"/>
        <w:keepNext w:val="0"/>
        <w:keepLines w:val="0"/>
        <w:pageBreakBefore w:val="0"/>
        <w:widowControl/>
        <w:tabs>
          <w:tab w:val="left" w:pos="5580"/>
        </w:tabs>
        <w:kinsoku/>
        <w:wordWrap/>
        <w:overflowPunct/>
        <w:topLinePunct w:val="0"/>
        <w:autoSpaceDE/>
        <w:autoSpaceDN/>
        <w:bidi w:val="0"/>
        <w:adjustRightInd/>
        <w:snapToGrid/>
        <w:spacing w:line="360" w:lineRule="auto"/>
        <w:ind w:left="540" w:leftChars="257" w:firstLine="539"/>
        <w:textAlignment w:val="auto"/>
        <w:rPr>
          <w:rFonts w:hint="eastAsia" w:ascii="宋体" w:hAnsi="宋体" w:cs="宋体"/>
          <w:color w:val="auto"/>
          <w:highlight w:val="none"/>
        </w:rPr>
      </w:pPr>
      <w:r>
        <w:rPr>
          <w:rFonts w:hint="eastAsia"/>
          <w:color w:val="auto"/>
          <w:sz w:val="24"/>
          <w:szCs w:val="24"/>
          <w:lang w:val="en-US" w:eastAsia="zh-CN"/>
        </w:rPr>
        <w:t>提供法人或者其他组织的营业执照等证明文件。</w:t>
      </w:r>
      <w:bookmarkStart w:id="230" w:name="_Toc24593"/>
      <w:bookmarkEnd w:id="230"/>
      <w:bookmarkStart w:id="231" w:name="_Toc10328"/>
      <w:r>
        <w:rPr>
          <w:rFonts w:hint="eastAsia"/>
          <w:color w:val="auto"/>
          <w:sz w:val="24"/>
          <w:szCs w:val="24"/>
          <w:highlight w:val="none"/>
          <w:lang w:val="en-US" w:eastAsia="zh-CN"/>
        </w:rPr>
        <w:t>（提供扫描件)</w:t>
      </w:r>
    </w:p>
    <w:bookmarkEnd w:id="231"/>
    <w:p w14:paraId="67D3B6A4">
      <w:pPr>
        <w:bidi w:val="0"/>
        <w:rPr>
          <w:rFonts w:hint="eastAsia"/>
          <w:color w:val="auto"/>
        </w:rPr>
      </w:pPr>
      <w:bookmarkStart w:id="232" w:name="_Toc11747"/>
      <w:bookmarkStart w:id="233" w:name="_Toc24801"/>
    </w:p>
    <w:p w14:paraId="0565E110">
      <w:pPr>
        <w:pStyle w:val="11"/>
        <w:rPr>
          <w:rFonts w:hint="eastAsia"/>
          <w:color w:val="auto"/>
        </w:rPr>
      </w:pPr>
    </w:p>
    <w:p w14:paraId="72AE4E16">
      <w:pPr>
        <w:pStyle w:val="4"/>
        <w:spacing w:before="0" w:after="0" w:line="720" w:lineRule="auto"/>
        <w:jc w:val="center"/>
        <w:rPr>
          <w:rFonts w:hint="eastAsia" w:ascii="宋体" w:hAnsi="宋体" w:eastAsia="宋体" w:cs="宋体"/>
          <w:color w:val="auto"/>
          <w:highlight w:val="none"/>
        </w:rPr>
      </w:pPr>
      <w:bookmarkStart w:id="234" w:name="_Toc20697"/>
      <w:r>
        <w:rPr>
          <w:rFonts w:hint="eastAsia" w:ascii="宋体" w:hAnsi="宋体" w:eastAsia="宋体" w:cs="宋体"/>
          <w:color w:val="auto"/>
          <w:sz w:val="28"/>
          <w:szCs w:val="28"/>
          <w:highlight w:val="none"/>
        </w:rPr>
        <w:t>二、具有良好的商业信誉和健全的财务会计制度</w:t>
      </w:r>
      <w:bookmarkEnd w:id="232"/>
      <w:bookmarkEnd w:id="233"/>
      <w:bookmarkEnd w:id="234"/>
    </w:p>
    <w:p w14:paraId="65891DFE">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right="0" w:firstLine="480" w:firstLineChars="200"/>
        <w:jc w:val="both"/>
        <w:textAlignment w:val="auto"/>
        <w:outlineLvl w:val="9"/>
        <w:rPr>
          <w:rFonts w:hint="eastAsia" w:ascii="宋体" w:hAnsi="宋体" w:eastAsia="宋体" w:cs="宋体"/>
          <w:i w:val="0"/>
          <w:iCs w:val="0"/>
          <w:color w:val="auto"/>
          <w:kern w:val="2"/>
          <w:sz w:val="24"/>
          <w:szCs w:val="24"/>
          <w:highlight w:val="none"/>
          <w:lang w:val="en-US" w:eastAsia="zh-CN" w:bidi="ar"/>
        </w:rPr>
      </w:pPr>
      <w:bookmarkStart w:id="235" w:name="_Toc25770"/>
      <w:bookmarkStart w:id="236" w:name="_Toc27285"/>
      <w:r>
        <w:rPr>
          <w:rFonts w:hint="eastAsia" w:ascii="宋体" w:hAnsi="宋体" w:eastAsia="宋体" w:cs="宋体"/>
          <w:i w:val="0"/>
          <w:iCs w:val="0"/>
          <w:color w:val="auto"/>
          <w:kern w:val="2"/>
          <w:sz w:val="24"/>
          <w:szCs w:val="24"/>
          <w:highlight w:val="none"/>
          <w:lang w:val="en-US" w:eastAsia="zh-CN" w:bidi="ar"/>
        </w:rPr>
        <w:t>投标人须提供</w:t>
      </w:r>
      <w:r>
        <w:rPr>
          <w:rFonts w:hint="eastAsia" w:ascii="宋体" w:hAnsi="宋体" w:eastAsia="宋体" w:cs="宋体"/>
          <w:i w:val="0"/>
          <w:iCs w:val="0"/>
          <w:color w:val="auto"/>
          <w:kern w:val="2"/>
          <w:sz w:val="24"/>
          <w:szCs w:val="24"/>
          <w:highlight w:val="none"/>
          <w:u w:val="none"/>
          <w:lang w:val="en-US" w:eastAsia="zh-CN" w:bidi="ar"/>
        </w:rPr>
        <w:t>2023</w:t>
      </w:r>
      <w:r>
        <w:rPr>
          <w:rFonts w:hint="eastAsia" w:ascii="宋体" w:hAnsi="宋体" w:eastAsia="宋体" w:cs="宋体"/>
          <w:i w:val="0"/>
          <w:iCs w:val="0"/>
          <w:color w:val="auto"/>
          <w:kern w:val="2"/>
          <w:sz w:val="24"/>
          <w:szCs w:val="24"/>
          <w:highlight w:val="none"/>
          <w:lang w:val="en-US" w:eastAsia="zh-CN" w:bidi="ar"/>
        </w:rPr>
        <w:t>年或2024年经</w:t>
      </w:r>
      <w:r>
        <w:rPr>
          <w:rFonts w:hint="eastAsia" w:ascii="宋体" w:hAnsi="宋体" w:cs="宋体"/>
          <w:i w:val="0"/>
          <w:iCs w:val="0"/>
          <w:color w:val="auto"/>
          <w:kern w:val="2"/>
          <w:sz w:val="24"/>
          <w:szCs w:val="24"/>
          <w:highlight w:val="none"/>
          <w:lang w:val="en-US" w:eastAsia="zh-CN" w:bidi="ar"/>
        </w:rPr>
        <w:t>审计的</w:t>
      </w:r>
      <w:r>
        <w:rPr>
          <w:rFonts w:hint="eastAsia" w:ascii="宋体" w:hAnsi="宋体" w:eastAsia="宋体" w:cs="宋体"/>
          <w:i w:val="0"/>
          <w:iCs w:val="0"/>
          <w:color w:val="auto"/>
          <w:kern w:val="2"/>
          <w:sz w:val="24"/>
          <w:szCs w:val="24"/>
          <w:highlight w:val="none"/>
          <w:lang w:val="en-US" w:eastAsia="zh-CN" w:bidi="ar"/>
        </w:rPr>
        <w:t>财务报</w:t>
      </w:r>
      <w:r>
        <w:rPr>
          <w:rFonts w:hint="eastAsia" w:ascii="宋体" w:hAnsi="宋体" w:cs="宋体"/>
          <w:i w:val="0"/>
          <w:iCs w:val="0"/>
          <w:color w:val="auto"/>
          <w:kern w:val="2"/>
          <w:sz w:val="24"/>
          <w:szCs w:val="24"/>
          <w:highlight w:val="none"/>
          <w:lang w:val="en-US" w:eastAsia="zh-CN" w:bidi="ar"/>
        </w:rPr>
        <w:t>告</w:t>
      </w:r>
      <w:r>
        <w:rPr>
          <w:rFonts w:hint="eastAsia" w:ascii="宋体" w:hAnsi="宋体" w:eastAsia="宋体" w:cs="宋体"/>
          <w:i w:val="0"/>
          <w:iCs w:val="0"/>
          <w:color w:val="auto"/>
          <w:kern w:val="2"/>
          <w:sz w:val="24"/>
          <w:szCs w:val="24"/>
          <w:highlight w:val="none"/>
          <w:lang w:val="en-US" w:eastAsia="zh-CN" w:bidi="ar"/>
        </w:rPr>
        <w:t>(包括资产负债表、利润表、现金流量表)，新成立不满</w:t>
      </w:r>
      <w:r>
        <w:rPr>
          <w:rFonts w:hint="eastAsia" w:ascii="宋体" w:hAnsi="宋体" w:eastAsia="宋体" w:cs="宋体"/>
          <w:i w:val="0"/>
          <w:iCs w:val="0"/>
          <w:color w:val="auto"/>
          <w:kern w:val="2"/>
          <w:sz w:val="24"/>
          <w:szCs w:val="24"/>
          <w:highlight w:val="none"/>
          <w:u w:val="single"/>
          <w:lang w:val="en-US" w:eastAsia="zh-CN" w:bidi="ar"/>
        </w:rPr>
        <w:t>1</w:t>
      </w:r>
      <w:r>
        <w:rPr>
          <w:rFonts w:hint="eastAsia" w:ascii="宋体" w:hAnsi="宋体" w:eastAsia="宋体" w:cs="宋体"/>
          <w:i w:val="0"/>
          <w:iCs w:val="0"/>
          <w:color w:val="auto"/>
          <w:kern w:val="2"/>
          <w:sz w:val="24"/>
          <w:szCs w:val="24"/>
          <w:highlight w:val="none"/>
          <w:lang w:val="en-US" w:eastAsia="zh-CN" w:bidi="ar"/>
        </w:rPr>
        <w:t>年的投标人提供自成立至今</w:t>
      </w:r>
      <w:r>
        <w:rPr>
          <w:rFonts w:hint="eastAsia" w:ascii="宋体" w:hAnsi="宋体" w:cs="宋体"/>
          <w:i w:val="0"/>
          <w:iCs w:val="0"/>
          <w:color w:val="auto"/>
          <w:kern w:val="2"/>
          <w:sz w:val="24"/>
          <w:szCs w:val="24"/>
          <w:highlight w:val="none"/>
          <w:lang w:val="en-US" w:eastAsia="zh-CN" w:bidi="ar"/>
        </w:rPr>
        <w:t>的</w:t>
      </w:r>
      <w:r>
        <w:rPr>
          <w:rFonts w:hint="eastAsia" w:ascii="宋体" w:hAnsi="宋体" w:eastAsia="宋体" w:cs="宋体"/>
          <w:i w:val="0"/>
          <w:iCs w:val="0"/>
          <w:color w:val="auto"/>
          <w:kern w:val="2"/>
          <w:sz w:val="24"/>
          <w:szCs w:val="24"/>
          <w:highlight w:val="none"/>
          <w:lang w:val="en-US" w:eastAsia="zh-CN" w:bidi="ar"/>
        </w:rPr>
        <w:t>财务报</w:t>
      </w:r>
      <w:r>
        <w:rPr>
          <w:rFonts w:hint="eastAsia" w:ascii="宋体" w:hAnsi="宋体" w:cs="宋体"/>
          <w:i w:val="0"/>
          <w:iCs w:val="0"/>
          <w:color w:val="auto"/>
          <w:kern w:val="2"/>
          <w:sz w:val="24"/>
          <w:szCs w:val="24"/>
          <w:highlight w:val="none"/>
          <w:lang w:val="en-US" w:eastAsia="zh-CN" w:bidi="ar"/>
        </w:rPr>
        <w:t>表；</w:t>
      </w:r>
    </w:p>
    <w:p w14:paraId="1CF649EE">
      <w:pPr>
        <w:pStyle w:val="49"/>
        <w:ind w:firstLine="480" w:firstLineChars="200"/>
        <w:rPr>
          <w:rFonts w:hint="eastAsia" w:ascii="宋体" w:hAnsi="宋体" w:eastAsia="宋体" w:cs="宋体"/>
          <w:color w:val="auto"/>
          <w:sz w:val="28"/>
          <w:szCs w:val="28"/>
          <w:highlight w:val="none"/>
        </w:rPr>
      </w:pPr>
      <w:r>
        <w:rPr>
          <w:rFonts w:hint="eastAsia" w:ascii="宋体" w:hAnsi="宋体" w:eastAsia="宋体" w:cs="宋体"/>
          <w:color w:val="auto"/>
          <w:sz w:val="24"/>
          <w:szCs w:val="24"/>
          <w:highlight w:val="none"/>
          <w:lang w:val="en-US" w:eastAsia="zh-CN"/>
        </w:rPr>
        <w:t>（提供扫描件)</w:t>
      </w:r>
    </w:p>
    <w:p w14:paraId="6B4DD6C7">
      <w:pPr>
        <w:bidi w:val="0"/>
        <w:rPr>
          <w:rFonts w:hint="eastAsia"/>
          <w:color w:val="auto"/>
        </w:rPr>
      </w:pPr>
    </w:p>
    <w:p w14:paraId="193BF772">
      <w:pPr>
        <w:pStyle w:val="11"/>
        <w:rPr>
          <w:rFonts w:hint="eastAsia"/>
          <w:color w:val="auto"/>
        </w:rPr>
      </w:pPr>
    </w:p>
    <w:p w14:paraId="54AB5F85">
      <w:pPr>
        <w:pStyle w:val="4"/>
        <w:spacing w:before="0" w:after="0" w:line="720" w:lineRule="auto"/>
        <w:jc w:val="center"/>
        <w:rPr>
          <w:rFonts w:hint="eastAsia" w:ascii="宋体" w:hAnsi="宋体" w:eastAsia="宋体" w:cs="宋体"/>
          <w:color w:val="auto"/>
          <w:highlight w:val="none"/>
          <w:lang w:eastAsia="zh-CN"/>
        </w:rPr>
      </w:pPr>
      <w:bookmarkStart w:id="237" w:name="_Toc29703"/>
      <w:r>
        <w:rPr>
          <w:rFonts w:hint="eastAsia" w:ascii="宋体" w:hAnsi="宋体" w:eastAsia="宋体" w:cs="宋体"/>
          <w:color w:val="auto"/>
          <w:sz w:val="28"/>
          <w:szCs w:val="28"/>
          <w:highlight w:val="none"/>
        </w:rPr>
        <w:t>三、</w:t>
      </w:r>
      <w:bookmarkEnd w:id="235"/>
      <w:bookmarkEnd w:id="236"/>
      <w:r>
        <w:rPr>
          <w:rFonts w:hint="eastAsia" w:ascii="宋体" w:hAnsi="宋体" w:cs="宋体"/>
          <w:color w:val="auto"/>
          <w:sz w:val="28"/>
          <w:szCs w:val="28"/>
          <w:highlight w:val="none"/>
          <w:lang w:eastAsia="zh-CN"/>
        </w:rPr>
        <w:t>具有履行合同所必需的设备和专业技术能力</w:t>
      </w:r>
      <w:bookmarkEnd w:id="237"/>
    </w:p>
    <w:p w14:paraId="06208402">
      <w:pPr>
        <w:pStyle w:val="49"/>
        <w:ind w:firstLine="480" w:firstLineChars="200"/>
        <w:rPr>
          <w:rFonts w:hint="eastAsia" w:ascii="宋体" w:hAnsi="宋体" w:eastAsia="宋体" w:cs="宋体"/>
          <w:color w:val="auto"/>
          <w:sz w:val="24"/>
          <w:szCs w:val="24"/>
          <w:highlight w:val="none"/>
        </w:rPr>
      </w:pPr>
      <w:bookmarkStart w:id="238" w:name="_Toc14504"/>
      <w:bookmarkEnd w:id="238"/>
      <w:bookmarkStart w:id="239" w:name="_Toc20341"/>
      <w:r>
        <w:rPr>
          <w:rFonts w:hint="eastAsia" w:ascii="宋体" w:hAnsi="宋体" w:eastAsia="宋体" w:cs="宋体"/>
          <w:color w:val="auto"/>
          <w:sz w:val="24"/>
          <w:szCs w:val="24"/>
          <w:highlight w:val="none"/>
          <w:lang w:eastAsia="zh-CN"/>
        </w:rPr>
        <w:t>提供具备履行合同所必需的设备和专业技术能力的证明材料</w:t>
      </w:r>
      <w:r>
        <w:rPr>
          <w:rFonts w:hint="eastAsia" w:ascii="宋体" w:hAnsi="宋体" w:eastAsia="宋体" w:cs="宋体"/>
          <w:color w:val="auto"/>
          <w:sz w:val="24"/>
          <w:szCs w:val="24"/>
          <w:highlight w:val="none"/>
        </w:rPr>
        <w:t>。</w:t>
      </w:r>
    </w:p>
    <w:bookmarkEnd w:id="239"/>
    <w:p w14:paraId="27AF164F">
      <w:pPr>
        <w:bidi w:val="0"/>
        <w:rPr>
          <w:rFonts w:hint="eastAsia"/>
          <w:color w:val="auto"/>
        </w:rPr>
      </w:pPr>
      <w:bookmarkStart w:id="240" w:name="_Toc23521"/>
      <w:bookmarkStart w:id="241" w:name="_Toc1209"/>
    </w:p>
    <w:p w14:paraId="7C014800">
      <w:pPr>
        <w:bidi w:val="0"/>
        <w:rPr>
          <w:rFonts w:hint="eastAsia"/>
          <w:color w:val="auto"/>
        </w:rPr>
      </w:pPr>
    </w:p>
    <w:p w14:paraId="111005CC">
      <w:pPr>
        <w:pStyle w:val="11"/>
        <w:rPr>
          <w:rFonts w:hint="eastAsia"/>
          <w:color w:val="auto"/>
        </w:rPr>
      </w:pPr>
    </w:p>
    <w:p w14:paraId="50186779">
      <w:pPr>
        <w:pStyle w:val="11"/>
        <w:rPr>
          <w:rFonts w:hint="eastAsia"/>
          <w:color w:val="auto"/>
        </w:rPr>
      </w:pPr>
    </w:p>
    <w:p w14:paraId="68CA8FE0">
      <w:pPr>
        <w:pStyle w:val="4"/>
        <w:spacing w:before="0" w:after="0" w:line="720" w:lineRule="auto"/>
        <w:jc w:val="center"/>
        <w:rPr>
          <w:rFonts w:hint="eastAsia" w:ascii="宋体" w:hAnsi="宋体" w:eastAsia="宋体" w:cs="宋体"/>
          <w:color w:val="auto"/>
          <w:highlight w:val="none"/>
          <w:lang w:eastAsia="zh-CN"/>
        </w:rPr>
      </w:pPr>
      <w:bookmarkStart w:id="242" w:name="_Toc6832"/>
      <w:r>
        <w:rPr>
          <w:rFonts w:hint="eastAsia" w:ascii="宋体" w:hAnsi="宋体" w:eastAsia="宋体" w:cs="宋体"/>
          <w:color w:val="auto"/>
          <w:sz w:val="28"/>
          <w:szCs w:val="28"/>
          <w:highlight w:val="none"/>
        </w:rPr>
        <w:t>四、</w:t>
      </w:r>
      <w:bookmarkEnd w:id="240"/>
      <w:bookmarkEnd w:id="241"/>
      <w:r>
        <w:rPr>
          <w:rFonts w:hint="eastAsia" w:ascii="宋体" w:hAnsi="宋体" w:cs="宋体"/>
          <w:color w:val="auto"/>
          <w:sz w:val="28"/>
          <w:szCs w:val="28"/>
          <w:highlight w:val="none"/>
          <w:lang w:eastAsia="zh-CN"/>
        </w:rPr>
        <w:t>有依法缴纳税收和社会保障资金的良好记录</w:t>
      </w:r>
      <w:bookmarkEnd w:id="242"/>
    </w:p>
    <w:p w14:paraId="60BEA35F">
      <w:pPr>
        <w:spacing w:line="360" w:lineRule="auto"/>
        <w:ind w:firstLine="480" w:firstLineChars="200"/>
        <w:jc w:val="both"/>
        <w:rPr>
          <w:rFonts w:hint="eastAsia" w:ascii="宋体" w:hAnsi="宋体" w:eastAsia="宋体" w:cs="宋体"/>
          <w:i w:val="0"/>
          <w:iCs w:val="0"/>
          <w:color w:val="auto"/>
          <w:kern w:val="2"/>
          <w:sz w:val="24"/>
          <w:szCs w:val="24"/>
          <w:highlight w:val="none"/>
          <w:lang w:val="en-US" w:eastAsia="zh-CN" w:bidi="ar"/>
        </w:rPr>
      </w:pPr>
      <w:r>
        <w:rPr>
          <w:rFonts w:hint="eastAsia" w:ascii="宋体" w:hAnsi="宋体" w:cs="宋体"/>
          <w:color w:val="auto"/>
          <w:kern w:val="2"/>
          <w:sz w:val="24"/>
          <w:szCs w:val="24"/>
          <w:highlight w:val="none"/>
          <w:lang w:eastAsia="zh-CN" w:bidi="ar"/>
        </w:rPr>
        <w:t>提供202</w:t>
      </w:r>
      <w:r>
        <w:rPr>
          <w:rFonts w:hint="eastAsia" w:ascii="宋体" w:hAnsi="宋体" w:cs="宋体"/>
          <w:color w:val="auto"/>
          <w:kern w:val="2"/>
          <w:sz w:val="24"/>
          <w:szCs w:val="24"/>
          <w:highlight w:val="none"/>
          <w:lang w:val="en-US" w:eastAsia="zh-CN" w:bidi="ar"/>
        </w:rPr>
        <w:t>5</w:t>
      </w:r>
      <w:r>
        <w:rPr>
          <w:rFonts w:hint="eastAsia" w:ascii="宋体" w:hAnsi="宋体" w:cs="宋体"/>
          <w:color w:val="auto"/>
          <w:kern w:val="2"/>
          <w:sz w:val="24"/>
          <w:szCs w:val="24"/>
          <w:highlight w:val="none"/>
          <w:lang w:eastAsia="zh-CN" w:bidi="ar"/>
        </w:rPr>
        <w:t>年1月至今任意3个月</w:t>
      </w:r>
      <w:r>
        <w:rPr>
          <w:rFonts w:hint="eastAsia" w:ascii="宋体" w:hAnsi="宋体" w:cs="宋体"/>
          <w:color w:val="auto"/>
          <w:kern w:val="2"/>
          <w:sz w:val="24"/>
          <w:szCs w:val="24"/>
          <w:highlight w:val="none"/>
          <w:lang w:bidi="ar"/>
        </w:rPr>
        <w:t>依法缴纳税收和缴纳社会保障资金的证明(成立未满</w:t>
      </w:r>
      <w:r>
        <w:rPr>
          <w:rFonts w:hint="eastAsia" w:ascii="宋体" w:hAnsi="宋体" w:cs="宋体"/>
          <w:color w:val="auto"/>
          <w:kern w:val="2"/>
          <w:sz w:val="24"/>
          <w:szCs w:val="24"/>
          <w:highlight w:val="none"/>
          <w:lang w:val="en-US" w:eastAsia="zh-CN" w:bidi="ar"/>
        </w:rPr>
        <w:t>3</w:t>
      </w:r>
      <w:r>
        <w:rPr>
          <w:rFonts w:hint="eastAsia" w:ascii="宋体" w:hAnsi="宋体" w:cs="宋体"/>
          <w:color w:val="auto"/>
          <w:kern w:val="2"/>
          <w:sz w:val="24"/>
          <w:szCs w:val="24"/>
          <w:highlight w:val="none"/>
          <w:lang w:bidi="ar"/>
        </w:rPr>
        <w:t>个月的提供成立以来的税收和社会保障资金缴纳凭据；依法免税或不需要缴纳社会保障资金的供应商，应提供相应文</w:t>
      </w:r>
      <w:r>
        <w:rPr>
          <w:rFonts w:hint="eastAsia" w:ascii="宋体" w:hAnsi="宋体" w:cs="宋体"/>
          <w:color w:val="auto"/>
          <w:sz w:val="24"/>
          <w:szCs w:val="24"/>
          <w:highlight w:val="none"/>
        </w:rPr>
        <w:t>件证明其依法免税或不需要缴纳社会保障资金)。</w:t>
      </w:r>
      <w:r>
        <w:rPr>
          <w:rFonts w:hint="eastAsia"/>
          <w:color w:val="auto"/>
          <w:sz w:val="24"/>
          <w:szCs w:val="24"/>
          <w:highlight w:val="none"/>
          <w:lang w:val="en-US" w:eastAsia="zh-CN"/>
        </w:rPr>
        <w:t>（提供扫描件)</w:t>
      </w:r>
    </w:p>
    <w:p w14:paraId="02E73844">
      <w:pPr>
        <w:autoSpaceDE w:val="0"/>
        <w:spacing w:line="480" w:lineRule="auto"/>
        <w:rPr>
          <w:rFonts w:hint="eastAsia" w:ascii="宋体" w:hAnsi="宋体"/>
          <w:color w:val="FF0000"/>
          <w:sz w:val="24"/>
          <w:szCs w:val="24"/>
          <w:highlight w:val="none"/>
        </w:rPr>
      </w:pPr>
    </w:p>
    <w:p w14:paraId="1DB0F304">
      <w:pPr>
        <w:pStyle w:val="4"/>
        <w:spacing w:before="0" w:after="0" w:line="720" w:lineRule="auto"/>
        <w:jc w:val="center"/>
        <w:rPr>
          <w:rFonts w:hint="eastAsia" w:ascii="宋体" w:hAnsi="宋体" w:eastAsia="宋体" w:cs="宋体"/>
          <w:highlight w:val="none"/>
        </w:rPr>
      </w:pPr>
      <w:bookmarkStart w:id="243" w:name="_Toc8069"/>
      <w:bookmarkEnd w:id="243"/>
      <w:r>
        <w:rPr>
          <w:rFonts w:hint="eastAsia" w:ascii="宋体" w:hAnsi="宋体" w:cs="宋体"/>
          <w:highlight w:val="none"/>
        </w:rPr>
        <w:br w:type="page"/>
      </w:r>
      <w:bookmarkStart w:id="244" w:name="_Toc29320"/>
      <w:r>
        <w:rPr>
          <w:rFonts w:hint="eastAsia" w:ascii="宋体" w:hAnsi="宋体" w:cs="宋体"/>
          <w:highlight w:val="none"/>
        </w:rPr>
        <w:t>五、</w:t>
      </w:r>
      <w:bookmarkStart w:id="245" w:name="_Toc4022"/>
      <w:bookmarkEnd w:id="245"/>
      <w:bookmarkStart w:id="246" w:name="_Toc30512"/>
      <w:r>
        <w:rPr>
          <w:rFonts w:hint="eastAsia" w:ascii="宋体" w:hAnsi="宋体" w:eastAsia="宋体" w:cs="宋体"/>
          <w:sz w:val="28"/>
          <w:szCs w:val="28"/>
          <w:highlight w:val="none"/>
        </w:rPr>
        <w:t>参加政府采购活动前三年内，在经营活动中没有重大违法记录</w:t>
      </w:r>
      <w:bookmarkEnd w:id="244"/>
    </w:p>
    <w:p w14:paraId="1DFB89E2">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致：</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（采购人）</w:t>
      </w:r>
    </w:p>
    <w:p w14:paraId="78C98C0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（投标人自行承诺及说明，内容自拟）               </w:t>
      </w:r>
    </w:p>
    <w:p w14:paraId="5C066A65">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p>
    <w:p w14:paraId="392AF831">
      <w:pPr>
        <w:spacing w:line="360" w:lineRule="auto"/>
        <w:ind w:firstLine="480" w:firstLineChars="200"/>
        <w:rPr>
          <w:rFonts w:hint="eastAsia" w:ascii="宋体" w:hAnsi="宋体" w:eastAsia="宋体" w:cs="宋体"/>
          <w:sz w:val="24"/>
          <w:szCs w:val="24"/>
          <w:highlight w:val="none"/>
          <w:lang w:val="en-US" w:eastAsia="zh-CN"/>
        </w:rPr>
      </w:pPr>
    </w:p>
    <w:p w14:paraId="7C2825BD">
      <w:pPr>
        <w:spacing w:line="360" w:lineRule="auto"/>
        <w:ind w:firstLine="480" w:firstLineChars="200"/>
        <w:rPr>
          <w:rFonts w:hint="eastAsia" w:ascii="宋体" w:hAnsi="宋体" w:eastAsia="宋体" w:cs="宋体"/>
          <w:sz w:val="24"/>
          <w:szCs w:val="24"/>
          <w:highlight w:val="none"/>
          <w:lang w:val="en-US" w:eastAsia="zh-CN"/>
        </w:rPr>
      </w:pPr>
    </w:p>
    <w:p w14:paraId="5634B200">
      <w:pPr>
        <w:spacing w:line="360" w:lineRule="auto"/>
        <w:ind w:firstLine="480" w:firstLineChars="200"/>
        <w:rPr>
          <w:rFonts w:hint="eastAsia" w:ascii="宋体" w:hAnsi="宋体" w:eastAsia="宋体" w:cs="宋体"/>
          <w:sz w:val="24"/>
          <w:szCs w:val="24"/>
          <w:highlight w:val="none"/>
          <w:lang w:val="en-US" w:eastAsia="zh-CN"/>
        </w:rPr>
      </w:pPr>
    </w:p>
    <w:p w14:paraId="07168018">
      <w:pPr>
        <w:ind w:firstLine="1205" w:firstLineChars="500"/>
        <w:rPr>
          <w:rFonts w:hint="eastAsia" w:ascii="宋体" w:hAnsi="宋体" w:eastAsia="宋体" w:cs="宋体"/>
          <w:b/>
          <w:bCs/>
          <w:sz w:val="24"/>
          <w:szCs w:val="24"/>
          <w:highlight w:val="none"/>
        </w:rPr>
      </w:pPr>
    </w:p>
    <w:p w14:paraId="64FE94B8">
      <w:pPr>
        <w:ind w:firstLine="1205" w:firstLineChars="500"/>
        <w:rPr>
          <w:rFonts w:hint="eastAsia" w:ascii="宋体" w:hAnsi="宋体" w:eastAsia="宋体" w:cs="宋体"/>
          <w:b/>
          <w:bCs/>
          <w:sz w:val="24"/>
          <w:szCs w:val="24"/>
          <w:highlight w:val="none"/>
        </w:rPr>
      </w:pPr>
    </w:p>
    <w:p w14:paraId="42F98613">
      <w:pPr>
        <w:ind w:firstLine="1205" w:firstLineChars="500"/>
        <w:rPr>
          <w:rFonts w:hint="eastAsia" w:ascii="宋体" w:hAnsi="宋体" w:eastAsia="宋体" w:cs="宋体"/>
          <w:b/>
          <w:bCs/>
          <w:sz w:val="24"/>
          <w:szCs w:val="24"/>
          <w:highlight w:val="none"/>
        </w:rPr>
      </w:pPr>
    </w:p>
    <w:p w14:paraId="59A9BEEC">
      <w:pPr>
        <w:pStyle w:val="11"/>
        <w:rPr>
          <w:rFonts w:hint="eastAsia"/>
        </w:rPr>
      </w:pPr>
    </w:p>
    <w:p w14:paraId="3CFC1F28">
      <w:pPr>
        <w:ind w:firstLine="1205" w:firstLineChars="500"/>
        <w:rPr>
          <w:rFonts w:hint="eastAsia" w:ascii="宋体" w:hAnsi="宋体" w:eastAsia="宋体" w:cs="宋体"/>
          <w:b/>
          <w:bCs/>
          <w:sz w:val="24"/>
          <w:szCs w:val="24"/>
          <w:highlight w:val="none"/>
        </w:rPr>
      </w:pPr>
    </w:p>
    <w:p w14:paraId="46367EA6">
      <w:pPr>
        <w:ind w:firstLine="1205" w:firstLineChars="5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投标人：</w:t>
      </w:r>
      <w:r>
        <w:rPr>
          <w:rFonts w:hint="eastAsia" w:ascii="宋体" w:hAnsi="宋体" w:eastAsia="宋体" w:cs="宋体"/>
          <w:b/>
          <w:bCs/>
          <w:sz w:val="24"/>
          <w:szCs w:val="24"/>
          <w:highlight w:val="none"/>
          <w:u w:val="single"/>
        </w:rPr>
        <w:tab/>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rPr>
        <w:t>(电子签章)</w:t>
      </w:r>
    </w:p>
    <w:p w14:paraId="7A470530">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p>
    <w:p w14:paraId="35275E6D">
      <w:pPr>
        <w:ind w:firstLine="1205" w:firstLineChars="5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法定代表人(单位负责人)或其委托代理人：</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rPr>
        <w:t>(电子签章)</w:t>
      </w:r>
    </w:p>
    <w:p w14:paraId="0BDAF816">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 </w:t>
      </w:r>
    </w:p>
    <w:p w14:paraId="0BB14DF7">
      <w:pPr>
        <w:ind w:firstLine="1205" w:firstLineChars="500"/>
        <w:rPr>
          <w:rFonts w:hint="eastAsia" w:ascii="宋体" w:hAnsi="宋体" w:eastAsia="宋体" w:cs="宋体"/>
          <w:highlight w:val="none"/>
        </w:rPr>
      </w:pPr>
      <w:r>
        <w:rPr>
          <w:rFonts w:hint="eastAsia" w:ascii="宋体" w:hAnsi="宋体" w:eastAsia="宋体" w:cs="宋体"/>
          <w:b/>
          <w:bCs/>
          <w:sz w:val="24"/>
          <w:szCs w:val="24"/>
          <w:highlight w:val="none"/>
        </w:rPr>
        <w:t>日期：</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rPr>
        <w:t xml:space="preserve">年 </w:t>
      </w:r>
      <w:r>
        <w:rPr>
          <w:rFonts w:hint="eastAsia" w:ascii="宋体" w:hAnsi="宋体" w:eastAsia="宋体" w:cs="宋体"/>
          <w:b/>
          <w:bCs/>
          <w:sz w:val="24"/>
          <w:szCs w:val="24"/>
          <w:highlight w:val="none"/>
          <w:u w:val="single"/>
        </w:rPr>
        <w:tab/>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rPr>
        <w:t xml:space="preserve">月 </w:t>
      </w:r>
      <w:r>
        <w:rPr>
          <w:rFonts w:hint="eastAsia" w:ascii="宋体" w:hAnsi="宋体" w:eastAsia="宋体" w:cs="宋体"/>
          <w:b/>
          <w:bCs/>
          <w:sz w:val="24"/>
          <w:szCs w:val="24"/>
          <w:highlight w:val="none"/>
          <w:u w:val="single"/>
        </w:rPr>
        <w:t xml:space="preserve">   </w:t>
      </w:r>
      <w:r>
        <w:rPr>
          <w:rFonts w:hint="eastAsia" w:ascii="宋体" w:hAnsi="宋体" w:eastAsia="宋体" w:cs="宋体"/>
          <w:b/>
          <w:bCs/>
          <w:sz w:val="24"/>
          <w:szCs w:val="24"/>
          <w:highlight w:val="none"/>
        </w:rPr>
        <w:t>日</w:t>
      </w:r>
    </w:p>
    <w:p w14:paraId="7BB61066">
      <w:pPr>
        <w:pStyle w:val="11"/>
        <w:rPr>
          <w:rFonts w:hint="eastAsia"/>
          <w:b/>
          <w:sz w:val="28"/>
          <w:szCs w:val="28"/>
          <w:highlight w:val="none"/>
        </w:rPr>
      </w:pPr>
    </w:p>
    <w:p w14:paraId="32835E6E">
      <w:pPr>
        <w:pStyle w:val="11"/>
        <w:rPr>
          <w:rFonts w:hint="eastAsia"/>
          <w:b/>
          <w:sz w:val="28"/>
          <w:szCs w:val="28"/>
          <w:highlight w:val="none"/>
        </w:rPr>
      </w:pPr>
    </w:p>
    <w:p w14:paraId="7096F8B3">
      <w:pPr>
        <w:pStyle w:val="11"/>
        <w:rPr>
          <w:rFonts w:hint="eastAsia"/>
          <w:b/>
          <w:sz w:val="28"/>
          <w:szCs w:val="28"/>
          <w:highlight w:val="none"/>
        </w:rPr>
      </w:pPr>
    </w:p>
    <w:p w14:paraId="577E16DF">
      <w:pPr>
        <w:pStyle w:val="11"/>
        <w:rPr>
          <w:rFonts w:hint="eastAsia" w:ascii="宋体" w:hAnsi="宋体" w:eastAsia="宋体" w:cs="宋体"/>
          <w:sz w:val="24"/>
          <w:szCs w:val="24"/>
          <w:highlight w:val="none"/>
          <w:lang w:val="en-US" w:eastAsia="zh-CN"/>
        </w:rPr>
      </w:pPr>
    </w:p>
    <w:p w14:paraId="27C6D102">
      <w:pPr>
        <w:pStyle w:val="11"/>
        <w:rPr>
          <w:rFonts w:hint="eastAsia" w:ascii="宋体" w:hAnsi="宋体" w:eastAsia="宋体" w:cs="宋体"/>
          <w:sz w:val="24"/>
          <w:szCs w:val="24"/>
          <w:highlight w:val="none"/>
          <w:lang w:val="en-US" w:eastAsia="zh-CN"/>
        </w:rPr>
      </w:pPr>
    </w:p>
    <w:p w14:paraId="2C137D22">
      <w:pPr>
        <w:pStyle w:val="11"/>
        <w:rPr>
          <w:rFonts w:hint="eastAsia" w:ascii="宋体" w:hAnsi="宋体" w:eastAsia="宋体" w:cs="宋体"/>
          <w:sz w:val="24"/>
          <w:szCs w:val="24"/>
          <w:highlight w:val="none"/>
          <w:lang w:val="en-US" w:eastAsia="zh-CN"/>
        </w:rPr>
      </w:pPr>
    </w:p>
    <w:p w14:paraId="6C3AB7D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注：重大违法记录，是指供应商因违法经营受到刑事处罚或者责令停产停业、吊销许可证或者执照、较大数额罚款等行政处罚。</w:t>
      </w:r>
    </w:p>
    <w:bookmarkEnd w:id="246"/>
    <w:p w14:paraId="4F0B516C">
      <w:pPr>
        <w:widowControl w:val="0"/>
        <w:spacing w:line="360" w:lineRule="auto"/>
        <w:rPr>
          <w:rFonts w:hint="eastAsia" w:ascii="宋体" w:hAnsi="宋体"/>
          <w:highlight w:val="none"/>
        </w:rPr>
      </w:pPr>
      <w:bookmarkStart w:id="247" w:name="_Toc16296"/>
      <w:bookmarkEnd w:id="247"/>
      <w:bookmarkStart w:id="248" w:name="_Toc15638"/>
      <w:bookmarkEnd w:id="248"/>
      <w:bookmarkStart w:id="249" w:name="_Toc15765"/>
    </w:p>
    <w:bookmarkEnd w:id="249"/>
    <w:p w14:paraId="1A49D6CB">
      <w:pPr>
        <w:spacing w:line="440" w:lineRule="exact"/>
        <w:rPr>
          <w:rStyle w:val="36"/>
          <w:rFonts w:hint="eastAsia"/>
          <w:highlight w:val="none"/>
        </w:rPr>
      </w:pPr>
      <w:bookmarkStart w:id="250" w:name="_Toc29133"/>
      <w:bookmarkEnd w:id="250"/>
    </w:p>
    <w:p w14:paraId="23996E3E">
      <w:pPr>
        <w:pStyle w:val="4"/>
        <w:rPr>
          <w:rFonts w:hint="eastAsia"/>
          <w:highlight w:val="none"/>
        </w:rPr>
      </w:pPr>
      <w:bookmarkStart w:id="251" w:name="_Toc21048"/>
      <w:r>
        <w:rPr>
          <w:rFonts w:hint="eastAsia"/>
          <w:highlight w:val="none"/>
          <w:lang w:val="en-US" w:eastAsia="zh-CN"/>
        </w:rPr>
        <w:t>六</w:t>
      </w:r>
      <w:r>
        <w:rPr>
          <w:rFonts w:hint="eastAsia"/>
          <w:highlight w:val="none"/>
        </w:rPr>
        <w:t>、其他</w:t>
      </w:r>
      <w:bookmarkEnd w:id="251"/>
    </w:p>
    <w:p w14:paraId="10BB6598">
      <w:pPr>
        <w:pStyle w:val="11"/>
        <w:ind w:firstLine="465"/>
        <w:rPr>
          <w:rFonts w:hint="eastAsia" w:ascii="宋体" w:hAnsi="宋体" w:eastAsia="宋体" w:cs="宋体"/>
          <w:kern w:val="0"/>
          <w:sz w:val="24"/>
          <w:highlight w:val="none"/>
          <w:lang w:eastAsia="zh-CN"/>
        </w:rPr>
      </w:pPr>
      <w:r>
        <w:rPr>
          <w:rFonts w:hint="eastAsia" w:ascii="宋体" w:hAnsi="宋体" w:cs="宋体"/>
          <w:kern w:val="0"/>
          <w:sz w:val="24"/>
          <w:highlight w:val="none"/>
          <w:lang w:val="en-US" w:eastAsia="zh-CN"/>
        </w:rPr>
        <w:t>1、</w:t>
      </w:r>
      <w:r>
        <w:rPr>
          <w:rFonts w:hint="eastAsia" w:ascii="宋体" w:hAnsi="宋体" w:cs="宋体"/>
          <w:kern w:val="0"/>
          <w:sz w:val="24"/>
          <w:highlight w:val="none"/>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rPr>
          <w:rFonts w:hint="eastAsia" w:ascii="宋体" w:hAnsi="宋体" w:cs="宋体"/>
          <w:kern w:val="0"/>
          <w:sz w:val="24"/>
          <w:highlight w:val="none"/>
          <w:lang w:eastAsia="zh-CN"/>
        </w:rPr>
        <w:t>（</w:t>
      </w:r>
      <w:r>
        <w:rPr>
          <w:rFonts w:hint="eastAsia" w:ascii="宋体" w:hAnsi="宋体" w:cs="宋体"/>
          <w:kern w:val="0"/>
          <w:sz w:val="24"/>
          <w:highlight w:val="none"/>
          <w:lang w:val="en-US" w:eastAsia="zh-CN"/>
        </w:rPr>
        <w:t>提供承诺</w:t>
      </w:r>
      <w:r>
        <w:rPr>
          <w:rFonts w:hint="eastAsia" w:ascii="宋体" w:hAnsi="宋体" w:cs="宋体"/>
          <w:kern w:val="0"/>
          <w:sz w:val="24"/>
          <w:highlight w:val="none"/>
          <w:lang w:eastAsia="zh-CN"/>
        </w:rPr>
        <w:t>）</w:t>
      </w:r>
    </w:p>
    <w:p w14:paraId="4AD5AE2F">
      <w:pPr>
        <w:widowControl w:val="0"/>
        <w:spacing w:line="360" w:lineRule="auto"/>
        <w:ind w:firstLine="480" w:firstLineChars="200"/>
        <w:jc w:val="both"/>
        <w:rPr>
          <w:rFonts w:hint="eastAsia" w:ascii="宋体" w:hAnsi="宋体" w:eastAsia="宋体" w:cs="宋体"/>
          <w:color w:val="auto"/>
          <w:kern w:val="2"/>
          <w:sz w:val="24"/>
          <w:szCs w:val="24"/>
          <w:highlight w:val="none"/>
          <w:lang w:eastAsia="zh-CN" w:bidi="ar"/>
        </w:rPr>
      </w:pPr>
      <w:r>
        <w:rPr>
          <w:rFonts w:hint="eastAsia" w:ascii="宋体" w:hAnsi="宋体" w:eastAsia="宋体" w:cs="宋体"/>
          <w:i w:val="0"/>
          <w:iCs w:val="0"/>
          <w:color w:val="auto"/>
          <w:kern w:val="2"/>
          <w:sz w:val="24"/>
          <w:szCs w:val="24"/>
          <w:highlight w:val="none"/>
          <w:lang w:val="en-US" w:eastAsia="zh-CN" w:bidi="ar"/>
        </w:rPr>
        <w:t>2、</w:t>
      </w:r>
      <w:r>
        <w:rPr>
          <w:rFonts w:hint="eastAsia" w:ascii="宋体" w:hAnsi="宋体" w:cs="宋体"/>
          <w:color w:val="auto"/>
          <w:kern w:val="2"/>
          <w:sz w:val="24"/>
          <w:szCs w:val="24"/>
          <w:highlight w:val="none"/>
          <w:lang w:bidi="ar"/>
        </w:rPr>
        <w:t>投标人如果是代理商或经销商，须提供医疗器械经营许可证/备案，所投产品制造商医疗器械生产许可证（制造商工商注册地在中华人民共和国境外的，不做此要求）、所投产品的医疗器械注册证；投标人如果是制造商，须提供医疗器械生产许可证（制造商工商注册地在中华人民共和国境外的，不做此要求）、所投产品的医疗器械注册证。医疗器械生产或经营许可证生产或经营范围须覆盖所投第二、三类医疗器械（复印件加盖公章。根据中华人民共和国国务院令第</w:t>
      </w:r>
      <w:r>
        <w:rPr>
          <w:rFonts w:hint="eastAsia" w:ascii="宋体" w:hAnsi="宋体" w:cs="宋体"/>
          <w:color w:val="auto"/>
          <w:kern w:val="2"/>
          <w:sz w:val="24"/>
          <w:szCs w:val="24"/>
          <w:highlight w:val="none"/>
          <w:lang w:val="en-US" w:eastAsia="zh-CN" w:bidi="ar"/>
        </w:rPr>
        <w:t>739</w:t>
      </w:r>
      <w:r>
        <w:rPr>
          <w:rFonts w:hint="eastAsia" w:ascii="宋体" w:hAnsi="宋体" w:cs="宋体"/>
          <w:color w:val="auto"/>
          <w:kern w:val="2"/>
          <w:sz w:val="24"/>
          <w:szCs w:val="24"/>
          <w:highlight w:val="none"/>
          <w:lang w:bidi="ar"/>
        </w:rPr>
        <w:t>号《医疗器械监督管理条例》和国家药品监督管理局《医疗器械分类目录》的规定，在《医疗器械分类目录》内的产品必须按照《医疗器械监督管理条例》的要求提供，其他不在《医疗器械分类目录》内的不作强行要求）。</w:t>
      </w:r>
      <w:r>
        <w:rPr>
          <w:rFonts w:hint="eastAsia" w:ascii="宋体" w:hAnsi="宋体" w:cs="宋体"/>
          <w:color w:val="auto"/>
          <w:kern w:val="2"/>
          <w:sz w:val="24"/>
          <w:szCs w:val="24"/>
          <w:highlight w:val="none"/>
          <w:lang w:eastAsia="zh-CN" w:bidi="ar"/>
        </w:rPr>
        <w:t>（</w:t>
      </w:r>
      <w:r>
        <w:rPr>
          <w:rFonts w:hint="eastAsia" w:ascii="宋体" w:hAnsi="宋体" w:cs="宋体"/>
          <w:color w:val="auto"/>
          <w:kern w:val="2"/>
          <w:sz w:val="24"/>
          <w:szCs w:val="24"/>
          <w:highlight w:val="none"/>
          <w:lang w:val="en-US" w:eastAsia="zh-CN" w:bidi="ar"/>
        </w:rPr>
        <w:t>提供证明材料</w:t>
      </w:r>
      <w:r>
        <w:rPr>
          <w:rFonts w:hint="eastAsia" w:ascii="宋体" w:hAnsi="宋体" w:cs="宋体"/>
          <w:color w:val="auto"/>
          <w:kern w:val="2"/>
          <w:sz w:val="24"/>
          <w:szCs w:val="24"/>
          <w:highlight w:val="none"/>
          <w:lang w:eastAsia="zh-CN" w:bidi="ar"/>
        </w:rPr>
        <w:t>）</w:t>
      </w:r>
    </w:p>
    <w:p w14:paraId="55142365">
      <w:pPr>
        <w:pStyle w:val="6"/>
        <w:rPr>
          <w:rFonts w:hint="default"/>
          <w:lang w:val="en-US" w:eastAsia="zh-CN"/>
        </w:rPr>
      </w:pPr>
      <w:r>
        <w:rPr>
          <w:rFonts w:hint="eastAsia" w:ascii="宋体" w:hAnsi="宋体" w:cs="宋体"/>
          <w:color w:val="auto"/>
          <w:kern w:val="2"/>
          <w:sz w:val="24"/>
          <w:szCs w:val="24"/>
          <w:highlight w:val="none"/>
          <w:lang w:val="en-US" w:eastAsia="zh-CN" w:bidi="ar"/>
        </w:rPr>
        <w:t>3、</w:t>
      </w:r>
      <w:r>
        <w:rPr>
          <w:rFonts w:hint="eastAsia" w:ascii="宋体" w:hAnsi="宋体" w:eastAsia="宋体" w:cs="宋体"/>
          <w:i w:val="0"/>
          <w:iCs w:val="0"/>
          <w:color w:val="auto"/>
          <w:kern w:val="2"/>
          <w:sz w:val="24"/>
          <w:szCs w:val="24"/>
          <w:highlight w:val="none"/>
          <w:lang w:val="en-US" w:eastAsia="zh-CN" w:bidi="ar"/>
        </w:rPr>
        <w:t>本项目不接受联合体投标。（提供承诺）</w:t>
      </w:r>
    </w:p>
    <w:p w14:paraId="23196A2C">
      <w:pPr>
        <w:spacing w:line="360" w:lineRule="auto"/>
        <w:ind w:firstLine="480" w:firstLineChars="200"/>
        <w:rPr>
          <w:rFonts w:hint="eastAsia" w:ascii="宋体" w:hAnsi="宋体"/>
          <w:sz w:val="24"/>
          <w:szCs w:val="24"/>
          <w:highlight w:val="none"/>
        </w:rPr>
      </w:pPr>
      <w:r>
        <w:rPr>
          <w:rFonts w:hint="eastAsia" w:ascii="宋体" w:hAnsi="宋体" w:cs="宋体"/>
          <w:sz w:val="24"/>
          <w:highlight w:val="none"/>
          <w:lang w:val="en-US" w:eastAsia="zh-CN"/>
        </w:rPr>
        <w:t>4</w:t>
      </w:r>
      <w:r>
        <w:rPr>
          <w:rFonts w:hint="eastAsia" w:ascii="宋体" w:hAnsi="宋体" w:cs="宋体"/>
          <w:sz w:val="24"/>
          <w:highlight w:val="none"/>
          <w:lang w:eastAsia="zh-CN"/>
        </w:rPr>
        <w:t>、</w:t>
      </w:r>
      <w:r>
        <w:rPr>
          <w:rFonts w:hint="eastAsia" w:ascii="宋体" w:hAnsi="宋体" w:cs="宋体"/>
          <w:sz w:val="24"/>
          <w:highlight w:val="none"/>
        </w:rPr>
        <w:t>招标文件要求及投标人认为需要提交的其他资格证明材料。</w:t>
      </w:r>
    </w:p>
    <w:p w14:paraId="4E6120FB">
      <w:pPr>
        <w:rPr>
          <w:rFonts w:hint="eastAsia" w:ascii="宋体" w:hAnsi="宋体"/>
          <w:b/>
          <w:bCs/>
          <w:sz w:val="44"/>
          <w:szCs w:val="44"/>
          <w:highlight w:val="none"/>
          <w:u w:val="single"/>
        </w:rPr>
      </w:pPr>
      <w:r>
        <w:rPr>
          <w:rFonts w:hint="eastAsia" w:ascii="宋体" w:hAnsi="宋体"/>
          <w:sz w:val="24"/>
          <w:szCs w:val="24"/>
          <w:highlight w:val="none"/>
          <w:lang w:eastAsia="zh-CN"/>
        </w:rPr>
        <w:br w:type="page"/>
      </w:r>
    </w:p>
    <w:p w14:paraId="26B3E605">
      <w:pPr>
        <w:jc w:val="center"/>
        <w:rPr>
          <w:rFonts w:hint="eastAsia" w:ascii="宋体" w:hAnsi="宋体" w:eastAsia="宋体"/>
          <w:b/>
          <w:bCs/>
          <w:sz w:val="44"/>
          <w:szCs w:val="44"/>
          <w:highlight w:val="none"/>
          <w:lang w:eastAsia="zh-CN"/>
        </w:rPr>
      </w:pPr>
      <w:r>
        <w:rPr>
          <w:rFonts w:hint="eastAsia" w:ascii="宋体" w:hAnsi="宋体"/>
          <w:b/>
          <w:bCs/>
          <w:sz w:val="44"/>
          <w:szCs w:val="44"/>
          <w:highlight w:val="none"/>
          <w:lang w:val="en-US" w:eastAsia="zh-CN"/>
        </w:rPr>
        <w:t>沪滇协作香格里拉市人民医院粪便工作站、儿童肺功能仪等设备采购项目</w:t>
      </w:r>
    </w:p>
    <w:p w14:paraId="051FCADE">
      <w:pPr>
        <w:jc w:val="center"/>
        <w:rPr>
          <w:rFonts w:hint="eastAsia"/>
          <w:b/>
          <w:sz w:val="44"/>
          <w:szCs w:val="44"/>
          <w:highlight w:val="none"/>
        </w:rPr>
      </w:pPr>
    </w:p>
    <w:p w14:paraId="678D2E9E">
      <w:pPr>
        <w:jc w:val="center"/>
        <w:rPr>
          <w:rFonts w:hint="eastAsia"/>
          <w:b/>
          <w:sz w:val="44"/>
          <w:szCs w:val="44"/>
          <w:highlight w:val="none"/>
        </w:rPr>
      </w:pPr>
      <w:r>
        <w:rPr>
          <w:rFonts w:hint="eastAsia"/>
          <w:b/>
          <w:sz w:val="44"/>
          <w:szCs w:val="44"/>
          <w:highlight w:val="none"/>
        </w:rPr>
        <w:t>商务技术部分封面</w:t>
      </w:r>
    </w:p>
    <w:p w14:paraId="2849BF52">
      <w:pPr>
        <w:rPr>
          <w:rFonts w:hint="eastAsia" w:ascii="宋体" w:hAnsi="宋体"/>
          <w:b/>
          <w:bCs/>
          <w:sz w:val="44"/>
          <w:szCs w:val="44"/>
          <w:highlight w:val="none"/>
        </w:rPr>
      </w:pPr>
    </w:p>
    <w:p w14:paraId="6196E608">
      <w:pPr>
        <w:rPr>
          <w:rFonts w:hint="eastAsia" w:ascii="宋体" w:hAnsi="宋体"/>
          <w:b/>
          <w:bCs/>
          <w:sz w:val="44"/>
          <w:szCs w:val="44"/>
          <w:highlight w:val="none"/>
        </w:rPr>
      </w:pPr>
      <w:r>
        <w:rPr>
          <w:rFonts w:hint="eastAsia" w:ascii="宋体" w:hAnsi="宋体"/>
          <w:b/>
          <w:bCs/>
          <w:sz w:val="44"/>
          <w:szCs w:val="44"/>
          <w:highlight w:val="none"/>
        </w:rPr>
        <w:t xml:space="preserve"> </w:t>
      </w:r>
    </w:p>
    <w:p w14:paraId="1D11F779">
      <w:pPr>
        <w:rPr>
          <w:rFonts w:hint="eastAsia" w:ascii="宋体" w:hAnsi="宋体"/>
          <w:b/>
          <w:bCs/>
          <w:sz w:val="44"/>
          <w:szCs w:val="44"/>
          <w:highlight w:val="none"/>
        </w:rPr>
      </w:pPr>
      <w:r>
        <w:rPr>
          <w:rFonts w:hint="eastAsia" w:ascii="宋体" w:hAnsi="宋体"/>
          <w:b/>
          <w:bCs/>
          <w:sz w:val="44"/>
          <w:szCs w:val="44"/>
          <w:highlight w:val="none"/>
        </w:rPr>
        <w:t xml:space="preserve"> </w:t>
      </w:r>
    </w:p>
    <w:p w14:paraId="460FB322">
      <w:pPr>
        <w:rPr>
          <w:rFonts w:hint="eastAsia" w:ascii="宋体" w:hAnsi="宋体"/>
          <w:b/>
          <w:bCs/>
          <w:sz w:val="44"/>
          <w:szCs w:val="44"/>
          <w:highlight w:val="none"/>
        </w:rPr>
      </w:pPr>
      <w:r>
        <w:rPr>
          <w:rFonts w:hint="eastAsia" w:ascii="宋体" w:hAnsi="宋体"/>
          <w:b/>
          <w:bCs/>
          <w:sz w:val="44"/>
          <w:szCs w:val="44"/>
          <w:highlight w:val="none"/>
        </w:rPr>
        <w:t xml:space="preserve"> </w:t>
      </w:r>
    </w:p>
    <w:p w14:paraId="35517840">
      <w:pPr>
        <w:jc w:val="center"/>
        <w:rPr>
          <w:rFonts w:hint="eastAsia" w:ascii="宋体" w:hAnsi="宋体"/>
          <w:b/>
          <w:bCs/>
          <w:sz w:val="32"/>
          <w:szCs w:val="32"/>
          <w:highlight w:val="none"/>
        </w:rPr>
      </w:pPr>
      <w:r>
        <w:rPr>
          <w:rFonts w:hint="eastAsia" w:ascii="宋体" w:hAnsi="宋体"/>
          <w:b/>
          <w:bCs/>
          <w:sz w:val="52"/>
          <w:szCs w:val="52"/>
          <w:highlight w:val="none"/>
        </w:rPr>
        <w:t>投 标 文 件</w:t>
      </w:r>
    </w:p>
    <w:p w14:paraId="27265050">
      <w:pPr>
        <w:jc w:val="center"/>
        <w:outlineLvl w:val="2"/>
        <w:rPr>
          <w:rFonts w:hint="eastAsia" w:ascii="宋体" w:hAnsi="宋体"/>
          <w:b/>
          <w:bCs/>
          <w:sz w:val="32"/>
          <w:szCs w:val="32"/>
          <w:highlight w:val="none"/>
        </w:rPr>
      </w:pPr>
      <w:bookmarkStart w:id="252" w:name="_Toc23921"/>
      <w:r>
        <w:rPr>
          <w:rFonts w:hint="eastAsia" w:ascii="宋体" w:hAnsi="宋体"/>
          <w:b/>
          <w:bCs/>
          <w:sz w:val="32"/>
          <w:szCs w:val="32"/>
          <w:highlight w:val="none"/>
        </w:rPr>
        <w:t>商务技术部分</w:t>
      </w:r>
      <w:bookmarkEnd w:id="252"/>
    </w:p>
    <w:p w14:paraId="57E6379A">
      <w:pPr>
        <w:rPr>
          <w:rFonts w:hint="eastAsia" w:ascii="宋体" w:hAnsi="宋体"/>
          <w:b/>
          <w:bCs/>
          <w:sz w:val="44"/>
          <w:szCs w:val="44"/>
          <w:highlight w:val="none"/>
        </w:rPr>
      </w:pPr>
      <w:r>
        <w:rPr>
          <w:rFonts w:hint="eastAsia" w:ascii="宋体" w:hAnsi="宋体"/>
          <w:b/>
          <w:bCs/>
          <w:sz w:val="44"/>
          <w:szCs w:val="44"/>
          <w:highlight w:val="none"/>
        </w:rPr>
        <w:t xml:space="preserve"> </w:t>
      </w:r>
    </w:p>
    <w:p w14:paraId="3CDE51E4">
      <w:pPr>
        <w:rPr>
          <w:rFonts w:hint="eastAsia" w:ascii="宋体" w:hAnsi="宋体"/>
          <w:b/>
          <w:bCs/>
          <w:sz w:val="44"/>
          <w:szCs w:val="44"/>
          <w:highlight w:val="none"/>
        </w:rPr>
      </w:pPr>
      <w:r>
        <w:rPr>
          <w:rFonts w:hint="eastAsia" w:ascii="宋体" w:hAnsi="宋体"/>
          <w:b/>
          <w:bCs/>
          <w:sz w:val="44"/>
          <w:szCs w:val="44"/>
          <w:highlight w:val="none"/>
        </w:rPr>
        <w:t xml:space="preserve"> </w:t>
      </w:r>
    </w:p>
    <w:p w14:paraId="1AFC2CCA">
      <w:pPr>
        <w:rPr>
          <w:rFonts w:hint="eastAsia" w:ascii="宋体" w:hAnsi="宋体"/>
          <w:b/>
          <w:bCs/>
          <w:sz w:val="44"/>
          <w:szCs w:val="44"/>
          <w:highlight w:val="none"/>
        </w:rPr>
      </w:pPr>
      <w:r>
        <w:rPr>
          <w:rFonts w:hint="eastAsia" w:ascii="宋体" w:hAnsi="宋体"/>
          <w:b/>
          <w:bCs/>
          <w:sz w:val="44"/>
          <w:szCs w:val="44"/>
          <w:highlight w:val="none"/>
        </w:rPr>
        <w:t xml:space="preserve"> </w:t>
      </w:r>
    </w:p>
    <w:p w14:paraId="111A78C3">
      <w:pPr>
        <w:rPr>
          <w:rFonts w:hint="eastAsia" w:ascii="宋体" w:hAnsi="宋体"/>
          <w:b/>
          <w:bCs/>
          <w:sz w:val="44"/>
          <w:szCs w:val="44"/>
          <w:highlight w:val="none"/>
        </w:rPr>
      </w:pPr>
      <w:r>
        <w:rPr>
          <w:rFonts w:hint="eastAsia" w:ascii="宋体" w:hAnsi="宋体"/>
          <w:b/>
          <w:bCs/>
          <w:sz w:val="44"/>
          <w:szCs w:val="44"/>
          <w:highlight w:val="none"/>
        </w:rPr>
        <w:t xml:space="preserve"> </w:t>
      </w:r>
    </w:p>
    <w:p w14:paraId="132AB251">
      <w:pPr>
        <w:rPr>
          <w:rFonts w:hint="eastAsia" w:ascii="宋体" w:hAnsi="宋体"/>
          <w:b/>
          <w:bCs/>
          <w:sz w:val="44"/>
          <w:szCs w:val="44"/>
          <w:highlight w:val="none"/>
        </w:rPr>
      </w:pPr>
      <w:r>
        <w:rPr>
          <w:rFonts w:hint="eastAsia" w:ascii="宋体" w:hAnsi="宋体"/>
          <w:b/>
          <w:bCs/>
          <w:sz w:val="44"/>
          <w:szCs w:val="44"/>
          <w:highlight w:val="none"/>
        </w:rPr>
        <w:t xml:space="preserve"> </w:t>
      </w:r>
    </w:p>
    <w:p w14:paraId="590FD32D">
      <w:pPr>
        <w:ind w:left="0" w:leftChars="0" w:firstLine="1687" w:firstLineChars="600"/>
        <w:rPr>
          <w:rFonts w:hint="eastAsia" w:ascii="宋体" w:hAnsi="宋体"/>
          <w:b/>
          <w:sz w:val="28"/>
          <w:szCs w:val="28"/>
          <w:highlight w:val="none"/>
        </w:rPr>
      </w:pPr>
      <w:r>
        <w:rPr>
          <w:rFonts w:hint="eastAsia" w:ascii="宋体" w:hAnsi="宋体"/>
          <w:b/>
          <w:sz w:val="28"/>
          <w:szCs w:val="28"/>
          <w:highlight w:val="none"/>
        </w:rPr>
        <w:t>投标人：</w:t>
      </w:r>
      <w:r>
        <w:rPr>
          <w:rFonts w:hint="eastAsia" w:ascii="宋体" w:hAnsi="宋体"/>
          <w:b/>
          <w:sz w:val="28"/>
          <w:szCs w:val="28"/>
          <w:highlight w:val="none"/>
          <w:u w:val="single"/>
        </w:rPr>
        <w:tab/>
      </w:r>
      <w:r>
        <w:rPr>
          <w:rFonts w:hint="eastAsia" w:ascii="宋体" w:hAnsi="宋体"/>
          <w:b/>
          <w:sz w:val="28"/>
          <w:szCs w:val="28"/>
          <w:highlight w:val="none"/>
          <w:u w:val="single"/>
        </w:rPr>
        <w:t xml:space="preserve">           </w:t>
      </w:r>
      <w:r>
        <w:rPr>
          <w:rFonts w:hint="eastAsia" w:ascii="宋体" w:hAnsi="宋体"/>
          <w:b/>
          <w:sz w:val="28"/>
          <w:szCs w:val="28"/>
          <w:highlight w:val="none"/>
        </w:rPr>
        <w:t>(电子签章)</w:t>
      </w:r>
    </w:p>
    <w:p w14:paraId="51530F34">
      <w:pPr>
        <w:ind w:left="0" w:leftChars="0" w:firstLine="1687" w:firstLineChars="600"/>
        <w:rPr>
          <w:b/>
          <w:sz w:val="28"/>
          <w:szCs w:val="28"/>
          <w:highlight w:val="none"/>
        </w:rPr>
      </w:pPr>
      <w:r>
        <w:rPr>
          <w:rFonts w:hint="eastAsia" w:ascii="宋体" w:hAnsi="宋体"/>
          <w:b/>
          <w:sz w:val="28"/>
          <w:szCs w:val="28"/>
          <w:highlight w:val="none"/>
        </w:rPr>
        <w:t>法定代表人(单位负责人)或其委托代理人：</w:t>
      </w:r>
      <w:r>
        <w:rPr>
          <w:rFonts w:hint="eastAsia" w:ascii="宋体" w:hAnsi="宋体"/>
          <w:b/>
          <w:sz w:val="28"/>
          <w:szCs w:val="28"/>
          <w:highlight w:val="none"/>
          <w:u w:val="single"/>
        </w:rPr>
        <w:tab/>
      </w:r>
      <w:r>
        <w:rPr>
          <w:rFonts w:hint="eastAsia" w:ascii="宋体" w:hAnsi="宋体"/>
          <w:b/>
          <w:sz w:val="28"/>
          <w:szCs w:val="28"/>
          <w:highlight w:val="none"/>
          <w:u w:val="single"/>
        </w:rPr>
        <w:t xml:space="preserve">     </w:t>
      </w:r>
      <w:r>
        <w:rPr>
          <w:rFonts w:hint="eastAsia" w:ascii="宋体" w:hAnsi="宋体"/>
          <w:b/>
          <w:sz w:val="28"/>
          <w:szCs w:val="28"/>
          <w:highlight w:val="none"/>
        </w:rPr>
        <w:t>(电子签章)</w:t>
      </w:r>
    </w:p>
    <w:p w14:paraId="4C51B5C1">
      <w:pPr>
        <w:ind w:left="0" w:leftChars="0" w:firstLine="1687" w:firstLineChars="600"/>
        <w:rPr>
          <w:sz w:val="28"/>
          <w:szCs w:val="28"/>
          <w:highlight w:val="none"/>
        </w:rPr>
        <w:sectPr>
          <w:footerReference r:id="rId7" w:type="default"/>
          <w:pgSz w:w="11906" w:h="16838"/>
          <w:pgMar w:top="1191" w:right="1191" w:bottom="1191" w:left="1191" w:header="720" w:footer="720" w:gutter="0"/>
          <w:pgNumType w:fmt="decimal"/>
          <w:cols w:space="720" w:num="1"/>
          <w:docGrid w:type="lines" w:linePitch="317" w:charSpace="0"/>
        </w:sectPr>
      </w:pPr>
      <w:r>
        <w:rPr>
          <w:b/>
          <w:sz w:val="28"/>
          <w:szCs w:val="28"/>
          <w:highlight w:val="none"/>
        </w:rPr>
        <w:t>日期：</w:t>
      </w:r>
      <w:r>
        <w:rPr>
          <w:rFonts w:hint="eastAsia"/>
          <w:bCs/>
          <w:sz w:val="28"/>
          <w:szCs w:val="28"/>
          <w:highlight w:val="none"/>
          <w:u w:val="single"/>
        </w:rPr>
        <w:t xml:space="preserve">      </w:t>
      </w:r>
      <w:r>
        <w:rPr>
          <w:b/>
          <w:sz w:val="28"/>
          <w:szCs w:val="28"/>
          <w:highlight w:val="none"/>
        </w:rPr>
        <w:t>年</w:t>
      </w:r>
      <w:r>
        <w:rPr>
          <w:rFonts w:hint="eastAsia"/>
          <w:bCs/>
          <w:sz w:val="28"/>
          <w:szCs w:val="28"/>
          <w:highlight w:val="none"/>
          <w:u w:val="single"/>
        </w:rPr>
        <w:t xml:space="preserve">     </w:t>
      </w:r>
      <w:r>
        <w:rPr>
          <w:b/>
          <w:sz w:val="28"/>
          <w:szCs w:val="28"/>
          <w:highlight w:val="none"/>
        </w:rPr>
        <w:t>月</w:t>
      </w:r>
      <w:r>
        <w:rPr>
          <w:rFonts w:hint="eastAsia"/>
          <w:bCs/>
          <w:sz w:val="28"/>
          <w:szCs w:val="28"/>
          <w:highlight w:val="none"/>
          <w:u w:val="single"/>
        </w:rPr>
        <w:t xml:space="preserve">     </w:t>
      </w:r>
      <w:r>
        <w:rPr>
          <w:b/>
          <w:sz w:val="28"/>
          <w:szCs w:val="28"/>
          <w:highlight w:val="none"/>
        </w:rPr>
        <w:t>日</w:t>
      </w:r>
    </w:p>
    <w:p w14:paraId="1BE5383D">
      <w:pPr>
        <w:spacing w:line="240" w:lineRule="exact"/>
        <w:rPr>
          <w:rFonts w:hint="eastAsia" w:ascii="宋体" w:hAnsi="宋体"/>
          <w:sz w:val="28"/>
          <w:szCs w:val="28"/>
          <w:highlight w:val="none"/>
        </w:rPr>
      </w:pPr>
      <w:bookmarkStart w:id="253" w:name="_Toc28459"/>
      <w:bookmarkEnd w:id="253"/>
      <w:bookmarkStart w:id="254" w:name="_Toc31298"/>
      <w:bookmarkEnd w:id="254"/>
      <w:bookmarkStart w:id="255" w:name="_Toc10984"/>
      <w:bookmarkEnd w:id="255"/>
      <w:bookmarkStart w:id="256" w:name="_Toc15981"/>
      <w:bookmarkEnd w:id="256"/>
      <w:bookmarkStart w:id="257" w:name="_Toc29456"/>
    </w:p>
    <w:p w14:paraId="74CDAE33">
      <w:pPr>
        <w:pStyle w:val="4"/>
        <w:widowControl/>
        <w:autoSpaceDE w:val="0"/>
        <w:spacing w:before="0" w:after="0" w:line="240" w:lineRule="auto"/>
        <w:rPr>
          <w:rFonts w:hint="eastAsia" w:ascii="宋体" w:hAnsi="宋体"/>
          <w:szCs w:val="28"/>
          <w:highlight w:val="none"/>
        </w:rPr>
      </w:pPr>
      <w:bookmarkStart w:id="258" w:name="_Toc23832"/>
      <w:r>
        <w:rPr>
          <w:rFonts w:hint="eastAsia" w:ascii="宋体" w:hAnsi="宋体"/>
          <w:szCs w:val="28"/>
          <w:highlight w:val="none"/>
        </w:rPr>
        <w:t>一、开标一览表</w:t>
      </w:r>
      <w:bookmarkEnd w:id="257"/>
      <w:bookmarkEnd w:id="258"/>
    </w:p>
    <w:p w14:paraId="4237F123">
      <w:pPr>
        <w:spacing w:line="200" w:lineRule="exact"/>
        <w:rPr>
          <w:rFonts w:hint="eastAsia" w:ascii="宋体" w:hAnsi="宋体"/>
          <w:highlight w:val="none"/>
        </w:rPr>
      </w:pPr>
      <w:r>
        <w:rPr>
          <w:rFonts w:ascii="宋体" w:hAnsi="宋体"/>
          <w:highlight w:val="none"/>
        </w:rPr>
        <w:t xml:space="preserve"> </w:t>
      </w:r>
    </w:p>
    <w:p w14:paraId="4B4A553D">
      <w:pPr>
        <w:spacing w:line="480" w:lineRule="exact"/>
        <w:ind w:left="1400" w:hanging="1400" w:hangingChars="500"/>
        <w:rPr>
          <w:rFonts w:ascii="宋体" w:hAnsi="宋体"/>
          <w:sz w:val="28"/>
          <w:szCs w:val="28"/>
          <w:highlight w:val="none"/>
        </w:rPr>
      </w:pPr>
      <w:r>
        <w:rPr>
          <w:rFonts w:hint="eastAsia" w:ascii="宋体" w:hAnsi="宋体"/>
          <w:sz w:val="28"/>
          <w:szCs w:val="28"/>
          <w:highlight w:val="none"/>
        </w:rPr>
        <w:t xml:space="preserve"> </w:t>
      </w:r>
    </w:p>
    <w:p w14:paraId="1C64185F">
      <w:pPr>
        <w:spacing w:line="480" w:lineRule="exact"/>
        <w:ind w:left="1200" w:hanging="1200" w:hangingChars="500"/>
        <w:rPr>
          <w:rFonts w:hint="eastAsia" w:ascii="宋体" w:hAnsi="宋体"/>
          <w:sz w:val="24"/>
          <w:szCs w:val="24"/>
          <w:highlight w:val="none"/>
          <w:u w:val="single"/>
        </w:rPr>
      </w:pPr>
      <w:r>
        <w:rPr>
          <w:rFonts w:hint="eastAsia" w:ascii="宋体" w:hAnsi="宋体"/>
          <w:sz w:val="24"/>
          <w:szCs w:val="24"/>
          <w:highlight w:val="none"/>
        </w:rPr>
        <w:t>项目名称：</w:t>
      </w:r>
      <w:r>
        <w:rPr>
          <w:rFonts w:hint="eastAsia" w:ascii="宋体" w:hAnsi="宋体"/>
          <w:sz w:val="24"/>
          <w:szCs w:val="24"/>
          <w:highlight w:val="none"/>
          <w:lang w:val="en-US" w:eastAsia="zh-CN"/>
        </w:rPr>
        <w:t>沪滇协作香格里拉市人民医院粪便工作站、儿童肺功能仪等设备采购项目</w:t>
      </w:r>
    </w:p>
    <w:p w14:paraId="0E2ECDD6">
      <w:pPr>
        <w:spacing w:line="480" w:lineRule="exact"/>
        <w:rPr>
          <w:rFonts w:hint="eastAsia" w:ascii="宋体" w:hAnsi="宋体"/>
          <w:sz w:val="24"/>
          <w:szCs w:val="24"/>
          <w:highlight w:val="none"/>
        </w:rPr>
      </w:pPr>
      <w:r>
        <w:rPr>
          <w:rFonts w:hint="eastAsia" w:ascii="宋体" w:hAnsi="宋体"/>
          <w:sz w:val="24"/>
          <w:szCs w:val="24"/>
          <w:highlight w:val="none"/>
        </w:rPr>
        <w:t>招标编号：</w:t>
      </w:r>
      <w:r>
        <w:rPr>
          <w:rFonts w:hint="eastAsia" w:ascii="宋体" w:hAnsi="宋体" w:cs="宋体"/>
          <w:color w:val="auto"/>
          <w:kern w:val="2"/>
          <w:sz w:val="24"/>
          <w:szCs w:val="24"/>
          <w:highlight w:val="none"/>
          <w:lang w:eastAsia="zh-CN" w:bidi="ar"/>
        </w:rPr>
        <w:t xml:space="preserve">DQZC2025-G1-00161-YNYZ-0018 </w:t>
      </w:r>
      <w:r>
        <w:rPr>
          <w:rFonts w:hint="eastAsia" w:ascii="宋体" w:hAnsi="宋体"/>
          <w:sz w:val="24"/>
          <w:szCs w:val="24"/>
          <w:highlight w:val="none"/>
        </w:rPr>
        <w:t xml:space="preserve"> </w:t>
      </w:r>
    </w:p>
    <w:tbl>
      <w:tblPr>
        <w:tblStyle w:val="27"/>
        <w:tblW w:w="0" w:type="auto"/>
        <w:tblInd w:w="0" w:type="dxa"/>
        <w:tblLayout w:type="fixed"/>
        <w:tblCellMar>
          <w:top w:w="0" w:type="dxa"/>
          <w:left w:w="108" w:type="dxa"/>
          <w:bottom w:w="0" w:type="dxa"/>
          <w:right w:w="108" w:type="dxa"/>
        </w:tblCellMar>
      </w:tblPr>
      <w:tblGrid>
        <w:gridCol w:w="2222"/>
        <w:gridCol w:w="2302"/>
        <w:gridCol w:w="2386"/>
        <w:gridCol w:w="2421"/>
      </w:tblGrid>
      <w:tr w14:paraId="32B9336C">
        <w:tblPrEx>
          <w:tblCellMar>
            <w:top w:w="0" w:type="dxa"/>
            <w:left w:w="108" w:type="dxa"/>
            <w:bottom w:w="0" w:type="dxa"/>
            <w:right w:w="108" w:type="dxa"/>
          </w:tblCellMar>
        </w:tblPrEx>
        <w:trPr>
          <w:cantSplit/>
          <w:trHeight w:val="877" w:hRule="atLeast"/>
        </w:trPr>
        <w:tc>
          <w:tcPr>
            <w:tcW w:w="2222" w:type="dxa"/>
            <w:tcBorders>
              <w:top w:val="single" w:color="auto" w:sz="4" w:space="0"/>
              <w:left w:val="single" w:color="auto" w:sz="4" w:space="0"/>
              <w:bottom w:val="single" w:color="auto" w:sz="4" w:space="0"/>
              <w:right w:val="single" w:color="auto" w:sz="4" w:space="0"/>
            </w:tcBorders>
            <w:noWrap w:val="0"/>
            <w:vAlign w:val="center"/>
          </w:tcPr>
          <w:p w14:paraId="74675636">
            <w:pPr>
              <w:adjustRightInd w:val="0"/>
              <w:snapToGrid w:val="0"/>
              <w:spacing w:line="440" w:lineRule="exact"/>
              <w:jc w:val="center"/>
              <w:rPr>
                <w:rFonts w:ascii="宋体" w:hAnsi="宋体"/>
                <w:b/>
                <w:bCs/>
                <w:kern w:val="2"/>
                <w:sz w:val="24"/>
                <w:szCs w:val="24"/>
                <w:highlight w:val="none"/>
              </w:rPr>
            </w:pPr>
            <w:r>
              <w:rPr>
                <w:rFonts w:hint="eastAsia" w:ascii="宋体" w:hAnsi="宋体"/>
                <w:b/>
                <w:bCs/>
                <w:kern w:val="2"/>
                <w:sz w:val="24"/>
                <w:szCs w:val="24"/>
                <w:highlight w:val="none"/>
              </w:rPr>
              <w:t>投标总价(元)</w:t>
            </w:r>
          </w:p>
        </w:tc>
        <w:tc>
          <w:tcPr>
            <w:tcW w:w="2302" w:type="dxa"/>
            <w:tcBorders>
              <w:top w:val="single" w:color="auto" w:sz="4" w:space="0"/>
              <w:left w:val="nil"/>
              <w:bottom w:val="single" w:color="auto" w:sz="4" w:space="0"/>
              <w:right w:val="single" w:color="auto" w:sz="4" w:space="0"/>
            </w:tcBorders>
            <w:noWrap w:val="0"/>
            <w:vAlign w:val="center"/>
          </w:tcPr>
          <w:p w14:paraId="37EDF387">
            <w:pPr>
              <w:adjustRightInd w:val="0"/>
              <w:snapToGrid w:val="0"/>
              <w:spacing w:line="440" w:lineRule="exact"/>
              <w:jc w:val="center"/>
              <w:rPr>
                <w:rFonts w:ascii="宋体" w:hAnsi="宋体"/>
                <w:b/>
                <w:bCs/>
                <w:kern w:val="2"/>
                <w:sz w:val="24"/>
                <w:szCs w:val="24"/>
                <w:highlight w:val="none"/>
              </w:rPr>
            </w:pPr>
            <w:r>
              <w:rPr>
                <w:rFonts w:hint="eastAsia" w:ascii="宋体" w:hAnsi="宋体"/>
                <w:b/>
                <w:bCs/>
                <w:kern w:val="2"/>
                <w:sz w:val="24"/>
                <w:szCs w:val="24"/>
                <w:highlight w:val="none"/>
              </w:rPr>
              <w:t>交货期</w:t>
            </w:r>
          </w:p>
        </w:tc>
        <w:tc>
          <w:tcPr>
            <w:tcW w:w="2386" w:type="dxa"/>
            <w:tcBorders>
              <w:top w:val="single" w:color="auto" w:sz="4" w:space="0"/>
              <w:left w:val="nil"/>
              <w:bottom w:val="single" w:color="auto" w:sz="4" w:space="0"/>
              <w:right w:val="single" w:color="auto" w:sz="4" w:space="0"/>
            </w:tcBorders>
            <w:noWrap w:val="0"/>
            <w:vAlign w:val="center"/>
          </w:tcPr>
          <w:p w14:paraId="126D89CD">
            <w:pPr>
              <w:adjustRightInd w:val="0"/>
              <w:snapToGrid w:val="0"/>
              <w:spacing w:line="440" w:lineRule="exact"/>
              <w:jc w:val="center"/>
              <w:rPr>
                <w:rFonts w:hint="eastAsia" w:ascii="宋体" w:hAnsi="宋体" w:eastAsia="宋体"/>
                <w:b/>
                <w:bCs/>
                <w:kern w:val="2"/>
                <w:sz w:val="24"/>
                <w:szCs w:val="24"/>
                <w:highlight w:val="none"/>
                <w:lang w:eastAsia="zh-CN"/>
              </w:rPr>
            </w:pPr>
            <w:r>
              <w:rPr>
                <w:rFonts w:hint="eastAsia" w:ascii="宋体" w:hAnsi="宋体"/>
                <w:b/>
                <w:bCs/>
                <w:color w:val="auto"/>
                <w:kern w:val="2"/>
                <w:sz w:val="24"/>
                <w:szCs w:val="24"/>
                <w:highlight w:val="none"/>
                <w:lang w:val="en-US" w:eastAsia="zh-CN"/>
              </w:rPr>
              <w:t>质保期</w:t>
            </w:r>
          </w:p>
        </w:tc>
        <w:tc>
          <w:tcPr>
            <w:tcW w:w="2421" w:type="dxa"/>
            <w:tcBorders>
              <w:top w:val="single" w:color="auto" w:sz="4" w:space="0"/>
              <w:left w:val="nil"/>
              <w:bottom w:val="single" w:color="auto" w:sz="4" w:space="0"/>
              <w:right w:val="single" w:color="auto" w:sz="4" w:space="0"/>
            </w:tcBorders>
            <w:noWrap w:val="0"/>
            <w:vAlign w:val="center"/>
          </w:tcPr>
          <w:p w14:paraId="01F142D6">
            <w:pPr>
              <w:adjustRightInd w:val="0"/>
              <w:snapToGrid w:val="0"/>
              <w:spacing w:line="440" w:lineRule="exact"/>
              <w:jc w:val="center"/>
              <w:rPr>
                <w:rFonts w:hint="eastAsia" w:ascii="宋体" w:hAnsi="宋体" w:eastAsia="宋体"/>
                <w:b/>
                <w:bCs/>
                <w:kern w:val="2"/>
                <w:sz w:val="24"/>
                <w:szCs w:val="24"/>
                <w:highlight w:val="none"/>
                <w:lang w:eastAsia="zh-CN"/>
              </w:rPr>
            </w:pPr>
            <w:r>
              <w:rPr>
                <w:rFonts w:hint="eastAsia" w:ascii="宋体" w:hAnsi="宋体"/>
                <w:b/>
                <w:bCs/>
                <w:kern w:val="2"/>
                <w:sz w:val="24"/>
                <w:szCs w:val="24"/>
                <w:highlight w:val="none"/>
                <w:lang w:val="en-US" w:eastAsia="zh-CN"/>
              </w:rPr>
              <w:t>备注</w:t>
            </w:r>
          </w:p>
        </w:tc>
      </w:tr>
      <w:tr w14:paraId="08908A5B">
        <w:tblPrEx>
          <w:tblCellMar>
            <w:top w:w="0" w:type="dxa"/>
            <w:left w:w="108" w:type="dxa"/>
            <w:bottom w:w="0" w:type="dxa"/>
            <w:right w:w="108" w:type="dxa"/>
          </w:tblCellMar>
        </w:tblPrEx>
        <w:trPr>
          <w:cantSplit/>
          <w:trHeight w:val="1212" w:hRule="atLeast"/>
        </w:trPr>
        <w:tc>
          <w:tcPr>
            <w:tcW w:w="2222" w:type="dxa"/>
            <w:tcBorders>
              <w:top w:val="single" w:color="auto" w:sz="4" w:space="0"/>
              <w:left w:val="single" w:color="auto" w:sz="4" w:space="0"/>
              <w:bottom w:val="single" w:color="auto" w:sz="4" w:space="0"/>
              <w:right w:val="single" w:color="auto" w:sz="4" w:space="0"/>
            </w:tcBorders>
            <w:noWrap w:val="0"/>
            <w:vAlign w:val="center"/>
          </w:tcPr>
          <w:p w14:paraId="19918331">
            <w:pPr>
              <w:spacing w:line="460" w:lineRule="exact"/>
              <w:jc w:val="left"/>
              <w:rPr>
                <w:rFonts w:ascii="宋体" w:hAnsi="宋体"/>
                <w:b/>
                <w:bCs/>
                <w:kern w:val="2"/>
                <w:sz w:val="24"/>
                <w:szCs w:val="24"/>
                <w:highlight w:val="none"/>
              </w:rPr>
            </w:pPr>
            <w:r>
              <w:rPr>
                <w:rFonts w:hint="eastAsia" w:ascii="宋体" w:hAnsi="宋体"/>
                <w:b/>
                <w:bCs/>
                <w:kern w:val="2"/>
                <w:sz w:val="24"/>
                <w:szCs w:val="24"/>
                <w:highlight w:val="none"/>
                <w:lang w:eastAsia="zh-CN"/>
              </w:rPr>
              <w:t>小写：</w:t>
            </w:r>
          </w:p>
        </w:tc>
        <w:tc>
          <w:tcPr>
            <w:tcW w:w="2302" w:type="dxa"/>
            <w:tcBorders>
              <w:top w:val="single" w:color="auto" w:sz="4" w:space="0"/>
              <w:left w:val="nil"/>
              <w:bottom w:val="single" w:color="auto" w:sz="4" w:space="0"/>
              <w:right w:val="single" w:color="auto" w:sz="4" w:space="0"/>
            </w:tcBorders>
            <w:noWrap w:val="0"/>
            <w:vAlign w:val="center"/>
          </w:tcPr>
          <w:p w14:paraId="3950E45C">
            <w:pPr>
              <w:spacing w:line="460" w:lineRule="exact"/>
              <w:jc w:val="center"/>
              <w:rPr>
                <w:rFonts w:ascii="宋体" w:hAnsi="宋体"/>
                <w:b/>
                <w:bCs/>
                <w:kern w:val="2"/>
                <w:sz w:val="24"/>
                <w:szCs w:val="24"/>
                <w:highlight w:val="none"/>
              </w:rPr>
            </w:pPr>
          </w:p>
        </w:tc>
        <w:tc>
          <w:tcPr>
            <w:tcW w:w="2386" w:type="dxa"/>
            <w:tcBorders>
              <w:top w:val="single" w:color="auto" w:sz="4" w:space="0"/>
              <w:left w:val="nil"/>
              <w:bottom w:val="single" w:color="auto" w:sz="4" w:space="0"/>
              <w:right w:val="single" w:color="auto" w:sz="4" w:space="0"/>
            </w:tcBorders>
            <w:noWrap w:val="0"/>
            <w:vAlign w:val="center"/>
          </w:tcPr>
          <w:p w14:paraId="59AFA2C5">
            <w:pPr>
              <w:spacing w:line="460" w:lineRule="exact"/>
              <w:jc w:val="center"/>
              <w:rPr>
                <w:rFonts w:ascii="宋体" w:hAnsi="宋体"/>
                <w:b/>
                <w:bCs/>
                <w:kern w:val="2"/>
                <w:sz w:val="24"/>
                <w:szCs w:val="24"/>
                <w:highlight w:val="none"/>
              </w:rPr>
            </w:pPr>
          </w:p>
        </w:tc>
        <w:tc>
          <w:tcPr>
            <w:tcW w:w="2421" w:type="dxa"/>
            <w:tcBorders>
              <w:top w:val="single" w:color="auto" w:sz="4" w:space="0"/>
              <w:left w:val="nil"/>
              <w:bottom w:val="single" w:color="auto" w:sz="4" w:space="0"/>
              <w:right w:val="single" w:color="auto" w:sz="4" w:space="0"/>
            </w:tcBorders>
            <w:noWrap w:val="0"/>
            <w:vAlign w:val="center"/>
          </w:tcPr>
          <w:p w14:paraId="6EF12970">
            <w:pPr>
              <w:spacing w:line="460" w:lineRule="exact"/>
              <w:jc w:val="center"/>
              <w:rPr>
                <w:rFonts w:ascii="宋体" w:hAnsi="宋体"/>
                <w:b/>
                <w:bCs/>
                <w:kern w:val="2"/>
                <w:sz w:val="24"/>
                <w:szCs w:val="24"/>
                <w:highlight w:val="none"/>
              </w:rPr>
            </w:pPr>
          </w:p>
        </w:tc>
      </w:tr>
      <w:tr w14:paraId="326D9D88">
        <w:tblPrEx>
          <w:tblCellMar>
            <w:top w:w="0" w:type="dxa"/>
            <w:left w:w="108" w:type="dxa"/>
            <w:bottom w:w="0" w:type="dxa"/>
            <w:right w:w="108" w:type="dxa"/>
          </w:tblCellMar>
        </w:tblPrEx>
        <w:trPr>
          <w:cantSplit/>
          <w:trHeight w:val="687" w:hRule="atLeast"/>
        </w:trPr>
        <w:tc>
          <w:tcPr>
            <w:tcW w:w="9331" w:type="dxa"/>
            <w:gridSpan w:val="4"/>
            <w:tcBorders>
              <w:left w:val="single" w:color="auto" w:sz="4" w:space="0"/>
              <w:bottom w:val="single" w:color="auto" w:sz="4" w:space="0"/>
              <w:right w:val="single" w:color="auto" w:sz="4" w:space="0"/>
            </w:tcBorders>
            <w:noWrap w:val="0"/>
            <w:vAlign w:val="center"/>
          </w:tcPr>
          <w:p w14:paraId="486C74F0">
            <w:pPr>
              <w:spacing w:line="460" w:lineRule="exact"/>
              <w:jc w:val="left"/>
              <w:rPr>
                <w:rFonts w:ascii="宋体" w:hAnsi="宋体"/>
                <w:b/>
                <w:bCs/>
                <w:kern w:val="2"/>
                <w:sz w:val="24"/>
                <w:szCs w:val="24"/>
                <w:highlight w:val="none"/>
              </w:rPr>
            </w:pPr>
            <w:r>
              <w:rPr>
                <w:rFonts w:hint="eastAsia" w:ascii="宋体" w:hAnsi="宋体"/>
                <w:b/>
                <w:bCs/>
                <w:kern w:val="2"/>
                <w:sz w:val="24"/>
                <w:szCs w:val="24"/>
                <w:highlight w:val="none"/>
              </w:rPr>
              <w:t>投标总价(</w:t>
            </w:r>
            <w:r>
              <w:rPr>
                <w:rFonts w:hint="eastAsia" w:ascii="宋体" w:hAnsi="宋体"/>
                <w:b/>
                <w:bCs/>
                <w:kern w:val="2"/>
                <w:sz w:val="24"/>
                <w:szCs w:val="24"/>
                <w:highlight w:val="none"/>
                <w:lang w:eastAsia="zh-CN"/>
              </w:rPr>
              <w:t>大写）：</w:t>
            </w:r>
          </w:p>
        </w:tc>
      </w:tr>
    </w:tbl>
    <w:p w14:paraId="1D44FC99">
      <w:pPr>
        <w:spacing w:line="420" w:lineRule="exact"/>
        <w:ind w:right="-309" w:rightChars="-147"/>
        <w:rPr>
          <w:rFonts w:hint="eastAsia" w:ascii="宋体" w:hAnsi="宋体"/>
          <w:sz w:val="28"/>
          <w:szCs w:val="28"/>
          <w:highlight w:val="none"/>
        </w:rPr>
      </w:pPr>
      <w:r>
        <w:rPr>
          <w:rFonts w:hint="eastAsia" w:ascii="宋体" w:hAnsi="宋体"/>
          <w:sz w:val="28"/>
          <w:szCs w:val="28"/>
          <w:highlight w:val="none"/>
        </w:rPr>
        <w:t xml:space="preserve"> </w:t>
      </w:r>
    </w:p>
    <w:p w14:paraId="1F3ECD70">
      <w:pPr>
        <w:spacing w:line="600" w:lineRule="atLeast"/>
        <w:rPr>
          <w:rFonts w:hint="eastAsia" w:ascii="宋体" w:hAnsi="宋体"/>
          <w:sz w:val="28"/>
          <w:szCs w:val="28"/>
          <w:highlight w:val="none"/>
        </w:rPr>
      </w:pPr>
      <w:r>
        <w:rPr>
          <w:rFonts w:hint="eastAsia" w:ascii="宋体" w:hAnsi="宋体"/>
          <w:sz w:val="28"/>
          <w:szCs w:val="28"/>
          <w:highlight w:val="none"/>
        </w:rPr>
        <w:t xml:space="preserve"> </w:t>
      </w:r>
    </w:p>
    <w:p w14:paraId="504E031B">
      <w:pPr>
        <w:spacing w:line="600" w:lineRule="atLeast"/>
        <w:rPr>
          <w:rFonts w:hint="eastAsia" w:ascii="宋体" w:hAnsi="宋体"/>
          <w:sz w:val="28"/>
          <w:szCs w:val="28"/>
          <w:highlight w:val="none"/>
        </w:rPr>
      </w:pPr>
      <w:r>
        <w:rPr>
          <w:rFonts w:hint="eastAsia" w:ascii="宋体" w:hAnsi="宋体"/>
          <w:sz w:val="28"/>
          <w:szCs w:val="28"/>
          <w:highlight w:val="none"/>
        </w:rPr>
        <w:t xml:space="preserve">  </w:t>
      </w:r>
    </w:p>
    <w:p w14:paraId="1B79BBFA">
      <w:pPr>
        <w:pStyle w:val="11"/>
      </w:pPr>
    </w:p>
    <w:p w14:paraId="47A0A646">
      <w:pPr>
        <w:ind w:firstLine="1968" w:firstLineChars="700"/>
        <w:rPr>
          <w:rFonts w:hint="eastAsia" w:ascii="宋体" w:hAnsi="宋体"/>
          <w:b/>
          <w:sz w:val="28"/>
          <w:szCs w:val="28"/>
          <w:highlight w:val="none"/>
        </w:rPr>
      </w:pPr>
      <w:r>
        <w:rPr>
          <w:rFonts w:hint="eastAsia" w:ascii="宋体" w:hAnsi="宋体"/>
          <w:b/>
          <w:sz w:val="28"/>
          <w:szCs w:val="28"/>
          <w:highlight w:val="none"/>
        </w:rPr>
        <w:t>投标人：</w:t>
      </w:r>
      <w:r>
        <w:rPr>
          <w:rFonts w:hint="eastAsia" w:ascii="宋体" w:hAnsi="宋体"/>
          <w:b/>
          <w:sz w:val="28"/>
          <w:szCs w:val="28"/>
          <w:highlight w:val="none"/>
          <w:u w:val="single"/>
        </w:rPr>
        <w:tab/>
      </w:r>
      <w:r>
        <w:rPr>
          <w:rFonts w:hint="eastAsia" w:ascii="宋体" w:hAnsi="宋体"/>
          <w:b/>
          <w:sz w:val="28"/>
          <w:szCs w:val="28"/>
          <w:highlight w:val="none"/>
          <w:u w:val="single"/>
        </w:rPr>
        <w:t xml:space="preserve">           </w:t>
      </w:r>
      <w:r>
        <w:rPr>
          <w:rFonts w:hint="eastAsia" w:ascii="宋体" w:hAnsi="宋体"/>
          <w:b/>
          <w:sz w:val="28"/>
          <w:szCs w:val="28"/>
          <w:highlight w:val="none"/>
        </w:rPr>
        <w:t>(电子签章)</w:t>
      </w:r>
    </w:p>
    <w:p w14:paraId="7EE6263A">
      <w:pPr>
        <w:ind w:firstLine="1687" w:firstLineChars="600"/>
        <w:rPr>
          <w:b/>
          <w:sz w:val="28"/>
          <w:szCs w:val="28"/>
          <w:highlight w:val="none"/>
        </w:rPr>
      </w:pPr>
      <w:r>
        <w:rPr>
          <w:rFonts w:hint="eastAsia" w:ascii="宋体" w:hAnsi="宋体"/>
          <w:b/>
          <w:sz w:val="28"/>
          <w:szCs w:val="28"/>
          <w:highlight w:val="none"/>
        </w:rPr>
        <w:t>法定代表人(单位负责人)或其委托代理人：</w:t>
      </w:r>
      <w:r>
        <w:rPr>
          <w:rFonts w:hint="eastAsia" w:ascii="宋体" w:hAnsi="宋体"/>
          <w:b/>
          <w:sz w:val="28"/>
          <w:szCs w:val="28"/>
          <w:highlight w:val="none"/>
          <w:u w:val="single"/>
        </w:rPr>
        <w:tab/>
      </w:r>
      <w:r>
        <w:rPr>
          <w:rFonts w:hint="eastAsia" w:ascii="宋体" w:hAnsi="宋体"/>
          <w:b/>
          <w:sz w:val="28"/>
          <w:szCs w:val="28"/>
          <w:highlight w:val="none"/>
          <w:u w:val="single"/>
        </w:rPr>
        <w:t xml:space="preserve">     </w:t>
      </w:r>
      <w:r>
        <w:rPr>
          <w:rFonts w:hint="eastAsia" w:ascii="宋体" w:hAnsi="宋体"/>
          <w:b/>
          <w:sz w:val="28"/>
          <w:szCs w:val="28"/>
          <w:highlight w:val="none"/>
        </w:rPr>
        <w:t>(电子签章)</w:t>
      </w:r>
    </w:p>
    <w:p w14:paraId="4B7C7488">
      <w:pPr>
        <w:ind w:firstLine="1968" w:firstLineChars="700"/>
        <w:rPr>
          <w:sz w:val="28"/>
          <w:szCs w:val="28"/>
          <w:highlight w:val="none"/>
        </w:rPr>
        <w:sectPr>
          <w:footerReference r:id="rId8" w:type="default"/>
          <w:pgSz w:w="11906" w:h="16838"/>
          <w:pgMar w:top="1191" w:right="1191" w:bottom="1191" w:left="1191" w:header="720" w:footer="720" w:gutter="0"/>
          <w:pgNumType w:fmt="decimal"/>
          <w:cols w:space="720" w:num="1"/>
          <w:docGrid w:type="lines" w:linePitch="317" w:charSpace="0"/>
        </w:sectPr>
      </w:pPr>
      <w:r>
        <w:rPr>
          <w:b/>
          <w:sz w:val="28"/>
          <w:szCs w:val="28"/>
          <w:highlight w:val="none"/>
        </w:rPr>
        <w:t>日期：</w:t>
      </w:r>
      <w:r>
        <w:rPr>
          <w:rFonts w:hint="eastAsia"/>
          <w:bCs/>
          <w:sz w:val="28"/>
          <w:szCs w:val="28"/>
          <w:highlight w:val="none"/>
          <w:u w:val="single"/>
        </w:rPr>
        <w:t xml:space="preserve">      </w:t>
      </w:r>
      <w:r>
        <w:rPr>
          <w:b/>
          <w:sz w:val="28"/>
          <w:szCs w:val="28"/>
          <w:highlight w:val="none"/>
        </w:rPr>
        <w:t>年</w:t>
      </w:r>
      <w:r>
        <w:rPr>
          <w:rFonts w:hint="eastAsia"/>
          <w:bCs/>
          <w:sz w:val="28"/>
          <w:szCs w:val="28"/>
          <w:highlight w:val="none"/>
          <w:u w:val="single"/>
        </w:rPr>
        <w:t xml:space="preserve">     </w:t>
      </w:r>
      <w:r>
        <w:rPr>
          <w:b/>
          <w:sz w:val="28"/>
          <w:szCs w:val="28"/>
          <w:highlight w:val="none"/>
        </w:rPr>
        <w:t>月</w:t>
      </w:r>
      <w:r>
        <w:rPr>
          <w:rFonts w:hint="eastAsia"/>
          <w:bCs/>
          <w:sz w:val="28"/>
          <w:szCs w:val="28"/>
          <w:highlight w:val="none"/>
          <w:u w:val="single"/>
        </w:rPr>
        <w:t xml:space="preserve">     </w:t>
      </w:r>
      <w:r>
        <w:rPr>
          <w:b/>
          <w:sz w:val="28"/>
          <w:szCs w:val="28"/>
          <w:highlight w:val="none"/>
        </w:rPr>
        <w:t>日</w:t>
      </w:r>
    </w:p>
    <w:p w14:paraId="7C076A1A">
      <w:pPr>
        <w:pStyle w:val="4"/>
        <w:widowControl/>
        <w:autoSpaceDE w:val="0"/>
        <w:spacing w:before="0" w:after="0" w:line="240" w:lineRule="auto"/>
        <w:rPr>
          <w:rFonts w:hint="eastAsia" w:ascii="宋体" w:hAnsi="宋体"/>
          <w:szCs w:val="28"/>
          <w:highlight w:val="none"/>
        </w:rPr>
      </w:pPr>
      <w:bookmarkStart w:id="259" w:name="_Toc17435"/>
      <w:bookmarkEnd w:id="259"/>
      <w:bookmarkStart w:id="260" w:name="_Toc22942"/>
      <w:bookmarkStart w:id="261" w:name="_Toc2521"/>
      <w:r>
        <w:rPr>
          <w:rFonts w:hint="eastAsia" w:ascii="宋体" w:hAnsi="宋体"/>
          <w:szCs w:val="28"/>
          <w:highlight w:val="none"/>
        </w:rPr>
        <w:t>二、投标函</w:t>
      </w:r>
      <w:bookmarkEnd w:id="260"/>
      <w:bookmarkEnd w:id="261"/>
    </w:p>
    <w:p w14:paraId="161D4F0B">
      <w:pPr>
        <w:spacing w:line="360" w:lineRule="auto"/>
        <w:rPr>
          <w:rFonts w:hint="eastAsia" w:ascii="宋体" w:hAnsi="宋体"/>
          <w:sz w:val="24"/>
          <w:szCs w:val="24"/>
          <w:highlight w:val="none"/>
          <w:u w:val="single"/>
        </w:rPr>
      </w:pPr>
    </w:p>
    <w:p w14:paraId="28639ADF">
      <w:pPr>
        <w:spacing w:line="360" w:lineRule="auto"/>
        <w:rPr>
          <w:rFonts w:hint="eastAsia" w:ascii="宋体" w:hAnsi="宋体"/>
          <w:sz w:val="24"/>
          <w:szCs w:val="24"/>
          <w:highlight w:val="none"/>
        </w:rPr>
      </w:pPr>
      <w:r>
        <w:rPr>
          <w:rFonts w:hint="eastAsia" w:ascii="宋体" w:hAnsi="宋体"/>
          <w:sz w:val="24"/>
          <w:szCs w:val="24"/>
          <w:highlight w:val="none"/>
          <w:u w:val="single"/>
        </w:rPr>
        <w:t xml:space="preserve">             </w:t>
      </w:r>
      <w:r>
        <w:rPr>
          <w:rFonts w:hint="eastAsia" w:ascii="宋体" w:hAnsi="宋体"/>
          <w:sz w:val="24"/>
          <w:szCs w:val="24"/>
          <w:highlight w:val="none"/>
        </w:rPr>
        <w:t>(采购人名称)：</w:t>
      </w:r>
    </w:p>
    <w:p w14:paraId="27C1F1C4">
      <w:pPr>
        <w:autoSpaceDE w:val="0"/>
        <w:autoSpaceDN w:val="0"/>
        <w:adjustRightInd w:val="0"/>
        <w:snapToGrid w:val="0"/>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我方已仔细研究了</w:t>
      </w:r>
      <w:r>
        <w:rPr>
          <w:rFonts w:hint="eastAsia" w:ascii="宋体" w:hAnsi="宋体"/>
          <w:sz w:val="24"/>
          <w:szCs w:val="24"/>
          <w:highlight w:val="none"/>
          <w:u w:val="single"/>
        </w:rPr>
        <w:t xml:space="preserve">              </w:t>
      </w:r>
      <w:r>
        <w:rPr>
          <w:rFonts w:hint="eastAsia" w:ascii="宋体" w:hAnsi="宋体"/>
          <w:sz w:val="24"/>
          <w:szCs w:val="24"/>
          <w:highlight w:val="none"/>
        </w:rPr>
        <w:t>(项目名称)招标文件的全部内容，</w:t>
      </w:r>
      <w:r>
        <w:rPr>
          <w:rFonts w:hint="eastAsia" w:ascii="宋体" w:hAnsi="宋体" w:cs="仿宋_GB2312"/>
          <w:sz w:val="24"/>
          <w:highlight w:val="none"/>
        </w:rPr>
        <w:t>且对招标文件无任何异议，并愿意以“开标一览表”所填写的投标总价，</w:t>
      </w:r>
      <w:r>
        <w:rPr>
          <w:rFonts w:hint="eastAsia" w:ascii="宋体" w:hAnsi="宋体" w:cs="TimesNewRomanPSMT"/>
          <w:sz w:val="24"/>
          <w:highlight w:val="none"/>
        </w:rPr>
        <w:t>向你方</w:t>
      </w:r>
      <w:r>
        <w:rPr>
          <w:rFonts w:hint="eastAsia" w:ascii="宋体" w:hAnsi="宋体"/>
          <w:sz w:val="24"/>
          <w:highlight w:val="none"/>
        </w:rPr>
        <w:t>提供招标文件要求的</w:t>
      </w:r>
      <w:r>
        <w:rPr>
          <w:rFonts w:hint="eastAsia" w:ascii="宋体" w:hAnsi="宋体" w:cs="仿宋_GB2312"/>
          <w:sz w:val="24"/>
          <w:highlight w:val="none"/>
        </w:rPr>
        <w:t>货物。</w:t>
      </w:r>
      <w:r>
        <w:rPr>
          <w:rFonts w:hint="eastAsia" w:ascii="宋体" w:hAnsi="宋体"/>
          <w:sz w:val="24"/>
          <w:szCs w:val="24"/>
          <w:highlight w:val="none"/>
        </w:rPr>
        <w:t xml:space="preserve">    </w:t>
      </w:r>
    </w:p>
    <w:p w14:paraId="566BB565">
      <w:pPr>
        <w:numPr>
          <w:ilvl w:val="0"/>
          <w:numId w:val="8"/>
        </w:numPr>
        <w:autoSpaceDE w:val="0"/>
        <w:autoSpaceDN w:val="0"/>
        <w:adjustRightInd w:val="0"/>
        <w:snapToGrid w:val="0"/>
        <w:spacing w:line="360" w:lineRule="auto"/>
        <w:ind w:firstLine="480" w:firstLineChars="200"/>
        <w:rPr>
          <w:rFonts w:hint="eastAsia" w:ascii="宋体" w:hAnsi="宋体" w:cs="TimesNewRomanPSMT"/>
          <w:color w:val="auto"/>
          <w:sz w:val="24"/>
          <w:highlight w:val="none"/>
        </w:rPr>
      </w:pPr>
      <w:r>
        <w:rPr>
          <w:rFonts w:hint="eastAsia" w:ascii="宋体" w:hAnsi="宋体" w:cs="TimesNewRomanPSMT"/>
          <w:sz w:val="24"/>
          <w:highlight w:val="none"/>
        </w:rPr>
        <w:t>我方承诺在投标有效期内不修改或撤销投标文件。否则，你方可不予退还我方的投标保证金。</w:t>
      </w:r>
    </w:p>
    <w:p w14:paraId="3C2D5A92">
      <w:pPr>
        <w:autoSpaceDE w:val="0"/>
        <w:autoSpaceDN w:val="0"/>
        <w:adjustRightInd w:val="0"/>
        <w:snapToGrid w:val="0"/>
        <w:spacing w:line="360" w:lineRule="auto"/>
        <w:ind w:firstLine="480" w:firstLineChars="200"/>
        <w:rPr>
          <w:rFonts w:ascii="宋体" w:hAnsi="宋体" w:cs="TimesNewRomanPSMT"/>
          <w:color w:val="auto"/>
          <w:sz w:val="24"/>
          <w:highlight w:val="none"/>
        </w:rPr>
      </w:pPr>
      <w:r>
        <w:rPr>
          <w:rFonts w:hint="eastAsia" w:ascii="宋体" w:hAnsi="宋体" w:cs="TimesNewRomanPSMT"/>
          <w:color w:val="auto"/>
          <w:sz w:val="24"/>
          <w:highlight w:val="none"/>
        </w:rPr>
        <w:t>2.本投标的投标有效期为自投标截止之日起</w:t>
      </w:r>
      <w:r>
        <w:rPr>
          <w:rFonts w:hint="eastAsia" w:ascii="宋体" w:hAnsi="宋体" w:cs="TimesNewRomanPSMT"/>
          <w:color w:val="auto"/>
          <w:sz w:val="24"/>
          <w:highlight w:val="none"/>
          <w:u w:val="single"/>
        </w:rPr>
        <w:t xml:space="preserve"> </w:t>
      </w:r>
      <w:r>
        <w:rPr>
          <w:rFonts w:hint="eastAsia" w:ascii="宋体" w:hAnsi="宋体" w:cs="TimesNewRomanPSMT"/>
          <w:color w:val="auto"/>
          <w:sz w:val="24"/>
          <w:highlight w:val="none"/>
          <w:u w:val="single"/>
          <w:lang w:val="en-US" w:eastAsia="zh-CN"/>
        </w:rPr>
        <w:t>90</w:t>
      </w:r>
      <w:r>
        <w:rPr>
          <w:rFonts w:hint="eastAsia" w:ascii="宋体" w:hAnsi="宋体" w:cs="TimesNewRomanPSMT"/>
          <w:color w:val="auto"/>
          <w:sz w:val="24"/>
          <w:highlight w:val="none"/>
          <w:u w:val="single"/>
        </w:rPr>
        <w:t xml:space="preserve"> </w:t>
      </w:r>
      <w:r>
        <w:rPr>
          <w:rFonts w:hint="eastAsia" w:ascii="宋体" w:hAnsi="宋体" w:cs="TimesNewRomanPSMT"/>
          <w:color w:val="auto"/>
          <w:sz w:val="24"/>
          <w:highlight w:val="none"/>
        </w:rPr>
        <w:t>个日历天。</w:t>
      </w:r>
    </w:p>
    <w:p w14:paraId="334474F5">
      <w:pPr>
        <w:pStyle w:val="11"/>
        <w:ind w:firstLine="480" w:firstLineChars="200"/>
        <w:rPr>
          <w:rFonts w:hint="eastAsia" w:ascii="宋体" w:hAnsi="宋体" w:cs="TimesNewRomanPSMT"/>
          <w:color w:val="auto"/>
          <w:kern w:val="0"/>
          <w:sz w:val="24"/>
          <w:highlight w:val="none"/>
        </w:rPr>
      </w:pPr>
      <w:r>
        <w:rPr>
          <w:rFonts w:hint="eastAsia" w:ascii="宋体" w:hAnsi="宋体" w:cs="TimesNewRomanPSMT"/>
          <w:color w:val="auto"/>
          <w:kern w:val="0"/>
          <w:sz w:val="24"/>
          <w:highlight w:val="none"/>
        </w:rPr>
        <w:t>3.我方承诺所提交的投标文件及有关资料是完整的、真实的、准确的和有效的，否则，我方承担由此造成的任何损失及引起的任何后果。</w:t>
      </w:r>
    </w:p>
    <w:p w14:paraId="1E7D3F80">
      <w:pPr>
        <w:autoSpaceDE w:val="0"/>
        <w:autoSpaceDN w:val="0"/>
        <w:adjustRightInd w:val="0"/>
        <w:snapToGrid w:val="0"/>
        <w:spacing w:line="360" w:lineRule="auto"/>
        <w:ind w:firstLine="480" w:firstLineChars="200"/>
        <w:rPr>
          <w:rFonts w:ascii="宋体" w:hAnsi="宋体" w:cs="TimesNewRomanPSMT"/>
          <w:sz w:val="24"/>
          <w:highlight w:val="none"/>
        </w:rPr>
      </w:pPr>
      <w:r>
        <w:rPr>
          <w:rFonts w:hint="eastAsia" w:ascii="宋体" w:hAnsi="宋体" w:cs="TimesNewRomanPSMT"/>
          <w:sz w:val="24"/>
          <w:highlight w:val="none"/>
        </w:rPr>
        <w:t>4．如我方中标：</w:t>
      </w:r>
    </w:p>
    <w:p w14:paraId="3A47C1E3">
      <w:pPr>
        <w:autoSpaceDE w:val="0"/>
        <w:autoSpaceDN w:val="0"/>
        <w:adjustRightInd w:val="0"/>
        <w:snapToGrid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w:t>
      </w:r>
      <w:r>
        <w:rPr>
          <w:rFonts w:ascii="宋体" w:hAnsi="宋体" w:cs="TimesNewRomanPSMT"/>
          <w:sz w:val="24"/>
          <w:highlight w:val="none"/>
        </w:rPr>
        <w:t>1</w:t>
      </w:r>
      <w:r>
        <w:rPr>
          <w:rFonts w:hint="eastAsia" w:ascii="宋体" w:hAnsi="宋体" w:cs="TimesNewRomanPSMT"/>
          <w:sz w:val="24"/>
          <w:highlight w:val="none"/>
          <w:lang w:eastAsia="zh-CN"/>
        </w:rPr>
        <w:t>）</w:t>
      </w:r>
      <w:r>
        <w:rPr>
          <w:rFonts w:hint="eastAsia" w:ascii="宋体" w:hAnsi="宋体" w:cs="仿宋_GB2312"/>
          <w:sz w:val="24"/>
          <w:highlight w:val="none"/>
        </w:rPr>
        <w:t>我方承诺在收到中标通知书后，在中标通知书规定的期限内与你方签订合同。</w:t>
      </w:r>
    </w:p>
    <w:p w14:paraId="7A2BC99C">
      <w:pPr>
        <w:autoSpaceDE w:val="0"/>
        <w:autoSpaceDN w:val="0"/>
        <w:adjustRightInd w:val="0"/>
        <w:snapToGrid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w:t>
      </w:r>
      <w:r>
        <w:rPr>
          <w:rFonts w:hint="eastAsia" w:ascii="宋体" w:hAnsi="宋体" w:cs="仿宋_GB2312"/>
          <w:sz w:val="24"/>
          <w:highlight w:val="none"/>
          <w:lang w:val="en-US" w:eastAsia="zh-CN"/>
        </w:rPr>
        <w:t>2</w:t>
      </w:r>
      <w:r>
        <w:rPr>
          <w:rFonts w:hint="eastAsia" w:ascii="宋体" w:hAnsi="宋体" w:cs="仿宋_GB2312"/>
          <w:sz w:val="24"/>
          <w:highlight w:val="none"/>
          <w:lang w:eastAsia="zh-CN"/>
        </w:rPr>
        <w:t>）</w:t>
      </w:r>
      <w:r>
        <w:rPr>
          <w:rFonts w:hint="eastAsia" w:ascii="宋体" w:hAnsi="宋体" w:cs="仿宋_GB2312"/>
          <w:sz w:val="24"/>
          <w:highlight w:val="none"/>
        </w:rPr>
        <w:t>我方承诺按照招标文件规定向你方递交履约保证金。</w:t>
      </w:r>
    </w:p>
    <w:p w14:paraId="0C47FE31">
      <w:pPr>
        <w:autoSpaceDE w:val="0"/>
        <w:autoSpaceDN w:val="0"/>
        <w:adjustRightInd w:val="0"/>
        <w:snapToGrid w:val="0"/>
        <w:spacing w:line="360" w:lineRule="auto"/>
        <w:ind w:firstLine="480" w:firstLineChars="200"/>
        <w:rPr>
          <w:rFonts w:hint="eastAsia" w:ascii="宋体" w:hAnsi="宋体" w:cs="仿宋_GB2312"/>
          <w:sz w:val="24"/>
          <w:highlight w:val="none"/>
        </w:rPr>
      </w:pPr>
      <w:r>
        <w:rPr>
          <w:rFonts w:hint="eastAsia" w:ascii="宋体" w:hAnsi="宋体" w:cs="仿宋_GB2312"/>
          <w:sz w:val="24"/>
          <w:highlight w:val="none"/>
        </w:rPr>
        <w:t>（3</w:t>
      </w:r>
      <w:r>
        <w:rPr>
          <w:rFonts w:hint="eastAsia" w:ascii="宋体" w:hAnsi="宋体" w:cs="仿宋_GB2312"/>
          <w:sz w:val="24"/>
          <w:highlight w:val="none"/>
          <w:lang w:eastAsia="zh-CN"/>
        </w:rPr>
        <w:t>）</w:t>
      </w:r>
      <w:r>
        <w:rPr>
          <w:rFonts w:hint="eastAsia" w:ascii="宋体" w:hAnsi="宋体" w:cs="仿宋_GB2312"/>
          <w:sz w:val="24"/>
          <w:highlight w:val="none"/>
        </w:rPr>
        <w:t>我方承诺按合同约定的期限和地点，提供符合招标文件要求的全部的招标货物/服务。</w:t>
      </w:r>
    </w:p>
    <w:p w14:paraId="01941C14">
      <w:pPr>
        <w:autoSpaceDE w:val="0"/>
        <w:autoSpaceDN w:val="0"/>
        <w:adjustRightInd w:val="0"/>
        <w:snapToGrid w:val="0"/>
        <w:spacing w:line="360" w:lineRule="auto"/>
        <w:ind w:firstLine="480" w:firstLineChars="200"/>
        <w:rPr>
          <w:rFonts w:hint="default" w:eastAsia="宋体"/>
          <w:lang w:val="en-US" w:eastAsia="zh-CN"/>
        </w:rPr>
      </w:pPr>
      <w:r>
        <w:rPr>
          <w:rFonts w:hint="eastAsia" w:ascii="宋体" w:hAnsi="宋体" w:cs="仿宋_GB2312"/>
          <w:sz w:val="24"/>
          <w:highlight w:val="none"/>
          <w:lang w:eastAsia="zh-CN"/>
        </w:rPr>
        <w:t>（</w:t>
      </w:r>
      <w:r>
        <w:rPr>
          <w:rFonts w:hint="eastAsia" w:ascii="宋体" w:hAnsi="宋体" w:cs="仿宋_GB2312"/>
          <w:sz w:val="24"/>
          <w:highlight w:val="none"/>
          <w:lang w:val="en-US" w:eastAsia="zh-CN"/>
        </w:rPr>
        <w:t>4）除商务条款偏离表和技术规格偏离表列出的偏差外，我方满足招标文件的全部要求。</w:t>
      </w:r>
    </w:p>
    <w:p w14:paraId="1970CB54">
      <w:pPr>
        <w:autoSpaceDE w:val="0"/>
        <w:autoSpaceDN w:val="0"/>
        <w:adjustRightInd w:val="0"/>
        <w:snapToGrid w:val="0"/>
        <w:spacing w:line="360" w:lineRule="auto"/>
        <w:ind w:firstLine="480" w:firstLineChars="200"/>
        <w:rPr>
          <w:rFonts w:ascii="宋体" w:hAnsi="宋体" w:cs="TimesNewRomanPSMT"/>
          <w:sz w:val="24"/>
          <w:highlight w:val="none"/>
        </w:rPr>
      </w:pPr>
      <w:r>
        <w:rPr>
          <w:rFonts w:hint="eastAsia" w:ascii="宋体" w:hAnsi="宋体" w:cs="TimesNewRomanPSMT"/>
          <w:sz w:val="24"/>
          <w:highlight w:val="none"/>
        </w:rPr>
        <w:t>5．</w:t>
      </w:r>
      <w:r>
        <w:rPr>
          <w:rFonts w:hint="eastAsia" w:ascii="宋体" w:hAnsi="宋体" w:cs="TimesNewRomanPSMT"/>
          <w:sz w:val="24"/>
          <w:highlight w:val="none"/>
          <w:u w:val="single"/>
        </w:rPr>
        <w:t xml:space="preserve">               </w:t>
      </w:r>
      <w:r>
        <w:rPr>
          <w:rFonts w:ascii="宋体" w:hAnsi="宋体" w:cs="TimesNewRomanPSMT"/>
          <w:sz w:val="24"/>
          <w:highlight w:val="none"/>
          <w:u w:val="single"/>
        </w:rPr>
        <w:t xml:space="preserve"> </w:t>
      </w:r>
      <w:r>
        <w:rPr>
          <w:rFonts w:hint="eastAsia" w:ascii="宋体" w:hAnsi="宋体" w:cs="TimesNewRomanPSMT"/>
          <w:sz w:val="24"/>
          <w:highlight w:val="none"/>
        </w:rPr>
        <w:t>（其他补充说明）。</w:t>
      </w:r>
    </w:p>
    <w:p w14:paraId="4EECE2BE">
      <w:pPr>
        <w:pStyle w:val="11"/>
        <w:ind w:firstLine="480" w:firstLineChars="200"/>
        <w:rPr>
          <w:rFonts w:hint="eastAsia" w:ascii="宋体" w:hAnsi="宋体" w:cs="TimesNewRomanPSMT"/>
          <w:kern w:val="0"/>
          <w:sz w:val="24"/>
          <w:highlight w:val="none"/>
        </w:rPr>
      </w:pPr>
    </w:p>
    <w:p w14:paraId="1B22B9B9">
      <w:pPr>
        <w:spacing w:line="360" w:lineRule="auto"/>
        <w:ind w:firstLine="2891" w:firstLineChars="1200"/>
        <w:rPr>
          <w:rFonts w:hint="eastAsia" w:ascii="宋体" w:hAnsi="宋体"/>
          <w:b/>
          <w:bCs/>
          <w:sz w:val="24"/>
          <w:szCs w:val="24"/>
          <w:highlight w:val="none"/>
        </w:rPr>
      </w:pPr>
      <w:r>
        <w:rPr>
          <w:rFonts w:hint="eastAsia" w:ascii="宋体" w:hAnsi="宋体"/>
          <w:b/>
          <w:bCs/>
          <w:sz w:val="24"/>
          <w:szCs w:val="24"/>
          <w:highlight w:val="none"/>
        </w:rPr>
        <w:t>投 标 人：</w:t>
      </w:r>
      <w:r>
        <w:rPr>
          <w:rFonts w:hint="eastAsia" w:ascii="宋体" w:hAnsi="宋体"/>
          <w:b/>
          <w:bCs/>
          <w:sz w:val="24"/>
          <w:szCs w:val="24"/>
          <w:highlight w:val="none"/>
          <w:u w:val="single"/>
        </w:rPr>
        <w:tab/>
      </w:r>
      <w:r>
        <w:rPr>
          <w:rFonts w:hint="eastAsia" w:ascii="宋体" w:hAnsi="宋体"/>
          <w:b/>
          <w:bCs/>
          <w:sz w:val="24"/>
          <w:szCs w:val="24"/>
          <w:highlight w:val="none"/>
          <w:u w:val="single"/>
        </w:rPr>
        <w:t xml:space="preserve">                         </w:t>
      </w:r>
      <w:r>
        <w:rPr>
          <w:rFonts w:hint="eastAsia" w:ascii="宋体" w:hAnsi="宋体"/>
          <w:b/>
          <w:bCs/>
          <w:sz w:val="24"/>
          <w:szCs w:val="24"/>
          <w:highlight w:val="none"/>
        </w:rPr>
        <w:t>(电子签章)</w:t>
      </w:r>
    </w:p>
    <w:p w14:paraId="3850199F">
      <w:pPr>
        <w:spacing w:line="360" w:lineRule="auto"/>
        <w:ind w:left="2880"/>
        <w:rPr>
          <w:rFonts w:hint="eastAsia" w:ascii="宋体" w:hAnsi="宋体"/>
          <w:b/>
          <w:bCs/>
          <w:sz w:val="24"/>
          <w:szCs w:val="24"/>
          <w:highlight w:val="none"/>
        </w:rPr>
      </w:pPr>
      <w:r>
        <w:rPr>
          <w:rFonts w:hint="eastAsia" w:ascii="宋体" w:hAnsi="宋体"/>
          <w:b/>
          <w:bCs/>
          <w:sz w:val="24"/>
          <w:szCs w:val="24"/>
          <w:highlight w:val="none"/>
        </w:rPr>
        <w:t>法定代表人(单位负责人)或其委托代理人：</w:t>
      </w:r>
      <w:r>
        <w:rPr>
          <w:rFonts w:hint="eastAsia" w:ascii="宋体" w:hAnsi="宋体"/>
          <w:b/>
          <w:bCs/>
          <w:sz w:val="24"/>
          <w:szCs w:val="24"/>
          <w:highlight w:val="none"/>
          <w:u w:val="single"/>
        </w:rPr>
        <w:tab/>
      </w:r>
      <w:r>
        <w:rPr>
          <w:rFonts w:hint="eastAsia" w:ascii="宋体" w:hAnsi="宋体"/>
          <w:b/>
          <w:bCs/>
          <w:sz w:val="24"/>
          <w:szCs w:val="24"/>
          <w:highlight w:val="none"/>
          <w:u w:val="single"/>
        </w:rPr>
        <w:t xml:space="preserve">      </w:t>
      </w:r>
      <w:r>
        <w:rPr>
          <w:rFonts w:hint="eastAsia" w:ascii="宋体" w:hAnsi="宋体"/>
          <w:b/>
          <w:bCs/>
          <w:sz w:val="24"/>
          <w:szCs w:val="24"/>
          <w:highlight w:val="none"/>
        </w:rPr>
        <w:t>(电子签章)</w:t>
      </w:r>
    </w:p>
    <w:p w14:paraId="27115330">
      <w:pPr>
        <w:spacing w:line="360" w:lineRule="auto"/>
        <w:ind w:left="2880"/>
        <w:rPr>
          <w:rFonts w:hint="eastAsia" w:ascii="宋体" w:hAnsi="宋体"/>
          <w:b/>
          <w:bCs/>
          <w:sz w:val="24"/>
          <w:szCs w:val="24"/>
          <w:highlight w:val="none"/>
          <w:u w:val="single"/>
        </w:rPr>
      </w:pPr>
      <w:r>
        <w:rPr>
          <w:rFonts w:hint="eastAsia" w:ascii="宋体" w:hAnsi="宋体"/>
          <w:b/>
          <w:bCs/>
          <w:sz w:val="24"/>
          <w:szCs w:val="24"/>
          <w:highlight w:val="none"/>
        </w:rPr>
        <w:t>地</w:t>
      </w:r>
      <w:r>
        <w:rPr>
          <w:rFonts w:hint="eastAsia" w:ascii="宋体" w:hAnsi="宋体"/>
          <w:b/>
          <w:bCs/>
          <w:sz w:val="24"/>
          <w:szCs w:val="24"/>
          <w:highlight w:val="none"/>
        </w:rPr>
        <w:tab/>
      </w:r>
      <w:r>
        <w:rPr>
          <w:rFonts w:hint="eastAsia" w:ascii="宋体" w:hAnsi="宋体"/>
          <w:b/>
          <w:bCs/>
          <w:sz w:val="24"/>
          <w:szCs w:val="24"/>
          <w:highlight w:val="none"/>
        </w:rPr>
        <w:t>址：</w:t>
      </w:r>
      <w:r>
        <w:rPr>
          <w:rFonts w:hint="eastAsia" w:ascii="宋体" w:hAnsi="宋体"/>
          <w:b/>
          <w:bCs/>
          <w:sz w:val="24"/>
          <w:szCs w:val="24"/>
          <w:highlight w:val="none"/>
          <w:u w:val="single"/>
        </w:rPr>
        <w:t xml:space="preserve">                                           </w:t>
      </w:r>
    </w:p>
    <w:p w14:paraId="057CC83D">
      <w:pPr>
        <w:spacing w:line="360" w:lineRule="auto"/>
        <w:ind w:left="2880"/>
        <w:rPr>
          <w:rFonts w:hint="eastAsia" w:ascii="宋体" w:hAnsi="宋体"/>
          <w:b/>
          <w:bCs/>
          <w:sz w:val="24"/>
          <w:szCs w:val="24"/>
          <w:highlight w:val="none"/>
        </w:rPr>
      </w:pPr>
      <w:r>
        <w:rPr>
          <w:rFonts w:hint="eastAsia" w:ascii="宋体" w:hAnsi="宋体"/>
          <w:b/>
          <w:bCs/>
          <w:sz w:val="24"/>
          <w:szCs w:val="24"/>
          <w:highlight w:val="none"/>
        </w:rPr>
        <w:t>网</w:t>
      </w:r>
      <w:r>
        <w:rPr>
          <w:rFonts w:hint="eastAsia" w:ascii="宋体" w:hAnsi="宋体"/>
          <w:b/>
          <w:bCs/>
          <w:sz w:val="24"/>
          <w:szCs w:val="24"/>
          <w:highlight w:val="none"/>
        </w:rPr>
        <w:tab/>
      </w:r>
      <w:r>
        <w:rPr>
          <w:rFonts w:hint="eastAsia" w:ascii="宋体" w:hAnsi="宋体"/>
          <w:b/>
          <w:bCs/>
          <w:sz w:val="24"/>
          <w:szCs w:val="24"/>
          <w:highlight w:val="none"/>
        </w:rPr>
        <w:t>址：</w:t>
      </w:r>
      <w:r>
        <w:rPr>
          <w:rFonts w:hint="eastAsia" w:ascii="宋体" w:hAnsi="宋体"/>
          <w:b/>
          <w:bCs/>
          <w:sz w:val="24"/>
          <w:szCs w:val="24"/>
          <w:highlight w:val="none"/>
          <w:u w:val="single"/>
        </w:rPr>
        <w:t xml:space="preserve">                                           </w:t>
      </w:r>
    </w:p>
    <w:p w14:paraId="73E584E4">
      <w:pPr>
        <w:spacing w:line="360" w:lineRule="auto"/>
        <w:ind w:left="2880"/>
        <w:rPr>
          <w:rFonts w:hint="eastAsia" w:ascii="宋体" w:hAnsi="宋体"/>
          <w:b/>
          <w:bCs/>
          <w:sz w:val="24"/>
          <w:szCs w:val="24"/>
          <w:highlight w:val="none"/>
        </w:rPr>
      </w:pPr>
      <w:r>
        <w:rPr>
          <w:rFonts w:hint="eastAsia" w:ascii="宋体" w:hAnsi="宋体"/>
          <w:b/>
          <w:bCs/>
          <w:sz w:val="24"/>
          <w:szCs w:val="24"/>
          <w:highlight w:val="none"/>
        </w:rPr>
        <w:t>电</w:t>
      </w:r>
      <w:r>
        <w:rPr>
          <w:rFonts w:hint="eastAsia" w:ascii="宋体" w:hAnsi="宋体"/>
          <w:b/>
          <w:bCs/>
          <w:sz w:val="24"/>
          <w:szCs w:val="24"/>
          <w:highlight w:val="none"/>
        </w:rPr>
        <w:tab/>
      </w:r>
      <w:r>
        <w:rPr>
          <w:rFonts w:hint="eastAsia" w:ascii="宋体" w:hAnsi="宋体"/>
          <w:b/>
          <w:bCs/>
          <w:sz w:val="24"/>
          <w:szCs w:val="24"/>
          <w:highlight w:val="none"/>
        </w:rPr>
        <w:t>话：</w:t>
      </w:r>
      <w:r>
        <w:rPr>
          <w:rFonts w:hint="eastAsia" w:ascii="宋体" w:hAnsi="宋体"/>
          <w:b/>
          <w:bCs/>
          <w:sz w:val="24"/>
          <w:szCs w:val="24"/>
          <w:highlight w:val="none"/>
          <w:u w:val="single"/>
        </w:rPr>
        <w:t xml:space="preserve">                       </w:t>
      </w:r>
      <w:r>
        <w:rPr>
          <w:rFonts w:hint="eastAsia" w:ascii="宋体" w:hAnsi="宋体"/>
          <w:b/>
          <w:bCs/>
          <w:sz w:val="24"/>
          <w:szCs w:val="24"/>
          <w:highlight w:val="none"/>
          <w:u w:val="single"/>
          <w:lang w:val="en-US" w:eastAsia="zh-CN"/>
        </w:rPr>
        <w:t xml:space="preserve">                                                                                       </w:t>
      </w:r>
      <w:r>
        <w:rPr>
          <w:rFonts w:hint="eastAsia" w:ascii="宋体" w:hAnsi="宋体"/>
          <w:b/>
          <w:bCs/>
          <w:sz w:val="24"/>
          <w:szCs w:val="24"/>
          <w:highlight w:val="none"/>
          <w:u w:val="single"/>
        </w:rPr>
        <w:t xml:space="preserve">                    </w:t>
      </w:r>
    </w:p>
    <w:p w14:paraId="3BBAC26B">
      <w:pPr>
        <w:spacing w:line="360" w:lineRule="auto"/>
        <w:ind w:left="2880"/>
        <w:rPr>
          <w:rFonts w:hint="eastAsia" w:ascii="宋体" w:hAnsi="宋体"/>
          <w:b/>
          <w:bCs/>
          <w:sz w:val="24"/>
          <w:szCs w:val="24"/>
          <w:highlight w:val="none"/>
        </w:rPr>
      </w:pPr>
      <w:r>
        <w:rPr>
          <w:rFonts w:hint="eastAsia" w:ascii="宋体" w:hAnsi="宋体"/>
          <w:b/>
          <w:bCs/>
          <w:sz w:val="24"/>
          <w:szCs w:val="24"/>
          <w:highlight w:val="none"/>
        </w:rPr>
        <w:t>传</w:t>
      </w:r>
      <w:r>
        <w:rPr>
          <w:rFonts w:hint="eastAsia" w:ascii="宋体" w:hAnsi="宋体"/>
          <w:b/>
          <w:bCs/>
          <w:sz w:val="24"/>
          <w:szCs w:val="24"/>
          <w:highlight w:val="none"/>
        </w:rPr>
        <w:tab/>
      </w:r>
      <w:r>
        <w:rPr>
          <w:rFonts w:hint="eastAsia" w:ascii="宋体" w:hAnsi="宋体"/>
          <w:b/>
          <w:bCs/>
          <w:sz w:val="24"/>
          <w:szCs w:val="24"/>
          <w:highlight w:val="none"/>
        </w:rPr>
        <w:t>真：</w:t>
      </w:r>
      <w:r>
        <w:rPr>
          <w:rFonts w:hint="eastAsia" w:ascii="宋体" w:hAnsi="宋体"/>
          <w:b/>
          <w:bCs/>
          <w:sz w:val="24"/>
          <w:szCs w:val="24"/>
          <w:highlight w:val="none"/>
          <w:u w:val="single"/>
        </w:rPr>
        <w:t xml:space="preserve">                                           </w:t>
      </w:r>
    </w:p>
    <w:p w14:paraId="6BC0D095">
      <w:pPr>
        <w:spacing w:line="360" w:lineRule="auto"/>
        <w:ind w:left="2880"/>
        <w:rPr>
          <w:rFonts w:hint="eastAsia" w:ascii="宋体" w:hAnsi="宋体"/>
          <w:b/>
          <w:bCs/>
          <w:sz w:val="24"/>
          <w:szCs w:val="24"/>
          <w:highlight w:val="none"/>
        </w:rPr>
      </w:pPr>
      <w:r>
        <w:rPr>
          <w:rFonts w:hint="eastAsia" w:ascii="宋体" w:hAnsi="宋体"/>
          <w:b/>
          <w:bCs/>
          <w:sz w:val="24"/>
          <w:szCs w:val="24"/>
          <w:highlight w:val="none"/>
        </w:rPr>
        <w:t>邮政编码：</w:t>
      </w:r>
      <w:r>
        <w:rPr>
          <w:rFonts w:hint="eastAsia" w:ascii="宋体" w:hAnsi="宋体"/>
          <w:b/>
          <w:bCs/>
          <w:sz w:val="24"/>
          <w:szCs w:val="24"/>
          <w:highlight w:val="none"/>
          <w:u w:val="single"/>
        </w:rPr>
        <w:t xml:space="preserve">                                         </w:t>
      </w:r>
    </w:p>
    <w:p w14:paraId="323C8773">
      <w:pPr>
        <w:spacing w:line="360" w:lineRule="auto"/>
        <w:ind w:left="2880"/>
        <w:rPr>
          <w:rFonts w:hint="eastAsia" w:ascii="宋体" w:hAnsi="宋体"/>
          <w:b/>
          <w:bCs/>
          <w:sz w:val="24"/>
          <w:szCs w:val="24"/>
          <w:highlight w:val="none"/>
        </w:rPr>
      </w:pPr>
      <w:r>
        <w:rPr>
          <w:rFonts w:hint="eastAsia" w:ascii="宋体" w:hAnsi="宋体"/>
          <w:b/>
          <w:bCs/>
          <w:sz w:val="24"/>
          <w:szCs w:val="24"/>
          <w:highlight w:val="none"/>
        </w:rPr>
        <w:t>日  期：</w:t>
      </w:r>
      <w:r>
        <w:rPr>
          <w:rFonts w:hint="eastAsia" w:ascii="宋体" w:hAnsi="宋体"/>
          <w:b/>
          <w:bCs/>
          <w:sz w:val="24"/>
          <w:szCs w:val="24"/>
          <w:highlight w:val="none"/>
          <w:u w:val="single"/>
        </w:rPr>
        <w:t xml:space="preserve">       </w:t>
      </w:r>
      <w:r>
        <w:rPr>
          <w:rFonts w:hint="eastAsia" w:ascii="宋体" w:hAnsi="宋体"/>
          <w:b/>
          <w:bCs/>
          <w:sz w:val="24"/>
          <w:szCs w:val="24"/>
          <w:highlight w:val="none"/>
        </w:rPr>
        <w:t>年</w:t>
      </w:r>
      <w:r>
        <w:rPr>
          <w:rFonts w:hint="eastAsia" w:ascii="宋体" w:hAnsi="宋体"/>
          <w:b/>
          <w:bCs/>
          <w:sz w:val="24"/>
          <w:szCs w:val="24"/>
          <w:highlight w:val="none"/>
          <w:u w:val="single"/>
        </w:rPr>
        <w:t xml:space="preserve">    </w:t>
      </w:r>
      <w:r>
        <w:rPr>
          <w:rFonts w:hint="eastAsia" w:ascii="宋体" w:hAnsi="宋体"/>
          <w:b/>
          <w:bCs/>
          <w:sz w:val="24"/>
          <w:szCs w:val="24"/>
          <w:highlight w:val="none"/>
        </w:rPr>
        <w:t>月</w:t>
      </w:r>
      <w:r>
        <w:rPr>
          <w:rFonts w:hint="eastAsia" w:ascii="宋体" w:hAnsi="宋体"/>
          <w:b/>
          <w:bCs/>
          <w:sz w:val="24"/>
          <w:szCs w:val="24"/>
          <w:highlight w:val="none"/>
          <w:u w:val="single"/>
        </w:rPr>
        <w:t xml:space="preserve">    </w:t>
      </w:r>
      <w:r>
        <w:rPr>
          <w:rFonts w:hint="eastAsia" w:ascii="宋体" w:hAnsi="宋体"/>
          <w:b/>
          <w:bCs/>
          <w:sz w:val="24"/>
          <w:szCs w:val="24"/>
          <w:highlight w:val="none"/>
        </w:rPr>
        <w:t>日</w:t>
      </w:r>
    </w:p>
    <w:p w14:paraId="49B2576B">
      <w:pPr>
        <w:spacing w:line="360" w:lineRule="auto"/>
        <w:rPr>
          <w:rFonts w:hint="eastAsia" w:ascii="宋体" w:hAnsi="宋体"/>
          <w:b/>
          <w:bCs/>
          <w:sz w:val="24"/>
          <w:szCs w:val="24"/>
          <w:highlight w:val="none"/>
        </w:rPr>
      </w:pPr>
      <w:r>
        <w:rPr>
          <w:rFonts w:hint="eastAsia" w:ascii="宋体" w:hAnsi="宋体"/>
          <w:b/>
          <w:bCs/>
          <w:sz w:val="24"/>
          <w:szCs w:val="24"/>
          <w:highlight w:val="none"/>
        </w:rPr>
        <w:t xml:space="preserve"> </w:t>
      </w:r>
    </w:p>
    <w:p w14:paraId="338EA939">
      <w:pPr>
        <w:spacing w:line="240" w:lineRule="exact"/>
        <w:rPr>
          <w:rFonts w:hint="eastAsia" w:ascii="宋体" w:hAnsi="宋体"/>
          <w:b/>
          <w:bCs/>
          <w:sz w:val="44"/>
          <w:szCs w:val="44"/>
          <w:highlight w:val="none"/>
        </w:rPr>
      </w:pPr>
    </w:p>
    <w:p w14:paraId="474BBD09">
      <w:pPr>
        <w:pStyle w:val="4"/>
        <w:widowControl/>
        <w:autoSpaceDE w:val="0"/>
        <w:spacing w:before="0" w:after="0" w:line="360" w:lineRule="auto"/>
        <w:ind w:firstLine="562" w:firstLineChars="200"/>
        <w:rPr>
          <w:rFonts w:hint="eastAsia" w:ascii="宋体" w:hAnsi="宋体"/>
          <w:szCs w:val="28"/>
          <w:highlight w:val="none"/>
        </w:rPr>
      </w:pPr>
      <w:bookmarkStart w:id="262" w:name="_Toc17119"/>
      <w:bookmarkEnd w:id="262"/>
      <w:bookmarkStart w:id="263" w:name="_Toc13197"/>
      <w:r>
        <w:rPr>
          <w:rFonts w:ascii="宋体" w:hAnsi="宋体"/>
          <w:szCs w:val="28"/>
          <w:highlight w:val="none"/>
        </w:rPr>
        <w:br w:type="page"/>
      </w:r>
      <w:bookmarkStart w:id="264" w:name="_Toc4934"/>
      <w:r>
        <w:rPr>
          <w:rFonts w:hint="eastAsia" w:ascii="宋体" w:hAnsi="宋体" w:cs="Times New Roman"/>
          <w:b/>
          <w:bCs/>
          <w:szCs w:val="28"/>
          <w:highlight w:val="none"/>
        </w:rPr>
        <w:t>三、法定代表人(单位负责人)身份证明</w:t>
      </w:r>
      <w:bookmarkEnd w:id="263"/>
      <w:r>
        <w:rPr>
          <w:rFonts w:hint="eastAsia" w:ascii="宋体" w:hAnsi="宋体" w:cs="Times New Roman"/>
          <w:b/>
          <w:bCs/>
          <w:szCs w:val="28"/>
          <w:highlight w:val="none"/>
        </w:rPr>
        <w:t>书</w:t>
      </w:r>
      <w:bookmarkEnd w:id="264"/>
    </w:p>
    <w:p w14:paraId="308A90D0">
      <w:pPr>
        <w:spacing w:line="200" w:lineRule="exact"/>
        <w:rPr>
          <w:rFonts w:hint="eastAsia" w:ascii="宋体" w:hAnsi="宋体"/>
          <w:highlight w:val="none"/>
        </w:rPr>
      </w:pPr>
      <w:r>
        <w:rPr>
          <w:rFonts w:ascii="宋体" w:hAnsi="宋体"/>
          <w:highlight w:val="none"/>
        </w:rPr>
        <w:t xml:space="preserve"> </w:t>
      </w:r>
    </w:p>
    <w:p w14:paraId="584A7316">
      <w:pPr>
        <w:spacing w:line="200" w:lineRule="exact"/>
        <w:rPr>
          <w:rFonts w:ascii="宋体" w:hAnsi="宋体"/>
          <w:highlight w:val="none"/>
        </w:rPr>
      </w:pPr>
      <w:r>
        <w:rPr>
          <w:rFonts w:ascii="宋体" w:hAnsi="宋体"/>
          <w:highlight w:val="none"/>
        </w:rPr>
        <w:t xml:space="preserve"> </w:t>
      </w:r>
    </w:p>
    <w:p w14:paraId="1DDEDDCC">
      <w:pPr>
        <w:spacing w:line="200" w:lineRule="exact"/>
        <w:rPr>
          <w:rFonts w:ascii="宋体" w:hAnsi="宋体"/>
          <w:highlight w:val="none"/>
        </w:rPr>
      </w:pPr>
      <w:r>
        <w:rPr>
          <w:rFonts w:ascii="宋体" w:hAnsi="宋体"/>
          <w:highlight w:val="none"/>
        </w:rPr>
        <w:t xml:space="preserve"> </w:t>
      </w:r>
    </w:p>
    <w:p w14:paraId="76999EC5">
      <w:pPr>
        <w:autoSpaceDE w:val="0"/>
        <w:autoSpaceDN w:val="0"/>
        <w:adjustRightInd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投标人名称：</w:t>
      </w:r>
      <w:r>
        <w:rPr>
          <w:rFonts w:hint="eastAsia" w:ascii="宋体" w:hAnsi="宋体" w:cs="仿宋_GB2312"/>
          <w:sz w:val="24"/>
          <w:highlight w:val="none"/>
          <w:u w:val="single"/>
        </w:rPr>
        <w:t xml:space="preserve">                      </w:t>
      </w:r>
      <w:r>
        <w:rPr>
          <w:rFonts w:hint="eastAsia" w:ascii="宋体" w:hAnsi="宋体" w:cs="仿宋_GB2312"/>
          <w:sz w:val="24"/>
          <w:highlight w:val="none"/>
        </w:rPr>
        <w:t xml:space="preserve"> </w:t>
      </w:r>
    </w:p>
    <w:p w14:paraId="3A69E22A">
      <w:pPr>
        <w:autoSpaceDE w:val="0"/>
        <w:autoSpaceDN w:val="0"/>
        <w:adjustRightInd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单位性质：</w:t>
      </w:r>
      <w:r>
        <w:rPr>
          <w:rFonts w:hint="eastAsia" w:ascii="宋体" w:hAnsi="宋体" w:cs="仿宋_GB2312"/>
          <w:sz w:val="24"/>
          <w:highlight w:val="none"/>
          <w:u w:val="single"/>
        </w:rPr>
        <w:t xml:space="preserve">                        </w:t>
      </w:r>
      <w:r>
        <w:rPr>
          <w:rFonts w:hint="eastAsia" w:ascii="宋体" w:hAnsi="宋体" w:cs="仿宋_GB2312"/>
          <w:sz w:val="24"/>
          <w:highlight w:val="none"/>
        </w:rPr>
        <w:t xml:space="preserve"> </w:t>
      </w:r>
    </w:p>
    <w:p w14:paraId="717D925E">
      <w:pPr>
        <w:autoSpaceDE w:val="0"/>
        <w:autoSpaceDN w:val="0"/>
        <w:adjustRightInd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地    址：</w:t>
      </w:r>
      <w:r>
        <w:rPr>
          <w:rFonts w:hint="eastAsia" w:ascii="宋体" w:hAnsi="宋体" w:cs="仿宋_GB2312"/>
          <w:sz w:val="24"/>
          <w:highlight w:val="none"/>
          <w:u w:val="single"/>
        </w:rPr>
        <w:t xml:space="preserve">                        </w:t>
      </w:r>
    </w:p>
    <w:p w14:paraId="1FF5EBD3">
      <w:pPr>
        <w:autoSpaceDE w:val="0"/>
        <w:autoSpaceDN w:val="0"/>
        <w:adjustRightInd w:val="0"/>
        <w:spacing w:line="360" w:lineRule="auto"/>
        <w:ind w:firstLine="480" w:firstLineChars="200"/>
        <w:rPr>
          <w:rFonts w:ascii="宋体" w:hAnsi="宋体" w:cs="仿宋_GB2312"/>
          <w:sz w:val="24"/>
          <w:highlight w:val="none"/>
        </w:rPr>
      </w:pPr>
      <w:r>
        <w:rPr>
          <w:rFonts w:hint="eastAsia" w:ascii="宋体" w:hAnsi="宋体" w:cs="仿宋_GB2312"/>
          <w:sz w:val="24"/>
          <w:highlight w:val="none"/>
        </w:rPr>
        <w:t>成立时间：</w:t>
      </w:r>
      <w:r>
        <w:rPr>
          <w:rFonts w:hint="eastAsia" w:ascii="宋体" w:hAnsi="宋体" w:cs="仿宋_GB2312"/>
          <w:sz w:val="24"/>
          <w:highlight w:val="none"/>
          <w:u w:val="single"/>
        </w:rPr>
        <w:t xml:space="preserve">     </w:t>
      </w:r>
      <w:r>
        <w:rPr>
          <w:rFonts w:ascii="宋体" w:hAnsi="宋体" w:cs="仿宋_GB2312"/>
          <w:sz w:val="24"/>
          <w:highlight w:val="none"/>
          <w:u w:val="single"/>
        </w:rPr>
        <w:t xml:space="preserve"> </w:t>
      </w:r>
      <w:r>
        <w:rPr>
          <w:rFonts w:hint="eastAsia" w:ascii="宋体" w:hAnsi="宋体" w:cs="仿宋_GB2312"/>
          <w:sz w:val="24"/>
          <w:highlight w:val="none"/>
          <w:u w:val="single"/>
        </w:rPr>
        <w:t xml:space="preserve"> </w:t>
      </w:r>
      <w:r>
        <w:rPr>
          <w:rFonts w:hint="eastAsia" w:ascii="宋体" w:hAnsi="宋体" w:cs="仿宋_GB2312"/>
          <w:sz w:val="24"/>
          <w:highlight w:val="none"/>
        </w:rPr>
        <w:t>年</w:t>
      </w:r>
      <w:r>
        <w:rPr>
          <w:rFonts w:hint="eastAsia" w:ascii="宋体" w:hAnsi="宋体" w:cs="仿宋_GB2312"/>
          <w:sz w:val="24"/>
          <w:highlight w:val="none"/>
          <w:u w:val="single"/>
        </w:rPr>
        <w:t xml:space="preserve">     </w:t>
      </w:r>
      <w:r>
        <w:rPr>
          <w:rFonts w:hint="eastAsia" w:ascii="宋体" w:hAnsi="宋体" w:cs="仿宋_GB2312"/>
          <w:sz w:val="24"/>
          <w:highlight w:val="none"/>
        </w:rPr>
        <w:t>月</w:t>
      </w:r>
      <w:r>
        <w:rPr>
          <w:rFonts w:hint="eastAsia" w:ascii="宋体" w:hAnsi="宋体" w:cs="仿宋_GB2312"/>
          <w:sz w:val="24"/>
          <w:highlight w:val="none"/>
          <w:u w:val="single"/>
        </w:rPr>
        <w:t xml:space="preserve">  </w:t>
      </w:r>
      <w:r>
        <w:rPr>
          <w:rFonts w:ascii="宋体" w:hAnsi="宋体" w:cs="仿宋_GB2312"/>
          <w:sz w:val="24"/>
          <w:highlight w:val="none"/>
          <w:u w:val="single"/>
        </w:rPr>
        <w:t xml:space="preserve"> </w:t>
      </w:r>
      <w:r>
        <w:rPr>
          <w:rFonts w:hint="eastAsia" w:ascii="宋体" w:hAnsi="宋体" w:cs="仿宋_GB2312"/>
          <w:sz w:val="24"/>
          <w:highlight w:val="none"/>
          <w:u w:val="single"/>
        </w:rPr>
        <w:t xml:space="preserve">    </w:t>
      </w:r>
      <w:r>
        <w:rPr>
          <w:rFonts w:hint="eastAsia" w:ascii="宋体" w:hAnsi="宋体" w:cs="仿宋_GB2312"/>
          <w:sz w:val="24"/>
          <w:highlight w:val="none"/>
        </w:rPr>
        <w:t>日</w:t>
      </w:r>
    </w:p>
    <w:p w14:paraId="5DAC6116">
      <w:pPr>
        <w:autoSpaceDE w:val="0"/>
        <w:autoSpaceDN w:val="0"/>
        <w:adjustRightInd w:val="0"/>
        <w:spacing w:line="360" w:lineRule="auto"/>
        <w:ind w:firstLine="480" w:firstLineChars="200"/>
        <w:rPr>
          <w:rFonts w:hint="eastAsia" w:ascii="宋体" w:hAnsi="宋体" w:cs="仿宋_GB2312"/>
          <w:sz w:val="24"/>
          <w:highlight w:val="none"/>
        </w:rPr>
      </w:pPr>
      <w:r>
        <w:rPr>
          <w:rFonts w:hint="eastAsia" w:ascii="宋体" w:hAnsi="宋体" w:cs="仿宋_GB2312"/>
          <w:sz w:val="24"/>
          <w:highlight w:val="none"/>
        </w:rPr>
        <w:t>经营期限：</w:t>
      </w:r>
      <w:r>
        <w:rPr>
          <w:rFonts w:hint="eastAsia" w:ascii="宋体" w:hAnsi="宋体" w:cs="仿宋_GB2312"/>
          <w:sz w:val="24"/>
          <w:highlight w:val="none"/>
          <w:u w:val="single"/>
        </w:rPr>
        <w:t xml:space="preserve">                         </w:t>
      </w:r>
    </w:p>
    <w:p w14:paraId="42B41D8B">
      <w:pPr>
        <w:spacing w:line="360" w:lineRule="auto"/>
        <w:ind w:firstLine="480" w:firstLineChars="200"/>
        <w:rPr>
          <w:rFonts w:hint="eastAsia" w:ascii="宋体" w:hAnsi="宋体"/>
          <w:sz w:val="24"/>
          <w:szCs w:val="24"/>
          <w:highlight w:val="none"/>
        </w:rPr>
      </w:pPr>
    </w:p>
    <w:p w14:paraId="59C66425">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姓名：</w:t>
      </w:r>
      <w:r>
        <w:rPr>
          <w:rFonts w:hint="eastAsia" w:ascii="宋体" w:hAnsi="宋体"/>
          <w:sz w:val="24"/>
          <w:szCs w:val="24"/>
          <w:highlight w:val="none"/>
          <w:u w:val="single"/>
        </w:rPr>
        <w:t xml:space="preserve">           </w:t>
      </w:r>
      <w:r>
        <w:rPr>
          <w:rFonts w:hint="eastAsia" w:ascii="宋体" w:hAnsi="宋体"/>
          <w:sz w:val="24"/>
          <w:szCs w:val="24"/>
          <w:highlight w:val="none"/>
        </w:rPr>
        <w:t>性别：</w:t>
      </w:r>
      <w:r>
        <w:rPr>
          <w:rFonts w:hint="eastAsia" w:ascii="宋体" w:hAnsi="宋体"/>
          <w:sz w:val="24"/>
          <w:szCs w:val="24"/>
          <w:highlight w:val="none"/>
          <w:u w:val="single"/>
        </w:rPr>
        <w:t xml:space="preserve">          </w:t>
      </w:r>
      <w:r>
        <w:rPr>
          <w:rFonts w:hint="eastAsia" w:ascii="宋体" w:hAnsi="宋体"/>
          <w:sz w:val="24"/>
          <w:szCs w:val="24"/>
          <w:highlight w:val="none"/>
        </w:rPr>
        <w:t>年龄：</w:t>
      </w:r>
      <w:r>
        <w:rPr>
          <w:rFonts w:hint="eastAsia" w:ascii="宋体" w:hAnsi="宋体"/>
          <w:sz w:val="24"/>
          <w:szCs w:val="24"/>
          <w:highlight w:val="none"/>
          <w:u w:val="single"/>
        </w:rPr>
        <w:t xml:space="preserve">          </w:t>
      </w:r>
      <w:r>
        <w:rPr>
          <w:rFonts w:hint="eastAsia" w:ascii="宋体" w:hAnsi="宋体"/>
          <w:sz w:val="24"/>
          <w:szCs w:val="24"/>
          <w:highlight w:val="none"/>
        </w:rPr>
        <w:t>职务：</w:t>
      </w:r>
      <w:r>
        <w:rPr>
          <w:rFonts w:hint="eastAsia" w:ascii="宋体" w:hAnsi="宋体"/>
          <w:sz w:val="24"/>
          <w:szCs w:val="24"/>
          <w:highlight w:val="none"/>
          <w:u w:val="single"/>
        </w:rPr>
        <w:t xml:space="preserve">          </w:t>
      </w:r>
    </w:p>
    <w:p w14:paraId="46FDA966">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系</w:t>
      </w:r>
      <w:r>
        <w:rPr>
          <w:rFonts w:hint="eastAsia" w:ascii="宋体" w:hAnsi="宋体"/>
          <w:sz w:val="24"/>
          <w:szCs w:val="24"/>
          <w:highlight w:val="none"/>
          <w:u w:val="single"/>
        </w:rPr>
        <w:tab/>
      </w:r>
      <w:r>
        <w:rPr>
          <w:rFonts w:hint="eastAsia" w:ascii="宋体" w:hAnsi="宋体"/>
          <w:sz w:val="24"/>
          <w:szCs w:val="24"/>
          <w:highlight w:val="none"/>
          <w:u w:val="single"/>
        </w:rPr>
        <w:t xml:space="preserve">                   </w:t>
      </w:r>
      <w:r>
        <w:rPr>
          <w:rFonts w:hint="eastAsia" w:ascii="宋体" w:hAnsi="宋体"/>
          <w:sz w:val="24"/>
          <w:szCs w:val="24"/>
          <w:highlight w:val="none"/>
        </w:rPr>
        <w:t>(投标人名称)的法定代表人(单位负责人)。</w:t>
      </w:r>
    </w:p>
    <w:p w14:paraId="24CDD15B">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特此证明。</w:t>
      </w:r>
    </w:p>
    <w:p w14:paraId="3A5D5DF0">
      <w:pPr>
        <w:spacing w:line="480" w:lineRule="auto"/>
        <w:rPr>
          <w:rFonts w:hint="eastAsia" w:ascii="宋体" w:hAnsi="宋体"/>
          <w:sz w:val="24"/>
          <w:szCs w:val="24"/>
          <w:highlight w:val="none"/>
        </w:rPr>
      </w:pPr>
      <w:r>
        <w:rPr>
          <w:rFonts w:hint="eastAsia" w:ascii="宋体" w:hAnsi="宋体"/>
          <w:sz w:val="24"/>
          <w:szCs w:val="24"/>
          <w:highlight w:val="none"/>
        </w:rPr>
        <w:t xml:space="preserve"> </w:t>
      </w:r>
    </w:p>
    <w:p w14:paraId="79398A48">
      <w:pPr>
        <w:spacing w:line="480" w:lineRule="auto"/>
        <w:ind w:firstLine="480" w:firstLineChars="200"/>
        <w:rPr>
          <w:rFonts w:hint="eastAsia" w:ascii="宋体" w:hAnsi="宋体"/>
          <w:sz w:val="24"/>
          <w:szCs w:val="24"/>
          <w:highlight w:val="none"/>
        </w:rPr>
      </w:pPr>
      <w:r>
        <w:rPr>
          <w:rFonts w:hint="eastAsia" w:ascii="宋体" w:hAnsi="宋体"/>
          <w:sz w:val="24"/>
          <w:szCs w:val="24"/>
          <w:highlight w:val="none"/>
        </w:rPr>
        <w:t>附：法定代表人(单位负责人)身份证</w:t>
      </w:r>
      <w:r>
        <w:rPr>
          <w:rFonts w:hint="eastAsia" w:ascii="宋体" w:hAnsi="宋体"/>
          <w:sz w:val="24"/>
          <w:szCs w:val="24"/>
          <w:highlight w:val="none"/>
          <w:lang w:eastAsia="zh-CN"/>
        </w:rPr>
        <w:t>扫描件</w:t>
      </w:r>
      <w:r>
        <w:rPr>
          <w:rFonts w:hint="eastAsia" w:ascii="宋体" w:hAnsi="宋体"/>
          <w:sz w:val="24"/>
          <w:szCs w:val="24"/>
          <w:highlight w:val="none"/>
        </w:rPr>
        <w:t>。</w:t>
      </w:r>
    </w:p>
    <w:p w14:paraId="1EED08E6">
      <w:pPr>
        <w:spacing w:line="360" w:lineRule="auto"/>
        <w:ind w:left="4480"/>
        <w:jc w:val="both"/>
        <w:rPr>
          <w:rFonts w:hint="eastAsia" w:ascii="宋体" w:hAnsi="宋体"/>
          <w:b/>
          <w:sz w:val="24"/>
          <w:szCs w:val="24"/>
          <w:highlight w:val="none"/>
        </w:rPr>
      </w:pPr>
      <w:r>
        <w:rPr>
          <w:rFonts w:hint="eastAsia" w:ascii="宋体" w:hAnsi="宋体"/>
          <w:b/>
          <w:sz w:val="24"/>
          <w:szCs w:val="24"/>
          <w:highlight w:val="none"/>
        </w:rPr>
        <w:t xml:space="preserve">  </w:t>
      </w:r>
    </w:p>
    <w:p w14:paraId="19A001A3">
      <w:pPr>
        <w:spacing w:line="360" w:lineRule="auto"/>
        <w:ind w:left="4480"/>
        <w:jc w:val="both"/>
        <w:rPr>
          <w:rFonts w:hint="eastAsia" w:ascii="宋体" w:hAnsi="宋体"/>
          <w:b/>
          <w:sz w:val="24"/>
          <w:szCs w:val="24"/>
          <w:highlight w:val="none"/>
        </w:rPr>
      </w:pPr>
      <w:r>
        <w:rPr>
          <w:rFonts w:hint="eastAsia" w:ascii="宋体" w:hAnsi="宋体"/>
          <w:b/>
          <w:sz w:val="24"/>
          <w:szCs w:val="24"/>
          <w:highlight w:val="none"/>
        </w:rPr>
        <w:t>投标人：</w:t>
      </w:r>
      <w:r>
        <w:rPr>
          <w:rFonts w:hint="eastAsia" w:ascii="宋体" w:hAnsi="宋体"/>
          <w:b/>
          <w:sz w:val="24"/>
          <w:szCs w:val="24"/>
          <w:highlight w:val="none"/>
          <w:u w:val="single"/>
        </w:rPr>
        <w:tab/>
      </w:r>
      <w:r>
        <w:rPr>
          <w:rFonts w:hint="eastAsia" w:ascii="宋体" w:hAnsi="宋体"/>
          <w:b/>
          <w:sz w:val="24"/>
          <w:szCs w:val="24"/>
          <w:highlight w:val="none"/>
          <w:u w:val="single"/>
        </w:rPr>
        <w:t xml:space="preserve">           </w:t>
      </w:r>
      <w:r>
        <w:rPr>
          <w:rFonts w:hint="eastAsia" w:ascii="宋体" w:hAnsi="宋体"/>
          <w:b/>
          <w:sz w:val="24"/>
          <w:szCs w:val="24"/>
          <w:highlight w:val="none"/>
        </w:rPr>
        <w:t>(电子签章)</w:t>
      </w:r>
    </w:p>
    <w:p w14:paraId="66F00618">
      <w:pPr>
        <w:spacing w:line="20" w:lineRule="exact"/>
        <w:rPr>
          <w:rFonts w:hint="eastAsia" w:ascii="宋体" w:hAnsi="宋体"/>
          <w:b/>
          <w:sz w:val="24"/>
          <w:szCs w:val="24"/>
          <w:highlight w:val="none"/>
        </w:rPr>
      </w:pPr>
      <w:r>
        <w:rPr>
          <w:rFonts w:ascii="宋体" w:hAnsi="宋体"/>
          <w:b/>
          <w:sz w:val="24"/>
          <w:szCs w:val="24"/>
          <w:highlight w:val="none"/>
        </w:rPr>
        <w:t xml:space="preserve"> </w:t>
      </w:r>
    </w:p>
    <w:p w14:paraId="18B7DA74">
      <w:pPr>
        <w:spacing w:line="200" w:lineRule="exact"/>
        <w:rPr>
          <w:rFonts w:ascii="宋体" w:hAnsi="宋体"/>
          <w:b/>
          <w:sz w:val="24"/>
          <w:szCs w:val="24"/>
          <w:highlight w:val="none"/>
        </w:rPr>
      </w:pPr>
      <w:r>
        <w:rPr>
          <w:rFonts w:ascii="宋体" w:hAnsi="宋体"/>
          <w:b/>
          <w:sz w:val="24"/>
          <w:szCs w:val="24"/>
          <w:highlight w:val="none"/>
        </w:rPr>
        <w:t xml:space="preserve"> </w:t>
      </w:r>
    </w:p>
    <w:p w14:paraId="1AD04BE3">
      <w:pPr>
        <w:spacing w:line="200" w:lineRule="exact"/>
        <w:rPr>
          <w:rFonts w:ascii="宋体" w:hAnsi="宋体"/>
          <w:b/>
          <w:sz w:val="24"/>
          <w:szCs w:val="24"/>
          <w:highlight w:val="none"/>
        </w:rPr>
      </w:pPr>
      <w:r>
        <w:rPr>
          <w:rFonts w:ascii="宋体" w:hAnsi="宋体"/>
          <w:b/>
          <w:sz w:val="24"/>
          <w:szCs w:val="24"/>
          <w:highlight w:val="none"/>
        </w:rPr>
        <w:t xml:space="preserve"> </w:t>
      </w:r>
    </w:p>
    <w:p w14:paraId="30AE305F">
      <w:pPr>
        <w:wordWrap w:val="0"/>
        <w:ind w:right="480"/>
        <w:jc w:val="center"/>
        <w:rPr>
          <w:rFonts w:hint="eastAsia" w:ascii="宋体" w:hAnsi="宋体"/>
          <w:b/>
          <w:sz w:val="24"/>
          <w:szCs w:val="24"/>
          <w:highlight w:val="none"/>
        </w:rPr>
      </w:pPr>
      <w:r>
        <w:rPr>
          <w:rFonts w:hint="eastAsia" w:ascii="宋体" w:hAnsi="宋体"/>
          <w:b/>
          <w:sz w:val="24"/>
          <w:szCs w:val="24"/>
          <w:highlight w:val="none"/>
        </w:rPr>
        <w:t xml:space="preserve">                         </w:t>
      </w:r>
    </w:p>
    <w:p w14:paraId="7D956DFF">
      <w:pPr>
        <w:wordWrap w:val="0"/>
        <w:ind w:right="480"/>
        <w:jc w:val="center"/>
        <w:rPr>
          <w:rFonts w:ascii="宋体" w:hAnsi="宋体"/>
          <w:b/>
          <w:sz w:val="24"/>
          <w:szCs w:val="24"/>
          <w:highlight w:val="none"/>
        </w:rPr>
      </w:pPr>
      <w:r>
        <w:rPr>
          <w:rFonts w:hint="eastAsia" w:ascii="宋体" w:hAnsi="宋体"/>
          <w:b/>
          <w:sz w:val="24"/>
          <w:szCs w:val="24"/>
          <w:highlight w:val="none"/>
        </w:rPr>
        <w:t xml:space="preserve">                       日  期：</w:t>
      </w:r>
      <w:r>
        <w:rPr>
          <w:rFonts w:hint="eastAsia" w:ascii="宋体" w:hAnsi="宋体"/>
          <w:b/>
          <w:sz w:val="24"/>
          <w:szCs w:val="24"/>
          <w:highlight w:val="none"/>
          <w:u w:val="single"/>
        </w:rPr>
        <w:t xml:space="preserve">     </w:t>
      </w:r>
      <w:r>
        <w:rPr>
          <w:rFonts w:hint="eastAsia" w:ascii="宋体" w:hAnsi="宋体"/>
          <w:b/>
          <w:sz w:val="24"/>
          <w:szCs w:val="24"/>
          <w:highlight w:val="none"/>
        </w:rPr>
        <w:t>年</w:t>
      </w:r>
      <w:r>
        <w:rPr>
          <w:rFonts w:hint="eastAsia" w:ascii="宋体" w:hAnsi="宋体"/>
          <w:b/>
          <w:sz w:val="24"/>
          <w:szCs w:val="24"/>
          <w:highlight w:val="none"/>
          <w:u w:val="single"/>
        </w:rPr>
        <w:t xml:space="preserve">   </w:t>
      </w:r>
      <w:r>
        <w:rPr>
          <w:rFonts w:hint="eastAsia" w:ascii="宋体" w:hAnsi="宋体"/>
          <w:b/>
          <w:sz w:val="24"/>
          <w:szCs w:val="24"/>
          <w:highlight w:val="none"/>
        </w:rPr>
        <w:t>月</w:t>
      </w:r>
      <w:r>
        <w:rPr>
          <w:rFonts w:hint="eastAsia" w:ascii="宋体" w:hAnsi="宋体"/>
          <w:b/>
          <w:sz w:val="24"/>
          <w:szCs w:val="24"/>
          <w:highlight w:val="none"/>
          <w:u w:val="single"/>
        </w:rPr>
        <w:t xml:space="preserve">   </w:t>
      </w:r>
      <w:r>
        <w:rPr>
          <w:rFonts w:hint="eastAsia" w:ascii="宋体" w:hAnsi="宋体"/>
          <w:b/>
          <w:sz w:val="24"/>
          <w:szCs w:val="24"/>
          <w:highlight w:val="none"/>
        </w:rPr>
        <w:t>日</w:t>
      </w:r>
    </w:p>
    <w:p w14:paraId="401B320C">
      <w:pPr>
        <w:spacing w:line="360" w:lineRule="auto"/>
        <w:ind w:firstLine="5760" w:firstLineChars="2400"/>
        <w:jc w:val="both"/>
        <w:rPr>
          <w:rFonts w:hint="eastAsia" w:ascii="宋体" w:hAnsi="宋体"/>
          <w:sz w:val="24"/>
          <w:szCs w:val="24"/>
          <w:highlight w:val="none"/>
        </w:rPr>
      </w:pPr>
      <w:r>
        <w:rPr>
          <w:rFonts w:hint="eastAsia" w:ascii="宋体" w:hAnsi="宋体"/>
          <w:sz w:val="24"/>
          <w:szCs w:val="24"/>
          <w:highlight w:val="none"/>
        </w:rPr>
        <w:t xml:space="preserve"> </w:t>
      </w:r>
    </w:p>
    <w:p w14:paraId="15FD8F15">
      <w:pPr>
        <w:spacing w:line="20" w:lineRule="exact"/>
        <w:rPr>
          <w:rFonts w:hint="eastAsia" w:ascii="宋体" w:hAnsi="宋体"/>
          <w:b/>
          <w:bCs/>
          <w:sz w:val="44"/>
          <w:szCs w:val="44"/>
          <w:highlight w:val="none"/>
        </w:rPr>
      </w:pPr>
      <w:r>
        <w:rPr>
          <w:rFonts w:ascii="宋体" w:hAnsi="宋体"/>
          <w:highlight w:val="none"/>
        </w:rPr>
        <w:t xml:space="preserve"> </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3"/>
        <w:gridCol w:w="4814"/>
      </w:tblGrid>
      <w:tr w14:paraId="0DA65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4813" w:type="dxa"/>
            <w:noWrap w:val="0"/>
            <w:vAlign w:val="center"/>
          </w:tcPr>
          <w:p w14:paraId="70D00AE3">
            <w:pPr>
              <w:widowControl w:val="0"/>
              <w:spacing w:before="317" w:beforeLines="100" w:after="317" w:afterLines="100" w:line="600" w:lineRule="exact"/>
              <w:jc w:val="center"/>
              <w:rPr>
                <w:rFonts w:ascii="宋体" w:hAnsi="宋体"/>
                <w:highlight w:val="none"/>
              </w:rPr>
            </w:pPr>
            <w:bookmarkStart w:id="265" w:name="_Toc31847"/>
            <w:bookmarkEnd w:id="265"/>
            <w:bookmarkStart w:id="266" w:name="_Toc15398"/>
            <w:bookmarkEnd w:id="266"/>
            <w:bookmarkStart w:id="267" w:name="_Toc23744"/>
            <w:r>
              <w:rPr>
                <w:rFonts w:hint="eastAsia" w:ascii="宋体" w:hAnsi="宋体" w:eastAsia="Times New Roman"/>
                <w:sz w:val="24"/>
                <w:szCs w:val="24"/>
                <w:highlight w:val="none"/>
              </w:rPr>
              <w:t>法定代表人(单位负责人)身份证</w:t>
            </w:r>
            <w:r>
              <w:rPr>
                <w:rFonts w:hint="eastAsia" w:ascii="宋体" w:hAnsi="宋体"/>
                <w:sz w:val="24"/>
                <w:szCs w:val="24"/>
                <w:highlight w:val="none"/>
              </w:rPr>
              <w:t>正面</w:t>
            </w:r>
          </w:p>
        </w:tc>
        <w:tc>
          <w:tcPr>
            <w:tcW w:w="4814" w:type="dxa"/>
            <w:noWrap w:val="0"/>
            <w:vAlign w:val="center"/>
          </w:tcPr>
          <w:p w14:paraId="575D4C4A">
            <w:pPr>
              <w:widowControl w:val="0"/>
              <w:spacing w:before="317" w:beforeLines="100" w:after="317" w:afterLines="100" w:line="600" w:lineRule="exact"/>
              <w:jc w:val="center"/>
              <w:rPr>
                <w:rFonts w:ascii="宋体" w:hAnsi="宋体" w:eastAsia="Times New Roman"/>
                <w:highlight w:val="none"/>
              </w:rPr>
            </w:pPr>
            <w:r>
              <w:rPr>
                <w:rFonts w:hint="eastAsia" w:ascii="宋体" w:hAnsi="宋体" w:eastAsia="Times New Roman"/>
                <w:sz w:val="24"/>
                <w:szCs w:val="24"/>
                <w:highlight w:val="none"/>
              </w:rPr>
              <w:t>法定代表人(单位负责人)身份证</w:t>
            </w:r>
            <w:r>
              <w:rPr>
                <w:rFonts w:hint="eastAsia" w:ascii="宋体" w:hAnsi="宋体"/>
                <w:sz w:val="24"/>
                <w:szCs w:val="24"/>
                <w:highlight w:val="none"/>
              </w:rPr>
              <w:t>反面</w:t>
            </w:r>
          </w:p>
        </w:tc>
      </w:tr>
    </w:tbl>
    <w:p w14:paraId="31813D9D">
      <w:pPr>
        <w:pStyle w:val="4"/>
        <w:widowControl/>
        <w:autoSpaceDE w:val="0"/>
        <w:spacing w:before="0" w:after="0" w:line="360" w:lineRule="auto"/>
        <w:ind w:firstLine="562" w:firstLineChars="200"/>
        <w:outlineLvl w:val="2"/>
        <w:rPr>
          <w:rFonts w:hint="eastAsia" w:ascii="宋体" w:hAnsi="宋体"/>
          <w:szCs w:val="28"/>
          <w:highlight w:val="none"/>
        </w:rPr>
      </w:pPr>
      <w:r>
        <w:rPr>
          <w:rFonts w:hint="eastAsia" w:ascii="宋体" w:hAnsi="宋体"/>
          <w:szCs w:val="28"/>
          <w:highlight w:val="none"/>
        </w:rPr>
        <w:br w:type="page"/>
      </w:r>
      <w:bookmarkStart w:id="268" w:name="_Toc13202"/>
      <w:r>
        <w:rPr>
          <w:rFonts w:hint="eastAsia" w:ascii="宋体" w:hAnsi="宋体"/>
          <w:szCs w:val="28"/>
          <w:highlight w:val="none"/>
        </w:rPr>
        <w:t>四、授权委托书</w:t>
      </w:r>
      <w:bookmarkEnd w:id="267"/>
      <w:bookmarkEnd w:id="268"/>
    </w:p>
    <w:p w14:paraId="4C0DC567">
      <w:pPr>
        <w:spacing w:line="200" w:lineRule="exact"/>
        <w:rPr>
          <w:rFonts w:hint="eastAsia" w:ascii="宋体" w:hAnsi="宋体"/>
          <w:highlight w:val="none"/>
        </w:rPr>
      </w:pPr>
      <w:r>
        <w:rPr>
          <w:rFonts w:ascii="宋体" w:hAnsi="宋体"/>
          <w:highlight w:val="none"/>
        </w:rPr>
        <w:t xml:space="preserve"> </w:t>
      </w:r>
    </w:p>
    <w:p w14:paraId="18D4E344">
      <w:pPr>
        <w:spacing w:line="200" w:lineRule="exact"/>
        <w:rPr>
          <w:rFonts w:ascii="宋体" w:hAnsi="宋体"/>
          <w:highlight w:val="none"/>
        </w:rPr>
      </w:pPr>
      <w:r>
        <w:rPr>
          <w:rFonts w:ascii="宋体" w:hAnsi="宋体"/>
          <w:highlight w:val="none"/>
        </w:rPr>
        <w:t xml:space="preserve"> </w:t>
      </w:r>
    </w:p>
    <w:p w14:paraId="308B099F">
      <w:pPr>
        <w:spacing w:line="360" w:lineRule="auto"/>
        <w:ind w:firstLine="480" w:firstLineChars="200"/>
        <w:rPr>
          <w:rFonts w:ascii="宋体" w:hAnsi="宋体"/>
          <w:sz w:val="24"/>
          <w:szCs w:val="24"/>
          <w:highlight w:val="none"/>
        </w:rPr>
      </w:pPr>
      <w:r>
        <w:rPr>
          <w:rFonts w:hint="eastAsia" w:ascii="宋体" w:hAnsi="宋体"/>
          <w:sz w:val="24"/>
          <w:szCs w:val="24"/>
          <w:highlight w:val="none"/>
        </w:rPr>
        <w:t>本人</w:t>
      </w:r>
      <w:r>
        <w:rPr>
          <w:rFonts w:hint="eastAsia" w:ascii="宋体" w:hAnsi="宋体"/>
          <w:sz w:val="24"/>
          <w:szCs w:val="24"/>
          <w:highlight w:val="none"/>
          <w:u w:val="single"/>
        </w:rPr>
        <w:t xml:space="preserve">             </w:t>
      </w:r>
      <w:r>
        <w:rPr>
          <w:rFonts w:hint="eastAsia" w:ascii="宋体" w:hAnsi="宋体"/>
          <w:sz w:val="24"/>
          <w:szCs w:val="24"/>
          <w:highlight w:val="none"/>
        </w:rPr>
        <w:t>(姓名)系</w:t>
      </w:r>
      <w:r>
        <w:rPr>
          <w:rFonts w:hint="eastAsia" w:ascii="宋体" w:hAnsi="宋体"/>
          <w:sz w:val="24"/>
          <w:szCs w:val="24"/>
          <w:highlight w:val="none"/>
          <w:u w:val="single"/>
        </w:rPr>
        <w:t xml:space="preserve">                      </w:t>
      </w:r>
      <w:r>
        <w:rPr>
          <w:rFonts w:hint="eastAsia" w:ascii="宋体" w:hAnsi="宋体"/>
          <w:sz w:val="24"/>
          <w:szCs w:val="24"/>
          <w:highlight w:val="none"/>
        </w:rPr>
        <w:t>(投标人名称)的法定代表人(单位负责人)，现委托</w:t>
      </w:r>
      <w:r>
        <w:rPr>
          <w:rFonts w:hint="eastAsia" w:ascii="宋体" w:hAnsi="宋体"/>
          <w:sz w:val="24"/>
          <w:szCs w:val="24"/>
          <w:highlight w:val="none"/>
          <w:u w:val="single"/>
        </w:rPr>
        <w:t xml:space="preserve">             </w:t>
      </w:r>
      <w:r>
        <w:rPr>
          <w:rFonts w:hint="eastAsia" w:ascii="宋体" w:hAnsi="宋体"/>
          <w:sz w:val="24"/>
          <w:szCs w:val="24"/>
          <w:highlight w:val="none"/>
        </w:rPr>
        <w:t>(姓名)为我方代理人。代理人根据授权，以我方名义签署、澄清、说明、补正、撤回、修改</w:t>
      </w:r>
      <w:r>
        <w:rPr>
          <w:rFonts w:hint="eastAsia" w:ascii="宋体" w:hAnsi="宋体"/>
          <w:sz w:val="24"/>
          <w:szCs w:val="24"/>
          <w:highlight w:val="none"/>
          <w:u w:val="single"/>
        </w:rPr>
        <w:t xml:space="preserve">             </w:t>
      </w:r>
      <w:r>
        <w:rPr>
          <w:rFonts w:hint="eastAsia" w:ascii="宋体" w:hAnsi="宋体"/>
          <w:sz w:val="24"/>
          <w:szCs w:val="24"/>
          <w:highlight w:val="none"/>
        </w:rPr>
        <w:t>（项目名称）投标文件、签订合同和处理有关事宜，其法律后果由我方承担。</w:t>
      </w:r>
    </w:p>
    <w:p w14:paraId="24513108">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代理人无转委托权。</w:t>
      </w:r>
    </w:p>
    <w:p w14:paraId="052DE800">
      <w:pPr>
        <w:spacing w:before="468" w:line="360" w:lineRule="auto"/>
        <w:ind w:firstLine="3373" w:firstLineChars="1400"/>
        <w:rPr>
          <w:rFonts w:hint="eastAsia" w:ascii="宋体" w:hAnsi="宋体"/>
          <w:b/>
          <w:sz w:val="24"/>
          <w:szCs w:val="24"/>
          <w:highlight w:val="none"/>
        </w:rPr>
      </w:pPr>
      <w:r>
        <w:rPr>
          <w:rFonts w:hint="eastAsia" w:ascii="宋体" w:hAnsi="宋体"/>
          <w:b/>
          <w:sz w:val="24"/>
          <w:szCs w:val="24"/>
          <w:highlight w:val="none"/>
        </w:rPr>
        <w:t>投 标 人：</w:t>
      </w:r>
      <w:r>
        <w:rPr>
          <w:rFonts w:hint="eastAsia" w:ascii="宋体" w:hAnsi="宋体"/>
          <w:b/>
          <w:sz w:val="24"/>
          <w:szCs w:val="24"/>
          <w:highlight w:val="none"/>
          <w:u w:val="single"/>
        </w:rPr>
        <w:t xml:space="preserve">                        </w:t>
      </w:r>
      <w:r>
        <w:rPr>
          <w:rFonts w:hint="eastAsia" w:ascii="宋体" w:hAnsi="宋体"/>
          <w:b/>
          <w:sz w:val="24"/>
          <w:szCs w:val="24"/>
          <w:highlight w:val="none"/>
        </w:rPr>
        <w:t>(电子签章)</w:t>
      </w:r>
    </w:p>
    <w:p w14:paraId="4D937070">
      <w:pPr>
        <w:spacing w:before="468" w:line="360" w:lineRule="auto"/>
        <w:ind w:firstLine="3373" w:firstLineChars="1400"/>
        <w:rPr>
          <w:rFonts w:hint="eastAsia" w:ascii="宋体" w:hAnsi="宋体"/>
          <w:b/>
          <w:sz w:val="24"/>
          <w:szCs w:val="24"/>
          <w:highlight w:val="none"/>
        </w:rPr>
      </w:pPr>
      <w:r>
        <w:rPr>
          <w:rFonts w:hint="eastAsia" w:ascii="宋体" w:hAnsi="宋体"/>
          <w:b/>
          <w:sz w:val="24"/>
          <w:szCs w:val="24"/>
          <w:highlight w:val="none"/>
        </w:rPr>
        <w:t>法定代表人(单位负责人)：</w:t>
      </w:r>
      <w:r>
        <w:rPr>
          <w:rFonts w:hint="eastAsia" w:ascii="宋体" w:hAnsi="宋体"/>
          <w:b/>
          <w:sz w:val="24"/>
          <w:szCs w:val="24"/>
          <w:highlight w:val="none"/>
          <w:u w:val="single"/>
        </w:rPr>
        <w:t xml:space="preserve">           </w:t>
      </w:r>
      <w:r>
        <w:rPr>
          <w:rFonts w:hint="eastAsia" w:ascii="宋体" w:hAnsi="宋体"/>
          <w:b/>
          <w:sz w:val="24"/>
          <w:szCs w:val="24"/>
          <w:highlight w:val="none"/>
        </w:rPr>
        <w:t>(电子签章)</w:t>
      </w:r>
    </w:p>
    <w:p w14:paraId="6FBEF36F">
      <w:pPr>
        <w:autoSpaceDE w:val="0"/>
        <w:autoSpaceDN w:val="0"/>
        <w:adjustRightInd w:val="0"/>
        <w:spacing w:line="360" w:lineRule="auto"/>
        <w:ind w:firstLine="3373" w:firstLineChars="1400"/>
        <w:rPr>
          <w:rFonts w:hint="eastAsia"/>
          <w:b/>
          <w:bCs/>
          <w:sz w:val="24"/>
          <w:szCs w:val="24"/>
          <w:highlight w:val="none"/>
          <w:u w:val="single"/>
        </w:rPr>
      </w:pPr>
      <w:r>
        <w:rPr>
          <w:rFonts w:hint="eastAsia" w:ascii="宋体" w:hAnsi="宋体" w:cs="仿宋_GB2312"/>
          <w:b/>
          <w:bCs/>
          <w:sz w:val="24"/>
          <w:szCs w:val="24"/>
          <w:highlight w:val="none"/>
        </w:rPr>
        <w:t>身份证号码：</w:t>
      </w:r>
      <w:r>
        <w:rPr>
          <w:rFonts w:hint="eastAsia" w:ascii="宋体" w:hAnsi="宋体" w:cs="仿宋_GB2312"/>
          <w:b/>
          <w:bCs/>
          <w:sz w:val="24"/>
          <w:szCs w:val="24"/>
          <w:highlight w:val="none"/>
          <w:u w:val="single"/>
        </w:rPr>
        <w:t xml:space="preserve">                            </w:t>
      </w:r>
    </w:p>
    <w:p w14:paraId="4A1A87DC">
      <w:pPr>
        <w:spacing w:before="468" w:line="360" w:lineRule="auto"/>
        <w:ind w:firstLine="3373" w:firstLineChars="1400"/>
        <w:rPr>
          <w:rFonts w:hint="eastAsia" w:ascii="宋体" w:hAnsi="宋体"/>
          <w:b/>
          <w:sz w:val="24"/>
          <w:szCs w:val="24"/>
          <w:highlight w:val="none"/>
        </w:rPr>
      </w:pPr>
      <w:r>
        <w:rPr>
          <w:rFonts w:hint="eastAsia" w:ascii="宋体" w:hAnsi="宋体"/>
          <w:b/>
          <w:sz w:val="24"/>
          <w:szCs w:val="24"/>
          <w:highlight w:val="none"/>
        </w:rPr>
        <w:t>委托代理人：</w:t>
      </w:r>
      <w:r>
        <w:rPr>
          <w:rFonts w:hint="eastAsia" w:ascii="宋体" w:hAnsi="宋体"/>
          <w:b/>
          <w:sz w:val="24"/>
          <w:szCs w:val="24"/>
          <w:highlight w:val="none"/>
          <w:u w:val="single"/>
        </w:rPr>
        <w:t xml:space="preserve">                       </w:t>
      </w:r>
    </w:p>
    <w:p w14:paraId="34A4E063">
      <w:pPr>
        <w:autoSpaceDE w:val="0"/>
        <w:autoSpaceDN w:val="0"/>
        <w:adjustRightInd w:val="0"/>
        <w:spacing w:line="360" w:lineRule="auto"/>
        <w:ind w:firstLine="3373" w:firstLineChars="1400"/>
        <w:rPr>
          <w:rFonts w:hint="eastAsia"/>
          <w:highlight w:val="none"/>
        </w:rPr>
      </w:pPr>
      <w:r>
        <w:rPr>
          <w:rFonts w:hint="eastAsia" w:ascii="宋体" w:hAnsi="宋体" w:cs="仿宋_GB2312"/>
          <w:b/>
          <w:bCs/>
          <w:sz w:val="24"/>
          <w:highlight w:val="none"/>
        </w:rPr>
        <w:t>身份证号码：</w:t>
      </w:r>
      <w:r>
        <w:rPr>
          <w:rFonts w:hint="eastAsia" w:ascii="宋体" w:hAnsi="宋体" w:cs="仿宋_GB2312"/>
          <w:b/>
          <w:bCs/>
          <w:sz w:val="24"/>
          <w:highlight w:val="none"/>
          <w:u w:val="single"/>
        </w:rPr>
        <w:t xml:space="preserve">                            </w:t>
      </w:r>
    </w:p>
    <w:p w14:paraId="184E1E57">
      <w:pPr>
        <w:spacing w:before="468" w:line="360" w:lineRule="auto"/>
        <w:ind w:firstLine="3373" w:firstLineChars="1400"/>
        <w:rPr>
          <w:rFonts w:hint="eastAsia" w:ascii="宋体" w:hAnsi="宋体"/>
          <w:b/>
          <w:sz w:val="24"/>
          <w:szCs w:val="24"/>
          <w:highlight w:val="none"/>
        </w:rPr>
      </w:pPr>
      <w:r>
        <w:rPr>
          <w:rFonts w:hint="eastAsia" w:ascii="宋体" w:hAnsi="宋体"/>
          <w:b/>
          <w:sz w:val="24"/>
          <w:szCs w:val="24"/>
          <w:highlight w:val="none"/>
        </w:rPr>
        <w:t>日期：</w:t>
      </w:r>
      <w:r>
        <w:rPr>
          <w:rFonts w:hint="eastAsia" w:ascii="宋体" w:hAnsi="宋体"/>
          <w:b/>
          <w:sz w:val="24"/>
          <w:szCs w:val="24"/>
          <w:highlight w:val="none"/>
          <w:u w:val="single"/>
        </w:rPr>
        <w:t xml:space="preserve">       </w:t>
      </w:r>
      <w:r>
        <w:rPr>
          <w:rFonts w:hint="eastAsia" w:ascii="宋体" w:hAnsi="宋体"/>
          <w:b/>
          <w:sz w:val="24"/>
          <w:szCs w:val="24"/>
          <w:highlight w:val="none"/>
        </w:rPr>
        <w:t>年</w:t>
      </w:r>
      <w:r>
        <w:rPr>
          <w:rFonts w:hint="eastAsia" w:ascii="宋体" w:hAnsi="宋体"/>
          <w:b/>
          <w:sz w:val="24"/>
          <w:szCs w:val="24"/>
          <w:highlight w:val="none"/>
          <w:u w:val="single"/>
        </w:rPr>
        <w:t xml:space="preserve">    </w:t>
      </w:r>
      <w:r>
        <w:rPr>
          <w:rFonts w:hint="eastAsia" w:ascii="宋体" w:hAnsi="宋体"/>
          <w:b/>
          <w:sz w:val="24"/>
          <w:szCs w:val="24"/>
          <w:highlight w:val="none"/>
        </w:rPr>
        <w:t>月</w:t>
      </w:r>
      <w:r>
        <w:rPr>
          <w:rFonts w:hint="eastAsia" w:ascii="宋体" w:hAnsi="宋体"/>
          <w:b/>
          <w:sz w:val="24"/>
          <w:szCs w:val="24"/>
          <w:highlight w:val="none"/>
          <w:u w:val="single"/>
        </w:rPr>
        <w:t xml:space="preserve">    </w:t>
      </w:r>
      <w:r>
        <w:rPr>
          <w:rFonts w:hint="eastAsia" w:ascii="宋体" w:hAnsi="宋体"/>
          <w:b/>
          <w:sz w:val="24"/>
          <w:szCs w:val="24"/>
          <w:highlight w:val="none"/>
        </w:rPr>
        <w:t>日</w:t>
      </w:r>
    </w:p>
    <w:p w14:paraId="17489416">
      <w:pPr>
        <w:keepNext w:val="0"/>
        <w:keepLines w:val="0"/>
        <w:pageBreakBefore w:val="0"/>
        <w:widowControl/>
        <w:kinsoku/>
        <w:wordWrap/>
        <w:overflowPunct/>
        <w:topLinePunct w:val="0"/>
        <w:autoSpaceDE/>
        <w:autoSpaceDN/>
        <w:bidi w:val="0"/>
        <w:adjustRightInd/>
        <w:snapToGrid/>
        <w:spacing w:line="360" w:lineRule="auto"/>
        <w:ind w:right="482"/>
        <w:textAlignment w:val="auto"/>
        <w:rPr>
          <w:rFonts w:hint="eastAsia" w:ascii="宋体" w:hAnsi="宋体"/>
          <w:sz w:val="24"/>
          <w:szCs w:val="24"/>
          <w:highlight w:val="none"/>
        </w:rPr>
      </w:pPr>
      <w:r>
        <w:rPr>
          <w:rFonts w:hint="eastAsia" w:ascii="宋体" w:hAnsi="宋体"/>
          <w:b/>
          <w:sz w:val="24"/>
          <w:szCs w:val="24"/>
          <w:highlight w:val="none"/>
        </w:rPr>
        <w:t>注：</w:t>
      </w:r>
      <w:r>
        <w:rPr>
          <w:rFonts w:ascii="宋体" w:hAnsi="宋体"/>
          <w:b/>
          <w:sz w:val="24"/>
          <w:highlight w:val="none"/>
        </w:rPr>
        <w:t>附授权委托代理人身份证</w:t>
      </w:r>
      <w:r>
        <w:rPr>
          <w:rFonts w:hint="eastAsia" w:ascii="宋体" w:hAnsi="宋体"/>
          <w:b/>
          <w:sz w:val="24"/>
          <w:szCs w:val="24"/>
          <w:highlight w:val="none"/>
          <w:lang w:val="en-US" w:eastAsia="zh-CN"/>
        </w:rPr>
        <w:t>扫描件</w:t>
      </w:r>
      <w:r>
        <w:rPr>
          <w:rFonts w:ascii="宋体" w:hAnsi="宋体"/>
          <w:b/>
          <w:sz w:val="24"/>
          <w:highlight w:val="none"/>
        </w:rPr>
        <w:t>，如由法定代表人亲自签署</w:t>
      </w:r>
      <w:r>
        <w:rPr>
          <w:rFonts w:ascii="宋体" w:hAnsi="宋体"/>
          <w:b/>
          <w:bCs/>
          <w:sz w:val="24"/>
          <w:highlight w:val="none"/>
        </w:rPr>
        <w:t>投标文件</w:t>
      </w:r>
      <w:r>
        <w:rPr>
          <w:rFonts w:ascii="宋体" w:hAnsi="宋体"/>
          <w:b/>
          <w:sz w:val="24"/>
          <w:highlight w:val="none"/>
        </w:rPr>
        <w:t>并参与相关活动，则不需要办理授权。如由被授权的代理人签署上述文件，则必须按本格式规定填报并提交授权书，否则被授权的代理人将不被认可</w:t>
      </w:r>
      <w:r>
        <w:rPr>
          <w:rFonts w:hint="eastAsia" w:ascii="宋体" w:hAnsi="宋体"/>
          <w:b/>
          <w:sz w:val="24"/>
          <w:highlight w:val="none"/>
        </w:rPr>
        <w:t>。</w:t>
      </w:r>
    </w:p>
    <w:p w14:paraId="75545694">
      <w:pPr>
        <w:ind w:right="480"/>
        <w:rPr>
          <w:rFonts w:hint="eastAsia" w:ascii="宋体" w:hAnsi="宋体"/>
          <w:sz w:val="24"/>
          <w:szCs w:val="24"/>
          <w:highlight w:val="none"/>
        </w:rPr>
      </w:pP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3"/>
        <w:gridCol w:w="4814"/>
      </w:tblGrid>
      <w:tr w14:paraId="36313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4813" w:type="dxa"/>
            <w:noWrap w:val="0"/>
            <w:vAlign w:val="center"/>
          </w:tcPr>
          <w:p w14:paraId="34AF5E95">
            <w:pPr>
              <w:widowControl w:val="0"/>
              <w:spacing w:before="317" w:beforeLines="100" w:after="317" w:afterLines="100" w:line="600" w:lineRule="exact"/>
              <w:jc w:val="center"/>
              <w:rPr>
                <w:rFonts w:ascii="宋体" w:hAnsi="宋体"/>
                <w:highlight w:val="none"/>
              </w:rPr>
            </w:pPr>
            <w:r>
              <w:rPr>
                <w:rFonts w:hint="eastAsia" w:ascii="宋体" w:hAnsi="宋体"/>
                <w:sz w:val="24"/>
                <w:szCs w:val="24"/>
                <w:highlight w:val="none"/>
              </w:rPr>
              <w:t>代理</w:t>
            </w:r>
            <w:r>
              <w:rPr>
                <w:rFonts w:hint="eastAsia" w:ascii="宋体" w:hAnsi="宋体" w:eastAsia="Times New Roman"/>
                <w:sz w:val="24"/>
                <w:szCs w:val="24"/>
                <w:highlight w:val="none"/>
              </w:rPr>
              <w:t>人身份证</w:t>
            </w:r>
            <w:r>
              <w:rPr>
                <w:rFonts w:hint="eastAsia" w:ascii="宋体" w:hAnsi="宋体"/>
                <w:sz w:val="24"/>
                <w:szCs w:val="24"/>
                <w:highlight w:val="none"/>
              </w:rPr>
              <w:t>正面</w:t>
            </w:r>
          </w:p>
        </w:tc>
        <w:tc>
          <w:tcPr>
            <w:tcW w:w="4814" w:type="dxa"/>
            <w:noWrap w:val="0"/>
            <w:vAlign w:val="center"/>
          </w:tcPr>
          <w:p w14:paraId="4F51ECBD">
            <w:pPr>
              <w:widowControl w:val="0"/>
              <w:spacing w:before="317" w:beforeLines="100" w:after="317" w:afterLines="100" w:line="600" w:lineRule="exact"/>
              <w:jc w:val="center"/>
              <w:rPr>
                <w:rFonts w:ascii="宋体" w:hAnsi="宋体" w:eastAsia="Times New Roman"/>
                <w:highlight w:val="none"/>
              </w:rPr>
            </w:pPr>
            <w:r>
              <w:rPr>
                <w:rFonts w:hint="eastAsia" w:ascii="宋体" w:hAnsi="宋体"/>
                <w:sz w:val="24"/>
                <w:szCs w:val="24"/>
                <w:highlight w:val="none"/>
              </w:rPr>
              <w:t>代理</w:t>
            </w:r>
            <w:r>
              <w:rPr>
                <w:rFonts w:hint="eastAsia" w:ascii="宋体" w:hAnsi="宋体" w:eastAsia="Times New Roman"/>
                <w:sz w:val="24"/>
                <w:szCs w:val="24"/>
                <w:highlight w:val="none"/>
              </w:rPr>
              <w:t>人身份证</w:t>
            </w:r>
            <w:r>
              <w:rPr>
                <w:rFonts w:hint="eastAsia" w:ascii="宋体" w:hAnsi="宋体"/>
                <w:sz w:val="24"/>
                <w:szCs w:val="24"/>
                <w:highlight w:val="none"/>
              </w:rPr>
              <w:t>反面</w:t>
            </w:r>
          </w:p>
        </w:tc>
      </w:tr>
    </w:tbl>
    <w:p w14:paraId="620144C6">
      <w:pPr>
        <w:spacing w:line="240" w:lineRule="exact"/>
        <w:rPr>
          <w:rFonts w:hint="eastAsia" w:ascii="宋体" w:hAnsi="宋体"/>
          <w:b/>
          <w:bCs/>
          <w:sz w:val="44"/>
          <w:szCs w:val="44"/>
          <w:highlight w:val="none"/>
        </w:rPr>
      </w:pPr>
    </w:p>
    <w:p w14:paraId="52F89545">
      <w:pPr>
        <w:pStyle w:val="4"/>
        <w:widowControl/>
        <w:autoSpaceDE w:val="0"/>
        <w:spacing w:before="0" w:after="0" w:line="360" w:lineRule="auto"/>
        <w:jc w:val="center"/>
        <w:rPr>
          <w:rFonts w:hint="eastAsia" w:ascii="宋体" w:hAnsi="宋体" w:eastAsia="宋体" w:cs="宋体"/>
          <w:szCs w:val="28"/>
        </w:rPr>
      </w:pPr>
      <w:bookmarkStart w:id="269" w:name="_Toc25271"/>
      <w:bookmarkEnd w:id="269"/>
      <w:bookmarkStart w:id="270" w:name="_Toc26620"/>
      <w:bookmarkEnd w:id="270"/>
      <w:bookmarkStart w:id="271" w:name="_Toc28613"/>
      <w:r>
        <w:rPr>
          <w:rFonts w:hint="eastAsia" w:ascii="宋体" w:hAnsi="宋体"/>
          <w:szCs w:val="28"/>
          <w:highlight w:val="none"/>
        </w:rPr>
        <w:br w:type="page"/>
      </w:r>
      <w:bookmarkStart w:id="272" w:name="_Toc30543"/>
      <w:bookmarkStart w:id="273" w:name="_Toc6680"/>
      <w:r>
        <w:rPr>
          <w:rFonts w:hint="eastAsia" w:ascii="宋体" w:hAnsi="宋体" w:eastAsia="宋体" w:cs="宋体"/>
          <w:szCs w:val="28"/>
        </w:rPr>
        <w:t>五、投标人基本情况表</w:t>
      </w:r>
      <w:bookmarkEnd w:id="272"/>
      <w:bookmarkEnd w:id="273"/>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9"/>
        <w:gridCol w:w="1350"/>
        <w:gridCol w:w="2721"/>
        <w:gridCol w:w="1404"/>
        <w:gridCol w:w="1982"/>
      </w:tblGrid>
      <w:tr w14:paraId="32318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5CF262B1">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投标人名称</w:t>
            </w:r>
          </w:p>
        </w:tc>
        <w:tc>
          <w:tcPr>
            <w:tcW w:w="7457" w:type="dxa"/>
            <w:gridSpan w:val="4"/>
            <w:tcBorders>
              <w:top w:val="single" w:color="auto" w:sz="4" w:space="0"/>
              <w:left w:val="nil"/>
              <w:bottom w:val="single" w:color="auto" w:sz="4" w:space="0"/>
              <w:right w:val="single" w:color="auto" w:sz="4" w:space="0"/>
            </w:tcBorders>
            <w:noWrap w:val="0"/>
            <w:vAlign w:val="center"/>
          </w:tcPr>
          <w:p w14:paraId="033E5477">
            <w:pPr>
              <w:spacing w:line="440" w:lineRule="exact"/>
              <w:jc w:val="center"/>
              <w:rPr>
                <w:rFonts w:hint="eastAsia" w:ascii="宋体" w:hAnsi="宋体" w:eastAsia="宋体" w:cs="宋体"/>
                <w:sz w:val="24"/>
                <w:szCs w:val="24"/>
              </w:rPr>
            </w:pPr>
          </w:p>
        </w:tc>
      </w:tr>
      <w:tr w14:paraId="5370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33E55297">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注册资金</w:t>
            </w:r>
          </w:p>
        </w:tc>
        <w:tc>
          <w:tcPr>
            <w:tcW w:w="4071" w:type="dxa"/>
            <w:gridSpan w:val="2"/>
            <w:tcBorders>
              <w:top w:val="single" w:color="auto" w:sz="4" w:space="0"/>
              <w:left w:val="nil"/>
              <w:bottom w:val="single" w:color="auto" w:sz="4" w:space="0"/>
              <w:right w:val="single" w:color="auto" w:sz="4" w:space="0"/>
            </w:tcBorders>
            <w:noWrap w:val="0"/>
            <w:vAlign w:val="center"/>
          </w:tcPr>
          <w:p w14:paraId="6333A2B9">
            <w:pPr>
              <w:spacing w:line="440" w:lineRule="exact"/>
              <w:jc w:val="center"/>
              <w:rPr>
                <w:rFonts w:hint="eastAsia" w:ascii="宋体" w:hAnsi="宋体" w:eastAsia="宋体" w:cs="宋体"/>
                <w:sz w:val="24"/>
                <w:szCs w:val="24"/>
              </w:rPr>
            </w:pPr>
          </w:p>
        </w:tc>
        <w:tc>
          <w:tcPr>
            <w:tcW w:w="1404" w:type="dxa"/>
            <w:tcBorders>
              <w:top w:val="single" w:color="auto" w:sz="4" w:space="0"/>
              <w:left w:val="nil"/>
              <w:bottom w:val="single" w:color="auto" w:sz="4" w:space="0"/>
              <w:right w:val="single" w:color="auto" w:sz="4" w:space="0"/>
            </w:tcBorders>
            <w:noWrap w:val="0"/>
            <w:vAlign w:val="center"/>
          </w:tcPr>
          <w:p w14:paraId="4F122CB0">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成立时间</w:t>
            </w:r>
          </w:p>
        </w:tc>
        <w:tc>
          <w:tcPr>
            <w:tcW w:w="1982" w:type="dxa"/>
            <w:tcBorders>
              <w:top w:val="single" w:color="auto" w:sz="4" w:space="0"/>
              <w:left w:val="nil"/>
              <w:bottom w:val="single" w:color="auto" w:sz="4" w:space="0"/>
              <w:right w:val="single" w:color="auto" w:sz="4" w:space="0"/>
            </w:tcBorders>
            <w:noWrap w:val="0"/>
            <w:vAlign w:val="center"/>
          </w:tcPr>
          <w:p w14:paraId="65F03C9B">
            <w:pPr>
              <w:spacing w:line="440" w:lineRule="exact"/>
              <w:jc w:val="center"/>
              <w:rPr>
                <w:rFonts w:hint="eastAsia" w:ascii="宋体" w:hAnsi="宋体" w:eastAsia="宋体" w:cs="宋体"/>
                <w:sz w:val="24"/>
                <w:szCs w:val="24"/>
              </w:rPr>
            </w:pPr>
          </w:p>
        </w:tc>
      </w:tr>
      <w:tr w14:paraId="0A400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02745098">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注册地址</w:t>
            </w:r>
          </w:p>
        </w:tc>
        <w:tc>
          <w:tcPr>
            <w:tcW w:w="7457" w:type="dxa"/>
            <w:gridSpan w:val="4"/>
            <w:tcBorders>
              <w:top w:val="single" w:color="auto" w:sz="4" w:space="0"/>
              <w:left w:val="nil"/>
              <w:bottom w:val="single" w:color="auto" w:sz="4" w:space="0"/>
              <w:right w:val="single" w:color="auto" w:sz="4" w:space="0"/>
            </w:tcBorders>
            <w:noWrap w:val="0"/>
            <w:vAlign w:val="center"/>
          </w:tcPr>
          <w:p w14:paraId="22D853DF">
            <w:pPr>
              <w:spacing w:line="440" w:lineRule="exact"/>
              <w:jc w:val="center"/>
              <w:rPr>
                <w:rFonts w:hint="eastAsia" w:ascii="宋体" w:hAnsi="宋体" w:eastAsia="宋体" w:cs="宋体"/>
                <w:sz w:val="24"/>
                <w:szCs w:val="24"/>
              </w:rPr>
            </w:pPr>
          </w:p>
        </w:tc>
      </w:tr>
      <w:tr w14:paraId="70053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290517F4">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邮政编码</w:t>
            </w:r>
          </w:p>
        </w:tc>
        <w:tc>
          <w:tcPr>
            <w:tcW w:w="4071" w:type="dxa"/>
            <w:gridSpan w:val="2"/>
            <w:tcBorders>
              <w:top w:val="single" w:color="auto" w:sz="4" w:space="0"/>
              <w:left w:val="nil"/>
              <w:bottom w:val="single" w:color="auto" w:sz="4" w:space="0"/>
              <w:right w:val="single" w:color="auto" w:sz="4" w:space="0"/>
            </w:tcBorders>
            <w:noWrap w:val="0"/>
            <w:vAlign w:val="center"/>
          </w:tcPr>
          <w:p w14:paraId="1C2BAB64">
            <w:pPr>
              <w:spacing w:line="440" w:lineRule="exact"/>
              <w:jc w:val="center"/>
              <w:rPr>
                <w:rFonts w:hint="eastAsia" w:ascii="宋体" w:hAnsi="宋体" w:eastAsia="宋体" w:cs="宋体"/>
                <w:sz w:val="24"/>
                <w:szCs w:val="24"/>
              </w:rPr>
            </w:pPr>
          </w:p>
        </w:tc>
        <w:tc>
          <w:tcPr>
            <w:tcW w:w="1404" w:type="dxa"/>
            <w:tcBorders>
              <w:top w:val="single" w:color="auto" w:sz="4" w:space="0"/>
              <w:left w:val="nil"/>
              <w:bottom w:val="single" w:color="auto" w:sz="4" w:space="0"/>
              <w:right w:val="single" w:color="auto" w:sz="4" w:space="0"/>
            </w:tcBorders>
            <w:noWrap w:val="0"/>
            <w:vAlign w:val="center"/>
          </w:tcPr>
          <w:p w14:paraId="6A33FB6C">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员工总数</w:t>
            </w:r>
          </w:p>
        </w:tc>
        <w:tc>
          <w:tcPr>
            <w:tcW w:w="1982" w:type="dxa"/>
            <w:tcBorders>
              <w:top w:val="single" w:color="auto" w:sz="4" w:space="0"/>
              <w:left w:val="nil"/>
              <w:bottom w:val="single" w:color="auto" w:sz="4" w:space="0"/>
              <w:right w:val="single" w:color="auto" w:sz="4" w:space="0"/>
            </w:tcBorders>
            <w:noWrap w:val="0"/>
            <w:vAlign w:val="center"/>
          </w:tcPr>
          <w:p w14:paraId="390FE386">
            <w:pPr>
              <w:spacing w:line="440" w:lineRule="exact"/>
              <w:jc w:val="center"/>
              <w:rPr>
                <w:rFonts w:hint="eastAsia" w:ascii="宋体" w:hAnsi="宋体" w:eastAsia="宋体" w:cs="宋体"/>
                <w:sz w:val="24"/>
                <w:szCs w:val="24"/>
              </w:rPr>
            </w:pPr>
          </w:p>
        </w:tc>
      </w:tr>
      <w:tr w14:paraId="3BFD4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vMerge w:val="restart"/>
            <w:tcBorders>
              <w:top w:val="nil"/>
              <w:left w:val="single" w:color="auto" w:sz="4" w:space="0"/>
              <w:bottom w:val="single" w:color="auto" w:sz="4" w:space="0"/>
              <w:right w:val="single" w:color="auto" w:sz="4" w:space="0"/>
            </w:tcBorders>
            <w:noWrap w:val="0"/>
            <w:vAlign w:val="center"/>
          </w:tcPr>
          <w:p w14:paraId="15ABB0D0">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联系方式</w:t>
            </w:r>
          </w:p>
        </w:tc>
        <w:tc>
          <w:tcPr>
            <w:tcW w:w="1350" w:type="dxa"/>
            <w:tcBorders>
              <w:top w:val="single" w:color="auto" w:sz="4" w:space="0"/>
              <w:left w:val="nil"/>
              <w:bottom w:val="single" w:color="auto" w:sz="4" w:space="0"/>
              <w:right w:val="single" w:color="auto" w:sz="4" w:space="0"/>
            </w:tcBorders>
            <w:noWrap w:val="0"/>
            <w:vAlign w:val="center"/>
          </w:tcPr>
          <w:p w14:paraId="410237D5">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联系人</w:t>
            </w:r>
          </w:p>
        </w:tc>
        <w:tc>
          <w:tcPr>
            <w:tcW w:w="2721" w:type="dxa"/>
            <w:tcBorders>
              <w:top w:val="single" w:color="auto" w:sz="4" w:space="0"/>
              <w:left w:val="nil"/>
              <w:bottom w:val="single" w:color="auto" w:sz="4" w:space="0"/>
              <w:right w:val="single" w:color="auto" w:sz="4" w:space="0"/>
            </w:tcBorders>
            <w:noWrap w:val="0"/>
            <w:vAlign w:val="center"/>
          </w:tcPr>
          <w:p w14:paraId="0C7B6645">
            <w:pPr>
              <w:spacing w:line="440" w:lineRule="exact"/>
              <w:jc w:val="center"/>
              <w:rPr>
                <w:rFonts w:hint="eastAsia" w:ascii="宋体" w:hAnsi="宋体" w:eastAsia="宋体" w:cs="宋体"/>
                <w:sz w:val="24"/>
                <w:szCs w:val="24"/>
              </w:rPr>
            </w:pPr>
          </w:p>
        </w:tc>
        <w:tc>
          <w:tcPr>
            <w:tcW w:w="1404" w:type="dxa"/>
            <w:tcBorders>
              <w:top w:val="single" w:color="auto" w:sz="4" w:space="0"/>
              <w:left w:val="nil"/>
              <w:bottom w:val="single" w:color="auto" w:sz="4" w:space="0"/>
              <w:right w:val="single" w:color="auto" w:sz="4" w:space="0"/>
            </w:tcBorders>
            <w:noWrap w:val="0"/>
            <w:vAlign w:val="center"/>
          </w:tcPr>
          <w:p w14:paraId="61D90B87">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电话</w:t>
            </w:r>
          </w:p>
        </w:tc>
        <w:tc>
          <w:tcPr>
            <w:tcW w:w="1982" w:type="dxa"/>
            <w:tcBorders>
              <w:top w:val="single" w:color="auto" w:sz="4" w:space="0"/>
              <w:left w:val="nil"/>
              <w:bottom w:val="single" w:color="auto" w:sz="4" w:space="0"/>
              <w:right w:val="single" w:color="auto" w:sz="4" w:space="0"/>
            </w:tcBorders>
            <w:noWrap w:val="0"/>
            <w:vAlign w:val="center"/>
          </w:tcPr>
          <w:p w14:paraId="47F64B4E">
            <w:pPr>
              <w:spacing w:line="440" w:lineRule="exact"/>
              <w:jc w:val="center"/>
              <w:rPr>
                <w:rFonts w:hint="eastAsia" w:ascii="宋体" w:hAnsi="宋体" w:eastAsia="宋体" w:cs="宋体"/>
                <w:sz w:val="24"/>
                <w:szCs w:val="24"/>
              </w:rPr>
            </w:pPr>
          </w:p>
        </w:tc>
      </w:tr>
      <w:tr w14:paraId="6208E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vMerge w:val="continue"/>
            <w:tcBorders>
              <w:top w:val="nil"/>
              <w:left w:val="single" w:color="auto" w:sz="4" w:space="0"/>
              <w:bottom w:val="single" w:color="auto" w:sz="4" w:space="0"/>
              <w:right w:val="single" w:color="auto" w:sz="4" w:space="0"/>
            </w:tcBorders>
            <w:noWrap w:val="0"/>
            <w:vAlign w:val="center"/>
          </w:tcPr>
          <w:p w14:paraId="021CDB17">
            <w:pPr>
              <w:widowControl w:val="0"/>
              <w:jc w:val="both"/>
              <w:rPr>
                <w:rFonts w:hint="eastAsia" w:ascii="宋体" w:hAnsi="宋体" w:eastAsia="宋体" w:cs="宋体"/>
                <w:kern w:val="2"/>
                <w:sz w:val="24"/>
                <w:szCs w:val="24"/>
              </w:rPr>
            </w:pPr>
          </w:p>
        </w:tc>
        <w:tc>
          <w:tcPr>
            <w:tcW w:w="1350" w:type="dxa"/>
            <w:tcBorders>
              <w:top w:val="single" w:color="auto" w:sz="4" w:space="0"/>
              <w:left w:val="nil"/>
              <w:bottom w:val="single" w:color="auto" w:sz="4" w:space="0"/>
              <w:right w:val="single" w:color="auto" w:sz="4" w:space="0"/>
            </w:tcBorders>
            <w:noWrap w:val="0"/>
            <w:vAlign w:val="center"/>
          </w:tcPr>
          <w:p w14:paraId="1B7F70CB">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网址</w:t>
            </w:r>
          </w:p>
        </w:tc>
        <w:tc>
          <w:tcPr>
            <w:tcW w:w="2721" w:type="dxa"/>
            <w:tcBorders>
              <w:top w:val="single" w:color="auto" w:sz="4" w:space="0"/>
              <w:left w:val="nil"/>
              <w:bottom w:val="single" w:color="auto" w:sz="4" w:space="0"/>
              <w:right w:val="single" w:color="auto" w:sz="4" w:space="0"/>
            </w:tcBorders>
            <w:noWrap w:val="0"/>
            <w:vAlign w:val="center"/>
          </w:tcPr>
          <w:p w14:paraId="0CF2A6F6">
            <w:pPr>
              <w:spacing w:line="440" w:lineRule="exact"/>
              <w:jc w:val="center"/>
              <w:rPr>
                <w:rFonts w:hint="eastAsia" w:ascii="宋体" w:hAnsi="宋体" w:eastAsia="宋体" w:cs="宋体"/>
                <w:sz w:val="24"/>
                <w:szCs w:val="24"/>
              </w:rPr>
            </w:pPr>
          </w:p>
        </w:tc>
        <w:tc>
          <w:tcPr>
            <w:tcW w:w="1404" w:type="dxa"/>
            <w:tcBorders>
              <w:top w:val="single" w:color="auto" w:sz="4" w:space="0"/>
              <w:left w:val="nil"/>
              <w:bottom w:val="single" w:color="auto" w:sz="4" w:space="0"/>
              <w:right w:val="single" w:color="auto" w:sz="4" w:space="0"/>
            </w:tcBorders>
            <w:noWrap w:val="0"/>
            <w:vAlign w:val="center"/>
          </w:tcPr>
          <w:p w14:paraId="08ADFD94">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传真</w:t>
            </w:r>
          </w:p>
        </w:tc>
        <w:tc>
          <w:tcPr>
            <w:tcW w:w="1982" w:type="dxa"/>
            <w:tcBorders>
              <w:top w:val="single" w:color="auto" w:sz="4" w:space="0"/>
              <w:left w:val="nil"/>
              <w:bottom w:val="single" w:color="auto" w:sz="4" w:space="0"/>
              <w:right w:val="single" w:color="auto" w:sz="4" w:space="0"/>
            </w:tcBorders>
            <w:noWrap w:val="0"/>
            <w:vAlign w:val="center"/>
          </w:tcPr>
          <w:p w14:paraId="130E570D">
            <w:pPr>
              <w:spacing w:line="440" w:lineRule="exact"/>
              <w:jc w:val="center"/>
              <w:rPr>
                <w:rFonts w:hint="eastAsia" w:ascii="宋体" w:hAnsi="宋体" w:eastAsia="宋体" w:cs="宋体"/>
                <w:sz w:val="24"/>
                <w:szCs w:val="24"/>
              </w:rPr>
            </w:pPr>
          </w:p>
        </w:tc>
      </w:tr>
      <w:tr w14:paraId="5582F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4599B9D6">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法定代表人</w:t>
            </w:r>
          </w:p>
          <w:p w14:paraId="6C40F3AF">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(单位负责人)</w:t>
            </w:r>
          </w:p>
        </w:tc>
        <w:tc>
          <w:tcPr>
            <w:tcW w:w="1350" w:type="dxa"/>
            <w:tcBorders>
              <w:top w:val="single" w:color="auto" w:sz="4" w:space="0"/>
              <w:left w:val="nil"/>
              <w:bottom w:val="single" w:color="auto" w:sz="4" w:space="0"/>
              <w:right w:val="single" w:color="auto" w:sz="4" w:space="0"/>
            </w:tcBorders>
            <w:noWrap w:val="0"/>
            <w:vAlign w:val="center"/>
          </w:tcPr>
          <w:p w14:paraId="4A863C6C">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姓名</w:t>
            </w:r>
          </w:p>
        </w:tc>
        <w:tc>
          <w:tcPr>
            <w:tcW w:w="2721" w:type="dxa"/>
            <w:tcBorders>
              <w:top w:val="single" w:color="auto" w:sz="4" w:space="0"/>
              <w:left w:val="nil"/>
              <w:bottom w:val="single" w:color="auto" w:sz="4" w:space="0"/>
              <w:right w:val="single" w:color="auto" w:sz="4" w:space="0"/>
            </w:tcBorders>
            <w:noWrap w:val="0"/>
            <w:vAlign w:val="center"/>
          </w:tcPr>
          <w:p w14:paraId="7A028582">
            <w:pPr>
              <w:spacing w:line="440" w:lineRule="exact"/>
              <w:jc w:val="center"/>
              <w:rPr>
                <w:rFonts w:hint="eastAsia" w:ascii="宋体" w:hAnsi="宋体" w:eastAsia="宋体" w:cs="宋体"/>
                <w:sz w:val="24"/>
                <w:szCs w:val="24"/>
              </w:rPr>
            </w:pPr>
          </w:p>
        </w:tc>
        <w:tc>
          <w:tcPr>
            <w:tcW w:w="1404" w:type="dxa"/>
            <w:tcBorders>
              <w:top w:val="single" w:color="auto" w:sz="4" w:space="0"/>
              <w:left w:val="nil"/>
              <w:bottom w:val="single" w:color="auto" w:sz="4" w:space="0"/>
              <w:right w:val="single" w:color="auto" w:sz="4" w:space="0"/>
            </w:tcBorders>
            <w:noWrap w:val="0"/>
            <w:vAlign w:val="center"/>
          </w:tcPr>
          <w:p w14:paraId="7282EC06">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电话</w:t>
            </w:r>
          </w:p>
        </w:tc>
        <w:tc>
          <w:tcPr>
            <w:tcW w:w="1982" w:type="dxa"/>
            <w:tcBorders>
              <w:top w:val="single" w:color="auto" w:sz="4" w:space="0"/>
              <w:left w:val="nil"/>
              <w:bottom w:val="single" w:color="auto" w:sz="4" w:space="0"/>
              <w:right w:val="single" w:color="auto" w:sz="4" w:space="0"/>
            </w:tcBorders>
            <w:noWrap w:val="0"/>
            <w:vAlign w:val="center"/>
          </w:tcPr>
          <w:p w14:paraId="767D6C4D">
            <w:pPr>
              <w:spacing w:line="440" w:lineRule="exact"/>
              <w:jc w:val="center"/>
              <w:rPr>
                <w:rFonts w:hint="eastAsia" w:ascii="宋体" w:hAnsi="宋体" w:eastAsia="宋体" w:cs="宋体"/>
                <w:sz w:val="24"/>
                <w:szCs w:val="24"/>
              </w:rPr>
            </w:pPr>
          </w:p>
        </w:tc>
      </w:tr>
      <w:tr w14:paraId="43BD7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622D63D8">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投标人须知要求投标人需具有的各类资质证书(若有)</w:t>
            </w:r>
          </w:p>
        </w:tc>
        <w:tc>
          <w:tcPr>
            <w:tcW w:w="7457" w:type="dxa"/>
            <w:gridSpan w:val="4"/>
            <w:tcBorders>
              <w:top w:val="single" w:color="auto" w:sz="4" w:space="0"/>
              <w:left w:val="nil"/>
              <w:bottom w:val="single" w:color="auto" w:sz="4" w:space="0"/>
              <w:right w:val="single" w:color="auto" w:sz="4" w:space="0"/>
            </w:tcBorders>
            <w:noWrap w:val="0"/>
            <w:vAlign w:val="center"/>
          </w:tcPr>
          <w:p w14:paraId="23DC1B8E">
            <w:pPr>
              <w:spacing w:line="440" w:lineRule="exact"/>
              <w:rPr>
                <w:rFonts w:hint="eastAsia" w:ascii="宋体" w:hAnsi="宋体" w:eastAsia="宋体" w:cs="宋体"/>
                <w:sz w:val="24"/>
                <w:szCs w:val="24"/>
              </w:rPr>
            </w:pPr>
            <w:r>
              <w:rPr>
                <w:rFonts w:hint="eastAsia" w:ascii="宋体" w:hAnsi="宋体" w:eastAsia="宋体" w:cs="宋体"/>
                <w:sz w:val="24"/>
                <w:szCs w:val="24"/>
              </w:rPr>
              <w:t>类型：                等级：                 证书号：</w:t>
            </w:r>
          </w:p>
        </w:tc>
      </w:tr>
      <w:tr w14:paraId="65F98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2DCFC1FB">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基本账户开户银行</w:t>
            </w:r>
          </w:p>
        </w:tc>
        <w:tc>
          <w:tcPr>
            <w:tcW w:w="7457" w:type="dxa"/>
            <w:gridSpan w:val="4"/>
            <w:tcBorders>
              <w:top w:val="single" w:color="auto" w:sz="4" w:space="0"/>
              <w:left w:val="nil"/>
              <w:bottom w:val="single" w:color="auto" w:sz="4" w:space="0"/>
              <w:right w:val="single" w:color="auto" w:sz="4" w:space="0"/>
            </w:tcBorders>
            <w:noWrap w:val="0"/>
            <w:vAlign w:val="center"/>
          </w:tcPr>
          <w:p w14:paraId="53B2416B">
            <w:pPr>
              <w:spacing w:line="440" w:lineRule="exact"/>
              <w:jc w:val="center"/>
              <w:rPr>
                <w:rFonts w:hint="eastAsia" w:ascii="宋体" w:hAnsi="宋体" w:eastAsia="宋体" w:cs="宋体"/>
                <w:sz w:val="24"/>
                <w:szCs w:val="24"/>
              </w:rPr>
            </w:pPr>
          </w:p>
        </w:tc>
      </w:tr>
      <w:tr w14:paraId="793A4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6EE16BB8">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基本账户银行账号</w:t>
            </w:r>
          </w:p>
        </w:tc>
        <w:tc>
          <w:tcPr>
            <w:tcW w:w="7457" w:type="dxa"/>
            <w:gridSpan w:val="4"/>
            <w:tcBorders>
              <w:top w:val="single" w:color="auto" w:sz="4" w:space="0"/>
              <w:left w:val="nil"/>
              <w:bottom w:val="single" w:color="auto" w:sz="4" w:space="0"/>
              <w:right w:val="single" w:color="auto" w:sz="4" w:space="0"/>
            </w:tcBorders>
            <w:noWrap w:val="0"/>
            <w:vAlign w:val="center"/>
          </w:tcPr>
          <w:p w14:paraId="7DC47856">
            <w:pPr>
              <w:spacing w:line="440" w:lineRule="exact"/>
              <w:jc w:val="center"/>
              <w:rPr>
                <w:rFonts w:hint="eastAsia" w:ascii="宋体" w:hAnsi="宋体" w:eastAsia="宋体" w:cs="宋体"/>
                <w:sz w:val="24"/>
                <w:szCs w:val="24"/>
              </w:rPr>
            </w:pPr>
          </w:p>
        </w:tc>
      </w:tr>
      <w:tr w14:paraId="7D7BF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0B921112">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投标人关联企业情况(包括但不限于与投标人法定代表人(单位负责人)为同一人或者存在控股、管理关系的不同单位)</w:t>
            </w:r>
          </w:p>
        </w:tc>
        <w:tc>
          <w:tcPr>
            <w:tcW w:w="7457" w:type="dxa"/>
            <w:gridSpan w:val="4"/>
            <w:tcBorders>
              <w:top w:val="single" w:color="auto" w:sz="4" w:space="0"/>
              <w:left w:val="nil"/>
              <w:bottom w:val="single" w:color="auto" w:sz="4" w:space="0"/>
              <w:right w:val="single" w:color="auto" w:sz="4" w:space="0"/>
            </w:tcBorders>
            <w:noWrap w:val="0"/>
            <w:vAlign w:val="center"/>
          </w:tcPr>
          <w:p w14:paraId="6206C725">
            <w:pPr>
              <w:spacing w:line="440" w:lineRule="exact"/>
              <w:jc w:val="center"/>
              <w:rPr>
                <w:rFonts w:hint="eastAsia" w:ascii="宋体" w:hAnsi="宋体" w:eastAsia="宋体" w:cs="宋体"/>
                <w:sz w:val="24"/>
                <w:szCs w:val="24"/>
              </w:rPr>
            </w:pPr>
          </w:p>
        </w:tc>
      </w:tr>
      <w:tr w14:paraId="5E62A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noWrap w:val="0"/>
            <w:vAlign w:val="center"/>
          </w:tcPr>
          <w:p w14:paraId="32B7768C">
            <w:pPr>
              <w:spacing w:line="440" w:lineRule="exact"/>
              <w:jc w:val="center"/>
              <w:rPr>
                <w:rFonts w:hint="eastAsia" w:ascii="宋体" w:hAnsi="宋体" w:eastAsia="宋体" w:cs="宋体"/>
                <w:sz w:val="24"/>
                <w:szCs w:val="24"/>
              </w:rPr>
            </w:pPr>
            <w:r>
              <w:rPr>
                <w:rFonts w:hint="eastAsia" w:ascii="宋体" w:hAnsi="宋体" w:eastAsia="宋体" w:cs="宋体"/>
                <w:sz w:val="24"/>
                <w:szCs w:val="24"/>
              </w:rPr>
              <w:t>备注</w:t>
            </w:r>
          </w:p>
        </w:tc>
        <w:tc>
          <w:tcPr>
            <w:tcW w:w="7457" w:type="dxa"/>
            <w:gridSpan w:val="4"/>
            <w:tcBorders>
              <w:top w:val="single" w:color="auto" w:sz="4" w:space="0"/>
              <w:left w:val="nil"/>
              <w:bottom w:val="single" w:color="auto" w:sz="4" w:space="0"/>
              <w:right w:val="single" w:color="auto" w:sz="4" w:space="0"/>
            </w:tcBorders>
            <w:noWrap w:val="0"/>
            <w:vAlign w:val="center"/>
          </w:tcPr>
          <w:p w14:paraId="66E6FDA4">
            <w:pPr>
              <w:spacing w:line="440" w:lineRule="exact"/>
              <w:jc w:val="center"/>
              <w:rPr>
                <w:rFonts w:hint="eastAsia" w:ascii="宋体" w:hAnsi="宋体" w:eastAsia="宋体" w:cs="宋体"/>
                <w:sz w:val="24"/>
                <w:szCs w:val="24"/>
              </w:rPr>
            </w:pPr>
          </w:p>
        </w:tc>
      </w:tr>
    </w:tbl>
    <w:p w14:paraId="3491E0AD">
      <w:pPr>
        <w:bidi w:val="0"/>
        <w:rPr>
          <w:rFonts w:hint="eastAsia"/>
          <w:sz w:val="22"/>
          <w:szCs w:val="22"/>
        </w:rPr>
      </w:pPr>
      <w:r>
        <w:rPr>
          <w:rFonts w:hint="eastAsia"/>
          <w:sz w:val="22"/>
          <w:szCs w:val="22"/>
        </w:rPr>
        <w:t>注：投标人应根据招标文件要求在本表后附相关证明材料，如资质证书(若有)、</w:t>
      </w:r>
      <w:r>
        <w:rPr>
          <w:rFonts w:hint="eastAsia"/>
          <w:sz w:val="22"/>
          <w:szCs w:val="22"/>
          <w:lang w:eastAsia="zh-CN"/>
        </w:rPr>
        <w:t>开户许可证或基本存款账户信息</w:t>
      </w:r>
      <w:r>
        <w:rPr>
          <w:rFonts w:hint="eastAsia"/>
          <w:sz w:val="22"/>
          <w:szCs w:val="22"/>
        </w:rPr>
        <w:t>等。</w:t>
      </w:r>
    </w:p>
    <w:p w14:paraId="240035E2">
      <w:pPr>
        <w:pStyle w:val="4"/>
        <w:widowControl/>
        <w:autoSpaceDE w:val="0"/>
        <w:spacing w:before="0" w:after="0" w:line="360" w:lineRule="auto"/>
        <w:jc w:val="center"/>
        <w:rPr>
          <w:rFonts w:hint="eastAsia" w:ascii="宋体" w:hAnsi="宋体"/>
          <w:szCs w:val="28"/>
          <w:highlight w:val="none"/>
        </w:rPr>
      </w:pPr>
      <w:r>
        <w:rPr>
          <w:rFonts w:hint="eastAsia" w:ascii="宋体" w:hAnsi="宋体" w:eastAsia="宋体" w:cs="宋体"/>
          <w:b w:val="0"/>
          <w:bCs w:val="0"/>
          <w:sz w:val="24"/>
          <w:szCs w:val="24"/>
        </w:rPr>
        <w:br w:type="page"/>
      </w:r>
      <w:bookmarkStart w:id="274" w:name="_Toc17079"/>
      <w:r>
        <w:rPr>
          <w:rFonts w:hint="eastAsia" w:ascii="宋体" w:hAnsi="宋体"/>
          <w:szCs w:val="28"/>
          <w:highlight w:val="none"/>
          <w:lang w:val="en-US" w:eastAsia="zh-CN"/>
        </w:rPr>
        <w:t>六</w:t>
      </w:r>
      <w:r>
        <w:rPr>
          <w:rFonts w:hint="eastAsia" w:ascii="宋体" w:hAnsi="宋体"/>
          <w:szCs w:val="28"/>
          <w:highlight w:val="none"/>
        </w:rPr>
        <w:t>、投标保证金</w:t>
      </w:r>
      <w:bookmarkEnd w:id="271"/>
      <w:bookmarkEnd w:id="274"/>
    </w:p>
    <w:p w14:paraId="488292FC">
      <w:pPr>
        <w:autoSpaceDE w:val="0"/>
        <w:spacing w:line="240" w:lineRule="exact"/>
        <w:ind w:firstLine="960" w:firstLineChars="400"/>
        <w:rPr>
          <w:rFonts w:hint="eastAsia" w:ascii="宋体" w:hAnsi="宋体"/>
          <w:sz w:val="24"/>
          <w:szCs w:val="24"/>
          <w:highlight w:val="none"/>
        </w:rPr>
      </w:pPr>
      <w:r>
        <w:rPr>
          <w:rFonts w:hint="eastAsia" w:ascii="宋体" w:hAnsi="宋体"/>
          <w:sz w:val="24"/>
          <w:szCs w:val="24"/>
          <w:highlight w:val="none"/>
        </w:rPr>
        <w:t xml:space="preserve"> </w:t>
      </w:r>
    </w:p>
    <w:p w14:paraId="402B5548">
      <w:pPr>
        <w:spacing w:before="120" w:after="120" w:line="360" w:lineRule="auto"/>
        <w:jc w:val="center"/>
        <w:rPr>
          <w:rFonts w:ascii="宋体"/>
          <w:sz w:val="24"/>
          <w:szCs w:val="24"/>
          <w:highlight w:val="none"/>
        </w:rPr>
      </w:pPr>
      <w:r>
        <w:rPr>
          <w:rFonts w:hint="eastAsia" w:ascii="宋体"/>
          <w:sz w:val="24"/>
          <w:szCs w:val="24"/>
          <w:highlight w:val="none"/>
          <w:lang w:val="en-US" w:eastAsia="zh-CN"/>
        </w:rPr>
        <w:t>本项目不要求递交投标保证金</w:t>
      </w:r>
      <w:r>
        <w:rPr>
          <w:rFonts w:ascii="宋体"/>
          <w:sz w:val="24"/>
          <w:szCs w:val="24"/>
          <w:highlight w:val="none"/>
        </w:rPr>
        <w:t>。</w:t>
      </w:r>
    </w:p>
    <w:p w14:paraId="58382920">
      <w:pPr>
        <w:autoSpaceDE w:val="0"/>
        <w:spacing w:line="360" w:lineRule="auto"/>
        <w:ind w:firstLine="960" w:firstLineChars="400"/>
        <w:rPr>
          <w:rFonts w:hint="eastAsia" w:ascii="宋体" w:hAnsi="宋体"/>
          <w:sz w:val="24"/>
          <w:szCs w:val="24"/>
          <w:highlight w:val="none"/>
        </w:rPr>
      </w:pPr>
      <w:r>
        <w:rPr>
          <w:rFonts w:hint="eastAsia" w:ascii="宋体" w:hAnsi="宋体"/>
          <w:sz w:val="24"/>
          <w:szCs w:val="24"/>
          <w:highlight w:val="none"/>
        </w:rPr>
        <w:t xml:space="preserve"> </w:t>
      </w:r>
    </w:p>
    <w:p w14:paraId="7B5F31EF">
      <w:pPr>
        <w:autoSpaceDE w:val="0"/>
        <w:spacing w:line="360" w:lineRule="auto"/>
        <w:ind w:firstLine="960" w:firstLineChars="400"/>
        <w:rPr>
          <w:rFonts w:hint="eastAsia" w:ascii="宋体" w:hAnsi="宋体"/>
          <w:sz w:val="24"/>
          <w:szCs w:val="24"/>
          <w:highlight w:val="none"/>
        </w:rPr>
      </w:pPr>
      <w:r>
        <w:rPr>
          <w:rFonts w:hint="eastAsia" w:ascii="宋体" w:hAnsi="宋体"/>
          <w:sz w:val="24"/>
          <w:szCs w:val="24"/>
          <w:highlight w:val="none"/>
        </w:rPr>
        <w:t xml:space="preserve"> </w:t>
      </w:r>
    </w:p>
    <w:p w14:paraId="4AF77547">
      <w:pPr>
        <w:pStyle w:val="4"/>
        <w:widowControl/>
        <w:autoSpaceDE w:val="0"/>
        <w:spacing w:before="0" w:after="0" w:line="240" w:lineRule="auto"/>
        <w:jc w:val="center"/>
        <w:rPr>
          <w:rFonts w:hint="eastAsia" w:ascii="宋体" w:hAnsi="宋体"/>
          <w:sz w:val="24"/>
          <w:szCs w:val="24"/>
          <w:highlight w:val="none"/>
        </w:rPr>
      </w:pPr>
      <w:bookmarkStart w:id="275" w:name="_Toc23543"/>
      <w:bookmarkEnd w:id="275"/>
      <w:bookmarkStart w:id="276" w:name="_Toc25087"/>
      <w:r>
        <w:rPr>
          <w:rFonts w:hint="eastAsia" w:ascii="宋体" w:hAnsi="宋体"/>
          <w:szCs w:val="28"/>
          <w:highlight w:val="none"/>
          <w:lang w:val="en-US" w:eastAsia="zh-CN"/>
        </w:rPr>
        <w:br w:type="page"/>
      </w:r>
      <w:bookmarkStart w:id="277" w:name="_Toc23796"/>
      <w:r>
        <w:rPr>
          <w:rFonts w:hint="eastAsia" w:ascii="宋体" w:hAnsi="宋体"/>
          <w:szCs w:val="28"/>
          <w:highlight w:val="none"/>
          <w:lang w:val="en-US" w:eastAsia="zh-CN"/>
        </w:rPr>
        <w:t>七</w:t>
      </w:r>
      <w:r>
        <w:rPr>
          <w:rFonts w:hint="eastAsia" w:ascii="宋体" w:hAnsi="宋体"/>
          <w:szCs w:val="28"/>
          <w:highlight w:val="none"/>
        </w:rPr>
        <w:t>、商务条款偏离表和</w:t>
      </w:r>
      <w:bookmarkEnd w:id="276"/>
      <w:r>
        <w:rPr>
          <w:rFonts w:hint="eastAsia" w:ascii="宋体" w:hAnsi="宋体"/>
          <w:szCs w:val="28"/>
          <w:highlight w:val="none"/>
        </w:rPr>
        <w:t>技术规格偏离表</w:t>
      </w:r>
      <w:bookmarkEnd w:id="277"/>
    </w:p>
    <w:p w14:paraId="030D775E">
      <w:pPr>
        <w:autoSpaceDE w:val="0"/>
        <w:spacing w:line="360" w:lineRule="auto"/>
        <w:ind w:firstLine="241" w:firstLineChars="100"/>
        <w:jc w:val="center"/>
        <w:rPr>
          <w:rFonts w:hint="eastAsia" w:ascii="宋体" w:hAnsi="宋体"/>
          <w:b/>
          <w:bCs/>
          <w:sz w:val="24"/>
          <w:szCs w:val="24"/>
          <w:highlight w:val="none"/>
        </w:rPr>
      </w:pPr>
      <w:r>
        <w:rPr>
          <w:rFonts w:hint="eastAsia" w:ascii="宋体" w:hAnsi="宋体"/>
          <w:b/>
          <w:bCs/>
          <w:sz w:val="24"/>
          <w:szCs w:val="24"/>
          <w:highlight w:val="none"/>
        </w:rPr>
        <w:t>(一)商务条款偏离表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2130"/>
        <w:gridCol w:w="2236"/>
        <w:gridCol w:w="2419"/>
        <w:gridCol w:w="825"/>
        <w:gridCol w:w="825"/>
      </w:tblGrid>
      <w:tr w14:paraId="2B136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0D309065">
            <w:pPr>
              <w:jc w:val="center"/>
              <w:rPr>
                <w:rFonts w:hint="eastAsia" w:ascii="宋体" w:hAnsi="宋体" w:cs="宋体"/>
                <w:b/>
                <w:bCs/>
                <w:sz w:val="24"/>
                <w:szCs w:val="24"/>
                <w:highlight w:val="none"/>
              </w:rPr>
            </w:pPr>
            <w:r>
              <w:rPr>
                <w:rFonts w:hint="eastAsia" w:ascii="宋体" w:hAnsi="宋体" w:cs="宋体"/>
                <w:b/>
                <w:bCs/>
                <w:sz w:val="24"/>
                <w:szCs w:val="24"/>
                <w:highlight w:val="none"/>
              </w:rPr>
              <w:t>序号</w:t>
            </w:r>
          </w:p>
        </w:tc>
        <w:tc>
          <w:tcPr>
            <w:tcW w:w="2130" w:type="dxa"/>
            <w:tcBorders>
              <w:top w:val="single" w:color="auto" w:sz="4" w:space="0"/>
              <w:left w:val="nil"/>
              <w:bottom w:val="single" w:color="auto" w:sz="4" w:space="0"/>
              <w:right w:val="single" w:color="auto" w:sz="4" w:space="0"/>
            </w:tcBorders>
            <w:noWrap w:val="0"/>
            <w:vAlign w:val="center"/>
          </w:tcPr>
          <w:p w14:paraId="38D12B6D">
            <w:pPr>
              <w:jc w:val="center"/>
              <w:rPr>
                <w:rFonts w:hint="eastAsia" w:ascii="宋体" w:hAnsi="宋体" w:cs="宋体"/>
                <w:b/>
                <w:bCs/>
                <w:sz w:val="24"/>
                <w:szCs w:val="24"/>
                <w:highlight w:val="none"/>
              </w:rPr>
            </w:pPr>
            <w:r>
              <w:rPr>
                <w:rFonts w:hint="eastAsia" w:ascii="宋体" w:hAnsi="宋体" w:cs="宋体"/>
                <w:b/>
                <w:bCs/>
                <w:sz w:val="24"/>
                <w:szCs w:val="24"/>
                <w:highlight w:val="none"/>
              </w:rPr>
              <w:t>招标文件条款号</w:t>
            </w:r>
          </w:p>
        </w:tc>
        <w:tc>
          <w:tcPr>
            <w:tcW w:w="2236" w:type="dxa"/>
            <w:tcBorders>
              <w:top w:val="single" w:color="auto" w:sz="4" w:space="0"/>
              <w:left w:val="nil"/>
              <w:bottom w:val="single" w:color="auto" w:sz="4" w:space="0"/>
              <w:right w:val="single" w:color="auto" w:sz="4" w:space="0"/>
            </w:tcBorders>
            <w:noWrap w:val="0"/>
            <w:vAlign w:val="center"/>
          </w:tcPr>
          <w:p w14:paraId="5BA86260">
            <w:pPr>
              <w:jc w:val="center"/>
              <w:rPr>
                <w:rFonts w:hint="eastAsia" w:ascii="宋体" w:hAnsi="宋体" w:cs="宋体"/>
                <w:b/>
                <w:bCs/>
                <w:sz w:val="24"/>
                <w:szCs w:val="24"/>
                <w:highlight w:val="none"/>
              </w:rPr>
            </w:pPr>
            <w:r>
              <w:rPr>
                <w:rFonts w:hint="eastAsia" w:ascii="宋体" w:hAnsi="宋体" w:cs="宋体"/>
                <w:b/>
                <w:bCs/>
                <w:sz w:val="24"/>
                <w:szCs w:val="24"/>
                <w:highlight w:val="none"/>
              </w:rPr>
              <w:t>招标文件的商务条款内容</w:t>
            </w:r>
          </w:p>
        </w:tc>
        <w:tc>
          <w:tcPr>
            <w:tcW w:w="2419" w:type="dxa"/>
            <w:tcBorders>
              <w:top w:val="single" w:color="auto" w:sz="4" w:space="0"/>
              <w:left w:val="nil"/>
              <w:bottom w:val="single" w:color="auto" w:sz="4" w:space="0"/>
              <w:right w:val="single" w:color="auto" w:sz="4" w:space="0"/>
            </w:tcBorders>
            <w:noWrap w:val="0"/>
            <w:vAlign w:val="center"/>
          </w:tcPr>
          <w:p w14:paraId="2E34506C">
            <w:pPr>
              <w:jc w:val="center"/>
              <w:rPr>
                <w:rFonts w:hint="eastAsia" w:ascii="宋体" w:hAnsi="宋体" w:cs="宋体"/>
                <w:b/>
                <w:bCs/>
                <w:sz w:val="24"/>
                <w:szCs w:val="24"/>
                <w:highlight w:val="none"/>
              </w:rPr>
            </w:pPr>
            <w:r>
              <w:rPr>
                <w:rFonts w:hint="eastAsia" w:ascii="宋体" w:hAnsi="宋体" w:cs="宋体"/>
                <w:b/>
                <w:bCs/>
                <w:sz w:val="24"/>
                <w:szCs w:val="24"/>
                <w:highlight w:val="none"/>
              </w:rPr>
              <w:t>投标文件的商务条款响应情况</w:t>
            </w:r>
          </w:p>
        </w:tc>
        <w:tc>
          <w:tcPr>
            <w:tcW w:w="825" w:type="dxa"/>
            <w:tcBorders>
              <w:top w:val="single" w:color="auto" w:sz="4" w:space="0"/>
              <w:left w:val="nil"/>
              <w:bottom w:val="single" w:color="auto" w:sz="4" w:space="0"/>
              <w:right w:val="single" w:color="auto" w:sz="4" w:space="0"/>
            </w:tcBorders>
            <w:noWrap w:val="0"/>
            <w:vAlign w:val="center"/>
          </w:tcPr>
          <w:p w14:paraId="677F35E8">
            <w:pPr>
              <w:jc w:val="center"/>
              <w:rPr>
                <w:rFonts w:hint="eastAsia" w:ascii="宋体" w:hAnsi="宋体" w:cs="宋体"/>
                <w:b/>
                <w:bCs/>
                <w:sz w:val="24"/>
                <w:szCs w:val="24"/>
                <w:highlight w:val="none"/>
              </w:rPr>
            </w:pPr>
            <w:r>
              <w:rPr>
                <w:rFonts w:hint="eastAsia" w:ascii="宋体" w:hAnsi="宋体" w:cs="宋体"/>
                <w:b/>
                <w:bCs/>
                <w:sz w:val="24"/>
                <w:szCs w:val="24"/>
                <w:highlight w:val="none"/>
              </w:rPr>
              <w:t>偏离情况</w:t>
            </w:r>
          </w:p>
        </w:tc>
        <w:tc>
          <w:tcPr>
            <w:tcW w:w="825" w:type="dxa"/>
            <w:tcBorders>
              <w:top w:val="single" w:color="auto" w:sz="4" w:space="0"/>
              <w:left w:val="nil"/>
              <w:bottom w:val="single" w:color="auto" w:sz="4" w:space="0"/>
              <w:right w:val="single" w:color="auto" w:sz="4" w:space="0"/>
            </w:tcBorders>
            <w:noWrap w:val="0"/>
            <w:vAlign w:val="center"/>
          </w:tcPr>
          <w:p w14:paraId="10D58D58">
            <w:pPr>
              <w:jc w:val="center"/>
              <w:rPr>
                <w:rFonts w:hint="eastAsia" w:ascii="宋体" w:hAnsi="宋体" w:cs="宋体"/>
                <w:b/>
                <w:bCs/>
                <w:sz w:val="24"/>
                <w:szCs w:val="24"/>
                <w:highlight w:val="none"/>
              </w:rPr>
            </w:pPr>
            <w:r>
              <w:rPr>
                <w:rFonts w:hint="eastAsia" w:ascii="宋体" w:hAnsi="宋体" w:cs="宋体"/>
                <w:b/>
                <w:bCs/>
                <w:sz w:val="24"/>
                <w:szCs w:val="24"/>
                <w:highlight w:val="none"/>
              </w:rPr>
              <w:t>说明</w:t>
            </w:r>
          </w:p>
        </w:tc>
      </w:tr>
      <w:tr w14:paraId="4EB80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191ED8CF">
            <w:pPr>
              <w:jc w:val="center"/>
              <w:rPr>
                <w:rFonts w:hint="eastAsia" w:ascii="宋体" w:hAnsi="宋体" w:cs="宋体"/>
                <w:sz w:val="24"/>
                <w:szCs w:val="24"/>
                <w:highlight w:val="none"/>
              </w:rPr>
            </w:pPr>
            <w:r>
              <w:rPr>
                <w:rFonts w:hint="eastAsia" w:ascii="宋体" w:hAnsi="宋体" w:cs="宋体"/>
                <w:sz w:val="24"/>
                <w:szCs w:val="24"/>
                <w:highlight w:val="none"/>
              </w:rPr>
              <w:t>1</w:t>
            </w:r>
          </w:p>
        </w:tc>
        <w:tc>
          <w:tcPr>
            <w:tcW w:w="2130" w:type="dxa"/>
            <w:tcBorders>
              <w:top w:val="single" w:color="auto" w:sz="4" w:space="0"/>
              <w:left w:val="nil"/>
              <w:bottom w:val="single" w:color="auto" w:sz="4" w:space="0"/>
              <w:right w:val="single" w:color="auto" w:sz="4" w:space="0"/>
            </w:tcBorders>
            <w:noWrap w:val="0"/>
            <w:vAlign w:val="center"/>
          </w:tcPr>
          <w:p w14:paraId="0AA87050">
            <w:pPr>
              <w:jc w:val="center"/>
              <w:rPr>
                <w:rFonts w:hint="eastAsia" w:ascii="宋体" w:hAnsi="宋体" w:cs="宋体"/>
                <w:sz w:val="24"/>
                <w:szCs w:val="24"/>
                <w:highlight w:val="none"/>
              </w:rPr>
            </w:pPr>
            <w:r>
              <w:rPr>
                <w:rFonts w:hint="eastAsia" w:ascii="宋体" w:hAnsi="宋体" w:cs="宋体"/>
                <w:sz w:val="24"/>
                <w:szCs w:val="24"/>
                <w:highlight w:val="none"/>
              </w:rPr>
              <w:t>“投标人须知前附表”第1.3.2款</w:t>
            </w:r>
          </w:p>
        </w:tc>
        <w:tc>
          <w:tcPr>
            <w:tcW w:w="2236" w:type="dxa"/>
            <w:tcBorders>
              <w:top w:val="single" w:color="auto" w:sz="4" w:space="0"/>
              <w:left w:val="nil"/>
              <w:bottom w:val="single" w:color="auto" w:sz="4" w:space="0"/>
              <w:right w:val="single" w:color="auto" w:sz="4" w:space="0"/>
            </w:tcBorders>
            <w:noWrap w:val="0"/>
            <w:vAlign w:val="center"/>
          </w:tcPr>
          <w:p w14:paraId="41A1785F">
            <w:pPr>
              <w:spacing w:line="380" w:lineRule="exact"/>
              <w:jc w:val="both"/>
              <w:rPr>
                <w:rFonts w:hint="eastAsia" w:ascii="宋体" w:hAnsi="宋体" w:eastAsia="宋体" w:cs="宋体"/>
                <w:sz w:val="24"/>
                <w:szCs w:val="24"/>
                <w:highlight w:val="none"/>
                <w:lang w:eastAsia="zh-CN"/>
              </w:rPr>
            </w:pPr>
            <w:r>
              <w:rPr>
                <w:rFonts w:hint="eastAsia" w:ascii="宋体" w:hAnsi="宋体" w:cs="宋体"/>
                <w:sz w:val="24"/>
                <w:szCs w:val="24"/>
                <w:highlight w:val="none"/>
              </w:rPr>
              <w:t>交货期</w:t>
            </w:r>
            <w:r>
              <w:rPr>
                <w:rFonts w:hint="eastAsia" w:ascii="宋体" w:hAnsi="宋体" w:cs="宋体"/>
                <w:sz w:val="24"/>
                <w:szCs w:val="24"/>
                <w:highlight w:val="none"/>
                <w:lang w:eastAsia="zh-CN"/>
              </w:rPr>
              <w:t>：</w:t>
            </w:r>
            <w:r>
              <w:rPr>
                <w:rFonts w:hint="eastAsia" w:ascii="宋体" w:hAnsi="宋体" w:cs="宋体"/>
                <w:kern w:val="2"/>
                <w:sz w:val="24"/>
                <w:szCs w:val="24"/>
                <w:highlight w:val="none"/>
                <w:lang w:val="en-US" w:eastAsia="zh-CN"/>
              </w:rPr>
              <w:t>签订合同后45天内</w:t>
            </w:r>
          </w:p>
        </w:tc>
        <w:tc>
          <w:tcPr>
            <w:tcW w:w="2419" w:type="dxa"/>
            <w:tcBorders>
              <w:top w:val="single" w:color="auto" w:sz="4" w:space="0"/>
              <w:left w:val="nil"/>
              <w:bottom w:val="single" w:color="auto" w:sz="4" w:space="0"/>
              <w:right w:val="single" w:color="auto" w:sz="4" w:space="0"/>
            </w:tcBorders>
            <w:noWrap w:val="0"/>
            <w:vAlign w:val="center"/>
          </w:tcPr>
          <w:p w14:paraId="25EC6864">
            <w:pPr>
              <w:jc w:val="center"/>
              <w:rPr>
                <w:rFonts w:hint="eastAsia" w:ascii="宋体" w:hAnsi="宋体" w:cs="宋体"/>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3835B76F">
            <w:pPr>
              <w:jc w:val="center"/>
              <w:rPr>
                <w:rFonts w:hint="eastAsia" w:ascii="宋体" w:hAnsi="宋体" w:cs="宋体"/>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6EB70855">
            <w:pPr>
              <w:jc w:val="center"/>
              <w:rPr>
                <w:rFonts w:hint="eastAsia" w:ascii="宋体" w:hAnsi="宋体" w:cs="宋体"/>
                <w:sz w:val="24"/>
                <w:szCs w:val="24"/>
                <w:highlight w:val="none"/>
              </w:rPr>
            </w:pPr>
          </w:p>
        </w:tc>
      </w:tr>
      <w:tr w14:paraId="170AE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385AD91D">
            <w:pPr>
              <w:jc w:val="center"/>
              <w:rPr>
                <w:rFonts w:hint="eastAsia" w:ascii="宋体" w:hAnsi="宋体" w:cs="宋体"/>
                <w:sz w:val="24"/>
                <w:szCs w:val="24"/>
                <w:highlight w:val="none"/>
              </w:rPr>
            </w:pPr>
            <w:r>
              <w:rPr>
                <w:rFonts w:hint="eastAsia" w:ascii="宋体" w:hAnsi="宋体" w:cs="宋体"/>
                <w:sz w:val="24"/>
                <w:szCs w:val="24"/>
                <w:highlight w:val="none"/>
              </w:rPr>
              <w:t>2</w:t>
            </w:r>
          </w:p>
        </w:tc>
        <w:tc>
          <w:tcPr>
            <w:tcW w:w="2130" w:type="dxa"/>
            <w:tcBorders>
              <w:top w:val="single" w:color="auto" w:sz="4" w:space="0"/>
              <w:left w:val="nil"/>
              <w:bottom w:val="single" w:color="auto" w:sz="4" w:space="0"/>
              <w:right w:val="single" w:color="auto" w:sz="4" w:space="0"/>
            </w:tcBorders>
            <w:noWrap w:val="0"/>
            <w:vAlign w:val="center"/>
          </w:tcPr>
          <w:p w14:paraId="10C69BA1">
            <w:pPr>
              <w:jc w:val="center"/>
              <w:rPr>
                <w:rFonts w:hint="eastAsia" w:ascii="宋体" w:hAnsi="宋体" w:cs="宋体"/>
                <w:sz w:val="24"/>
                <w:szCs w:val="24"/>
                <w:highlight w:val="none"/>
              </w:rPr>
            </w:pPr>
            <w:r>
              <w:rPr>
                <w:rFonts w:hint="eastAsia" w:ascii="宋体" w:hAnsi="宋体" w:cs="宋体"/>
                <w:sz w:val="24"/>
                <w:szCs w:val="24"/>
                <w:highlight w:val="none"/>
              </w:rPr>
              <w:t>“投标人须知前附表”第1.3.2款</w:t>
            </w:r>
          </w:p>
        </w:tc>
        <w:tc>
          <w:tcPr>
            <w:tcW w:w="2236" w:type="dxa"/>
            <w:tcBorders>
              <w:top w:val="single" w:color="auto" w:sz="4" w:space="0"/>
              <w:left w:val="nil"/>
              <w:bottom w:val="single" w:color="auto" w:sz="4" w:space="0"/>
              <w:right w:val="single" w:color="auto" w:sz="4" w:space="0"/>
            </w:tcBorders>
            <w:noWrap w:val="0"/>
            <w:vAlign w:val="center"/>
          </w:tcPr>
          <w:p w14:paraId="30AD4696">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rPr>
              <w:t>质保期</w:t>
            </w:r>
            <w:r>
              <w:rPr>
                <w:rFonts w:hint="eastAsia" w:ascii="宋体" w:hAnsi="宋体" w:cs="宋体"/>
                <w:sz w:val="24"/>
                <w:szCs w:val="24"/>
                <w:highlight w:val="none"/>
                <w:lang w:eastAsia="zh-CN"/>
              </w:rPr>
              <w:t>：</w:t>
            </w:r>
            <w:r>
              <w:rPr>
                <w:rFonts w:hint="eastAsia" w:ascii="宋体" w:hAnsi="宋体" w:cs="宋体"/>
                <w:kern w:val="2"/>
                <w:sz w:val="24"/>
                <w:szCs w:val="24"/>
                <w:highlight w:val="none"/>
                <w:lang w:val="en-US" w:eastAsia="zh-CN"/>
              </w:rPr>
              <w:t>原厂5年质保</w:t>
            </w:r>
          </w:p>
        </w:tc>
        <w:tc>
          <w:tcPr>
            <w:tcW w:w="2419" w:type="dxa"/>
            <w:tcBorders>
              <w:top w:val="single" w:color="auto" w:sz="4" w:space="0"/>
              <w:left w:val="nil"/>
              <w:bottom w:val="single" w:color="auto" w:sz="4" w:space="0"/>
              <w:right w:val="single" w:color="auto" w:sz="4" w:space="0"/>
            </w:tcBorders>
            <w:noWrap w:val="0"/>
            <w:vAlign w:val="center"/>
          </w:tcPr>
          <w:p w14:paraId="404992EE">
            <w:pPr>
              <w:jc w:val="center"/>
              <w:rPr>
                <w:rFonts w:hint="eastAsia" w:ascii="宋体" w:hAnsi="宋体" w:cs="宋体"/>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1B872413">
            <w:pPr>
              <w:jc w:val="center"/>
              <w:rPr>
                <w:rFonts w:hint="eastAsia" w:ascii="宋体" w:hAnsi="宋体" w:cs="宋体"/>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3170AE11">
            <w:pPr>
              <w:jc w:val="center"/>
              <w:rPr>
                <w:rFonts w:hint="eastAsia" w:ascii="宋体" w:hAnsi="宋体" w:cs="宋体"/>
                <w:sz w:val="24"/>
                <w:szCs w:val="24"/>
                <w:highlight w:val="none"/>
              </w:rPr>
            </w:pPr>
          </w:p>
        </w:tc>
      </w:tr>
      <w:tr w14:paraId="18342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4376B92D">
            <w:pPr>
              <w:jc w:val="center"/>
              <w:rPr>
                <w:rFonts w:hint="eastAsia" w:ascii="宋体" w:hAnsi="宋体" w:cs="宋体"/>
                <w:sz w:val="24"/>
                <w:szCs w:val="24"/>
                <w:highlight w:val="none"/>
              </w:rPr>
            </w:pPr>
            <w:r>
              <w:rPr>
                <w:rFonts w:hint="eastAsia" w:ascii="宋体" w:hAnsi="宋体" w:cs="宋体"/>
                <w:sz w:val="24"/>
                <w:szCs w:val="24"/>
                <w:highlight w:val="none"/>
              </w:rPr>
              <w:t>3</w:t>
            </w:r>
          </w:p>
        </w:tc>
        <w:tc>
          <w:tcPr>
            <w:tcW w:w="2130" w:type="dxa"/>
            <w:tcBorders>
              <w:top w:val="single" w:color="auto" w:sz="4" w:space="0"/>
              <w:left w:val="nil"/>
              <w:bottom w:val="single" w:color="auto" w:sz="4" w:space="0"/>
              <w:right w:val="single" w:color="auto" w:sz="4" w:space="0"/>
            </w:tcBorders>
            <w:noWrap w:val="0"/>
            <w:vAlign w:val="center"/>
          </w:tcPr>
          <w:p w14:paraId="4EF971F4">
            <w:pPr>
              <w:jc w:val="center"/>
              <w:rPr>
                <w:rFonts w:hint="eastAsia" w:ascii="宋体" w:hAnsi="宋体" w:cs="宋体"/>
                <w:sz w:val="24"/>
                <w:szCs w:val="24"/>
                <w:highlight w:val="none"/>
              </w:rPr>
            </w:pPr>
            <w:r>
              <w:rPr>
                <w:rFonts w:hint="eastAsia" w:ascii="宋体" w:hAnsi="宋体" w:cs="宋体"/>
                <w:sz w:val="24"/>
                <w:szCs w:val="24"/>
                <w:highlight w:val="none"/>
              </w:rPr>
              <w:t>“投标人须知前附表”第1.3.3款</w:t>
            </w:r>
          </w:p>
        </w:tc>
        <w:tc>
          <w:tcPr>
            <w:tcW w:w="2236" w:type="dxa"/>
            <w:tcBorders>
              <w:top w:val="single" w:color="auto" w:sz="4" w:space="0"/>
              <w:left w:val="nil"/>
              <w:bottom w:val="single" w:color="auto" w:sz="4" w:space="0"/>
              <w:right w:val="single" w:color="auto" w:sz="4" w:space="0"/>
            </w:tcBorders>
            <w:noWrap w:val="0"/>
            <w:vAlign w:val="center"/>
          </w:tcPr>
          <w:p w14:paraId="30B4C986">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rPr>
              <w:t>交货地点</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香格里拉市人民医院</w:t>
            </w:r>
          </w:p>
        </w:tc>
        <w:tc>
          <w:tcPr>
            <w:tcW w:w="2419" w:type="dxa"/>
            <w:tcBorders>
              <w:top w:val="single" w:color="auto" w:sz="4" w:space="0"/>
              <w:left w:val="nil"/>
              <w:bottom w:val="single" w:color="auto" w:sz="4" w:space="0"/>
              <w:right w:val="single" w:color="auto" w:sz="4" w:space="0"/>
            </w:tcBorders>
            <w:noWrap w:val="0"/>
            <w:vAlign w:val="center"/>
          </w:tcPr>
          <w:p w14:paraId="57303F22">
            <w:pPr>
              <w:jc w:val="center"/>
              <w:rPr>
                <w:rFonts w:hint="eastAsia" w:ascii="宋体" w:hAnsi="宋体" w:cs="宋体"/>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2DA0129F">
            <w:pPr>
              <w:jc w:val="center"/>
              <w:rPr>
                <w:rFonts w:hint="eastAsia" w:ascii="宋体" w:hAnsi="宋体" w:cs="宋体"/>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05AD01DD">
            <w:pPr>
              <w:jc w:val="center"/>
              <w:rPr>
                <w:rFonts w:hint="eastAsia" w:ascii="宋体" w:hAnsi="宋体" w:cs="宋体"/>
                <w:sz w:val="24"/>
                <w:szCs w:val="24"/>
                <w:highlight w:val="none"/>
              </w:rPr>
            </w:pPr>
          </w:p>
        </w:tc>
      </w:tr>
      <w:tr w14:paraId="42DB9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14C290D8">
            <w:pPr>
              <w:jc w:val="center"/>
              <w:rPr>
                <w:rFonts w:hint="eastAsia" w:ascii="宋体" w:hAnsi="宋体" w:cs="宋体"/>
                <w:sz w:val="24"/>
                <w:szCs w:val="24"/>
                <w:highlight w:val="none"/>
              </w:rPr>
            </w:pPr>
            <w:r>
              <w:rPr>
                <w:rFonts w:hint="eastAsia" w:ascii="宋体" w:hAnsi="宋体" w:cs="宋体"/>
                <w:sz w:val="24"/>
                <w:szCs w:val="24"/>
                <w:highlight w:val="none"/>
              </w:rPr>
              <w:t>4</w:t>
            </w:r>
          </w:p>
        </w:tc>
        <w:tc>
          <w:tcPr>
            <w:tcW w:w="2130" w:type="dxa"/>
            <w:tcBorders>
              <w:top w:val="single" w:color="auto" w:sz="4" w:space="0"/>
              <w:left w:val="nil"/>
              <w:bottom w:val="single" w:color="auto" w:sz="4" w:space="0"/>
              <w:right w:val="single" w:color="auto" w:sz="4" w:space="0"/>
            </w:tcBorders>
            <w:noWrap w:val="0"/>
            <w:vAlign w:val="center"/>
          </w:tcPr>
          <w:p w14:paraId="62D7D052">
            <w:pPr>
              <w:jc w:val="center"/>
              <w:rPr>
                <w:rFonts w:hint="eastAsia" w:ascii="宋体" w:hAnsi="宋体" w:cs="宋体"/>
                <w:sz w:val="24"/>
                <w:szCs w:val="24"/>
                <w:highlight w:val="none"/>
              </w:rPr>
            </w:pPr>
            <w:r>
              <w:rPr>
                <w:rFonts w:hint="eastAsia" w:ascii="宋体" w:hAnsi="宋体" w:cs="宋体"/>
                <w:sz w:val="24"/>
                <w:szCs w:val="24"/>
                <w:highlight w:val="none"/>
              </w:rPr>
              <w:t>“投标人须知前附表”第1.3.3款</w:t>
            </w:r>
          </w:p>
        </w:tc>
        <w:tc>
          <w:tcPr>
            <w:tcW w:w="2236" w:type="dxa"/>
            <w:tcBorders>
              <w:top w:val="single" w:color="auto" w:sz="4" w:space="0"/>
              <w:left w:val="nil"/>
              <w:bottom w:val="single" w:color="auto" w:sz="4" w:space="0"/>
              <w:right w:val="single" w:color="auto" w:sz="4" w:space="0"/>
            </w:tcBorders>
            <w:noWrap w:val="0"/>
            <w:vAlign w:val="center"/>
          </w:tcPr>
          <w:p w14:paraId="709E97ED">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rPr>
              <w:t>交货方式</w:t>
            </w:r>
            <w:r>
              <w:rPr>
                <w:rFonts w:hint="eastAsia" w:ascii="宋体" w:hAnsi="宋体" w:cs="宋体"/>
                <w:sz w:val="24"/>
                <w:szCs w:val="24"/>
                <w:highlight w:val="none"/>
                <w:lang w:eastAsia="zh-CN"/>
              </w:rPr>
              <w:t>：现场交货</w:t>
            </w:r>
          </w:p>
        </w:tc>
        <w:tc>
          <w:tcPr>
            <w:tcW w:w="2419" w:type="dxa"/>
            <w:tcBorders>
              <w:top w:val="single" w:color="auto" w:sz="4" w:space="0"/>
              <w:left w:val="nil"/>
              <w:bottom w:val="single" w:color="auto" w:sz="4" w:space="0"/>
              <w:right w:val="single" w:color="auto" w:sz="4" w:space="0"/>
            </w:tcBorders>
            <w:noWrap w:val="0"/>
            <w:vAlign w:val="center"/>
          </w:tcPr>
          <w:p w14:paraId="1E7BB1A3">
            <w:pPr>
              <w:jc w:val="center"/>
              <w:rPr>
                <w:rFonts w:hint="eastAsia" w:ascii="宋体" w:hAnsi="宋体" w:cs="宋体"/>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5760B7C7">
            <w:pPr>
              <w:jc w:val="center"/>
              <w:rPr>
                <w:rFonts w:hint="eastAsia" w:ascii="宋体" w:hAnsi="宋体" w:cs="宋体"/>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691EA373">
            <w:pPr>
              <w:jc w:val="center"/>
              <w:rPr>
                <w:rFonts w:hint="eastAsia" w:ascii="宋体" w:hAnsi="宋体" w:cs="宋体"/>
                <w:sz w:val="24"/>
                <w:szCs w:val="24"/>
                <w:highlight w:val="none"/>
              </w:rPr>
            </w:pPr>
          </w:p>
        </w:tc>
      </w:tr>
      <w:tr w14:paraId="56895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57" w:type="dxa"/>
            <w:tcBorders>
              <w:top w:val="single" w:color="auto" w:sz="4" w:space="0"/>
              <w:left w:val="single" w:color="auto" w:sz="4" w:space="0"/>
              <w:bottom w:val="single" w:color="auto" w:sz="4" w:space="0"/>
              <w:right w:val="single" w:color="auto" w:sz="4" w:space="0"/>
            </w:tcBorders>
            <w:noWrap w:val="0"/>
            <w:vAlign w:val="center"/>
          </w:tcPr>
          <w:p w14:paraId="3E15BBA7">
            <w:pPr>
              <w:jc w:val="center"/>
              <w:rPr>
                <w:rFonts w:hint="eastAsia" w:ascii="宋体" w:hAnsi="宋体" w:cs="宋体"/>
                <w:sz w:val="24"/>
                <w:szCs w:val="24"/>
                <w:highlight w:val="none"/>
              </w:rPr>
            </w:pPr>
            <w:r>
              <w:rPr>
                <w:rFonts w:hint="eastAsia" w:ascii="宋体" w:hAnsi="宋体" w:cs="宋体"/>
                <w:sz w:val="24"/>
                <w:szCs w:val="24"/>
                <w:highlight w:val="none"/>
              </w:rPr>
              <w:t>5</w:t>
            </w:r>
          </w:p>
        </w:tc>
        <w:tc>
          <w:tcPr>
            <w:tcW w:w="2130" w:type="dxa"/>
            <w:tcBorders>
              <w:top w:val="single" w:color="auto" w:sz="4" w:space="0"/>
              <w:left w:val="nil"/>
              <w:bottom w:val="single" w:color="auto" w:sz="4" w:space="0"/>
              <w:right w:val="single" w:color="auto" w:sz="4" w:space="0"/>
            </w:tcBorders>
            <w:noWrap w:val="0"/>
            <w:vAlign w:val="center"/>
          </w:tcPr>
          <w:p w14:paraId="77F32269">
            <w:pPr>
              <w:jc w:val="center"/>
              <w:rPr>
                <w:rFonts w:hint="eastAsia" w:ascii="宋体" w:hAnsi="宋体" w:cs="宋体"/>
                <w:sz w:val="24"/>
                <w:szCs w:val="24"/>
                <w:highlight w:val="none"/>
              </w:rPr>
            </w:pPr>
            <w:r>
              <w:rPr>
                <w:rFonts w:hint="eastAsia" w:ascii="宋体" w:hAnsi="宋体" w:cs="宋体"/>
                <w:sz w:val="24"/>
                <w:szCs w:val="24"/>
                <w:highlight w:val="none"/>
              </w:rPr>
              <w:t>“投标人须知前附表”第3.3.1款</w:t>
            </w:r>
          </w:p>
        </w:tc>
        <w:tc>
          <w:tcPr>
            <w:tcW w:w="2236" w:type="dxa"/>
            <w:tcBorders>
              <w:top w:val="single" w:color="auto" w:sz="4" w:space="0"/>
              <w:left w:val="nil"/>
              <w:bottom w:val="single" w:color="auto" w:sz="4" w:space="0"/>
              <w:right w:val="single" w:color="auto" w:sz="4" w:space="0"/>
            </w:tcBorders>
            <w:noWrap w:val="0"/>
            <w:vAlign w:val="center"/>
          </w:tcPr>
          <w:p w14:paraId="6DF5306F">
            <w:pPr>
              <w:jc w:val="center"/>
              <w:rPr>
                <w:rFonts w:hint="eastAsia" w:ascii="宋体" w:hAnsi="宋体" w:eastAsia="宋体" w:cs="宋体"/>
                <w:sz w:val="24"/>
                <w:szCs w:val="24"/>
                <w:highlight w:val="none"/>
                <w:lang w:eastAsia="zh-CN"/>
              </w:rPr>
            </w:pPr>
            <w:r>
              <w:rPr>
                <w:rFonts w:hint="eastAsia" w:ascii="宋体" w:hAnsi="宋体" w:cs="宋体"/>
                <w:sz w:val="24"/>
                <w:szCs w:val="24"/>
                <w:highlight w:val="none"/>
              </w:rPr>
              <w:t>投标有效期</w:t>
            </w:r>
            <w:r>
              <w:rPr>
                <w:rFonts w:hint="eastAsia" w:ascii="宋体" w:hAnsi="宋体" w:cs="宋体"/>
                <w:sz w:val="24"/>
                <w:szCs w:val="24"/>
                <w:highlight w:val="none"/>
                <w:lang w:eastAsia="zh-CN"/>
              </w:rPr>
              <w:t>：投标有效期为90日历天(从投标截止之日算起)。</w:t>
            </w:r>
          </w:p>
        </w:tc>
        <w:tc>
          <w:tcPr>
            <w:tcW w:w="2419" w:type="dxa"/>
            <w:tcBorders>
              <w:top w:val="single" w:color="auto" w:sz="4" w:space="0"/>
              <w:left w:val="nil"/>
              <w:bottom w:val="single" w:color="auto" w:sz="4" w:space="0"/>
              <w:right w:val="single" w:color="auto" w:sz="4" w:space="0"/>
            </w:tcBorders>
            <w:noWrap w:val="0"/>
            <w:vAlign w:val="center"/>
          </w:tcPr>
          <w:p w14:paraId="639F5622">
            <w:pPr>
              <w:jc w:val="center"/>
              <w:rPr>
                <w:rFonts w:hint="eastAsia" w:ascii="宋体" w:hAnsi="宋体" w:cs="宋体"/>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7920F167">
            <w:pPr>
              <w:jc w:val="center"/>
              <w:rPr>
                <w:rFonts w:hint="eastAsia" w:ascii="宋体" w:hAnsi="宋体" w:cs="宋体"/>
                <w:sz w:val="24"/>
                <w:szCs w:val="24"/>
                <w:highlight w:val="none"/>
              </w:rPr>
            </w:pPr>
          </w:p>
        </w:tc>
        <w:tc>
          <w:tcPr>
            <w:tcW w:w="825" w:type="dxa"/>
            <w:tcBorders>
              <w:top w:val="single" w:color="auto" w:sz="4" w:space="0"/>
              <w:left w:val="nil"/>
              <w:bottom w:val="single" w:color="auto" w:sz="4" w:space="0"/>
              <w:right w:val="single" w:color="auto" w:sz="4" w:space="0"/>
            </w:tcBorders>
            <w:noWrap w:val="0"/>
            <w:vAlign w:val="center"/>
          </w:tcPr>
          <w:p w14:paraId="75785667">
            <w:pPr>
              <w:jc w:val="center"/>
              <w:rPr>
                <w:rFonts w:hint="eastAsia" w:ascii="宋体" w:hAnsi="宋体" w:cs="宋体"/>
                <w:sz w:val="24"/>
                <w:szCs w:val="24"/>
                <w:highlight w:val="none"/>
              </w:rPr>
            </w:pPr>
          </w:p>
        </w:tc>
      </w:tr>
    </w:tbl>
    <w:p w14:paraId="41A0F87B">
      <w:pPr>
        <w:spacing w:before="158" w:beforeLines="50" w:line="360" w:lineRule="auto"/>
        <w:ind w:firstLine="241" w:firstLineChars="100"/>
        <w:jc w:val="center"/>
        <w:rPr>
          <w:rFonts w:hint="eastAsia" w:ascii="宋体" w:hAnsi="宋体"/>
          <w:b/>
          <w:bCs/>
          <w:sz w:val="24"/>
          <w:szCs w:val="24"/>
          <w:highlight w:val="none"/>
        </w:rPr>
      </w:pPr>
      <w:r>
        <w:rPr>
          <w:rFonts w:hint="eastAsia" w:ascii="宋体" w:hAnsi="宋体"/>
          <w:b/>
          <w:bCs/>
          <w:sz w:val="24"/>
          <w:szCs w:val="24"/>
          <w:highlight w:val="none"/>
        </w:rPr>
        <w:br w:type="page"/>
      </w:r>
      <w:r>
        <w:rPr>
          <w:rFonts w:hint="eastAsia" w:ascii="宋体" w:hAnsi="宋体"/>
          <w:b/>
          <w:bCs/>
          <w:sz w:val="24"/>
          <w:szCs w:val="24"/>
          <w:highlight w:val="none"/>
        </w:rPr>
        <w:t>(二)技术规格偏离表</w:t>
      </w:r>
    </w:p>
    <w:tbl>
      <w:tblPr>
        <w:tblStyle w:val="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7"/>
        <w:gridCol w:w="1912"/>
        <w:gridCol w:w="1839"/>
        <w:gridCol w:w="1593"/>
        <w:gridCol w:w="1500"/>
        <w:gridCol w:w="750"/>
        <w:gridCol w:w="975"/>
      </w:tblGrid>
      <w:tr w14:paraId="25E30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67" w:type="dxa"/>
            <w:noWrap w:val="0"/>
            <w:vAlign w:val="center"/>
          </w:tcPr>
          <w:p w14:paraId="46C2CC28">
            <w:pPr>
              <w:spacing w:line="400" w:lineRule="exact"/>
              <w:jc w:val="center"/>
              <w:rPr>
                <w:rFonts w:hint="eastAsia" w:ascii="宋体" w:hAnsi="宋体" w:cs="宋体"/>
                <w:b/>
                <w:sz w:val="24"/>
                <w:szCs w:val="24"/>
                <w:highlight w:val="none"/>
              </w:rPr>
            </w:pPr>
            <w:r>
              <w:rPr>
                <w:rFonts w:hint="eastAsia" w:ascii="宋体" w:hAnsi="宋体" w:cs="宋体"/>
                <w:b/>
                <w:sz w:val="24"/>
                <w:szCs w:val="24"/>
                <w:highlight w:val="none"/>
              </w:rPr>
              <w:t>序号</w:t>
            </w:r>
          </w:p>
        </w:tc>
        <w:tc>
          <w:tcPr>
            <w:tcW w:w="1912" w:type="dxa"/>
            <w:noWrap w:val="0"/>
            <w:vAlign w:val="center"/>
          </w:tcPr>
          <w:p w14:paraId="1975E344">
            <w:pPr>
              <w:spacing w:line="400" w:lineRule="exact"/>
              <w:jc w:val="center"/>
              <w:rPr>
                <w:rFonts w:hint="eastAsia" w:ascii="宋体" w:hAnsi="宋体" w:cs="宋体"/>
                <w:b/>
                <w:sz w:val="24"/>
                <w:szCs w:val="24"/>
                <w:highlight w:val="none"/>
              </w:rPr>
            </w:pPr>
            <w:r>
              <w:rPr>
                <w:rFonts w:hint="eastAsia" w:ascii="宋体" w:hAnsi="宋体" w:cs="宋体"/>
                <w:b/>
                <w:sz w:val="24"/>
                <w:szCs w:val="24"/>
                <w:highlight w:val="none"/>
              </w:rPr>
              <w:t>货物名称</w:t>
            </w:r>
          </w:p>
        </w:tc>
        <w:tc>
          <w:tcPr>
            <w:tcW w:w="1839" w:type="dxa"/>
            <w:noWrap w:val="0"/>
            <w:vAlign w:val="center"/>
          </w:tcPr>
          <w:p w14:paraId="40C6242F">
            <w:pPr>
              <w:spacing w:line="400" w:lineRule="exact"/>
              <w:jc w:val="center"/>
              <w:rPr>
                <w:rFonts w:hint="eastAsia" w:ascii="宋体" w:hAnsi="宋体" w:cs="宋体"/>
                <w:b/>
                <w:sz w:val="24"/>
                <w:szCs w:val="24"/>
                <w:highlight w:val="none"/>
              </w:rPr>
            </w:pPr>
            <w:r>
              <w:rPr>
                <w:rFonts w:hint="eastAsia" w:ascii="宋体" w:hAnsi="宋体" w:cs="宋体"/>
                <w:b/>
                <w:sz w:val="24"/>
                <w:szCs w:val="24"/>
                <w:highlight w:val="none"/>
              </w:rPr>
              <w:t>招标文件</w:t>
            </w:r>
          </w:p>
          <w:p w14:paraId="526A90A5">
            <w:pPr>
              <w:spacing w:line="400" w:lineRule="exact"/>
              <w:jc w:val="center"/>
              <w:rPr>
                <w:rFonts w:hint="eastAsia" w:ascii="宋体" w:hAnsi="宋体" w:cs="宋体"/>
                <w:b/>
                <w:sz w:val="24"/>
                <w:szCs w:val="24"/>
                <w:highlight w:val="none"/>
              </w:rPr>
            </w:pPr>
            <w:r>
              <w:rPr>
                <w:rFonts w:hint="eastAsia" w:ascii="宋体" w:hAnsi="宋体" w:cs="宋体"/>
                <w:b/>
                <w:sz w:val="24"/>
                <w:szCs w:val="24"/>
                <w:highlight w:val="none"/>
              </w:rPr>
              <w:t>条款号</w:t>
            </w:r>
          </w:p>
        </w:tc>
        <w:tc>
          <w:tcPr>
            <w:tcW w:w="1593" w:type="dxa"/>
            <w:noWrap w:val="0"/>
            <w:vAlign w:val="center"/>
          </w:tcPr>
          <w:p w14:paraId="485E78BD">
            <w:pPr>
              <w:spacing w:line="400" w:lineRule="exact"/>
              <w:jc w:val="center"/>
              <w:rPr>
                <w:rFonts w:hint="eastAsia" w:ascii="宋体" w:hAnsi="宋体" w:cs="宋体"/>
                <w:b/>
                <w:sz w:val="24"/>
                <w:szCs w:val="24"/>
                <w:highlight w:val="none"/>
              </w:rPr>
            </w:pPr>
            <w:r>
              <w:rPr>
                <w:rFonts w:hint="eastAsia" w:ascii="宋体" w:hAnsi="宋体" w:cs="宋体"/>
                <w:b/>
                <w:sz w:val="24"/>
                <w:szCs w:val="24"/>
                <w:highlight w:val="none"/>
              </w:rPr>
              <w:t>招标技术规格及要求</w:t>
            </w:r>
          </w:p>
        </w:tc>
        <w:tc>
          <w:tcPr>
            <w:tcW w:w="1500" w:type="dxa"/>
            <w:noWrap w:val="0"/>
            <w:vAlign w:val="center"/>
          </w:tcPr>
          <w:p w14:paraId="67AED800">
            <w:pPr>
              <w:spacing w:line="400" w:lineRule="exact"/>
              <w:jc w:val="center"/>
              <w:rPr>
                <w:rFonts w:hint="eastAsia" w:ascii="宋体" w:hAnsi="宋体" w:cs="宋体"/>
                <w:b/>
                <w:sz w:val="24"/>
                <w:szCs w:val="24"/>
                <w:highlight w:val="none"/>
              </w:rPr>
            </w:pPr>
            <w:r>
              <w:rPr>
                <w:rFonts w:hint="eastAsia" w:ascii="宋体" w:hAnsi="宋体" w:cs="宋体"/>
                <w:b/>
                <w:sz w:val="24"/>
                <w:szCs w:val="24"/>
                <w:highlight w:val="none"/>
              </w:rPr>
              <w:t>投标技术</w:t>
            </w:r>
          </w:p>
          <w:p w14:paraId="5B42A78C">
            <w:pPr>
              <w:spacing w:line="400" w:lineRule="exact"/>
              <w:jc w:val="center"/>
              <w:rPr>
                <w:rFonts w:hint="eastAsia" w:ascii="宋体" w:hAnsi="宋体" w:cs="宋体"/>
                <w:b/>
                <w:sz w:val="24"/>
                <w:szCs w:val="24"/>
                <w:highlight w:val="none"/>
              </w:rPr>
            </w:pPr>
            <w:r>
              <w:rPr>
                <w:rFonts w:hint="eastAsia" w:ascii="宋体" w:hAnsi="宋体" w:cs="宋体"/>
                <w:b/>
                <w:sz w:val="24"/>
                <w:szCs w:val="24"/>
                <w:highlight w:val="none"/>
              </w:rPr>
              <w:t>规格及要求</w:t>
            </w:r>
          </w:p>
        </w:tc>
        <w:tc>
          <w:tcPr>
            <w:tcW w:w="750" w:type="dxa"/>
            <w:noWrap w:val="0"/>
            <w:vAlign w:val="center"/>
          </w:tcPr>
          <w:p w14:paraId="576D3BA9">
            <w:pPr>
              <w:spacing w:line="400" w:lineRule="exact"/>
              <w:jc w:val="center"/>
              <w:rPr>
                <w:rFonts w:hint="eastAsia" w:ascii="宋体" w:hAnsi="宋体" w:cs="宋体"/>
                <w:b/>
                <w:sz w:val="24"/>
                <w:szCs w:val="24"/>
                <w:highlight w:val="none"/>
              </w:rPr>
            </w:pPr>
            <w:r>
              <w:rPr>
                <w:rFonts w:hint="eastAsia" w:ascii="宋体" w:hAnsi="宋体" w:cs="宋体"/>
                <w:b/>
                <w:sz w:val="24"/>
                <w:szCs w:val="24"/>
                <w:highlight w:val="none"/>
              </w:rPr>
              <w:t>偏离情况</w:t>
            </w:r>
          </w:p>
        </w:tc>
        <w:tc>
          <w:tcPr>
            <w:tcW w:w="975" w:type="dxa"/>
            <w:noWrap w:val="0"/>
            <w:vAlign w:val="center"/>
          </w:tcPr>
          <w:p w14:paraId="6D38A3C3">
            <w:pPr>
              <w:spacing w:line="400" w:lineRule="exact"/>
              <w:jc w:val="center"/>
              <w:rPr>
                <w:rFonts w:hint="eastAsia" w:ascii="宋体" w:hAnsi="宋体" w:cs="宋体"/>
                <w:b/>
                <w:sz w:val="24"/>
                <w:szCs w:val="24"/>
                <w:highlight w:val="none"/>
              </w:rPr>
            </w:pPr>
            <w:r>
              <w:rPr>
                <w:rFonts w:hint="eastAsia" w:ascii="宋体" w:hAnsi="宋体" w:cs="宋体"/>
                <w:b/>
                <w:sz w:val="24"/>
                <w:szCs w:val="24"/>
                <w:highlight w:val="none"/>
              </w:rPr>
              <w:t>说明</w:t>
            </w:r>
          </w:p>
        </w:tc>
      </w:tr>
      <w:tr w14:paraId="50AB7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967" w:type="dxa"/>
            <w:noWrap w:val="0"/>
            <w:vAlign w:val="center"/>
          </w:tcPr>
          <w:p w14:paraId="71B0B462">
            <w:pPr>
              <w:spacing w:line="480" w:lineRule="exact"/>
              <w:jc w:val="center"/>
              <w:rPr>
                <w:rFonts w:hint="eastAsia" w:ascii="宋体" w:hAnsi="宋体" w:cs="宋体"/>
                <w:sz w:val="24"/>
                <w:szCs w:val="24"/>
                <w:highlight w:val="none"/>
              </w:rPr>
            </w:pPr>
          </w:p>
        </w:tc>
        <w:tc>
          <w:tcPr>
            <w:tcW w:w="1912" w:type="dxa"/>
            <w:noWrap w:val="0"/>
            <w:vAlign w:val="top"/>
          </w:tcPr>
          <w:p w14:paraId="08E90251">
            <w:pPr>
              <w:spacing w:line="480" w:lineRule="exact"/>
              <w:rPr>
                <w:rFonts w:hint="eastAsia" w:ascii="宋体" w:hAnsi="宋体" w:cs="宋体"/>
                <w:sz w:val="24"/>
                <w:szCs w:val="24"/>
                <w:highlight w:val="none"/>
              </w:rPr>
            </w:pPr>
          </w:p>
        </w:tc>
        <w:tc>
          <w:tcPr>
            <w:tcW w:w="1839" w:type="dxa"/>
            <w:noWrap w:val="0"/>
            <w:vAlign w:val="top"/>
          </w:tcPr>
          <w:p w14:paraId="0EFA9A83">
            <w:pPr>
              <w:spacing w:line="480" w:lineRule="exact"/>
              <w:rPr>
                <w:rFonts w:hint="eastAsia" w:ascii="宋体" w:hAnsi="宋体" w:cs="宋体"/>
                <w:sz w:val="24"/>
                <w:szCs w:val="24"/>
                <w:highlight w:val="none"/>
              </w:rPr>
            </w:pPr>
          </w:p>
        </w:tc>
        <w:tc>
          <w:tcPr>
            <w:tcW w:w="1593" w:type="dxa"/>
            <w:noWrap w:val="0"/>
            <w:vAlign w:val="top"/>
          </w:tcPr>
          <w:p w14:paraId="4451CB85">
            <w:pPr>
              <w:spacing w:line="480" w:lineRule="exact"/>
              <w:rPr>
                <w:rFonts w:hint="eastAsia" w:ascii="宋体" w:hAnsi="宋体" w:cs="宋体"/>
                <w:sz w:val="24"/>
                <w:szCs w:val="24"/>
                <w:highlight w:val="none"/>
              </w:rPr>
            </w:pPr>
          </w:p>
        </w:tc>
        <w:tc>
          <w:tcPr>
            <w:tcW w:w="1500" w:type="dxa"/>
            <w:noWrap w:val="0"/>
            <w:vAlign w:val="top"/>
          </w:tcPr>
          <w:p w14:paraId="50379E82">
            <w:pPr>
              <w:spacing w:line="480" w:lineRule="exact"/>
              <w:rPr>
                <w:rFonts w:hint="eastAsia" w:ascii="宋体" w:hAnsi="宋体" w:cs="宋体"/>
                <w:sz w:val="24"/>
                <w:szCs w:val="24"/>
                <w:highlight w:val="none"/>
              </w:rPr>
            </w:pPr>
          </w:p>
        </w:tc>
        <w:tc>
          <w:tcPr>
            <w:tcW w:w="750" w:type="dxa"/>
            <w:noWrap w:val="0"/>
            <w:vAlign w:val="top"/>
          </w:tcPr>
          <w:p w14:paraId="3606DC97">
            <w:pPr>
              <w:spacing w:line="480" w:lineRule="exact"/>
              <w:rPr>
                <w:rFonts w:hint="eastAsia" w:ascii="宋体" w:hAnsi="宋体" w:cs="宋体"/>
                <w:sz w:val="24"/>
                <w:szCs w:val="24"/>
                <w:highlight w:val="none"/>
              </w:rPr>
            </w:pPr>
          </w:p>
        </w:tc>
        <w:tc>
          <w:tcPr>
            <w:tcW w:w="975" w:type="dxa"/>
            <w:noWrap w:val="0"/>
            <w:vAlign w:val="top"/>
          </w:tcPr>
          <w:p w14:paraId="4E313D4F">
            <w:pPr>
              <w:spacing w:line="480" w:lineRule="exact"/>
              <w:rPr>
                <w:rFonts w:hint="eastAsia" w:ascii="宋体" w:hAnsi="宋体" w:cs="宋体"/>
                <w:sz w:val="24"/>
                <w:szCs w:val="24"/>
                <w:highlight w:val="none"/>
              </w:rPr>
            </w:pPr>
          </w:p>
        </w:tc>
      </w:tr>
      <w:tr w14:paraId="68940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jc w:val="center"/>
        </w:trPr>
        <w:tc>
          <w:tcPr>
            <w:tcW w:w="967" w:type="dxa"/>
            <w:noWrap w:val="0"/>
            <w:vAlign w:val="center"/>
          </w:tcPr>
          <w:p w14:paraId="2E85E2D7">
            <w:pPr>
              <w:spacing w:line="480" w:lineRule="exact"/>
              <w:jc w:val="center"/>
              <w:rPr>
                <w:rFonts w:hint="eastAsia" w:ascii="宋体" w:hAnsi="宋体" w:cs="宋体"/>
                <w:sz w:val="24"/>
                <w:szCs w:val="24"/>
                <w:highlight w:val="none"/>
              </w:rPr>
            </w:pPr>
          </w:p>
        </w:tc>
        <w:tc>
          <w:tcPr>
            <w:tcW w:w="1912" w:type="dxa"/>
            <w:noWrap w:val="0"/>
            <w:vAlign w:val="top"/>
          </w:tcPr>
          <w:p w14:paraId="2033D07D">
            <w:pPr>
              <w:spacing w:line="480" w:lineRule="exact"/>
              <w:rPr>
                <w:rFonts w:hint="eastAsia" w:ascii="宋体" w:hAnsi="宋体" w:cs="宋体"/>
                <w:sz w:val="24"/>
                <w:szCs w:val="24"/>
                <w:highlight w:val="none"/>
              </w:rPr>
            </w:pPr>
          </w:p>
        </w:tc>
        <w:tc>
          <w:tcPr>
            <w:tcW w:w="1839" w:type="dxa"/>
            <w:noWrap w:val="0"/>
            <w:vAlign w:val="top"/>
          </w:tcPr>
          <w:p w14:paraId="314787F6">
            <w:pPr>
              <w:spacing w:line="480" w:lineRule="exact"/>
              <w:rPr>
                <w:rFonts w:hint="eastAsia" w:ascii="宋体" w:hAnsi="宋体" w:cs="宋体"/>
                <w:sz w:val="24"/>
                <w:szCs w:val="24"/>
                <w:highlight w:val="none"/>
              </w:rPr>
            </w:pPr>
          </w:p>
        </w:tc>
        <w:tc>
          <w:tcPr>
            <w:tcW w:w="1593" w:type="dxa"/>
            <w:noWrap w:val="0"/>
            <w:vAlign w:val="top"/>
          </w:tcPr>
          <w:p w14:paraId="24BCB810">
            <w:pPr>
              <w:spacing w:line="480" w:lineRule="exact"/>
              <w:rPr>
                <w:rFonts w:hint="eastAsia" w:ascii="宋体" w:hAnsi="宋体" w:cs="宋体"/>
                <w:sz w:val="24"/>
                <w:szCs w:val="24"/>
                <w:highlight w:val="none"/>
              </w:rPr>
            </w:pPr>
          </w:p>
        </w:tc>
        <w:tc>
          <w:tcPr>
            <w:tcW w:w="1500" w:type="dxa"/>
            <w:noWrap w:val="0"/>
            <w:vAlign w:val="top"/>
          </w:tcPr>
          <w:p w14:paraId="6D603858">
            <w:pPr>
              <w:spacing w:line="480" w:lineRule="exact"/>
              <w:rPr>
                <w:rFonts w:hint="eastAsia" w:ascii="宋体" w:hAnsi="宋体" w:cs="宋体"/>
                <w:sz w:val="24"/>
                <w:szCs w:val="24"/>
                <w:highlight w:val="none"/>
              </w:rPr>
            </w:pPr>
          </w:p>
        </w:tc>
        <w:tc>
          <w:tcPr>
            <w:tcW w:w="750" w:type="dxa"/>
            <w:noWrap w:val="0"/>
            <w:vAlign w:val="top"/>
          </w:tcPr>
          <w:p w14:paraId="553B80A0">
            <w:pPr>
              <w:spacing w:line="480" w:lineRule="exact"/>
              <w:rPr>
                <w:rFonts w:hint="eastAsia" w:ascii="宋体" w:hAnsi="宋体" w:cs="宋体"/>
                <w:sz w:val="24"/>
                <w:szCs w:val="24"/>
                <w:highlight w:val="none"/>
              </w:rPr>
            </w:pPr>
          </w:p>
        </w:tc>
        <w:tc>
          <w:tcPr>
            <w:tcW w:w="975" w:type="dxa"/>
            <w:noWrap w:val="0"/>
            <w:vAlign w:val="top"/>
          </w:tcPr>
          <w:p w14:paraId="29667107">
            <w:pPr>
              <w:spacing w:line="480" w:lineRule="exact"/>
              <w:rPr>
                <w:rFonts w:hint="eastAsia" w:ascii="宋体" w:hAnsi="宋体" w:cs="宋体"/>
                <w:sz w:val="24"/>
                <w:szCs w:val="24"/>
                <w:highlight w:val="none"/>
              </w:rPr>
            </w:pPr>
          </w:p>
        </w:tc>
      </w:tr>
      <w:tr w14:paraId="31B50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967" w:type="dxa"/>
            <w:noWrap w:val="0"/>
            <w:vAlign w:val="center"/>
          </w:tcPr>
          <w:p w14:paraId="769BFA47">
            <w:pPr>
              <w:spacing w:line="480" w:lineRule="exact"/>
              <w:jc w:val="center"/>
              <w:rPr>
                <w:rFonts w:hint="eastAsia" w:ascii="宋体" w:hAnsi="宋体" w:cs="宋体"/>
                <w:sz w:val="24"/>
                <w:szCs w:val="24"/>
                <w:highlight w:val="none"/>
              </w:rPr>
            </w:pPr>
          </w:p>
        </w:tc>
        <w:tc>
          <w:tcPr>
            <w:tcW w:w="1912" w:type="dxa"/>
            <w:noWrap w:val="0"/>
            <w:vAlign w:val="top"/>
          </w:tcPr>
          <w:p w14:paraId="6B0F9A8D">
            <w:pPr>
              <w:spacing w:line="480" w:lineRule="exact"/>
              <w:rPr>
                <w:rFonts w:hint="eastAsia" w:ascii="宋体" w:hAnsi="宋体" w:cs="宋体"/>
                <w:sz w:val="24"/>
                <w:szCs w:val="24"/>
                <w:highlight w:val="none"/>
              </w:rPr>
            </w:pPr>
          </w:p>
        </w:tc>
        <w:tc>
          <w:tcPr>
            <w:tcW w:w="1839" w:type="dxa"/>
            <w:noWrap w:val="0"/>
            <w:vAlign w:val="top"/>
          </w:tcPr>
          <w:p w14:paraId="333167A0">
            <w:pPr>
              <w:spacing w:line="480" w:lineRule="exact"/>
              <w:rPr>
                <w:rFonts w:hint="eastAsia" w:ascii="宋体" w:hAnsi="宋体" w:cs="宋体"/>
                <w:sz w:val="24"/>
                <w:szCs w:val="24"/>
                <w:highlight w:val="none"/>
              </w:rPr>
            </w:pPr>
          </w:p>
        </w:tc>
        <w:tc>
          <w:tcPr>
            <w:tcW w:w="1593" w:type="dxa"/>
            <w:noWrap w:val="0"/>
            <w:vAlign w:val="top"/>
          </w:tcPr>
          <w:p w14:paraId="4A890116">
            <w:pPr>
              <w:spacing w:line="480" w:lineRule="exact"/>
              <w:rPr>
                <w:rFonts w:hint="eastAsia" w:ascii="宋体" w:hAnsi="宋体" w:cs="宋体"/>
                <w:sz w:val="24"/>
                <w:szCs w:val="24"/>
                <w:highlight w:val="none"/>
              </w:rPr>
            </w:pPr>
          </w:p>
        </w:tc>
        <w:tc>
          <w:tcPr>
            <w:tcW w:w="1500" w:type="dxa"/>
            <w:noWrap w:val="0"/>
            <w:vAlign w:val="top"/>
          </w:tcPr>
          <w:p w14:paraId="415E92F8">
            <w:pPr>
              <w:spacing w:line="480" w:lineRule="exact"/>
              <w:rPr>
                <w:rFonts w:hint="eastAsia" w:ascii="宋体" w:hAnsi="宋体" w:cs="宋体"/>
                <w:sz w:val="24"/>
                <w:szCs w:val="24"/>
                <w:highlight w:val="none"/>
              </w:rPr>
            </w:pPr>
          </w:p>
        </w:tc>
        <w:tc>
          <w:tcPr>
            <w:tcW w:w="750" w:type="dxa"/>
            <w:noWrap w:val="0"/>
            <w:vAlign w:val="top"/>
          </w:tcPr>
          <w:p w14:paraId="4DADF99E">
            <w:pPr>
              <w:spacing w:line="480" w:lineRule="exact"/>
              <w:rPr>
                <w:rFonts w:hint="eastAsia" w:ascii="宋体" w:hAnsi="宋体" w:cs="宋体"/>
                <w:sz w:val="24"/>
                <w:szCs w:val="24"/>
                <w:highlight w:val="none"/>
              </w:rPr>
            </w:pPr>
          </w:p>
        </w:tc>
        <w:tc>
          <w:tcPr>
            <w:tcW w:w="975" w:type="dxa"/>
            <w:noWrap w:val="0"/>
            <w:vAlign w:val="top"/>
          </w:tcPr>
          <w:p w14:paraId="07BDC856">
            <w:pPr>
              <w:spacing w:line="480" w:lineRule="exact"/>
              <w:rPr>
                <w:rFonts w:hint="eastAsia" w:ascii="宋体" w:hAnsi="宋体" w:cs="宋体"/>
                <w:sz w:val="24"/>
                <w:szCs w:val="24"/>
                <w:highlight w:val="none"/>
              </w:rPr>
            </w:pPr>
          </w:p>
        </w:tc>
      </w:tr>
      <w:tr w14:paraId="3DE07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967" w:type="dxa"/>
            <w:noWrap w:val="0"/>
            <w:vAlign w:val="center"/>
          </w:tcPr>
          <w:p w14:paraId="6E89B899">
            <w:pPr>
              <w:spacing w:line="480" w:lineRule="exact"/>
              <w:jc w:val="center"/>
              <w:rPr>
                <w:rFonts w:hint="eastAsia" w:ascii="宋体" w:hAnsi="宋体" w:cs="宋体"/>
                <w:sz w:val="24"/>
                <w:szCs w:val="24"/>
                <w:highlight w:val="none"/>
              </w:rPr>
            </w:pPr>
          </w:p>
        </w:tc>
        <w:tc>
          <w:tcPr>
            <w:tcW w:w="1912" w:type="dxa"/>
            <w:noWrap w:val="0"/>
            <w:vAlign w:val="top"/>
          </w:tcPr>
          <w:p w14:paraId="4F7DFB61">
            <w:pPr>
              <w:spacing w:line="480" w:lineRule="exact"/>
              <w:rPr>
                <w:rFonts w:hint="eastAsia" w:ascii="宋体" w:hAnsi="宋体" w:cs="宋体"/>
                <w:sz w:val="24"/>
                <w:szCs w:val="24"/>
                <w:highlight w:val="none"/>
              </w:rPr>
            </w:pPr>
          </w:p>
        </w:tc>
        <w:tc>
          <w:tcPr>
            <w:tcW w:w="1839" w:type="dxa"/>
            <w:noWrap w:val="0"/>
            <w:vAlign w:val="top"/>
          </w:tcPr>
          <w:p w14:paraId="28E38366">
            <w:pPr>
              <w:spacing w:line="480" w:lineRule="exact"/>
              <w:rPr>
                <w:rFonts w:hint="eastAsia" w:ascii="宋体" w:hAnsi="宋体" w:cs="宋体"/>
                <w:sz w:val="24"/>
                <w:szCs w:val="24"/>
                <w:highlight w:val="none"/>
              </w:rPr>
            </w:pPr>
          </w:p>
        </w:tc>
        <w:tc>
          <w:tcPr>
            <w:tcW w:w="1593" w:type="dxa"/>
            <w:noWrap w:val="0"/>
            <w:vAlign w:val="top"/>
          </w:tcPr>
          <w:p w14:paraId="11D47920">
            <w:pPr>
              <w:spacing w:line="480" w:lineRule="exact"/>
              <w:rPr>
                <w:rFonts w:hint="eastAsia" w:ascii="宋体" w:hAnsi="宋体" w:cs="宋体"/>
                <w:sz w:val="24"/>
                <w:szCs w:val="24"/>
                <w:highlight w:val="none"/>
              </w:rPr>
            </w:pPr>
          </w:p>
        </w:tc>
        <w:tc>
          <w:tcPr>
            <w:tcW w:w="1500" w:type="dxa"/>
            <w:noWrap w:val="0"/>
            <w:vAlign w:val="top"/>
          </w:tcPr>
          <w:p w14:paraId="22BF70B2">
            <w:pPr>
              <w:spacing w:line="480" w:lineRule="exact"/>
              <w:rPr>
                <w:rFonts w:hint="eastAsia" w:ascii="宋体" w:hAnsi="宋体" w:cs="宋体"/>
                <w:sz w:val="24"/>
                <w:szCs w:val="24"/>
                <w:highlight w:val="none"/>
              </w:rPr>
            </w:pPr>
          </w:p>
        </w:tc>
        <w:tc>
          <w:tcPr>
            <w:tcW w:w="750" w:type="dxa"/>
            <w:noWrap w:val="0"/>
            <w:vAlign w:val="top"/>
          </w:tcPr>
          <w:p w14:paraId="6241EBF2">
            <w:pPr>
              <w:spacing w:line="480" w:lineRule="exact"/>
              <w:rPr>
                <w:rFonts w:hint="eastAsia" w:ascii="宋体" w:hAnsi="宋体" w:cs="宋体"/>
                <w:sz w:val="24"/>
                <w:szCs w:val="24"/>
                <w:highlight w:val="none"/>
              </w:rPr>
            </w:pPr>
          </w:p>
        </w:tc>
        <w:tc>
          <w:tcPr>
            <w:tcW w:w="975" w:type="dxa"/>
            <w:noWrap w:val="0"/>
            <w:vAlign w:val="top"/>
          </w:tcPr>
          <w:p w14:paraId="29370D73">
            <w:pPr>
              <w:spacing w:line="480" w:lineRule="exact"/>
              <w:rPr>
                <w:rFonts w:hint="eastAsia" w:ascii="宋体" w:hAnsi="宋体" w:cs="宋体"/>
                <w:sz w:val="24"/>
                <w:szCs w:val="24"/>
                <w:highlight w:val="none"/>
              </w:rPr>
            </w:pPr>
          </w:p>
        </w:tc>
      </w:tr>
      <w:tr w14:paraId="20EFD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967" w:type="dxa"/>
            <w:noWrap w:val="0"/>
            <w:vAlign w:val="center"/>
          </w:tcPr>
          <w:p w14:paraId="0D011B7A">
            <w:pPr>
              <w:spacing w:line="480" w:lineRule="exact"/>
              <w:jc w:val="center"/>
              <w:rPr>
                <w:rFonts w:hint="eastAsia" w:ascii="宋体" w:hAnsi="宋体" w:cs="宋体"/>
                <w:sz w:val="24"/>
                <w:szCs w:val="24"/>
                <w:highlight w:val="none"/>
              </w:rPr>
            </w:pPr>
          </w:p>
        </w:tc>
        <w:tc>
          <w:tcPr>
            <w:tcW w:w="1912" w:type="dxa"/>
            <w:noWrap w:val="0"/>
            <w:vAlign w:val="top"/>
          </w:tcPr>
          <w:p w14:paraId="0F617B87">
            <w:pPr>
              <w:spacing w:line="480" w:lineRule="exact"/>
              <w:rPr>
                <w:rFonts w:hint="eastAsia" w:ascii="宋体" w:hAnsi="宋体" w:cs="宋体"/>
                <w:sz w:val="24"/>
                <w:szCs w:val="24"/>
                <w:highlight w:val="none"/>
              </w:rPr>
            </w:pPr>
          </w:p>
        </w:tc>
        <w:tc>
          <w:tcPr>
            <w:tcW w:w="1839" w:type="dxa"/>
            <w:noWrap w:val="0"/>
            <w:vAlign w:val="top"/>
          </w:tcPr>
          <w:p w14:paraId="53C8A012">
            <w:pPr>
              <w:spacing w:line="480" w:lineRule="exact"/>
              <w:rPr>
                <w:rFonts w:hint="eastAsia" w:ascii="宋体" w:hAnsi="宋体" w:cs="宋体"/>
                <w:sz w:val="24"/>
                <w:szCs w:val="24"/>
                <w:highlight w:val="none"/>
              </w:rPr>
            </w:pPr>
          </w:p>
        </w:tc>
        <w:tc>
          <w:tcPr>
            <w:tcW w:w="1593" w:type="dxa"/>
            <w:noWrap w:val="0"/>
            <w:vAlign w:val="top"/>
          </w:tcPr>
          <w:p w14:paraId="73A249AD">
            <w:pPr>
              <w:spacing w:line="480" w:lineRule="exact"/>
              <w:rPr>
                <w:rFonts w:hint="eastAsia" w:ascii="宋体" w:hAnsi="宋体" w:cs="宋体"/>
                <w:sz w:val="24"/>
                <w:szCs w:val="24"/>
                <w:highlight w:val="none"/>
              </w:rPr>
            </w:pPr>
          </w:p>
        </w:tc>
        <w:tc>
          <w:tcPr>
            <w:tcW w:w="1500" w:type="dxa"/>
            <w:noWrap w:val="0"/>
            <w:vAlign w:val="top"/>
          </w:tcPr>
          <w:p w14:paraId="0B16F80C">
            <w:pPr>
              <w:spacing w:line="480" w:lineRule="exact"/>
              <w:rPr>
                <w:rFonts w:hint="eastAsia" w:ascii="宋体" w:hAnsi="宋体" w:cs="宋体"/>
                <w:sz w:val="24"/>
                <w:szCs w:val="24"/>
                <w:highlight w:val="none"/>
              </w:rPr>
            </w:pPr>
          </w:p>
        </w:tc>
        <w:tc>
          <w:tcPr>
            <w:tcW w:w="750" w:type="dxa"/>
            <w:noWrap w:val="0"/>
            <w:vAlign w:val="top"/>
          </w:tcPr>
          <w:p w14:paraId="6A4BBA7C">
            <w:pPr>
              <w:spacing w:line="480" w:lineRule="exact"/>
              <w:rPr>
                <w:rFonts w:hint="eastAsia" w:ascii="宋体" w:hAnsi="宋体" w:cs="宋体"/>
                <w:sz w:val="24"/>
                <w:szCs w:val="24"/>
                <w:highlight w:val="none"/>
              </w:rPr>
            </w:pPr>
          </w:p>
        </w:tc>
        <w:tc>
          <w:tcPr>
            <w:tcW w:w="975" w:type="dxa"/>
            <w:noWrap w:val="0"/>
            <w:vAlign w:val="top"/>
          </w:tcPr>
          <w:p w14:paraId="7BCF71AE">
            <w:pPr>
              <w:spacing w:line="480" w:lineRule="exact"/>
              <w:rPr>
                <w:rFonts w:hint="eastAsia" w:ascii="宋体" w:hAnsi="宋体" w:cs="宋体"/>
                <w:sz w:val="24"/>
                <w:szCs w:val="24"/>
                <w:highlight w:val="none"/>
              </w:rPr>
            </w:pPr>
          </w:p>
        </w:tc>
      </w:tr>
    </w:tbl>
    <w:p w14:paraId="77E9D2D7">
      <w:pPr>
        <w:autoSpaceD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注：各投标人必须对招标文件“第六章 </w:t>
      </w:r>
      <w:r>
        <w:rPr>
          <w:rFonts w:hint="eastAsia" w:ascii="宋体" w:hAnsi="宋体"/>
          <w:color w:val="auto"/>
          <w:sz w:val="24"/>
          <w:szCs w:val="24"/>
          <w:highlight w:val="none"/>
          <w:lang w:eastAsia="zh-CN"/>
        </w:rPr>
        <w:t>招标内容及要求</w:t>
      </w:r>
      <w:r>
        <w:rPr>
          <w:rFonts w:hint="eastAsia" w:ascii="宋体" w:hAnsi="宋体"/>
          <w:color w:val="auto"/>
          <w:sz w:val="24"/>
          <w:szCs w:val="24"/>
          <w:highlight w:val="none"/>
        </w:rPr>
        <w:t>”中的</w:t>
      </w:r>
      <w:r>
        <w:rPr>
          <w:rFonts w:hint="eastAsia" w:ascii="宋体" w:hAnsi="宋体"/>
          <w:color w:val="auto"/>
          <w:sz w:val="24"/>
          <w:szCs w:val="24"/>
          <w:highlight w:val="none"/>
          <w:lang w:eastAsia="zh-CN"/>
        </w:rPr>
        <w:t>“</w:t>
      </w:r>
      <w:r>
        <w:rPr>
          <w:rFonts w:hint="eastAsia" w:ascii="宋体" w:hAnsi="宋体" w:eastAsia="宋体" w:cs="宋体"/>
          <w:b/>
          <w:bCs/>
          <w:i w:val="0"/>
          <w:iCs w:val="0"/>
          <w:caps w:val="0"/>
          <w:color w:val="333333"/>
          <w:spacing w:val="0"/>
          <w:sz w:val="24"/>
          <w:szCs w:val="24"/>
          <w:highlight w:val="none"/>
          <w:shd w:val="clear" w:color="auto" w:fill="FFFFFF"/>
        </w:rPr>
        <w:t>三</w:t>
      </w:r>
      <w:r>
        <w:rPr>
          <w:rFonts w:hint="eastAsia" w:ascii="宋体" w:hAnsi="宋体" w:cs="宋体"/>
          <w:b/>
          <w:bCs/>
          <w:i w:val="0"/>
          <w:iCs w:val="0"/>
          <w:caps w:val="0"/>
          <w:color w:val="333333"/>
          <w:spacing w:val="0"/>
          <w:sz w:val="24"/>
          <w:szCs w:val="24"/>
          <w:highlight w:val="none"/>
          <w:shd w:val="clear" w:color="auto" w:fill="FFFFFF"/>
          <w:lang w:eastAsia="zh-CN"/>
        </w:rPr>
        <w:t>、</w:t>
      </w:r>
      <w:r>
        <w:rPr>
          <w:rFonts w:hint="eastAsia" w:ascii="宋体" w:hAnsi="宋体" w:eastAsia="宋体" w:cs="宋体"/>
          <w:b/>
          <w:bCs/>
          <w:i w:val="0"/>
          <w:iCs w:val="0"/>
          <w:caps w:val="0"/>
          <w:color w:val="333333"/>
          <w:spacing w:val="0"/>
          <w:sz w:val="24"/>
          <w:szCs w:val="24"/>
          <w:highlight w:val="none"/>
          <w:shd w:val="clear" w:color="auto" w:fill="FFFFFF"/>
        </w:rPr>
        <w:t>采购标的技术规格、</w:t>
      </w:r>
      <w:r>
        <w:rPr>
          <w:rFonts w:hint="eastAsia" w:ascii="宋体" w:hAnsi="宋体" w:cs="宋体"/>
          <w:b/>
          <w:bCs/>
          <w:i w:val="0"/>
          <w:iCs w:val="0"/>
          <w:caps w:val="0"/>
          <w:color w:val="333333"/>
          <w:spacing w:val="0"/>
          <w:sz w:val="24"/>
          <w:szCs w:val="24"/>
          <w:highlight w:val="none"/>
          <w:shd w:val="clear" w:color="auto" w:fill="FFFFFF"/>
          <w:lang w:val="en-US" w:eastAsia="zh-CN"/>
        </w:rPr>
        <w:t>参数</w:t>
      </w:r>
      <w:r>
        <w:rPr>
          <w:rFonts w:hint="eastAsia" w:ascii="宋体" w:hAnsi="宋体" w:eastAsia="宋体" w:cs="宋体"/>
          <w:b/>
          <w:bCs/>
          <w:i w:val="0"/>
          <w:iCs w:val="0"/>
          <w:caps w:val="0"/>
          <w:color w:val="333333"/>
          <w:spacing w:val="0"/>
          <w:sz w:val="24"/>
          <w:szCs w:val="24"/>
          <w:highlight w:val="none"/>
          <w:shd w:val="clear" w:color="auto" w:fill="FFFFFF"/>
        </w:rPr>
        <w:t>等要求</w:t>
      </w:r>
      <w:r>
        <w:rPr>
          <w:rFonts w:hint="eastAsia" w:ascii="宋体" w:hAnsi="宋体"/>
          <w:color w:val="auto"/>
          <w:sz w:val="24"/>
          <w:szCs w:val="24"/>
          <w:highlight w:val="none"/>
          <w:lang w:eastAsia="zh-CN"/>
        </w:rPr>
        <w:t>”</w:t>
      </w:r>
      <w:r>
        <w:rPr>
          <w:rFonts w:hint="eastAsia" w:ascii="宋体" w:hAnsi="宋体"/>
          <w:color w:val="auto"/>
          <w:sz w:val="24"/>
          <w:szCs w:val="24"/>
          <w:highlight w:val="none"/>
        </w:rPr>
        <w:t xml:space="preserve">作出全面、真实的反映，投标人除如实填写技术规格偏离表外，投标文件中必须提供制造厂商出具的满足产品需求的技术证明材料(包括但不限于产品彩页或白皮书)、说明书以及配置清单等资料以证明其产品的技术指标参数和具体配置情况的真实性，采购人也可根据设备制造厂商官方网站资料以证明投标人产品的技术指标参数和具体配置情况的真实性。若投标文件中最新技术支持资料参数与技术规格偏离表应答不符或无技术资料应答，而投标人又未在投标文件中作出说明和解释的，视为不响应该条技术参数要求。 </w:t>
      </w:r>
    </w:p>
    <w:p w14:paraId="03A9F1FF">
      <w:pPr>
        <w:autoSpaceDE w:val="0"/>
        <w:spacing w:line="360" w:lineRule="auto"/>
        <w:ind w:firstLine="960" w:firstLineChars="400"/>
        <w:rPr>
          <w:rFonts w:hint="eastAsia" w:ascii="宋体" w:hAnsi="宋体"/>
          <w:sz w:val="24"/>
          <w:szCs w:val="24"/>
          <w:highlight w:val="none"/>
        </w:rPr>
      </w:pPr>
      <w:r>
        <w:rPr>
          <w:rFonts w:hint="eastAsia" w:ascii="宋体" w:hAnsi="宋体"/>
          <w:sz w:val="24"/>
          <w:szCs w:val="24"/>
          <w:highlight w:val="none"/>
        </w:rPr>
        <w:t xml:space="preserve"> </w:t>
      </w:r>
    </w:p>
    <w:p w14:paraId="068690B0">
      <w:pPr>
        <w:ind w:left="0" w:leftChars="0" w:firstLine="1687" w:firstLineChars="600"/>
        <w:rPr>
          <w:rFonts w:hint="eastAsia" w:ascii="宋体" w:hAnsi="宋体"/>
          <w:b/>
          <w:sz w:val="28"/>
          <w:szCs w:val="28"/>
          <w:highlight w:val="none"/>
        </w:rPr>
      </w:pPr>
      <w:bookmarkStart w:id="278" w:name="_Toc14236"/>
      <w:bookmarkEnd w:id="278"/>
      <w:bookmarkStart w:id="279" w:name="_Toc29437"/>
      <w:r>
        <w:rPr>
          <w:rFonts w:hint="eastAsia" w:ascii="宋体" w:hAnsi="宋体"/>
          <w:b/>
          <w:sz w:val="28"/>
          <w:szCs w:val="28"/>
          <w:highlight w:val="none"/>
        </w:rPr>
        <w:t>投标人：</w:t>
      </w:r>
      <w:r>
        <w:rPr>
          <w:rFonts w:hint="eastAsia" w:ascii="宋体" w:hAnsi="宋体"/>
          <w:b/>
          <w:sz w:val="28"/>
          <w:szCs w:val="28"/>
          <w:highlight w:val="none"/>
          <w:u w:val="single"/>
        </w:rPr>
        <w:tab/>
      </w:r>
      <w:r>
        <w:rPr>
          <w:rFonts w:hint="eastAsia" w:ascii="宋体" w:hAnsi="宋体"/>
          <w:b/>
          <w:sz w:val="28"/>
          <w:szCs w:val="28"/>
          <w:highlight w:val="none"/>
          <w:u w:val="single"/>
        </w:rPr>
        <w:t xml:space="preserve">           </w:t>
      </w:r>
      <w:r>
        <w:rPr>
          <w:rFonts w:hint="eastAsia" w:ascii="宋体" w:hAnsi="宋体"/>
          <w:b/>
          <w:sz w:val="28"/>
          <w:szCs w:val="28"/>
          <w:highlight w:val="none"/>
        </w:rPr>
        <w:t>(电子签章)</w:t>
      </w:r>
    </w:p>
    <w:p w14:paraId="4499BE2A">
      <w:pPr>
        <w:ind w:left="0" w:leftChars="0" w:firstLine="1687" w:firstLineChars="600"/>
        <w:rPr>
          <w:b/>
          <w:sz w:val="28"/>
          <w:szCs w:val="28"/>
          <w:highlight w:val="none"/>
        </w:rPr>
      </w:pPr>
      <w:r>
        <w:rPr>
          <w:rFonts w:hint="eastAsia" w:ascii="宋体" w:hAnsi="宋体"/>
          <w:b/>
          <w:sz w:val="28"/>
          <w:szCs w:val="28"/>
          <w:highlight w:val="none"/>
        </w:rPr>
        <w:t>法定代表人(单位负责人)或其委托代理人：</w:t>
      </w:r>
      <w:r>
        <w:rPr>
          <w:rFonts w:hint="eastAsia" w:ascii="宋体" w:hAnsi="宋体"/>
          <w:b/>
          <w:sz w:val="28"/>
          <w:szCs w:val="28"/>
          <w:highlight w:val="none"/>
          <w:u w:val="single"/>
        </w:rPr>
        <w:tab/>
      </w:r>
      <w:r>
        <w:rPr>
          <w:rFonts w:hint="eastAsia" w:ascii="宋体" w:hAnsi="宋体"/>
          <w:b/>
          <w:sz w:val="28"/>
          <w:szCs w:val="28"/>
          <w:highlight w:val="none"/>
          <w:u w:val="single"/>
        </w:rPr>
        <w:t xml:space="preserve">     </w:t>
      </w:r>
      <w:r>
        <w:rPr>
          <w:rFonts w:hint="eastAsia" w:ascii="宋体" w:hAnsi="宋体"/>
          <w:b/>
          <w:sz w:val="28"/>
          <w:szCs w:val="28"/>
          <w:highlight w:val="none"/>
        </w:rPr>
        <w:t>(电子签章)</w:t>
      </w:r>
    </w:p>
    <w:p w14:paraId="1C50FAF4">
      <w:pPr>
        <w:ind w:left="0" w:leftChars="0" w:firstLine="1687" w:firstLineChars="600"/>
        <w:rPr>
          <w:sz w:val="28"/>
          <w:szCs w:val="28"/>
          <w:highlight w:val="none"/>
        </w:rPr>
        <w:sectPr>
          <w:footerReference r:id="rId9" w:type="default"/>
          <w:pgSz w:w="11906" w:h="16838"/>
          <w:pgMar w:top="1191" w:right="1191" w:bottom="1191" w:left="1191" w:header="720" w:footer="720" w:gutter="0"/>
          <w:pgNumType w:fmt="decimal"/>
          <w:cols w:space="720" w:num="1"/>
          <w:docGrid w:type="lines" w:linePitch="317" w:charSpace="0"/>
        </w:sectPr>
      </w:pPr>
      <w:r>
        <w:rPr>
          <w:b/>
          <w:sz w:val="28"/>
          <w:szCs w:val="28"/>
          <w:highlight w:val="none"/>
        </w:rPr>
        <w:t>日期：</w:t>
      </w:r>
      <w:r>
        <w:rPr>
          <w:rFonts w:hint="eastAsia"/>
          <w:bCs/>
          <w:sz w:val="28"/>
          <w:szCs w:val="28"/>
          <w:highlight w:val="none"/>
          <w:u w:val="single"/>
        </w:rPr>
        <w:t xml:space="preserve">      </w:t>
      </w:r>
      <w:r>
        <w:rPr>
          <w:b/>
          <w:sz w:val="28"/>
          <w:szCs w:val="28"/>
          <w:highlight w:val="none"/>
        </w:rPr>
        <w:t>年</w:t>
      </w:r>
      <w:r>
        <w:rPr>
          <w:rFonts w:hint="eastAsia"/>
          <w:bCs/>
          <w:sz w:val="28"/>
          <w:szCs w:val="28"/>
          <w:highlight w:val="none"/>
          <w:u w:val="single"/>
        </w:rPr>
        <w:t xml:space="preserve">     </w:t>
      </w:r>
      <w:r>
        <w:rPr>
          <w:b/>
          <w:sz w:val="28"/>
          <w:szCs w:val="28"/>
          <w:highlight w:val="none"/>
        </w:rPr>
        <w:t>月</w:t>
      </w:r>
      <w:r>
        <w:rPr>
          <w:rFonts w:hint="eastAsia"/>
          <w:bCs/>
          <w:sz w:val="28"/>
          <w:szCs w:val="28"/>
          <w:highlight w:val="none"/>
          <w:u w:val="single"/>
        </w:rPr>
        <w:t xml:space="preserve">     </w:t>
      </w:r>
      <w:r>
        <w:rPr>
          <w:b/>
          <w:sz w:val="28"/>
          <w:szCs w:val="28"/>
          <w:highlight w:val="none"/>
        </w:rPr>
        <w:t>日</w:t>
      </w:r>
    </w:p>
    <w:p w14:paraId="7EC5DDD5">
      <w:pPr>
        <w:pStyle w:val="4"/>
        <w:widowControl/>
        <w:autoSpaceDE w:val="0"/>
        <w:spacing w:before="0" w:after="0" w:line="240" w:lineRule="auto"/>
        <w:rPr>
          <w:rFonts w:hint="eastAsia"/>
          <w:highlight w:val="none"/>
        </w:rPr>
      </w:pPr>
      <w:bookmarkStart w:id="280" w:name="_Toc6113"/>
      <w:r>
        <w:rPr>
          <w:rFonts w:hint="eastAsia" w:ascii="宋体" w:hAnsi="宋体"/>
          <w:szCs w:val="28"/>
          <w:highlight w:val="none"/>
          <w:lang w:val="en-US" w:eastAsia="zh-CN"/>
        </w:rPr>
        <w:t>八</w:t>
      </w:r>
      <w:r>
        <w:rPr>
          <w:rFonts w:hint="eastAsia" w:ascii="宋体" w:hAnsi="宋体"/>
          <w:szCs w:val="28"/>
          <w:highlight w:val="none"/>
        </w:rPr>
        <w:t>、</w:t>
      </w:r>
      <w:bookmarkEnd w:id="279"/>
      <w:r>
        <w:rPr>
          <w:rFonts w:hint="eastAsia" w:ascii="宋体" w:hAnsi="宋体"/>
          <w:szCs w:val="28"/>
          <w:highlight w:val="none"/>
        </w:rPr>
        <w:t>分项报价表</w:t>
      </w:r>
      <w:bookmarkEnd w:id="280"/>
    </w:p>
    <w:p w14:paraId="2F4AF982">
      <w:pPr>
        <w:pStyle w:val="15"/>
        <w:spacing w:line="240" w:lineRule="atLeast"/>
        <w:rPr>
          <w:rFonts w:hint="eastAsia" w:hAnsi="宋体" w:cs="宋体"/>
          <w:sz w:val="24"/>
          <w:szCs w:val="24"/>
          <w:highlight w:val="none"/>
        </w:rPr>
      </w:pPr>
      <w:r>
        <w:rPr>
          <w:rFonts w:hint="eastAsia" w:hAnsi="宋体" w:cs="宋体"/>
          <w:sz w:val="24"/>
          <w:szCs w:val="24"/>
          <w:highlight w:val="none"/>
        </w:rPr>
        <w:t xml:space="preserve">                                                                   </w:t>
      </w:r>
    </w:p>
    <w:tbl>
      <w:tblPr>
        <w:tblStyle w:val="27"/>
        <w:tblW w:w="105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1246"/>
        <w:gridCol w:w="1158"/>
        <w:gridCol w:w="1500"/>
        <w:gridCol w:w="777"/>
        <w:gridCol w:w="967"/>
        <w:gridCol w:w="1154"/>
        <w:gridCol w:w="1102"/>
        <w:gridCol w:w="891"/>
        <w:gridCol w:w="998"/>
      </w:tblGrid>
      <w:tr w14:paraId="77BD3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755" w:type="dxa"/>
            <w:noWrap w:val="0"/>
            <w:vAlign w:val="center"/>
          </w:tcPr>
          <w:p w14:paraId="152F4BA0">
            <w:pPr>
              <w:pStyle w:val="15"/>
              <w:spacing w:line="240" w:lineRule="atLeast"/>
              <w:jc w:val="both"/>
              <w:rPr>
                <w:rFonts w:hint="eastAsia" w:hAnsi="宋体" w:cs="宋体"/>
                <w:b/>
                <w:bCs/>
                <w:sz w:val="24"/>
                <w:szCs w:val="24"/>
                <w:highlight w:val="none"/>
              </w:rPr>
            </w:pPr>
            <w:r>
              <w:rPr>
                <w:rFonts w:hint="eastAsia" w:hAnsi="宋体" w:cs="宋体"/>
                <w:b/>
                <w:bCs/>
                <w:sz w:val="24"/>
                <w:szCs w:val="24"/>
                <w:highlight w:val="none"/>
              </w:rPr>
              <w:t>序号</w:t>
            </w:r>
          </w:p>
        </w:tc>
        <w:tc>
          <w:tcPr>
            <w:tcW w:w="1246" w:type="dxa"/>
            <w:noWrap w:val="0"/>
            <w:vAlign w:val="center"/>
          </w:tcPr>
          <w:p w14:paraId="4ADFB541">
            <w:pPr>
              <w:pStyle w:val="15"/>
              <w:spacing w:line="240" w:lineRule="atLeast"/>
              <w:jc w:val="center"/>
              <w:rPr>
                <w:rFonts w:hint="eastAsia" w:hAnsi="宋体" w:cs="宋体"/>
                <w:b/>
                <w:bCs/>
                <w:sz w:val="24"/>
                <w:szCs w:val="24"/>
                <w:highlight w:val="none"/>
              </w:rPr>
            </w:pPr>
            <w:r>
              <w:rPr>
                <w:rFonts w:hint="eastAsia" w:hAnsi="宋体" w:cs="宋体"/>
                <w:b/>
                <w:bCs/>
                <w:sz w:val="24"/>
                <w:szCs w:val="24"/>
                <w:highlight w:val="none"/>
              </w:rPr>
              <w:t>分项名称</w:t>
            </w:r>
          </w:p>
        </w:tc>
        <w:tc>
          <w:tcPr>
            <w:tcW w:w="1158" w:type="dxa"/>
            <w:noWrap w:val="0"/>
            <w:vAlign w:val="center"/>
          </w:tcPr>
          <w:p w14:paraId="4352D35F">
            <w:pPr>
              <w:pStyle w:val="15"/>
              <w:spacing w:line="240" w:lineRule="atLeast"/>
              <w:jc w:val="center"/>
              <w:rPr>
                <w:rFonts w:hint="eastAsia" w:hAnsi="宋体" w:eastAsia="宋体" w:cs="宋体"/>
                <w:b/>
                <w:bCs/>
                <w:sz w:val="24"/>
                <w:szCs w:val="24"/>
                <w:highlight w:val="none"/>
                <w:lang w:eastAsia="zh-CN"/>
              </w:rPr>
            </w:pPr>
            <w:r>
              <w:rPr>
                <w:rFonts w:hint="eastAsia" w:hAnsi="宋体" w:cs="宋体"/>
                <w:b/>
                <w:bCs/>
                <w:color w:val="auto"/>
                <w:sz w:val="24"/>
                <w:szCs w:val="24"/>
                <w:highlight w:val="none"/>
                <w:lang w:eastAsia="zh-CN"/>
              </w:rPr>
              <w:t>品牌</w:t>
            </w:r>
          </w:p>
        </w:tc>
        <w:tc>
          <w:tcPr>
            <w:tcW w:w="1500" w:type="dxa"/>
            <w:noWrap w:val="0"/>
            <w:vAlign w:val="center"/>
          </w:tcPr>
          <w:p w14:paraId="26C43E6F">
            <w:pPr>
              <w:pStyle w:val="15"/>
              <w:spacing w:line="240" w:lineRule="atLeast"/>
              <w:jc w:val="center"/>
              <w:rPr>
                <w:rFonts w:hint="eastAsia" w:hAnsi="宋体" w:cs="宋体"/>
                <w:b/>
                <w:bCs/>
                <w:sz w:val="24"/>
                <w:szCs w:val="24"/>
                <w:highlight w:val="none"/>
              </w:rPr>
            </w:pPr>
            <w:r>
              <w:rPr>
                <w:rFonts w:hint="eastAsia" w:hAnsi="宋体" w:cs="宋体"/>
                <w:b/>
                <w:bCs/>
                <w:sz w:val="24"/>
                <w:szCs w:val="24"/>
                <w:highlight w:val="none"/>
              </w:rPr>
              <w:t>型号和规格</w:t>
            </w:r>
          </w:p>
        </w:tc>
        <w:tc>
          <w:tcPr>
            <w:tcW w:w="777" w:type="dxa"/>
            <w:noWrap w:val="0"/>
            <w:vAlign w:val="center"/>
          </w:tcPr>
          <w:p w14:paraId="2C3AB34B">
            <w:pPr>
              <w:pStyle w:val="15"/>
              <w:spacing w:line="240" w:lineRule="atLeast"/>
              <w:jc w:val="center"/>
              <w:rPr>
                <w:rFonts w:hint="eastAsia" w:hAnsi="宋体" w:cs="宋体"/>
                <w:b/>
                <w:bCs/>
                <w:sz w:val="24"/>
                <w:szCs w:val="24"/>
                <w:highlight w:val="none"/>
              </w:rPr>
            </w:pPr>
            <w:r>
              <w:rPr>
                <w:rFonts w:hint="eastAsia" w:hAnsi="宋体" w:cs="宋体"/>
                <w:b/>
                <w:bCs/>
                <w:sz w:val="24"/>
                <w:szCs w:val="24"/>
                <w:highlight w:val="none"/>
              </w:rPr>
              <w:t>数量</w:t>
            </w:r>
          </w:p>
        </w:tc>
        <w:tc>
          <w:tcPr>
            <w:tcW w:w="967" w:type="dxa"/>
            <w:noWrap w:val="0"/>
            <w:vAlign w:val="center"/>
          </w:tcPr>
          <w:p w14:paraId="1AF457FD">
            <w:pPr>
              <w:pStyle w:val="15"/>
              <w:spacing w:line="240" w:lineRule="atLeast"/>
              <w:jc w:val="center"/>
              <w:rPr>
                <w:rFonts w:hint="eastAsia" w:hAnsi="宋体" w:cs="宋体"/>
                <w:b/>
                <w:bCs/>
                <w:sz w:val="24"/>
                <w:szCs w:val="24"/>
                <w:highlight w:val="none"/>
              </w:rPr>
            </w:pPr>
            <w:r>
              <w:rPr>
                <w:rFonts w:hint="eastAsia" w:hAnsi="宋体" w:cs="宋体"/>
                <w:b/>
                <w:bCs/>
                <w:sz w:val="24"/>
                <w:szCs w:val="24"/>
                <w:highlight w:val="none"/>
              </w:rPr>
              <w:t>原产地</w:t>
            </w:r>
          </w:p>
        </w:tc>
        <w:tc>
          <w:tcPr>
            <w:tcW w:w="1154" w:type="dxa"/>
            <w:noWrap w:val="0"/>
            <w:vAlign w:val="center"/>
          </w:tcPr>
          <w:p w14:paraId="3B572BFF">
            <w:pPr>
              <w:pStyle w:val="15"/>
              <w:spacing w:line="240" w:lineRule="atLeast"/>
              <w:jc w:val="center"/>
              <w:rPr>
                <w:rFonts w:hint="eastAsia" w:hAnsi="宋体" w:cs="宋体"/>
                <w:b/>
                <w:bCs/>
                <w:sz w:val="24"/>
                <w:szCs w:val="24"/>
                <w:highlight w:val="none"/>
              </w:rPr>
            </w:pPr>
            <w:r>
              <w:rPr>
                <w:rFonts w:hint="eastAsia" w:hAnsi="宋体" w:cs="宋体"/>
                <w:b/>
                <w:bCs/>
                <w:sz w:val="24"/>
                <w:szCs w:val="24"/>
                <w:highlight w:val="none"/>
              </w:rPr>
              <w:t>制造商名称</w:t>
            </w:r>
          </w:p>
        </w:tc>
        <w:tc>
          <w:tcPr>
            <w:tcW w:w="1102" w:type="dxa"/>
            <w:noWrap w:val="0"/>
            <w:vAlign w:val="center"/>
          </w:tcPr>
          <w:p w14:paraId="0B8ABFA2">
            <w:pPr>
              <w:pStyle w:val="15"/>
              <w:spacing w:line="240" w:lineRule="atLeast"/>
              <w:jc w:val="center"/>
              <w:rPr>
                <w:rFonts w:hint="eastAsia" w:hAnsi="宋体" w:eastAsia="宋体" w:cs="宋体"/>
                <w:b/>
                <w:bCs/>
                <w:sz w:val="24"/>
                <w:szCs w:val="24"/>
                <w:highlight w:val="none"/>
                <w:lang w:eastAsia="zh-CN"/>
              </w:rPr>
            </w:pPr>
            <w:r>
              <w:rPr>
                <w:rFonts w:hint="eastAsia" w:hAnsi="宋体" w:cs="宋体"/>
                <w:b/>
                <w:bCs/>
                <w:sz w:val="24"/>
                <w:szCs w:val="24"/>
                <w:highlight w:val="none"/>
              </w:rPr>
              <w:t>单价</w:t>
            </w:r>
            <w:r>
              <w:rPr>
                <w:rFonts w:hint="eastAsia" w:hAnsi="宋体" w:cs="宋体"/>
                <w:b/>
                <w:bCs/>
                <w:sz w:val="24"/>
                <w:szCs w:val="24"/>
                <w:highlight w:val="none"/>
                <w:lang w:eastAsia="zh-CN"/>
              </w:rPr>
              <w:t>（元）</w:t>
            </w:r>
          </w:p>
        </w:tc>
        <w:tc>
          <w:tcPr>
            <w:tcW w:w="891" w:type="dxa"/>
            <w:noWrap w:val="0"/>
            <w:vAlign w:val="center"/>
          </w:tcPr>
          <w:p w14:paraId="063D3BB5">
            <w:pPr>
              <w:pStyle w:val="15"/>
              <w:spacing w:line="240" w:lineRule="atLeast"/>
              <w:jc w:val="center"/>
              <w:rPr>
                <w:rFonts w:hint="eastAsia" w:hAnsi="宋体" w:eastAsia="宋体" w:cs="宋体"/>
                <w:b/>
                <w:bCs/>
                <w:sz w:val="24"/>
                <w:szCs w:val="24"/>
                <w:highlight w:val="none"/>
                <w:lang w:eastAsia="zh-CN"/>
              </w:rPr>
            </w:pPr>
            <w:r>
              <w:rPr>
                <w:rFonts w:hint="eastAsia" w:hAnsi="宋体" w:cs="宋体"/>
                <w:b/>
                <w:bCs/>
                <w:sz w:val="24"/>
                <w:szCs w:val="24"/>
                <w:highlight w:val="none"/>
              </w:rPr>
              <w:t>合价</w:t>
            </w:r>
            <w:r>
              <w:rPr>
                <w:rFonts w:hint="eastAsia" w:hAnsi="宋体" w:cs="宋体"/>
                <w:b/>
                <w:bCs/>
                <w:sz w:val="24"/>
                <w:szCs w:val="24"/>
                <w:highlight w:val="none"/>
                <w:lang w:eastAsia="zh-CN"/>
              </w:rPr>
              <w:t>（元）</w:t>
            </w:r>
          </w:p>
        </w:tc>
        <w:tc>
          <w:tcPr>
            <w:tcW w:w="998" w:type="dxa"/>
            <w:noWrap w:val="0"/>
            <w:vAlign w:val="center"/>
          </w:tcPr>
          <w:p w14:paraId="5B89A183">
            <w:pPr>
              <w:pStyle w:val="15"/>
              <w:spacing w:line="240" w:lineRule="atLeast"/>
              <w:jc w:val="center"/>
              <w:rPr>
                <w:rFonts w:hint="eastAsia" w:hAnsi="宋体" w:cs="宋体"/>
                <w:b/>
                <w:bCs/>
                <w:sz w:val="24"/>
                <w:szCs w:val="24"/>
                <w:highlight w:val="none"/>
              </w:rPr>
            </w:pPr>
            <w:r>
              <w:rPr>
                <w:rFonts w:hint="eastAsia" w:hAnsi="宋体" w:cs="宋体"/>
                <w:b/>
                <w:bCs/>
                <w:sz w:val="24"/>
                <w:szCs w:val="24"/>
                <w:highlight w:val="none"/>
              </w:rPr>
              <w:t>备注</w:t>
            </w:r>
          </w:p>
        </w:tc>
      </w:tr>
      <w:tr w14:paraId="6A1BE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755" w:type="dxa"/>
            <w:noWrap w:val="0"/>
            <w:vAlign w:val="center"/>
          </w:tcPr>
          <w:p w14:paraId="6EE5DEFD">
            <w:pPr>
              <w:jc w:val="center"/>
              <w:rPr>
                <w:rFonts w:hint="eastAsia" w:ascii="宋体" w:hAnsi="宋体" w:eastAsia="宋体" w:cs="宋体"/>
              </w:rPr>
            </w:pPr>
            <w:r>
              <w:rPr>
                <w:rFonts w:hint="eastAsia" w:ascii="宋体" w:hAnsi="宋体" w:eastAsia="宋体" w:cs="宋体"/>
              </w:rPr>
              <w:t>1</w:t>
            </w:r>
          </w:p>
        </w:tc>
        <w:tc>
          <w:tcPr>
            <w:tcW w:w="1246" w:type="dxa"/>
            <w:noWrap w:val="0"/>
            <w:vAlign w:val="center"/>
          </w:tcPr>
          <w:p w14:paraId="3752DC88">
            <w:pPr>
              <w:pStyle w:val="15"/>
              <w:spacing w:line="240" w:lineRule="atLeast"/>
              <w:jc w:val="center"/>
              <w:rPr>
                <w:rFonts w:hint="eastAsia" w:hAnsi="宋体" w:cs="宋体"/>
                <w:sz w:val="24"/>
                <w:szCs w:val="24"/>
                <w:highlight w:val="none"/>
              </w:rPr>
            </w:pPr>
          </w:p>
        </w:tc>
        <w:tc>
          <w:tcPr>
            <w:tcW w:w="1158" w:type="dxa"/>
            <w:noWrap w:val="0"/>
            <w:vAlign w:val="center"/>
          </w:tcPr>
          <w:p w14:paraId="2DDA61CA">
            <w:pPr>
              <w:pStyle w:val="15"/>
              <w:spacing w:line="240" w:lineRule="atLeast"/>
              <w:ind w:left="1080" w:leftChars="257" w:hanging="540"/>
              <w:jc w:val="center"/>
              <w:rPr>
                <w:rFonts w:hint="eastAsia" w:hAnsi="宋体" w:cs="宋体"/>
                <w:sz w:val="24"/>
                <w:szCs w:val="24"/>
                <w:highlight w:val="none"/>
              </w:rPr>
            </w:pPr>
          </w:p>
        </w:tc>
        <w:tc>
          <w:tcPr>
            <w:tcW w:w="1500" w:type="dxa"/>
            <w:noWrap w:val="0"/>
            <w:vAlign w:val="center"/>
          </w:tcPr>
          <w:p w14:paraId="397C45F9">
            <w:pPr>
              <w:pStyle w:val="15"/>
              <w:spacing w:line="240" w:lineRule="atLeast"/>
              <w:ind w:left="1080" w:leftChars="257" w:hanging="540"/>
              <w:jc w:val="center"/>
              <w:rPr>
                <w:rFonts w:hint="eastAsia" w:hAnsi="宋体" w:cs="宋体"/>
                <w:sz w:val="24"/>
                <w:szCs w:val="24"/>
                <w:highlight w:val="none"/>
              </w:rPr>
            </w:pPr>
          </w:p>
        </w:tc>
        <w:tc>
          <w:tcPr>
            <w:tcW w:w="777" w:type="dxa"/>
            <w:noWrap w:val="0"/>
            <w:vAlign w:val="center"/>
          </w:tcPr>
          <w:p w14:paraId="35F54544">
            <w:pPr>
              <w:pStyle w:val="15"/>
              <w:spacing w:line="240" w:lineRule="atLeast"/>
              <w:ind w:left="1080" w:leftChars="257" w:hanging="540"/>
              <w:jc w:val="center"/>
              <w:rPr>
                <w:rFonts w:hint="eastAsia" w:hAnsi="宋体" w:cs="宋体"/>
                <w:sz w:val="24"/>
                <w:szCs w:val="24"/>
                <w:highlight w:val="none"/>
              </w:rPr>
            </w:pPr>
          </w:p>
        </w:tc>
        <w:tc>
          <w:tcPr>
            <w:tcW w:w="967" w:type="dxa"/>
            <w:noWrap w:val="0"/>
            <w:vAlign w:val="center"/>
          </w:tcPr>
          <w:p w14:paraId="3D842A62">
            <w:pPr>
              <w:pStyle w:val="15"/>
              <w:spacing w:line="240" w:lineRule="atLeast"/>
              <w:ind w:left="1080" w:leftChars="257" w:hanging="540"/>
              <w:jc w:val="center"/>
              <w:rPr>
                <w:rFonts w:hint="eastAsia" w:hAnsi="宋体" w:cs="宋体"/>
                <w:sz w:val="24"/>
                <w:szCs w:val="24"/>
                <w:highlight w:val="none"/>
              </w:rPr>
            </w:pPr>
          </w:p>
        </w:tc>
        <w:tc>
          <w:tcPr>
            <w:tcW w:w="1154" w:type="dxa"/>
            <w:noWrap w:val="0"/>
            <w:vAlign w:val="center"/>
          </w:tcPr>
          <w:p w14:paraId="2E267A14">
            <w:pPr>
              <w:pStyle w:val="15"/>
              <w:spacing w:line="240" w:lineRule="atLeast"/>
              <w:ind w:left="1080" w:leftChars="257" w:hanging="540"/>
              <w:jc w:val="center"/>
              <w:rPr>
                <w:rFonts w:hint="eastAsia" w:hAnsi="宋体" w:cs="宋体"/>
                <w:sz w:val="24"/>
                <w:szCs w:val="24"/>
                <w:highlight w:val="none"/>
              </w:rPr>
            </w:pPr>
          </w:p>
        </w:tc>
        <w:tc>
          <w:tcPr>
            <w:tcW w:w="1102" w:type="dxa"/>
            <w:noWrap w:val="0"/>
            <w:vAlign w:val="center"/>
          </w:tcPr>
          <w:p w14:paraId="750C30BB">
            <w:pPr>
              <w:pStyle w:val="15"/>
              <w:spacing w:line="240" w:lineRule="atLeast"/>
              <w:ind w:left="1080" w:leftChars="257" w:hanging="540"/>
              <w:jc w:val="center"/>
              <w:rPr>
                <w:rFonts w:hint="eastAsia" w:hAnsi="宋体" w:cs="宋体"/>
                <w:sz w:val="24"/>
                <w:szCs w:val="24"/>
                <w:highlight w:val="none"/>
              </w:rPr>
            </w:pPr>
          </w:p>
        </w:tc>
        <w:tc>
          <w:tcPr>
            <w:tcW w:w="891" w:type="dxa"/>
            <w:noWrap w:val="0"/>
            <w:vAlign w:val="center"/>
          </w:tcPr>
          <w:p w14:paraId="76A6E747">
            <w:pPr>
              <w:pStyle w:val="15"/>
              <w:spacing w:line="240" w:lineRule="atLeast"/>
              <w:ind w:left="1080" w:leftChars="257" w:hanging="540"/>
              <w:jc w:val="center"/>
              <w:rPr>
                <w:rFonts w:hint="eastAsia" w:hAnsi="宋体" w:cs="宋体"/>
                <w:sz w:val="24"/>
                <w:szCs w:val="24"/>
                <w:highlight w:val="none"/>
              </w:rPr>
            </w:pPr>
          </w:p>
        </w:tc>
        <w:tc>
          <w:tcPr>
            <w:tcW w:w="998" w:type="dxa"/>
            <w:noWrap w:val="0"/>
            <w:vAlign w:val="center"/>
          </w:tcPr>
          <w:p w14:paraId="18E3BD95">
            <w:pPr>
              <w:pStyle w:val="15"/>
              <w:spacing w:line="240" w:lineRule="atLeast"/>
              <w:ind w:left="1080" w:leftChars="257" w:hanging="540"/>
              <w:jc w:val="center"/>
              <w:rPr>
                <w:rFonts w:hint="eastAsia" w:hAnsi="宋体" w:cs="宋体"/>
                <w:sz w:val="24"/>
                <w:szCs w:val="24"/>
                <w:highlight w:val="none"/>
              </w:rPr>
            </w:pPr>
          </w:p>
        </w:tc>
      </w:tr>
      <w:tr w14:paraId="0E425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5" w:type="dxa"/>
            <w:noWrap w:val="0"/>
            <w:vAlign w:val="center"/>
          </w:tcPr>
          <w:p w14:paraId="7D22535F">
            <w:pPr>
              <w:jc w:val="center"/>
              <w:rPr>
                <w:rFonts w:hint="eastAsia" w:ascii="宋体" w:hAnsi="宋体" w:eastAsia="宋体" w:cs="宋体"/>
              </w:rPr>
            </w:pPr>
            <w:r>
              <w:rPr>
                <w:rFonts w:hint="eastAsia" w:ascii="宋体" w:hAnsi="宋体" w:eastAsia="宋体" w:cs="宋体"/>
              </w:rPr>
              <w:t>2</w:t>
            </w:r>
          </w:p>
        </w:tc>
        <w:tc>
          <w:tcPr>
            <w:tcW w:w="1246" w:type="dxa"/>
            <w:noWrap w:val="0"/>
            <w:vAlign w:val="center"/>
          </w:tcPr>
          <w:p w14:paraId="5ACA7DE8">
            <w:pPr>
              <w:pStyle w:val="15"/>
              <w:spacing w:line="240" w:lineRule="atLeast"/>
              <w:jc w:val="center"/>
              <w:rPr>
                <w:rFonts w:hint="eastAsia" w:hAnsi="宋体" w:cs="宋体"/>
                <w:sz w:val="24"/>
                <w:szCs w:val="24"/>
                <w:highlight w:val="none"/>
              </w:rPr>
            </w:pPr>
          </w:p>
        </w:tc>
        <w:tc>
          <w:tcPr>
            <w:tcW w:w="1158" w:type="dxa"/>
            <w:noWrap w:val="0"/>
            <w:vAlign w:val="center"/>
          </w:tcPr>
          <w:p w14:paraId="154E7B5C">
            <w:pPr>
              <w:pStyle w:val="15"/>
              <w:spacing w:line="240" w:lineRule="atLeast"/>
              <w:ind w:left="1080" w:leftChars="257" w:hanging="540"/>
              <w:jc w:val="center"/>
              <w:rPr>
                <w:rFonts w:hint="eastAsia" w:hAnsi="宋体" w:cs="宋体"/>
                <w:sz w:val="24"/>
                <w:szCs w:val="24"/>
                <w:highlight w:val="none"/>
              </w:rPr>
            </w:pPr>
          </w:p>
        </w:tc>
        <w:tc>
          <w:tcPr>
            <w:tcW w:w="1500" w:type="dxa"/>
            <w:noWrap w:val="0"/>
            <w:vAlign w:val="center"/>
          </w:tcPr>
          <w:p w14:paraId="582E72A6">
            <w:pPr>
              <w:pStyle w:val="15"/>
              <w:spacing w:line="240" w:lineRule="atLeast"/>
              <w:ind w:left="1080" w:leftChars="257" w:hanging="540"/>
              <w:jc w:val="center"/>
              <w:rPr>
                <w:rFonts w:hint="eastAsia" w:hAnsi="宋体" w:cs="宋体"/>
                <w:sz w:val="24"/>
                <w:szCs w:val="24"/>
                <w:highlight w:val="none"/>
              </w:rPr>
            </w:pPr>
          </w:p>
        </w:tc>
        <w:tc>
          <w:tcPr>
            <w:tcW w:w="777" w:type="dxa"/>
            <w:noWrap w:val="0"/>
            <w:vAlign w:val="center"/>
          </w:tcPr>
          <w:p w14:paraId="62441689">
            <w:pPr>
              <w:pStyle w:val="15"/>
              <w:spacing w:line="240" w:lineRule="atLeast"/>
              <w:ind w:left="1080" w:leftChars="257" w:hanging="540"/>
              <w:jc w:val="center"/>
              <w:rPr>
                <w:rFonts w:hint="eastAsia" w:hAnsi="宋体" w:cs="宋体"/>
                <w:sz w:val="24"/>
                <w:szCs w:val="24"/>
                <w:highlight w:val="none"/>
              </w:rPr>
            </w:pPr>
          </w:p>
        </w:tc>
        <w:tc>
          <w:tcPr>
            <w:tcW w:w="967" w:type="dxa"/>
            <w:noWrap w:val="0"/>
            <w:vAlign w:val="center"/>
          </w:tcPr>
          <w:p w14:paraId="22CB576D">
            <w:pPr>
              <w:pStyle w:val="15"/>
              <w:spacing w:line="240" w:lineRule="atLeast"/>
              <w:ind w:left="1080" w:leftChars="257" w:hanging="540"/>
              <w:jc w:val="center"/>
              <w:rPr>
                <w:rFonts w:hint="eastAsia" w:hAnsi="宋体" w:cs="宋体"/>
                <w:sz w:val="24"/>
                <w:szCs w:val="24"/>
                <w:highlight w:val="none"/>
              </w:rPr>
            </w:pPr>
          </w:p>
        </w:tc>
        <w:tc>
          <w:tcPr>
            <w:tcW w:w="1154" w:type="dxa"/>
            <w:noWrap w:val="0"/>
            <w:vAlign w:val="center"/>
          </w:tcPr>
          <w:p w14:paraId="71413939">
            <w:pPr>
              <w:pStyle w:val="15"/>
              <w:spacing w:line="240" w:lineRule="atLeast"/>
              <w:ind w:left="1080" w:leftChars="257" w:hanging="540"/>
              <w:jc w:val="center"/>
              <w:rPr>
                <w:rFonts w:hint="eastAsia" w:hAnsi="宋体" w:cs="宋体"/>
                <w:sz w:val="24"/>
                <w:szCs w:val="24"/>
                <w:highlight w:val="none"/>
              </w:rPr>
            </w:pPr>
          </w:p>
        </w:tc>
        <w:tc>
          <w:tcPr>
            <w:tcW w:w="1102" w:type="dxa"/>
            <w:noWrap w:val="0"/>
            <w:vAlign w:val="center"/>
          </w:tcPr>
          <w:p w14:paraId="6659CB63">
            <w:pPr>
              <w:pStyle w:val="15"/>
              <w:spacing w:line="240" w:lineRule="atLeast"/>
              <w:ind w:left="1080" w:leftChars="257" w:hanging="540"/>
              <w:jc w:val="center"/>
              <w:rPr>
                <w:rFonts w:hint="eastAsia" w:hAnsi="宋体" w:cs="宋体"/>
                <w:sz w:val="24"/>
                <w:szCs w:val="24"/>
                <w:highlight w:val="none"/>
              </w:rPr>
            </w:pPr>
          </w:p>
        </w:tc>
        <w:tc>
          <w:tcPr>
            <w:tcW w:w="891" w:type="dxa"/>
            <w:noWrap w:val="0"/>
            <w:vAlign w:val="center"/>
          </w:tcPr>
          <w:p w14:paraId="6457E447">
            <w:pPr>
              <w:pStyle w:val="15"/>
              <w:spacing w:line="240" w:lineRule="atLeast"/>
              <w:ind w:left="1080" w:leftChars="257" w:hanging="540"/>
              <w:jc w:val="center"/>
              <w:rPr>
                <w:rFonts w:hint="eastAsia" w:hAnsi="宋体" w:cs="宋体"/>
                <w:sz w:val="24"/>
                <w:szCs w:val="24"/>
                <w:highlight w:val="none"/>
              </w:rPr>
            </w:pPr>
          </w:p>
        </w:tc>
        <w:tc>
          <w:tcPr>
            <w:tcW w:w="998" w:type="dxa"/>
            <w:noWrap w:val="0"/>
            <w:vAlign w:val="center"/>
          </w:tcPr>
          <w:p w14:paraId="2532681E">
            <w:pPr>
              <w:pStyle w:val="15"/>
              <w:spacing w:line="240" w:lineRule="atLeast"/>
              <w:ind w:left="1080" w:leftChars="257" w:hanging="540"/>
              <w:jc w:val="center"/>
              <w:rPr>
                <w:rFonts w:hint="eastAsia" w:hAnsi="宋体" w:cs="宋体"/>
                <w:sz w:val="24"/>
                <w:szCs w:val="24"/>
                <w:highlight w:val="none"/>
              </w:rPr>
            </w:pPr>
          </w:p>
        </w:tc>
      </w:tr>
      <w:tr w14:paraId="404C8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5" w:type="dxa"/>
            <w:noWrap w:val="0"/>
            <w:vAlign w:val="center"/>
          </w:tcPr>
          <w:p w14:paraId="039045BA">
            <w:pPr>
              <w:jc w:val="center"/>
              <w:rPr>
                <w:rFonts w:hint="eastAsia" w:ascii="宋体" w:hAnsi="宋体" w:eastAsia="宋体" w:cs="宋体"/>
              </w:rPr>
            </w:pPr>
            <w:r>
              <w:rPr>
                <w:rFonts w:hint="eastAsia" w:ascii="宋体" w:hAnsi="宋体" w:eastAsia="宋体" w:cs="宋体"/>
              </w:rPr>
              <w:t>3</w:t>
            </w:r>
          </w:p>
        </w:tc>
        <w:tc>
          <w:tcPr>
            <w:tcW w:w="1246" w:type="dxa"/>
            <w:noWrap w:val="0"/>
            <w:vAlign w:val="center"/>
          </w:tcPr>
          <w:p w14:paraId="5F761D3C">
            <w:pPr>
              <w:pStyle w:val="15"/>
              <w:spacing w:line="240" w:lineRule="atLeast"/>
              <w:jc w:val="center"/>
              <w:rPr>
                <w:rFonts w:hint="eastAsia" w:hAnsi="宋体" w:cs="宋体"/>
                <w:sz w:val="24"/>
                <w:szCs w:val="24"/>
                <w:highlight w:val="none"/>
              </w:rPr>
            </w:pPr>
          </w:p>
        </w:tc>
        <w:tc>
          <w:tcPr>
            <w:tcW w:w="1158" w:type="dxa"/>
            <w:noWrap w:val="0"/>
            <w:vAlign w:val="center"/>
          </w:tcPr>
          <w:p w14:paraId="63A3AC15">
            <w:pPr>
              <w:pStyle w:val="15"/>
              <w:spacing w:line="240" w:lineRule="atLeast"/>
              <w:ind w:left="1080" w:leftChars="257" w:hanging="540"/>
              <w:jc w:val="center"/>
              <w:rPr>
                <w:rFonts w:hint="eastAsia" w:hAnsi="宋体" w:cs="宋体"/>
                <w:sz w:val="24"/>
                <w:szCs w:val="24"/>
                <w:highlight w:val="none"/>
              </w:rPr>
            </w:pPr>
          </w:p>
        </w:tc>
        <w:tc>
          <w:tcPr>
            <w:tcW w:w="1500" w:type="dxa"/>
            <w:noWrap w:val="0"/>
            <w:vAlign w:val="center"/>
          </w:tcPr>
          <w:p w14:paraId="2BF4DEAB">
            <w:pPr>
              <w:pStyle w:val="15"/>
              <w:spacing w:line="240" w:lineRule="atLeast"/>
              <w:ind w:left="1080" w:leftChars="257" w:hanging="540"/>
              <w:jc w:val="center"/>
              <w:rPr>
                <w:rFonts w:hint="eastAsia" w:hAnsi="宋体" w:cs="宋体"/>
                <w:sz w:val="24"/>
                <w:szCs w:val="24"/>
                <w:highlight w:val="none"/>
              </w:rPr>
            </w:pPr>
          </w:p>
        </w:tc>
        <w:tc>
          <w:tcPr>
            <w:tcW w:w="777" w:type="dxa"/>
            <w:noWrap w:val="0"/>
            <w:vAlign w:val="center"/>
          </w:tcPr>
          <w:p w14:paraId="2F14EAEE">
            <w:pPr>
              <w:pStyle w:val="15"/>
              <w:spacing w:line="240" w:lineRule="atLeast"/>
              <w:ind w:left="1080" w:leftChars="257" w:hanging="540"/>
              <w:jc w:val="center"/>
              <w:rPr>
                <w:rFonts w:hint="eastAsia" w:hAnsi="宋体" w:cs="宋体"/>
                <w:sz w:val="24"/>
                <w:szCs w:val="24"/>
                <w:highlight w:val="none"/>
              </w:rPr>
            </w:pPr>
          </w:p>
        </w:tc>
        <w:tc>
          <w:tcPr>
            <w:tcW w:w="967" w:type="dxa"/>
            <w:noWrap w:val="0"/>
            <w:vAlign w:val="center"/>
          </w:tcPr>
          <w:p w14:paraId="5A2F7D10">
            <w:pPr>
              <w:pStyle w:val="15"/>
              <w:spacing w:line="240" w:lineRule="atLeast"/>
              <w:ind w:left="1080" w:leftChars="257" w:hanging="540"/>
              <w:jc w:val="center"/>
              <w:rPr>
                <w:rFonts w:hint="eastAsia" w:hAnsi="宋体" w:cs="宋体"/>
                <w:sz w:val="24"/>
                <w:szCs w:val="24"/>
                <w:highlight w:val="none"/>
              </w:rPr>
            </w:pPr>
          </w:p>
        </w:tc>
        <w:tc>
          <w:tcPr>
            <w:tcW w:w="1154" w:type="dxa"/>
            <w:noWrap w:val="0"/>
            <w:vAlign w:val="center"/>
          </w:tcPr>
          <w:p w14:paraId="091E3DE0">
            <w:pPr>
              <w:pStyle w:val="15"/>
              <w:spacing w:line="240" w:lineRule="atLeast"/>
              <w:ind w:left="1080" w:leftChars="257" w:hanging="540"/>
              <w:jc w:val="center"/>
              <w:rPr>
                <w:rFonts w:hint="eastAsia" w:hAnsi="宋体" w:cs="宋体"/>
                <w:sz w:val="24"/>
                <w:szCs w:val="24"/>
                <w:highlight w:val="none"/>
              </w:rPr>
            </w:pPr>
          </w:p>
        </w:tc>
        <w:tc>
          <w:tcPr>
            <w:tcW w:w="1102" w:type="dxa"/>
            <w:noWrap w:val="0"/>
            <w:vAlign w:val="center"/>
          </w:tcPr>
          <w:p w14:paraId="1E5B5CA0">
            <w:pPr>
              <w:pStyle w:val="15"/>
              <w:spacing w:line="240" w:lineRule="atLeast"/>
              <w:ind w:left="1080" w:leftChars="257" w:hanging="540"/>
              <w:jc w:val="center"/>
              <w:rPr>
                <w:rFonts w:hint="eastAsia" w:hAnsi="宋体" w:cs="宋体"/>
                <w:sz w:val="24"/>
                <w:szCs w:val="24"/>
                <w:highlight w:val="none"/>
              </w:rPr>
            </w:pPr>
          </w:p>
        </w:tc>
        <w:tc>
          <w:tcPr>
            <w:tcW w:w="891" w:type="dxa"/>
            <w:noWrap w:val="0"/>
            <w:vAlign w:val="center"/>
          </w:tcPr>
          <w:p w14:paraId="252CAE97">
            <w:pPr>
              <w:pStyle w:val="15"/>
              <w:spacing w:line="240" w:lineRule="atLeast"/>
              <w:ind w:left="1080" w:leftChars="257" w:hanging="540"/>
              <w:jc w:val="center"/>
              <w:rPr>
                <w:rFonts w:hint="eastAsia" w:hAnsi="宋体" w:cs="宋体"/>
                <w:sz w:val="24"/>
                <w:szCs w:val="24"/>
                <w:highlight w:val="none"/>
              </w:rPr>
            </w:pPr>
          </w:p>
        </w:tc>
        <w:tc>
          <w:tcPr>
            <w:tcW w:w="998" w:type="dxa"/>
            <w:noWrap w:val="0"/>
            <w:vAlign w:val="center"/>
          </w:tcPr>
          <w:p w14:paraId="49F3E392">
            <w:pPr>
              <w:pStyle w:val="15"/>
              <w:spacing w:line="240" w:lineRule="atLeast"/>
              <w:ind w:left="1080" w:leftChars="257" w:hanging="540"/>
              <w:jc w:val="center"/>
              <w:rPr>
                <w:rFonts w:hint="eastAsia" w:hAnsi="宋体" w:cs="宋体"/>
                <w:sz w:val="24"/>
                <w:szCs w:val="24"/>
                <w:highlight w:val="none"/>
              </w:rPr>
            </w:pPr>
          </w:p>
        </w:tc>
      </w:tr>
      <w:tr w14:paraId="23141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55" w:type="dxa"/>
            <w:noWrap w:val="0"/>
            <w:vAlign w:val="center"/>
          </w:tcPr>
          <w:p w14:paraId="123CDA92">
            <w:pPr>
              <w:jc w:val="center"/>
              <w:rPr>
                <w:rFonts w:hint="eastAsia" w:ascii="宋体" w:hAnsi="宋体" w:eastAsia="宋体" w:cs="宋体"/>
              </w:rPr>
            </w:pPr>
            <w:r>
              <w:rPr>
                <w:rFonts w:hint="eastAsia" w:ascii="宋体" w:hAnsi="宋体" w:eastAsia="宋体" w:cs="宋体"/>
              </w:rPr>
              <w:t>4</w:t>
            </w:r>
          </w:p>
        </w:tc>
        <w:tc>
          <w:tcPr>
            <w:tcW w:w="1246" w:type="dxa"/>
            <w:noWrap w:val="0"/>
            <w:vAlign w:val="center"/>
          </w:tcPr>
          <w:p w14:paraId="5EFCDAAB">
            <w:pPr>
              <w:pStyle w:val="15"/>
              <w:spacing w:line="240" w:lineRule="atLeast"/>
              <w:jc w:val="center"/>
              <w:rPr>
                <w:rFonts w:hint="eastAsia" w:hAnsi="宋体" w:cs="宋体"/>
                <w:sz w:val="24"/>
                <w:szCs w:val="24"/>
                <w:highlight w:val="none"/>
              </w:rPr>
            </w:pPr>
          </w:p>
        </w:tc>
        <w:tc>
          <w:tcPr>
            <w:tcW w:w="1158" w:type="dxa"/>
            <w:noWrap w:val="0"/>
            <w:vAlign w:val="center"/>
          </w:tcPr>
          <w:p w14:paraId="04BADEB4">
            <w:pPr>
              <w:pStyle w:val="15"/>
              <w:spacing w:line="240" w:lineRule="atLeast"/>
              <w:ind w:left="1080" w:leftChars="257" w:hanging="540"/>
              <w:jc w:val="center"/>
              <w:rPr>
                <w:rFonts w:hint="eastAsia" w:hAnsi="宋体" w:cs="宋体"/>
                <w:sz w:val="24"/>
                <w:szCs w:val="24"/>
                <w:highlight w:val="none"/>
              </w:rPr>
            </w:pPr>
          </w:p>
        </w:tc>
        <w:tc>
          <w:tcPr>
            <w:tcW w:w="1500" w:type="dxa"/>
            <w:noWrap w:val="0"/>
            <w:vAlign w:val="center"/>
          </w:tcPr>
          <w:p w14:paraId="27161C4B">
            <w:pPr>
              <w:pStyle w:val="15"/>
              <w:spacing w:line="240" w:lineRule="atLeast"/>
              <w:ind w:left="1080" w:leftChars="257" w:hanging="540"/>
              <w:jc w:val="center"/>
              <w:rPr>
                <w:rFonts w:hint="eastAsia" w:hAnsi="宋体" w:cs="宋体"/>
                <w:sz w:val="24"/>
                <w:szCs w:val="24"/>
                <w:highlight w:val="none"/>
              </w:rPr>
            </w:pPr>
          </w:p>
        </w:tc>
        <w:tc>
          <w:tcPr>
            <w:tcW w:w="777" w:type="dxa"/>
            <w:noWrap w:val="0"/>
            <w:vAlign w:val="center"/>
          </w:tcPr>
          <w:p w14:paraId="3525C35F">
            <w:pPr>
              <w:pStyle w:val="15"/>
              <w:spacing w:line="240" w:lineRule="atLeast"/>
              <w:ind w:left="1080" w:leftChars="257" w:hanging="540"/>
              <w:jc w:val="center"/>
              <w:rPr>
                <w:rFonts w:hint="eastAsia" w:hAnsi="宋体" w:cs="宋体"/>
                <w:sz w:val="24"/>
                <w:szCs w:val="24"/>
                <w:highlight w:val="none"/>
              </w:rPr>
            </w:pPr>
          </w:p>
        </w:tc>
        <w:tc>
          <w:tcPr>
            <w:tcW w:w="967" w:type="dxa"/>
            <w:noWrap w:val="0"/>
            <w:vAlign w:val="center"/>
          </w:tcPr>
          <w:p w14:paraId="4FBE0A98">
            <w:pPr>
              <w:pStyle w:val="15"/>
              <w:spacing w:line="240" w:lineRule="atLeast"/>
              <w:ind w:left="1080" w:leftChars="257" w:hanging="540"/>
              <w:jc w:val="center"/>
              <w:rPr>
                <w:rFonts w:hint="eastAsia" w:hAnsi="宋体" w:cs="宋体"/>
                <w:sz w:val="24"/>
                <w:szCs w:val="24"/>
                <w:highlight w:val="none"/>
              </w:rPr>
            </w:pPr>
          </w:p>
        </w:tc>
        <w:tc>
          <w:tcPr>
            <w:tcW w:w="1154" w:type="dxa"/>
            <w:noWrap w:val="0"/>
            <w:vAlign w:val="center"/>
          </w:tcPr>
          <w:p w14:paraId="5BF46F7E">
            <w:pPr>
              <w:pStyle w:val="15"/>
              <w:spacing w:line="240" w:lineRule="atLeast"/>
              <w:ind w:left="1080" w:leftChars="257" w:hanging="540"/>
              <w:jc w:val="center"/>
              <w:rPr>
                <w:rFonts w:hint="eastAsia" w:hAnsi="宋体" w:cs="宋体"/>
                <w:sz w:val="24"/>
                <w:szCs w:val="24"/>
                <w:highlight w:val="none"/>
              </w:rPr>
            </w:pPr>
          </w:p>
        </w:tc>
        <w:tc>
          <w:tcPr>
            <w:tcW w:w="1102" w:type="dxa"/>
            <w:noWrap w:val="0"/>
            <w:vAlign w:val="center"/>
          </w:tcPr>
          <w:p w14:paraId="41FE297E">
            <w:pPr>
              <w:pStyle w:val="15"/>
              <w:spacing w:line="240" w:lineRule="atLeast"/>
              <w:ind w:left="1080" w:leftChars="257" w:hanging="540"/>
              <w:jc w:val="center"/>
              <w:rPr>
                <w:rFonts w:hint="eastAsia" w:hAnsi="宋体" w:cs="宋体"/>
                <w:sz w:val="24"/>
                <w:szCs w:val="24"/>
                <w:highlight w:val="none"/>
              </w:rPr>
            </w:pPr>
          </w:p>
        </w:tc>
        <w:tc>
          <w:tcPr>
            <w:tcW w:w="891" w:type="dxa"/>
            <w:noWrap w:val="0"/>
            <w:vAlign w:val="center"/>
          </w:tcPr>
          <w:p w14:paraId="16BEA6D9">
            <w:pPr>
              <w:pStyle w:val="15"/>
              <w:spacing w:line="240" w:lineRule="atLeast"/>
              <w:ind w:left="1080" w:leftChars="257" w:hanging="540"/>
              <w:jc w:val="center"/>
              <w:rPr>
                <w:rFonts w:hint="eastAsia" w:hAnsi="宋体" w:cs="宋体"/>
                <w:sz w:val="24"/>
                <w:szCs w:val="24"/>
                <w:highlight w:val="none"/>
              </w:rPr>
            </w:pPr>
          </w:p>
        </w:tc>
        <w:tc>
          <w:tcPr>
            <w:tcW w:w="998" w:type="dxa"/>
            <w:noWrap w:val="0"/>
            <w:vAlign w:val="center"/>
          </w:tcPr>
          <w:p w14:paraId="385862FE">
            <w:pPr>
              <w:pStyle w:val="15"/>
              <w:spacing w:line="240" w:lineRule="atLeast"/>
              <w:ind w:left="1080" w:leftChars="257" w:hanging="540"/>
              <w:jc w:val="center"/>
              <w:rPr>
                <w:rFonts w:hint="eastAsia" w:hAnsi="宋体" w:cs="宋体"/>
                <w:sz w:val="24"/>
                <w:szCs w:val="24"/>
                <w:highlight w:val="none"/>
              </w:rPr>
            </w:pPr>
          </w:p>
        </w:tc>
      </w:tr>
      <w:tr w14:paraId="22710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755" w:type="dxa"/>
            <w:noWrap w:val="0"/>
            <w:vAlign w:val="center"/>
          </w:tcPr>
          <w:p w14:paraId="324B6E11">
            <w:pPr>
              <w:jc w:val="center"/>
              <w:rPr>
                <w:rFonts w:hint="eastAsia" w:ascii="宋体" w:hAnsi="宋体" w:eastAsia="宋体" w:cs="宋体"/>
              </w:rPr>
            </w:pPr>
            <w:r>
              <w:rPr>
                <w:rFonts w:hint="eastAsia" w:ascii="宋体" w:hAnsi="宋体" w:eastAsia="宋体" w:cs="宋体"/>
              </w:rPr>
              <w:t>5</w:t>
            </w:r>
          </w:p>
        </w:tc>
        <w:tc>
          <w:tcPr>
            <w:tcW w:w="1246" w:type="dxa"/>
            <w:noWrap w:val="0"/>
            <w:vAlign w:val="center"/>
          </w:tcPr>
          <w:p w14:paraId="6912F9D7">
            <w:pPr>
              <w:pStyle w:val="15"/>
              <w:spacing w:line="240" w:lineRule="atLeast"/>
              <w:jc w:val="center"/>
              <w:rPr>
                <w:rFonts w:hint="eastAsia" w:hAnsi="宋体" w:cs="宋体"/>
                <w:sz w:val="24"/>
                <w:szCs w:val="24"/>
                <w:highlight w:val="none"/>
              </w:rPr>
            </w:pPr>
          </w:p>
        </w:tc>
        <w:tc>
          <w:tcPr>
            <w:tcW w:w="1158" w:type="dxa"/>
            <w:noWrap w:val="0"/>
            <w:vAlign w:val="center"/>
          </w:tcPr>
          <w:p w14:paraId="1A83FBA4">
            <w:pPr>
              <w:pStyle w:val="15"/>
              <w:spacing w:line="240" w:lineRule="atLeast"/>
              <w:ind w:left="1080" w:leftChars="257" w:hanging="540"/>
              <w:jc w:val="center"/>
              <w:rPr>
                <w:rFonts w:hint="eastAsia" w:hAnsi="宋体" w:cs="宋体"/>
                <w:sz w:val="24"/>
                <w:szCs w:val="24"/>
                <w:highlight w:val="none"/>
              </w:rPr>
            </w:pPr>
          </w:p>
        </w:tc>
        <w:tc>
          <w:tcPr>
            <w:tcW w:w="1500" w:type="dxa"/>
            <w:noWrap w:val="0"/>
            <w:vAlign w:val="center"/>
          </w:tcPr>
          <w:p w14:paraId="78CBF841">
            <w:pPr>
              <w:pStyle w:val="15"/>
              <w:spacing w:line="240" w:lineRule="atLeast"/>
              <w:ind w:left="1080" w:leftChars="257" w:hanging="540"/>
              <w:jc w:val="center"/>
              <w:rPr>
                <w:rFonts w:hint="eastAsia" w:hAnsi="宋体" w:cs="宋体"/>
                <w:sz w:val="24"/>
                <w:szCs w:val="24"/>
                <w:highlight w:val="none"/>
              </w:rPr>
            </w:pPr>
          </w:p>
        </w:tc>
        <w:tc>
          <w:tcPr>
            <w:tcW w:w="777" w:type="dxa"/>
            <w:noWrap w:val="0"/>
            <w:vAlign w:val="center"/>
          </w:tcPr>
          <w:p w14:paraId="7EF54DC6">
            <w:pPr>
              <w:pStyle w:val="15"/>
              <w:spacing w:line="240" w:lineRule="atLeast"/>
              <w:ind w:left="1080" w:leftChars="257" w:hanging="540"/>
              <w:jc w:val="center"/>
              <w:rPr>
                <w:rFonts w:hint="eastAsia" w:hAnsi="宋体" w:cs="宋体"/>
                <w:sz w:val="24"/>
                <w:szCs w:val="24"/>
                <w:highlight w:val="none"/>
              </w:rPr>
            </w:pPr>
          </w:p>
        </w:tc>
        <w:tc>
          <w:tcPr>
            <w:tcW w:w="967" w:type="dxa"/>
            <w:noWrap w:val="0"/>
            <w:vAlign w:val="center"/>
          </w:tcPr>
          <w:p w14:paraId="35091461">
            <w:pPr>
              <w:pStyle w:val="15"/>
              <w:spacing w:line="240" w:lineRule="atLeast"/>
              <w:ind w:left="1080" w:leftChars="257" w:hanging="540"/>
              <w:jc w:val="center"/>
              <w:rPr>
                <w:rFonts w:hint="eastAsia" w:hAnsi="宋体" w:cs="宋体"/>
                <w:sz w:val="24"/>
                <w:szCs w:val="24"/>
                <w:highlight w:val="none"/>
              </w:rPr>
            </w:pPr>
          </w:p>
        </w:tc>
        <w:tc>
          <w:tcPr>
            <w:tcW w:w="1154" w:type="dxa"/>
            <w:noWrap w:val="0"/>
            <w:vAlign w:val="center"/>
          </w:tcPr>
          <w:p w14:paraId="69AFD05D">
            <w:pPr>
              <w:pStyle w:val="15"/>
              <w:spacing w:line="240" w:lineRule="atLeast"/>
              <w:ind w:left="1080" w:leftChars="257" w:hanging="540"/>
              <w:jc w:val="center"/>
              <w:rPr>
                <w:rFonts w:hint="eastAsia" w:hAnsi="宋体" w:cs="宋体"/>
                <w:sz w:val="24"/>
                <w:szCs w:val="24"/>
                <w:highlight w:val="none"/>
              </w:rPr>
            </w:pPr>
          </w:p>
        </w:tc>
        <w:tc>
          <w:tcPr>
            <w:tcW w:w="1102" w:type="dxa"/>
            <w:noWrap w:val="0"/>
            <w:vAlign w:val="center"/>
          </w:tcPr>
          <w:p w14:paraId="557E3953">
            <w:pPr>
              <w:pStyle w:val="15"/>
              <w:spacing w:line="240" w:lineRule="atLeast"/>
              <w:ind w:left="1080" w:leftChars="257" w:hanging="540"/>
              <w:jc w:val="center"/>
              <w:rPr>
                <w:rFonts w:hint="eastAsia" w:hAnsi="宋体" w:cs="宋体"/>
                <w:sz w:val="24"/>
                <w:szCs w:val="24"/>
                <w:highlight w:val="none"/>
              </w:rPr>
            </w:pPr>
          </w:p>
        </w:tc>
        <w:tc>
          <w:tcPr>
            <w:tcW w:w="891" w:type="dxa"/>
            <w:noWrap w:val="0"/>
            <w:vAlign w:val="center"/>
          </w:tcPr>
          <w:p w14:paraId="224F18D3">
            <w:pPr>
              <w:pStyle w:val="15"/>
              <w:spacing w:line="240" w:lineRule="atLeast"/>
              <w:ind w:left="1080" w:leftChars="257" w:hanging="540"/>
              <w:jc w:val="center"/>
              <w:rPr>
                <w:rFonts w:hint="eastAsia" w:hAnsi="宋体" w:cs="宋体"/>
                <w:sz w:val="24"/>
                <w:szCs w:val="24"/>
                <w:highlight w:val="none"/>
              </w:rPr>
            </w:pPr>
          </w:p>
        </w:tc>
        <w:tc>
          <w:tcPr>
            <w:tcW w:w="998" w:type="dxa"/>
            <w:noWrap w:val="0"/>
            <w:vAlign w:val="center"/>
          </w:tcPr>
          <w:p w14:paraId="441E400E">
            <w:pPr>
              <w:pStyle w:val="15"/>
              <w:spacing w:line="240" w:lineRule="atLeast"/>
              <w:ind w:left="1080" w:leftChars="257" w:hanging="540"/>
              <w:jc w:val="center"/>
              <w:rPr>
                <w:rFonts w:hint="eastAsia" w:hAnsi="宋体" w:cs="宋体"/>
                <w:sz w:val="24"/>
                <w:szCs w:val="24"/>
                <w:highlight w:val="none"/>
              </w:rPr>
            </w:pPr>
          </w:p>
        </w:tc>
      </w:tr>
      <w:tr w14:paraId="14DF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55" w:type="dxa"/>
            <w:noWrap w:val="0"/>
            <w:vAlign w:val="center"/>
          </w:tcPr>
          <w:p w14:paraId="3CF39541">
            <w:pPr>
              <w:jc w:val="center"/>
              <w:rPr>
                <w:rFonts w:hint="eastAsia" w:ascii="宋体" w:hAnsi="宋体" w:eastAsia="宋体" w:cs="宋体"/>
              </w:rPr>
            </w:pPr>
            <w:r>
              <w:rPr>
                <w:rFonts w:hint="eastAsia" w:ascii="宋体" w:hAnsi="宋体" w:eastAsia="宋体" w:cs="宋体"/>
              </w:rPr>
              <w:t>…</w:t>
            </w:r>
          </w:p>
        </w:tc>
        <w:tc>
          <w:tcPr>
            <w:tcW w:w="1246" w:type="dxa"/>
            <w:noWrap w:val="0"/>
            <w:vAlign w:val="center"/>
          </w:tcPr>
          <w:p w14:paraId="0ED810FB">
            <w:pPr>
              <w:pStyle w:val="15"/>
              <w:spacing w:line="240" w:lineRule="atLeast"/>
              <w:jc w:val="center"/>
              <w:rPr>
                <w:rFonts w:hint="eastAsia" w:hAnsi="宋体" w:cs="宋体"/>
                <w:sz w:val="24"/>
                <w:szCs w:val="24"/>
                <w:highlight w:val="none"/>
              </w:rPr>
            </w:pPr>
          </w:p>
        </w:tc>
        <w:tc>
          <w:tcPr>
            <w:tcW w:w="1158" w:type="dxa"/>
            <w:noWrap w:val="0"/>
            <w:vAlign w:val="center"/>
          </w:tcPr>
          <w:p w14:paraId="74DBF454">
            <w:pPr>
              <w:pStyle w:val="15"/>
              <w:spacing w:line="240" w:lineRule="atLeast"/>
              <w:ind w:left="1080" w:leftChars="257" w:hanging="540"/>
              <w:jc w:val="center"/>
              <w:rPr>
                <w:rFonts w:hint="eastAsia" w:hAnsi="宋体" w:cs="宋体"/>
                <w:sz w:val="24"/>
                <w:szCs w:val="24"/>
                <w:highlight w:val="none"/>
              </w:rPr>
            </w:pPr>
          </w:p>
        </w:tc>
        <w:tc>
          <w:tcPr>
            <w:tcW w:w="1500" w:type="dxa"/>
            <w:noWrap w:val="0"/>
            <w:vAlign w:val="center"/>
          </w:tcPr>
          <w:p w14:paraId="4B333D62">
            <w:pPr>
              <w:pStyle w:val="15"/>
              <w:spacing w:line="240" w:lineRule="atLeast"/>
              <w:ind w:left="1080" w:leftChars="257" w:hanging="540"/>
              <w:jc w:val="center"/>
              <w:rPr>
                <w:rFonts w:hint="eastAsia" w:hAnsi="宋体" w:cs="宋体"/>
                <w:sz w:val="24"/>
                <w:szCs w:val="24"/>
                <w:highlight w:val="none"/>
              </w:rPr>
            </w:pPr>
          </w:p>
        </w:tc>
        <w:tc>
          <w:tcPr>
            <w:tcW w:w="777" w:type="dxa"/>
            <w:noWrap w:val="0"/>
            <w:vAlign w:val="center"/>
          </w:tcPr>
          <w:p w14:paraId="6D217634">
            <w:pPr>
              <w:pStyle w:val="15"/>
              <w:spacing w:line="240" w:lineRule="atLeast"/>
              <w:ind w:left="1080" w:leftChars="257" w:hanging="540"/>
              <w:jc w:val="center"/>
              <w:rPr>
                <w:rFonts w:hint="eastAsia" w:hAnsi="宋体" w:cs="宋体"/>
                <w:sz w:val="24"/>
                <w:szCs w:val="24"/>
                <w:highlight w:val="none"/>
              </w:rPr>
            </w:pPr>
          </w:p>
        </w:tc>
        <w:tc>
          <w:tcPr>
            <w:tcW w:w="967" w:type="dxa"/>
            <w:noWrap w:val="0"/>
            <w:vAlign w:val="center"/>
          </w:tcPr>
          <w:p w14:paraId="505D37FF">
            <w:pPr>
              <w:pStyle w:val="15"/>
              <w:spacing w:line="240" w:lineRule="atLeast"/>
              <w:ind w:left="1080" w:leftChars="257" w:hanging="540"/>
              <w:jc w:val="center"/>
              <w:rPr>
                <w:rFonts w:hint="eastAsia" w:hAnsi="宋体" w:cs="宋体"/>
                <w:sz w:val="24"/>
                <w:szCs w:val="24"/>
                <w:highlight w:val="none"/>
              </w:rPr>
            </w:pPr>
          </w:p>
        </w:tc>
        <w:tc>
          <w:tcPr>
            <w:tcW w:w="1154" w:type="dxa"/>
            <w:noWrap w:val="0"/>
            <w:vAlign w:val="center"/>
          </w:tcPr>
          <w:p w14:paraId="2079DFC5">
            <w:pPr>
              <w:pStyle w:val="15"/>
              <w:spacing w:line="240" w:lineRule="atLeast"/>
              <w:ind w:left="1080" w:leftChars="257" w:hanging="540"/>
              <w:jc w:val="center"/>
              <w:rPr>
                <w:rFonts w:hint="eastAsia" w:hAnsi="宋体" w:cs="宋体"/>
                <w:sz w:val="24"/>
                <w:szCs w:val="24"/>
                <w:highlight w:val="none"/>
              </w:rPr>
            </w:pPr>
          </w:p>
        </w:tc>
        <w:tc>
          <w:tcPr>
            <w:tcW w:w="1102" w:type="dxa"/>
            <w:noWrap w:val="0"/>
            <w:vAlign w:val="center"/>
          </w:tcPr>
          <w:p w14:paraId="7105A6B8">
            <w:pPr>
              <w:pStyle w:val="15"/>
              <w:spacing w:line="240" w:lineRule="atLeast"/>
              <w:ind w:left="1080" w:leftChars="257" w:hanging="540"/>
              <w:jc w:val="center"/>
              <w:rPr>
                <w:rFonts w:hint="eastAsia" w:hAnsi="宋体" w:cs="宋体"/>
                <w:sz w:val="24"/>
                <w:szCs w:val="24"/>
                <w:highlight w:val="none"/>
              </w:rPr>
            </w:pPr>
          </w:p>
        </w:tc>
        <w:tc>
          <w:tcPr>
            <w:tcW w:w="891" w:type="dxa"/>
            <w:noWrap w:val="0"/>
            <w:vAlign w:val="center"/>
          </w:tcPr>
          <w:p w14:paraId="1630B7B5">
            <w:pPr>
              <w:pStyle w:val="15"/>
              <w:spacing w:line="240" w:lineRule="atLeast"/>
              <w:ind w:left="1080" w:leftChars="257" w:hanging="540"/>
              <w:jc w:val="center"/>
              <w:rPr>
                <w:rFonts w:hint="eastAsia" w:hAnsi="宋体" w:cs="宋体"/>
                <w:sz w:val="24"/>
                <w:szCs w:val="24"/>
                <w:highlight w:val="none"/>
              </w:rPr>
            </w:pPr>
          </w:p>
        </w:tc>
        <w:tc>
          <w:tcPr>
            <w:tcW w:w="998" w:type="dxa"/>
            <w:noWrap w:val="0"/>
            <w:vAlign w:val="center"/>
          </w:tcPr>
          <w:p w14:paraId="14D8569B">
            <w:pPr>
              <w:pStyle w:val="15"/>
              <w:spacing w:line="240" w:lineRule="atLeast"/>
              <w:ind w:left="1080" w:leftChars="257" w:hanging="540"/>
              <w:jc w:val="center"/>
              <w:rPr>
                <w:rFonts w:hint="eastAsia" w:hAnsi="宋体" w:cs="宋体"/>
                <w:sz w:val="24"/>
                <w:szCs w:val="24"/>
                <w:highlight w:val="none"/>
              </w:rPr>
            </w:pPr>
          </w:p>
        </w:tc>
      </w:tr>
      <w:tr w14:paraId="67A52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10548" w:type="dxa"/>
            <w:gridSpan w:val="10"/>
            <w:noWrap w:val="0"/>
            <w:vAlign w:val="center"/>
          </w:tcPr>
          <w:p w14:paraId="4A62A575">
            <w:pPr>
              <w:pStyle w:val="15"/>
              <w:spacing w:line="240" w:lineRule="atLeast"/>
              <w:jc w:val="both"/>
              <w:rPr>
                <w:rFonts w:hint="eastAsia" w:hAnsi="宋体" w:cs="宋体"/>
                <w:sz w:val="24"/>
                <w:szCs w:val="24"/>
                <w:highlight w:val="none"/>
              </w:rPr>
            </w:pPr>
            <w:r>
              <w:rPr>
                <w:rFonts w:hAnsi="宋体" w:cs="宋体"/>
                <w:sz w:val="24"/>
                <w:szCs w:val="24"/>
                <w:highlight w:val="none"/>
              </w:rPr>
              <w:t>小计</w:t>
            </w:r>
            <w:r>
              <w:rPr>
                <w:rFonts w:hint="eastAsia" w:hAnsi="宋体" w:cs="宋体"/>
                <w:sz w:val="24"/>
                <w:szCs w:val="24"/>
                <w:highlight w:val="none"/>
                <w:lang w:eastAsia="zh-CN"/>
              </w:rPr>
              <w:t>（元）</w:t>
            </w:r>
            <w:r>
              <w:rPr>
                <w:rFonts w:hint="eastAsia" w:hAnsi="宋体" w:cs="宋体"/>
                <w:sz w:val="24"/>
                <w:szCs w:val="24"/>
                <w:highlight w:val="none"/>
              </w:rPr>
              <w:t>：</w:t>
            </w:r>
          </w:p>
        </w:tc>
      </w:tr>
      <w:tr w14:paraId="0A5CA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10548" w:type="dxa"/>
            <w:gridSpan w:val="10"/>
            <w:noWrap w:val="0"/>
            <w:vAlign w:val="center"/>
          </w:tcPr>
          <w:p w14:paraId="1424B5A9">
            <w:pPr>
              <w:pStyle w:val="15"/>
              <w:spacing w:line="240" w:lineRule="atLeast"/>
              <w:rPr>
                <w:rFonts w:hint="eastAsia" w:hAnsi="宋体" w:cs="宋体"/>
                <w:sz w:val="24"/>
                <w:szCs w:val="24"/>
                <w:highlight w:val="none"/>
              </w:rPr>
            </w:pPr>
            <w:r>
              <w:rPr>
                <w:rFonts w:hint="eastAsia" w:hAnsi="宋体" w:cs="宋体"/>
                <w:sz w:val="24"/>
                <w:szCs w:val="24"/>
                <w:highlight w:val="none"/>
              </w:rPr>
              <w:t>总价</w:t>
            </w:r>
            <w:r>
              <w:rPr>
                <w:rFonts w:hint="eastAsia" w:hAnsi="宋体" w:cs="宋体"/>
                <w:sz w:val="24"/>
                <w:szCs w:val="24"/>
                <w:highlight w:val="none"/>
                <w:lang w:eastAsia="zh-CN"/>
              </w:rPr>
              <w:t>（元）</w:t>
            </w:r>
            <w:r>
              <w:rPr>
                <w:rFonts w:hint="eastAsia" w:hAnsi="宋体" w:cs="宋体"/>
                <w:sz w:val="24"/>
                <w:szCs w:val="24"/>
                <w:highlight w:val="none"/>
              </w:rPr>
              <w:t>：</w:t>
            </w:r>
          </w:p>
        </w:tc>
      </w:tr>
    </w:tbl>
    <w:p w14:paraId="4103BAEB">
      <w:pPr>
        <w:pStyle w:val="15"/>
        <w:spacing w:line="240" w:lineRule="atLeast"/>
        <w:rPr>
          <w:rFonts w:hint="eastAsia" w:hAnsi="宋体" w:cs="宋体"/>
          <w:sz w:val="24"/>
          <w:szCs w:val="24"/>
          <w:highlight w:val="none"/>
        </w:rPr>
      </w:pPr>
    </w:p>
    <w:p w14:paraId="772AABA4">
      <w:pPr>
        <w:pStyle w:val="15"/>
        <w:spacing w:line="240" w:lineRule="atLeast"/>
        <w:ind w:firstLine="480" w:firstLineChars="200"/>
        <w:rPr>
          <w:rFonts w:hint="eastAsia" w:hAnsi="宋体" w:cs="宋体"/>
          <w:sz w:val="24"/>
          <w:szCs w:val="24"/>
          <w:highlight w:val="none"/>
        </w:rPr>
      </w:pPr>
    </w:p>
    <w:p w14:paraId="5DD4A1BC">
      <w:pPr>
        <w:ind w:firstLine="1687" w:firstLineChars="600"/>
        <w:rPr>
          <w:rFonts w:hint="eastAsia" w:ascii="宋体" w:hAnsi="宋体"/>
          <w:b/>
          <w:sz w:val="28"/>
          <w:szCs w:val="28"/>
          <w:highlight w:val="none"/>
        </w:rPr>
      </w:pPr>
      <w:r>
        <w:rPr>
          <w:rFonts w:hint="eastAsia" w:ascii="宋体" w:hAnsi="宋体"/>
          <w:b/>
          <w:sz w:val="28"/>
          <w:szCs w:val="28"/>
          <w:highlight w:val="none"/>
        </w:rPr>
        <w:t>投标人：</w:t>
      </w:r>
      <w:r>
        <w:rPr>
          <w:rFonts w:hint="eastAsia" w:ascii="宋体" w:hAnsi="宋体"/>
          <w:b/>
          <w:sz w:val="28"/>
          <w:szCs w:val="28"/>
          <w:highlight w:val="none"/>
          <w:u w:val="single"/>
        </w:rPr>
        <w:tab/>
      </w:r>
      <w:r>
        <w:rPr>
          <w:rFonts w:hint="eastAsia" w:ascii="宋体" w:hAnsi="宋体"/>
          <w:b/>
          <w:sz w:val="28"/>
          <w:szCs w:val="28"/>
          <w:highlight w:val="none"/>
          <w:u w:val="single"/>
        </w:rPr>
        <w:t xml:space="preserve">           </w:t>
      </w:r>
      <w:r>
        <w:rPr>
          <w:rFonts w:hint="eastAsia" w:ascii="宋体" w:hAnsi="宋体"/>
          <w:b/>
          <w:sz w:val="28"/>
          <w:szCs w:val="28"/>
          <w:highlight w:val="none"/>
        </w:rPr>
        <w:t>(电子签章)</w:t>
      </w:r>
    </w:p>
    <w:p w14:paraId="4EFE72C2">
      <w:pPr>
        <w:ind w:firstLine="1687" w:firstLineChars="600"/>
        <w:rPr>
          <w:b/>
          <w:sz w:val="28"/>
          <w:szCs w:val="28"/>
          <w:highlight w:val="none"/>
        </w:rPr>
      </w:pPr>
      <w:r>
        <w:rPr>
          <w:rFonts w:hint="eastAsia" w:ascii="宋体" w:hAnsi="宋体"/>
          <w:b/>
          <w:sz w:val="28"/>
          <w:szCs w:val="28"/>
          <w:highlight w:val="none"/>
        </w:rPr>
        <w:t>法定代表人(单位负责人)或其委托代理人：</w:t>
      </w:r>
      <w:r>
        <w:rPr>
          <w:rFonts w:hint="eastAsia" w:ascii="宋体" w:hAnsi="宋体"/>
          <w:b/>
          <w:sz w:val="28"/>
          <w:szCs w:val="28"/>
          <w:highlight w:val="none"/>
          <w:u w:val="single"/>
        </w:rPr>
        <w:tab/>
      </w:r>
      <w:r>
        <w:rPr>
          <w:rFonts w:hint="eastAsia" w:ascii="宋体" w:hAnsi="宋体"/>
          <w:b/>
          <w:sz w:val="28"/>
          <w:szCs w:val="28"/>
          <w:highlight w:val="none"/>
          <w:u w:val="single"/>
        </w:rPr>
        <w:t xml:space="preserve">      </w:t>
      </w:r>
      <w:r>
        <w:rPr>
          <w:rFonts w:hint="eastAsia" w:ascii="宋体" w:hAnsi="宋体"/>
          <w:b/>
          <w:sz w:val="28"/>
          <w:szCs w:val="28"/>
          <w:highlight w:val="none"/>
        </w:rPr>
        <w:t>(电子签章)</w:t>
      </w:r>
    </w:p>
    <w:p w14:paraId="0CDD7259">
      <w:pPr>
        <w:ind w:firstLine="1687" w:firstLineChars="600"/>
        <w:rPr>
          <w:sz w:val="28"/>
          <w:szCs w:val="28"/>
          <w:highlight w:val="none"/>
        </w:rPr>
        <w:sectPr>
          <w:headerReference r:id="rId10" w:type="default"/>
          <w:footerReference r:id="rId11" w:type="default"/>
          <w:pgSz w:w="11906" w:h="16838"/>
          <w:pgMar w:top="1191" w:right="1191" w:bottom="1191" w:left="1191" w:header="720" w:footer="720" w:gutter="0"/>
          <w:pgNumType w:fmt="decimal"/>
          <w:cols w:space="720" w:num="1"/>
          <w:docGrid w:type="lines" w:linePitch="317" w:charSpace="0"/>
        </w:sectPr>
      </w:pPr>
      <w:r>
        <w:rPr>
          <w:b/>
          <w:sz w:val="28"/>
          <w:szCs w:val="28"/>
          <w:highlight w:val="none"/>
        </w:rPr>
        <w:t>日期：</w:t>
      </w:r>
      <w:r>
        <w:rPr>
          <w:rFonts w:hint="eastAsia"/>
          <w:bCs/>
          <w:sz w:val="28"/>
          <w:szCs w:val="28"/>
          <w:highlight w:val="none"/>
          <w:u w:val="single"/>
        </w:rPr>
        <w:t xml:space="preserve">      </w:t>
      </w:r>
      <w:r>
        <w:rPr>
          <w:b/>
          <w:sz w:val="28"/>
          <w:szCs w:val="28"/>
          <w:highlight w:val="none"/>
        </w:rPr>
        <w:t>年</w:t>
      </w:r>
      <w:r>
        <w:rPr>
          <w:rFonts w:hint="eastAsia"/>
          <w:bCs/>
          <w:sz w:val="28"/>
          <w:szCs w:val="28"/>
          <w:highlight w:val="none"/>
          <w:u w:val="single"/>
        </w:rPr>
        <w:t xml:space="preserve">     </w:t>
      </w:r>
      <w:r>
        <w:rPr>
          <w:b/>
          <w:sz w:val="28"/>
          <w:szCs w:val="28"/>
          <w:highlight w:val="none"/>
        </w:rPr>
        <w:t>月</w:t>
      </w:r>
      <w:r>
        <w:rPr>
          <w:rFonts w:hint="eastAsia"/>
          <w:bCs/>
          <w:sz w:val="28"/>
          <w:szCs w:val="28"/>
          <w:highlight w:val="none"/>
          <w:u w:val="single"/>
        </w:rPr>
        <w:t xml:space="preserve">    </w:t>
      </w:r>
      <w:r>
        <w:rPr>
          <w:rFonts w:hint="eastAsia"/>
          <w:b/>
          <w:sz w:val="28"/>
          <w:szCs w:val="28"/>
          <w:highlight w:val="none"/>
        </w:rPr>
        <w:t>日</w:t>
      </w:r>
    </w:p>
    <w:p w14:paraId="590129A5">
      <w:pPr>
        <w:pStyle w:val="4"/>
        <w:widowControl/>
        <w:autoSpaceDE w:val="0"/>
        <w:spacing w:before="0" w:after="0" w:line="360" w:lineRule="auto"/>
        <w:ind w:firstLine="562" w:firstLineChars="200"/>
        <w:rPr>
          <w:rFonts w:hint="eastAsia" w:ascii="宋体" w:hAnsi="宋体"/>
          <w:szCs w:val="28"/>
          <w:highlight w:val="none"/>
        </w:rPr>
      </w:pPr>
      <w:bookmarkStart w:id="281" w:name="_Toc10610"/>
      <w:bookmarkEnd w:id="281"/>
      <w:bookmarkStart w:id="282" w:name="_Toc15277"/>
      <w:bookmarkEnd w:id="282"/>
      <w:bookmarkStart w:id="283" w:name="_Toc14426"/>
      <w:r>
        <w:rPr>
          <w:rFonts w:hint="eastAsia" w:ascii="宋体" w:hAnsi="宋体"/>
          <w:szCs w:val="28"/>
          <w:highlight w:val="none"/>
          <w:lang w:val="en-US" w:eastAsia="zh-CN"/>
        </w:rPr>
        <w:t>九</w:t>
      </w:r>
      <w:r>
        <w:rPr>
          <w:rFonts w:hint="eastAsia" w:ascii="宋体" w:hAnsi="宋体"/>
          <w:szCs w:val="28"/>
          <w:highlight w:val="none"/>
          <w:lang w:eastAsia="zh-CN"/>
        </w:rPr>
        <w:t>、交货方案及时间进度计划安排</w:t>
      </w:r>
      <w:bookmarkEnd w:id="283"/>
    </w:p>
    <w:p w14:paraId="4267C68F">
      <w:pPr>
        <w:jc w:val="center"/>
        <w:rPr>
          <w:rFonts w:hint="eastAsia" w:eastAsia="宋体"/>
          <w:sz w:val="24"/>
          <w:szCs w:val="24"/>
          <w:highlight w:val="none"/>
          <w:lang w:eastAsia="zh-CN"/>
        </w:rPr>
      </w:pPr>
      <w:r>
        <w:rPr>
          <w:rFonts w:hint="eastAsia"/>
          <w:sz w:val="24"/>
          <w:szCs w:val="24"/>
          <w:highlight w:val="none"/>
          <w:lang w:eastAsia="zh-CN"/>
        </w:rPr>
        <w:t>（</w:t>
      </w:r>
      <w:r>
        <w:rPr>
          <w:rFonts w:hint="eastAsia"/>
          <w:sz w:val="24"/>
          <w:szCs w:val="24"/>
          <w:highlight w:val="none"/>
          <w:lang w:val="en-US" w:eastAsia="zh-CN"/>
        </w:rPr>
        <w:t>格式自拟</w:t>
      </w:r>
      <w:r>
        <w:rPr>
          <w:rFonts w:hint="eastAsia"/>
          <w:sz w:val="24"/>
          <w:szCs w:val="24"/>
          <w:highlight w:val="none"/>
          <w:lang w:eastAsia="zh-CN"/>
        </w:rPr>
        <w:t>）</w:t>
      </w:r>
    </w:p>
    <w:p w14:paraId="0AFFC2FA">
      <w:pPr>
        <w:pStyle w:val="11"/>
        <w:rPr>
          <w:rFonts w:hint="eastAsia"/>
          <w:highlight w:val="none"/>
        </w:rPr>
      </w:pPr>
    </w:p>
    <w:p w14:paraId="32DD73A1">
      <w:pPr>
        <w:pStyle w:val="11"/>
        <w:rPr>
          <w:rFonts w:hint="eastAsia"/>
          <w:highlight w:val="none"/>
        </w:rPr>
      </w:pPr>
    </w:p>
    <w:p w14:paraId="56977E61">
      <w:pPr>
        <w:pStyle w:val="4"/>
        <w:widowControl/>
        <w:autoSpaceDE w:val="0"/>
        <w:spacing w:before="0" w:after="0" w:line="360" w:lineRule="auto"/>
        <w:ind w:firstLine="562" w:firstLineChars="200"/>
        <w:rPr>
          <w:rFonts w:hint="eastAsia" w:ascii="宋体" w:hAnsi="宋体" w:eastAsia="宋体" w:cs="Times New Roman"/>
          <w:b/>
          <w:bCs/>
          <w:szCs w:val="28"/>
          <w:highlight w:val="none"/>
          <w:lang w:val="en-US" w:eastAsia="zh-CN"/>
        </w:rPr>
      </w:pPr>
      <w:bookmarkStart w:id="284" w:name="_Toc22692"/>
      <w:r>
        <w:rPr>
          <w:rFonts w:hint="eastAsia" w:ascii="宋体" w:hAnsi="宋体" w:eastAsia="宋体" w:cs="Times New Roman"/>
          <w:b/>
          <w:bCs/>
          <w:szCs w:val="28"/>
          <w:highlight w:val="none"/>
          <w:lang w:val="en-US" w:eastAsia="zh-CN"/>
        </w:rPr>
        <w:t>十、</w:t>
      </w:r>
      <w:r>
        <w:rPr>
          <w:rFonts w:hint="eastAsia" w:ascii="宋体" w:hAnsi="宋体" w:eastAsia="宋体" w:cs="Times New Roman"/>
          <w:b/>
          <w:bCs/>
          <w:szCs w:val="28"/>
          <w:highlight w:val="none"/>
          <w:lang w:eastAsia="zh-CN"/>
        </w:rPr>
        <w:t>质量保证及保障承诺</w:t>
      </w:r>
      <w:bookmarkEnd w:id="284"/>
    </w:p>
    <w:p w14:paraId="09FF0D42">
      <w:pPr>
        <w:jc w:val="center"/>
        <w:rPr>
          <w:rFonts w:hint="eastAsia" w:eastAsia="宋体"/>
          <w:sz w:val="24"/>
          <w:szCs w:val="24"/>
          <w:highlight w:val="none"/>
          <w:lang w:eastAsia="zh-CN"/>
        </w:rPr>
      </w:pPr>
      <w:r>
        <w:rPr>
          <w:rFonts w:hint="eastAsia"/>
          <w:sz w:val="24"/>
          <w:szCs w:val="24"/>
          <w:highlight w:val="none"/>
          <w:lang w:eastAsia="zh-CN"/>
        </w:rPr>
        <w:t>（</w:t>
      </w:r>
      <w:r>
        <w:rPr>
          <w:rFonts w:hint="eastAsia"/>
          <w:sz w:val="24"/>
          <w:szCs w:val="24"/>
          <w:highlight w:val="none"/>
          <w:lang w:val="en-US" w:eastAsia="zh-CN"/>
        </w:rPr>
        <w:t>格式自拟</w:t>
      </w:r>
      <w:r>
        <w:rPr>
          <w:rFonts w:hint="eastAsia"/>
          <w:sz w:val="24"/>
          <w:szCs w:val="24"/>
          <w:highlight w:val="none"/>
          <w:lang w:eastAsia="zh-CN"/>
        </w:rPr>
        <w:t>）</w:t>
      </w:r>
    </w:p>
    <w:p w14:paraId="4610FF11">
      <w:pPr>
        <w:rPr>
          <w:rFonts w:hint="eastAsia" w:ascii="宋体" w:hAnsi="宋体"/>
          <w:szCs w:val="28"/>
          <w:highlight w:val="none"/>
          <w:lang w:val="en-US" w:eastAsia="zh-CN"/>
        </w:rPr>
      </w:pPr>
    </w:p>
    <w:p w14:paraId="77693F80">
      <w:pPr>
        <w:pStyle w:val="11"/>
        <w:rPr>
          <w:rFonts w:hint="eastAsia" w:ascii="宋体" w:hAnsi="宋体"/>
          <w:szCs w:val="28"/>
          <w:highlight w:val="none"/>
          <w:lang w:val="en-US" w:eastAsia="zh-CN"/>
        </w:rPr>
      </w:pPr>
    </w:p>
    <w:p w14:paraId="26D57FA4">
      <w:pPr>
        <w:pStyle w:val="11"/>
        <w:rPr>
          <w:rFonts w:hint="eastAsia" w:ascii="宋体" w:hAnsi="宋体"/>
          <w:szCs w:val="28"/>
          <w:highlight w:val="none"/>
          <w:lang w:val="en-US" w:eastAsia="zh-CN"/>
        </w:rPr>
      </w:pPr>
    </w:p>
    <w:p w14:paraId="0A477239">
      <w:pPr>
        <w:pStyle w:val="4"/>
        <w:widowControl/>
        <w:numPr>
          <w:ilvl w:val="0"/>
          <w:numId w:val="0"/>
        </w:numPr>
        <w:autoSpaceDE w:val="0"/>
        <w:spacing w:before="0" w:after="0" w:line="360" w:lineRule="auto"/>
        <w:ind w:leftChars="200"/>
        <w:jc w:val="center"/>
        <w:rPr>
          <w:rFonts w:hint="eastAsia" w:ascii="宋体" w:hAnsi="宋体"/>
          <w:szCs w:val="28"/>
          <w:highlight w:val="none"/>
        </w:rPr>
      </w:pPr>
      <w:bookmarkStart w:id="285" w:name="_Toc21081"/>
      <w:r>
        <w:rPr>
          <w:rFonts w:hint="eastAsia" w:ascii="宋体" w:hAnsi="宋体"/>
          <w:szCs w:val="28"/>
          <w:highlight w:val="none"/>
          <w:lang w:val="en-US" w:eastAsia="zh-CN"/>
        </w:rPr>
        <w:t>十一、售后服务方案</w:t>
      </w:r>
      <w:bookmarkEnd w:id="285"/>
    </w:p>
    <w:p w14:paraId="745BFE36">
      <w:pPr>
        <w:jc w:val="center"/>
        <w:rPr>
          <w:rFonts w:hint="eastAsia" w:eastAsia="宋体"/>
          <w:sz w:val="24"/>
          <w:szCs w:val="24"/>
          <w:highlight w:val="none"/>
          <w:lang w:eastAsia="zh-CN"/>
        </w:rPr>
      </w:pPr>
      <w:r>
        <w:rPr>
          <w:rFonts w:hint="eastAsia"/>
          <w:sz w:val="24"/>
          <w:szCs w:val="24"/>
          <w:highlight w:val="none"/>
          <w:lang w:eastAsia="zh-CN"/>
        </w:rPr>
        <w:t>（</w:t>
      </w:r>
      <w:r>
        <w:rPr>
          <w:rFonts w:hint="eastAsia"/>
          <w:sz w:val="24"/>
          <w:szCs w:val="24"/>
          <w:highlight w:val="none"/>
          <w:lang w:val="en-US" w:eastAsia="zh-CN"/>
        </w:rPr>
        <w:t>格式自拟</w:t>
      </w:r>
      <w:r>
        <w:rPr>
          <w:rFonts w:hint="eastAsia"/>
          <w:sz w:val="24"/>
          <w:szCs w:val="24"/>
          <w:highlight w:val="none"/>
          <w:lang w:eastAsia="zh-CN"/>
        </w:rPr>
        <w:t>）</w:t>
      </w:r>
    </w:p>
    <w:p w14:paraId="56216692">
      <w:pPr>
        <w:rPr>
          <w:rFonts w:hint="eastAsia" w:ascii="宋体" w:hAnsi="宋体"/>
          <w:szCs w:val="28"/>
          <w:highlight w:val="none"/>
        </w:rPr>
      </w:pPr>
    </w:p>
    <w:p w14:paraId="6260935E">
      <w:pPr>
        <w:rPr>
          <w:rFonts w:hint="eastAsia" w:ascii="宋体" w:hAnsi="宋体"/>
          <w:szCs w:val="28"/>
          <w:highlight w:val="none"/>
        </w:rPr>
      </w:pPr>
    </w:p>
    <w:p w14:paraId="5F9DA3CA">
      <w:pPr>
        <w:rPr>
          <w:rFonts w:hint="eastAsia" w:ascii="宋体" w:hAnsi="宋体"/>
          <w:szCs w:val="28"/>
          <w:highlight w:val="none"/>
        </w:rPr>
      </w:pPr>
    </w:p>
    <w:p w14:paraId="3552B65D">
      <w:pPr>
        <w:pStyle w:val="4"/>
        <w:widowControl/>
        <w:numPr>
          <w:ilvl w:val="0"/>
          <w:numId w:val="0"/>
        </w:numPr>
        <w:autoSpaceDE w:val="0"/>
        <w:spacing w:before="0" w:after="0" w:line="360" w:lineRule="auto"/>
        <w:ind w:leftChars="200"/>
        <w:jc w:val="center"/>
        <w:rPr>
          <w:rFonts w:hint="eastAsia" w:ascii="宋体" w:hAnsi="宋体"/>
          <w:szCs w:val="28"/>
          <w:highlight w:val="none"/>
        </w:rPr>
      </w:pPr>
      <w:bookmarkStart w:id="286" w:name="_Toc30320"/>
      <w:r>
        <w:rPr>
          <w:rFonts w:hint="eastAsia" w:ascii="宋体" w:hAnsi="宋体"/>
          <w:szCs w:val="28"/>
          <w:highlight w:val="none"/>
          <w:lang w:val="en-US" w:eastAsia="zh-CN"/>
        </w:rPr>
        <w:t>十二、故障响应时间及应急措施</w:t>
      </w:r>
      <w:bookmarkEnd w:id="286"/>
    </w:p>
    <w:p w14:paraId="417EAF6E">
      <w:pPr>
        <w:jc w:val="center"/>
        <w:rPr>
          <w:rFonts w:hint="eastAsia" w:eastAsia="宋体"/>
          <w:sz w:val="24"/>
          <w:szCs w:val="24"/>
          <w:highlight w:val="none"/>
          <w:lang w:eastAsia="zh-CN"/>
        </w:rPr>
      </w:pPr>
      <w:r>
        <w:rPr>
          <w:rFonts w:hint="eastAsia"/>
          <w:sz w:val="24"/>
          <w:szCs w:val="24"/>
          <w:highlight w:val="none"/>
          <w:lang w:eastAsia="zh-CN"/>
        </w:rPr>
        <w:t>（</w:t>
      </w:r>
      <w:r>
        <w:rPr>
          <w:rFonts w:hint="eastAsia"/>
          <w:sz w:val="24"/>
          <w:szCs w:val="24"/>
          <w:highlight w:val="none"/>
          <w:lang w:val="en-US" w:eastAsia="zh-CN"/>
        </w:rPr>
        <w:t>格式自拟</w:t>
      </w:r>
      <w:r>
        <w:rPr>
          <w:rFonts w:hint="eastAsia"/>
          <w:sz w:val="24"/>
          <w:szCs w:val="24"/>
          <w:highlight w:val="none"/>
          <w:lang w:eastAsia="zh-CN"/>
        </w:rPr>
        <w:t>）</w:t>
      </w:r>
    </w:p>
    <w:p w14:paraId="79B67CC1">
      <w:pPr>
        <w:pStyle w:val="11"/>
        <w:rPr>
          <w:rFonts w:hint="eastAsia" w:ascii="宋体" w:hAnsi="宋体"/>
          <w:szCs w:val="28"/>
          <w:highlight w:val="none"/>
        </w:rPr>
      </w:pPr>
    </w:p>
    <w:p w14:paraId="5C325FF2">
      <w:pPr>
        <w:pStyle w:val="11"/>
        <w:rPr>
          <w:rFonts w:hint="eastAsia" w:ascii="宋体" w:hAnsi="宋体"/>
          <w:szCs w:val="28"/>
          <w:highlight w:val="none"/>
        </w:rPr>
      </w:pPr>
    </w:p>
    <w:p w14:paraId="50586729">
      <w:pPr>
        <w:pStyle w:val="4"/>
        <w:widowControl/>
        <w:numPr>
          <w:ilvl w:val="0"/>
          <w:numId w:val="0"/>
        </w:numPr>
        <w:autoSpaceDE w:val="0"/>
        <w:spacing w:before="0" w:after="0" w:line="360" w:lineRule="auto"/>
        <w:ind w:leftChars="200"/>
        <w:jc w:val="center"/>
        <w:rPr>
          <w:rFonts w:hint="default" w:ascii="宋体" w:hAnsi="宋体"/>
          <w:szCs w:val="28"/>
          <w:highlight w:val="none"/>
          <w:lang w:val="en-US"/>
        </w:rPr>
      </w:pPr>
      <w:bookmarkStart w:id="287" w:name="_Toc13242"/>
      <w:r>
        <w:rPr>
          <w:rFonts w:hint="eastAsia" w:ascii="宋体" w:hAnsi="宋体"/>
          <w:szCs w:val="28"/>
          <w:highlight w:val="none"/>
          <w:lang w:val="en-US" w:eastAsia="zh-CN"/>
        </w:rPr>
        <w:t>十三、培训方案</w:t>
      </w:r>
      <w:bookmarkEnd w:id="287"/>
    </w:p>
    <w:p w14:paraId="29813467">
      <w:pPr>
        <w:jc w:val="center"/>
        <w:rPr>
          <w:rFonts w:hint="eastAsia" w:eastAsia="宋体"/>
          <w:sz w:val="24"/>
          <w:szCs w:val="24"/>
          <w:highlight w:val="none"/>
          <w:lang w:eastAsia="zh-CN"/>
        </w:rPr>
      </w:pPr>
      <w:r>
        <w:rPr>
          <w:rFonts w:hint="eastAsia"/>
          <w:sz w:val="24"/>
          <w:szCs w:val="24"/>
          <w:highlight w:val="none"/>
          <w:lang w:eastAsia="zh-CN"/>
        </w:rPr>
        <w:t>（</w:t>
      </w:r>
      <w:r>
        <w:rPr>
          <w:rFonts w:hint="eastAsia"/>
          <w:sz w:val="24"/>
          <w:szCs w:val="24"/>
          <w:highlight w:val="none"/>
          <w:lang w:val="en-US" w:eastAsia="zh-CN"/>
        </w:rPr>
        <w:t>格式自拟</w:t>
      </w:r>
      <w:r>
        <w:rPr>
          <w:rFonts w:hint="eastAsia"/>
          <w:sz w:val="24"/>
          <w:szCs w:val="24"/>
          <w:highlight w:val="none"/>
          <w:lang w:eastAsia="zh-CN"/>
        </w:rPr>
        <w:t>）</w:t>
      </w:r>
    </w:p>
    <w:p w14:paraId="647A23D2">
      <w:pPr>
        <w:pStyle w:val="11"/>
        <w:rPr>
          <w:rFonts w:hint="eastAsia" w:ascii="宋体" w:hAnsi="宋体"/>
          <w:szCs w:val="28"/>
          <w:highlight w:val="none"/>
        </w:rPr>
      </w:pPr>
      <w:r>
        <w:rPr>
          <w:rFonts w:hint="eastAsia" w:ascii="宋体" w:hAnsi="宋体"/>
          <w:szCs w:val="28"/>
          <w:highlight w:val="none"/>
        </w:rPr>
        <w:br w:type="page"/>
      </w:r>
    </w:p>
    <w:p w14:paraId="219E9BB5">
      <w:pPr>
        <w:pStyle w:val="11"/>
        <w:rPr>
          <w:rFonts w:hint="eastAsia" w:ascii="宋体" w:hAnsi="宋体"/>
          <w:szCs w:val="28"/>
          <w:highlight w:val="none"/>
        </w:rPr>
      </w:pPr>
    </w:p>
    <w:p w14:paraId="7A12F83B">
      <w:pPr>
        <w:pStyle w:val="4"/>
        <w:widowControl/>
        <w:numPr>
          <w:ilvl w:val="0"/>
          <w:numId w:val="0"/>
        </w:numPr>
        <w:autoSpaceDE w:val="0"/>
        <w:spacing w:before="0" w:after="0" w:line="360" w:lineRule="auto"/>
        <w:ind w:leftChars="200"/>
        <w:jc w:val="center"/>
        <w:rPr>
          <w:rFonts w:hint="eastAsia" w:ascii="宋体" w:hAnsi="宋体"/>
          <w:sz w:val="24"/>
          <w:szCs w:val="24"/>
          <w:highlight w:val="none"/>
        </w:rPr>
      </w:pPr>
      <w:bookmarkStart w:id="288" w:name="_Toc10141"/>
      <w:r>
        <w:rPr>
          <w:rFonts w:hint="eastAsia" w:ascii="宋体" w:hAnsi="宋体"/>
          <w:szCs w:val="28"/>
          <w:highlight w:val="none"/>
          <w:lang w:eastAsia="zh-CN"/>
        </w:rPr>
        <w:t>十</w:t>
      </w:r>
      <w:r>
        <w:rPr>
          <w:rFonts w:hint="eastAsia" w:ascii="宋体" w:hAnsi="宋体"/>
          <w:szCs w:val="28"/>
          <w:highlight w:val="none"/>
          <w:lang w:val="en-US" w:eastAsia="zh-CN"/>
        </w:rPr>
        <w:t>四</w:t>
      </w:r>
      <w:r>
        <w:rPr>
          <w:rFonts w:hint="eastAsia" w:ascii="宋体" w:hAnsi="宋体"/>
          <w:szCs w:val="28"/>
          <w:highlight w:val="none"/>
          <w:lang w:eastAsia="zh-CN"/>
        </w:rPr>
        <w:t>、</w:t>
      </w:r>
      <w:r>
        <w:rPr>
          <w:rFonts w:hint="eastAsia" w:ascii="宋体" w:hAnsi="宋体"/>
          <w:szCs w:val="28"/>
          <w:highlight w:val="none"/>
        </w:rPr>
        <w:t>其他资料</w:t>
      </w:r>
      <w:bookmarkEnd w:id="288"/>
    </w:p>
    <w:p w14:paraId="673189EF">
      <w:pPr>
        <w:spacing w:before="158" w:beforeLines="50" w:line="360" w:lineRule="auto"/>
        <w:ind w:firstLine="720" w:firstLineChars="300"/>
        <w:rPr>
          <w:rFonts w:hint="eastAsia" w:ascii="宋体" w:hAnsi="宋体"/>
          <w:sz w:val="24"/>
          <w:szCs w:val="24"/>
          <w:highlight w:val="none"/>
        </w:rPr>
      </w:pPr>
    </w:p>
    <w:p w14:paraId="292172D7">
      <w:pPr>
        <w:spacing w:before="158" w:beforeLines="50" w:line="360" w:lineRule="auto"/>
        <w:ind w:firstLine="720" w:firstLineChars="300"/>
        <w:rPr>
          <w:rFonts w:hint="eastAsia" w:ascii="宋体" w:hAnsi="宋体"/>
          <w:sz w:val="24"/>
          <w:szCs w:val="24"/>
          <w:highlight w:val="none"/>
        </w:rPr>
      </w:pPr>
      <w:r>
        <w:rPr>
          <w:rFonts w:hint="eastAsia" w:ascii="宋体" w:hAnsi="宋体"/>
          <w:sz w:val="24"/>
          <w:szCs w:val="24"/>
          <w:highlight w:val="none"/>
        </w:rPr>
        <w:t>(一)投标人能享受政策优惠的证明材料</w:t>
      </w:r>
    </w:p>
    <w:p w14:paraId="201E5B78">
      <w:pPr>
        <w:spacing w:before="158" w:beforeLines="50" w:line="360" w:lineRule="auto"/>
        <w:ind w:firstLine="720" w:firstLineChars="300"/>
        <w:rPr>
          <w:rFonts w:hint="eastAsia" w:ascii="宋体" w:hAnsi="宋体"/>
          <w:sz w:val="24"/>
          <w:szCs w:val="24"/>
          <w:highlight w:val="none"/>
        </w:rPr>
      </w:pPr>
      <w:r>
        <w:rPr>
          <w:rFonts w:hint="eastAsia" w:ascii="宋体" w:hAnsi="宋体"/>
          <w:sz w:val="24"/>
          <w:szCs w:val="24"/>
          <w:highlight w:val="none"/>
        </w:rPr>
        <w:t>(二)招标文件要求提交的其他资料</w:t>
      </w:r>
    </w:p>
    <w:p w14:paraId="061CED91">
      <w:pPr>
        <w:spacing w:before="158" w:beforeLines="50" w:line="360" w:lineRule="auto"/>
        <w:ind w:firstLine="720" w:firstLineChars="300"/>
        <w:rPr>
          <w:rFonts w:hint="eastAsia" w:ascii="宋体" w:hAnsi="宋体"/>
          <w:sz w:val="24"/>
          <w:szCs w:val="24"/>
          <w:highlight w:val="none"/>
        </w:rPr>
      </w:pPr>
      <w:r>
        <w:rPr>
          <w:rFonts w:hint="eastAsia" w:ascii="宋体" w:hAnsi="宋体"/>
          <w:sz w:val="24"/>
          <w:szCs w:val="24"/>
          <w:highlight w:val="none"/>
        </w:rPr>
        <w:t>(三)投标人认为需要提交的其他资料</w:t>
      </w:r>
    </w:p>
    <w:p w14:paraId="38B66228">
      <w:pPr>
        <w:keepNext w:val="0"/>
        <w:keepLines w:val="0"/>
        <w:pageBreakBefore w:val="0"/>
        <w:kinsoku/>
        <w:wordWrap/>
        <w:overflowPunct/>
        <w:topLinePunct w:val="0"/>
        <w:autoSpaceDE/>
        <w:autoSpaceDN/>
        <w:bidi w:val="0"/>
        <w:adjustRightInd/>
        <w:snapToGrid/>
        <w:spacing w:line="480" w:lineRule="auto"/>
        <w:jc w:val="center"/>
        <w:textAlignment w:val="auto"/>
        <w:rPr>
          <w:rFonts w:hint="eastAsia" w:ascii="宋体" w:hAnsi="宋体" w:eastAsia="宋体" w:cs="宋体"/>
          <w:b/>
          <w:bCs/>
          <w:color w:val="000000"/>
          <w:sz w:val="24"/>
          <w:szCs w:val="24"/>
          <w:shd w:val="clear" w:color="auto" w:fill="FFFFFF"/>
        </w:rPr>
      </w:pPr>
      <w:r>
        <w:rPr>
          <w:rFonts w:hint="eastAsia" w:ascii="宋体" w:hAnsi="宋体"/>
          <w:sz w:val="24"/>
          <w:szCs w:val="24"/>
          <w:highlight w:val="none"/>
        </w:rPr>
        <w:br w:type="page"/>
      </w:r>
      <w:r>
        <w:rPr>
          <w:rFonts w:hint="eastAsia" w:ascii="宋体" w:hAnsi="宋体" w:eastAsia="宋体" w:cs="宋体"/>
          <w:b/>
          <w:bCs/>
          <w:color w:val="000000"/>
          <w:sz w:val="24"/>
          <w:szCs w:val="24"/>
          <w:shd w:val="clear" w:color="auto" w:fill="FFFFFF"/>
        </w:rPr>
        <w:t>中小企业声明函(货物)</w:t>
      </w:r>
    </w:p>
    <w:p w14:paraId="2C81CF79">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本公司</w:t>
      </w:r>
      <w:r>
        <w:rPr>
          <w:rFonts w:hint="eastAsia" w:ascii="宋体" w:hAnsi="宋体" w:eastAsia="宋体" w:cs="宋体"/>
          <w:color w:val="000000"/>
          <w:sz w:val="24"/>
          <w:szCs w:val="24"/>
          <w:u w:val="none"/>
          <w:shd w:val="clear" w:color="auto" w:fill="FFFFFF"/>
          <w:lang w:val="en-US" w:eastAsia="zh-CN"/>
        </w:rPr>
        <w:t>（</w:t>
      </w:r>
      <w:r>
        <w:rPr>
          <w:rFonts w:hint="eastAsia" w:ascii="宋体" w:hAnsi="宋体" w:eastAsia="宋体" w:cs="宋体"/>
          <w:color w:val="000000"/>
          <w:sz w:val="24"/>
          <w:szCs w:val="24"/>
          <w:u w:val="none"/>
          <w:shd w:val="clear" w:color="auto" w:fill="FFFFFF"/>
        </w:rPr>
        <w:t>联合体)</w:t>
      </w:r>
      <w:r>
        <w:rPr>
          <w:rFonts w:hint="eastAsia" w:ascii="宋体" w:hAnsi="宋体" w:eastAsia="宋体" w:cs="宋体"/>
          <w:color w:val="000000"/>
          <w:sz w:val="24"/>
          <w:szCs w:val="24"/>
          <w:shd w:val="clear" w:color="auto" w:fill="FFFFFF"/>
        </w:rPr>
        <w:t>郑重声明，根据《政府采购促进中小企业发展管理办法》(财库( 2020 )46号)的规定，本公司(联合体)参加</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(单位名称)</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的</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(项目名称)</w:t>
      </w:r>
      <w:r>
        <w:rPr>
          <w:rFonts w:hint="eastAsia" w:ascii="宋体" w:hAnsi="宋体" w:eastAsia="宋体" w:cs="宋体"/>
          <w:color w:val="000000"/>
          <w:sz w:val="24"/>
          <w:szCs w:val="24"/>
          <w:shd w:val="clear" w:color="auto" w:fill="FFFFFF"/>
        </w:rPr>
        <w:t>采购活动，提供的货物全部由符合政策要求的中小企业制造。相关</w:t>
      </w:r>
      <w:r>
        <w:rPr>
          <w:rFonts w:hint="eastAsia" w:cs="宋体"/>
          <w:color w:val="000000"/>
          <w:sz w:val="24"/>
          <w:szCs w:val="24"/>
          <w:shd w:val="clear" w:color="auto" w:fill="FFFFFF"/>
          <w:lang w:eastAsia="zh-CN"/>
        </w:rPr>
        <w:t>企业</w:t>
      </w:r>
      <w:r>
        <w:rPr>
          <w:rFonts w:hint="eastAsia" w:ascii="宋体" w:hAnsi="宋体" w:eastAsia="宋体" w:cs="宋体"/>
          <w:color w:val="000000"/>
          <w:sz w:val="24"/>
          <w:szCs w:val="24"/>
          <w:shd w:val="clear" w:color="auto" w:fill="FFFFFF"/>
        </w:rPr>
        <w:t>(含联合体中的中小企业、签订分包意向协议的中小企业)的具体情况如下:</w:t>
      </w:r>
    </w:p>
    <w:p w14:paraId="70426618">
      <w:pPr>
        <w:keepNext w:val="0"/>
        <w:keepLines w:val="0"/>
        <w:pageBreakBefore w:val="0"/>
        <w:widowControl w:val="0"/>
        <w:numPr>
          <w:ilvl w:val="0"/>
          <w:numId w:val="0"/>
        </w:numPr>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u w:val="none"/>
          <w:shd w:val="clear" w:color="auto" w:fill="FFFFFF"/>
          <w:lang w:val="en-US" w:eastAsia="zh-CN"/>
        </w:rPr>
        <w:t xml:space="preserve">1.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(标的名称)</w:t>
      </w:r>
      <w:r>
        <w:rPr>
          <w:rFonts w:hint="eastAsia" w:ascii="宋体" w:hAnsi="宋体" w:eastAsia="宋体" w:cs="宋体"/>
          <w:color w:val="000000"/>
          <w:sz w:val="24"/>
          <w:szCs w:val="24"/>
          <w:shd w:val="clear" w:color="auto" w:fill="FFFFFF"/>
        </w:rPr>
        <w:t>，属于</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(采购文件中明确的所属行业)</w:t>
      </w:r>
      <w:r>
        <w:rPr>
          <w:rFonts w:hint="eastAsia" w:ascii="宋体" w:hAnsi="宋体" w:eastAsia="宋体" w:cs="宋体"/>
          <w:color w:val="000000"/>
          <w:sz w:val="24"/>
          <w:szCs w:val="24"/>
          <w:shd w:val="clear" w:color="auto" w:fill="FFFFFF"/>
        </w:rPr>
        <w:t>行业</w:t>
      </w:r>
      <w:r>
        <w:rPr>
          <w:rFonts w:hint="eastAsia" w:ascii="宋体" w:hAnsi="宋体" w:eastAsia="宋体" w:cs="宋体"/>
          <w:color w:val="000000"/>
          <w:sz w:val="24"/>
          <w:szCs w:val="24"/>
          <w:shd w:val="clear" w:color="auto" w:fill="FFFFFF"/>
          <w:lang w:eastAsia="zh-CN"/>
        </w:rPr>
        <w:t>；</w:t>
      </w:r>
      <w:r>
        <w:rPr>
          <w:rFonts w:hint="eastAsia" w:ascii="宋体" w:hAnsi="宋体" w:eastAsia="宋体" w:cs="宋体"/>
          <w:color w:val="000000"/>
          <w:sz w:val="24"/>
          <w:szCs w:val="24"/>
          <w:shd w:val="clear" w:color="auto" w:fill="FFFFFF"/>
        </w:rPr>
        <w:t>制造商为</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(企业名称)</w:t>
      </w:r>
      <w:r>
        <w:rPr>
          <w:rFonts w:hint="eastAsia" w:ascii="宋体" w:hAnsi="宋体" w:eastAsia="宋体" w:cs="宋体"/>
          <w:color w:val="000000"/>
          <w:sz w:val="24"/>
          <w:szCs w:val="24"/>
          <w:shd w:val="clear" w:color="auto" w:fill="FFFFFF"/>
          <w:lang w:eastAsia="zh-CN"/>
        </w:rPr>
        <w:t>，</w:t>
      </w:r>
      <w:r>
        <w:rPr>
          <w:rFonts w:hint="eastAsia" w:ascii="宋体" w:hAnsi="宋体" w:eastAsia="宋体" w:cs="宋体"/>
          <w:color w:val="000000"/>
          <w:sz w:val="24"/>
          <w:szCs w:val="24"/>
          <w:shd w:val="clear" w:color="auto" w:fill="FFFFFF"/>
        </w:rPr>
        <w:t>从业人员</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人</w:t>
      </w:r>
      <w:r>
        <w:rPr>
          <w:rFonts w:hint="eastAsia" w:ascii="宋体" w:hAnsi="宋体" w:eastAsia="宋体" w:cs="宋体"/>
          <w:color w:val="000000"/>
          <w:sz w:val="24"/>
          <w:szCs w:val="24"/>
          <w:shd w:val="clear" w:color="auto" w:fill="FFFFFF"/>
          <w:lang w:eastAsia="zh-CN"/>
        </w:rPr>
        <w:t>，</w:t>
      </w:r>
      <w:r>
        <w:rPr>
          <w:rFonts w:hint="eastAsia" w:ascii="宋体" w:hAnsi="宋体" w:eastAsia="宋体" w:cs="宋体"/>
          <w:color w:val="000000"/>
          <w:sz w:val="24"/>
          <w:szCs w:val="24"/>
          <w:shd w:val="clear" w:color="auto" w:fill="FFFFFF"/>
        </w:rPr>
        <w:t xml:space="preserve"> 营业收入为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万元，资产总额为___ 万元</w:t>
      </w:r>
      <w:r>
        <w:rPr>
          <w:rFonts w:hint="eastAsia" w:ascii="宋体" w:hAnsi="宋体" w:eastAsia="宋体" w:cs="宋体"/>
          <w:color w:val="000000"/>
          <w:sz w:val="24"/>
          <w:szCs w:val="24"/>
          <w:shd w:val="clear" w:color="auto" w:fill="FFFFFF"/>
          <w:vertAlign w:val="superscript"/>
          <w:lang w:val="en-US" w:eastAsia="zh-CN"/>
        </w:rPr>
        <w:t>1</w:t>
      </w:r>
      <w:r>
        <w:rPr>
          <w:rFonts w:hint="eastAsia" w:ascii="宋体" w:hAnsi="宋体" w:eastAsia="宋体" w:cs="宋体"/>
          <w:color w:val="000000"/>
          <w:sz w:val="24"/>
          <w:szCs w:val="24"/>
          <w:shd w:val="clear" w:color="auto" w:fill="FFFFFF"/>
          <w:lang w:eastAsia="zh-CN"/>
        </w:rPr>
        <w:t>，</w:t>
      </w:r>
      <w:r>
        <w:rPr>
          <w:rFonts w:hint="eastAsia" w:ascii="宋体" w:hAnsi="宋体" w:eastAsia="宋体" w:cs="宋体"/>
          <w:color w:val="000000"/>
          <w:sz w:val="24"/>
          <w:szCs w:val="24"/>
          <w:shd w:val="clear" w:color="auto" w:fill="FFFFFF"/>
        </w:rPr>
        <w:t>属于</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中型企业、</w:t>
      </w:r>
      <w:r>
        <w:rPr>
          <w:rFonts w:hint="eastAsia" w:ascii="宋体" w:hAnsi="宋体" w:eastAsia="宋体" w:cs="宋体"/>
          <w:color w:val="000000"/>
          <w:sz w:val="24"/>
          <w:szCs w:val="24"/>
          <w:u w:val="single"/>
          <w:shd w:val="clear" w:color="auto" w:fill="FFFFFF"/>
          <w:lang w:eastAsia="zh-CN"/>
        </w:rPr>
        <w:t>小</w:t>
      </w:r>
      <w:r>
        <w:rPr>
          <w:rFonts w:hint="eastAsia" w:ascii="宋体" w:hAnsi="宋体" w:eastAsia="宋体" w:cs="宋体"/>
          <w:color w:val="000000"/>
          <w:sz w:val="24"/>
          <w:szCs w:val="24"/>
          <w:u w:val="single"/>
          <w:shd w:val="clear" w:color="auto" w:fill="FFFFFF"/>
        </w:rPr>
        <w:t>型企业、微型企业</w:t>
      </w:r>
      <w:r>
        <w:rPr>
          <w:rFonts w:hint="eastAsia" w:ascii="宋体" w:hAnsi="宋体" w:eastAsia="宋体" w:cs="宋体"/>
          <w:color w:val="000000"/>
          <w:sz w:val="24"/>
          <w:szCs w:val="24"/>
          <w:u w:val="single"/>
          <w:shd w:val="clear" w:color="auto" w:fill="FFFFFF"/>
          <w:lang w:eastAsia="zh-CN"/>
        </w:rPr>
        <w:t>）</w:t>
      </w:r>
      <w:r>
        <w:rPr>
          <w:rFonts w:hint="eastAsia" w:ascii="宋体" w:hAnsi="宋体" w:eastAsia="宋体" w:cs="宋体"/>
          <w:color w:val="000000"/>
          <w:sz w:val="24"/>
          <w:szCs w:val="24"/>
          <w:shd w:val="clear" w:color="auto" w:fill="FFFFFF"/>
          <w:lang w:eastAsia="zh-CN"/>
        </w:rPr>
        <w:t>；</w:t>
      </w:r>
    </w:p>
    <w:p w14:paraId="6993CCE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u w:val="none"/>
          <w:shd w:val="clear" w:color="auto" w:fill="FFFFFF"/>
          <w:lang w:val="en-US" w:eastAsia="zh-CN"/>
        </w:rPr>
      </w:pPr>
      <w:r>
        <w:rPr>
          <w:rFonts w:hint="eastAsia" w:ascii="宋体" w:hAnsi="宋体" w:eastAsia="宋体" w:cs="宋体"/>
          <w:color w:val="000000"/>
          <w:sz w:val="24"/>
          <w:szCs w:val="24"/>
          <w:shd w:val="clear" w:color="auto" w:fill="FFFFFF"/>
        </w:rPr>
        <w:t>2.</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标的名称)</w:t>
      </w:r>
      <w:r>
        <w:rPr>
          <w:rFonts w:hint="eastAsia" w:ascii="宋体" w:hAnsi="宋体" w:eastAsia="宋体" w:cs="宋体"/>
          <w:color w:val="000000"/>
          <w:sz w:val="24"/>
          <w:szCs w:val="24"/>
          <w:shd w:val="clear" w:color="auto" w:fill="FFFFFF"/>
          <w:lang w:eastAsia="zh-CN"/>
        </w:rPr>
        <w:t>，</w:t>
      </w:r>
      <w:r>
        <w:rPr>
          <w:rFonts w:hint="eastAsia" w:ascii="宋体" w:hAnsi="宋体" w:eastAsia="宋体" w:cs="宋体"/>
          <w:color w:val="000000"/>
          <w:sz w:val="24"/>
          <w:szCs w:val="24"/>
          <w:shd w:val="clear" w:color="auto" w:fill="FFFFFF"/>
        </w:rPr>
        <w:t xml:space="preserve"> 属于</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采购文件中明确的所属行业)</w:t>
      </w:r>
      <w:r>
        <w:rPr>
          <w:rFonts w:hint="eastAsia" w:ascii="宋体" w:hAnsi="宋体" w:eastAsia="宋体" w:cs="宋体"/>
          <w:color w:val="000000"/>
          <w:sz w:val="24"/>
          <w:szCs w:val="24"/>
          <w:shd w:val="clear" w:color="auto" w:fill="FFFFFF"/>
        </w:rPr>
        <w:t>行业</w:t>
      </w:r>
      <w:r>
        <w:rPr>
          <w:rFonts w:hint="eastAsia" w:ascii="宋体" w:hAnsi="宋体" w:eastAsia="宋体" w:cs="宋体"/>
          <w:color w:val="000000"/>
          <w:sz w:val="24"/>
          <w:szCs w:val="24"/>
          <w:shd w:val="clear" w:color="auto" w:fill="FFFFFF"/>
          <w:lang w:eastAsia="zh-CN"/>
        </w:rPr>
        <w:t>；</w:t>
      </w:r>
      <w:r>
        <w:rPr>
          <w:rFonts w:hint="eastAsia" w:ascii="宋体" w:hAnsi="宋体" w:eastAsia="宋体" w:cs="宋体"/>
          <w:color w:val="000000"/>
          <w:sz w:val="24"/>
          <w:szCs w:val="24"/>
          <w:shd w:val="clear" w:color="auto" w:fill="FFFFFF"/>
        </w:rPr>
        <w:t>制造商为</w:t>
      </w:r>
      <w:r>
        <w:rPr>
          <w:rFonts w:hint="eastAsia" w:ascii="宋体" w:hAnsi="宋体" w:eastAsia="宋体" w:cs="宋体"/>
          <w:color w:val="000000"/>
          <w:sz w:val="24"/>
          <w:szCs w:val="24"/>
          <w:u w:val="single"/>
          <w:shd w:val="clear" w:color="auto" w:fill="FFFFFF"/>
        </w:rPr>
        <w:t xml:space="preserve"> </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(企业名称)</w:t>
      </w:r>
      <w:r>
        <w:rPr>
          <w:rFonts w:hint="eastAsia" w:ascii="宋体" w:hAnsi="宋体" w:eastAsia="宋体" w:cs="宋体"/>
          <w:color w:val="000000"/>
          <w:sz w:val="24"/>
          <w:szCs w:val="24"/>
          <w:shd w:val="clear" w:color="auto" w:fill="FFFFFF"/>
          <w:lang w:eastAsia="zh-CN"/>
        </w:rPr>
        <w:t>，</w:t>
      </w:r>
      <w:r>
        <w:rPr>
          <w:rFonts w:hint="eastAsia" w:ascii="宋体" w:hAnsi="宋体" w:eastAsia="宋体" w:cs="宋体"/>
          <w:color w:val="000000"/>
          <w:sz w:val="24"/>
          <w:szCs w:val="24"/>
          <w:shd w:val="clear" w:color="auto" w:fill="FFFFFF"/>
        </w:rPr>
        <w:t>从业人员</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人， 营业收入为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万元， 资产总额为</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shd w:val="clear" w:color="auto" w:fill="FFFFFF"/>
        </w:rPr>
        <w:t>万元，属于</w:t>
      </w:r>
      <w:r>
        <w:rPr>
          <w:rFonts w:hint="eastAsia" w:ascii="宋体" w:hAnsi="宋体" w:eastAsia="宋体" w:cs="宋体"/>
          <w:color w:val="000000"/>
          <w:sz w:val="24"/>
          <w:szCs w:val="24"/>
          <w:u w:val="single"/>
          <w:shd w:val="clear" w:color="auto" w:fill="FFFFFF"/>
          <w:lang w:val="en-US" w:eastAsia="zh-CN"/>
        </w:rPr>
        <w:t xml:space="preserve">   （</w:t>
      </w:r>
      <w:r>
        <w:rPr>
          <w:rFonts w:hint="eastAsia" w:ascii="宋体" w:hAnsi="宋体" w:eastAsia="宋体" w:cs="宋体"/>
          <w:color w:val="000000"/>
          <w:sz w:val="24"/>
          <w:szCs w:val="24"/>
          <w:u w:val="single"/>
          <w:shd w:val="clear" w:color="auto" w:fill="FFFFFF"/>
        </w:rPr>
        <w:t>中型企业、 小型企业、微型企业)</w:t>
      </w:r>
      <w:r>
        <w:rPr>
          <w:rFonts w:hint="eastAsia" w:ascii="宋体" w:hAnsi="宋体" w:eastAsia="宋体" w:cs="宋体"/>
          <w:color w:val="000000"/>
          <w:sz w:val="24"/>
          <w:szCs w:val="24"/>
          <w:u w:val="none"/>
          <w:shd w:val="clear" w:color="auto" w:fill="FFFFFF"/>
          <w:lang w:val="en-US" w:eastAsia="zh-CN"/>
        </w:rPr>
        <w:t>；</w:t>
      </w:r>
    </w:p>
    <w:p w14:paraId="6188CA68">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hint="default" w:ascii="宋体" w:hAnsi="宋体" w:eastAsia="宋体" w:cs="宋体"/>
          <w:color w:val="000000"/>
          <w:sz w:val="24"/>
          <w:szCs w:val="24"/>
          <w:shd w:val="clear" w:color="auto" w:fill="FFFFFF"/>
          <w:lang w:val="en-US" w:eastAsia="zh-CN"/>
        </w:rPr>
      </w:pPr>
      <w:r>
        <w:rPr>
          <w:rFonts w:hint="eastAsia" w:ascii="宋体" w:hAnsi="宋体" w:eastAsia="宋体" w:cs="宋体"/>
          <w:color w:val="000000"/>
          <w:sz w:val="24"/>
          <w:szCs w:val="24"/>
          <w:shd w:val="clear" w:color="auto" w:fill="FFFFFF"/>
          <w:lang w:val="en-US" w:eastAsia="zh-CN"/>
        </w:rPr>
        <w:t>......</w:t>
      </w:r>
    </w:p>
    <w:p w14:paraId="5F8086A5">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left"/>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以上企业，不属于大企业的分支机构，不存在控股股东为大企业的情形，也不存在与大企业的负责人为同一人的情形。</w:t>
      </w:r>
    </w:p>
    <w:p w14:paraId="15324E5D">
      <w:pPr>
        <w:keepNext w:val="0"/>
        <w:keepLines w:val="0"/>
        <w:pageBreakBefore w:val="0"/>
        <w:widowControl w:val="0"/>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本企业对上述声明内容的真实性负责。如有虛假，将依法承担相应责任。</w:t>
      </w:r>
    </w:p>
    <w:p w14:paraId="4AC6C80B">
      <w:pPr>
        <w:keepNext w:val="0"/>
        <w:keepLines w:val="0"/>
        <w:pageBreakBefore w:val="0"/>
        <w:kinsoku/>
        <w:wordWrap/>
        <w:overflowPunct/>
        <w:topLinePunct w:val="0"/>
        <w:autoSpaceDE/>
        <w:autoSpaceDN/>
        <w:bidi w:val="0"/>
        <w:adjustRightInd/>
        <w:snapToGrid/>
        <w:spacing w:line="480" w:lineRule="auto"/>
        <w:ind w:left="3360" w:leftChars="0" w:hanging="3360" w:hangingChars="1400"/>
        <w:jc w:val="center"/>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企业名称(盖章):</w:t>
      </w:r>
    </w:p>
    <w:p w14:paraId="004C623B">
      <w:pPr>
        <w:keepNext w:val="0"/>
        <w:keepLines w:val="0"/>
        <w:pageBreakBefore w:val="0"/>
        <w:kinsoku/>
        <w:wordWrap/>
        <w:overflowPunct/>
        <w:topLinePunct w:val="0"/>
        <w:autoSpaceDE/>
        <w:autoSpaceDN/>
        <w:bidi w:val="0"/>
        <w:adjustRightInd/>
        <w:snapToGrid/>
        <w:spacing w:line="480" w:lineRule="auto"/>
        <w:ind w:firstLine="4080" w:firstLineChars="1700"/>
        <w:jc w:val="both"/>
        <w:textAlignment w:val="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日</w:t>
      </w:r>
      <w:r>
        <w:rPr>
          <w:rFonts w:hint="eastAsia" w:ascii="宋体" w:hAnsi="宋体" w:eastAsia="宋体" w:cs="宋体"/>
          <w:color w:val="000000"/>
          <w:sz w:val="24"/>
          <w:szCs w:val="24"/>
          <w:shd w:val="clear" w:color="auto" w:fill="FFFFFF"/>
          <w:lang w:val="en-US" w:eastAsia="zh-CN"/>
        </w:rPr>
        <w:t xml:space="preserve"> </w:t>
      </w:r>
      <w:r>
        <w:rPr>
          <w:rFonts w:hint="eastAsia" w:ascii="宋体" w:hAnsi="宋体" w:eastAsia="宋体" w:cs="宋体"/>
          <w:color w:val="000000"/>
          <w:sz w:val="24"/>
          <w:szCs w:val="24"/>
          <w:shd w:val="clear" w:color="auto" w:fill="FFFFFF"/>
        </w:rPr>
        <w:t>期:</w:t>
      </w:r>
    </w:p>
    <w:p w14:paraId="352FDE93">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宋体" w:hAnsi="宋体" w:eastAsia="宋体" w:cs="宋体"/>
          <w:color w:val="000000"/>
          <w:sz w:val="24"/>
          <w:szCs w:val="24"/>
          <w:u w:val="single"/>
          <w:shd w:val="clear" w:color="auto" w:fill="FFFFFF"/>
          <w:lang w:val="en-US" w:eastAsia="zh-CN"/>
        </w:rPr>
      </w:pPr>
      <w:r>
        <w:rPr>
          <w:rFonts w:hint="eastAsia" w:ascii="宋体" w:hAnsi="宋体" w:eastAsia="宋体" w:cs="宋体"/>
          <w:color w:val="000000"/>
          <w:sz w:val="24"/>
          <w:szCs w:val="24"/>
          <w:u w:val="single"/>
          <w:shd w:val="clear" w:color="auto" w:fill="FFFFFF"/>
          <w:lang w:val="en-US" w:eastAsia="zh-CN"/>
        </w:rPr>
        <w:t xml:space="preserve">                   </w:t>
      </w:r>
    </w:p>
    <w:p w14:paraId="79797428">
      <w:pPr>
        <w:keepNext w:val="0"/>
        <w:keepLines w:val="0"/>
        <w:pageBreakBefore w:val="0"/>
        <w:kinsoku/>
        <w:wordWrap/>
        <w:overflowPunct/>
        <w:topLinePunct w:val="0"/>
        <w:autoSpaceDE/>
        <w:autoSpaceDN/>
        <w:bidi w:val="0"/>
        <w:adjustRightInd/>
        <w:snapToGrid/>
        <w:spacing w:line="480" w:lineRule="auto"/>
        <w:jc w:val="left"/>
        <w:textAlignment w:val="auto"/>
        <w:rPr>
          <w:rFonts w:hint="eastAsia" w:ascii="宋体" w:hAnsi="宋体" w:eastAsia="宋体" w:cs="宋体"/>
          <w:color w:val="000000"/>
          <w:sz w:val="18"/>
          <w:szCs w:val="18"/>
          <w:shd w:val="clear" w:color="auto" w:fill="FFFFFF"/>
        </w:rPr>
      </w:pPr>
      <w:r>
        <w:rPr>
          <w:rFonts w:hint="eastAsia" w:ascii="宋体" w:hAnsi="宋体" w:eastAsia="宋体" w:cs="宋体"/>
          <w:color w:val="000000"/>
          <w:sz w:val="18"/>
          <w:szCs w:val="18"/>
          <w:shd w:val="clear" w:color="auto" w:fill="FFFFFF"/>
          <w:vertAlign w:val="superscript"/>
          <w:lang w:val="en-US" w:eastAsia="zh-CN"/>
        </w:rPr>
        <w:t>1</w:t>
      </w:r>
      <w:r>
        <w:rPr>
          <w:rFonts w:hint="eastAsia" w:ascii="宋体" w:hAnsi="宋体" w:eastAsia="宋体" w:cs="宋体"/>
          <w:color w:val="000000"/>
          <w:sz w:val="18"/>
          <w:szCs w:val="18"/>
          <w:shd w:val="clear" w:color="auto" w:fill="FFFFFF"/>
        </w:rPr>
        <w:t>从业人员、营业收入、资产总额填报上一年度数据，无上</w:t>
      </w:r>
      <w:r>
        <w:rPr>
          <w:rFonts w:hint="eastAsia" w:ascii="宋体" w:hAnsi="宋体" w:eastAsia="宋体" w:cs="宋体"/>
          <w:color w:val="000000"/>
          <w:sz w:val="18"/>
          <w:szCs w:val="18"/>
          <w:shd w:val="clear" w:color="auto" w:fill="FFFFFF"/>
          <w:lang w:eastAsia="zh-CN"/>
        </w:rPr>
        <w:t>一</w:t>
      </w:r>
      <w:r>
        <w:rPr>
          <w:rFonts w:hint="eastAsia" w:ascii="宋体" w:hAnsi="宋体" w:eastAsia="宋体" w:cs="宋体"/>
          <w:color w:val="000000"/>
          <w:sz w:val="18"/>
          <w:szCs w:val="18"/>
          <w:shd w:val="clear" w:color="auto" w:fill="FFFFFF"/>
        </w:rPr>
        <w:t>年度数据的新成立企业可不填报。</w:t>
      </w:r>
      <w:bookmarkStart w:id="289" w:name="_Toc468"/>
      <w:bookmarkEnd w:id="289"/>
      <w:bookmarkStart w:id="290" w:name="_Toc12254"/>
      <w:bookmarkEnd w:id="290"/>
    </w:p>
    <w:p w14:paraId="5F611966">
      <w:pPr>
        <w:spacing w:line="480" w:lineRule="auto"/>
        <w:jc w:val="center"/>
        <w:rPr>
          <w:rFonts w:hint="eastAsia" w:ascii="宋体" w:hAnsi="宋体"/>
          <w:b/>
          <w:spacing w:val="6"/>
          <w:sz w:val="30"/>
          <w:szCs w:val="30"/>
          <w:highlight w:val="none"/>
        </w:rPr>
      </w:pPr>
      <w:r>
        <w:rPr>
          <w:rFonts w:hint="eastAsia" w:ascii="宋体" w:hAnsi="宋体" w:eastAsia="宋体" w:cs="宋体"/>
          <w:color w:val="000000"/>
          <w:sz w:val="18"/>
          <w:szCs w:val="18"/>
          <w:shd w:val="clear" w:color="auto" w:fill="FFFFFF"/>
        </w:rPr>
        <w:br w:type="page"/>
      </w:r>
      <w:r>
        <w:rPr>
          <w:rFonts w:hint="eastAsia" w:ascii="宋体" w:hAnsi="宋体" w:cs="宋体"/>
          <w:b/>
          <w:bCs/>
          <w:sz w:val="24"/>
          <w:szCs w:val="24"/>
          <w:highlight w:val="none"/>
          <w:shd w:val="clear" w:color="auto" w:fill="FFFFFF"/>
        </w:rPr>
        <w:t>残疾人福利性单位声明函格式</w:t>
      </w:r>
    </w:p>
    <w:p w14:paraId="0C5EBC3C">
      <w:pPr>
        <w:spacing w:line="588" w:lineRule="exact"/>
        <w:ind w:firstLine="504" w:firstLineChars="200"/>
        <w:rPr>
          <w:rFonts w:hint="eastAsia" w:ascii="宋体" w:hAnsi="宋体" w:cs="宋体"/>
          <w:spacing w:val="6"/>
          <w:sz w:val="24"/>
          <w:szCs w:val="24"/>
          <w:highlight w:val="none"/>
        </w:rPr>
      </w:pPr>
      <w:r>
        <w:rPr>
          <w:rFonts w:hint="eastAsia" w:ascii="宋体" w:hAnsi="宋体" w:cs="宋体"/>
          <w:spacing w:val="6"/>
          <w:sz w:val="24"/>
          <w:szCs w:val="24"/>
          <w:highlight w:val="none"/>
        </w:rPr>
        <w:t>本单位郑重声明，根据《财政部 民政部 中国残疾人联合会关于促进残疾人就业政府采购政策的通知》（财库</w:t>
      </w:r>
      <w:r>
        <w:rPr>
          <w:rFonts w:hint="eastAsia" w:ascii="宋体" w:hAnsi="宋体" w:cs="宋体"/>
          <w:sz w:val="24"/>
          <w:szCs w:val="24"/>
          <w:highlight w:val="none"/>
        </w:rPr>
        <w:t>〔2017〕 141</w:t>
      </w:r>
      <w:r>
        <w:rPr>
          <w:rFonts w:hint="eastAsia" w:ascii="宋体" w:hAnsi="宋体" w:cs="宋体"/>
          <w:spacing w:val="6"/>
          <w:sz w:val="24"/>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D7AFFD8">
      <w:pPr>
        <w:spacing w:line="588" w:lineRule="exact"/>
        <w:ind w:firstLine="504" w:firstLineChars="200"/>
        <w:rPr>
          <w:rFonts w:hint="eastAsia" w:ascii="宋体" w:hAnsi="宋体" w:cs="宋体"/>
          <w:spacing w:val="6"/>
          <w:sz w:val="24"/>
          <w:szCs w:val="24"/>
          <w:highlight w:val="none"/>
        </w:rPr>
      </w:pPr>
      <w:r>
        <w:rPr>
          <w:rFonts w:hint="eastAsia" w:ascii="宋体" w:hAnsi="宋体" w:cs="宋体"/>
          <w:spacing w:val="6"/>
          <w:sz w:val="24"/>
          <w:szCs w:val="24"/>
          <w:highlight w:val="none"/>
        </w:rPr>
        <w:t>本单位对上述声明的真实性负责。如有虚假，将依法承担相应责任。</w:t>
      </w:r>
    </w:p>
    <w:p w14:paraId="566009D2">
      <w:pPr>
        <w:spacing w:line="588" w:lineRule="exact"/>
        <w:ind w:firstLine="504" w:firstLineChars="200"/>
        <w:rPr>
          <w:rFonts w:hint="eastAsia" w:ascii="宋体" w:hAnsi="宋体" w:cs="宋体"/>
          <w:spacing w:val="6"/>
          <w:sz w:val="24"/>
          <w:szCs w:val="24"/>
          <w:highlight w:val="none"/>
        </w:rPr>
      </w:pPr>
    </w:p>
    <w:p w14:paraId="72FF7C92">
      <w:pPr>
        <w:spacing w:line="588" w:lineRule="exact"/>
        <w:ind w:firstLine="504" w:firstLineChars="200"/>
        <w:rPr>
          <w:rFonts w:hint="eastAsia" w:ascii="宋体" w:hAnsi="宋体" w:cs="宋体"/>
          <w:spacing w:val="6"/>
          <w:sz w:val="24"/>
          <w:szCs w:val="24"/>
          <w:highlight w:val="none"/>
        </w:rPr>
      </w:pPr>
    </w:p>
    <w:p w14:paraId="00E27093">
      <w:pPr>
        <w:tabs>
          <w:tab w:val="left" w:pos="4860"/>
        </w:tabs>
        <w:spacing w:line="588" w:lineRule="exact"/>
        <w:ind w:right="1560" w:firstLine="504" w:firstLineChars="200"/>
        <w:jc w:val="center"/>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               单位名称（盖章）：</w:t>
      </w:r>
    </w:p>
    <w:p w14:paraId="294C1348">
      <w:pPr>
        <w:tabs>
          <w:tab w:val="left" w:pos="4860"/>
        </w:tabs>
        <w:spacing w:line="588" w:lineRule="exact"/>
        <w:ind w:right="1560" w:firstLine="504" w:firstLineChars="200"/>
        <w:jc w:val="center"/>
        <w:rPr>
          <w:rFonts w:hint="eastAsia" w:ascii="宋体" w:hAnsi="宋体" w:cs="宋体"/>
          <w:spacing w:val="6"/>
          <w:sz w:val="24"/>
          <w:szCs w:val="24"/>
          <w:highlight w:val="none"/>
        </w:rPr>
      </w:pPr>
      <w:r>
        <w:rPr>
          <w:rFonts w:hint="eastAsia" w:ascii="宋体" w:hAnsi="宋体" w:cs="宋体"/>
          <w:spacing w:val="6"/>
          <w:sz w:val="24"/>
          <w:szCs w:val="24"/>
          <w:highlight w:val="none"/>
        </w:rPr>
        <w:t xml:space="preserve">       日  期：</w:t>
      </w:r>
    </w:p>
    <w:p w14:paraId="20BD54F9">
      <w:pPr>
        <w:tabs>
          <w:tab w:val="left" w:pos="4860"/>
        </w:tabs>
        <w:spacing w:line="588" w:lineRule="exact"/>
        <w:ind w:right="1560"/>
        <w:jc w:val="both"/>
        <w:rPr>
          <w:rFonts w:hint="eastAsia" w:ascii="宋体" w:hAnsi="宋体" w:cs="宋体"/>
          <w:spacing w:val="6"/>
          <w:sz w:val="24"/>
          <w:szCs w:val="24"/>
          <w:highlight w:val="none"/>
        </w:rPr>
      </w:pPr>
    </w:p>
    <w:p w14:paraId="0DEF7042">
      <w:pPr>
        <w:spacing w:line="480" w:lineRule="auto"/>
        <w:jc w:val="center"/>
        <w:rPr>
          <w:rFonts w:ascii="宋体" w:hAnsi="宋体" w:cs="宋体"/>
          <w:b/>
          <w:bCs/>
          <w:sz w:val="24"/>
          <w:szCs w:val="24"/>
          <w:highlight w:val="none"/>
          <w:shd w:val="clear" w:color="auto" w:fill="FFFFFF"/>
        </w:rPr>
      </w:pPr>
      <w:r>
        <w:rPr>
          <w:rFonts w:hint="eastAsia" w:ascii="宋体" w:hAnsi="宋体" w:cs="宋体"/>
          <w:b/>
          <w:bCs/>
          <w:sz w:val="24"/>
          <w:szCs w:val="24"/>
          <w:highlight w:val="none"/>
          <w:shd w:val="clear" w:color="auto" w:fill="FFFFFF"/>
        </w:rPr>
        <w:br w:type="page"/>
      </w:r>
      <w:r>
        <w:rPr>
          <w:rFonts w:hint="eastAsia" w:ascii="宋体" w:hAnsi="宋体" w:cs="宋体"/>
          <w:b/>
          <w:bCs/>
          <w:sz w:val="24"/>
          <w:szCs w:val="24"/>
          <w:highlight w:val="none"/>
          <w:shd w:val="clear" w:color="auto" w:fill="FFFFFF"/>
        </w:rPr>
        <w:t>监狱企业证明文件格式</w:t>
      </w:r>
    </w:p>
    <w:p w14:paraId="422BA7CE">
      <w:pPr>
        <w:spacing w:line="480" w:lineRule="auto"/>
        <w:ind w:firstLine="480" w:firstLineChars="200"/>
        <w:rPr>
          <w:rFonts w:hint="eastAsia" w:ascii="宋体" w:hAnsi="宋体"/>
          <w:sz w:val="24"/>
          <w:szCs w:val="24"/>
          <w:highlight w:val="none"/>
        </w:rPr>
      </w:pPr>
      <w:r>
        <w:rPr>
          <w:rFonts w:hint="eastAsia" w:ascii="宋体" w:hAnsi="宋体"/>
          <w:sz w:val="24"/>
          <w:szCs w:val="24"/>
          <w:highlight w:val="none"/>
        </w:rPr>
        <w:t>根据《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0A38320">
      <w:pPr>
        <w:spacing w:line="480" w:lineRule="auto"/>
        <w:ind w:firstLine="480" w:firstLineChars="200"/>
        <w:rPr>
          <w:rFonts w:hint="eastAsia" w:ascii="宋体" w:hAnsi="宋体" w:eastAsia="宋体"/>
          <w:sz w:val="24"/>
          <w:szCs w:val="24"/>
          <w:highlight w:val="none"/>
          <w:lang w:eastAsia="zh-CN"/>
        </w:rPr>
      </w:pPr>
      <w:r>
        <w:rPr>
          <w:rFonts w:hint="eastAsia" w:ascii="宋体" w:hAnsi="宋体"/>
          <w:sz w:val="24"/>
          <w:szCs w:val="24"/>
          <w:highlight w:val="none"/>
        </w:rPr>
        <w:t>监狱企业参加政府采购活动时，应当提供由省级以上监狱管理局、戒毒管理局（含新疆生产建设兵团）出具的属于监狱企业的证明文件。</w:t>
      </w:r>
    </w:p>
    <w:p w14:paraId="1893F81B">
      <w:pPr>
        <w:spacing w:line="480" w:lineRule="auto"/>
        <w:ind w:firstLine="480" w:firstLineChars="200"/>
        <w:rPr>
          <w:rFonts w:hint="eastAsia" w:ascii="宋体" w:hAnsi="宋体" w:eastAsia="宋体"/>
          <w:sz w:val="24"/>
          <w:szCs w:val="24"/>
          <w:highlight w:val="none"/>
          <w:lang w:eastAsia="zh-CN"/>
        </w:rPr>
      </w:pPr>
      <w:r>
        <w:rPr>
          <w:rFonts w:hint="eastAsia" w:ascii="宋体" w:hAnsi="宋体"/>
          <w:sz w:val="24"/>
          <w:szCs w:val="24"/>
          <w:highlight w:val="none"/>
        </w:rPr>
        <w:t xml:space="preserve">   </w:t>
      </w:r>
    </w:p>
    <w:p w14:paraId="6E260B3C">
      <w:pPr>
        <w:pStyle w:val="6"/>
        <w:rPr>
          <w:rFonts w:hint="eastAsia"/>
          <w:lang w:eastAsia="zh-CN"/>
        </w:rPr>
      </w:pPr>
    </w:p>
    <w:p w14:paraId="7232EADC">
      <w:pPr>
        <w:spacing w:line="480" w:lineRule="auto"/>
        <w:rPr>
          <w:rFonts w:hint="eastAsia" w:ascii="宋体" w:hAnsi="宋体" w:cs="宋体"/>
          <w:sz w:val="18"/>
          <w:szCs w:val="18"/>
          <w:highlight w:val="none"/>
          <w:shd w:val="clear" w:color="auto" w:fill="FFFFFF"/>
        </w:rPr>
      </w:pPr>
      <w:r>
        <w:rPr>
          <w:rFonts w:hint="eastAsia" w:ascii="宋体" w:hAnsi="宋体"/>
          <w:highlight w:val="none"/>
        </w:rPr>
        <w:t>注：符合条件的监狱企业在参加政府采购活动时，应当按《财政部 司法部关于政府采购支持监狱企业发展有关问题的通知》（财</w:t>
      </w:r>
      <w:r>
        <w:rPr>
          <w:rFonts w:hint="eastAsia" w:ascii="宋体" w:hAnsi="宋体" w:cs="宋体"/>
          <w:highlight w:val="none"/>
        </w:rPr>
        <w:t>库[2014]68 号</w:t>
      </w:r>
      <w:r>
        <w:rPr>
          <w:rFonts w:hint="eastAsia" w:ascii="宋体" w:hAnsi="宋体"/>
          <w:highlight w:val="none"/>
        </w:rPr>
        <w:t>）提供规定的《监狱企业证明文件》，并对证明文件的真实性负责。</w:t>
      </w:r>
    </w:p>
    <w:p w14:paraId="2206BC02">
      <w:pPr>
        <w:keepNext w:val="0"/>
        <w:keepLines w:val="0"/>
        <w:pageBreakBefore w:val="0"/>
        <w:kinsoku/>
        <w:wordWrap/>
        <w:overflowPunct/>
        <w:topLinePunct w:val="0"/>
        <w:autoSpaceDE/>
        <w:autoSpaceDN/>
        <w:bidi w:val="0"/>
        <w:adjustRightInd/>
        <w:snapToGrid/>
        <w:spacing w:line="480" w:lineRule="auto"/>
        <w:jc w:val="left"/>
        <w:textAlignment w:val="auto"/>
        <w:rPr>
          <w:rFonts w:ascii="宋体" w:hAnsi="宋体"/>
          <w:sz w:val="24"/>
          <w:szCs w:val="24"/>
          <w:highlight w:val="none"/>
        </w:rPr>
      </w:pPr>
    </w:p>
    <w:sectPr>
      <w:headerReference r:id="rId12" w:type="default"/>
      <w:footerReference r:id="rId13" w:type="default"/>
      <w:pgSz w:w="11906" w:h="16838"/>
      <w:pgMar w:top="1191" w:right="1191" w:bottom="1191" w:left="1191" w:header="720" w:footer="720" w:gutter="0"/>
      <w:pgNumType w:fmt="decimal"/>
      <w:cols w:space="72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楷体">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Malgun Gothic">
    <w:panose1 w:val="020B0503020000020004"/>
    <w:charset w:val="81"/>
    <w:family w:val="swiss"/>
    <w:pitch w:val="default"/>
    <w:sig w:usb0="9000002F" w:usb1="29D77CFB" w:usb2="00000012" w:usb3="00000000" w:csb0="00080001" w:csb1="00000000"/>
  </w:font>
  <w:font w:name="TimesNewRomanPSMT">
    <w:altName w:val="宋体"/>
    <w:panose1 w:val="00000000000000000000"/>
    <w:charset w:val="00"/>
    <w:family w:val="auto"/>
    <w:pitch w:val="default"/>
    <w:sig w:usb0="00000000" w:usb1="00000000" w:usb2="0000001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F1BE64">
    <w:pPr>
      <w:pStyle w:val="1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E51089B">
                          <w:pPr>
                            <w:pStyle w:val="18"/>
                          </w:pPr>
                          <w:r>
                            <w:fldChar w:fldCharType="begin"/>
                          </w:r>
                          <w:r>
                            <w:instrText xml:space="preserve"> PAGE  \* MERGEFORMAT </w:instrText>
                          </w:r>
                          <w:r>
                            <w:fldChar w:fldCharType="separate"/>
                          </w:r>
                          <w:r>
                            <w:t>- 2 -</w:t>
                          </w:r>
                          <w:r>
                            <w:fldChar w:fldCharType="end"/>
                          </w:r>
                        </w:p>
                      </w:txbxContent>
                    </wps:txbx>
                    <wps:bodyPr vert="horz" wrap="none" lIns="0" tIns="0" rIns="0" bIns="0" anchor="t" anchorCtr="0" upright="0">
                      <a:spAutoFit/>
                    </wps:bodyPr>
                  </wps:wsp>
                </a:graphicData>
              </a:graphic>
            </wp:anchor>
          </w:drawing>
        </mc:Choice>
        <mc:Fallback>
          <w:pict>
            <v:shape id="文本框 5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G+KZN8BAAC/AwAADgAAAGRycy9lMm9Eb2MueG1srVPBjtMwEL0j8Q+W&#10;7zRppUVV1XS1UC1CQoC07Ae4jtNYsj3W2G1SPgD+gBMX7nxXv4Oxk3RhuexhL8l4Zvxm3pvx+rq3&#10;hh0VBg2u4vNZyZlyEmrt9hW//3L7aslZiMLVwoBTFT+pwK83L1+sO79SC2jB1AoZgbiw6nzF2xj9&#10;qiiCbJUVYQZeOQo2gFZEOuK+qFF0hG5NsSjL10UHWHsEqUIg73YI8hERnwIITaOl2oI8WOXigIrK&#10;iEiUQqt94JvcbdMoGT81TVCRmYoT05i/VITsXfoWm7VY7VH4VsuxBfGUFh5xskI7KnqB2ooo2AH1&#10;f1BWS4QATZxJsMVAJCtCLOblI23uWuFV5kJSB38RPTwfrPx4/IxM1xW/4swJSwM///h+/vn7/Osb&#10;u5onfTofVpR25ykx9m+gp62Z/IGciXbfoE1/IsQoTuqeLuqqPjKZLi0Xy2VJIUmx6UD4xcN1jyG+&#10;U2BZMiqONL6sqjh+CHFInVJSNQe32pg8QuP+cRBm8hSp96HHZMV+14+EdlCfiA+9A6rTAn7lrKMt&#10;qLijpefMvHckclqYycDJ2E2GcJIuVjxyNphv47BYB4963+ZVS00Ff3OI1GkmkNoYao/d0VyzBOMO&#10;psX5+5yzHt7d5g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1G+KZN8BAAC/AwAADgAAAAAA&#10;AAABACAAAAAeAQAAZHJzL2Uyb0RvYy54bWxQSwUGAAAAAAYABgBZAQAAbwUAAAAA&#10;">
              <v:fill on="f" focussize="0,0"/>
              <v:stroke on="f"/>
              <v:imagedata o:title=""/>
              <o:lock v:ext="edit" aspectratio="f"/>
              <v:textbox inset="0mm,0mm,0mm,0mm" style="mso-fit-shape-to-text:t;">
                <w:txbxContent>
                  <w:p w14:paraId="0E51089B">
                    <w:pPr>
                      <w:pStyle w:val="18"/>
                    </w:pPr>
                    <w:r>
                      <w:fldChar w:fldCharType="begin"/>
                    </w:r>
                    <w:r>
                      <w:instrText xml:space="preserve"> PAGE  \* MERGEFORMAT </w:instrText>
                    </w:r>
                    <w:r>
                      <w:fldChar w:fldCharType="separate"/>
                    </w:r>
                    <w:r>
                      <w:t>- 2 -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C8D0B">
    <w:pPr>
      <w:pStyle w:val="18"/>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E85DCCD">
                          <w:pPr>
                            <w:pStyle w:val="18"/>
                          </w:pPr>
                          <w:r>
                            <w:fldChar w:fldCharType="begin"/>
                          </w:r>
                          <w:r>
                            <w:instrText xml:space="preserve"> PAGE  \* MERGEFORMAT </w:instrText>
                          </w:r>
                          <w:r>
                            <w:fldChar w:fldCharType="separate"/>
                          </w:r>
                          <w:r>
                            <w:t>- 22 -</w:t>
                          </w:r>
                          <w:r>
                            <w:fldChar w:fldCharType="end"/>
                          </w:r>
                        </w:p>
                      </w:txbxContent>
                    </wps:txbx>
                    <wps:bodyPr vert="horz" wrap="none" lIns="0" tIns="0" rIns="0" bIns="0" anchor="t" anchorCtr="0" upright="0">
                      <a:spAutoFit/>
                    </wps:bodyPr>
                  </wps:wsp>
                </a:graphicData>
              </a:graphic>
            </wp:anchor>
          </w:drawing>
        </mc:Choice>
        <mc:Fallback>
          <w:pict>
            <v:shape id="文本框 5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Y7kBt8BAAC/AwAADgAAAGRycy9lMm9Eb2MueG1srVPBjtMwEL0j8Q+W&#10;7zTZSqyqqOkKqBYhIUBa9gNcx2ks2R7LnjYpHwB/wIkLd76r38HYSbqwXPbAJRnPjN/MezNe3wzW&#10;sKMKUYOr+dWi5Ew5CY12+5rff759seIsonCNMOBUzU8q8pvN82fr3ldqCR2YRgVGIC5Wva95h+ir&#10;ooiyU1bEBXjlKNhCsALpGPZFE0RP6NYUy7K8LnoIjQ8gVYzk3Y5BPiGGpwBC22qptiAPVjkcUYMy&#10;AolS7LSPfJO7bVsl8WPbRoXM1JyYYv5SEbJ36Vts1qLaB+E7LacWxFNaeMTJCu2o6AVqK1CwQ9D/&#10;QFktA0RocSHBFiORrAixuCofaXPXCa8yF5I6+ovo8f/Byg/HT4HppubXnDlhaeDn79/OP36df35l&#10;L5dJn97HitLuPCXi8BoG2prZH8mZaA9tsOlPhBjFSd3TRV01IJPp0mq5WpUUkhSbD4RfPFz3IeJb&#10;BZYlo+aBxpdVFcf3EcfUOSVVc3CrjckjNO4vB2EmT5F6H3tMFg67YSK0g+ZEfOgdUJ0OwhfOetqC&#10;mjtaes7MO0cip4WZjTAbu9kQTtLFmiNno/kGx8U6+KD3XV611FT0rw5InWYCqY2x9tQdzTVLMO1g&#10;Wpw/zznr4d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HY7kBt8BAAC/AwAADgAAAAAA&#10;AAABACAAAAAeAQAAZHJzL2Uyb0RvYy54bWxQSwUGAAAAAAYABgBZAQAAbwUAAAAA&#10;">
              <v:fill on="f" focussize="0,0"/>
              <v:stroke on="f"/>
              <v:imagedata o:title=""/>
              <o:lock v:ext="edit" aspectratio="f"/>
              <v:textbox inset="0mm,0mm,0mm,0mm" style="mso-fit-shape-to-text:t;">
                <w:txbxContent>
                  <w:p w14:paraId="1E85DCCD">
                    <w:pPr>
                      <w:pStyle w:val="18"/>
                    </w:pPr>
                    <w:r>
                      <w:fldChar w:fldCharType="begin"/>
                    </w:r>
                    <w:r>
                      <w:instrText xml:space="preserve"> PAGE  \* MERGEFORMAT </w:instrText>
                    </w:r>
                    <w:r>
                      <w:fldChar w:fldCharType="separate"/>
                    </w:r>
                    <w:r>
                      <w:t>- 22 -</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AD06F">
    <w:pPr>
      <w:pStyle w:val="18"/>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AA49DED">
                          <w:pPr>
                            <w:pStyle w:val="18"/>
                          </w:pPr>
                          <w:r>
                            <w:fldChar w:fldCharType="begin"/>
                          </w:r>
                          <w:r>
                            <w:instrText xml:space="preserve"> PAGE  \* MERGEFORMAT </w:instrText>
                          </w:r>
                          <w:r>
                            <w:fldChar w:fldCharType="separate"/>
                          </w:r>
                          <w:r>
                            <w:t>- 54 -</w:t>
                          </w:r>
                          <w:r>
                            <w:fldChar w:fldCharType="end"/>
                          </w:r>
                        </w:p>
                      </w:txbxContent>
                    </wps:txbx>
                    <wps:bodyPr vert="horz" wrap="none" lIns="0" tIns="0" rIns="0" bIns="0" anchor="t" anchorCtr="0" upright="0">
                      <a:spAutoFit/>
                    </wps:bodyPr>
                  </wps:wsp>
                </a:graphicData>
              </a:graphic>
            </wp:anchor>
          </w:drawing>
        </mc:Choice>
        <mc:Fallback>
          <w:pict>
            <v:shape id="文本框 54"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L33LN8BAAC/AwAADgAAAGRycy9lMm9Eb2MueG1srVPNjtMwEL4j8Q6W&#10;7zTZip8qaroCqkVICJAWHsB1nMaS/+SZNikPAG/AiQt3nqvPwdhJurBc9sAlGc+Mv5nvm/H6erCG&#10;HVUE7V3NrxYlZ8pJ32i3r/nnTzdPVpwBCtcI452q+UkBv948frTuQ6WWvvOmUZERiIOqDzXvEENV&#10;FCA7ZQUsfFCOgq2PViAd475oougJ3ZpiWZbPi97HJkQvFQB5t2OQT4jxIYC+bbVUWy8PVjkcUaMy&#10;AokSdDoA3+Ru21ZJ/NC2oJCZmhNTzF8qQvYufYvNWlT7KEKn5dSCeEgL9zhZoR0VvUBtBQp2iPof&#10;KKtl9OBbXEhvi5FIVoRYXJX3tLntRFCZC0kN4SI6/D9Y+f74MTLd1PwFZ05YGvj5+7fzj1/nn1/Z&#10;s6dJnz5ARWm3gRJxeOUH2prZD+RMtIc22vQnQozipO7poq4akMl0abVcrUoKSYrNB8Iv7q6HCPhG&#10;ecuSUfNI48uqiuM7wDF1TknVnL/RxuQRGveXgzCTp0i9jz0mC4fdMBHa+eZEfOgdUJ3Oxy+c9bQF&#10;NXe09JyZt45ETgszG3E2drMhnKSLNUfORvM1jot1CFHvu7xqqSkILw9InWYCqY2x9tQdzTVLMO1g&#10;Wpw/zznr7t1tf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0L33LN8BAAC/AwAADgAAAAAA&#10;AAABACAAAAAeAQAAZHJzL2Uyb0RvYy54bWxQSwUGAAAAAAYABgBZAQAAbwUAAAAA&#10;">
              <v:fill on="f" focussize="0,0"/>
              <v:stroke on="f"/>
              <v:imagedata o:title=""/>
              <o:lock v:ext="edit" aspectratio="f"/>
              <v:textbox inset="0mm,0mm,0mm,0mm" style="mso-fit-shape-to-text:t;">
                <w:txbxContent>
                  <w:p w14:paraId="7AA49DED">
                    <w:pPr>
                      <w:pStyle w:val="18"/>
                    </w:pPr>
                    <w:r>
                      <w:fldChar w:fldCharType="begin"/>
                    </w:r>
                    <w:r>
                      <w:instrText xml:space="preserve"> PAGE  \* MERGEFORMAT </w:instrText>
                    </w:r>
                    <w:r>
                      <w:fldChar w:fldCharType="separate"/>
                    </w:r>
                    <w:r>
                      <w:t>- 54 -</w:t>
                    </w:r>
                    <w:r>
                      <w:fldChar w:fldCharType="end"/>
                    </w:r>
                  </w:p>
                </w:txbxContent>
              </v:textbox>
            </v:shape>
          </w:pict>
        </mc:Fallback>
      </mc:AlternateContent>
    </w:r>
  </w:p>
  <w:p w14:paraId="76F89E9A">
    <w:pPr>
      <w:pStyle w:val="1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0927A">
    <w:pPr>
      <w:pStyle w:val="18"/>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AAC08C">
                          <w:pPr>
                            <w:pStyle w:val="18"/>
                          </w:pPr>
                          <w:r>
                            <w:fldChar w:fldCharType="begin"/>
                          </w:r>
                          <w:r>
                            <w:instrText xml:space="preserve"> PAGE  \* MERGEFORMAT </w:instrText>
                          </w:r>
                          <w:r>
                            <w:fldChar w:fldCharType="separate"/>
                          </w:r>
                          <w:r>
                            <w:t>- 58 -</w:t>
                          </w:r>
                          <w:r>
                            <w:fldChar w:fldCharType="end"/>
                          </w:r>
                        </w:p>
                      </w:txbxContent>
                    </wps:txbx>
                    <wps:bodyPr vert="horz" wrap="none" lIns="0" tIns="0" rIns="0" bIns="0" anchor="t" anchorCtr="0" upright="0">
                      <a:spAutoFit/>
                    </wps:bodyPr>
                  </wps:wsp>
                </a:graphicData>
              </a:graphic>
            </wp:anchor>
          </w:drawing>
        </mc:Choice>
        <mc:Fallback>
          <w:pict>
            <v:shape id="文本框 55"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ATBC94BAAC/AwAADgAAAGRycy9lMm9Eb2MueG1srVPBjtMwEL0j8Q+W&#10;7zTZSouqqOkKqBYhIUBa9gNcx2ks2R7LnjYpHwB/wIkLd76r38HYSbqwXPbAJRnPjN/MezNe3wzW&#10;sKMKUYOr+dWi5Ew5CY12+5rff759seIsonCNMOBUzU8q8pvN82fr3ldqCR2YRgVGIC5Wva95h+ir&#10;ooiyU1bEBXjlKNhCsALpGPZFE0RP6NYUy7J8WfQQGh9AqhjJux2DfEIMTwGEttVSbUEerHI4ogZl&#10;BBKl2Gkf+SZ327ZK4se2jQqZqTkxxfylImTv0rfYrEW1D8J3Wk4tiKe08IiTFdpR0QvUVqBgh6D/&#10;gbJaBojQ4kKCLUYiWRFicVU+0uauE15lLiR19BfR4/+DlR+OnwLTTc1p7E5YGvj5+7fzj1/nn1/Z&#10;9XXSp/exorQ7T4k4vIaBtmb2R3Im2kMbbPoTIUZxUvd0UVcNyGS6tFquViWFJMXmA+EXD9d9iPhW&#10;gWXJqHmg8WVVxfF9xDF1TknVHNxqY/IIjfvLQZjJU6Texx6ThcNumAjtoDkRH3oHVKeD8IWznrag&#10;5o6WnjPzzpHIaWFmI8zGbjaEk3Sx5sjZaL7BcbEOPuh9l1ctNRX9qwNSp5lAamOsPXVHc80STDuY&#10;FufPc856eHeb3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oBMEL3gEAAL8DAAAOAAAAAAAA&#10;AAEAIAAAAB4BAABkcnMvZTJvRG9jLnhtbFBLBQYAAAAABgAGAFkBAABuBQAAAAA=&#10;">
              <v:fill on="f" focussize="0,0"/>
              <v:stroke on="f"/>
              <v:imagedata o:title=""/>
              <o:lock v:ext="edit" aspectratio="f"/>
              <v:textbox inset="0mm,0mm,0mm,0mm" style="mso-fit-shape-to-text:t;">
                <w:txbxContent>
                  <w:p w14:paraId="61AAC08C">
                    <w:pPr>
                      <w:pStyle w:val="18"/>
                    </w:pPr>
                    <w:r>
                      <w:fldChar w:fldCharType="begin"/>
                    </w:r>
                    <w:r>
                      <w:instrText xml:space="preserve"> PAGE  \* MERGEFORMAT </w:instrText>
                    </w:r>
                    <w:r>
                      <w:fldChar w:fldCharType="separate"/>
                    </w:r>
                    <w:r>
                      <w:t>- 58 -</w:t>
                    </w:r>
                    <w:r>
                      <w:fldChar w:fldCharType="end"/>
                    </w:r>
                  </w:p>
                </w:txbxContent>
              </v:textbox>
            </v:shape>
          </w:pict>
        </mc:Fallback>
      </mc:AlternateContent>
    </w:r>
  </w:p>
  <w:p w14:paraId="3257EC41">
    <w:pPr>
      <w:pStyle w:val="18"/>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2C6084">
    <w:pPr>
      <w:pStyle w:val="18"/>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145F272">
                          <w:pPr>
                            <w:pStyle w:val="18"/>
                          </w:pPr>
                          <w:r>
                            <w:fldChar w:fldCharType="begin"/>
                          </w:r>
                          <w:r>
                            <w:instrText xml:space="preserve"> PAGE  \* MERGEFORMAT </w:instrText>
                          </w:r>
                          <w:r>
                            <w:fldChar w:fldCharType="separate"/>
                          </w:r>
                          <w:r>
                            <w:t>- 59 -</w:t>
                          </w:r>
                          <w:r>
                            <w:fldChar w:fldCharType="end"/>
                          </w:r>
                        </w:p>
                      </w:txbxContent>
                    </wps:txbx>
                    <wps:bodyPr vert="horz" wrap="none" lIns="0" tIns="0" rIns="0" bIns="0" anchor="t" anchorCtr="0" upright="0">
                      <a:spAutoFit/>
                    </wps:bodyPr>
                  </wps:wsp>
                </a:graphicData>
              </a:graphic>
            </wp:anchor>
          </w:drawing>
        </mc:Choice>
        <mc:Fallback>
          <w:pict>
            <v:shape id="文本框 5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nDA4t8BAAC/AwAADgAAAGRycy9lMm9Eb2MueG1srVPNjtMwEL4j8Q6W&#10;7zTZSqxK1HQFVIuQECAtPIDrOI0l/2k8bVIeAN6AExfuPFefg7GTdGG57IFLMp4ZfzPfN+P1zWAN&#10;OyqI2ruaXy1KzpSTvtFuX/PPn26frTiLKFwjjHeq5icV+c3m6ZN1Hyq19J03jQJGIC5Wfah5hxiq&#10;ooiyU1bEhQ/KUbD1YAXSEfZFA6IndGuKZVleF72HJoCXKkbybscgnxDhMYC+bbVUWy8PVjkcUUEZ&#10;gUQpdjpEvsndtq2S+KFto0Jmak5MMX+pCNm79C02a1HtQYROy6kF8ZgWHnCyQjsqeoHaChTsAPof&#10;KKsl+OhbXEhvi5FIVoRYXJUPtLnrRFCZC0kdw0X0+P9g5fvjR2C6qfkLzpywNPDz92/nH7/OP7+y&#10;59dJnz7EitLuAiXi8MoPtDWzP5Iz0R5asOlPhBjFSd3TRV01IJPp0mq5WpUUkhSbD4Rf3F8PEPGN&#10;8pYlo+ZA48uqiuO7iGPqnJKqOX+rjckjNO4vB2EmT5F6H3tMFg67YSK0882J+NA7oDqdhy+c9bQF&#10;NXe09JyZt45ETgszGzAbu9kQTtLFmiNno/kax8U6BND7Lq9aaiqGlwekTjOB1MZYe+qO5polmHYw&#10;Lc6f55x1/+42v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3nDA4t8BAAC/AwAADgAAAAAA&#10;AAABACAAAAAeAQAAZHJzL2Uyb0RvYy54bWxQSwUGAAAAAAYABgBZAQAAbwUAAAAA&#10;">
              <v:fill on="f" focussize="0,0"/>
              <v:stroke on="f"/>
              <v:imagedata o:title=""/>
              <o:lock v:ext="edit" aspectratio="f"/>
              <v:textbox inset="0mm,0mm,0mm,0mm" style="mso-fit-shape-to-text:t;">
                <w:txbxContent>
                  <w:p w14:paraId="6145F272">
                    <w:pPr>
                      <w:pStyle w:val="18"/>
                    </w:pPr>
                    <w:r>
                      <w:fldChar w:fldCharType="begin"/>
                    </w:r>
                    <w:r>
                      <w:instrText xml:space="preserve"> PAGE  \* MERGEFORMAT </w:instrText>
                    </w:r>
                    <w:r>
                      <w:fldChar w:fldCharType="separate"/>
                    </w:r>
                    <w:r>
                      <w:t>- 59 -</w:t>
                    </w:r>
                    <w:r>
                      <w:fldChar w:fldCharType="end"/>
                    </w:r>
                  </w:p>
                </w:txbxContent>
              </v:textbox>
            </v:shape>
          </w:pict>
        </mc:Fallback>
      </mc:AlternateContent>
    </w:r>
  </w:p>
  <w:p w14:paraId="61FD58FD">
    <w:pPr>
      <w:pStyle w:val="18"/>
      <w:jc w:val="cen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868E6">
    <w:pPr>
      <w:pStyle w:val="18"/>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F86469E">
                          <w:pPr>
                            <w:pStyle w:val="18"/>
                          </w:pPr>
                          <w:r>
                            <w:fldChar w:fldCharType="begin"/>
                          </w:r>
                          <w:r>
                            <w:instrText xml:space="preserve"> PAGE  \* MERGEFORMAT </w:instrText>
                          </w:r>
                          <w:r>
                            <w:fldChar w:fldCharType="separate"/>
                          </w:r>
                          <w:r>
                            <w:t>- 66 -</w:t>
                          </w:r>
                          <w:r>
                            <w:fldChar w:fldCharType="end"/>
                          </w:r>
                        </w:p>
                      </w:txbxContent>
                    </wps:txbx>
                    <wps:bodyPr vert="horz" wrap="none" lIns="0" tIns="0" rIns="0" bIns="0" anchor="t" anchorCtr="0" upright="0">
                      <a:spAutoFit/>
                    </wps:bodyPr>
                  </wps:wsp>
                </a:graphicData>
              </a:graphic>
            </wp:anchor>
          </w:drawing>
        </mc:Choice>
        <mc:Fallback>
          <w:pict>
            <v:shape id="文本框 57"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N6R9d4BAADAAwAADgAAAGRycy9lMm9Eb2MueG1srVPNjtMwEL4j8Q6W&#10;7zTZSkAVNV0B1SIkBEgLD+A6TmPJf/JMm5QHgDfgxIU7z9Xn2LGTdGG57IFLMh6Pv/m+z+P19WAN&#10;O6oI2ruaXy1KzpSTvtFuX/Mvn2+erTgDFK4RxjtV85MCfr15+mTdh0otfedNoyIjEAdVH2reIYaq&#10;KEB2ygpY+KAcbbY+WoG0jPuiiaIndGuKZVm+KHofmxC9VACU3Y6bfEKMjwH0baul2np5sMrhiBqV&#10;EUiSoNMB+CazbVsl8WPbgkJmak5KMX+pCcW79C02a1HtowidlhMF8RgKDzRZoR01vUBtBQp2iPof&#10;KKtl9OBbXEhvi1FIdoRUXJUPvLntRFBZC1kN4WI6/D9Y+eH4KTLd0CSQJU5YuvHzj+/nn7/Pv76x&#10;5y+TQX2AiupuA1Xi8NoPVDzngZJJ99BGm/6kiNE+YZ0u9qoBmUyHVsvVqqQtSXvzgvCL++MhAr5V&#10;3rIU1DzS/WVbxfE94Fg6l6Ruzt9oY/IdGvdXgjBTpkjcR44pwmE3TIJ2vjmRHnoI1Kfz8StnPY1B&#10;zR1NPWfmnSOXiSvOQZyD3RwIJ+lgzZGzMXyD42QdQtT7Ls9aIgXh1QGJaRaQaIy9J3Z0sdmCaQjT&#10;5Py5zlX3D29z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Bg3pH13gEAAMADAAAOAAAAAAAA&#10;AAEAIAAAAB4BAABkcnMvZTJvRG9jLnhtbFBLBQYAAAAABgAGAFkBAABuBQAAAAA=&#10;">
              <v:fill on="f" focussize="0,0"/>
              <v:stroke on="f"/>
              <v:imagedata o:title=""/>
              <o:lock v:ext="edit" aspectratio="f"/>
              <v:textbox inset="0mm,0mm,0mm,0mm" style="mso-fit-shape-to-text:t;">
                <w:txbxContent>
                  <w:p w14:paraId="5F86469E">
                    <w:pPr>
                      <w:pStyle w:val="18"/>
                    </w:pPr>
                    <w:r>
                      <w:fldChar w:fldCharType="begin"/>
                    </w:r>
                    <w:r>
                      <w:instrText xml:space="preserve"> PAGE  \* MERGEFORMAT </w:instrText>
                    </w:r>
                    <w:r>
                      <w:fldChar w:fldCharType="separate"/>
                    </w:r>
                    <w:r>
                      <w:t>- 66 -</w:t>
                    </w:r>
                    <w:r>
                      <w:fldChar w:fldCharType="end"/>
                    </w:r>
                  </w:p>
                </w:txbxContent>
              </v:textbox>
            </v:shape>
          </w:pict>
        </mc:Fallback>
      </mc:AlternateContent>
    </w:r>
  </w:p>
  <w:p w14:paraId="5F7BA755">
    <w:pPr>
      <w:pStyle w:val="18"/>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992B41">
    <w:pPr>
      <w:pStyle w:val="18"/>
      <w:jc w:val="cente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40A5568">
                          <w:pPr>
                            <w:pStyle w:val="18"/>
                          </w:pPr>
                          <w:r>
                            <w:fldChar w:fldCharType="begin"/>
                          </w:r>
                          <w:r>
                            <w:instrText xml:space="preserve"> PAGE  \* MERGEFORMAT </w:instrText>
                          </w:r>
                          <w:r>
                            <w:fldChar w:fldCharType="separate"/>
                          </w:r>
                          <w:r>
                            <w:t>- 67 -</w:t>
                          </w:r>
                          <w:r>
                            <w:fldChar w:fldCharType="end"/>
                          </w:r>
                        </w:p>
                      </w:txbxContent>
                    </wps:txbx>
                    <wps:bodyPr vert="horz" wrap="none" lIns="0" tIns="0" rIns="0" bIns="0" anchor="t" anchorCtr="0" upright="0">
                      <a:spAutoFit/>
                    </wps:bodyPr>
                  </wps:wsp>
                </a:graphicData>
              </a:graphic>
            </wp:anchor>
          </w:drawing>
        </mc:Choice>
        <mc:Fallback>
          <w:pict>
            <v:shape id="文本框 58"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1jZw94BAADAAwAADgAAAGRycy9lMm9Eb2MueG1srVNNrtMwEN4jcQfL&#10;e5q0Eiiqmj4B1UNICJAeHMB1nMaS/zTjNikHgBuwYsOec/UcjJ2kDx6bt2CTjGfG38z3zXhzM1jD&#10;TgpQe1fz5aLkTDnpG+0ONf/86fZZxRlG4RphvFM1PyvkN9unTzZ9WKuV77xpFDACcbjuQ827GMO6&#10;KFB2ygpc+KAcBVsPVkQ6wqFoQPSEbk2xKssXRe+hCeClQiTvbgzyCREeA+jbVku18/JolYsjKigj&#10;IlHCTgfk29xt2yoZP7QtqshMzYlpzF8qQvY+fYvtRqwPIEKn5dSCeEwLDzhZoR0VvULtRBTsCPof&#10;KKslePRtXEhvi5FIVoRYLMsH2tx1IqjMhaTGcBUd/x+sfH/6CEw3tAlLzpywNPHL92+XH78uP7+y&#10;51USqA+4pry7QJlxeOUHSp79SM7Ee2jBpj8xYhQnec9XedUQmUyXqlVVlRSSFJsPhF/cXw+A8Y3y&#10;liWj5kDzy7KK0zuMY+qckqo5f6uNyTM07i8HYSZPkXofe0xWHPbDRGjvmzPxoYdAdToPXzjraQ1q&#10;7mjrOTNvHamcNmY2YDb2syGcpIs1j5yN5us4btYxgD50eddSUxheHiN1mgmkNsbaU3c02CzBtIRp&#10;c/4856z7h7f9D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M6pebnPAAAABQEAAA8AAAAAAAAAAQAg&#10;AAAAIgAAAGRycy9kb3ducmV2LnhtbFBLAQIUABQAAAAIAIdO4kAzWNnD3gEAAMADAAAOAAAAAAAA&#10;AAEAIAAAAB4BAABkcnMvZTJvRG9jLnhtbFBLBQYAAAAABgAGAFkBAABuBQAAAAA=&#10;">
              <v:fill on="f" focussize="0,0"/>
              <v:stroke on="f"/>
              <v:imagedata o:title=""/>
              <o:lock v:ext="edit" aspectratio="f"/>
              <v:textbox inset="0mm,0mm,0mm,0mm" style="mso-fit-shape-to-text:t;">
                <w:txbxContent>
                  <w:p w14:paraId="140A5568">
                    <w:pPr>
                      <w:pStyle w:val="18"/>
                    </w:pPr>
                    <w:r>
                      <w:fldChar w:fldCharType="begin"/>
                    </w:r>
                    <w:r>
                      <w:instrText xml:space="preserve"> PAGE  \* MERGEFORMAT </w:instrText>
                    </w:r>
                    <w:r>
                      <w:fldChar w:fldCharType="separate"/>
                    </w:r>
                    <w:r>
                      <w:t>- 67 -</w:t>
                    </w:r>
                    <w:r>
                      <w:fldChar w:fldCharType="end"/>
                    </w:r>
                  </w:p>
                </w:txbxContent>
              </v:textbox>
            </v:shape>
          </w:pict>
        </mc:Fallback>
      </mc:AlternateContent>
    </w:r>
  </w:p>
  <w:p w14:paraId="285D8FD1">
    <w:pPr>
      <w:pStyle w:val="1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DD988">
    <w:pPr>
      <w:pStyle w:val="19"/>
      <w:pBdr>
        <w:bottom w:val="single" w:color="auto" w:sz="4" w:space="1"/>
      </w:pBdr>
      <w:jc w:val="both"/>
    </w:pPr>
    <w:r>
      <w:rPr>
        <w:rFonts w:hint="eastAsia"/>
        <w:b/>
        <w:bCs/>
        <w:sz w:val="21"/>
        <w:szCs w:val="21"/>
      </w:rPr>
      <w:t xml:space="preserve">     </w:t>
    </w:r>
    <w:r>
      <w:rPr>
        <w:rFonts w:hint="eastAsia"/>
        <w:b/>
        <w:bCs/>
        <w:sz w:val="21"/>
        <w:szCs w:val="21"/>
        <w:lang w:val="en-US" w:eastAsia="zh-CN"/>
      </w:rPr>
      <w:t xml:space="preserve">                             </w:t>
    </w:r>
    <w:r>
      <w:rPr>
        <w:rFonts w:hint="eastAsia"/>
        <w:b/>
        <w:bCs/>
        <w:sz w:val="21"/>
        <w:szCs w:val="21"/>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5322B">
    <w:pPr>
      <w:pStyle w:val="19"/>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1F2C4F">
    <w:pPr>
      <w:pStyle w:val="19"/>
      <w:jc w:val="right"/>
    </w:pPr>
    <w:r>
      <w:rPr>
        <w:rFonts w:hint="eastAsia" w:ascii="宋体" w:hAnsi="宋体"/>
        <w:b/>
        <w:bCs/>
        <w:sz w:val="21"/>
        <w:szCs w:val="21"/>
        <w:lang w:eastAsia="zh-CN"/>
      </w:rPr>
      <w:t>云南玉昭工程咨询有限公司</w:t>
    </w:r>
    <w:r>
      <w:rPr>
        <w:rFonts w:hint="eastAsia"/>
        <w:b/>
        <w:bCs/>
        <w:sz w:val="21"/>
        <w:szCs w:val="21"/>
      </w:rPr>
      <w:t xml:space="preserve">                                                     </w:t>
    </w:r>
    <w:r>
      <w:rPr>
        <w:rFonts w:hint="eastAsia" w:ascii="宋体" w:hAnsi="宋体"/>
        <w:b/>
        <w:bCs/>
        <w:color w:val="000000"/>
        <w:sz w:val="21"/>
        <w:szCs w:val="21"/>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FE3C9">
    <w:pPr>
      <w:pStyle w:val="19"/>
      <w:jc w:val="right"/>
    </w:pPr>
    <w:r>
      <w:rPr>
        <w:rFonts w:hint="eastAsia" w:ascii="宋体" w:hAnsi="宋体"/>
        <w:b/>
        <w:bCs/>
        <w:sz w:val="21"/>
        <w:szCs w:val="21"/>
        <w:lang w:eastAsia="zh-CN"/>
      </w:rPr>
      <w:t>云南玉昭工程咨询有限公司</w:t>
    </w:r>
    <w:r>
      <w:rPr>
        <w:rFonts w:hint="eastAsia"/>
        <w:b/>
        <w:bCs/>
        <w:sz w:val="21"/>
        <w:szCs w:val="21"/>
      </w:rPr>
      <w:t xml:space="preserve">                                                     </w:t>
    </w:r>
    <w:r>
      <w:rPr>
        <w:rFonts w:hint="eastAsia" w:ascii="宋体" w:hAnsi="宋体"/>
        <w:b/>
        <w:bCs/>
        <w:color w:val="000000"/>
        <w:sz w:val="21"/>
        <w:szCs w:val="21"/>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DDECD3BC"/>
    <w:multiLevelType w:val="singleLevel"/>
    <w:tmpl w:val="DDECD3BC"/>
    <w:lvl w:ilvl="0" w:tentative="0">
      <w:start w:val="6"/>
      <w:numFmt w:val="decimal"/>
      <w:suff w:val="space"/>
      <w:lvlText w:val="%1."/>
      <w:lvlJc w:val="left"/>
    </w:lvl>
  </w:abstractNum>
  <w:abstractNum w:abstractNumId="2">
    <w:nsid w:val="DE759F4B"/>
    <w:multiLevelType w:val="singleLevel"/>
    <w:tmpl w:val="DE759F4B"/>
    <w:lvl w:ilvl="0" w:tentative="0">
      <w:start w:val="2"/>
      <w:numFmt w:val="decimal"/>
      <w:suff w:val="space"/>
      <w:lvlText w:val="%1."/>
      <w:lvlJc w:val="left"/>
    </w:lvl>
  </w:abstractNum>
  <w:abstractNum w:abstractNumId="3">
    <w:nsid w:val="DEABE1DB"/>
    <w:multiLevelType w:val="singleLevel"/>
    <w:tmpl w:val="DEABE1DB"/>
    <w:lvl w:ilvl="0" w:tentative="0">
      <w:start w:val="23"/>
      <w:numFmt w:val="decimal"/>
      <w:suff w:val="space"/>
      <w:lvlText w:val="%1."/>
      <w:lvlJc w:val="left"/>
    </w:lvl>
  </w:abstractNum>
  <w:abstractNum w:abstractNumId="4">
    <w:nsid w:val="E64064A7"/>
    <w:multiLevelType w:val="singleLevel"/>
    <w:tmpl w:val="E64064A7"/>
    <w:lvl w:ilvl="0" w:tentative="0">
      <w:start w:val="3"/>
      <w:numFmt w:val="chineseCounting"/>
      <w:suff w:val="nothing"/>
      <w:lvlText w:val="%1、"/>
      <w:lvlJc w:val="left"/>
      <w:rPr>
        <w:rFonts w:hint="eastAsia"/>
      </w:rPr>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216BE14E"/>
    <w:multiLevelType w:val="singleLevel"/>
    <w:tmpl w:val="216BE14E"/>
    <w:lvl w:ilvl="0" w:tentative="0">
      <w:start w:val="1"/>
      <w:numFmt w:val="decimal"/>
      <w:lvlText w:val="%1."/>
      <w:lvlJc w:val="left"/>
      <w:pPr>
        <w:tabs>
          <w:tab w:val="left" w:pos="312"/>
        </w:tabs>
      </w:pPr>
    </w:lvl>
  </w:abstractNum>
  <w:abstractNum w:abstractNumId="7">
    <w:nsid w:val="7A0F6431"/>
    <w:multiLevelType w:val="singleLevel"/>
    <w:tmpl w:val="7A0F6431"/>
    <w:lvl w:ilvl="0" w:tentative="0">
      <w:start w:val="1"/>
      <w:numFmt w:val="decimal"/>
      <w:suff w:val="space"/>
      <w:lvlText w:val="%1."/>
      <w:lvlJc w:val="left"/>
    </w:lvl>
  </w:abstractNum>
  <w:num w:numId="1">
    <w:abstractNumId w:val="7"/>
  </w:num>
  <w:num w:numId="2">
    <w:abstractNumId w:val="5"/>
  </w:num>
  <w:num w:numId="3">
    <w:abstractNumId w:val="2"/>
  </w:num>
  <w:num w:numId="4">
    <w:abstractNumId w:val="1"/>
  </w:num>
  <w:num w:numId="5">
    <w:abstractNumId w:val="0"/>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210"/>
  <w:drawingGridVerticalSpacing w:val="159"/>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U0NDc4NWQ4NTg0ZjYwN2FkMzk0MjY0OTk3ZjNiZGIifQ=="/>
  </w:docVars>
  <w:rsids>
    <w:rsidRoot w:val="001A07FD"/>
    <w:rsid w:val="00030F55"/>
    <w:rsid w:val="00047E90"/>
    <w:rsid w:val="000636B3"/>
    <w:rsid w:val="000815F4"/>
    <w:rsid w:val="0009057F"/>
    <w:rsid w:val="000A3744"/>
    <w:rsid w:val="000B608D"/>
    <w:rsid w:val="000B736F"/>
    <w:rsid w:val="000D0527"/>
    <w:rsid w:val="000F4007"/>
    <w:rsid w:val="00116F18"/>
    <w:rsid w:val="0013374D"/>
    <w:rsid w:val="00146907"/>
    <w:rsid w:val="0016301C"/>
    <w:rsid w:val="00180065"/>
    <w:rsid w:val="00182CB0"/>
    <w:rsid w:val="001A07FD"/>
    <w:rsid w:val="001B7434"/>
    <w:rsid w:val="00204378"/>
    <w:rsid w:val="002235B9"/>
    <w:rsid w:val="00237053"/>
    <w:rsid w:val="002932BF"/>
    <w:rsid w:val="002C4B13"/>
    <w:rsid w:val="003037B0"/>
    <w:rsid w:val="0030759A"/>
    <w:rsid w:val="00324338"/>
    <w:rsid w:val="003347CA"/>
    <w:rsid w:val="00346AC4"/>
    <w:rsid w:val="0036146A"/>
    <w:rsid w:val="0037646C"/>
    <w:rsid w:val="003815C9"/>
    <w:rsid w:val="00381BBB"/>
    <w:rsid w:val="00390E93"/>
    <w:rsid w:val="003A249C"/>
    <w:rsid w:val="003B4871"/>
    <w:rsid w:val="003C22C3"/>
    <w:rsid w:val="003C360A"/>
    <w:rsid w:val="003C4CCE"/>
    <w:rsid w:val="003E46C2"/>
    <w:rsid w:val="00403F20"/>
    <w:rsid w:val="0040799E"/>
    <w:rsid w:val="00410DB4"/>
    <w:rsid w:val="00464071"/>
    <w:rsid w:val="00481D6F"/>
    <w:rsid w:val="00483E43"/>
    <w:rsid w:val="004A08E4"/>
    <w:rsid w:val="004A1EB8"/>
    <w:rsid w:val="004B48CF"/>
    <w:rsid w:val="004F4040"/>
    <w:rsid w:val="005045E6"/>
    <w:rsid w:val="005065F5"/>
    <w:rsid w:val="005451A9"/>
    <w:rsid w:val="00572B7B"/>
    <w:rsid w:val="00573201"/>
    <w:rsid w:val="00583614"/>
    <w:rsid w:val="00583D45"/>
    <w:rsid w:val="00585E76"/>
    <w:rsid w:val="005872F4"/>
    <w:rsid w:val="005F467F"/>
    <w:rsid w:val="00603E36"/>
    <w:rsid w:val="0061332D"/>
    <w:rsid w:val="00621A45"/>
    <w:rsid w:val="00623E81"/>
    <w:rsid w:val="00630F0A"/>
    <w:rsid w:val="00640445"/>
    <w:rsid w:val="00670B46"/>
    <w:rsid w:val="00687017"/>
    <w:rsid w:val="00687647"/>
    <w:rsid w:val="006A5253"/>
    <w:rsid w:val="006A6C89"/>
    <w:rsid w:val="006C1FEC"/>
    <w:rsid w:val="006D45D9"/>
    <w:rsid w:val="007115E2"/>
    <w:rsid w:val="00724AAB"/>
    <w:rsid w:val="0074247B"/>
    <w:rsid w:val="00754D31"/>
    <w:rsid w:val="00761E55"/>
    <w:rsid w:val="00777DDD"/>
    <w:rsid w:val="007C49FC"/>
    <w:rsid w:val="007E4B61"/>
    <w:rsid w:val="00802276"/>
    <w:rsid w:val="00816F9A"/>
    <w:rsid w:val="00905380"/>
    <w:rsid w:val="00916252"/>
    <w:rsid w:val="00940EB2"/>
    <w:rsid w:val="00955A1A"/>
    <w:rsid w:val="009657FA"/>
    <w:rsid w:val="009B3FC3"/>
    <w:rsid w:val="009C1CE3"/>
    <w:rsid w:val="009C6BDD"/>
    <w:rsid w:val="00A066DE"/>
    <w:rsid w:val="00A12ACE"/>
    <w:rsid w:val="00A15FA5"/>
    <w:rsid w:val="00A36387"/>
    <w:rsid w:val="00A73EA0"/>
    <w:rsid w:val="00B06C3B"/>
    <w:rsid w:val="00B34228"/>
    <w:rsid w:val="00B46918"/>
    <w:rsid w:val="00B603D4"/>
    <w:rsid w:val="00B7266A"/>
    <w:rsid w:val="00BB67C4"/>
    <w:rsid w:val="00BD79AC"/>
    <w:rsid w:val="00C13FE8"/>
    <w:rsid w:val="00C22632"/>
    <w:rsid w:val="00C32331"/>
    <w:rsid w:val="00C57E14"/>
    <w:rsid w:val="00C61887"/>
    <w:rsid w:val="00CB2995"/>
    <w:rsid w:val="00CD3EE7"/>
    <w:rsid w:val="00CE112A"/>
    <w:rsid w:val="00D0774B"/>
    <w:rsid w:val="00D14B99"/>
    <w:rsid w:val="00D4070C"/>
    <w:rsid w:val="00D71F18"/>
    <w:rsid w:val="00D8741D"/>
    <w:rsid w:val="00D90051"/>
    <w:rsid w:val="00D9745C"/>
    <w:rsid w:val="00DE0969"/>
    <w:rsid w:val="00DE4940"/>
    <w:rsid w:val="00DF5B6C"/>
    <w:rsid w:val="00E04CED"/>
    <w:rsid w:val="00E05EEA"/>
    <w:rsid w:val="00E44912"/>
    <w:rsid w:val="00E6646C"/>
    <w:rsid w:val="00E664C0"/>
    <w:rsid w:val="00E72790"/>
    <w:rsid w:val="00E93FBB"/>
    <w:rsid w:val="00E964D4"/>
    <w:rsid w:val="00EA04F9"/>
    <w:rsid w:val="00ED26E7"/>
    <w:rsid w:val="00EF1E98"/>
    <w:rsid w:val="00F04FBF"/>
    <w:rsid w:val="00F251F0"/>
    <w:rsid w:val="00F51D67"/>
    <w:rsid w:val="00F65597"/>
    <w:rsid w:val="00F655E1"/>
    <w:rsid w:val="00F774D7"/>
    <w:rsid w:val="00FB007A"/>
    <w:rsid w:val="00FC4483"/>
    <w:rsid w:val="00FE66FE"/>
    <w:rsid w:val="010974DF"/>
    <w:rsid w:val="010F4B69"/>
    <w:rsid w:val="0130676A"/>
    <w:rsid w:val="01375E41"/>
    <w:rsid w:val="013B7A72"/>
    <w:rsid w:val="013E24BF"/>
    <w:rsid w:val="01416D8C"/>
    <w:rsid w:val="01453A14"/>
    <w:rsid w:val="01542E3B"/>
    <w:rsid w:val="01585BB8"/>
    <w:rsid w:val="015A204F"/>
    <w:rsid w:val="015F686F"/>
    <w:rsid w:val="01666F1F"/>
    <w:rsid w:val="016A0CC6"/>
    <w:rsid w:val="016D7475"/>
    <w:rsid w:val="01735F4B"/>
    <w:rsid w:val="017D3325"/>
    <w:rsid w:val="018569B4"/>
    <w:rsid w:val="018C6445"/>
    <w:rsid w:val="01AC4C57"/>
    <w:rsid w:val="01B27DD6"/>
    <w:rsid w:val="01B871C0"/>
    <w:rsid w:val="01CC4933"/>
    <w:rsid w:val="01CC654C"/>
    <w:rsid w:val="01DC58DF"/>
    <w:rsid w:val="01E054EB"/>
    <w:rsid w:val="01E26AB1"/>
    <w:rsid w:val="01E71F06"/>
    <w:rsid w:val="01EF5D98"/>
    <w:rsid w:val="01F46458"/>
    <w:rsid w:val="01FE0A2C"/>
    <w:rsid w:val="0201658D"/>
    <w:rsid w:val="02072DF4"/>
    <w:rsid w:val="021F4076"/>
    <w:rsid w:val="02215E17"/>
    <w:rsid w:val="02217A18"/>
    <w:rsid w:val="0224084D"/>
    <w:rsid w:val="02247C30"/>
    <w:rsid w:val="02251F8E"/>
    <w:rsid w:val="02261066"/>
    <w:rsid w:val="022B7034"/>
    <w:rsid w:val="02345DAF"/>
    <w:rsid w:val="02483A5D"/>
    <w:rsid w:val="025E3B16"/>
    <w:rsid w:val="02693BD4"/>
    <w:rsid w:val="02793C5B"/>
    <w:rsid w:val="027B63D7"/>
    <w:rsid w:val="02832BC7"/>
    <w:rsid w:val="02836DE2"/>
    <w:rsid w:val="02895B83"/>
    <w:rsid w:val="028F5707"/>
    <w:rsid w:val="029B6E90"/>
    <w:rsid w:val="02A26030"/>
    <w:rsid w:val="02A3377A"/>
    <w:rsid w:val="02AA6756"/>
    <w:rsid w:val="02AD3D3A"/>
    <w:rsid w:val="02AD3D85"/>
    <w:rsid w:val="02AE6FF2"/>
    <w:rsid w:val="02B05949"/>
    <w:rsid w:val="02B07F0A"/>
    <w:rsid w:val="02B40E10"/>
    <w:rsid w:val="02B67502"/>
    <w:rsid w:val="02B964A5"/>
    <w:rsid w:val="02C37979"/>
    <w:rsid w:val="02C52D11"/>
    <w:rsid w:val="02CA6F70"/>
    <w:rsid w:val="02D15CAB"/>
    <w:rsid w:val="02D57887"/>
    <w:rsid w:val="02DC556E"/>
    <w:rsid w:val="02EE68FF"/>
    <w:rsid w:val="02F46B94"/>
    <w:rsid w:val="03016A60"/>
    <w:rsid w:val="03093A07"/>
    <w:rsid w:val="03120381"/>
    <w:rsid w:val="03153165"/>
    <w:rsid w:val="031846AA"/>
    <w:rsid w:val="031C07A5"/>
    <w:rsid w:val="031C7ACD"/>
    <w:rsid w:val="03257081"/>
    <w:rsid w:val="03305546"/>
    <w:rsid w:val="03337D3C"/>
    <w:rsid w:val="03347BA5"/>
    <w:rsid w:val="03465DA8"/>
    <w:rsid w:val="034F0A40"/>
    <w:rsid w:val="035241DD"/>
    <w:rsid w:val="035962AC"/>
    <w:rsid w:val="0360752C"/>
    <w:rsid w:val="03630548"/>
    <w:rsid w:val="0366170B"/>
    <w:rsid w:val="036E4DF2"/>
    <w:rsid w:val="036F73CC"/>
    <w:rsid w:val="0375678B"/>
    <w:rsid w:val="037B422A"/>
    <w:rsid w:val="038D0696"/>
    <w:rsid w:val="038E5359"/>
    <w:rsid w:val="03930F87"/>
    <w:rsid w:val="03960557"/>
    <w:rsid w:val="039D36DA"/>
    <w:rsid w:val="03A861F3"/>
    <w:rsid w:val="03AC50CD"/>
    <w:rsid w:val="03B20756"/>
    <w:rsid w:val="03B23C58"/>
    <w:rsid w:val="03B35A38"/>
    <w:rsid w:val="03B45169"/>
    <w:rsid w:val="03C15054"/>
    <w:rsid w:val="03CF3A69"/>
    <w:rsid w:val="03CF7C42"/>
    <w:rsid w:val="03D97465"/>
    <w:rsid w:val="03E154A3"/>
    <w:rsid w:val="04003C23"/>
    <w:rsid w:val="040445FD"/>
    <w:rsid w:val="040719FE"/>
    <w:rsid w:val="04090A66"/>
    <w:rsid w:val="040E4806"/>
    <w:rsid w:val="04131BA8"/>
    <w:rsid w:val="041812F0"/>
    <w:rsid w:val="041B68E1"/>
    <w:rsid w:val="04254EF7"/>
    <w:rsid w:val="04255BC3"/>
    <w:rsid w:val="04316766"/>
    <w:rsid w:val="04332B08"/>
    <w:rsid w:val="043707EE"/>
    <w:rsid w:val="04474A49"/>
    <w:rsid w:val="045A77D7"/>
    <w:rsid w:val="045E5D63"/>
    <w:rsid w:val="04634D8F"/>
    <w:rsid w:val="046D155D"/>
    <w:rsid w:val="04742E94"/>
    <w:rsid w:val="047F15EC"/>
    <w:rsid w:val="0482591E"/>
    <w:rsid w:val="04874F74"/>
    <w:rsid w:val="04895937"/>
    <w:rsid w:val="04A313BF"/>
    <w:rsid w:val="04A51EC4"/>
    <w:rsid w:val="04AB0032"/>
    <w:rsid w:val="04B11C19"/>
    <w:rsid w:val="04BA08C9"/>
    <w:rsid w:val="04BB3CBA"/>
    <w:rsid w:val="04BF2CB8"/>
    <w:rsid w:val="04C7198E"/>
    <w:rsid w:val="04D94F44"/>
    <w:rsid w:val="04DB4128"/>
    <w:rsid w:val="04DC1BC8"/>
    <w:rsid w:val="04DF3800"/>
    <w:rsid w:val="04E24BE1"/>
    <w:rsid w:val="04E43D0E"/>
    <w:rsid w:val="04F75026"/>
    <w:rsid w:val="04F90CBC"/>
    <w:rsid w:val="04F95927"/>
    <w:rsid w:val="04FA3462"/>
    <w:rsid w:val="050354D7"/>
    <w:rsid w:val="051162FA"/>
    <w:rsid w:val="05287F8F"/>
    <w:rsid w:val="05321753"/>
    <w:rsid w:val="05391F80"/>
    <w:rsid w:val="053A4ACF"/>
    <w:rsid w:val="053E3845"/>
    <w:rsid w:val="05410997"/>
    <w:rsid w:val="054779AD"/>
    <w:rsid w:val="054E74F8"/>
    <w:rsid w:val="0556011D"/>
    <w:rsid w:val="05584F57"/>
    <w:rsid w:val="05595CE0"/>
    <w:rsid w:val="055C2EC6"/>
    <w:rsid w:val="05615C15"/>
    <w:rsid w:val="056A2976"/>
    <w:rsid w:val="056F38EF"/>
    <w:rsid w:val="05762528"/>
    <w:rsid w:val="05765006"/>
    <w:rsid w:val="057768BF"/>
    <w:rsid w:val="0580501B"/>
    <w:rsid w:val="058B1B02"/>
    <w:rsid w:val="058F0E70"/>
    <w:rsid w:val="058F67EC"/>
    <w:rsid w:val="05AA7E70"/>
    <w:rsid w:val="05B21DE2"/>
    <w:rsid w:val="05B872DF"/>
    <w:rsid w:val="05BB5A50"/>
    <w:rsid w:val="05C94E2E"/>
    <w:rsid w:val="05C96854"/>
    <w:rsid w:val="05CB2D33"/>
    <w:rsid w:val="05DF622F"/>
    <w:rsid w:val="05EA3BDD"/>
    <w:rsid w:val="05EC0BBF"/>
    <w:rsid w:val="05F159E2"/>
    <w:rsid w:val="05F2506C"/>
    <w:rsid w:val="05F921F6"/>
    <w:rsid w:val="05FE23E4"/>
    <w:rsid w:val="05FF3C1A"/>
    <w:rsid w:val="06062A3D"/>
    <w:rsid w:val="06075FEC"/>
    <w:rsid w:val="060D49F6"/>
    <w:rsid w:val="06112B3C"/>
    <w:rsid w:val="06215539"/>
    <w:rsid w:val="062D2A4C"/>
    <w:rsid w:val="062F6A41"/>
    <w:rsid w:val="0638780A"/>
    <w:rsid w:val="063E0DE6"/>
    <w:rsid w:val="064176D8"/>
    <w:rsid w:val="06454C97"/>
    <w:rsid w:val="06491398"/>
    <w:rsid w:val="064B1E81"/>
    <w:rsid w:val="064D0BCD"/>
    <w:rsid w:val="06514C09"/>
    <w:rsid w:val="065710C2"/>
    <w:rsid w:val="06584D4D"/>
    <w:rsid w:val="067C1522"/>
    <w:rsid w:val="068122F5"/>
    <w:rsid w:val="06837E4F"/>
    <w:rsid w:val="06843D48"/>
    <w:rsid w:val="06905732"/>
    <w:rsid w:val="06927983"/>
    <w:rsid w:val="06975731"/>
    <w:rsid w:val="069B626B"/>
    <w:rsid w:val="069C25C5"/>
    <w:rsid w:val="069C5DA9"/>
    <w:rsid w:val="06B95C2A"/>
    <w:rsid w:val="06C15D84"/>
    <w:rsid w:val="06C3703E"/>
    <w:rsid w:val="06C614AC"/>
    <w:rsid w:val="06CC61A7"/>
    <w:rsid w:val="06D2524A"/>
    <w:rsid w:val="06D43DFA"/>
    <w:rsid w:val="06E51995"/>
    <w:rsid w:val="06EA3E03"/>
    <w:rsid w:val="06F42009"/>
    <w:rsid w:val="06F85DFF"/>
    <w:rsid w:val="070B081D"/>
    <w:rsid w:val="070D7104"/>
    <w:rsid w:val="071579E5"/>
    <w:rsid w:val="07165BB5"/>
    <w:rsid w:val="071664CB"/>
    <w:rsid w:val="07195698"/>
    <w:rsid w:val="072C51F4"/>
    <w:rsid w:val="0730654F"/>
    <w:rsid w:val="073D207A"/>
    <w:rsid w:val="074A1497"/>
    <w:rsid w:val="074A49E1"/>
    <w:rsid w:val="074B6B0A"/>
    <w:rsid w:val="074E2E85"/>
    <w:rsid w:val="07515BF5"/>
    <w:rsid w:val="075850A0"/>
    <w:rsid w:val="076003DE"/>
    <w:rsid w:val="0760628E"/>
    <w:rsid w:val="076B3425"/>
    <w:rsid w:val="076B52A9"/>
    <w:rsid w:val="076D5A34"/>
    <w:rsid w:val="0776142E"/>
    <w:rsid w:val="07764244"/>
    <w:rsid w:val="077B0190"/>
    <w:rsid w:val="0783049C"/>
    <w:rsid w:val="07870AFB"/>
    <w:rsid w:val="078748AB"/>
    <w:rsid w:val="078B665C"/>
    <w:rsid w:val="07AC3018"/>
    <w:rsid w:val="07BA0B8A"/>
    <w:rsid w:val="07BE249F"/>
    <w:rsid w:val="07BF409F"/>
    <w:rsid w:val="07CF3C47"/>
    <w:rsid w:val="07D76651"/>
    <w:rsid w:val="07DA2045"/>
    <w:rsid w:val="07DC0946"/>
    <w:rsid w:val="07DD06DB"/>
    <w:rsid w:val="07DD5905"/>
    <w:rsid w:val="07DF26DB"/>
    <w:rsid w:val="07E239CC"/>
    <w:rsid w:val="07E53475"/>
    <w:rsid w:val="07F25F78"/>
    <w:rsid w:val="07F8725D"/>
    <w:rsid w:val="07FC2E74"/>
    <w:rsid w:val="07FE79CD"/>
    <w:rsid w:val="08015504"/>
    <w:rsid w:val="080D4B60"/>
    <w:rsid w:val="080E7859"/>
    <w:rsid w:val="080F1AFD"/>
    <w:rsid w:val="08191757"/>
    <w:rsid w:val="08275E9F"/>
    <w:rsid w:val="083927E4"/>
    <w:rsid w:val="083C0402"/>
    <w:rsid w:val="083C4608"/>
    <w:rsid w:val="08436517"/>
    <w:rsid w:val="084C154B"/>
    <w:rsid w:val="084F0A17"/>
    <w:rsid w:val="085A3CC5"/>
    <w:rsid w:val="08627391"/>
    <w:rsid w:val="086A114C"/>
    <w:rsid w:val="086E4FBF"/>
    <w:rsid w:val="08711291"/>
    <w:rsid w:val="087329A6"/>
    <w:rsid w:val="087466EA"/>
    <w:rsid w:val="087E15BA"/>
    <w:rsid w:val="088A6EB5"/>
    <w:rsid w:val="089A6A2E"/>
    <w:rsid w:val="08A676CB"/>
    <w:rsid w:val="08AA0C7F"/>
    <w:rsid w:val="08B35527"/>
    <w:rsid w:val="08C62846"/>
    <w:rsid w:val="08C95534"/>
    <w:rsid w:val="08CE1601"/>
    <w:rsid w:val="08DE3382"/>
    <w:rsid w:val="08F6361B"/>
    <w:rsid w:val="08F77308"/>
    <w:rsid w:val="08FF6095"/>
    <w:rsid w:val="09045AED"/>
    <w:rsid w:val="09060B75"/>
    <w:rsid w:val="090653B1"/>
    <w:rsid w:val="09132149"/>
    <w:rsid w:val="09207898"/>
    <w:rsid w:val="09246B7F"/>
    <w:rsid w:val="0926197A"/>
    <w:rsid w:val="092D395B"/>
    <w:rsid w:val="092F19E3"/>
    <w:rsid w:val="09325651"/>
    <w:rsid w:val="09344E19"/>
    <w:rsid w:val="09370A52"/>
    <w:rsid w:val="093D51B4"/>
    <w:rsid w:val="095504DD"/>
    <w:rsid w:val="09647EC4"/>
    <w:rsid w:val="09766ACB"/>
    <w:rsid w:val="09767697"/>
    <w:rsid w:val="0980626C"/>
    <w:rsid w:val="0983157E"/>
    <w:rsid w:val="098621E3"/>
    <w:rsid w:val="098D628F"/>
    <w:rsid w:val="098E7098"/>
    <w:rsid w:val="098F50FF"/>
    <w:rsid w:val="09924AB2"/>
    <w:rsid w:val="0998486F"/>
    <w:rsid w:val="09996199"/>
    <w:rsid w:val="099F1D68"/>
    <w:rsid w:val="09B25C8F"/>
    <w:rsid w:val="09B37AEC"/>
    <w:rsid w:val="09B50186"/>
    <w:rsid w:val="09BC4A90"/>
    <w:rsid w:val="09C51231"/>
    <w:rsid w:val="09C72651"/>
    <w:rsid w:val="09CC05C4"/>
    <w:rsid w:val="09D23279"/>
    <w:rsid w:val="09D27E0F"/>
    <w:rsid w:val="09E23085"/>
    <w:rsid w:val="09E62EBE"/>
    <w:rsid w:val="09EF5595"/>
    <w:rsid w:val="09F1006B"/>
    <w:rsid w:val="09F2400E"/>
    <w:rsid w:val="09FE29B2"/>
    <w:rsid w:val="09FE7367"/>
    <w:rsid w:val="0A07135F"/>
    <w:rsid w:val="0A116CF4"/>
    <w:rsid w:val="0A1B5351"/>
    <w:rsid w:val="0A1C7EC9"/>
    <w:rsid w:val="0A2363B0"/>
    <w:rsid w:val="0A26442A"/>
    <w:rsid w:val="0A287FA0"/>
    <w:rsid w:val="0A2A0524"/>
    <w:rsid w:val="0A2C0D3B"/>
    <w:rsid w:val="0A2E5E53"/>
    <w:rsid w:val="0A310F18"/>
    <w:rsid w:val="0A311F02"/>
    <w:rsid w:val="0A321633"/>
    <w:rsid w:val="0A332E85"/>
    <w:rsid w:val="0A340E0D"/>
    <w:rsid w:val="0A341682"/>
    <w:rsid w:val="0A3838AE"/>
    <w:rsid w:val="0A3F14EC"/>
    <w:rsid w:val="0A4A3E4A"/>
    <w:rsid w:val="0A522D71"/>
    <w:rsid w:val="0A546A76"/>
    <w:rsid w:val="0A5E482E"/>
    <w:rsid w:val="0A6B6E10"/>
    <w:rsid w:val="0A7B0C26"/>
    <w:rsid w:val="0A7B1AB9"/>
    <w:rsid w:val="0A7F5E19"/>
    <w:rsid w:val="0A801619"/>
    <w:rsid w:val="0A807AEF"/>
    <w:rsid w:val="0A810269"/>
    <w:rsid w:val="0A8C6A20"/>
    <w:rsid w:val="0A9713FA"/>
    <w:rsid w:val="0A9A05A9"/>
    <w:rsid w:val="0A9A72F3"/>
    <w:rsid w:val="0A9F3C9B"/>
    <w:rsid w:val="0AB441B1"/>
    <w:rsid w:val="0ABA39F1"/>
    <w:rsid w:val="0ABB708E"/>
    <w:rsid w:val="0AC716EE"/>
    <w:rsid w:val="0ACD1AA9"/>
    <w:rsid w:val="0AE778EA"/>
    <w:rsid w:val="0AE94F91"/>
    <w:rsid w:val="0AEF170F"/>
    <w:rsid w:val="0AF50251"/>
    <w:rsid w:val="0AF92D45"/>
    <w:rsid w:val="0AFC4CD1"/>
    <w:rsid w:val="0AFC55BB"/>
    <w:rsid w:val="0B0005A1"/>
    <w:rsid w:val="0B1526A9"/>
    <w:rsid w:val="0B194C41"/>
    <w:rsid w:val="0B2427D9"/>
    <w:rsid w:val="0B3643CE"/>
    <w:rsid w:val="0B38329D"/>
    <w:rsid w:val="0B396B39"/>
    <w:rsid w:val="0B410063"/>
    <w:rsid w:val="0B4D1563"/>
    <w:rsid w:val="0B586D3B"/>
    <w:rsid w:val="0B5948DD"/>
    <w:rsid w:val="0B5D4231"/>
    <w:rsid w:val="0B5F1DC7"/>
    <w:rsid w:val="0B605F4D"/>
    <w:rsid w:val="0B6A23FA"/>
    <w:rsid w:val="0B7B2078"/>
    <w:rsid w:val="0B7F7B23"/>
    <w:rsid w:val="0B8B19A4"/>
    <w:rsid w:val="0BA340B9"/>
    <w:rsid w:val="0BA8074F"/>
    <w:rsid w:val="0BAA2594"/>
    <w:rsid w:val="0BB645A8"/>
    <w:rsid w:val="0BBA6DAD"/>
    <w:rsid w:val="0BBC0DC9"/>
    <w:rsid w:val="0BBC72FE"/>
    <w:rsid w:val="0BC154BD"/>
    <w:rsid w:val="0BC26AAB"/>
    <w:rsid w:val="0BC8196A"/>
    <w:rsid w:val="0BC93196"/>
    <w:rsid w:val="0BD11F11"/>
    <w:rsid w:val="0BD53BE7"/>
    <w:rsid w:val="0BD62DF0"/>
    <w:rsid w:val="0BDC33FE"/>
    <w:rsid w:val="0BDC743A"/>
    <w:rsid w:val="0BE2426F"/>
    <w:rsid w:val="0BE85DDD"/>
    <w:rsid w:val="0BF027CF"/>
    <w:rsid w:val="0BF66F00"/>
    <w:rsid w:val="0BF84DC8"/>
    <w:rsid w:val="0BF977FE"/>
    <w:rsid w:val="0BFC6861"/>
    <w:rsid w:val="0C003A87"/>
    <w:rsid w:val="0C004624"/>
    <w:rsid w:val="0C0C03C9"/>
    <w:rsid w:val="0C123F38"/>
    <w:rsid w:val="0C127856"/>
    <w:rsid w:val="0C190A0A"/>
    <w:rsid w:val="0C1F3477"/>
    <w:rsid w:val="0C215BD8"/>
    <w:rsid w:val="0C2462E1"/>
    <w:rsid w:val="0C27273B"/>
    <w:rsid w:val="0C2C50D5"/>
    <w:rsid w:val="0C2D7534"/>
    <w:rsid w:val="0C2F0761"/>
    <w:rsid w:val="0C316782"/>
    <w:rsid w:val="0C3C3CA0"/>
    <w:rsid w:val="0C3F3A46"/>
    <w:rsid w:val="0C4018D0"/>
    <w:rsid w:val="0C405E13"/>
    <w:rsid w:val="0C4D1731"/>
    <w:rsid w:val="0C524FEC"/>
    <w:rsid w:val="0C556C9B"/>
    <w:rsid w:val="0C572BD3"/>
    <w:rsid w:val="0C5730C1"/>
    <w:rsid w:val="0C64251E"/>
    <w:rsid w:val="0C691AB4"/>
    <w:rsid w:val="0C6C4136"/>
    <w:rsid w:val="0C7120BA"/>
    <w:rsid w:val="0C743DEB"/>
    <w:rsid w:val="0C7567F0"/>
    <w:rsid w:val="0C7D57C5"/>
    <w:rsid w:val="0C801498"/>
    <w:rsid w:val="0C82275E"/>
    <w:rsid w:val="0C836D6B"/>
    <w:rsid w:val="0C890893"/>
    <w:rsid w:val="0C8D251A"/>
    <w:rsid w:val="0C90777F"/>
    <w:rsid w:val="0C916659"/>
    <w:rsid w:val="0C9B1C08"/>
    <w:rsid w:val="0C9D66F6"/>
    <w:rsid w:val="0CA21D12"/>
    <w:rsid w:val="0CBD0903"/>
    <w:rsid w:val="0CBD341E"/>
    <w:rsid w:val="0CC16FD8"/>
    <w:rsid w:val="0CC32094"/>
    <w:rsid w:val="0CD143AE"/>
    <w:rsid w:val="0CD61C5E"/>
    <w:rsid w:val="0CDA2B45"/>
    <w:rsid w:val="0CE005BA"/>
    <w:rsid w:val="0CE92E2F"/>
    <w:rsid w:val="0CF238D9"/>
    <w:rsid w:val="0CF3265F"/>
    <w:rsid w:val="0CF54C18"/>
    <w:rsid w:val="0CFB7D5D"/>
    <w:rsid w:val="0D0105C4"/>
    <w:rsid w:val="0D020CCB"/>
    <w:rsid w:val="0D0676A4"/>
    <w:rsid w:val="0D190F81"/>
    <w:rsid w:val="0D1D58C9"/>
    <w:rsid w:val="0D262447"/>
    <w:rsid w:val="0D2B3F36"/>
    <w:rsid w:val="0D3333F8"/>
    <w:rsid w:val="0D361020"/>
    <w:rsid w:val="0D423EAE"/>
    <w:rsid w:val="0D5261BF"/>
    <w:rsid w:val="0D57246E"/>
    <w:rsid w:val="0D6734E3"/>
    <w:rsid w:val="0D6E4804"/>
    <w:rsid w:val="0D7D2A79"/>
    <w:rsid w:val="0D7D3E0F"/>
    <w:rsid w:val="0D8200F5"/>
    <w:rsid w:val="0D86133A"/>
    <w:rsid w:val="0D893804"/>
    <w:rsid w:val="0D8D3537"/>
    <w:rsid w:val="0DA2444C"/>
    <w:rsid w:val="0DA44C4F"/>
    <w:rsid w:val="0DA63D3D"/>
    <w:rsid w:val="0DAC0338"/>
    <w:rsid w:val="0DAC7CEF"/>
    <w:rsid w:val="0DAD62D1"/>
    <w:rsid w:val="0DBB4523"/>
    <w:rsid w:val="0DC209AA"/>
    <w:rsid w:val="0DC44BEA"/>
    <w:rsid w:val="0DC906B2"/>
    <w:rsid w:val="0DCB34F3"/>
    <w:rsid w:val="0DD265EC"/>
    <w:rsid w:val="0DD43F77"/>
    <w:rsid w:val="0DDF4F23"/>
    <w:rsid w:val="0DE805D5"/>
    <w:rsid w:val="0DFC545B"/>
    <w:rsid w:val="0DFE3130"/>
    <w:rsid w:val="0E052416"/>
    <w:rsid w:val="0E20647A"/>
    <w:rsid w:val="0E2B77B0"/>
    <w:rsid w:val="0E2D3866"/>
    <w:rsid w:val="0E304F48"/>
    <w:rsid w:val="0E33779F"/>
    <w:rsid w:val="0E3E07E5"/>
    <w:rsid w:val="0E44758C"/>
    <w:rsid w:val="0E4504CC"/>
    <w:rsid w:val="0E4D0FC1"/>
    <w:rsid w:val="0E511DEE"/>
    <w:rsid w:val="0E5753B1"/>
    <w:rsid w:val="0E611762"/>
    <w:rsid w:val="0E6370CE"/>
    <w:rsid w:val="0E667D4E"/>
    <w:rsid w:val="0E6C75F4"/>
    <w:rsid w:val="0E6F1DC2"/>
    <w:rsid w:val="0E72373D"/>
    <w:rsid w:val="0E7C4A82"/>
    <w:rsid w:val="0E8E520D"/>
    <w:rsid w:val="0E8F336A"/>
    <w:rsid w:val="0E8F359F"/>
    <w:rsid w:val="0E917529"/>
    <w:rsid w:val="0EAA3109"/>
    <w:rsid w:val="0EB75DD5"/>
    <w:rsid w:val="0EB809A9"/>
    <w:rsid w:val="0EC25A79"/>
    <w:rsid w:val="0EC345DF"/>
    <w:rsid w:val="0ECA7B73"/>
    <w:rsid w:val="0ECD648E"/>
    <w:rsid w:val="0ECF2D08"/>
    <w:rsid w:val="0ED4462A"/>
    <w:rsid w:val="0EDA7ABD"/>
    <w:rsid w:val="0EE16478"/>
    <w:rsid w:val="0EE9317A"/>
    <w:rsid w:val="0EF84110"/>
    <w:rsid w:val="0F000C96"/>
    <w:rsid w:val="0F030982"/>
    <w:rsid w:val="0F0F50B1"/>
    <w:rsid w:val="0F1218E2"/>
    <w:rsid w:val="0F266F83"/>
    <w:rsid w:val="0F267BBE"/>
    <w:rsid w:val="0F292A93"/>
    <w:rsid w:val="0F2B39D9"/>
    <w:rsid w:val="0F332828"/>
    <w:rsid w:val="0F383593"/>
    <w:rsid w:val="0F3C7A41"/>
    <w:rsid w:val="0F4704DA"/>
    <w:rsid w:val="0F5346EB"/>
    <w:rsid w:val="0F565E8D"/>
    <w:rsid w:val="0F5E2F7D"/>
    <w:rsid w:val="0F6B43C5"/>
    <w:rsid w:val="0F7113C1"/>
    <w:rsid w:val="0F76462C"/>
    <w:rsid w:val="0F767D88"/>
    <w:rsid w:val="0F7958FE"/>
    <w:rsid w:val="0F895627"/>
    <w:rsid w:val="0F8B0C31"/>
    <w:rsid w:val="0F927664"/>
    <w:rsid w:val="0F955B67"/>
    <w:rsid w:val="0FA04150"/>
    <w:rsid w:val="0FA40C23"/>
    <w:rsid w:val="0FB7141D"/>
    <w:rsid w:val="0FB72367"/>
    <w:rsid w:val="0FB73E77"/>
    <w:rsid w:val="0FB9413C"/>
    <w:rsid w:val="0FC06194"/>
    <w:rsid w:val="0FC226D4"/>
    <w:rsid w:val="0FC47664"/>
    <w:rsid w:val="0FDB1C82"/>
    <w:rsid w:val="0FED0854"/>
    <w:rsid w:val="0FED3576"/>
    <w:rsid w:val="0FF63E22"/>
    <w:rsid w:val="0FFD41BD"/>
    <w:rsid w:val="0FFD5200"/>
    <w:rsid w:val="10005A8C"/>
    <w:rsid w:val="10092592"/>
    <w:rsid w:val="10211950"/>
    <w:rsid w:val="10213F6E"/>
    <w:rsid w:val="103247B3"/>
    <w:rsid w:val="10354C54"/>
    <w:rsid w:val="104071D9"/>
    <w:rsid w:val="1042731E"/>
    <w:rsid w:val="104273D7"/>
    <w:rsid w:val="10445B9A"/>
    <w:rsid w:val="10494F32"/>
    <w:rsid w:val="104A6951"/>
    <w:rsid w:val="104F21BA"/>
    <w:rsid w:val="10560D06"/>
    <w:rsid w:val="105B0B5E"/>
    <w:rsid w:val="10613C9B"/>
    <w:rsid w:val="10640B9B"/>
    <w:rsid w:val="10651D23"/>
    <w:rsid w:val="10655C5D"/>
    <w:rsid w:val="10673933"/>
    <w:rsid w:val="10702130"/>
    <w:rsid w:val="107514F4"/>
    <w:rsid w:val="109E5FEF"/>
    <w:rsid w:val="10A35CA8"/>
    <w:rsid w:val="10BA0DCE"/>
    <w:rsid w:val="10C20B10"/>
    <w:rsid w:val="10C3101B"/>
    <w:rsid w:val="10C876B1"/>
    <w:rsid w:val="10CA34E1"/>
    <w:rsid w:val="10CE5C82"/>
    <w:rsid w:val="10D25FC1"/>
    <w:rsid w:val="10D26878"/>
    <w:rsid w:val="10DA4B72"/>
    <w:rsid w:val="10DD09CE"/>
    <w:rsid w:val="10ED1D0E"/>
    <w:rsid w:val="10EE684F"/>
    <w:rsid w:val="10F535D3"/>
    <w:rsid w:val="11082CF7"/>
    <w:rsid w:val="11153FC3"/>
    <w:rsid w:val="111D7E38"/>
    <w:rsid w:val="1123195D"/>
    <w:rsid w:val="112B0024"/>
    <w:rsid w:val="113F126E"/>
    <w:rsid w:val="114F1D45"/>
    <w:rsid w:val="115600D4"/>
    <w:rsid w:val="115920CE"/>
    <w:rsid w:val="11647B2C"/>
    <w:rsid w:val="1174468E"/>
    <w:rsid w:val="117C32EA"/>
    <w:rsid w:val="118834E8"/>
    <w:rsid w:val="119908C2"/>
    <w:rsid w:val="119A3ADB"/>
    <w:rsid w:val="119E09B8"/>
    <w:rsid w:val="11AF2018"/>
    <w:rsid w:val="11B1006A"/>
    <w:rsid w:val="11B62D7E"/>
    <w:rsid w:val="11C02D2E"/>
    <w:rsid w:val="11C605E7"/>
    <w:rsid w:val="11CC464A"/>
    <w:rsid w:val="11D37EA7"/>
    <w:rsid w:val="11D72CBF"/>
    <w:rsid w:val="11E626AA"/>
    <w:rsid w:val="11E90B6B"/>
    <w:rsid w:val="11ED3D2F"/>
    <w:rsid w:val="11F400C8"/>
    <w:rsid w:val="11F538AA"/>
    <w:rsid w:val="11F67003"/>
    <w:rsid w:val="11F81593"/>
    <w:rsid w:val="1203277A"/>
    <w:rsid w:val="1206792D"/>
    <w:rsid w:val="1228182C"/>
    <w:rsid w:val="12312169"/>
    <w:rsid w:val="124368EB"/>
    <w:rsid w:val="12455342"/>
    <w:rsid w:val="12566960"/>
    <w:rsid w:val="1259358F"/>
    <w:rsid w:val="12594D28"/>
    <w:rsid w:val="125B2172"/>
    <w:rsid w:val="125C0F94"/>
    <w:rsid w:val="12665399"/>
    <w:rsid w:val="126F08F1"/>
    <w:rsid w:val="127220C8"/>
    <w:rsid w:val="12735809"/>
    <w:rsid w:val="1279351E"/>
    <w:rsid w:val="127C14E4"/>
    <w:rsid w:val="127C1D9A"/>
    <w:rsid w:val="127F6497"/>
    <w:rsid w:val="12823F18"/>
    <w:rsid w:val="12861640"/>
    <w:rsid w:val="128A1CAF"/>
    <w:rsid w:val="129530C6"/>
    <w:rsid w:val="129659CF"/>
    <w:rsid w:val="129E37B8"/>
    <w:rsid w:val="129F3C34"/>
    <w:rsid w:val="12A1706C"/>
    <w:rsid w:val="12A27DC3"/>
    <w:rsid w:val="12A56C60"/>
    <w:rsid w:val="12AC1D5A"/>
    <w:rsid w:val="12AF17AA"/>
    <w:rsid w:val="12B24C82"/>
    <w:rsid w:val="12B508B1"/>
    <w:rsid w:val="12B65B63"/>
    <w:rsid w:val="12B7019C"/>
    <w:rsid w:val="12B843BB"/>
    <w:rsid w:val="12CB4575"/>
    <w:rsid w:val="12CF5487"/>
    <w:rsid w:val="12D175E2"/>
    <w:rsid w:val="12D4727E"/>
    <w:rsid w:val="12D71F2E"/>
    <w:rsid w:val="12D818DA"/>
    <w:rsid w:val="12E31BDE"/>
    <w:rsid w:val="12E83881"/>
    <w:rsid w:val="12EC7AE9"/>
    <w:rsid w:val="13017E87"/>
    <w:rsid w:val="13063F06"/>
    <w:rsid w:val="13071595"/>
    <w:rsid w:val="130E780C"/>
    <w:rsid w:val="13117D70"/>
    <w:rsid w:val="131A335A"/>
    <w:rsid w:val="13313BF8"/>
    <w:rsid w:val="13425FE7"/>
    <w:rsid w:val="134A6C68"/>
    <w:rsid w:val="135720BE"/>
    <w:rsid w:val="135A334F"/>
    <w:rsid w:val="13646528"/>
    <w:rsid w:val="137131BB"/>
    <w:rsid w:val="13750189"/>
    <w:rsid w:val="137A683C"/>
    <w:rsid w:val="1384637C"/>
    <w:rsid w:val="138B328C"/>
    <w:rsid w:val="138C5731"/>
    <w:rsid w:val="13903825"/>
    <w:rsid w:val="139C5FF5"/>
    <w:rsid w:val="139D1015"/>
    <w:rsid w:val="13A37472"/>
    <w:rsid w:val="13A9686B"/>
    <w:rsid w:val="13B04A88"/>
    <w:rsid w:val="13B84F5A"/>
    <w:rsid w:val="13BB1CF9"/>
    <w:rsid w:val="13C46C25"/>
    <w:rsid w:val="13C54FC2"/>
    <w:rsid w:val="13C83C17"/>
    <w:rsid w:val="13CD3FA3"/>
    <w:rsid w:val="13D645AE"/>
    <w:rsid w:val="13DD3F4F"/>
    <w:rsid w:val="13DE2A6A"/>
    <w:rsid w:val="13E2622E"/>
    <w:rsid w:val="13F33280"/>
    <w:rsid w:val="14092680"/>
    <w:rsid w:val="140D6D71"/>
    <w:rsid w:val="14117786"/>
    <w:rsid w:val="141E0717"/>
    <w:rsid w:val="14297453"/>
    <w:rsid w:val="143907F8"/>
    <w:rsid w:val="143E5B17"/>
    <w:rsid w:val="1445537A"/>
    <w:rsid w:val="144B12F1"/>
    <w:rsid w:val="14540C19"/>
    <w:rsid w:val="14592D75"/>
    <w:rsid w:val="145D40F9"/>
    <w:rsid w:val="146429B0"/>
    <w:rsid w:val="146733DC"/>
    <w:rsid w:val="146F51D9"/>
    <w:rsid w:val="148963AA"/>
    <w:rsid w:val="14961F15"/>
    <w:rsid w:val="14991C4C"/>
    <w:rsid w:val="14B25F3D"/>
    <w:rsid w:val="14B47C73"/>
    <w:rsid w:val="14B74712"/>
    <w:rsid w:val="14BD517C"/>
    <w:rsid w:val="14C72C73"/>
    <w:rsid w:val="14CF2F4A"/>
    <w:rsid w:val="14D7277E"/>
    <w:rsid w:val="14DF0BA2"/>
    <w:rsid w:val="14E13ABE"/>
    <w:rsid w:val="14EC111C"/>
    <w:rsid w:val="14F2438D"/>
    <w:rsid w:val="14FD260F"/>
    <w:rsid w:val="15060D13"/>
    <w:rsid w:val="1508059A"/>
    <w:rsid w:val="150A0F40"/>
    <w:rsid w:val="150A1CAF"/>
    <w:rsid w:val="150D5EF5"/>
    <w:rsid w:val="15115FBE"/>
    <w:rsid w:val="151E58BF"/>
    <w:rsid w:val="152864F1"/>
    <w:rsid w:val="152A4D86"/>
    <w:rsid w:val="152B4878"/>
    <w:rsid w:val="152D0EAD"/>
    <w:rsid w:val="153426C4"/>
    <w:rsid w:val="15412E70"/>
    <w:rsid w:val="15451518"/>
    <w:rsid w:val="15457C9B"/>
    <w:rsid w:val="15474C21"/>
    <w:rsid w:val="154B3B30"/>
    <w:rsid w:val="154C5769"/>
    <w:rsid w:val="155B51EC"/>
    <w:rsid w:val="155D63FE"/>
    <w:rsid w:val="1566616E"/>
    <w:rsid w:val="156A4DD9"/>
    <w:rsid w:val="156C1118"/>
    <w:rsid w:val="158A0510"/>
    <w:rsid w:val="15A24385"/>
    <w:rsid w:val="15A31535"/>
    <w:rsid w:val="15A4548C"/>
    <w:rsid w:val="15A75661"/>
    <w:rsid w:val="15A91D18"/>
    <w:rsid w:val="15B11E25"/>
    <w:rsid w:val="15BB6C7B"/>
    <w:rsid w:val="15C87753"/>
    <w:rsid w:val="15D41C79"/>
    <w:rsid w:val="15D84B69"/>
    <w:rsid w:val="15DB3018"/>
    <w:rsid w:val="15DD706A"/>
    <w:rsid w:val="15E85EA3"/>
    <w:rsid w:val="15FD4136"/>
    <w:rsid w:val="1608552B"/>
    <w:rsid w:val="160F1A18"/>
    <w:rsid w:val="16105D65"/>
    <w:rsid w:val="161B6D47"/>
    <w:rsid w:val="162A45AF"/>
    <w:rsid w:val="162B4B2F"/>
    <w:rsid w:val="163663F7"/>
    <w:rsid w:val="163F32EB"/>
    <w:rsid w:val="164A5A03"/>
    <w:rsid w:val="16523ED5"/>
    <w:rsid w:val="165364C3"/>
    <w:rsid w:val="165A2BDE"/>
    <w:rsid w:val="16636CE1"/>
    <w:rsid w:val="166E0A8A"/>
    <w:rsid w:val="166F1D3D"/>
    <w:rsid w:val="16706B4D"/>
    <w:rsid w:val="16710DF6"/>
    <w:rsid w:val="1673768F"/>
    <w:rsid w:val="1675224E"/>
    <w:rsid w:val="16752821"/>
    <w:rsid w:val="16792576"/>
    <w:rsid w:val="16806552"/>
    <w:rsid w:val="16826733"/>
    <w:rsid w:val="168523D3"/>
    <w:rsid w:val="168B4CC3"/>
    <w:rsid w:val="1692495E"/>
    <w:rsid w:val="16947717"/>
    <w:rsid w:val="16A100CA"/>
    <w:rsid w:val="16A13043"/>
    <w:rsid w:val="16AA4DAF"/>
    <w:rsid w:val="16AD1756"/>
    <w:rsid w:val="16AE01A6"/>
    <w:rsid w:val="16B23F2C"/>
    <w:rsid w:val="16B943F6"/>
    <w:rsid w:val="16D04FC6"/>
    <w:rsid w:val="16D15FD8"/>
    <w:rsid w:val="16D33E72"/>
    <w:rsid w:val="16D7709E"/>
    <w:rsid w:val="16D91158"/>
    <w:rsid w:val="16DA7D18"/>
    <w:rsid w:val="16E97EF9"/>
    <w:rsid w:val="16F07B27"/>
    <w:rsid w:val="16F10E05"/>
    <w:rsid w:val="16F5440C"/>
    <w:rsid w:val="16FE0496"/>
    <w:rsid w:val="17006251"/>
    <w:rsid w:val="170B17C5"/>
    <w:rsid w:val="171038A9"/>
    <w:rsid w:val="17137909"/>
    <w:rsid w:val="171A0E17"/>
    <w:rsid w:val="171B65B0"/>
    <w:rsid w:val="171D619F"/>
    <w:rsid w:val="171E24D6"/>
    <w:rsid w:val="171E475F"/>
    <w:rsid w:val="17237EFC"/>
    <w:rsid w:val="172E4346"/>
    <w:rsid w:val="17384267"/>
    <w:rsid w:val="173F2DB2"/>
    <w:rsid w:val="17477185"/>
    <w:rsid w:val="1748044E"/>
    <w:rsid w:val="174D23F4"/>
    <w:rsid w:val="17532E5E"/>
    <w:rsid w:val="175937E0"/>
    <w:rsid w:val="176A54AD"/>
    <w:rsid w:val="176F1347"/>
    <w:rsid w:val="1780603B"/>
    <w:rsid w:val="17A245DC"/>
    <w:rsid w:val="17A61C6F"/>
    <w:rsid w:val="17AD3B71"/>
    <w:rsid w:val="17B0594D"/>
    <w:rsid w:val="17B15903"/>
    <w:rsid w:val="17B27A9B"/>
    <w:rsid w:val="17B926ED"/>
    <w:rsid w:val="17BA79E2"/>
    <w:rsid w:val="17BC4772"/>
    <w:rsid w:val="17D12728"/>
    <w:rsid w:val="17D24DD8"/>
    <w:rsid w:val="17E60A7A"/>
    <w:rsid w:val="17EB746B"/>
    <w:rsid w:val="17EF54C7"/>
    <w:rsid w:val="17F07560"/>
    <w:rsid w:val="17F84D97"/>
    <w:rsid w:val="17FB38A2"/>
    <w:rsid w:val="18030739"/>
    <w:rsid w:val="18090844"/>
    <w:rsid w:val="180C0AFD"/>
    <w:rsid w:val="18117B13"/>
    <w:rsid w:val="181870D4"/>
    <w:rsid w:val="182251D3"/>
    <w:rsid w:val="182E5E4C"/>
    <w:rsid w:val="1833144C"/>
    <w:rsid w:val="183E096C"/>
    <w:rsid w:val="184C3483"/>
    <w:rsid w:val="184F2CDA"/>
    <w:rsid w:val="18685DE7"/>
    <w:rsid w:val="186A2283"/>
    <w:rsid w:val="1876019B"/>
    <w:rsid w:val="187C0DEA"/>
    <w:rsid w:val="188365CF"/>
    <w:rsid w:val="189F6C54"/>
    <w:rsid w:val="18A73433"/>
    <w:rsid w:val="18A763D9"/>
    <w:rsid w:val="18AB19DB"/>
    <w:rsid w:val="18AD51D7"/>
    <w:rsid w:val="18B307D7"/>
    <w:rsid w:val="18B6058F"/>
    <w:rsid w:val="18D11090"/>
    <w:rsid w:val="18D25C5F"/>
    <w:rsid w:val="18D435C4"/>
    <w:rsid w:val="18DB65A0"/>
    <w:rsid w:val="18E03DC5"/>
    <w:rsid w:val="18E04B97"/>
    <w:rsid w:val="18EA00FB"/>
    <w:rsid w:val="18F46A0A"/>
    <w:rsid w:val="18FA3995"/>
    <w:rsid w:val="18FB18A2"/>
    <w:rsid w:val="18FB50F2"/>
    <w:rsid w:val="190A14A1"/>
    <w:rsid w:val="19161AC1"/>
    <w:rsid w:val="19234C01"/>
    <w:rsid w:val="19273717"/>
    <w:rsid w:val="192D0E31"/>
    <w:rsid w:val="192E2A29"/>
    <w:rsid w:val="192E7999"/>
    <w:rsid w:val="1933023C"/>
    <w:rsid w:val="19354C84"/>
    <w:rsid w:val="19584C54"/>
    <w:rsid w:val="195949B2"/>
    <w:rsid w:val="19595246"/>
    <w:rsid w:val="19677EDB"/>
    <w:rsid w:val="19681C0E"/>
    <w:rsid w:val="196D36B1"/>
    <w:rsid w:val="198A612F"/>
    <w:rsid w:val="19903A06"/>
    <w:rsid w:val="199E7A91"/>
    <w:rsid w:val="19CA2ECA"/>
    <w:rsid w:val="19CB2EF4"/>
    <w:rsid w:val="19D674A8"/>
    <w:rsid w:val="19D723F1"/>
    <w:rsid w:val="19D87405"/>
    <w:rsid w:val="19E055A8"/>
    <w:rsid w:val="19E0599C"/>
    <w:rsid w:val="19F11A9A"/>
    <w:rsid w:val="19FA13E8"/>
    <w:rsid w:val="1A036BA3"/>
    <w:rsid w:val="1A0B43D6"/>
    <w:rsid w:val="1A241336"/>
    <w:rsid w:val="1A2A63F9"/>
    <w:rsid w:val="1A31116E"/>
    <w:rsid w:val="1A311711"/>
    <w:rsid w:val="1A3E158C"/>
    <w:rsid w:val="1A401B3F"/>
    <w:rsid w:val="1A4101E8"/>
    <w:rsid w:val="1A45702C"/>
    <w:rsid w:val="1A477774"/>
    <w:rsid w:val="1A4F3D41"/>
    <w:rsid w:val="1A512FD2"/>
    <w:rsid w:val="1A5E03C2"/>
    <w:rsid w:val="1A5E2B30"/>
    <w:rsid w:val="1A67697A"/>
    <w:rsid w:val="1A6B29D9"/>
    <w:rsid w:val="1A6E5D76"/>
    <w:rsid w:val="1A716BEE"/>
    <w:rsid w:val="1A7421CF"/>
    <w:rsid w:val="1A78230D"/>
    <w:rsid w:val="1A7936B8"/>
    <w:rsid w:val="1A8A0F34"/>
    <w:rsid w:val="1A935399"/>
    <w:rsid w:val="1A9E0C15"/>
    <w:rsid w:val="1A9F4369"/>
    <w:rsid w:val="1AA743DD"/>
    <w:rsid w:val="1AA96E85"/>
    <w:rsid w:val="1AAA519D"/>
    <w:rsid w:val="1AB50EE5"/>
    <w:rsid w:val="1AB6087E"/>
    <w:rsid w:val="1AB84DFF"/>
    <w:rsid w:val="1AC31C19"/>
    <w:rsid w:val="1AD054F8"/>
    <w:rsid w:val="1AD4046B"/>
    <w:rsid w:val="1AE56801"/>
    <w:rsid w:val="1AE678CE"/>
    <w:rsid w:val="1AE946EE"/>
    <w:rsid w:val="1AEE5D74"/>
    <w:rsid w:val="1AF62694"/>
    <w:rsid w:val="1AFA67BD"/>
    <w:rsid w:val="1AFD7373"/>
    <w:rsid w:val="1B090710"/>
    <w:rsid w:val="1B0A5DC1"/>
    <w:rsid w:val="1B0D0F4D"/>
    <w:rsid w:val="1B0E73B3"/>
    <w:rsid w:val="1B11251A"/>
    <w:rsid w:val="1B14674F"/>
    <w:rsid w:val="1B1D3DDF"/>
    <w:rsid w:val="1B1E5757"/>
    <w:rsid w:val="1B2916E5"/>
    <w:rsid w:val="1B40507B"/>
    <w:rsid w:val="1B4A1EFB"/>
    <w:rsid w:val="1B506076"/>
    <w:rsid w:val="1B5A5883"/>
    <w:rsid w:val="1B5F7FA7"/>
    <w:rsid w:val="1B63668C"/>
    <w:rsid w:val="1B75252A"/>
    <w:rsid w:val="1B773D4F"/>
    <w:rsid w:val="1B7C14A1"/>
    <w:rsid w:val="1B8076CB"/>
    <w:rsid w:val="1B821D08"/>
    <w:rsid w:val="1B862833"/>
    <w:rsid w:val="1B8F4135"/>
    <w:rsid w:val="1B8F46A0"/>
    <w:rsid w:val="1B96294F"/>
    <w:rsid w:val="1BA0432B"/>
    <w:rsid w:val="1BB77278"/>
    <w:rsid w:val="1BBA7D60"/>
    <w:rsid w:val="1BBE4EC6"/>
    <w:rsid w:val="1BC83389"/>
    <w:rsid w:val="1BD029B6"/>
    <w:rsid w:val="1BD46CB0"/>
    <w:rsid w:val="1BD5178C"/>
    <w:rsid w:val="1BD95EA0"/>
    <w:rsid w:val="1BD97A80"/>
    <w:rsid w:val="1BDB5678"/>
    <w:rsid w:val="1BE55780"/>
    <w:rsid w:val="1BE71058"/>
    <w:rsid w:val="1BEB4C2C"/>
    <w:rsid w:val="1BEB7AB6"/>
    <w:rsid w:val="1BF27CCF"/>
    <w:rsid w:val="1BFA3269"/>
    <w:rsid w:val="1C0434B2"/>
    <w:rsid w:val="1C056ECA"/>
    <w:rsid w:val="1C115B48"/>
    <w:rsid w:val="1C157D90"/>
    <w:rsid w:val="1C1F6CF4"/>
    <w:rsid w:val="1C216234"/>
    <w:rsid w:val="1C2B7889"/>
    <w:rsid w:val="1C351CFE"/>
    <w:rsid w:val="1C3B7046"/>
    <w:rsid w:val="1C3D13EB"/>
    <w:rsid w:val="1C4C143F"/>
    <w:rsid w:val="1C617A22"/>
    <w:rsid w:val="1C65129F"/>
    <w:rsid w:val="1C6E2DCC"/>
    <w:rsid w:val="1C7437E0"/>
    <w:rsid w:val="1C776C33"/>
    <w:rsid w:val="1C7D08AC"/>
    <w:rsid w:val="1C7F13F7"/>
    <w:rsid w:val="1C803DBA"/>
    <w:rsid w:val="1C843076"/>
    <w:rsid w:val="1C8B02A0"/>
    <w:rsid w:val="1C8F2CAC"/>
    <w:rsid w:val="1C945E62"/>
    <w:rsid w:val="1C95113D"/>
    <w:rsid w:val="1C9B54DF"/>
    <w:rsid w:val="1CAB6E93"/>
    <w:rsid w:val="1CB3587E"/>
    <w:rsid w:val="1CB75B94"/>
    <w:rsid w:val="1CB772D9"/>
    <w:rsid w:val="1CBB5035"/>
    <w:rsid w:val="1CBE5564"/>
    <w:rsid w:val="1CC0422B"/>
    <w:rsid w:val="1CC25AC1"/>
    <w:rsid w:val="1CC7132A"/>
    <w:rsid w:val="1CCA246C"/>
    <w:rsid w:val="1CCC703D"/>
    <w:rsid w:val="1CD63CAB"/>
    <w:rsid w:val="1CD840AA"/>
    <w:rsid w:val="1CE20E79"/>
    <w:rsid w:val="1CE767B2"/>
    <w:rsid w:val="1CF10230"/>
    <w:rsid w:val="1CF245F9"/>
    <w:rsid w:val="1CFA1714"/>
    <w:rsid w:val="1CFC7D16"/>
    <w:rsid w:val="1D040938"/>
    <w:rsid w:val="1D065F12"/>
    <w:rsid w:val="1D0D5860"/>
    <w:rsid w:val="1D0E580F"/>
    <w:rsid w:val="1D0F4A6C"/>
    <w:rsid w:val="1D1518E9"/>
    <w:rsid w:val="1D201BEC"/>
    <w:rsid w:val="1D2A5313"/>
    <w:rsid w:val="1D405181"/>
    <w:rsid w:val="1D504FA4"/>
    <w:rsid w:val="1D5507B0"/>
    <w:rsid w:val="1D5C1E36"/>
    <w:rsid w:val="1D5E0613"/>
    <w:rsid w:val="1D7C2114"/>
    <w:rsid w:val="1D8448B6"/>
    <w:rsid w:val="1D846372"/>
    <w:rsid w:val="1D975171"/>
    <w:rsid w:val="1D9D356A"/>
    <w:rsid w:val="1D9E440E"/>
    <w:rsid w:val="1DAA08C2"/>
    <w:rsid w:val="1DAC3AA0"/>
    <w:rsid w:val="1DB37CFA"/>
    <w:rsid w:val="1DB409A2"/>
    <w:rsid w:val="1DB55626"/>
    <w:rsid w:val="1DBD5182"/>
    <w:rsid w:val="1DC82412"/>
    <w:rsid w:val="1DD51824"/>
    <w:rsid w:val="1DE1781B"/>
    <w:rsid w:val="1DEA0685"/>
    <w:rsid w:val="1DEC327A"/>
    <w:rsid w:val="1DEF076F"/>
    <w:rsid w:val="1DF92447"/>
    <w:rsid w:val="1E036FCE"/>
    <w:rsid w:val="1E0C2701"/>
    <w:rsid w:val="1E0E6AFA"/>
    <w:rsid w:val="1E0F7022"/>
    <w:rsid w:val="1E1C3098"/>
    <w:rsid w:val="1E1D398A"/>
    <w:rsid w:val="1E37321D"/>
    <w:rsid w:val="1E3A3838"/>
    <w:rsid w:val="1E3D2069"/>
    <w:rsid w:val="1E4104FD"/>
    <w:rsid w:val="1E4163FC"/>
    <w:rsid w:val="1E4241EF"/>
    <w:rsid w:val="1E4419FE"/>
    <w:rsid w:val="1E4E1A57"/>
    <w:rsid w:val="1E4E34C7"/>
    <w:rsid w:val="1E4E4A3D"/>
    <w:rsid w:val="1E581686"/>
    <w:rsid w:val="1E5B4AA6"/>
    <w:rsid w:val="1E6500BF"/>
    <w:rsid w:val="1E690A57"/>
    <w:rsid w:val="1E6E0489"/>
    <w:rsid w:val="1E6F7DA5"/>
    <w:rsid w:val="1E74426A"/>
    <w:rsid w:val="1E7B6870"/>
    <w:rsid w:val="1E82066D"/>
    <w:rsid w:val="1E850848"/>
    <w:rsid w:val="1E943E4C"/>
    <w:rsid w:val="1E987366"/>
    <w:rsid w:val="1EB37DB8"/>
    <w:rsid w:val="1EB82435"/>
    <w:rsid w:val="1EBA2573"/>
    <w:rsid w:val="1EC25CD2"/>
    <w:rsid w:val="1ECA4FED"/>
    <w:rsid w:val="1ED36602"/>
    <w:rsid w:val="1ED3667D"/>
    <w:rsid w:val="1ED460BE"/>
    <w:rsid w:val="1ED918F0"/>
    <w:rsid w:val="1EDF6C2C"/>
    <w:rsid w:val="1EE06C8F"/>
    <w:rsid w:val="1EEB5D4D"/>
    <w:rsid w:val="1EED6ACA"/>
    <w:rsid w:val="1EED77D2"/>
    <w:rsid w:val="1EF108E0"/>
    <w:rsid w:val="1EF24653"/>
    <w:rsid w:val="1EF24C05"/>
    <w:rsid w:val="1EF503D0"/>
    <w:rsid w:val="1EF97345"/>
    <w:rsid w:val="1EFA6C70"/>
    <w:rsid w:val="1F0C0694"/>
    <w:rsid w:val="1F147ED5"/>
    <w:rsid w:val="1F181798"/>
    <w:rsid w:val="1F1D0099"/>
    <w:rsid w:val="1F233E4E"/>
    <w:rsid w:val="1F247CB0"/>
    <w:rsid w:val="1F2A6433"/>
    <w:rsid w:val="1F2C1918"/>
    <w:rsid w:val="1F3472CB"/>
    <w:rsid w:val="1F3B0C11"/>
    <w:rsid w:val="1F3F7B73"/>
    <w:rsid w:val="1F44301F"/>
    <w:rsid w:val="1F467EB2"/>
    <w:rsid w:val="1F4B15BC"/>
    <w:rsid w:val="1F4E188E"/>
    <w:rsid w:val="1F506314"/>
    <w:rsid w:val="1F5533D5"/>
    <w:rsid w:val="1F5B0028"/>
    <w:rsid w:val="1F903753"/>
    <w:rsid w:val="1F941997"/>
    <w:rsid w:val="1F9610B3"/>
    <w:rsid w:val="1F9772EB"/>
    <w:rsid w:val="1F984562"/>
    <w:rsid w:val="1F9B1D74"/>
    <w:rsid w:val="1F9C068B"/>
    <w:rsid w:val="1F9D4183"/>
    <w:rsid w:val="1FA318D5"/>
    <w:rsid w:val="1FA7646C"/>
    <w:rsid w:val="1FB13D6B"/>
    <w:rsid w:val="1FB4120E"/>
    <w:rsid w:val="1FB47A2F"/>
    <w:rsid w:val="1FB57B5F"/>
    <w:rsid w:val="1FB7103A"/>
    <w:rsid w:val="1FBA2CF7"/>
    <w:rsid w:val="1FD2426D"/>
    <w:rsid w:val="1FE52321"/>
    <w:rsid w:val="1FE70D17"/>
    <w:rsid w:val="1FF5147F"/>
    <w:rsid w:val="20014E73"/>
    <w:rsid w:val="20036D5E"/>
    <w:rsid w:val="20076AE7"/>
    <w:rsid w:val="20197940"/>
    <w:rsid w:val="202C530B"/>
    <w:rsid w:val="20410870"/>
    <w:rsid w:val="204B16C3"/>
    <w:rsid w:val="20677BEA"/>
    <w:rsid w:val="206C2809"/>
    <w:rsid w:val="206E7D70"/>
    <w:rsid w:val="206F43D6"/>
    <w:rsid w:val="20791826"/>
    <w:rsid w:val="207E424C"/>
    <w:rsid w:val="207F53D7"/>
    <w:rsid w:val="208828C6"/>
    <w:rsid w:val="20945EC6"/>
    <w:rsid w:val="209E6D19"/>
    <w:rsid w:val="20A929C8"/>
    <w:rsid w:val="20B36E9E"/>
    <w:rsid w:val="20B53B26"/>
    <w:rsid w:val="20B67DA5"/>
    <w:rsid w:val="20C841BD"/>
    <w:rsid w:val="20D03CA3"/>
    <w:rsid w:val="20D2281D"/>
    <w:rsid w:val="20D95B86"/>
    <w:rsid w:val="20EB0D84"/>
    <w:rsid w:val="20ED6CE8"/>
    <w:rsid w:val="20F30FEF"/>
    <w:rsid w:val="20FE3FDE"/>
    <w:rsid w:val="21083C57"/>
    <w:rsid w:val="21114EDC"/>
    <w:rsid w:val="21192317"/>
    <w:rsid w:val="212D740B"/>
    <w:rsid w:val="21321A13"/>
    <w:rsid w:val="21345016"/>
    <w:rsid w:val="21390795"/>
    <w:rsid w:val="214404C9"/>
    <w:rsid w:val="2147236C"/>
    <w:rsid w:val="21490C41"/>
    <w:rsid w:val="214E496B"/>
    <w:rsid w:val="215C3726"/>
    <w:rsid w:val="215C78D1"/>
    <w:rsid w:val="21613AFB"/>
    <w:rsid w:val="217A3AD7"/>
    <w:rsid w:val="21813113"/>
    <w:rsid w:val="218615EC"/>
    <w:rsid w:val="21883C8D"/>
    <w:rsid w:val="218C2F9C"/>
    <w:rsid w:val="219A43F9"/>
    <w:rsid w:val="21A56AF5"/>
    <w:rsid w:val="21B86CA6"/>
    <w:rsid w:val="21C1459A"/>
    <w:rsid w:val="21E13C58"/>
    <w:rsid w:val="21E5308A"/>
    <w:rsid w:val="21E761D0"/>
    <w:rsid w:val="220138FF"/>
    <w:rsid w:val="22020F9C"/>
    <w:rsid w:val="22033DA0"/>
    <w:rsid w:val="220F5C44"/>
    <w:rsid w:val="22153CEF"/>
    <w:rsid w:val="222B0537"/>
    <w:rsid w:val="22311C10"/>
    <w:rsid w:val="224A108D"/>
    <w:rsid w:val="224A76E8"/>
    <w:rsid w:val="224C3665"/>
    <w:rsid w:val="224E530E"/>
    <w:rsid w:val="22576CAC"/>
    <w:rsid w:val="22673393"/>
    <w:rsid w:val="226D1A73"/>
    <w:rsid w:val="227118C4"/>
    <w:rsid w:val="227A2634"/>
    <w:rsid w:val="228D2F50"/>
    <w:rsid w:val="2294211F"/>
    <w:rsid w:val="229A7EDD"/>
    <w:rsid w:val="229C3196"/>
    <w:rsid w:val="22A0444E"/>
    <w:rsid w:val="22A04AF7"/>
    <w:rsid w:val="22AE0860"/>
    <w:rsid w:val="22BC0F4A"/>
    <w:rsid w:val="22C14C18"/>
    <w:rsid w:val="22C2698E"/>
    <w:rsid w:val="22C348E5"/>
    <w:rsid w:val="22CD43A7"/>
    <w:rsid w:val="22CF2FA9"/>
    <w:rsid w:val="22D32D50"/>
    <w:rsid w:val="22D410CC"/>
    <w:rsid w:val="22E267F9"/>
    <w:rsid w:val="22E448F2"/>
    <w:rsid w:val="22EB7249"/>
    <w:rsid w:val="22F2788A"/>
    <w:rsid w:val="22F9367A"/>
    <w:rsid w:val="230A382B"/>
    <w:rsid w:val="230D3B9D"/>
    <w:rsid w:val="23163498"/>
    <w:rsid w:val="231B7AAA"/>
    <w:rsid w:val="232240F6"/>
    <w:rsid w:val="23256DAA"/>
    <w:rsid w:val="23390503"/>
    <w:rsid w:val="233B27C1"/>
    <w:rsid w:val="23505039"/>
    <w:rsid w:val="235D6544"/>
    <w:rsid w:val="235F406A"/>
    <w:rsid w:val="235F5429"/>
    <w:rsid w:val="23623B5A"/>
    <w:rsid w:val="23632BB8"/>
    <w:rsid w:val="23640FB0"/>
    <w:rsid w:val="23642049"/>
    <w:rsid w:val="2368268D"/>
    <w:rsid w:val="23687E83"/>
    <w:rsid w:val="2371139D"/>
    <w:rsid w:val="23797F46"/>
    <w:rsid w:val="23836902"/>
    <w:rsid w:val="23872CE5"/>
    <w:rsid w:val="238C3EED"/>
    <w:rsid w:val="23932D62"/>
    <w:rsid w:val="23995E62"/>
    <w:rsid w:val="239C706C"/>
    <w:rsid w:val="239E5DAB"/>
    <w:rsid w:val="23A04AAE"/>
    <w:rsid w:val="23B52D71"/>
    <w:rsid w:val="23BF14A7"/>
    <w:rsid w:val="23C24044"/>
    <w:rsid w:val="23C34253"/>
    <w:rsid w:val="23CD3C1F"/>
    <w:rsid w:val="23D06E28"/>
    <w:rsid w:val="23D108F4"/>
    <w:rsid w:val="23D2373C"/>
    <w:rsid w:val="23D30F57"/>
    <w:rsid w:val="23D427EC"/>
    <w:rsid w:val="23D52455"/>
    <w:rsid w:val="23D5257E"/>
    <w:rsid w:val="23E30FB9"/>
    <w:rsid w:val="23E55BB7"/>
    <w:rsid w:val="23E86947"/>
    <w:rsid w:val="23EB0E0A"/>
    <w:rsid w:val="23F93412"/>
    <w:rsid w:val="24003E36"/>
    <w:rsid w:val="24025F67"/>
    <w:rsid w:val="24026973"/>
    <w:rsid w:val="24082FFD"/>
    <w:rsid w:val="240D4E2B"/>
    <w:rsid w:val="241729C7"/>
    <w:rsid w:val="242C4A12"/>
    <w:rsid w:val="24360D1A"/>
    <w:rsid w:val="243E2796"/>
    <w:rsid w:val="243F33CD"/>
    <w:rsid w:val="24473F3B"/>
    <w:rsid w:val="24540554"/>
    <w:rsid w:val="245A2573"/>
    <w:rsid w:val="245C6C30"/>
    <w:rsid w:val="24612064"/>
    <w:rsid w:val="24626C85"/>
    <w:rsid w:val="246365BB"/>
    <w:rsid w:val="24691C87"/>
    <w:rsid w:val="246B71DD"/>
    <w:rsid w:val="24804C37"/>
    <w:rsid w:val="248165DC"/>
    <w:rsid w:val="24965BCE"/>
    <w:rsid w:val="249D0F40"/>
    <w:rsid w:val="24AE0576"/>
    <w:rsid w:val="24B842AD"/>
    <w:rsid w:val="24BD6B45"/>
    <w:rsid w:val="24CC50D0"/>
    <w:rsid w:val="24CD4D69"/>
    <w:rsid w:val="24D12D46"/>
    <w:rsid w:val="24DB4FFF"/>
    <w:rsid w:val="24DC011C"/>
    <w:rsid w:val="24DF0160"/>
    <w:rsid w:val="24E4168F"/>
    <w:rsid w:val="24EB5AB1"/>
    <w:rsid w:val="24EE491C"/>
    <w:rsid w:val="24F87B69"/>
    <w:rsid w:val="24FC4ED2"/>
    <w:rsid w:val="25023CB2"/>
    <w:rsid w:val="250A6D88"/>
    <w:rsid w:val="251A608E"/>
    <w:rsid w:val="251D24AE"/>
    <w:rsid w:val="252129F0"/>
    <w:rsid w:val="25223DB4"/>
    <w:rsid w:val="2524462C"/>
    <w:rsid w:val="25244912"/>
    <w:rsid w:val="252657F0"/>
    <w:rsid w:val="252C75B8"/>
    <w:rsid w:val="253359F2"/>
    <w:rsid w:val="25384E31"/>
    <w:rsid w:val="253F67E1"/>
    <w:rsid w:val="254B4B18"/>
    <w:rsid w:val="254C6617"/>
    <w:rsid w:val="254F010E"/>
    <w:rsid w:val="25514417"/>
    <w:rsid w:val="25567657"/>
    <w:rsid w:val="25622A5F"/>
    <w:rsid w:val="2572244F"/>
    <w:rsid w:val="257738AF"/>
    <w:rsid w:val="257F4A05"/>
    <w:rsid w:val="25861D82"/>
    <w:rsid w:val="259E71CD"/>
    <w:rsid w:val="25A635D9"/>
    <w:rsid w:val="25A662D7"/>
    <w:rsid w:val="25A86E75"/>
    <w:rsid w:val="25AE2938"/>
    <w:rsid w:val="25B31D75"/>
    <w:rsid w:val="25B62DE4"/>
    <w:rsid w:val="25BB0385"/>
    <w:rsid w:val="25BC2871"/>
    <w:rsid w:val="25CA0921"/>
    <w:rsid w:val="25CB0C18"/>
    <w:rsid w:val="25D13AEB"/>
    <w:rsid w:val="25D86561"/>
    <w:rsid w:val="25E2769B"/>
    <w:rsid w:val="25EB34F5"/>
    <w:rsid w:val="25FA2770"/>
    <w:rsid w:val="260439C2"/>
    <w:rsid w:val="261D13BC"/>
    <w:rsid w:val="262B6CE7"/>
    <w:rsid w:val="26355224"/>
    <w:rsid w:val="26455B3C"/>
    <w:rsid w:val="26481395"/>
    <w:rsid w:val="26491D5B"/>
    <w:rsid w:val="2650545E"/>
    <w:rsid w:val="26564D95"/>
    <w:rsid w:val="265956E8"/>
    <w:rsid w:val="26635755"/>
    <w:rsid w:val="26663282"/>
    <w:rsid w:val="266C407E"/>
    <w:rsid w:val="266D5DB7"/>
    <w:rsid w:val="266F1818"/>
    <w:rsid w:val="26776AED"/>
    <w:rsid w:val="26784417"/>
    <w:rsid w:val="26831E62"/>
    <w:rsid w:val="26873A39"/>
    <w:rsid w:val="26886FB3"/>
    <w:rsid w:val="268C4B6E"/>
    <w:rsid w:val="268F769A"/>
    <w:rsid w:val="26907D50"/>
    <w:rsid w:val="26920BFA"/>
    <w:rsid w:val="269C2A2E"/>
    <w:rsid w:val="269F0E4A"/>
    <w:rsid w:val="26A96406"/>
    <w:rsid w:val="26AE3074"/>
    <w:rsid w:val="26B038E9"/>
    <w:rsid w:val="26C61FE4"/>
    <w:rsid w:val="26CA7121"/>
    <w:rsid w:val="26D44D6F"/>
    <w:rsid w:val="26D54139"/>
    <w:rsid w:val="26DE480D"/>
    <w:rsid w:val="26E42734"/>
    <w:rsid w:val="26E44D57"/>
    <w:rsid w:val="26E524AA"/>
    <w:rsid w:val="26EE1993"/>
    <w:rsid w:val="26EE3EA9"/>
    <w:rsid w:val="27020328"/>
    <w:rsid w:val="270D2469"/>
    <w:rsid w:val="271725DF"/>
    <w:rsid w:val="271B7370"/>
    <w:rsid w:val="271C25AF"/>
    <w:rsid w:val="271D191F"/>
    <w:rsid w:val="272969A2"/>
    <w:rsid w:val="272A498F"/>
    <w:rsid w:val="27316337"/>
    <w:rsid w:val="274041B2"/>
    <w:rsid w:val="27494C9F"/>
    <w:rsid w:val="2756711B"/>
    <w:rsid w:val="27571033"/>
    <w:rsid w:val="275C3ED9"/>
    <w:rsid w:val="275D10E9"/>
    <w:rsid w:val="27602319"/>
    <w:rsid w:val="27627383"/>
    <w:rsid w:val="27637EA1"/>
    <w:rsid w:val="276655F9"/>
    <w:rsid w:val="2774770C"/>
    <w:rsid w:val="277664C2"/>
    <w:rsid w:val="277B51EB"/>
    <w:rsid w:val="277E6196"/>
    <w:rsid w:val="27902370"/>
    <w:rsid w:val="279132F5"/>
    <w:rsid w:val="279273E5"/>
    <w:rsid w:val="279957D8"/>
    <w:rsid w:val="279A5F86"/>
    <w:rsid w:val="279D7857"/>
    <w:rsid w:val="27A512B4"/>
    <w:rsid w:val="27AC3F4C"/>
    <w:rsid w:val="27AD77B8"/>
    <w:rsid w:val="27B11BCE"/>
    <w:rsid w:val="27B22C99"/>
    <w:rsid w:val="27B37CFF"/>
    <w:rsid w:val="27C83884"/>
    <w:rsid w:val="27D75754"/>
    <w:rsid w:val="27DD44BD"/>
    <w:rsid w:val="27DE44F3"/>
    <w:rsid w:val="27E00E49"/>
    <w:rsid w:val="27E025E3"/>
    <w:rsid w:val="27E31C81"/>
    <w:rsid w:val="27E87EB2"/>
    <w:rsid w:val="27F843F9"/>
    <w:rsid w:val="27FC037A"/>
    <w:rsid w:val="27FC77A0"/>
    <w:rsid w:val="280011EB"/>
    <w:rsid w:val="28060F58"/>
    <w:rsid w:val="28077C52"/>
    <w:rsid w:val="280A77E0"/>
    <w:rsid w:val="28165B2E"/>
    <w:rsid w:val="281E15DD"/>
    <w:rsid w:val="28245882"/>
    <w:rsid w:val="28273885"/>
    <w:rsid w:val="2832361F"/>
    <w:rsid w:val="283D65AE"/>
    <w:rsid w:val="2847022F"/>
    <w:rsid w:val="284C53A3"/>
    <w:rsid w:val="284D6B87"/>
    <w:rsid w:val="28537D18"/>
    <w:rsid w:val="285904B0"/>
    <w:rsid w:val="28633F56"/>
    <w:rsid w:val="286C5825"/>
    <w:rsid w:val="28800D94"/>
    <w:rsid w:val="2884790D"/>
    <w:rsid w:val="288904C9"/>
    <w:rsid w:val="288E49C9"/>
    <w:rsid w:val="28974527"/>
    <w:rsid w:val="289B7222"/>
    <w:rsid w:val="28A048D2"/>
    <w:rsid w:val="28A33108"/>
    <w:rsid w:val="28A42A77"/>
    <w:rsid w:val="28A51801"/>
    <w:rsid w:val="28AA34FB"/>
    <w:rsid w:val="28B9156D"/>
    <w:rsid w:val="28BA5168"/>
    <w:rsid w:val="28BB4BB3"/>
    <w:rsid w:val="28C6693F"/>
    <w:rsid w:val="28C72AD9"/>
    <w:rsid w:val="28C85178"/>
    <w:rsid w:val="28DC6197"/>
    <w:rsid w:val="28EC45F2"/>
    <w:rsid w:val="28F20CD2"/>
    <w:rsid w:val="28F32944"/>
    <w:rsid w:val="28F96D0F"/>
    <w:rsid w:val="28FD64D7"/>
    <w:rsid w:val="290D35E1"/>
    <w:rsid w:val="29121205"/>
    <w:rsid w:val="29153DEE"/>
    <w:rsid w:val="292909F1"/>
    <w:rsid w:val="293107D2"/>
    <w:rsid w:val="29423EF2"/>
    <w:rsid w:val="29464ACE"/>
    <w:rsid w:val="29587DFA"/>
    <w:rsid w:val="29592BB1"/>
    <w:rsid w:val="295E36CF"/>
    <w:rsid w:val="296177A4"/>
    <w:rsid w:val="2965703F"/>
    <w:rsid w:val="296A3063"/>
    <w:rsid w:val="296E3DDF"/>
    <w:rsid w:val="29703302"/>
    <w:rsid w:val="297154B3"/>
    <w:rsid w:val="297A56A8"/>
    <w:rsid w:val="298C5D80"/>
    <w:rsid w:val="2990451B"/>
    <w:rsid w:val="29982084"/>
    <w:rsid w:val="29A205DE"/>
    <w:rsid w:val="29AA5B4C"/>
    <w:rsid w:val="29AE6870"/>
    <w:rsid w:val="29B26810"/>
    <w:rsid w:val="29BA5809"/>
    <w:rsid w:val="29C64E2E"/>
    <w:rsid w:val="29D1351A"/>
    <w:rsid w:val="29D22306"/>
    <w:rsid w:val="29D23DD9"/>
    <w:rsid w:val="29D73B83"/>
    <w:rsid w:val="29EA7835"/>
    <w:rsid w:val="29EE6E5C"/>
    <w:rsid w:val="29F642BA"/>
    <w:rsid w:val="29F925DD"/>
    <w:rsid w:val="29F950BF"/>
    <w:rsid w:val="29FF2DE0"/>
    <w:rsid w:val="2A025CA4"/>
    <w:rsid w:val="2A120A71"/>
    <w:rsid w:val="2A131E21"/>
    <w:rsid w:val="2A17684F"/>
    <w:rsid w:val="2A192D9F"/>
    <w:rsid w:val="2A1A0CA3"/>
    <w:rsid w:val="2A1E360D"/>
    <w:rsid w:val="2A1F7557"/>
    <w:rsid w:val="2A272C3F"/>
    <w:rsid w:val="2A3215FA"/>
    <w:rsid w:val="2A3D1040"/>
    <w:rsid w:val="2A3D200C"/>
    <w:rsid w:val="2A407BE7"/>
    <w:rsid w:val="2A462E4E"/>
    <w:rsid w:val="2A4717DC"/>
    <w:rsid w:val="2A510FFD"/>
    <w:rsid w:val="2A586F2B"/>
    <w:rsid w:val="2A5B1EFD"/>
    <w:rsid w:val="2A6A463C"/>
    <w:rsid w:val="2A6B4CF3"/>
    <w:rsid w:val="2A7409D2"/>
    <w:rsid w:val="2A742098"/>
    <w:rsid w:val="2A7A5C2D"/>
    <w:rsid w:val="2A7E571E"/>
    <w:rsid w:val="2A7F4D44"/>
    <w:rsid w:val="2A7F65E1"/>
    <w:rsid w:val="2A83282A"/>
    <w:rsid w:val="2A8A6BFC"/>
    <w:rsid w:val="2A8B7A34"/>
    <w:rsid w:val="2A94182E"/>
    <w:rsid w:val="2A967FBC"/>
    <w:rsid w:val="2A996835"/>
    <w:rsid w:val="2A9C0585"/>
    <w:rsid w:val="2A9C66BF"/>
    <w:rsid w:val="2A9C76F4"/>
    <w:rsid w:val="2AA5589B"/>
    <w:rsid w:val="2AA6682D"/>
    <w:rsid w:val="2AB54EB7"/>
    <w:rsid w:val="2AC22ABA"/>
    <w:rsid w:val="2AD20567"/>
    <w:rsid w:val="2AD40439"/>
    <w:rsid w:val="2AD405B4"/>
    <w:rsid w:val="2AD636E3"/>
    <w:rsid w:val="2ADE501D"/>
    <w:rsid w:val="2AE046A9"/>
    <w:rsid w:val="2AE416EB"/>
    <w:rsid w:val="2AE5634E"/>
    <w:rsid w:val="2AEE3472"/>
    <w:rsid w:val="2AF03F94"/>
    <w:rsid w:val="2AF07D24"/>
    <w:rsid w:val="2AF1578A"/>
    <w:rsid w:val="2AF54800"/>
    <w:rsid w:val="2AF86B63"/>
    <w:rsid w:val="2B124AAA"/>
    <w:rsid w:val="2B165956"/>
    <w:rsid w:val="2B1779D9"/>
    <w:rsid w:val="2B217AF7"/>
    <w:rsid w:val="2B237F61"/>
    <w:rsid w:val="2B256729"/>
    <w:rsid w:val="2B2C7381"/>
    <w:rsid w:val="2B356B66"/>
    <w:rsid w:val="2B4324C3"/>
    <w:rsid w:val="2B4749DA"/>
    <w:rsid w:val="2B485E04"/>
    <w:rsid w:val="2B4A732D"/>
    <w:rsid w:val="2B604AAA"/>
    <w:rsid w:val="2B614186"/>
    <w:rsid w:val="2B6233E8"/>
    <w:rsid w:val="2B681F2A"/>
    <w:rsid w:val="2B7645A4"/>
    <w:rsid w:val="2B78024E"/>
    <w:rsid w:val="2B80401C"/>
    <w:rsid w:val="2B823A00"/>
    <w:rsid w:val="2B920D55"/>
    <w:rsid w:val="2B9569B0"/>
    <w:rsid w:val="2B9C6A40"/>
    <w:rsid w:val="2B9D0D74"/>
    <w:rsid w:val="2BA0749F"/>
    <w:rsid w:val="2BA2070E"/>
    <w:rsid w:val="2BAA5FAA"/>
    <w:rsid w:val="2BB86AF1"/>
    <w:rsid w:val="2BBD1B76"/>
    <w:rsid w:val="2BC0427F"/>
    <w:rsid w:val="2BC94187"/>
    <w:rsid w:val="2BCD636C"/>
    <w:rsid w:val="2BD01B21"/>
    <w:rsid w:val="2BDA1365"/>
    <w:rsid w:val="2BDC196B"/>
    <w:rsid w:val="2BE934F0"/>
    <w:rsid w:val="2BE95597"/>
    <w:rsid w:val="2BF808D8"/>
    <w:rsid w:val="2BFB7E49"/>
    <w:rsid w:val="2C011E18"/>
    <w:rsid w:val="2C030F60"/>
    <w:rsid w:val="2C0559CB"/>
    <w:rsid w:val="2C082A04"/>
    <w:rsid w:val="2C0B3D13"/>
    <w:rsid w:val="2C1048F5"/>
    <w:rsid w:val="2C1051E7"/>
    <w:rsid w:val="2C162F47"/>
    <w:rsid w:val="2C1B2283"/>
    <w:rsid w:val="2C1E7C3A"/>
    <w:rsid w:val="2C24291A"/>
    <w:rsid w:val="2C3144A1"/>
    <w:rsid w:val="2C336E27"/>
    <w:rsid w:val="2C3C1309"/>
    <w:rsid w:val="2C42026C"/>
    <w:rsid w:val="2C464EB8"/>
    <w:rsid w:val="2C49519C"/>
    <w:rsid w:val="2C551A9C"/>
    <w:rsid w:val="2C5A286A"/>
    <w:rsid w:val="2C5B065F"/>
    <w:rsid w:val="2C5C6C9B"/>
    <w:rsid w:val="2C633786"/>
    <w:rsid w:val="2C654010"/>
    <w:rsid w:val="2C691C5B"/>
    <w:rsid w:val="2C6E3EE3"/>
    <w:rsid w:val="2C740550"/>
    <w:rsid w:val="2C743F88"/>
    <w:rsid w:val="2C7953B4"/>
    <w:rsid w:val="2C8433C2"/>
    <w:rsid w:val="2C8525C3"/>
    <w:rsid w:val="2C8B7151"/>
    <w:rsid w:val="2C970CA7"/>
    <w:rsid w:val="2CA27F24"/>
    <w:rsid w:val="2CA60F5C"/>
    <w:rsid w:val="2CA6175D"/>
    <w:rsid w:val="2CA707FF"/>
    <w:rsid w:val="2CAD2974"/>
    <w:rsid w:val="2CB15D8C"/>
    <w:rsid w:val="2CB66439"/>
    <w:rsid w:val="2CC04B44"/>
    <w:rsid w:val="2CCC3A8A"/>
    <w:rsid w:val="2CD25FF6"/>
    <w:rsid w:val="2CD6501A"/>
    <w:rsid w:val="2CE8284E"/>
    <w:rsid w:val="2CEA2372"/>
    <w:rsid w:val="2CEB4EE3"/>
    <w:rsid w:val="2CF85B39"/>
    <w:rsid w:val="2D1234FB"/>
    <w:rsid w:val="2D184CBE"/>
    <w:rsid w:val="2D225E32"/>
    <w:rsid w:val="2D2816D8"/>
    <w:rsid w:val="2D2A5CD1"/>
    <w:rsid w:val="2D3270DB"/>
    <w:rsid w:val="2D40787B"/>
    <w:rsid w:val="2D4459A4"/>
    <w:rsid w:val="2D4B565F"/>
    <w:rsid w:val="2D5D3C66"/>
    <w:rsid w:val="2D656C20"/>
    <w:rsid w:val="2D6575EC"/>
    <w:rsid w:val="2D6729DE"/>
    <w:rsid w:val="2D683517"/>
    <w:rsid w:val="2D6B5FF8"/>
    <w:rsid w:val="2D7153BC"/>
    <w:rsid w:val="2D784BC8"/>
    <w:rsid w:val="2D7B1EBA"/>
    <w:rsid w:val="2D7C6E5F"/>
    <w:rsid w:val="2DA21756"/>
    <w:rsid w:val="2DAA3BFC"/>
    <w:rsid w:val="2DAA6907"/>
    <w:rsid w:val="2DB23579"/>
    <w:rsid w:val="2DB63D6A"/>
    <w:rsid w:val="2DD33A33"/>
    <w:rsid w:val="2DD5339A"/>
    <w:rsid w:val="2DD862A4"/>
    <w:rsid w:val="2DD970F1"/>
    <w:rsid w:val="2DDC3D01"/>
    <w:rsid w:val="2DDD1E55"/>
    <w:rsid w:val="2DDD287D"/>
    <w:rsid w:val="2DE079CF"/>
    <w:rsid w:val="2DE2461C"/>
    <w:rsid w:val="2DE2701D"/>
    <w:rsid w:val="2DE34026"/>
    <w:rsid w:val="2DEB1013"/>
    <w:rsid w:val="2DED7DFA"/>
    <w:rsid w:val="2DF939FD"/>
    <w:rsid w:val="2E010F22"/>
    <w:rsid w:val="2E014A7A"/>
    <w:rsid w:val="2E0507F6"/>
    <w:rsid w:val="2E0A760D"/>
    <w:rsid w:val="2E0D76F4"/>
    <w:rsid w:val="2E3D27AA"/>
    <w:rsid w:val="2E430E39"/>
    <w:rsid w:val="2E432091"/>
    <w:rsid w:val="2E4421D0"/>
    <w:rsid w:val="2E48750F"/>
    <w:rsid w:val="2E4B5A0E"/>
    <w:rsid w:val="2E4E2BC8"/>
    <w:rsid w:val="2E534CCE"/>
    <w:rsid w:val="2E5C008E"/>
    <w:rsid w:val="2E5E5D0F"/>
    <w:rsid w:val="2E600AC3"/>
    <w:rsid w:val="2E7F46DA"/>
    <w:rsid w:val="2E80440C"/>
    <w:rsid w:val="2E813902"/>
    <w:rsid w:val="2E861E29"/>
    <w:rsid w:val="2E872E3D"/>
    <w:rsid w:val="2E8F38D6"/>
    <w:rsid w:val="2E91428C"/>
    <w:rsid w:val="2E9345AB"/>
    <w:rsid w:val="2E9921C7"/>
    <w:rsid w:val="2E996742"/>
    <w:rsid w:val="2EA11458"/>
    <w:rsid w:val="2EA40F80"/>
    <w:rsid w:val="2EAE1185"/>
    <w:rsid w:val="2EB406CC"/>
    <w:rsid w:val="2EB51BB6"/>
    <w:rsid w:val="2EB536D8"/>
    <w:rsid w:val="2EC50D4B"/>
    <w:rsid w:val="2EDA3E8E"/>
    <w:rsid w:val="2EDA55A5"/>
    <w:rsid w:val="2EE40C4C"/>
    <w:rsid w:val="2EE63891"/>
    <w:rsid w:val="2EF56EE3"/>
    <w:rsid w:val="2EFA4801"/>
    <w:rsid w:val="2F01313C"/>
    <w:rsid w:val="2F03725B"/>
    <w:rsid w:val="2F042284"/>
    <w:rsid w:val="2F05640D"/>
    <w:rsid w:val="2F066438"/>
    <w:rsid w:val="2F0A3A24"/>
    <w:rsid w:val="2F103761"/>
    <w:rsid w:val="2F15304A"/>
    <w:rsid w:val="2F251F8C"/>
    <w:rsid w:val="2F2D5882"/>
    <w:rsid w:val="2F320664"/>
    <w:rsid w:val="2F344610"/>
    <w:rsid w:val="2F3762E5"/>
    <w:rsid w:val="2F395B2B"/>
    <w:rsid w:val="2F3D3B9C"/>
    <w:rsid w:val="2F405C8F"/>
    <w:rsid w:val="2F4525F6"/>
    <w:rsid w:val="2F4A02C4"/>
    <w:rsid w:val="2F5644FF"/>
    <w:rsid w:val="2F566BAD"/>
    <w:rsid w:val="2F924CF6"/>
    <w:rsid w:val="2F9C312F"/>
    <w:rsid w:val="2F9C6B51"/>
    <w:rsid w:val="2FA14E9F"/>
    <w:rsid w:val="2FA855E5"/>
    <w:rsid w:val="2FC34275"/>
    <w:rsid w:val="2FD47B8E"/>
    <w:rsid w:val="2FDB3AD2"/>
    <w:rsid w:val="2FDC2BFB"/>
    <w:rsid w:val="2FDD3AA9"/>
    <w:rsid w:val="2FDE3265"/>
    <w:rsid w:val="2FE51D9B"/>
    <w:rsid w:val="2FE83639"/>
    <w:rsid w:val="2FF93D83"/>
    <w:rsid w:val="2FFA2F0A"/>
    <w:rsid w:val="3018672B"/>
    <w:rsid w:val="301D1CA0"/>
    <w:rsid w:val="302C3041"/>
    <w:rsid w:val="30344AD4"/>
    <w:rsid w:val="3038167C"/>
    <w:rsid w:val="303C2806"/>
    <w:rsid w:val="30402A75"/>
    <w:rsid w:val="3045414B"/>
    <w:rsid w:val="30467B28"/>
    <w:rsid w:val="30481219"/>
    <w:rsid w:val="30593A52"/>
    <w:rsid w:val="305940FD"/>
    <w:rsid w:val="305B205D"/>
    <w:rsid w:val="305C3CC8"/>
    <w:rsid w:val="305C5377"/>
    <w:rsid w:val="306B7AE0"/>
    <w:rsid w:val="3071032F"/>
    <w:rsid w:val="30711C90"/>
    <w:rsid w:val="307556CD"/>
    <w:rsid w:val="307B5C11"/>
    <w:rsid w:val="30884C0A"/>
    <w:rsid w:val="30901D07"/>
    <w:rsid w:val="30957205"/>
    <w:rsid w:val="30972B8C"/>
    <w:rsid w:val="30981DAD"/>
    <w:rsid w:val="309C445C"/>
    <w:rsid w:val="30A05CC2"/>
    <w:rsid w:val="30BD2FFD"/>
    <w:rsid w:val="30C97165"/>
    <w:rsid w:val="30D36097"/>
    <w:rsid w:val="30E51454"/>
    <w:rsid w:val="30E608E3"/>
    <w:rsid w:val="30EB518F"/>
    <w:rsid w:val="30F77FF5"/>
    <w:rsid w:val="30FE3126"/>
    <w:rsid w:val="3101110A"/>
    <w:rsid w:val="31081F14"/>
    <w:rsid w:val="3110617B"/>
    <w:rsid w:val="311606E0"/>
    <w:rsid w:val="3116221C"/>
    <w:rsid w:val="312A0FB5"/>
    <w:rsid w:val="31435E7E"/>
    <w:rsid w:val="31454093"/>
    <w:rsid w:val="314F3F2F"/>
    <w:rsid w:val="31516EE6"/>
    <w:rsid w:val="31540BBC"/>
    <w:rsid w:val="315E1885"/>
    <w:rsid w:val="315E509F"/>
    <w:rsid w:val="31600CAE"/>
    <w:rsid w:val="316767CD"/>
    <w:rsid w:val="316F553D"/>
    <w:rsid w:val="317C6EC4"/>
    <w:rsid w:val="317E0F6C"/>
    <w:rsid w:val="318329F8"/>
    <w:rsid w:val="318C0616"/>
    <w:rsid w:val="319606F5"/>
    <w:rsid w:val="319C5DFB"/>
    <w:rsid w:val="319D7433"/>
    <w:rsid w:val="31A57A34"/>
    <w:rsid w:val="31A81FEB"/>
    <w:rsid w:val="31AC549E"/>
    <w:rsid w:val="31B457D3"/>
    <w:rsid w:val="31B804D9"/>
    <w:rsid w:val="31C40A54"/>
    <w:rsid w:val="31CA592E"/>
    <w:rsid w:val="31D2079F"/>
    <w:rsid w:val="31E22F4B"/>
    <w:rsid w:val="31E51A73"/>
    <w:rsid w:val="31E6099A"/>
    <w:rsid w:val="31E92DD9"/>
    <w:rsid w:val="31EC0661"/>
    <w:rsid w:val="31F434B3"/>
    <w:rsid w:val="31FA3E15"/>
    <w:rsid w:val="320A693D"/>
    <w:rsid w:val="320F5741"/>
    <w:rsid w:val="3213790C"/>
    <w:rsid w:val="32171DEB"/>
    <w:rsid w:val="321F4591"/>
    <w:rsid w:val="32261397"/>
    <w:rsid w:val="322D5174"/>
    <w:rsid w:val="32323931"/>
    <w:rsid w:val="32356386"/>
    <w:rsid w:val="32356C79"/>
    <w:rsid w:val="323C4918"/>
    <w:rsid w:val="323D419D"/>
    <w:rsid w:val="32531849"/>
    <w:rsid w:val="32671C48"/>
    <w:rsid w:val="326A20D3"/>
    <w:rsid w:val="32701994"/>
    <w:rsid w:val="32781D39"/>
    <w:rsid w:val="327A531D"/>
    <w:rsid w:val="32806122"/>
    <w:rsid w:val="328B290A"/>
    <w:rsid w:val="32901F1E"/>
    <w:rsid w:val="32A13F64"/>
    <w:rsid w:val="32A74F77"/>
    <w:rsid w:val="32AF7663"/>
    <w:rsid w:val="32B0079C"/>
    <w:rsid w:val="32B80FE0"/>
    <w:rsid w:val="32BC6F66"/>
    <w:rsid w:val="32C616AF"/>
    <w:rsid w:val="32C7758B"/>
    <w:rsid w:val="32CD20E1"/>
    <w:rsid w:val="32DC6C3D"/>
    <w:rsid w:val="32E620B2"/>
    <w:rsid w:val="32EF4CA4"/>
    <w:rsid w:val="33012173"/>
    <w:rsid w:val="3307027A"/>
    <w:rsid w:val="330D3AE3"/>
    <w:rsid w:val="33121D46"/>
    <w:rsid w:val="33170AD4"/>
    <w:rsid w:val="331C7249"/>
    <w:rsid w:val="331E6519"/>
    <w:rsid w:val="331F1BF8"/>
    <w:rsid w:val="332762C3"/>
    <w:rsid w:val="332A16B7"/>
    <w:rsid w:val="3344502A"/>
    <w:rsid w:val="334E278D"/>
    <w:rsid w:val="33501410"/>
    <w:rsid w:val="33703E0D"/>
    <w:rsid w:val="337656C6"/>
    <w:rsid w:val="33780EA1"/>
    <w:rsid w:val="337F42B4"/>
    <w:rsid w:val="338874CA"/>
    <w:rsid w:val="338B4A07"/>
    <w:rsid w:val="339047DC"/>
    <w:rsid w:val="339174E4"/>
    <w:rsid w:val="33922BA4"/>
    <w:rsid w:val="3395257E"/>
    <w:rsid w:val="33962013"/>
    <w:rsid w:val="33977CCF"/>
    <w:rsid w:val="339877B9"/>
    <w:rsid w:val="339C09C3"/>
    <w:rsid w:val="339C1778"/>
    <w:rsid w:val="339D721B"/>
    <w:rsid w:val="33BB3369"/>
    <w:rsid w:val="33BD487F"/>
    <w:rsid w:val="33BE22DC"/>
    <w:rsid w:val="33BE5883"/>
    <w:rsid w:val="33C1244A"/>
    <w:rsid w:val="33D564A5"/>
    <w:rsid w:val="33DF67D8"/>
    <w:rsid w:val="33E12879"/>
    <w:rsid w:val="33EC331A"/>
    <w:rsid w:val="33EC6FB6"/>
    <w:rsid w:val="33F9172C"/>
    <w:rsid w:val="33FB5FA1"/>
    <w:rsid w:val="340A74A4"/>
    <w:rsid w:val="340D6A5E"/>
    <w:rsid w:val="342B004A"/>
    <w:rsid w:val="34347437"/>
    <w:rsid w:val="34365FB2"/>
    <w:rsid w:val="343A2C67"/>
    <w:rsid w:val="345901E2"/>
    <w:rsid w:val="345B0C87"/>
    <w:rsid w:val="345B612A"/>
    <w:rsid w:val="34610E0E"/>
    <w:rsid w:val="346D4150"/>
    <w:rsid w:val="34776B38"/>
    <w:rsid w:val="347D0F19"/>
    <w:rsid w:val="348A53AC"/>
    <w:rsid w:val="348A615B"/>
    <w:rsid w:val="348D5440"/>
    <w:rsid w:val="34960CBE"/>
    <w:rsid w:val="34994DEC"/>
    <w:rsid w:val="34996154"/>
    <w:rsid w:val="349A69EF"/>
    <w:rsid w:val="34AA4679"/>
    <w:rsid w:val="34AE1165"/>
    <w:rsid w:val="34C3798A"/>
    <w:rsid w:val="34C41DDC"/>
    <w:rsid w:val="34C52EA2"/>
    <w:rsid w:val="34C60D9C"/>
    <w:rsid w:val="34DB32BB"/>
    <w:rsid w:val="34F35D01"/>
    <w:rsid w:val="35002A15"/>
    <w:rsid w:val="35102070"/>
    <w:rsid w:val="351137B9"/>
    <w:rsid w:val="35124A0D"/>
    <w:rsid w:val="351B2D65"/>
    <w:rsid w:val="351B43C7"/>
    <w:rsid w:val="354658AF"/>
    <w:rsid w:val="35497AB7"/>
    <w:rsid w:val="3550415A"/>
    <w:rsid w:val="355D6155"/>
    <w:rsid w:val="355F0732"/>
    <w:rsid w:val="356C3F81"/>
    <w:rsid w:val="356D3631"/>
    <w:rsid w:val="356E1072"/>
    <w:rsid w:val="356F6271"/>
    <w:rsid w:val="35703816"/>
    <w:rsid w:val="35764F4A"/>
    <w:rsid w:val="357D172C"/>
    <w:rsid w:val="35812D9B"/>
    <w:rsid w:val="358304AB"/>
    <w:rsid w:val="359F7869"/>
    <w:rsid w:val="35A160DC"/>
    <w:rsid w:val="35A20420"/>
    <w:rsid w:val="35A5058B"/>
    <w:rsid w:val="35B36EFA"/>
    <w:rsid w:val="35BC4B27"/>
    <w:rsid w:val="35BD2792"/>
    <w:rsid w:val="35C94AEF"/>
    <w:rsid w:val="35CC19E4"/>
    <w:rsid w:val="35DC1B26"/>
    <w:rsid w:val="35E37515"/>
    <w:rsid w:val="35E40A76"/>
    <w:rsid w:val="35E65FA8"/>
    <w:rsid w:val="35F60392"/>
    <w:rsid w:val="35FA51A5"/>
    <w:rsid w:val="35FB502F"/>
    <w:rsid w:val="35FD3490"/>
    <w:rsid w:val="360E16AE"/>
    <w:rsid w:val="36176647"/>
    <w:rsid w:val="363357CB"/>
    <w:rsid w:val="363E58CF"/>
    <w:rsid w:val="364066FB"/>
    <w:rsid w:val="36495C0A"/>
    <w:rsid w:val="364F5A2A"/>
    <w:rsid w:val="365519F4"/>
    <w:rsid w:val="36595DF6"/>
    <w:rsid w:val="36614384"/>
    <w:rsid w:val="366204B8"/>
    <w:rsid w:val="36631CA0"/>
    <w:rsid w:val="36717C5A"/>
    <w:rsid w:val="36774942"/>
    <w:rsid w:val="36856E78"/>
    <w:rsid w:val="36881634"/>
    <w:rsid w:val="368C76FA"/>
    <w:rsid w:val="368F76FA"/>
    <w:rsid w:val="36923F9D"/>
    <w:rsid w:val="36981915"/>
    <w:rsid w:val="36B12624"/>
    <w:rsid w:val="36B660E9"/>
    <w:rsid w:val="36B71B89"/>
    <w:rsid w:val="36CB4D77"/>
    <w:rsid w:val="36D925A0"/>
    <w:rsid w:val="36DA62AB"/>
    <w:rsid w:val="36E52680"/>
    <w:rsid w:val="36E53AF8"/>
    <w:rsid w:val="36F101A1"/>
    <w:rsid w:val="36F32FEF"/>
    <w:rsid w:val="36F54FB9"/>
    <w:rsid w:val="36FC3260"/>
    <w:rsid w:val="37060463"/>
    <w:rsid w:val="370A5E5F"/>
    <w:rsid w:val="370D0235"/>
    <w:rsid w:val="37143AAA"/>
    <w:rsid w:val="371F2036"/>
    <w:rsid w:val="372B669C"/>
    <w:rsid w:val="372E3079"/>
    <w:rsid w:val="373B1EBD"/>
    <w:rsid w:val="373E5A03"/>
    <w:rsid w:val="374B2493"/>
    <w:rsid w:val="374E59E2"/>
    <w:rsid w:val="37520F54"/>
    <w:rsid w:val="37570BCB"/>
    <w:rsid w:val="375B67B8"/>
    <w:rsid w:val="37661CB3"/>
    <w:rsid w:val="376C22F6"/>
    <w:rsid w:val="376D21A7"/>
    <w:rsid w:val="377071F8"/>
    <w:rsid w:val="37707FE0"/>
    <w:rsid w:val="37717766"/>
    <w:rsid w:val="37727E4D"/>
    <w:rsid w:val="3773519C"/>
    <w:rsid w:val="377452B8"/>
    <w:rsid w:val="37773CD2"/>
    <w:rsid w:val="377B5A15"/>
    <w:rsid w:val="37894E57"/>
    <w:rsid w:val="378F792B"/>
    <w:rsid w:val="37921EAB"/>
    <w:rsid w:val="37A21FE2"/>
    <w:rsid w:val="37AF3A9B"/>
    <w:rsid w:val="37C61413"/>
    <w:rsid w:val="37D71B9E"/>
    <w:rsid w:val="37D95BC3"/>
    <w:rsid w:val="37DB1B4A"/>
    <w:rsid w:val="37EA3D1D"/>
    <w:rsid w:val="37F0752F"/>
    <w:rsid w:val="38032ADD"/>
    <w:rsid w:val="38054534"/>
    <w:rsid w:val="380F70A0"/>
    <w:rsid w:val="38124799"/>
    <w:rsid w:val="38181651"/>
    <w:rsid w:val="381A129D"/>
    <w:rsid w:val="381B3AE1"/>
    <w:rsid w:val="3837515E"/>
    <w:rsid w:val="384445D2"/>
    <w:rsid w:val="38466BC9"/>
    <w:rsid w:val="385979C8"/>
    <w:rsid w:val="38621032"/>
    <w:rsid w:val="386C17FE"/>
    <w:rsid w:val="386F71C2"/>
    <w:rsid w:val="38864EE1"/>
    <w:rsid w:val="388A553D"/>
    <w:rsid w:val="388D26FF"/>
    <w:rsid w:val="389007B4"/>
    <w:rsid w:val="389525C6"/>
    <w:rsid w:val="389C3F60"/>
    <w:rsid w:val="389E28DB"/>
    <w:rsid w:val="38A256ED"/>
    <w:rsid w:val="38B0624E"/>
    <w:rsid w:val="38B4706D"/>
    <w:rsid w:val="38B60D7F"/>
    <w:rsid w:val="38B6531C"/>
    <w:rsid w:val="38BA0EE3"/>
    <w:rsid w:val="38BA4416"/>
    <w:rsid w:val="38C10BE9"/>
    <w:rsid w:val="38C4603C"/>
    <w:rsid w:val="38D429AD"/>
    <w:rsid w:val="38D45CEE"/>
    <w:rsid w:val="38E1369C"/>
    <w:rsid w:val="38F02352"/>
    <w:rsid w:val="38F60C3D"/>
    <w:rsid w:val="38F66DC7"/>
    <w:rsid w:val="390078F4"/>
    <w:rsid w:val="391754AA"/>
    <w:rsid w:val="391F67F6"/>
    <w:rsid w:val="39236CE5"/>
    <w:rsid w:val="39251316"/>
    <w:rsid w:val="39273592"/>
    <w:rsid w:val="392B4CC2"/>
    <w:rsid w:val="392B6496"/>
    <w:rsid w:val="39312A65"/>
    <w:rsid w:val="39396CB4"/>
    <w:rsid w:val="39404B30"/>
    <w:rsid w:val="3943543F"/>
    <w:rsid w:val="394C69E7"/>
    <w:rsid w:val="394F4956"/>
    <w:rsid w:val="39585980"/>
    <w:rsid w:val="395B4F36"/>
    <w:rsid w:val="39614E4F"/>
    <w:rsid w:val="39652C73"/>
    <w:rsid w:val="396A50BF"/>
    <w:rsid w:val="39730397"/>
    <w:rsid w:val="397828E0"/>
    <w:rsid w:val="39800ACE"/>
    <w:rsid w:val="39980CE2"/>
    <w:rsid w:val="3998558D"/>
    <w:rsid w:val="399B34CA"/>
    <w:rsid w:val="39AA339F"/>
    <w:rsid w:val="39AB53AE"/>
    <w:rsid w:val="39AF4C4F"/>
    <w:rsid w:val="39B83678"/>
    <w:rsid w:val="39D0636E"/>
    <w:rsid w:val="39D17CDD"/>
    <w:rsid w:val="39F44362"/>
    <w:rsid w:val="39F62389"/>
    <w:rsid w:val="39F63B7B"/>
    <w:rsid w:val="39F925EC"/>
    <w:rsid w:val="3A035D99"/>
    <w:rsid w:val="3A0E4679"/>
    <w:rsid w:val="3A15193A"/>
    <w:rsid w:val="3A185146"/>
    <w:rsid w:val="3A1B7A36"/>
    <w:rsid w:val="3A1F2B4F"/>
    <w:rsid w:val="3A220E5F"/>
    <w:rsid w:val="3A222B60"/>
    <w:rsid w:val="3A2644AB"/>
    <w:rsid w:val="3A30298D"/>
    <w:rsid w:val="3A3C1A7E"/>
    <w:rsid w:val="3A3C7D6C"/>
    <w:rsid w:val="3A3D6E67"/>
    <w:rsid w:val="3A3E5C67"/>
    <w:rsid w:val="3A451DB4"/>
    <w:rsid w:val="3A4936E3"/>
    <w:rsid w:val="3A4D2A17"/>
    <w:rsid w:val="3A4F7A71"/>
    <w:rsid w:val="3A58374B"/>
    <w:rsid w:val="3A5941F6"/>
    <w:rsid w:val="3A596DA8"/>
    <w:rsid w:val="3A5A1D9E"/>
    <w:rsid w:val="3A5A6C2B"/>
    <w:rsid w:val="3A5B22E9"/>
    <w:rsid w:val="3A5C3E46"/>
    <w:rsid w:val="3A5E32F8"/>
    <w:rsid w:val="3A611DF3"/>
    <w:rsid w:val="3A624674"/>
    <w:rsid w:val="3A6D58D7"/>
    <w:rsid w:val="3A6E0425"/>
    <w:rsid w:val="3A714BF8"/>
    <w:rsid w:val="3A7572A8"/>
    <w:rsid w:val="3A7E046D"/>
    <w:rsid w:val="3A7F656F"/>
    <w:rsid w:val="3A825363"/>
    <w:rsid w:val="3A83464D"/>
    <w:rsid w:val="3A841F02"/>
    <w:rsid w:val="3A8A5A19"/>
    <w:rsid w:val="3A9155E6"/>
    <w:rsid w:val="3A954B7A"/>
    <w:rsid w:val="3A9B50DC"/>
    <w:rsid w:val="3A9C4E84"/>
    <w:rsid w:val="3AA11C63"/>
    <w:rsid w:val="3AA35C36"/>
    <w:rsid w:val="3AA9087F"/>
    <w:rsid w:val="3AAA4AD8"/>
    <w:rsid w:val="3AB160D5"/>
    <w:rsid w:val="3AB37C0B"/>
    <w:rsid w:val="3AC07099"/>
    <w:rsid w:val="3AC90541"/>
    <w:rsid w:val="3AD0154B"/>
    <w:rsid w:val="3AD26502"/>
    <w:rsid w:val="3AD32BE2"/>
    <w:rsid w:val="3AD735A4"/>
    <w:rsid w:val="3ADB5B92"/>
    <w:rsid w:val="3AE335C6"/>
    <w:rsid w:val="3AED053C"/>
    <w:rsid w:val="3AED5FA8"/>
    <w:rsid w:val="3AF2204F"/>
    <w:rsid w:val="3AF56227"/>
    <w:rsid w:val="3AF657E1"/>
    <w:rsid w:val="3AF97E01"/>
    <w:rsid w:val="3B0032A7"/>
    <w:rsid w:val="3B03752F"/>
    <w:rsid w:val="3B0F2390"/>
    <w:rsid w:val="3B0F5F1E"/>
    <w:rsid w:val="3B1220C7"/>
    <w:rsid w:val="3B3360B0"/>
    <w:rsid w:val="3B360092"/>
    <w:rsid w:val="3B3E7FD4"/>
    <w:rsid w:val="3B4278FE"/>
    <w:rsid w:val="3B44637B"/>
    <w:rsid w:val="3B4B0135"/>
    <w:rsid w:val="3B504E40"/>
    <w:rsid w:val="3B5F7815"/>
    <w:rsid w:val="3B620744"/>
    <w:rsid w:val="3B6413E7"/>
    <w:rsid w:val="3B7A783B"/>
    <w:rsid w:val="3B8D6917"/>
    <w:rsid w:val="3B98772E"/>
    <w:rsid w:val="3BA40788"/>
    <w:rsid w:val="3BB02276"/>
    <w:rsid w:val="3BB3643D"/>
    <w:rsid w:val="3BB41E71"/>
    <w:rsid w:val="3BBC1A25"/>
    <w:rsid w:val="3BC56E05"/>
    <w:rsid w:val="3BD938AF"/>
    <w:rsid w:val="3BDF0887"/>
    <w:rsid w:val="3BE12208"/>
    <w:rsid w:val="3BE45065"/>
    <w:rsid w:val="3BF847AA"/>
    <w:rsid w:val="3BFA0259"/>
    <w:rsid w:val="3C0309FF"/>
    <w:rsid w:val="3C042E3E"/>
    <w:rsid w:val="3C050C40"/>
    <w:rsid w:val="3C072663"/>
    <w:rsid w:val="3C0B2E45"/>
    <w:rsid w:val="3C1A4E8D"/>
    <w:rsid w:val="3C1F76F3"/>
    <w:rsid w:val="3C257B71"/>
    <w:rsid w:val="3C2841B0"/>
    <w:rsid w:val="3C2974B3"/>
    <w:rsid w:val="3C3C186F"/>
    <w:rsid w:val="3C3D7E2F"/>
    <w:rsid w:val="3C450BC5"/>
    <w:rsid w:val="3C47574F"/>
    <w:rsid w:val="3C5110CE"/>
    <w:rsid w:val="3C5C5193"/>
    <w:rsid w:val="3C6242D8"/>
    <w:rsid w:val="3C784DBC"/>
    <w:rsid w:val="3C7923FD"/>
    <w:rsid w:val="3C7E21FC"/>
    <w:rsid w:val="3C835139"/>
    <w:rsid w:val="3C8E55CD"/>
    <w:rsid w:val="3C8E5872"/>
    <w:rsid w:val="3C913F59"/>
    <w:rsid w:val="3C943C7F"/>
    <w:rsid w:val="3C9D3203"/>
    <w:rsid w:val="3C9E76A6"/>
    <w:rsid w:val="3C9E7D39"/>
    <w:rsid w:val="3C9F5433"/>
    <w:rsid w:val="3CA05E3F"/>
    <w:rsid w:val="3CA60FF0"/>
    <w:rsid w:val="3CAF5049"/>
    <w:rsid w:val="3CB17B91"/>
    <w:rsid w:val="3CC037D9"/>
    <w:rsid w:val="3CCC3FAB"/>
    <w:rsid w:val="3CD20233"/>
    <w:rsid w:val="3CD23409"/>
    <w:rsid w:val="3CDA5E44"/>
    <w:rsid w:val="3CDF248B"/>
    <w:rsid w:val="3CF77787"/>
    <w:rsid w:val="3CF80F5E"/>
    <w:rsid w:val="3CFA11B8"/>
    <w:rsid w:val="3CFD5614"/>
    <w:rsid w:val="3D061853"/>
    <w:rsid w:val="3D083D85"/>
    <w:rsid w:val="3D094A3E"/>
    <w:rsid w:val="3D107860"/>
    <w:rsid w:val="3D183C46"/>
    <w:rsid w:val="3D2346F2"/>
    <w:rsid w:val="3D2B7651"/>
    <w:rsid w:val="3D2C6DEC"/>
    <w:rsid w:val="3D3F7B7E"/>
    <w:rsid w:val="3D415BFE"/>
    <w:rsid w:val="3D464AD9"/>
    <w:rsid w:val="3D466470"/>
    <w:rsid w:val="3D483413"/>
    <w:rsid w:val="3D485717"/>
    <w:rsid w:val="3D531698"/>
    <w:rsid w:val="3D5F59D0"/>
    <w:rsid w:val="3D631F45"/>
    <w:rsid w:val="3D6E1622"/>
    <w:rsid w:val="3D9745C5"/>
    <w:rsid w:val="3D980D16"/>
    <w:rsid w:val="3D9831E5"/>
    <w:rsid w:val="3D9B1367"/>
    <w:rsid w:val="3DA638E7"/>
    <w:rsid w:val="3DA71209"/>
    <w:rsid w:val="3DC945C0"/>
    <w:rsid w:val="3DCE0347"/>
    <w:rsid w:val="3DCF044A"/>
    <w:rsid w:val="3DD82F3F"/>
    <w:rsid w:val="3DE10046"/>
    <w:rsid w:val="3DED7C84"/>
    <w:rsid w:val="3E012F06"/>
    <w:rsid w:val="3E0516F6"/>
    <w:rsid w:val="3E06185A"/>
    <w:rsid w:val="3E062C93"/>
    <w:rsid w:val="3E1645D3"/>
    <w:rsid w:val="3E1667F0"/>
    <w:rsid w:val="3E1A07C5"/>
    <w:rsid w:val="3E1C3D68"/>
    <w:rsid w:val="3E1D6BA4"/>
    <w:rsid w:val="3E225D40"/>
    <w:rsid w:val="3E25375E"/>
    <w:rsid w:val="3E257108"/>
    <w:rsid w:val="3E297DA1"/>
    <w:rsid w:val="3E2A2C0A"/>
    <w:rsid w:val="3E2B13A7"/>
    <w:rsid w:val="3E2E03FF"/>
    <w:rsid w:val="3E37784B"/>
    <w:rsid w:val="3E381EA5"/>
    <w:rsid w:val="3E3846AB"/>
    <w:rsid w:val="3E4A4CB2"/>
    <w:rsid w:val="3E4E7D71"/>
    <w:rsid w:val="3E4F147F"/>
    <w:rsid w:val="3E5A3610"/>
    <w:rsid w:val="3E5D4E61"/>
    <w:rsid w:val="3E616240"/>
    <w:rsid w:val="3E63157B"/>
    <w:rsid w:val="3E672C02"/>
    <w:rsid w:val="3E702BB8"/>
    <w:rsid w:val="3E807C4C"/>
    <w:rsid w:val="3E810402"/>
    <w:rsid w:val="3E8310AF"/>
    <w:rsid w:val="3EB761D7"/>
    <w:rsid w:val="3EC40C65"/>
    <w:rsid w:val="3ECB1717"/>
    <w:rsid w:val="3ED92DDA"/>
    <w:rsid w:val="3ED96F6F"/>
    <w:rsid w:val="3EE7761A"/>
    <w:rsid w:val="3EF17DA4"/>
    <w:rsid w:val="3EF2332E"/>
    <w:rsid w:val="3EF2654D"/>
    <w:rsid w:val="3EF56437"/>
    <w:rsid w:val="3EFB607B"/>
    <w:rsid w:val="3EFF7197"/>
    <w:rsid w:val="3F035498"/>
    <w:rsid w:val="3F055C54"/>
    <w:rsid w:val="3F0C5BCE"/>
    <w:rsid w:val="3F114F57"/>
    <w:rsid w:val="3F117156"/>
    <w:rsid w:val="3F1D2AEF"/>
    <w:rsid w:val="3F201122"/>
    <w:rsid w:val="3F22062E"/>
    <w:rsid w:val="3F2B0046"/>
    <w:rsid w:val="3F2F40D7"/>
    <w:rsid w:val="3F303FAB"/>
    <w:rsid w:val="3F3222E3"/>
    <w:rsid w:val="3F352F72"/>
    <w:rsid w:val="3F3774CD"/>
    <w:rsid w:val="3F416176"/>
    <w:rsid w:val="3F532102"/>
    <w:rsid w:val="3F576FA1"/>
    <w:rsid w:val="3F580906"/>
    <w:rsid w:val="3F5A3EFB"/>
    <w:rsid w:val="3F5A4D5E"/>
    <w:rsid w:val="3F7006D6"/>
    <w:rsid w:val="3F79679A"/>
    <w:rsid w:val="3F8F2B6A"/>
    <w:rsid w:val="3F9908B0"/>
    <w:rsid w:val="3FA367A0"/>
    <w:rsid w:val="3FA84EB2"/>
    <w:rsid w:val="3FA85DB5"/>
    <w:rsid w:val="3FAA7193"/>
    <w:rsid w:val="3FAD4B3B"/>
    <w:rsid w:val="3FB34E43"/>
    <w:rsid w:val="3FC0345D"/>
    <w:rsid w:val="3FC0576C"/>
    <w:rsid w:val="3FC24499"/>
    <w:rsid w:val="3FC24F5C"/>
    <w:rsid w:val="3FC96CE0"/>
    <w:rsid w:val="3FD03D01"/>
    <w:rsid w:val="3FD4498A"/>
    <w:rsid w:val="3FD64800"/>
    <w:rsid w:val="3FDA5EAF"/>
    <w:rsid w:val="3FDB6D16"/>
    <w:rsid w:val="3FDC701A"/>
    <w:rsid w:val="3FE0553B"/>
    <w:rsid w:val="3FE11A0A"/>
    <w:rsid w:val="3FE135FB"/>
    <w:rsid w:val="3FE221D2"/>
    <w:rsid w:val="3FE2774D"/>
    <w:rsid w:val="3FE87D28"/>
    <w:rsid w:val="3FEA089A"/>
    <w:rsid w:val="3FEE60A4"/>
    <w:rsid w:val="3FEF6D26"/>
    <w:rsid w:val="3FF54F69"/>
    <w:rsid w:val="3FFA44C9"/>
    <w:rsid w:val="3FFA719D"/>
    <w:rsid w:val="400533B5"/>
    <w:rsid w:val="400759D9"/>
    <w:rsid w:val="400969C4"/>
    <w:rsid w:val="400A5241"/>
    <w:rsid w:val="401A368E"/>
    <w:rsid w:val="401E5225"/>
    <w:rsid w:val="40200EC2"/>
    <w:rsid w:val="40376069"/>
    <w:rsid w:val="40387BC5"/>
    <w:rsid w:val="403D4406"/>
    <w:rsid w:val="403E6AA8"/>
    <w:rsid w:val="40400879"/>
    <w:rsid w:val="40402847"/>
    <w:rsid w:val="404C0609"/>
    <w:rsid w:val="40502545"/>
    <w:rsid w:val="405D53FA"/>
    <w:rsid w:val="40612A0F"/>
    <w:rsid w:val="406435E5"/>
    <w:rsid w:val="40657EEF"/>
    <w:rsid w:val="406C7C6F"/>
    <w:rsid w:val="406E1939"/>
    <w:rsid w:val="407D753B"/>
    <w:rsid w:val="407E1D23"/>
    <w:rsid w:val="40806E1B"/>
    <w:rsid w:val="4084492C"/>
    <w:rsid w:val="40906E9B"/>
    <w:rsid w:val="409207A7"/>
    <w:rsid w:val="40940958"/>
    <w:rsid w:val="40980764"/>
    <w:rsid w:val="40A56E0D"/>
    <w:rsid w:val="40AF5A59"/>
    <w:rsid w:val="40B565DA"/>
    <w:rsid w:val="40BA51BE"/>
    <w:rsid w:val="40BC08F6"/>
    <w:rsid w:val="40BD00BB"/>
    <w:rsid w:val="40C177AA"/>
    <w:rsid w:val="40DC68A2"/>
    <w:rsid w:val="40E90A23"/>
    <w:rsid w:val="40EE51A8"/>
    <w:rsid w:val="40F20B1F"/>
    <w:rsid w:val="40F86916"/>
    <w:rsid w:val="40FA321B"/>
    <w:rsid w:val="40FF0DBB"/>
    <w:rsid w:val="4101607F"/>
    <w:rsid w:val="41022D94"/>
    <w:rsid w:val="41082DC3"/>
    <w:rsid w:val="412170B1"/>
    <w:rsid w:val="4123014B"/>
    <w:rsid w:val="41301C9A"/>
    <w:rsid w:val="41341E40"/>
    <w:rsid w:val="4139028D"/>
    <w:rsid w:val="413A53EA"/>
    <w:rsid w:val="413E270C"/>
    <w:rsid w:val="414214F9"/>
    <w:rsid w:val="4149251B"/>
    <w:rsid w:val="414B1ED2"/>
    <w:rsid w:val="415037DD"/>
    <w:rsid w:val="41526D4A"/>
    <w:rsid w:val="415D5C35"/>
    <w:rsid w:val="415F730C"/>
    <w:rsid w:val="41621B71"/>
    <w:rsid w:val="41811A80"/>
    <w:rsid w:val="418C5377"/>
    <w:rsid w:val="418D7C08"/>
    <w:rsid w:val="419165DA"/>
    <w:rsid w:val="41AA0EFE"/>
    <w:rsid w:val="41B31CF9"/>
    <w:rsid w:val="41B3723D"/>
    <w:rsid w:val="41C002C6"/>
    <w:rsid w:val="41C07F72"/>
    <w:rsid w:val="41C65E0E"/>
    <w:rsid w:val="41C954F1"/>
    <w:rsid w:val="41EE1F6D"/>
    <w:rsid w:val="41FC7345"/>
    <w:rsid w:val="41FF7A7E"/>
    <w:rsid w:val="42055BCF"/>
    <w:rsid w:val="42062C90"/>
    <w:rsid w:val="420D35D1"/>
    <w:rsid w:val="42124FEB"/>
    <w:rsid w:val="421E19DD"/>
    <w:rsid w:val="42201ADB"/>
    <w:rsid w:val="42243ADD"/>
    <w:rsid w:val="4226140E"/>
    <w:rsid w:val="42262641"/>
    <w:rsid w:val="422A6BE5"/>
    <w:rsid w:val="422D7D03"/>
    <w:rsid w:val="42387360"/>
    <w:rsid w:val="423A512B"/>
    <w:rsid w:val="424E09DB"/>
    <w:rsid w:val="424F14CB"/>
    <w:rsid w:val="425830C6"/>
    <w:rsid w:val="425C6098"/>
    <w:rsid w:val="42646511"/>
    <w:rsid w:val="4265214F"/>
    <w:rsid w:val="426703CA"/>
    <w:rsid w:val="426724A2"/>
    <w:rsid w:val="426C1EA8"/>
    <w:rsid w:val="42815953"/>
    <w:rsid w:val="428D023C"/>
    <w:rsid w:val="429007CB"/>
    <w:rsid w:val="429953F0"/>
    <w:rsid w:val="42A826E7"/>
    <w:rsid w:val="42AE6807"/>
    <w:rsid w:val="42B51AA1"/>
    <w:rsid w:val="42C30985"/>
    <w:rsid w:val="42CE5721"/>
    <w:rsid w:val="42D83185"/>
    <w:rsid w:val="42DA1044"/>
    <w:rsid w:val="42E04F76"/>
    <w:rsid w:val="42E27E52"/>
    <w:rsid w:val="42F867E3"/>
    <w:rsid w:val="42F96836"/>
    <w:rsid w:val="42FC1238"/>
    <w:rsid w:val="43040332"/>
    <w:rsid w:val="43081AD9"/>
    <w:rsid w:val="43271B07"/>
    <w:rsid w:val="43280811"/>
    <w:rsid w:val="43284A6A"/>
    <w:rsid w:val="432F2506"/>
    <w:rsid w:val="43340E51"/>
    <w:rsid w:val="43381992"/>
    <w:rsid w:val="433F23BF"/>
    <w:rsid w:val="43482915"/>
    <w:rsid w:val="434A572C"/>
    <w:rsid w:val="43501147"/>
    <w:rsid w:val="43621575"/>
    <w:rsid w:val="436360F3"/>
    <w:rsid w:val="436624A8"/>
    <w:rsid w:val="43666F3B"/>
    <w:rsid w:val="436A2A12"/>
    <w:rsid w:val="436C0A55"/>
    <w:rsid w:val="436D064B"/>
    <w:rsid w:val="43726256"/>
    <w:rsid w:val="437460FA"/>
    <w:rsid w:val="437D37BF"/>
    <w:rsid w:val="437D5D97"/>
    <w:rsid w:val="438374A9"/>
    <w:rsid w:val="43837506"/>
    <w:rsid w:val="438B5FFE"/>
    <w:rsid w:val="438D3317"/>
    <w:rsid w:val="43AF03C9"/>
    <w:rsid w:val="43B12337"/>
    <w:rsid w:val="43B14470"/>
    <w:rsid w:val="43B43EDE"/>
    <w:rsid w:val="43B47D4C"/>
    <w:rsid w:val="43B9111D"/>
    <w:rsid w:val="43C471BD"/>
    <w:rsid w:val="43C81360"/>
    <w:rsid w:val="43CB16B2"/>
    <w:rsid w:val="43DF7E96"/>
    <w:rsid w:val="43E04F09"/>
    <w:rsid w:val="43E17880"/>
    <w:rsid w:val="43E30165"/>
    <w:rsid w:val="43E4084E"/>
    <w:rsid w:val="43E800C6"/>
    <w:rsid w:val="43F3462F"/>
    <w:rsid w:val="43F52C05"/>
    <w:rsid w:val="43FB7DF3"/>
    <w:rsid w:val="43FC346C"/>
    <w:rsid w:val="440E5844"/>
    <w:rsid w:val="44117846"/>
    <w:rsid w:val="44147B34"/>
    <w:rsid w:val="44257D8E"/>
    <w:rsid w:val="442A5D06"/>
    <w:rsid w:val="442E5908"/>
    <w:rsid w:val="4439400C"/>
    <w:rsid w:val="4439540E"/>
    <w:rsid w:val="44512364"/>
    <w:rsid w:val="44560305"/>
    <w:rsid w:val="446636C5"/>
    <w:rsid w:val="447D1640"/>
    <w:rsid w:val="4480296D"/>
    <w:rsid w:val="448166E9"/>
    <w:rsid w:val="448678B2"/>
    <w:rsid w:val="448E51CC"/>
    <w:rsid w:val="4494624E"/>
    <w:rsid w:val="449848C7"/>
    <w:rsid w:val="44AF4BA1"/>
    <w:rsid w:val="44B253BE"/>
    <w:rsid w:val="44B2632E"/>
    <w:rsid w:val="44B2697E"/>
    <w:rsid w:val="44B55895"/>
    <w:rsid w:val="44BC1818"/>
    <w:rsid w:val="44BC1ADC"/>
    <w:rsid w:val="44BC6084"/>
    <w:rsid w:val="44C33C1C"/>
    <w:rsid w:val="44C77FE4"/>
    <w:rsid w:val="44CE7E45"/>
    <w:rsid w:val="44D11736"/>
    <w:rsid w:val="44D55756"/>
    <w:rsid w:val="44DD4355"/>
    <w:rsid w:val="44E00E0F"/>
    <w:rsid w:val="44E132FE"/>
    <w:rsid w:val="44F70F49"/>
    <w:rsid w:val="44FA19ED"/>
    <w:rsid w:val="44FA649B"/>
    <w:rsid w:val="44FB7CD7"/>
    <w:rsid w:val="44FE7B0F"/>
    <w:rsid w:val="45085EB8"/>
    <w:rsid w:val="450939CD"/>
    <w:rsid w:val="450B3CA0"/>
    <w:rsid w:val="4510454F"/>
    <w:rsid w:val="45185AF4"/>
    <w:rsid w:val="451A5BEB"/>
    <w:rsid w:val="45206383"/>
    <w:rsid w:val="45234637"/>
    <w:rsid w:val="452D38D3"/>
    <w:rsid w:val="453E4193"/>
    <w:rsid w:val="454255CA"/>
    <w:rsid w:val="45577395"/>
    <w:rsid w:val="4561316A"/>
    <w:rsid w:val="45633AE3"/>
    <w:rsid w:val="45644225"/>
    <w:rsid w:val="457479F1"/>
    <w:rsid w:val="4584775C"/>
    <w:rsid w:val="45916EEF"/>
    <w:rsid w:val="459344B7"/>
    <w:rsid w:val="45A20CE2"/>
    <w:rsid w:val="45A81449"/>
    <w:rsid w:val="45A81950"/>
    <w:rsid w:val="45AB2840"/>
    <w:rsid w:val="45AB71DA"/>
    <w:rsid w:val="45AF0A29"/>
    <w:rsid w:val="45B92244"/>
    <w:rsid w:val="45BE4FDB"/>
    <w:rsid w:val="45BE62C2"/>
    <w:rsid w:val="45C0705E"/>
    <w:rsid w:val="45E27A68"/>
    <w:rsid w:val="45E42F61"/>
    <w:rsid w:val="45E85CE9"/>
    <w:rsid w:val="45F01DCD"/>
    <w:rsid w:val="45F62E65"/>
    <w:rsid w:val="45FD74ED"/>
    <w:rsid w:val="46050349"/>
    <w:rsid w:val="460B16A1"/>
    <w:rsid w:val="46145618"/>
    <w:rsid w:val="46206E94"/>
    <w:rsid w:val="46221289"/>
    <w:rsid w:val="4628691C"/>
    <w:rsid w:val="46324558"/>
    <w:rsid w:val="46365564"/>
    <w:rsid w:val="46382CF3"/>
    <w:rsid w:val="463E4B6F"/>
    <w:rsid w:val="464B1905"/>
    <w:rsid w:val="4658217D"/>
    <w:rsid w:val="46610538"/>
    <w:rsid w:val="466C778C"/>
    <w:rsid w:val="4670530F"/>
    <w:rsid w:val="468676F9"/>
    <w:rsid w:val="46AB4DBE"/>
    <w:rsid w:val="46AF5FB8"/>
    <w:rsid w:val="46B35B9F"/>
    <w:rsid w:val="46BF115D"/>
    <w:rsid w:val="46C44CB7"/>
    <w:rsid w:val="46C5380C"/>
    <w:rsid w:val="46C749A5"/>
    <w:rsid w:val="46C96A6C"/>
    <w:rsid w:val="46CB603F"/>
    <w:rsid w:val="46D21F34"/>
    <w:rsid w:val="46EE5581"/>
    <w:rsid w:val="46F100B8"/>
    <w:rsid w:val="46FA7FB8"/>
    <w:rsid w:val="47002DEF"/>
    <w:rsid w:val="47037841"/>
    <w:rsid w:val="470B0531"/>
    <w:rsid w:val="471F3210"/>
    <w:rsid w:val="47336C6F"/>
    <w:rsid w:val="47402DAA"/>
    <w:rsid w:val="474750DC"/>
    <w:rsid w:val="474C419A"/>
    <w:rsid w:val="474E6907"/>
    <w:rsid w:val="474E7A5D"/>
    <w:rsid w:val="47567017"/>
    <w:rsid w:val="475E0087"/>
    <w:rsid w:val="476140B1"/>
    <w:rsid w:val="476269FC"/>
    <w:rsid w:val="47666D38"/>
    <w:rsid w:val="47763FFA"/>
    <w:rsid w:val="4780263C"/>
    <w:rsid w:val="478104EB"/>
    <w:rsid w:val="47863271"/>
    <w:rsid w:val="478839AE"/>
    <w:rsid w:val="47896D4F"/>
    <w:rsid w:val="47982A36"/>
    <w:rsid w:val="47A21D03"/>
    <w:rsid w:val="47AC4635"/>
    <w:rsid w:val="47AD79A7"/>
    <w:rsid w:val="47B45F77"/>
    <w:rsid w:val="47B601F9"/>
    <w:rsid w:val="47BE2659"/>
    <w:rsid w:val="47C068CA"/>
    <w:rsid w:val="47C65B11"/>
    <w:rsid w:val="47C80021"/>
    <w:rsid w:val="47CC159F"/>
    <w:rsid w:val="47D31B17"/>
    <w:rsid w:val="47D64E19"/>
    <w:rsid w:val="47DD2D70"/>
    <w:rsid w:val="47E335C5"/>
    <w:rsid w:val="47EA5D49"/>
    <w:rsid w:val="47F00544"/>
    <w:rsid w:val="47FA38B9"/>
    <w:rsid w:val="480712F5"/>
    <w:rsid w:val="482149DA"/>
    <w:rsid w:val="4826335E"/>
    <w:rsid w:val="482A6A56"/>
    <w:rsid w:val="482B534E"/>
    <w:rsid w:val="482E032B"/>
    <w:rsid w:val="483639D2"/>
    <w:rsid w:val="483C2771"/>
    <w:rsid w:val="4844715C"/>
    <w:rsid w:val="484503C6"/>
    <w:rsid w:val="48492230"/>
    <w:rsid w:val="484A2C8B"/>
    <w:rsid w:val="484D4424"/>
    <w:rsid w:val="48587156"/>
    <w:rsid w:val="485B40A0"/>
    <w:rsid w:val="485C4105"/>
    <w:rsid w:val="48652AF4"/>
    <w:rsid w:val="48725180"/>
    <w:rsid w:val="487E153D"/>
    <w:rsid w:val="48802857"/>
    <w:rsid w:val="48817770"/>
    <w:rsid w:val="488D31C1"/>
    <w:rsid w:val="48971C07"/>
    <w:rsid w:val="489A3FC2"/>
    <w:rsid w:val="489A5DAA"/>
    <w:rsid w:val="48A04659"/>
    <w:rsid w:val="48A27CAA"/>
    <w:rsid w:val="48A31B88"/>
    <w:rsid w:val="48BC04DD"/>
    <w:rsid w:val="48BE2CF0"/>
    <w:rsid w:val="48C15D8D"/>
    <w:rsid w:val="48C25955"/>
    <w:rsid w:val="48C955E5"/>
    <w:rsid w:val="48CA6810"/>
    <w:rsid w:val="48D13B36"/>
    <w:rsid w:val="48DA439B"/>
    <w:rsid w:val="48E44E43"/>
    <w:rsid w:val="48E4724D"/>
    <w:rsid w:val="48E53924"/>
    <w:rsid w:val="48E63F8B"/>
    <w:rsid w:val="48E84F13"/>
    <w:rsid w:val="48E94329"/>
    <w:rsid w:val="48EF0F23"/>
    <w:rsid w:val="48FB4BC3"/>
    <w:rsid w:val="48FB5804"/>
    <w:rsid w:val="49086D1B"/>
    <w:rsid w:val="4915791B"/>
    <w:rsid w:val="491C3076"/>
    <w:rsid w:val="49324DD3"/>
    <w:rsid w:val="4939707B"/>
    <w:rsid w:val="493E5E9C"/>
    <w:rsid w:val="49414B4F"/>
    <w:rsid w:val="494A552B"/>
    <w:rsid w:val="495077AD"/>
    <w:rsid w:val="49532CF3"/>
    <w:rsid w:val="49581E86"/>
    <w:rsid w:val="4958391B"/>
    <w:rsid w:val="495D7302"/>
    <w:rsid w:val="496607B9"/>
    <w:rsid w:val="4968161B"/>
    <w:rsid w:val="496C36CB"/>
    <w:rsid w:val="496D2BF3"/>
    <w:rsid w:val="49825EA3"/>
    <w:rsid w:val="498D72D3"/>
    <w:rsid w:val="499402FE"/>
    <w:rsid w:val="499B6E75"/>
    <w:rsid w:val="49A01BF5"/>
    <w:rsid w:val="49A13026"/>
    <w:rsid w:val="49A81F15"/>
    <w:rsid w:val="49B04D70"/>
    <w:rsid w:val="49B07C49"/>
    <w:rsid w:val="49B24B36"/>
    <w:rsid w:val="49BA3A93"/>
    <w:rsid w:val="49BC5080"/>
    <w:rsid w:val="49BD004C"/>
    <w:rsid w:val="49BD1576"/>
    <w:rsid w:val="49BE7C01"/>
    <w:rsid w:val="49BF6B4D"/>
    <w:rsid w:val="49C97028"/>
    <w:rsid w:val="49CA5515"/>
    <w:rsid w:val="49DA5740"/>
    <w:rsid w:val="49DB093F"/>
    <w:rsid w:val="49DC0B0E"/>
    <w:rsid w:val="49DE64CC"/>
    <w:rsid w:val="49E13015"/>
    <w:rsid w:val="49E4389B"/>
    <w:rsid w:val="49F00F52"/>
    <w:rsid w:val="49FD72CF"/>
    <w:rsid w:val="4A122E59"/>
    <w:rsid w:val="4A1B043B"/>
    <w:rsid w:val="4A235C8A"/>
    <w:rsid w:val="4A292935"/>
    <w:rsid w:val="4A2E6BA5"/>
    <w:rsid w:val="4A33120A"/>
    <w:rsid w:val="4A34774F"/>
    <w:rsid w:val="4A35109E"/>
    <w:rsid w:val="4A360ACF"/>
    <w:rsid w:val="4A377A65"/>
    <w:rsid w:val="4A385EDB"/>
    <w:rsid w:val="4A397CF0"/>
    <w:rsid w:val="4A3E5075"/>
    <w:rsid w:val="4A3E5F17"/>
    <w:rsid w:val="4A471EB8"/>
    <w:rsid w:val="4A49367A"/>
    <w:rsid w:val="4A4A7180"/>
    <w:rsid w:val="4A4D16C6"/>
    <w:rsid w:val="4A653DAC"/>
    <w:rsid w:val="4A657908"/>
    <w:rsid w:val="4A8C7C76"/>
    <w:rsid w:val="4AAB34BB"/>
    <w:rsid w:val="4AAF54B1"/>
    <w:rsid w:val="4AB00AB1"/>
    <w:rsid w:val="4AB26985"/>
    <w:rsid w:val="4AB838E8"/>
    <w:rsid w:val="4ABE4768"/>
    <w:rsid w:val="4AC07A88"/>
    <w:rsid w:val="4AC34B56"/>
    <w:rsid w:val="4ACE1952"/>
    <w:rsid w:val="4AD25834"/>
    <w:rsid w:val="4AD31BF7"/>
    <w:rsid w:val="4AD625B4"/>
    <w:rsid w:val="4AD85CF3"/>
    <w:rsid w:val="4AE12695"/>
    <w:rsid w:val="4AE5063F"/>
    <w:rsid w:val="4AEB4287"/>
    <w:rsid w:val="4AF201D5"/>
    <w:rsid w:val="4AF87CD0"/>
    <w:rsid w:val="4AFD1ED3"/>
    <w:rsid w:val="4B052044"/>
    <w:rsid w:val="4B124BB6"/>
    <w:rsid w:val="4B162370"/>
    <w:rsid w:val="4B1969EA"/>
    <w:rsid w:val="4B1E3E9D"/>
    <w:rsid w:val="4B2373E8"/>
    <w:rsid w:val="4B247B19"/>
    <w:rsid w:val="4B28699B"/>
    <w:rsid w:val="4B30654A"/>
    <w:rsid w:val="4B313770"/>
    <w:rsid w:val="4B337729"/>
    <w:rsid w:val="4B37776E"/>
    <w:rsid w:val="4B415F6D"/>
    <w:rsid w:val="4B53794C"/>
    <w:rsid w:val="4B5847DE"/>
    <w:rsid w:val="4B5F2399"/>
    <w:rsid w:val="4B742639"/>
    <w:rsid w:val="4B7B423B"/>
    <w:rsid w:val="4B8938A4"/>
    <w:rsid w:val="4B8A6570"/>
    <w:rsid w:val="4B947A37"/>
    <w:rsid w:val="4B990B42"/>
    <w:rsid w:val="4BA21CED"/>
    <w:rsid w:val="4BA47014"/>
    <w:rsid w:val="4BA56AD4"/>
    <w:rsid w:val="4BAA137B"/>
    <w:rsid w:val="4BAA58CE"/>
    <w:rsid w:val="4BAC1B73"/>
    <w:rsid w:val="4BB23021"/>
    <w:rsid w:val="4BB560F4"/>
    <w:rsid w:val="4BB64CD0"/>
    <w:rsid w:val="4BC12085"/>
    <w:rsid w:val="4BC41A56"/>
    <w:rsid w:val="4BC859C1"/>
    <w:rsid w:val="4BD40AAB"/>
    <w:rsid w:val="4BE84CBE"/>
    <w:rsid w:val="4BEB2C94"/>
    <w:rsid w:val="4BF1099C"/>
    <w:rsid w:val="4BF623B0"/>
    <w:rsid w:val="4BF86D6D"/>
    <w:rsid w:val="4BFB0607"/>
    <w:rsid w:val="4C0007D3"/>
    <w:rsid w:val="4C00522E"/>
    <w:rsid w:val="4C051F8F"/>
    <w:rsid w:val="4C08466C"/>
    <w:rsid w:val="4C0849EF"/>
    <w:rsid w:val="4C085165"/>
    <w:rsid w:val="4C12207D"/>
    <w:rsid w:val="4C1471C6"/>
    <w:rsid w:val="4C147838"/>
    <w:rsid w:val="4C152CAE"/>
    <w:rsid w:val="4C1604D1"/>
    <w:rsid w:val="4C27778C"/>
    <w:rsid w:val="4C28045F"/>
    <w:rsid w:val="4C2F0A45"/>
    <w:rsid w:val="4C353FDB"/>
    <w:rsid w:val="4C3F1A17"/>
    <w:rsid w:val="4C3F668A"/>
    <w:rsid w:val="4C4125D9"/>
    <w:rsid w:val="4C4135CF"/>
    <w:rsid w:val="4C4437AE"/>
    <w:rsid w:val="4C4E5B23"/>
    <w:rsid w:val="4C50471A"/>
    <w:rsid w:val="4C534C86"/>
    <w:rsid w:val="4C5D11D7"/>
    <w:rsid w:val="4C5E3199"/>
    <w:rsid w:val="4C5E6ACF"/>
    <w:rsid w:val="4C6B2FE2"/>
    <w:rsid w:val="4C787885"/>
    <w:rsid w:val="4C7E409F"/>
    <w:rsid w:val="4C807EFC"/>
    <w:rsid w:val="4C831751"/>
    <w:rsid w:val="4C84008B"/>
    <w:rsid w:val="4C921493"/>
    <w:rsid w:val="4C96075E"/>
    <w:rsid w:val="4C960838"/>
    <w:rsid w:val="4C991AEB"/>
    <w:rsid w:val="4CB210AA"/>
    <w:rsid w:val="4CB4376C"/>
    <w:rsid w:val="4CBD0B1F"/>
    <w:rsid w:val="4CC22A4A"/>
    <w:rsid w:val="4CC64FB8"/>
    <w:rsid w:val="4CCA40FA"/>
    <w:rsid w:val="4CCC0113"/>
    <w:rsid w:val="4CD2789C"/>
    <w:rsid w:val="4CDF7E46"/>
    <w:rsid w:val="4CE27936"/>
    <w:rsid w:val="4CE601DA"/>
    <w:rsid w:val="4CE87889"/>
    <w:rsid w:val="4CED710E"/>
    <w:rsid w:val="4CF17AA4"/>
    <w:rsid w:val="4CF87AFD"/>
    <w:rsid w:val="4D003857"/>
    <w:rsid w:val="4D05521E"/>
    <w:rsid w:val="4D076FF3"/>
    <w:rsid w:val="4D08414A"/>
    <w:rsid w:val="4D092506"/>
    <w:rsid w:val="4D200666"/>
    <w:rsid w:val="4D3A7012"/>
    <w:rsid w:val="4D3D19D7"/>
    <w:rsid w:val="4D4203D5"/>
    <w:rsid w:val="4D451508"/>
    <w:rsid w:val="4D47346B"/>
    <w:rsid w:val="4D495DF4"/>
    <w:rsid w:val="4D581CBD"/>
    <w:rsid w:val="4D685EAA"/>
    <w:rsid w:val="4D69316A"/>
    <w:rsid w:val="4D7234EB"/>
    <w:rsid w:val="4D785A58"/>
    <w:rsid w:val="4D853E44"/>
    <w:rsid w:val="4D8744C7"/>
    <w:rsid w:val="4D970124"/>
    <w:rsid w:val="4D992749"/>
    <w:rsid w:val="4DB37149"/>
    <w:rsid w:val="4DC2477B"/>
    <w:rsid w:val="4DC37AAD"/>
    <w:rsid w:val="4DC4703C"/>
    <w:rsid w:val="4DD03A81"/>
    <w:rsid w:val="4DE1012A"/>
    <w:rsid w:val="4DE56472"/>
    <w:rsid w:val="4DEA16B8"/>
    <w:rsid w:val="4DF17ECD"/>
    <w:rsid w:val="4DF65554"/>
    <w:rsid w:val="4DF73AC4"/>
    <w:rsid w:val="4DFA077E"/>
    <w:rsid w:val="4DFC1243"/>
    <w:rsid w:val="4E02229A"/>
    <w:rsid w:val="4E050405"/>
    <w:rsid w:val="4E132BF4"/>
    <w:rsid w:val="4E162BA9"/>
    <w:rsid w:val="4E1E0460"/>
    <w:rsid w:val="4E1F2098"/>
    <w:rsid w:val="4E245FCD"/>
    <w:rsid w:val="4E2A37D7"/>
    <w:rsid w:val="4E2C0F3C"/>
    <w:rsid w:val="4E2F4F0E"/>
    <w:rsid w:val="4E3F0D8B"/>
    <w:rsid w:val="4E4022AD"/>
    <w:rsid w:val="4E452F68"/>
    <w:rsid w:val="4E4D75CC"/>
    <w:rsid w:val="4E4F602D"/>
    <w:rsid w:val="4E521DCC"/>
    <w:rsid w:val="4E563A79"/>
    <w:rsid w:val="4E5D37BF"/>
    <w:rsid w:val="4E5E7854"/>
    <w:rsid w:val="4E60113A"/>
    <w:rsid w:val="4E6F6FA8"/>
    <w:rsid w:val="4E7C40A4"/>
    <w:rsid w:val="4E8267E7"/>
    <w:rsid w:val="4E826B8B"/>
    <w:rsid w:val="4E870437"/>
    <w:rsid w:val="4E915C83"/>
    <w:rsid w:val="4E920755"/>
    <w:rsid w:val="4E980798"/>
    <w:rsid w:val="4E9A5427"/>
    <w:rsid w:val="4E9A7B73"/>
    <w:rsid w:val="4E9E6AA4"/>
    <w:rsid w:val="4EA244DC"/>
    <w:rsid w:val="4EA3784C"/>
    <w:rsid w:val="4EB951BF"/>
    <w:rsid w:val="4EBB7642"/>
    <w:rsid w:val="4EBF6B54"/>
    <w:rsid w:val="4EC0678A"/>
    <w:rsid w:val="4EC16EB7"/>
    <w:rsid w:val="4EC935CE"/>
    <w:rsid w:val="4ECD2EF2"/>
    <w:rsid w:val="4ED11C95"/>
    <w:rsid w:val="4ED15594"/>
    <w:rsid w:val="4EDC019B"/>
    <w:rsid w:val="4EDD798C"/>
    <w:rsid w:val="4EE27137"/>
    <w:rsid w:val="4EEB6A39"/>
    <w:rsid w:val="4EED611E"/>
    <w:rsid w:val="4EF44D23"/>
    <w:rsid w:val="4EF844EA"/>
    <w:rsid w:val="4EFB744F"/>
    <w:rsid w:val="4EFC3112"/>
    <w:rsid w:val="4EFC3DAA"/>
    <w:rsid w:val="4EFD1701"/>
    <w:rsid w:val="4EFF66FB"/>
    <w:rsid w:val="4F040683"/>
    <w:rsid w:val="4F130C17"/>
    <w:rsid w:val="4F166D4A"/>
    <w:rsid w:val="4F270D2D"/>
    <w:rsid w:val="4F2737C5"/>
    <w:rsid w:val="4F31723C"/>
    <w:rsid w:val="4F340C63"/>
    <w:rsid w:val="4F38629A"/>
    <w:rsid w:val="4F3E1BA7"/>
    <w:rsid w:val="4F4C1097"/>
    <w:rsid w:val="4F527868"/>
    <w:rsid w:val="4F5C39D0"/>
    <w:rsid w:val="4F5D32A4"/>
    <w:rsid w:val="4F6709AC"/>
    <w:rsid w:val="4F6D642E"/>
    <w:rsid w:val="4F6F762E"/>
    <w:rsid w:val="4F767689"/>
    <w:rsid w:val="4F7B372A"/>
    <w:rsid w:val="4F926827"/>
    <w:rsid w:val="4F98633D"/>
    <w:rsid w:val="4FA2515B"/>
    <w:rsid w:val="4FA4623D"/>
    <w:rsid w:val="4FA86461"/>
    <w:rsid w:val="4FAA16EE"/>
    <w:rsid w:val="4FAB620C"/>
    <w:rsid w:val="4FB25D36"/>
    <w:rsid w:val="4FB55FF8"/>
    <w:rsid w:val="4FCF79B6"/>
    <w:rsid w:val="4FE06869"/>
    <w:rsid w:val="4FE9200A"/>
    <w:rsid w:val="4FEE65F2"/>
    <w:rsid w:val="4FF42752"/>
    <w:rsid w:val="4FF67560"/>
    <w:rsid w:val="4FF87BDA"/>
    <w:rsid w:val="4FF97471"/>
    <w:rsid w:val="4FFD4205"/>
    <w:rsid w:val="4FFF5603"/>
    <w:rsid w:val="500035DB"/>
    <w:rsid w:val="500554BB"/>
    <w:rsid w:val="50082791"/>
    <w:rsid w:val="500A21E7"/>
    <w:rsid w:val="5010424F"/>
    <w:rsid w:val="50153705"/>
    <w:rsid w:val="502318E5"/>
    <w:rsid w:val="502456DC"/>
    <w:rsid w:val="502E1C8A"/>
    <w:rsid w:val="502E37C2"/>
    <w:rsid w:val="503E77A0"/>
    <w:rsid w:val="504967D4"/>
    <w:rsid w:val="504C56EA"/>
    <w:rsid w:val="50523597"/>
    <w:rsid w:val="50537E95"/>
    <w:rsid w:val="50583896"/>
    <w:rsid w:val="50585CC6"/>
    <w:rsid w:val="5059113E"/>
    <w:rsid w:val="506871A6"/>
    <w:rsid w:val="506B39C8"/>
    <w:rsid w:val="50757758"/>
    <w:rsid w:val="507E4835"/>
    <w:rsid w:val="50807FAC"/>
    <w:rsid w:val="508159F6"/>
    <w:rsid w:val="50841FF1"/>
    <w:rsid w:val="50914C3F"/>
    <w:rsid w:val="50984F92"/>
    <w:rsid w:val="509E1DC6"/>
    <w:rsid w:val="509E4F4D"/>
    <w:rsid w:val="50A07C67"/>
    <w:rsid w:val="50AC4DAF"/>
    <w:rsid w:val="50B568B9"/>
    <w:rsid w:val="50B926E0"/>
    <w:rsid w:val="50BE7D72"/>
    <w:rsid w:val="50C069B4"/>
    <w:rsid w:val="50C479A8"/>
    <w:rsid w:val="50D101AA"/>
    <w:rsid w:val="50D71075"/>
    <w:rsid w:val="50E32A6C"/>
    <w:rsid w:val="50E772C9"/>
    <w:rsid w:val="50E93B81"/>
    <w:rsid w:val="510530E4"/>
    <w:rsid w:val="510D3CD7"/>
    <w:rsid w:val="51161C4E"/>
    <w:rsid w:val="511848E8"/>
    <w:rsid w:val="51205736"/>
    <w:rsid w:val="51242D1A"/>
    <w:rsid w:val="51275130"/>
    <w:rsid w:val="51332596"/>
    <w:rsid w:val="51360B87"/>
    <w:rsid w:val="513938C9"/>
    <w:rsid w:val="51394095"/>
    <w:rsid w:val="51396A83"/>
    <w:rsid w:val="513A2A02"/>
    <w:rsid w:val="513E3F26"/>
    <w:rsid w:val="51401058"/>
    <w:rsid w:val="514C1FED"/>
    <w:rsid w:val="514E5AEA"/>
    <w:rsid w:val="5156081F"/>
    <w:rsid w:val="51600E24"/>
    <w:rsid w:val="51602B30"/>
    <w:rsid w:val="51657342"/>
    <w:rsid w:val="51722A42"/>
    <w:rsid w:val="5173706F"/>
    <w:rsid w:val="51774780"/>
    <w:rsid w:val="51853637"/>
    <w:rsid w:val="518A2050"/>
    <w:rsid w:val="518D1F26"/>
    <w:rsid w:val="519E2B14"/>
    <w:rsid w:val="51A055DC"/>
    <w:rsid w:val="51AA5DE3"/>
    <w:rsid w:val="51AC6764"/>
    <w:rsid w:val="51AD4B3B"/>
    <w:rsid w:val="51B52056"/>
    <w:rsid w:val="51B74F5A"/>
    <w:rsid w:val="51BD002A"/>
    <w:rsid w:val="51C36CCB"/>
    <w:rsid w:val="51C4585C"/>
    <w:rsid w:val="51C471B1"/>
    <w:rsid w:val="51CA613D"/>
    <w:rsid w:val="51DB1C8D"/>
    <w:rsid w:val="51E82B6A"/>
    <w:rsid w:val="51EA4CB0"/>
    <w:rsid w:val="51EC1D13"/>
    <w:rsid w:val="51EE435D"/>
    <w:rsid w:val="52000617"/>
    <w:rsid w:val="520A4783"/>
    <w:rsid w:val="520D4FCD"/>
    <w:rsid w:val="520E4EF5"/>
    <w:rsid w:val="520F69D2"/>
    <w:rsid w:val="52145799"/>
    <w:rsid w:val="521570C5"/>
    <w:rsid w:val="521D24AF"/>
    <w:rsid w:val="52242841"/>
    <w:rsid w:val="52277D53"/>
    <w:rsid w:val="522B352E"/>
    <w:rsid w:val="522F41A9"/>
    <w:rsid w:val="523E6D57"/>
    <w:rsid w:val="52417FCE"/>
    <w:rsid w:val="52474E72"/>
    <w:rsid w:val="52495D62"/>
    <w:rsid w:val="52517014"/>
    <w:rsid w:val="525E1819"/>
    <w:rsid w:val="52656D4B"/>
    <w:rsid w:val="526606C2"/>
    <w:rsid w:val="52690A8A"/>
    <w:rsid w:val="526D15E2"/>
    <w:rsid w:val="52702CC3"/>
    <w:rsid w:val="527C0553"/>
    <w:rsid w:val="52994479"/>
    <w:rsid w:val="529C787B"/>
    <w:rsid w:val="52A118F2"/>
    <w:rsid w:val="52A62910"/>
    <w:rsid w:val="52AC196F"/>
    <w:rsid w:val="52BB751E"/>
    <w:rsid w:val="52BF0C6B"/>
    <w:rsid w:val="52BF7616"/>
    <w:rsid w:val="52D302DE"/>
    <w:rsid w:val="52DB37D2"/>
    <w:rsid w:val="52E112D6"/>
    <w:rsid w:val="52EE6661"/>
    <w:rsid w:val="52EF771A"/>
    <w:rsid w:val="52F23609"/>
    <w:rsid w:val="52F725D3"/>
    <w:rsid w:val="53155FA7"/>
    <w:rsid w:val="53243A84"/>
    <w:rsid w:val="532C2893"/>
    <w:rsid w:val="532E7557"/>
    <w:rsid w:val="53315C4B"/>
    <w:rsid w:val="533A00AA"/>
    <w:rsid w:val="533C7D22"/>
    <w:rsid w:val="53476182"/>
    <w:rsid w:val="53494600"/>
    <w:rsid w:val="534F7E64"/>
    <w:rsid w:val="53575365"/>
    <w:rsid w:val="53582DCC"/>
    <w:rsid w:val="5359399F"/>
    <w:rsid w:val="536F51A3"/>
    <w:rsid w:val="537321AC"/>
    <w:rsid w:val="53743ED1"/>
    <w:rsid w:val="53746E0E"/>
    <w:rsid w:val="53752E08"/>
    <w:rsid w:val="537D120F"/>
    <w:rsid w:val="538C05FC"/>
    <w:rsid w:val="538E7ED0"/>
    <w:rsid w:val="53920585"/>
    <w:rsid w:val="5396301E"/>
    <w:rsid w:val="539831F9"/>
    <w:rsid w:val="539A41B3"/>
    <w:rsid w:val="53A87319"/>
    <w:rsid w:val="53AA17A9"/>
    <w:rsid w:val="53B842AC"/>
    <w:rsid w:val="53BB5C95"/>
    <w:rsid w:val="53BE5711"/>
    <w:rsid w:val="53C42C43"/>
    <w:rsid w:val="53CB12B0"/>
    <w:rsid w:val="53D60E94"/>
    <w:rsid w:val="53EC1ECF"/>
    <w:rsid w:val="53F74AF6"/>
    <w:rsid w:val="53FD311C"/>
    <w:rsid w:val="53FD3B90"/>
    <w:rsid w:val="54084EF7"/>
    <w:rsid w:val="540A305C"/>
    <w:rsid w:val="5410110C"/>
    <w:rsid w:val="54131912"/>
    <w:rsid w:val="541C1529"/>
    <w:rsid w:val="54222228"/>
    <w:rsid w:val="5422763A"/>
    <w:rsid w:val="542A4CF1"/>
    <w:rsid w:val="54393B83"/>
    <w:rsid w:val="544615CD"/>
    <w:rsid w:val="54510C43"/>
    <w:rsid w:val="54517EF0"/>
    <w:rsid w:val="54521272"/>
    <w:rsid w:val="54521A63"/>
    <w:rsid w:val="5456526D"/>
    <w:rsid w:val="546135C3"/>
    <w:rsid w:val="54640C31"/>
    <w:rsid w:val="546B3A7C"/>
    <w:rsid w:val="546E71A0"/>
    <w:rsid w:val="547145DD"/>
    <w:rsid w:val="547609DD"/>
    <w:rsid w:val="547B5D3D"/>
    <w:rsid w:val="54805EAC"/>
    <w:rsid w:val="5482587D"/>
    <w:rsid w:val="548341C1"/>
    <w:rsid w:val="5484104F"/>
    <w:rsid w:val="54886400"/>
    <w:rsid w:val="54922940"/>
    <w:rsid w:val="54923C71"/>
    <w:rsid w:val="54A43723"/>
    <w:rsid w:val="54A75B90"/>
    <w:rsid w:val="54AE280E"/>
    <w:rsid w:val="54B3060F"/>
    <w:rsid w:val="54B40DB1"/>
    <w:rsid w:val="54B4518C"/>
    <w:rsid w:val="54B9373B"/>
    <w:rsid w:val="54B95A1A"/>
    <w:rsid w:val="54C23274"/>
    <w:rsid w:val="54CD127A"/>
    <w:rsid w:val="54D26341"/>
    <w:rsid w:val="54D45BC4"/>
    <w:rsid w:val="54DB49C4"/>
    <w:rsid w:val="54DC1C2B"/>
    <w:rsid w:val="54DE1184"/>
    <w:rsid w:val="54DE7576"/>
    <w:rsid w:val="54E212F4"/>
    <w:rsid w:val="54E92EA3"/>
    <w:rsid w:val="54F2448F"/>
    <w:rsid w:val="54FB018C"/>
    <w:rsid w:val="550109C1"/>
    <w:rsid w:val="55012924"/>
    <w:rsid w:val="55054110"/>
    <w:rsid w:val="5508132B"/>
    <w:rsid w:val="55100B6A"/>
    <w:rsid w:val="55122FCC"/>
    <w:rsid w:val="55131049"/>
    <w:rsid w:val="55164C9A"/>
    <w:rsid w:val="551A15C6"/>
    <w:rsid w:val="551F2C7C"/>
    <w:rsid w:val="55284354"/>
    <w:rsid w:val="552F12F5"/>
    <w:rsid w:val="553A18C8"/>
    <w:rsid w:val="553F43DA"/>
    <w:rsid w:val="5543118E"/>
    <w:rsid w:val="5546256D"/>
    <w:rsid w:val="554F7B33"/>
    <w:rsid w:val="555946AB"/>
    <w:rsid w:val="555C3C55"/>
    <w:rsid w:val="555C3E9A"/>
    <w:rsid w:val="556100F8"/>
    <w:rsid w:val="55627866"/>
    <w:rsid w:val="55627B08"/>
    <w:rsid w:val="5565088E"/>
    <w:rsid w:val="556D2C0F"/>
    <w:rsid w:val="556F7375"/>
    <w:rsid w:val="55721481"/>
    <w:rsid w:val="5579157E"/>
    <w:rsid w:val="5580275A"/>
    <w:rsid w:val="55911E19"/>
    <w:rsid w:val="559601F5"/>
    <w:rsid w:val="559B253D"/>
    <w:rsid w:val="559E2967"/>
    <w:rsid w:val="559F620B"/>
    <w:rsid w:val="55A03621"/>
    <w:rsid w:val="55A17B91"/>
    <w:rsid w:val="55AD5540"/>
    <w:rsid w:val="55B47996"/>
    <w:rsid w:val="55BA1450"/>
    <w:rsid w:val="55BB3061"/>
    <w:rsid w:val="55C37CDE"/>
    <w:rsid w:val="55C7591B"/>
    <w:rsid w:val="55D22539"/>
    <w:rsid w:val="55E34C3E"/>
    <w:rsid w:val="55E53845"/>
    <w:rsid w:val="55E61A70"/>
    <w:rsid w:val="55F720C6"/>
    <w:rsid w:val="55FD133D"/>
    <w:rsid w:val="56031ECA"/>
    <w:rsid w:val="5607285D"/>
    <w:rsid w:val="560C76EF"/>
    <w:rsid w:val="560F2F20"/>
    <w:rsid w:val="56120991"/>
    <w:rsid w:val="562D50DC"/>
    <w:rsid w:val="563D46B2"/>
    <w:rsid w:val="56457704"/>
    <w:rsid w:val="5648287B"/>
    <w:rsid w:val="565638FD"/>
    <w:rsid w:val="565740D6"/>
    <w:rsid w:val="5658153C"/>
    <w:rsid w:val="5667179F"/>
    <w:rsid w:val="5669552B"/>
    <w:rsid w:val="566D3E5D"/>
    <w:rsid w:val="566E677D"/>
    <w:rsid w:val="56756FEE"/>
    <w:rsid w:val="567A14B2"/>
    <w:rsid w:val="567F2B2A"/>
    <w:rsid w:val="568B0655"/>
    <w:rsid w:val="568F6105"/>
    <w:rsid w:val="569340BF"/>
    <w:rsid w:val="569D7032"/>
    <w:rsid w:val="56A26CA4"/>
    <w:rsid w:val="56A769A9"/>
    <w:rsid w:val="56A90163"/>
    <w:rsid w:val="56AD22B9"/>
    <w:rsid w:val="56BA554A"/>
    <w:rsid w:val="56BE12F4"/>
    <w:rsid w:val="56C500AD"/>
    <w:rsid w:val="56C768C1"/>
    <w:rsid w:val="56CA40F1"/>
    <w:rsid w:val="56CB20C5"/>
    <w:rsid w:val="56CF17A9"/>
    <w:rsid w:val="56DE774E"/>
    <w:rsid w:val="56ED3AE9"/>
    <w:rsid w:val="56EF6AA9"/>
    <w:rsid w:val="56F232A6"/>
    <w:rsid w:val="56FB3DE8"/>
    <w:rsid w:val="57016C0B"/>
    <w:rsid w:val="57101D0B"/>
    <w:rsid w:val="57131037"/>
    <w:rsid w:val="571C57F3"/>
    <w:rsid w:val="57263372"/>
    <w:rsid w:val="573556C2"/>
    <w:rsid w:val="57405985"/>
    <w:rsid w:val="575632CC"/>
    <w:rsid w:val="57606F87"/>
    <w:rsid w:val="577A6D2E"/>
    <w:rsid w:val="577E0893"/>
    <w:rsid w:val="577F0575"/>
    <w:rsid w:val="57877110"/>
    <w:rsid w:val="578840B1"/>
    <w:rsid w:val="57945726"/>
    <w:rsid w:val="579D34A4"/>
    <w:rsid w:val="57AC7F76"/>
    <w:rsid w:val="57B17ABA"/>
    <w:rsid w:val="57B37249"/>
    <w:rsid w:val="57B528A1"/>
    <w:rsid w:val="57BF6AF8"/>
    <w:rsid w:val="57C969E3"/>
    <w:rsid w:val="57D2297B"/>
    <w:rsid w:val="57D57D2F"/>
    <w:rsid w:val="57D60714"/>
    <w:rsid w:val="57D94111"/>
    <w:rsid w:val="57DC2BAD"/>
    <w:rsid w:val="57F15865"/>
    <w:rsid w:val="57F67D0A"/>
    <w:rsid w:val="57FF2C6E"/>
    <w:rsid w:val="580112DD"/>
    <w:rsid w:val="58057B99"/>
    <w:rsid w:val="58075662"/>
    <w:rsid w:val="580815FA"/>
    <w:rsid w:val="5808676D"/>
    <w:rsid w:val="58164CFD"/>
    <w:rsid w:val="58201D40"/>
    <w:rsid w:val="582E57DE"/>
    <w:rsid w:val="583A3C22"/>
    <w:rsid w:val="58430D07"/>
    <w:rsid w:val="584326B5"/>
    <w:rsid w:val="58611D04"/>
    <w:rsid w:val="586631C9"/>
    <w:rsid w:val="586846EF"/>
    <w:rsid w:val="586D2962"/>
    <w:rsid w:val="5872759C"/>
    <w:rsid w:val="58872F30"/>
    <w:rsid w:val="588B353C"/>
    <w:rsid w:val="588B7142"/>
    <w:rsid w:val="589B5B49"/>
    <w:rsid w:val="589E3418"/>
    <w:rsid w:val="58AF3175"/>
    <w:rsid w:val="58B67BEB"/>
    <w:rsid w:val="58C00689"/>
    <w:rsid w:val="58C957ED"/>
    <w:rsid w:val="58CA7BFC"/>
    <w:rsid w:val="58CC7366"/>
    <w:rsid w:val="58CD149A"/>
    <w:rsid w:val="58CF1EE7"/>
    <w:rsid w:val="58DF2335"/>
    <w:rsid w:val="58E3120B"/>
    <w:rsid w:val="58ED24DC"/>
    <w:rsid w:val="58EE7F4C"/>
    <w:rsid w:val="58F46DEA"/>
    <w:rsid w:val="58FB7105"/>
    <w:rsid w:val="59060509"/>
    <w:rsid w:val="59097FF9"/>
    <w:rsid w:val="590B158E"/>
    <w:rsid w:val="590B5B1F"/>
    <w:rsid w:val="59107FD3"/>
    <w:rsid w:val="591401BA"/>
    <w:rsid w:val="59283577"/>
    <w:rsid w:val="592C532E"/>
    <w:rsid w:val="592D4E59"/>
    <w:rsid w:val="59495D0A"/>
    <w:rsid w:val="594A0F1E"/>
    <w:rsid w:val="594B2650"/>
    <w:rsid w:val="59550077"/>
    <w:rsid w:val="595D42F7"/>
    <w:rsid w:val="595E0345"/>
    <w:rsid w:val="59633BAD"/>
    <w:rsid w:val="59695B0E"/>
    <w:rsid w:val="597900D1"/>
    <w:rsid w:val="59831B59"/>
    <w:rsid w:val="5984766D"/>
    <w:rsid w:val="598D1CE2"/>
    <w:rsid w:val="59941933"/>
    <w:rsid w:val="59A114F8"/>
    <w:rsid w:val="59A3309B"/>
    <w:rsid w:val="59A44352"/>
    <w:rsid w:val="59A51405"/>
    <w:rsid w:val="59AD460E"/>
    <w:rsid w:val="59B764D9"/>
    <w:rsid w:val="59BA7DD3"/>
    <w:rsid w:val="59BF0470"/>
    <w:rsid w:val="59C12B00"/>
    <w:rsid w:val="59C26B25"/>
    <w:rsid w:val="59C5315A"/>
    <w:rsid w:val="59C85BBA"/>
    <w:rsid w:val="59DA1A0D"/>
    <w:rsid w:val="59DF73D7"/>
    <w:rsid w:val="59E01997"/>
    <w:rsid w:val="59F112FE"/>
    <w:rsid w:val="59F26158"/>
    <w:rsid w:val="59FA1FEC"/>
    <w:rsid w:val="5A0B62FC"/>
    <w:rsid w:val="5A0C522E"/>
    <w:rsid w:val="5A132EDD"/>
    <w:rsid w:val="5A136829"/>
    <w:rsid w:val="5A143FBA"/>
    <w:rsid w:val="5A2643CB"/>
    <w:rsid w:val="5A364C43"/>
    <w:rsid w:val="5A397DDF"/>
    <w:rsid w:val="5A425696"/>
    <w:rsid w:val="5A450D3E"/>
    <w:rsid w:val="5A4D708A"/>
    <w:rsid w:val="5A513A05"/>
    <w:rsid w:val="5A663955"/>
    <w:rsid w:val="5A761225"/>
    <w:rsid w:val="5A7B6CD4"/>
    <w:rsid w:val="5A8A4153"/>
    <w:rsid w:val="5A8F4ABF"/>
    <w:rsid w:val="5A9038A8"/>
    <w:rsid w:val="5A942E60"/>
    <w:rsid w:val="5AAD1584"/>
    <w:rsid w:val="5AB62857"/>
    <w:rsid w:val="5AB67988"/>
    <w:rsid w:val="5AB91724"/>
    <w:rsid w:val="5ABF5901"/>
    <w:rsid w:val="5ABF7D64"/>
    <w:rsid w:val="5AC4067B"/>
    <w:rsid w:val="5ACA5953"/>
    <w:rsid w:val="5ACB3A4A"/>
    <w:rsid w:val="5ACF19E6"/>
    <w:rsid w:val="5AD47477"/>
    <w:rsid w:val="5AE3217B"/>
    <w:rsid w:val="5AE57817"/>
    <w:rsid w:val="5AE60D3F"/>
    <w:rsid w:val="5AE70490"/>
    <w:rsid w:val="5AE83DF8"/>
    <w:rsid w:val="5AEB20AC"/>
    <w:rsid w:val="5AF34ABD"/>
    <w:rsid w:val="5AF50BD0"/>
    <w:rsid w:val="5B06430D"/>
    <w:rsid w:val="5B0C1DEE"/>
    <w:rsid w:val="5B173253"/>
    <w:rsid w:val="5B26453F"/>
    <w:rsid w:val="5B2A49AD"/>
    <w:rsid w:val="5B4041A6"/>
    <w:rsid w:val="5B43724B"/>
    <w:rsid w:val="5B476CB1"/>
    <w:rsid w:val="5B500161"/>
    <w:rsid w:val="5B59062D"/>
    <w:rsid w:val="5B5E462C"/>
    <w:rsid w:val="5B6451A6"/>
    <w:rsid w:val="5B75731B"/>
    <w:rsid w:val="5B7E1EB2"/>
    <w:rsid w:val="5B847D3D"/>
    <w:rsid w:val="5B861444"/>
    <w:rsid w:val="5B8A50DE"/>
    <w:rsid w:val="5B912B50"/>
    <w:rsid w:val="5B953ED2"/>
    <w:rsid w:val="5B993928"/>
    <w:rsid w:val="5B9955E8"/>
    <w:rsid w:val="5B9A5925"/>
    <w:rsid w:val="5B9B4306"/>
    <w:rsid w:val="5B9E436E"/>
    <w:rsid w:val="5BA13C73"/>
    <w:rsid w:val="5BA74225"/>
    <w:rsid w:val="5BAA0E05"/>
    <w:rsid w:val="5BB3110B"/>
    <w:rsid w:val="5BB50DF9"/>
    <w:rsid w:val="5BBC76E7"/>
    <w:rsid w:val="5BBE50CA"/>
    <w:rsid w:val="5BC2290D"/>
    <w:rsid w:val="5BC90992"/>
    <w:rsid w:val="5BCB2B90"/>
    <w:rsid w:val="5BD81FA8"/>
    <w:rsid w:val="5BDD7C46"/>
    <w:rsid w:val="5BE72873"/>
    <w:rsid w:val="5BED5D88"/>
    <w:rsid w:val="5BF204A7"/>
    <w:rsid w:val="5BF53049"/>
    <w:rsid w:val="5BF53B3D"/>
    <w:rsid w:val="5BF75936"/>
    <w:rsid w:val="5BFB7164"/>
    <w:rsid w:val="5C0056E3"/>
    <w:rsid w:val="5C0B1C47"/>
    <w:rsid w:val="5C0B2E25"/>
    <w:rsid w:val="5C17648D"/>
    <w:rsid w:val="5C1A310B"/>
    <w:rsid w:val="5C1A753A"/>
    <w:rsid w:val="5C202F01"/>
    <w:rsid w:val="5C236E8E"/>
    <w:rsid w:val="5C312060"/>
    <w:rsid w:val="5C461A91"/>
    <w:rsid w:val="5C4639E1"/>
    <w:rsid w:val="5C497FA1"/>
    <w:rsid w:val="5C4A39F7"/>
    <w:rsid w:val="5C4B3F8B"/>
    <w:rsid w:val="5C583E24"/>
    <w:rsid w:val="5C5D0D87"/>
    <w:rsid w:val="5C60208A"/>
    <w:rsid w:val="5C66535C"/>
    <w:rsid w:val="5C6D424E"/>
    <w:rsid w:val="5C727C32"/>
    <w:rsid w:val="5C774020"/>
    <w:rsid w:val="5C78796F"/>
    <w:rsid w:val="5C8318BE"/>
    <w:rsid w:val="5C836D63"/>
    <w:rsid w:val="5C847D9F"/>
    <w:rsid w:val="5C8A0E37"/>
    <w:rsid w:val="5C93198C"/>
    <w:rsid w:val="5C98042B"/>
    <w:rsid w:val="5C9913E2"/>
    <w:rsid w:val="5CA66466"/>
    <w:rsid w:val="5CAD630E"/>
    <w:rsid w:val="5CB33015"/>
    <w:rsid w:val="5CB46F5A"/>
    <w:rsid w:val="5CB7639B"/>
    <w:rsid w:val="5CD91E24"/>
    <w:rsid w:val="5CDE0C87"/>
    <w:rsid w:val="5CDF1DCE"/>
    <w:rsid w:val="5CE33758"/>
    <w:rsid w:val="5CE96194"/>
    <w:rsid w:val="5CF319DE"/>
    <w:rsid w:val="5CF50E0C"/>
    <w:rsid w:val="5CFA2EAA"/>
    <w:rsid w:val="5D041404"/>
    <w:rsid w:val="5D05702F"/>
    <w:rsid w:val="5D0819AF"/>
    <w:rsid w:val="5D0B3DB3"/>
    <w:rsid w:val="5D0C00B7"/>
    <w:rsid w:val="5D131B22"/>
    <w:rsid w:val="5D15609A"/>
    <w:rsid w:val="5D1F0193"/>
    <w:rsid w:val="5D243C94"/>
    <w:rsid w:val="5D246DB0"/>
    <w:rsid w:val="5D264973"/>
    <w:rsid w:val="5D283218"/>
    <w:rsid w:val="5D2A41F3"/>
    <w:rsid w:val="5D2E6280"/>
    <w:rsid w:val="5D3C3250"/>
    <w:rsid w:val="5D3E70CC"/>
    <w:rsid w:val="5D412E9E"/>
    <w:rsid w:val="5D503C55"/>
    <w:rsid w:val="5D5531B4"/>
    <w:rsid w:val="5D5E4BD3"/>
    <w:rsid w:val="5D610FBA"/>
    <w:rsid w:val="5D73062F"/>
    <w:rsid w:val="5D7519FB"/>
    <w:rsid w:val="5D754359"/>
    <w:rsid w:val="5D7D61FF"/>
    <w:rsid w:val="5D7E072C"/>
    <w:rsid w:val="5D7F5B3F"/>
    <w:rsid w:val="5D8374DA"/>
    <w:rsid w:val="5D9043C5"/>
    <w:rsid w:val="5D916BCF"/>
    <w:rsid w:val="5D917380"/>
    <w:rsid w:val="5D976281"/>
    <w:rsid w:val="5D9F66F5"/>
    <w:rsid w:val="5DBF03EB"/>
    <w:rsid w:val="5DBF5867"/>
    <w:rsid w:val="5DC04997"/>
    <w:rsid w:val="5DC53591"/>
    <w:rsid w:val="5DC85744"/>
    <w:rsid w:val="5DCF2F34"/>
    <w:rsid w:val="5DD2534B"/>
    <w:rsid w:val="5DE80B25"/>
    <w:rsid w:val="5DEB2D6E"/>
    <w:rsid w:val="5DF03535"/>
    <w:rsid w:val="5DF85FBA"/>
    <w:rsid w:val="5DFC2939"/>
    <w:rsid w:val="5E021BE6"/>
    <w:rsid w:val="5E027BA8"/>
    <w:rsid w:val="5E072804"/>
    <w:rsid w:val="5E0A0BB4"/>
    <w:rsid w:val="5E0A3A10"/>
    <w:rsid w:val="5E135BA1"/>
    <w:rsid w:val="5E2860C8"/>
    <w:rsid w:val="5E2A0754"/>
    <w:rsid w:val="5E2B3F5E"/>
    <w:rsid w:val="5E384323"/>
    <w:rsid w:val="5E3B2009"/>
    <w:rsid w:val="5E3B3903"/>
    <w:rsid w:val="5E3C3CAB"/>
    <w:rsid w:val="5E3E2839"/>
    <w:rsid w:val="5E425E09"/>
    <w:rsid w:val="5E445E81"/>
    <w:rsid w:val="5E4E3305"/>
    <w:rsid w:val="5E561E50"/>
    <w:rsid w:val="5E6551CC"/>
    <w:rsid w:val="5E6D2BC6"/>
    <w:rsid w:val="5E7516A9"/>
    <w:rsid w:val="5E754D4A"/>
    <w:rsid w:val="5E757973"/>
    <w:rsid w:val="5E8B5B78"/>
    <w:rsid w:val="5E8D40BB"/>
    <w:rsid w:val="5E912506"/>
    <w:rsid w:val="5EA0790D"/>
    <w:rsid w:val="5EA20FD9"/>
    <w:rsid w:val="5EA96EBE"/>
    <w:rsid w:val="5EAC37CE"/>
    <w:rsid w:val="5EB47C6B"/>
    <w:rsid w:val="5EB505C8"/>
    <w:rsid w:val="5EB97BFE"/>
    <w:rsid w:val="5EBB4529"/>
    <w:rsid w:val="5EBC4050"/>
    <w:rsid w:val="5EBD6D92"/>
    <w:rsid w:val="5ECE4AD3"/>
    <w:rsid w:val="5ED90A4F"/>
    <w:rsid w:val="5EDB5760"/>
    <w:rsid w:val="5EF04834"/>
    <w:rsid w:val="5EF77A28"/>
    <w:rsid w:val="5EFA508F"/>
    <w:rsid w:val="5F1A537B"/>
    <w:rsid w:val="5F1D3DA3"/>
    <w:rsid w:val="5F1E6215"/>
    <w:rsid w:val="5F207D18"/>
    <w:rsid w:val="5F22545D"/>
    <w:rsid w:val="5F24765D"/>
    <w:rsid w:val="5F290D15"/>
    <w:rsid w:val="5F2B466E"/>
    <w:rsid w:val="5F2D4A41"/>
    <w:rsid w:val="5F4209AC"/>
    <w:rsid w:val="5F424C71"/>
    <w:rsid w:val="5F432EAB"/>
    <w:rsid w:val="5F4420C1"/>
    <w:rsid w:val="5F4E1724"/>
    <w:rsid w:val="5F58372D"/>
    <w:rsid w:val="5F5C17A0"/>
    <w:rsid w:val="5F5C28E2"/>
    <w:rsid w:val="5F654B11"/>
    <w:rsid w:val="5F6649D0"/>
    <w:rsid w:val="5F67640E"/>
    <w:rsid w:val="5F755CC4"/>
    <w:rsid w:val="5F7A430A"/>
    <w:rsid w:val="5F7F18C1"/>
    <w:rsid w:val="5F8124DD"/>
    <w:rsid w:val="5F8737A8"/>
    <w:rsid w:val="5F8B58BB"/>
    <w:rsid w:val="5F8C5268"/>
    <w:rsid w:val="5F94225B"/>
    <w:rsid w:val="5F9840E4"/>
    <w:rsid w:val="5FAB0881"/>
    <w:rsid w:val="5FB872AD"/>
    <w:rsid w:val="5FBA585B"/>
    <w:rsid w:val="5FC111DF"/>
    <w:rsid w:val="5FD6077A"/>
    <w:rsid w:val="5FD845D7"/>
    <w:rsid w:val="5FD91EC4"/>
    <w:rsid w:val="5FDA00BB"/>
    <w:rsid w:val="5FDC6830"/>
    <w:rsid w:val="5FDF3861"/>
    <w:rsid w:val="5FE13A7D"/>
    <w:rsid w:val="5FE57F90"/>
    <w:rsid w:val="5FF842D2"/>
    <w:rsid w:val="5FF96B92"/>
    <w:rsid w:val="5FFF6B3B"/>
    <w:rsid w:val="60010018"/>
    <w:rsid w:val="60033EF8"/>
    <w:rsid w:val="6008100A"/>
    <w:rsid w:val="60103832"/>
    <w:rsid w:val="6011375B"/>
    <w:rsid w:val="60170FDD"/>
    <w:rsid w:val="601A4CAC"/>
    <w:rsid w:val="602A33E5"/>
    <w:rsid w:val="602D12EB"/>
    <w:rsid w:val="60354303"/>
    <w:rsid w:val="60381E7E"/>
    <w:rsid w:val="603B39E3"/>
    <w:rsid w:val="603D123C"/>
    <w:rsid w:val="60405096"/>
    <w:rsid w:val="60430916"/>
    <w:rsid w:val="60433F1A"/>
    <w:rsid w:val="604638DA"/>
    <w:rsid w:val="604A0111"/>
    <w:rsid w:val="604B2C00"/>
    <w:rsid w:val="60531BBE"/>
    <w:rsid w:val="60593614"/>
    <w:rsid w:val="605A2653"/>
    <w:rsid w:val="605B16EF"/>
    <w:rsid w:val="606030AA"/>
    <w:rsid w:val="606F1089"/>
    <w:rsid w:val="607029FA"/>
    <w:rsid w:val="60743486"/>
    <w:rsid w:val="60820079"/>
    <w:rsid w:val="60823802"/>
    <w:rsid w:val="60866FAA"/>
    <w:rsid w:val="60887821"/>
    <w:rsid w:val="608951D9"/>
    <w:rsid w:val="608A3E83"/>
    <w:rsid w:val="60911AB1"/>
    <w:rsid w:val="60912DAE"/>
    <w:rsid w:val="60914E6D"/>
    <w:rsid w:val="609D4A67"/>
    <w:rsid w:val="60A31E12"/>
    <w:rsid w:val="60AB53BD"/>
    <w:rsid w:val="60AE1332"/>
    <w:rsid w:val="60B06382"/>
    <w:rsid w:val="60B238E8"/>
    <w:rsid w:val="60B8658C"/>
    <w:rsid w:val="60C56A58"/>
    <w:rsid w:val="60D05951"/>
    <w:rsid w:val="60D5418A"/>
    <w:rsid w:val="60E40FCB"/>
    <w:rsid w:val="60E727D0"/>
    <w:rsid w:val="60E76E71"/>
    <w:rsid w:val="60F431B6"/>
    <w:rsid w:val="60F4333C"/>
    <w:rsid w:val="60F80E08"/>
    <w:rsid w:val="60F80F7E"/>
    <w:rsid w:val="61101393"/>
    <w:rsid w:val="6117277E"/>
    <w:rsid w:val="61181721"/>
    <w:rsid w:val="613624C4"/>
    <w:rsid w:val="613B28D7"/>
    <w:rsid w:val="613B5B36"/>
    <w:rsid w:val="613C2142"/>
    <w:rsid w:val="61411BD9"/>
    <w:rsid w:val="6144456B"/>
    <w:rsid w:val="61520F1C"/>
    <w:rsid w:val="615858BA"/>
    <w:rsid w:val="615C2A71"/>
    <w:rsid w:val="615F4C01"/>
    <w:rsid w:val="61620211"/>
    <w:rsid w:val="616273AE"/>
    <w:rsid w:val="61647FDF"/>
    <w:rsid w:val="616D3F1F"/>
    <w:rsid w:val="616F7D6C"/>
    <w:rsid w:val="617B185C"/>
    <w:rsid w:val="617F354E"/>
    <w:rsid w:val="6182718B"/>
    <w:rsid w:val="618943CD"/>
    <w:rsid w:val="618B6600"/>
    <w:rsid w:val="618F3B50"/>
    <w:rsid w:val="619176D1"/>
    <w:rsid w:val="619B1D96"/>
    <w:rsid w:val="619E3328"/>
    <w:rsid w:val="61A31CD2"/>
    <w:rsid w:val="61A84FD3"/>
    <w:rsid w:val="61AD6547"/>
    <w:rsid w:val="61B629E5"/>
    <w:rsid w:val="61BA64FF"/>
    <w:rsid w:val="61BE455F"/>
    <w:rsid w:val="61C16E98"/>
    <w:rsid w:val="61D67110"/>
    <w:rsid w:val="61D758C9"/>
    <w:rsid w:val="61DE0274"/>
    <w:rsid w:val="61E044C2"/>
    <w:rsid w:val="61E54BC6"/>
    <w:rsid w:val="61E61E86"/>
    <w:rsid w:val="61F14599"/>
    <w:rsid w:val="61FA0D76"/>
    <w:rsid w:val="61FD12D7"/>
    <w:rsid w:val="6202633D"/>
    <w:rsid w:val="62067684"/>
    <w:rsid w:val="62072558"/>
    <w:rsid w:val="620956CC"/>
    <w:rsid w:val="620B0F65"/>
    <w:rsid w:val="620D48D5"/>
    <w:rsid w:val="62125C14"/>
    <w:rsid w:val="621C6FEF"/>
    <w:rsid w:val="62270BA2"/>
    <w:rsid w:val="622802D4"/>
    <w:rsid w:val="622C60B8"/>
    <w:rsid w:val="622F0784"/>
    <w:rsid w:val="62365A7B"/>
    <w:rsid w:val="62421627"/>
    <w:rsid w:val="62434609"/>
    <w:rsid w:val="624779E5"/>
    <w:rsid w:val="62487455"/>
    <w:rsid w:val="624A7EEB"/>
    <w:rsid w:val="625A4EAE"/>
    <w:rsid w:val="625E3BE5"/>
    <w:rsid w:val="62632E08"/>
    <w:rsid w:val="626C104E"/>
    <w:rsid w:val="6271733B"/>
    <w:rsid w:val="627358D5"/>
    <w:rsid w:val="6276629E"/>
    <w:rsid w:val="627F535F"/>
    <w:rsid w:val="6287237F"/>
    <w:rsid w:val="628841ED"/>
    <w:rsid w:val="62894017"/>
    <w:rsid w:val="628D497B"/>
    <w:rsid w:val="62915BF9"/>
    <w:rsid w:val="62935911"/>
    <w:rsid w:val="629B2D2F"/>
    <w:rsid w:val="629F4FFC"/>
    <w:rsid w:val="62AE35A5"/>
    <w:rsid w:val="62AF758F"/>
    <w:rsid w:val="62B74707"/>
    <w:rsid w:val="62C4751A"/>
    <w:rsid w:val="62C50258"/>
    <w:rsid w:val="62C70051"/>
    <w:rsid w:val="62CC1A55"/>
    <w:rsid w:val="62D033D7"/>
    <w:rsid w:val="62D24E91"/>
    <w:rsid w:val="62D56E87"/>
    <w:rsid w:val="62D64631"/>
    <w:rsid w:val="62DB42A1"/>
    <w:rsid w:val="62DC7633"/>
    <w:rsid w:val="62E4189E"/>
    <w:rsid w:val="62EA14E5"/>
    <w:rsid w:val="62F35A7A"/>
    <w:rsid w:val="62F615EE"/>
    <w:rsid w:val="6300533B"/>
    <w:rsid w:val="63005D3D"/>
    <w:rsid w:val="630F3E93"/>
    <w:rsid w:val="631779FB"/>
    <w:rsid w:val="63181EE7"/>
    <w:rsid w:val="631D0BDB"/>
    <w:rsid w:val="632150B7"/>
    <w:rsid w:val="632443AD"/>
    <w:rsid w:val="63282367"/>
    <w:rsid w:val="63292FE2"/>
    <w:rsid w:val="633640E0"/>
    <w:rsid w:val="634250D9"/>
    <w:rsid w:val="63436FC8"/>
    <w:rsid w:val="634B54BD"/>
    <w:rsid w:val="634B676D"/>
    <w:rsid w:val="634F4786"/>
    <w:rsid w:val="635A7DCF"/>
    <w:rsid w:val="63654F5B"/>
    <w:rsid w:val="6365621B"/>
    <w:rsid w:val="63690152"/>
    <w:rsid w:val="636B401B"/>
    <w:rsid w:val="636D5B47"/>
    <w:rsid w:val="637356EA"/>
    <w:rsid w:val="63743354"/>
    <w:rsid w:val="63774C12"/>
    <w:rsid w:val="63790EBC"/>
    <w:rsid w:val="637A1D49"/>
    <w:rsid w:val="637D4470"/>
    <w:rsid w:val="63822E81"/>
    <w:rsid w:val="638A3FB7"/>
    <w:rsid w:val="639B3033"/>
    <w:rsid w:val="63AB6274"/>
    <w:rsid w:val="63B252AA"/>
    <w:rsid w:val="63B268A4"/>
    <w:rsid w:val="63BF01CA"/>
    <w:rsid w:val="63C26F97"/>
    <w:rsid w:val="63C72DA4"/>
    <w:rsid w:val="63CD52B1"/>
    <w:rsid w:val="63D346A3"/>
    <w:rsid w:val="63D81139"/>
    <w:rsid w:val="63DA30BD"/>
    <w:rsid w:val="63DE1E1F"/>
    <w:rsid w:val="63DF7591"/>
    <w:rsid w:val="640A7E6F"/>
    <w:rsid w:val="640D5592"/>
    <w:rsid w:val="640F111D"/>
    <w:rsid w:val="641070C0"/>
    <w:rsid w:val="6415471B"/>
    <w:rsid w:val="64177A6E"/>
    <w:rsid w:val="64184A94"/>
    <w:rsid w:val="641A24E2"/>
    <w:rsid w:val="641C62B2"/>
    <w:rsid w:val="641C6342"/>
    <w:rsid w:val="641D5D90"/>
    <w:rsid w:val="64236444"/>
    <w:rsid w:val="642A4A6F"/>
    <w:rsid w:val="642A69E2"/>
    <w:rsid w:val="642E14F0"/>
    <w:rsid w:val="644106C9"/>
    <w:rsid w:val="64430863"/>
    <w:rsid w:val="64487864"/>
    <w:rsid w:val="6455416E"/>
    <w:rsid w:val="645A2BDF"/>
    <w:rsid w:val="645E43AA"/>
    <w:rsid w:val="64675F8C"/>
    <w:rsid w:val="647E2BEE"/>
    <w:rsid w:val="64821DEA"/>
    <w:rsid w:val="6484560E"/>
    <w:rsid w:val="648834FC"/>
    <w:rsid w:val="64933326"/>
    <w:rsid w:val="649A0BB7"/>
    <w:rsid w:val="649D3EDA"/>
    <w:rsid w:val="649E604B"/>
    <w:rsid w:val="64A20B38"/>
    <w:rsid w:val="64A25691"/>
    <w:rsid w:val="64AB4EC5"/>
    <w:rsid w:val="64B132E4"/>
    <w:rsid w:val="64B47BFE"/>
    <w:rsid w:val="64BF5725"/>
    <w:rsid w:val="64C202A5"/>
    <w:rsid w:val="64C82295"/>
    <w:rsid w:val="64CD091C"/>
    <w:rsid w:val="64D578D7"/>
    <w:rsid w:val="64D72494"/>
    <w:rsid w:val="64D76205"/>
    <w:rsid w:val="64D911C7"/>
    <w:rsid w:val="64D9683E"/>
    <w:rsid w:val="64E2648D"/>
    <w:rsid w:val="64E45FE6"/>
    <w:rsid w:val="64EA01BF"/>
    <w:rsid w:val="64EF2F60"/>
    <w:rsid w:val="64F6737C"/>
    <w:rsid w:val="65040FBB"/>
    <w:rsid w:val="650A6B91"/>
    <w:rsid w:val="650A7524"/>
    <w:rsid w:val="650C1046"/>
    <w:rsid w:val="650C3283"/>
    <w:rsid w:val="65146114"/>
    <w:rsid w:val="651B2C2A"/>
    <w:rsid w:val="65230D6E"/>
    <w:rsid w:val="652930F2"/>
    <w:rsid w:val="65305B8D"/>
    <w:rsid w:val="653921B1"/>
    <w:rsid w:val="653C59A6"/>
    <w:rsid w:val="653E5583"/>
    <w:rsid w:val="653F64B5"/>
    <w:rsid w:val="6543536E"/>
    <w:rsid w:val="65442CBA"/>
    <w:rsid w:val="65513C14"/>
    <w:rsid w:val="65584095"/>
    <w:rsid w:val="656514DA"/>
    <w:rsid w:val="65707C2C"/>
    <w:rsid w:val="6572029D"/>
    <w:rsid w:val="65741979"/>
    <w:rsid w:val="657F2E63"/>
    <w:rsid w:val="65853AE9"/>
    <w:rsid w:val="658D62E6"/>
    <w:rsid w:val="659805C0"/>
    <w:rsid w:val="659A1697"/>
    <w:rsid w:val="65A5705B"/>
    <w:rsid w:val="65A87423"/>
    <w:rsid w:val="65AA4C86"/>
    <w:rsid w:val="65B363DF"/>
    <w:rsid w:val="65B43AEC"/>
    <w:rsid w:val="65BB400B"/>
    <w:rsid w:val="65CE0C9E"/>
    <w:rsid w:val="65D33E68"/>
    <w:rsid w:val="65DB009A"/>
    <w:rsid w:val="65DD32BC"/>
    <w:rsid w:val="65E21CCA"/>
    <w:rsid w:val="65EC32E5"/>
    <w:rsid w:val="65F061C8"/>
    <w:rsid w:val="65F441B3"/>
    <w:rsid w:val="65F65B2A"/>
    <w:rsid w:val="65FD4589"/>
    <w:rsid w:val="65FF7A90"/>
    <w:rsid w:val="66003EE4"/>
    <w:rsid w:val="660600DF"/>
    <w:rsid w:val="66070283"/>
    <w:rsid w:val="660B3E3D"/>
    <w:rsid w:val="660C6E9F"/>
    <w:rsid w:val="66191177"/>
    <w:rsid w:val="6619154B"/>
    <w:rsid w:val="66255BFF"/>
    <w:rsid w:val="662639BA"/>
    <w:rsid w:val="662B77A0"/>
    <w:rsid w:val="662F01E1"/>
    <w:rsid w:val="6630148C"/>
    <w:rsid w:val="66447EBD"/>
    <w:rsid w:val="66475647"/>
    <w:rsid w:val="664775F0"/>
    <w:rsid w:val="664B6F71"/>
    <w:rsid w:val="664E23DC"/>
    <w:rsid w:val="664F3D0B"/>
    <w:rsid w:val="6652062B"/>
    <w:rsid w:val="665C1474"/>
    <w:rsid w:val="66615364"/>
    <w:rsid w:val="66731E80"/>
    <w:rsid w:val="667810A9"/>
    <w:rsid w:val="66831332"/>
    <w:rsid w:val="66860FFF"/>
    <w:rsid w:val="668F2D4B"/>
    <w:rsid w:val="6697363C"/>
    <w:rsid w:val="66AD64D9"/>
    <w:rsid w:val="66BE5742"/>
    <w:rsid w:val="66D13795"/>
    <w:rsid w:val="66D734E4"/>
    <w:rsid w:val="66D7487B"/>
    <w:rsid w:val="66E5153A"/>
    <w:rsid w:val="66E71872"/>
    <w:rsid w:val="66EC3434"/>
    <w:rsid w:val="66F2311B"/>
    <w:rsid w:val="66F66888"/>
    <w:rsid w:val="66F727EF"/>
    <w:rsid w:val="66F77E3C"/>
    <w:rsid w:val="66F8124E"/>
    <w:rsid w:val="66FD3534"/>
    <w:rsid w:val="66FE3167"/>
    <w:rsid w:val="66FE6CC3"/>
    <w:rsid w:val="66FF280D"/>
    <w:rsid w:val="66FF5A8F"/>
    <w:rsid w:val="67006EDF"/>
    <w:rsid w:val="67094206"/>
    <w:rsid w:val="670D6659"/>
    <w:rsid w:val="671A2E3A"/>
    <w:rsid w:val="671B753A"/>
    <w:rsid w:val="672226B7"/>
    <w:rsid w:val="6724186C"/>
    <w:rsid w:val="67267330"/>
    <w:rsid w:val="672D4731"/>
    <w:rsid w:val="673858C6"/>
    <w:rsid w:val="67401089"/>
    <w:rsid w:val="674C7A41"/>
    <w:rsid w:val="674E7649"/>
    <w:rsid w:val="6755619C"/>
    <w:rsid w:val="67582877"/>
    <w:rsid w:val="675B102C"/>
    <w:rsid w:val="675B7579"/>
    <w:rsid w:val="675D55A7"/>
    <w:rsid w:val="675F2192"/>
    <w:rsid w:val="676845C8"/>
    <w:rsid w:val="676B1118"/>
    <w:rsid w:val="676B22CD"/>
    <w:rsid w:val="67746652"/>
    <w:rsid w:val="677B3668"/>
    <w:rsid w:val="677C15A0"/>
    <w:rsid w:val="677F65D8"/>
    <w:rsid w:val="67802EFA"/>
    <w:rsid w:val="678802ED"/>
    <w:rsid w:val="67961046"/>
    <w:rsid w:val="67980139"/>
    <w:rsid w:val="679876DF"/>
    <w:rsid w:val="679B2F2F"/>
    <w:rsid w:val="679E0E10"/>
    <w:rsid w:val="67A23989"/>
    <w:rsid w:val="67A27AFC"/>
    <w:rsid w:val="67A74E48"/>
    <w:rsid w:val="67B6134C"/>
    <w:rsid w:val="67B877CA"/>
    <w:rsid w:val="67C577E1"/>
    <w:rsid w:val="67CA36CD"/>
    <w:rsid w:val="67CB5AE3"/>
    <w:rsid w:val="67CB7E43"/>
    <w:rsid w:val="67D01EEE"/>
    <w:rsid w:val="67D05F56"/>
    <w:rsid w:val="67D11F53"/>
    <w:rsid w:val="67DF56A4"/>
    <w:rsid w:val="67E01BA5"/>
    <w:rsid w:val="67E03808"/>
    <w:rsid w:val="67E45A32"/>
    <w:rsid w:val="67E97759"/>
    <w:rsid w:val="67EB0B9E"/>
    <w:rsid w:val="67FA3EA4"/>
    <w:rsid w:val="68006EC8"/>
    <w:rsid w:val="68094711"/>
    <w:rsid w:val="681346F9"/>
    <w:rsid w:val="68160DEC"/>
    <w:rsid w:val="68190258"/>
    <w:rsid w:val="681A5D7E"/>
    <w:rsid w:val="68266375"/>
    <w:rsid w:val="68295146"/>
    <w:rsid w:val="682B0D20"/>
    <w:rsid w:val="68330BEE"/>
    <w:rsid w:val="6836153B"/>
    <w:rsid w:val="683A21CA"/>
    <w:rsid w:val="683E1810"/>
    <w:rsid w:val="683E47B8"/>
    <w:rsid w:val="683F7AD2"/>
    <w:rsid w:val="68420858"/>
    <w:rsid w:val="684B55E1"/>
    <w:rsid w:val="684E507E"/>
    <w:rsid w:val="6850056F"/>
    <w:rsid w:val="685112E9"/>
    <w:rsid w:val="68514113"/>
    <w:rsid w:val="685A5826"/>
    <w:rsid w:val="685F0A3E"/>
    <w:rsid w:val="68607763"/>
    <w:rsid w:val="686C4C12"/>
    <w:rsid w:val="686F092D"/>
    <w:rsid w:val="6874626F"/>
    <w:rsid w:val="68794E8B"/>
    <w:rsid w:val="687B1AA8"/>
    <w:rsid w:val="687F00C0"/>
    <w:rsid w:val="6890596A"/>
    <w:rsid w:val="68906CCB"/>
    <w:rsid w:val="68941AA2"/>
    <w:rsid w:val="689533A1"/>
    <w:rsid w:val="6895507A"/>
    <w:rsid w:val="68965998"/>
    <w:rsid w:val="689D2BEF"/>
    <w:rsid w:val="689D5338"/>
    <w:rsid w:val="689F675E"/>
    <w:rsid w:val="68A20A77"/>
    <w:rsid w:val="68C957AD"/>
    <w:rsid w:val="68CD0A14"/>
    <w:rsid w:val="68D3413B"/>
    <w:rsid w:val="68D75378"/>
    <w:rsid w:val="68EA3C2B"/>
    <w:rsid w:val="68FD6E33"/>
    <w:rsid w:val="6903697B"/>
    <w:rsid w:val="691150BC"/>
    <w:rsid w:val="691B586A"/>
    <w:rsid w:val="691E41B2"/>
    <w:rsid w:val="691E7AE4"/>
    <w:rsid w:val="692B6129"/>
    <w:rsid w:val="692F6AA9"/>
    <w:rsid w:val="69332C99"/>
    <w:rsid w:val="6933534A"/>
    <w:rsid w:val="69341180"/>
    <w:rsid w:val="6934737D"/>
    <w:rsid w:val="693518FB"/>
    <w:rsid w:val="693C7BB9"/>
    <w:rsid w:val="693F7551"/>
    <w:rsid w:val="69465531"/>
    <w:rsid w:val="6947220C"/>
    <w:rsid w:val="69560380"/>
    <w:rsid w:val="695738BD"/>
    <w:rsid w:val="695D7D9C"/>
    <w:rsid w:val="69690D6B"/>
    <w:rsid w:val="697E134C"/>
    <w:rsid w:val="698D1F73"/>
    <w:rsid w:val="69A35016"/>
    <w:rsid w:val="69A52143"/>
    <w:rsid w:val="69B4541D"/>
    <w:rsid w:val="69BA0787"/>
    <w:rsid w:val="69C4397C"/>
    <w:rsid w:val="69CB3757"/>
    <w:rsid w:val="69CF221A"/>
    <w:rsid w:val="69CF257E"/>
    <w:rsid w:val="69D71C14"/>
    <w:rsid w:val="69D96B71"/>
    <w:rsid w:val="69E11ACF"/>
    <w:rsid w:val="69E74168"/>
    <w:rsid w:val="69E90419"/>
    <w:rsid w:val="69ED4E05"/>
    <w:rsid w:val="69FD3A97"/>
    <w:rsid w:val="6A034FCE"/>
    <w:rsid w:val="6A07144C"/>
    <w:rsid w:val="6A0C65D5"/>
    <w:rsid w:val="6A0E7AE3"/>
    <w:rsid w:val="6A171A02"/>
    <w:rsid w:val="6A1908E3"/>
    <w:rsid w:val="6A1D1985"/>
    <w:rsid w:val="6A1E0C4C"/>
    <w:rsid w:val="6A2076C3"/>
    <w:rsid w:val="6A240F66"/>
    <w:rsid w:val="6A2D1C4E"/>
    <w:rsid w:val="6A3047AA"/>
    <w:rsid w:val="6A3550F2"/>
    <w:rsid w:val="6A381952"/>
    <w:rsid w:val="6A420882"/>
    <w:rsid w:val="6A436049"/>
    <w:rsid w:val="6A4A6A21"/>
    <w:rsid w:val="6A4E7B99"/>
    <w:rsid w:val="6A525926"/>
    <w:rsid w:val="6A5273D1"/>
    <w:rsid w:val="6A543885"/>
    <w:rsid w:val="6A57091D"/>
    <w:rsid w:val="6A6257BB"/>
    <w:rsid w:val="6A6910C1"/>
    <w:rsid w:val="6A7171D7"/>
    <w:rsid w:val="6A750AE2"/>
    <w:rsid w:val="6A782BBF"/>
    <w:rsid w:val="6A7A6FA8"/>
    <w:rsid w:val="6A803564"/>
    <w:rsid w:val="6A88614A"/>
    <w:rsid w:val="6A8A5C7F"/>
    <w:rsid w:val="6A8D7B0B"/>
    <w:rsid w:val="6A8F16D0"/>
    <w:rsid w:val="6A903F85"/>
    <w:rsid w:val="6A9D776B"/>
    <w:rsid w:val="6A9F22CE"/>
    <w:rsid w:val="6AA620C7"/>
    <w:rsid w:val="6AA87672"/>
    <w:rsid w:val="6AAD3DCE"/>
    <w:rsid w:val="6ABC585C"/>
    <w:rsid w:val="6ABD0EED"/>
    <w:rsid w:val="6AC133C0"/>
    <w:rsid w:val="6AC974D8"/>
    <w:rsid w:val="6ACF3D34"/>
    <w:rsid w:val="6AD77D3B"/>
    <w:rsid w:val="6AD85FE7"/>
    <w:rsid w:val="6AD87AE0"/>
    <w:rsid w:val="6AD93742"/>
    <w:rsid w:val="6AE875B9"/>
    <w:rsid w:val="6AE96F43"/>
    <w:rsid w:val="6AEB7E41"/>
    <w:rsid w:val="6AED195F"/>
    <w:rsid w:val="6AEE0ED6"/>
    <w:rsid w:val="6AEE38D8"/>
    <w:rsid w:val="6AF200A6"/>
    <w:rsid w:val="6AF512F4"/>
    <w:rsid w:val="6AF9600E"/>
    <w:rsid w:val="6AFB68EC"/>
    <w:rsid w:val="6AFD51CF"/>
    <w:rsid w:val="6AFD5828"/>
    <w:rsid w:val="6B0C4EA8"/>
    <w:rsid w:val="6B1A4248"/>
    <w:rsid w:val="6B1C06F6"/>
    <w:rsid w:val="6B1E7C2F"/>
    <w:rsid w:val="6B2769C2"/>
    <w:rsid w:val="6B2F380D"/>
    <w:rsid w:val="6B370BDA"/>
    <w:rsid w:val="6B451619"/>
    <w:rsid w:val="6B4F2441"/>
    <w:rsid w:val="6B5837AB"/>
    <w:rsid w:val="6B5844A1"/>
    <w:rsid w:val="6B6429DD"/>
    <w:rsid w:val="6B661536"/>
    <w:rsid w:val="6B673E74"/>
    <w:rsid w:val="6B6C6E76"/>
    <w:rsid w:val="6B743A82"/>
    <w:rsid w:val="6B7F1B93"/>
    <w:rsid w:val="6B8D46FD"/>
    <w:rsid w:val="6B8E7A00"/>
    <w:rsid w:val="6B926010"/>
    <w:rsid w:val="6B931943"/>
    <w:rsid w:val="6B970D25"/>
    <w:rsid w:val="6B9C6539"/>
    <w:rsid w:val="6B9F6E02"/>
    <w:rsid w:val="6BA31BB1"/>
    <w:rsid w:val="6BA5131C"/>
    <w:rsid w:val="6BAA7061"/>
    <w:rsid w:val="6BBA1542"/>
    <w:rsid w:val="6BBD6A19"/>
    <w:rsid w:val="6BD565AB"/>
    <w:rsid w:val="6BE52720"/>
    <w:rsid w:val="6BF94813"/>
    <w:rsid w:val="6C3111D6"/>
    <w:rsid w:val="6C312507"/>
    <w:rsid w:val="6C3702A4"/>
    <w:rsid w:val="6C394FC3"/>
    <w:rsid w:val="6C3D0992"/>
    <w:rsid w:val="6C441988"/>
    <w:rsid w:val="6C467A32"/>
    <w:rsid w:val="6C481D33"/>
    <w:rsid w:val="6C492842"/>
    <w:rsid w:val="6C4A6009"/>
    <w:rsid w:val="6C4F21FC"/>
    <w:rsid w:val="6C517AA6"/>
    <w:rsid w:val="6C570557"/>
    <w:rsid w:val="6C735652"/>
    <w:rsid w:val="6C77554D"/>
    <w:rsid w:val="6C7F5660"/>
    <w:rsid w:val="6C801EEA"/>
    <w:rsid w:val="6C851344"/>
    <w:rsid w:val="6C857B97"/>
    <w:rsid w:val="6C891D4F"/>
    <w:rsid w:val="6C8A2C02"/>
    <w:rsid w:val="6C976618"/>
    <w:rsid w:val="6CA21B6A"/>
    <w:rsid w:val="6CAF490C"/>
    <w:rsid w:val="6CBD2908"/>
    <w:rsid w:val="6CC9331B"/>
    <w:rsid w:val="6CD401EC"/>
    <w:rsid w:val="6CE9267E"/>
    <w:rsid w:val="6CED230E"/>
    <w:rsid w:val="6CED2B28"/>
    <w:rsid w:val="6CF03AEE"/>
    <w:rsid w:val="6CF91D8C"/>
    <w:rsid w:val="6CFA6C68"/>
    <w:rsid w:val="6D051620"/>
    <w:rsid w:val="6D0737CE"/>
    <w:rsid w:val="6D075075"/>
    <w:rsid w:val="6D08270F"/>
    <w:rsid w:val="6D0D7C60"/>
    <w:rsid w:val="6D1652A1"/>
    <w:rsid w:val="6D1A0DA5"/>
    <w:rsid w:val="6D25364D"/>
    <w:rsid w:val="6D2A4F0D"/>
    <w:rsid w:val="6D2C31D6"/>
    <w:rsid w:val="6D2D0302"/>
    <w:rsid w:val="6D330529"/>
    <w:rsid w:val="6D34387D"/>
    <w:rsid w:val="6D3C511D"/>
    <w:rsid w:val="6D3F766C"/>
    <w:rsid w:val="6D5652DD"/>
    <w:rsid w:val="6D5768B7"/>
    <w:rsid w:val="6D5A3393"/>
    <w:rsid w:val="6D601A36"/>
    <w:rsid w:val="6D683D05"/>
    <w:rsid w:val="6D6A2C2F"/>
    <w:rsid w:val="6D6B5B7D"/>
    <w:rsid w:val="6D7C77B7"/>
    <w:rsid w:val="6D7E02BC"/>
    <w:rsid w:val="6D897165"/>
    <w:rsid w:val="6D8E4518"/>
    <w:rsid w:val="6D951ED6"/>
    <w:rsid w:val="6D9662DC"/>
    <w:rsid w:val="6D9B1CAE"/>
    <w:rsid w:val="6D9C4737"/>
    <w:rsid w:val="6DA27507"/>
    <w:rsid w:val="6DB207D0"/>
    <w:rsid w:val="6DBC5712"/>
    <w:rsid w:val="6DBE64B8"/>
    <w:rsid w:val="6DCC6136"/>
    <w:rsid w:val="6DD8502D"/>
    <w:rsid w:val="6DDC381E"/>
    <w:rsid w:val="6DDE33AA"/>
    <w:rsid w:val="6DE005A7"/>
    <w:rsid w:val="6DE24784"/>
    <w:rsid w:val="6DE32556"/>
    <w:rsid w:val="6DE42232"/>
    <w:rsid w:val="6DE9770C"/>
    <w:rsid w:val="6E0018F5"/>
    <w:rsid w:val="6E115DE8"/>
    <w:rsid w:val="6E142D35"/>
    <w:rsid w:val="6E151D5A"/>
    <w:rsid w:val="6E171279"/>
    <w:rsid w:val="6E1F4036"/>
    <w:rsid w:val="6E2128BE"/>
    <w:rsid w:val="6E246E46"/>
    <w:rsid w:val="6E297B9D"/>
    <w:rsid w:val="6E2F1C57"/>
    <w:rsid w:val="6E3418C4"/>
    <w:rsid w:val="6E533829"/>
    <w:rsid w:val="6E5D013A"/>
    <w:rsid w:val="6E605C81"/>
    <w:rsid w:val="6E614566"/>
    <w:rsid w:val="6E712C93"/>
    <w:rsid w:val="6E7B658E"/>
    <w:rsid w:val="6E855289"/>
    <w:rsid w:val="6E8E2CF2"/>
    <w:rsid w:val="6E94767F"/>
    <w:rsid w:val="6E991824"/>
    <w:rsid w:val="6E9947B3"/>
    <w:rsid w:val="6E9A5523"/>
    <w:rsid w:val="6E9A775F"/>
    <w:rsid w:val="6E9E3FA6"/>
    <w:rsid w:val="6E9F03D8"/>
    <w:rsid w:val="6EB56801"/>
    <w:rsid w:val="6EBF45C8"/>
    <w:rsid w:val="6EC06586"/>
    <w:rsid w:val="6ED042F3"/>
    <w:rsid w:val="6EDD18B4"/>
    <w:rsid w:val="6EE3488B"/>
    <w:rsid w:val="6EEA2389"/>
    <w:rsid w:val="6EF1606D"/>
    <w:rsid w:val="6EF71452"/>
    <w:rsid w:val="6EF86CF7"/>
    <w:rsid w:val="6EFB1A58"/>
    <w:rsid w:val="6F036E5D"/>
    <w:rsid w:val="6F050BC0"/>
    <w:rsid w:val="6F097FDF"/>
    <w:rsid w:val="6F0D1CD6"/>
    <w:rsid w:val="6F0F4C4D"/>
    <w:rsid w:val="6F1E7E69"/>
    <w:rsid w:val="6F2868C8"/>
    <w:rsid w:val="6F293789"/>
    <w:rsid w:val="6F2B0496"/>
    <w:rsid w:val="6F2C5348"/>
    <w:rsid w:val="6F2F090E"/>
    <w:rsid w:val="6F324291"/>
    <w:rsid w:val="6F5615D5"/>
    <w:rsid w:val="6F5942E0"/>
    <w:rsid w:val="6F5F2937"/>
    <w:rsid w:val="6F647E89"/>
    <w:rsid w:val="6F6B7A4C"/>
    <w:rsid w:val="6F6E46E3"/>
    <w:rsid w:val="6F882B72"/>
    <w:rsid w:val="6F8F4E86"/>
    <w:rsid w:val="6FB63D4C"/>
    <w:rsid w:val="6FB64E3E"/>
    <w:rsid w:val="6FBD0418"/>
    <w:rsid w:val="6FC048BC"/>
    <w:rsid w:val="6FC56779"/>
    <w:rsid w:val="6FC70A73"/>
    <w:rsid w:val="6FCB24DF"/>
    <w:rsid w:val="6FD5651B"/>
    <w:rsid w:val="6FD66065"/>
    <w:rsid w:val="6FD67575"/>
    <w:rsid w:val="6FD7411F"/>
    <w:rsid w:val="6FDD4897"/>
    <w:rsid w:val="6FE17402"/>
    <w:rsid w:val="6FE803A6"/>
    <w:rsid w:val="6FEA1419"/>
    <w:rsid w:val="6FEF0689"/>
    <w:rsid w:val="6FFD46A9"/>
    <w:rsid w:val="70041191"/>
    <w:rsid w:val="70055A2E"/>
    <w:rsid w:val="70094861"/>
    <w:rsid w:val="70116EF3"/>
    <w:rsid w:val="701A5543"/>
    <w:rsid w:val="701D5921"/>
    <w:rsid w:val="70271646"/>
    <w:rsid w:val="702A3801"/>
    <w:rsid w:val="70445721"/>
    <w:rsid w:val="70495453"/>
    <w:rsid w:val="70532079"/>
    <w:rsid w:val="705423B6"/>
    <w:rsid w:val="70651B61"/>
    <w:rsid w:val="706F76FE"/>
    <w:rsid w:val="707137F1"/>
    <w:rsid w:val="70732A2D"/>
    <w:rsid w:val="70766CF4"/>
    <w:rsid w:val="70803921"/>
    <w:rsid w:val="708061C3"/>
    <w:rsid w:val="70816B68"/>
    <w:rsid w:val="70881160"/>
    <w:rsid w:val="708D466D"/>
    <w:rsid w:val="70904285"/>
    <w:rsid w:val="7096018B"/>
    <w:rsid w:val="7098290A"/>
    <w:rsid w:val="70983EB2"/>
    <w:rsid w:val="709D2060"/>
    <w:rsid w:val="70AA0F73"/>
    <w:rsid w:val="70B84826"/>
    <w:rsid w:val="70C25F11"/>
    <w:rsid w:val="70C75C1B"/>
    <w:rsid w:val="70CB4C66"/>
    <w:rsid w:val="70D07E34"/>
    <w:rsid w:val="70D1066A"/>
    <w:rsid w:val="70D14DB1"/>
    <w:rsid w:val="70DE2209"/>
    <w:rsid w:val="70E06E29"/>
    <w:rsid w:val="70EA2DB6"/>
    <w:rsid w:val="70EC5AB1"/>
    <w:rsid w:val="70F0560F"/>
    <w:rsid w:val="70F72A90"/>
    <w:rsid w:val="70F93503"/>
    <w:rsid w:val="71073280"/>
    <w:rsid w:val="71092F0B"/>
    <w:rsid w:val="711C3351"/>
    <w:rsid w:val="711F364D"/>
    <w:rsid w:val="71276BFD"/>
    <w:rsid w:val="712C665B"/>
    <w:rsid w:val="713E37CA"/>
    <w:rsid w:val="71415607"/>
    <w:rsid w:val="71480353"/>
    <w:rsid w:val="71497D42"/>
    <w:rsid w:val="714E0C12"/>
    <w:rsid w:val="71533507"/>
    <w:rsid w:val="716B53BA"/>
    <w:rsid w:val="716C7460"/>
    <w:rsid w:val="71811901"/>
    <w:rsid w:val="71815A56"/>
    <w:rsid w:val="718657BA"/>
    <w:rsid w:val="718A2D0C"/>
    <w:rsid w:val="718C51B4"/>
    <w:rsid w:val="71914168"/>
    <w:rsid w:val="71940B11"/>
    <w:rsid w:val="71A843FB"/>
    <w:rsid w:val="71AD4DCE"/>
    <w:rsid w:val="71B61B68"/>
    <w:rsid w:val="71BC7B23"/>
    <w:rsid w:val="71C254BD"/>
    <w:rsid w:val="71C52870"/>
    <w:rsid w:val="71C652B0"/>
    <w:rsid w:val="71CA25C3"/>
    <w:rsid w:val="71CA2F8E"/>
    <w:rsid w:val="71CB1C7C"/>
    <w:rsid w:val="71D04246"/>
    <w:rsid w:val="71D747B4"/>
    <w:rsid w:val="71D93505"/>
    <w:rsid w:val="71E70440"/>
    <w:rsid w:val="7201728A"/>
    <w:rsid w:val="720965F3"/>
    <w:rsid w:val="720D425E"/>
    <w:rsid w:val="72155B21"/>
    <w:rsid w:val="721D249D"/>
    <w:rsid w:val="72203D1C"/>
    <w:rsid w:val="722B2C07"/>
    <w:rsid w:val="72342D06"/>
    <w:rsid w:val="72362B15"/>
    <w:rsid w:val="72394BFF"/>
    <w:rsid w:val="723A1D4B"/>
    <w:rsid w:val="723B0DCB"/>
    <w:rsid w:val="723C28FC"/>
    <w:rsid w:val="723F0DBE"/>
    <w:rsid w:val="723F67BB"/>
    <w:rsid w:val="7245554A"/>
    <w:rsid w:val="7249173A"/>
    <w:rsid w:val="724C122A"/>
    <w:rsid w:val="725505D3"/>
    <w:rsid w:val="72556D83"/>
    <w:rsid w:val="725839D3"/>
    <w:rsid w:val="72621A7F"/>
    <w:rsid w:val="726D6CAB"/>
    <w:rsid w:val="72700DF5"/>
    <w:rsid w:val="72705CB2"/>
    <w:rsid w:val="72711126"/>
    <w:rsid w:val="72732F9F"/>
    <w:rsid w:val="7273651B"/>
    <w:rsid w:val="727A7C8D"/>
    <w:rsid w:val="727B1F2D"/>
    <w:rsid w:val="727B319C"/>
    <w:rsid w:val="72811CEE"/>
    <w:rsid w:val="72945A53"/>
    <w:rsid w:val="72B047B2"/>
    <w:rsid w:val="72C31B2D"/>
    <w:rsid w:val="72C8493B"/>
    <w:rsid w:val="72CB2CD0"/>
    <w:rsid w:val="72CD144E"/>
    <w:rsid w:val="72D134DE"/>
    <w:rsid w:val="72D57966"/>
    <w:rsid w:val="72DD01BE"/>
    <w:rsid w:val="72DD1BDE"/>
    <w:rsid w:val="72E316E7"/>
    <w:rsid w:val="72E44DF3"/>
    <w:rsid w:val="72F73362"/>
    <w:rsid w:val="72FA752B"/>
    <w:rsid w:val="72FD6392"/>
    <w:rsid w:val="72FF629D"/>
    <w:rsid w:val="72FF6B34"/>
    <w:rsid w:val="731A4C2B"/>
    <w:rsid w:val="73213812"/>
    <w:rsid w:val="732B1540"/>
    <w:rsid w:val="732F34C5"/>
    <w:rsid w:val="733C60FD"/>
    <w:rsid w:val="7348540A"/>
    <w:rsid w:val="73495B32"/>
    <w:rsid w:val="734B54A4"/>
    <w:rsid w:val="73555EBD"/>
    <w:rsid w:val="735A3627"/>
    <w:rsid w:val="7364132F"/>
    <w:rsid w:val="73666F58"/>
    <w:rsid w:val="736953A2"/>
    <w:rsid w:val="737F118B"/>
    <w:rsid w:val="73892637"/>
    <w:rsid w:val="738D49B5"/>
    <w:rsid w:val="738E14FD"/>
    <w:rsid w:val="739A7D73"/>
    <w:rsid w:val="73A617EE"/>
    <w:rsid w:val="73A6581B"/>
    <w:rsid w:val="73AE1BE5"/>
    <w:rsid w:val="73AF37DA"/>
    <w:rsid w:val="73B344B6"/>
    <w:rsid w:val="73BD1EB7"/>
    <w:rsid w:val="73CB1409"/>
    <w:rsid w:val="73CE790A"/>
    <w:rsid w:val="73D23222"/>
    <w:rsid w:val="73E003D1"/>
    <w:rsid w:val="73E23B6D"/>
    <w:rsid w:val="73E74253"/>
    <w:rsid w:val="73FB375D"/>
    <w:rsid w:val="740272D5"/>
    <w:rsid w:val="740B3EAE"/>
    <w:rsid w:val="740C0D95"/>
    <w:rsid w:val="740D0733"/>
    <w:rsid w:val="740E228F"/>
    <w:rsid w:val="740E7F30"/>
    <w:rsid w:val="7416389E"/>
    <w:rsid w:val="741C0D36"/>
    <w:rsid w:val="741C619B"/>
    <w:rsid w:val="74221EBD"/>
    <w:rsid w:val="74295BD7"/>
    <w:rsid w:val="742D6863"/>
    <w:rsid w:val="74347BE6"/>
    <w:rsid w:val="743562A5"/>
    <w:rsid w:val="7437463E"/>
    <w:rsid w:val="744B103D"/>
    <w:rsid w:val="74541440"/>
    <w:rsid w:val="74552352"/>
    <w:rsid w:val="745B0F15"/>
    <w:rsid w:val="74632A5E"/>
    <w:rsid w:val="746E72F3"/>
    <w:rsid w:val="746E7D68"/>
    <w:rsid w:val="7470586B"/>
    <w:rsid w:val="7478139A"/>
    <w:rsid w:val="748162CE"/>
    <w:rsid w:val="748202F8"/>
    <w:rsid w:val="74834279"/>
    <w:rsid w:val="748348ED"/>
    <w:rsid w:val="74877914"/>
    <w:rsid w:val="749642FF"/>
    <w:rsid w:val="749811BB"/>
    <w:rsid w:val="749D23FA"/>
    <w:rsid w:val="74B65081"/>
    <w:rsid w:val="74BC310B"/>
    <w:rsid w:val="74BC781F"/>
    <w:rsid w:val="74BF4B59"/>
    <w:rsid w:val="74C65346"/>
    <w:rsid w:val="74D0590E"/>
    <w:rsid w:val="74D97635"/>
    <w:rsid w:val="74E97B45"/>
    <w:rsid w:val="74EF2AE7"/>
    <w:rsid w:val="74F016BD"/>
    <w:rsid w:val="75066890"/>
    <w:rsid w:val="750E2891"/>
    <w:rsid w:val="750F1CF5"/>
    <w:rsid w:val="752000AC"/>
    <w:rsid w:val="75220300"/>
    <w:rsid w:val="752539F4"/>
    <w:rsid w:val="752C6330"/>
    <w:rsid w:val="75337796"/>
    <w:rsid w:val="75381CB1"/>
    <w:rsid w:val="753C6ECE"/>
    <w:rsid w:val="754108DA"/>
    <w:rsid w:val="754461E9"/>
    <w:rsid w:val="75453D02"/>
    <w:rsid w:val="754629E6"/>
    <w:rsid w:val="754A0877"/>
    <w:rsid w:val="75521659"/>
    <w:rsid w:val="75533FDA"/>
    <w:rsid w:val="755706DF"/>
    <w:rsid w:val="75581C24"/>
    <w:rsid w:val="756248C1"/>
    <w:rsid w:val="756B7033"/>
    <w:rsid w:val="756C0ECD"/>
    <w:rsid w:val="757728D2"/>
    <w:rsid w:val="758E2AA6"/>
    <w:rsid w:val="759115EC"/>
    <w:rsid w:val="75913ABF"/>
    <w:rsid w:val="759F3282"/>
    <w:rsid w:val="75A212FA"/>
    <w:rsid w:val="75A46D13"/>
    <w:rsid w:val="75A7723F"/>
    <w:rsid w:val="75AB1E72"/>
    <w:rsid w:val="75B60ECF"/>
    <w:rsid w:val="75B64F3F"/>
    <w:rsid w:val="75B908EE"/>
    <w:rsid w:val="75C31803"/>
    <w:rsid w:val="75C87B64"/>
    <w:rsid w:val="75CA2C48"/>
    <w:rsid w:val="75D106D7"/>
    <w:rsid w:val="75D31A63"/>
    <w:rsid w:val="75D66DBB"/>
    <w:rsid w:val="75D73501"/>
    <w:rsid w:val="75D831F0"/>
    <w:rsid w:val="75E1615B"/>
    <w:rsid w:val="75F2380A"/>
    <w:rsid w:val="760D5CD0"/>
    <w:rsid w:val="761806BD"/>
    <w:rsid w:val="76227E09"/>
    <w:rsid w:val="76276092"/>
    <w:rsid w:val="76295220"/>
    <w:rsid w:val="762A60A0"/>
    <w:rsid w:val="762A6A1E"/>
    <w:rsid w:val="762D0EFC"/>
    <w:rsid w:val="7634605A"/>
    <w:rsid w:val="76436971"/>
    <w:rsid w:val="76492863"/>
    <w:rsid w:val="764D2D48"/>
    <w:rsid w:val="7652295A"/>
    <w:rsid w:val="765859FE"/>
    <w:rsid w:val="76591F00"/>
    <w:rsid w:val="765B28D5"/>
    <w:rsid w:val="765C6931"/>
    <w:rsid w:val="76641FF3"/>
    <w:rsid w:val="766C76F7"/>
    <w:rsid w:val="766E0306"/>
    <w:rsid w:val="76734F12"/>
    <w:rsid w:val="76760B78"/>
    <w:rsid w:val="767D1A60"/>
    <w:rsid w:val="76834910"/>
    <w:rsid w:val="76854545"/>
    <w:rsid w:val="768F064E"/>
    <w:rsid w:val="769E62A4"/>
    <w:rsid w:val="76A62318"/>
    <w:rsid w:val="76AD22C2"/>
    <w:rsid w:val="76CA2B96"/>
    <w:rsid w:val="76D654E3"/>
    <w:rsid w:val="76E11B21"/>
    <w:rsid w:val="76F4274E"/>
    <w:rsid w:val="76F468C1"/>
    <w:rsid w:val="76F61765"/>
    <w:rsid w:val="77057AC7"/>
    <w:rsid w:val="77091C1D"/>
    <w:rsid w:val="77176176"/>
    <w:rsid w:val="77184DBB"/>
    <w:rsid w:val="77273EF9"/>
    <w:rsid w:val="772810EA"/>
    <w:rsid w:val="772B7C4A"/>
    <w:rsid w:val="77353F3A"/>
    <w:rsid w:val="77355FF8"/>
    <w:rsid w:val="773B3B6C"/>
    <w:rsid w:val="773E690B"/>
    <w:rsid w:val="77400703"/>
    <w:rsid w:val="7756121A"/>
    <w:rsid w:val="7758133C"/>
    <w:rsid w:val="775B68E4"/>
    <w:rsid w:val="77606A50"/>
    <w:rsid w:val="7763584A"/>
    <w:rsid w:val="776963DA"/>
    <w:rsid w:val="777668F5"/>
    <w:rsid w:val="777B48D8"/>
    <w:rsid w:val="777B6635"/>
    <w:rsid w:val="777E21DF"/>
    <w:rsid w:val="777F7BCB"/>
    <w:rsid w:val="77815231"/>
    <w:rsid w:val="7785679F"/>
    <w:rsid w:val="778F7D27"/>
    <w:rsid w:val="77A00DF4"/>
    <w:rsid w:val="77A15356"/>
    <w:rsid w:val="77A87F21"/>
    <w:rsid w:val="77AE2345"/>
    <w:rsid w:val="77AE3264"/>
    <w:rsid w:val="77B935E5"/>
    <w:rsid w:val="77BC6466"/>
    <w:rsid w:val="77D23813"/>
    <w:rsid w:val="77D45F4A"/>
    <w:rsid w:val="77D77B93"/>
    <w:rsid w:val="77DC1C29"/>
    <w:rsid w:val="77EE0CEA"/>
    <w:rsid w:val="77EF091C"/>
    <w:rsid w:val="77F109E8"/>
    <w:rsid w:val="77F56FD2"/>
    <w:rsid w:val="77FE37C0"/>
    <w:rsid w:val="780E2EA0"/>
    <w:rsid w:val="781A6637"/>
    <w:rsid w:val="78213EEA"/>
    <w:rsid w:val="7826607A"/>
    <w:rsid w:val="782A457F"/>
    <w:rsid w:val="78335386"/>
    <w:rsid w:val="783B305E"/>
    <w:rsid w:val="783D7A4E"/>
    <w:rsid w:val="783E55CA"/>
    <w:rsid w:val="784758CF"/>
    <w:rsid w:val="78485FF0"/>
    <w:rsid w:val="784937C3"/>
    <w:rsid w:val="784C3D32"/>
    <w:rsid w:val="784E3B4B"/>
    <w:rsid w:val="7857163D"/>
    <w:rsid w:val="785A41C8"/>
    <w:rsid w:val="785C7C68"/>
    <w:rsid w:val="7861169D"/>
    <w:rsid w:val="786609D2"/>
    <w:rsid w:val="78671B47"/>
    <w:rsid w:val="78693FFC"/>
    <w:rsid w:val="787F34C3"/>
    <w:rsid w:val="78811BD8"/>
    <w:rsid w:val="78862191"/>
    <w:rsid w:val="78864B66"/>
    <w:rsid w:val="788823C6"/>
    <w:rsid w:val="78920B5A"/>
    <w:rsid w:val="78954C16"/>
    <w:rsid w:val="7898512E"/>
    <w:rsid w:val="78990247"/>
    <w:rsid w:val="789B6C35"/>
    <w:rsid w:val="78A75ED7"/>
    <w:rsid w:val="78A771BA"/>
    <w:rsid w:val="78B6638E"/>
    <w:rsid w:val="78C347C2"/>
    <w:rsid w:val="78C410EC"/>
    <w:rsid w:val="78C62E83"/>
    <w:rsid w:val="78CC6C21"/>
    <w:rsid w:val="78CE0448"/>
    <w:rsid w:val="78D05AFB"/>
    <w:rsid w:val="78D5211B"/>
    <w:rsid w:val="78E97A5B"/>
    <w:rsid w:val="78EB019C"/>
    <w:rsid w:val="78EC73CE"/>
    <w:rsid w:val="78EE37FE"/>
    <w:rsid w:val="78FD39FA"/>
    <w:rsid w:val="790B0C35"/>
    <w:rsid w:val="792B1C50"/>
    <w:rsid w:val="792C0101"/>
    <w:rsid w:val="792D0F75"/>
    <w:rsid w:val="79375CA0"/>
    <w:rsid w:val="79435236"/>
    <w:rsid w:val="79443176"/>
    <w:rsid w:val="79447590"/>
    <w:rsid w:val="794608DF"/>
    <w:rsid w:val="794637B7"/>
    <w:rsid w:val="794744F9"/>
    <w:rsid w:val="79501B57"/>
    <w:rsid w:val="79595B42"/>
    <w:rsid w:val="7969495B"/>
    <w:rsid w:val="796C3F60"/>
    <w:rsid w:val="796E0E48"/>
    <w:rsid w:val="796E3111"/>
    <w:rsid w:val="797A140D"/>
    <w:rsid w:val="797B0594"/>
    <w:rsid w:val="797D7D49"/>
    <w:rsid w:val="79846BBF"/>
    <w:rsid w:val="799D3504"/>
    <w:rsid w:val="799F0BFC"/>
    <w:rsid w:val="79A143D1"/>
    <w:rsid w:val="79A872C0"/>
    <w:rsid w:val="79B00387"/>
    <w:rsid w:val="79B13DC0"/>
    <w:rsid w:val="79B17F93"/>
    <w:rsid w:val="79BE5D52"/>
    <w:rsid w:val="79C8563A"/>
    <w:rsid w:val="79CB4676"/>
    <w:rsid w:val="79CC73D5"/>
    <w:rsid w:val="79CD74FE"/>
    <w:rsid w:val="79D033A0"/>
    <w:rsid w:val="79D5076B"/>
    <w:rsid w:val="79D55C9B"/>
    <w:rsid w:val="79D87769"/>
    <w:rsid w:val="79DA078F"/>
    <w:rsid w:val="79DE28E7"/>
    <w:rsid w:val="79E370AE"/>
    <w:rsid w:val="79E65A0C"/>
    <w:rsid w:val="79EB1840"/>
    <w:rsid w:val="79EC0EC1"/>
    <w:rsid w:val="79EF70E4"/>
    <w:rsid w:val="79F24465"/>
    <w:rsid w:val="79F3603F"/>
    <w:rsid w:val="79FB0B3C"/>
    <w:rsid w:val="7A0467B1"/>
    <w:rsid w:val="7A0744D1"/>
    <w:rsid w:val="7A0C60E7"/>
    <w:rsid w:val="7A1258C5"/>
    <w:rsid w:val="7A260A8F"/>
    <w:rsid w:val="7A3C369B"/>
    <w:rsid w:val="7A3F2AE4"/>
    <w:rsid w:val="7A436F7C"/>
    <w:rsid w:val="7A437B15"/>
    <w:rsid w:val="7A467EA8"/>
    <w:rsid w:val="7A4B0019"/>
    <w:rsid w:val="7A5A4E87"/>
    <w:rsid w:val="7A670DC1"/>
    <w:rsid w:val="7A6C57E5"/>
    <w:rsid w:val="7A774DAF"/>
    <w:rsid w:val="7A7F15E3"/>
    <w:rsid w:val="7A83138F"/>
    <w:rsid w:val="7A940F25"/>
    <w:rsid w:val="7A9462B6"/>
    <w:rsid w:val="7A961A4D"/>
    <w:rsid w:val="7AA92120"/>
    <w:rsid w:val="7AB363D7"/>
    <w:rsid w:val="7AB54D14"/>
    <w:rsid w:val="7AB67D8C"/>
    <w:rsid w:val="7AB77180"/>
    <w:rsid w:val="7AC14589"/>
    <w:rsid w:val="7AC83FC8"/>
    <w:rsid w:val="7ACB43A1"/>
    <w:rsid w:val="7ACE310B"/>
    <w:rsid w:val="7ACE6E75"/>
    <w:rsid w:val="7AD41DBD"/>
    <w:rsid w:val="7AE82445"/>
    <w:rsid w:val="7AF0377F"/>
    <w:rsid w:val="7AFD6738"/>
    <w:rsid w:val="7AFE6E3A"/>
    <w:rsid w:val="7AFF72F6"/>
    <w:rsid w:val="7B106685"/>
    <w:rsid w:val="7B195822"/>
    <w:rsid w:val="7B1E559E"/>
    <w:rsid w:val="7B3F1555"/>
    <w:rsid w:val="7B4600E8"/>
    <w:rsid w:val="7B4927AB"/>
    <w:rsid w:val="7B507E0D"/>
    <w:rsid w:val="7B5764AF"/>
    <w:rsid w:val="7B660E1E"/>
    <w:rsid w:val="7B6A39F0"/>
    <w:rsid w:val="7B714987"/>
    <w:rsid w:val="7B744F90"/>
    <w:rsid w:val="7B821168"/>
    <w:rsid w:val="7B8E1F50"/>
    <w:rsid w:val="7B903451"/>
    <w:rsid w:val="7B97514F"/>
    <w:rsid w:val="7B99368A"/>
    <w:rsid w:val="7B9E07F1"/>
    <w:rsid w:val="7BA040F1"/>
    <w:rsid w:val="7BA14A1C"/>
    <w:rsid w:val="7BA47084"/>
    <w:rsid w:val="7BA54215"/>
    <w:rsid w:val="7BAA1F2C"/>
    <w:rsid w:val="7BB7779F"/>
    <w:rsid w:val="7BBE732B"/>
    <w:rsid w:val="7BCB0D94"/>
    <w:rsid w:val="7BD12079"/>
    <w:rsid w:val="7BD44407"/>
    <w:rsid w:val="7BE026AA"/>
    <w:rsid w:val="7BE36225"/>
    <w:rsid w:val="7BE839B7"/>
    <w:rsid w:val="7BEB4059"/>
    <w:rsid w:val="7BED4CCC"/>
    <w:rsid w:val="7BEE1668"/>
    <w:rsid w:val="7BF04785"/>
    <w:rsid w:val="7BF214C1"/>
    <w:rsid w:val="7C1B4269"/>
    <w:rsid w:val="7C1D1AC9"/>
    <w:rsid w:val="7C232DD9"/>
    <w:rsid w:val="7C2A55A2"/>
    <w:rsid w:val="7C314D89"/>
    <w:rsid w:val="7C3364BB"/>
    <w:rsid w:val="7C446A13"/>
    <w:rsid w:val="7C4934A5"/>
    <w:rsid w:val="7C4A0658"/>
    <w:rsid w:val="7C4B536B"/>
    <w:rsid w:val="7C547659"/>
    <w:rsid w:val="7C58030D"/>
    <w:rsid w:val="7C664EC1"/>
    <w:rsid w:val="7C78742B"/>
    <w:rsid w:val="7C80044E"/>
    <w:rsid w:val="7C873497"/>
    <w:rsid w:val="7C8768C5"/>
    <w:rsid w:val="7C8A5C27"/>
    <w:rsid w:val="7C8B5447"/>
    <w:rsid w:val="7C8D2B6B"/>
    <w:rsid w:val="7C932453"/>
    <w:rsid w:val="7C934DE7"/>
    <w:rsid w:val="7C953BE3"/>
    <w:rsid w:val="7C9D54D2"/>
    <w:rsid w:val="7CA2449E"/>
    <w:rsid w:val="7CAD45BC"/>
    <w:rsid w:val="7CB116A9"/>
    <w:rsid w:val="7CB127A0"/>
    <w:rsid w:val="7CB2301F"/>
    <w:rsid w:val="7CBE3A51"/>
    <w:rsid w:val="7CC05BC2"/>
    <w:rsid w:val="7CC87BC1"/>
    <w:rsid w:val="7CD132A4"/>
    <w:rsid w:val="7CD92172"/>
    <w:rsid w:val="7CE0772A"/>
    <w:rsid w:val="7CE25338"/>
    <w:rsid w:val="7CEB1193"/>
    <w:rsid w:val="7CF02985"/>
    <w:rsid w:val="7CF84B94"/>
    <w:rsid w:val="7D030A4F"/>
    <w:rsid w:val="7D056582"/>
    <w:rsid w:val="7D0C5E81"/>
    <w:rsid w:val="7D176B5E"/>
    <w:rsid w:val="7D2C0077"/>
    <w:rsid w:val="7D2C0EC1"/>
    <w:rsid w:val="7D2C20B6"/>
    <w:rsid w:val="7D332EF4"/>
    <w:rsid w:val="7D34140C"/>
    <w:rsid w:val="7D393DF7"/>
    <w:rsid w:val="7D4352DB"/>
    <w:rsid w:val="7D4A45B8"/>
    <w:rsid w:val="7D4B0519"/>
    <w:rsid w:val="7D4F5A86"/>
    <w:rsid w:val="7D5250FF"/>
    <w:rsid w:val="7D5721C5"/>
    <w:rsid w:val="7D5B67C5"/>
    <w:rsid w:val="7D5D262F"/>
    <w:rsid w:val="7D7A4997"/>
    <w:rsid w:val="7D7C34F2"/>
    <w:rsid w:val="7D843283"/>
    <w:rsid w:val="7D8B036D"/>
    <w:rsid w:val="7D8E1A04"/>
    <w:rsid w:val="7D91049C"/>
    <w:rsid w:val="7D925CA6"/>
    <w:rsid w:val="7D9D6767"/>
    <w:rsid w:val="7DA737B9"/>
    <w:rsid w:val="7DA76092"/>
    <w:rsid w:val="7DB62A23"/>
    <w:rsid w:val="7DC40AC5"/>
    <w:rsid w:val="7DC55815"/>
    <w:rsid w:val="7DCA7547"/>
    <w:rsid w:val="7DD10836"/>
    <w:rsid w:val="7DD24A07"/>
    <w:rsid w:val="7DD412D2"/>
    <w:rsid w:val="7DD47685"/>
    <w:rsid w:val="7DD6794C"/>
    <w:rsid w:val="7DDC707F"/>
    <w:rsid w:val="7DE11004"/>
    <w:rsid w:val="7DE2584F"/>
    <w:rsid w:val="7DE37E98"/>
    <w:rsid w:val="7DEB5EEA"/>
    <w:rsid w:val="7DF17F81"/>
    <w:rsid w:val="7DFF788D"/>
    <w:rsid w:val="7E01023E"/>
    <w:rsid w:val="7E0263DA"/>
    <w:rsid w:val="7E061337"/>
    <w:rsid w:val="7E0B0110"/>
    <w:rsid w:val="7E0D5661"/>
    <w:rsid w:val="7E105CE8"/>
    <w:rsid w:val="7E340F89"/>
    <w:rsid w:val="7E4048AC"/>
    <w:rsid w:val="7E48758C"/>
    <w:rsid w:val="7E49178E"/>
    <w:rsid w:val="7E4E42BE"/>
    <w:rsid w:val="7E510BDD"/>
    <w:rsid w:val="7E536C69"/>
    <w:rsid w:val="7E5D449D"/>
    <w:rsid w:val="7E5F3432"/>
    <w:rsid w:val="7E602721"/>
    <w:rsid w:val="7E607448"/>
    <w:rsid w:val="7E623997"/>
    <w:rsid w:val="7E6512BF"/>
    <w:rsid w:val="7E675E9D"/>
    <w:rsid w:val="7E6B0C8A"/>
    <w:rsid w:val="7E7136CC"/>
    <w:rsid w:val="7E740F7D"/>
    <w:rsid w:val="7E744041"/>
    <w:rsid w:val="7E76359A"/>
    <w:rsid w:val="7E763966"/>
    <w:rsid w:val="7E775B93"/>
    <w:rsid w:val="7E8055E4"/>
    <w:rsid w:val="7E815EE3"/>
    <w:rsid w:val="7E837D82"/>
    <w:rsid w:val="7E852C56"/>
    <w:rsid w:val="7E873097"/>
    <w:rsid w:val="7E8A7EF6"/>
    <w:rsid w:val="7EA56B36"/>
    <w:rsid w:val="7EA65DA5"/>
    <w:rsid w:val="7EAD2F22"/>
    <w:rsid w:val="7EAF255B"/>
    <w:rsid w:val="7EAF7397"/>
    <w:rsid w:val="7EB07BF7"/>
    <w:rsid w:val="7EB67F24"/>
    <w:rsid w:val="7EBB57F9"/>
    <w:rsid w:val="7EC07259"/>
    <w:rsid w:val="7EC60FC9"/>
    <w:rsid w:val="7EDA0B2E"/>
    <w:rsid w:val="7EDB7D56"/>
    <w:rsid w:val="7EDD286E"/>
    <w:rsid w:val="7EDD7534"/>
    <w:rsid w:val="7EE36103"/>
    <w:rsid w:val="7EE44903"/>
    <w:rsid w:val="7EEE656E"/>
    <w:rsid w:val="7EFA764E"/>
    <w:rsid w:val="7F011DF8"/>
    <w:rsid w:val="7F124A5E"/>
    <w:rsid w:val="7F1F284B"/>
    <w:rsid w:val="7F257AF9"/>
    <w:rsid w:val="7F3215EA"/>
    <w:rsid w:val="7F334275"/>
    <w:rsid w:val="7F375567"/>
    <w:rsid w:val="7F4120DD"/>
    <w:rsid w:val="7F437511"/>
    <w:rsid w:val="7F4412FD"/>
    <w:rsid w:val="7F4A32B5"/>
    <w:rsid w:val="7F4A651E"/>
    <w:rsid w:val="7F512408"/>
    <w:rsid w:val="7F5417F6"/>
    <w:rsid w:val="7F700B74"/>
    <w:rsid w:val="7F7109D4"/>
    <w:rsid w:val="7F841B51"/>
    <w:rsid w:val="7F8504DC"/>
    <w:rsid w:val="7F8E33B3"/>
    <w:rsid w:val="7F906DA2"/>
    <w:rsid w:val="7F9531C6"/>
    <w:rsid w:val="7F9B62CF"/>
    <w:rsid w:val="7FA0574E"/>
    <w:rsid w:val="7FA2124B"/>
    <w:rsid w:val="7FAA68F3"/>
    <w:rsid w:val="7FAC731C"/>
    <w:rsid w:val="7FBE6720"/>
    <w:rsid w:val="7FC134F1"/>
    <w:rsid w:val="7FCA5619"/>
    <w:rsid w:val="7FCF1612"/>
    <w:rsid w:val="7FD52433"/>
    <w:rsid w:val="7FDB3C42"/>
    <w:rsid w:val="7FDF1520"/>
    <w:rsid w:val="7FDF3365"/>
    <w:rsid w:val="7FE06151"/>
    <w:rsid w:val="7FE2771A"/>
    <w:rsid w:val="7FE81533"/>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qFormat="1" w:unhideWhenUsed="0" w:uiPriority="0"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iPriority="99"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szCs w:val="21"/>
      <w:lang w:val="en-US" w:eastAsia="zh-CN" w:bidi="ar-SA"/>
    </w:rPr>
  </w:style>
  <w:style w:type="paragraph" w:styleId="2">
    <w:name w:val="heading 1"/>
    <w:basedOn w:val="1"/>
    <w:next w:val="1"/>
    <w:link w:val="34"/>
    <w:qFormat/>
    <w:uiPriority w:val="99"/>
    <w:pPr>
      <w:keepNext/>
      <w:keepLines/>
      <w:widowControl w:val="0"/>
      <w:spacing w:before="340" w:after="330" w:line="576" w:lineRule="auto"/>
      <w:outlineLvl w:val="0"/>
    </w:pPr>
    <w:rPr>
      <w:b/>
      <w:bCs/>
      <w:kern w:val="44"/>
      <w:sz w:val="44"/>
      <w:szCs w:val="44"/>
    </w:rPr>
  </w:style>
  <w:style w:type="paragraph" w:styleId="3">
    <w:name w:val="heading 2"/>
    <w:basedOn w:val="1"/>
    <w:next w:val="1"/>
    <w:link w:val="35"/>
    <w:qFormat/>
    <w:uiPriority w:val="99"/>
    <w:pPr>
      <w:keepNext/>
      <w:keepLines/>
      <w:widowControl w:val="0"/>
      <w:spacing w:before="260" w:after="260" w:line="412" w:lineRule="auto"/>
      <w:outlineLvl w:val="1"/>
    </w:pPr>
    <w:rPr>
      <w:rFonts w:ascii="Arial" w:hAnsi="Arial" w:eastAsia="黑体"/>
      <w:b/>
      <w:bCs/>
      <w:sz w:val="32"/>
      <w:szCs w:val="32"/>
    </w:rPr>
  </w:style>
  <w:style w:type="paragraph" w:styleId="4">
    <w:name w:val="heading 3"/>
    <w:basedOn w:val="1"/>
    <w:next w:val="1"/>
    <w:link w:val="36"/>
    <w:qFormat/>
    <w:uiPriority w:val="99"/>
    <w:pPr>
      <w:keepNext/>
      <w:keepLines/>
      <w:widowControl w:val="0"/>
      <w:spacing w:before="380" w:after="380" w:line="412" w:lineRule="auto"/>
      <w:jc w:val="center"/>
      <w:outlineLvl w:val="2"/>
    </w:pPr>
    <w:rPr>
      <w:rFonts w:ascii="Times New Roman" w:hAnsi="Times New Roman" w:eastAsia="宋体"/>
      <w:b/>
      <w:bCs/>
      <w:sz w:val="28"/>
      <w:szCs w:val="32"/>
    </w:rPr>
  </w:style>
  <w:style w:type="character" w:default="1" w:styleId="29">
    <w:name w:val="Default Paragraph Font"/>
    <w:unhideWhenUsed/>
    <w:qFormat/>
    <w:uiPriority w:val="1"/>
  </w:style>
  <w:style w:type="table" w:default="1" w:styleId="27">
    <w:name w:val="Normal Table"/>
    <w:unhideWhenUsed/>
    <w:qFormat/>
    <w:uiPriority w:val="99"/>
    <w:tblPr>
      <w:tblCellMar>
        <w:top w:w="0" w:type="dxa"/>
        <w:left w:w="108" w:type="dxa"/>
        <w:bottom w:w="0" w:type="dxa"/>
        <w:right w:w="108" w:type="dxa"/>
      </w:tblCellMar>
    </w:tblPr>
  </w:style>
  <w:style w:type="paragraph" w:styleId="5">
    <w:name w:val="toc 7"/>
    <w:basedOn w:val="1"/>
    <w:next w:val="1"/>
    <w:unhideWhenUsed/>
    <w:qFormat/>
    <w:uiPriority w:val="39"/>
    <w:pPr>
      <w:ind w:left="1260"/>
    </w:pPr>
    <w:rPr>
      <w:rFonts w:ascii="Calibri" w:hAnsi="Calibri" w:cs="Calibri"/>
      <w:sz w:val="18"/>
      <w:szCs w:val="18"/>
    </w:rPr>
  </w:style>
  <w:style w:type="paragraph" w:styleId="6">
    <w:name w:val="Normal Indent"/>
    <w:basedOn w:val="1"/>
    <w:unhideWhenUsed/>
    <w:qFormat/>
    <w:uiPriority w:val="99"/>
    <w:pPr>
      <w:ind w:firstLine="420" w:firstLineChars="200"/>
    </w:pPr>
  </w:style>
  <w:style w:type="paragraph" w:styleId="7">
    <w:name w:val="Document Map"/>
    <w:basedOn w:val="1"/>
    <w:link w:val="37"/>
    <w:unhideWhenUsed/>
    <w:qFormat/>
    <w:uiPriority w:val="99"/>
    <w:rPr>
      <w:rFonts w:ascii="宋体"/>
      <w:sz w:val="18"/>
      <w:szCs w:val="18"/>
    </w:rPr>
  </w:style>
  <w:style w:type="paragraph" w:styleId="8">
    <w:name w:val="toa heading"/>
    <w:basedOn w:val="1"/>
    <w:next w:val="1"/>
    <w:semiHidden/>
    <w:qFormat/>
    <w:uiPriority w:val="0"/>
    <w:pPr>
      <w:widowControl w:val="0"/>
      <w:spacing w:before="120"/>
      <w:jc w:val="both"/>
    </w:pPr>
    <w:rPr>
      <w:rFonts w:ascii="Arial" w:hAnsi="Arial" w:cs="Arial"/>
      <w:kern w:val="2"/>
      <w:sz w:val="24"/>
      <w:szCs w:val="24"/>
    </w:rPr>
  </w:style>
  <w:style w:type="paragraph" w:styleId="9">
    <w:name w:val="annotation text"/>
    <w:basedOn w:val="1"/>
    <w:unhideWhenUsed/>
    <w:qFormat/>
    <w:uiPriority w:val="99"/>
    <w:pPr>
      <w:jc w:val="left"/>
    </w:pPr>
  </w:style>
  <w:style w:type="paragraph" w:styleId="10">
    <w:name w:val="Body Text 3"/>
    <w:basedOn w:val="1"/>
    <w:link w:val="38"/>
    <w:unhideWhenUsed/>
    <w:qFormat/>
    <w:uiPriority w:val="99"/>
    <w:rPr>
      <w:rFonts w:ascii="宋体"/>
      <w:sz w:val="24"/>
      <w:szCs w:val="24"/>
    </w:rPr>
  </w:style>
  <w:style w:type="paragraph" w:styleId="11">
    <w:name w:val="Body Text"/>
    <w:basedOn w:val="1"/>
    <w:qFormat/>
    <w:uiPriority w:val="0"/>
    <w:pPr>
      <w:spacing w:line="360" w:lineRule="auto"/>
    </w:pPr>
    <w:rPr>
      <w:rFonts w:ascii="Times New Roman" w:hAnsi="Times New Roman"/>
      <w:kern w:val="2"/>
      <w:sz w:val="21"/>
      <w:szCs w:val="24"/>
    </w:rPr>
  </w:style>
  <w:style w:type="paragraph" w:styleId="12">
    <w:name w:val="Body Text Indent"/>
    <w:basedOn w:val="1"/>
    <w:link w:val="39"/>
    <w:unhideWhenUsed/>
    <w:qFormat/>
    <w:uiPriority w:val="99"/>
    <w:pPr>
      <w:spacing w:line="460" w:lineRule="exact"/>
      <w:ind w:firstLine="510"/>
    </w:pPr>
  </w:style>
  <w:style w:type="paragraph" w:styleId="13">
    <w:name w:val="toc 5"/>
    <w:basedOn w:val="1"/>
    <w:next w:val="1"/>
    <w:unhideWhenUsed/>
    <w:qFormat/>
    <w:uiPriority w:val="39"/>
    <w:pPr>
      <w:ind w:left="840"/>
    </w:pPr>
    <w:rPr>
      <w:rFonts w:ascii="Calibri" w:hAnsi="Calibri" w:cs="Calibri"/>
      <w:sz w:val="18"/>
      <w:szCs w:val="18"/>
    </w:rPr>
  </w:style>
  <w:style w:type="paragraph" w:styleId="14">
    <w:name w:val="toc 3"/>
    <w:basedOn w:val="1"/>
    <w:next w:val="1"/>
    <w:unhideWhenUsed/>
    <w:qFormat/>
    <w:uiPriority w:val="39"/>
    <w:pPr>
      <w:ind w:left="420"/>
    </w:pPr>
    <w:rPr>
      <w:rFonts w:ascii="Calibri" w:hAnsi="Calibri" w:cs="Calibri"/>
      <w:i/>
      <w:iCs/>
      <w:sz w:val="20"/>
      <w:szCs w:val="20"/>
    </w:rPr>
  </w:style>
  <w:style w:type="paragraph" w:styleId="15">
    <w:name w:val="Plain Text"/>
    <w:basedOn w:val="1"/>
    <w:qFormat/>
    <w:uiPriority w:val="0"/>
    <w:rPr>
      <w:rFonts w:ascii="宋体" w:hAnsi="Courier New"/>
      <w:szCs w:val="20"/>
    </w:rPr>
  </w:style>
  <w:style w:type="paragraph" w:styleId="16">
    <w:name w:val="toc 8"/>
    <w:basedOn w:val="1"/>
    <w:next w:val="1"/>
    <w:unhideWhenUsed/>
    <w:qFormat/>
    <w:uiPriority w:val="39"/>
    <w:pPr>
      <w:ind w:left="1470"/>
    </w:pPr>
    <w:rPr>
      <w:rFonts w:ascii="Calibri" w:hAnsi="Calibri" w:cs="Calibri"/>
      <w:sz w:val="18"/>
      <w:szCs w:val="18"/>
    </w:rPr>
  </w:style>
  <w:style w:type="paragraph" w:styleId="17">
    <w:name w:val="Balloon Text"/>
    <w:basedOn w:val="1"/>
    <w:link w:val="40"/>
    <w:unhideWhenUsed/>
    <w:qFormat/>
    <w:uiPriority w:val="99"/>
    <w:rPr>
      <w:sz w:val="18"/>
      <w:szCs w:val="18"/>
    </w:rPr>
  </w:style>
  <w:style w:type="paragraph" w:styleId="18">
    <w:name w:val="footer"/>
    <w:basedOn w:val="1"/>
    <w:link w:val="41"/>
    <w:unhideWhenUsed/>
    <w:qFormat/>
    <w:uiPriority w:val="99"/>
    <w:pPr>
      <w:tabs>
        <w:tab w:val="center" w:pos="4153"/>
        <w:tab w:val="right" w:pos="8306"/>
      </w:tabs>
      <w:snapToGrid w:val="0"/>
      <w:jc w:val="left"/>
    </w:pPr>
    <w:rPr>
      <w:sz w:val="18"/>
      <w:szCs w:val="18"/>
    </w:rPr>
  </w:style>
  <w:style w:type="paragraph" w:styleId="19">
    <w:name w:val="header"/>
    <w:basedOn w:val="1"/>
    <w:link w:val="42"/>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unhideWhenUsed/>
    <w:qFormat/>
    <w:uiPriority w:val="39"/>
    <w:pPr>
      <w:spacing w:before="120" w:after="120"/>
    </w:pPr>
    <w:rPr>
      <w:rFonts w:ascii="Calibri" w:hAnsi="Calibri" w:cs="Calibri"/>
      <w:b/>
      <w:bCs/>
      <w:caps/>
      <w:sz w:val="20"/>
      <w:szCs w:val="20"/>
    </w:rPr>
  </w:style>
  <w:style w:type="paragraph" w:styleId="21">
    <w:name w:val="toc 4"/>
    <w:basedOn w:val="1"/>
    <w:next w:val="1"/>
    <w:unhideWhenUsed/>
    <w:qFormat/>
    <w:uiPriority w:val="39"/>
    <w:pPr>
      <w:ind w:left="630"/>
    </w:pPr>
    <w:rPr>
      <w:rFonts w:ascii="Calibri" w:hAnsi="Calibri" w:cs="Calibri"/>
      <w:sz w:val="18"/>
      <w:szCs w:val="18"/>
    </w:rPr>
  </w:style>
  <w:style w:type="paragraph" w:styleId="22">
    <w:name w:val="footnote text"/>
    <w:basedOn w:val="1"/>
    <w:qFormat/>
    <w:uiPriority w:val="0"/>
    <w:pPr>
      <w:adjustRightInd w:val="0"/>
      <w:spacing w:line="312" w:lineRule="atLeast"/>
      <w:jc w:val="left"/>
      <w:textAlignment w:val="baseline"/>
    </w:pPr>
    <w:rPr>
      <w:kern w:val="0"/>
      <w:sz w:val="18"/>
      <w:szCs w:val="20"/>
    </w:rPr>
  </w:style>
  <w:style w:type="paragraph" w:styleId="23">
    <w:name w:val="toc 6"/>
    <w:basedOn w:val="1"/>
    <w:next w:val="1"/>
    <w:unhideWhenUsed/>
    <w:qFormat/>
    <w:uiPriority w:val="39"/>
    <w:pPr>
      <w:ind w:left="1050"/>
    </w:pPr>
    <w:rPr>
      <w:rFonts w:ascii="Calibri" w:hAnsi="Calibri" w:cs="Calibri"/>
      <w:sz w:val="18"/>
      <w:szCs w:val="18"/>
    </w:rPr>
  </w:style>
  <w:style w:type="paragraph" w:styleId="24">
    <w:name w:val="toc 2"/>
    <w:basedOn w:val="1"/>
    <w:next w:val="1"/>
    <w:unhideWhenUsed/>
    <w:qFormat/>
    <w:uiPriority w:val="39"/>
    <w:pPr>
      <w:ind w:left="210"/>
    </w:pPr>
    <w:rPr>
      <w:rFonts w:ascii="Calibri" w:hAnsi="Calibri" w:cs="Calibri"/>
      <w:smallCaps/>
      <w:sz w:val="20"/>
      <w:szCs w:val="20"/>
    </w:rPr>
  </w:style>
  <w:style w:type="paragraph" w:styleId="25">
    <w:name w:val="toc 9"/>
    <w:basedOn w:val="1"/>
    <w:next w:val="1"/>
    <w:unhideWhenUsed/>
    <w:qFormat/>
    <w:uiPriority w:val="39"/>
    <w:pPr>
      <w:ind w:left="1680"/>
    </w:pPr>
    <w:rPr>
      <w:rFonts w:ascii="Calibri" w:hAnsi="Calibri" w:cs="Calibri"/>
      <w:sz w:val="18"/>
      <w:szCs w:val="18"/>
    </w:rPr>
  </w:style>
  <w:style w:type="paragraph" w:styleId="26">
    <w:name w:val="Normal (Web)"/>
    <w:basedOn w:val="1"/>
    <w:unhideWhenUsed/>
    <w:qFormat/>
    <w:uiPriority w:val="99"/>
    <w:pPr>
      <w:spacing w:before="100" w:beforeAutospacing="1" w:after="100" w:afterAutospacing="1"/>
    </w:pPr>
    <w:rPr>
      <w:sz w:val="24"/>
      <w:szCs w:val="24"/>
    </w:rPr>
  </w:style>
  <w:style w:type="table" w:styleId="28">
    <w:name w:val="Table Grid"/>
    <w:basedOn w:val="27"/>
    <w:unhideWhenUsed/>
    <w:qFormat/>
    <w:uiPriority w:val="99"/>
    <w:pPr>
      <w:widowControl w:val="0"/>
      <w:jc w:val="both"/>
    </w:pPr>
    <w:rPr>
      <w:rFonts w:ascii="Calibri" w:hAnsi="Calibri" w:eastAsia="Times New Roman" w:cs="Times New Roman"/>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rPr>
  </w:style>
  <w:style w:type="character" w:styleId="31">
    <w:name w:val="FollowedHyperlink"/>
    <w:basedOn w:val="29"/>
    <w:unhideWhenUsed/>
    <w:qFormat/>
    <w:uiPriority w:val="99"/>
    <w:rPr>
      <w:color w:val="333333"/>
      <w:u w:val="none"/>
    </w:rPr>
  </w:style>
  <w:style w:type="character" w:styleId="32">
    <w:name w:val="Emphasis"/>
    <w:basedOn w:val="29"/>
    <w:qFormat/>
    <w:uiPriority w:val="20"/>
    <w:rPr>
      <w:i/>
    </w:rPr>
  </w:style>
  <w:style w:type="character" w:styleId="33">
    <w:name w:val="Hyperlink"/>
    <w:basedOn w:val="29"/>
    <w:unhideWhenUsed/>
    <w:qFormat/>
    <w:uiPriority w:val="99"/>
    <w:rPr>
      <w:color w:val="333333"/>
      <w:u w:val="none"/>
    </w:rPr>
  </w:style>
  <w:style w:type="character" w:customStyle="1" w:styleId="34">
    <w:name w:val="标题 1 Char"/>
    <w:basedOn w:val="29"/>
    <w:link w:val="2"/>
    <w:qFormat/>
    <w:uiPriority w:val="99"/>
    <w:rPr>
      <w:rFonts w:ascii="Calibri" w:hAnsi="Calibri" w:eastAsia="宋体" w:cs="Times New Roman"/>
      <w:b/>
      <w:bCs/>
      <w:kern w:val="44"/>
      <w:sz w:val="44"/>
      <w:szCs w:val="44"/>
    </w:rPr>
  </w:style>
  <w:style w:type="character" w:customStyle="1" w:styleId="35">
    <w:name w:val="标题 2 Char"/>
    <w:basedOn w:val="29"/>
    <w:link w:val="3"/>
    <w:qFormat/>
    <w:uiPriority w:val="99"/>
    <w:rPr>
      <w:rFonts w:ascii="Arial" w:hAnsi="Arial" w:eastAsia="黑体" w:cs="Times New Roman"/>
      <w:b/>
      <w:bCs/>
      <w:kern w:val="0"/>
      <w:sz w:val="32"/>
      <w:szCs w:val="32"/>
    </w:rPr>
  </w:style>
  <w:style w:type="character" w:customStyle="1" w:styleId="36">
    <w:name w:val="标题 3 Char"/>
    <w:basedOn w:val="29"/>
    <w:link w:val="4"/>
    <w:qFormat/>
    <w:uiPriority w:val="99"/>
    <w:rPr>
      <w:rFonts w:ascii="Times New Roman" w:hAnsi="Times New Roman" w:eastAsia="宋体" w:cs="Times New Roman"/>
      <w:b/>
      <w:bCs/>
      <w:kern w:val="0"/>
      <w:sz w:val="28"/>
      <w:szCs w:val="32"/>
    </w:rPr>
  </w:style>
  <w:style w:type="character" w:customStyle="1" w:styleId="37">
    <w:name w:val="文档结构图 Char"/>
    <w:basedOn w:val="29"/>
    <w:link w:val="7"/>
    <w:semiHidden/>
    <w:qFormat/>
    <w:uiPriority w:val="99"/>
    <w:rPr>
      <w:rFonts w:ascii="宋体"/>
      <w:sz w:val="18"/>
      <w:szCs w:val="18"/>
    </w:rPr>
  </w:style>
  <w:style w:type="character" w:customStyle="1" w:styleId="38">
    <w:name w:val="正文文本 3 Char"/>
    <w:basedOn w:val="29"/>
    <w:link w:val="10"/>
    <w:qFormat/>
    <w:uiPriority w:val="99"/>
    <w:rPr>
      <w:rFonts w:ascii="宋体" w:hAnsi="Calibri" w:eastAsia="宋体" w:cs="Times New Roman"/>
      <w:kern w:val="0"/>
      <w:sz w:val="24"/>
      <w:szCs w:val="24"/>
    </w:rPr>
  </w:style>
  <w:style w:type="character" w:customStyle="1" w:styleId="39">
    <w:name w:val="正文文本缩进 Char"/>
    <w:basedOn w:val="29"/>
    <w:link w:val="12"/>
    <w:qFormat/>
    <w:uiPriority w:val="99"/>
    <w:rPr>
      <w:rFonts w:ascii="Calibri" w:hAnsi="Calibri" w:eastAsia="宋体" w:cs="Times New Roman"/>
      <w:kern w:val="0"/>
      <w:szCs w:val="21"/>
    </w:rPr>
  </w:style>
  <w:style w:type="character" w:customStyle="1" w:styleId="40">
    <w:name w:val="批注框文本 Char"/>
    <w:basedOn w:val="29"/>
    <w:link w:val="17"/>
    <w:semiHidden/>
    <w:qFormat/>
    <w:uiPriority w:val="99"/>
    <w:rPr>
      <w:sz w:val="18"/>
      <w:szCs w:val="18"/>
    </w:rPr>
  </w:style>
  <w:style w:type="character" w:customStyle="1" w:styleId="41">
    <w:name w:val="页脚 Char"/>
    <w:basedOn w:val="29"/>
    <w:link w:val="18"/>
    <w:qFormat/>
    <w:uiPriority w:val="99"/>
    <w:rPr>
      <w:sz w:val="18"/>
      <w:szCs w:val="18"/>
    </w:rPr>
  </w:style>
  <w:style w:type="character" w:customStyle="1" w:styleId="42">
    <w:name w:val="页眉 Char"/>
    <w:basedOn w:val="29"/>
    <w:link w:val="19"/>
    <w:qFormat/>
    <w:uiPriority w:val="99"/>
    <w:rPr>
      <w:sz w:val="18"/>
      <w:szCs w:val="18"/>
    </w:rPr>
  </w:style>
  <w:style w:type="paragraph" w:customStyle="1" w:styleId="43">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44">
    <w:name w:val="15"/>
    <w:basedOn w:val="29"/>
    <w:qFormat/>
    <w:uiPriority w:val="0"/>
    <w:rPr>
      <w:rFonts w:hint="default" w:ascii="Times New Roman" w:hAnsi="Times New Roman" w:cs="Times New Roman"/>
      <w:b/>
      <w:bCs/>
      <w:kern w:val="44"/>
      <w:sz w:val="44"/>
      <w:szCs w:val="44"/>
    </w:rPr>
  </w:style>
  <w:style w:type="character" w:customStyle="1" w:styleId="45">
    <w:name w:val="16"/>
    <w:basedOn w:val="29"/>
    <w:qFormat/>
    <w:uiPriority w:val="0"/>
    <w:rPr>
      <w:rFonts w:hint="default" w:ascii="Times New Roman" w:hAnsi="Times New Roman" w:cs="Times New Roman"/>
      <w:b/>
      <w:bCs/>
      <w:sz w:val="32"/>
      <w:szCs w:val="32"/>
    </w:rPr>
  </w:style>
  <w:style w:type="paragraph" w:customStyle="1" w:styleId="46">
    <w:name w:val="纯文本1"/>
    <w:basedOn w:val="1"/>
    <w:qFormat/>
    <w:uiPriority w:val="0"/>
    <w:rPr>
      <w:rFonts w:ascii="宋体" w:hAnsi="Courier New" w:eastAsia="宋体" w:cs="Times New Roman"/>
      <w:szCs w:val="22"/>
    </w:rPr>
  </w:style>
  <w:style w:type="paragraph" w:customStyle="1" w:styleId="47">
    <w:name w:val="正文缩进1"/>
    <w:basedOn w:val="1"/>
    <w:qFormat/>
    <w:uiPriority w:val="0"/>
    <w:pPr>
      <w:autoSpaceDE w:val="0"/>
      <w:autoSpaceDN w:val="0"/>
      <w:adjustRightInd w:val="0"/>
      <w:ind w:firstLine="420"/>
      <w:jc w:val="left"/>
    </w:pPr>
    <w:rPr>
      <w:rFonts w:ascii="宋体" w:hAnsi="Calibri" w:eastAsia="宋体" w:cs="Times New Roman"/>
      <w:sz w:val="24"/>
      <w:szCs w:val="22"/>
    </w:rPr>
  </w:style>
  <w:style w:type="paragraph" w:customStyle="1" w:styleId="48">
    <w:name w:val="索引 11"/>
    <w:basedOn w:val="1"/>
    <w:next w:val="1"/>
    <w:qFormat/>
    <w:uiPriority w:val="0"/>
    <w:pPr>
      <w:spacing w:line="360" w:lineRule="auto"/>
    </w:pPr>
    <w:rPr>
      <w:rFonts w:ascii="仿宋_GB2312" w:eastAsia="仿宋_GB2312"/>
      <w:sz w:val="24"/>
      <w:szCs w:val="20"/>
    </w:rPr>
  </w:style>
  <w:style w:type="paragraph" w:customStyle="1" w:styleId="49">
    <w:name w:val="样式 样式 首行缩进:  2.57 字符 + 首行缩进:  2.57 字符"/>
    <w:basedOn w:val="1"/>
    <w:qFormat/>
    <w:uiPriority w:val="0"/>
    <w:pPr>
      <w:spacing w:line="360" w:lineRule="auto"/>
      <w:ind w:firstLine="771" w:firstLineChars="257"/>
    </w:pPr>
    <w:rPr>
      <w:rFonts w:eastAsia="仿宋" w:cs="宋体"/>
      <w:sz w:val="30"/>
      <w:szCs w:val="30"/>
    </w:rPr>
  </w:style>
  <w:style w:type="paragraph" w:customStyle="1" w:styleId="50">
    <w:name w:val="_Style 2"/>
    <w:basedOn w:val="1"/>
    <w:qFormat/>
    <w:uiPriority w:val="0"/>
  </w:style>
  <w:style w:type="paragraph" w:customStyle="1" w:styleId="51">
    <w:name w:val="列出段落1"/>
    <w:basedOn w:val="1"/>
    <w:qFormat/>
    <w:uiPriority w:val="0"/>
    <w:pPr>
      <w:ind w:firstLine="420" w:firstLineChars="200"/>
    </w:pPr>
    <w:rPr>
      <w:szCs w:val="21"/>
    </w:rPr>
  </w:style>
  <w:style w:type="paragraph" w:customStyle="1" w:styleId="52">
    <w:name w:val="Table Paragraph"/>
    <w:basedOn w:val="1"/>
    <w:qFormat/>
    <w:uiPriority w:val="0"/>
    <w:rPr>
      <w:rFonts w:ascii="Times New Roman" w:hAnsi="Times New Roman" w:eastAsia="宋体" w:cs="Times New Roman"/>
    </w:rPr>
  </w:style>
  <w:style w:type="paragraph" w:customStyle="1" w:styleId="53">
    <w:name w:val="Table Text"/>
    <w:basedOn w:val="1"/>
    <w:semiHidden/>
    <w:qFormat/>
    <w:uiPriority w:val="0"/>
    <w:rPr>
      <w:rFonts w:ascii="宋体" w:hAnsi="宋体" w:eastAsia="宋体" w:cs="宋体"/>
      <w:sz w:val="27"/>
      <w:szCs w:val="27"/>
      <w:lang w:val="en-US" w:eastAsia="en-US" w:bidi="ar-SA"/>
    </w:rPr>
  </w:style>
  <w:style w:type="paragraph" w:styleId="54">
    <w:name w:val="No Spacing"/>
    <w:qFormat/>
    <w:uiPriority w:val="1"/>
    <w:pPr>
      <w:widowControl w:val="0"/>
      <w:spacing w:after="0" w:line="240" w:lineRule="auto"/>
    </w:pPr>
    <w:rPr>
      <w:rFonts w:asciiTheme="minorHAnsi" w:hAnsiTheme="minorHAnsi" w:eastAsiaTheme="minorEastAsia" w:cstheme="minorBidi"/>
      <w:kern w:val="2"/>
      <w:sz w:val="22"/>
      <w:szCs w:val="24"/>
      <w:lang w:val="en-US" w:eastAsia="zh-CN" w:bidi="ar-SA"/>
      <w14:ligatures w14:val="standardContextual"/>
    </w:rPr>
  </w:style>
  <w:style w:type="paragraph" w:styleId="5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78</Pages>
  <Words>887</Words>
  <Characters>1030</Characters>
  <Lines>350</Lines>
  <Paragraphs>98</Paragraphs>
  <TotalTime>35</TotalTime>
  <ScaleCrop>false</ScaleCrop>
  <LinksUpToDate>false</LinksUpToDate>
  <CharactersWithSpaces>1132</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2017-10-18T03:15:00Z</dcterms:created>
  <dc:creator>jsb</dc:creator>
  <cp:lastModifiedBy>Wei、</cp:lastModifiedBy>
  <cp:lastPrinted>2019-03-27T01:24:00Z</cp:lastPrinted>
  <dcterms:modified xsi:type="dcterms:W3CDTF">2025-06-19T16:53:17Z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251CF8F91FA9403FAB8921E958A69611_13</vt:lpwstr>
  </property>
  <property fmtid="{D5CDD505-2E9C-101B-9397-08002B2CF9AE}" pid="4" name="KSOTemplateDocerSaveRecord">
    <vt:lpwstr>eyJoZGlkIjoiNjdmNGFkY2ViZjFkNjAzOWMyNzI1OTkyNTViOGQ0MzEiLCJ1c2VySWQiOiIyNzY0NjE0NjIifQ==</vt:lpwstr>
  </property>
</Properties>
</file>