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line="240" w:lineRule="auto"/>
        <w:jc w:val="center"/>
        <w:rPr>
          <w:rFonts w:hint="eastAsia" w:ascii="宋体" w:hAnsi="宋体" w:eastAsia="宋体" w:cs="宋体"/>
          <w:b/>
          <w:bCs/>
          <w:color w:val="auto"/>
          <w:kern w:val="2"/>
          <w:sz w:val="36"/>
          <w:szCs w:val="36"/>
          <w:highlight w:val="none"/>
        </w:rPr>
      </w:pPr>
      <w:bookmarkStart w:id="0" w:name="_GoBack"/>
      <w:r>
        <w:rPr>
          <w:rFonts w:hint="eastAsia" w:ascii="宋体" w:hAnsi="宋体" w:eastAsia="宋体" w:cs="宋体"/>
          <w:b/>
          <w:bCs/>
          <w:color w:val="auto"/>
          <w:kern w:val="2"/>
          <w:sz w:val="36"/>
          <w:szCs w:val="36"/>
          <w:highlight w:val="none"/>
        </w:rPr>
        <w:t>项目需求</w:t>
      </w:r>
    </w:p>
    <w:bookmarkEnd w:id="0"/>
    <w:p>
      <w:pPr>
        <w:spacing w:line="360" w:lineRule="auto"/>
        <w:ind w:firstLine="422" w:firstLineChars="200"/>
        <w:rPr>
          <w:rFonts w:hint="eastAsia" w:ascii="宋体" w:hAnsi="宋体" w:eastAsia="宋体" w:cs="宋体"/>
          <w:b/>
          <w:highlight w:val="none"/>
        </w:rPr>
      </w:pPr>
      <w:r>
        <w:rPr>
          <w:rFonts w:hint="eastAsia" w:ascii="宋体" w:hAnsi="宋体" w:eastAsia="宋体" w:cs="宋体"/>
          <w:b/>
          <w:highlight w:val="none"/>
        </w:rPr>
        <w:t>（一）项目基本情况：</w:t>
      </w:r>
    </w:p>
    <w:p>
      <w:pPr>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为</w:t>
      </w:r>
      <w:r>
        <w:rPr>
          <w:rFonts w:hint="eastAsia" w:ascii="宋体" w:hAnsi="宋体" w:eastAsia="宋体" w:cs="宋体"/>
          <w:color w:val="auto"/>
          <w:kern w:val="2"/>
          <w:sz w:val="21"/>
          <w:szCs w:val="21"/>
          <w:highlight w:val="none"/>
          <w:lang w:val="en-US" w:eastAsia="zh-CN" w:bidi="ar-SA"/>
        </w:rPr>
        <w:t>天津海关公务用车</w:t>
      </w:r>
      <w:r>
        <w:rPr>
          <w:rFonts w:hint="eastAsia" w:ascii="宋体" w:hAnsi="宋体" w:cs="宋体"/>
          <w:color w:val="auto"/>
          <w:kern w:val="2"/>
          <w:sz w:val="21"/>
          <w:szCs w:val="21"/>
          <w:highlight w:val="none"/>
          <w:lang w:val="en-US" w:eastAsia="zh-CN" w:bidi="ar-SA"/>
        </w:rPr>
        <w:t>进行保养及</w:t>
      </w:r>
      <w:r>
        <w:rPr>
          <w:rFonts w:hint="eastAsia" w:ascii="宋体" w:hAnsi="宋体" w:eastAsia="宋体" w:cs="宋体"/>
          <w:color w:val="auto"/>
          <w:kern w:val="2"/>
          <w:sz w:val="21"/>
          <w:szCs w:val="21"/>
          <w:highlight w:val="none"/>
          <w:lang w:val="en-US" w:eastAsia="zh-CN" w:bidi="ar-SA"/>
        </w:rPr>
        <w:t>维修服务</w:t>
      </w:r>
      <w:r>
        <w:rPr>
          <w:rFonts w:hint="eastAsia" w:ascii="宋体" w:hAnsi="宋体" w:cs="宋体"/>
          <w:color w:val="auto"/>
          <w:kern w:val="2"/>
          <w:sz w:val="21"/>
          <w:szCs w:val="21"/>
          <w:highlight w:val="none"/>
          <w:lang w:val="en-US" w:eastAsia="zh-CN" w:bidi="ar-SA"/>
        </w:rPr>
        <w:t>（包含免费车辆道路救援服务）</w:t>
      </w:r>
      <w:r>
        <w:rPr>
          <w:rFonts w:hint="eastAsia" w:ascii="宋体" w:hAnsi="宋体" w:eastAsia="宋体" w:cs="宋体"/>
          <w:color w:val="auto"/>
          <w:kern w:val="2"/>
          <w:sz w:val="21"/>
          <w:szCs w:val="21"/>
          <w:highlight w:val="none"/>
          <w:lang w:val="en-US" w:eastAsia="zh-CN" w:bidi="ar-SA"/>
        </w:rPr>
        <w:t>。</w:t>
      </w:r>
    </w:p>
    <w:p>
      <w:pPr>
        <w:spacing w:line="360" w:lineRule="auto"/>
        <w:ind w:firstLine="422" w:firstLineChars="20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
          <w:highlight w:val="none"/>
        </w:rPr>
        <w:t>（二）服务范围</w:t>
      </w:r>
      <w:r>
        <w:rPr>
          <w:rFonts w:hint="eastAsia" w:ascii="宋体" w:hAnsi="宋体" w:eastAsia="宋体" w:cs="宋体"/>
          <w:b/>
          <w:highlight w:val="none"/>
          <w:lang w:eastAsia="zh-CN"/>
        </w:rPr>
        <w:t>：</w:t>
      </w:r>
      <w:r>
        <w:rPr>
          <w:rFonts w:hint="eastAsia" w:ascii="宋体" w:hAnsi="宋体" w:cs="宋体"/>
          <w:color w:val="auto"/>
          <w:kern w:val="2"/>
          <w:sz w:val="21"/>
          <w:szCs w:val="21"/>
          <w:highlight w:val="none"/>
          <w:lang w:val="en-US" w:eastAsia="zh-CN" w:bidi="ar-SA"/>
        </w:rPr>
        <w:t>车辆维修保养。</w:t>
      </w:r>
    </w:p>
    <w:p>
      <w:pPr>
        <w:pStyle w:val="6"/>
        <w:spacing w:line="360" w:lineRule="auto"/>
        <w:ind w:firstLine="422" w:firstLineChars="20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w:t>
      </w:r>
      <w:r>
        <w:rPr>
          <w:rFonts w:hint="eastAsia" w:ascii="宋体" w:hAnsi="宋体" w:eastAsia="宋体" w:cs="宋体"/>
          <w:b/>
          <w:bCs/>
          <w:color w:val="auto"/>
          <w:kern w:val="2"/>
          <w:sz w:val="21"/>
          <w:szCs w:val="21"/>
          <w:highlight w:val="none"/>
          <w:lang w:val="en-US" w:eastAsia="zh-CN"/>
        </w:rPr>
        <w:t>三</w:t>
      </w:r>
      <w:r>
        <w:rPr>
          <w:rFonts w:hint="eastAsia" w:ascii="宋体" w:hAnsi="宋体" w:eastAsia="宋体" w:cs="宋体"/>
          <w:b/>
          <w:bCs/>
          <w:color w:val="auto"/>
          <w:kern w:val="2"/>
          <w:sz w:val="21"/>
          <w:szCs w:val="21"/>
          <w:highlight w:val="none"/>
        </w:rPr>
        <w:t xml:space="preserve">）服务需求： </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认真遵守职业道德和车辆维修行业管理法规和制度，严格遵守各项财经纪律，坚决杜绝送礼品、给回扣、报销费用等一切不正当竞争行为。热情承接维修任务，做到“四优”，即：时间优先、质量优良、服务优秀、价格优惠。</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供应商须承诺所提供的服务、人员及设备符合相关国家强制性规定。《道路运输条例》、《机动车维修管理规定》、《汽车维修业开业条件》（GB／T16739）、《机动车维修业开业条件》（DB12/T688-2016）等国家和天津市机动车维修有关法律法规及标准。签订合同时，中标供应商须完成机动车维修经营备案（业户名称须与中标供应商一致；经营范围至少包括：大中型客车维修和小型车维修）。提供承诺书加盖公章。</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提供7×24小时免费车辆道路救援服务，设立24小时维修服务热线，在接到求援电话后，以最快的时间到达车辆抛锚地点，并予以现场维修或免费拖至站内维修。能够保障24小时抢修服务，全市范围内特别是津塘两地紧急抢修、拖车服务，接到通知后市区内1小时内，滨海环城高速路段1小时内到达现场。提供承诺书加盖公章。</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4、送修车辆应做到随到随修，急用急修，小修不过夜，大修不超过约定期限，不额外收取急修、抢修附加工时费，保证送修单位及时用车。特殊情况下，可提供免费接送车服务。</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为保障采购人大型客车维修服务质量及接送车辆的工作需求，需要供应商配备至少一名固定的具有大客车驾驶能力的司机（A1本），提供司机在有效期内的驾驶证原件扫描件彩色打印并加盖公章及其他证明材料。</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6、免费提供技术咨询服务，定期走访征求意见，不断改进服务质量，以热情、高效、方便、全面的服务满足需要。</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对零配件的采购应严格通过主渠道进行采购，承诺使用原厂配件，质保一年，不允许在市面随意采购不合格的零配件。如发生未获得海关同意，擅自使用不合格配件，致使造成采购方损失的，经核实后取消其维修定点资格，提供承诺书加盖公章。</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★8、应保证维修质量标准，质保期内应给予免费维修，如因维修质量问题出现的责任事故，经有关单位的技术鉴定，确属维修不当或使用伪劣配件造成的，需承担相应的责任，提供承诺书加盖公章。</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9、一车辆的同一故障应一次性修复，不得出现反复维修的现象。对不发生材料费的小修、调试、检测免收工时费。车辆调修、保养的维修时间不得超过24小时。对发动机大修及车辆喷涂等复杂维修不得超过一周。</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10、提供维修车辆免费清洗服务，具有上门检测维护服务的能力。</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11、设立专人管理车辆维修档案，建立车辆信息保密机制，防止信息泄露。档案应设立维修账目，分车辆建立包括维修内容、维修时间、零配件更换、里程数、保养等，并实行计算机管理，准确反映维修费用。</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★12、维修企业需具备车辆维修行业资质，严格按规定开具规范、合法的维修机打票据及机打明细。认真履行天津海关关于维修管理的相关规定。提供资质证书或备案凭证扫描件加盖公章。</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维修上述车型应在磋商文件列明所涉及维修车辆项目的零配件、工时费等价格标准，上述标价中未列明的维修项目，所涉及的机动车零配件、工时费，在保证使用正品新货配件的同时，取费价格应低于4S店同等专业维修价格的80%。</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14、提供企业的财务状况、生产经营厂房建筑面积、停车场面积、备件库面积、机构设置、规章制度、机器设备品牌型号及照片、网点分布情况、技术人员简历、厂房面积的证明材料等资料。</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15、设备情况：维修所需的在用举升机、在用烤漆房、在用检测设备等设备应为在用设备，数量能够满足维修的需要。</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16、专业人员情况：具备专业化团队，包括专业工程技术人员、机修技工人员、服务人员等。</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17、投标单位在评标阶段所提供的相关证明材料及承诺服务标准确保真实有效，一旦中标，发现中标方未能满足采购方服务要求的，将取消其中标资格。</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18、采购方应执行项目执行进度提醒机制，预算额度执行80%时应及时向采购方报告进度，提醒采购方实施进一步研判。</w:t>
      </w:r>
    </w:p>
    <w:p>
      <w:pPr>
        <w:pStyle w:val="6"/>
        <w:spacing w:line="360" w:lineRule="auto"/>
        <w:ind w:firstLine="422" w:firstLineChars="200"/>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（四）报价要求：</w:t>
      </w:r>
    </w:p>
    <w:p>
      <w:pPr>
        <w:pStyle w:val="6"/>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共九款车型，每款车型均按表1、表2填写（详见：附件2《车型报价表》）。</w:t>
      </w:r>
    </w:p>
    <w:p>
      <w:pPr>
        <w:pStyle w:val="6"/>
        <w:spacing w:line="360" w:lineRule="auto"/>
        <w:ind w:firstLine="422" w:firstLineChars="20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rPr>
        <w:t>（五）车型及报价表（附件1、2）</w:t>
      </w:r>
      <w:r>
        <w:rPr>
          <w:rFonts w:hint="eastAsia" w:ascii="宋体" w:hAnsi="宋体" w:eastAsia="宋体" w:cs="宋体"/>
          <w:b/>
          <w:bCs/>
          <w:color w:val="auto"/>
          <w:kern w:val="2"/>
          <w:sz w:val="21"/>
          <w:szCs w:val="21"/>
          <w:highlight w:val="none"/>
          <w:lang w:val="en-US" w:eastAsia="zh-CN" w:bidi="ar-SA"/>
        </w:rPr>
        <w:br w:type="page"/>
      </w:r>
    </w:p>
    <w:p>
      <w:pPr>
        <w:tabs>
          <w:tab w:val="left" w:pos="3780"/>
          <w:tab w:val="left" w:pos="3960"/>
        </w:tabs>
        <w:adjustRightInd w:val="0"/>
        <w:snapToGrid w:val="0"/>
        <w:spacing w:line="360" w:lineRule="auto"/>
        <w:ind w:firstLine="422" w:firstLineChars="200"/>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附件1：《车型一览表》</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7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default" w:ascii="仿宋" w:eastAsia="仿宋"/>
                <w:sz w:val="24"/>
                <w:szCs w:val="24"/>
                <w:highlight w:val="none"/>
                <w:lang w:val="en-US" w:eastAsia="zh-CN"/>
              </w:rPr>
            </w:pPr>
            <w:r>
              <w:rPr>
                <w:rFonts w:hint="eastAsia" w:ascii="仿宋" w:eastAsia="仿宋"/>
                <w:sz w:val="24"/>
                <w:szCs w:val="24"/>
                <w:highlight w:val="none"/>
                <w:lang w:val="en-US" w:eastAsia="zh-CN"/>
              </w:rPr>
              <w:t>序号</w:t>
            </w:r>
          </w:p>
        </w:tc>
        <w:tc>
          <w:tcPr>
            <w:tcW w:w="8081" w:type="dxa"/>
            <w:vAlign w:val="center"/>
          </w:tcPr>
          <w:p>
            <w:pPr>
              <w:tabs>
                <w:tab w:val="left" w:pos="3780"/>
                <w:tab w:val="left" w:pos="3960"/>
              </w:tabs>
              <w:adjustRightInd w:val="0"/>
              <w:snapToGrid w:val="0"/>
              <w:spacing w:line="240" w:lineRule="auto"/>
              <w:jc w:val="center"/>
              <w:rPr>
                <w:rFonts w:hint="default" w:ascii="仿宋" w:eastAsia="仿宋"/>
                <w:sz w:val="24"/>
                <w:szCs w:val="24"/>
                <w:highlight w:val="none"/>
                <w:lang w:val="en-US" w:eastAsia="zh-CN"/>
              </w:rPr>
            </w:pPr>
            <w:r>
              <w:rPr>
                <w:rFonts w:hint="eastAsia" w:ascii="仿宋" w:eastAsia="仿宋"/>
                <w:sz w:val="24"/>
                <w:szCs w:val="24"/>
                <w:highlight w:val="none"/>
                <w:lang w:val="en-US" w:eastAsia="zh-CN"/>
              </w:rPr>
              <w:t>车辆信息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1</w:t>
            </w:r>
          </w:p>
        </w:tc>
        <w:tc>
          <w:tcPr>
            <w:tcW w:w="8081"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海狮13座07款JTFSX23PX86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2</w:t>
            </w:r>
          </w:p>
        </w:tc>
        <w:tc>
          <w:tcPr>
            <w:tcW w:w="8081"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金杯9座09-13款SY6521G2S3BG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3</w:t>
            </w:r>
          </w:p>
        </w:tc>
        <w:tc>
          <w:tcPr>
            <w:tcW w:w="8081"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柯斯达23座09-14款SCT6702XZB53L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4</w:t>
            </w:r>
          </w:p>
        </w:tc>
        <w:tc>
          <w:tcPr>
            <w:tcW w:w="8081"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柯斯达23座09-14款SCT6704TRB53L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5</w:t>
            </w:r>
          </w:p>
        </w:tc>
        <w:tc>
          <w:tcPr>
            <w:tcW w:w="8081"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大马（九龙）14座10-12款HKL6540E4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6</w:t>
            </w:r>
          </w:p>
        </w:tc>
        <w:tc>
          <w:tcPr>
            <w:tcW w:w="8081"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丰田牌 5座12款 TV6468GLX_i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7</w:t>
            </w:r>
          </w:p>
        </w:tc>
        <w:tc>
          <w:tcPr>
            <w:tcW w:w="8081"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别克商务7座13款SGM6520ATA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8</w:t>
            </w:r>
          </w:p>
        </w:tc>
        <w:tc>
          <w:tcPr>
            <w:tcW w:w="8081"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帕萨特5座16款SVW71810HJ</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9</w:t>
            </w:r>
          </w:p>
        </w:tc>
        <w:tc>
          <w:tcPr>
            <w:tcW w:w="8081" w:type="dxa"/>
            <w:vAlign w:val="center"/>
          </w:tcPr>
          <w:p>
            <w:pPr>
              <w:tabs>
                <w:tab w:val="left" w:pos="3780"/>
                <w:tab w:val="left" w:pos="3960"/>
              </w:tabs>
              <w:adjustRightInd w:val="0"/>
              <w:snapToGrid w:val="0"/>
              <w:spacing w:line="240" w:lineRule="auto"/>
              <w:jc w:val="center"/>
              <w:rPr>
                <w:rFonts w:hint="eastAsia" w:ascii="仿宋" w:eastAsia="仿宋"/>
                <w:sz w:val="24"/>
                <w:szCs w:val="24"/>
                <w:highlight w:val="none"/>
                <w:lang w:val="en-US" w:eastAsia="zh-CN"/>
              </w:rPr>
            </w:pPr>
            <w:r>
              <w:rPr>
                <w:rFonts w:hint="eastAsia" w:ascii="仿宋" w:eastAsia="仿宋"/>
                <w:sz w:val="24"/>
                <w:szCs w:val="24"/>
                <w:highlight w:val="none"/>
                <w:lang w:val="en-US" w:eastAsia="zh-CN"/>
              </w:rPr>
              <w:t>凯美瑞5座09款GTM7200GB</w:t>
            </w:r>
          </w:p>
        </w:tc>
      </w:tr>
    </w:tbl>
    <w:p>
      <w:pPr>
        <w:rPr>
          <w:rFonts w:hint="eastAsia" w:ascii="仿宋_GB2312" w:hAnsi="......." w:eastAsia="仿宋_GB2312" w:cs="Times New Roman"/>
          <w:color w:val="auto"/>
          <w:kern w:val="2"/>
          <w:sz w:val="21"/>
          <w:szCs w:val="21"/>
          <w:highlight w:val="none"/>
          <w:lang w:val="en-US" w:eastAsia="zh-CN" w:bidi="ar-SA"/>
        </w:rPr>
      </w:pPr>
      <w:r>
        <w:rPr>
          <w:rFonts w:hint="eastAsia" w:ascii="仿宋_GB2312" w:hAnsi="......." w:eastAsia="仿宋_GB2312" w:cs="Times New Roman"/>
          <w:color w:val="auto"/>
          <w:kern w:val="2"/>
          <w:sz w:val="21"/>
          <w:szCs w:val="21"/>
          <w:highlight w:val="none"/>
          <w:lang w:val="en-US" w:eastAsia="zh-CN" w:bidi="ar-SA"/>
        </w:rPr>
        <w:br w:type="page"/>
      </w:r>
    </w:p>
    <w:p>
      <w:pPr>
        <w:tabs>
          <w:tab w:val="left" w:pos="3780"/>
          <w:tab w:val="left" w:pos="3960"/>
        </w:tabs>
        <w:adjustRightInd w:val="0"/>
        <w:snapToGrid w:val="0"/>
        <w:spacing w:line="360" w:lineRule="auto"/>
        <w:ind w:firstLine="422" w:firstLineChars="200"/>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附件2：《车型报价表》</w:t>
      </w:r>
    </w:p>
    <w:p>
      <w:pPr>
        <w:tabs>
          <w:tab w:val="left" w:pos="3780"/>
          <w:tab w:val="left" w:pos="3960"/>
        </w:tabs>
        <w:adjustRightInd w:val="0"/>
        <w:snapToGrid w:val="0"/>
        <w:spacing w:line="360" w:lineRule="auto"/>
        <w:jc w:val="center"/>
        <w:rPr>
          <w:rFonts w:ascii="仿宋" w:eastAsia="仿宋"/>
          <w:sz w:val="28"/>
          <w:szCs w:val="28"/>
          <w:highlight w:val="none"/>
        </w:rPr>
      </w:pPr>
      <w:r>
        <w:rPr>
          <w:rFonts w:hint="eastAsia" w:ascii="仿宋" w:eastAsia="仿宋"/>
          <w:b/>
          <w:sz w:val="28"/>
          <w:szCs w:val="28"/>
          <w:highlight w:val="none"/>
        </w:rPr>
        <w:t>表1维修项目工时取费报价表</w:t>
      </w:r>
    </w:p>
    <w:p>
      <w:pPr>
        <w:spacing w:before="156" w:beforeLines="50"/>
        <w:ind w:firstLine="240" w:firstLineChars="100"/>
        <w:jc w:val="left"/>
        <w:rPr>
          <w:rFonts w:hint="eastAsia" w:ascii="仿宋" w:eastAsia="仿宋"/>
          <w:sz w:val="24"/>
          <w:highlight w:val="none"/>
          <w:u w:val="single"/>
          <w:lang w:val="en-US" w:eastAsia="zh-CN"/>
        </w:rPr>
      </w:pPr>
      <w:r>
        <w:rPr>
          <w:rFonts w:hint="eastAsia" w:ascii="仿宋" w:eastAsia="仿宋"/>
          <w:sz w:val="24"/>
          <w:highlight w:val="none"/>
        </w:rPr>
        <w:t>车辆规格：</w:t>
      </w:r>
      <w:r>
        <w:rPr>
          <w:rFonts w:hint="eastAsia" w:ascii="仿宋" w:eastAsia="仿宋"/>
          <w:sz w:val="24"/>
          <w:highlight w:val="none"/>
          <w:u w:val="single"/>
          <w:lang w:val="en-US" w:eastAsia="zh-CN"/>
        </w:rPr>
        <w:t xml:space="preserve">                                        </w:t>
      </w:r>
    </w:p>
    <w:p>
      <w:pPr>
        <w:spacing w:before="156" w:beforeLines="50"/>
        <w:ind w:firstLine="240" w:firstLineChars="100"/>
        <w:jc w:val="left"/>
        <w:rPr>
          <w:rFonts w:ascii="仿宋" w:eastAsia="仿宋"/>
          <w:b/>
          <w:sz w:val="28"/>
          <w:szCs w:val="28"/>
          <w:highlight w:val="none"/>
        </w:rPr>
      </w:pPr>
      <w:r>
        <w:rPr>
          <w:rFonts w:ascii="仿宋" w:eastAsia="仿宋"/>
          <w:sz w:val="24"/>
          <w:highlight w:val="none"/>
        </w:rPr>
        <w:t>币种</w:t>
      </w:r>
      <w:r>
        <w:rPr>
          <w:rFonts w:hint="eastAsia" w:ascii="仿宋" w:eastAsia="仿宋"/>
          <w:sz w:val="24"/>
          <w:highlight w:val="none"/>
        </w:rPr>
        <w:t xml:space="preserve">：人民币                        </w:t>
      </w:r>
      <w:r>
        <w:rPr>
          <w:rFonts w:hint="eastAsia" w:ascii="仿宋" w:eastAsia="仿宋"/>
          <w:sz w:val="24"/>
          <w:highlight w:val="none"/>
          <w:lang w:val="en-US" w:eastAsia="zh-CN"/>
        </w:rPr>
        <w:t xml:space="preserve">                       </w:t>
      </w:r>
      <w:r>
        <w:rPr>
          <w:rFonts w:ascii="仿宋" w:eastAsia="仿宋"/>
          <w:sz w:val="24"/>
          <w:highlight w:val="none"/>
        </w:rPr>
        <w:t>货币单位：</w:t>
      </w:r>
      <w:r>
        <w:rPr>
          <w:rFonts w:hint="eastAsia" w:ascii="仿宋" w:eastAsia="仿宋"/>
          <w:sz w:val="24"/>
          <w:highlight w:val="none"/>
        </w:rPr>
        <w:t>元</w:t>
      </w:r>
    </w:p>
    <w:tbl>
      <w:tblPr>
        <w:tblStyle w:val="3"/>
        <w:tblW w:w="85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81"/>
        <w:gridCol w:w="2576"/>
        <w:gridCol w:w="1481"/>
        <w:gridCol w:w="1481"/>
        <w:gridCol w:w="14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spacing w:line="240" w:lineRule="auto"/>
              <w:ind w:firstLine="360" w:firstLineChars="150"/>
              <w:jc w:val="left"/>
              <w:rPr>
                <w:rFonts w:ascii="仿宋" w:eastAsia="仿宋" w:cs="宋体"/>
                <w:color w:val="000000"/>
                <w:kern w:val="0"/>
                <w:sz w:val="24"/>
                <w:highlight w:val="none"/>
              </w:rPr>
            </w:pPr>
            <w:r>
              <w:rPr>
                <w:rFonts w:hint="eastAsia" w:ascii="仿宋" w:eastAsia="仿宋" w:cs="宋体"/>
                <w:color w:val="000000"/>
                <w:kern w:val="0"/>
                <w:sz w:val="24"/>
                <w:highlight w:val="none"/>
              </w:rPr>
              <w:t>序号</w:t>
            </w:r>
          </w:p>
        </w:tc>
        <w:tc>
          <w:tcPr>
            <w:tcW w:w="2576" w:type="dxa"/>
            <w:tcBorders>
              <w:top w:val="single" w:color="auto" w:sz="8" w:space="0"/>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维修保养项目</w:t>
            </w:r>
          </w:p>
        </w:tc>
        <w:tc>
          <w:tcPr>
            <w:tcW w:w="1481" w:type="dxa"/>
            <w:tcBorders>
              <w:top w:val="single" w:color="auto" w:sz="8" w:space="0"/>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定额工时</w:t>
            </w:r>
          </w:p>
        </w:tc>
        <w:tc>
          <w:tcPr>
            <w:tcW w:w="1481" w:type="dxa"/>
            <w:tcBorders>
              <w:top w:val="single" w:color="auto" w:sz="8" w:space="0"/>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工时单价</w:t>
            </w:r>
          </w:p>
        </w:tc>
        <w:tc>
          <w:tcPr>
            <w:tcW w:w="1481" w:type="dxa"/>
            <w:tcBorders>
              <w:top w:val="single" w:color="auto" w:sz="8" w:space="0"/>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工时费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更换机油滤芯</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更换空气滤芯</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3</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更换燃油滤芯</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4</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更换机油</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5</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更换雨刷片（付）</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6</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更换防冻液（台）</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7</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更换喷油嘴（只）</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8</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更换空调滤芯</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9</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更换喇叭（只）</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10</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更换起动机</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11</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更换前制动磨擦片（轮）</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12</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更换后制动磨擦片（轮）</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13</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更换前制动盘（只）</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14</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更换后制动盘（只）</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15</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更换发电机总成</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16</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更换ABS液压控制阀总成</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17</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更换前减震器（只）</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18</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更换后减震器（只）</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19</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更换汽油泵总成</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20</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更换转向助力泵总成</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21</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更换喷水泵</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22</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更换前轮轴承（只）</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23</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更换后轮轴承（只）</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24</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更换散热器</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25</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更换冷凝器</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26</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更换空调压缩机</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27</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更换空调鼓风机总成</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28</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更换空调控制面板</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148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29</w:t>
            </w:r>
          </w:p>
        </w:tc>
        <w:tc>
          <w:tcPr>
            <w:tcW w:w="2576" w:type="dxa"/>
            <w:tcBorders>
              <w:top w:val="nil"/>
              <w:left w:val="nil"/>
              <w:bottom w:val="single" w:color="auto" w:sz="8" w:space="0"/>
              <w:right w:val="single" w:color="auto" w:sz="8" w:space="0"/>
            </w:tcBorders>
            <w:shd w:val="clear" w:color="auto" w:fill="auto"/>
            <w:vAlign w:val="center"/>
          </w:tcPr>
          <w:p>
            <w:pPr>
              <w:widowControl/>
              <w:spacing w:line="240" w:lineRule="auto"/>
              <w:jc w:val="left"/>
              <w:rPr>
                <w:rFonts w:ascii="仿宋" w:eastAsia="仿宋" w:cs="宋体"/>
                <w:color w:val="000000"/>
                <w:kern w:val="0"/>
                <w:sz w:val="24"/>
                <w:highlight w:val="none"/>
              </w:rPr>
            </w:pPr>
            <w:r>
              <w:rPr>
                <w:rFonts w:hint="eastAsia" w:ascii="仿宋" w:eastAsia="仿宋" w:cs="宋体"/>
                <w:color w:val="000000"/>
                <w:kern w:val="0"/>
                <w:sz w:val="24"/>
                <w:highlight w:val="none"/>
              </w:rPr>
              <w:t>更换发电机传动带</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481"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jc w:val="center"/>
        </w:trPr>
        <w:tc>
          <w:tcPr>
            <w:tcW w:w="8498" w:type="dxa"/>
            <w:gridSpan w:val="5"/>
            <w:tcBorders>
              <w:top w:val="single" w:color="auto" w:sz="8" w:space="0"/>
              <w:left w:val="single" w:color="auto" w:sz="8" w:space="0"/>
              <w:bottom w:val="single" w:color="auto" w:sz="8" w:space="0"/>
              <w:right w:val="single" w:color="000000"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合计：</w:t>
            </w:r>
          </w:p>
        </w:tc>
      </w:tr>
    </w:tbl>
    <w:p>
      <w:pPr>
        <w:keepNext w:val="0"/>
        <w:keepLines w:val="0"/>
        <w:pageBreakBefore w:val="0"/>
        <w:widowControl w:val="0"/>
        <w:tabs>
          <w:tab w:val="left" w:pos="3780"/>
          <w:tab w:val="left" w:pos="3960"/>
        </w:tabs>
        <w:kinsoku/>
        <w:wordWrap/>
        <w:overflowPunct/>
        <w:topLinePunct w:val="0"/>
        <w:autoSpaceDE/>
        <w:autoSpaceDN/>
        <w:bidi w:val="0"/>
        <w:adjustRightInd w:val="0"/>
        <w:snapToGrid w:val="0"/>
        <w:spacing w:before="157" w:beforeLines="50" w:line="360" w:lineRule="auto"/>
        <w:ind w:firstLine="420" w:firstLineChars="200"/>
        <w:jc w:val="left"/>
        <w:textAlignment w:val="auto"/>
        <w:rPr>
          <w:rFonts w:ascii="仿宋" w:eastAsia="仿宋"/>
          <w:sz w:val="28"/>
          <w:szCs w:val="28"/>
          <w:highlight w:val="none"/>
        </w:rPr>
      </w:pPr>
      <w:r>
        <w:rPr>
          <w:rFonts w:hint="eastAsia" w:ascii="仿宋" w:eastAsia="仿宋"/>
          <w:highlight w:val="none"/>
        </w:rPr>
        <w:t>注：</w:t>
      </w:r>
      <w:r>
        <w:rPr>
          <w:rFonts w:hint="eastAsia" w:ascii="仿宋" w:eastAsia="仿宋"/>
          <w:szCs w:val="21"/>
          <w:highlight w:val="none"/>
        </w:rPr>
        <w:t>分别将各款车型按维修项目工时取费报价表所列内容报价,</w:t>
      </w:r>
      <w:r>
        <w:rPr>
          <w:rFonts w:hint="eastAsia" w:ascii="仿宋" w:eastAsia="仿宋"/>
          <w:highlight w:val="none"/>
        </w:rPr>
        <w:t>每款车型填一个表格。</w:t>
      </w:r>
    </w:p>
    <w:p>
      <w:pPr>
        <w:tabs>
          <w:tab w:val="left" w:pos="3780"/>
          <w:tab w:val="left" w:pos="3960"/>
        </w:tabs>
        <w:spacing w:line="460" w:lineRule="exact"/>
        <w:jc w:val="center"/>
        <w:rPr>
          <w:rFonts w:ascii="仿宋" w:eastAsia="仿宋"/>
          <w:b/>
          <w:sz w:val="28"/>
          <w:szCs w:val="28"/>
          <w:highlight w:val="none"/>
        </w:rPr>
      </w:pPr>
      <w:r>
        <w:rPr>
          <w:rFonts w:hint="eastAsia" w:ascii="仿宋" w:eastAsia="仿宋"/>
          <w:b/>
          <w:sz w:val="28"/>
          <w:szCs w:val="28"/>
          <w:highlight w:val="none"/>
        </w:rPr>
        <w:t>表2维修项目配件取费报价表</w:t>
      </w:r>
    </w:p>
    <w:p>
      <w:pPr>
        <w:spacing w:before="156" w:beforeLines="50"/>
        <w:ind w:firstLine="240" w:firstLineChars="100"/>
        <w:jc w:val="left"/>
        <w:rPr>
          <w:rFonts w:hint="default" w:ascii="仿宋" w:eastAsia="仿宋"/>
          <w:sz w:val="24"/>
          <w:highlight w:val="none"/>
          <w:u w:val="single"/>
          <w:lang w:val="en-US" w:eastAsia="zh-CN"/>
        </w:rPr>
      </w:pPr>
      <w:r>
        <w:rPr>
          <w:rFonts w:hint="eastAsia" w:ascii="仿宋" w:eastAsia="仿宋"/>
          <w:sz w:val="24"/>
          <w:highlight w:val="none"/>
        </w:rPr>
        <w:t>车辆规格：</w:t>
      </w:r>
      <w:r>
        <w:rPr>
          <w:rFonts w:hint="eastAsia" w:ascii="仿宋" w:eastAsia="仿宋"/>
          <w:sz w:val="24"/>
          <w:highlight w:val="none"/>
          <w:u w:val="single"/>
          <w:lang w:val="en-US" w:eastAsia="zh-CN"/>
        </w:rPr>
        <w:t xml:space="preserve">                                       </w:t>
      </w:r>
    </w:p>
    <w:p>
      <w:pPr>
        <w:spacing w:before="156" w:beforeLines="50"/>
        <w:ind w:firstLine="240" w:firstLineChars="100"/>
        <w:jc w:val="left"/>
        <w:rPr>
          <w:rFonts w:ascii="仿宋" w:eastAsia="仿宋"/>
          <w:b/>
          <w:sz w:val="28"/>
          <w:szCs w:val="28"/>
          <w:highlight w:val="none"/>
        </w:rPr>
      </w:pPr>
      <w:r>
        <w:rPr>
          <w:rFonts w:ascii="仿宋" w:eastAsia="仿宋"/>
          <w:sz w:val="24"/>
          <w:highlight w:val="none"/>
        </w:rPr>
        <w:t>币种</w:t>
      </w:r>
      <w:r>
        <w:rPr>
          <w:rFonts w:hint="eastAsia" w:ascii="仿宋" w:eastAsia="仿宋"/>
          <w:sz w:val="24"/>
          <w:highlight w:val="none"/>
        </w:rPr>
        <w:t xml:space="preserve">：人民币                         </w:t>
      </w:r>
      <w:r>
        <w:rPr>
          <w:rFonts w:hint="eastAsia" w:ascii="仿宋" w:eastAsia="仿宋"/>
          <w:sz w:val="24"/>
          <w:highlight w:val="none"/>
          <w:lang w:val="en-US" w:eastAsia="zh-CN"/>
        </w:rPr>
        <w:t xml:space="preserve">                       </w:t>
      </w:r>
      <w:r>
        <w:rPr>
          <w:rFonts w:ascii="仿宋" w:eastAsia="仿宋"/>
          <w:sz w:val="24"/>
          <w:highlight w:val="none"/>
        </w:rPr>
        <w:t>货币单位：</w:t>
      </w:r>
      <w:r>
        <w:rPr>
          <w:rFonts w:hint="eastAsia" w:ascii="仿宋" w:eastAsia="仿宋"/>
          <w:sz w:val="24"/>
          <w:highlight w:val="none"/>
        </w:rPr>
        <w:t>元</w:t>
      </w:r>
    </w:p>
    <w:tbl>
      <w:tblPr>
        <w:tblStyle w:val="3"/>
        <w:tblW w:w="85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71"/>
        <w:gridCol w:w="1947"/>
        <w:gridCol w:w="1366"/>
        <w:gridCol w:w="1366"/>
        <w:gridCol w:w="1366"/>
        <w:gridCol w:w="13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序号</w:t>
            </w:r>
          </w:p>
        </w:tc>
        <w:tc>
          <w:tcPr>
            <w:tcW w:w="1947" w:type="dxa"/>
            <w:tcBorders>
              <w:top w:val="single" w:color="auto" w:sz="8" w:space="0"/>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零配件名称</w:t>
            </w:r>
          </w:p>
        </w:tc>
        <w:tc>
          <w:tcPr>
            <w:tcW w:w="1366" w:type="dxa"/>
            <w:tcBorders>
              <w:top w:val="single" w:color="auto" w:sz="8" w:space="0"/>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生产厂家</w:t>
            </w:r>
          </w:p>
        </w:tc>
        <w:tc>
          <w:tcPr>
            <w:tcW w:w="1366" w:type="dxa"/>
            <w:tcBorders>
              <w:top w:val="single" w:color="auto" w:sz="8" w:space="0"/>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型号</w:t>
            </w:r>
          </w:p>
        </w:tc>
        <w:tc>
          <w:tcPr>
            <w:tcW w:w="1366" w:type="dxa"/>
            <w:tcBorders>
              <w:top w:val="single" w:color="auto" w:sz="8" w:space="0"/>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单价</w:t>
            </w:r>
          </w:p>
        </w:tc>
        <w:tc>
          <w:tcPr>
            <w:tcW w:w="1366" w:type="dxa"/>
            <w:tcBorders>
              <w:top w:val="single" w:color="auto" w:sz="8" w:space="0"/>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需说明的情况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机滤</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空滤</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3</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汽滤</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4</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机油（品牌）</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5</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雨刷片</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6</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防冻液</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7</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喷油嘴</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8</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空调滤芯</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9</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喇叭</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10</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起动机</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11</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前刹车片</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12</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后刹车片</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13</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前刹车盘</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14</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后刹车盘</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15</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发电机</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16</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ABS泵</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17</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前减震器</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18</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后减震器</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19</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汽油泵</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20</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转向助力泵</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21</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喷水泵</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22</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前轮轴承</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23</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后轮轴承</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24</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散热器</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25</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冷凝器</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26</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压缩机</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27</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鼓风机</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28</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空调控制面板</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1171" w:type="dxa"/>
            <w:tcBorders>
              <w:top w:val="nil"/>
              <w:left w:val="single" w:color="auto" w:sz="8" w:space="0"/>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29</w:t>
            </w:r>
          </w:p>
        </w:tc>
        <w:tc>
          <w:tcPr>
            <w:tcW w:w="1947" w:type="dxa"/>
            <w:tcBorders>
              <w:top w:val="nil"/>
              <w:left w:val="nil"/>
              <w:bottom w:val="single" w:color="auto" w:sz="8" w:space="0"/>
              <w:right w:val="single" w:color="auto" w:sz="8" w:space="0"/>
            </w:tcBorders>
            <w:shd w:val="clear" w:color="auto" w:fill="auto"/>
            <w:vAlign w:val="center"/>
          </w:tcPr>
          <w:p>
            <w:pPr>
              <w:widowControl/>
              <w:spacing w:line="240" w:lineRule="auto"/>
              <w:jc w:val="center"/>
              <w:rPr>
                <w:rFonts w:ascii="仿宋" w:eastAsia="仿宋" w:cs="宋体"/>
                <w:color w:val="000000"/>
                <w:kern w:val="0"/>
                <w:sz w:val="24"/>
                <w:highlight w:val="none"/>
              </w:rPr>
            </w:pPr>
            <w:r>
              <w:rPr>
                <w:rFonts w:hint="eastAsia" w:ascii="仿宋" w:eastAsia="仿宋" w:cs="宋体"/>
                <w:color w:val="000000"/>
                <w:kern w:val="0"/>
                <w:sz w:val="24"/>
                <w:highlight w:val="none"/>
              </w:rPr>
              <w:t>发电机皮带</w:t>
            </w:r>
          </w:p>
        </w:tc>
        <w:tc>
          <w:tcPr>
            <w:tcW w:w="1366" w:type="dxa"/>
            <w:tcBorders>
              <w:top w:val="nil"/>
              <w:left w:val="nil"/>
              <w:bottom w:val="single" w:color="auto" w:sz="8" w:space="0"/>
              <w:right w:val="single" w:color="auto"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c>
          <w:tcPr>
            <w:tcW w:w="1366" w:type="dxa"/>
            <w:tcBorders>
              <w:top w:val="nil"/>
              <w:left w:val="nil"/>
              <w:bottom w:val="single" w:color="auto" w:sz="8" w:space="0"/>
              <w:right w:val="single" w:color="auto" w:sz="8" w:space="0"/>
            </w:tcBorders>
            <w:shd w:val="clear" w:color="auto" w:fill="auto"/>
            <w:vAlign w:val="center"/>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8582" w:type="dxa"/>
            <w:gridSpan w:val="6"/>
            <w:tcBorders>
              <w:top w:val="single" w:color="auto" w:sz="8" w:space="0"/>
              <w:left w:val="single" w:color="auto" w:sz="8" w:space="0"/>
              <w:bottom w:val="single" w:color="auto" w:sz="8" w:space="0"/>
              <w:right w:val="single" w:color="000000" w:sz="8" w:space="0"/>
            </w:tcBorders>
            <w:shd w:val="clear" w:color="auto" w:fill="auto"/>
          </w:tcPr>
          <w:p>
            <w:pPr>
              <w:widowControl/>
              <w:spacing w:line="240" w:lineRule="auto"/>
              <w:rPr>
                <w:rFonts w:ascii="仿宋" w:eastAsia="仿宋" w:cs="宋体"/>
                <w:color w:val="000000"/>
                <w:kern w:val="0"/>
                <w:sz w:val="24"/>
                <w:highlight w:val="none"/>
              </w:rPr>
            </w:pPr>
            <w:r>
              <w:rPr>
                <w:rFonts w:hint="eastAsia" w:ascii="仿宋" w:eastAsia="仿宋" w:cs="宋体"/>
                <w:color w:val="000000"/>
                <w:kern w:val="0"/>
                <w:sz w:val="24"/>
                <w:highlight w:val="none"/>
              </w:rPr>
              <w:t>合计：</w:t>
            </w:r>
          </w:p>
        </w:tc>
      </w:tr>
    </w:tbl>
    <w:p>
      <w:pPr>
        <w:keepNext w:val="0"/>
        <w:keepLines w:val="0"/>
        <w:pageBreakBefore w:val="0"/>
        <w:widowControl w:val="0"/>
        <w:tabs>
          <w:tab w:val="left" w:pos="3780"/>
          <w:tab w:val="left" w:pos="3960"/>
        </w:tabs>
        <w:kinsoku/>
        <w:wordWrap/>
        <w:overflowPunct/>
        <w:topLinePunct w:val="0"/>
        <w:autoSpaceDE/>
        <w:autoSpaceDN/>
        <w:bidi w:val="0"/>
        <w:adjustRightInd w:val="0"/>
        <w:snapToGrid w:val="0"/>
        <w:spacing w:before="157" w:beforeLines="50" w:line="360" w:lineRule="auto"/>
        <w:ind w:firstLine="420" w:firstLineChars="200"/>
        <w:jc w:val="left"/>
        <w:textAlignment w:val="auto"/>
        <w:rPr>
          <w:rFonts w:hint="eastAsia" w:ascii="仿宋" w:eastAsia="仿宋"/>
          <w:highlight w:val="none"/>
          <w:lang w:val="en-US" w:eastAsia="zh-CN"/>
        </w:rPr>
      </w:pPr>
      <w:r>
        <w:rPr>
          <w:rFonts w:hint="eastAsia" w:ascii="仿宋" w:eastAsia="仿宋"/>
          <w:highlight w:val="none"/>
        </w:rPr>
        <w:t>注：分别将各款车型按维修项目配件取费报价表所列内容报价,每款车型填一个表格。</w:t>
      </w:r>
    </w:p>
    <w:p>
      <w:pPr>
        <w:numPr>
          <w:ilvl w:val="0"/>
          <w:numId w:val="1"/>
        </w:numPr>
        <w:ind w:firstLine="422" w:firstLineChars="20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本项目全部采购标的对应《中小企业划型标准规定》所属行业为“本项目属于其他未列明行业”</w:t>
      </w:r>
    </w:p>
    <w:p>
      <w:r>
        <w:rPr>
          <w:rFonts w:hint="eastAsia" w:ascii="宋体" w:hAnsi="宋体" w:eastAsia="宋体" w:cs="宋体"/>
          <w:b/>
          <w:bCs/>
          <w:color w:val="auto"/>
          <w:kern w:val="2"/>
          <w:sz w:val="21"/>
          <w:szCs w:val="21"/>
          <w:highlight w:val="none"/>
          <w:lang w:val="en-US" w:eastAsia="zh-CN" w:bidi="ar-SA"/>
        </w:rPr>
        <w:t>注：★为实质性要求，不满足按无效响应处理。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8836FD"/>
    <w:multiLevelType w:val="singleLevel"/>
    <w:tmpl w:val="708836F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5MDQ1NTU1MWYwNzgxZDRjZGVkYTZhNzAyZDhmMzEifQ=="/>
  </w:docVars>
  <w:rsids>
    <w:rsidRoot w:val="00000000"/>
    <w:rsid w:val="468A35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
    <w:name w:val="Default"/>
    <w:autoRedefine/>
    <w:qFormat/>
    <w:uiPriority w:val="0"/>
    <w:pPr>
      <w:widowControl w:val="0"/>
      <w:autoSpaceDE w:val="0"/>
      <w:autoSpaceDN w:val="0"/>
      <w:adjustRightInd w:val="0"/>
    </w:pPr>
    <w:rPr>
      <w:rFonts w:ascii="......." w:hAnsi="......." w:eastAsia="......."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2024-04-16T09:06:33Z</dcterms:created>
  <dc:creator>Administrator</dc:creator>
  <cp:lastModifiedBy>-      </cp:lastModifiedBy>
  <dcterms:modified xsi:type="dcterms:W3CDTF">2024-04-16T09:07:35Z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115129AF9F384AAAB6CB1844FD5E3F10_12</vt:lpwstr>
  </property>
</Properties>
</file>