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before="96" w:beforeLines="40" w:after="96" w:afterLines="40" w:line="400" w:lineRule="exact"/>
        <w:ind w:firstLine="420" w:firstLineChars="200"/>
        <w:jc w:val="left"/>
        <w:rPr>
          <w:rFonts w:hint="eastAsia" w:ascii="宋体" w:hAnsi="宋体"/>
          <w:szCs w:val="21"/>
        </w:rPr>
      </w:pPr>
      <w:r>
        <w:rPr>
          <w:rFonts w:hint="eastAsia" w:ascii="宋体" w:hAnsi="宋体"/>
          <w:szCs w:val="21"/>
        </w:rPr>
        <w:t>前注：</w:t>
      </w:r>
    </w:p>
    <w:p>
      <w:pPr>
        <w:adjustRightInd w:val="0"/>
        <w:snapToGrid w:val="0"/>
        <w:spacing w:before="96" w:beforeLines="40" w:after="96" w:afterLines="40" w:line="400" w:lineRule="exact"/>
        <w:ind w:firstLine="420" w:firstLineChars="200"/>
        <w:jc w:val="left"/>
        <w:rPr>
          <w:rFonts w:hint="eastAsia" w:ascii="宋体" w:hAnsi="宋体"/>
          <w:szCs w:val="21"/>
        </w:rPr>
      </w:pPr>
      <w:r>
        <w:rPr>
          <w:rFonts w:hint="eastAsia" w:ascii="宋体" w:hAnsi="宋体"/>
          <w:szCs w:val="21"/>
        </w:rPr>
        <w:t>1、本采购需求中提出的技术方案仅为参考，如无明确限制，投标供应商可以进行优化，提供满足采购人实际需要的更优（或者性能实质上不低于的）技术方案或者设备配置，且此方案或配置须经评标委员会评审认可；</w:t>
      </w:r>
      <w:r>
        <w:rPr>
          <w:rFonts w:hint="eastAsia" w:ascii="宋体" w:hAnsi="宋体"/>
          <w:szCs w:val="21"/>
        </w:rPr>
        <w:cr/>
      </w:r>
      <w:r>
        <w:rPr>
          <w:rFonts w:hint="eastAsia" w:ascii="宋体" w:hAnsi="宋体"/>
          <w:szCs w:val="21"/>
        </w:rPr>
        <w:t>2、为鼓励不同品牌的充分竞争，如某设备的某技术参数或要求属于个别品牌专有，则该技术参数及要求不具有限制性，投标供应商可对该参数或要求进行适当调整，并应当说明调整的理由，且此调整须经评标委员会评审认可；</w:t>
      </w:r>
    </w:p>
    <w:p>
      <w:pPr>
        <w:spacing w:before="96" w:beforeLines="40" w:after="96" w:afterLines="40" w:line="400" w:lineRule="exact"/>
        <w:ind w:firstLine="420" w:firstLineChars="200"/>
        <w:jc w:val="left"/>
        <w:rPr>
          <w:rFonts w:hint="eastAsia" w:ascii="宋体" w:hAnsi="宋体"/>
          <w:b/>
          <w:szCs w:val="21"/>
          <w:u w:val="single"/>
        </w:rPr>
      </w:pPr>
      <w:r>
        <w:rPr>
          <w:rFonts w:hint="eastAsia" w:ascii="宋体" w:hAnsi="宋体"/>
          <w:szCs w:val="21"/>
        </w:rPr>
        <w:t>3、为有助于投标供应商选择投标产品，若项目需求中提供了推荐品牌（或型号）、参考品牌（或型号）等，这些品牌（或型号）仅供参考，并无限制性。投标供应商可以选择性能相当于或者高于推荐（或参考）的品牌（或型号）的其他品牌产品，但投标时应当提供有关技术证明资料，未提供的可能导致投标无效；</w:t>
      </w:r>
    </w:p>
    <w:p>
      <w:pPr>
        <w:adjustRightInd w:val="0"/>
        <w:snapToGrid w:val="0"/>
        <w:spacing w:before="96" w:beforeLines="40" w:after="96" w:afterLines="40" w:line="400" w:lineRule="exact"/>
        <w:ind w:firstLine="420" w:firstLineChars="200"/>
        <w:jc w:val="left"/>
        <w:rPr>
          <w:rFonts w:hint="eastAsia" w:ascii="宋体" w:hAnsi="宋体"/>
          <w:szCs w:val="21"/>
        </w:rPr>
      </w:pPr>
      <w:r>
        <w:rPr>
          <w:rFonts w:hint="eastAsia" w:ascii="宋体" w:hAnsi="宋体"/>
          <w:szCs w:val="21"/>
        </w:rPr>
        <w:t>4、投标供应商应当在投标文件中列出完成本项目并通过验收所需的所有各项服务等明细表及全部费用。中标供应商必须确保整体通过采购人及有关主管部门验收,所发生的验收费用由中标供应商承担；投标供应商应自行踏勘项目现场，如投标供应商因未及时踏勘现场而导致的报价缺项漏项废标、或中标后无法完工，投标供应商自行承担一切后果；</w:t>
      </w:r>
    </w:p>
    <w:p>
      <w:pPr>
        <w:adjustRightInd w:val="0"/>
        <w:snapToGrid w:val="0"/>
        <w:spacing w:before="96" w:beforeLines="40" w:after="96" w:afterLines="40" w:line="400" w:lineRule="exact"/>
        <w:ind w:firstLine="420" w:firstLineChars="200"/>
        <w:jc w:val="left"/>
        <w:rPr>
          <w:rFonts w:hint="eastAsia" w:ascii="宋体" w:hAnsi="宋体"/>
          <w:szCs w:val="21"/>
        </w:rPr>
      </w:pPr>
      <w:r>
        <w:rPr>
          <w:rFonts w:hint="eastAsia" w:ascii="宋体" w:hAnsi="宋体"/>
          <w:szCs w:val="21"/>
        </w:rPr>
        <w:t>5、</w:t>
      </w:r>
      <w:r>
        <w:rPr>
          <w:rFonts w:ascii="宋体" w:hAnsi="宋体"/>
          <w:szCs w:val="21"/>
        </w:rPr>
        <w:t>根据《关于规范政府采购进口产品有关工作的通知》及政府采购管理部门的相关规定，</w:t>
      </w:r>
      <w:r>
        <w:rPr>
          <w:rFonts w:hint="eastAsia" w:ascii="宋体" w:hAnsi="宋体"/>
          <w:szCs w:val="21"/>
        </w:rPr>
        <w:t>下列采购需求中如涉及进口产品则</w:t>
      </w:r>
      <w:r>
        <w:rPr>
          <w:rFonts w:ascii="宋体" w:hAnsi="宋体"/>
          <w:szCs w:val="21"/>
        </w:rPr>
        <w:t>已履行相关论证手续，经核准采购进口设备</w:t>
      </w:r>
      <w:r>
        <w:rPr>
          <w:rFonts w:hint="eastAsia" w:ascii="宋体" w:hAnsi="宋体"/>
          <w:szCs w:val="21"/>
        </w:rPr>
        <w:t>，但不限制满足招标文件要求的国内产品参与竞争；</w:t>
      </w:r>
    </w:p>
    <w:p>
      <w:pPr>
        <w:adjustRightInd w:val="0"/>
        <w:snapToGrid w:val="0"/>
        <w:spacing w:before="96" w:beforeLines="40" w:after="96" w:afterLines="40" w:line="400" w:lineRule="exact"/>
        <w:ind w:firstLine="420" w:firstLineChars="200"/>
        <w:jc w:val="left"/>
        <w:rPr>
          <w:rFonts w:hint="eastAsia" w:ascii="宋体" w:hAnsi="宋体"/>
          <w:szCs w:val="21"/>
        </w:rPr>
      </w:pPr>
      <w:r>
        <w:rPr>
          <w:rFonts w:hint="eastAsia" w:ascii="宋体" w:hAnsi="宋体"/>
          <w:szCs w:val="21"/>
        </w:rPr>
        <w:t>6、在采购活动开始前没有获准采购进口产品而开展采购活动的，视同为拒绝采购进口产品；</w:t>
      </w:r>
    </w:p>
    <w:p>
      <w:pPr>
        <w:adjustRightInd w:val="0"/>
        <w:snapToGrid w:val="0"/>
        <w:spacing w:before="96" w:beforeLines="40" w:after="96" w:afterLines="40" w:line="400" w:lineRule="exact"/>
        <w:ind w:firstLine="420" w:firstLineChars="200"/>
        <w:jc w:val="left"/>
        <w:rPr>
          <w:rFonts w:hint="eastAsia" w:ascii="宋体" w:hAnsi="宋体"/>
          <w:szCs w:val="21"/>
        </w:rPr>
      </w:pPr>
      <w:r>
        <w:rPr>
          <w:rFonts w:hint="eastAsia" w:ascii="宋体" w:hAnsi="宋体"/>
          <w:szCs w:val="21"/>
        </w:rPr>
        <w:t>7、下列采购需求中：如属于最新一期《节能产品政府采购清单》中政府强制采购的节能产品，则投标供应商所投产品须为最新一期《节能产品政府采购清单》内所列产品；</w:t>
      </w:r>
    </w:p>
    <w:p>
      <w:pPr>
        <w:spacing w:before="96" w:beforeLines="40" w:after="96" w:afterLines="40" w:line="400" w:lineRule="exact"/>
        <w:ind w:firstLine="420" w:firstLineChars="200"/>
        <w:jc w:val="left"/>
        <w:rPr>
          <w:rFonts w:hint="eastAsia" w:ascii="宋体" w:hAnsi="宋体"/>
          <w:szCs w:val="21"/>
        </w:rPr>
      </w:pPr>
      <w:r>
        <w:rPr>
          <w:rFonts w:hint="eastAsia" w:ascii="宋体" w:hAnsi="宋体"/>
          <w:szCs w:val="21"/>
        </w:rPr>
        <w:t>8、下列采购需求中：标注▲的产品，投标供应商在投</w:t>
      </w:r>
      <w:r>
        <w:rPr>
          <w:rFonts w:ascii="宋体" w:hAnsi="宋体"/>
          <w:szCs w:val="21"/>
        </w:rPr>
        <w:t>标</w:t>
      </w:r>
      <w:r>
        <w:rPr>
          <w:rFonts w:hint="eastAsia" w:ascii="宋体" w:hAnsi="宋体"/>
          <w:szCs w:val="21"/>
        </w:rPr>
        <w:t>文件</w:t>
      </w:r>
      <w:r>
        <w:rPr>
          <w:rFonts w:hint="eastAsia" w:ascii="宋体" w:hAnsi="宋体"/>
          <w:b/>
          <w:szCs w:val="21"/>
        </w:rPr>
        <w:t>《主要成交标的承诺函》</w:t>
      </w:r>
      <w:r>
        <w:rPr>
          <w:rFonts w:hint="eastAsia" w:ascii="宋体" w:hAnsi="宋体"/>
          <w:szCs w:val="21"/>
        </w:rPr>
        <w:t>中填写名称、规格、型号、数量、单价等信息，承诺函随评审结果一并公告；</w:t>
      </w:r>
    </w:p>
    <w:p>
      <w:pPr>
        <w:spacing w:before="96" w:beforeLines="40" w:after="96" w:afterLines="40" w:line="400" w:lineRule="exact"/>
        <w:ind w:firstLine="420" w:firstLineChars="200"/>
        <w:jc w:val="left"/>
        <w:rPr>
          <w:rFonts w:hint="eastAsia" w:ascii="宋体" w:hAnsi="宋体"/>
          <w:szCs w:val="21"/>
        </w:rPr>
      </w:pPr>
      <w:r>
        <w:rPr>
          <w:rFonts w:hint="eastAsia" w:ascii="宋体" w:hAnsi="宋体"/>
          <w:szCs w:val="21"/>
        </w:rPr>
        <w:t>9、单一产品采购项目中，提供同一品牌产品的不同供应商参加同一包项下投标的，以一家供应商计算有效供应商数量。非单一产品采购项目中，提供标注▲的产品（即：核心产品）均为同一品牌的不同供应商参加同一包项下投标的，以一家供应商计算有效供应商数量；</w:t>
      </w:r>
    </w:p>
    <w:p>
      <w:pPr>
        <w:adjustRightInd w:val="0"/>
        <w:snapToGrid w:val="0"/>
        <w:spacing w:before="96" w:beforeLines="40" w:after="96" w:afterLines="40" w:line="400" w:lineRule="exact"/>
        <w:ind w:firstLine="420" w:firstLineChars="200"/>
        <w:jc w:val="left"/>
        <w:rPr>
          <w:rFonts w:hint="eastAsia" w:ascii="宋体" w:hAnsi="宋体"/>
          <w:szCs w:val="21"/>
        </w:rPr>
      </w:pPr>
      <w:r>
        <w:rPr>
          <w:rFonts w:hint="eastAsia" w:ascii="宋体" w:hAnsi="宋体"/>
          <w:szCs w:val="21"/>
        </w:rPr>
        <w:t>10、如对本招标文件有任何疑问或澄清要求，请按本招标文件“投标供应商须知前附表”中约定方式联系代理机构，或接受答疑截止时间前联系采购人，否则视同理解和接受，开标后代理机构不再受理对招标文件条款提出的质疑。</w:t>
      </w:r>
    </w:p>
    <w:p>
      <w:pPr>
        <w:jc w:val="left"/>
        <w:outlineLvl w:val="1"/>
        <w:rPr>
          <w:rFonts w:hint="eastAsia" w:ascii="黑体" w:hAnsi="黑体" w:eastAsia="黑体"/>
          <w:sz w:val="28"/>
        </w:rPr>
      </w:pPr>
      <w:bookmarkStart w:id="0" w:name="_Toc21770"/>
      <w:bookmarkStart w:id="1" w:name="_Toc13639"/>
      <w:bookmarkStart w:id="2" w:name="_Toc24954"/>
      <w:r>
        <w:rPr>
          <w:rFonts w:hint="eastAsia" w:ascii="黑体" w:hAnsi="黑体" w:eastAsia="黑体"/>
          <w:sz w:val="28"/>
        </w:rPr>
        <w:t>一、采购需求前附表</w:t>
      </w:r>
      <w:bookmarkEnd w:id="0"/>
      <w:bookmarkEnd w:id="1"/>
      <w:bookmarkEnd w:id="2"/>
    </w:p>
    <w:tbl>
      <w:tblPr>
        <w:tblStyle w:val="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40"/>
        <w:gridCol w:w="2100"/>
        <w:gridCol w:w="598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40" w:type="dxa"/>
            <w:noWrap w:val="0"/>
            <w:vAlign w:val="top"/>
          </w:tcPr>
          <w:p>
            <w:pPr>
              <w:spacing w:before="96" w:beforeLines="40" w:after="96" w:afterLines="40" w:line="400" w:lineRule="exact"/>
              <w:jc w:val="center"/>
              <w:rPr>
                <w:rFonts w:hint="eastAsia" w:ascii="宋体" w:hAnsi="宋体"/>
                <w:b/>
                <w:szCs w:val="21"/>
              </w:rPr>
            </w:pPr>
            <w:r>
              <w:rPr>
                <w:rFonts w:hint="eastAsia" w:ascii="宋体" w:hAnsi="宋体"/>
                <w:b/>
                <w:szCs w:val="21"/>
              </w:rPr>
              <w:t>序号</w:t>
            </w:r>
          </w:p>
        </w:tc>
        <w:tc>
          <w:tcPr>
            <w:tcW w:w="2100" w:type="dxa"/>
            <w:noWrap w:val="0"/>
            <w:vAlign w:val="top"/>
          </w:tcPr>
          <w:p>
            <w:pPr>
              <w:spacing w:before="96" w:beforeLines="40" w:after="96" w:afterLines="40" w:line="400" w:lineRule="exact"/>
              <w:jc w:val="center"/>
              <w:rPr>
                <w:rFonts w:hint="eastAsia"/>
                <w:b/>
                <w:szCs w:val="21"/>
              </w:rPr>
            </w:pPr>
            <w:r>
              <w:rPr>
                <w:rFonts w:hint="eastAsia" w:ascii="宋体" w:hAnsi="宋体"/>
                <w:b/>
                <w:szCs w:val="21"/>
              </w:rPr>
              <w:t>条款名称</w:t>
            </w:r>
          </w:p>
        </w:tc>
        <w:tc>
          <w:tcPr>
            <w:tcW w:w="5985" w:type="dxa"/>
            <w:noWrap w:val="0"/>
            <w:vAlign w:val="top"/>
          </w:tcPr>
          <w:p>
            <w:pPr>
              <w:spacing w:before="96" w:beforeLines="40" w:after="96" w:afterLines="40" w:line="400" w:lineRule="exact"/>
              <w:jc w:val="center"/>
              <w:rPr>
                <w:rFonts w:hint="eastAsia"/>
                <w:b/>
                <w:szCs w:val="21"/>
              </w:rPr>
            </w:pPr>
            <w:r>
              <w:rPr>
                <w:rFonts w:hint="eastAsia"/>
                <w:b/>
                <w:szCs w:val="21"/>
              </w:rPr>
              <w:t>内容、说明与要求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9" w:hRule="atLeast"/>
          <w:jc w:val="center"/>
        </w:trPr>
        <w:tc>
          <w:tcPr>
            <w:tcW w:w="840" w:type="dxa"/>
            <w:noWrap w:val="0"/>
            <w:vAlign w:val="top"/>
          </w:tcPr>
          <w:p>
            <w:pPr>
              <w:spacing w:before="96" w:beforeLines="40" w:after="96" w:afterLines="40" w:line="400" w:lineRule="exact"/>
              <w:jc w:val="center"/>
              <w:rPr>
                <w:rFonts w:hint="eastAsia" w:ascii="宋体" w:hAnsi="宋体"/>
                <w:szCs w:val="21"/>
              </w:rPr>
            </w:pPr>
            <w:r>
              <w:rPr>
                <w:rFonts w:hint="eastAsia" w:ascii="宋体" w:hAnsi="宋体"/>
                <w:szCs w:val="21"/>
              </w:rPr>
              <w:t>1</w:t>
            </w:r>
          </w:p>
        </w:tc>
        <w:tc>
          <w:tcPr>
            <w:tcW w:w="2100" w:type="dxa"/>
            <w:noWrap w:val="0"/>
            <w:vAlign w:val="center"/>
          </w:tcPr>
          <w:p>
            <w:pPr>
              <w:spacing w:before="96" w:beforeLines="40" w:after="96" w:afterLines="40" w:line="400" w:lineRule="exact"/>
              <w:jc w:val="center"/>
              <w:rPr>
                <w:rFonts w:hint="eastAsia"/>
                <w:szCs w:val="21"/>
              </w:rPr>
            </w:pPr>
            <w:r>
              <w:rPr>
                <w:rFonts w:hint="eastAsia"/>
                <w:szCs w:val="21"/>
              </w:rPr>
              <w:t>付款方式</w:t>
            </w:r>
          </w:p>
        </w:tc>
        <w:tc>
          <w:tcPr>
            <w:tcW w:w="5985" w:type="dxa"/>
            <w:noWrap w:val="0"/>
            <w:vAlign w:val="top"/>
          </w:tcPr>
          <w:p>
            <w:pPr>
              <w:spacing w:before="96" w:beforeLines="40" w:after="96" w:afterLines="40" w:line="400" w:lineRule="exact"/>
              <w:rPr>
                <w:szCs w:val="21"/>
              </w:rPr>
            </w:pPr>
            <w:r>
              <w:rPr>
                <w:rFonts w:hint="eastAsia"/>
                <w:szCs w:val="21"/>
              </w:rPr>
              <w:t xml:space="preserve">详见投标供应商须知前附表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40" w:type="dxa"/>
            <w:noWrap w:val="0"/>
            <w:vAlign w:val="top"/>
          </w:tcPr>
          <w:p>
            <w:pPr>
              <w:spacing w:before="96" w:beforeLines="40" w:after="96" w:afterLines="40" w:line="400" w:lineRule="exact"/>
              <w:jc w:val="center"/>
              <w:rPr>
                <w:rFonts w:hint="eastAsia" w:ascii="宋体" w:hAnsi="宋体"/>
                <w:szCs w:val="21"/>
              </w:rPr>
            </w:pPr>
            <w:r>
              <w:rPr>
                <w:rFonts w:hint="eastAsia" w:ascii="宋体" w:hAnsi="宋体"/>
                <w:szCs w:val="21"/>
              </w:rPr>
              <w:t>2</w:t>
            </w:r>
          </w:p>
        </w:tc>
        <w:tc>
          <w:tcPr>
            <w:tcW w:w="2100" w:type="dxa"/>
            <w:noWrap w:val="0"/>
            <w:vAlign w:val="center"/>
          </w:tcPr>
          <w:p>
            <w:pPr>
              <w:spacing w:before="96" w:beforeLines="40" w:after="96" w:afterLines="40" w:line="400" w:lineRule="exact"/>
              <w:jc w:val="center"/>
              <w:rPr>
                <w:rFonts w:hint="eastAsia"/>
                <w:szCs w:val="21"/>
              </w:rPr>
            </w:pPr>
            <w:r>
              <w:rPr>
                <w:rFonts w:hint="eastAsia"/>
                <w:szCs w:val="21"/>
              </w:rPr>
              <w:t>交货期</w:t>
            </w:r>
          </w:p>
        </w:tc>
        <w:tc>
          <w:tcPr>
            <w:tcW w:w="5985" w:type="dxa"/>
            <w:noWrap w:val="0"/>
            <w:vAlign w:val="top"/>
          </w:tcPr>
          <w:p>
            <w:pPr>
              <w:spacing w:before="96" w:beforeLines="40" w:after="96" w:afterLines="40" w:line="400" w:lineRule="exact"/>
              <w:rPr>
                <w:rFonts w:hint="eastAsia"/>
                <w:szCs w:val="21"/>
              </w:rPr>
            </w:pPr>
            <w:r>
              <w:rPr>
                <w:rFonts w:hint="eastAsia"/>
                <w:szCs w:val="21"/>
              </w:rPr>
              <w:t xml:space="preserve">详见投标供应商须知前附表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jc w:val="center"/>
        </w:trPr>
        <w:tc>
          <w:tcPr>
            <w:tcW w:w="840" w:type="dxa"/>
            <w:noWrap w:val="0"/>
            <w:vAlign w:val="top"/>
          </w:tcPr>
          <w:p>
            <w:pPr>
              <w:spacing w:before="96" w:beforeLines="40" w:after="96" w:afterLines="40" w:line="400" w:lineRule="exact"/>
              <w:jc w:val="center"/>
              <w:rPr>
                <w:rFonts w:hint="eastAsia" w:ascii="宋体" w:hAnsi="宋体"/>
                <w:szCs w:val="21"/>
              </w:rPr>
            </w:pPr>
            <w:r>
              <w:rPr>
                <w:rFonts w:hint="eastAsia" w:ascii="宋体" w:hAnsi="宋体"/>
                <w:szCs w:val="21"/>
              </w:rPr>
              <w:t>3</w:t>
            </w:r>
          </w:p>
        </w:tc>
        <w:tc>
          <w:tcPr>
            <w:tcW w:w="2100" w:type="dxa"/>
            <w:noWrap w:val="0"/>
            <w:vAlign w:val="center"/>
          </w:tcPr>
          <w:p>
            <w:pPr>
              <w:spacing w:before="96" w:beforeLines="40" w:after="96" w:afterLines="40" w:line="400" w:lineRule="exact"/>
              <w:jc w:val="center"/>
              <w:rPr>
                <w:rFonts w:hint="eastAsia"/>
                <w:szCs w:val="21"/>
              </w:rPr>
            </w:pPr>
            <w:r>
              <w:rPr>
                <w:rFonts w:hint="eastAsia"/>
                <w:szCs w:val="21"/>
              </w:rPr>
              <w:t>质保期</w:t>
            </w:r>
          </w:p>
        </w:tc>
        <w:tc>
          <w:tcPr>
            <w:tcW w:w="5985" w:type="dxa"/>
            <w:noWrap w:val="0"/>
            <w:vAlign w:val="top"/>
          </w:tcPr>
          <w:p>
            <w:pPr>
              <w:spacing w:before="96" w:beforeLines="40" w:after="96" w:afterLines="40" w:line="400" w:lineRule="exact"/>
              <w:rPr>
                <w:rFonts w:hint="eastAsia"/>
                <w:szCs w:val="21"/>
              </w:rPr>
            </w:pPr>
            <w:r>
              <w:rPr>
                <w:rFonts w:hint="eastAsia"/>
                <w:szCs w:val="21"/>
              </w:rPr>
              <w:t xml:space="preserve">详见投标供应商须知前附表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40" w:type="dxa"/>
            <w:noWrap w:val="0"/>
            <w:vAlign w:val="top"/>
          </w:tcPr>
          <w:p>
            <w:pPr>
              <w:spacing w:before="96" w:beforeLines="40" w:after="96" w:afterLines="40" w:line="400" w:lineRule="exact"/>
              <w:jc w:val="center"/>
              <w:rPr>
                <w:rFonts w:hint="eastAsia" w:ascii="宋体" w:hAnsi="宋体"/>
                <w:szCs w:val="21"/>
              </w:rPr>
            </w:pPr>
            <w:r>
              <w:rPr>
                <w:rFonts w:hint="eastAsia" w:ascii="宋体" w:hAnsi="宋体"/>
                <w:szCs w:val="21"/>
              </w:rPr>
              <w:t>4</w:t>
            </w:r>
          </w:p>
        </w:tc>
        <w:tc>
          <w:tcPr>
            <w:tcW w:w="2100" w:type="dxa"/>
            <w:noWrap w:val="0"/>
            <w:vAlign w:val="center"/>
          </w:tcPr>
          <w:p>
            <w:pPr>
              <w:spacing w:before="96" w:beforeLines="40" w:after="96" w:afterLines="40" w:line="400" w:lineRule="exact"/>
              <w:jc w:val="center"/>
              <w:rPr>
                <w:rFonts w:hint="eastAsia"/>
                <w:szCs w:val="21"/>
              </w:rPr>
            </w:pPr>
            <w:r>
              <w:rPr>
                <w:rFonts w:hint="eastAsia"/>
                <w:szCs w:val="21"/>
              </w:rPr>
              <w:t>本项目采购标的所属行业</w:t>
            </w:r>
          </w:p>
        </w:tc>
        <w:tc>
          <w:tcPr>
            <w:tcW w:w="5985" w:type="dxa"/>
            <w:noWrap w:val="0"/>
            <w:vAlign w:val="top"/>
          </w:tcPr>
          <w:p>
            <w:pPr>
              <w:spacing w:before="96" w:beforeLines="40" w:after="96" w:afterLines="40" w:line="400" w:lineRule="exact"/>
              <w:rPr>
                <w:rFonts w:hint="eastAsia"/>
                <w:szCs w:val="21"/>
              </w:rPr>
            </w:pPr>
            <w:r>
              <w:rPr>
                <w:rFonts w:hint="eastAsia"/>
                <w:szCs w:val="21"/>
              </w:rPr>
              <w:t>化学原料和化学制品制造业</w:t>
            </w:r>
          </w:p>
        </w:tc>
      </w:tr>
    </w:tbl>
    <w:p>
      <w:pPr>
        <w:jc w:val="left"/>
        <w:rPr>
          <w:rFonts w:hint="eastAsia" w:ascii="黑体" w:hAnsi="黑体" w:eastAsia="黑体"/>
          <w:sz w:val="28"/>
        </w:rPr>
      </w:pPr>
    </w:p>
    <w:p>
      <w:pPr>
        <w:jc w:val="left"/>
        <w:outlineLvl w:val="1"/>
        <w:rPr>
          <w:rFonts w:ascii="黑体" w:hAnsi="黑体" w:eastAsia="黑体"/>
          <w:sz w:val="28"/>
        </w:rPr>
      </w:pPr>
      <w:bookmarkStart w:id="3" w:name="_Toc9345"/>
      <w:bookmarkStart w:id="4" w:name="_Toc20494"/>
      <w:bookmarkStart w:id="5" w:name="_Toc4134"/>
      <w:r>
        <w:rPr>
          <w:rFonts w:hint="eastAsia" w:ascii="黑体" w:hAnsi="黑体" w:eastAsia="黑体"/>
          <w:sz w:val="28"/>
        </w:rPr>
        <w:t>二</w:t>
      </w:r>
      <w:r>
        <w:rPr>
          <w:rFonts w:ascii="黑体" w:hAnsi="黑体" w:eastAsia="黑体"/>
          <w:sz w:val="28"/>
        </w:rPr>
        <w:t>、</w:t>
      </w:r>
      <w:r>
        <w:rPr>
          <w:rFonts w:hint="eastAsia" w:ascii="黑体" w:hAnsi="黑体" w:eastAsia="黑体"/>
          <w:sz w:val="28"/>
        </w:rPr>
        <w:t>货物需求</w:t>
      </w:r>
      <w:bookmarkEnd w:id="3"/>
      <w:bookmarkEnd w:id="4"/>
      <w:bookmarkEnd w:id="5"/>
    </w:p>
    <w:tbl>
      <w:tblPr>
        <w:tblStyle w:val="3"/>
        <w:tblW w:w="975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04"/>
        <w:gridCol w:w="3378"/>
        <w:gridCol w:w="1239"/>
        <w:gridCol w:w="1294"/>
        <w:gridCol w:w="303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04" w:type="dxa"/>
            <w:noWrap w:val="0"/>
            <w:vAlign w:val="center"/>
          </w:tcPr>
          <w:p>
            <w:pPr>
              <w:adjustRightInd w:val="0"/>
              <w:snapToGrid w:val="0"/>
              <w:jc w:val="center"/>
              <w:rPr>
                <w:rFonts w:ascii="宋体" w:hAnsi="宋体"/>
                <w:szCs w:val="21"/>
              </w:rPr>
            </w:pPr>
            <w:r>
              <w:rPr>
                <w:rFonts w:hint="eastAsia" w:ascii="宋体" w:hAnsi="宋体"/>
                <w:szCs w:val="21"/>
              </w:rPr>
              <w:t>序号</w:t>
            </w:r>
          </w:p>
        </w:tc>
        <w:tc>
          <w:tcPr>
            <w:tcW w:w="3378" w:type="dxa"/>
            <w:noWrap w:val="0"/>
            <w:vAlign w:val="center"/>
          </w:tcPr>
          <w:p>
            <w:pPr>
              <w:adjustRightInd w:val="0"/>
              <w:snapToGrid w:val="0"/>
              <w:jc w:val="center"/>
              <w:rPr>
                <w:rFonts w:ascii="宋体" w:hAnsi="宋体"/>
                <w:szCs w:val="21"/>
              </w:rPr>
            </w:pPr>
            <w:r>
              <w:rPr>
                <w:rFonts w:hint="eastAsia" w:ascii="宋体" w:hAnsi="宋体"/>
                <w:szCs w:val="21"/>
              </w:rPr>
              <w:t>货物名称</w:t>
            </w:r>
          </w:p>
        </w:tc>
        <w:tc>
          <w:tcPr>
            <w:tcW w:w="1239" w:type="dxa"/>
            <w:noWrap w:val="0"/>
            <w:vAlign w:val="center"/>
          </w:tcPr>
          <w:p>
            <w:pPr>
              <w:adjustRightInd w:val="0"/>
              <w:snapToGrid w:val="0"/>
              <w:jc w:val="center"/>
              <w:rPr>
                <w:rFonts w:ascii="宋体" w:hAnsi="宋体"/>
                <w:szCs w:val="21"/>
              </w:rPr>
            </w:pPr>
            <w:r>
              <w:rPr>
                <w:rFonts w:hint="eastAsia" w:ascii="宋体" w:hAnsi="宋体"/>
                <w:szCs w:val="21"/>
              </w:rPr>
              <w:t>数量</w:t>
            </w:r>
          </w:p>
        </w:tc>
        <w:tc>
          <w:tcPr>
            <w:tcW w:w="1294" w:type="dxa"/>
            <w:noWrap w:val="0"/>
            <w:vAlign w:val="center"/>
          </w:tcPr>
          <w:p>
            <w:pPr>
              <w:adjustRightInd w:val="0"/>
              <w:snapToGrid w:val="0"/>
              <w:jc w:val="center"/>
              <w:rPr>
                <w:rFonts w:ascii="宋体" w:hAnsi="宋体"/>
                <w:szCs w:val="21"/>
              </w:rPr>
            </w:pPr>
            <w:r>
              <w:rPr>
                <w:rFonts w:hint="eastAsia" w:ascii="宋体" w:hAnsi="宋体"/>
                <w:szCs w:val="21"/>
              </w:rPr>
              <w:t>预算（万元）</w:t>
            </w:r>
          </w:p>
        </w:tc>
        <w:tc>
          <w:tcPr>
            <w:tcW w:w="3037" w:type="dxa"/>
            <w:noWrap w:val="0"/>
            <w:vAlign w:val="center"/>
          </w:tcPr>
          <w:p>
            <w:pPr>
              <w:adjustRightInd w:val="0"/>
              <w:snapToGrid w:val="0"/>
              <w:jc w:val="center"/>
              <w:rPr>
                <w:rFonts w:ascii="宋体" w:hAnsi="宋体"/>
                <w:szCs w:val="21"/>
              </w:rPr>
            </w:pPr>
            <w:r>
              <w:rPr>
                <w:rFonts w:hint="eastAsia" w:ascii="宋体" w:hAnsi="宋体"/>
                <w:szCs w:val="21"/>
              </w:rPr>
              <w:t>交货期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7" w:hRule="atLeast"/>
          <w:jc w:val="center"/>
        </w:trPr>
        <w:tc>
          <w:tcPr>
            <w:tcW w:w="804" w:type="dxa"/>
            <w:noWrap w:val="0"/>
            <w:vAlign w:val="center"/>
          </w:tcPr>
          <w:p>
            <w:pPr>
              <w:adjustRightInd w:val="0"/>
              <w:snapToGrid w:val="0"/>
              <w:jc w:val="center"/>
              <w:rPr>
                <w:rFonts w:ascii="宋体" w:hAnsi="宋体"/>
                <w:szCs w:val="21"/>
              </w:rPr>
            </w:pPr>
            <w:r>
              <w:rPr>
                <w:rFonts w:hint="eastAsia" w:ascii="宋体" w:hAnsi="宋体"/>
                <w:szCs w:val="21"/>
              </w:rPr>
              <w:t>1</w:t>
            </w:r>
          </w:p>
        </w:tc>
        <w:tc>
          <w:tcPr>
            <w:tcW w:w="3378" w:type="dxa"/>
            <w:noWrap w:val="0"/>
            <w:vAlign w:val="center"/>
          </w:tcPr>
          <w:p>
            <w:pPr>
              <w:adjustRightInd w:val="0"/>
              <w:snapToGrid w:val="0"/>
              <w:jc w:val="center"/>
              <w:rPr>
                <w:rFonts w:ascii="宋体" w:hAnsi="宋体"/>
                <w:szCs w:val="21"/>
              </w:rPr>
            </w:pPr>
            <w:r>
              <w:rPr>
                <w:rFonts w:hint="eastAsia" w:ascii="宋体" w:hAnsi="宋体" w:cs="Calibri"/>
                <w:szCs w:val="21"/>
              </w:rPr>
              <w:t>▲</w:t>
            </w:r>
            <w:r>
              <w:rPr>
                <w:rFonts w:hint="eastAsia" w:ascii="宋体" w:hAnsi="宋体"/>
                <w:szCs w:val="21"/>
              </w:rPr>
              <w:t>液氮</w:t>
            </w:r>
          </w:p>
        </w:tc>
        <w:tc>
          <w:tcPr>
            <w:tcW w:w="1239" w:type="dxa"/>
            <w:noWrap w:val="0"/>
            <w:vAlign w:val="center"/>
          </w:tcPr>
          <w:p>
            <w:pPr>
              <w:adjustRightInd w:val="0"/>
              <w:snapToGrid w:val="0"/>
              <w:jc w:val="center"/>
              <w:rPr>
                <w:rFonts w:ascii="宋体" w:hAnsi="宋体"/>
                <w:szCs w:val="21"/>
              </w:rPr>
            </w:pPr>
            <w:r>
              <w:rPr>
                <w:rFonts w:hint="eastAsia" w:ascii="宋体" w:hAnsi="宋体"/>
                <w:szCs w:val="21"/>
                <w:lang w:val="en-US" w:eastAsia="zh-CN"/>
              </w:rPr>
              <w:t>2000</w:t>
            </w:r>
            <w:r>
              <w:rPr>
                <w:rFonts w:hint="eastAsia" w:ascii="宋体" w:hAnsi="宋体"/>
                <w:szCs w:val="21"/>
              </w:rPr>
              <w:t>吨</w:t>
            </w:r>
          </w:p>
        </w:tc>
        <w:tc>
          <w:tcPr>
            <w:tcW w:w="1294" w:type="dxa"/>
            <w:noWrap w:val="0"/>
            <w:vAlign w:val="center"/>
          </w:tcPr>
          <w:p>
            <w:pPr>
              <w:adjustRightInd w:val="0"/>
              <w:snapToGrid w:val="0"/>
              <w:jc w:val="center"/>
              <w:rPr>
                <w:rFonts w:ascii="宋体" w:hAnsi="宋体"/>
                <w:szCs w:val="21"/>
              </w:rPr>
            </w:pPr>
            <w:r>
              <w:rPr>
                <w:rFonts w:hint="eastAsia" w:ascii="宋体" w:hAnsi="宋体"/>
                <w:szCs w:val="21"/>
              </w:rPr>
              <w:t>300万元</w:t>
            </w:r>
          </w:p>
        </w:tc>
        <w:tc>
          <w:tcPr>
            <w:tcW w:w="3037" w:type="dxa"/>
            <w:noWrap w:val="0"/>
            <w:vAlign w:val="center"/>
          </w:tcPr>
          <w:p>
            <w:pPr>
              <w:adjustRightInd w:val="0"/>
              <w:snapToGrid w:val="0"/>
              <w:jc w:val="center"/>
              <w:rPr>
                <w:rFonts w:ascii="宋体" w:hAnsi="宋体"/>
                <w:szCs w:val="21"/>
              </w:rPr>
            </w:pPr>
            <w:r>
              <w:rPr>
                <w:rFonts w:hint="eastAsia" w:ascii="宋体" w:hAnsi="宋体"/>
                <w:szCs w:val="21"/>
              </w:rPr>
              <w:t>按照业主实际需求按批次供货</w:t>
            </w:r>
          </w:p>
        </w:tc>
      </w:tr>
    </w:tbl>
    <w:p>
      <w:pPr>
        <w:spacing w:line="240" w:lineRule="auto"/>
        <w:jc w:val="left"/>
        <w:rPr>
          <w:rFonts w:hint="eastAsia" w:ascii="黑体" w:hAnsi="黑体" w:eastAsia="黑体"/>
          <w:sz w:val="28"/>
          <w:szCs w:val="28"/>
        </w:rPr>
      </w:pPr>
    </w:p>
    <w:p>
      <w:pPr>
        <w:spacing w:line="240" w:lineRule="auto"/>
        <w:jc w:val="left"/>
        <w:outlineLvl w:val="1"/>
        <w:rPr>
          <w:rFonts w:hint="eastAsia" w:ascii="黑体" w:hAnsi="黑体" w:eastAsia="黑体"/>
          <w:sz w:val="28"/>
          <w:szCs w:val="28"/>
        </w:rPr>
      </w:pPr>
      <w:bookmarkStart w:id="6" w:name="_Toc26424"/>
      <w:bookmarkStart w:id="7" w:name="_Toc9636"/>
      <w:bookmarkStart w:id="8" w:name="_Toc10540"/>
      <w:r>
        <w:rPr>
          <w:rFonts w:hint="eastAsia" w:ascii="黑体" w:hAnsi="黑体" w:eastAsia="黑体"/>
          <w:sz w:val="28"/>
          <w:szCs w:val="28"/>
        </w:rPr>
        <w:t>三、技术要求</w:t>
      </w:r>
      <w:bookmarkEnd w:id="6"/>
      <w:bookmarkEnd w:id="7"/>
      <w:bookmarkEnd w:id="8"/>
    </w:p>
    <w:p>
      <w:pPr>
        <w:spacing w:line="360" w:lineRule="auto"/>
        <w:jc w:val="left"/>
        <w:rPr>
          <w:rFonts w:hint="eastAsia" w:ascii="宋体" w:hAnsi="宋体"/>
          <w:sz w:val="24"/>
        </w:rPr>
      </w:pPr>
      <w:r>
        <w:rPr>
          <w:rFonts w:hint="eastAsia" w:ascii="宋体" w:hAnsi="宋体"/>
          <w:sz w:val="24"/>
        </w:rPr>
        <w:t>1. 纯度≥99.95%。</w:t>
      </w:r>
    </w:p>
    <w:p>
      <w:pPr>
        <w:spacing w:line="360" w:lineRule="auto"/>
        <w:jc w:val="left"/>
        <w:rPr>
          <w:rFonts w:hint="eastAsia" w:ascii="宋体" w:hAnsi="宋体"/>
          <w:sz w:val="24"/>
        </w:rPr>
      </w:pPr>
      <w:r>
        <w:rPr>
          <w:rFonts w:hint="eastAsia" w:ascii="宋体" w:hAnsi="宋体"/>
          <w:sz w:val="24"/>
        </w:rPr>
        <w:t>2. 技术标准:工业氮GB/T 3864-2008。</w:t>
      </w:r>
    </w:p>
    <w:p>
      <w:pPr>
        <w:spacing w:line="360" w:lineRule="auto"/>
        <w:jc w:val="left"/>
        <w:rPr>
          <w:rFonts w:hint="eastAsia" w:ascii="宋体" w:hAnsi="宋体"/>
          <w:sz w:val="24"/>
        </w:rPr>
      </w:pPr>
      <w:r>
        <w:rPr>
          <w:rFonts w:hint="eastAsia" w:ascii="宋体" w:hAnsi="宋体"/>
          <w:sz w:val="24"/>
        </w:rPr>
        <w:t>3. 质量要求:工业氮GB/T 3864-2008。</w:t>
      </w:r>
    </w:p>
    <w:p>
      <w:pPr>
        <w:spacing w:line="360" w:lineRule="auto"/>
        <w:jc w:val="left"/>
        <w:rPr>
          <w:rFonts w:hint="eastAsia" w:ascii="宋体" w:hAnsi="宋体"/>
          <w:sz w:val="24"/>
        </w:rPr>
      </w:pPr>
      <w:r>
        <w:rPr>
          <w:rFonts w:hint="eastAsia" w:ascii="宋体" w:hAnsi="宋体"/>
          <w:sz w:val="24"/>
        </w:rPr>
        <w:t>4. 响应时间：接到业主通知后0.5h响应并及时调度安排运输车辆装车，按业主要求时间提前或按时到达业主现场。</w:t>
      </w:r>
    </w:p>
    <w:p>
      <w:bookmarkStart w:id="9" w:name="_GoBack"/>
      <w:bookmarkEnd w:id="9"/>
    </w:p>
    <w:sectPr>
      <w:pgSz w:w="11906" w:h="16838"/>
      <w:pgMar w:top="1440" w:right="1800" w:bottom="1440" w:left="1800"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Cambria">
    <w:panose1 w:val="02040503050406030204"/>
    <w:charset w:val="00"/>
    <w:family w:val="roman"/>
    <w:pitch w:val="default"/>
    <w:sig w:usb0="E00006FF" w:usb1="420024FF" w:usb2="02000000" w:usb3="00000000" w:csb0="2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WUxZGIzODY1NmUyZDk2NmY5MWNjMDdlZTBmOWIzMmIifQ=="/>
  </w:docVars>
  <w:rsids>
    <w:rsidRoot w:val="0ABA32CD"/>
    <w:rsid w:val="0ABA32C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9"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spacing w:line="440" w:lineRule="exact"/>
      <w:jc w:val="both"/>
    </w:pPr>
    <w:rPr>
      <w:rFonts w:ascii="Times New Roman" w:hAnsi="Times New Roman" w:eastAsia="宋体" w:cs="Times New Roman"/>
      <w:kern w:val="2"/>
      <w:sz w:val="21"/>
      <w:szCs w:val="22"/>
      <w:lang w:val="en-US" w:eastAsia="zh-CN" w:bidi="ar-SA"/>
    </w:rPr>
  </w:style>
  <w:style w:type="paragraph" w:styleId="2">
    <w:name w:val="heading 2"/>
    <w:basedOn w:val="1"/>
    <w:next w:val="1"/>
    <w:qFormat/>
    <w:uiPriority w:val="9"/>
    <w:pPr>
      <w:keepNext/>
      <w:keepLines/>
      <w:spacing w:before="260" w:after="260" w:line="416" w:lineRule="atLeast"/>
      <w:outlineLvl w:val="1"/>
    </w:pPr>
    <w:rPr>
      <w:rFonts w:ascii="Cambria" w:hAnsi="Cambria"/>
      <w:b/>
      <w:bCs/>
      <w:kern w:val="0"/>
      <w:sz w:val="32"/>
      <w:szCs w:val="32"/>
    </w:rPr>
  </w:style>
  <w:style w:type="character" w:default="1" w:styleId="4">
    <w:name w:val="Default Paragraph Font"/>
    <w:semiHidden/>
    <w:qFormat/>
    <w:uiPriority w:val="0"/>
  </w:style>
  <w:style w:type="table" w:default="1" w:styleId="3">
    <w:name w:val="Normal Table"/>
    <w:semiHidden/>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Office_11.1.0.12763_F1E327BC-269C-435d-A152-05C5408002CA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2022-11-07T09:39:00Z</dcterms:created>
  <dc:creator>1</dc:creator>
  <cp:lastModifiedBy>1</cp:lastModifiedBy>
  <dcterms:modified xsi:type="dcterms:W3CDTF">2022-11-07T09:39:52Z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2052-11.1.0.12763</vt:lpwstr>
  </property>
  <property fmtid="{D5CDD505-2E9C-101B-9397-08002B2CF9AE}" pid="3" name="ICV">
    <vt:lpwstr>3FDC2DF3C1E04704AD30090B0A96102F</vt:lpwstr>
  </property>
</Properties>
</file>